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2D15" w14:textId="77777777" w:rsidR="005B5CB9" w:rsidRDefault="005B5CB9" w:rsidP="005B5CB9">
      <w:pPr>
        <w:pStyle w:val="Body"/>
      </w:pPr>
      <w:r>
        <w:rPr>
          <w:noProof/>
        </w:rPr>
        <w:drawing>
          <wp:anchor distT="0" distB="0" distL="114300" distR="114300" simplePos="0" relativeHeight="251658240" behindDoc="1" locked="1" layoutInCell="1" allowOverlap="0" wp14:anchorId="221D3268" wp14:editId="55237D39">
            <wp:simplePos x="0" y="0"/>
            <wp:positionH relativeFrom="column">
              <wp:posOffset>-819150</wp:posOffset>
            </wp:positionH>
            <wp:positionV relativeFrom="paragraph">
              <wp:posOffset>-2524125</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5B5CB9" w14:paraId="739B8530" w14:textId="77777777">
        <w:trPr>
          <w:cantSplit/>
        </w:trPr>
        <w:tc>
          <w:tcPr>
            <w:tcW w:w="0" w:type="auto"/>
            <w:tcMar>
              <w:top w:w="0" w:type="dxa"/>
              <w:left w:w="0" w:type="dxa"/>
              <w:right w:w="0" w:type="dxa"/>
            </w:tcMar>
          </w:tcPr>
          <w:p w14:paraId="352F534D" w14:textId="325CC15D" w:rsidR="005B5CB9" w:rsidRPr="00431F42" w:rsidRDefault="005B5CB9">
            <w:pPr>
              <w:pStyle w:val="Documenttitle"/>
            </w:pPr>
            <w:r>
              <w:t>Policy and funding guidelines 2026–27</w:t>
            </w:r>
          </w:p>
        </w:tc>
      </w:tr>
      <w:tr w:rsidR="005B5CB9" w14:paraId="4EC0D253" w14:textId="77777777">
        <w:trPr>
          <w:cantSplit/>
        </w:trPr>
        <w:tc>
          <w:tcPr>
            <w:tcW w:w="0" w:type="auto"/>
          </w:tcPr>
          <w:p w14:paraId="305188EF" w14:textId="68855444" w:rsidR="005B5CB9" w:rsidRPr="00694DE9" w:rsidRDefault="006D5696">
            <w:pPr>
              <w:pStyle w:val="Documentsubtitle"/>
              <w:rPr>
                <w:color w:val="000000" w:themeColor="text1"/>
              </w:rPr>
            </w:pPr>
            <w:r>
              <w:rPr>
                <w:color w:val="000000" w:themeColor="text1"/>
              </w:rPr>
              <w:t>Funding rules</w:t>
            </w:r>
          </w:p>
          <w:p w14:paraId="42FF1476" w14:textId="77777777" w:rsidR="005B5CB9" w:rsidRPr="00A1389F" w:rsidRDefault="005B5CB9">
            <w:pPr>
              <w:pStyle w:val="Body"/>
            </w:pPr>
          </w:p>
        </w:tc>
      </w:tr>
      <w:tr w:rsidR="005B5CB9" w14:paraId="2C692258" w14:textId="77777777">
        <w:trPr>
          <w:cantSplit/>
        </w:trPr>
        <w:tc>
          <w:tcPr>
            <w:tcW w:w="0" w:type="auto"/>
          </w:tcPr>
          <w:p w14:paraId="5651A3BA" w14:textId="77777777" w:rsidR="005B5CB9" w:rsidRDefault="005B5CB9">
            <w:pPr>
              <w:pStyle w:val="Bannermarking"/>
            </w:pPr>
          </w:p>
          <w:p w14:paraId="1502EDCA" w14:textId="77777777" w:rsidR="005B5CB9" w:rsidRDefault="005B5CB9">
            <w:pPr>
              <w:pStyle w:val="Bannermarking"/>
            </w:pPr>
            <w:fldSimple w:instr="FILLIN  &quot;Type the protective marking&quot; \d OFFICIAL \o  \* MERGEFORMAT">
              <w:r>
                <w:t>OFFICIAL</w:t>
              </w:r>
            </w:fldSimple>
          </w:p>
        </w:tc>
      </w:tr>
    </w:tbl>
    <w:p w14:paraId="58575A24" w14:textId="77777777" w:rsidR="005B5CB9" w:rsidRDefault="005B5CB9" w:rsidP="005B5CB9">
      <w:pPr>
        <w:pStyle w:val="Body"/>
      </w:pPr>
    </w:p>
    <w:p w14:paraId="2A29FE8E" w14:textId="77777777" w:rsidR="005B5CB9" w:rsidRPr="00FE4081" w:rsidRDefault="005B5CB9" w:rsidP="005B5CB9">
      <w:pPr>
        <w:pStyle w:val="Body"/>
        <w:sectPr w:rsidR="005B5CB9" w:rsidRPr="00FE4081" w:rsidSect="005B5CB9">
          <w:headerReference w:type="default" r:id="rId12"/>
          <w:footerReference w:type="even" r:id="rId13"/>
          <w:footerReference w:type="default" r:id="rId14"/>
          <w:headerReference w:type="first" r:id="rId15"/>
          <w:footerReference w:type="first" r:id="rId16"/>
          <w:pgSz w:w="11906" w:h="16838" w:code="9"/>
          <w:pgMar w:top="3969" w:right="1304" w:bottom="1418" w:left="1304" w:header="680" w:footer="851" w:gutter="0"/>
          <w:cols w:space="340"/>
          <w:docGrid w:linePitch="360"/>
        </w:sectPr>
      </w:pPr>
    </w:p>
    <w:p w14:paraId="28176182" w14:textId="77777777" w:rsidR="005B5CB9" w:rsidRDefault="005B5CB9" w:rsidP="005B5CB9">
      <w:pPr>
        <w:pStyle w:val="Accessibilitypara"/>
      </w:pPr>
    </w:p>
    <w:p w14:paraId="24047C7D" w14:textId="77777777" w:rsidR="005B5CB9" w:rsidRDefault="005B5CB9" w:rsidP="005B5CB9">
      <w:pPr>
        <w:pStyle w:val="Accessibilitypara"/>
      </w:pPr>
    </w:p>
    <w:p w14:paraId="5B288D18" w14:textId="77777777" w:rsidR="005B5CB9" w:rsidRDefault="005B5CB9" w:rsidP="005B5CB9">
      <w:pPr>
        <w:pStyle w:val="Accessibilitypara"/>
      </w:pPr>
    </w:p>
    <w:p w14:paraId="3DB9A8B6" w14:textId="77777777" w:rsidR="005B5CB9" w:rsidRDefault="005B5CB9" w:rsidP="005B5CB9">
      <w:pPr>
        <w:pStyle w:val="Accessibilitypara"/>
      </w:pPr>
    </w:p>
    <w:p w14:paraId="168A238A" w14:textId="77777777" w:rsidR="005B5CB9" w:rsidRDefault="005B5CB9" w:rsidP="005B5CB9">
      <w:pPr>
        <w:pStyle w:val="Accessibilitypara"/>
      </w:pPr>
    </w:p>
    <w:p w14:paraId="4C821B4E" w14:textId="77777777" w:rsidR="005B5CB9" w:rsidRDefault="005B5CB9" w:rsidP="005B5CB9">
      <w:pPr>
        <w:pStyle w:val="Accessibilitypara"/>
      </w:pPr>
    </w:p>
    <w:p w14:paraId="365E65B0" w14:textId="77777777" w:rsidR="005B5CB9" w:rsidRDefault="005B5CB9" w:rsidP="005B5CB9">
      <w:pPr>
        <w:pStyle w:val="Accessibilitypara"/>
      </w:pPr>
    </w:p>
    <w:p w14:paraId="5E6FEF6C" w14:textId="77777777" w:rsidR="005B5CB9" w:rsidRDefault="005B5CB9" w:rsidP="005B5CB9">
      <w:pPr>
        <w:pStyle w:val="Accessibilitypara"/>
      </w:pPr>
    </w:p>
    <w:p w14:paraId="0740DDF3" w14:textId="77777777" w:rsidR="005B5CB9" w:rsidRDefault="005B5CB9" w:rsidP="005B5CB9">
      <w:pPr>
        <w:pStyle w:val="Accessibilitypara"/>
      </w:pPr>
    </w:p>
    <w:p w14:paraId="5E8F7357" w14:textId="77777777" w:rsidR="005B5CB9" w:rsidRDefault="005B5CB9" w:rsidP="005B5CB9">
      <w:pPr>
        <w:pStyle w:val="Accessibilitypara"/>
      </w:pPr>
    </w:p>
    <w:p w14:paraId="4048B60F" w14:textId="77777777" w:rsidR="005B5CB9" w:rsidRDefault="005B5CB9" w:rsidP="005B5CB9">
      <w:pPr>
        <w:pStyle w:val="Accessibilitypara"/>
      </w:pPr>
    </w:p>
    <w:p w14:paraId="407D350A" w14:textId="77777777" w:rsidR="005B5CB9" w:rsidRDefault="005B5CB9" w:rsidP="005B5CB9">
      <w:pPr>
        <w:pStyle w:val="Accessibilitypara"/>
      </w:pPr>
    </w:p>
    <w:p w14:paraId="1E68A770" w14:textId="77777777" w:rsidR="005B5CB9" w:rsidRDefault="005B5CB9" w:rsidP="005B5CB9">
      <w:pPr>
        <w:pStyle w:val="Accessibilitypara"/>
      </w:pPr>
    </w:p>
    <w:p w14:paraId="2FEC2F42" w14:textId="77777777" w:rsidR="005B5CB9" w:rsidRDefault="005B5CB9" w:rsidP="005B5CB9">
      <w:pPr>
        <w:pStyle w:val="Accessibilitypara"/>
      </w:pPr>
    </w:p>
    <w:p w14:paraId="406709CD" w14:textId="77777777" w:rsidR="000738E2" w:rsidRDefault="000738E2" w:rsidP="005B5CB9">
      <w:pPr>
        <w:pStyle w:val="Accessibilitypara"/>
      </w:pPr>
    </w:p>
    <w:p w14:paraId="48218C65" w14:textId="77777777" w:rsidR="000738E2" w:rsidRDefault="000738E2" w:rsidP="005B5CB9">
      <w:pPr>
        <w:pStyle w:val="Accessibilitypara"/>
      </w:pPr>
    </w:p>
    <w:p w14:paraId="751EF9D1" w14:textId="77777777" w:rsidR="000738E2" w:rsidRDefault="000738E2" w:rsidP="005B5CB9">
      <w:pPr>
        <w:pStyle w:val="Accessibilitypara"/>
      </w:pPr>
    </w:p>
    <w:p w14:paraId="29D6FF38" w14:textId="77777777" w:rsidR="000738E2" w:rsidRDefault="000738E2" w:rsidP="005B5CB9">
      <w:pPr>
        <w:pStyle w:val="Accessibilitypara"/>
      </w:pPr>
    </w:p>
    <w:p w14:paraId="69EBE977" w14:textId="77777777" w:rsidR="000738E2" w:rsidRDefault="000738E2" w:rsidP="005B5CB9">
      <w:pPr>
        <w:pStyle w:val="Accessibilitypara"/>
      </w:pPr>
    </w:p>
    <w:p w14:paraId="3308BEB3" w14:textId="77777777" w:rsidR="000738E2" w:rsidRDefault="000738E2" w:rsidP="005B5CB9">
      <w:pPr>
        <w:pStyle w:val="Accessibilitypara"/>
      </w:pPr>
    </w:p>
    <w:p w14:paraId="216B810B" w14:textId="77777777" w:rsidR="000738E2" w:rsidRDefault="000738E2" w:rsidP="005B5CB9">
      <w:pPr>
        <w:pStyle w:val="Accessibilitypara"/>
      </w:pPr>
    </w:p>
    <w:p w14:paraId="6C27C681" w14:textId="77777777" w:rsidR="000738E2" w:rsidRDefault="000738E2" w:rsidP="005B5CB9">
      <w:pPr>
        <w:pStyle w:val="Accessibilitypara"/>
      </w:pPr>
    </w:p>
    <w:p w14:paraId="4364C57A" w14:textId="77777777" w:rsidR="000738E2" w:rsidRDefault="000738E2" w:rsidP="005B5CB9">
      <w:pPr>
        <w:pStyle w:val="Accessibilitypara"/>
      </w:pPr>
    </w:p>
    <w:p w14:paraId="5E8822DE" w14:textId="77777777" w:rsidR="000738E2" w:rsidRDefault="000738E2" w:rsidP="005B5CB9">
      <w:pPr>
        <w:pStyle w:val="Accessibilitypara"/>
      </w:pPr>
    </w:p>
    <w:p w14:paraId="6D92EB16" w14:textId="77777777" w:rsidR="000738E2" w:rsidRDefault="000738E2" w:rsidP="005B5CB9">
      <w:pPr>
        <w:pStyle w:val="Accessibilitypara"/>
      </w:pPr>
    </w:p>
    <w:p w14:paraId="2CA936F3" w14:textId="77777777" w:rsidR="000738E2" w:rsidRDefault="000738E2" w:rsidP="005B5CB9">
      <w:pPr>
        <w:pStyle w:val="Accessibilitypara"/>
      </w:pPr>
    </w:p>
    <w:p w14:paraId="112AA8B5" w14:textId="77777777" w:rsidR="000738E2" w:rsidRDefault="000738E2" w:rsidP="005B5CB9">
      <w:pPr>
        <w:pStyle w:val="Accessibilitypara"/>
      </w:pPr>
    </w:p>
    <w:p w14:paraId="3281F6D0" w14:textId="77777777" w:rsidR="000738E2" w:rsidRDefault="000738E2" w:rsidP="005B5CB9">
      <w:pPr>
        <w:pStyle w:val="Accessibilitypara"/>
      </w:pPr>
    </w:p>
    <w:p w14:paraId="2701BDC8" w14:textId="77777777" w:rsidR="000738E2" w:rsidRDefault="000738E2" w:rsidP="005B5CB9">
      <w:pPr>
        <w:pStyle w:val="Accessibilitypara"/>
      </w:pPr>
    </w:p>
    <w:p w14:paraId="3F1CDBB1" w14:textId="77777777" w:rsidR="000738E2" w:rsidRDefault="000738E2" w:rsidP="005B5CB9">
      <w:pPr>
        <w:pStyle w:val="Accessibilitypara"/>
      </w:pPr>
    </w:p>
    <w:p w14:paraId="0F141F7B" w14:textId="77777777" w:rsidR="000738E2" w:rsidRDefault="000738E2" w:rsidP="005B5CB9">
      <w:pPr>
        <w:pStyle w:val="Accessibilitypara"/>
      </w:pPr>
    </w:p>
    <w:p w14:paraId="6751653D" w14:textId="77777777" w:rsidR="000738E2" w:rsidRDefault="000738E2" w:rsidP="005B5CB9">
      <w:pPr>
        <w:pStyle w:val="Accessibilitypara"/>
      </w:pPr>
    </w:p>
    <w:tbl>
      <w:tblPr>
        <w:tblStyle w:val="TableGrid"/>
        <w:tblW w:w="7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694DE9" w14:paraId="2A41EE08" w14:textId="77777777">
        <w:trPr>
          <w:trHeight w:val="7371"/>
          <w:jc w:val="center"/>
        </w:trPr>
        <w:tc>
          <w:tcPr>
            <w:tcW w:w="7598" w:type="dxa"/>
            <w:vAlign w:val="center"/>
          </w:tcPr>
          <w:p w14:paraId="70D62B3E" w14:textId="77777777" w:rsidR="00694DE9" w:rsidRDefault="00694DE9">
            <w:pPr>
              <w:pStyle w:val="Documentsubtitle"/>
              <w:rPr>
                <w:b/>
                <w:color w:val="201547"/>
                <w:sz w:val="48"/>
                <w:szCs w:val="50"/>
              </w:rPr>
            </w:pPr>
            <w:r w:rsidRPr="00021653">
              <w:rPr>
                <w:b/>
                <w:color w:val="201547"/>
                <w:sz w:val="48"/>
                <w:szCs w:val="50"/>
              </w:rPr>
              <w:t xml:space="preserve">Policy and funding guidelines </w:t>
            </w:r>
            <w:r>
              <w:rPr>
                <w:b/>
                <w:color w:val="201547"/>
                <w:sz w:val="48"/>
                <w:szCs w:val="50"/>
              </w:rPr>
              <w:t>2026–27</w:t>
            </w:r>
          </w:p>
          <w:p w14:paraId="6345E155" w14:textId="0D10753F" w:rsidR="00694DE9" w:rsidRPr="002B03DD" w:rsidRDefault="006D5696">
            <w:pPr>
              <w:pStyle w:val="Body"/>
              <w:rPr>
                <w:sz w:val="28"/>
                <w:szCs w:val="28"/>
              </w:rPr>
            </w:pPr>
            <w:r>
              <w:rPr>
                <w:sz w:val="28"/>
                <w:szCs w:val="28"/>
              </w:rPr>
              <w:t>Funding rules</w:t>
            </w:r>
          </w:p>
          <w:p w14:paraId="0AE264CE" w14:textId="77777777" w:rsidR="00694DE9" w:rsidRDefault="00694DE9">
            <w:pPr>
              <w:pStyle w:val="Documentsubtitle"/>
            </w:pPr>
          </w:p>
        </w:tc>
      </w:tr>
      <w:tr w:rsidR="00694DE9" w14:paraId="6EA00C6C" w14:textId="77777777">
        <w:trPr>
          <w:jc w:val="center"/>
        </w:trPr>
        <w:tc>
          <w:tcPr>
            <w:tcW w:w="7598" w:type="dxa"/>
          </w:tcPr>
          <w:p w14:paraId="3E556F6A" w14:textId="77777777" w:rsidR="00694DE9" w:rsidRDefault="00694DE9">
            <w:pPr>
              <w:pStyle w:val="Body"/>
            </w:pPr>
          </w:p>
        </w:tc>
      </w:tr>
    </w:tbl>
    <w:p w14:paraId="4787E10D" w14:textId="77777777" w:rsidR="000738E2" w:rsidRDefault="000738E2" w:rsidP="005B5CB9">
      <w:pPr>
        <w:pStyle w:val="Accessibilitypara"/>
      </w:pPr>
    </w:p>
    <w:p w14:paraId="7B7A6C46" w14:textId="77777777" w:rsidR="000738E2" w:rsidRDefault="000738E2" w:rsidP="005B5CB9">
      <w:pPr>
        <w:pStyle w:val="Accessibilitypara"/>
      </w:pPr>
    </w:p>
    <w:p w14:paraId="58724975" w14:textId="77777777" w:rsidR="000738E2" w:rsidRDefault="000738E2" w:rsidP="005B5CB9">
      <w:pPr>
        <w:pStyle w:val="Accessibilitypara"/>
      </w:pPr>
    </w:p>
    <w:p w14:paraId="4485DC25" w14:textId="77777777" w:rsidR="000738E2" w:rsidRDefault="000738E2" w:rsidP="005B5CB9">
      <w:pPr>
        <w:pStyle w:val="Accessibilitypara"/>
      </w:pPr>
    </w:p>
    <w:p w14:paraId="6E97FC5B" w14:textId="77777777" w:rsidR="000738E2" w:rsidRDefault="000738E2" w:rsidP="005B5CB9">
      <w:pPr>
        <w:pStyle w:val="Accessibilitypara"/>
      </w:pPr>
    </w:p>
    <w:p w14:paraId="71CAC389" w14:textId="77777777" w:rsidR="000738E2" w:rsidRDefault="000738E2" w:rsidP="005B5CB9">
      <w:pPr>
        <w:pStyle w:val="Accessibilitypara"/>
      </w:pPr>
    </w:p>
    <w:p w14:paraId="76C271B7" w14:textId="77777777" w:rsidR="000738E2" w:rsidRDefault="000738E2" w:rsidP="005B5CB9">
      <w:pPr>
        <w:pStyle w:val="Accessibilitypara"/>
      </w:pPr>
    </w:p>
    <w:p w14:paraId="15129398" w14:textId="77777777" w:rsidR="000738E2" w:rsidRDefault="000738E2" w:rsidP="005B5CB9">
      <w:pPr>
        <w:pStyle w:val="Accessibilitypara"/>
      </w:pPr>
    </w:p>
    <w:p w14:paraId="2E622BE0" w14:textId="77777777" w:rsidR="000738E2" w:rsidRDefault="000738E2" w:rsidP="005B5CB9">
      <w:pPr>
        <w:pStyle w:val="Accessibilitypara"/>
      </w:pPr>
    </w:p>
    <w:p w14:paraId="5625AE7E" w14:textId="77777777" w:rsidR="000738E2" w:rsidRDefault="000738E2" w:rsidP="005B5CB9">
      <w:pPr>
        <w:pStyle w:val="Accessibilitypara"/>
      </w:pPr>
    </w:p>
    <w:p w14:paraId="72258974" w14:textId="77777777" w:rsidR="000738E2" w:rsidRDefault="000738E2" w:rsidP="005B5CB9">
      <w:pPr>
        <w:pStyle w:val="Accessibilitypara"/>
      </w:pPr>
    </w:p>
    <w:p w14:paraId="04E865BC" w14:textId="77777777" w:rsidR="000738E2" w:rsidRDefault="000738E2" w:rsidP="005B5CB9">
      <w:pPr>
        <w:pStyle w:val="Accessibilitypara"/>
      </w:pPr>
    </w:p>
    <w:p w14:paraId="54451528" w14:textId="77777777" w:rsidR="000738E2" w:rsidRDefault="000738E2" w:rsidP="005B5CB9">
      <w:pPr>
        <w:pStyle w:val="Accessibilitypara"/>
      </w:pPr>
    </w:p>
    <w:p w14:paraId="16B2F5CB" w14:textId="77777777" w:rsidR="000738E2" w:rsidRDefault="000738E2" w:rsidP="005B5CB9">
      <w:pPr>
        <w:pStyle w:val="Accessibilitypara"/>
      </w:pPr>
    </w:p>
    <w:p w14:paraId="1E60A980" w14:textId="77777777" w:rsidR="000738E2" w:rsidRDefault="000738E2" w:rsidP="005B5CB9">
      <w:pPr>
        <w:pStyle w:val="Accessibilitypara"/>
      </w:pPr>
    </w:p>
    <w:p w14:paraId="00972252" w14:textId="77777777" w:rsidR="000738E2" w:rsidRDefault="000738E2" w:rsidP="005B5CB9">
      <w:pPr>
        <w:pStyle w:val="Accessibilitypara"/>
      </w:pPr>
    </w:p>
    <w:p w14:paraId="12D58DDC" w14:textId="77777777" w:rsidR="000738E2" w:rsidRDefault="000738E2" w:rsidP="005B5CB9">
      <w:pPr>
        <w:pStyle w:val="Accessibilitypara"/>
      </w:pPr>
    </w:p>
    <w:p w14:paraId="6A217479" w14:textId="77777777" w:rsidR="000738E2" w:rsidRDefault="000738E2" w:rsidP="005B5CB9">
      <w:pPr>
        <w:pStyle w:val="Accessibilitypara"/>
      </w:pPr>
    </w:p>
    <w:p w14:paraId="22A1FAC2" w14:textId="77777777" w:rsidR="000738E2" w:rsidRDefault="000738E2" w:rsidP="005B5CB9">
      <w:pPr>
        <w:pStyle w:val="Accessibilitypara"/>
      </w:pPr>
    </w:p>
    <w:p w14:paraId="79585D70" w14:textId="77777777" w:rsidR="000738E2" w:rsidRDefault="000738E2" w:rsidP="005B5CB9">
      <w:pPr>
        <w:pStyle w:val="Accessibilitypara"/>
      </w:pPr>
    </w:p>
    <w:p w14:paraId="4747832A" w14:textId="77777777" w:rsidR="000738E2" w:rsidRDefault="000738E2" w:rsidP="005B5CB9">
      <w:pPr>
        <w:pStyle w:val="Accessibilitypara"/>
      </w:pPr>
    </w:p>
    <w:p w14:paraId="46CA8EFD" w14:textId="77777777" w:rsidR="000738E2" w:rsidRDefault="000738E2" w:rsidP="005B5CB9">
      <w:pPr>
        <w:pStyle w:val="Accessibilitypara"/>
      </w:pPr>
    </w:p>
    <w:p w14:paraId="18324380" w14:textId="77777777" w:rsidR="000738E2" w:rsidRDefault="000738E2" w:rsidP="005B5CB9">
      <w:pPr>
        <w:pStyle w:val="Accessibilitypara"/>
      </w:pPr>
    </w:p>
    <w:p w14:paraId="4C6A9A57" w14:textId="77777777" w:rsidR="000738E2" w:rsidRDefault="000738E2" w:rsidP="005B5CB9">
      <w:pPr>
        <w:pStyle w:val="Accessibilitypara"/>
      </w:pPr>
    </w:p>
    <w:p w14:paraId="6654144C" w14:textId="77777777" w:rsidR="000738E2" w:rsidRDefault="000738E2" w:rsidP="005B5CB9">
      <w:pPr>
        <w:pStyle w:val="Accessibilitypara"/>
      </w:pPr>
    </w:p>
    <w:p w14:paraId="65EF65D9" w14:textId="77777777" w:rsidR="000738E2" w:rsidRDefault="000738E2" w:rsidP="005B5CB9">
      <w:pPr>
        <w:pStyle w:val="Accessibilitypara"/>
      </w:pPr>
    </w:p>
    <w:p w14:paraId="77480C2D" w14:textId="77777777" w:rsidR="005B5CB9" w:rsidRPr="0055119B" w:rsidRDefault="005B5CB9" w:rsidP="005B5CB9">
      <w:pPr>
        <w:pStyle w:val="Accessibilitypara"/>
      </w:pPr>
      <w:r w:rsidRPr="0055119B">
        <w:t>To receive this document in another format</w:t>
      </w:r>
      <w:r>
        <w:t>,</w:t>
      </w:r>
      <w:r w:rsidRPr="0055119B">
        <w:t xml:space="preserve"> </w:t>
      </w:r>
      <w:r>
        <w:t>phone</w:t>
      </w:r>
      <w:r w:rsidRPr="0055119B">
        <w:t xml:space="preserve"> the National Relay Service</w:t>
      </w:r>
      <w:r>
        <w:t xml:space="preserve"> on</w:t>
      </w:r>
      <w:r>
        <w:br/>
      </w:r>
      <w:r w:rsidRPr="0055119B">
        <w:t>13 36 77 if required, or</w:t>
      </w:r>
      <w:r>
        <w:t xml:space="preserve"> email</w:t>
      </w:r>
      <w:r w:rsidRPr="0055119B">
        <w:t xml:space="preserve"> </w:t>
      </w:r>
      <w:hyperlink r:id="rId17" w:history="1">
        <w:r>
          <w:rPr>
            <w:rStyle w:val="Hyperlink"/>
          </w:rPr>
          <w:t>Health Service Performance Oversight, Accountability and Guidelines</w:t>
        </w:r>
      </w:hyperlink>
      <w:r>
        <w:t xml:space="preserve"> &lt;Accountability@health.vic.gov.au&gt;.</w:t>
      </w:r>
    </w:p>
    <w:p w14:paraId="22080D5D" w14:textId="77777777" w:rsidR="005B5CB9" w:rsidRPr="00741904" w:rsidRDefault="005B5CB9" w:rsidP="005B5CB9">
      <w:pPr>
        <w:pStyle w:val="DHHSaccessibilitypara"/>
        <w:spacing w:after="60" w:line="270" w:lineRule="atLeast"/>
      </w:pPr>
      <w:r w:rsidRPr="00903B70">
        <w:rPr>
          <w:sz w:val="20"/>
        </w:rPr>
        <w:t>Authorised and published by the Victorian Government, 1 Treasury Place, Melbourne.</w:t>
      </w:r>
    </w:p>
    <w:p w14:paraId="29F57BBC" w14:textId="77777777" w:rsidR="005B5CB9" w:rsidRPr="00903B70" w:rsidRDefault="005B5CB9" w:rsidP="005B5CB9">
      <w:pPr>
        <w:pStyle w:val="Body"/>
        <w:spacing w:after="60" w:line="270" w:lineRule="atLeast"/>
        <w:rPr>
          <w:sz w:val="20"/>
        </w:rPr>
      </w:pPr>
      <w:r w:rsidRPr="3D00DAF1">
        <w:rPr>
          <w:sz w:val="20"/>
        </w:rPr>
        <w:t xml:space="preserve">© State of Victoria, Department of Health, </w:t>
      </w:r>
      <w:r w:rsidRPr="00D24401">
        <w:rPr>
          <w:sz w:val="20"/>
        </w:rPr>
        <w:t>July</w:t>
      </w:r>
      <w:r w:rsidRPr="00160DFC">
        <w:rPr>
          <w:sz w:val="20"/>
        </w:rPr>
        <w:t xml:space="preserve"> 202</w:t>
      </w:r>
      <w:r>
        <w:rPr>
          <w:sz w:val="20"/>
        </w:rPr>
        <w:t>6</w:t>
      </w:r>
      <w:r w:rsidRPr="00160DFC">
        <w:rPr>
          <w:sz w:val="20"/>
        </w:rPr>
        <w:t>.</w:t>
      </w:r>
    </w:p>
    <w:p w14:paraId="499891B2" w14:textId="77777777" w:rsidR="005B5CB9" w:rsidRPr="00903B70" w:rsidRDefault="005B5CB9" w:rsidP="005B5CB9">
      <w:pPr>
        <w:pStyle w:val="Imprint"/>
        <w:rPr>
          <w:color w:val="auto"/>
        </w:rPr>
      </w:pPr>
      <w:r w:rsidRPr="6605E414">
        <w:rPr>
          <w:color w:val="auto"/>
        </w:rPr>
        <w:t>In this document, ‘Aboriginal’ refers to both Aboriginal and Torres Strait Islander people. ‘Indigenous’ or ‘Koori/Koorie’ is retained when part of the title of a report, program or quotation</w:t>
      </w:r>
      <w:r>
        <w:t>.</w:t>
      </w:r>
    </w:p>
    <w:p w14:paraId="7D1A2E8E" w14:textId="77777777" w:rsidR="005B5CB9" w:rsidRPr="00903B70" w:rsidRDefault="005B5CB9" w:rsidP="005B5CB9">
      <w:pPr>
        <w:pStyle w:val="Body"/>
        <w:spacing w:after="60" w:line="270" w:lineRule="atLeast"/>
        <w:rPr>
          <w:sz w:val="20"/>
          <w:lang w:val="en-US"/>
        </w:rPr>
      </w:pPr>
      <w:r w:rsidRPr="00C45C95">
        <w:rPr>
          <w:sz w:val="20"/>
          <w:lang w:val="en-US"/>
        </w:rPr>
        <w:t xml:space="preserve">ISSN </w:t>
      </w:r>
      <w:r w:rsidRPr="00C45C95">
        <w:rPr>
          <w:rFonts w:cs="Arial"/>
          <w:color w:val="000000"/>
          <w:sz w:val="20"/>
        </w:rPr>
        <w:t>2653-4207</w:t>
      </w:r>
      <w:r w:rsidRPr="00C45C95">
        <w:rPr>
          <w:sz w:val="20"/>
          <w:lang w:val="en-US"/>
        </w:rPr>
        <w:t xml:space="preserve"> (online</w:t>
      </w:r>
      <w:r>
        <w:rPr>
          <w:sz w:val="20"/>
          <w:lang w:val="en-US"/>
        </w:rPr>
        <w:t>/Word</w:t>
      </w:r>
      <w:r w:rsidRPr="00C45C95">
        <w:rPr>
          <w:sz w:val="20"/>
          <w:lang w:val="en-US"/>
        </w:rPr>
        <w:t>)</w:t>
      </w:r>
    </w:p>
    <w:p w14:paraId="7078F611" w14:textId="77777777" w:rsidR="005B5CB9" w:rsidRDefault="005B5CB9" w:rsidP="005B5CB9">
      <w:pPr>
        <w:pStyle w:val="Imprint"/>
      </w:pPr>
      <w:r w:rsidRPr="00903B70">
        <w:rPr>
          <w:lang w:val="en-US"/>
        </w:rPr>
        <w:t xml:space="preserve">Available on the </w:t>
      </w:r>
      <w:hyperlink r:id="rId18">
        <w:r w:rsidRPr="07988217">
          <w:rPr>
            <w:rStyle w:val="Hyperlink"/>
            <w:lang w:val="en-US"/>
          </w:rPr>
          <w:t>Policy and Funding Guidelines webpage</w:t>
        </w:r>
      </w:hyperlink>
      <w:r w:rsidRPr="00903B70">
        <w:rPr>
          <w:lang w:val="en-US"/>
        </w:rPr>
        <w:t xml:space="preserve"> &lt;https://www.health.vic.gov.au/policy-and-funding-guidelines-for-health-services&gt;.</w:t>
      </w:r>
    </w:p>
    <w:p w14:paraId="6B84ED5F" w14:textId="77777777" w:rsidR="005B5CB9" w:rsidRDefault="005B5CB9" w:rsidP="005B5CB9">
      <w:pPr>
        <w:pStyle w:val="Heading1"/>
        <w:sectPr w:rsidR="005B5CB9" w:rsidSect="005B5CB9">
          <w:headerReference w:type="first" r:id="rId19"/>
          <w:pgSz w:w="11906" w:h="16838" w:code="9"/>
          <w:pgMar w:top="1135" w:right="1304" w:bottom="993" w:left="1304" w:header="680" w:footer="567" w:gutter="0"/>
          <w:pgNumType w:start="1"/>
          <w:cols w:space="340"/>
          <w:titlePg/>
          <w:docGrid w:linePitch="360"/>
        </w:sectPr>
      </w:pPr>
      <w:bookmarkStart w:id="0" w:name="_Toc167651218"/>
    </w:p>
    <w:p w14:paraId="659357CF" w14:textId="77777777" w:rsidR="005B5CB9" w:rsidRPr="00B57329" w:rsidRDefault="005B5CB9" w:rsidP="005B5CB9">
      <w:pPr>
        <w:pStyle w:val="Heading1"/>
        <w:numPr>
          <w:ilvl w:val="0"/>
          <w:numId w:val="0"/>
        </w:numPr>
        <w:ind w:left="432" w:hanging="432"/>
      </w:pPr>
      <w:bookmarkStart w:id="1" w:name="_Toc234580248"/>
      <w:r>
        <w:lastRenderedPageBreak/>
        <w:t>Contents</w:t>
      </w:r>
      <w:bookmarkEnd w:id="0"/>
      <w:bookmarkEnd w:id="1"/>
    </w:p>
    <w:sdt>
      <w:sdtPr>
        <w:rPr>
          <w:b w:val="0"/>
          <w:noProof w:val="0"/>
        </w:rPr>
        <w:id w:val="257018873"/>
        <w:docPartObj>
          <w:docPartGallery w:val="Table of Contents"/>
          <w:docPartUnique/>
        </w:docPartObj>
      </w:sdtPr>
      <w:sdtEndPr>
        <w:rPr>
          <w:b/>
          <w:bCs/>
          <w:noProof/>
        </w:rPr>
      </w:sdtEndPr>
      <w:sdtContent>
        <w:p w14:paraId="03A88E4C" w14:textId="73F3128C" w:rsidR="004D0154" w:rsidRDefault="005B5CB9">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TOC \o "1-9" \z \u \h</w:instrText>
          </w:r>
          <w:r>
            <w:fldChar w:fldCharType="separate"/>
          </w:r>
          <w:hyperlink w:anchor="_Toc234580248" w:history="1">
            <w:r w:rsidR="004D0154" w:rsidRPr="00C769A9">
              <w:rPr>
                <w:rStyle w:val="Hyperlink"/>
              </w:rPr>
              <w:t>Contents</w:t>
            </w:r>
            <w:r w:rsidR="004D0154">
              <w:rPr>
                <w:webHidden/>
              </w:rPr>
              <w:tab/>
            </w:r>
            <w:r w:rsidR="004D0154">
              <w:rPr>
                <w:webHidden/>
              </w:rPr>
              <w:fldChar w:fldCharType="begin"/>
            </w:r>
            <w:r w:rsidR="004D0154">
              <w:rPr>
                <w:webHidden/>
              </w:rPr>
              <w:instrText xml:space="preserve"> PAGEREF _Toc234580248 \h </w:instrText>
            </w:r>
            <w:r w:rsidR="004D0154">
              <w:rPr>
                <w:webHidden/>
              </w:rPr>
            </w:r>
            <w:r w:rsidR="004D0154">
              <w:rPr>
                <w:webHidden/>
              </w:rPr>
              <w:fldChar w:fldCharType="separate"/>
            </w:r>
            <w:r w:rsidR="004D0154">
              <w:rPr>
                <w:webHidden/>
              </w:rPr>
              <w:t>4</w:t>
            </w:r>
            <w:r w:rsidR="004D0154">
              <w:rPr>
                <w:webHidden/>
              </w:rPr>
              <w:fldChar w:fldCharType="end"/>
            </w:r>
          </w:hyperlink>
        </w:p>
        <w:p w14:paraId="74679E19" w14:textId="6EF77B1B" w:rsidR="004D0154" w:rsidRDefault="004D0154">
          <w:pPr>
            <w:pStyle w:val="TOC1"/>
            <w:rPr>
              <w:rFonts w:asciiTheme="minorHAnsi" w:eastAsiaTheme="minorEastAsia" w:hAnsiTheme="minorHAnsi" w:cstheme="minorBidi"/>
              <w:b w:val="0"/>
              <w:kern w:val="2"/>
              <w:sz w:val="24"/>
              <w:szCs w:val="24"/>
              <w:lang w:eastAsia="en-AU"/>
              <w14:ligatures w14:val="standardContextual"/>
            </w:rPr>
          </w:pPr>
          <w:hyperlink w:anchor="_Toc234580249" w:history="1">
            <w:r w:rsidRPr="00C769A9">
              <w:rPr>
                <w:rStyle w:val="Hyperlink"/>
              </w:rPr>
              <w:t>Overview of the Policy and funding guidelines 2026–27</w:t>
            </w:r>
            <w:r>
              <w:rPr>
                <w:webHidden/>
              </w:rPr>
              <w:tab/>
            </w:r>
            <w:r>
              <w:rPr>
                <w:webHidden/>
              </w:rPr>
              <w:fldChar w:fldCharType="begin"/>
            </w:r>
            <w:r>
              <w:rPr>
                <w:webHidden/>
              </w:rPr>
              <w:instrText xml:space="preserve"> PAGEREF _Toc234580249 \h </w:instrText>
            </w:r>
            <w:r>
              <w:rPr>
                <w:webHidden/>
              </w:rPr>
            </w:r>
            <w:r>
              <w:rPr>
                <w:webHidden/>
              </w:rPr>
              <w:fldChar w:fldCharType="separate"/>
            </w:r>
            <w:r>
              <w:rPr>
                <w:webHidden/>
              </w:rPr>
              <w:t>8</w:t>
            </w:r>
            <w:r>
              <w:rPr>
                <w:webHidden/>
              </w:rPr>
              <w:fldChar w:fldCharType="end"/>
            </w:r>
          </w:hyperlink>
        </w:p>
        <w:p w14:paraId="46291087" w14:textId="6053D862" w:rsidR="004D0154" w:rsidRDefault="004D0154">
          <w:pPr>
            <w:pStyle w:val="TOC2"/>
            <w:rPr>
              <w:rFonts w:asciiTheme="minorHAnsi" w:eastAsiaTheme="minorEastAsia" w:hAnsiTheme="minorHAnsi" w:cstheme="minorBidi"/>
              <w:kern w:val="2"/>
              <w:sz w:val="24"/>
              <w:szCs w:val="24"/>
              <w:lang w:eastAsia="en-AU"/>
              <w14:ligatures w14:val="standardContextual"/>
            </w:rPr>
          </w:pPr>
          <w:hyperlink w:anchor="_Toc234580250" w:history="1">
            <w:r w:rsidR="006D5696">
              <w:rPr>
                <w:rStyle w:val="Hyperlink"/>
              </w:rPr>
              <w:t>Policy guide</w:t>
            </w:r>
            <w:r>
              <w:rPr>
                <w:webHidden/>
              </w:rPr>
              <w:tab/>
            </w:r>
            <w:r>
              <w:rPr>
                <w:webHidden/>
              </w:rPr>
              <w:fldChar w:fldCharType="begin"/>
            </w:r>
            <w:r>
              <w:rPr>
                <w:webHidden/>
              </w:rPr>
              <w:instrText xml:space="preserve"> PAGEREF _Toc234580250 \h </w:instrText>
            </w:r>
            <w:r>
              <w:rPr>
                <w:webHidden/>
              </w:rPr>
            </w:r>
            <w:r>
              <w:rPr>
                <w:webHidden/>
              </w:rPr>
              <w:fldChar w:fldCharType="separate"/>
            </w:r>
            <w:r>
              <w:rPr>
                <w:webHidden/>
              </w:rPr>
              <w:t>8</w:t>
            </w:r>
            <w:r>
              <w:rPr>
                <w:webHidden/>
              </w:rPr>
              <w:fldChar w:fldCharType="end"/>
            </w:r>
          </w:hyperlink>
        </w:p>
        <w:p w14:paraId="306BF72A" w14:textId="1D26BE3D" w:rsidR="004D0154" w:rsidRDefault="004D0154">
          <w:pPr>
            <w:pStyle w:val="TOC3"/>
            <w:rPr>
              <w:rFonts w:asciiTheme="minorHAnsi" w:eastAsiaTheme="minorEastAsia" w:hAnsiTheme="minorHAnsi" w:cstheme="minorBidi"/>
              <w:noProof/>
              <w:kern w:val="2"/>
              <w:sz w:val="24"/>
              <w:szCs w:val="24"/>
              <w:lang w:eastAsia="en-AU"/>
              <w14:ligatures w14:val="standardContextual"/>
            </w:rPr>
          </w:pPr>
          <w:hyperlink w:anchor="_Toc234580251" w:history="1">
            <w:r w:rsidRPr="00C769A9">
              <w:rPr>
                <w:rStyle w:val="Hyperlink"/>
                <w:noProof/>
              </w:rPr>
              <w:t>Part 1: Operational and service delivery policy</w:t>
            </w:r>
            <w:r>
              <w:rPr>
                <w:noProof/>
                <w:webHidden/>
              </w:rPr>
              <w:tab/>
            </w:r>
            <w:r>
              <w:rPr>
                <w:noProof/>
                <w:webHidden/>
              </w:rPr>
              <w:fldChar w:fldCharType="begin"/>
            </w:r>
            <w:r>
              <w:rPr>
                <w:noProof/>
                <w:webHidden/>
              </w:rPr>
              <w:instrText xml:space="preserve"> PAGEREF _Toc234580251 \h </w:instrText>
            </w:r>
            <w:r>
              <w:rPr>
                <w:noProof/>
                <w:webHidden/>
              </w:rPr>
            </w:r>
            <w:r>
              <w:rPr>
                <w:noProof/>
                <w:webHidden/>
              </w:rPr>
              <w:fldChar w:fldCharType="separate"/>
            </w:r>
            <w:r>
              <w:rPr>
                <w:noProof/>
                <w:webHidden/>
              </w:rPr>
              <w:t>8</w:t>
            </w:r>
            <w:r>
              <w:rPr>
                <w:noProof/>
                <w:webHidden/>
              </w:rPr>
              <w:fldChar w:fldCharType="end"/>
            </w:r>
          </w:hyperlink>
        </w:p>
        <w:p w14:paraId="38F5E438" w14:textId="73F6B69C" w:rsidR="004D0154" w:rsidRDefault="004D0154">
          <w:pPr>
            <w:pStyle w:val="TOC3"/>
            <w:rPr>
              <w:rFonts w:asciiTheme="minorHAnsi" w:eastAsiaTheme="minorEastAsia" w:hAnsiTheme="minorHAnsi" w:cstheme="minorBidi"/>
              <w:noProof/>
              <w:kern w:val="2"/>
              <w:sz w:val="24"/>
              <w:szCs w:val="24"/>
              <w:lang w:eastAsia="en-AU"/>
              <w14:ligatures w14:val="standardContextual"/>
            </w:rPr>
          </w:pPr>
          <w:hyperlink w:anchor="_Toc234580252" w:history="1">
            <w:r w:rsidRPr="00C769A9">
              <w:rPr>
                <w:rStyle w:val="Hyperlink"/>
                <w:noProof/>
              </w:rPr>
              <w:t>Part 2: Obligations, standards and requirements</w:t>
            </w:r>
            <w:r>
              <w:rPr>
                <w:noProof/>
                <w:webHidden/>
              </w:rPr>
              <w:tab/>
            </w:r>
            <w:r>
              <w:rPr>
                <w:noProof/>
                <w:webHidden/>
              </w:rPr>
              <w:fldChar w:fldCharType="begin"/>
            </w:r>
            <w:r>
              <w:rPr>
                <w:noProof/>
                <w:webHidden/>
              </w:rPr>
              <w:instrText xml:space="preserve"> PAGEREF _Toc234580252 \h </w:instrText>
            </w:r>
            <w:r>
              <w:rPr>
                <w:noProof/>
                <w:webHidden/>
              </w:rPr>
            </w:r>
            <w:r>
              <w:rPr>
                <w:noProof/>
                <w:webHidden/>
              </w:rPr>
              <w:fldChar w:fldCharType="separate"/>
            </w:r>
            <w:r>
              <w:rPr>
                <w:noProof/>
                <w:webHidden/>
              </w:rPr>
              <w:t>8</w:t>
            </w:r>
            <w:r>
              <w:rPr>
                <w:noProof/>
                <w:webHidden/>
              </w:rPr>
              <w:fldChar w:fldCharType="end"/>
            </w:r>
          </w:hyperlink>
        </w:p>
        <w:p w14:paraId="4C4109A4" w14:textId="6CCDE958" w:rsidR="004D0154" w:rsidRDefault="004D0154">
          <w:pPr>
            <w:pStyle w:val="TOC2"/>
            <w:rPr>
              <w:rFonts w:asciiTheme="minorHAnsi" w:eastAsiaTheme="minorEastAsia" w:hAnsiTheme="minorHAnsi" w:cstheme="minorBidi"/>
              <w:kern w:val="2"/>
              <w:sz w:val="24"/>
              <w:szCs w:val="24"/>
              <w:lang w:eastAsia="en-AU"/>
              <w14:ligatures w14:val="standardContextual"/>
            </w:rPr>
          </w:pPr>
          <w:hyperlink w:anchor="_Toc234580253" w:history="1">
            <w:r w:rsidR="006D5696">
              <w:rPr>
                <w:rStyle w:val="Hyperlink"/>
              </w:rPr>
              <w:t>Funding rules</w:t>
            </w:r>
            <w:r>
              <w:rPr>
                <w:webHidden/>
              </w:rPr>
              <w:tab/>
            </w:r>
            <w:r>
              <w:rPr>
                <w:webHidden/>
              </w:rPr>
              <w:fldChar w:fldCharType="begin"/>
            </w:r>
            <w:r>
              <w:rPr>
                <w:webHidden/>
              </w:rPr>
              <w:instrText xml:space="preserve"> PAGEREF _Toc234580253 \h </w:instrText>
            </w:r>
            <w:r>
              <w:rPr>
                <w:webHidden/>
              </w:rPr>
            </w:r>
            <w:r>
              <w:rPr>
                <w:webHidden/>
              </w:rPr>
              <w:fldChar w:fldCharType="separate"/>
            </w:r>
            <w:r>
              <w:rPr>
                <w:webHidden/>
              </w:rPr>
              <w:t>8</w:t>
            </w:r>
            <w:r>
              <w:rPr>
                <w:webHidden/>
              </w:rPr>
              <w:fldChar w:fldCharType="end"/>
            </w:r>
          </w:hyperlink>
        </w:p>
        <w:p w14:paraId="761BB57C" w14:textId="29A7265B" w:rsidR="004D0154" w:rsidRDefault="004D0154">
          <w:pPr>
            <w:pStyle w:val="TOC3"/>
            <w:rPr>
              <w:rFonts w:asciiTheme="minorHAnsi" w:eastAsiaTheme="minorEastAsia" w:hAnsiTheme="minorHAnsi" w:cstheme="minorBidi"/>
              <w:noProof/>
              <w:kern w:val="2"/>
              <w:sz w:val="24"/>
              <w:szCs w:val="24"/>
              <w:lang w:eastAsia="en-AU"/>
              <w14:ligatures w14:val="standardContextual"/>
            </w:rPr>
          </w:pPr>
          <w:hyperlink w:anchor="_Toc234580254" w:history="1">
            <w:r w:rsidRPr="00C769A9">
              <w:rPr>
                <w:rStyle w:val="Hyperlink"/>
                <w:noProof/>
              </w:rPr>
              <w:t>Part 1: Budgetary landscape and pricing arrangements</w:t>
            </w:r>
            <w:r>
              <w:rPr>
                <w:noProof/>
                <w:webHidden/>
              </w:rPr>
              <w:tab/>
            </w:r>
            <w:r>
              <w:rPr>
                <w:noProof/>
                <w:webHidden/>
              </w:rPr>
              <w:fldChar w:fldCharType="begin"/>
            </w:r>
            <w:r>
              <w:rPr>
                <w:noProof/>
                <w:webHidden/>
              </w:rPr>
              <w:instrText xml:space="preserve"> PAGEREF _Toc234580254 \h </w:instrText>
            </w:r>
            <w:r>
              <w:rPr>
                <w:noProof/>
                <w:webHidden/>
              </w:rPr>
            </w:r>
            <w:r>
              <w:rPr>
                <w:noProof/>
                <w:webHidden/>
              </w:rPr>
              <w:fldChar w:fldCharType="separate"/>
            </w:r>
            <w:r>
              <w:rPr>
                <w:noProof/>
                <w:webHidden/>
              </w:rPr>
              <w:t>8</w:t>
            </w:r>
            <w:r>
              <w:rPr>
                <w:noProof/>
                <w:webHidden/>
              </w:rPr>
              <w:fldChar w:fldCharType="end"/>
            </w:r>
          </w:hyperlink>
        </w:p>
        <w:p w14:paraId="200E5F3E" w14:textId="55D1FEA0" w:rsidR="004D0154" w:rsidRDefault="004D0154">
          <w:pPr>
            <w:pStyle w:val="TOC3"/>
            <w:rPr>
              <w:rFonts w:asciiTheme="minorHAnsi" w:eastAsiaTheme="minorEastAsia" w:hAnsiTheme="minorHAnsi" w:cstheme="minorBidi"/>
              <w:noProof/>
              <w:kern w:val="2"/>
              <w:sz w:val="24"/>
              <w:szCs w:val="24"/>
              <w:lang w:eastAsia="en-AU"/>
              <w14:ligatures w14:val="standardContextual"/>
            </w:rPr>
          </w:pPr>
          <w:hyperlink w:anchor="_Toc234580255" w:history="1">
            <w:r w:rsidRPr="00C769A9">
              <w:rPr>
                <w:rStyle w:val="Hyperlink"/>
                <w:noProof/>
              </w:rPr>
              <w:t>Part 2: Funding and activity levels</w:t>
            </w:r>
            <w:r>
              <w:rPr>
                <w:noProof/>
                <w:webHidden/>
              </w:rPr>
              <w:tab/>
            </w:r>
            <w:r>
              <w:rPr>
                <w:noProof/>
                <w:webHidden/>
              </w:rPr>
              <w:fldChar w:fldCharType="begin"/>
            </w:r>
            <w:r>
              <w:rPr>
                <w:noProof/>
                <w:webHidden/>
              </w:rPr>
              <w:instrText xml:space="preserve"> PAGEREF _Toc234580255 \h </w:instrText>
            </w:r>
            <w:r>
              <w:rPr>
                <w:noProof/>
                <w:webHidden/>
              </w:rPr>
            </w:r>
            <w:r>
              <w:rPr>
                <w:noProof/>
                <w:webHidden/>
              </w:rPr>
              <w:fldChar w:fldCharType="separate"/>
            </w:r>
            <w:r>
              <w:rPr>
                <w:noProof/>
                <w:webHidden/>
              </w:rPr>
              <w:t>8</w:t>
            </w:r>
            <w:r>
              <w:rPr>
                <w:noProof/>
                <w:webHidden/>
              </w:rPr>
              <w:fldChar w:fldCharType="end"/>
            </w:r>
          </w:hyperlink>
        </w:p>
        <w:p w14:paraId="6268977A" w14:textId="5BE063AD" w:rsidR="004D0154" w:rsidRDefault="004D0154">
          <w:pPr>
            <w:pStyle w:val="TOC2"/>
            <w:rPr>
              <w:rFonts w:asciiTheme="minorHAnsi" w:eastAsiaTheme="minorEastAsia" w:hAnsiTheme="minorHAnsi" w:cstheme="minorBidi"/>
              <w:kern w:val="2"/>
              <w:sz w:val="24"/>
              <w:szCs w:val="24"/>
              <w:lang w:eastAsia="en-AU"/>
              <w14:ligatures w14:val="standardContextual"/>
            </w:rPr>
          </w:pPr>
          <w:hyperlink w:anchor="_Toc234580256" w:history="1">
            <w:r w:rsidRPr="00C769A9">
              <w:rPr>
                <w:rStyle w:val="Hyperlink"/>
              </w:rPr>
              <w:t>Application of the guidelines</w:t>
            </w:r>
            <w:r>
              <w:rPr>
                <w:webHidden/>
              </w:rPr>
              <w:tab/>
            </w:r>
            <w:r>
              <w:rPr>
                <w:webHidden/>
              </w:rPr>
              <w:fldChar w:fldCharType="begin"/>
            </w:r>
            <w:r>
              <w:rPr>
                <w:webHidden/>
              </w:rPr>
              <w:instrText xml:space="preserve"> PAGEREF _Toc234580256 \h </w:instrText>
            </w:r>
            <w:r>
              <w:rPr>
                <w:webHidden/>
              </w:rPr>
            </w:r>
            <w:r>
              <w:rPr>
                <w:webHidden/>
              </w:rPr>
              <w:fldChar w:fldCharType="separate"/>
            </w:r>
            <w:r>
              <w:rPr>
                <w:webHidden/>
              </w:rPr>
              <w:t>9</w:t>
            </w:r>
            <w:r>
              <w:rPr>
                <w:webHidden/>
              </w:rPr>
              <w:fldChar w:fldCharType="end"/>
            </w:r>
          </w:hyperlink>
        </w:p>
        <w:p w14:paraId="618807DF" w14:textId="653BBFB5" w:rsidR="004D0154" w:rsidRDefault="004D0154">
          <w:pPr>
            <w:pStyle w:val="TOC2"/>
            <w:rPr>
              <w:rFonts w:asciiTheme="minorHAnsi" w:eastAsiaTheme="minorEastAsia" w:hAnsiTheme="minorHAnsi" w:cstheme="minorBidi"/>
              <w:kern w:val="2"/>
              <w:sz w:val="24"/>
              <w:szCs w:val="24"/>
              <w:lang w:eastAsia="en-AU"/>
              <w14:ligatures w14:val="standardContextual"/>
            </w:rPr>
          </w:pPr>
          <w:hyperlink w:anchor="_Toc234580257" w:history="1">
            <w:r w:rsidRPr="00C769A9">
              <w:rPr>
                <w:rStyle w:val="Hyperlink"/>
              </w:rPr>
              <w:t>Terminology</w:t>
            </w:r>
            <w:r>
              <w:rPr>
                <w:webHidden/>
              </w:rPr>
              <w:tab/>
            </w:r>
            <w:r>
              <w:rPr>
                <w:webHidden/>
              </w:rPr>
              <w:fldChar w:fldCharType="begin"/>
            </w:r>
            <w:r>
              <w:rPr>
                <w:webHidden/>
              </w:rPr>
              <w:instrText xml:space="preserve"> PAGEREF _Toc234580257 \h </w:instrText>
            </w:r>
            <w:r>
              <w:rPr>
                <w:webHidden/>
              </w:rPr>
            </w:r>
            <w:r>
              <w:rPr>
                <w:webHidden/>
              </w:rPr>
              <w:fldChar w:fldCharType="separate"/>
            </w:r>
            <w:r>
              <w:rPr>
                <w:webHidden/>
              </w:rPr>
              <w:t>9</w:t>
            </w:r>
            <w:r>
              <w:rPr>
                <w:webHidden/>
              </w:rPr>
              <w:fldChar w:fldCharType="end"/>
            </w:r>
          </w:hyperlink>
        </w:p>
        <w:p w14:paraId="3AA2ED13" w14:textId="043F9A38" w:rsidR="004D0154" w:rsidRDefault="004D0154">
          <w:pPr>
            <w:pStyle w:val="TOC2"/>
            <w:rPr>
              <w:rFonts w:asciiTheme="minorHAnsi" w:eastAsiaTheme="minorEastAsia" w:hAnsiTheme="minorHAnsi" w:cstheme="minorBidi"/>
              <w:kern w:val="2"/>
              <w:sz w:val="24"/>
              <w:szCs w:val="24"/>
              <w:lang w:eastAsia="en-AU"/>
              <w14:ligatures w14:val="standardContextual"/>
            </w:rPr>
          </w:pPr>
          <w:hyperlink w:anchor="_Toc234580258" w:history="1">
            <w:r w:rsidRPr="00C769A9">
              <w:rPr>
                <w:rStyle w:val="Hyperlink"/>
              </w:rPr>
              <w:t>Status and interpretation of this document</w:t>
            </w:r>
            <w:r>
              <w:rPr>
                <w:webHidden/>
              </w:rPr>
              <w:tab/>
            </w:r>
            <w:r>
              <w:rPr>
                <w:webHidden/>
              </w:rPr>
              <w:fldChar w:fldCharType="begin"/>
            </w:r>
            <w:r>
              <w:rPr>
                <w:webHidden/>
              </w:rPr>
              <w:instrText xml:space="preserve"> PAGEREF _Toc234580258 \h </w:instrText>
            </w:r>
            <w:r>
              <w:rPr>
                <w:webHidden/>
              </w:rPr>
            </w:r>
            <w:r>
              <w:rPr>
                <w:webHidden/>
              </w:rPr>
              <w:fldChar w:fldCharType="separate"/>
            </w:r>
            <w:r>
              <w:rPr>
                <w:webHidden/>
              </w:rPr>
              <w:t>10</w:t>
            </w:r>
            <w:r>
              <w:rPr>
                <w:webHidden/>
              </w:rPr>
              <w:fldChar w:fldCharType="end"/>
            </w:r>
          </w:hyperlink>
        </w:p>
        <w:p w14:paraId="176DBD6F" w14:textId="413B2D7B" w:rsidR="004D0154" w:rsidRDefault="004D0154">
          <w:pPr>
            <w:pStyle w:val="TOC2"/>
            <w:rPr>
              <w:rFonts w:asciiTheme="minorHAnsi" w:eastAsiaTheme="minorEastAsia" w:hAnsiTheme="minorHAnsi" w:cstheme="minorBidi"/>
              <w:kern w:val="2"/>
              <w:sz w:val="24"/>
              <w:szCs w:val="24"/>
              <w:lang w:eastAsia="en-AU"/>
              <w14:ligatures w14:val="standardContextual"/>
            </w:rPr>
          </w:pPr>
          <w:hyperlink w:anchor="_Toc234580259" w:history="1">
            <w:r w:rsidRPr="00C769A9">
              <w:rPr>
                <w:rStyle w:val="Hyperlink"/>
              </w:rPr>
              <w:t>Continuous review</w:t>
            </w:r>
            <w:r>
              <w:rPr>
                <w:webHidden/>
              </w:rPr>
              <w:tab/>
            </w:r>
            <w:r>
              <w:rPr>
                <w:webHidden/>
              </w:rPr>
              <w:fldChar w:fldCharType="begin"/>
            </w:r>
            <w:r>
              <w:rPr>
                <w:webHidden/>
              </w:rPr>
              <w:instrText xml:space="preserve"> PAGEREF _Toc234580259 \h </w:instrText>
            </w:r>
            <w:r>
              <w:rPr>
                <w:webHidden/>
              </w:rPr>
            </w:r>
            <w:r>
              <w:rPr>
                <w:webHidden/>
              </w:rPr>
              <w:fldChar w:fldCharType="separate"/>
            </w:r>
            <w:r>
              <w:rPr>
                <w:webHidden/>
              </w:rPr>
              <w:t>10</w:t>
            </w:r>
            <w:r>
              <w:rPr>
                <w:webHidden/>
              </w:rPr>
              <w:fldChar w:fldCharType="end"/>
            </w:r>
          </w:hyperlink>
        </w:p>
        <w:p w14:paraId="68090265" w14:textId="16D18CDA" w:rsidR="004D0154" w:rsidRDefault="004D0154">
          <w:pPr>
            <w:pStyle w:val="TOC1"/>
            <w:rPr>
              <w:rFonts w:asciiTheme="minorHAnsi" w:eastAsiaTheme="minorEastAsia" w:hAnsiTheme="minorHAnsi" w:cstheme="minorBidi"/>
              <w:b w:val="0"/>
              <w:kern w:val="2"/>
              <w:sz w:val="24"/>
              <w:szCs w:val="24"/>
              <w:lang w:eastAsia="en-AU"/>
              <w14:ligatures w14:val="standardContextual"/>
            </w:rPr>
          </w:pPr>
          <w:hyperlink w:anchor="_Toc234580260" w:history="1">
            <w:r w:rsidRPr="00C769A9">
              <w:rPr>
                <w:rStyle w:val="Hyperlink"/>
              </w:rPr>
              <w:t>Part 1: Funding and pricing arrangements</w:t>
            </w:r>
            <w:r>
              <w:rPr>
                <w:webHidden/>
              </w:rPr>
              <w:tab/>
            </w:r>
            <w:r>
              <w:rPr>
                <w:webHidden/>
              </w:rPr>
              <w:fldChar w:fldCharType="begin"/>
            </w:r>
            <w:r>
              <w:rPr>
                <w:webHidden/>
              </w:rPr>
              <w:instrText xml:space="preserve"> PAGEREF _Toc234580260 \h </w:instrText>
            </w:r>
            <w:r>
              <w:rPr>
                <w:webHidden/>
              </w:rPr>
            </w:r>
            <w:r>
              <w:rPr>
                <w:webHidden/>
              </w:rPr>
              <w:fldChar w:fldCharType="separate"/>
            </w:r>
            <w:r>
              <w:rPr>
                <w:webHidden/>
              </w:rPr>
              <w:t>11</w:t>
            </w:r>
            <w:r>
              <w:rPr>
                <w:webHidden/>
              </w:rPr>
              <w:fldChar w:fldCharType="end"/>
            </w:r>
          </w:hyperlink>
        </w:p>
        <w:p w14:paraId="3CADC9F0" w14:textId="4B2D9680"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261" w:history="1">
            <w:r w:rsidRPr="00C769A9">
              <w:rPr>
                <w:rStyle w:val="Hyperlink"/>
              </w:rPr>
              <w:t>1</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National funding and pricing of public hospitals</w:t>
            </w:r>
            <w:r>
              <w:rPr>
                <w:webHidden/>
              </w:rPr>
              <w:tab/>
            </w:r>
            <w:r>
              <w:rPr>
                <w:webHidden/>
              </w:rPr>
              <w:fldChar w:fldCharType="begin"/>
            </w:r>
            <w:r>
              <w:rPr>
                <w:webHidden/>
              </w:rPr>
              <w:instrText xml:space="preserve"> PAGEREF _Toc234580261 \h </w:instrText>
            </w:r>
            <w:r>
              <w:rPr>
                <w:webHidden/>
              </w:rPr>
            </w:r>
            <w:r>
              <w:rPr>
                <w:webHidden/>
              </w:rPr>
              <w:fldChar w:fldCharType="separate"/>
            </w:r>
            <w:r>
              <w:rPr>
                <w:webHidden/>
              </w:rPr>
              <w:t>12</w:t>
            </w:r>
            <w:r>
              <w:rPr>
                <w:webHidden/>
              </w:rPr>
              <w:fldChar w:fldCharType="end"/>
            </w:r>
          </w:hyperlink>
        </w:p>
        <w:p w14:paraId="7228CF94" w14:textId="4D816D6B"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62" w:history="1">
            <w:r w:rsidRPr="00C769A9">
              <w:rPr>
                <w:rStyle w:val="Hyperlink"/>
              </w:rPr>
              <w:t>1.1</w:t>
            </w:r>
            <w:r>
              <w:rPr>
                <w:rFonts w:asciiTheme="minorHAnsi" w:eastAsiaTheme="minorEastAsia" w:hAnsiTheme="minorHAnsi" w:cstheme="minorBidi"/>
                <w:kern w:val="2"/>
                <w:sz w:val="24"/>
                <w:szCs w:val="24"/>
                <w:lang w:eastAsia="en-AU"/>
                <w14:ligatures w14:val="standardContextual"/>
              </w:rPr>
              <w:tab/>
            </w:r>
            <w:r w:rsidRPr="00C769A9">
              <w:rPr>
                <w:rStyle w:val="Hyperlink"/>
              </w:rPr>
              <w:t>NHRA</w:t>
            </w:r>
            <w:r>
              <w:rPr>
                <w:webHidden/>
              </w:rPr>
              <w:tab/>
            </w:r>
            <w:r>
              <w:rPr>
                <w:webHidden/>
              </w:rPr>
              <w:fldChar w:fldCharType="begin"/>
            </w:r>
            <w:r>
              <w:rPr>
                <w:webHidden/>
              </w:rPr>
              <w:instrText xml:space="preserve"> PAGEREF _Toc234580262 \h </w:instrText>
            </w:r>
            <w:r>
              <w:rPr>
                <w:webHidden/>
              </w:rPr>
            </w:r>
            <w:r>
              <w:rPr>
                <w:webHidden/>
              </w:rPr>
              <w:fldChar w:fldCharType="separate"/>
            </w:r>
            <w:r>
              <w:rPr>
                <w:webHidden/>
              </w:rPr>
              <w:t>12</w:t>
            </w:r>
            <w:r>
              <w:rPr>
                <w:webHidden/>
              </w:rPr>
              <w:fldChar w:fldCharType="end"/>
            </w:r>
          </w:hyperlink>
        </w:p>
        <w:p w14:paraId="22B06757" w14:textId="77C8981E"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63" w:history="1">
            <w:r w:rsidRPr="00C769A9">
              <w:rPr>
                <w:rStyle w:val="Hyperlink"/>
              </w:rPr>
              <w:t>1.2</w:t>
            </w:r>
            <w:r>
              <w:rPr>
                <w:rFonts w:asciiTheme="minorHAnsi" w:eastAsiaTheme="minorEastAsia" w:hAnsiTheme="minorHAnsi" w:cstheme="minorBidi"/>
                <w:kern w:val="2"/>
                <w:sz w:val="24"/>
                <w:szCs w:val="24"/>
                <w:lang w:eastAsia="en-AU"/>
                <w14:ligatures w14:val="standardContextual"/>
              </w:rPr>
              <w:tab/>
            </w:r>
            <w:r w:rsidRPr="00C769A9">
              <w:rPr>
                <w:rStyle w:val="Hyperlink"/>
              </w:rPr>
              <w:t>Activity-based funding and block funding</w:t>
            </w:r>
            <w:r>
              <w:rPr>
                <w:webHidden/>
              </w:rPr>
              <w:tab/>
            </w:r>
            <w:r>
              <w:rPr>
                <w:webHidden/>
              </w:rPr>
              <w:fldChar w:fldCharType="begin"/>
            </w:r>
            <w:r>
              <w:rPr>
                <w:webHidden/>
              </w:rPr>
              <w:instrText xml:space="preserve"> PAGEREF _Toc234580263 \h </w:instrText>
            </w:r>
            <w:r>
              <w:rPr>
                <w:webHidden/>
              </w:rPr>
            </w:r>
            <w:r>
              <w:rPr>
                <w:webHidden/>
              </w:rPr>
              <w:fldChar w:fldCharType="separate"/>
            </w:r>
            <w:r>
              <w:rPr>
                <w:webHidden/>
              </w:rPr>
              <w:t>12</w:t>
            </w:r>
            <w:r>
              <w:rPr>
                <w:webHidden/>
              </w:rPr>
              <w:fldChar w:fldCharType="end"/>
            </w:r>
          </w:hyperlink>
        </w:p>
        <w:p w14:paraId="741F81AD" w14:textId="120ED103"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66" w:history="1">
            <w:r w:rsidRPr="00C769A9">
              <w:rPr>
                <w:rStyle w:val="Hyperlink"/>
              </w:rPr>
              <w:t>1.3</w:t>
            </w:r>
            <w:r>
              <w:rPr>
                <w:rFonts w:asciiTheme="minorHAnsi" w:eastAsiaTheme="minorEastAsia" w:hAnsiTheme="minorHAnsi" w:cstheme="minorBidi"/>
                <w:kern w:val="2"/>
                <w:sz w:val="24"/>
                <w:szCs w:val="24"/>
                <w:lang w:eastAsia="en-AU"/>
                <w14:ligatures w14:val="standardContextual"/>
              </w:rPr>
              <w:tab/>
            </w:r>
            <w:r w:rsidRPr="00C769A9">
              <w:rPr>
                <w:rStyle w:val="Hyperlink"/>
              </w:rPr>
              <w:t>Victorian alignment with the National funding model</w:t>
            </w:r>
            <w:r>
              <w:rPr>
                <w:webHidden/>
              </w:rPr>
              <w:tab/>
            </w:r>
            <w:r>
              <w:rPr>
                <w:webHidden/>
              </w:rPr>
              <w:fldChar w:fldCharType="begin"/>
            </w:r>
            <w:r>
              <w:rPr>
                <w:webHidden/>
              </w:rPr>
              <w:instrText xml:space="preserve"> PAGEREF _Toc234580266 \h </w:instrText>
            </w:r>
            <w:r>
              <w:rPr>
                <w:webHidden/>
              </w:rPr>
            </w:r>
            <w:r>
              <w:rPr>
                <w:webHidden/>
              </w:rPr>
              <w:fldChar w:fldCharType="separate"/>
            </w:r>
            <w:r>
              <w:rPr>
                <w:webHidden/>
              </w:rPr>
              <w:t>13</w:t>
            </w:r>
            <w:r>
              <w:rPr>
                <w:webHidden/>
              </w:rPr>
              <w:fldChar w:fldCharType="end"/>
            </w:r>
          </w:hyperlink>
        </w:p>
        <w:p w14:paraId="77BEC387" w14:textId="70BE64DC" w:rsidR="004D0154" w:rsidRDefault="004D0154">
          <w:pPr>
            <w:pStyle w:val="TOC1"/>
            <w:rPr>
              <w:rFonts w:asciiTheme="minorHAnsi" w:eastAsiaTheme="minorEastAsia" w:hAnsiTheme="minorHAnsi" w:cstheme="minorBidi"/>
              <w:b w:val="0"/>
              <w:kern w:val="2"/>
              <w:sz w:val="24"/>
              <w:szCs w:val="24"/>
              <w:lang w:eastAsia="en-AU"/>
              <w14:ligatures w14:val="standardContextual"/>
            </w:rPr>
          </w:pPr>
          <w:hyperlink w:anchor="_Toc234580267" w:history="1">
            <w:r w:rsidRPr="00C769A9">
              <w:rPr>
                <w:rStyle w:val="Hyperlink"/>
              </w:rPr>
              <w:t>Victorian pricing framework for ABF health services</w:t>
            </w:r>
            <w:r>
              <w:rPr>
                <w:webHidden/>
              </w:rPr>
              <w:tab/>
            </w:r>
            <w:r>
              <w:rPr>
                <w:webHidden/>
              </w:rPr>
              <w:fldChar w:fldCharType="begin"/>
            </w:r>
            <w:r>
              <w:rPr>
                <w:webHidden/>
              </w:rPr>
              <w:instrText xml:space="preserve"> PAGEREF _Toc234580267 \h </w:instrText>
            </w:r>
            <w:r>
              <w:rPr>
                <w:webHidden/>
              </w:rPr>
            </w:r>
            <w:r>
              <w:rPr>
                <w:webHidden/>
              </w:rPr>
              <w:fldChar w:fldCharType="separate"/>
            </w:r>
            <w:r>
              <w:rPr>
                <w:webHidden/>
              </w:rPr>
              <w:t>16</w:t>
            </w:r>
            <w:r>
              <w:rPr>
                <w:webHidden/>
              </w:rPr>
              <w:fldChar w:fldCharType="end"/>
            </w:r>
          </w:hyperlink>
        </w:p>
        <w:p w14:paraId="6C6011A5" w14:textId="7EA5FC37"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68" w:history="1">
            <w:r w:rsidRPr="00C769A9">
              <w:rPr>
                <w:rStyle w:val="Hyperlink"/>
              </w:rPr>
              <w:t>1.4</w:t>
            </w:r>
            <w:r>
              <w:rPr>
                <w:rFonts w:asciiTheme="minorHAnsi" w:eastAsiaTheme="minorEastAsia" w:hAnsiTheme="minorHAnsi" w:cstheme="minorBidi"/>
                <w:kern w:val="2"/>
                <w:sz w:val="24"/>
                <w:szCs w:val="24"/>
                <w:lang w:eastAsia="en-AU"/>
                <w14:ligatures w14:val="standardContextual"/>
              </w:rPr>
              <w:tab/>
            </w:r>
            <w:r w:rsidRPr="00C769A9">
              <w:rPr>
                <w:rStyle w:val="Hyperlink"/>
              </w:rPr>
              <w:t>Scope</w:t>
            </w:r>
            <w:r>
              <w:rPr>
                <w:webHidden/>
              </w:rPr>
              <w:tab/>
            </w:r>
            <w:r>
              <w:rPr>
                <w:webHidden/>
              </w:rPr>
              <w:fldChar w:fldCharType="begin"/>
            </w:r>
            <w:r>
              <w:rPr>
                <w:webHidden/>
              </w:rPr>
              <w:instrText xml:space="preserve"> PAGEREF _Toc234580268 \h </w:instrText>
            </w:r>
            <w:r>
              <w:rPr>
                <w:webHidden/>
              </w:rPr>
            </w:r>
            <w:r>
              <w:rPr>
                <w:webHidden/>
              </w:rPr>
              <w:fldChar w:fldCharType="separate"/>
            </w:r>
            <w:r>
              <w:rPr>
                <w:webHidden/>
              </w:rPr>
              <w:t>16</w:t>
            </w:r>
            <w:r>
              <w:rPr>
                <w:webHidden/>
              </w:rPr>
              <w:fldChar w:fldCharType="end"/>
            </w:r>
          </w:hyperlink>
        </w:p>
        <w:p w14:paraId="3C91CDAB" w14:textId="15AF3DA8"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69" w:history="1">
            <w:r w:rsidRPr="00C769A9">
              <w:rPr>
                <w:rStyle w:val="Hyperlink"/>
              </w:rPr>
              <w:t>1.5</w:t>
            </w:r>
            <w:r>
              <w:rPr>
                <w:rFonts w:asciiTheme="minorHAnsi" w:eastAsiaTheme="minorEastAsia" w:hAnsiTheme="minorHAnsi" w:cstheme="minorBidi"/>
                <w:kern w:val="2"/>
                <w:sz w:val="24"/>
                <w:szCs w:val="24"/>
                <w:lang w:eastAsia="en-AU"/>
                <w14:ligatures w14:val="standardContextual"/>
              </w:rPr>
              <w:tab/>
            </w:r>
            <w:r w:rsidRPr="00C769A9">
              <w:rPr>
                <w:rStyle w:val="Hyperlink"/>
              </w:rPr>
              <w:t>Principles</w:t>
            </w:r>
            <w:r>
              <w:rPr>
                <w:webHidden/>
              </w:rPr>
              <w:tab/>
            </w:r>
            <w:r>
              <w:rPr>
                <w:webHidden/>
              </w:rPr>
              <w:fldChar w:fldCharType="begin"/>
            </w:r>
            <w:r>
              <w:rPr>
                <w:webHidden/>
              </w:rPr>
              <w:instrText xml:space="preserve"> PAGEREF _Toc234580269 \h </w:instrText>
            </w:r>
            <w:r>
              <w:rPr>
                <w:webHidden/>
              </w:rPr>
            </w:r>
            <w:r>
              <w:rPr>
                <w:webHidden/>
              </w:rPr>
              <w:fldChar w:fldCharType="separate"/>
            </w:r>
            <w:r>
              <w:rPr>
                <w:webHidden/>
              </w:rPr>
              <w:t>16</w:t>
            </w:r>
            <w:r>
              <w:rPr>
                <w:webHidden/>
              </w:rPr>
              <w:fldChar w:fldCharType="end"/>
            </w:r>
          </w:hyperlink>
        </w:p>
        <w:p w14:paraId="408BF429" w14:textId="04910610"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70" w:history="1">
            <w:r w:rsidRPr="00C769A9">
              <w:rPr>
                <w:rStyle w:val="Hyperlink"/>
              </w:rPr>
              <w:t>1.6</w:t>
            </w:r>
            <w:r>
              <w:rPr>
                <w:rFonts w:asciiTheme="minorHAnsi" w:eastAsiaTheme="minorEastAsia" w:hAnsiTheme="minorHAnsi" w:cstheme="minorBidi"/>
                <w:kern w:val="2"/>
                <w:sz w:val="24"/>
                <w:szCs w:val="24"/>
                <w:lang w:eastAsia="en-AU"/>
                <w14:ligatures w14:val="standardContextual"/>
              </w:rPr>
              <w:tab/>
            </w:r>
            <w:r w:rsidRPr="00C769A9">
              <w:rPr>
                <w:rStyle w:val="Hyperlink"/>
              </w:rPr>
              <w:t>Key concepts</w:t>
            </w:r>
            <w:r>
              <w:rPr>
                <w:webHidden/>
              </w:rPr>
              <w:tab/>
            </w:r>
            <w:r>
              <w:rPr>
                <w:webHidden/>
              </w:rPr>
              <w:fldChar w:fldCharType="begin"/>
            </w:r>
            <w:r>
              <w:rPr>
                <w:webHidden/>
              </w:rPr>
              <w:instrText xml:space="preserve"> PAGEREF _Toc234580270 \h </w:instrText>
            </w:r>
            <w:r>
              <w:rPr>
                <w:webHidden/>
              </w:rPr>
            </w:r>
            <w:r>
              <w:rPr>
                <w:webHidden/>
              </w:rPr>
              <w:fldChar w:fldCharType="separate"/>
            </w:r>
            <w:r>
              <w:rPr>
                <w:webHidden/>
              </w:rPr>
              <w:t>17</w:t>
            </w:r>
            <w:r>
              <w:rPr>
                <w:webHidden/>
              </w:rPr>
              <w:fldChar w:fldCharType="end"/>
            </w:r>
          </w:hyperlink>
        </w:p>
        <w:p w14:paraId="542296F8" w14:textId="4C230FBF"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71" w:history="1">
            <w:r w:rsidRPr="00C769A9">
              <w:rPr>
                <w:rStyle w:val="Hyperlink"/>
              </w:rPr>
              <w:t>1.7</w:t>
            </w:r>
            <w:r>
              <w:rPr>
                <w:rFonts w:asciiTheme="minorHAnsi" w:eastAsiaTheme="minorEastAsia" w:hAnsiTheme="minorHAnsi" w:cstheme="minorBidi"/>
                <w:kern w:val="2"/>
                <w:sz w:val="24"/>
                <w:szCs w:val="24"/>
                <w:lang w:eastAsia="en-AU"/>
                <w14:ligatures w14:val="standardContextual"/>
              </w:rPr>
              <w:tab/>
            </w:r>
            <w:r w:rsidRPr="00C769A9">
              <w:rPr>
                <w:rStyle w:val="Hyperlink"/>
              </w:rPr>
              <w:t>Costing methodology and data assurance</w:t>
            </w:r>
            <w:r>
              <w:rPr>
                <w:webHidden/>
              </w:rPr>
              <w:tab/>
            </w:r>
            <w:r>
              <w:rPr>
                <w:webHidden/>
              </w:rPr>
              <w:fldChar w:fldCharType="begin"/>
            </w:r>
            <w:r>
              <w:rPr>
                <w:webHidden/>
              </w:rPr>
              <w:instrText xml:space="preserve"> PAGEREF _Toc234580271 \h </w:instrText>
            </w:r>
            <w:r>
              <w:rPr>
                <w:webHidden/>
              </w:rPr>
            </w:r>
            <w:r>
              <w:rPr>
                <w:webHidden/>
              </w:rPr>
              <w:fldChar w:fldCharType="separate"/>
            </w:r>
            <w:r>
              <w:rPr>
                <w:webHidden/>
              </w:rPr>
              <w:t>17</w:t>
            </w:r>
            <w:r>
              <w:rPr>
                <w:webHidden/>
              </w:rPr>
              <w:fldChar w:fldCharType="end"/>
            </w:r>
          </w:hyperlink>
        </w:p>
        <w:p w14:paraId="4E068C46" w14:textId="7E0C23D7"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72" w:history="1">
            <w:r w:rsidRPr="00C769A9">
              <w:rPr>
                <w:rStyle w:val="Hyperlink"/>
              </w:rPr>
              <w:t>1.8</w:t>
            </w:r>
            <w:r>
              <w:rPr>
                <w:rFonts w:asciiTheme="minorHAnsi" w:eastAsiaTheme="minorEastAsia" w:hAnsiTheme="minorHAnsi" w:cstheme="minorBidi"/>
                <w:kern w:val="2"/>
                <w:sz w:val="24"/>
                <w:szCs w:val="24"/>
                <w:lang w:eastAsia="en-AU"/>
                <w14:ligatures w14:val="standardContextual"/>
              </w:rPr>
              <w:tab/>
            </w:r>
            <w:r w:rsidRPr="00C769A9">
              <w:rPr>
                <w:rStyle w:val="Hyperlink"/>
              </w:rPr>
              <w:t>What is Outside the Victorian ABF Pricing Framework</w:t>
            </w:r>
            <w:r>
              <w:rPr>
                <w:webHidden/>
              </w:rPr>
              <w:tab/>
            </w:r>
            <w:r>
              <w:rPr>
                <w:webHidden/>
              </w:rPr>
              <w:fldChar w:fldCharType="begin"/>
            </w:r>
            <w:r>
              <w:rPr>
                <w:webHidden/>
              </w:rPr>
              <w:instrText xml:space="preserve"> PAGEREF _Toc234580272 \h </w:instrText>
            </w:r>
            <w:r>
              <w:rPr>
                <w:webHidden/>
              </w:rPr>
            </w:r>
            <w:r>
              <w:rPr>
                <w:webHidden/>
              </w:rPr>
              <w:fldChar w:fldCharType="separate"/>
            </w:r>
            <w:r>
              <w:rPr>
                <w:webHidden/>
              </w:rPr>
              <w:t>17</w:t>
            </w:r>
            <w:r>
              <w:rPr>
                <w:webHidden/>
              </w:rPr>
              <w:fldChar w:fldCharType="end"/>
            </w:r>
          </w:hyperlink>
        </w:p>
        <w:p w14:paraId="6C402DA6" w14:textId="392F12BA"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73" w:history="1">
            <w:r w:rsidRPr="00C769A9">
              <w:rPr>
                <w:rStyle w:val="Hyperlink"/>
              </w:rPr>
              <w:t>1.9</w:t>
            </w:r>
            <w:r>
              <w:rPr>
                <w:rFonts w:asciiTheme="minorHAnsi" w:eastAsiaTheme="minorEastAsia" w:hAnsiTheme="minorHAnsi" w:cstheme="minorBidi"/>
                <w:kern w:val="2"/>
                <w:sz w:val="24"/>
                <w:szCs w:val="24"/>
                <w:lang w:eastAsia="en-AU"/>
                <w14:ligatures w14:val="standardContextual"/>
              </w:rPr>
              <w:tab/>
            </w:r>
            <w:r w:rsidRPr="00C769A9">
              <w:rPr>
                <w:rStyle w:val="Hyperlink"/>
              </w:rPr>
              <w:t>Relationship Between Funding Components</w:t>
            </w:r>
            <w:r>
              <w:rPr>
                <w:webHidden/>
              </w:rPr>
              <w:tab/>
            </w:r>
            <w:r>
              <w:rPr>
                <w:webHidden/>
              </w:rPr>
              <w:fldChar w:fldCharType="begin"/>
            </w:r>
            <w:r>
              <w:rPr>
                <w:webHidden/>
              </w:rPr>
              <w:instrText xml:space="preserve"> PAGEREF _Toc234580273 \h </w:instrText>
            </w:r>
            <w:r>
              <w:rPr>
                <w:webHidden/>
              </w:rPr>
            </w:r>
            <w:r>
              <w:rPr>
                <w:webHidden/>
              </w:rPr>
              <w:fldChar w:fldCharType="separate"/>
            </w:r>
            <w:r>
              <w:rPr>
                <w:webHidden/>
              </w:rPr>
              <w:t>17</w:t>
            </w:r>
            <w:r>
              <w:rPr>
                <w:webHidden/>
              </w:rPr>
              <w:fldChar w:fldCharType="end"/>
            </w:r>
          </w:hyperlink>
        </w:p>
        <w:p w14:paraId="7524196F" w14:textId="15C5A58A"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74" w:history="1">
            <w:r w:rsidRPr="00C769A9">
              <w:rPr>
                <w:rStyle w:val="Hyperlink"/>
              </w:rPr>
              <w:t>1.10</w:t>
            </w:r>
            <w:r>
              <w:rPr>
                <w:rFonts w:asciiTheme="minorHAnsi" w:eastAsiaTheme="minorEastAsia" w:hAnsiTheme="minorHAnsi" w:cstheme="minorBidi"/>
                <w:kern w:val="2"/>
                <w:sz w:val="24"/>
                <w:szCs w:val="24"/>
                <w:lang w:eastAsia="en-AU"/>
                <w14:ligatures w14:val="standardContextual"/>
              </w:rPr>
              <w:tab/>
            </w:r>
            <w:r w:rsidRPr="00C769A9">
              <w:rPr>
                <w:rStyle w:val="Hyperlink"/>
              </w:rPr>
              <w:t>Victorian efficient price (VEP)</w:t>
            </w:r>
            <w:r>
              <w:rPr>
                <w:webHidden/>
              </w:rPr>
              <w:tab/>
            </w:r>
            <w:r>
              <w:rPr>
                <w:webHidden/>
              </w:rPr>
              <w:fldChar w:fldCharType="begin"/>
            </w:r>
            <w:r>
              <w:rPr>
                <w:webHidden/>
              </w:rPr>
              <w:instrText xml:space="preserve"> PAGEREF _Toc234580274 \h </w:instrText>
            </w:r>
            <w:r>
              <w:rPr>
                <w:webHidden/>
              </w:rPr>
            </w:r>
            <w:r>
              <w:rPr>
                <w:webHidden/>
              </w:rPr>
              <w:fldChar w:fldCharType="separate"/>
            </w:r>
            <w:r>
              <w:rPr>
                <w:webHidden/>
              </w:rPr>
              <w:t>18</w:t>
            </w:r>
            <w:r>
              <w:rPr>
                <w:webHidden/>
              </w:rPr>
              <w:fldChar w:fldCharType="end"/>
            </w:r>
          </w:hyperlink>
        </w:p>
        <w:p w14:paraId="220284B0" w14:textId="39BF59E2"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76" w:history="1">
            <w:r w:rsidRPr="00C769A9">
              <w:rPr>
                <w:rStyle w:val="Hyperlink"/>
              </w:rPr>
              <w:t>1.11</w:t>
            </w:r>
            <w:r>
              <w:rPr>
                <w:rFonts w:asciiTheme="minorHAnsi" w:eastAsiaTheme="minorEastAsia" w:hAnsiTheme="minorHAnsi" w:cstheme="minorBidi"/>
                <w:kern w:val="2"/>
                <w:sz w:val="24"/>
                <w:szCs w:val="24"/>
                <w:lang w:eastAsia="en-AU"/>
                <w14:ligatures w14:val="standardContextual"/>
              </w:rPr>
              <w:tab/>
            </w:r>
            <w:r w:rsidRPr="00C769A9">
              <w:rPr>
                <w:rStyle w:val="Hyperlink"/>
              </w:rPr>
              <w:t>Localised pricing adjustments</w:t>
            </w:r>
            <w:r>
              <w:rPr>
                <w:webHidden/>
              </w:rPr>
              <w:tab/>
            </w:r>
            <w:r>
              <w:rPr>
                <w:webHidden/>
              </w:rPr>
              <w:fldChar w:fldCharType="begin"/>
            </w:r>
            <w:r>
              <w:rPr>
                <w:webHidden/>
              </w:rPr>
              <w:instrText xml:space="preserve"> PAGEREF _Toc234580276 \h </w:instrText>
            </w:r>
            <w:r>
              <w:rPr>
                <w:webHidden/>
              </w:rPr>
            </w:r>
            <w:r>
              <w:rPr>
                <w:webHidden/>
              </w:rPr>
              <w:fldChar w:fldCharType="separate"/>
            </w:r>
            <w:r>
              <w:rPr>
                <w:webHidden/>
              </w:rPr>
              <w:t>18</w:t>
            </w:r>
            <w:r>
              <w:rPr>
                <w:webHidden/>
              </w:rPr>
              <w:fldChar w:fldCharType="end"/>
            </w:r>
          </w:hyperlink>
        </w:p>
        <w:p w14:paraId="55A91E1E" w14:textId="6C4B3679"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77" w:history="1">
            <w:r w:rsidRPr="00C769A9">
              <w:rPr>
                <w:rStyle w:val="Hyperlink"/>
              </w:rPr>
              <w:t>1.12</w:t>
            </w:r>
            <w:r>
              <w:rPr>
                <w:rFonts w:asciiTheme="minorHAnsi" w:eastAsiaTheme="minorEastAsia" w:hAnsiTheme="minorHAnsi" w:cstheme="minorBidi"/>
                <w:kern w:val="2"/>
                <w:sz w:val="24"/>
                <w:szCs w:val="24"/>
                <w:lang w:eastAsia="en-AU"/>
                <w14:ligatures w14:val="standardContextual"/>
              </w:rPr>
              <w:tab/>
            </w:r>
            <w:r w:rsidRPr="00C769A9">
              <w:rPr>
                <w:rStyle w:val="Hyperlink"/>
              </w:rPr>
              <w:t>Legacy and specified grants</w:t>
            </w:r>
            <w:r>
              <w:rPr>
                <w:webHidden/>
              </w:rPr>
              <w:tab/>
            </w:r>
            <w:r>
              <w:rPr>
                <w:webHidden/>
              </w:rPr>
              <w:fldChar w:fldCharType="begin"/>
            </w:r>
            <w:r>
              <w:rPr>
                <w:webHidden/>
              </w:rPr>
              <w:instrText xml:space="preserve"> PAGEREF _Toc234580277 \h </w:instrText>
            </w:r>
            <w:r>
              <w:rPr>
                <w:webHidden/>
              </w:rPr>
            </w:r>
            <w:r>
              <w:rPr>
                <w:webHidden/>
              </w:rPr>
              <w:fldChar w:fldCharType="separate"/>
            </w:r>
            <w:r>
              <w:rPr>
                <w:webHidden/>
              </w:rPr>
              <w:t>19</w:t>
            </w:r>
            <w:r>
              <w:rPr>
                <w:webHidden/>
              </w:rPr>
              <w:fldChar w:fldCharType="end"/>
            </w:r>
          </w:hyperlink>
        </w:p>
        <w:p w14:paraId="53F537FE" w14:textId="206AAA87"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78" w:history="1">
            <w:r w:rsidRPr="00C769A9">
              <w:rPr>
                <w:rStyle w:val="Hyperlink"/>
              </w:rPr>
              <w:t>1.13</w:t>
            </w:r>
            <w:r>
              <w:rPr>
                <w:rFonts w:asciiTheme="minorHAnsi" w:eastAsiaTheme="minorEastAsia" w:hAnsiTheme="minorHAnsi" w:cstheme="minorBidi"/>
                <w:kern w:val="2"/>
                <w:sz w:val="24"/>
                <w:szCs w:val="24"/>
                <w:lang w:eastAsia="en-AU"/>
                <w14:ligatures w14:val="standardContextual"/>
              </w:rPr>
              <w:tab/>
            </w:r>
            <w:r w:rsidRPr="00C769A9">
              <w:rPr>
                <w:rStyle w:val="Hyperlink"/>
              </w:rPr>
              <w:t xml:space="preserve">Application of </w:t>
            </w:r>
            <w:r w:rsidR="006D5696">
              <w:rPr>
                <w:rStyle w:val="Hyperlink"/>
              </w:rPr>
              <w:t>Funding rules</w:t>
            </w:r>
            <w:r>
              <w:rPr>
                <w:webHidden/>
              </w:rPr>
              <w:tab/>
            </w:r>
            <w:r>
              <w:rPr>
                <w:webHidden/>
              </w:rPr>
              <w:fldChar w:fldCharType="begin"/>
            </w:r>
            <w:r>
              <w:rPr>
                <w:webHidden/>
              </w:rPr>
              <w:instrText xml:space="preserve"> PAGEREF _Toc234580278 \h </w:instrText>
            </w:r>
            <w:r>
              <w:rPr>
                <w:webHidden/>
              </w:rPr>
            </w:r>
            <w:r>
              <w:rPr>
                <w:webHidden/>
              </w:rPr>
              <w:fldChar w:fldCharType="separate"/>
            </w:r>
            <w:r>
              <w:rPr>
                <w:webHidden/>
              </w:rPr>
              <w:t>19</w:t>
            </w:r>
            <w:r>
              <w:rPr>
                <w:webHidden/>
              </w:rPr>
              <w:fldChar w:fldCharType="end"/>
            </w:r>
          </w:hyperlink>
        </w:p>
        <w:p w14:paraId="2FE1F8E7" w14:textId="45FBB131"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284" w:history="1">
            <w:r w:rsidRPr="00C769A9">
              <w:rPr>
                <w:rStyle w:val="Hyperlink"/>
              </w:rPr>
              <w:t>2</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NHRA services funded outside the Victorian ABF pricing framework</w:t>
            </w:r>
            <w:r>
              <w:rPr>
                <w:webHidden/>
              </w:rPr>
              <w:tab/>
            </w:r>
            <w:r>
              <w:rPr>
                <w:webHidden/>
              </w:rPr>
              <w:fldChar w:fldCharType="begin"/>
            </w:r>
            <w:r>
              <w:rPr>
                <w:webHidden/>
              </w:rPr>
              <w:instrText xml:space="preserve"> PAGEREF _Toc234580284 \h </w:instrText>
            </w:r>
            <w:r>
              <w:rPr>
                <w:webHidden/>
              </w:rPr>
            </w:r>
            <w:r>
              <w:rPr>
                <w:webHidden/>
              </w:rPr>
              <w:fldChar w:fldCharType="separate"/>
            </w:r>
            <w:r>
              <w:rPr>
                <w:webHidden/>
              </w:rPr>
              <w:t>22</w:t>
            </w:r>
            <w:r>
              <w:rPr>
                <w:webHidden/>
              </w:rPr>
              <w:fldChar w:fldCharType="end"/>
            </w:r>
          </w:hyperlink>
        </w:p>
        <w:p w14:paraId="0B1670AA" w14:textId="41F2A36F"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85" w:history="1">
            <w:r w:rsidRPr="00C769A9">
              <w:rPr>
                <w:rStyle w:val="Hyperlink"/>
              </w:rPr>
              <w:t>2.1</w:t>
            </w:r>
            <w:r>
              <w:rPr>
                <w:rFonts w:asciiTheme="minorHAnsi" w:eastAsiaTheme="minorEastAsia" w:hAnsiTheme="minorHAnsi" w:cstheme="minorBidi"/>
                <w:kern w:val="2"/>
                <w:sz w:val="24"/>
                <w:szCs w:val="24"/>
                <w:lang w:eastAsia="en-AU"/>
                <w14:ligatures w14:val="standardContextual"/>
              </w:rPr>
              <w:tab/>
            </w:r>
            <w:r w:rsidRPr="00C769A9">
              <w:rPr>
                <w:rStyle w:val="Hyperlink"/>
              </w:rPr>
              <w:t>Community palliative care</w:t>
            </w:r>
            <w:r>
              <w:rPr>
                <w:webHidden/>
              </w:rPr>
              <w:tab/>
            </w:r>
            <w:r>
              <w:rPr>
                <w:webHidden/>
              </w:rPr>
              <w:fldChar w:fldCharType="begin"/>
            </w:r>
            <w:r>
              <w:rPr>
                <w:webHidden/>
              </w:rPr>
              <w:instrText xml:space="preserve"> PAGEREF _Toc234580285 \h </w:instrText>
            </w:r>
            <w:r>
              <w:rPr>
                <w:webHidden/>
              </w:rPr>
            </w:r>
            <w:r>
              <w:rPr>
                <w:webHidden/>
              </w:rPr>
              <w:fldChar w:fldCharType="separate"/>
            </w:r>
            <w:r>
              <w:rPr>
                <w:webHidden/>
              </w:rPr>
              <w:t>22</w:t>
            </w:r>
            <w:r>
              <w:rPr>
                <w:webHidden/>
              </w:rPr>
              <w:fldChar w:fldCharType="end"/>
            </w:r>
          </w:hyperlink>
        </w:p>
        <w:p w14:paraId="76ECECD1" w14:textId="5C7A3EE2"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86" w:history="1">
            <w:r w:rsidRPr="00C769A9">
              <w:rPr>
                <w:rStyle w:val="Hyperlink"/>
              </w:rPr>
              <w:t>2.2</w:t>
            </w:r>
            <w:r>
              <w:rPr>
                <w:rFonts w:asciiTheme="minorHAnsi" w:eastAsiaTheme="minorEastAsia" w:hAnsiTheme="minorHAnsi" w:cstheme="minorBidi"/>
                <w:kern w:val="2"/>
                <w:sz w:val="24"/>
                <w:szCs w:val="24"/>
                <w:lang w:eastAsia="en-AU"/>
                <w14:ligatures w14:val="standardContextual"/>
              </w:rPr>
              <w:tab/>
            </w:r>
            <w:r w:rsidRPr="00C769A9">
              <w:rPr>
                <w:rStyle w:val="Hyperlink"/>
              </w:rPr>
              <w:t>Palliative care consultancy services</w:t>
            </w:r>
            <w:r>
              <w:rPr>
                <w:webHidden/>
              </w:rPr>
              <w:tab/>
            </w:r>
            <w:r>
              <w:rPr>
                <w:webHidden/>
              </w:rPr>
              <w:fldChar w:fldCharType="begin"/>
            </w:r>
            <w:r>
              <w:rPr>
                <w:webHidden/>
              </w:rPr>
              <w:instrText xml:space="preserve"> PAGEREF _Toc234580286 \h </w:instrText>
            </w:r>
            <w:r>
              <w:rPr>
                <w:webHidden/>
              </w:rPr>
            </w:r>
            <w:r>
              <w:rPr>
                <w:webHidden/>
              </w:rPr>
              <w:fldChar w:fldCharType="separate"/>
            </w:r>
            <w:r>
              <w:rPr>
                <w:webHidden/>
              </w:rPr>
              <w:t>22</w:t>
            </w:r>
            <w:r>
              <w:rPr>
                <w:webHidden/>
              </w:rPr>
              <w:fldChar w:fldCharType="end"/>
            </w:r>
          </w:hyperlink>
        </w:p>
        <w:p w14:paraId="7A45FD91" w14:textId="0CABC355"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87" w:history="1">
            <w:r w:rsidRPr="00C769A9">
              <w:rPr>
                <w:rStyle w:val="Hyperlink"/>
              </w:rPr>
              <w:t>2.3</w:t>
            </w:r>
            <w:r>
              <w:rPr>
                <w:rFonts w:asciiTheme="minorHAnsi" w:eastAsiaTheme="minorEastAsia" w:hAnsiTheme="minorHAnsi" w:cstheme="minorBidi"/>
                <w:kern w:val="2"/>
                <w:sz w:val="24"/>
                <w:szCs w:val="24"/>
                <w:lang w:eastAsia="en-AU"/>
                <w14:ligatures w14:val="standardContextual"/>
              </w:rPr>
              <w:tab/>
            </w:r>
            <w:r w:rsidRPr="00C769A9">
              <w:rPr>
                <w:rStyle w:val="Hyperlink"/>
              </w:rPr>
              <w:t>Complex care program (formerly Family Choice Program)</w:t>
            </w:r>
            <w:r>
              <w:rPr>
                <w:webHidden/>
              </w:rPr>
              <w:tab/>
            </w:r>
            <w:r>
              <w:rPr>
                <w:webHidden/>
              </w:rPr>
              <w:fldChar w:fldCharType="begin"/>
            </w:r>
            <w:r>
              <w:rPr>
                <w:webHidden/>
              </w:rPr>
              <w:instrText xml:space="preserve"> PAGEREF _Toc234580287 \h </w:instrText>
            </w:r>
            <w:r>
              <w:rPr>
                <w:webHidden/>
              </w:rPr>
            </w:r>
            <w:r>
              <w:rPr>
                <w:webHidden/>
              </w:rPr>
              <w:fldChar w:fldCharType="separate"/>
            </w:r>
            <w:r>
              <w:rPr>
                <w:webHidden/>
              </w:rPr>
              <w:t>23</w:t>
            </w:r>
            <w:r>
              <w:rPr>
                <w:webHidden/>
              </w:rPr>
              <w:fldChar w:fldCharType="end"/>
            </w:r>
          </w:hyperlink>
        </w:p>
        <w:p w14:paraId="6A1D9664" w14:textId="7918DC3C"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88" w:history="1">
            <w:r w:rsidRPr="00C769A9">
              <w:rPr>
                <w:rStyle w:val="Hyperlink"/>
              </w:rPr>
              <w:t>2.4</w:t>
            </w:r>
            <w:r>
              <w:rPr>
                <w:rFonts w:asciiTheme="minorHAnsi" w:eastAsiaTheme="minorEastAsia" w:hAnsiTheme="minorHAnsi" w:cstheme="minorBidi"/>
                <w:kern w:val="2"/>
                <w:sz w:val="24"/>
                <w:szCs w:val="24"/>
                <w:lang w:eastAsia="en-AU"/>
                <w14:ligatures w14:val="standardContextual"/>
              </w:rPr>
              <w:tab/>
            </w:r>
            <w:r w:rsidRPr="00C769A9">
              <w:rPr>
                <w:rStyle w:val="Hyperlink"/>
              </w:rPr>
              <w:t>Early parenting services</w:t>
            </w:r>
            <w:r>
              <w:rPr>
                <w:webHidden/>
              </w:rPr>
              <w:tab/>
            </w:r>
            <w:r>
              <w:rPr>
                <w:webHidden/>
              </w:rPr>
              <w:fldChar w:fldCharType="begin"/>
            </w:r>
            <w:r>
              <w:rPr>
                <w:webHidden/>
              </w:rPr>
              <w:instrText xml:space="preserve"> PAGEREF _Toc234580288 \h </w:instrText>
            </w:r>
            <w:r>
              <w:rPr>
                <w:webHidden/>
              </w:rPr>
            </w:r>
            <w:r>
              <w:rPr>
                <w:webHidden/>
              </w:rPr>
              <w:fldChar w:fldCharType="separate"/>
            </w:r>
            <w:r>
              <w:rPr>
                <w:webHidden/>
              </w:rPr>
              <w:t>23</w:t>
            </w:r>
            <w:r>
              <w:rPr>
                <w:webHidden/>
              </w:rPr>
              <w:fldChar w:fldCharType="end"/>
            </w:r>
          </w:hyperlink>
        </w:p>
        <w:p w14:paraId="0C1F57C4" w14:textId="49302DDA"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89" w:history="1">
            <w:r w:rsidRPr="00C769A9">
              <w:rPr>
                <w:rStyle w:val="Hyperlink"/>
              </w:rPr>
              <w:t>2.5</w:t>
            </w:r>
            <w:r>
              <w:rPr>
                <w:rFonts w:asciiTheme="minorHAnsi" w:eastAsiaTheme="minorEastAsia" w:hAnsiTheme="minorHAnsi" w:cstheme="minorBidi"/>
                <w:kern w:val="2"/>
                <w:sz w:val="24"/>
                <w:szCs w:val="24"/>
                <w:lang w:eastAsia="en-AU"/>
                <w14:ligatures w14:val="standardContextual"/>
              </w:rPr>
              <w:tab/>
            </w:r>
            <w:r w:rsidRPr="00C769A9">
              <w:rPr>
                <w:rStyle w:val="Hyperlink"/>
              </w:rPr>
              <w:t>Forensicare</w:t>
            </w:r>
            <w:r>
              <w:rPr>
                <w:webHidden/>
              </w:rPr>
              <w:tab/>
            </w:r>
            <w:r>
              <w:rPr>
                <w:webHidden/>
              </w:rPr>
              <w:fldChar w:fldCharType="begin"/>
            </w:r>
            <w:r>
              <w:rPr>
                <w:webHidden/>
              </w:rPr>
              <w:instrText xml:space="preserve"> PAGEREF _Toc234580289 \h </w:instrText>
            </w:r>
            <w:r>
              <w:rPr>
                <w:webHidden/>
              </w:rPr>
            </w:r>
            <w:r>
              <w:rPr>
                <w:webHidden/>
              </w:rPr>
              <w:fldChar w:fldCharType="separate"/>
            </w:r>
            <w:r>
              <w:rPr>
                <w:webHidden/>
              </w:rPr>
              <w:t>23</w:t>
            </w:r>
            <w:r>
              <w:rPr>
                <w:webHidden/>
              </w:rPr>
              <w:fldChar w:fldCharType="end"/>
            </w:r>
          </w:hyperlink>
        </w:p>
        <w:p w14:paraId="2976C116" w14:textId="5844E6B9"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90" w:history="1">
            <w:r w:rsidRPr="00C769A9">
              <w:rPr>
                <w:rStyle w:val="Hyperlink"/>
              </w:rPr>
              <w:t>2.6</w:t>
            </w:r>
            <w:r>
              <w:rPr>
                <w:rFonts w:asciiTheme="minorHAnsi" w:eastAsiaTheme="minorEastAsia" w:hAnsiTheme="minorHAnsi" w:cstheme="minorBidi"/>
                <w:kern w:val="2"/>
                <w:sz w:val="24"/>
                <w:szCs w:val="24"/>
                <w:lang w:eastAsia="en-AU"/>
                <w14:ligatures w14:val="standardContextual"/>
              </w:rPr>
              <w:tab/>
            </w:r>
            <w:r w:rsidRPr="00C769A9">
              <w:rPr>
                <w:rStyle w:val="Hyperlink"/>
              </w:rPr>
              <w:t>Genetic clinical activity</w:t>
            </w:r>
            <w:r>
              <w:rPr>
                <w:webHidden/>
              </w:rPr>
              <w:tab/>
            </w:r>
            <w:r>
              <w:rPr>
                <w:webHidden/>
              </w:rPr>
              <w:fldChar w:fldCharType="begin"/>
            </w:r>
            <w:r>
              <w:rPr>
                <w:webHidden/>
              </w:rPr>
              <w:instrText xml:space="preserve"> PAGEREF _Toc234580290 \h </w:instrText>
            </w:r>
            <w:r>
              <w:rPr>
                <w:webHidden/>
              </w:rPr>
            </w:r>
            <w:r>
              <w:rPr>
                <w:webHidden/>
              </w:rPr>
              <w:fldChar w:fldCharType="separate"/>
            </w:r>
            <w:r>
              <w:rPr>
                <w:webHidden/>
              </w:rPr>
              <w:t>23</w:t>
            </w:r>
            <w:r>
              <w:rPr>
                <w:webHidden/>
              </w:rPr>
              <w:fldChar w:fldCharType="end"/>
            </w:r>
          </w:hyperlink>
        </w:p>
        <w:p w14:paraId="4BDA3C63" w14:textId="476759CB"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91" w:history="1">
            <w:r w:rsidRPr="00C769A9">
              <w:rPr>
                <w:rStyle w:val="Hyperlink"/>
                <w:rFonts w:eastAsia="Times"/>
              </w:rPr>
              <w:t>2.7</w:t>
            </w:r>
            <w:r>
              <w:rPr>
                <w:rFonts w:asciiTheme="minorHAnsi" w:eastAsiaTheme="minorEastAsia" w:hAnsiTheme="minorHAnsi" w:cstheme="minorBidi"/>
                <w:kern w:val="2"/>
                <w:sz w:val="24"/>
                <w:szCs w:val="24"/>
                <w:lang w:eastAsia="en-AU"/>
                <w14:ligatures w14:val="standardContextual"/>
              </w:rPr>
              <w:tab/>
            </w:r>
            <w:r w:rsidRPr="00C769A9">
              <w:rPr>
                <w:rStyle w:val="Hyperlink"/>
              </w:rPr>
              <w:t>High-cost HSTs</w:t>
            </w:r>
            <w:r>
              <w:rPr>
                <w:webHidden/>
              </w:rPr>
              <w:tab/>
            </w:r>
            <w:r>
              <w:rPr>
                <w:webHidden/>
              </w:rPr>
              <w:fldChar w:fldCharType="begin"/>
            </w:r>
            <w:r>
              <w:rPr>
                <w:webHidden/>
              </w:rPr>
              <w:instrText xml:space="preserve"> PAGEREF _Toc234580291 \h </w:instrText>
            </w:r>
            <w:r>
              <w:rPr>
                <w:webHidden/>
              </w:rPr>
            </w:r>
            <w:r>
              <w:rPr>
                <w:webHidden/>
              </w:rPr>
              <w:fldChar w:fldCharType="separate"/>
            </w:r>
            <w:r>
              <w:rPr>
                <w:webHidden/>
              </w:rPr>
              <w:t>23</w:t>
            </w:r>
            <w:r>
              <w:rPr>
                <w:webHidden/>
              </w:rPr>
              <w:fldChar w:fldCharType="end"/>
            </w:r>
          </w:hyperlink>
        </w:p>
        <w:p w14:paraId="0E4B822D" w14:textId="2C23C4F2"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92" w:history="1">
            <w:r w:rsidRPr="00C769A9">
              <w:rPr>
                <w:rStyle w:val="Hyperlink"/>
                <w:rFonts w:eastAsia="Times"/>
              </w:rPr>
              <w:t>2.8</w:t>
            </w:r>
            <w:r>
              <w:rPr>
                <w:rFonts w:asciiTheme="minorHAnsi" w:eastAsiaTheme="minorEastAsia" w:hAnsiTheme="minorHAnsi" w:cstheme="minorBidi"/>
                <w:kern w:val="2"/>
                <w:sz w:val="24"/>
                <w:szCs w:val="24"/>
                <w:lang w:eastAsia="en-AU"/>
                <w14:ligatures w14:val="standardContextual"/>
              </w:rPr>
              <w:tab/>
            </w:r>
            <w:r w:rsidRPr="00C769A9">
              <w:rPr>
                <w:rStyle w:val="Hyperlink"/>
                <w:rFonts w:eastAsia="Times"/>
              </w:rPr>
              <w:t>Lithotripsy</w:t>
            </w:r>
            <w:r>
              <w:rPr>
                <w:webHidden/>
              </w:rPr>
              <w:tab/>
            </w:r>
            <w:r>
              <w:rPr>
                <w:webHidden/>
              </w:rPr>
              <w:fldChar w:fldCharType="begin"/>
            </w:r>
            <w:r>
              <w:rPr>
                <w:webHidden/>
              </w:rPr>
              <w:instrText xml:space="preserve"> PAGEREF _Toc234580292 \h </w:instrText>
            </w:r>
            <w:r>
              <w:rPr>
                <w:webHidden/>
              </w:rPr>
            </w:r>
            <w:r>
              <w:rPr>
                <w:webHidden/>
              </w:rPr>
              <w:fldChar w:fldCharType="separate"/>
            </w:r>
            <w:r>
              <w:rPr>
                <w:webHidden/>
              </w:rPr>
              <w:t>24</w:t>
            </w:r>
            <w:r>
              <w:rPr>
                <w:webHidden/>
              </w:rPr>
              <w:fldChar w:fldCharType="end"/>
            </w:r>
          </w:hyperlink>
        </w:p>
        <w:p w14:paraId="01CDB485" w14:textId="12548813"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293" w:history="1">
            <w:r w:rsidRPr="00C769A9">
              <w:rPr>
                <w:rStyle w:val="Hyperlink"/>
              </w:rPr>
              <w:t>2.9</w:t>
            </w:r>
            <w:r>
              <w:rPr>
                <w:rFonts w:asciiTheme="minorHAnsi" w:eastAsiaTheme="minorEastAsia" w:hAnsiTheme="minorHAnsi" w:cstheme="minorBidi"/>
                <w:kern w:val="2"/>
                <w:sz w:val="24"/>
                <w:szCs w:val="24"/>
                <w:lang w:eastAsia="en-AU"/>
                <w14:ligatures w14:val="standardContextual"/>
              </w:rPr>
              <w:tab/>
            </w:r>
            <w:r w:rsidRPr="00C769A9">
              <w:rPr>
                <w:rStyle w:val="Hyperlink"/>
              </w:rPr>
              <w:t>Mental health and wellbeing</w:t>
            </w:r>
            <w:r>
              <w:rPr>
                <w:webHidden/>
              </w:rPr>
              <w:tab/>
            </w:r>
            <w:r>
              <w:rPr>
                <w:webHidden/>
              </w:rPr>
              <w:fldChar w:fldCharType="begin"/>
            </w:r>
            <w:r>
              <w:rPr>
                <w:webHidden/>
              </w:rPr>
              <w:instrText xml:space="preserve"> PAGEREF _Toc234580293 \h </w:instrText>
            </w:r>
            <w:r>
              <w:rPr>
                <w:webHidden/>
              </w:rPr>
            </w:r>
            <w:r>
              <w:rPr>
                <w:webHidden/>
              </w:rPr>
              <w:fldChar w:fldCharType="separate"/>
            </w:r>
            <w:r>
              <w:rPr>
                <w:webHidden/>
              </w:rPr>
              <w:t>24</w:t>
            </w:r>
            <w:r>
              <w:rPr>
                <w:webHidden/>
              </w:rPr>
              <w:fldChar w:fldCharType="end"/>
            </w:r>
          </w:hyperlink>
        </w:p>
        <w:p w14:paraId="4B930052" w14:textId="7E4C2106"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94" w:history="1">
            <w:r w:rsidRPr="00C769A9">
              <w:rPr>
                <w:rStyle w:val="Hyperlink"/>
              </w:rPr>
              <w:t>2.10</w:t>
            </w:r>
            <w:r>
              <w:rPr>
                <w:rFonts w:asciiTheme="minorHAnsi" w:eastAsiaTheme="minorEastAsia" w:hAnsiTheme="minorHAnsi" w:cstheme="minorBidi"/>
                <w:kern w:val="2"/>
                <w:sz w:val="24"/>
                <w:szCs w:val="24"/>
                <w:lang w:eastAsia="en-AU"/>
                <w14:ligatures w14:val="standardContextual"/>
              </w:rPr>
              <w:t xml:space="preserve">   </w:t>
            </w:r>
            <w:r w:rsidRPr="00C769A9">
              <w:rPr>
                <w:rStyle w:val="Hyperlink"/>
              </w:rPr>
              <w:t>Radiotherapy</w:t>
            </w:r>
            <w:r>
              <w:rPr>
                <w:webHidden/>
              </w:rPr>
              <w:tab/>
            </w:r>
            <w:r>
              <w:rPr>
                <w:webHidden/>
              </w:rPr>
              <w:fldChar w:fldCharType="begin"/>
            </w:r>
            <w:r>
              <w:rPr>
                <w:webHidden/>
              </w:rPr>
              <w:instrText xml:space="preserve"> PAGEREF _Toc234580294 \h </w:instrText>
            </w:r>
            <w:r>
              <w:rPr>
                <w:webHidden/>
              </w:rPr>
            </w:r>
            <w:r>
              <w:rPr>
                <w:webHidden/>
              </w:rPr>
              <w:fldChar w:fldCharType="separate"/>
            </w:r>
            <w:r>
              <w:rPr>
                <w:webHidden/>
              </w:rPr>
              <w:t>25</w:t>
            </w:r>
            <w:r>
              <w:rPr>
                <w:webHidden/>
              </w:rPr>
              <w:fldChar w:fldCharType="end"/>
            </w:r>
          </w:hyperlink>
        </w:p>
        <w:p w14:paraId="09938A10" w14:textId="2AAF4CDA"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97" w:history="1">
            <w:r w:rsidRPr="00C769A9">
              <w:rPr>
                <w:rStyle w:val="Hyperlink"/>
                <w:rFonts w:eastAsia="Times"/>
              </w:rPr>
              <w:t>2.11</w:t>
            </w:r>
            <w:r>
              <w:rPr>
                <w:rFonts w:asciiTheme="minorHAnsi" w:eastAsiaTheme="minorEastAsia" w:hAnsiTheme="minorHAnsi" w:cstheme="minorBidi"/>
                <w:kern w:val="2"/>
                <w:sz w:val="24"/>
                <w:szCs w:val="24"/>
                <w:lang w:eastAsia="en-AU"/>
                <w14:ligatures w14:val="standardContextual"/>
              </w:rPr>
              <w:tab/>
            </w:r>
            <w:r w:rsidRPr="00C769A9">
              <w:rPr>
                <w:rStyle w:val="Hyperlink"/>
                <w:rFonts w:eastAsia="Times"/>
              </w:rPr>
              <w:t>Small rural health services</w:t>
            </w:r>
            <w:r>
              <w:rPr>
                <w:webHidden/>
              </w:rPr>
              <w:tab/>
            </w:r>
            <w:r>
              <w:rPr>
                <w:webHidden/>
              </w:rPr>
              <w:fldChar w:fldCharType="begin"/>
            </w:r>
            <w:r>
              <w:rPr>
                <w:webHidden/>
              </w:rPr>
              <w:instrText xml:space="preserve"> PAGEREF _Toc234580297 \h </w:instrText>
            </w:r>
            <w:r>
              <w:rPr>
                <w:webHidden/>
              </w:rPr>
            </w:r>
            <w:r>
              <w:rPr>
                <w:webHidden/>
              </w:rPr>
              <w:fldChar w:fldCharType="separate"/>
            </w:r>
            <w:r>
              <w:rPr>
                <w:webHidden/>
              </w:rPr>
              <w:t>26</w:t>
            </w:r>
            <w:r>
              <w:rPr>
                <w:webHidden/>
              </w:rPr>
              <w:fldChar w:fldCharType="end"/>
            </w:r>
          </w:hyperlink>
        </w:p>
        <w:p w14:paraId="7C2448EC" w14:textId="5EDD8A66"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98" w:history="1">
            <w:r w:rsidRPr="00C769A9">
              <w:rPr>
                <w:rStyle w:val="Hyperlink"/>
              </w:rPr>
              <w:t>2.12</w:t>
            </w:r>
            <w:r>
              <w:rPr>
                <w:rFonts w:asciiTheme="minorHAnsi" w:eastAsiaTheme="minorEastAsia" w:hAnsiTheme="minorHAnsi" w:cstheme="minorBidi"/>
                <w:kern w:val="2"/>
                <w:sz w:val="24"/>
                <w:szCs w:val="24"/>
                <w:lang w:eastAsia="en-AU"/>
                <w14:ligatures w14:val="standardContextual"/>
              </w:rPr>
              <w:tab/>
            </w:r>
            <w:r w:rsidRPr="00C769A9">
              <w:rPr>
                <w:rStyle w:val="Hyperlink"/>
              </w:rPr>
              <w:t>Subacute and non-acute care exceptions to NFM</w:t>
            </w:r>
            <w:r>
              <w:rPr>
                <w:webHidden/>
              </w:rPr>
              <w:tab/>
            </w:r>
            <w:r>
              <w:rPr>
                <w:webHidden/>
              </w:rPr>
              <w:fldChar w:fldCharType="begin"/>
            </w:r>
            <w:r>
              <w:rPr>
                <w:webHidden/>
              </w:rPr>
              <w:instrText xml:space="preserve"> PAGEREF _Toc234580298 \h </w:instrText>
            </w:r>
            <w:r>
              <w:rPr>
                <w:webHidden/>
              </w:rPr>
            </w:r>
            <w:r>
              <w:rPr>
                <w:webHidden/>
              </w:rPr>
              <w:fldChar w:fldCharType="separate"/>
            </w:r>
            <w:r>
              <w:rPr>
                <w:webHidden/>
              </w:rPr>
              <w:t>26</w:t>
            </w:r>
            <w:r>
              <w:rPr>
                <w:webHidden/>
              </w:rPr>
              <w:fldChar w:fldCharType="end"/>
            </w:r>
          </w:hyperlink>
        </w:p>
        <w:p w14:paraId="170E8005" w14:textId="2271F4ED"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299" w:history="1">
            <w:r w:rsidRPr="00C769A9">
              <w:rPr>
                <w:rStyle w:val="Hyperlink"/>
              </w:rPr>
              <w:t>2.13</w:t>
            </w:r>
            <w:r>
              <w:rPr>
                <w:rFonts w:asciiTheme="minorHAnsi" w:eastAsiaTheme="minorEastAsia" w:hAnsiTheme="minorHAnsi" w:cstheme="minorBidi"/>
                <w:kern w:val="2"/>
                <w:sz w:val="24"/>
                <w:szCs w:val="24"/>
                <w:lang w:eastAsia="en-AU"/>
                <w14:ligatures w14:val="standardContextual"/>
              </w:rPr>
              <w:tab/>
            </w:r>
            <w:r w:rsidRPr="00C769A9">
              <w:rPr>
                <w:rStyle w:val="Hyperlink"/>
              </w:rPr>
              <w:t>Training and development</w:t>
            </w:r>
            <w:r>
              <w:rPr>
                <w:webHidden/>
              </w:rPr>
              <w:tab/>
            </w:r>
            <w:r>
              <w:rPr>
                <w:webHidden/>
              </w:rPr>
              <w:fldChar w:fldCharType="begin"/>
            </w:r>
            <w:r>
              <w:rPr>
                <w:webHidden/>
              </w:rPr>
              <w:instrText xml:space="preserve"> PAGEREF _Toc234580299 \h </w:instrText>
            </w:r>
            <w:r>
              <w:rPr>
                <w:webHidden/>
              </w:rPr>
            </w:r>
            <w:r>
              <w:rPr>
                <w:webHidden/>
              </w:rPr>
              <w:fldChar w:fldCharType="separate"/>
            </w:r>
            <w:r>
              <w:rPr>
                <w:webHidden/>
              </w:rPr>
              <w:t>26</w:t>
            </w:r>
            <w:r>
              <w:rPr>
                <w:webHidden/>
              </w:rPr>
              <w:fldChar w:fldCharType="end"/>
            </w:r>
          </w:hyperlink>
        </w:p>
        <w:p w14:paraId="22520414" w14:textId="5E9B0EFC"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00" w:history="1">
            <w:r w:rsidRPr="00C769A9">
              <w:rPr>
                <w:rStyle w:val="Hyperlink"/>
              </w:rPr>
              <w:t>2.14</w:t>
            </w:r>
            <w:r>
              <w:rPr>
                <w:rFonts w:asciiTheme="minorHAnsi" w:eastAsiaTheme="minorEastAsia" w:hAnsiTheme="minorHAnsi" w:cstheme="minorBidi"/>
                <w:kern w:val="2"/>
                <w:sz w:val="24"/>
                <w:szCs w:val="24"/>
                <w:lang w:eastAsia="en-AU"/>
                <w14:ligatures w14:val="standardContextual"/>
              </w:rPr>
              <w:tab/>
            </w:r>
            <w:r w:rsidRPr="00C769A9">
              <w:rPr>
                <w:rStyle w:val="Hyperlink"/>
              </w:rPr>
              <w:t>Victorian Virtual Emergency Department</w:t>
            </w:r>
            <w:r>
              <w:rPr>
                <w:webHidden/>
              </w:rPr>
              <w:tab/>
            </w:r>
            <w:r>
              <w:rPr>
                <w:webHidden/>
              </w:rPr>
              <w:fldChar w:fldCharType="begin"/>
            </w:r>
            <w:r>
              <w:rPr>
                <w:webHidden/>
              </w:rPr>
              <w:instrText xml:space="preserve"> PAGEREF _Toc234580300 \h </w:instrText>
            </w:r>
            <w:r>
              <w:rPr>
                <w:webHidden/>
              </w:rPr>
            </w:r>
            <w:r>
              <w:rPr>
                <w:webHidden/>
              </w:rPr>
              <w:fldChar w:fldCharType="separate"/>
            </w:r>
            <w:r>
              <w:rPr>
                <w:webHidden/>
              </w:rPr>
              <w:t>27</w:t>
            </w:r>
            <w:r>
              <w:rPr>
                <w:webHidden/>
              </w:rPr>
              <w:fldChar w:fldCharType="end"/>
            </w:r>
          </w:hyperlink>
        </w:p>
        <w:p w14:paraId="3F7338F3" w14:textId="33BB24CF"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01" w:history="1">
            <w:r w:rsidRPr="00C769A9">
              <w:rPr>
                <w:rStyle w:val="Hyperlink"/>
              </w:rPr>
              <w:t>3</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Services funded in addition to the NHRA</w:t>
            </w:r>
            <w:r>
              <w:rPr>
                <w:webHidden/>
              </w:rPr>
              <w:tab/>
            </w:r>
            <w:r>
              <w:rPr>
                <w:webHidden/>
              </w:rPr>
              <w:fldChar w:fldCharType="begin"/>
            </w:r>
            <w:r>
              <w:rPr>
                <w:webHidden/>
              </w:rPr>
              <w:instrText xml:space="preserve"> PAGEREF _Toc234580301 \h </w:instrText>
            </w:r>
            <w:r>
              <w:rPr>
                <w:webHidden/>
              </w:rPr>
            </w:r>
            <w:r>
              <w:rPr>
                <w:webHidden/>
              </w:rPr>
              <w:fldChar w:fldCharType="separate"/>
            </w:r>
            <w:r>
              <w:rPr>
                <w:webHidden/>
              </w:rPr>
              <w:t>28</w:t>
            </w:r>
            <w:r>
              <w:rPr>
                <w:webHidden/>
              </w:rPr>
              <w:fldChar w:fldCharType="end"/>
            </w:r>
          </w:hyperlink>
        </w:p>
        <w:p w14:paraId="425C9945" w14:textId="1F9EA3B0"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02" w:history="1">
            <w:r w:rsidRPr="00C769A9">
              <w:rPr>
                <w:rStyle w:val="Hyperlink"/>
              </w:rPr>
              <w:t>3.1</w:t>
            </w:r>
            <w:r>
              <w:rPr>
                <w:rFonts w:asciiTheme="minorHAnsi" w:eastAsiaTheme="minorEastAsia" w:hAnsiTheme="minorHAnsi" w:cstheme="minorBidi"/>
                <w:kern w:val="2"/>
                <w:sz w:val="24"/>
                <w:szCs w:val="24"/>
                <w:lang w:eastAsia="en-AU"/>
                <w14:ligatures w14:val="standardContextual"/>
              </w:rPr>
              <w:tab/>
            </w:r>
            <w:r w:rsidRPr="00C769A9">
              <w:rPr>
                <w:rStyle w:val="Hyperlink"/>
              </w:rPr>
              <w:t>Alcohol and other drug services</w:t>
            </w:r>
            <w:r>
              <w:rPr>
                <w:webHidden/>
              </w:rPr>
              <w:tab/>
            </w:r>
            <w:r>
              <w:rPr>
                <w:webHidden/>
              </w:rPr>
              <w:fldChar w:fldCharType="begin"/>
            </w:r>
            <w:r>
              <w:rPr>
                <w:webHidden/>
              </w:rPr>
              <w:instrText xml:space="preserve"> PAGEREF _Toc234580302 \h </w:instrText>
            </w:r>
            <w:r>
              <w:rPr>
                <w:webHidden/>
              </w:rPr>
            </w:r>
            <w:r>
              <w:rPr>
                <w:webHidden/>
              </w:rPr>
              <w:fldChar w:fldCharType="separate"/>
            </w:r>
            <w:r>
              <w:rPr>
                <w:webHidden/>
              </w:rPr>
              <w:t>28</w:t>
            </w:r>
            <w:r>
              <w:rPr>
                <w:webHidden/>
              </w:rPr>
              <w:fldChar w:fldCharType="end"/>
            </w:r>
          </w:hyperlink>
        </w:p>
        <w:p w14:paraId="7570C17B" w14:textId="568F38F3"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03" w:history="1">
            <w:r w:rsidRPr="00C769A9">
              <w:rPr>
                <w:rStyle w:val="Hyperlink"/>
              </w:rPr>
              <w:t>3.2</w:t>
            </w:r>
            <w:r>
              <w:rPr>
                <w:rFonts w:asciiTheme="minorHAnsi" w:eastAsiaTheme="minorEastAsia" w:hAnsiTheme="minorHAnsi" w:cstheme="minorBidi"/>
                <w:kern w:val="2"/>
                <w:sz w:val="24"/>
                <w:szCs w:val="24"/>
                <w:lang w:eastAsia="en-AU"/>
                <w14:ligatures w14:val="standardContextual"/>
              </w:rPr>
              <w:tab/>
            </w:r>
            <w:r w:rsidRPr="00C769A9">
              <w:rPr>
                <w:rStyle w:val="Hyperlink"/>
              </w:rPr>
              <w:t>Community health pricing</w:t>
            </w:r>
            <w:r>
              <w:rPr>
                <w:webHidden/>
              </w:rPr>
              <w:tab/>
            </w:r>
            <w:r>
              <w:rPr>
                <w:webHidden/>
              </w:rPr>
              <w:fldChar w:fldCharType="begin"/>
            </w:r>
            <w:r>
              <w:rPr>
                <w:webHidden/>
              </w:rPr>
              <w:instrText xml:space="preserve"> PAGEREF _Toc234580303 \h </w:instrText>
            </w:r>
            <w:r>
              <w:rPr>
                <w:webHidden/>
              </w:rPr>
            </w:r>
            <w:r>
              <w:rPr>
                <w:webHidden/>
              </w:rPr>
              <w:fldChar w:fldCharType="separate"/>
            </w:r>
            <w:r>
              <w:rPr>
                <w:webHidden/>
              </w:rPr>
              <w:t>28</w:t>
            </w:r>
            <w:r>
              <w:rPr>
                <w:webHidden/>
              </w:rPr>
              <w:fldChar w:fldCharType="end"/>
            </w:r>
          </w:hyperlink>
        </w:p>
        <w:p w14:paraId="01BB8E96" w14:textId="4AF04D7F"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04" w:history="1">
            <w:r w:rsidRPr="00C769A9">
              <w:rPr>
                <w:rStyle w:val="Hyperlink"/>
              </w:rPr>
              <w:t>3.3</w:t>
            </w:r>
            <w:r>
              <w:rPr>
                <w:rFonts w:asciiTheme="minorHAnsi" w:eastAsiaTheme="minorEastAsia" w:hAnsiTheme="minorHAnsi" w:cstheme="minorBidi"/>
                <w:kern w:val="2"/>
                <w:sz w:val="24"/>
                <w:szCs w:val="24"/>
                <w:lang w:eastAsia="en-AU"/>
                <w14:ligatures w14:val="standardContextual"/>
              </w:rPr>
              <w:tab/>
            </w:r>
            <w:r w:rsidRPr="00C769A9">
              <w:rPr>
                <w:rStyle w:val="Hyperlink"/>
              </w:rPr>
              <w:t>Local public health unit block-funded functions</w:t>
            </w:r>
            <w:r>
              <w:rPr>
                <w:webHidden/>
              </w:rPr>
              <w:tab/>
            </w:r>
            <w:r>
              <w:rPr>
                <w:webHidden/>
              </w:rPr>
              <w:fldChar w:fldCharType="begin"/>
            </w:r>
            <w:r>
              <w:rPr>
                <w:webHidden/>
              </w:rPr>
              <w:instrText xml:space="preserve"> PAGEREF _Toc234580304 \h </w:instrText>
            </w:r>
            <w:r>
              <w:rPr>
                <w:webHidden/>
              </w:rPr>
            </w:r>
            <w:r>
              <w:rPr>
                <w:webHidden/>
              </w:rPr>
              <w:fldChar w:fldCharType="separate"/>
            </w:r>
            <w:r>
              <w:rPr>
                <w:webHidden/>
              </w:rPr>
              <w:t>28</w:t>
            </w:r>
            <w:r>
              <w:rPr>
                <w:webHidden/>
              </w:rPr>
              <w:fldChar w:fldCharType="end"/>
            </w:r>
          </w:hyperlink>
        </w:p>
        <w:p w14:paraId="1359D08F" w14:textId="630BC1FE"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05" w:history="1">
            <w:r w:rsidRPr="00C769A9">
              <w:rPr>
                <w:rStyle w:val="Hyperlink"/>
              </w:rPr>
              <w:t>3.4</w:t>
            </w:r>
            <w:r>
              <w:rPr>
                <w:rFonts w:asciiTheme="minorHAnsi" w:eastAsiaTheme="minorEastAsia" w:hAnsiTheme="minorHAnsi" w:cstheme="minorBidi"/>
                <w:kern w:val="2"/>
                <w:sz w:val="24"/>
                <w:szCs w:val="24"/>
                <w:lang w:eastAsia="en-AU"/>
                <w14:ligatures w14:val="standardContextual"/>
              </w:rPr>
              <w:tab/>
            </w:r>
            <w:r w:rsidRPr="00C769A9">
              <w:rPr>
                <w:rStyle w:val="Hyperlink"/>
              </w:rPr>
              <w:t>Mental Health Community Support Services</w:t>
            </w:r>
            <w:r>
              <w:rPr>
                <w:webHidden/>
              </w:rPr>
              <w:tab/>
            </w:r>
            <w:r>
              <w:rPr>
                <w:webHidden/>
              </w:rPr>
              <w:fldChar w:fldCharType="begin"/>
            </w:r>
            <w:r>
              <w:rPr>
                <w:webHidden/>
              </w:rPr>
              <w:instrText xml:space="preserve"> PAGEREF _Toc234580305 \h </w:instrText>
            </w:r>
            <w:r>
              <w:rPr>
                <w:webHidden/>
              </w:rPr>
            </w:r>
            <w:r>
              <w:rPr>
                <w:webHidden/>
              </w:rPr>
              <w:fldChar w:fldCharType="separate"/>
            </w:r>
            <w:r>
              <w:rPr>
                <w:webHidden/>
              </w:rPr>
              <w:t>28</w:t>
            </w:r>
            <w:r>
              <w:rPr>
                <w:webHidden/>
              </w:rPr>
              <w:fldChar w:fldCharType="end"/>
            </w:r>
          </w:hyperlink>
        </w:p>
        <w:p w14:paraId="77A2BD0A" w14:textId="7D45A6B8"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06" w:history="1">
            <w:r w:rsidRPr="00C769A9">
              <w:rPr>
                <w:rStyle w:val="Hyperlink"/>
              </w:rPr>
              <w:t>3.5</w:t>
            </w:r>
            <w:r>
              <w:rPr>
                <w:rFonts w:asciiTheme="minorHAnsi" w:eastAsiaTheme="minorEastAsia" w:hAnsiTheme="minorHAnsi" w:cstheme="minorBidi"/>
                <w:kern w:val="2"/>
                <w:sz w:val="24"/>
                <w:szCs w:val="24"/>
                <w:lang w:eastAsia="en-AU"/>
                <w14:ligatures w14:val="standardContextual"/>
              </w:rPr>
              <w:tab/>
            </w:r>
            <w:r w:rsidRPr="00C769A9">
              <w:rPr>
                <w:rStyle w:val="Hyperlink"/>
              </w:rPr>
              <w:t>Community (non-admitted) mental health services</w:t>
            </w:r>
            <w:r>
              <w:rPr>
                <w:webHidden/>
              </w:rPr>
              <w:tab/>
            </w:r>
            <w:r>
              <w:rPr>
                <w:webHidden/>
              </w:rPr>
              <w:fldChar w:fldCharType="begin"/>
            </w:r>
            <w:r>
              <w:rPr>
                <w:webHidden/>
              </w:rPr>
              <w:instrText xml:space="preserve"> PAGEREF _Toc234580306 \h </w:instrText>
            </w:r>
            <w:r>
              <w:rPr>
                <w:webHidden/>
              </w:rPr>
            </w:r>
            <w:r>
              <w:rPr>
                <w:webHidden/>
              </w:rPr>
              <w:fldChar w:fldCharType="separate"/>
            </w:r>
            <w:r>
              <w:rPr>
                <w:webHidden/>
              </w:rPr>
              <w:t>28</w:t>
            </w:r>
            <w:r>
              <w:rPr>
                <w:webHidden/>
              </w:rPr>
              <w:fldChar w:fldCharType="end"/>
            </w:r>
          </w:hyperlink>
        </w:p>
        <w:p w14:paraId="393B173A" w14:textId="1F9C1DF4"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07" w:history="1">
            <w:r w:rsidRPr="00C769A9">
              <w:rPr>
                <w:rStyle w:val="Hyperlink"/>
              </w:rPr>
              <w:t>3.6</w:t>
            </w:r>
            <w:r>
              <w:rPr>
                <w:rFonts w:asciiTheme="minorHAnsi" w:eastAsiaTheme="minorEastAsia" w:hAnsiTheme="minorHAnsi" w:cstheme="minorBidi"/>
                <w:kern w:val="2"/>
                <w:sz w:val="24"/>
                <w:szCs w:val="24"/>
                <w:lang w:eastAsia="en-AU"/>
                <w14:ligatures w14:val="standardContextual"/>
              </w:rPr>
              <w:tab/>
            </w:r>
            <w:r w:rsidRPr="00C769A9">
              <w:rPr>
                <w:rStyle w:val="Hyperlink"/>
              </w:rPr>
              <w:t>Nationally funded centres (NFC)</w:t>
            </w:r>
            <w:r>
              <w:rPr>
                <w:webHidden/>
              </w:rPr>
              <w:tab/>
            </w:r>
            <w:r>
              <w:rPr>
                <w:webHidden/>
              </w:rPr>
              <w:fldChar w:fldCharType="begin"/>
            </w:r>
            <w:r>
              <w:rPr>
                <w:webHidden/>
              </w:rPr>
              <w:instrText xml:space="preserve"> PAGEREF _Toc234580307 \h </w:instrText>
            </w:r>
            <w:r>
              <w:rPr>
                <w:webHidden/>
              </w:rPr>
            </w:r>
            <w:r>
              <w:rPr>
                <w:webHidden/>
              </w:rPr>
              <w:fldChar w:fldCharType="separate"/>
            </w:r>
            <w:r>
              <w:rPr>
                <w:webHidden/>
              </w:rPr>
              <w:t>28</w:t>
            </w:r>
            <w:r>
              <w:rPr>
                <w:webHidden/>
              </w:rPr>
              <w:fldChar w:fldCharType="end"/>
            </w:r>
          </w:hyperlink>
        </w:p>
        <w:p w14:paraId="2AF6E9CF" w14:textId="051E6624"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08" w:history="1">
            <w:r w:rsidRPr="00C769A9">
              <w:rPr>
                <w:rStyle w:val="Hyperlink"/>
              </w:rPr>
              <w:t>3.7</w:t>
            </w:r>
            <w:r>
              <w:rPr>
                <w:rFonts w:asciiTheme="minorHAnsi" w:eastAsiaTheme="minorEastAsia" w:hAnsiTheme="minorHAnsi" w:cstheme="minorBidi"/>
                <w:kern w:val="2"/>
                <w:sz w:val="24"/>
                <w:szCs w:val="24"/>
                <w:lang w:eastAsia="en-AU"/>
                <w14:ligatures w14:val="standardContextual"/>
              </w:rPr>
              <w:tab/>
            </w:r>
            <w:r w:rsidRPr="00C769A9">
              <w:rPr>
                <w:rStyle w:val="Hyperlink"/>
              </w:rPr>
              <w:t>Ageing, aged and home care</w:t>
            </w:r>
            <w:r>
              <w:rPr>
                <w:webHidden/>
              </w:rPr>
              <w:tab/>
            </w:r>
            <w:r>
              <w:rPr>
                <w:webHidden/>
              </w:rPr>
              <w:fldChar w:fldCharType="begin"/>
            </w:r>
            <w:r>
              <w:rPr>
                <w:webHidden/>
              </w:rPr>
              <w:instrText xml:space="preserve"> PAGEREF _Toc234580308 \h </w:instrText>
            </w:r>
            <w:r>
              <w:rPr>
                <w:webHidden/>
              </w:rPr>
            </w:r>
            <w:r>
              <w:rPr>
                <w:webHidden/>
              </w:rPr>
              <w:fldChar w:fldCharType="separate"/>
            </w:r>
            <w:r>
              <w:rPr>
                <w:webHidden/>
              </w:rPr>
              <w:t>29</w:t>
            </w:r>
            <w:r>
              <w:rPr>
                <w:webHidden/>
              </w:rPr>
              <w:fldChar w:fldCharType="end"/>
            </w:r>
          </w:hyperlink>
        </w:p>
        <w:p w14:paraId="27290BB2" w14:textId="3205F834"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1" w:history="1">
            <w:r w:rsidRPr="00C769A9">
              <w:rPr>
                <w:rStyle w:val="Hyperlink"/>
              </w:rPr>
              <w:t>3.8</w:t>
            </w:r>
            <w:r>
              <w:rPr>
                <w:rFonts w:asciiTheme="minorHAnsi" w:eastAsiaTheme="minorEastAsia" w:hAnsiTheme="minorHAnsi" w:cstheme="minorBidi"/>
                <w:kern w:val="2"/>
                <w:sz w:val="24"/>
                <w:szCs w:val="24"/>
                <w:lang w:eastAsia="en-AU"/>
                <w14:ligatures w14:val="standardContextual"/>
              </w:rPr>
              <w:tab/>
            </w:r>
            <w:r w:rsidRPr="00C769A9">
              <w:rPr>
                <w:rStyle w:val="Hyperlink"/>
              </w:rPr>
              <w:t>Transition Care Program (TCP)</w:t>
            </w:r>
            <w:r>
              <w:rPr>
                <w:webHidden/>
              </w:rPr>
              <w:tab/>
            </w:r>
            <w:r>
              <w:rPr>
                <w:webHidden/>
              </w:rPr>
              <w:fldChar w:fldCharType="begin"/>
            </w:r>
            <w:r>
              <w:rPr>
                <w:webHidden/>
              </w:rPr>
              <w:instrText xml:space="preserve"> PAGEREF _Toc234580311 \h </w:instrText>
            </w:r>
            <w:r>
              <w:rPr>
                <w:webHidden/>
              </w:rPr>
            </w:r>
            <w:r>
              <w:rPr>
                <w:webHidden/>
              </w:rPr>
              <w:fldChar w:fldCharType="separate"/>
            </w:r>
            <w:r>
              <w:rPr>
                <w:webHidden/>
              </w:rPr>
              <w:t>29</w:t>
            </w:r>
            <w:r>
              <w:rPr>
                <w:webHidden/>
              </w:rPr>
              <w:fldChar w:fldCharType="end"/>
            </w:r>
          </w:hyperlink>
        </w:p>
        <w:p w14:paraId="6CB2801B" w14:textId="3804AC67"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12" w:history="1">
            <w:r w:rsidRPr="00C769A9">
              <w:rPr>
                <w:rStyle w:val="Hyperlink"/>
              </w:rPr>
              <w:t>4</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Compensable, cross-border and prisoner patients</w:t>
            </w:r>
            <w:r>
              <w:rPr>
                <w:webHidden/>
              </w:rPr>
              <w:tab/>
            </w:r>
            <w:r>
              <w:rPr>
                <w:webHidden/>
              </w:rPr>
              <w:fldChar w:fldCharType="begin"/>
            </w:r>
            <w:r>
              <w:rPr>
                <w:webHidden/>
              </w:rPr>
              <w:instrText xml:space="preserve"> PAGEREF _Toc234580312 \h </w:instrText>
            </w:r>
            <w:r>
              <w:rPr>
                <w:webHidden/>
              </w:rPr>
            </w:r>
            <w:r>
              <w:rPr>
                <w:webHidden/>
              </w:rPr>
              <w:fldChar w:fldCharType="separate"/>
            </w:r>
            <w:r>
              <w:rPr>
                <w:webHidden/>
              </w:rPr>
              <w:t>30</w:t>
            </w:r>
            <w:r>
              <w:rPr>
                <w:webHidden/>
              </w:rPr>
              <w:fldChar w:fldCharType="end"/>
            </w:r>
          </w:hyperlink>
        </w:p>
        <w:p w14:paraId="16E980D9" w14:textId="65C9B576"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3" w:history="1">
            <w:r w:rsidRPr="00C769A9">
              <w:rPr>
                <w:rStyle w:val="Hyperlink"/>
              </w:rPr>
              <w:t>4.1</w:t>
            </w:r>
            <w:r>
              <w:rPr>
                <w:rFonts w:asciiTheme="minorHAnsi" w:eastAsiaTheme="minorEastAsia" w:hAnsiTheme="minorHAnsi" w:cstheme="minorBidi"/>
                <w:kern w:val="2"/>
                <w:sz w:val="24"/>
                <w:szCs w:val="24"/>
                <w:lang w:eastAsia="en-AU"/>
                <w14:ligatures w14:val="standardContextual"/>
              </w:rPr>
              <w:tab/>
            </w:r>
            <w:r w:rsidRPr="00C769A9">
              <w:rPr>
                <w:rStyle w:val="Hyperlink"/>
              </w:rPr>
              <w:t>Department of Veterans’ Affairs (DVA)</w:t>
            </w:r>
            <w:r>
              <w:rPr>
                <w:webHidden/>
              </w:rPr>
              <w:tab/>
            </w:r>
            <w:r>
              <w:rPr>
                <w:webHidden/>
              </w:rPr>
              <w:fldChar w:fldCharType="begin"/>
            </w:r>
            <w:r>
              <w:rPr>
                <w:webHidden/>
              </w:rPr>
              <w:instrText xml:space="preserve"> PAGEREF _Toc234580313 \h </w:instrText>
            </w:r>
            <w:r>
              <w:rPr>
                <w:webHidden/>
              </w:rPr>
            </w:r>
            <w:r>
              <w:rPr>
                <w:webHidden/>
              </w:rPr>
              <w:fldChar w:fldCharType="separate"/>
            </w:r>
            <w:r>
              <w:rPr>
                <w:webHidden/>
              </w:rPr>
              <w:t>30</w:t>
            </w:r>
            <w:r>
              <w:rPr>
                <w:webHidden/>
              </w:rPr>
              <w:fldChar w:fldCharType="end"/>
            </w:r>
          </w:hyperlink>
        </w:p>
        <w:p w14:paraId="1700D42F" w14:textId="63773C7C"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4" w:history="1">
            <w:r w:rsidRPr="00C769A9">
              <w:rPr>
                <w:rStyle w:val="Hyperlink"/>
              </w:rPr>
              <w:t>4.2</w:t>
            </w:r>
            <w:r>
              <w:rPr>
                <w:rFonts w:asciiTheme="minorHAnsi" w:eastAsiaTheme="minorEastAsia" w:hAnsiTheme="minorHAnsi" w:cstheme="minorBidi"/>
                <w:kern w:val="2"/>
                <w:sz w:val="24"/>
                <w:szCs w:val="24"/>
                <w:lang w:eastAsia="en-AU"/>
                <w14:ligatures w14:val="standardContextual"/>
              </w:rPr>
              <w:tab/>
            </w:r>
            <w:r w:rsidRPr="00C769A9">
              <w:rPr>
                <w:rStyle w:val="Hyperlink"/>
              </w:rPr>
              <w:t>TAC patients</w:t>
            </w:r>
            <w:r>
              <w:rPr>
                <w:webHidden/>
              </w:rPr>
              <w:tab/>
            </w:r>
            <w:r>
              <w:rPr>
                <w:webHidden/>
              </w:rPr>
              <w:fldChar w:fldCharType="begin"/>
            </w:r>
            <w:r>
              <w:rPr>
                <w:webHidden/>
              </w:rPr>
              <w:instrText xml:space="preserve"> PAGEREF _Toc234580314 \h </w:instrText>
            </w:r>
            <w:r>
              <w:rPr>
                <w:webHidden/>
              </w:rPr>
            </w:r>
            <w:r>
              <w:rPr>
                <w:webHidden/>
              </w:rPr>
              <w:fldChar w:fldCharType="separate"/>
            </w:r>
            <w:r>
              <w:rPr>
                <w:webHidden/>
              </w:rPr>
              <w:t>31</w:t>
            </w:r>
            <w:r>
              <w:rPr>
                <w:webHidden/>
              </w:rPr>
              <w:fldChar w:fldCharType="end"/>
            </w:r>
          </w:hyperlink>
        </w:p>
        <w:p w14:paraId="15D8D044" w14:textId="08CE6EFA"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5" w:history="1">
            <w:r w:rsidRPr="00C769A9">
              <w:rPr>
                <w:rStyle w:val="Hyperlink"/>
              </w:rPr>
              <w:t>4.3</w:t>
            </w:r>
            <w:r>
              <w:rPr>
                <w:rFonts w:asciiTheme="minorHAnsi" w:eastAsiaTheme="minorEastAsia" w:hAnsiTheme="minorHAnsi" w:cstheme="minorBidi"/>
                <w:kern w:val="2"/>
                <w:sz w:val="24"/>
                <w:szCs w:val="24"/>
                <w:lang w:eastAsia="en-AU"/>
                <w14:ligatures w14:val="standardContextual"/>
              </w:rPr>
              <w:tab/>
            </w:r>
            <w:r w:rsidRPr="00C769A9">
              <w:rPr>
                <w:rStyle w:val="Hyperlink"/>
              </w:rPr>
              <w:t>WorkSafe Victoria patients</w:t>
            </w:r>
            <w:r>
              <w:rPr>
                <w:webHidden/>
              </w:rPr>
              <w:tab/>
            </w:r>
            <w:r>
              <w:rPr>
                <w:webHidden/>
              </w:rPr>
              <w:fldChar w:fldCharType="begin"/>
            </w:r>
            <w:r>
              <w:rPr>
                <w:webHidden/>
              </w:rPr>
              <w:instrText xml:space="preserve"> PAGEREF _Toc234580315 \h </w:instrText>
            </w:r>
            <w:r>
              <w:rPr>
                <w:webHidden/>
              </w:rPr>
            </w:r>
            <w:r>
              <w:rPr>
                <w:webHidden/>
              </w:rPr>
              <w:fldChar w:fldCharType="separate"/>
            </w:r>
            <w:r>
              <w:rPr>
                <w:webHidden/>
              </w:rPr>
              <w:t>32</w:t>
            </w:r>
            <w:r>
              <w:rPr>
                <w:webHidden/>
              </w:rPr>
              <w:fldChar w:fldCharType="end"/>
            </w:r>
          </w:hyperlink>
        </w:p>
        <w:p w14:paraId="39BA753B" w14:textId="54C333A8"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6" w:history="1">
            <w:r w:rsidRPr="00C769A9">
              <w:rPr>
                <w:rStyle w:val="Hyperlink"/>
              </w:rPr>
              <w:t>4.4</w:t>
            </w:r>
            <w:r>
              <w:rPr>
                <w:rFonts w:asciiTheme="minorHAnsi" w:eastAsiaTheme="minorEastAsia" w:hAnsiTheme="minorHAnsi" w:cstheme="minorBidi"/>
                <w:kern w:val="2"/>
                <w:sz w:val="24"/>
                <w:szCs w:val="24"/>
                <w:lang w:eastAsia="en-AU"/>
                <w14:ligatures w14:val="standardContextual"/>
              </w:rPr>
              <w:tab/>
            </w:r>
            <w:r w:rsidRPr="00C769A9">
              <w:rPr>
                <w:rStyle w:val="Hyperlink"/>
              </w:rPr>
              <w:t>Direct-billing-compensable patients</w:t>
            </w:r>
            <w:r>
              <w:rPr>
                <w:webHidden/>
              </w:rPr>
              <w:tab/>
            </w:r>
            <w:r>
              <w:rPr>
                <w:webHidden/>
              </w:rPr>
              <w:fldChar w:fldCharType="begin"/>
            </w:r>
            <w:r>
              <w:rPr>
                <w:webHidden/>
              </w:rPr>
              <w:instrText xml:space="preserve"> PAGEREF _Toc234580316 \h </w:instrText>
            </w:r>
            <w:r>
              <w:rPr>
                <w:webHidden/>
              </w:rPr>
            </w:r>
            <w:r>
              <w:rPr>
                <w:webHidden/>
              </w:rPr>
              <w:fldChar w:fldCharType="separate"/>
            </w:r>
            <w:r>
              <w:rPr>
                <w:webHidden/>
              </w:rPr>
              <w:t>32</w:t>
            </w:r>
            <w:r>
              <w:rPr>
                <w:webHidden/>
              </w:rPr>
              <w:fldChar w:fldCharType="end"/>
            </w:r>
          </w:hyperlink>
        </w:p>
        <w:p w14:paraId="41301893" w14:textId="5428718B"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7" w:history="1">
            <w:r w:rsidRPr="00C769A9">
              <w:rPr>
                <w:rStyle w:val="Hyperlink"/>
              </w:rPr>
              <w:t>4.5</w:t>
            </w:r>
            <w:r>
              <w:rPr>
                <w:rFonts w:asciiTheme="minorHAnsi" w:eastAsiaTheme="minorEastAsia" w:hAnsiTheme="minorHAnsi" w:cstheme="minorBidi"/>
                <w:kern w:val="2"/>
                <w:sz w:val="24"/>
                <w:szCs w:val="24"/>
                <w:lang w:eastAsia="en-AU"/>
                <w14:ligatures w14:val="standardContextual"/>
              </w:rPr>
              <w:tab/>
            </w:r>
            <w:r w:rsidRPr="00C769A9">
              <w:rPr>
                <w:rStyle w:val="Hyperlink"/>
              </w:rPr>
              <w:t>Cross-border patients</w:t>
            </w:r>
            <w:r>
              <w:rPr>
                <w:webHidden/>
              </w:rPr>
              <w:tab/>
            </w:r>
            <w:r>
              <w:rPr>
                <w:webHidden/>
              </w:rPr>
              <w:fldChar w:fldCharType="begin"/>
            </w:r>
            <w:r>
              <w:rPr>
                <w:webHidden/>
              </w:rPr>
              <w:instrText xml:space="preserve"> PAGEREF _Toc234580317 \h </w:instrText>
            </w:r>
            <w:r>
              <w:rPr>
                <w:webHidden/>
              </w:rPr>
            </w:r>
            <w:r>
              <w:rPr>
                <w:webHidden/>
              </w:rPr>
              <w:fldChar w:fldCharType="separate"/>
            </w:r>
            <w:r>
              <w:rPr>
                <w:webHidden/>
              </w:rPr>
              <w:t>33</w:t>
            </w:r>
            <w:r>
              <w:rPr>
                <w:webHidden/>
              </w:rPr>
              <w:fldChar w:fldCharType="end"/>
            </w:r>
          </w:hyperlink>
        </w:p>
        <w:p w14:paraId="6D2B8575" w14:textId="37823F72"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8" w:history="1">
            <w:r w:rsidRPr="00C769A9">
              <w:rPr>
                <w:rStyle w:val="Hyperlink"/>
              </w:rPr>
              <w:t>4.6</w:t>
            </w:r>
            <w:r>
              <w:rPr>
                <w:rFonts w:asciiTheme="minorHAnsi" w:eastAsiaTheme="minorEastAsia" w:hAnsiTheme="minorHAnsi" w:cstheme="minorBidi"/>
                <w:kern w:val="2"/>
                <w:sz w:val="24"/>
                <w:szCs w:val="24"/>
                <w:lang w:eastAsia="en-AU"/>
                <w14:ligatures w14:val="standardContextual"/>
              </w:rPr>
              <w:tab/>
            </w:r>
            <w:r w:rsidRPr="00C769A9">
              <w:rPr>
                <w:rStyle w:val="Hyperlink"/>
              </w:rPr>
              <w:t>Private patients in public hospitals</w:t>
            </w:r>
            <w:r>
              <w:rPr>
                <w:webHidden/>
              </w:rPr>
              <w:tab/>
            </w:r>
            <w:r>
              <w:rPr>
                <w:webHidden/>
              </w:rPr>
              <w:fldChar w:fldCharType="begin"/>
            </w:r>
            <w:r>
              <w:rPr>
                <w:webHidden/>
              </w:rPr>
              <w:instrText xml:space="preserve"> PAGEREF _Toc234580318 \h </w:instrText>
            </w:r>
            <w:r>
              <w:rPr>
                <w:webHidden/>
              </w:rPr>
            </w:r>
            <w:r>
              <w:rPr>
                <w:webHidden/>
              </w:rPr>
              <w:fldChar w:fldCharType="separate"/>
            </w:r>
            <w:r>
              <w:rPr>
                <w:webHidden/>
              </w:rPr>
              <w:t>33</w:t>
            </w:r>
            <w:r>
              <w:rPr>
                <w:webHidden/>
              </w:rPr>
              <w:fldChar w:fldCharType="end"/>
            </w:r>
          </w:hyperlink>
        </w:p>
        <w:p w14:paraId="39ABD357" w14:textId="23766D76"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19" w:history="1">
            <w:r w:rsidRPr="00C769A9">
              <w:rPr>
                <w:rStyle w:val="Hyperlink"/>
              </w:rPr>
              <w:t>4.7</w:t>
            </w:r>
            <w:r>
              <w:rPr>
                <w:rFonts w:asciiTheme="minorHAnsi" w:eastAsiaTheme="minorEastAsia" w:hAnsiTheme="minorHAnsi" w:cstheme="minorBidi"/>
                <w:kern w:val="2"/>
                <w:sz w:val="24"/>
                <w:szCs w:val="24"/>
                <w:lang w:eastAsia="en-AU"/>
                <w14:ligatures w14:val="standardContextual"/>
              </w:rPr>
              <w:tab/>
            </w:r>
            <w:r w:rsidRPr="00C769A9">
              <w:rPr>
                <w:rStyle w:val="Hyperlink"/>
              </w:rPr>
              <w:t>Prisoners</w:t>
            </w:r>
            <w:r>
              <w:rPr>
                <w:webHidden/>
              </w:rPr>
              <w:tab/>
            </w:r>
            <w:r>
              <w:rPr>
                <w:webHidden/>
              </w:rPr>
              <w:fldChar w:fldCharType="begin"/>
            </w:r>
            <w:r>
              <w:rPr>
                <w:webHidden/>
              </w:rPr>
              <w:instrText xml:space="preserve"> PAGEREF _Toc234580319 \h </w:instrText>
            </w:r>
            <w:r>
              <w:rPr>
                <w:webHidden/>
              </w:rPr>
            </w:r>
            <w:r>
              <w:rPr>
                <w:webHidden/>
              </w:rPr>
              <w:fldChar w:fldCharType="separate"/>
            </w:r>
            <w:r>
              <w:rPr>
                <w:webHidden/>
              </w:rPr>
              <w:t>34</w:t>
            </w:r>
            <w:r>
              <w:rPr>
                <w:webHidden/>
              </w:rPr>
              <w:fldChar w:fldCharType="end"/>
            </w:r>
          </w:hyperlink>
        </w:p>
        <w:p w14:paraId="0FD77192" w14:textId="156E3F3E"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20" w:history="1">
            <w:r w:rsidRPr="00C769A9">
              <w:rPr>
                <w:rStyle w:val="Hyperlink"/>
                <w:rFonts w:eastAsia="Arial"/>
              </w:rPr>
              <w:t>5</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Improving health outcomes for Aboriginal and Torres Strait Islander patients</w:t>
            </w:r>
            <w:r>
              <w:rPr>
                <w:webHidden/>
              </w:rPr>
              <w:tab/>
            </w:r>
            <w:r>
              <w:rPr>
                <w:webHidden/>
              </w:rPr>
              <w:fldChar w:fldCharType="begin"/>
            </w:r>
            <w:r>
              <w:rPr>
                <w:webHidden/>
              </w:rPr>
              <w:instrText xml:space="preserve"> PAGEREF _Toc234580320 \h </w:instrText>
            </w:r>
            <w:r>
              <w:rPr>
                <w:webHidden/>
              </w:rPr>
            </w:r>
            <w:r>
              <w:rPr>
                <w:webHidden/>
              </w:rPr>
              <w:fldChar w:fldCharType="separate"/>
            </w:r>
            <w:r>
              <w:rPr>
                <w:webHidden/>
              </w:rPr>
              <w:t>35</w:t>
            </w:r>
            <w:r>
              <w:rPr>
                <w:webHidden/>
              </w:rPr>
              <w:fldChar w:fldCharType="end"/>
            </w:r>
          </w:hyperlink>
        </w:p>
        <w:p w14:paraId="572CB405" w14:textId="6E8B91C6"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21" w:history="1">
            <w:r w:rsidRPr="00C769A9">
              <w:rPr>
                <w:rStyle w:val="Hyperlink"/>
              </w:rPr>
              <w:t>5.1</w:t>
            </w:r>
            <w:r>
              <w:rPr>
                <w:rFonts w:asciiTheme="minorHAnsi" w:eastAsiaTheme="minorEastAsia" w:hAnsiTheme="minorHAnsi" w:cstheme="minorBidi"/>
                <w:kern w:val="2"/>
                <w:sz w:val="24"/>
                <w:szCs w:val="24"/>
                <w:lang w:eastAsia="en-AU"/>
                <w14:ligatures w14:val="standardContextual"/>
              </w:rPr>
              <w:tab/>
            </w:r>
            <w:r w:rsidRPr="00C769A9">
              <w:rPr>
                <w:rStyle w:val="Hyperlink"/>
              </w:rPr>
              <w:t>Indicators and monitoring</w:t>
            </w:r>
            <w:r>
              <w:rPr>
                <w:webHidden/>
              </w:rPr>
              <w:tab/>
            </w:r>
            <w:r>
              <w:rPr>
                <w:webHidden/>
              </w:rPr>
              <w:fldChar w:fldCharType="begin"/>
            </w:r>
            <w:r>
              <w:rPr>
                <w:webHidden/>
              </w:rPr>
              <w:instrText xml:space="preserve"> PAGEREF _Toc234580321 \h </w:instrText>
            </w:r>
            <w:r>
              <w:rPr>
                <w:webHidden/>
              </w:rPr>
            </w:r>
            <w:r>
              <w:rPr>
                <w:webHidden/>
              </w:rPr>
              <w:fldChar w:fldCharType="separate"/>
            </w:r>
            <w:r>
              <w:rPr>
                <w:webHidden/>
              </w:rPr>
              <w:t>35</w:t>
            </w:r>
            <w:r>
              <w:rPr>
                <w:webHidden/>
              </w:rPr>
              <w:fldChar w:fldCharType="end"/>
            </w:r>
          </w:hyperlink>
        </w:p>
        <w:p w14:paraId="690316AE" w14:textId="513E1BCF"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22" w:history="1">
            <w:r w:rsidRPr="00C769A9">
              <w:rPr>
                <w:rStyle w:val="Hyperlink"/>
              </w:rPr>
              <w:t>6</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Pricing for quality</w:t>
            </w:r>
            <w:r>
              <w:rPr>
                <w:webHidden/>
              </w:rPr>
              <w:tab/>
            </w:r>
            <w:r>
              <w:rPr>
                <w:webHidden/>
              </w:rPr>
              <w:fldChar w:fldCharType="begin"/>
            </w:r>
            <w:r>
              <w:rPr>
                <w:webHidden/>
              </w:rPr>
              <w:instrText xml:space="preserve"> PAGEREF _Toc234580322 \h </w:instrText>
            </w:r>
            <w:r>
              <w:rPr>
                <w:webHidden/>
              </w:rPr>
            </w:r>
            <w:r>
              <w:rPr>
                <w:webHidden/>
              </w:rPr>
              <w:fldChar w:fldCharType="separate"/>
            </w:r>
            <w:r>
              <w:rPr>
                <w:webHidden/>
              </w:rPr>
              <w:t>36</w:t>
            </w:r>
            <w:r>
              <w:rPr>
                <w:webHidden/>
              </w:rPr>
              <w:fldChar w:fldCharType="end"/>
            </w:r>
          </w:hyperlink>
        </w:p>
        <w:p w14:paraId="3689FC82" w14:textId="45E74603"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23" w:history="1">
            <w:r w:rsidRPr="00C769A9">
              <w:rPr>
                <w:rStyle w:val="Hyperlink"/>
                <w:lang w:eastAsia="en-AU"/>
              </w:rPr>
              <w:t>6.1</w:t>
            </w:r>
            <w:r>
              <w:rPr>
                <w:rFonts w:asciiTheme="minorHAnsi" w:eastAsiaTheme="minorEastAsia" w:hAnsiTheme="minorHAnsi" w:cstheme="minorBidi"/>
                <w:kern w:val="2"/>
                <w:sz w:val="24"/>
                <w:szCs w:val="24"/>
                <w:lang w:eastAsia="en-AU"/>
                <w14:ligatures w14:val="standardContextual"/>
              </w:rPr>
              <w:tab/>
            </w:r>
            <w:r w:rsidRPr="00C769A9">
              <w:rPr>
                <w:rStyle w:val="Hyperlink"/>
                <w:lang w:eastAsia="en-AU"/>
              </w:rPr>
              <w:t>Sentinel events</w:t>
            </w:r>
            <w:r>
              <w:rPr>
                <w:webHidden/>
              </w:rPr>
              <w:tab/>
            </w:r>
            <w:r>
              <w:rPr>
                <w:webHidden/>
              </w:rPr>
              <w:fldChar w:fldCharType="begin"/>
            </w:r>
            <w:r>
              <w:rPr>
                <w:webHidden/>
              </w:rPr>
              <w:instrText xml:space="preserve"> PAGEREF _Toc234580323 \h </w:instrText>
            </w:r>
            <w:r>
              <w:rPr>
                <w:webHidden/>
              </w:rPr>
            </w:r>
            <w:r>
              <w:rPr>
                <w:webHidden/>
              </w:rPr>
              <w:fldChar w:fldCharType="separate"/>
            </w:r>
            <w:r>
              <w:rPr>
                <w:webHidden/>
              </w:rPr>
              <w:t>36</w:t>
            </w:r>
            <w:r>
              <w:rPr>
                <w:webHidden/>
              </w:rPr>
              <w:fldChar w:fldCharType="end"/>
            </w:r>
          </w:hyperlink>
        </w:p>
        <w:p w14:paraId="66A8E542" w14:textId="431293D3"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24" w:history="1">
            <w:r w:rsidRPr="00C769A9">
              <w:rPr>
                <w:rStyle w:val="Hyperlink"/>
                <w:lang w:eastAsia="en-AU"/>
              </w:rPr>
              <w:t>6.2</w:t>
            </w:r>
            <w:r>
              <w:rPr>
                <w:rFonts w:asciiTheme="minorHAnsi" w:eastAsiaTheme="minorEastAsia" w:hAnsiTheme="minorHAnsi" w:cstheme="minorBidi"/>
                <w:kern w:val="2"/>
                <w:sz w:val="24"/>
                <w:szCs w:val="24"/>
                <w:lang w:eastAsia="en-AU"/>
                <w14:ligatures w14:val="standardContextual"/>
              </w:rPr>
              <w:tab/>
            </w:r>
            <w:r w:rsidRPr="00C769A9">
              <w:rPr>
                <w:rStyle w:val="Hyperlink"/>
                <w:lang w:eastAsia="en-AU"/>
              </w:rPr>
              <w:t>Hospital Acquired Complications (HACs)</w:t>
            </w:r>
            <w:r>
              <w:rPr>
                <w:webHidden/>
              </w:rPr>
              <w:tab/>
            </w:r>
            <w:r>
              <w:rPr>
                <w:webHidden/>
              </w:rPr>
              <w:fldChar w:fldCharType="begin"/>
            </w:r>
            <w:r>
              <w:rPr>
                <w:webHidden/>
              </w:rPr>
              <w:instrText xml:space="preserve"> PAGEREF _Toc234580324 \h </w:instrText>
            </w:r>
            <w:r>
              <w:rPr>
                <w:webHidden/>
              </w:rPr>
            </w:r>
            <w:r>
              <w:rPr>
                <w:webHidden/>
              </w:rPr>
              <w:fldChar w:fldCharType="separate"/>
            </w:r>
            <w:r>
              <w:rPr>
                <w:webHidden/>
              </w:rPr>
              <w:t>36</w:t>
            </w:r>
            <w:r>
              <w:rPr>
                <w:webHidden/>
              </w:rPr>
              <w:fldChar w:fldCharType="end"/>
            </w:r>
          </w:hyperlink>
        </w:p>
        <w:p w14:paraId="7870139A" w14:textId="1F900954"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25" w:history="1">
            <w:r w:rsidRPr="00C769A9">
              <w:rPr>
                <w:rStyle w:val="Hyperlink"/>
                <w:lang w:eastAsia="en-AU"/>
              </w:rPr>
              <w:t>6.3</w:t>
            </w:r>
            <w:r>
              <w:rPr>
                <w:rFonts w:asciiTheme="minorHAnsi" w:eastAsiaTheme="minorEastAsia" w:hAnsiTheme="minorHAnsi" w:cstheme="minorBidi"/>
                <w:kern w:val="2"/>
                <w:sz w:val="24"/>
                <w:szCs w:val="24"/>
                <w:lang w:eastAsia="en-AU"/>
                <w14:ligatures w14:val="standardContextual"/>
              </w:rPr>
              <w:tab/>
            </w:r>
            <w:r w:rsidRPr="00C769A9">
              <w:rPr>
                <w:rStyle w:val="Hyperlink"/>
                <w:lang w:eastAsia="en-AU"/>
              </w:rPr>
              <w:t>Avoidable hospital readmissions (AHRs)</w:t>
            </w:r>
            <w:r>
              <w:rPr>
                <w:webHidden/>
              </w:rPr>
              <w:tab/>
            </w:r>
            <w:r>
              <w:rPr>
                <w:webHidden/>
              </w:rPr>
              <w:fldChar w:fldCharType="begin"/>
            </w:r>
            <w:r>
              <w:rPr>
                <w:webHidden/>
              </w:rPr>
              <w:instrText xml:space="preserve"> PAGEREF _Toc234580325 \h </w:instrText>
            </w:r>
            <w:r>
              <w:rPr>
                <w:webHidden/>
              </w:rPr>
            </w:r>
            <w:r>
              <w:rPr>
                <w:webHidden/>
              </w:rPr>
              <w:fldChar w:fldCharType="separate"/>
            </w:r>
            <w:r>
              <w:rPr>
                <w:webHidden/>
              </w:rPr>
              <w:t>36</w:t>
            </w:r>
            <w:r>
              <w:rPr>
                <w:webHidden/>
              </w:rPr>
              <w:fldChar w:fldCharType="end"/>
            </w:r>
          </w:hyperlink>
        </w:p>
        <w:p w14:paraId="7EACFA18" w14:textId="0DD14B76"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26" w:history="1">
            <w:r w:rsidRPr="00C769A9">
              <w:rPr>
                <w:rStyle w:val="Hyperlink"/>
              </w:rPr>
              <w:t>7</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Health service requirements</w:t>
            </w:r>
            <w:r>
              <w:rPr>
                <w:webHidden/>
              </w:rPr>
              <w:tab/>
            </w:r>
            <w:r>
              <w:rPr>
                <w:webHidden/>
              </w:rPr>
              <w:fldChar w:fldCharType="begin"/>
            </w:r>
            <w:r>
              <w:rPr>
                <w:webHidden/>
              </w:rPr>
              <w:instrText xml:space="preserve"> PAGEREF _Toc234580326 \h </w:instrText>
            </w:r>
            <w:r>
              <w:rPr>
                <w:webHidden/>
              </w:rPr>
            </w:r>
            <w:r>
              <w:rPr>
                <w:webHidden/>
              </w:rPr>
              <w:fldChar w:fldCharType="separate"/>
            </w:r>
            <w:r>
              <w:rPr>
                <w:webHidden/>
              </w:rPr>
              <w:t>37</w:t>
            </w:r>
            <w:r>
              <w:rPr>
                <w:webHidden/>
              </w:rPr>
              <w:fldChar w:fldCharType="end"/>
            </w:r>
          </w:hyperlink>
        </w:p>
        <w:p w14:paraId="4D03745D" w14:textId="4A9BFC0E"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27" w:history="1">
            <w:r w:rsidRPr="00C769A9">
              <w:rPr>
                <w:rStyle w:val="Hyperlink"/>
              </w:rPr>
              <w:t>7.1</w:t>
            </w:r>
            <w:r>
              <w:rPr>
                <w:rFonts w:asciiTheme="minorHAnsi" w:eastAsiaTheme="minorEastAsia" w:hAnsiTheme="minorHAnsi" w:cstheme="minorBidi"/>
                <w:kern w:val="2"/>
                <w:sz w:val="24"/>
                <w:szCs w:val="24"/>
                <w:lang w:eastAsia="en-AU"/>
                <w14:ligatures w14:val="standardContextual"/>
              </w:rPr>
              <w:tab/>
            </w:r>
            <w:r w:rsidRPr="00C769A9">
              <w:rPr>
                <w:rStyle w:val="Hyperlink"/>
              </w:rPr>
              <w:t>Patient costing</w:t>
            </w:r>
            <w:r>
              <w:rPr>
                <w:webHidden/>
              </w:rPr>
              <w:tab/>
            </w:r>
            <w:r>
              <w:rPr>
                <w:webHidden/>
              </w:rPr>
              <w:fldChar w:fldCharType="begin"/>
            </w:r>
            <w:r>
              <w:rPr>
                <w:webHidden/>
              </w:rPr>
              <w:instrText xml:space="preserve"> PAGEREF _Toc234580327 \h </w:instrText>
            </w:r>
            <w:r>
              <w:rPr>
                <w:webHidden/>
              </w:rPr>
            </w:r>
            <w:r>
              <w:rPr>
                <w:webHidden/>
              </w:rPr>
              <w:fldChar w:fldCharType="separate"/>
            </w:r>
            <w:r>
              <w:rPr>
                <w:webHidden/>
              </w:rPr>
              <w:t>37</w:t>
            </w:r>
            <w:r>
              <w:rPr>
                <w:webHidden/>
              </w:rPr>
              <w:fldChar w:fldCharType="end"/>
            </w:r>
          </w:hyperlink>
        </w:p>
        <w:p w14:paraId="1893E130" w14:textId="6823665F"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28" w:history="1">
            <w:r w:rsidRPr="00C769A9">
              <w:rPr>
                <w:rStyle w:val="Hyperlink"/>
                <w:rFonts w:cs="Arial"/>
              </w:rPr>
              <w:t>7.2</w:t>
            </w:r>
            <w:r>
              <w:rPr>
                <w:rFonts w:asciiTheme="minorHAnsi" w:eastAsiaTheme="minorEastAsia" w:hAnsiTheme="minorHAnsi" w:cstheme="minorBidi"/>
                <w:kern w:val="2"/>
                <w:sz w:val="24"/>
                <w:szCs w:val="24"/>
                <w:lang w:eastAsia="en-AU"/>
                <w14:ligatures w14:val="standardContextual"/>
              </w:rPr>
              <w:tab/>
            </w:r>
            <w:r w:rsidRPr="00C769A9">
              <w:rPr>
                <w:rStyle w:val="Hyperlink"/>
              </w:rPr>
              <w:t>Activity reporting</w:t>
            </w:r>
            <w:r>
              <w:rPr>
                <w:webHidden/>
              </w:rPr>
              <w:tab/>
            </w:r>
            <w:r>
              <w:rPr>
                <w:webHidden/>
              </w:rPr>
              <w:fldChar w:fldCharType="begin"/>
            </w:r>
            <w:r>
              <w:rPr>
                <w:webHidden/>
              </w:rPr>
              <w:instrText xml:space="preserve"> PAGEREF _Toc234580328 \h </w:instrText>
            </w:r>
            <w:r>
              <w:rPr>
                <w:webHidden/>
              </w:rPr>
            </w:r>
            <w:r>
              <w:rPr>
                <w:webHidden/>
              </w:rPr>
              <w:fldChar w:fldCharType="separate"/>
            </w:r>
            <w:r>
              <w:rPr>
                <w:webHidden/>
              </w:rPr>
              <w:t>37</w:t>
            </w:r>
            <w:r>
              <w:rPr>
                <w:webHidden/>
              </w:rPr>
              <w:fldChar w:fldCharType="end"/>
            </w:r>
          </w:hyperlink>
        </w:p>
        <w:p w14:paraId="6B4EF382" w14:textId="25E4A19B"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34" w:history="1">
            <w:r w:rsidRPr="00C769A9">
              <w:rPr>
                <w:rStyle w:val="Hyperlink"/>
              </w:rPr>
              <w:t>8</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National funding model: classifications and payment flows</w:t>
            </w:r>
            <w:r>
              <w:rPr>
                <w:webHidden/>
              </w:rPr>
              <w:tab/>
            </w:r>
            <w:r>
              <w:rPr>
                <w:webHidden/>
              </w:rPr>
              <w:fldChar w:fldCharType="begin"/>
            </w:r>
            <w:r>
              <w:rPr>
                <w:webHidden/>
              </w:rPr>
              <w:instrText xml:space="preserve"> PAGEREF _Toc234580334 \h </w:instrText>
            </w:r>
            <w:r>
              <w:rPr>
                <w:webHidden/>
              </w:rPr>
            </w:r>
            <w:r>
              <w:rPr>
                <w:webHidden/>
              </w:rPr>
              <w:fldChar w:fldCharType="separate"/>
            </w:r>
            <w:r>
              <w:rPr>
                <w:webHidden/>
              </w:rPr>
              <w:t>39</w:t>
            </w:r>
            <w:r>
              <w:rPr>
                <w:webHidden/>
              </w:rPr>
              <w:fldChar w:fldCharType="end"/>
            </w:r>
          </w:hyperlink>
        </w:p>
        <w:p w14:paraId="4EE0A189" w14:textId="4163162C"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35" w:history="1">
            <w:r w:rsidRPr="00C769A9">
              <w:rPr>
                <w:rStyle w:val="Hyperlink"/>
              </w:rPr>
              <w:t>8.1</w:t>
            </w:r>
            <w:r>
              <w:rPr>
                <w:rFonts w:asciiTheme="minorHAnsi" w:eastAsiaTheme="minorEastAsia" w:hAnsiTheme="minorHAnsi" w:cstheme="minorBidi"/>
                <w:kern w:val="2"/>
                <w:sz w:val="24"/>
                <w:szCs w:val="24"/>
                <w:lang w:eastAsia="en-AU"/>
                <w14:ligatures w14:val="standardContextual"/>
              </w:rPr>
              <w:tab/>
            </w:r>
            <w:r w:rsidRPr="00C769A9">
              <w:rPr>
                <w:rStyle w:val="Hyperlink"/>
              </w:rPr>
              <w:t xml:space="preserve">National classifications </w:t>
            </w:r>
            <w:r w:rsidR="009D05A6">
              <w:rPr>
                <w:rStyle w:val="Hyperlink"/>
              </w:rPr>
              <w:t>2026–27</w:t>
            </w:r>
            <w:r>
              <w:rPr>
                <w:webHidden/>
              </w:rPr>
              <w:tab/>
            </w:r>
            <w:r>
              <w:rPr>
                <w:webHidden/>
              </w:rPr>
              <w:fldChar w:fldCharType="begin"/>
            </w:r>
            <w:r>
              <w:rPr>
                <w:webHidden/>
              </w:rPr>
              <w:instrText xml:space="preserve"> PAGEREF _Toc234580335 \h </w:instrText>
            </w:r>
            <w:r>
              <w:rPr>
                <w:webHidden/>
              </w:rPr>
            </w:r>
            <w:r>
              <w:rPr>
                <w:webHidden/>
              </w:rPr>
              <w:fldChar w:fldCharType="separate"/>
            </w:r>
            <w:r>
              <w:rPr>
                <w:webHidden/>
              </w:rPr>
              <w:t>39</w:t>
            </w:r>
            <w:r>
              <w:rPr>
                <w:webHidden/>
              </w:rPr>
              <w:fldChar w:fldCharType="end"/>
            </w:r>
          </w:hyperlink>
        </w:p>
        <w:p w14:paraId="1AA1E069" w14:textId="54E2007E"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36" w:history="1">
            <w:r w:rsidRPr="00C769A9">
              <w:rPr>
                <w:rStyle w:val="Hyperlink"/>
              </w:rPr>
              <w:t>8.2</w:t>
            </w:r>
            <w:r>
              <w:rPr>
                <w:rFonts w:asciiTheme="minorHAnsi" w:eastAsiaTheme="minorEastAsia" w:hAnsiTheme="minorHAnsi" w:cstheme="minorBidi"/>
                <w:kern w:val="2"/>
                <w:sz w:val="24"/>
                <w:szCs w:val="24"/>
                <w:lang w:eastAsia="en-AU"/>
                <w14:ligatures w14:val="standardContextual"/>
              </w:rPr>
              <w:tab/>
            </w:r>
            <w:r w:rsidRPr="00C769A9">
              <w:rPr>
                <w:rStyle w:val="Hyperlink"/>
              </w:rPr>
              <w:t>National price weights and NEP</w:t>
            </w:r>
            <w:r>
              <w:rPr>
                <w:webHidden/>
              </w:rPr>
              <w:tab/>
            </w:r>
            <w:r>
              <w:rPr>
                <w:webHidden/>
              </w:rPr>
              <w:fldChar w:fldCharType="begin"/>
            </w:r>
            <w:r>
              <w:rPr>
                <w:webHidden/>
              </w:rPr>
              <w:instrText xml:space="preserve"> PAGEREF _Toc234580336 \h </w:instrText>
            </w:r>
            <w:r>
              <w:rPr>
                <w:webHidden/>
              </w:rPr>
            </w:r>
            <w:r>
              <w:rPr>
                <w:webHidden/>
              </w:rPr>
              <w:fldChar w:fldCharType="separate"/>
            </w:r>
            <w:r>
              <w:rPr>
                <w:webHidden/>
              </w:rPr>
              <w:t>39</w:t>
            </w:r>
            <w:r>
              <w:rPr>
                <w:webHidden/>
              </w:rPr>
              <w:fldChar w:fldCharType="end"/>
            </w:r>
          </w:hyperlink>
        </w:p>
        <w:p w14:paraId="4F2AD53D" w14:textId="2EDBB9CC"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37" w:history="1">
            <w:r w:rsidRPr="00C769A9">
              <w:rPr>
                <w:rStyle w:val="Hyperlink"/>
              </w:rPr>
              <w:t>8.3</w:t>
            </w:r>
            <w:r>
              <w:rPr>
                <w:rFonts w:asciiTheme="minorHAnsi" w:eastAsiaTheme="minorEastAsia" w:hAnsiTheme="minorHAnsi" w:cstheme="minorBidi"/>
                <w:kern w:val="2"/>
                <w:sz w:val="24"/>
                <w:szCs w:val="24"/>
                <w:lang w:eastAsia="en-AU"/>
                <w14:ligatures w14:val="standardContextual"/>
              </w:rPr>
              <w:tab/>
            </w:r>
            <w:r w:rsidRPr="00C769A9">
              <w:rPr>
                <w:rStyle w:val="Hyperlink"/>
              </w:rPr>
              <w:t>Adjustments to the national efficient price</w:t>
            </w:r>
            <w:r>
              <w:rPr>
                <w:webHidden/>
              </w:rPr>
              <w:tab/>
            </w:r>
            <w:r>
              <w:rPr>
                <w:webHidden/>
              </w:rPr>
              <w:fldChar w:fldCharType="begin"/>
            </w:r>
            <w:r>
              <w:rPr>
                <w:webHidden/>
              </w:rPr>
              <w:instrText xml:space="preserve"> PAGEREF _Toc234580337 \h </w:instrText>
            </w:r>
            <w:r>
              <w:rPr>
                <w:webHidden/>
              </w:rPr>
            </w:r>
            <w:r>
              <w:rPr>
                <w:webHidden/>
              </w:rPr>
              <w:fldChar w:fldCharType="separate"/>
            </w:r>
            <w:r>
              <w:rPr>
                <w:webHidden/>
              </w:rPr>
              <w:t>39</w:t>
            </w:r>
            <w:r>
              <w:rPr>
                <w:webHidden/>
              </w:rPr>
              <w:fldChar w:fldCharType="end"/>
            </w:r>
          </w:hyperlink>
        </w:p>
        <w:p w14:paraId="39436EBC" w14:textId="741DA584"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38" w:history="1">
            <w:r w:rsidRPr="00C769A9">
              <w:rPr>
                <w:rStyle w:val="Hyperlink"/>
              </w:rPr>
              <w:t>8.4</w:t>
            </w:r>
            <w:r>
              <w:rPr>
                <w:rFonts w:asciiTheme="minorHAnsi" w:eastAsiaTheme="minorEastAsia" w:hAnsiTheme="minorHAnsi" w:cstheme="minorBidi"/>
                <w:kern w:val="2"/>
                <w:sz w:val="24"/>
                <w:szCs w:val="24"/>
                <w:lang w:eastAsia="en-AU"/>
                <w14:ligatures w14:val="standardContextual"/>
              </w:rPr>
              <w:tab/>
            </w:r>
            <w:r w:rsidRPr="00C769A9">
              <w:rPr>
                <w:rStyle w:val="Hyperlink"/>
              </w:rPr>
              <w:t>Payment flows</w:t>
            </w:r>
            <w:r>
              <w:rPr>
                <w:webHidden/>
              </w:rPr>
              <w:tab/>
            </w:r>
            <w:r>
              <w:rPr>
                <w:webHidden/>
              </w:rPr>
              <w:fldChar w:fldCharType="begin"/>
            </w:r>
            <w:r>
              <w:rPr>
                <w:webHidden/>
              </w:rPr>
              <w:instrText xml:space="preserve"> PAGEREF _Toc234580338 \h </w:instrText>
            </w:r>
            <w:r>
              <w:rPr>
                <w:webHidden/>
              </w:rPr>
            </w:r>
            <w:r>
              <w:rPr>
                <w:webHidden/>
              </w:rPr>
              <w:fldChar w:fldCharType="separate"/>
            </w:r>
            <w:r>
              <w:rPr>
                <w:webHidden/>
              </w:rPr>
              <w:t>39</w:t>
            </w:r>
            <w:r>
              <w:rPr>
                <w:webHidden/>
              </w:rPr>
              <w:fldChar w:fldCharType="end"/>
            </w:r>
          </w:hyperlink>
        </w:p>
        <w:p w14:paraId="6AFBF983" w14:textId="7C67096A"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39" w:history="1">
            <w:r w:rsidRPr="00C769A9">
              <w:rPr>
                <w:rStyle w:val="Hyperlink"/>
              </w:rPr>
              <w:t>9</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Prior-year adjustment: ABF reconciliation</w:t>
            </w:r>
            <w:r>
              <w:rPr>
                <w:webHidden/>
              </w:rPr>
              <w:tab/>
            </w:r>
            <w:r>
              <w:rPr>
                <w:webHidden/>
              </w:rPr>
              <w:fldChar w:fldCharType="begin"/>
            </w:r>
            <w:r>
              <w:rPr>
                <w:webHidden/>
              </w:rPr>
              <w:instrText xml:space="preserve"> PAGEREF _Toc234580339 \h </w:instrText>
            </w:r>
            <w:r>
              <w:rPr>
                <w:webHidden/>
              </w:rPr>
            </w:r>
            <w:r>
              <w:rPr>
                <w:webHidden/>
              </w:rPr>
              <w:fldChar w:fldCharType="separate"/>
            </w:r>
            <w:r>
              <w:rPr>
                <w:webHidden/>
              </w:rPr>
              <w:t>40</w:t>
            </w:r>
            <w:r>
              <w:rPr>
                <w:webHidden/>
              </w:rPr>
              <w:fldChar w:fldCharType="end"/>
            </w:r>
          </w:hyperlink>
        </w:p>
        <w:p w14:paraId="5FA000E9" w14:textId="317B7CEF"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40" w:history="1">
            <w:r w:rsidRPr="00C769A9">
              <w:rPr>
                <w:rStyle w:val="Hyperlink"/>
              </w:rPr>
              <w:t>9.1</w:t>
            </w:r>
            <w:r>
              <w:rPr>
                <w:rFonts w:asciiTheme="minorHAnsi" w:eastAsiaTheme="minorEastAsia" w:hAnsiTheme="minorHAnsi" w:cstheme="minorBidi"/>
                <w:kern w:val="2"/>
                <w:sz w:val="24"/>
                <w:szCs w:val="24"/>
                <w:lang w:eastAsia="en-AU"/>
                <w14:ligatures w14:val="standardContextual"/>
              </w:rPr>
              <w:tab/>
            </w:r>
            <w:r w:rsidRPr="00C769A9">
              <w:rPr>
                <w:rStyle w:val="Hyperlink"/>
              </w:rPr>
              <w:t>Funding recall policy</w:t>
            </w:r>
            <w:r>
              <w:rPr>
                <w:webHidden/>
              </w:rPr>
              <w:tab/>
            </w:r>
            <w:r>
              <w:rPr>
                <w:webHidden/>
              </w:rPr>
              <w:fldChar w:fldCharType="begin"/>
            </w:r>
            <w:r>
              <w:rPr>
                <w:webHidden/>
              </w:rPr>
              <w:instrText xml:space="preserve"> PAGEREF _Toc234580340 \h </w:instrText>
            </w:r>
            <w:r>
              <w:rPr>
                <w:webHidden/>
              </w:rPr>
            </w:r>
            <w:r>
              <w:rPr>
                <w:webHidden/>
              </w:rPr>
              <w:fldChar w:fldCharType="separate"/>
            </w:r>
            <w:r>
              <w:rPr>
                <w:webHidden/>
              </w:rPr>
              <w:t>40</w:t>
            </w:r>
            <w:r>
              <w:rPr>
                <w:webHidden/>
              </w:rPr>
              <w:fldChar w:fldCharType="end"/>
            </w:r>
          </w:hyperlink>
        </w:p>
        <w:p w14:paraId="184FE142" w14:textId="3D3D0D2E"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41" w:history="1">
            <w:r w:rsidRPr="00C769A9">
              <w:rPr>
                <w:rStyle w:val="Hyperlink"/>
              </w:rPr>
              <w:t>9.2</w:t>
            </w:r>
            <w:r>
              <w:rPr>
                <w:rFonts w:asciiTheme="minorHAnsi" w:eastAsiaTheme="minorEastAsia" w:hAnsiTheme="minorHAnsi" w:cstheme="minorBidi"/>
                <w:kern w:val="2"/>
                <w:sz w:val="24"/>
                <w:szCs w:val="24"/>
                <w:lang w:eastAsia="en-AU"/>
                <w14:ligatures w14:val="standardContextual"/>
              </w:rPr>
              <w:tab/>
            </w:r>
            <w:r w:rsidRPr="00C769A9">
              <w:rPr>
                <w:rStyle w:val="Hyperlink"/>
              </w:rPr>
              <w:t>Overactivity</w:t>
            </w:r>
            <w:r>
              <w:rPr>
                <w:webHidden/>
              </w:rPr>
              <w:tab/>
            </w:r>
            <w:r>
              <w:rPr>
                <w:webHidden/>
              </w:rPr>
              <w:fldChar w:fldCharType="begin"/>
            </w:r>
            <w:r>
              <w:rPr>
                <w:webHidden/>
              </w:rPr>
              <w:instrText xml:space="preserve"> PAGEREF _Toc234580341 \h </w:instrText>
            </w:r>
            <w:r>
              <w:rPr>
                <w:webHidden/>
              </w:rPr>
            </w:r>
            <w:r>
              <w:rPr>
                <w:webHidden/>
              </w:rPr>
              <w:fldChar w:fldCharType="separate"/>
            </w:r>
            <w:r>
              <w:rPr>
                <w:webHidden/>
              </w:rPr>
              <w:t>41</w:t>
            </w:r>
            <w:r>
              <w:rPr>
                <w:webHidden/>
              </w:rPr>
              <w:fldChar w:fldCharType="end"/>
            </w:r>
          </w:hyperlink>
        </w:p>
        <w:p w14:paraId="4B81690F" w14:textId="3AA2870A"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42" w:history="1">
            <w:r w:rsidRPr="00C769A9">
              <w:rPr>
                <w:rStyle w:val="Hyperlink"/>
              </w:rPr>
              <w:t>9.3</w:t>
            </w:r>
            <w:r>
              <w:rPr>
                <w:rFonts w:asciiTheme="minorHAnsi" w:eastAsiaTheme="minorEastAsia" w:hAnsiTheme="minorHAnsi" w:cstheme="minorBidi"/>
                <w:kern w:val="2"/>
                <w:sz w:val="24"/>
                <w:szCs w:val="24"/>
                <w:lang w:eastAsia="en-AU"/>
                <w14:ligatures w14:val="standardContextual"/>
              </w:rPr>
              <w:tab/>
            </w:r>
            <w:r w:rsidRPr="00C769A9">
              <w:rPr>
                <w:rStyle w:val="Hyperlink"/>
              </w:rPr>
              <w:t>Reconciliation of Commonwealth contributions</w:t>
            </w:r>
            <w:r>
              <w:rPr>
                <w:webHidden/>
              </w:rPr>
              <w:tab/>
            </w:r>
            <w:r>
              <w:rPr>
                <w:webHidden/>
              </w:rPr>
              <w:fldChar w:fldCharType="begin"/>
            </w:r>
            <w:r>
              <w:rPr>
                <w:webHidden/>
              </w:rPr>
              <w:instrText xml:space="preserve"> PAGEREF _Toc234580342 \h </w:instrText>
            </w:r>
            <w:r>
              <w:rPr>
                <w:webHidden/>
              </w:rPr>
            </w:r>
            <w:r>
              <w:rPr>
                <w:webHidden/>
              </w:rPr>
              <w:fldChar w:fldCharType="separate"/>
            </w:r>
            <w:r>
              <w:rPr>
                <w:webHidden/>
              </w:rPr>
              <w:t>41</w:t>
            </w:r>
            <w:r>
              <w:rPr>
                <w:webHidden/>
              </w:rPr>
              <w:fldChar w:fldCharType="end"/>
            </w:r>
          </w:hyperlink>
        </w:p>
        <w:p w14:paraId="3EA83440" w14:textId="5284541A"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43" w:history="1">
            <w:r w:rsidRPr="00C769A9">
              <w:rPr>
                <w:rStyle w:val="Hyperlink"/>
              </w:rPr>
              <w:t>9.4</w:t>
            </w:r>
            <w:r>
              <w:rPr>
                <w:rFonts w:asciiTheme="minorHAnsi" w:eastAsiaTheme="minorEastAsia" w:hAnsiTheme="minorHAnsi" w:cstheme="minorBidi"/>
                <w:kern w:val="2"/>
                <w:sz w:val="24"/>
                <w:szCs w:val="24"/>
                <w:lang w:eastAsia="en-AU"/>
                <w14:ligatures w14:val="standardContextual"/>
              </w:rPr>
              <w:tab/>
            </w:r>
            <w:r w:rsidRPr="00C769A9">
              <w:rPr>
                <w:rStyle w:val="Hyperlink"/>
              </w:rPr>
              <w:t>Safety and quality adjustments</w:t>
            </w:r>
            <w:r>
              <w:rPr>
                <w:webHidden/>
              </w:rPr>
              <w:tab/>
            </w:r>
            <w:r>
              <w:rPr>
                <w:webHidden/>
              </w:rPr>
              <w:fldChar w:fldCharType="begin"/>
            </w:r>
            <w:r>
              <w:rPr>
                <w:webHidden/>
              </w:rPr>
              <w:instrText xml:space="preserve"> PAGEREF _Toc234580343 \h </w:instrText>
            </w:r>
            <w:r>
              <w:rPr>
                <w:webHidden/>
              </w:rPr>
            </w:r>
            <w:r>
              <w:rPr>
                <w:webHidden/>
              </w:rPr>
              <w:fldChar w:fldCharType="separate"/>
            </w:r>
            <w:r>
              <w:rPr>
                <w:webHidden/>
              </w:rPr>
              <w:t>41</w:t>
            </w:r>
            <w:r>
              <w:rPr>
                <w:webHidden/>
              </w:rPr>
              <w:fldChar w:fldCharType="end"/>
            </w:r>
          </w:hyperlink>
        </w:p>
        <w:p w14:paraId="55E93FE2" w14:textId="131B0896" w:rsidR="004D0154" w:rsidRDefault="004D015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4580344" w:history="1">
            <w:r w:rsidRPr="00C769A9">
              <w:rPr>
                <w:rStyle w:val="Hyperlink"/>
              </w:rPr>
              <w:t>9.5</w:t>
            </w:r>
            <w:r>
              <w:rPr>
                <w:rFonts w:asciiTheme="minorHAnsi" w:eastAsiaTheme="minorEastAsia" w:hAnsiTheme="minorHAnsi" w:cstheme="minorBidi"/>
                <w:kern w:val="2"/>
                <w:sz w:val="24"/>
                <w:szCs w:val="24"/>
                <w:lang w:eastAsia="en-AU"/>
                <w14:ligatures w14:val="standardContextual"/>
              </w:rPr>
              <w:tab/>
            </w:r>
            <w:r w:rsidRPr="00C769A9">
              <w:rPr>
                <w:rStyle w:val="Hyperlink"/>
              </w:rPr>
              <w:t>Public and private activity mix</w:t>
            </w:r>
            <w:r>
              <w:rPr>
                <w:webHidden/>
              </w:rPr>
              <w:tab/>
            </w:r>
            <w:r>
              <w:rPr>
                <w:webHidden/>
              </w:rPr>
              <w:fldChar w:fldCharType="begin"/>
            </w:r>
            <w:r>
              <w:rPr>
                <w:webHidden/>
              </w:rPr>
              <w:instrText xml:space="preserve"> PAGEREF _Toc234580344 \h </w:instrText>
            </w:r>
            <w:r>
              <w:rPr>
                <w:webHidden/>
              </w:rPr>
            </w:r>
            <w:r>
              <w:rPr>
                <w:webHidden/>
              </w:rPr>
              <w:fldChar w:fldCharType="separate"/>
            </w:r>
            <w:r>
              <w:rPr>
                <w:webHidden/>
              </w:rPr>
              <w:t>41</w:t>
            </w:r>
            <w:r>
              <w:rPr>
                <w:webHidden/>
              </w:rPr>
              <w:fldChar w:fldCharType="end"/>
            </w:r>
          </w:hyperlink>
        </w:p>
        <w:p w14:paraId="7044A9A0" w14:textId="1B784BE6"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45" w:history="1">
            <w:r w:rsidRPr="00C769A9">
              <w:rPr>
                <w:rStyle w:val="Hyperlink"/>
              </w:rPr>
              <w:t>10</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Calculating funding recall and adjustment</w:t>
            </w:r>
            <w:r>
              <w:rPr>
                <w:webHidden/>
              </w:rPr>
              <w:tab/>
            </w:r>
            <w:r>
              <w:rPr>
                <w:webHidden/>
              </w:rPr>
              <w:fldChar w:fldCharType="begin"/>
            </w:r>
            <w:r>
              <w:rPr>
                <w:webHidden/>
              </w:rPr>
              <w:instrText xml:space="preserve"> PAGEREF _Toc234580345 \h </w:instrText>
            </w:r>
            <w:r>
              <w:rPr>
                <w:webHidden/>
              </w:rPr>
            </w:r>
            <w:r>
              <w:rPr>
                <w:webHidden/>
              </w:rPr>
              <w:fldChar w:fldCharType="separate"/>
            </w:r>
            <w:r>
              <w:rPr>
                <w:webHidden/>
              </w:rPr>
              <w:t>42</w:t>
            </w:r>
            <w:r>
              <w:rPr>
                <w:webHidden/>
              </w:rPr>
              <w:fldChar w:fldCharType="end"/>
            </w:r>
          </w:hyperlink>
        </w:p>
        <w:p w14:paraId="152C47E1" w14:textId="5497C1B8"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46" w:history="1">
            <w:r w:rsidRPr="00C769A9">
              <w:rPr>
                <w:rStyle w:val="Hyperlink"/>
              </w:rPr>
              <w:t>10.1</w:t>
            </w:r>
            <w:r>
              <w:rPr>
                <w:rFonts w:asciiTheme="minorHAnsi" w:eastAsiaTheme="minorEastAsia" w:hAnsiTheme="minorHAnsi" w:cstheme="minorBidi"/>
                <w:kern w:val="2"/>
                <w:sz w:val="24"/>
                <w:szCs w:val="24"/>
                <w:lang w:eastAsia="en-AU"/>
                <w14:ligatures w14:val="standardContextual"/>
              </w:rPr>
              <w:tab/>
            </w:r>
            <w:r w:rsidRPr="00C769A9">
              <w:rPr>
                <w:rStyle w:val="Hyperlink"/>
              </w:rPr>
              <w:t>NWAU funding recall</w:t>
            </w:r>
            <w:r>
              <w:rPr>
                <w:webHidden/>
              </w:rPr>
              <w:tab/>
            </w:r>
            <w:r>
              <w:rPr>
                <w:webHidden/>
              </w:rPr>
              <w:fldChar w:fldCharType="begin"/>
            </w:r>
            <w:r>
              <w:rPr>
                <w:webHidden/>
              </w:rPr>
              <w:instrText xml:space="preserve"> PAGEREF _Toc234580346 \h </w:instrText>
            </w:r>
            <w:r>
              <w:rPr>
                <w:webHidden/>
              </w:rPr>
            </w:r>
            <w:r>
              <w:rPr>
                <w:webHidden/>
              </w:rPr>
              <w:fldChar w:fldCharType="separate"/>
            </w:r>
            <w:r>
              <w:rPr>
                <w:webHidden/>
              </w:rPr>
              <w:t>42</w:t>
            </w:r>
            <w:r>
              <w:rPr>
                <w:webHidden/>
              </w:rPr>
              <w:fldChar w:fldCharType="end"/>
            </w:r>
          </w:hyperlink>
        </w:p>
        <w:p w14:paraId="5ECE33D1" w14:textId="6EA9B76A"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47" w:history="1">
            <w:r w:rsidRPr="00C769A9">
              <w:rPr>
                <w:rStyle w:val="Hyperlink"/>
              </w:rPr>
              <w:t>10.2</w:t>
            </w:r>
            <w:r>
              <w:rPr>
                <w:rFonts w:asciiTheme="minorHAnsi" w:eastAsiaTheme="minorEastAsia" w:hAnsiTheme="minorHAnsi" w:cstheme="minorBidi"/>
                <w:kern w:val="2"/>
                <w:sz w:val="24"/>
                <w:szCs w:val="24"/>
                <w:lang w:eastAsia="en-AU"/>
                <w14:ligatures w14:val="standardContextual"/>
              </w:rPr>
              <w:tab/>
            </w:r>
            <w:r w:rsidRPr="00C769A9">
              <w:rPr>
                <w:rStyle w:val="Hyperlink"/>
              </w:rPr>
              <w:t>HAC NWAU growth-funding adjustment</w:t>
            </w:r>
            <w:r>
              <w:rPr>
                <w:webHidden/>
              </w:rPr>
              <w:tab/>
            </w:r>
            <w:r>
              <w:rPr>
                <w:webHidden/>
              </w:rPr>
              <w:fldChar w:fldCharType="begin"/>
            </w:r>
            <w:r>
              <w:rPr>
                <w:webHidden/>
              </w:rPr>
              <w:instrText xml:space="preserve"> PAGEREF _Toc234580347 \h </w:instrText>
            </w:r>
            <w:r>
              <w:rPr>
                <w:webHidden/>
              </w:rPr>
            </w:r>
            <w:r>
              <w:rPr>
                <w:webHidden/>
              </w:rPr>
              <w:fldChar w:fldCharType="separate"/>
            </w:r>
            <w:r>
              <w:rPr>
                <w:webHidden/>
              </w:rPr>
              <w:t>42</w:t>
            </w:r>
            <w:r>
              <w:rPr>
                <w:webHidden/>
              </w:rPr>
              <w:fldChar w:fldCharType="end"/>
            </w:r>
          </w:hyperlink>
        </w:p>
        <w:p w14:paraId="27A6B1CB" w14:textId="72E4CB05"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48" w:history="1">
            <w:r w:rsidRPr="00C769A9">
              <w:rPr>
                <w:rStyle w:val="Hyperlink"/>
              </w:rPr>
              <w:t>10.3</w:t>
            </w:r>
            <w:r>
              <w:rPr>
                <w:rFonts w:asciiTheme="minorHAnsi" w:eastAsiaTheme="minorEastAsia" w:hAnsiTheme="minorHAnsi" w:cstheme="minorBidi"/>
                <w:kern w:val="2"/>
                <w:sz w:val="24"/>
                <w:szCs w:val="24"/>
                <w:lang w:eastAsia="en-AU"/>
                <w14:ligatures w14:val="standardContextual"/>
              </w:rPr>
              <w:tab/>
            </w:r>
            <w:r w:rsidRPr="00C769A9">
              <w:rPr>
                <w:rStyle w:val="Hyperlink"/>
              </w:rPr>
              <w:t>AHR NWAU growth-funding adjustment</w:t>
            </w:r>
            <w:r>
              <w:rPr>
                <w:webHidden/>
              </w:rPr>
              <w:tab/>
            </w:r>
            <w:r>
              <w:rPr>
                <w:webHidden/>
              </w:rPr>
              <w:fldChar w:fldCharType="begin"/>
            </w:r>
            <w:r>
              <w:rPr>
                <w:webHidden/>
              </w:rPr>
              <w:instrText xml:space="preserve"> PAGEREF _Toc234580348 \h </w:instrText>
            </w:r>
            <w:r>
              <w:rPr>
                <w:webHidden/>
              </w:rPr>
            </w:r>
            <w:r>
              <w:rPr>
                <w:webHidden/>
              </w:rPr>
              <w:fldChar w:fldCharType="separate"/>
            </w:r>
            <w:r>
              <w:rPr>
                <w:webHidden/>
              </w:rPr>
              <w:t>42</w:t>
            </w:r>
            <w:r>
              <w:rPr>
                <w:webHidden/>
              </w:rPr>
              <w:fldChar w:fldCharType="end"/>
            </w:r>
          </w:hyperlink>
        </w:p>
        <w:p w14:paraId="40FF7C8E" w14:textId="0F2867E4"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49" w:history="1">
            <w:r w:rsidRPr="00C769A9">
              <w:rPr>
                <w:rStyle w:val="Hyperlink"/>
              </w:rPr>
              <w:t>10.4</w:t>
            </w:r>
            <w:r>
              <w:rPr>
                <w:rFonts w:asciiTheme="minorHAnsi" w:eastAsiaTheme="minorEastAsia" w:hAnsiTheme="minorHAnsi" w:cstheme="minorBidi"/>
                <w:kern w:val="2"/>
                <w:sz w:val="24"/>
                <w:szCs w:val="24"/>
                <w:lang w:eastAsia="en-AU"/>
                <w14:ligatures w14:val="standardContextual"/>
              </w:rPr>
              <w:tab/>
            </w:r>
            <w:r w:rsidRPr="00C769A9">
              <w:rPr>
                <w:rStyle w:val="Hyperlink"/>
              </w:rPr>
              <w:t>TAC, WorkSafe or DVA NWAU funding recall</w:t>
            </w:r>
            <w:r>
              <w:rPr>
                <w:webHidden/>
              </w:rPr>
              <w:tab/>
            </w:r>
            <w:r>
              <w:rPr>
                <w:webHidden/>
              </w:rPr>
              <w:fldChar w:fldCharType="begin"/>
            </w:r>
            <w:r>
              <w:rPr>
                <w:webHidden/>
              </w:rPr>
              <w:instrText xml:space="preserve"> PAGEREF _Toc234580349 \h </w:instrText>
            </w:r>
            <w:r>
              <w:rPr>
                <w:webHidden/>
              </w:rPr>
            </w:r>
            <w:r>
              <w:rPr>
                <w:webHidden/>
              </w:rPr>
              <w:fldChar w:fldCharType="separate"/>
            </w:r>
            <w:r>
              <w:rPr>
                <w:webHidden/>
              </w:rPr>
              <w:t>42</w:t>
            </w:r>
            <w:r>
              <w:rPr>
                <w:webHidden/>
              </w:rPr>
              <w:fldChar w:fldCharType="end"/>
            </w:r>
          </w:hyperlink>
        </w:p>
        <w:p w14:paraId="245A3C30" w14:textId="0788BC77"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50" w:history="1">
            <w:r w:rsidRPr="00C769A9">
              <w:rPr>
                <w:rStyle w:val="Hyperlink"/>
              </w:rPr>
              <w:t>11</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Payments and cash flow</w:t>
            </w:r>
            <w:r>
              <w:rPr>
                <w:webHidden/>
              </w:rPr>
              <w:tab/>
            </w:r>
            <w:r>
              <w:rPr>
                <w:webHidden/>
              </w:rPr>
              <w:fldChar w:fldCharType="begin"/>
            </w:r>
            <w:r>
              <w:rPr>
                <w:webHidden/>
              </w:rPr>
              <w:instrText xml:space="preserve"> PAGEREF _Toc234580350 \h </w:instrText>
            </w:r>
            <w:r>
              <w:rPr>
                <w:webHidden/>
              </w:rPr>
            </w:r>
            <w:r>
              <w:rPr>
                <w:webHidden/>
              </w:rPr>
              <w:fldChar w:fldCharType="separate"/>
            </w:r>
            <w:r>
              <w:rPr>
                <w:webHidden/>
              </w:rPr>
              <w:t>43</w:t>
            </w:r>
            <w:r>
              <w:rPr>
                <w:webHidden/>
              </w:rPr>
              <w:fldChar w:fldCharType="end"/>
            </w:r>
          </w:hyperlink>
        </w:p>
        <w:p w14:paraId="34C3C6CB" w14:textId="1C8EACD6"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1" w:history="1">
            <w:r w:rsidRPr="00C769A9">
              <w:rPr>
                <w:rStyle w:val="Hyperlink"/>
              </w:rPr>
              <w:t>11.1</w:t>
            </w:r>
            <w:r>
              <w:rPr>
                <w:rFonts w:asciiTheme="minorHAnsi" w:eastAsiaTheme="minorEastAsia" w:hAnsiTheme="minorHAnsi" w:cstheme="minorBidi"/>
                <w:kern w:val="2"/>
                <w:sz w:val="24"/>
                <w:szCs w:val="24"/>
                <w:lang w:eastAsia="en-AU"/>
                <w14:ligatures w14:val="standardContextual"/>
              </w:rPr>
              <w:tab/>
            </w:r>
            <w:r w:rsidRPr="00C769A9">
              <w:rPr>
                <w:rStyle w:val="Hyperlink"/>
              </w:rPr>
              <w:t>Use of contracts</w:t>
            </w:r>
            <w:r>
              <w:rPr>
                <w:webHidden/>
              </w:rPr>
              <w:tab/>
            </w:r>
            <w:r>
              <w:rPr>
                <w:webHidden/>
              </w:rPr>
              <w:fldChar w:fldCharType="begin"/>
            </w:r>
            <w:r>
              <w:rPr>
                <w:webHidden/>
              </w:rPr>
              <w:instrText xml:space="preserve"> PAGEREF _Toc234580351 \h </w:instrText>
            </w:r>
            <w:r>
              <w:rPr>
                <w:webHidden/>
              </w:rPr>
            </w:r>
            <w:r>
              <w:rPr>
                <w:webHidden/>
              </w:rPr>
              <w:fldChar w:fldCharType="separate"/>
            </w:r>
            <w:r>
              <w:rPr>
                <w:webHidden/>
              </w:rPr>
              <w:t>43</w:t>
            </w:r>
            <w:r>
              <w:rPr>
                <w:webHidden/>
              </w:rPr>
              <w:fldChar w:fldCharType="end"/>
            </w:r>
          </w:hyperlink>
        </w:p>
        <w:p w14:paraId="55AE2CEA" w14:textId="3713166F"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2" w:history="1">
            <w:r w:rsidRPr="00C769A9">
              <w:rPr>
                <w:rStyle w:val="Hyperlink"/>
              </w:rPr>
              <w:t>11.2</w:t>
            </w:r>
            <w:r>
              <w:rPr>
                <w:rFonts w:asciiTheme="minorHAnsi" w:eastAsiaTheme="minorEastAsia" w:hAnsiTheme="minorHAnsi" w:cstheme="minorBidi"/>
                <w:kern w:val="2"/>
                <w:sz w:val="24"/>
                <w:szCs w:val="24"/>
                <w:lang w:eastAsia="en-AU"/>
                <w14:ligatures w14:val="standardContextual"/>
              </w:rPr>
              <w:tab/>
            </w:r>
            <w:r w:rsidRPr="00C769A9">
              <w:rPr>
                <w:rStyle w:val="Hyperlink"/>
              </w:rPr>
              <w:t>Health service fees and charges</w:t>
            </w:r>
            <w:r>
              <w:rPr>
                <w:webHidden/>
              </w:rPr>
              <w:tab/>
            </w:r>
            <w:r>
              <w:rPr>
                <w:webHidden/>
              </w:rPr>
              <w:fldChar w:fldCharType="begin"/>
            </w:r>
            <w:r>
              <w:rPr>
                <w:webHidden/>
              </w:rPr>
              <w:instrText xml:space="preserve"> PAGEREF _Toc234580352 \h </w:instrText>
            </w:r>
            <w:r>
              <w:rPr>
                <w:webHidden/>
              </w:rPr>
            </w:r>
            <w:r>
              <w:rPr>
                <w:webHidden/>
              </w:rPr>
              <w:fldChar w:fldCharType="separate"/>
            </w:r>
            <w:r>
              <w:rPr>
                <w:webHidden/>
              </w:rPr>
              <w:t>43</w:t>
            </w:r>
            <w:r>
              <w:rPr>
                <w:webHidden/>
              </w:rPr>
              <w:fldChar w:fldCharType="end"/>
            </w:r>
          </w:hyperlink>
        </w:p>
        <w:p w14:paraId="15FDFEAD" w14:textId="15D87E82"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3" w:history="1">
            <w:r w:rsidRPr="00C769A9">
              <w:rPr>
                <w:rStyle w:val="Hyperlink"/>
              </w:rPr>
              <w:t>11.3</w:t>
            </w:r>
            <w:r>
              <w:rPr>
                <w:rFonts w:asciiTheme="minorHAnsi" w:eastAsiaTheme="minorEastAsia" w:hAnsiTheme="minorHAnsi" w:cstheme="minorBidi"/>
                <w:kern w:val="2"/>
                <w:sz w:val="24"/>
                <w:szCs w:val="24"/>
                <w:lang w:eastAsia="en-AU"/>
                <w14:ligatures w14:val="standardContextual"/>
              </w:rPr>
              <w:tab/>
            </w:r>
            <w:r w:rsidRPr="00C769A9">
              <w:rPr>
                <w:rStyle w:val="Hyperlink"/>
              </w:rPr>
              <w:t>Facility-based renal dialysis</w:t>
            </w:r>
            <w:r>
              <w:rPr>
                <w:webHidden/>
              </w:rPr>
              <w:tab/>
            </w:r>
            <w:r>
              <w:rPr>
                <w:webHidden/>
              </w:rPr>
              <w:fldChar w:fldCharType="begin"/>
            </w:r>
            <w:r>
              <w:rPr>
                <w:webHidden/>
              </w:rPr>
              <w:instrText xml:space="preserve"> PAGEREF _Toc234580353 \h </w:instrText>
            </w:r>
            <w:r>
              <w:rPr>
                <w:webHidden/>
              </w:rPr>
            </w:r>
            <w:r>
              <w:rPr>
                <w:webHidden/>
              </w:rPr>
              <w:fldChar w:fldCharType="separate"/>
            </w:r>
            <w:r>
              <w:rPr>
                <w:webHidden/>
              </w:rPr>
              <w:t>43</w:t>
            </w:r>
            <w:r>
              <w:rPr>
                <w:webHidden/>
              </w:rPr>
              <w:fldChar w:fldCharType="end"/>
            </w:r>
          </w:hyperlink>
        </w:p>
        <w:p w14:paraId="4C1FFB61" w14:textId="3CAD180B"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4" w:history="1">
            <w:r w:rsidRPr="00C769A9">
              <w:rPr>
                <w:rStyle w:val="Hyperlink"/>
              </w:rPr>
              <w:t>11.4</w:t>
            </w:r>
            <w:r>
              <w:rPr>
                <w:rFonts w:asciiTheme="minorHAnsi" w:eastAsiaTheme="minorEastAsia" w:hAnsiTheme="minorHAnsi" w:cstheme="minorBidi"/>
                <w:kern w:val="2"/>
                <w:sz w:val="24"/>
                <w:szCs w:val="24"/>
                <w:lang w:eastAsia="en-AU"/>
                <w14:ligatures w14:val="standardContextual"/>
              </w:rPr>
              <w:tab/>
            </w:r>
            <w:r w:rsidRPr="00C769A9">
              <w:rPr>
                <w:rStyle w:val="Hyperlink"/>
              </w:rPr>
              <w:t>Private patient accommodation charges</w:t>
            </w:r>
            <w:r>
              <w:rPr>
                <w:webHidden/>
              </w:rPr>
              <w:tab/>
            </w:r>
            <w:r>
              <w:rPr>
                <w:webHidden/>
              </w:rPr>
              <w:fldChar w:fldCharType="begin"/>
            </w:r>
            <w:r>
              <w:rPr>
                <w:webHidden/>
              </w:rPr>
              <w:instrText xml:space="preserve"> PAGEREF _Toc234580354 \h </w:instrText>
            </w:r>
            <w:r>
              <w:rPr>
                <w:webHidden/>
              </w:rPr>
            </w:r>
            <w:r>
              <w:rPr>
                <w:webHidden/>
              </w:rPr>
              <w:fldChar w:fldCharType="separate"/>
            </w:r>
            <w:r>
              <w:rPr>
                <w:webHidden/>
              </w:rPr>
              <w:t>43</w:t>
            </w:r>
            <w:r>
              <w:rPr>
                <w:webHidden/>
              </w:rPr>
              <w:fldChar w:fldCharType="end"/>
            </w:r>
          </w:hyperlink>
        </w:p>
        <w:p w14:paraId="01FB8B7D" w14:textId="6C276735"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5" w:history="1">
            <w:r w:rsidRPr="00C769A9">
              <w:rPr>
                <w:rStyle w:val="Hyperlink"/>
              </w:rPr>
              <w:t>11.5</w:t>
            </w:r>
            <w:r>
              <w:rPr>
                <w:rFonts w:asciiTheme="minorHAnsi" w:eastAsiaTheme="minorEastAsia" w:hAnsiTheme="minorHAnsi" w:cstheme="minorBidi"/>
                <w:kern w:val="2"/>
                <w:sz w:val="24"/>
                <w:szCs w:val="24"/>
                <w:lang w:eastAsia="en-AU"/>
                <w14:ligatures w14:val="standardContextual"/>
              </w:rPr>
              <w:tab/>
            </w:r>
            <w:r w:rsidRPr="00C769A9">
              <w:rPr>
                <w:rStyle w:val="Hyperlink"/>
              </w:rPr>
              <w:t>Doctors in training secondment arrangements</w:t>
            </w:r>
            <w:r>
              <w:rPr>
                <w:webHidden/>
              </w:rPr>
              <w:tab/>
            </w:r>
            <w:r>
              <w:rPr>
                <w:webHidden/>
              </w:rPr>
              <w:fldChar w:fldCharType="begin"/>
            </w:r>
            <w:r>
              <w:rPr>
                <w:webHidden/>
              </w:rPr>
              <w:instrText xml:space="preserve"> PAGEREF _Toc234580355 \h </w:instrText>
            </w:r>
            <w:r>
              <w:rPr>
                <w:webHidden/>
              </w:rPr>
            </w:r>
            <w:r>
              <w:rPr>
                <w:webHidden/>
              </w:rPr>
              <w:fldChar w:fldCharType="separate"/>
            </w:r>
            <w:r>
              <w:rPr>
                <w:webHidden/>
              </w:rPr>
              <w:t>43</w:t>
            </w:r>
            <w:r>
              <w:rPr>
                <w:webHidden/>
              </w:rPr>
              <w:fldChar w:fldCharType="end"/>
            </w:r>
          </w:hyperlink>
        </w:p>
        <w:p w14:paraId="2A22E652" w14:textId="646A3511"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56" w:history="1">
            <w:r w:rsidRPr="00C769A9">
              <w:rPr>
                <w:rStyle w:val="Hyperlink"/>
              </w:rPr>
              <w:t>12</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Price tables</w:t>
            </w:r>
            <w:r>
              <w:rPr>
                <w:webHidden/>
              </w:rPr>
              <w:tab/>
            </w:r>
            <w:r>
              <w:rPr>
                <w:webHidden/>
              </w:rPr>
              <w:fldChar w:fldCharType="begin"/>
            </w:r>
            <w:r>
              <w:rPr>
                <w:webHidden/>
              </w:rPr>
              <w:instrText xml:space="preserve"> PAGEREF _Toc234580356 \h </w:instrText>
            </w:r>
            <w:r>
              <w:rPr>
                <w:webHidden/>
              </w:rPr>
            </w:r>
            <w:r>
              <w:rPr>
                <w:webHidden/>
              </w:rPr>
              <w:fldChar w:fldCharType="separate"/>
            </w:r>
            <w:r>
              <w:rPr>
                <w:webHidden/>
              </w:rPr>
              <w:t>44</w:t>
            </w:r>
            <w:r>
              <w:rPr>
                <w:webHidden/>
              </w:rPr>
              <w:fldChar w:fldCharType="end"/>
            </w:r>
          </w:hyperlink>
        </w:p>
        <w:p w14:paraId="17EA9C34" w14:textId="04A17261"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7" w:history="1">
            <w:r w:rsidRPr="00C769A9">
              <w:rPr>
                <w:rStyle w:val="Hyperlink"/>
              </w:rPr>
              <w:t>12.1</w:t>
            </w:r>
            <w:r>
              <w:rPr>
                <w:rFonts w:asciiTheme="minorHAnsi" w:eastAsiaTheme="minorEastAsia" w:hAnsiTheme="minorHAnsi" w:cstheme="minorBidi"/>
                <w:kern w:val="2"/>
                <w:sz w:val="24"/>
                <w:szCs w:val="24"/>
                <w:lang w:eastAsia="en-AU"/>
                <w14:ligatures w14:val="standardContextual"/>
              </w:rPr>
              <w:tab/>
            </w:r>
            <w:r w:rsidRPr="00C769A9">
              <w:rPr>
                <w:rStyle w:val="Hyperlink"/>
              </w:rPr>
              <w:t>NWAU 2026–27</w:t>
            </w:r>
            <w:r>
              <w:rPr>
                <w:webHidden/>
              </w:rPr>
              <w:tab/>
            </w:r>
            <w:r>
              <w:rPr>
                <w:webHidden/>
              </w:rPr>
              <w:fldChar w:fldCharType="begin"/>
            </w:r>
            <w:r>
              <w:rPr>
                <w:webHidden/>
              </w:rPr>
              <w:instrText xml:space="preserve"> PAGEREF _Toc234580357 \h </w:instrText>
            </w:r>
            <w:r>
              <w:rPr>
                <w:webHidden/>
              </w:rPr>
            </w:r>
            <w:r>
              <w:rPr>
                <w:webHidden/>
              </w:rPr>
              <w:fldChar w:fldCharType="separate"/>
            </w:r>
            <w:r>
              <w:rPr>
                <w:webHidden/>
              </w:rPr>
              <w:t>44</w:t>
            </w:r>
            <w:r>
              <w:rPr>
                <w:webHidden/>
              </w:rPr>
              <w:fldChar w:fldCharType="end"/>
            </w:r>
          </w:hyperlink>
        </w:p>
        <w:p w14:paraId="1E773B27" w14:textId="6026B48F"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8" w:history="1">
            <w:r w:rsidRPr="00C769A9">
              <w:rPr>
                <w:rStyle w:val="Hyperlink"/>
              </w:rPr>
              <w:t>12.2</w:t>
            </w:r>
            <w:r>
              <w:rPr>
                <w:rFonts w:asciiTheme="minorHAnsi" w:eastAsiaTheme="minorEastAsia" w:hAnsiTheme="minorHAnsi" w:cstheme="minorBidi"/>
                <w:kern w:val="2"/>
                <w:sz w:val="24"/>
                <w:szCs w:val="24"/>
                <w:lang w:eastAsia="en-AU"/>
                <w14:ligatures w14:val="standardContextual"/>
              </w:rPr>
              <w:tab/>
            </w:r>
            <w:r w:rsidRPr="00C769A9">
              <w:rPr>
                <w:rStyle w:val="Hyperlink"/>
              </w:rPr>
              <w:t>Nationally Funded Centres Program 2026–27</w:t>
            </w:r>
            <w:r>
              <w:rPr>
                <w:webHidden/>
              </w:rPr>
              <w:tab/>
            </w:r>
            <w:r>
              <w:rPr>
                <w:webHidden/>
              </w:rPr>
              <w:fldChar w:fldCharType="begin"/>
            </w:r>
            <w:r>
              <w:rPr>
                <w:webHidden/>
              </w:rPr>
              <w:instrText xml:space="preserve"> PAGEREF _Toc234580358 \h </w:instrText>
            </w:r>
            <w:r>
              <w:rPr>
                <w:webHidden/>
              </w:rPr>
            </w:r>
            <w:r>
              <w:rPr>
                <w:webHidden/>
              </w:rPr>
              <w:fldChar w:fldCharType="separate"/>
            </w:r>
            <w:r>
              <w:rPr>
                <w:webHidden/>
              </w:rPr>
              <w:t>44</w:t>
            </w:r>
            <w:r>
              <w:rPr>
                <w:webHidden/>
              </w:rPr>
              <w:fldChar w:fldCharType="end"/>
            </w:r>
          </w:hyperlink>
        </w:p>
        <w:p w14:paraId="5F250CDA" w14:textId="6A4517FE"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59" w:history="1">
            <w:r w:rsidRPr="00C769A9">
              <w:rPr>
                <w:rStyle w:val="Hyperlink"/>
              </w:rPr>
              <w:t>12.3</w:t>
            </w:r>
            <w:r>
              <w:rPr>
                <w:rFonts w:asciiTheme="minorHAnsi" w:eastAsiaTheme="minorEastAsia" w:hAnsiTheme="minorHAnsi" w:cstheme="minorBidi"/>
                <w:kern w:val="2"/>
                <w:sz w:val="24"/>
                <w:szCs w:val="24"/>
                <w:lang w:eastAsia="en-AU"/>
                <w14:ligatures w14:val="standardContextual"/>
              </w:rPr>
              <w:tab/>
            </w:r>
            <w:r w:rsidRPr="00C769A9">
              <w:rPr>
                <w:rStyle w:val="Hyperlink"/>
              </w:rPr>
              <w:t>Transition Care Program 2026–27</w:t>
            </w:r>
            <w:r>
              <w:rPr>
                <w:webHidden/>
              </w:rPr>
              <w:tab/>
            </w:r>
            <w:r>
              <w:rPr>
                <w:webHidden/>
              </w:rPr>
              <w:fldChar w:fldCharType="begin"/>
            </w:r>
            <w:r>
              <w:rPr>
                <w:webHidden/>
              </w:rPr>
              <w:instrText xml:space="preserve"> PAGEREF _Toc234580359 \h </w:instrText>
            </w:r>
            <w:r>
              <w:rPr>
                <w:webHidden/>
              </w:rPr>
            </w:r>
            <w:r>
              <w:rPr>
                <w:webHidden/>
              </w:rPr>
              <w:fldChar w:fldCharType="separate"/>
            </w:r>
            <w:r>
              <w:rPr>
                <w:webHidden/>
              </w:rPr>
              <w:t>44</w:t>
            </w:r>
            <w:r>
              <w:rPr>
                <w:webHidden/>
              </w:rPr>
              <w:fldChar w:fldCharType="end"/>
            </w:r>
          </w:hyperlink>
        </w:p>
        <w:p w14:paraId="2B6ADE30" w14:textId="29F8B381"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60" w:history="1">
            <w:r w:rsidRPr="00C769A9">
              <w:rPr>
                <w:rStyle w:val="Hyperlink"/>
              </w:rPr>
              <w:t>12.4</w:t>
            </w:r>
            <w:r>
              <w:rPr>
                <w:rFonts w:asciiTheme="minorHAnsi" w:eastAsiaTheme="minorEastAsia" w:hAnsiTheme="minorHAnsi" w:cstheme="minorBidi"/>
                <w:kern w:val="2"/>
                <w:sz w:val="24"/>
                <w:szCs w:val="24"/>
                <w:lang w:eastAsia="en-AU"/>
                <w14:ligatures w14:val="standardContextual"/>
              </w:rPr>
              <w:tab/>
            </w:r>
            <w:r w:rsidRPr="00C769A9">
              <w:rPr>
                <w:rStyle w:val="Hyperlink"/>
              </w:rPr>
              <w:t>Early Parenting Centres 2026–27</w:t>
            </w:r>
            <w:r>
              <w:rPr>
                <w:webHidden/>
              </w:rPr>
              <w:tab/>
            </w:r>
            <w:r>
              <w:rPr>
                <w:webHidden/>
              </w:rPr>
              <w:fldChar w:fldCharType="begin"/>
            </w:r>
            <w:r>
              <w:rPr>
                <w:webHidden/>
              </w:rPr>
              <w:instrText xml:space="preserve"> PAGEREF _Toc234580360 \h </w:instrText>
            </w:r>
            <w:r>
              <w:rPr>
                <w:webHidden/>
              </w:rPr>
            </w:r>
            <w:r>
              <w:rPr>
                <w:webHidden/>
              </w:rPr>
              <w:fldChar w:fldCharType="separate"/>
            </w:r>
            <w:r>
              <w:rPr>
                <w:webHidden/>
              </w:rPr>
              <w:t>44</w:t>
            </w:r>
            <w:r>
              <w:rPr>
                <w:webHidden/>
              </w:rPr>
              <w:fldChar w:fldCharType="end"/>
            </w:r>
          </w:hyperlink>
        </w:p>
        <w:p w14:paraId="3DDAACDB" w14:textId="5A294B49"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61" w:history="1">
            <w:r w:rsidRPr="00C769A9">
              <w:rPr>
                <w:rStyle w:val="Hyperlink"/>
              </w:rPr>
              <w:t>12.5</w:t>
            </w:r>
            <w:r>
              <w:rPr>
                <w:rFonts w:asciiTheme="minorHAnsi" w:eastAsiaTheme="minorEastAsia" w:hAnsiTheme="minorHAnsi" w:cstheme="minorBidi"/>
                <w:kern w:val="2"/>
                <w:sz w:val="24"/>
                <w:szCs w:val="24"/>
                <w:lang w:eastAsia="en-AU"/>
                <w14:ligatures w14:val="standardContextual"/>
              </w:rPr>
              <w:tab/>
            </w:r>
            <w:r w:rsidRPr="00C769A9">
              <w:rPr>
                <w:rStyle w:val="Hyperlink"/>
              </w:rPr>
              <w:t>Mental health services 2026–27</w:t>
            </w:r>
            <w:r>
              <w:rPr>
                <w:webHidden/>
              </w:rPr>
              <w:tab/>
            </w:r>
            <w:r>
              <w:rPr>
                <w:webHidden/>
              </w:rPr>
              <w:fldChar w:fldCharType="begin"/>
            </w:r>
            <w:r>
              <w:rPr>
                <w:webHidden/>
              </w:rPr>
              <w:instrText xml:space="preserve"> PAGEREF _Toc234580361 \h </w:instrText>
            </w:r>
            <w:r>
              <w:rPr>
                <w:webHidden/>
              </w:rPr>
            </w:r>
            <w:r>
              <w:rPr>
                <w:webHidden/>
              </w:rPr>
              <w:fldChar w:fldCharType="separate"/>
            </w:r>
            <w:r>
              <w:rPr>
                <w:webHidden/>
              </w:rPr>
              <w:t>45</w:t>
            </w:r>
            <w:r>
              <w:rPr>
                <w:webHidden/>
              </w:rPr>
              <w:fldChar w:fldCharType="end"/>
            </w:r>
          </w:hyperlink>
        </w:p>
        <w:p w14:paraId="09262A19" w14:textId="387FC955"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62" w:history="1">
            <w:r w:rsidRPr="00C769A9">
              <w:rPr>
                <w:rStyle w:val="Hyperlink"/>
              </w:rPr>
              <w:t>12.6</w:t>
            </w:r>
            <w:r>
              <w:rPr>
                <w:rFonts w:asciiTheme="minorHAnsi" w:eastAsiaTheme="minorEastAsia" w:hAnsiTheme="minorHAnsi" w:cstheme="minorBidi"/>
                <w:kern w:val="2"/>
                <w:sz w:val="24"/>
                <w:szCs w:val="24"/>
                <w:lang w:eastAsia="en-AU"/>
                <w14:ligatures w14:val="standardContextual"/>
              </w:rPr>
              <w:tab/>
            </w:r>
            <w:r w:rsidRPr="00C769A9">
              <w:rPr>
                <w:rStyle w:val="Hyperlink"/>
              </w:rPr>
              <w:t>Alcohol and other drug services 2026–27</w:t>
            </w:r>
            <w:r>
              <w:rPr>
                <w:webHidden/>
              </w:rPr>
              <w:tab/>
            </w:r>
            <w:r>
              <w:rPr>
                <w:webHidden/>
              </w:rPr>
              <w:fldChar w:fldCharType="begin"/>
            </w:r>
            <w:r>
              <w:rPr>
                <w:webHidden/>
              </w:rPr>
              <w:instrText xml:space="preserve"> PAGEREF _Toc234580362 \h </w:instrText>
            </w:r>
            <w:r>
              <w:rPr>
                <w:webHidden/>
              </w:rPr>
            </w:r>
            <w:r>
              <w:rPr>
                <w:webHidden/>
              </w:rPr>
              <w:fldChar w:fldCharType="separate"/>
            </w:r>
            <w:r>
              <w:rPr>
                <w:webHidden/>
              </w:rPr>
              <w:t>45</w:t>
            </w:r>
            <w:r>
              <w:rPr>
                <w:webHidden/>
              </w:rPr>
              <w:fldChar w:fldCharType="end"/>
            </w:r>
          </w:hyperlink>
        </w:p>
        <w:p w14:paraId="1829C113" w14:textId="3A29D90D"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63" w:history="1">
            <w:r w:rsidRPr="00C769A9">
              <w:rPr>
                <w:rStyle w:val="Hyperlink"/>
              </w:rPr>
              <w:t>12.7</w:t>
            </w:r>
            <w:r>
              <w:rPr>
                <w:rFonts w:asciiTheme="minorHAnsi" w:eastAsiaTheme="minorEastAsia" w:hAnsiTheme="minorHAnsi" w:cstheme="minorBidi"/>
                <w:kern w:val="2"/>
                <w:sz w:val="24"/>
                <w:szCs w:val="24"/>
                <w:lang w:eastAsia="en-AU"/>
                <w14:ligatures w14:val="standardContextual"/>
              </w:rPr>
              <w:tab/>
            </w:r>
            <w:r w:rsidRPr="00C769A9">
              <w:rPr>
                <w:rStyle w:val="Hyperlink"/>
              </w:rPr>
              <w:t xml:space="preserve">Ageing, aged and home care </w:t>
            </w:r>
            <w:r w:rsidR="009D05A6">
              <w:rPr>
                <w:rStyle w:val="Hyperlink"/>
              </w:rPr>
              <w:t>2026–27</w:t>
            </w:r>
            <w:r>
              <w:rPr>
                <w:webHidden/>
              </w:rPr>
              <w:tab/>
            </w:r>
            <w:r>
              <w:rPr>
                <w:webHidden/>
              </w:rPr>
              <w:fldChar w:fldCharType="begin"/>
            </w:r>
            <w:r>
              <w:rPr>
                <w:webHidden/>
              </w:rPr>
              <w:instrText xml:space="preserve"> PAGEREF _Toc234580363 \h </w:instrText>
            </w:r>
            <w:r>
              <w:rPr>
                <w:webHidden/>
              </w:rPr>
            </w:r>
            <w:r>
              <w:rPr>
                <w:webHidden/>
              </w:rPr>
              <w:fldChar w:fldCharType="separate"/>
            </w:r>
            <w:r>
              <w:rPr>
                <w:webHidden/>
              </w:rPr>
              <w:t>46</w:t>
            </w:r>
            <w:r>
              <w:rPr>
                <w:webHidden/>
              </w:rPr>
              <w:fldChar w:fldCharType="end"/>
            </w:r>
          </w:hyperlink>
        </w:p>
        <w:p w14:paraId="14E0AE07" w14:textId="190EA0A9"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64" w:history="1">
            <w:r w:rsidRPr="00C769A9">
              <w:rPr>
                <w:rStyle w:val="Hyperlink"/>
              </w:rPr>
              <w:t>12.8</w:t>
            </w:r>
            <w:r>
              <w:rPr>
                <w:rFonts w:asciiTheme="minorHAnsi" w:eastAsiaTheme="minorEastAsia" w:hAnsiTheme="minorHAnsi" w:cstheme="minorBidi"/>
                <w:kern w:val="2"/>
                <w:sz w:val="24"/>
                <w:szCs w:val="24"/>
                <w:lang w:eastAsia="en-AU"/>
                <w14:ligatures w14:val="standardContextual"/>
              </w:rPr>
              <w:tab/>
            </w:r>
            <w:r w:rsidRPr="00C769A9">
              <w:rPr>
                <w:rStyle w:val="Hyperlink"/>
              </w:rPr>
              <w:t xml:space="preserve">Community health care </w:t>
            </w:r>
            <w:r w:rsidR="009D05A6">
              <w:rPr>
                <w:rStyle w:val="Hyperlink"/>
              </w:rPr>
              <w:t>2026–27</w:t>
            </w:r>
            <w:r>
              <w:rPr>
                <w:webHidden/>
              </w:rPr>
              <w:tab/>
            </w:r>
            <w:r>
              <w:rPr>
                <w:webHidden/>
              </w:rPr>
              <w:fldChar w:fldCharType="begin"/>
            </w:r>
            <w:r>
              <w:rPr>
                <w:webHidden/>
              </w:rPr>
              <w:instrText xml:space="preserve"> PAGEREF _Toc234580364 \h </w:instrText>
            </w:r>
            <w:r>
              <w:rPr>
                <w:webHidden/>
              </w:rPr>
            </w:r>
            <w:r>
              <w:rPr>
                <w:webHidden/>
              </w:rPr>
              <w:fldChar w:fldCharType="separate"/>
            </w:r>
            <w:r>
              <w:rPr>
                <w:webHidden/>
              </w:rPr>
              <w:t>47</w:t>
            </w:r>
            <w:r>
              <w:rPr>
                <w:webHidden/>
              </w:rPr>
              <w:fldChar w:fldCharType="end"/>
            </w:r>
          </w:hyperlink>
        </w:p>
        <w:p w14:paraId="0A80F7E5" w14:textId="75CE870F"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65" w:history="1">
            <w:r w:rsidRPr="00C769A9">
              <w:rPr>
                <w:rStyle w:val="Hyperlink"/>
              </w:rPr>
              <w:t>12.9</w:t>
            </w:r>
            <w:r>
              <w:rPr>
                <w:rFonts w:asciiTheme="minorHAnsi" w:eastAsiaTheme="minorEastAsia" w:hAnsiTheme="minorHAnsi" w:cstheme="minorBidi"/>
                <w:kern w:val="2"/>
                <w:sz w:val="24"/>
                <w:szCs w:val="24"/>
                <w:lang w:eastAsia="en-AU"/>
                <w14:ligatures w14:val="standardContextual"/>
              </w:rPr>
              <w:tab/>
            </w:r>
            <w:r w:rsidRPr="00C769A9">
              <w:rPr>
                <w:rStyle w:val="Hyperlink"/>
              </w:rPr>
              <w:t xml:space="preserve">Training and development </w:t>
            </w:r>
            <w:r w:rsidR="009D05A6">
              <w:rPr>
                <w:rStyle w:val="Hyperlink"/>
              </w:rPr>
              <w:t>2026–27</w:t>
            </w:r>
            <w:r>
              <w:rPr>
                <w:webHidden/>
              </w:rPr>
              <w:tab/>
            </w:r>
            <w:r>
              <w:rPr>
                <w:webHidden/>
              </w:rPr>
              <w:fldChar w:fldCharType="begin"/>
            </w:r>
            <w:r>
              <w:rPr>
                <w:webHidden/>
              </w:rPr>
              <w:instrText xml:space="preserve"> PAGEREF _Toc234580365 \h </w:instrText>
            </w:r>
            <w:r>
              <w:rPr>
                <w:webHidden/>
              </w:rPr>
            </w:r>
            <w:r>
              <w:rPr>
                <w:webHidden/>
              </w:rPr>
              <w:fldChar w:fldCharType="separate"/>
            </w:r>
            <w:r>
              <w:rPr>
                <w:webHidden/>
              </w:rPr>
              <w:t>47</w:t>
            </w:r>
            <w:r>
              <w:rPr>
                <w:webHidden/>
              </w:rPr>
              <w:fldChar w:fldCharType="end"/>
            </w:r>
          </w:hyperlink>
        </w:p>
        <w:p w14:paraId="10B2CC42" w14:textId="74D44B7B"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66" w:history="1">
            <w:r w:rsidRPr="00C769A9">
              <w:rPr>
                <w:rStyle w:val="Hyperlink"/>
              </w:rPr>
              <w:t>13</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Price groups for NWAU purposes</w:t>
            </w:r>
            <w:r>
              <w:rPr>
                <w:webHidden/>
              </w:rPr>
              <w:tab/>
            </w:r>
            <w:r>
              <w:rPr>
                <w:webHidden/>
              </w:rPr>
              <w:fldChar w:fldCharType="begin"/>
            </w:r>
            <w:r>
              <w:rPr>
                <w:webHidden/>
              </w:rPr>
              <w:instrText xml:space="preserve"> PAGEREF _Toc234580366 \h </w:instrText>
            </w:r>
            <w:r>
              <w:rPr>
                <w:webHidden/>
              </w:rPr>
            </w:r>
            <w:r>
              <w:rPr>
                <w:webHidden/>
              </w:rPr>
              <w:fldChar w:fldCharType="separate"/>
            </w:r>
            <w:r>
              <w:rPr>
                <w:webHidden/>
              </w:rPr>
              <w:t>48</w:t>
            </w:r>
            <w:r>
              <w:rPr>
                <w:webHidden/>
              </w:rPr>
              <w:fldChar w:fldCharType="end"/>
            </w:r>
          </w:hyperlink>
        </w:p>
        <w:p w14:paraId="3652BF11" w14:textId="0C128298" w:rsidR="004D0154" w:rsidRDefault="004D0154">
          <w:pPr>
            <w:pStyle w:val="TOC1"/>
            <w:rPr>
              <w:rFonts w:asciiTheme="minorHAnsi" w:eastAsiaTheme="minorEastAsia" w:hAnsiTheme="minorHAnsi" w:cstheme="minorBidi"/>
              <w:b w:val="0"/>
              <w:kern w:val="2"/>
              <w:sz w:val="24"/>
              <w:szCs w:val="24"/>
              <w:lang w:eastAsia="en-AU"/>
              <w14:ligatures w14:val="standardContextual"/>
            </w:rPr>
          </w:pPr>
          <w:hyperlink w:anchor="_Toc234580367" w:history="1">
            <w:r w:rsidRPr="00C769A9">
              <w:rPr>
                <w:rStyle w:val="Hyperlink"/>
              </w:rPr>
              <w:t>Part 2: Funding and activity levels</w:t>
            </w:r>
            <w:r>
              <w:rPr>
                <w:webHidden/>
              </w:rPr>
              <w:tab/>
            </w:r>
            <w:r>
              <w:rPr>
                <w:webHidden/>
              </w:rPr>
              <w:fldChar w:fldCharType="begin"/>
            </w:r>
            <w:r>
              <w:rPr>
                <w:webHidden/>
              </w:rPr>
              <w:instrText xml:space="preserve"> PAGEREF _Toc234580367 \h </w:instrText>
            </w:r>
            <w:r>
              <w:rPr>
                <w:webHidden/>
              </w:rPr>
            </w:r>
            <w:r>
              <w:rPr>
                <w:webHidden/>
              </w:rPr>
              <w:fldChar w:fldCharType="separate"/>
            </w:r>
            <w:r>
              <w:rPr>
                <w:webHidden/>
              </w:rPr>
              <w:t>50</w:t>
            </w:r>
            <w:r>
              <w:rPr>
                <w:webHidden/>
              </w:rPr>
              <w:fldChar w:fldCharType="end"/>
            </w:r>
          </w:hyperlink>
        </w:p>
        <w:p w14:paraId="1F78C6C5" w14:textId="60ED5CB3"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68" w:history="1">
            <w:r w:rsidRPr="00C769A9">
              <w:rPr>
                <w:rStyle w:val="Hyperlink"/>
              </w:rPr>
              <w:t>14</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Output and activity tables</w:t>
            </w:r>
            <w:r>
              <w:rPr>
                <w:webHidden/>
              </w:rPr>
              <w:tab/>
            </w:r>
            <w:r>
              <w:rPr>
                <w:webHidden/>
              </w:rPr>
              <w:fldChar w:fldCharType="begin"/>
            </w:r>
            <w:r>
              <w:rPr>
                <w:webHidden/>
              </w:rPr>
              <w:instrText xml:space="preserve"> PAGEREF _Toc234580368 \h </w:instrText>
            </w:r>
            <w:r>
              <w:rPr>
                <w:webHidden/>
              </w:rPr>
            </w:r>
            <w:r>
              <w:rPr>
                <w:webHidden/>
              </w:rPr>
              <w:fldChar w:fldCharType="separate"/>
            </w:r>
            <w:r>
              <w:rPr>
                <w:webHidden/>
              </w:rPr>
              <w:t>51</w:t>
            </w:r>
            <w:r>
              <w:rPr>
                <w:webHidden/>
              </w:rPr>
              <w:fldChar w:fldCharType="end"/>
            </w:r>
          </w:hyperlink>
        </w:p>
        <w:p w14:paraId="776E3400" w14:textId="5B98FE15"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69" w:history="1">
            <w:r w:rsidRPr="00C769A9">
              <w:rPr>
                <w:rStyle w:val="Hyperlink"/>
              </w:rPr>
              <w:t>15</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Budget tables</w:t>
            </w:r>
            <w:r>
              <w:rPr>
                <w:webHidden/>
              </w:rPr>
              <w:tab/>
            </w:r>
            <w:r>
              <w:rPr>
                <w:webHidden/>
              </w:rPr>
              <w:fldChar w:fldCharType="begin"/>
            </w:r>
            <w:r>
              <w:rPr>
                <w:webHidden/>
              </w:rPr>
              <w:instrText xml:space="preserve"> PAGEREF _Toc234580369 \h </w:instrText>
            </w:r>
            <w:r>
              <w:rPr>
                <w:webHidden/>
              </w:rPr>
            </w:r>
            <w:r>
              <w:rPr>
                <w:webHidden/>
              </w:rPr>
              <w:fldChar w:fldCharType="separate"/>
            </w:r>
            <w:r>
              <w:rPr>
                <w:webHidden/>
              </w:rPr>
              <w:t>56</w:t>
            </w:r>
            <w:r>
              <w:rPr>
                <w:webHidden/>
              </w:rPr>
              <w:fldChar w:fldCharType="end"/>
            </w:r>
          </w:hyperlink>
        </w:p>
        <w:p w14:paraId="59CDEC4B" w14:textId="2FF80392"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70" w:history="1">
            <w:r w:rsidRPr="00C769A9">
              <w:rPr>
                <w:rStyle w:val="Hyperlink"/>
              </w:rPr>
              <w:t>16</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Activity target tables</w:t>
            </w:r>
            <w:r>
              <w:rPr>
                <w:webHidden/>
              </w:rPr>
              <w:tab/>
            </w:r>
            <w:r>
              <w:rPr>
                <w:webHidden/>
              </w:rPr>
              <w:fldChar w:fldCharType="begin"/>
            </w:r>
            <w:r>
              <w:rPr>
                <w:webHidden/>
              </w:rPr>
              <w:instrText xml:space="preserve"> PAGEREF _Toc234580370 \h </w:instrText>
            </w:r>
            <w:r>
              <w:rPr>
                <w:webHidden/>
              </w:rPr>
            </w:r>
            <w:r>
              <w:rPr>
                <w:webHidden/>
              </w:rPr>
              <w:fldChar w:fldCharType="separate"/>
            </w:r>
            <w:r>
              <w:rPr>
                <w:webHidden/>
              </w:rPr>
              <w:t>57</w:t>
            </w:r>
            <w:r>
              <w:rPr>
                <w:webHidden/>
              </w:rPr>
              <w:fldChar w:fldCharType="end"/>
            </w:r>
          </w:hyperlink>
        </w:p>
        <w:p w14:paraId="4BEEE2AB" w14:textId="1BDB7EA2"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71" w:history="1">
            <w:r w:rsidRPr="00C769A9">
              <w:rPr>
                <w:rStyle w:val="Hyperlink"/>
              </w:rPr>
              <w:t>16.1</w:t>
            </w:r>
            <w:r>
              <w:rPr>
                <w:rFonts w:asciiTheme="minorHAnsi" w:eastAsiaTheme="minorEastAsia" w:hAnsiTheme="minorHAnsi" w:cstheme="minorBidi"/>
                <w:kern w:val="2"/>
                <w:sz w:val="24"/>
                <w:szCs w:val="24"/>
                <w:lang w:eastAsia="en-AU"/>
                <w14:ligatures w14:val="standardContextual"/>
              </w:rPr>
              <w:tab/>
            </w:r>
            <w:r w:rsidRPr="00C769A9">
              <w:rPr>
                <w:rStyle w:val="Hyperlink"/>
              </w:rPr>
              <w:t>Transition Care Program targets 2026–27</w:t>
            </w:r>
            <w:r>
              <w:rPr>
                <w:webHidden/>
              </w:rPr>
              <w:tab/>
            </w:r>
            <w:r>
              <w:rPr>
                <w:webHidden/>
              </w:rPr>
              <w:fldChar w:fldCharType="begin"/>
            </w:r>
            <w:r>
              <w:rPr>
                <w:webHidden/>
              </w:rPr>
              <w:instrText xml:space="preserve"> PAGEREF _Toc234580371 \h </w:instrText>
            </w:r>
            <w:r>
              <w:rPr>
                <w:webHidden/>
              </w:rPr>
            </w:r>
            <w:r>
              <w:rPr>
                <w:webHidden/>
              </w:rPr>
              <w:fldChar w:fldCharType="separate"/>
            </w:r>
            <w:r>
              <w:rPr>
                <w:webHidden/>
              </w:rPr>
              <w:t>57</w:t>
            </w:r>
            <w:r>
              <w:rPr>
                <w:webHidden/>
              </w:rPr>
              <w:fldChar w:fldCharType="end"/>
            </w:r>
          </w:hyperlink>
        </w:p>
        <w:p w14:paraId="267AA9C4" w14:textId="6447ADEF"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72" w:history="1">
            <w:r w:rsidRPr="00C769A9">
              <w:rPr>
                <w:rStyle w:val="Hyperlink"/>
              </w:rPr>
              <w:t>16.2</w:t>
            </w:r>
            <w:r>
              <w:rPr>
                <w:rFonts w:asciiTheme="minorHAnsi" w:eastAsiaTheme="minorEastAsia" w:hAnsiTheme="minorHAnsi" w:cstheme="minorBidi"/>
                <w:kern w:val="2"/>
                <w:sz w:val="24"/>
                <w:szCs w:val="24"/>
                <w:lang w:eastAsia="en-AU"/>
                <w14:ligatures w14:val="standardContextual"/>
              </w:rPr>
              <w:tab/>
            </w:r>
            <w:r w:rsidRPr="00C769A9">
              <w:rPr>
                <w:rStyle w:val="Hyperlink"/>
              </w:rPr>
              <w:t>Non-admitted episode targets – community palliative care</w:t>
            </w:r>
            <w:r>
              <w:rPr>
                <w:webHidden/>
              </w:rPr>
              <w:tab/>
            </w:r>
            <w:r>
              <w:rPr>
                <w:webHidden/>
              </w:rPr>
              <w:fldChar w:fldCharType="begin"/>
            </w:r>
            <w:r>
              <w:rPr>
                <w:webHidden/>
              </w:rPr>
              <w:instrText xml:space="preserve"> PAGEREF _Toc234580372 \h </w:instrText>
            </w:r>
            <w:r>
              <w:rPr>
                <w:webHidden/>
              </w:rPr>
            </w:r>
            <w:r>
              <w:rPr>
                <w:webHidden/>
              </w:rPr>
              <w:fldChar w:fldCharType="separate"/>
            </w:r>
            <w:r>
              <w:rPr>
                <w:webHidden/>
              </w:rPr>
              <w:t>57</w:t>
            </w:r>
            <w:r>
              <w:rPr>
                <w:webHidden/>
              </w:rPr>
              <w:fldChar w:fldCharType="end"/>
            </w:r>
          </w:hyperlink>
        </w:p>
        <w:p w14:paraId="4ACF9068" w14:textId="701B3666"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73" w:history="1">
            <w:r w:rsidRPr="00C769A9">
              <w:rPr>
                <w:rStyle w:val="Hyperlink"/>
              </w:rPr>
              <w:t>16.3</w:t>
            </w:r>
            <w:r>
              <w:rPr>
                <w:rFonts w:asciiTheme="minorHAnsi" w:eastAsiaTheme="minorEastAsia" w:hAnsiTheme="minorHAnsi" w:cstheme="minorBidi"/>
                <w:kern w:val="2"/>
                <w:sz w:val="24"/>
                <w:szCs w:val="24"/>
                <w:lang w:eastAsia="en-AU"/>
                <w14:ligatures w14:val="standardContextual"/>
              </w:rPr>
              <w:tab/>
            </w:r>
            <w:r w:rsidRPr="00C769A9">
              <w:rPr>
                <w:rStyle w:val="Hyperlink"/>
              </w:rPr>
              <w:t>NFC program 2026–27</w:t>
            </w:r>
            <w:r>
              <w:rPr>
                <w:webHidden/>
              </w:rPr>
              <w:tab/>
            </w:r>
            <w:r>
              <w:rPr>
                <w:webHidden/>
              </w:rPr>
              <w:fldChar w:fldCharType="begin"/>
            </w:r>
            <w:r>
              <w:rPr>
                <w:webHidden/>
              </w:rPr>
              <w:instrText xml:space="preserve"> PAGEREF _Toc234580373 \h </w:instrText>
            </w:r>
            <w:r>
              <w:rPr>
                <w:webHidden/>
              </w:rPr>
            </w:r>
            <w:r>
              <w:rPr>
                <w:webHidden/>
              </w:rPr>
              <w:fldChar w:fldCharType="separate"/>
            </w:r>
            <w:r>
              <w:rPr>
                <w:webHidden/>
              </w:rPr>
              <w:t>59</w:t>
            </w:r>
            <w:r>
              <w:rPr>
                <w:webHidden/>
              </w:rPr>
              <w:fldChar w:fldCharType="end"/>
            </w:r>
          </w:hyperlink>
        </w:p>
        <w:p w14:paraId="17E3B535" w14:textId="0D6BC0EE"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74" w:history="1">
            <w:r w:rsidRPr="00C769A9">
              <w:rPr>
                <w:rStyle w:val="Hyperlink"/>
              </w:rPr>
              <w:t>16.4</w:t>
            </w:r>
            <w:r>
              <w:rPr>
                <w:rFonts w:asciiTheme="minorHAnsi" w:eastAsiaTheme="minorEastAsia" w:hAnsiTheme="minorHAnsi" w:cstheme="minorBidi"/>
                <w:kern w:val="2"/>
                <w:sz w:val="24"/>
                <w:szCs w:val="24"/>
                <w:lang w:eastAsia="en-AU"/>
                <w14:ligatures w14:val="standardContextual"/>
              </w:rPr>
              <w:tab/>
            </w:r>
            <w:r w:rsidRPr="00C769A9">
              <w:rPr>
                <w:rStyle w:val="Hyperlink"/>
              </w:rPr>
              <w:t>Early Parenting Centres 2026–27</w:t>
            </w:r>
            <w:r>
              <w:rPr>
                <w:webHidden/>
              </w:rPr>
              <w:tab/>
            </w:r>
            <w:r>
              <w:rPr>
                <w:webHidden/>
              </w:rPr>
              <w:fldChar w:fldCharType="begin"/>
            </w:r>
            <w:r>
              <w:rPr>
                <w:webHidden/>
              </w:rPr>
              <w:instrText xml:space="preserve"> PAGEREF _Toc234580374 \h </w:instrText>
            </w:r>
            <w:r>
              <w:rPr>
                <w:webHidden/>
              </w:rPr>
            </w:r>
            <w:r>
              <w:rPr>
                <w:webHidden/>
              </w:rPr>
              <w:fldChar w:fldCharType="separate"/>
            </w:r>
            <w:r>
              <w:rPr>
                <w:webHidden/>
              </w:rPr>
              <w:t>59</w:t>
            </w:r>
            <w:r>
              <w:rPr>
                <w:webHidden/>
              </w:rPr>
              <w:fldChar w:fldCharType="end"/>
            </w:r>
          </w:hyperlink>
        </w:p>
        <w:p w14:paraId="15AB7A6A" w14:textId="028DD379"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75" w:history="1">
            <w:r w:rsidRPr="00C769A9">
              <w:rPr>
                <w:rStyle w:val="Hyperlink"/>
              </w:rPr>
              <w:t>16.5</w:t>
            </w:r>
            <w:r>
              <w:rPr>
                <w:rFonts w:asciiTheme="minorHAnsi" w:eastAsiaTheme="minorEastAsia" w:hAnsiTheme="minorHAnsi" w:cstheme="minorBidi"/>
                <w:kern w:val="2"/>
                <w:sz w:val="24"/>
                <w:szCs w:val="24"/>
                <w:lang w:eastAsia="en-AU"/>
                <w14:ligatures w14:val="standardContextual"/>
              </w:rPr>
              <w:tab/>
            </w:r>
            <w:r w:rsidRPr="00C769A9">
              <w:rPr>
                <w:rStyle w:val="Hyperlink"/>
                <w:rFonts w:eastAsia="Times"/>
              </w:rPr>
              <w:t>Alcohol and other</w:t>
            </w:r>
            <w:r w:rsidRPr="00C769A9">
              <w:rPr>
                <w:rStyle w:val="Hyperlink"/>
              </w:rPr>
              <w:t xml:space="preserve"> output targets 2026–27</w:t>
            </w:r>
            <w:r>
              <w:rPr>
                <w:webHidden/>
              </w:rPr>
              <w:tab/>
            </w:r>
            <w:r>
              <w:rPr>
                <w:webHidden/>
              </w:rPr>
              <w:fldChar w:fldCharType="begin"/>
            </w:r>
            <w:r>
              <w:rPr>
                <w:webHidden/>
              </w:rPr>
              <w:instrText xml:space="preserve"> PAGEREF _Toc234580375 \h </w:instrText>
            </w:r>
            <w:r>
              <w:rPr>
                <w:webHidden/>
              </w:rPr>
            </w:r>
            <w:r>
              <w:rPr>
                <w:webHidden/>
              </w:rPr>
              <w:fldChar w:fldCharType="separate"/>
            </w:r>
            <w:r>
              <w:rPr>
                <w:webHidden/>
              </w:rPr>
              <w:t>60</w:t>
            </w:r>
            <w:r>
              <w:rPr>
                <w:webHidden/>
              </w:rPr>
              <w:fldChar w:fldCharType="end"/>
            </w:r>
          </w:hyperlink>
        </w:p>
        <w:p w14:paraId="6E83E4E9" w14:textId="2A9AD0D0" w:rsidR="004D0154" w:rsidRDefault="004D01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4580376" w:history="1">
            <w:r w:rsidRPr="00C769A9">
              <w:rPr>
                <w:rStyle w:val="Hyperlink"/>
              </w:rPr>
              <w:t>16.6</w:t>
            </w:r>
            <w:r>
              <w:rPr>
                <w:rFonts w:asciiTheme="minorHAnsi" w:eastAsiaTheme="minorEastAsia" w:hAnsiTheme="minorHAnsi" w:cstheme="minorBidi"/>
                <w:kern w:val="2"/>
                <w:sz w:val="24"/>
                <w:szCs w:val="24"/>
                <w:lang w:eastAsia="en-AU"/>
                <w14:ligatures w14:val="standardContextual"/>
              </w:rPr>
              <w:tab/>
            </w:r>
            <w:r w:rsidRPr="00C769A9">
              <w:rPr>
                <w:rStyle w:val="Hyperlink"/>
              </w:rPr>
              <w:t>Mental health admitted acute beds 2026–27</w:t>
            </w:r>
            <w:r>
              <w:rPr>
                <w:webHidden/>
              </w:rPr>
              <w:tab/>
            </w:r>
            <w:r>
              <w:rPr>
                <w:webHidden/>
              </w:rPr>
              <w:fldChar w:fldCharType="begin"/>
            </w:r>
            <w:r>
              <w:rPr>
                <w:webHidden/>
              </w:rPr>
              <w:instrText xml:space="preserve"> PAGEREF _Toc234580376 \h </w:instrText>
            </w:r>
            <w:r>
              <w:rPr>
                <w:webHidden/>
              </w:rPr>
            </w:r>
            <w:r>
              <w:rPr>
                <w:webHidden/>
              </w:rPr>
              <w:fldChar w:fldCharType="separate"/>
            </w:r>
            <w:r>
              <w:rPr>
                <w:webHidden/>
              </w:rPr>
              <w:t>61</w:t>
            </w:r>
            <w:r>
              <w:rPr>
                <w:webHidden/>
              </w:rPr>
              <w:fldChar w:fldCharType="end"/>
            </w:r>
          </w:hyperlink>
        </w:p>
        <w:p w14:paraId="54F1A585" w14:textId="6F631FB4" w:rsidR="004D0154" w:rsidRDefault="004D01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4580377" w:history="1">
            <w:r w:rsidRPr="00C769A9">
              <w:rPr>
                <w:rStyle w:val="Hyperlink"/>
              </w:rPr>
              <w:t>17</w:t>
            </w:r>
            <w:r>
              <w:rPr>
                <w:rFonts w:asciiTheme="minorHAnsi" w:eastAsiaTheme="minorEastAsia" w:hAnsiTheme="minorHAnsi" w:cstheme="minorBidi"/>
                <w:b w:val="0"/>
                <w:kern w:val="2"/>
                <w:sz w:val="24"/>
                <w:szCs w:val="24"/>
                <w:lang w:eastAsia="en-AU"/>
                <w14:ligatures w14:val="standardContextual"/>
              </w:rPr>
              <w:tab/>
            </w:r>
            <w:r w:rsidRPr="00C769A9">
              <w:rPr>
                <w:rStyle w:val="Hyperlink"/>
              </w:rPr>
              <w:t>Acronyms and abbreviations</w:t>
            </w:r>
            <w:r>
              <w:rPr>
                <w:webHidden/>
              </w:rPr>
              <w:tab/>
            </w:r>
            <w:r>
              <w:rPr>
                <w:webHidden/>
              </w:rPr>
              <w:fldChar w:fldCharType="begin"/>
            </w:r>
            <w:r>
              <w:rPr>
                <w:webHidden/>
              </w:rPr>
              <w:instrText xml:space="preserve"> PAGEREF _Toc234580377 \h </w:instrText>
            </w:r>
            <w:r>
              <w:rPr>
                <w:webHidden/>
              </w:rPr>
            </w:r>
            <w:r>
              <w:rPr>
                <w:webHidden/>
              </w:rPr>
              <w:fldChar w:fldCharType="separate"/>
            </w:r>
            <w:r>
              <w:rPr>
                <w:webHidden/>
              </w:rPr>
              <w:t>64</w:t>
            </w:r>
            <w:r>
              <w:rPr>
                <w:webHidden/>
              </w:rPr>
              <w:fldChar w:fldCharType="end"/>
            </w:r>
          </w:hyperlink>
        </w:p>
        <w:p w14:paraId="5BA43F5A" w14:textId="5567C84A" w:rsidR="005B5CB9" w:rsidRPr="000935DF" w:rsidRDefault="005B5CB9" w:rsidP="005B5CB9">
          <w:pPr>
            <w:pStyle w:val="TOC1"/>
            <w:rPr>
              <w:rFonts w:asciiTheme="minorHAnsi" w:eastAsiaTheme="minorEastAsia" w:hAnsiTheme="minorHAnsi" w:cstheme="minorBidi"/>
              <w:b w:val="0"/>
              <w:kern w:val="2"/>
              <w:sz w:val="24"/>
              <w:szCs w:val="24"/>
              <w:lang w:eastAsia="en-AU"/>
              <w14:ligatures w14:val="standardContextual"/>
            </w:rPr>
          </w:pPr>
          <w:r>
            <w:fldChar w:fldCharType="end"/>
          </w:r>
        </w:p>
      </w:sdtContent>
    </w:sdt>
    <w:p w14:paraId="471F3C62" w14:textId="77777777" w:rsidR="005B5CB9" w:rsidRDefault="005B5CB9" w:rsidP="005B5CB9">
      <w:pPr>
        <w:pStyle w:val="Body"/>
      </w:pPr>
    </w:p>
    <w:p w14:paraId="145C4988" w14:textId="77777777" w:rsidR="005B5CB9" w:rsidRDefault="005B5CB9" w:rsidP="005B5CB9">
      <w:pPr>
        <w:spacing w:after="0" w:line="240" w:lineRule="auto"/>
        <w:rPr>
          <w:rFonts w:eastAsia="Times"/>
        </w:rPr>
      </w:pPr>
      <w:r>
        <w:br w:type="page"/>
      </w:r>
    </w:p>
    <w:p w14:paraId="337D9649" w14:textId="2B72CA87" w:rsidR="005B5CB9" w:rsidRPr="00674286" w:rsidRDefault="005B5CB9" w:rsidP="005B5CB9">
      <w:pPr>
        <w:pStyle w:val="Heading1"/>
        <w:numPr>
          <w:ilvl w:val="0"/>
          <w:numId w:val="0"/>
        </w:numPr>
      </w:pPr>
      <w:bookmarkStart w:id="2" w:name="_Toc106870423"/>
      <w:bookmarkStart w:id="3" w:name="_Toc165964624"/>
      <w:bookmarkStart w:id="4" w:name="_Toc167174486"/>
      <w:bookmarkStart w:id="5" w:name="_Toc167225998"/>
      <w:bookmarkStart w:id="6" w:name="_Toc10199536"/>
      <w:bookmarkStart w:id="7" w:name="_Toc487742003"/>
      <w:bookmarkStart w:id="8" w:name="_Toc14172232"/>
      <w:bookmarkStart w:id="9" w:name="_Toc234580249"/>
      <w:r>
        <w:lastRenderedPageBreak/>
        <w:t>Overview of the Policy and funding guidelines</w:t>
      </w:r>
      <w:r>
        <w:br/>
      </w:r>
      <w:bookmarkEnd w:id="2"/>
      <w:bookmarkEnd w:id="3"/>
      <w:bookmarkEnd w:id="4"/>
      <w:bookmarkEnd w:id="5"/>
      <w:r>
        <w:t>2026–27</w:t>
      </w:r>
      <w:bookmarkEnd w:id="9"/>
    </w:p>
    <w:p w14:paraId="3815D9EA" w14:textId="6DD06A4B" w:rsidR="007A3CD2" w:rsidRDefault="007A3CD2" w:rsidP="007A3CD2">
      <w:pPr>
        <w:pStyle w:val="Body"/>
      </w:pPr>
      <w:r>
        <w:t xml:space="preserve">The </w:t>
      </w:r>
      <w:r w:rsidRPr="003927C2">
        <w:t xml:space="preserve">Policy and funding guidelines </w:t>
      </w:r>
      <w:r>
        <w:t>2026–27</w:t>
      </w:r>
      <w:r w:rsidRPr="0670E279">
        <w:rPr>
          <w:i/>
          <w:iCs/>
        </w:rPr>
        <w:t xml:space="preserve"> </w:t>
      </w:r>
      <w:r>
        <w:t>provide the system-wide policy, funding and accountability</w:t>
      </w:r>
      <w:r w:rsidDel="00AC2EB7">
        <w:t xml:space="preserve"> </w:t>
      </w:r>
      <w:r>
        <w:t xml:space="preserve">requirements for government-funded healthcare organisations (funded organisations) in Victoria. This includes health services and hospitals, community </w:t>
      </w:r>
      <w:r w:rsidRPr="00D65A04">
        <w:t>service</w:t>
      </w:r>
      <w:r>
        <w:t xml:space="preserve"> organisations and other funded entities, such as Ambulance Victoria.</w:t>
      </w:r>
    </w:p>
    <w:p w14:paraId="0A785E92" w14:textId="77777777" w:rsidR="005B5CB9" w:rsidRDefault="005B5CB9" w:rsidP="005B5CB9">
      <w:pPr>
        <w:pStyle w:val="Body"/>
      </w:pPr>
      <w:r>
        <w:t>The guidelines:</w:t>
      </w:r>
    </w:p>
    <w:p w14:paraId="26FC09C0" w14:textId="77777777" w:rsidR="007B55F7" w:rsidRPr="002A7703" w:rsidRDefault="007B55F7" w:rsidP="007B55F7">
      <w:pPr>
        <w:pStyle w:val="Bullet1"/>
        <w:numPr>
          <w:ilvl w:val="0"/>
          <w:numId w:val="2"/>
        </w:numPr>
      </w:pPr>
      <w:r>
        <w:t>set expectations for service delivery and operations</w:t>
      </w:r>
    </w:p>
    <w:p w14:paraId="2E0EC1F9" w14:textId="77777777" w:rsidR="007B55F7" w:rsidRPr="002A7703" w:rsidRDefault="007B55F7" w:rsidP="007B55F7">
      <w:pPr>
        <w:pStyle w:val="Bullet1"/>
        <w:numPr>
          <w:ilvl w:val="0"/>
          <w:numId w:val="2"/>
        </w:numPr>
      </w:pPr>
      <w:r>
        <w:t>outline the contractual, statutory and other requirements that must be met</w:t>
      </w:r>
    </w:p>
    <w:p w14:paraId="07344248" w14:textId="77777777" w:rsidR="007B55F7" w:rsidRDefault="007B55F7" w:rsidP="007B55F7">
      <w:pPr>
        <w:pStyle w:val="Bullet1"/>
        <w:numPr>
          <w:ilvl w:val="0"/>
          <w:numId w:val="2"/>
        </w:numPr>
      </w:pPr>
      <w:r>
        <w:t>detail the budgetary landscape, including funding and pricing arrangements, as well as funded activity and targets.</w:t>
      </w:r>
    </w:p>
    <w:p w14:paraId="6C6AF601" w14:textId="77777777" w:rsidR="005B5CB9" w:rsidRDefault="005B5CB9" w:rsidP="005B5CB9">
      <w:pPr>
        <w:pStyle w:val="Bodyafterbullets"/>
      </w:pPr>
      <w:r>
        <w:t>The guidelines comprise two separate but related publications being the:</w:t>
      </w:r>
    </w:p>
    <w:p w14:paraId="5E6C682B" w14:textId="3AE95BEA" w:rsidR="005B5CB9" w:rsidRPr="001F40F1" w:rsidRDefault="006D5696" w:rsidP="00611444">
      <w:pPr>
        <w:pStyle w:val="Bullet1"/>
        <w:ind w:right="357"/>
      </w:pPr>
      <w:r>
        <w:t>Policy guide</w:t>
      </w:r>
      <w:r w:rsidR="005B5CB9" w:rsidRPr="001F40F1">
        <w:t xml:space="preserve"> </w:t>
      </w:r>
    </w:p>
    <w:p w14:paraId="7FE5115C" w14:textId="67BD15A9" w:rsidR="005B5CB9" w:rsidRPr="0005765E" w:rsidRDefault="006D5696" w:rsidP="00611444">
      <w:pPr>
        <w:pStyle w:val="Bullet1"/>
        <w:ind w:right="357"/>
      </w:pPr>
      <w:r>
        <w:t>Funding rules</w:t>
      </w:r>
      <w:r w:rsidR="005B5CB9">
        <w:t xml:space="preserve"> </w:t>
      </w:r>
      <w:r w:rsidR="005B5CB9" w:rsidRPr="0005765E">
        <w:t xml:space="preserve">(this </w:t>
      </w:r>
      <w:r w:rsidR="005B5CB9" w:rsidRPr="00481585">
        <w:t>document</w:t>
      </w:r>
      <w:r w:rsidR="005B5CB9" w:rsidRPr="0005765E">
        <w:t>)</w:t>
      </w:r>
      <w:r w:rsidR="005B5CB9">
        <w:t>.</w:t>
      </w:r>
    </w:p>
    <w:p w14:paraId="11D7EB2A" w14:textId="03C1EDA6" w:rsidR="005B5CB9" w:rsidRPr="008B63F8" w:rsidRDefault="006D5696" w:rsidP="005B5CB9">
      <w:pPr>
        <w:pStyle w:val="Heading2"/>
        <w:numPr>
          <w:ilvl w:val="0"/>
          <w:numId w:val="0"/>
        </w:numPr>
      </w:pPr>
      <w:bookmarkStart w:id="10" w:name="_Toc167225999"/>
      <w:bookmarkEnd w:id="10"/>
      <w:r>
        <w:t>Policy guide</w:t>
      </w:r>
    </w:p>
    <w:p w14:paraId="3F08D5A2" w14:textId="69F29FAC" w:rsidR="00730EB1" w:rsidRPr="00F64A0A" w:rsidRDefault="00730EB1" w:rsidP="00730EB1">
      <w:pPr>
        <w:pStyle w:val="Body"/>
      </w:pPr>
      <w:bookmarkStart w:id="11" w:name="_Toc106868006"/>
      <w:bookmarkStart w:id="12" w:name="_Toc106869755"/>
      <w:bookmarkStart w:id="13" w:name="_Toc106870089"/>
      <w:bookmarkStart w:id="14" w:name="_Toc106870255"/>
      <w:bookmarkStart w:id="15" w:name="_Toc106870427"/>
      <w:bookmarkStart w:id="16" w:name="_Toc165964626"/>
      <w:bookmarkStart w:id="17" w:name="_Toc167174488"/>
      <w:bookmarkStart w:id="18" w:name="_Toc167226001"/>
      <w:r>
        <w:t xml:space="preserve">The </w:t>
      </w:r>
      <w:r w:rsidR="006D5696">
        <w:t>Policy guide</w:t>
      </w:r>
      <w:r>
        <w:t xml:space="preserve"> provides detailed information regarding operational and service delivery policy. This includes the conditions within which funded organisations operate, and the obligations, standards and requirements funded organisations are expected to adhere to. The </w:t>
      </w:r>
      <w:r w:rsidR="006D5696">
        <w:t>Policy guide</w:t>
      </w:r>
      <w:r>
        <w:t xml:space="preserve"> is in two parts.</w:t>
      </w:r>
    </w:p>
    <w:p w14:paraId="50F878C6" w14:textId="77777777" w:rsidR="00730EB1" w:rsidRDefault="00730EB1" w:rsidP="00730EB1">
      <w:pPr>
        <w:pStyle w:val="Heading3"/>
        <w:numPr>
          <w:ilvl w:val="0"/>
          <w:numId w:val="0"/>
        </w:numPr>
      </w:pPr>
      <w:bookmarkStart w:id="19" w:name="_Toc106869753"/>
      <w:bookmarkStart w:id="20" w:name="_Toc106870087"/>
      <w:bookmarkStart w:id="21" w:name="_Toc106870253"/>
      <w:bookmarkStart w:id="22" w:name="_Toc106870425"/>
      <w:bookmarkStart w:id="23" w:name="_Toc167174147"/>
      <w:bookmarkStart w:id="24" w:name="_Toc234580251"/>
      <w:r>
        <w:t xml:space="preserve">Part 1: Operational and </w:t>
      </w:r>
      <w:bookmarkEnd w:id="19"/>
      <w:bookmarkEnd w:id="20"/>
      <w:bookmarkEnd w:id="21"/>
      <w:bookmarkEnd w:id="22"/>
      <w:r>
        <w:t>service delivery policy</w:t>
      </w:r>
      <w:bookmarkEnd w:id="23"/>
      <w:bookmarkEnd w:id="24"/>
    </w:p>
    <w:p w14:paraId="673E245C" w14:textId="77777777" w:rsidR="00730EB1" w:rsidRDefault="00730EB1" w:rsidP="00730EB1">
      <w:pPr>
        <w:pStyle w:val="Body"/>
      </w:pPr>
      <w:r>
        <w:t xml:space="preserve">Part 1 provides health services with the policy changes for the year. Note that it is not a complete, holistic guide to operational and service delivery policy in Victoria. </w:t>
      </w:r>
    </w:p>
    <w:p w14:paraId="5605D4DB" w14:textId="77777777" w:rsidR="00730EB1" w:rsidRPr="0005765E" w:rsidRDefault="00730EB1" w:rsidP="00730EB1">
      <w:pPr>
        <w:pStyle w:val="Heading3"/>
        <w:numPr>
          <w:ilvl w:val="0"/>
          <w:numId w:val="0"/>
        </w:numPr>
      </w:pPr>
      <w:bookmarkStart w:id="25" w:name="_Toc106869754"/>
      <w:bookmarkStart w:id="26" w:name="_Toc106870088"/>
      <w:bookmarkStart w:id="27" w:name="_Toc106870254"/>
      <w:bookmarkStart w:id="28" w:name="_Toc106870426"/>
      <w:bookmarkStart w:id="29" w:name="_Toc167174148"/>
      <w:bookmarkStart w:id="30" w:name="_Toc234580252"/>
      <w:r>
        <w:t xml:space="preserve">Part 2: Obligations, standards and </w:t>
      </w:r>
      <w:bookmarkEnd w:id="25"/>
      <w:bookmarkEnd w:id="26"/>
      <w:bookmarkEnd w:id="27"/>
      <w:bookmarkEnd w:id="28"/>
      <w:r>
        <w:t>requirements</w:t>
      </w:r>
      <w:bookmarkEnd w:id="29"/>
      <w:bookmarkEnd w:id="30"/>
    </w:p>
    <w:p w14:paraId="38C3C3EE" w14:textId="77777777" w:rsidR="00730EB1" w:rsidRDefault="00730EB1" w:rsidP="00730EB1">
      <w:pPr>
        <w:pStyle w:val="Body"/>
      </w:pPr>
      <w:r>
        <w:t>Part 2 outlines the relevant standards and obligations to which funded organisations must adhere, ensuring the delivery of safe, high-quality services and responsible financial management.</w:t>
      </w:r>
    </w:p>
    <w:p w14:paraId="051F9DF2" w14:textId="5CB4E1A5" w:rsidR="005B5CB9" w:rsidRPr="008B63F8" w:rsidRDefault="006D5696" w:rsidP="004D0154">
      <w:pPr>
        <w:pStyle w:val="Heading2"/>
        <w:numPr>
          <w:ilvl w:val="0"/>
          <w:numId w:val="0"/>
        </w:numPr>
        <w:tabs>
          <w:tab w:val="center" w:pos="4649"/>
        </w:tabs>
      </w:pPr>
      <w:r>
        <w:t>Funding rules</w:t>
      </w:r>
      <w:bookmarkEnd w:id="11"/>
      <w:bookmarkEnd w:id="12"/>
      <w:bookmarkEnd w:id="13"/>
      <w:bookmarkEnd w:id="14"/>
      <w:bookmarkEnd w:id="15"/>
      <w:bookmarkEnd w:id="16"/>
      <w:bookmarkEnd w:id="17"/>
      <w:bookmarkEnd w:id="18"/>
      <w:r w:rsidR="004D0154">
        <w:tab/>
      </w:r>
    </w:p>
    <w:p w14:paraId="501AB842" w14:textId="05E157A4" w:rsidR="00D815B6" w:rsidRPr="00F64A0A" w:rsidRDefault="00D815B6" w:rsidP="00D815B6">
      <w:pPr>
        <w:pStyle w:val="Body"/>
      </w:pPr>
      <w:r>
        <w:t xml:space="preserve">The </w:t>
      </w:r>
      <w:r w:rsidR="006D5696">
        <w:t>Funding rules</w:t>
      </w:r>
      <w:r>
        <w:t xml:space="preserve"> go over the budgetary and funding parameters within which funded organisations are expected to work. The </w:t>
      </w:r>
      <w:r w:rsidR="006D5696">
        <w:t>Funding rules</w:t>
      </w:r>
      <w:r>
        <w:t xml:space="preserve"> are in two parts.</w:t>
      </w:r>
    </w:p>
    <w:p w14:paraId="2C1BAE2B" w14:textId="77777777" w:rsidR="00D815B6" w:rsidRPr="005A38DA" w:rsidRDefault="00D815B6" w:rsidP="00D815B6">
      <w:pPr>
        <w:pStyle w:val="Heading3"/>
        <w:numPr>
          <w:ilvl w:val="0"/>
          <w:numId w:val="0"/>
        </w:numPr>
      </w:pPr>
      <w:bookmarkStart w:id="31" w:name="_Toc106869756"/>
      <w:bookmarkStart w:id="32" w:name="_Toc106870090"/>
      <w:bookmarkStart w:id="33" w:name="_Toc106870256"/>
      <w:bookmarkStart w:id="34" w:name="_Toc106870428"/>
      <w:bookmarkStart w:id="35" w:name="_Toc167174150"/>
      <w:bookmarkStart w:id="36" w:name="_Toc234580254"/>
      <w:r>
        <w:t xml:space="preserve">Part 1: Budgetary landscape and </w:t>
      </w:r>
      <w:bookmarkEnd w:id="31"/>
      <w:bookmarkEnd w:id="32"/>
      <w:bookmarkEnd w:id="33"/>
      <w:bookmarkEnd w:id="34"/>
      <w:r>
        <w:t>pricing arrangements</w:t>
      </w:r>
      <w:bookmarkEnd w:id="35"/>
      <w:bookmarkEnd w:id="36"/>
    </w:p>
    <w:p w14:paraId="3CF57A91" w14:textId="77777777" w:rsidR="00D815B6" w:rsidRPr="005A38DA" w:rsidRDefault="00D815B6" w:rsidP="00D815B6">
      <w:pPr>
        <w:pStyle w:val="Body"/>
      </w:pPr>
      <w:r>
        <w:t>Part 1 details the funding and pricing arrangements.</w:t>
      </w:r>
    </w:p>
    <w:p w14:paraId="306BE970" w14:textId="77777777" w:rsidR="00D815B6" w:rsidRPr="0005765E" w:rsidRDefault="00D815B6" w:rsidP="00D815B6">
      <w:pPr>
        <w:pStyle w:val="Heading3"/>
        <w:numPr>
          <w:ilvl w:val="0"/>
          <w:numId w:val="0"/>
        </w:numPr>
      </w:pPr>
      <w:bookmarkStart w:id="37" w:name="_Toc106869757"/>
      <w:bookmarkStart w:id="38" w:name="_Toc106870091"/>
      <w:bookmarkStart w:id="39" w:name="_Toc106870257"/>
      <w:bookmarkStart w:id="40" w:name="_Toc106870429"/>
      <w:bookmarkStart w:id="41" w:name="_Toc167174151"/>
      <w:bookmarkStart w:id="42" w:name="_Toc234580255"/>
      <w:r>
        <w:t xml:space="preserve">Part 2: Funding and </w:t>
      </w:r>
      <w:bookmarkEnd w:id="37"/>
      <w:bookmarkEnd w:id="38"/>
      <w:bookmarkEnd w:id="39"/>
      <w:bookmarkEnd w:id="40"/>
      <w:r>
        <w:t>activity levels</w:t>
      </w:r>
      <w:bookmarkEnd w:id="41"/>
      <w:bookmarkEnd w:id="42"/>
    </w:p>
    <w:p w14:paraId="36E74295" w14:textId="77777777" w:rsidR="00D815B6" w:rsidRDefault="00D815B6" w:rsidP="00D815B6">
      <w:pPr>
        <w:pStyle w:val="Body"/>
      </w:pPr>
      <w:r>
        <w:t>Part 2 provides funding and activity tables that detail the modelled budgets, as well as targets for a range of programs across the health system.</w:t>
      </w:r>
    </w:p>
    <w:p w14:paraId="28FAF5E7" w14:textId="5D4021C5" w:rsidR="005B5CB9" w:rsidRDefault="005B5CB9" w:rsidP="005B5CB9">
      <w:pPr>
        <w:pStyle w:val="Body"/>
      </w:pPr>
      <w:r>
        <w:t>Table 1 provides a quick reference guide to common queries for those organisations.</w:t>
      </w:r>
    </w:p>
    <w:p w14:paraId="287527A1" w14:textId="5F29118F" w:rsidR="00B7206A" w:rsidRDefault="00B7206A" w:rsidP="00806BF9">
      <w:pPr>
        <w:pStyle w:val="Tablecaption"/>
      </w:pPr>
      <w:bookmarkStart w:id="43" w:name="_Toc232527217"/>
      <w:r>
        <w:lastRenderedPageBreak/>
        <w:t xml:space="preserve">Table </w:t>
      </w:r>
      <w:r>
        <w:fldChar w:fldCharType="begin"/>
      </w:r>
      <w:r>
        <w:instrText>SEQ Table \* ARABIC</w:instrText>
      </w:r>
      <w:r>
        <w:fldChar w:fldCharType="separate"/>
      </w:r>
      <w:r>
        <w:rPr>
          <w:noProof/>
        </w:rPr>
        <w:t>1</w:t>
      </w:r>
      <w:r>
        <w:fldChar w:fldCharType="end"/>
      </w:r>
      <w:r>
        <w:t>. Section guidance for some common general queries</w:t>
      </w:r>
      <w:bookmarkEnd w:id="43"/>
    </w:p>
    <w:tbl>
      <w:tblPr>
        <w:tblStyle w:val="GridTable4-Accent1"/>
        <w:tblW w:w="5000" w:type="pct"/>
        <w:tblLook w:val="04A0" w:firstRow="1" w:lastRow="0" w:firstColumn="1" w:lastColumn="0" w:noHBand="0" w:noVBand="1"/>
      </w:tblPr>
      <w:tblGrid>
        <w:gridCol w:w="5950"/>
        <w:gridCol w:w="3338"/>
      </w:tblGrid>
      <w:tr w:rsidR="00B7206A" w:rsidRPr="005E77BB" w14:paraId="2083527D" w14:textId="77777777" w:rsidTr="00806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379A6381" w14:textId="7521C370" w:rsidR="00B7206A" w:rsidRPr="005E77BB" w:rsidRDefault="00B7206A" w:rsidP="004573E0">
            <w:pPr>
              <w:pStyle w:val="Body"/>
              <w:spacing w:after="60" w:line="240" w:lineRule="auto"/>
              <w:rPr>
                <w:sz w:val="18"/>
                <w:szCs w:val="18"/>
              </w:rPr>
            </w:pPr>
            <w:r w:rsidRPr="005E77BB">
              <w:rPr>
                <w:sz w:val="18"/>
                <w:szCs w:val="18"/>
              </w:rPr>
              <w:t>If you need to...</w:t>
            </w:r>
          </w:p>
        </w:tc>
        <w:tc>
          <w:tcPr>
            <w:tcW w:w="1797" w:type="pct"/>
          </w:tcPr>
          <w:p w14:paraId="38E82E8B" w14:textId="2B5383DE" w:rsidR="00B7206A" w:rsidRPr="005E77BB" w:rsidRDefault="00B7206A" w:rsidP="004573E0">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5E77BB">
              <w:rPr>
                <w:sz w:val="18"/>
                <w:szCs w:val="18"/>
              </w:rPr>
              <w:t>Go to</w:t>
            </w:r>
          </w:p>
        </w:tc>
      </w:tr>
      <w:tr w:rsidR="00B7206A" w:rsidRPr="005E77BB" w14:paraId="35728C06" w14:textId="77777777" w:rsidTr="00806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7BA9C830" w14:textId="3DF6AFF1" w:rsidR="00B7206A" w:rsidRPr="005E77BB" w:rsidRDefault="00B7206A" w:rsidP="004573E0">
            <w:pPr>
              <w:pStyle w:val="Body"/>
              <w:spacing w:after="60" w:line="240" w:lineRule="auto"/>
              <w:rPr>
                <w:sz w:val="18"/>
                <w:szCs w:val="18"/>
              </w:rPr>
            </w:pPr>
            <w:r w:rsidRPr="005E77BB">
              <w:rPr>
                <w:sz w:val="18"/>
                <w:szCs w:val="18"/>
              </w:rPr>
              <w:t>Understand how prices are set nationally and in Victoria</w:t>
            </w:r>
          </w:p>
        </w:tc>
        <w:tc>
          <w:tcPr>
            <w:tcW w:w="1797" w:type="pct"/>
          </w:tcPr>
          <w:p w14:paraId="3B71E39B" w14:textId="3BC897A7" w:rsidR="00B7206A" w:rsidRPr="005E77BB" w:rsidRDefault="00B7206A" w:rsidP="004573E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5E77BB">
              <w:rPr>
                <w:sz w:val="18"/>
                <w:szCs w:val="18"/>
              </w:rPr>
              <w:t>Part 1: Sections 1–2</w:t>
            </w:r>
          </w:p>
        </w:tc>
      </w:tr>
      <w:tr w:rsidR="00B7206A" w:rsidRPr="005E77BB" w14:paraId="0E645AE8" w14:textId="77777777" w:rsidTr="00806BF9">
        <w:tc>
          <w:tcPr>
            <w:cnfStyle w:val="001000000000" w:firstRow="0" w:lastRow="0" w:firstColumn="1" w:lastColumn="0" w:oddVBand="0" w:evenVBand="0" w:oddHBand="0" w:evenHBand="0" w:firstRowFirstColumn="0" w:firstRowLastColumn="0" w:lastRowFirstColumn="0" w:lastRowLastColumn="0"/>
            <w:tcW w:w="3203" w:type="pct"/>
          </w:tcPr>
          <w:p w14:paraId="4EE7DDBD" w14:textId="196EB91D" w:rsidR="00B7206A" w:rsidRPr="005E77BB" w:rsidRDefault="00B7206A" w:rsidP="004573E0">
            <w:pPr>
              <w:pStyle w:val="Body"/>
              <w:spacing w:after="60" w:line="240" w:lineRule="auto"/>
              <w:rPr>
                <w:sz w:val="18"/>
                <w:szCs w:val="18"/>
              </w:rPr>
            </w:pPr>
            <w:r w:rsidRPr="005E77BB">
              <w:rPr>
                <w:sz w:val="18"/>
                <w:szCs w:val="18"/>
              </w:rPr>
              <w:t>Find out how a specific service is funded</w:t>
            </w:r>
          </w:p>
        </w:tc>
        <w:tc>
          <w:tcPr>
            <w:tcW w:w="1797" w:type="pct"/>
          </w:tcPr>
          <w:p w14:paraId="30328443" w14:textId="47C04009" w:rsidR="00B7206A" w:rsidRPr="005E77BB" w:rsidRDefault="00B7206A" w:rsidP="004573E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5E77BB">
              <w:rPr>
                <w:sz w:val="18"/>
                <w:szCs w:val="18"/>
              </w:rPr>
              <w:t>Part 1: Sections 3–4</w:t>
            </w:r>
          </w:p>
        </w:tc>
      </w:tr>
      <w:tr w:rsidR="00B7206A" w:rsidRPr="005E77BB" w14:paraId="26063321" w14:textId="77777777" w:rsidTr="00806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509277F7" w14:textId="35658372" w:rsidR="00B7206A" w:rsidRPr="005E77BB" w:rsidRDefault="00B7206A" w:rsidP="004573E0">
            <w:pPr>
              <w:pStyle w:val="Body"/>
              <w:spacing w:after="60" w:line="240" w:lineRule="auto"/>
              <w:rPr>
                <w:sz w:val="18"/>
                <w:szCs w:val="18"/>
              </w:rPr>
            </w:pPr>
            <w:r w:rsidRPr="005E77BB">
              <w:rPr>
                <w:sz w:val="18"/>
                <w:szCs w:val="18"/>
              </w:rPr>
              <w:t>Understand compensable, cross-border or quality pricing</w:t>
            </w:r>
          </w:p>
        </w:tc>
        <w:tc>
          <w:tcPr>
            <w:tcW w:w="1797" w:type="pct"/>
          </w:tcPr>
          <w:p w14:paraId="1E1118F2" w14:textId="12706EA7" w:rsidR="00B7206A" w:rsidRPr="005E77BB" w:rsidRDefault="00B7206A" w:rsidP="004573E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5E77BB">
              <w:rPr>
                <w:sz w:val="18"/>
                <w:szCs w:val="18"/>
              </w:rPr>
              <w:t>Part 1: Sections 5–7</w:t>
            </w:r>
          </w:p>
        </w:tc>
      </w:tr>
      <w:tr w:rsidR="00B7206A" w:rsidRPr="005E77BB" w14:paraId="7716F2F6" w14:textId="77777777" w:rsidTr="00806BF9">
        <w:tc>
          <w:tcPr>
            <w:cnfStyle w:val="001000000000" w:firstRow="0" w:lastRow="0" w:firstColumn="1" w:lastColumn="0" w:oddVBand="0" w:evenVBand="0" w:oddHBand="0" w:evenHBand="0" w:firstRowFirstColumn="0" w:firstRowLastColumn="0" w:lastRowFirstColumn="0" w:lastRowLastColumn="0"/>
            <w:tcW w:w="3203" w:type="pct"/>
          </w:tcPr>
          <w:p w14:paraId="399050BD" w14:textId="7E51C605" w:rsidR="00B7206A" w:rsidRPr="005E77BB" w:rsidRDefault="00B7206A" w:rsidP="004573E0">
            <w:pPr>
              <w:pStyle w:val="Body"/>
              <w:spacing w:after="60" w:line="240" w:lineRule="auto"/>
              <w:rPr>
                <w:sz w:val="18"/>
                <w:szCs w:val="18"/>
              </w:rPr>
            </w:pPr>
            <w:r w:rsidRPr="005E77BB">
              <w:rPr>
                <w:sz w:val="18"/>
                <w:szCs w:val="18"/>
              </w:rPr>
              <w:t>Understand data and reporting obligations</w:t>
            </w:r>
          </w:p>
        </w:tc>
        <w:tc>
          <w:tcPr>
            <w:tcW w:w="1797" w:type="pct"/>
          </w:tcPr>
          <w:p w14:paraId="70763AB3" w14:textId="2226A75A" w:rsidR="00B7206A" w:rsidRPr="005E77BB" w:rsidRDefault="00B7206A" w:rsidP="004573E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5E77BB">
              <w:rPr>
                <w:sz w:val="18"/>
                <w:szCs w:val="18"/>
              </w:rPr>
              <w:t>Part 1: Section 8</w:t>
            </w:r>
          </w:p>
        </w:tc>
      </w:tr>
      <w:tr w:rsidR="00B7206A" w:rsidRPr="005E77BB" w14:paraId="2A8BD386" w14:textId="77777777" w:rsidTr="00806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10ABED21" w14:textId="3FEEF326" w:rsidR="00B7206A" w:rsidRPr="005E77BB" w:rsidRDefault="00B7206A" w:rsidP="004573E0">
            <w:pPr>
              <w:pStyle w:val="Body"/>
              <w:spacing w:after="60" w:line="240" w:lineRule="auto"/>
              <w:rPr>
                <w:sz w:val="18"/>
                <w:szCs w:val="18"/>
              </w:rPr>
            </w:pPr>
            <w:r w:rsidRPr="005E77BB">
              <w:rPr>
                <w:sz w:val="18"/>
                <w:szCs w:val="18"/>
              </w:rPr>
              <w:t>Understand prior-year adjustment (PYA) and recall policy</w:t>
            </w:r>
          </w:p>
        </w:tc>
        <w:tc>
          <w:tcPr>
            <w:tcW w:w="1797" w:type="pct"/>
          </w:tcPr>
          <w:p w14:paraId="2EB4CA74" w14:textId="4CF2CF45" w:rsidR="00B7206A" w:rsidRPr="005E77BB" w:rsidRDefault="00B7206A" w:rsidP="004573E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5E77BB">
              <w:rPr>
                <w:sz w:val="18"/>
                <w:szCs w:val="18"/>
              </w:rPr>
              <w:t>Part 1: Sections 10–11</w:t>
            </w:r>
          </w:p>
        </w:tc>
      </w:tr>
      <w:tr w:rsidR="00B7206A" w:rsidRPr="005E77BB" w14:paraId="1BF63609" w14:textId="77777777" w:rsidTr="00806BF9">
        <w:tc>
          <w:tcPr>
            <w:cnfStyle w:val="001000000000" w:firstRow="0" w:lastRow="0" w:firstColumn="1" w:lastColumn="0" w:oddVBand="0" w:evenVBand="0" w:oddHBand="0" w:evenHBand="0" w:firstRowFirstColumn="0" w:firstRowLastColumn="0" w:lastRowFirstColumn="0" w:lastRowLastColumn="0"/>
            <w:tcW w:w="3203" w:type="pct"/>
          </w:tcPr>
          <w:p w14:paraId="516C49E4" w14:textId="1A067B70" w:rsidR="00B7206A" w:rsidRPr="005E77BB" w:rsidRDefault="00B7206A" w:rsidP="004573E0">
            <w:pPr>
              <w:pStyle w:val="Body"/>
              <w:spacing w:after="60" w:line="240" w:lineRule="auto"/>
              <w:rPr>
                <w:sz w:val="18"/>
                <w:szCs w:val="18"/>
              </w:rPr>
            </w:pPr>
            <w:r w:rsidRPr="005E77BB">
              <w:rPr>
                <w:sz w:val="18"/>
                <w:szCs w:val="18"/>
              </w:rPr>
              <w:t>Find price tables</w:t>
            </w:r>
          </w:p>
        </w:tc>
        <w:tc>
          <w:tcPr>
            <w:tcW w:w="1797" w:type="pct"/>
          </w:tcPr>
          <w:p w14:paraId="425B7E34" w14:textId="05BA2459" w:rsidR="00B7206A" w:rsidRPr="005E77BB" w:rsidRDefault="00B7206A" w:rsidP="004573E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5E77BB">
              <w:rPr>
                <w:sz w:val="18"/>
                <w:szCs w:val="18"/>
              </w:rPr>
              <w:t>Part 1: Section 13</w:t>
            </w:r>
          </w:p>
        </w:tc>
      </w:tr>
      <w:tr w:rsidR="00B7206A" w:rsidRPr="005E77BB" w14:paraId="7F0D02D2" w14:textId="77777777" w:rsidTr="00806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3E32C8D9" w14:textId="511127B3" w:rsidR="00B7206A" w:rsidRPr="005E77BB" w:rsidRDefault="00B7206A" w:rsidP="004573E0">
            <w:pPr>
              <w:pStyle w:val="Body"/>
              <w:spacing w:after="60" w:line="240" w:lineRule="auto"/>
              <w:rPr>
                <w:sz w:val="18"/>
                <w:szCs w:val="18"/>
              </w:rPr>
            </w:pPr>
            <w:r w:rsidRPr="005E77BB">
              <w:rPr>
                <w:sz w:val="18"/>
                <w:szCs w:val="18"/>
              </w:rPr>
              <w:t>Find your modelled budget or activity target</w:t>
            </w:r>
          </w:p>
        </w:tc>
        <w:tc>
          <w:tcPr>
            <w:tcW w:w="1797" w:type="pct"/>
          </w:tcPr>
          <w:p w14:paraId="3D4FFFA1" w14:textId="1A2CCECD" w:rsidR="00B7206A" w:rsidRPr="005E77BB" w:rsidRDefault="00B7206A" w:rsidP="004573E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5E77BB">
              <w:rPr>
                <w:sz w:val="18"/>
                <w:szCs w:val="18"/>
              </w:rPr>
              <w:t>Part 2: Sections 16–17</w:t>
            </w:r>
          </w:p>
        </w:tc>
      </w:tr>
    </w:tbl>
    <w:p w14:paraId="27FA9546" w14:textId="77777777" w:rsidR="00945C5A" w:rsidRDefault="00945C5A" w:rsidP="00945C5A">
      <w:pPr>
        <w:pStyle w:val="Heading2"/>
        <w:numPr>
          <w:ilvl w:val="0"/>
          <w:numId w:val="0"/>
        </w:numPr>
        <w:ind w:left="576" w:hanging="576"/>
      </w:pPr>
      <w:bookmarkStart w:id="44" w:name="_Toc231982237"/>
      <w:bookmarkStart w:id="45" w:name="_Toc234580256"/>
      <w:r>
        <w:t>Application of the guidelines</w:t>
      </w:r>
      <w:bookmarkEnd w:id="44"/>
      <w:bookmarkEnd w:id="45"/>
    </w:p>
    <w:p w14:paraId="61CA1A1B" w14:textId="77777777" w:rsidR="005B5CB9" w:rsidRPr="00C97358" w:rsidRDefault="005B5CB9" w:rsidP="00061CB8">
      <w:pPr>
        <w:pStyle w:val="Body"/>
        <w:spacing w:before="120"/>
      </w:pPr>
      <w:r>
        <w:t>In addition to these guidelines, funded organisations are expected to comply with all other applicable policies.</w:t>
      </w:r>
    </w:p>
    <w:p w14:paraId="21586450" w14:textId="77777777" w:rsidR="005B5CB9" w:rsidRPr="00F3725E" w:rsidRDefault="005B5CB9" w:rsidP="005B5CB9">
      <w:pPr>
        <w:pStyle w:val="Body"/>
      </w:pPr>
      <w:r>
        <w:t xml:space="preserve">Ensure you are reading the most recent version of this document at </w:t>
      </w:r>
      <w:hyperlink r:id="rId20">
        <w:r w:rsidRPr="141D0B29">
          <w:rPr>
            <w:rStyle w:val="Hyperlink"/>
            <w:lang w:val="en-US"/>
          </w:rPr>
          <w:t>Policy and funding guidelines for health services</w:t>
        </w:r>
      </w:hyperlink>
      <w:r w:rsidRPr="141D0B29">
        <w:rPr>
          <w:lang w:val="en-US"/>
        </w:rPr>
        <w:t xml:space="preserve"> &lt;https://www.health.vic.gov.au/policy-and-funding-guidelines-for-health-services</w:t>
      </w:r>
      <w:r>
        <w:t>&gt;, as it may be updated throughout the year.</w:t>
      </w:r>
    </w:p>
    <w:p w14:paraId="570D171F" w14:textId="77777777" w:rsidR="005B5CB9" w:rsidRPr="00F3725E" w:rsidRDefault="005B5CB9" w:rsidP="005B5CB9">
      <w:pPr>
        <w:pStyle w:val="Body"/>
      </w:pPr>
      <w:r>
        <w:t xml:space="preserve">References to </w:t>
      </w:r>
      <w:proofErr w:type="gramStart"/>
      <w:r>
        <w:t>particular statutes</w:t>
      </w:r>
      <w:proofErr w:type="gramEnd"/>
      <w:r>
        <w:t>, regulations or contracts are descriptive only.</w:t>
      </w:r>
    </w:p>
    <w:p w14:paraId="2C3CD3BC" w14:textId="77777777" w:rsidR="005B5CB9" w:rsidRPr="00F3725E" w:rsidRDefault="005B5CB9" w:rsidP="005B5CB9">
      <w:pPr>
        <w:pStyle w:val="Body"/>
      </w:pPr>
      <w:r>
        <w:t>If there are inconsistencies or ambiguities between these guidelines and any legislation, regulations and contractual obligations with the State of Victoria (acting through the department or the Secretary of the department), the legislative, regulatory and contractual obligations take precedence.</w:t>
      </w:r>
    </w:p>
    <w:p w14:paraId="3493941C" w14:textId="77777777" w:rsidR="005B5CB9" w:rsidRPr="00EE21CA" w:rsidRDefault="005B5CB9" w:rsidP="005B5CB9">
      <w:pPr>
        <w:pStyle w:val="Body"/>
      </w:pPr>
      <w:r>
        <w:t>Each funded organisation should refer to the relevant statute, regulation or contract to ascertain all details of its legal obligations. If any funded organisation has specific queries regarding its legal obligations, it should seek independent legal advice.</w:t>
      </w:r>
    </w:p>
    <w:p w14:paraId="1CA5D496" w14:textId="42BEF9F9" w:rsidR="005B5CB9" w:rsidRPr="00EE21CA" w:rsidRDefault="005B5CB9" w:rsidP="005B5CB9">
      <w:pPr>
        <w:pStyle w:val="Body"/>
      </w:pPr>
      <w:r>
        <w:t xml:space="preserve">Service agreements are contractual arrangements between entities for the delivery of services in the community, funded by the department. For entities funded through a service agreement, visit </w:t>
      </w:r>
      <w:hyperlink r:id="rId21" w:history="1">
        <w:r w:rsidRPr="5B850891">
          <w:rPr>
            <w:rStyle w:val="Hyperlink"/>
            <w:lang w:val="en-US"/>
          </w:rPr>
          <w:t>Service agreement</w:t>
        </w:r>
      </w:hyperlink>
      <w:r>
        <w:t xml:space="preserve"> &lt;https://fac.dffh.vic.gov.au/service-agreement&gt; for funding information and activity tables that underpin service agreements.</w:t>
      </w:r>
    </w:p>
    <w:p w14:paraId="20D92CE0" w14:textId="77777777" w:rsidR="005B5CB9" w:rsidRPr="00E15351" w:rsidRDefault="005B5CB9" w:rsidP="005B5CB9">
      <w:pPr>
        <w:pStyle w:val="Body"/>
      </w:pPr>
      <w:r>
        <w:t xml:space="preserve">Those entities funded through a service agreement can search for activity descriptions by visiting the </w:t>
      </w:r>
      <w:hyperlink r:id="rId22">
        <w:r w:rsidRPr="5B850891">
          <w:rPr>
            <w:rStyle w:val="Hyperlink"/>
          </w:rPr>
          <w:t>Department of Families, Fairness and Housing and Department of Health activity search</w:t>
        </w:r>
      </w:hyperlink>
      <w:r>
        <w:t xml:space="preserve"> &lt;https://providers.dffh.vic.gov.au/families-fairness-housing-health-activity-search&gt;.</w:t>
      </w:r>
      <w:bookmarkStart w:id="46" w:name="_Toc167226002"/>
      <w:bookmarkStart w:id="47" w:name="_Toc12894352"/>
      <w:bookmarkStart w:id="48" w:name="_Toc12895308"/>
      <w:bookmarkStart w:id="49" w:name="_Toc414438675"/>
      <w:bookmarkStart w:id="50" w:name="_Toc12894353"/>
      <w:bookmarkStart w:id="51" w:name="_Toc12895309"/>
      <w:bookmarkStart w:id="52" w:name="_Toc12894354"/>
      <w:bookmarkStart w:id="53" w:name="_Toc12895310"/>
      <w:bookmarkStart w:id="54" w:name="_Toc12894355"/>
      <w:bookmarkStart w:id="55" w:name="_Toc12895311"/>
      <w:bookmarkStart w:id="56" w:name="_Toc12894356"/>
      <w:bookmarkStart w:id="57" w:name="_Toc12895312"/>
      <w:bookmarkStart w:id="58" w:name="_Toc12894357"/>
      <w:bookmarkStart w:id="59" w:name="_Toc12895313"/>
      <w:bookmarkStart w:id="60" w:name="_Toc12894358"/>
      <w:bookmarkStart w:id="61" w:name="_Toc12895314"/>
      <w:bookmarkStart w:id="62" w:name="_Toc12894359"/>
      <w:bookmarkStart w:id="63" w:name="_Toc12895315"/>
      <w:bookmarkStart w:id="64" w:name="_Toc12894360"/>
      <w:bookmarkStart w:id="65" w:name="_Toc12895316"/>
      <w:bookmarkStart w:id="66" w:name="_Toc12894361"/>
      <w:bookmarkStart w:id="67" w:name="_Toc12895317"/>
      <w:bookmarkStart w:id="68" w:name="_Toc12894362"/>
      <w:bookmarkStart w:id="69" w:name="_Toc12895318"/>
      <w:bookmarkStart w:id="70" w:name="_Toc12894363"/>
      <w:bookmarkStart w:id="71" w:name="_Toc12895319"/>
      <w:bookmarkStart w:id="72" w:name="_Toc12894364"/>
      <w:bookmarkStart w:id="73" w:name="_Toc12895320"/>
      <w:bookmarkStart w:id="74" w:name="_Toc12894365"/>
      <w:bookmarkStart w:id="75" w:name="_Toc12895321"/>
      <w:bookmarkStart w:id="76" w:name="_Toc12894366"/>
      <w:bookmarkStart w:id="77" w:name="_Toc12895322"/>
      <w:bookmarkStart w:id="78" w:name="_Toc12894367"/>
      <w:bookmarkStart w:id="79" w:name="_Toc12895323"/>
      <w:bookmarkStart w:id="80" w:name="_Toc12894368"/>
      <w:bookmarkStart w:id="81" w:name="_Toc12895324"/>
      <w:bookmarkStart w:id="82" w:name="_Toc12894369"/>
      <w:bookmarkStart w:id="83" w:name="_Toc12895325"/>
      <w:bookmarkStart w:id="84" w:name="_Toc12894370"/>
      <w:bookmarkStart w:id="85" w:name="_Toc12895326"/>
      <w:bookmarkStart w:id="86" w:name="_Toc12894371"/>
      <w:bookmarkStart w:id="87" w:name="_Toc12895327"/>
      <w:bookmarkStart w:id="88" w:name="_Toc12894372"/>
      <w:bookmarkStart w:id="89" w:name="_Toc12895328"/>
      <w:bookmarkStart w:id="90" w:name="_Toc12894373"/>
      <w:bookmarkStart w:id="91" w:name="_Toc12895329"/>
      <w:bookmarkStart w:id="92" w:name="_Toc12894374"/>
      <w:bookmarkStart w:id="93" w:name="_Toc12895330"/>
      <w:bookmarkStart w:id="94" w:name="_Toc12894375"/>
      <w:bookmarkStart w:id="95" w:name="_Toc12895331"/>
      <w:bookmarkStart w:id="96" w:name="_Toc12894376"/>
      <w:bookmarkStart w:id="97" w:name="_Toc12895332"/>
      <w:bookmarkStart w:id="98" w:name="_Toc12894377"/>
      <w:bookmarkStart w:id="99" w:name="_Toc12895333"/>
      <w:bookmarkStart w:id="100" w:name="_Toc12894378"/>
      <w:bookmarkStart w:id="101" w:name="_Toc12895334"/>
      <w:bookmarkStart w:id="102" w:name="_Toc12894379"/>
      <w:bookmarkStart w:id="103" w:name="_Toc12895335"/>
      <w:bookmarkStart w:id="104" w:name="_Toc12894380"/>
      <w:bookmarkStart w:id="105" w:name="_Toc12895336"/>
      <w:bookmarkStart w:id="106" w:name="_Toc12894381"/>
      <w:bookmarkStart w:id="107" w:name="_Toc12895337"/>
      <w:bookmarkStart w:id="108" w:name="_Toc12894382"/>
      <w:bookmarkStart w:id="109" w:name="_Toc12895338"/>
      <w:bookmarkStart w:id="110" w:name="_Toc12894383"/>
      <w:bookmarkStart w:id="111" w:name="_Toc12895339"/>
      <w:bookmarkStart w:id="112" w:name="_Toc12894384"/>
      <w:bookmarkStart w:id="113" w:name="_Toc12895340"/>
      <w:bookmarkStart w:id="114" w:name="_Toc12894385"/>
      <w:bookmarkStart w:id="115" w:name="_Toc12895341"/>
      <w:bookmarkStart w:id="116" w:name="_Toc12894386"/>
      <w:bookmarkStart w:id="117" w:name="_Toc12895342"/>
      <w:bookmarkStart w:id="118" w:name="_Toc12894387"/>
      <w:bookmarkStart w:id="119" w:name="_Toc12895343"/>
      <w:bookmarkStart w:id="120" w:name="_Toc12894388"/>
      <w:bookmarkStart w:id="121" w:name="_Toc12895344"/>
      <w:bookmarkStart w:id="122" w:name="_Toc12894389"/>
      <w:bookmarkStart w:id="123" w:name="_Toc12895345"/>
      <w:bookmarkStart w:id="124" w:name="_Toc12894390"/>
      <w:bookmarkStart w:id="125" w:name="_Toc12895346"/>
      <w:bookmarkStart w:id="126" w:name="_Toc12894391"/>
      <w:bookmarkStart w:id="127" w:name="_Toc12895347"/>
      <w:bookmarkStart w:id="128" w:name="_Toc12894392"/>
      <w:bookmarkStart w:id="129" w:name="_Toc12895348"/>
      <w:bookmarkStart w:id="130" w:name="_Toc12894393"/>
      <w:bookmarkStart w:id="131" w:name="_Toc12895349"/>
      <w:bookmarkStart w:id="132" w:name="_Toc12894394"/>
      <w:bookmarkStart w:id="133" w:name="_Toc12895350"/>
      <w:bookmarkStart w:id="134" w:name="_Toc12894395"/>
      <w:bookmarkStart w:id="135" w:name="_Toc12895351"/>
      <w:bookmarkStart w:id="136" w:name="_Toc12894396"/>
      <w:bookmarkStart w:id="137" w:name="_Toc12895352"/>
      <w:bookmarkStart w:id="138" w:name="_Toc12894397"/>
      <w:bookmarkStart w:id="139" w:name="_Toc12895353"/>
      <w:bookmarkStart w:id="140" w:name="_Toc12894398"/>
      <w:bookmarkStart w:id="141" w:name="_Toc12895354"/>
      <w:bookmarkStart w:id="142" w:name="_Toc12894399"/>
      <w:bookmarkStart w:id="143" w:name="_Toc12895355"/>
      <w:bookmarkStart w:id="144" w:name="_Toc12894400"/>
      <w:bookmarkStart w:id="145" w:name="_Toc12895356"/>
      <w:bookmarkStart w:id="146" w:name="_Toc12894401"/>
      <w:bookmarkStart w:id="147" w:name="_Toc12895357"/>
      <w:bookmarkStart w:id="148" w:name="_Toc12894402"/>
      <w:bookmarkStart w:id="149" w:name="_Toc12895358"/>
      <w:bookmarkStart w:id="150" w:name="_Toc12894403"/>
      <w:bookmarkStart w:id="151" w:name="_Toc12895359"/>
      <w:bookmarkStart w:id="152" w:name="_Toc12894404"/>
      <w:bookmarkStart w:id="153" w:name="_Toc12895360"/>
      <w:bookmarkStart w:id="154" w:name="_Toc12894405"/>
      <w:bookmarkStart w:id="155" w:name="_Toc12895361"/>
      <w:bookmarkStart w:id="156" w:name="_Toc12894406"/>
      <w:bookmarkStart w:id="157" w:name="_Toc12895362"/>
      <w:bookmarkStart w:id="158" w:name="_Toc12894407"/>
      <w:bookmarkStart w:id="159" w:name="_Toc12895363"/>
      <w:bookmarkStart w:id="160" w:name="_Toc12894408"/>
      <w:bookmarkStart w:id="161" w:name="_Toc12895364"/>
      <w:bookmarkStart w:id="162" w:name="_Toc12894409"/>
      <w:bookmarkStart w:id="163" w:name="_Toc12895365"/>
      <w:bookmarkStart w:id="164" w:name="_Toc12894410"/>
      <w:bookmarkStart w:id="165" w:name="_Toc12895366"/>
      <w:bookmarkStart w:id="166" w:name="_Toc12894411"/>
      <w:bookmarkStart w:id="167" w:name="_Toc12895367"/>
      <w:bookmarkStart w:id="168" w:name="_Toc12894412"/>
      <w:bookmarkStart w:id="169" w:name="_Toc12895368"/>
      <w:bookmarkStart w:id="170" w:name="_Toc12894413"/>
      <w:bookmarkStart w:id="171" w:name="_Toc12895369"/>
      <w:bookmarkStart w:id="172" w:name="_Toc12894414"/>
      <w:bookmarkStart w:id="173" w:name="_Toc12895370"/>
      <w:bookmarkStart w:id="174" w:name="_Toc12894415"/>
      <w:bookmarkStart w:id="175" w:name="_Toc12895371"/>
      <w:bookmarkStart w:id="176" w:name="_Toc12894416"/>
      <w:bookmarkStart w:id="177" w:name="_Toc12895372"/>
      <w:bookmarkStart w:id="178" w:name="_Toc486516936"/>
      <w:bookmarkStart w:id="179" w:name="_Toc486516937"/>
      <w:bookmarkStart w:id="180" w:name="_Toc486516938"/>
      <w:bookmarkStart w:id="181" w:name="_Toc486516939"/>
      <w:bookmarkStart w:id="182" w:name="_Toc12894417"/>
      <w:bookmarkStart w:id="183" w:name="_Toc12895373"/>
      <w:bookmarkStart w:id="184" w:name="_Toc12894418"/>
      <w:bookmarkStart w:id="185" w:name="_Toc12895374"/>
      <w:bookmarkStart w:id="186" w:name="_Toc12894419"/>
      <w:bookmarkStart w:id="187" w:name="_Toc12895375"/>
      <w:bookmarkStart w:id="188" w:name="_Toc12894420"/>
      <w:bookmarkStart w:id="189" w:name="_Toc12895376"/>
      <w:bookmarkStart w:id="190" w:name="_Toc12894421"/>
      <w:bookmarkStart w:id="191" w:name="_Toc12895377"/>
      <w:bookmarkStart w:id="192" w:name="_Toc12894422"/>
      <w:bookmarkStart w:id="193" w:name="_Toc12895378"/>
      <w:bookmarkStart w:id="194" w:name="_Toc12894423"/>
      <w:bookmarkStart w:id="195" w:name="_Toc12895379"/>
      <w:bookmarkStart w:id="196" w:name="_Toc12894424"/>
      <w:bookmarkStart w:id="197" w:name="_Toc12895380"/>
      <w:bookmarkStart w:id="198" w:name="_Toc12894425"/>
      <w:bookmarkStart w:id="199" w:name="_Toc12895381"/>
      <w:bookmarkStart w:id="200" w:name="_Toc12894426"/>
      <w:bookmarkStart w:id="201" w:name="_Toc12895382"/>
      <w:bookmarkStart w:id="202" w:name="_Toc12894427"/>
      <w:bookmarkStart w:id="203" w:name="_Toc12895383"/>
      <w:bookmarkStart w:id="204" w:name="_Toc12894428"/>
      <w:bookmarkStart w:id="205" w:name="_Toc12895384"/>
      <w:bookmarkStart w:id="206" w:name="_Toc12894429"/>
      <w:bookmarkStart w:id="207" w:name="_Toc12895385"/>
      <w:bookmarkStart w:id="208" w:name="_Toc12894430"/>
      <w:bookmarkStart w:id="209" w:name="_Toc12895386"/>
      <w:bookmarkStart w:id="210" w:name="_Toc12894431"/>
      <w:bookmarkStart w:id="211" w:name="_Toc12895387"/>
      <w:bookmarkStart w:id="212" w:name="_Toc12894432"/>
      <w:bookmarkStart w:id="213" w:name="_Toc12895388"/>
      <w:bookmarkStart w:id="214" w:name="_Toc12894433"/>
      <w:bookmarkStart w:id="215" w:name="_Toc12895389"/>
      <w:bookmarkStart w:id="216" w:name="_Toc12894434"/>
      <w:bookmarkStart w:id="217" w:name="_Toc12895390"/>
      <w:bookmarkStart w:id="218" w:name="_Toc12894435"/>
      <w:bookmarkStart w:id="219" w:name="_Toc12895391"/>
      <w:bookmarkStart w:id="220" w:name="_Toc12894436"/>
      <w:bookmarkStart w:id="221" w:name="_Toc12895392"/>
      <w:bookmarkStart w:id="222" w:name="_Toc12894437"/>
      <w:bookmarkStart w:id="223" w:name="_Toc12895393"/>
      <w:bookmarkStart w:id="224" w:name="_Toc12894438"/>
      <w:bookmarkStart w:id="225" w:name="_Toc12895394"/>
      <w:bookmarkStart w:id="226" w:name="_Toc12894439"/>
      <w:bookmarkStart w:id="227" w:name="_Toc12895395"/>
      <w:bookmarkStart w:id="228" w:name="_Toc12894440"/>
      <w:bookmarkStart w:id="229" w:name="_Toc12895396"/>
      <w:bookmarkStart w:id="230" w:name="_Toc12894441"/>
      <w:bookmarkStart w:id="231" w:name="_Toc12895397"/>
      <w:bookmarkStart w:id="232" w:name="_Toc12894442"/>
      <w:bookmarkStart w:id="233" w:name="_Toc12895398"/>
      <w:bookmarkStart w:id="234" w:name="_Toc12894443"/>
      <w:bookmarkStart w:id="235" w:name="_Toc12895399"/>
      <w:bookmarkStart w:id="236" w:name="_Toc12894444"/>
      <w:bookmarkStart w:id="237" w:name="_Toc12895400"/>
      <w:bookmarkStart w:id="238" w:name="_Toc12894445"/>
      <w:bookmarkStart w:id="239" w:name="_Toc12895401"/>
      <w:bookmarkStart w:id="240" w:name="_Toc12894446"/>
      <w:bookmarkStart w:id="241" w:name="_Toc12895402"/>
      <w:bookmarkStart w:id="242" w:name="_Toc12894447"/>
      <w:bookmarkStart w:id="243" w:name="_Toc12895403"/>
      <w:bookmarkStart w:id="244" w:name="_Toc12894448"/>
      <w:bookmarkStart w:id="245" w:name="_Toc12895404"/>
      <w:bookmarkStart w:id="246" w:name="_Toc12894449"/>
      <w:bookmarkStart w:id="247" w:name="_Toc12895405"/>
      <w:bookmarkStart w:id="248" w:name="_Toc12894450"/>
      <w:bookmarkStart w:id="249" w:name="_Toc12895406"/>
      <w:bookmarkStart w:id="250" w:name="_Toc12894451"/>
      <w:bookmarkStart w:id="251" w:name="_Toc12895407"/>
      <w:bookmarkStart w:id="252" w:name="_Toc12894452"/>
      <w:bookmarkStart w:id="253" w:name="_Toc12895408"/>
      <w:bookmarkStart w:id="254" w:name="_Toc12894453"/>
      <w:bookmarkStart w:id="255" w:name="_Toc12895409"/>
      <w:bookmarkStart w:id="256" w:name="_Toc12894454"/>
      <w:bookmarkStart w:id="257" w:name="_Toc12895410"/>
      <w:bookmarkStart w:id="258" w:name="_Toc12894455"/>
      <w:bookmarkStart w:id="259" w:name="_Toc12895411"/>
      <w:bookmarkStart w:id="260" w:name="_Toc12894456"/>
      <w:bookmarkStart w:id="261" w:name="_Toc12895412"/>
      <w:bookmarkStart w:id="262" w:name="_Toc12894457"/>
      <w:bookmarkStart w:id="263" w:name="_Toc12895413"/>
      <w:bookmarkStart w:id="264" w:name="_Toc12894458"/>
      <w:bookmarkStart w:id="265" w:name="_Toc12895414"/>
      <w:bookmarkStart w:id="266" w:name="_Toc12894459"/>
      <w:bookmarkStart w:id="267" w:name="_Toc12895415"/>
      <w:bookmarkStart w:id="268" w:name="_Toc12894460"/>
      <w:bookmarkStart w:id="269" w:name="_Toc12895416"/>
      <w:bookmarkStart w:id="270" w:name="_Toc12894461"/>
      <w:bookmarkStart w:id="271" w:name="_Toc12895417"/>
      <w:bookmarkStart w:id="272" w:name="_Toc12894462"/>
      <w:bookmarkStart w:id="273" w:name="_Toc12895418"/>
      <w:bookmarkStart w:id="274" w:name="_Toc12894463"/>
      <w:bookmarkStart w:id="275" w:name="_Toc12895419"/>
      <w:bookmarkStart w:id="276" w:name="_Toc12894464"/>
      <w:bookmarkStart w:id="277" w:name="_Toc12895420"/>
      <w:bookmarkStart w:id="278" w:name="_Toc12894465"/>
      <w:bookmarkStart w:id="279" w:name="_Toc12895421"/>
      <w:bookmarkStart w:id="280" w:name="_Toc12894466"/>
      <w:bookmarkStart w:id="281" w:name="_Toc12895422"/>
      <w:bookmarkStart w:id="282" w:name="_Toc12894467"/>
      <w:bookmarkStart w:id="283" w:name="_Toc12895423"/>
      <w:bookmarkStart w:id="284" w:name="_Toc12894468"/>
      <w:bookmarkStart w:id="285" w:name="_Toc12895424"/>
      <w:bookmarkStart w:id="286" w:name="_Toc12894469"/>
      <w:bookmarkStart w:id="287" w:name="_Toc12895425"/>
      <w:bookmarkStart w:id="288" w:name="_Toc12894470"/>
      <w:bookmarkStart w:id="289" w:name="_Toc12895426"/>
      <w:bookmarkStart w:id="290" w:name="_Toc12894471"/>
      <w:bookmarkStart w:id="291" w:name="_Toc12895427"/>
      <w:bookmarkStart w:id="292" w:name="_Toc12894472"/>
      <w:bookmarkStart w:id="293" w:name="_Toc12895428"/>
      <w:bookmarkStart w:id="294" w:name="_Toc12894473"/>
      <w:bookmarkStart w:id="295" w:name="_Toc12895429"/>
      <w:bookmarkStart w:id="296" w:name="_Toc12894474"/>
      <w:bookmarkStart w:id="297" w:name="_Toc12895430"/>
      <w:bookmarkStart w:id="298" w:name="_Toc12894475"/>
      <w:bookmarkStart w:id="299" w:name="_Toc12895431"/>
      <w:bookmarkStart w:id="300" w:name="_Toc12894476"/>
      <w:bookmarkStart w:id="301" w:name="_Toc12895432"/>
      <w:bookmarkStart w:id="302" w:name="_Toc12894477"/>
      <w:bookmarkStart w:id="303" w:name="_Toc12895433"/>
      <w:bookmarkStart w:id="304" w:name="_Toc12894478"/>
      <w:bookmarkStart w:id="305" w:name="_Toc12895434"/>
      <w:bookmarkStart w:id="306" w:name="_Toc12894479"/>
      <w:bookmarkStart w:id="307" w:name="_Toc12895435"/>
      <w:bookmarkStart w:id="308" w:name="_Toc12894480"/>
      <w:bookmarkStart w:id="309" w:name="_Toc12895436"/>
      <w:bookmarkStart w:id="310" w:name="_Toc12894481"/>
      <w:bookmarkStart w:id="311" w:name="_Toc12895437"/>
      <w:bookmarkStart w:id="312" w:name="_Toc12894482"/>
      <w:bookmarkStart w:id="313" w:name="_Toc12895438"/>
      <w:bookmarkStart w:id="314" w:name="_Toc12894483"/>
      <w:bookmarkStart w:id="315" w:name="_Toc12895439"/>
      <w:bookmarkStart w:id="316" w:name="_Toc12894484"/>
      <w:bookmarkStart w:id="317" w:name="_Toc12895440"/>
      <w:bookmarkStart w:id="318" w:name="_Toc12894485"/>
      <w:bookmarkStart w:id="319" w:name="_Toc12895441"/>
      <w:bookmarkStart w:id="320" w:name="_Toc12894486"/>
      <w:bookmarkStart w:id="321" w:name="_Toc12895442"/>
      <w:bookmarkStart w:id="322" w:name="_Toc12894487"/>
      <w:bookmarkStart w:id="323" w:name="_Toc12895443"/>
      <w:bookmarkStart w:id="324" w:name="_Toc12894488"/>
      <w:bookmarkStart w:id="325" w:name="_Toc12895444"/>
      <w:bookmarkStart w:id="326" w:name="_Toc12894489"/>
      <w:bookmarkStart w:id="327" w:name="_Toc12895445"/>
      <w:bookmarkStart w:id="328" w:name="_Toc12894490"/>
      <w:bookmarkStart w:id="329" w:name="_Toc12895446"/>
      <w:bookmarkStart w:id="330" w:name="_Toc12894491"/>
      <w:bookmarkStart w:id="331" w:name="_Toc12895447"/>
      <w:bookmarkStart w:id="332" w:name="_Toc12894492"/>
      <w:bookmarkStart w:id="333" w:name="_Toc12895448"/>
      <w:bookmarkStart w:id="334" w:name="_Toc12894493"/>
      <w:bookmarkStart w:id="335" w:name="_Toc12895449"/>
      <w:bookmarkStart w:id="336" w:name="_Toc12894494"/>
      <w:bookmarkStart w:id="337" w:name="_Toc12895450"/>
      <w:bookmarkStart w:id="338" w:name="_Toc12894495"/>
      <w:bookmarkStart w:id="339" w:name="_Toc12895451"/>
      <w:bookmarkStart w:id="340" w:name="_Toc12894496"/>
      <w:bookmarkStart w:id="341" w:name="_Toc12895452"/>
      <w:bookmarkStart w:id="342" w:name="_Toc12894497"/>
      <w:bookmarkStart w:id="343" w:name="_Toc12895453"/>
      <w:bookmarkStart w:id="344" w:name="_Toc12894498"/>
      <w:bookmarkStart w:id="345" w:name="_Toc12895454"/>
      <w:bookmarkStart w:id="346" w:name="_Toc12894499"/>
      <w:bookmarkStart w:id="347" w:name="_Toc12895455"/>
      <w:bookmarkStart w:id="348" w:name="_Toc12894500"/>
      <w:bookmarkStart w:id="349" w:name="_Toc12895456"/>
      <w:bookmarkStart w:id="350" w:name="_Toc12894501"/>
      <w:bookmarkStart w:id="351" w:name="_Toc12895457"/>
      <w:bookmarkStart w:id="352" w:name="_Toc12894502"/>
      <w:bookmarkStart w:id="353" w:name="_Toc12895458"/>
      <w:bookmarkStart w:id="354" w:name="_Toc12894503"/>
      <w:bookmarkStart w:id="355" w:name="_Toc12895459"/>
      <w:bookmarkStart w:id="356" w:name="_Toc12894504"/>
      <w:bookmarkStart w:id="357" w:name="_Toc12895460"/>
      <w:bookmarkStart w:id="358" w:name="_Toc12894505"/>
      <w:bookmarkStart w:id="359" w:name="_Toc12895461"/>
      <w:bookmarkStart w:id="360" w:name="_Toc12894506"/>
      <w:bookmarkStart w:id="361" w:name="_Toc12895462"/>
      <w:bookmarkStart w:id="362" w:name="_Toc12894507"/>
      <w:bookmarkStart w:id="363" w:name="_Toc12895463"/>
      <w:bookmarkStart w:id="364" w:name="_Toc12894508"/>
      <w:bookmarkStart w:id="365" w:name="_Toc12895464"/>
      <w:bookmarkStart w:id="366" w:name="_Toc12894509"/>
      <w:bookmarkStart w:id="367" w:name="_Toc12895465"/>
      <w:bookmarkStart w:id="368" w:name="_Toc12894510"/>
      <w:bookmarkStart w:id="369" w:name="_Toc12895466"/>
      <w:bookmarkStart w:id="370" w:name="_Toc12894511"/>
      <w:bookmarkStart w:id="371" w:name="_Toc12895467"/>
      <w:bookmarkStart w:id="372" w:name="_Toc12894512"/>
      <w:bookmarkStart w:id="373" w:name="_Toc12895468"/>
      <w:bookmarkStart w:id="374" w:name="_Toc12894513"/>
      <w:bookmarkStart w:id="375" w:name="_Toc12895469"/>
      <w:bookmarkStart w:id="376" w:name="_Toc12894514"/>
      <w:bookmarkStart w:id="377" w:name="_Toc12895470"/>
      <w:bookmarkStart w:id="378" w:name="_Toc12894515"/>
      <w:bookmarkStart w:id="379" w:name="_Toc12895471"/>
      <w:bookmarkStart w:id="380" w:name="_Toc12894516"/>
      <w:bookmarkStart w:id="381" w:name="_Toc12895472"/>
      <w:bookmarkStart w:id="382" w:name="_Toc12894517"/>
      <w:bookmarkStart w:id="383" w:name="_Toc12895473"/>
      <w:bookmarkStart w:id="384" w:name="_Toc12894518"/>
      <w:bookmarkStart w:id="385" w:name="_Toc12895474"/>
      <w:bookmarkStart w:id="386" w:name="_Toc12894519"/>
      <w:bookmarkStart w:id="387" w:name="_Toc12895475"/>
      <w:bookmarkStart w:id="388" w:name="_Toc12894520"/>
      <w:bookmarkStart w:id="389" w:name="_Toc12895476"/>
      <w:bookmarkStart w:id="390" w:name="_Toc12894521"/>
      <w:bookmarkStart w:id="391" w:name="_Toc12895477"/>
      <w:bookmarkStart w:id="392" w:name="_Toc12894522"/>
      <w:bookmarkStart w:id="393" w:name="_Toc12895478"/>
      <w:bookmarkStart w:id="394" w:name="_Toc12894523"/>
      <w:bookmarkStart w:id="395" w:name="_Toc12895479"/>
      <w:bookmarkStart w:id="396" w:name="_Toc12894524"/>
      <w:bookmarkStart w:id="397" w:name="_Toc12895480"/>
      <w:bookmarkStart w:id="398" w:name="_Toc12894525"/>
      <w:bookmarkStart w:id="399" w:name="_Toc12895481"/>
      <w:bookmarkStart w:id="400" w:name="_Toc12894526"/>
      <w:bookmarkStart w:id="401" w:name="_Toc12895482"/>
      <w:bookmarkStart w:id="402" w:name="_Toc12894527"/>
      <w:bookmarkStart w:id="403" w:name="_Toc12895483"/>
      <w:bookmarkStart w:id="404" w:name="_Toc12894528"/>
      <w:bookmarkStart w:id="405" w:name="_Toc12895484"/>
      <w:bookmarkStart w:id="406" w:name="_Toc12894529"/>
      <w:bookmarkStart w:id="407" w:name="_Toc12895485"/>
      <w:bookmarkStart w:id="408" w:name="_Toc12894530"/>
      <w:bookmarkStart w:id="409" w:name="_Toc12895486"/>
      <w:bookmarkStart w:id="410" w:name="_Toc12894531"/>
      <w:bookmarkStart w:id="411" w:name="_Toc12895487"/>
      <w:bookmarkStart w:id="412" w:name="_Toc12894532"/>
      <w:bookmarkStart w:id="413" w:name="_Toc12895488"/>
      <w:bookmarkStart w:id="414" w:name="_Toc12894533"/>
      <w:bookmarkStart w:id="415" w:name="_Toc12895489"/>
      <w:bookmarkStart w:id="416" w:name="_Toc12894534"/>
      <w:bookmarkStart w:id="417" w:name="_Toc12895490"/>
      <w:bookmarkStart w:id="418" w:name="_Toc12894535"/>
      <w:bookmarkStart w:id="419" w:name="_Toc12895491"/>
      <w:bookmarkStart w:id="420" w:name="_Toc12894536"/>
      <w:bookmarkStart w:id="421" w:name="_Toc12895492"/>
      <w:bookmarkStart w:id="422" w:name="_Toc12894537"/>
      <w:bookmarkStart w:id="423" w:name="_Toc12895493"/>
      <w:bookmarkStart w:id="424" w:name="_Toc12894538"/>
      <w:bookmarkStart w:id="425" w:name="_Toc12895494"/>
      <w:bookmarkStart w:id="426" w:name="_Toc12894539"/>
      <w:bookmarkStart w:id="427" w:name="_Toc12895495"/>
      <w:bookmarkStart w:id="428" w:name="_Toc12894540"/>
      <w:bookmarkStart w:id="429" w:name="_Toc12895496"/>
      <w:bookmarkStart w:id="430" w:name="_Toc12894541"/>
      <w:bookmarkStart w:id="431" w:name="_Toc12895497"/>
      <w:bookmarkStart w:id="432" w:name="_Toc12894542"/>
      <w:bookmarkStart w:id="433" w:name="_Toc12895498"/>
      <w:bookmarkStart w:id="434" w:name="_Toc12894543"/>
      <w:bookmarkStart w:id="435" w:name="_Toc12895499"/>
      <w:bookmarkStart w:id="436" w:name="_Toc12894544"/>
      <w:bookmarkStart w:id="437" w:name="_Toc12895500"/>
      <w:bookmarkStart w:id="438" w:name="_Toc12894545"/>
      <w:bookmarkStart w:id="439" w:name="_Toc12895501"/>
      <w:bookmarkStart w:id="440" w:name="_Toc12894546"/>
      <w:bookmarkStart w:id="441" w:name="_Toc12895502"/>
      <w:bookmarkStart w:id="442" w:name="_Toc12894547"/>
      <w:bookmarkStart w:id="443" w:name="_Toc12895503"/>
      <w:bookmarkStart w:id="444" w:name="_Toc12894548"/>
      <w:bookmarkStart w:id="445" w:name="_Toc12895504"/>
      <w:bookmarkStart w:id="446" w:name="_Toc12894549"/>
      <w:bookmarkStart w:id="447" w:name="_Toc12895505"/>
      <w:bookmarkStart w:id="448" w:name="_Toc12894550"/>
      <w:bookmarkStart w:id="449" w:name="_Toc12895506"/>
      <w:bookmarkStart w:id="450" w:name="_Toc12894551"/>
      <w:bookmarkStart w:id="451" w:name="_Toc12895507"/>
      <w:bookmarkStart w:id="452" w:name="_Toc12894552"/>
      <w:bookmarkStart w:id="453" w:name="_Toc12895508"/>
      <w:bookmarkStart w:id="454" w:name="_Toc12894553"/>
      <w:bookmarkStart w:id="455" w:name="_Toc12895509"/>
      <w:bookmarkStart w:id="456" w:name="_Toc12894554"/>
      <w:bookmarkStart w:id="457" w:name="_Toc12895510"/>
      <w:bookmarkStart w:id="458" w:name="_Toc12894555"/>
      <w:bookmarkStart w:id="459" w:name="_Toc12895511"/>
      <w:bookmarkStart w:id="460" w:name="_Toc12894556"/>
      <w:bookmarkStart w:id="461" w:name="_Toc12895512"/>
      <w:bookmarkStart w:id="462" w:name="_Toc12894557"/>
      <w:bookmarkStart w:id="463" w:name="_Toc12895513"/>
      <w:bookmarkStart w:id="464" w:name="_Toc12894558"/>
      <w:bookmarkStart w:id="465" w:name="_Toc12895514"/>
      <w:bookmarkStart w:id="466" w:name="_Toc12894559"/>
      <w:bookmarkStart w:id="467" w:name="_Toc12895515"/>
      <w:bookmarkStart w:id="468" w:name="_Toc12894560"/>
      <w:bookmarkStart w:id="469" w:name="_Toc12895516"/>
      <w:bookmarkStart w:id="470" w:name="_Toc12894561"/>
      <w:bookmarkStart w:id="471" w:name="_Toc12895517"/>
      <w:bookmarkStart w:id="472" w:name="_Toc12894562"/>
      <w:bookmarkStart w:id="473" w:name="_Toc12895518"/>
      <w:bookmarkStart w:id="474" w:name="_Toc452726694"/>
      <w:bookmarkStart w:id="475" w:name="_Toc452726765"/>
      <w:bookmarkStart w:id="476" w:name="_Toc452726700"/>
      <w:bookmarkStart w:id="477" w:name="_Toc452726771"/>
      <w:bookmarkStart w:id="478" w:name="_Toc452726701"/>
      <w:bookmarkStart w:id="479" w:name="_Toc452726772"/>
      <w:bookmarkStart w:id="480" w:name="_Toc12894563"/>
      <w:bookmarkStart w:id="481" w:name="_Toc12895519"/>
      <w:bookmarkStart w:id="482" w:name="_Toc12894564"/>
      <w:bookmarkStart w:id="483" w:name="_Toc12895520"/>
      <w:bookmarkStart w:id="484" w:name="_Toc12894565"/>
      <w:bookmarkStart w:id="485" w:name="_Toc12895521"/>
      <w:bookmarkStart w:id="486" w:name="_Toc12894566"/>
      <w:bookmarkStart w:id="487" w:name="_Toc12895522"/>
      <w:bookmarkStart w:id="488" w:name="_Toc12894567"/>
      <w:bookmarkStart w:id="489" w:name="_Toc12895523"/>
      <w:bookmarkStart w:id="490" w:name="_Toc12894568"/>
      <w:bookmarkStart w:id="491" w:name="_Toc12895524"/>
      <w:bookmarkStart w:id="492" w:name="_Toc12894569"/>
      <w:bookmarkStart w:id="493" w:name="_Toc12895525"/>
      <w:bookmarkStart w:id="494" w:name="_Toc12894570"/>
      <w:bookmarkStart w:id="495" w:name="_Toc12895526"/>
      <w:bookmarkStart w:id="496" w:name="_Toc12894571"/>
      <w:bookmarkStart w:id="497" w:name="_Toc12895527"/>
      <w:bookmarkStart w:id="498" w:name="_Toc12894572"/>
      <w:bookmarkStart w:id="499" w:name="_Toc12895528"/>
      <w:bookmarkStart w:id="500" w:name="_Toc12894573"/>
      <w:bookmarkStart w:id="501" w:name="_Toc12895529"/>
      <w:bookmarkStart w:id="502" w:name="_Toc12894574"/>
      <w:bookmarkStart w:id="503" w:name="_Toc12895530"/>
      <w:bookmarkStart w:id="504" w:name="_Toc12894575"/>
      <w:bookmarkStart w:id="505" w:name="_Toc12895531"/>
      <w:bookmarkStart w:id="506" w:name="_Toc12894576"/>
      <w:bookmarkStart w:id="507" w:name="_Toc12895532"/>
      <w:bookmarkStart w:id="508" w:name="_Toc12894577"/>
      <w:bookmarkStart w:id="509" w:name="_Toc12895533"/>
      <w:bookmarkStart w:id="510" w:name="_Toc12894578"/>
      <w:bookmarkStart w:id="511" w:name="_Toc12895534"/>
      <w:bookmarkStart w:id="512" w:name="_Toc12894579"/>
      <w:bookmarkStart w:id="513" w:name="_Toc12895535"/>
      <w:bookmarkStart w:id="514" w:name="_Toc12894580"/>
      <w:bookmarkStart w:id="515" w:name="_Toc12895536"/>
      <w:bookmarkStart w:id="516" w:name="_Toc12894581"/>
      <w:bookmarkStart w:id="517" w:name="_Toc12895537"/>
      <w:bookmarkStart w:id="518" w:name="_Toc12894582"/>
      <w:bookmarkStart w:id="519" w:name="_Toc12895538"/>
      <w:bookmarkStart w:id="520" w:name="_Toc12894583"/>
      <w:bookmarkStart w:id="521" w:name="_Toc12895539"/>
      <w:bookmarkStart w:id="522" w:name="_Toc12894584"/>
      <w:bookmarkStart w:id="523" w:name="_Toc12895540"/>
      <w:bookmarkStart w:id="524" w:name="_Toc12894585"/>
      <w:bookmarkStart w:id="525" w:name="_Toc12895541"/>
      <w:bookmarkStart w:id="526" w:name="_Toc12894586"/>
      <w:bookmarkStart w:id="527" w:name="_Toc12895542"/>
      <w:bookmarkStart w:id="528" w:name="_Toc12894587"/>
      <w:bookmarkStart w:id="529" w:name="_Toc12895543"/>
      <w:bookmarkStart w:id="530" w:name="_Toc12894588"/>
      <w:bookmarkStart w:id="531" w:name="_Toc12895544"/>
      <w:bookmarkStart w:id="532" w:name="_Toc452726706"/>
      <w:bookmarkStart w:id="533" w:name="_Toc452726777"/>
      <w:bookmarkStart w:id="534" w:name="_Toc12894589"/>
      <w:bookmarkStart w:id="535" w:name="_Toc12895545"/>
      <w:bookmarkStart w:id="536" w:name="_Toc12894590"/>
      <w:bookmarkStart w:id="537" w:name="_Toc12895546"/>
      <w:bookmarkStart w:id="538" w:name="_Toc12894591"/>
      <w:bookmarkStart w:id="539" w:name="_Toc12895547"/>
      <w:bookmarkStart w:id="540" w:name="_Toc12894592"/>
      <w:bookmarkStart w:id="541" w:name="_Toc12895548"/>
      <w:bookmarkStart w:id="542" w:name="_Toc12894593"/>
      <w:bookmarkStart w:id="543" w:name="_Toc12895549"/>
      <w:bookmarkStart w:id="544" w:name="_Toc12894594"/>
      <w:bookmarkStart w:id="545" w:name="_Toc12895550"/>
      <w:bookmarkStart w:id="546" w:name="_Toc12894595"/>
      <w:bookmarkStart w:id="547" w:name="_Toc12895551"/>
      <w:bookmarkStart w:id="548" w:name="_Toc12894596"/>
      <w:bookmarkStart w:id="549" w:name="_Toc12895552"/>
      <w:bookmarkStart w:id="550" w:name="_Toc12894597"/>
      <w:bookmarkStart w:id="551" w:name="_Toc12895553"/>
      <w:bookmarkStart w:id="552" w:name="_Toc12894598"/>
      <w:bookmarkStart w:id="553" w:name="_Toc12895554"/>
      <w:bookmarkStart w:id="554" w:name="_Toc12894599"/>
      <w:bookmarkStart w:id="555" w:name="_Toc12895555"/>
      <w:bookmarkStart w:id="556" w:name="_Toc12894600"/>
      <w:bookmarkStart w:id="557" w:name="_Toc12895556"/>
      <w:bookmarkStart w:id="558" w:name="_Toc12894601"/>
      <w:bookmarkStart w:id="559" w:name="_Toc12895557"/>
      <w:bookmarkStart w:id="560" w:name="_Toc12894602"/>
      <w:bookmarkStart w:id="561" w:name="_Toc12895558"/>
      <w:bookmarkStart w:id="562" w:name="_Toc12894603"/>
      <w:bookmarkStart w:id="563" w:name="_Toc12895559"/>
      <w:bookmarkStart w:id="564" w:name="_Toc12894604"/>
      <w:bookmarkStart w:id="565" w:name="_Toc12895560"/>
      <w:bookmarkStart w:id="566" w:name="_Toc12894605"/>
      <w:bookmarkStart w:id="567" w:name="_Toc12895561"/>
      <w:bookmarkStart w:id="568" w:name="_Toc12894606"/>
      <w:bookmarkStart w:id="569" w:name="_Toc12895562"/>
      <w:bookmarkStart w:id="570" w:name="_Toc12894607"/>
      <w:bookmarkStart w:id="571" w:name="_Toc12895563"/>
      <w:bookmarkStart w:id="572" w:name="_Toc12894608"/>
      <w:bookmarkStart w:id="573" w:name="_Toc12895564"/>
      <w:bookmarkStart w:id="574" w:name="_Toc12894609"/>
      <w:bookmarkStart w:id="575" w:name="_Toc12895565"/>
      <w:bookmarkStart w:id="576" w:name="_Toc12894610"/>
      <w:bookmarkStart w:id="577" w:name="_Toc12895566"/>
      <w:bookmarkStart w:id="578" w:name="_Toc12894611"/>
      <w:bookmarkStart w:id="579" w:name="_Toc12895567"/>
      <w:bookmarkStart w:id="580" w:name="_Toc12894612"/>
      <w:bookmarkStart w:id="581" w:name="_Toc12895568"/>
      <w:bookmarkStart w:id="582" w:name="_Toc12894613"/>
      <w:bookmarkStart w:id="583" w:name="_Toc12895569"/>
      <w:bookmarkStart w:id="584" w:name="_Toc12894614"/>
      <w:bookmarkStart w:id="585" w:name="_Toc12895570"/>
      <w:bookmarkStart w:id="586" w:name="_Toc12894615"/>
      <w:bookmarkStart w:id="587" w:name="_Toc12895571"/>
      <w:bookmarkStart w:id="588" w:name="_Toc12894616"/>
      <w:bookmarkStart w:id="589" w:name="_Toc12895572"/>
      <w:bookmarkStart w:id="590" w:name="_Toc12894617"/>
      <w:bookmarkStart w:id="591" w:name="_Toc12895573"/>
      <w:bookmarkStart w:id="592" w:name="_Toc12894618"/>
      <w:bookmarkStart w:id="593" w:name="_Toc12895574"/>
      <w:bookmarkStart w:id="594" w:name="_Toc12894619"/>
      <w:bookmarkStart w:id="595" w:name="_Toc12895575"/>
      <w:bookmarkStart w:id="596" w:name="_Toc12894620"/>
      <w:bookmarkStart w:id="597" w:name="_Toc12895576"/>
      <w:bookmarkStart w:id="598" w:name="_Toc12894621"/>
      <w:bookmarkStart w:id="599" w:name="_Toc12895577"/>
      <w:bookmarkStart w:id="600" w:name="_Toc12894622"/>
      <w:bookmarkStart w:id="601" w:name="_Toc12895578"/>
      <w:bookmarkStart w:id="602" w:name="_Toc12894623"/>
      <w:bookmarkStart w:id="603" w:name="_Toc12895579"/>
      <w:bookmarkStart w:id="604" w:name="_Toc12894624"/>
      <w:bookmarkStart w:id="605" w:name="_Toc12895580"/>
      <w:bookmarkStart w:id="606" w:name="_Toc12894625"/>
      <w:bookmarkStart w:id="607" w:name="_Toc12895581"/>
      <w:bookmarkStart w:id="608" w:name="_Toc12894626"/>
      <w:bookmarkStart w:id="609" w:name="_Toc12895582"/>
      <w:bookmarkStart w:id="610" w:name="_Toc12894627"/>
      <w:bookmarkStart w:id="611" w:name="_Toc12895583"/>
      <w:bookmarkStart w:id="612" w:name="_Toc12894628"/>
      <w:bookmarkStart w:id="613" w:name="_Toc12895584"/>
      <w:bookmarkStart w:id="614" w:name="_Toc12894629"/>
      <w:bookmarkStart w:id="615" w:name="_Toc12895585"/>
      <w:bookmarkStart w:id="616" w:name="_Toc12894630"/>
      <w:bookmarkStart w:id="617" w:name="_Toc12895586"/>
      <w:bookmarkStart w:id="618" w:name="_Toc12894631"/>
      <w:bookmarkStart w:id="619" w:name="_Toc12895587"/>
      <w:bookmarkStart w:id="620" w:name="_Toc12894632"/>
      <w:bookmarkStart w:id="621" w:name="_Toc12895588"/>
      <w:bookmarkStart w:id="622" w:name="_Toc12894633"/>
      <w:bookmarkStart w:id="623" w:name="_Toc12895589"/>
      <w:bookmarkStart w:id="624" w:name="_Toc12894634"/>
      <w:bookmarkStart w:id="625" w:name="_Toc12895590"/>
      <w:bookmarkStart w:id="626" w:name="_Toc12894635"/>
      <w:bookmarkStart w:id="627" w:name="_Toc12895591"/>
      <w:bookmarkStart w:id="628" w:name="_Toc12894636"/>
      <w:bookmarkStart w:id="629" w:name="_Toc12895592"/>
      <w:bookmarkStart w:id="630" w:name="_Toc12894637"/>
      <w:bookmarkStart w:id="631" w:name="_Toc12895593"/>
      <w:bookmarkStart w:id="632" w:name="_Toc12894638"/>
      <w:bookmarkStart w:id="633" w:name="_Toc12895594"/>
      <w:bookmarkStart w:id="634" w:name="_Toc12894639"/>
      <w:bookmarkStart w:id="635" w:name="_Toc12895595"/>
      <w:bookmarkStart w:id="636" w:name="_Toc12894640"/>
      <w:bookmarkStart w:id="637" w:name="_Toc12895596"/>
      <w:bookmarkStart w:id="638" w:name="_Toc12894641"/>
      <w:bookmarkStart w:id="639" w:name="_Toc12895597"/>
      <w:bookmarkStart w:id="640" w:name="_Toc12894642"/>
      <w:bookmarkStart w:id="641" w:name="_Toc12895598"/>
      <w:bookmarkStart w:id="642" w:name="_Toc12894643"/>
      <w:bookmarkStart w:id="643" w:name="_Toc12895599"/>
      <w:bookmarkStart w:id="644" w:name="_Toc12894644"/>
      <w:bookmarkStart w:id="645" w:name="_Toc12895600"/>
      <w:bookmarkStart w:id="646" w:name="_Toc12894645"/>
      <w:bookmarkStart w:id="647" w:name="_Toc12895601"/>
      <w:bookmarkStart w:id="648" w:name="_Toc12894646"/>
      <w:bookmarkStart w:id="649" w:name="_Toc12895602"/>
      <w:bookmarkStart w:id="650" w:name="_Toc12894647"/>
      <w:bookmarkStart w:id="651" w:name="_Toc12895603"/>
      <w:bookmarkStart w:id="652" w:name="_Toc12894648"/>
      <w:bookmarkStart w:id="653" w:name="_Toc12895604"/>
      <w:bookmarkStart w:id="654" w:name="_Toc12894649"/>
      <w:bookmarkStart w:id="655" w:name="_Toc12895605"/>
      <w:bookmarkStart w:id="656" w:name="_Toc12894650"/>
      <w:bookmarkStart w:id="657" w:name="_Toc12895606"/>
      <w:bookmarkStart w:id="658" w:name="_Toc12894651"/>
      <w:bookmarkStart w:id="659" w:name="_Toc12895607"/>
      <w:bookmarkStart w:id="660" w:name="_Toc12894652"/>
      <w:bookmarkStart w:id="661" w:name="_Toc12895608"/>
      <w:bookmarkStart w:id="662" w:name="_Toc12894653"/>
      <w:bookmarkStart w:id="663" w:name="_Toc12895609"/>
      <w:bookmarkStart w:id="664" w:name="_Toc12894654"/>
      <w:bookmarkStart w:id="665" w:name="_Toc12895610"/>
      <w:bookmarkStart w:id="666" w:name="_Toc12894655"/>
      <w:bookmarkStart w:id="667" w:name="_Toc12895611"/>
      <w:bookmarkStart w:id="668" w:name="_Toc12894656"/>
      <w:bookmarkStart w:id="669" w:name="_Toc12895612"/>
      <w:bookmarkStart w:id="670" w:name="_Hlk1655213"/>
      <w:bookmarkStart w:id="671" w:name="_Toc486516956"/>
      <w:bookmarkStart w:id="672" w:name="_Toc486516957"/>
      <w:bookmarkStart w:id="673" w:name="_Toc486516958"/>
      <w:bookmarkStart w:id="674" w:name="_Toc486516959"/>
      <w:bookmarkStart w:id="675" w:name="_Toc486516960"/>
      <w:bookmarkStart w:id="676" w:name="_Toc486516961"/>
      <w:bookmarkStart w:id="677" w:name="_Toc486516962"/>
      <w:bookmarkStart w:id="678" w:name="_Toc486516963"/>
      <w:bookmarkStart w:id="679" w:name="_Toc486516964"/>
      <w:bookmarkStart w:id="680" w:name="_Toc486516965"/>
      <w:bookmarkStart w:id="681" w:name="_Toc486516966"/>
      <w:bookmarkStart w:id="682" w:name="_Toc486516967"/>
      <w:bookmarkStart w:id="683" w:name="_Toc486516968"/>
      <w:bookmarkStart w:id="684" w:name="_Toc486516969"/>
      <w:bookmarkStart w:id="685" w:name="_Toc452726713"/>
      <w:bookmarkStart w:id="686" w:name="_Toc452726784"/>
      <w:bookmarkStart w:id="687" w:name="_Toc452726714"/>
      <w:bookmarkStart w:id="688" w:name="_Toc452726785"/>
      <w:bookmarkStart w:id="689" w:name="_Toc12894657"/>
      <w:bookmarkStart w:id="690" w:name="_Toc12895613"/>
      <w:bookmarkStart w:id="691" w:name="_Health_service_performance"/>
      <w:bookmarkStart w:id="692" w:name="_Toc12894658"/>
      <w:bookmarkStart w:id="693" w:name="_Toc12895614"/>
      <w:bookmarkStart w:id="694" w:name="_Toc12894659"/>
      <w:bookmarkStart w:id="695" w:name="_Toc12895615"/>
      <w:bookmarkStart w:id="696" w:name="_Toc12894660"/>
      <w:bookmarkStart w:id="697" w:name="_Toc12895616"/>
      <w:bookmarkStart w:id="698" w:name="_Toc12894661"/>
      <w:bookmarkStart w:id="699" w:name="_Toc12895617"/>
      <w:bookmarkStart w:id="700" w:name="_Toc12894662"/>
      <w:bookmarkStart w:id="701" w:name="_Toc12895618"/>
      <w:bookmarkStart w:id="702" w:name="_Toc12894663"/>
      <w:bookmarkStart w:id="703" w:name="_Toc12895619"/>
      <w:bookmarkStart w:id="704" w:name="_Toc12894664"/>
      <w:bookmarkStart w:id="705" w:name="_Toc12895620"/>
      <w:bookmarkStart w:id="706" w:name="_Toc12894665"/>
      <w:bookmarkStart w:id="707" w:name="_Toc12895621"/>
      <w:bookmarkStart w:id="708" w:name="_Toc12894666"/>
      <w:bookmarkStart w:id="709" w:name="_Toc12895622"/>
      <w:bookmarkStart w:id="710" w:name="_Toc10144476"/>
      <w:bookmarkStart w:id="711" w:name="_Toc10144746"/>
      <w:bookmarkStart w:id="712" w:name="_Toc10145016"/>
      <w:bookmarkStart w:id="713" w:name="_Toc10199034"/>
      <w:bookmarkStart w:id="714" w:name="_Toc10199572"/>
      <w:bookmarkStart w:id="715" w:name="_Toc10459827"/>
      <w:bookmarkStart w:id="716" w:name="_Toc10144477"/>
      <w:bookmarkStart w:id="717" w:name="_Toc10144747"/>
      <w:bookmarkStart w:id="718" w:name="_Toc10145017"/>
      <w:bookmarkStart w:id="719" w:name="_Toc10199035"/>
      <w:bookmarkStart w:id="720" w:name="_Toc10199304"/>
      <w:bookmarkStart w:id="721" w:name="_Toc10199573"/>
      <w:bookmarkStart w:id="722" w:name="_Toc10459828"/>
      <w:bookmarkStart w:id="723" w:name="_Toc10144478"/>
      <w:bookmarkStart w:id="724" w:name="_Toc10144748"/>
      <w:bookmarkStart w:id="725" w:name="_Toc10145018"/>
      <w:bookmarkStart w:id="726" w:name="_Toc10199036"/>
      <w:bookmarkStart w:id="727" w:name="_Toc10199305"/>
      <w:bookmarkStart w:id="728" w:name="_Toc10199574"/>
      <w:bookmarkStart w:id="729" w:name="_Toc10459829"/>
      <w:bookmarkStart w:id="730" w:name="_Toc10144479"/>
      <w:bookmarkStart w:id="731" w:name="_Toc10144749"/>
      <w:bookmarkStart w:id="732" w:name="_Toc10145019"/>
      <w:bookmarkStart w:id="733" w:name="_Toc10199037"/>
      <w:bookmarkStart w:id="734" w:name="_Toc10199306"/>
      <w:bookmarkStart w:id="735" w:name="_Toc10199575"/>
      <w:bookmarkStart w:id="736" w:name="_Toc10459830"/>
      <w:bookmarkStart w:id="737" w:name="_Toc12894667"/>
      <w:bookmarkStart w:id="738" w:name="_Toc12895623"/>
      <w:bookmarkStart w:id="739" w:name="_Toc12894668"/>
      <w:bookmarkStart w:id="740" w:name="_Toc12895624"/>
      <w:bookmarkStart w:id="741" w:name="_Toc12894669"/>
      <w:bookmarkStart w:id="742" w:name="_Toc12895625"/>
      <w:bookmarkStart w:id="743" w:name="_Toc12894670"/>
      <w:bookmarkStart w:id="744" w:name="_Toc12895626"/>
      <w:bookmarkStart w:id="745" w:name="_Toc12894671"/>
      <w:bookmarkStart w:id="746" w:name="_Toc12895627"/>
      <w:bookmarkStart w:id="747" w:name="_Toc12894672"/>
      <w:bookmarkStart w:id="748" w:name="_Toc12895628"/>
      <w:bookmarkStart w:id="749" w:name="_Toc12894673"/>
      <w:bookmarkStart w:id="750" w:name="_Toc12895629"/>
      <w:bookmarkStart w:id="751" w:name="_Toc12894674"/>
      <w:bookmarkStart w:id="752" w:name="_Toc12895630"/>
      <w:bookmarkStart w:id="753" w:name="_Toc12894675"/>
      <w:bookmarkStart w:id="754" w:name="_Toc12895631"/>
      <w:bookmarkStart w:id="755" w:name="_Toc12894676"/>
      <w:bookmarkStart w:id="756" w:name="_Toc12895632"/>
      <w:bookmarkStart w:id="757" w:name="_Toc12894677"/>
      <w:bookmarkStart w:id="758" w:name="_Toc12895633"/>
      <w:bookmarkStart w:id="759" w:name="_Toc12894678"/>
      <w:bookmarkStart w:id="760" w:name="_Toc12895634"/>
      <w:bookmarkStart w:id="761" w:name="_Toc12894679"/>
      <w:bookmarkStart w:id="762" w:name="_Toc12895635"/>
      <w:bookmarkStart w:id="763" w:name="_Toc12894680"/>
      <w:bookmarkStart w:id="764" w:name="_Toc12895636"/>
      <w:bookmarkStart w:id="765" w:name="_Toc12894681"/>
      <w:bookmarkStart w:id="766" w:name="_Toc12895637"/>
      <w:bookmarkStart w:id="767" w:name="_Toc12894682"/>
      <w:bookmarkStart w:id="768" w:name="_Toc12895638"/>
      <w:bookmarkStart w:id="769" w:name="_Toc12894683"/>
      <w:bookmarkStart w:id="770" w:name="_Toc12895639"/>
      <w:bookmarkStart w:id="771" w:name="_Toc12894684"/>
      <w:bookmarkStart w:id="772" w:name="_Toc12895640"/>
      <w:bookmarkStart w:id="773" w:name="_Toc12894685"/>
      <w:bookmarkStart w:id="774" w:name="_Toc12895641"/>
      <w:bookmarkStart w:id="775" w:name="_Toc12894686"/>
      <w:bookmarkStart w:id="776" w:name="_Toc12895642"/>
      <w:bookmarkStart w:id="777" w:name="_Toc12894687"/>
      <w:bookmarkStart w:id="778" w:name="_Toc12895643"/>
      <w:bookmarkStart w:id="779" w:name="_Toc12894688"/>
      <w:bookmarkStart w:id="780" w:name="_Toc12895644"/>
      <w:bookmarkStart w:id="781" w:name="_Toc12894689"/>
      <w:bookmarkStart w:id="782" w:name="_Toc12895645"/>
      <w:bookmarkStart w:id="783" w:name="_Toc12894690"/>
      <w:bookmarkStart w:id="784" w:name="_Toc12895646"/>
      <w:bookmarkStart w:id="785" w:name="_Toc12894691"/>
      <w:bookmarkStart w:id="786" w:name="_Toc12895647"/>
      <w:bookmarkStart w:id="787" w:name="_Toc12894692"/>
      <w:bookmarkStart w:id="788" w:name="_Toc12895648"/>
      <w:bookmarkStart w:id="789" w:name="_Toc12894693"/>
      <w:bookmarkStart w:id="790" w:name="_Toc12895649"/>
      <w:bookmarkStart w:id="791" w:name="_Toc12894694"/>
      <w:bookmarkStart w:id="792" w:name="_Toc12895650"/>
      <w:bookmarkStart w:id="793" w:name="_Toc12894695"/>
      <w:bookmarkStart w:id="794" w:name="_Toc12895651"/>
      <w:bookmarkStart w:id="795" w:name="_Toc12894696"/>
      <w:bookmarkStart w:id="796" w:name="_Toc12895652"/>
      <w:bookmarkStart w:id="797" w:name="_Toc12894697"/>
      <w:bookmarkStart w:id="798" w:name="_Toc12895653"/>
      <w:bookmarkStart w:id="799" w:name="_Toc12894698"/>
      <w:bookmarkStart w:id="800" w:name="_Toc12895654"/>
      <w:bookmarkStart w:id="801" w:name="_Toc12894699"/>
      <w:bookmarkStart w:id="802" w:name="_Toc12895655"/>
      <w:bookmarkStart w:id="803" w:name="_Toc12894700"/>
      <w:bookmarkStart w:id="804" w:name="_Toc12895656"/>
      <w:bookmarkStart w:id="805" w:name="_Toc12894701"/>
      <w:bookmarkStart w:id="806" w:name="_Toc12895657"/>
      <w:bookmarkStart w:id="807" w:name="_Toc12894702"/>
      <w:bookmarkStart w:id="808" w:name="_Toc12895658"/>
      <w:bookmarkStart w:id="809" w:name="_Toc12894703"/>
      <w:bookmarkStart w:id="810" w:name="_Toc12895659"/>
      <w:bookmarkStart w:id="811" w:name="_Toc12894704"/>
      <w:bookmarkStart w:id="812" w:name="_Toc12895660"/>
      <w:bookmarkStart w:id="813" w:name="_Toc12894705"/>
      <w:bookmarkStart w:id="814" w:name="_Toc12895661"/>
      <w:bookmarkStart w:id="815" w:name="_Toc12894706"/>
      <w:bookmarkStart w:id="816" w:name="_Toc12895662"/>
      <w:bookmarkStart w:id="817" w:name="_Toc12894707"/>
      <w:bookmarkStart w:id="818" w:name="_Toc12895663"/>
      <w:bookmarkStart w:id="819" w:name="_Toc12894708"/>
      <w:bookmarkStart w:id="820" w:name="_Toc12895664"/>
      <w:bookmarkStart w:id="821" w:name="_Toc12894709"/>
      <w:bookmarkStart w:id="822" w:name="_Toc12895665"/>
      <w:bookmarkStart w:id="823" w:name="_Toc12894710"/>
      <w:bookmarkStart w:id="824" w:name="_Toc12895666"/>
      <w:bookmarkStart w:id="825" w:name="_Toc12894711"/>
      <w:bookmarkStart w:id="826" w:name="_Toc12895667"/>
      <w:bookmarkStart w:id="827" w:name="_Toc12894712"/>
      <w:bookmarkStart w:id="828" w:name="_Toc12895668"/>
      <w:bookmarkStart w:id="829" w:name="_Toc12894713"/>
      <w:bookmarkStart w:id="830" w:name="_Toc12895669"/>
      <w:bookmarkStart w:id="831" w:name="_Toc12894714"/>
      <w:bookmarkStart w:id="832" w:name="_Toc12895670"/>
      <w:bookmarkStart w:id="833" w:name="_Toc12894715"/>
      <w:bookmarkStart w:id="834" w:name="_Toc12895671"/>
      <w:bookmarkStart w:id="835" w:name="_Toc12894716"/>
      <w:bookmarkStart w:id="836" w:name="_Toc12895672"/>
      <w:bookmarkStart w:id="837" w:name="_Toc12894717"/>
      <w:bookmarkStart w:id="838" w:name="_Toc12895673"/>
      <w:bookmarkStart w:id="839" w:name="_Toc12894718"/>
      <w:bookmarkStart w:id="840" w:name="_Toc12895674"/>
      <w:bookmarkStart w:id="841" w:name="_Toc12894719"/>
      <w:bookmarkStart w:id="842" w:name="_Toc12895675"/>
      <w:bookmarkStart w:id="843" w:name="_Toc12894720"/>
      <w:bookmarkStart w:id="844" w:name="_Toc12895676"/>
      <w:bookmarkStart w:id="845" w:name="_Toc12894721"/>
      <w:bookmarkStart w:id="846" w:name="_Toc12895677"/>
      <w:bookmarkStart w:id="847" w:name="_Toc12894722"/>
      <w:bookmarkStart w:id="848" w:name="_Toc12895678"/>
      <w:bookmarkStart w:id="849" w:name="_Toc12894723"/>
      <w:bookmarkStart w:id="850" w:name="_Toc12895679"/>
      <w:bookmarkStart w:id="851" w:name="_Toc12894724"/>
      <w:bookmarkStart w:id="852" w:name="_Toc12895680"/>
      <w:bookmarkStart w:id="853" w:name="_Toc12894725"/>
      <w:bookmarkStart w:id="854" w:name="_Toc12895681"/>
      <w:bookmarkStart w:id="855" w:name="_Toc12894726"/>
      <w:bookmarkStart w:id="856" w:name="_Toc12895682"/>
      <w:bookmarkStart w:id="857" w:name="_Toc12894727"/>
      <w:bookmarkStart w:id="858" w:name="_Toc12895683"/>
      <w:bookmarkStart w:id="859" w:name="_Toc12894728"/>
      <w:bookmarkStart w:id="860" w:name="_Toc12895684"/>
      <w:bookmarkStart w:id="861" w:name="_Toc12894729"/>
      <w:bookmarkStart w:id="862" w:name="_Toc12895685"/>
      <w:bookmarkStart w:id="863" w:name="_Toc12894730"/>
      <w:bookmarkStart w:id="864" w:name="_Toc12895686"/>
      <w:bookmarkStart w:id="865" w:name="_Toc12894731"/>
      <w:bookmarkStart w:id="866" w:name="_Toc12895687"/>
      <w:bookmarkStart w:id="867" w:name="_Toc12894732"/>
      <w:bookmarkStart w:id="868" w:name="_Toc12895688"/>
      <w:bookmarkStart w:id="869" w:name="_Toc12894733"/>
      <w:bookmarkStart w:id="870" w:name="_Toc12895689"/>
      <w:bookmarkStart w:id="871" w:name="_Toc12894734"/>
      <w:bookmarkStart w:id="872" w:name="_Toc12895690"/>
      <w:bookmarkStart w:id="873" w:name="_Toc12894735"/>
      <w:bookmarkStart w:id="874" w:name="_Toc12895691"/>
      <w:bookmarkStart w:id="875" w:name="_Toc12894736"/>
      <w:bookmarkStart w:id="876" w:name="_Toc12895692"/>
      <w:bookmarkStart w:id="877" w:name="_Toc12894737"/>
      <w:bookmarkStart w:id="878" w:name="_Toc12895693"/>
      <w:bookmarkStart w:id="879" w:name="_Toc12894738"/>
      <w:bookmarkStart w:id="880" w:name="_Toc12895694"/>
      <w:bookmarkStart w:id="881" w:name="_Toc12894739"/>
      <w:bookmarkStart w:id="882" w:name="_Toc12895695"/>
      <w:bookmarkStart w:id="883" w:name="_Toc12894740"/>
      <w:bookmarkStart w:id="884" w:name="_Toc12895696"/>
      <w:bookmarkStart w:id="885" w:name="_Toc12894741"/>
      <w:bookmarkStart w:id="886" w:name="_Toc12895697"/>
      <w:bookmarkStart w:id="887" w:name="_Toc12894742"/>
      <w:bookmarkStart w:id="888" w:name="_Toc12895698"/>
      <w:bookmarkStart w:id="889" w:name="_Toc12894743"/>
      <w:bookmarkStart w:id="890" w:name="_Toc12895699"/>
      <w:bookmarkStart w:id="891" w:name="_Toc12894744"/>
      <w:bookmarkStart w:id="892" w:name="_Toc12895700"/>
      <w:bookmarkStart w:id="893" w:name="_Toc12894745"/>
      <w:bookmarkStart w:id="894" w:name="_Toc12895701"/>
      <w:bookmarkStart w:id="895" w:name="_Toc12894746"/>
      <w:bookmarkStart w:id="896" w:name="_Toc12895702"/>
      <w:bookmarkStart w:id="897" w:name="_Toc12894747"/>
      <w:bookmarkStart w:id="898" w:name="_Toc12895703"/>
      <w:bookmarkStart w:id="899" w:name="_Toc12894748"/>
      <w:bookmarkStart w:id="900" w:name="_Toc12895704"/>
      <w:bookmarkStart w:id="901" w:name="_Toc12894749"/>
      <w:bookmarkStart w:id="902" w:name="_Toc12895705"/>
      <w:bookmarkStart w:id="903" w:name="_Toc12894750"/>
      <w:bookmarkStart w:id="904" w:name="_Toc12895706"/>
      <w:bookmarkStart w:id="905" w:name="_Toc12894751"/>
      <w:bookmarkStart w:id="906" w:name="_Toc12895707"/>
      <w:bookmarkStart w:id="907" w:name="_Toc12894752"/>
      <w:bookmarkStart w:id="908" w:name="_Toc12895708"/>
      <w:bookmarkStart w:id="909" w:name="_Toc12894753"/>
      <w:bookmarkStart w:id="910" w:name="_Toc12895709"/>
      <w:bookmarkStart w:id="911" w:name="_Toc12894754"/>
      <w:bookmarkStart w:id="912" w:name="_Toc12895710"/>
      <w:bookmarkStart w:id="913" w:name="_Toc12894755"/>
      <w:bookmarkStart w:id="914" w:name="_Toc12895711"/>
      <w:bookmarkStart w:id="915" w:name="_Toc12894756"/>
      <w:bookmarkStart w:id="916" w:name="_Toc12895712"/>
      <w:bookmarkStart w:id="917" w:name="_Toc12894757"/>
      <w:bookmarkStart w:id="918" w:name="_Toc12895713"/>
      <w:bookmarkStart w:id="919" w:name="_Toc12894758"/>
      <w:bookmarkStart w:id="920" w:name="_Toc12895714"/>
      <w:bookmarkStart w:id="921" w:name="_Toc12894759"/>
      <w:bookmarkStart w:id="922" w:name="_Toc12895715"/>
      <w:bookmarkStart w:id="923" w:name="_Toc12894760"/>
      <w:bookmarkStart w:id="924" w:name="_Toc12895716"/>
      <w:bookmarkStart w:id="925" w:name="_Toc12894761"/>
      <w:bookmarkStart w:id="926" w:name="_Toc12895717"/>
      <w:bookmarkStart w:id="927" w:name="_Toc12894762"/>
      <w:bookmarkStart w:id="928" w:name="_Toc12895718"/>
      <w:bookmarkStart w:id="929" w:name="_Toc12894763"/>
      <w:bookmarkStart w:id="930" w:name="_Toc12895719"/>
      <w:bookmarkStart w:id="931" w:name="_Toc12894764"/>
      <w:bookmarkStart w:id="932" w:name="_Toc12895720"/>
      <w:bookmarkStart w:id="933" w:name="_Toc12894765"/>
      <w:bookmarkStart w:id="934" w:name="_Toc12895721"/>
      <w:bookmarkStart w:id="935" w:name="_Toc12894766"/>
      <w:bookmarkStart w:id="936" w:name="_Toc12895722"/>
      <w:bookmarkStart w:id="937" w:name="_Toc12894767"/>
      <w:bookmarkStart w:id="938" w:name="_Toc12895723"/>
      <w:bookmarkStart w:id="939" w:name="_Toc12894768"/>
      <w:bookmarkStart w:id="940" w:name="_Toc12895724"/>
      <w:bookmarkStart w:id="941" w:name="_Toc12894769"/>
      <w:bookmarkStart w:id="942" w:name="_Toc12895725"/>
      <w:bookmarkStart w:id="943" w:name="_Toc12894770"/>
      <w:bookmarkStart w:id="944" w:name="_Toc12895726"/>
      <w:bookmarkStart w:id="945" w:name="_Toc12894771"/>
      <w:bookmarkStart w:id="946" w:name="_Toc12895727"/>
      <w:bookmarkStart w:id="947" w:name="_Toc12894772"/>
      <w:bookmarkStart w:id="948" w:name="_Toc12895728"/>
      <w:bookmarkStart w:id="949" w:name="_Toc12894773"/>
      <w:bookmarkStart w:id="950" w:name="_Toc12895729"/>
      <w:bookmarkStart w:id="951" w:name="_Toc12894774"/>
      <w:bookmarkStart w:id="952" w:name="_Toc12895730"/>
      <w:bookmarkStart w:id="953" w:name="_Toc12894775"/>
      <w:bookmarkStart w:id="954" w:name="_Toc12895731"/>
      <w:bookmarkStart w:id="955" w:name="_Toc12894776"/>
      <w:bookmarkStart w:id="956" w:name="_Toc12895732"/>
      <w:bookmarkStart w:id="957" w:name="_Toc12894777"/>
      <w:bookmarkStart w:id="958" w:name="_Toc12895733"/>
      <w:bookmarkStart w:id="959" w:name="_Toc12894778"/>
      <w:bookmarkStart w:id="960" w:name="_Toc12895734"/>
      <w:bookmarkStart w:id="961" w:name="_Toc12894779"/>
      <w:bookmarkStart w:id="962" w:name="_Toc12895735"/>
      <w:bookmarkStart w:id="963" w:name="_Toc12894780"/>
      <w:bookmarkStart w:id="964" w:name="_Toc12895736"/>
      <w:bookmarkStart w:id="965" w:name="_Toc12894781"/>
      <w:bookmarkStart w:id="966" w:name="_Toc12895737"/>
      <w:bookmarkStart w:id="967" w:name="_Toc12894782"/>
      <w:bookmarkStart w:id="968" w:name="_Toc12895738"/>
      <w:bookmarkStart w:id="969" w:name="_Toc12894783"/>
      <w:bookmarkStart w:id="970" w:name="_Toc12895739"/>
      <w:bookmarkStart w:id="971" w:name="_Toc12894784"/>
      <w:bookmarkStart w:id="972" w:name="_Toc12895740"/>
      <w:bookmarkStart w:id="973" w:name="_Toc12894785"/>
      <w:bookmarkStart w:id="974" w:name="_Toc12895741"/>
      <w:bookmarkStart w:id="975" w:name="_Toc12894786"/>
      <w:bookmarkStart w:id="976" w:name="_Toc12895742"/>
      <w:bookmarkStart w:id="977" w:name="_Toc12894787"/>
      <w:bookmarkStart w:id="978" w:name="_Toc12895743"/>
      <w:bookmarkStart w:id="979" w:name="_Toc12894788"/>
      <w:bookmarkStart w:id="980" w:name="_Toc12895744"/>
      <w:bookmarkStart w:id="981" w:name="_Toc12894789"/>
      <w:bookmarkStart w:id="982" w:name="_Toc12895745"/>
      <w:bookmarkStart w:id="983" w:name="_Toc12894790"/>
      <w:bookmarkStart w:id="984" w:name="_Toc12895746"/>
      <w:bookmarkStart w:id="985" w:name="_Toc12894791"/>
      <w:bookmarkStart w:id="986" w:name="_Toc12895747"/>
      <w:bookmarkStart w:id="987" w:name="_Toc12894792"/>
      <w:bookmarkStart w:id="988" w:name="_Toc12895748"/>
      <w:bookmarkStart w:id="989" w:name="_Toc12894793"/>
      <w:bookmarkStart w:id="990" w:name="_Toc12895749"/>
      <w:bookmarkStart w:id="991" w:name="_Toc12894794"/>
      <w:bookmarkStart w:id="992" w:name="_Toc12895750"/>
      <w:bookmarkStart w:id="993" w:name="_Toc12894795"/>
      <w:bookmarkStart w:id="994" w:name="_Toc12895751"/>
      <w:bookmarkStart w:id="995" w:name="_Toc12894796"/>
      <w:bookmarkStart w:id="996" w:name="_Toc12895752"/>
      <w:bookmarkStart w:id="997" w:name="_Toc12894797"/>
      <w:bookmarkStart w:id="998" w:name="_Toc12895753"/>
      <w:bookmarkStart w:id="999" w:name="_Toc12894798"/>
      <w:bookmarkStart w:id="1000" w:name="_Toc12895754"/>
      <w:bookmarkStart w:id="1001" w:name="_Toc12894799"/>
      <w:bookmarkStart w:id="1002" w:name="_Toc12895755"/>
      <w:bookmarkStart w:id="1003" w:name="_Toc12894800"/>
      <w:bookmarkStart w:id="1004" w:name="_Toc12895756"/>
      <w:bookmarkStart w:id="1005" w:name="_Toc12894801"/>
      <w:bookmarkStart w:id="1006" w:name="_Toc12895757"/>
      <w:bookmarkStart w:id="1007" w:name="_Toc12894802"/>
      <w:bookmarkStart w:id="1008" w:name="_Toc12895758"/>
      <w:bookmarkStart w:id="1009" w:name="_Toc12894803"/>
      <w:bookmarkStart w:id="1010" w:name="_Toc12895759"/>
      <w:bookmarkStart w:id="1011" w:name="_Toc12894804"/>
      <w:bookmarkStart w:id="1012" w:name="_Toc12895760"/>
      <w:bookmarkStart w:id="1013" w:name="_Toc12894805"/>
      <w:bookmarkStart w:id="1014" w:name="_Toc12895761"/>
      <w:bookmarkStart w:id="1015" w:name="_Toc12894806"/>
      <w:bookmarkStart w:id="1016" w:name="_Toc12895762"/>
      <w:bookmarkStart w:id="1017" w:name="_Toc12894807"/>
      <w:bookmarkStart w:id="1018" w:name="_Toc12895763"/>
      <w:bookmarkStart w:id="1019" w:name="_Toc12894808"/>
      <w:bookmarkStart w:id="1020" w:name="_Toc12895764"/>
      <w:bookmarkStart w:id="1021" w:name="_Toc12894809"/>
      <w:bookmarkStart w:id="1022" w:name="_Toc12895765"/>
      <w:bookmarkStart w:id="1023" w:name="_Toc12894810"/>
      <w:bookmarkStart w:id="1024" w:name="_Toc12895766"/>
      <w:bookmarkStart w:id="1025" w:name="_Toc12894811"/>
      <w:bookmarkStart w:id="1026" w:name="_Toc12895767"/>
      <w:bookmarkStart w:id="1027" w:name="_Toc12894812"/>
      <w:bookmarkStart w:id="1028" w:name="_Toc12895768"/>
      <w:bookmarkStart w:id="1029" w:name="_Toc12894813"/>
      <w:bookmarkStart w:id="1030" w:name="_Toc12895769"/>
      <w:bookmarkStart w:id="1031" w:name="_Toc12894814"/>
      <w:bookmarkStart w:id="1032" w:name="_Toc12895770"/>
      <w:bookmarkStart w:id="1033" w:name="_Toc12894815"/>
      <w:bookmarkStart w:id="1034" w:name="_Toc12895771"/>
      <w:bookmarkStart w:id="1035" w:name="_Toc12894816"/>
      <w:bookmarkStart w:id="1036" w:name="_Toc12895772"/>
      <w:bookmarkStart w:id="1037" w:name="_Toc12894817"/>
      <w:bookmarkStart w:id="1038" w:name="_Toc12895773"/>
      <w:bookmarkStart w:id="1039" w:name="_Toc12894818"/>
      <w:bookmarkStart w:id="1040" w:name="_Toc12895774"/>
      <w:bookmarkStart w:id="1041" w:name="_Toc12894819"/>
      <w:bookmarkStart w:id="1042" w:name="_Toc12895775"/>
      <w:bookmarkStart w:id="1043" w:name="_Toc12894820"/>
      <w:bookmarkStart w:id="1044" w:name="_Toc12895776"/>
      <w:bookmarkStart w:id="1045" w:name="_Toc12894821"/>
      <w:bookmarkStart w:id="1046" w:name="_Toc12895777"/>
      <w:bookmarkStart w:id="1047" w:name="_Toc12894822"/>
      <w:bookmarkStart w:id="1048" w:name="_Toc12895778"/>
      <w:bookmarkStart w:id="1049" w:name="_Toc12894823"/>
      <w:bookmarkStart w:id="1050" w:name="_Toc12895779"/>
      <w:bookmarkStart w:id="1051" w:name="_Toc12894824"/>
      <w:bookmarkStart w:id="1052" w:name="_Toc12895780"/>
      <w:bookmarkStart w:id="1053" w:name="_Toc12894825"/>
      <w:bookmarkStart w:id="1054" w:name="_Toc12895781"/>
      <w:bookmarkStart w:id="1055" w:name="_Toc12894826"/>
      <w:bookmarkStart w:id="1056" w:name="_Toc12895782"/>
      <w:bookmarkStart w:id="1057" w:name="_Toc12894827"/>
      <w:bookmarkStart w:id="1058" w:name="_Toc12895783"/>
      <w:bookmarkStart w:id="1059" w:name="_Toc12894828"/>
      <w:bookmarkStart w:id="1060" w:name="_Toc12895784"/>
      <w:bookmarkStart w:id="1061" w:name="_Toc12894829"/>
      <w:bookmarkStart w:id="1062" w:name="_Toc12895785"/>
      <w:bookmarkStart w:id="1063" w:name="_Toc12894830"/>
      <w:bookmarkStart w:id="1064" w:name="_Toc12895786"/>
      <w:bookmarkStart w:id="1065" w:name="_Toc12894903"/>
      <w:bookmarkStart w:id="1066" w:name="_Toc12895859"/>
      <w:bookmarkStart w:id="1067" w:name="_Toc12894904"/>
      <w:bookmarkStart w:id="1068" w:name="_Toc12895860"/>
      <w:bookmarkStart w:id="1069" w:name="_Toc12894905"/>
      <w:bookmarkStart w:id="1070" w:name="_Toc12895861"/>
      <w:bookmarkStart w:id="1071" w:name="_Toc12894906"/>
      <w:bookmarkStart w:id="1072" w:name="_Toc12895862"/>
      <w:bookmarkStart w:id="1073" w:name="_Toc12894907"/>
      <w:bookmarkStart w:id="1074" w:name="_Toc12895863"/>
      <w:bookmarkStart w:id="1075" w:name="_Toc12894908"/>
      <w:bookmarkStart w:id="1076" w:name="_Toc12895864"/>
      <w:bookmarkStart w:id="1077" w:name="_Toc12894909"/>
      <w:bookmarkStart w:id="1078" w:name="_Toc12895865"/>
      <w:bookmarkStart w:id="1079" w:name="_Toc12894910"/>
      <w:bookmarkStart w:id="1080" w:name="_Toc12895866"/>
      <w:bookmarkStart w:id="1081" w:name="_Toc12894911"/>
      <w:bookmarkStart w:id="1082" w:name="_Toc12895867"/>
      <w:bookmarkStart w:id="1083" w:name="_Toc12894912"/>
      <w:bookmarkStart w:id="1084" w:name="_Toc12895868"/>
      <w:bookmarkStart w:id="1085" w:name="_Toc12894913"/>
      <w:bookmarkStart w:id="1086" w:name="_Toc12895869"/>
      <w:bookmarkStart w:id="1087" w:name="_Toc12894914"/>
      <w:bookmarkStart w:id="1088" w:name="_Toc12895870"/>
      <w:bookmarkStart w:id="1089" w:name="_Toc12894915"/>
      <w:bookmarkStart w:id="1090" w:name="_Toc12895871"/>
      <w:bookmarkStart w:id="1091" w:name="_Toc12894916"/>
      <w:bookmarkStart w:id="1092" w:name="_Toc12895872"/>
      <w:bookmarkStart w:id="1093" w:name="_Toc12894917"/>
      <w:bookmarkStart w:id="1094" w:name="_Toc12895873"/>
      <w:bookmarkStart w:id="1095" w:name="_Toc12894918"/>
      <w:bookmarkStart w:id="1096" w:name="_Toc12895874"/>
      <w:bookmarkStart w:id="1097" w:name="_Toc12894919"/>
      <w:bookmarkStart w:id="1098" w:name="_Toc12895875"/>
      <w:bookmarkStart w:id="1099" w:name="_Toc12894920"/>
      <w:bookmarkStart w:id="1100" w:name="_Toc12895876"/>
      <w:bookmarkStart w:id="1101" w:name="_Toc12894921"/>
      <w:bookmarkStart w:id="1102" w:name="_Toc12895877"/>
      <w:bookmarkStart w:id="1103" w:name="_Toc12894922"/>
      <w:bookmarkStart w:id="1104" w:name="_Toc12895878"/>
      <w:bookmarkStart w:id="1105" w:name="_Toc12894923"/>
      <w:bookmarkStart w:id="1106" w:name="_Toc12895879"/>
      <w:bookmarkStart w:id="1107" w:name="_Toc12894924"/>
      <w:bookmarkStart w:id="1108" w:name="_Toc12895880"/>
      <w:bookmarkStart w:id="1109" w:name="_Toc12894925"/>
      <w:bookmarkStart w:id="1110" w:name="_Toc12895881"/>
      <w:bookmarkStart w:id="1111" w:name="_Toc12894926"/>
      <w:bookmarkStart w:id="1112" w:name="_Toc12895882"/>
      <w:bookmarkStart w:id="1113" w:name="_Toc12894927"/>
      <w:bookmarkStart w:id="1114" w:name="_Toc12895883"/>
      <w:bookmarkStart w:id="1115" w:name="_Toc12894928"/>
      <w:bookmarkStart w:id="1116" w:name="_Toc12895884"/>
      <w:bookmarkStart w:id="1117" w:name="_Toc12894929"/>
      <w:bookmarkStart w:id="1118" w:name="_Toc12895885"/>
      <w:bookmarkStart w:id="1119" w:name="_Toc12894930"/>
      <w:bookmarkStart w:id="1120" w:name="_Toc12895886"/>
      <w:bookmarkStart w:id="1121" w:name="_Toc12894931"/>
      <w:bookmarkStart w:id="1122" w:name="_Toc12895887"/>
      <w:bookmarkStart w:id="1123" w:name="_Toc12894932"/>
      <w:bookmarkStart w:id="1124" w:name="_Toc12895888"/>
      <w:bookmarkStart w:id="1125" w:name="_Toc12894933"/>
      <w:bookmarkStart w:id="1126" w:name="_Toc12895889"/>
      <w:bookmarkStart w:id="1127" w:name="_Toc12894934"/>
      <w:bookmarkStart w:id="1128" w:name="_Toc12895890"/>
      <w:bookmarkStart w:id="1129" w:name="_Toc12894935"/>
      <w:bookmarkStart w:id="1130" w:name="_Toc12895891"/>
      <w:bookmarkStart w:id="1131" w:name="_Toc12894936"/>
      <w:bookmarkStart w:id="1132" w:name="_Toc12895892"/>
      <w:bookmarkStart w:id="1133" w:name="_Toc12894937"/>
      <w:bookmarkStart w:id="1134" w:name="_Toc12895893"/>
      <w:bookmarkStart w:id="1135" w:name="_Toc12894938"/>
      <w:bookmarkStart w:id="1136" w:name="_Toc12895894"/>
      <w:bookmarkStart w:id="1137" w:name="_Toc12894939"/>
      <w:bookmarkStart w:id="1138" w:name="_Toc12895895"/>
      <w:bookmarkStart w:id="1139" w:name="_Toc12894940"/>
      <w:bookmarkStart w:id="1140" w:name="_Toc12895896"/>
      <w:bookmarkStart w:id="1141" w:name="_Toc12894941"/>
      <w:bookmarkStart w:id="1142" w:name="_Toc12895897"/>
      <w:bookmarkStart w:id="1143" w:name="_Toc12894942"/>
      <w:bookmarkStart w:id="1144" w:name="_Toc12895898"/>
      <w:bookmarkStart w:id="1145" w:name="_Toc12894943"/>
      <w:bookmarkStart w:id="1146" w:name="_Toc12895899"/>
      <w:bookmarkStart w:id="1147" w:name="_Toc12894944"/>
      <w:bookmarkStart w:id="1148" w:name="_Toc12895900"/>
      <w:bookmarkStart w:id="1149" w:name="_Toc12894945"/>
      <w:bookmarkStart w:id="1150" w:name="_Toc12895901"/>
      <w:bookmarkStart w:id="1151" w:name="_Toc12894946"/>
      <w:bookmarkStart w:id="1152" w:name="_Toc12895902"/>
      <w:bookmarkStart w:id="1153" w:name="_Toc12894947"/>
      <w:bookmarkStart w:id="1154" w:name="_Toc12895903"/>
      <w:bookmarkStart w:id="1155" w:name="_Toc12894948"/>
      <w:bookmarkStart w:id="1156" w:name="_Toc12895904"/>
      <w:bookmarkStart w:id="1157" w:name="_Toc12894949"/>
      <w:bookmarkStart w:id="1158" w:name="_Toc12895905"/>
      <w:bookmarkStart w:id="1159" w:name="_Toc12894950"/>
      <w:bookmarkStart w:id="1160" w:name="_Toc12895906"/>
      <w:bookmarkStart w:id="1161" w:name="_Toc12894951"/>
      <w:bookmarkStart w:id="1162" w:name="_Toc12895907"/>
      <w:bookmarkStart w:id="1163" w:name="_Toc452726733"/>
      <w:bookmarkStart w:id="1164" w:name="_Toc452726804"/>
      <w:bookmarkStart w:id="1165" w:name="_Toc12894952"/>
      <w:bookmarkStart w:id="1166" w:name="_Toc12895908"/>
      <w:bookmarkStart w:id="1167" w:name="_Toc12894953"/>
      <w:bookmarkStart w:id="1168" w:name="_Toc12895909"/>
      <w:bookmarkStart w:id="1169" w:name="_Toc12894954"/>
      <w:bookmarkStart w:id="1170" w:name="_Toc12895910"/>
      <w:bookmarkStart w:id="1171" w:name="_Toc12894955"/>
      <w:bookmarkStart w:id="1172" w:name="_Toc12895911"/>
      <w:bookmarkStart w:id="1173" w:name="_Toc12894956"/>
      <w:bookmarkStart w:id="1174" w:name="_Toc12895912"/>
      <w:bookmarkStart w:id="1175" w:name="_Toc12894957"/>
      <w:bookmarkStart w:id="1176" w:name="_Toc12895913"/>
      <w:bookmarkStart w:id="1177" w:name="_Toc12894958"/>
      <w:bookmarkStart w:id="1178" w:name="_Toc12895914"/>
      <w:bookmarkStart w:id="1179" w:name="_Toc12894959"/>
      <w:bookmarkStart w:id="1180" w:name="_Toc12895915"/>
      <w:bookmarkStart w:id="1181" w:name="_Toc12894960"/>
      <w:bookmarkStart w:id="1182" w:name="_Toc12895916"/>
      <w:bookmarkStart w:id="1183" w:name="_Toc12894961"/>
      <w:bookmarkStart w:id="1184" w:name="_Toc12895917"/>
      <w:bookmarkStart w:id="1185" w:name="_Toc12894962"/>
      <w:bookmarkStart w:id="1186" w:name="_Toc12895918"/>
      <w:bookmarkStart w:id="1187" w:name="_Toc12894963"/>
      <w:bookmarkStart w:id="1188" w:name="_Toc12895919"/>
      <w:bookmarkStart w:id="1189" w:name="_Toc12894964"/>
      <w:bookmarkStart w:id="1190" w:name="_Toc12895920"/>
      <w:bookmarkStart w:id="1191" w:name="_Toc12894965"/>
      <w:bookmarkStart w:id="1192" w:name="_Toc12895921"/>
      <w:bookmarkStart w:id="1193" w:name="_Toc12894966"/>
      <w:bookmarkStart w:id="1194" w:name="_Toc12895922"/>
      <w:bookmarkStart w:id="1195" w:name="_Toc12894967"/>
      <w:bookmarkStart w:id="1196" w:name="_Toc12895923"/>
      <w:bookmarkStart w:id="1197" w:name="_Toc12894968"/>
      <w:bookmarkStart w:id="1198" w:name="_Toc12895924"/>
      <w:bookmarkStart w:id="1199" w:name="_Toc12894969"/>
      <w:bookmarkStart w:id="1200" w:name="_Toc12895925"/>
      <w:bookmarkStart w:id="1201" w:name="_Toc12894970"/>
      <w:bookmarkStart w:id="1202" w:name="_Toc12895926"/>
      <w:bookmarkStart w:id="1203" w:name="_Toc12894971"/>
      <w:bookmarkStart w:id="1204" w:name="_Toc12895927"/>
      <w:bookmarkStart w:id="1205" w:name="_Toc12894972"/>
      <w:bookmarkStart w:id="1206" w:name="_Toc12895928"/>
      <w:bookmarkStart w:id="1207" w:name="_Toc12894973"/>
      <w:bookmarkStart w:id="1208" w:name="_Toc12895929"/>
      <w:bookmarkStart w:id="1209" w:name="_Toc12894974"/>
      <w:bookmarkStart w:id="1210" w:name="_Toc12895930"/>
      <w:bookmarkStart w:id="1211" w:name="_Toc12894975"/>
      <w:bookmarkStart w:id="1212" w:name="_Toc12895931"/>
      <w:bookmarkStart w:id="1213" w:name="_Toc12894976"/>
      <w:bookmarkStart w:id="1214" w:name="_Toc12895932"/>
      <w:bookmarkStart w:id="1215" w:name="_Toc12894977"/>
      <w:bookmarkStart w:id="1216" w:name="_Toc12895933"/>
      <w:bookmarkStart w:id="1217" w:name="_Toc12894978"/>
      <w:bookmarkStart w:id="1218" w:name="_Toc12895934"/>
      <w:bookmarkStart w:id="1219" w:name="_Toc12894979"/>
      <w:bookmarkStart w:id="1220" w:name="_Toc12895935"/>
      <w:bookmarkStart w:id="1221" w:name="_Toc12894980"/>
      <w:bookmarkStart w:id="1222" w:name="_Toc12895936"/>
      <w:bookmarkStart w:id="1223" w:name="_Toc12894981"/>
      <w:bookmarkStart w:id="1224" w:name="_Toc12895937"/>
      <w:bookmarkStart w:id="1225" w:name="_Toc12894982"/>
      <w:bookmarkStart w:id="1226" w:name="_Toc12895938"/>
      <w:bookmarkStart w:id="1227" w:name="_Toc12894983"/>
      <w:bookmarkStart w:id="1228" w:name="_Toc12895939"/>
      <w:bookmarkStart w:id="1229" w:name="_Toc12894984"/>
      <w:bookmarkStart w:id="1230" w:name="_Toc12895940"/>
      <w:bookmarkStart w:id="1231" w:name="_Toc12894985"/>
      <w:bookmarkStart w:id="1232" w:name="_Toc12895941"/>
      <w:bookmarkStart w:id="1233" w:name="_Toc12894986"/>
      <w:bookmarkStart w:id="1234" w:name="_Toc12895942"/>
      <w:bookmarkStart w:id="1235" w:name="_Toc12894987"/>
      <w:bookmarkStart w:id="1236" w:name="_Toc12895943"/>
      <w:bookmarkStart w:id="1237" w:name="_Toc12894988"/>
      <w:bookmarkStart w:id="1238" w:name="_Toc12895944"/>
      <w:bookmarkStart w:id="1239" w:name="_Toc12894989"/>
      <w:bookmarkStart w:id="1240" w:name="_Toc12895945"/>
      <w:bookmarkStart w:id="1241" w:name="_Toc12894990"/>
      <w:bookmarkStart w:id="1242" w:name="_Toc12895946"/>
      <w:bookmarkStart w:id="1243" w:name="_Toc12894991"/>
      <w:bookmarkStart w:id="1244" w:name="_Toc12895947"/>
      <w:bookmarkStart w:id="1245" w:name="_Toc12894992"/>
      <w:bookmarkStart w:id="1246" w:name="_Toc12895948"/>
      <w:bookmarkStart w:id="1247" w:name="_Toc12894993"/>
      <w:bookmarkStart w:id="1248" w:name="_Toc12895949"/>
      <w:bookmarkStart w:id="1249" w:name="_Toc12894994"/>
      <w:bookmarkStart w:id="1250" w:name="_Toc12895950"/>
      <w:bookmarkStart w:id="1251" w:name="_Toc12894995"/>
      <w:bookmarkStart w:id="1252" w:name="_Toc12895951"/>
      <w:bookmarkStart w:id="1253" w:name="_Toc12894996"/>
      <w:bookmarkStart w:id="1254" w:name="_Toc12895952"/>
      <w:bookmarkStart w:id="1255" w:name="_Toc12894997"/>
      <w:bookmarkStart w:id="1256" w:name="_Toc12895953"/>
      <w:bookmarkStart w:id="1257" w:name="_Toc12894998"/>
      <w:bookmarkStart w:id="1258" w:name="_Toc12895954"/>
      <w:bookmarkStart w:id="1259" w:name="_Toc12894999"/>
      <w:bookmarkStart w:id="1260" w:name="_Toc12895955"/>
      <w:bookmarkStart w:id="1261" w:name="_Toc12895000"/>
      <w:bookmarkStart w:id="1262" w:name="_Toc12895956"/>
      <w:bookmarkStart w:id="1263" w:name="_Toc12895001"/>
      <w:bookmarkStart w:id="1264" w:name="_Toc12895957"/>
      <w:bookmarkStart w:id="1265" w:name="_Toc12895002"/>
      <w:bookmarkStart w:id="1266" w:name="_Toc12895958"/>
      <w:bookmarkStart w:id="1267" w:name="_Toc12895003"/>
      <w:bookmarkStart w:id="1268" w:name="_Toc12895959"/>
      <w:bookmarkStart w:id="1269" w:name="_Toc12895004"/>
      <w:bookmarkStart w:id="1270" w:name="_Toc12895960"/>
      <w:bookmarkStart w:id="1271" w:name="_Toc12895005"/>
      <w:bookmarkStart w:id="1272" w:name="_Toc12895961"/>
      <w:bookmarkStart w:id="1273" w:name="_Toc12895006"/>
      <w:bookmarkStart w:id="1274" w:name="_Toc12895962"/>
      <w:bookmarkStart w:id="1275" w:name="_Toc12895007"/>
      <w:bookmarkStart w:id="1276" w:name="_Toc12895963"/>
      <w:bookmarkStart w:id="1277" w:name="_Toc12895008"/>
      <w:bookmarkStart w:id="1278" w:name="_Toc12895964"/>
      <w:bookmarkStart w:id="1279" w:name="_Toc12895009"/>
      <w:bookmarkStart w:id="1280" w:name="_Toc12895965"/>
      <w:bookmarkStart w:id="1281" w:name="_Toc12895010"/>
      <w:bookmarkStart w:id="1282" w:name="_Toc12895966"/>
      <w:bookmarkStart w:id="1283" w:name="_Toc12895011"/>
      <w:bookmarkStart w:id="1284" w:name="_Toc12895967"/>
      <w:bookmarkStart w:id="1285" w:name="_Toc12895012"/>
      <w:bookmarkStart w:id="1286" w:name="_Toc12895968"/>
      <w:bookmarkStart w:id="1287" w:name="_Toc12895013"/>
      <w:bookmarkStart w:id="1288" w:name="_Toc12895969"/>
      <w:bookmarkStart w:id="1289" w:name="_Toc12895014"/>
      <w:bookmarkStart w:id="1290" w:name="_Toc12895970"/>
      <w:bookmarkStart w:id="1291" w:name="_Toc12895015"/>
      <w:bookmarkStart w:id="1292" w:name="_Toc12895971"/>
      <w:bookmarkStart w:id="1293" w:name="_Toc12895016"/>
      <w:bookmarkStart w:id="1294" w:name="_Toc12895972"/>
      <w:bookmarkStart w:id="1295" w:name="_Toc12895017"/>
      <w:bookmarkStart w:id="1296" w:name="_Toc12895973"/>
      <w:bookmarkStart w:id="1297" w:name="_Toc12895018"/>
      <w:bookmarkStart w:id="1298" w:name="_Toc12895974"/>
      <w:bookmarkStart w:id="1299" w:name="_Toc12895019"/>
      <w:bookmarkStart w:id="1300" w:name="_Toc12895975"/>
      <w:bookmarkStart w:id="1301" w:name="_Toc12895020"/>
      <w:bookmarkStart w:id="1302" w:name="_Toc12895976"/>
      <w:bookmarkStart w:id="1303" w:name="_Toc12895021"/>
      <w:bookmarkStart w:id="1304" w:name="_Toc12895977"/>
      <w:bookmarkStart w:id="1305" w:name="_Toc12895022"/>
      <w:bookmarkStart w:id="1306" w:name="_Toc12895978"/>
      <w:bookmarkStart w:id="1307" w:name="_Toc12895023"/>
      <w:bookmarkStart w:id="1308" w:name="_Toc12895979"/>
      <w:bookmarkStart w:id="1309" w:name="_Toc12895024"/>
      <w:bookmarkStart w:id="1310" w:name="_Toc12895980"/>
      <w:bookmarkStart w:id="1311" w:name="_Toc12895025"/>
      <w:bookmarkStart w:id="1312" w:name="_Toc12895981"/>
      <w:bookmarkStart w:id="1313" w:name="_Toc12895026"/>
      <w:bookmarkStart w:id="1314" w:name="_Toc12895982"/>
      <w:bookmarkStart w:id="1315" w:name="_Toc12895027"/>
      <w:bookmarkStart w:id="1316" w:name="_Toc12895983"/>
      <w:bookmarkStart w:id="1317" w:name="_Toc12895028"/>
      <w:bookmarkStart w:id="1318" w:name="_Toc12895984"/>
      <w:bookmarkStart w:id="1319" w:name="_Toc12895029"/>
      <w:bookmarkStart w:id="1320" w:name="_Toc12895985"/>
      <w:bookmarkStart w:id="1321" w:name="_Toc12895030"/>
      <w:bookmarkStart w:id="1322" w:name="_Toc12895986"/>
      <w:bookmarkStart w:id="1323" w:name="_Toc12895031"/>
      <w:bookmarkStart w:id="1324" w:name="_Toc12895987"/>
      <w:bookmarkStart w:id="1325" w:name="_Toc12895032"/>
      <w:bookmarkStart w:id="1326" w:name="_Toc12895988"/>
      <w:bookmarkStart w:id="1327" w:name="_Toc12895033"/>
      <w:bookmarkStart w:id="1328" w:name="_Toc12895989"/>
      <w:bookmarkStart w:id="1329" w:name="_Toc12895034"/>
      <w:bookmarkStart w:id="1330" w:name="_Toc12895990"/>
      <w:bookmarkStart w:id="1331" w:name="_Toc12895035"/>
      <w:bookmarkStart w:id="1332" w:name="_Toc12895991"/>
      <w:bookmarkStart w:id="1333" w:name="_Toc12895036"/>
      <w:bookmarkStart w:id="1334" w:name="_Toc12895992"/>
      <w:bookmarkStart w:id="1335" w:name="_Toc12895037"/>
      <w:bookmarkStart w:id="1336" w:name="_Toc12895993"/>
      <w:bookmarkStart w:id="1337" w:name="_Toc12895038"/>
      <w:bookmarkStart w:id="1338" w:name="_Toc12895994"/>
      <w:bookmarkStart w:id="1339" w:name="_Toc12895039"/>
      <w:bookmarkStart w:id="1340" w:name="_Toc12895995"/>
      <w:bookmarkStart w:id="1341" w:name="_Toc12895040"/>
      <w:bookmarkStart w:id="1342" w:name="_Toc12895996"/>
      <w:bookmarkStart w:id="1343" w:name="_Toc12895041"/>
      <w:bookmarkStart w:id="1344" w:name="_Toc12895997"/>
      <w:bookmarkStart w:id="1345" w:name="_Toc12895042"/>
      <w:bookmarkStart w:id="1346" w:name="_Toc12895998"/>
      <w:bookmarkStart w:id="1347" w:name="_Toc12895043"/>
      <w:bookmarkStart w:id="1348" w:name="_Toc12895999"/>
      <w:bookmarkStart w:id="1349" w:name="_Toc12895044"/>
      <w:bookmarkStart w:id="1350" w:name="_Toc12896000"/>
      <w:bookmarkStart w:id="1351" w:name="_Toc12895045"/>
      <w:bookmarkStart w:id="1352" w:name="_Toc12896001"/>
      <w:bookmarkStart w:id="1353" w:name="_Toc12895046"/>
      <w:bookmarkStart w:id="1354" w:name="_Toc12896002"/>
      <w:bookmarkStart w:id="1355" w:name="_Toc12895047"/>
      <w:bookmarkStart w:id="1356" w:name="_Toc12896003"/>
      <w:bookmarkStart w:id="1357" w:name="_Toc12895048"/>
      <w:bookmarkStart w:id="1358" w:name="_Toc12896004"/>
      <w:bookmarkStart w:id="1359" w:name="_Toc12895049"/>
      <w:bookmarkStart w:id="1360" w:name="_Toc12896005"/>
      <w:bookmarkStart w:id="1361" w:name="_Toc12895050"/>
      <w:bookmarkStart w:id="1362" w:name="_Toc12896006"/>
      <w:bookmarkStart w:id="1363" w:name="_Toc12895051"/>
      <w:bookmarkStart w:id="1364" w:name="_Toc12896007"/>
      <w:bookmarkStart w:id="1365" w:name="_Toc12895052"/>
      <w:bookmarkStart w:id="1366" w:name="_Toc12896008"/>
      <w:bookmarkStart w:id="1367" w:name="_Toc12895053"/>
      <w:bookmarkStart w:id="1368" w:name="_Toc12896009"/>
      <w:bookmarkStart w:id="1369" w:name="_Toc12895054"/>
      <w:bookmarkStart w:id="1370" w:name="_Toc12896010"/>
      <w:bookmarkStart w:id="1371" w:name="_Toc12895055"/>
      <w:bookmarkStart w:id="1372" w:name="_Toc12896011"/>
      <w:bookmarkStart w:id="1373" w:name="_Toc12895056"/>
      <w:bookmarkStart w:id="1374" w:name="_Toc12896012"/>
      <w:bookmarkStart w:id="1375" w:name="_Toc12895057"/>
      <w:bookmarkStart w:id="1376" w:name="_Toc12896013"/>
      <w:bookmarkStart w:id="1377" w:name="_Toc12895058"/>
      <w:bookmarkStart w:id="1378" w:name="_Toc12896014"/>
      <w:bookmarkStart w:id="1379" w:name="_Toc12895059"/>
      <w:bookmarkStart w:id="1380" w:name="_Toc12896015"/>
      <w:bookmarkStart w:id="1381" w:name="_Toc12895060"/>
      <w:bookmarkStart w:id="1382" w:name="_Toc12896016"/>
      <w:bookmarkStart w:id="1383" w:name="_Toc12895061"/>
      <w:bookmarkStart w:id="1384" w:name="_Toc12896017"/>
      <w:bookmarkStart w:id="1385" w:name="_Toc12895062"/>
      <w:bookmarkStart w:id="1386" w:name="_Toc12896018"/>
      <w:bookmarkStart w:id="1387" w:name="_Toc12895063"/>
      <w:bookmarkStart w:id="1388" w:name="_Toc12896019"/>
      <w:bookmarkStart w:id="1389" w:name="_Toc12895064"/>
      <w:bookmarkStart w:id="1390" w:name="_Toc12896020"/>
      <w:bookmarkStart w:id="1391" w:name="_Toc12895065"/>
      <w:bookmarkStart w:id="1392" w:name="_Toc12896021"/>
      <w:bookmarkStart w:id="1393" w:name="_Toc12895066"/>
      <w:bookmarkStart w:id="1394" w:name="_Toc12896022"/>
      <w:bookmarkStart w:id="1395" w:name="_Toc12895067"/>
      <w:bookmarkStart w:id="1396" w:name="_Toc12896023"/>
      <w:bookmarkStart w:id="1397" w:name="_Toc12895068"/>
      <w:bookmarkStart w:id="1398" w:name="_Toc12896024"/>
      <w:bookmarkStart w:id="1399" w:name="_Toc12895069"/>
      <w:bookmarkStart w:id="1400" w:name="_Toc12896025"/>
      <w:bookmarkStart w:id="1401" w:name="_Toc12895070"/>
      <w:bookmarkStart w:id="1402" w:name="_Toc12896026"/>
      <w:bookmarkStart w:id="1403" w:name="_Toc12895071"/>
      <w:bookmarkStart w:id="1404" w:name="_Toc12896027"/>
      <w:bookmarkStart w:id="1405" w:name="_Toc12895072"/>
      <w:bookmarkStart w:id="1406" w:name="_Toc12896028"/>
      <w:bookmarkStart w:id="1407" w:name="_Toc12895073"/>
      <w:bookmarkStart w:id="1408" w:name="_Toc12896029"/>
      <w:bookmarkStart w:id="1409" w:name="_Toc12895074"/>
      <w:bookmarkStart w:id="1410" w:name="_Toc12896030"/>
      <w:bookmarkStart w:id="1411" w:name="_Toc12895075"/>
      <w:bookmarkStart w:id="1412" w:name="_Toc12896031"/>
      <w:bookmarkStart w:id="1413" w:name="_Toc12895076"/>
      <w:bookmarkStart w:id="1414" w:name="_Toc12896032"/>
      <w:bookmarkStart w:id="1415" w:name="_Toc12895077"/>
      <w:bookmarkStart w:id="1416" w:name="_Toc12896033"/>
      <w:bookmarkStart w:id="1417" w:name="_Toc12895078"/>
      <w:bookmarkStart w:id="1418" w:name="_Toc12896034"/>
      <w:bookmarkStart w:id="1419" w:name="_Toc12895079"/>
      <w:bookmarkStart w:id="1420" w:name="_Toc12896035"/>
      <w:bookmarkStart w:id="1421" w:name="_Toc12895080"/>
      <w:bookmarkStart w:id="1422" w:name="_Toc12896036"/>
      <w:bookmarkStart w:id="1423" w:name="_Toc12895081"/>
      <w:bookmarkStart w:id="1424" w:name="_Toc12896037"/>
      <w:bookmarkStart w:id="1425" w:name="_Toc12895082"/>
      <w:bookmarkStart w:id="1426" w:name="_Toc12896038"/>
      <w:bookmarkStart w:id="1427" w:name="_Toc12895083"/>
      <w:bookmarkStart w:id="1428" w:name="_Toc12896039"/>
      <w:bookmarkStart w:id="1429" w:name="_Toc12895084"/>
      <w:bookmarkStart w:id="1430" w:name="_Toc12896040"/>
      <w:bookmarkStart w:id="1431" w:name="_Toc12895085"/>
      <w:bookmarkStart w:id="1432" w:name="_Toc12896041"/>
      <w:bookmarkStart w:id="1433" w:name="_Toc12895086"/>
      <w:bookmarkStart w:id="1434" w:name="_Toc12896042"/>
      <w:bookmarkStart w:id="1435" w:name="_Toc12895087"/>
      <w:bookmarkStart w:id="1436" w:name="_Toc12896043"/>
      <w:bookmarkStart w:id="1437" w:name="_Toc12895088"/>
      <w:bookmarkStart w:id="1438" w:name="_Toc12896044"/>
      <w:bookmarkStart w:id="1439" w:name="_Toc12895089"/>
      <w:bookmarkStart w:id="1440" w:name="_Toc12896045"/>
      <w:bookmarkStart w:id="1441" w:name="_Toc12895090"/>
      <w:bookmarkStart w:id="1442" w:name="_Toc12896046"/>
      <w:bookmarkStart w:id="1443" w:name="_Toc12895091"/>
      <w:bookmarkStart w:id="1444" w:name="_Toc12896047"/>
      <w:bookmarkStart w:id="1445" w:name="_Toc12895092"/>
      <w:bookmarkStart w:id="1446" w:name="_Toc12896048"/>
      <w:bookmarkStart w:id="1447" w:name="_Toc12895093"/>
      <w:bookmarkStart w:id="1448" w:name="_Toc12896049"/>
      <w:bookmarkStart w:id="1449" w:name="_Toc12895094"/>
      <w:bookmarkStart w:id="1450" w:name="_Toc12896050"/>
      <w:bookmarkStart w:id="1451" w:name="_Toc10144498"/>
      <w:bookmarkStart w:id="1452" w:name="_Toc10144768"/>
      <w:bookmarkStart w:id="1453" w:name="_Toc10145038"/>
      <w:bookmarkStart w:id="1454" w:name="_Toc10199061"/>
      <w:bookmarkStart w:id="1455" w:name="_Toc10199330"/>
      <w:bookmarkStart w:id="1456" w:name="_Toc10199599"/>
      <w:bookmarkStart w:id="1457" w:name="_Toc10459854"/>
      <w:bookmarkStart w:id="1458" w:name="_Toc10144499"/>
      <w:bookmarkStart w:id="1459" w:name="_Toc10144769"/>
      <w:bookmarkStart w:id="1460" w:name="_Toc10145039"/>
      <w:bookmarkStart w:id="1461" w:name="_Toc10199062"/>
      <w:bookmarkStart w:id="1462" w:name="_Toc10199331"/>
      <w:bookmarkStart w:id="1463" w:name="_Toc10199600"/>
      <w:bookmarkStart w:id="1464" w:name="_Toc10459855"/>
      <w:bookmarkStart w:id="1465" w:name="_Toc10144500"/>
      <w:bookmarkStart w:id="1466" w:name="_Toc10144770"/>
      <w:bookmarkStart w:id="1467" w:name="_Toc10145040"/>
      <w:bookmarkStart w:id="1468" w:name="_Toc10199063"/>
      <w:bookmarkStart w:id="1469" w:name="_Toc10199332"/>
      <w:bookmarkStart w:id="1470" w:name="_Toc10199601"/>
      <w:bookmarkStart w:id="1471" w:name="_Toc10459856"/>
      <w:bookmarkStart w:id="1472" w:name="_Toc12895095"/>
      <w:bookmarkStart w:id="1473" w:name="_Toc12896051"/>
      <w:bookmarkStart w:id="1474" w:name="_Toc12895096"/>
      <w:bookmarkStart w:id="1475" w:name="_Toc12896052"/>
      <w:bookmarkStart w:id="1476" w:name="_Toc12895097"/>
      <w:bookmarkStart w:id="1477" w:name="_Toc12896053"/>
      <w:bookmarkStart w:id="1478" w:name="_Toc12895098"/>
      <w:bookmarkStart w:id="1479" w:name="_Toc12896054"/>
      <w:bookmarkStart w:id="1480" w:name="_Toc12895099"/>
      <w:bookmarkStart w:id="1481" w:name="_Toc12896055"/>
      <w:bookmarkStart w:id="1482" w:name="_Toc12895100"/>
      <w:bookmarkStart w:id="1483" w:name="_Toc12896056"/>
      <w:bookmarkStart w:id="1484" w:name="_Toc12895101"/>
      <w:bookmarkStart w:id="1485" w:name="_Toc12896057"/>
      <w:bookmarkStart w:id="1486" w:name="_Toc12895102"/>
      <w:bookmarkStart w:id="1487" w:name="_Toc12896058"/>
      <w:bookmarkStart w:id="1488" w:name="_Toc12895103"/>
      <w:bookmarkStart w:id="1489" w:name="_Toc12896059"/>
      <w:bookmarkStart w:id="1490" w:name="_Toc12895104"/>
      <w:bookmarkStart w:id="1491" w:name="_Toc12896060"/>
      <w:bookmarkStart w:id="1492" w:name="_Toc12895105"/>
      <w:bookmarkStart w:id="1493" w:name="_Toc12896061"/>
      <w:bookmarkStart w:id="1494" w:name="_Toc12895106"/>
      <w:bookmarkStart w:id="1495" w:name="_Toc12896062"/>
      <w:bookmarkStart w:id="1496" w:name="_Toc12895107"/>
      <w:bookmarkStart w:id="1497" w:name="_Toc12896063"/>
      <w:bookmarkStart w:id="1498" w:name="_Toc12895108"/>
      <w:bookmarkStart w:id="1499" w:name="_Toc12896064"/>
      <w:bookmarkStart w:id="1500" w:name="_Toc106868007"/>
      <w:bookmarkStart w:id="1501" w:name="_Toc106869758"/>
      <w:bookmarkStart w:id="1502" w:name="_Toc106870092"/>
      <w:bookmarkStart w:id="1503" w:name="_Toc106870258"/>
      <w:bookmarkStart w:id="1504" w:name="_Toc106870430"/>
      <w:bookmarkStart w:id="1505" w:name="_Toc165964627"/>
      <w:bookmarkStart w:id="1506" w:name="_Toc167174489"/>
      <w:bookmarkStart w:id="1507" w:name="_Toc167226003"/>
      <w:bookmarkEnd w:id="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469B518F" w14:textId="77777777" w:rsidR="005B5CB9" w:rsidRPr="002F56B3" w:rsidRDefault="005B5CB9" w:rsidP="00806BF9">
      <w:pPr>
        <w:pStyle w:val="Heading2"/>
        <w:numPr>
          <w:ilvl w:val="0"/>
          <w:numId w:val="0"/>
        </w:numPr>
      </w:pPr>
      <w:bookmarkStart w:id="1508" w:name="_Toc234580257"/>
      <w:r>
        <w:t>Terminology</w:t>
      </w:r>
      <w:bookmarkEnd w:id="1500"/>
      <w:bookmarkEnd w:id="1501"/>
      <w:bookmarkEnd w:id="1502"/>
      <w:bookmarkEnd w:id="1503"/>
      <w:bookmarkEnd w:id="1504"/>
      <w:bookmarkEnd w:id="1505"/>
      <w:bookmarkEnd w:id="1506"/>
      <w:bookmarkEnd w:id="1507"/>
      <w:bookmarkEnd w:id="1508"/>
    </w:p>
    <w:p w14:paraId="4F94C007" w14:textId="77777777" w:rsidR="005B5CB9" w:rsidRDefault="005B5CB9" w:rsidP="005B5CB9">
      <w:pPr>
        <w:pStyle w:val="Body"/>
      </w:pPr>
      <w:r>
        <w:t>The term ‘funded organisations’ relates to all entities that receive departmental funding to deliver services, unless specified otherwise.</w:t>
      </w:r>
    </w:p>
    <w:p w14:paraId="1897A7A9" w14:textId="267DB966" w:rsidR="005B5CB9" w:rsidRDefault="005B5CB9" w:rsidP="005B5CB9">
      <w:pPr>
        <w:pStyle w:val="Body"/>
      </w:pPr>
      <w:r>
        <w:t xml:space="preserve">For the purposes of the </w:t>
      </w:r>
      <w:r w:rsidR="006D5696">
        <w:t>Policy guide</w:t>
      </w:r>
      <w:r>
        <w:t>, the term ‘health services’ relates to public health services, denominational hospitals, public hospitals and multipurpose services, as defined by the</w:t>
      </w:r>
      <w:r w:rsidRPr="535B4B8B">
        <w:rPr>
          <w:i/>
          <w:iCs/>
        </w:rPr>
        <w:t xml:space="preserve"> Health Services Act 1988</w:t>
      </w:r>
      <w:r>
        <w:t>, regarding services provided within a hospital or a hospital-equivalent setting, unless otherwise specified.</w:t>
      </w:r>
    </w:p>
    <w:p w14:paraId="0D07AD14" w14:textId="77777777" w:rsidR="005B5CB9" w:rsidRDefault="005B5CB9" w:rsidP="005B5CB9">
      <w:pPr>
        <w:pStyle w:val="Body"/>
      </w:pPr>
      <w:r>
        <w:t>The term ‘community service organisations’ refers to registered community health centres, local government authorities and non-government organisations that are not health services.</w:t>
      </w:r>
    </w:p>
    <w:p w14:paraId="7A8791F5" w14:textId="37385F1C" w:rsidR="005B5CB9" w:rsidRDefault="005B5CB9" w:rsidP="005B5CB9">
      <w:pPr>
        <w:pStyle w:val="Body"/>
      </w:pPr>
      <w:r>
        <w:lastRenderedPageBreak/>
        <w:t xml:space="preserve">The </w:t>
      </w:r>
      <w:r w:rsidR="006D5696">
        <w:t>Policy guide</w:t>
      </w:r>
      <w:r>
        <w:t xml:space="preserve"> is also relevant for Ambulance Victoria, Health Purchasing Victoria trading as HealthShare Victoria (HealthShare), the Victorian Institute of Forensic Mental Health (known as Forensicare) and the Parkville Youth Mental Health and Wellbeing Service. The </w:t>
      </w:r>
      <w:r w:rsidR="006D5696">
        <w:t>Policy guide</w:t>
      </w:r>
      <w:r>
        <w:t xml:space="preserve"> specifies where aspects are relevant for these organisations.</w:t>
      </w:r>
    </w:p>
    <w:p w14:paraId="3DF75EF6" w14:textId="77777777" w:rsidR="005B5CB9" w:rsidRDefault="005B5CB9" w:rsidP="005B5CB9">
      <w:pPr>
        <w:pStyle w:val="Body"/>
      </w:pPr>
      <w:r>
        <w:t>Where the term ‘department’ is used, it refers to the Department of Health, unless otherwise specified.</w:t>
      </w:r>
    </w:p>
    <w:p w14:paraId="5602E00D" w14:textId="77777777" w:rsidR="005B5CB9" w:rsidRDefault="005B5CB9" w:rsidP="005F6467">
      <w:pPr>
        <w:pStyle w:val="Heading2"/>
        <w:numPr>
          <w:ilvl w:val="0"/>
          <w:numId w:val="0"/>
        </w:numPr>
        <w:ind w:left="576" w:hanging="576"/>
      </w:pPr>
      <w:bookmarkStart w:id="1509" w:name="_Toc234580258"/>
      <w:r>
        <w:t>Status and interpretation of this document</w:t>
      </w:r>
      <w:bookmarkEnd w:id="1509"/>
    </w:p>
    <w:p w14:paraId="475A4703" w14:textId="629FB807" w:rsidR="005B5CB9" w:rsidRDefault="005B5CB9" w:rsidP="005B5CB9">
      <w:pPr>
        <w:pStyle w:val="Body"/>
      </w:pPr>
      <w:r>
        <w:t xml:space="preserve">The </w:t>
      </w:r>
      <w:r w:rsidR="006D5696">
        <w:t>Funding rules</w:t>
      </w:r>
      <w:r>
        <w:t xml:space="preserve"> establish binding requirements for the classification, pricing, funding and reporting of activity by funded organisations. These requirements apply unless superseded by legislation or regulation, the National Health Reform Agreement (NHRA) or associated Independent Health and Aged Care Pricing Authority (IHACPA) determinations and technical specifications, or contractual instruments, such as Statements of Priorities or funding agreements. </w:t>
      </w:r>
    </w:p>
    <w:p w14:paraId="6D631454" w14:textId="77777777" w:rsidR="005B5CB9" w:rsidRDefault="005B5CB9" w:rsidP="005B5CB9">
      <w:pPr>
        <w:pStyle w:val="Body"/>
      </w:pPr>
      <w:r>
        <w:t>In the event of any conflict or ambiguity, provisions must be applied in the following order:</w:t>
      </w:r>
    </w:p>
    <w:p w14:paraId="0D0FDD58" w14:textId="77777777" w:rsidR="005B5CB9" w:rsidRDefault="005B5CB9" w:rsidP="005B5CB9">
      <w:pPr>
        <w:pStyle w:val="Bullet1"/>
        <w:tabs>
          <w:tab w:val="left" w:pos="1134"/>
        </w:tabs>
        <w:ind w:left="360" w:right="357" w:hanging="360"/>
      </w:pPr>
      <w:r>
        <w:t>Commonwealth legislation and regulations</w:t>
      </w:r>
    </w:p>
    <w:p w14:paraId="34AB3224" w14:textId="77777777" w:rsidR="005B5CB9" w:rsidRDefault="005B5CB9" w:rsidP="005B5CB9">
      <w:pPr>
        <w:pStyle w:val="Bullet1"/>
        <w:tabs>
          <w:tab w:val="left" w:pos="1134"/>
        </w:tabs>
        <w:ind w:left="360" w:right="357" w:hanging="360"/>
      </w:pPr>
      <w:r>
        <w:t>NHRA and associated IHACPA Determinations and technical specifications</w:t>
      </w:r>
    </w:p>
    <w:p w14:paraId="26AF5942" w14:textId="77777777" w:rsidR="005B5CB9" w:rsidRDefault="005B5CB9" w:rsidP="005B5CB9">
      <w:pPr>
        <w:pStyle w:val="Bullet1"/>
        <w:tabs>
          <w:tab w:val="left" w:pos="1134"/>
        </w:tabs>
        <w:ind w:left="360" w:right="357" w:hanging="360"/>
      </w:pPr>
      <w:r>
        <w:t>Victorian legislation and binding whole-of-government policy</w:t>
      </w:r>
    </w:p>
    <w:p w14:paraId="30000C13" w14:textId="77777777" w:rsidR="005B5CB9" w:rsidRDefault="005B5CB9" w:rsidP="005B5CB9">
      <w:pPr>
        <w:pStyle w:val="Bullet1"/>
        <w:tabs>
          <w:tab w:val="left" w:pos="1134"/>
        </w:tabs>
        <w:ind w:left="360" w:right="357" w:hanging="360"/>
      </w:pPr>
      <w:r>
        <w:t>Funding agreements and Statements of Priorities</w:t>
      </w:r>
    </w:p>
    <w:p w14:paraId="0CDBF93E" w14:textId="2182E7AA" w:rsidR="005B5CB9" w:rsidRDefault="005B5CB9" w:rsidP="005B5CB9">
      <w:pPr>
        <w:pStyle w:val="Bullet1"/>
        <w:tabs>
          <w:tab w:val="left" w:pos="1134"/>
        </w:tabs>
        <w:ind w:left="360" w:right="357" w:hanging="360"/>
      </w:pPr>
      <w:r>
        <w:t xml:space="preserve">These </w:t>
      </w:r>
      <w:r w:rsidR="006D5696">
        <w:t>Funding rules</w:t>
      </w:r>
    </w:p>
    <w:p w14:paraId="6DF565CF" w14:textId="77777777" w:rsidR="005B5CB9" w:rsidRDefault="005B5CB9" w:rsidP="005B5CB9">
      <w:pPr>
        <w:pStyle w:val="Bullet1"/>
        <w:tabs>
          <w:tab w:val="left" w:pos="1134"/>
        </w:tabs>
        <w:ind w:left="360" w:right="357" w:hanging="360"/>
      </w:pPr>
      <w:r>
        <w:t>Departmental guidance material.</w:t>
      </w:r>
    </w:p>
    <w:p w14:paraId="7A4FAF6E" w14:textId="77777777" w:rsidR="005B5CB9" w:rsidRDefault="005B5CB9" w:rsidP="005B5CB9">
      <w:pPr>
        <w:pStyle w:val="Bodyafterbullets"/>
      </w:pPr>
      <w:r>
        <w:t>Where ambiguity remains after applying the above hierarchy, the department’s determination is final.</w:t>
      </w:r>
    </w:p>
    <w:p w14:paraId="5E0A0B44" w14:textId="77777777" w:rsidR="005B5CB9" w:rsidRDefault="005B5CB9" w:rsidP="005F6467">
      <w:pPr>
        <w:pStyle w:val="Heading2"/>
        <w:numPr>
          <w:ilvl w:val="0"/>
          <w:numId w:val="0"/>
        </w:numPr>
        <w:ind w:left="576" w:hanging="576"/>
      </w:pPr>
      <w:bookmarkStart w:id="1510" w:name="_Toc234580259"/>
      <w:r>
        <w:t>Continuous review</w:t>
      </w:r>
      <w:bookmarkEnd w:id="1510"/>
    </w:p>
    <w:p w14:paraId="425F16BB" w14:textId="77777777" w:rsidR="005B5CB9" w:rsidRDefault="005B5CB9" w:rsidP="005B5CB9">
      <w:pPr>
        <w:pStyle w:val="Body"/>
      </w:pPr>
      <w:r>
        <w:t>The department undertakes ongoing monitoring of cost-recovery outcomes, data quality and reporting compliance, and the effectiveness of funding models and pricing adjustments. In response to this monitoring, the department may update pricing parameters, funding methodologies and program classifications.</w:t>
      </w:r>
    </w:p>
    <w:p w14:paraId="54F7D468" w14:textId="71BD92E7" w:rsidR="005B5CB9" w:rsidRDefault="005B5CB9" w:rsidP="005B5CB9">
      <w:pPr>
        <w:pStyle w:val="Body"/>
      </w:pPr>
      <w:r>
        <w:t xml:space="preserve">Any changes are communicated through updated </w:t>
      </w:r>
      <w:r w:rsidR="006D5696">
        <w:t>Funding rules</w:t>
      </w:r>
      <w:r>
        <w:t>, determinations or formal advice.</w:t>
      </w:r>
    </w:p>
    <w:p w14:paraId="07852701" w14:textId="77777777" w:rsidR="005B5CB9" w:rsidRDefault="005B5CB9" w:rsidP="005B5CB9">
      <w:pPr>
        <w:pStyle w:val="Body"/>
        <w:sectPr w:rsidR="005B5CB9" w:rsidSect="00694DE9">
          <w:pgSz w:w="11906" w:h="16838" w:code="9"/>
          <w:pgMar w:top="1135" w:right="1304" w:bottom="993" w:left="1304" w:header="680" w:footer="567" w:gutter="0"/>
          <w:cols w:space="340"/>
          <w:titlePg/>
          <w:docGrid w:linePitch="360"/>
        </w:sect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EA3D03" w14:paraId="2B573E9B" w14:textId="77777777">
        <w:trPr>
          <w:trHeight w:val="7371"/>
        </w:trPr>
        <w:tc>
          <w:tcPr>
            <w:tcW w:w="7598" w:type="dxa"/>
            <w:vAlign w:val="center"/>
          </w:tcPr>
          <w:p w14:paraId="32AA6B55" w14:textId="6EB6C8C4" w:rsidR="00EA3D03" w:rsidRDefault="00EA3D03">
            <w:pPr>
              <w:pStyle w:val="Heading1"/>
              <w:numPr>
                <w:ilvl w:val="0"/>
                <w:numId w:val="0"/>
              </w:numPr>
              <w:ind w:left="1134"/>
            </w:pPr>
            <w:bookmarkStart w:id="1511" w:name="_Toc165961788"/>
            <w:bookmarkStart w:id="1512" w:name="_Toc231982239"/>
            <w:bookmarkStart w:id="1513" w:name="_Toc106868008"/>
            <w:bookmarkStart w:id="1514" w:name="_Toc106869759"/>
            <w:bookmarkStart w:id="1515" w:name="_Toc106870093"/>
            <w:bookmarkStart w:id="1516" w:name="_Toc106870259"/>
            <w:bookmarkStart w:id="1517" w:name="_Toc106870431"/>
            <w:bookmarkStart w:id="1518" w:name="_Toc165964628"/>
            <w:bookmarkStart w:id="1519" w:name="_Toc167174490"/>
            <w:bookmarkStart w:id="1520" w:name="_Toc234580260"/>
            <w:bookmarkEnd w:id="7"/>
            <w:bookmarkEnd w:id="8"/>
            <w:r w:rsidRPr="004C7717">
              <w:lastRenderedPageBreak/>
              <w:t xml:space="preserve">Part 1: </w:t>
            </w:r>
            <w:bookmarkEnd w:id="1512"/>
            <w:r>
              <w:t>Funding and pricing arrangements</w:t>
            </w:r>
            <w:bookmarkEnd w:id="1520"/>
          </w:p>
          <w:p w14:paraId="4EE4672E" w14:textId="77777777" w:rsidR="00EA3D03" w:rsidRDefault="00EA3D03">
            <w:pPr>
              <w:pStyle w:val="Documentsubtitle"/>
            </w:pPr>
          </w:p>
        </w:tc>
      </w:tr>
      <w:tr w:rsidR="00EA3D03" w14:paraId="036E80DC" w14:textId="77777777">
        <w:tc>
          <w:tcPr>
            <w:tcW w:w="7598" w:type="dxa"/>
          </w:tcPr>
          <w:p w14:paraId="4D09938E" w14:textId="77777777" w:rsidR="00EA3D03" w:rsidRDefault="00EA3D03">
            <w:pPr>
              <w:pStyle w:val="Body"/>
            </w:pPr>
          </w:p>
        </w:tc>
      </w:tr>
    </w:tbl>
    <w:p w14:paraId="2821DE39" w14:textId="77777777" w:rsidR="005B5CB9" w:rsidRDefault="005B5CB9" w:rsidP="005B5CB9">
      <w:pPr>
        <w:pStyle w:val="Body"/>
      </w:pPr>
      <w:bookmarkStart w:id="1521" w:name="_Toc418694901"/>
      <w:bookmarkStart w:id="1522" w:name="_Toc6215538"/>
      <w:bookmarkStart w:id="1523" w:name="_Toc10199614"/>
      <w:bookmarkStart w:id="1524" w:name="_Toc418694900"/>
      <w:bookmarkStart w:id="1525" w:name="_Toc487742004"/>
      <w:bookmarkStart w:id="1526" w:name="_Toc14172233"/>
      <w:bookmarkStart w:id="1527" w:name="_Toc52892548"/>
      <w:bookmarkStart w:id="1528" w:name="_Ref54258664"/>
      <w:bookmarkStart w:id="1529" w:name="_Ref54258668"/>
      <w:bookmarkStart w:id="1530" w:name="_Ref54258679"/>
      <w:bookmarkEnd w:id="1511"/>
      <w:bookmarkEnd w:id="1513"/>
      <w:bookmarkEnd w:id="1514"/>
      <w:bookmarkEnd w:id="1515"/>
      <w:bookmarkEnd w:id="1516"/>
      <w:bookmarkEnd w:id="1517"/>
      <w:bookmarkEnd w:id="1518"/>
      <w:bookmarkEnd w:id="1519"/>
    </w:p>
    <w:p w14:paraId="36570201" w14:textId="2A4CC7B3" w:rsidR="005B5CB9" w:rsidRDefault="005B5CB9" w:rsidP="005B5CB9">
      <w:pPr>
        <w:pStyle w:val="Body"/>
        <w:sectPr w:rsidR="005B5CB9" w:rsidSect="005B5CB9">
          <w:headerReference w:type="first" r:id="rId23"/>
          <w:pgSz w:w="11906" w:h="16838" w:code="9"/>
          <w:pgMar w:top="4253" w:right="1304" w:bottom="993" w:left="1304" w:header="680" w:footer="567" w:gutter="0"/>
          <w:cols w:space="340"/>
          <w:titlePg/>
          <w:docGrid w:linePitch="360"/>
        </w:sectPr>
      </w:pPr>
    </w:p>
    <w:p w14:paraId="42F4BD46" w14:textId="512A2681" w:rsidR="005B5CB9" w:rsidRPr="00C0312D" w:rsidRDefault="005B5CB9" w:rsidP="003E12DB">
      <w:pPr>
        <w:pStyle w:val="Heading1"/>
        <w:spacing w:before="120"/>
      </w:pPr>
      <w:bookmarkStart w:id="1531" w:name="_1_National_funding"/>
      <w:bookmarkStart w:id="1532" w:name="_Toc234580261"/>
      <w:bookmarkEnd w:id="1527"/>
      <w:bookmarkEnd w:id="1528"/>
      <w:bookmarkEnd w:id="1529"/>
      <w:bookmarkEnd w:id="1530"/>
      <w:bookmarkEnd w:id="1531"/>
      <w:r w:rsidRPr="00C0312D">
        <w:lastRenderedPageBreak/>
        <w:t>National funding and pricing of public hospitals</w:t>
      </w:r>
      <w:bookmarkStart w:id="1533" w:name="_Toc165961789"/>
      <w:bookmarkEnd w:id="1532"/>
    </w:p>
    <w:p w14:paraId="420E0943" w14:textId="5B88528C" w:rsidR="005B5CB9" w:rsidRPr="00FD149D" w:rsidRDefault="005B5CB9" w:rsidP="005B5CB9">
      <w:pPr>
        <w:pStyle w:val="Heading2"/>
      </w:pPr>
      <w:bookmarkStart w:id="1534" w:name="_1.1_NHRA"/>
      <w:bookmarkStart w:id="1535" w:name="_Toc234580262"/>
      <w:bookmarkEnd w:id="1534"/>
      <w:r>
        <w:t>NHRA</w:t>
      </w:r>
      <w:bookmarkEnd w:id="1535"/>
    </w:p>
    <w:p w14:paraId="2F861938" w14:textId="4AAC8CF8" w:rsidR="005B5CB9" w:rsidRDefault="005B5CB9" w:rsidP="00167D90">
      <w:pPr>
        <w:pStyle w:val="Body"/>
      </w:pPr>
      <w:r>
        <w:t>Victoria is a signatory to the NHRA, which aims to improve health outcomes for all Australians and ensure a sustainable health system. The Addendum to the N</w:t>
      </w:r>
      <w:r w:rsidR="007D4954">
        <w:t>ational Health Reform Agreement</w:t>
      </w:r>
      <w:r>
        <w:t xml:space="preserve"> 2026–2031 </w:t>
      </w:r>
      <w:r w:rsidR="005546A0">
        <w:t xml:space="preserve">took </w:t>
      </w:r>
      <w:r>
        <w:t>effect on 1 July 2026.</w:t>
      </w:r>
    </w:p>
    <w:p w14:paraId="468256EE" w14:textId="77777777" w:rsidR="005B5CB9" w:rsidRDefault="005B5CB9" w:rsidP="00167D90">
      <w:pPr>
        <w:pStyle w:val="Body"/>
      </w:pPr>
      <w:r>
        <w:t>It includes three objectives that are:</w:t>
      </w:r>
    </w:p>
    <w:p w14:paraId="114DBD48" w14:textId="77777777" w:rsidR="005B5CB9" w:rsidRPr="004A2CB7" w:rsidRDefault="005B5CB9" w:rsidP="004A2CB7">
      <w:pPr>
        <w:pStyle w:val="Bullet1"/>
      </w:pPr>
      <w:r w:rsidRPr="004A2CB7">
        <w:t>better health outcomes and experiences for all Australians and better value for patients</w:t>
      </w:r>
    </w:p>
    <w:p w14:paraId="6E633E4F" w14:textId="77777777" w:rsidR="005B5CB9" w:rsidRPr="004A2CB7" w:rsidRDefault="005B5CB9" w:rsidP="004A2CB7">
      <w:pPr>
        <w:pStyle w:val="Bullet1"/>
      </w:pPr>
      <w:r w:rsidRPr="004A2CB7">
        <w:t>stronger shared stewardship of the whole health system</w:t>
      </w:r>
    </w:p>
    <w:p w14:paraId="705A3DA7" w14:textId="77777777" w:rsidR="005B5CB9" w:rsidRPr="004A2CB7" w:rsidRDefault="005B5CB9" w:rsidP="004A2CB7">
      <w:pPr>
        <w:pStyle w:val="Bullet1"/>
        <w:spacing w:after="120"/>
      </w:pPr>
      <w:r w:rsidRPr="004A2CB7">
        <w:t>a simpler, more equitable public hospital and health services funding model.</w:t>
      </w:r>
    </w:p>
    <w:p w14:paraId="50FC31AB" w14:textId="77777777" w:rsidR="005B5CB9" w:rsidRDefault="005B5CB9" w:rsidP="00167D90">
      <w:pPr>
        <w:pStyle w:val="Bodyafterbullets"/>
        <w:spacing w:before="0"/>
      </w:pPr>
      <w:r>
        <w:t>NHRA-eligible services include:</w:t>
      </w:r>
    </w:p>
    <w:p w14:paraId="760A4CA7" w14:textId="77777777" w:rsidR="005B5CB9" w:rsidRPr="004A2CB7" w:rsidRDefault="005B5CB9" w:rsidP="004A2CB7">
      <w:pPr>
        <w:pStyle w:val="Bullet1"/>
      </w:pPr>
      <w:r w:rsidRPr="004A2CB7">
        <w:t>all admitted services, including Hospital in the Home programs, forensic mental health inpatient services and virtually provided care</w:t>
      </w:r>
    </w:p>
    <w:p w14:paraId="042B9337" w14:textId="77777777" w:rsidR="005B5CB9" w:rsidRPr="004A2CB7" w:rsidRDefault="005B5CB9" w:rsidP="004A2CB7">
      <w:pPr>
        <w:pStyle w:val="Bullet1"/>
      </w:pPr>
      <w:r w:rsidRPr="004A2CB7">
        <w:t xml:space="preserve">all emergency care services provided at recognised emergency departments (EDs) </w:t>
      </w:r>
    </w:p>
    <w:p w14:paraId="16BB51DE" w14:textId="77777777" w:rsidR="005B5CB9" w:rsidRPr="004A2CB7" w:rsidRDefault="005B5CB9" w:rsidP="004A2CB7">
      <w:pPr>
        <w:pStyle w:val="Bullet1"/>
      </w:pPr>
      <w:r w:rsidRPr="004A2CB7">
        <w:t>specialist outpatient clinic services</w:t>
      </w:r>
    </w:p>
    <w:p w14:paraId="2B405D8F" w14:textId="77777777" w:rsidR="005B5CB9" w:rsidRPr="004A2CB7" w:rsidRDefault="005B5CB9" w:rsidP="004A2CB7">
      <w:pPr>
        <w:pStyle w:val="Bullet1"/>
        <w:spacing w:after="120"/>
      </w:pPr>
      <w:r w:rsidRPr="004A2CB7">
        <w:t xml:space="preserve">other non-admitted patient services, including new models of care or service delivery, outpatient care, mental health, subacute services, or other services that directly substitute or directly reduce demand for hospital services. </w:t>
      </w:r>
    </w:p>
    <w:p w14:paraId="5F51FB5B" w14:textId="77777777" w:rsidR="005B5CB9" w:rsidRDefault="005B5CB9" w:rsidP="00167D90">
      <w:pPr>
        <w:pStyle w:val="Bodyafterbullets"/>
        <w:spacing w:before="0"/>
      </w:pPr>
      <w:r>
        <w:t xml:space="preserve">The </w:t>
      </w:r>
      <w:r w:rsidRPr="06142963">
        <w:rPr>
          <w:lang w:eastAsia="en-AU"/>
        </w:rPr>
        <w:t>NHRA</w:t>
      </w:r>
      <w:r>
        <w:t xml:space="preserve"> establishes national bodies with which Victoria works closely to deliver the goals of the NHRA.</w:t>
      </w:r>
    </w:p>
    <w:p w14:paraId="6724CC0A" w14:textId="77777777" w:rsidR="005B5CB9" w:rsidRDefault="005B5CB9" w:rsidP="00167D90">
      <w:pPr>
        <w:pStyle w:val="Bodyafterbullets"/>
        <w:spacing w:before="0"/>
      </w:pPr>
      <w:r>
        <w:t>The key national bodies are the:</w:t>
      </w:r>
    </w:p>
    <w:p w14:paraId="09B490C0" w14:textId="77777777" w:rsidR="005B5CB9" w:rsidRPr="004A2CB7" w:rsidRDefault="005B5CB9" w:rsidP="004A2CB7">
      <w:pPr>
        <w:pStyle w:val="Bullet1"/>
      </w:pPr>
      <w:r w:rsidRPr="004A2CB7">
        <w:t>IHACPA – independent national price and cost setting</w:t>
      </w:r>
    </w:p>
    <w:p w14:paraId="6F21C58D" w14:textId="77777777" w:rsidR="005B5CB9" w:rsidRPr="004A2CB7" w:rsidRDefault="005B5CB9" w:rsidP="004A2CB7">
      <w:pPr>
        <w:pStyle w:val="Bullet1"/>
      </w:pPr>
      <w:r w:rsidRPr="004A2CB7">
        <w:t>National Health Funding Body – Commonwealth funding administration</w:t>
      </w:r>
    </w:p>
    <w:p w14:paraId="7DA4AE13" w14:textId="77777777" w:rsidR="005B5CB9" w:rsidRPr="004A2CB7" w:rsidRDefault="005B5CB9" w:rsidP="004A2CB7">
      <w:pPr>
        <w:pStyle w:val="Bullet1"/>
      </w:pPr>
      <w:r w:rsidRPr="004A2CB7">
        <w:t xml:space="preserve">Australian Commission on Safety and Quality in Health Care – safety and quality </w:t>
      </w:r>
    </w:p>
    <w:p w14:paraId="31B718D9" w14:textId="77777777" w:rsidR="005B5CB9" w:rsidRPr="004A2CB7" w:rsidRDefault="005B5CB9" w:rsidP="006F273F">
      <w:pPr>
        <w:pStyle w:val="Bullet1"/>
        <w:spacing w:after="120"/>
      </w:pPr>
      <w:r w:rsidRPr="004A2CB7">
        <w:t>Australian Institute of Health and Welfare – health performance data.</w:t>
      </w:r>
    </w:p>
    <w:p w14:paraId="5840FFBE" w14:textId="77777777" w:rsidR="005B5CB9" w:rsidRDefault="005B5CB9" w:rsidP="00167D90">
      <w:pPr>
        <w:pStyle w:val="Bodyafterbullets"/>
        <w:spacing w:before="0"/>
      </w:pPr>
      <w:r>
        <w:t xml:space="preserve">For more information on the NHRA, visit </w:t>
      </w:r>
      <w:hyperlink r:id="rId24" w:history="1">
        <w:r w:rsidRPr="6CC790B6">
          <w:rPr>
            <w:rStyle w:val="Hyperlink"/>
          </w:rPr>
          <w:t>NHRA</w:t>
        </w:r>
      </w:hyperlink>
      <w:r>
        <w:t xml:space="preserve"> &lt;https://www.health.gov.au/our-work/national-health-reform-agreement-nhra&gt;.</w:t>
      </w:r>
    </w:p>
    <w:p w14:paraId="509FFDBB" w14:textId="732F1737" w:rsidR="005B5CB9" w:rsidRDefault="005B5CB9" w:rsidP="005B5CB9">
      <w:pPr>
        <w:pStyle w:val="Heading2"/>
      </w:pPr>
      <w:bookmarkStart w:id="1536" w:name="_Toc234580263"/>
      <w:r>
        <w:t>Activity-based funding and block funding</w:t>
      </w:r>
      <w:bookmarkEnd w:id="1536"/>
    </w:p>
    <w:p w14:paraId="24D5C361" w14:textId="77777777" w:rsidR="005B5CB9" w:rsidRPr="00167D90" w:rsidRDefault="005B5CB9" w:rsidP="00167D90">
      <w:pPr>
        <w:pStyle w:val="Body"/>
      </w:pPr>
      <w:r w:rsidRPr="00167D90">
        <w:t>The IHACPA publishes an annual National Efficient Price (NEP) determination that underpins activity-based funding (ABF), and the National Efficient Cost (NEC) determination for block-funded services.</w:t>
      </w:r>
    </w:p>
    <w:p w14:paraId="37B52EEA" w14:textId="7B3B0E97" w:rsidR="005B5CB9" w:rsidRPr="00FD149D" w:rsidRDefault="005B5CB9" w:rsidP="005B5CB9">
      <w:pPr>
        <w:pStyle w:val="Heading3"/>
      </w:pPr>
      <w:bookmarkStart w:id="1537" w:name="_Toc234574546"/>
      <w:bookmarkStart w:id="1538" w:name="_Toc234578140"/>
      <w:bookmarkStart w:id="1539" w:name="_Toc234580264"/>
      <w:r>
        <w:t>Activity-based funded services (NEP determination)</w:t>
      </w:r>
      <w:bookmarkEnd w:id="1537"/>
      <w:bookmarkEnd w:id="1538"/>
      <w:bookmarkEnd w:id="1539"/>
    </w:p>
    <w:p w14:paraId="3CD59635" w14:textId="77777777" w:rsidR="005B5CB9" w:rsidRDefault="005B5CB9" w:rsidP="00167D90">
      <w:pPr>
        <w:pStyle w:val="Body"/>
      </w:pPr>
      <w:r>
        <w:t>ABF applies where patient-level activity can be consistently classified, counted and priced. This includes admitted acute; ED; admitted mental health; and subacute and non-acute admitted services.</w:t>
      </w:r>
    </w:p>
    <w:p w14:paraId="68F048DE" w14:textId="77777777" w:rsidR="005B5CB9" w:rsidRDefault="005B5CB9" w:rsidP="00167D90">
      <w:pPr>
        <w:pStyle w:val="Body"/>
      </w:pPr>
      <w:r>
        <w:t xml:space="preserve">For more information, visit </w:t>
      </w:r>
      <w:hyperlink r:id="rId25">
        <w:r w:rsidRPr="06142963">
          <w:rPr>
            <w:rStyle w:val="Hyperlink"/>
          </w:rPr>
          <w:t>NEP determination</w:t>
        </w:r>
      </w:hyperlink>
      <w:r>
        <w:t xml:space="preserve"> &lt;https://www.ihacpa.gov.au/health-care/pricing/national-efficient-price-determination&gt;.</w:t>
      </w:r>
    </w:p>
    <w:p w14:paraId="65284FC7" w14:textId="7E9B6CC4" w:rsidR="005B5CB9" w:rsidRPr="009B296A" w:rsidRDefault="005B5CB9" w:rsidP="005B5CB9">
      <w:pPr>
        <w:pStyle w:val="Heading3"/>
      </w:pPr>
      <w:bookmarkStart w:id="1540" w:name="_Toc234574547"/>
      <w:bookmarkStart w:id="1541" w:name="_Toc234578141"/>
      <w:bookmarkStart w:id="1542" w:name="_Toc234580265"/>
      <w:r>
        <w:lastRenderedPageBreak/>
        <w:t>Block-funded services (NEC determination)</w:t>
      </w:r>
      <w:bookmarkEnd w:id="1540"/>
      <w:bookmarkEnd w:id="1541"/>
      <w:bookmarkEnd w:id="1542"/>
    </w:p>
    <w:p w14:paraId="56896B0B" w14:textId="77777777" w:rsidR="005B5CB9" w:rsidRDefault="005B5CB9" w:rsidP="00167D90">
      <w:pPr>
        <w:pStyle w:val="Body"/>
      </w:pPr>
      <w:r>
        <w:t xml:space="preserve">Block funding applies </w:t>
      </w:r>
      <w:proofErr w:type="gramStart"/>
      <w:r>
        <w:t>where</w:t>
      </w:r>
      <w:proofErr w:type="gramEnd"/>
      <w:r>
        <w:t xml:space="preserve"> ABF technical, volume or classification requirements cannot be met, including:</w:t>
      </w:r>
    </w:p>
    <w:p w14:paraId="70DC7875" w14:textId="77777777" w:rsidR="005B5CB9" w:rsidRDefault="005B5CB9" w:rsidP="004A2CB7">
      <w:pPr>
        <w:pStyle w:val="Bullet1"/>
        <w:ind w:left="357" w:right="357" w:hanging="357"/>
      </w:pPr>
      <w:r>
        <w:t>teaching</w:t>
      </w:r>
    </w:p>
    <w:p w14:paraId="55061D2F" w14:textId="77777777" w:rsidR="005B5CB9" w:rsidRDefault="005B5CB9" w:rsidP="004A2CB7">
      <w:pPr>
        <w:pStyle w:val="Bullet1"/>
        <w:ind w:left="357" w:right="357" w:hanging="357"/>
      </w:pPr>
      <w:r>
        <w:t>training and research</w:t>
      </w:r>
    </w:p>
    <w:p w14:paraId="669A7781" w14:textId="77777777" w:rsidR="005B5CB9" w:rsidRDefault="005B5CB9" w:rsidP="004A2CB7">
      <w:pPr>
        <w:pStyle w:val="Bullet1"/>
        <w:ind w:left="357" w:right="357" w:hanging="357"/>
      </w:pPr>
      <w:r>
        <w:t>community mental health in specified Local Health Networks</w:t>
      </w:r>
    </w:p>
    <w:p w14:paraId="4EE76B20" w14:textId="77777777" w:rsidR="005B5CB9" w:rsidRDefault="005B5CB9" w:rsidP="004A2CB7">
      <w:pPr>
        <w:pStyle w:val="Bullet1"/>
        <w:ind w:left="357" w:right="357" w:hanging="357"/>
      </w:pPr>
      <w:r>
        <w:t>residential mental health</w:t>
      </w:r>
    </w:p>
    <w:p w14:paraId="1F058D9C" w14:textId="77777777" w:rsidR="005B5CB9" w:rsidRDefault="005B5CB9" w:rsidP="004A2CB7">
      <w:pPr>
        <w:pStyle w:val="Bullet1"/>
        <w:ind w:left="357" w:right="357" w:hanging="357"/>
      </w:pPr>
      <w:r>
        <w:t>non-admitted home ventilation</w:t>
      </w:r>
    </w:p>
    <w:p w14:paraId="33164B20" w14:textId="77777777" w:rsidR="005B5CB9" w:rsidRDefault="005B5CB9" w:rsidP="004A2CB7">
      <w:pPr>
        <w:pStyle w:val="Bullet1"/>
        <w:ind w:left="357" w:right="357" w:hanging="357"/>
      </w:pPr>
      <w:r>
        <w:t>A17 List services</w:t>
      </w:r>
    </w:p>
    <w:p w14:paraId="794CDFF7" w14:textId="77777777" w:rsidR="005B5CB9" w:rsidRDefault="005B5CB9" w:rsidP="006F273F">
      <w:pPr>
        <w:pStyle w:val="Bullet1"/>
        <w:spacing w:after="120"/>
        <w:ind w:left="357" w:right="357" w:hanging="357"/>
      </w:pPr>
      <w:r>
        <w:t>small rural health services.</w:t>
      </w:r>
    </w:p>
    <w:p w14:paraId="153902AA" w14:textId="77777777" w:rsidR="005B5CB9" w:rsidRDefault="005B5CB9" w:rsidP="00167D90">
      <w:pPr>
        <w:pStyle w:val="Bodyafterbullets"/>
        <w:spacing w:before="0"/>
      </w:pPr>
      <w:r>
        <w:t>For more information, visit:</w:t>
      </w:r>
    </w:p>
    <w:p w14:paraId="4727F804" w14:textId="60708669" w:rsidR="005B5CB9" w:rsidRPr="004A2CB7" w:rsidRDefault="00394AE6" w:rsidP="004A2CB7">
      <w:pPr>
        <w:pStyle w:val="Bullet1"/>
      </w:pPr>
      <w:hyperlink r:id="rId26" w:history="1">
        <w:r w:rsidR="005B5CB9" w:rsidRPr="00394AE6">
          <w:rPr>
            <w:rStyle w:val="Hyperlink"/>
          </w:rPr>
          <w:t>NEP determin</w:t>
        </w:r>
        <w:r w:rsidR="005B5CB9" w:rsidRPr="00394AE6">
          <w:rPr>
            <w:rStyle w:val="Hyperlink"/>
          </w:rPr>
          <w:t>a</w:t>
        </w:r>
        <w:r w:rsidR="005B5CB9" w:rsidRPr="00394AE6">
          <w:rPr>
            <w:rStyle w:val="Hyperlink"/>
          </w:rPr>
          <w:t>tion</w:t>
        </w:r>
      </w:hyperlink>
      <w:r w:rsidR="005B5CB9" w:rsidRPr="004A2CB7">
        <w:t xml:space="preserve"> &lt;https://www.ihacpa.gov.au/health-care/pricing/national-efficient-price-determination&gt;</w:t>
      </w:r>
    </w:p>
    <w:p w14:paraId="63629D7F" w14:textId="7DB0C8D7" w:rsidR="005B5CB9" w:rsidRPr="004A2CB7" w:rsidRDefault="00394AE6" w:rsidP="004A2CB7">
      <w:pPr>
        <w:pStyle w:val="Bullet1"/>
      </w:pPr>
      <w:hyperlink r:id="rId27" w:history="1">
        <w:r w:rsidR="005B5CB9" w:rsidRPr="00394AE6">
          <w:rPr>
            <w:rStyle w:val="Hyperlink"/>
          </w:rPr>
          <w:t>NEC determination</w:t>
        </w:r>
      </w:hyperlink>
      <w:r w:rsidR="005B5CB9" w:rsidRPr="004A2CB7">
        <w:t xml:space="preserve"> &lt;https://www.ihacpa.gov.au/health-care/pricing/national-efficient-cost-determination&gt;.</w:t>
      </w:r>
    </w:p>
    <w:p w14:paraId="59410E7E" w14:textId="692DBA8F" w:rsidR="005B5CB9" w:rsidRPr="00243043" w:rsidDel="003E0048" w:rsidRDefault="005B5CB9" w:rsidP="00243043">
      <w:pPr>
        <w:pStyle w:val="Heading2"/>
      </w:pPr>
      <w:bookmarkStart w:id="1543" w:name="_Victorian_alignment_with"/>
      <w:bookmarkStart w:id="1544" w:name="_Toc234580266"/>
      <w:bookmarkEnd w:id="1543"/>
      <w:r w:rsidRPr="00243043">
        <w:t>Victorian alignment with the National funding model</w:t>
      </w:r>
      <w:bookmarkEnd w:id="1544"/>
    </w:p>
    <w:p w14:paraId="2FD5CD31" w14:textId="77777777" w:rsidR="005B5CB9" w:rsidDel="003E0048" w:rsidRDefault="005B5CB9" w:rsidP="00167D90">
      <w:pPr>
        <w:pStyle w:val="Body"/>
      </w:pPr>
      <w:r>
        <w:t>The National funding model (NFM) converts hospital activities into a single comparable funding unit, which is weighted for resource intensity – the National Weighted Activity Unit (NWAU). The NWAU is multiplied by the NEP to determine total ABF for in-scope public hospital services. A consolidated NWAU pool gives health services flexibility to respond to local needs.</w:t>
      </w:r>
    </w:p>
    <w:p w14:paraId="382DAD57" w14:textId="77777777" w:rsidR="005B5CB9" w:rsidDel="003E0048" w:rsidRDefault="005B5CB9" w:rsidP="00167D90">
      <w:pPr>
        <w:pStyle w:val="Body"/>
      </w:pPr>
      <w:r>
        <w:t>Where services cannot be efficiently funded through NWAU ABF, alternatives operate in two ways that include:</w:t>
      </w:r>
    </w:p>
    <w:p w14:paraId="4B5FA298" w14:textId="77777777" w:rsidR="005B5CB9" w:rsidRPr="006F273F" w:rsidDel="003E0048" w:rsidRDefault="005B5CB9" w:rsidP="006F273F">
      <w:pPr>
        <w:pStyle w:val="Bullet1"/>
      </w:pPr>
      <w:r w:rsidRPr="006F273F">
        <w:t>funding instead of NWAU (where reliable patient-level counting or costing is not possible, or where policy requires it)</w:t>
      </w:r>
    </w:p>
    <w:p w14:paraId="2EED7FB4" w14:textId="77777777" w:rsidR="005B5CB9" w:rsidRPr="006F273F" w:rsidDel="003E0048" w:rsidRDefault="005B5CB9" w:rsidP="006F273F">
      <w:pPr>
        <w:pStyle w:val="Bullet1"/>
        <w:spacing w:after="120"/>
      </w:pPr>
      <w:r w:rsidRPr="006F273F">
        <w:t>funding in addition to NWAU (a mixed approach for services where standard ABF pricing does not fully reflect policy objectives).</w:t>
      </w:r>
    </w:p>
    <w:p w14:paraId="6848F81A" w14:textId="3CEC6503" w:rsidR="005B5CB9" w:rsidDel="003E0048" w:rsidRDefault="005B5CB9" w:rsidP="00167D90">
      <w:pPr>
        <w:pStyle w:val="Body"/>
      </w:pPr>
      <w:r>
        <w:t xml:space="preserve">For avoidance of doubt, where alternative funding basis is not stipulated in these </w:t>
      </w:r>
      <w:r w:rsidR="006D5696">
        <w:t>Funding rules</w:t>
      </w:r>
      <w:r>
        <w:t xml:space="preserve"> (</w:t>
      </w:r>
      <w:r w:rsidRPr="00E768D1">
        <w:t>Sections 3 or 4</w:t>
      </w:r>
      <w:r>
        <w:t xml:space="preserve">), then funding </w:t>
      </w:r>
      <w:proofErr w:type="gramStart"/>
      <w:r>
        <w:t>is considered to be</w:t>
      </w:r>
      <w:proofErr w:type="gramEnd"/>
      <w:r>
        <w:t xml:space="preserve"> instead of NWAU. </w:t>
      </w:r>
    </w:p>
    <w:p w14:paraId="5262E3DF" w14:textId="12BC34FC" w:rsidR="005B5CB9" w:rsidDel="003E0048" w:rsidRDefault="005B5CB9" w:rsidP="00167D90">
      <w:pPr>
        <w:pStyle w:val="Body"/>
        <w:sectPr w:rsidR="005B5CB9" w:rsidDel="003E0048" w:rsidSect="005B5CB9">
          <w:headerReference w:type="even" r:id="rId28"/>
          <w:footerReference w:type="even" r:id="rId29"/>
          <w:headerReference w:type="first" r:id="rId30"/>
          <w:pgSz w:w="11906" w:h="16838" w:code="9"/>
          <w:pgMar w:top="1418" w:right="1304" w:bottom="1134" w:left="1304" w:header="680" w:footer="567" w:gutter="0"/>
          <w:cols w:space="340"/>
          <w:docGrid w:linePitch="360"/>
        </w:sectPr>
      </w:pPr>
      <w:r>
        <w:t xml:space="preserve">Table 2 summarises Victorian funding mechanism alignment with the NFM and NHRA. This is a point-in-time representation. Arrangements may evolve as Victoria progressively aligns with the </w:t>
      </w:r>
      <w:r w:rsidR="005546A0">
        <w:t>Addendum</w:t>
      </w:r>
      <w:r w:rsidR="005546A0">
        <w:t xml:space="preserve"> to the </w:t>
      </w:r>
      <w:r>
        <w:t>NHRA</w:t>
      </w:r>
      <w:r w:rsidR="005546A0">
        <w:t xml:space="preserve"> 2026-2031</w:t>
      </w:r>
      <w:r>
        <w:t>.</w:t>
      </w:r>
    </w:p>
    <w:p w14:paraId="36CCC777" w14:textId="77777777" w:rsidR="005B5CB9" w:rsidRPr="003A124F" w:rsidRDefault="005B5CB9" w:rsidP="003A124F">
      <w:pPr>
        <w:pStyle w:val="Tablecaption"/>
      </w:pPr>
      <w:bookmarkStart w:id="1545" w:name="_Toc232527218"/>
      <w:r w:rsidRPr="003A124F">
        <w:lastRenderedPageBreak/>
        <w:t xml:space="preserve">Table </w:t>
      </w:r>
      <w:r w:rsidRPr="003A124F">
        <w:fldChar w:fldCharType="begin"/>
      </w:r>
      <w:r w:rsidRPr="003A124F">
        <w:instrText>SEQ Table \* ARABIC</w:instrText>
      </w:r>
      <w:r w:rsidRPr="003A124F">
        <w:fldChar w:fldCharType="separate"/>
      </w:r>
      <w:r w:rsidRPr="003A124F">
        <w:t>2</w:t>
      </w:r>
      <w:r w:rsidRPr="003A124F">
        <w:fldChar w:fldCharType="end"/>
      </w:r>
      <w:r w:rsidRPr="003A124F">
        <w:t>. Alignment of Victorian funding with the NFM and NHRA</w:t>
      </w:r>
      <w:bookmarkEnd w:id="1545"/>
    </w:p>
    <w:tbl>
      <w:tblPr>
        <w:tblStyle w:val="GridTable4-Accent1"/>
        <w:tblW w:w="0" w:type="auto"/>
        <w:tblLook w:val="04A0" w:firstRow="1" w:lastRow="0" w:firstColumn="1" w:lastColumn="0" w:noHBand="0" w:noVBand="1"/>
      </w:tblPr>
      <w:tblGrid>
        <w:gridCol w:w="813"/>
        <w:gridCol w:w="3365"/>
        <w:gridCol w:w="3366"/>
        <w:gridCol w:w="3366"/>
        <w:gridCol w:w="3366"/>
      </w:tblGrid>
      <w:tr w:rsidR="005B5CB9" w:rsidRPr="003A124F" w14:paraId="1855FB31" w14:textId="77777777" w:rsidTr="00400506">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auto"/>
          </w:tcPr>
          <w:p w14:paraId="690CF7D2" w14:textId="77777777" w:rsidR="005B5CB9" w:rsidRPr="003A124F" w:rsidRDefault="005B5CB9" w:rsidP="009D0B64">
            <w:pPr>
              <w:pStyle w:val="Tablecolhead"/>
              <w:rPr>
                <w:b/>
                <w:bCs w:val="0"/>
                <w:color w:val="FFFFFF" w:themeColor="background1"/>
                <w:sz w:val="18"/>
                <w:szCs w:val="18"/>
                <w:lang w:eastAsia="en-AU"/>
              </w:rPr>
            </w:pPr>
            <w:r w:rsidRPr="003A124F">
              <w:rPr>
                <w:b/>
                <w:bCs w:val="0"/>
                <w:color w:val="FFFFFF" w:themeColor="background1"/>
                <w:sz w:val="18"/>
                <w:szCs w:val="18"/>
                <w:lang w:eastAsia="en-AU"/>
              </w:rPr>
              <w:t>NFM scope</w:t>
            </w:r>
          </w:p>
        </w:tc>
        <w:tc>
          <w:tcPr>
            <w:tcW w:w="3365" w:type="dxa"/>
            <w:hideMark/>
          </w:tcPr>
          <w:p w14:paraId="318C1A18" w14:textId="77777777" w:rsidR="005B5CB9" w:rsidRPr="003A124F" w:rsidRDefault="005B5CB9" w:rsidP="009D0B6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lang w:eastAsia="en-AU"/>
              </w:rPr>
            </w:pPr>
            <w:r w:rsidRPr="003A124F">
              <w:rPr>
                <w:b/>
                <w:bCs w:val="0"/>
                <w:color w:val="FFFFFF" w:themeColor="background1"/>
                <w:sz w:val="18"/>
                <w:szCs w:val="18"/>
                <w:lang w:eastAsia="en-AU"/>
              </w:rPr>
              <w:t>NFM implementation</w:t>
            </w:r>
          </w:p>
        </w:tc>
        <w:tc>
          <w:tcPr>
            <w:tcW w:w="3366" w:type="dxa"/>
            <w:hideMark/>
          </w:tcPr>
          <w:p w14:paraId="66D1C649" w14:textId="77777777" w:rsidR="005B5CB9" w:rsidRPr="003A124F" w:rsidRDefault="005B5CB9" w:rsidP="009D0B6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lang w:eastAsia="en-AU"/>
              </w:rPr>
            </w:pPr>
            <w:r w:rsidRPr="003A124F">
              <w:rPr>
                <w:b/>
                <w:bCs w:val="0"/>
                <w:color w:val="FFFFFF" w:themeColor="background1"/>
                <w:sz w:val="18"/>
                <w:szCs w:val="18"/>
                <w:lang w:eastAsia="en-AU"/>
              </w:rPr>
              <w:t>NHRA alignment: ABF</w:t>
            </w:r>
          </w:p>
          <w:p w14:paraId="18B0C7DF" w14:textId="77777777" w:rsidR="005B5CB9" w:rsidRPr="003A124F" w:rsidRDefault="005B5CB9" w:rsidP="009D0B6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lang w:eastAsia="en-AU"/>
              </w:rPr>
            </w:pPr>
            <w:r w:rsidRPr="003A124F">
              <w:rPr>
                <w:b/>
                <w:bCs w:val="0"/>
                <w:color w:val="FFFFFF" w:themeColor="background1"/>
                <w:sz w:val="18"/>
                <w:szCs w:val="18"/>
                <w:lang w:eastAsia="en-AU"/>
              </w:rPr>
              <w:t>(NEP determination)</w:t>
            </w:r>
          </w:p>
        </w:tc>
        <w:tc>
          <w:tcPr>
            <w:tcW w:w="3366" w:type="dxa"/>
            <w:hideMark/>
          </w:tcPr>
          <w:p w14:paraId="50F07853" w14:textId="77777777" w:rsidR="005B5CB9" w:rsidRPr="003A124F" w:rsidRDefault="005B5CB9" w:rsidP="009D0B6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lang w:eastAsia="en-AU"/>
              </w:rPr>
            </w:pPr>
            <w:r w:rsidRPr="003A124F">
              <w:rPr>
                <w:b/>
                <w:bCs w:val="0"/>
                <w:color w:val="FFFFFF" w:themeColor="background1"/>
                <w:sz w:val="18"/>
                <w:szCs w:val="18"/>
                <w:lang w:eastAsia="en-AU"/>
              </w:rPr>
              <w:t>NHRA alignment: Block funded</w:t>
            </w:r>
          </w:p>
          <w:p w14:paraId="3444D87A" w14:textId="77777777" w:rsidR="005B5CB9" w:rsidRPr="003A124F" w:rsidRDefault="005B5CB9" w:rsidP="009D0B6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lang w:eastAsia="en-AU"/>
              </w:rPr>
            </w:pPr>
            <w:r w:rsidRPr="003A124F">
              <w:rPr>
                <w:b/>
                <w:bCs w:val="0"/>
                <w:color w:val="FFFFFF" w:themeColor="background1"/>
                <w:sz w:val="18"/>
                <w:szCs w:val="18"/>
                <w:lang w:eastAsia="en-AU"/>
              </w:rPr>
              <w:t>(NEC determination)</w:t>
            </w:r>
          </w:p>
        </w:tc>
        <w:tc>
          <w:tcPr>
            <w:tcW w:w="3366" w:type="dxa"/>
            <w:hideMark/>
          </w:tcPr>
          <w:p w14:paraId="50318F5E" w14:textId="77777777" w:rsidR="005B5CB9" w:rsidRPr="003A124F" w:rsidRDefault="005B5CB9" w:rsidP="009D0B6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lang w:eastAsia="en-AU"/>
              </w:rPr>
            </w:pPr>
            <w:r w:rsidRPr="003A124F">
              <w:rPr>
                <w:b/>
                <w:bCs w:val="0"/>
                <w:color w:val="FFFFFF" w:themeColor="background1"/>
                <w:sz w:val="18"/>
                <w:szCs w:val="18"/>
                <w:lang w:eastAsia="en-AU"/>
              </w:rPr>
              <w:t>Out of scope of NHRA</w:t>
            </w:r>
          </w:p>
        </w:tc>
      </w:tr>
      <w:tr w:rsidR="005B5CB9" w:rsidRPr="003A124F" w14:paraId="294334EB" w14:textId="77777777" w:rsidTr="00400506">
        <w:trPr>
          <w:cnfStyle w:val="000000100000" w:firstRow="0" w:lastRow="0" w:firstColumn="0" w:lastColumn="0" w:oddVBand="0" w:evenVBand="0" w:oddHBand="1" w:evenHBand="0" w:firstRowFirstColumn="0" w:firstRowLastColumn="0" w:lastRowFirstColumn="0" w:lastRowLastColumn="0"/>
          <w:trHeight w:val="1459"/>
        </w:trPr>
        <w:tc>
          <w:tcPr>
            <w:cnfStyle w:val="001000000000" w:firstRow="0" w:lastRow="0" w:firstColumn="1" w:lastColumn="0" w:oddVBand="0" w:evenVBand="0" w:oddHBand="0" w:evenHBand="0" w:firstRowFirstColumn="0" w:firstRowLastColumn="0" w:lastRowFirstColumn="0" w:lastRowLastColumn="0"/>
            <w:tcW w:w="0" w:type="auto"/>
          </w:tcPr>
          <w:p w14:paraId="35924BD0" w14:textId="77777777" w:rsidR="005B5CB9" w:rsidRPr="003A124F" w:rsidRDefault="005B5CB9" w:rsidP="009D0B64">
            <w:pPr>
              <w:pStyle w:val="Tabletext"/>
              <w:rPr>
                <w:szCs w:val="18"/>
                <w:lang w:eastAsia="en-AU"/>
              </w:rPr>
            </w:pPr>
            <w:r w:rsidRPr="003A124F">
              <w:rPr>
                <w:szCs w:val="18"/>
                <w:lang w:eastAsia="en-AU"/>
              </w:rPr>
              <w:t>In scope</w:t>
            </w:r>
          </w:p>
        </w:tc>
        <w:tc>
          <w:tcPr>
            <w:tcW w:w="3365" w:type="dxa"/>
            <w:hideMark/>
          </w:tcPr>
          <w:p w14:paraId="48732934"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3A124F">
              <w:rPr>
                <w:szCs w:val="18"/>
                <w:lang w:eastAsia="en-AU"/>
              </w:rPr>
              <w:t>Victorian ABF pricing framework – services funded by NWAU and the Victorian Efficient Price (VEP), including localised pricing adjustments for commissioning new services; Classification, Loadings, Statewide service and Entity (</w:t>
            </w:r>
            <w:hyperlink w:anchor="_2_Victorian_pricing" w:history="1">
              <w:r w:rsidRPr="003A124F">
                <w:rPr>
                  <w:rStyle w:val="Hyperlink"/>
                  <w:szCs w:val="18"/>
                  <w:lang w:eastAsia="en-AU"/>
                </w:rPr>
                <w:t>Section 2</w:t>
              </w:r>
            </w:hyperlink>
            <w:r w:rsidRPr="003A124F">
              <w:rPr>
                <w:szCs w:val="18"/>
                <w:lang w:eastAsia="en-AU"/>
              </w:rPr>
              <w:t>)</w:t>
            </w:r>
          </w:p>
        </w:tc>
        <w:tc>
          <w:tcPr>
            <w:tcW w:w="3366" w:type="dxa"/>
            <w:hideMark/>
          </w:tcPr>
          <w:p w14:paraId="0500840A"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lang w:eastAsia="en-AU"/>
              </w:rPr>
              <w:t>In-scope public hospital services with valid end classes, as defined in sections 3 and 4 of the NEP determination (</w:t>
            </w:r>
            <w:hyperlink w:anchor="_2_Victorian_pricing" w:history="1">
              <w:r w:rsidRPr="003A124F">
                <w:rPr>
                  <w:rStyle w:val="Hyperlink"/>
                  <w:szCs w:val="18"/>
                  <w:lang w:eastAsia="en-AU"/>
                </w:rPr>
                <w:t>Section 2</w:t>
              </w:r>
            </w:hyperlink>
            <w:r w:rsidRPr="003A124F">
              <w:rPr>
                <w:szCs w:val="18"/>
                <w:lang w:eastAsia="en-AU"/>
              </w:rPr>
              <w:t>)</w:t>
            </w:r>
          </w:p>
        </w:tc>
        <w:tc>
          <w:tcPr>
            <w:tcW w:w="3366" w:type="dxa"/>
            <w:hideMark/>
          </w:tcPr>
          <w:p w14:paraId="7FD6266E" w14:textId="6F8AA37F"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b/>
                <w:color w:val="000000"/>
                <w:szCs w:val="18"/>
                <w:lang w:eastAsia="en-AU"/>
              </w:rPr>
            </w:pPr>
            <w:r w:rsidRPr="003A124F">
              <w:rPr>
                <w:szCs w:val="18"/>
              </w:rPr>
              <w:t>Rural and regional local health services delivering community mental health services, as listed in Appendix E of the NEC determination 2026–27</w:t>
            </w:r>
            <w:r w:rsidRPr="003A124F">
              <w:rPr>
                <w:rStyle w:val="FootnoteReference"/>
                <w:rFonts w:cs="Arial"/>
                <w:szCs w:val="18"/>
              </w:rPr>
              <w:footnoteReference w:id="2"/>
            </w:r>
            <w:r w:rsidRPr="003A124F">
              <w:rPr>
                <w:szCs w:val="18"/>
              </w:rPr>
              <w:t xml:space="preserve"> (Mildura Base Hospital)</w:t>
            </w:r>
          </w:p>
        </w:tc>
        <w:tc>
          <w:tcPr>
            <w:tcW w:w="3366" w:type="dxa"/>
            <w:hideMark/>
          </w:tcPr>
          <w:p w14:paraId="558D5002"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color w:val="000000"/>
                <w:szCs w:val="18"/>
                <w:lang w:eastAsia="en-AU"/>
              </w:rPr>
              <w:t>Nil</w:t>
            </w:r>
          </w:p>
        </w:tc>
      </w:tr>
      <w:tr w:rsidR="005B5CB9" w:rsidRPr="003A124F" w14:paraId="7DD27CEF" w14:textId="77777777" w:rsidTr="00400506">
        <w:trPr>
          <w:trHeight w:val="517"/>
        </w:trPr>
        <w:tc>
          <w:tcPr>
            <w:cnfStyle w:val="001000000000" w:firstRow="0" w:lastRow="0" w:firstColumn="1" w:lastColumn="0" w:oddVBand="0" w:evenVBand="0" w:oddHBand="0" w:evenHBand="0" w:firstRowFirstColumn="0" w:firstRowLastColumn="0" w:lastRowFirstColumn="0" w:lastRowLastColumn="0"/>
            <w:tcW w:w="0" w:type="auto"/>
          </w:tcPr>
          <w:p w14:paraId="1251ED32" w14:textId="77777777" w:rsidR="005B5CB9" w:rsidRPr="003A124F" w:rsidRDefault="005B5CB9" w:rsidP="009D0B64">
            <w:pPr>
              <w:pStyle w:val="Tabletext"/>
              <w:rPr>
                <w:szCs w:val="18"/>
                <w:lang w:eastAsia="en-AU"/>
              </w:rPr>
            </w:pPr>
            <w:r w:rsidRPr="003A124F">
              <w:rPr>
                <w:szCs w:val="18"/>
                <w:lang w:eastAsia="en-AU"/>
              </w:rPr>
              <w:t>Out of scope</w:t>
            </w:r>
          </w:p>
        </w:tc>
        <w:tc>
          <w:tcPr>
            <w:tcW w:w="3365" w:type="dxa"/>
          </w:tcPr>
          <w:p w14:paraId="6C055820"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3A124F">
              <w:rPr>
                <w:szCs w:val="18"/>
                <w:lang w:eastAsia="en-AU"/>
              </w:rPr>
              <w:t>Block funded as per NEC determination</w:t>
            </w:r>
          </w:p>
        </w:tc>
        <w:tc>
          <w:tcPr>
            <w:tcW w:w="3366" w:type="dxa"/>
          </w:tcPr>
          <w:p w14:paraId="2412AFF9"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rPr>
            </w:pPr>
            <w:r w:rsidRPr="003A124F">
              <w:rPr>
                <w:szCs w:val="18"/>
              </w:rPr>
              <w:t>Nil</w:t>
            </w:r>
          </w:p>
        </w:tc>
        <w:tc>
          <w:tcPr>
            <w:tcW w:w="3366" w:type="dxa"/>
          </w:tcPr>
          <w:p w14:paraId="7BF5B01B"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rPr>
            </w:pPr>
            <w:r w:rsidRPr="003A124F">
              <w:rPr>
                <w:szCs w:val="18"/>
              </w:rPr>
              <w:t>Nil</w:t>
            </w:r>
          </w:p>
        </w:tc>
        <w:tc>
          <w:tcPr>
            <w:tcW w:w="3366" w:type="dxa"/>
          </w:tcPr>
          <w:p w14:paraId="1B71F50C"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color w:val="000000"/>
                <w:szCs w:val="18"/>
                <w:lang w:eastAsia="en-AU"/>
              </w:rPr>
            </w:pPr>
            <w:r w:rsidRPr="003A124F">
              <w:rPr>
                <w:color w:val="000000"/>
                <w:szCs w:val="18"/>
                <w:lang w:eastAsia="en-AU"/>
              </w:rPr>
              <w:t>Nil</w:t>
            </w:r>
          </w:p>
        </w:tc>
      </w:tr>
      <w:tr w:rsidR="005B5CB9" w:rsidRPr="003A124F" w14:paraId="150AB893" w14:textId="77777777" w:rsidTr="00400506">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auto"/>
          </w:tcPr>
          <w:p w14:paraId="0F0FEA24" w14:textId="77777777" w:rsidR="005B5CB9" w:rsidRPr="003A124F" w:rsidRDefault="005B5CB9" w:rsidP="009D0B64">
            <w:pPr>
              <w:pStyle w:val="Tabletext"/>
              <w:rPr>
                <w:szCs w:val="18"/>
                <w:lang w:eastAsia="en-AU"/>
              </w:rPr>
            </w:pPr>
            <w:r w:rsidRPr="003A124F">
              <w:rPr>
                <w:szCs w:val="18"/>
                <w:lang w:eastAsia="en-AU"/>
              </w:rPr>
              <w:t>Out of scope</w:t>
            </w:r>
          </w:p>
        </w:tc>
        <w:tc>
          <w:tcPr>
            <w:tcW w:w="3365" w:type="dxa"/>
            <w:hideMark/>
          </w:tcPr>
          <w:p w14:paraId="709630BB"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3A124F">
              <w:rPr>
                <w:szCs w:val="18"/>
                <w:lang w:eastAsia="en-AU"/>
              </w:rPr>
              <w:t>Alternative funding model outside the Victorian ABF pricing framework</w:t>
            </w:r>
          </w:p>
          <w:p w14:paraId="4CD864FA"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3A124F">
              <w:rPr>
                <w:szCs w:val="18"/>
                <w:lang w:eastAsia="en-AU"/>
              </w:rPr>
              <w:t>Payment mechanisms may be any combination of:</w:t>
            </w:r>
          </w:p>
          <w:p w14:paraId="24A6AC27" w14:textId="77777777" w:rsidR="005B5CB9" w:rsidRPr="003A124F" w:rsidRDefault="005B5CB9" w:rsidP="009D0B64">
            <w:pPr>
              <w:pStyle w:val="Tablebullet9pt"/>
              <w:ind w:left="170" w:hanging="170"/>
              <w:cnfStyle w:val="000000100000" w:firstRow="0" w:lastRow="0" w:firstColumn="0" w:lastColumn="0" w:oddVBand="0" w:evenVBand="0" w:oddHBand="1" w:evenHBand="0" w:firstRowFirstColumn="0" w:firstRowLastColumn="0" w:lastRowFirstColumn="0" w:lastRowLastColumn="0"/>
              <w:rPr>
                <w:szCs w:val="18"/>
              </w:rPr>
            </w:pPr>
            <w:r w:rsidRPr="003A124F">
              <w:rPr>
                <w:szCs w:val="18"/>
              </w:rPr>
              <w:t>block funding</w:t>
            </w:r>
          </w:p>
          <w:p w14:paraId="29272C23" w14:textId="77777777" w:rsidR="005B5CB9" w:rsidRPr="003A124F" w:rsidRDefault="005B5CB9" w:rsidP="009D0B64">
            <w:pPr>
              <w:pStyle w:val="Tablebullet9pt"/>
              <w:ind w:left="170" w:hanging="170"/>
              <w:cnfStyle w:val="000000100000" w:firstRow="0" w:lastRow="0" w:firstColumn="0" w:lastColumn="0" w:oddVBand="0" w:evenVBand="0" w:oddHBand="1" w:evenHBand="0" w:firstRowFirstColumn="0" w:firstRowLastColumn="0" w:lastRowFirstColumn="0" w:lastRowLastColumn="0"/>
              <w:rPr>
                <w:szCs w:val="18"/>
              </w:rPr>
            </w:pPr>
            <w:r w:rsidRPr="003A124F">
              <w:rPr>
                <w:szCs w:val="18"/>
              </w:rPr>
              <w:t>activity-based with a bespoke unit of measure and corresponding price</w:t>
            </w:r>
          </w:p>
        </w:tc>
        <w:tc>
          <w:tcPr>
            <w:tcW w:w="3366" w:type="dxa"/>
            <w:hideMark/>
          </w:tcPr>
          <w:p w14:paraId="5ED4F7A1"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Palliative care – community (non-admitted) and consultancy (</w:t>
            </w:r>
            <w:hyperlink w:anchor="_3.2_Palliative_care" w:history="1">
              <w:r w:rsidRPr="003A124F">
                <w:rPr>
                  <w:rStyle w:val="Hyperlink"/>
                  <w:szCs w:val="18"/>
                </w:rPr>
                <w:t>Section 3.2</w:t>
              </w:r>
            </w:hyperlink>
            <w:r w:rsidRPr="003A124F">
              <w:rPr>
                <w:szCs w:val="18"/>
              </w:rPr>
              <w:t>)</w:t>
            </w:r>
          </w:p>
          <w:p w14:paraId="2B2CCF2E"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Some mental health specific community (non-admitted) services (</w:t>
            </w:r>
            <w:hyperlink w:anchor="_3.9_Mental_health" w:history="1">
              <w:r w:rsidRPr="003A124F">
                <w:rPr>
                  <w:rStyle w:val="Hyperlink"/>
                  <w:szCs w:val="18"/>
                </w:rPr>
                <w:t>Section 3.9</w:t>
              </w:r>
            </w:hyperlink>
            <w:r w:rsidRPr="003A124F">
              <w:rPr>
                <w:szCs w:val="18"/>
              </w:rPr>
              <w:t>)</w:t>
            </w:r>
          </w:p>
          <w:p w14:paraId="7114DC91"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Complex care program (previously the Family Choice Program) (</w:t>
            </w:r>
            <w:hyperlink w:anchor="_3.3_Complex_care" w:history="1">
              <w:r w:rsidRPr="003A124F">
                <w:rPr>
                  <w:rStyle w:val="Hyperlink"/>
                  <w:szCs w:val="18"/>
                </w:rPr>
                <w:t>Section 3.3</w:t>
              </w:r>
            </w:hyperlink>
            <w:r w:rsidRPr="003A124F">
              <w:rPr>
                <w:szCs w:val="18"/>
              </w:rPr>
              <w:t>)</w:t>
            </w:r>
          </w:p>
          <w:p w14:paraId="485EA41B"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Early parenting centres delivered by health services in-scope for ABF under the NHRA (</w:t>
            </w:r>
            <w:hyperlink w:anchor="_3.4_Early_parenting" w:history="1">
              <w:r w:rsidRPr="003A124F">
                <w:rPr>
                  <w:rStyle w:val="Hyperlink"/>
                  <w:szCs w:val="18"/>
                </w:rPr>
                <w:t>Section 3.4</w:t>
              </w:r>
            </w:hyperlink>
            <w:r w:rsidRPr="003A124F">
              <w:rPr>
                <w:szCs w:val="18"/>
              </w:rPr>
              <w:t>)</w:t>
            </w:r>
          </w:p>
          <w:p w14:paraId="71CA7C58"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Forensicare admitted mental health (</w:t>
            </w:r>
            <w:hyperlink w:anchor="_Toc197452693" w:history="1">
              <w:r w:rsidRPr="003A124F">
                <w:rPr>
                  <w:rStyle w:val="Hyperlink"/>
                  <w:szCs w:val="18"/>
                </w:rPr>
                <w:t>Section 3.5</w:t>
              </w:r>
            </w:hyperlink>
            <w:r w:rsidRPr="003A124F">
              <w:rPr>
                <w:szCs w:val="18"/>
              </w:rPr>
              <w:t>)</w:t>
            </w:r>
          </w:p>
          <w:p w14:paraId="00112253"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Genetic clinical activity (</w:t>
            </w:r>
            <w:hyperlink w:anchor="_3.6_Genetic_clinical" w:history="1">
              <w:r w:rsidRPr="003A124F">
                <w:rPr>
                  <w:rStyle w:val="Hyperlink"/>
                  <w:szCs w:val="18"/>
                </w:rPr>
                <w:t>Section 3.6</w:t>
              </w:r>
            </w:hyperlink>
            <w:r w:rsidRPr="003A124F">
              <w:rPr>
                <w:szCs w:val="18"/>
              </w:rPr>
              <w:t>)</w:t>
            </w:r>
          </w:p>
          <w:p w14:paraId="2C5E826D"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3A124F">
              <w:rPr>
                <w:szCs w:val="18"/>
                <w:lang w:eastAsia="en-AU"/>
              </w:rPr>
              <w:t>Radiotherapy (non-admitted) (</w:t>
            </w:r>
            <w:hyperlink w:anchor="_3.10_Radiotherapy" w:history="1">
              <w:r w:rsidRPr="003A124F">
                <w:rPr>
                  <w:rStyle w:val="Hyperlink"/>
                  <w:szCs w:val="18"/>
                  <w:lang w:eastAsia="en-AU"/>
                </w:rPr>
                <w:t>Section 3.10</w:t>
              </w:r>
            </w:hyperlink>
            <w:r w:rsidRPr="003A124F">
              <w:rPr>
                <w:szCs w:val="18"/>
                <w:lang w:eastAsia="en-AU"/>
              </w:rPr>
              <w:t>)</w:t>
            </w:r>
          </w:p>
          <w:p w14:paraId="40BE52E3"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Legacy grants (</w:t>
            </w:r>
            <w:hyperlink w:anchor="_2.9_Legacy_and_1" w:history="1">
              <w:r w:rsidRPr="003A124F">
                <w:rPr>
                  <w:rStyle w:val="Hyperlink"/>
                  <w:szCs w:val="18"/>
                </w:rPr>
                <w:t>Section 2.9</w:t>
              </w:r>
            </w:hyperlink>
            <w:r w:rsidRPr="003A124F">
              <w:rPr>
                <w:szCs w:val="18"/>
              </w:rPr>
              <w:t>)</w:t>
            </w:r>
          </w:p>
        </w:tc>
        <w:tc>
          <w:tcPr>
            <w:tcW w:w="3366" w:type="dxa"/>
          </w:tcPr>
          <w:p w14:paraId="607E93EC"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High-cost, highly specialised therapies (HSTs) (</w:t>
            </w:r>
            <w:hyperlink w:anchor="_3.7_High-cost_HSTs" w:history="1">
              <w:r w:rsidRPr="003A124F">
                <w:rPr>
                  <w:rStyle w:val="Hyperlink"/>
                  <w:szCs w:val="18"/>
                </w:rPr>
                <w:t>Section 3.7</w:t>
              </w:r>
            </w:hyperlink>
            <w:r w:rsidRPr="003A124F">
              <w:rPr>
                <w:szCs w:val="18"/>
              </w:rPr>
              <w:t>)</w:t>
            </w:r>
          </w:p>
          <w:p w14:paraId="72FDAD2E"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Forensicare community mental health (</w:t>
            </w:r>
            <w:hyperlink w:anchor="_Toc197452693" w:history="1">
              <w:r w:rsidRPr="003A124F">
                <w:rPr>
                  <w:rStyle w:val="Hyperlink"/>
                  <w:szCs w:val="18"/>
                </w:rPr>
                <w:t>Sections 3.5</w:t>
              </w:r>
            </w:hyperlink>
            <w:r w:rsidRPr="003A124F">
              <w:rPr>
                <w:szCs w:val="18"/>
              </w:rPr>
              <w:t>)</w:t>
            </w:r>
          </w:p>
          <w:p w14:paraId="08E9C5DC"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Residential mental health (</w:t>
            </w:r>
            <w:hyperlink w:anchor="_3.9￼Mental_health_and" w:history="1">
              <w:r w:rsidRPr="003A124F">
                <w:rPr>
                  <w:rStyle w:val="Hyperlink"/>
                  <w:szCs w:val="18"/>
                </w:rPr>
                <w:t>Section 3.9</w:t>
              </w:r>
            </w:hyperlink>
            <w:r w:rsidRPr="003A124F">
              <w:rPr>
                <w:szCs w:val="18"/>
              </w:rPr>
              <w:t>)</w:t>
            </w:r>
          </w:p>
          <w:p w14:paraId="0B583E0D"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Small rural hospital campuses, including campuses of public health service entities that are in scope for ABF (</w:t>
            </w:r>
            <w:hyperlink w:anchor="_3.11_Small_rural" w:history="1">
              <w:r w:rsidRPr="003A124F">
                <w:rPr>
                  <w:rStyle w:val="Hyperlink"/>
                  <w:szCs w:val="18"/>
                </w:rPr>
                <w:t>Section 3.11</w:t>
              </w:r>
            </w:hyperlink>
            <w:r w:rsidRPr="003A124F">
              <w:rPr>
                <w:szCs w:val="18"/>
              </w:rPr>
              <w:t>)</w:t>
            </w:r>
          </w:p>
          <w:p w14:paraId="535123E1" w14:textId="34AF40D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Standalone major city hospitals providing specialist services as listed in Appendix C of the NEC Determination 2026–27 (Tweddle Child and Family Health Services, and Queen Elizabeth Centre) (</w:t>
            </w:r>
            <w:hyperlink w:anchor="_3.4_Early_parenting" w:history="1">
              <w:r w:rsidRPr="003A124F">
                <w:rPr>
                  <w:rStyle w:val="Hyperlink"/>
                  <w:szCs w:val="18"/>
                </w:rPr>
                <w:t>Section 3.4</w:t>
              </w:r>
            </w:hyperlink>
            <w:r w:rsidRPr="003A124F">
              <w:rPr>
                <w:szCs w:val="18"/>
              </w:rPr>
              <w:t>)</w:t>
            </w:r>
          </w:p>
          <w:p w14:paraId="6ADA608D"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Teaching, training and research (</w:t>
            </w:r>
            <w:hyperlink w:anchor="_3.13_Training_and" w:history="1">
              <w:r w:rsidRPr="003A124F">
                <w:rPr>
                  <w:rStyle w:val="Hyperlink"/>
                  <w:szCs w:val="18"/>
                </w:rPr>
                <w:t>Section 3.13</w:t>
              </w:r>
            </w:hyperlink>
            <w:r w:rsidRPr="003A124F">
              <w:rPr>
                <w:szCs w:val="18"/>
              </w:rPr>
              <w:t>)</w:t>
            </w:r>
          </w:p>
          <w:p w14:paraId="56B6FE0D"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lastRenderedPageBreak/>
              <w:t>Victorian Virtual Emergency Department (VVED) (in scope portion) (</w:t>
            </w:r>
            <w:hyperlink w:anchor="_3.14__Victorian" w:history="1">
              <w:r w:rsidRPr="003A124F">
                <w:rPr>
                  <w:rStyle w:val="Hyperlink"/>
                  <w:szCs w:val="18"/>
                </w:rPr>
                <w:t>Section</w:t>
              </w:r>
              <w:bookmarkStart w:id="1546" w:name="_Hlt234575492"/>
              <w:r w:rsidRPr="003A124F">
                <w:rPr>
                  <w:rStyle w:val="Hyperlink"/>
                  <w:szCs w:val="18"/>
                </w:rPr>
                <w:t xml:space="preserve"> </w:t>
              </w:r>
              <w:bookmarkEnd w:id="1546"/>
              <w:r w:rsidRPr="003A124F">
                <w:rPr>
                  <w:rStyle w:val="Hyperlink"/>
                  <w:szCs w:val="18"/>
                </w:rPr>
                <w:t>3.14</w:t>
              </w:r>
            </w:hyperlink>
            <w:r w:rsidRPr="003A124F">
              <w:rPr>
                <w:szCs w:val="18"/>
              </w:rPr>
              <w:t>)</w:t>
            </w:r>
          </w:p>
          <w:p w14:paraId="453D2A3D"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szCs w:val="18"/>
              </w:rPr>
              <w:t>Non-admitted home ventilation – Victorian Respiratory Support Service</w:t>
            </w:r>
          </w:p>
          <w:p w14:paraId="568A471E"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3A124F">
              <w:rPr>
                <w:szCs w:val="18"/>
              </w:rPr>
              <w:t>NHRA Clause A17 services (for example, family planning, AOD adult continuing care)</w:t>
            </w:r>
          </w:p>
        </w:tc>
        <w:tc>
          <w:tcPr>
            <w:tcW w:w="3366" w:type="dxa"/>
            <w:hideMark/>
          </w:tcPr>
          <w:p w14:paraId="11D72564" w14:textId="046DEDA5"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color w:val="000000" w:themeColor="text1"/>
                <w:szCs w:val="18"/>
                <w:lang w:eastAsia="en-AU"/>
              </w:rPr>
              <w:lastRenderedPageBreak/>
              <w:t xml:space="preserve">Ageing, aged and home care, including </w:t>
            </w:r>
            <w:r w:rsidR="004475BA">
              <w:rPr>
                <w:color w:val="000000" w:themeColor="text1"/>
                <w:szCs w:val="18"/>
                <w:lang w:eastAsia="en-AU"/>
              </w:rPr>
              <w:t>a</w:t>
            </w:r>
            <w:r w:rsidRPr="003A124F">
              <w:rPr>
                <w:color w:val="000000" w:themeColor="text1"/>
                <w:szCs w:val="18"/>
                <w:lang w:eastAsia="en-AU"/>
              </w:rPr>
              <w:t>ged care assessment</w:t>
            </w:r>
            <w:r w:rsidR="004475BA">
              <w:rPr>
                <w:color w:val="000000" w:themeColor="text1"/>
                <w:szCs w:val="18"/>
                <w:lang w:eastAsia="en-AU"/>
              </w:rPr>
              <w:t xml:space="preserve"> (ACA)</w:t>
            </w:r>
            <w:r w:rsidRPr="003A124F">
              <w:rPr>
                <w:color w:val="000000" w:themeColor="text1"/>
                <w:szCs w:val="18"/>
                <w:lang w:eastAsia="en-AU"/>
              </w:rPr>
              <w:t>, public sector residential aged care and home and community care (HACC) (</w:t>
            </w:r>
            <w:hyperlink w:anchor="_Ageing,_aged_and" w:history="1">
              <w:r w:rsidRPr="003A124F">
                <w:rPr>
                  <w:rStyle w:val="Hyperlink"/>
                  <w:szCs w:val="18"/>
                  <w:lang w:eastAsia="en-AU"/>
                </w:rPr>
                <w:t>Sectio</w:t>
              </w:r>
              <w:r w:rsidRPr="003A124F">
                <w:rPr>
                  <w:rStyle w:val="Hyperlink"/>
                  <w:szCs w:val="18"/>
                  <w:lang w:eastAsia="en-AU"/>
                </w:rPr>
                <w:t>n</w:t>
              </w:r>
              <w:r w:rsidRPr="003A124F">
                <w:rPr>
                  <w:rStyle w:val="Hyperlink"/>
                  <w:szCs w:val="18"/>
                  <w:lang w:eastAsia="en-AU"/>
                </w:rPr>
                <w:t xml:space="preserve"> 4.7</w:t>
              </w:r>
            </w:hyperlink>
            <w:r w:rsidRPr="003A124F">
              <w:rPr>
                <w:color w:val="000000" w:themeColor="text1"/>
                <w:szCs w:val="18"/>
                <w:lang w:eastAsia="en-AU"/>
              </w:rPr>
              <w:t>)</w:t>
            </w:r>
          </w:p>
          <w:p w14:paraId="05C2187E"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color w:val="000000"/>
                <w:szCs w:val="18"/>
                <w:lang w:eastAsia="en-AU"/>
              </w:rPr>
              <w:t>Alcohol and other drug (AOD) services (</w:t>
            </w:r>
            <w:hyperlink w:anchor="_4.1_Alcohol_and" w:history="1">
              <w:r w:rsidRPr="003A124F">
                <w:rPr>
                  <w:rStyle w:val="Hyperlink"/>
                  <w:szCs w:val="18"/>
                  <w:lang w:eastAsia="en-AU"/>
                </w:rPr>
                <w:t>Sectio</w:t>
              </w:r>
              <w:bookmarkStart w:id="1547" w:name="_Hlt234575253"/>
              <w:r w:rsidRPr="003A124F">
                <w:rPr>
                  <w:rStyle w:val="Hyperlink"/>
                  <w:szCs w:val="18"/>
                  <w:lang w:eastAsia="en-AU"/>
                </w:rPr>
                <w:t>n</w:t>
              </w:r>
              <w:bookmarkEnd w:id="1547"/>
              <w:r w:rsidRPr="003A124F">
                <w:rPr>
                  <w:rStyle w:val="Hyperlink"/>
                  <w:szCs w:val="18"/>
                  <w:lang w:eastAsia="en-AU"/>
                </w:rPr>
                <w:t xml:space="preserve"> 4.1</w:t>
              </w:r>
            </w:hyperlink>
            <w:r w:rsidRPr="003A124F">
              <w:rPr>
                <w:color w:val="000000"/>
                <w:szCs w:val="18"/>
                <w:lang w:eastAsia="en-AU"/>
              </w:rPr>
              <w:t>)</w:t>
            </w:r>
          </w:p>
          <w:p w14:paraId="02323EDE"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szCs w:val="18"/>
              </w:rPr>
            </w:pPr>
            <w:r w:rsidRPr="003A124F">
              <w:rPr>
                <w:color w:val="000000" w:themeColor="text1"/>
                <w:szCs w:val="18"/>
                <w:lang w:eastAsia="en-AU"/>
              </w:rPr>
              <w:t>Community health (</w:t>
            </w:r>
            <w:hyperlink w:anchor="_4.2_Community_health" w:history="1">
              <w:r w:rsidRPr="003A124F">
                <w:rPr>
                  <w:rStyle w:val="Hyperlink"/>
                  <w:szCs w:val="18"/>
                  <w:lang w:eastAsia="en-AU"/>
                </w:rPr>
                <w:t>Sectio</w:t>
              </w:r>
              <w:bookmarkStart w:id="1548" w:name="_Hlt234575259"/>
              <w:r w:rsidRPr="003A124F">
                <w:rPr>
                  <w:rStyle w:val="Hyperlink"/>
                  <w:szCs w:val="18"/>
                  <w:lang w:eastAsia="en-AU"/>
                </w:rPr>
                <w:t>n</w:t>
              </w:r>
              <w:bookmarkEnd w:id="1548"/>
              <w:r w:rsidRPr="003A124F">
                <w:rPr>
                  <w:rStyle w:val="Hyperlink"/>
                  <w:szCs w:val="18"/>
                  <w:lang w:eastAsia="en-AU"/>
                </w:rPr>
                <w:t xml:space="preserve"> 4.2</w:t>
              </w:r>
            </w:hyperlink>
            <w:r w:rsidRPr="003A124F">
              <w:rPr>
                <w:color w:val="000000" w:themeColor="text1"/>
                <w:szCs w:val="18"/>
                <w:lang w:eastAsia="en-AU"/>
              </w:rPr>
              <w:t>)</w:t>
            </w:r>
          </w:p>
          <w:p w14:paraId="5CA27AC0" w14:textId="0F90E84B" w:rsidR="005B5CB9" w:rsidRPr="003A124F" w:rsidRDefault="00793584"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Pr>
                <w:color w:val="000000"/>
                <w:szCs w:val="18"/>
                <w:lang w:eastAsia="en-AU"/>
              </w:rPr>
              <w:t>LPHU</w:t>
            </w:r>
            <w:r w:rsidR="005B5CB9" w:rsidRPr="003A124F">
              <w:rPr>
                <w:color w:val="000000"/>
                <w:szCs w:val="18"/>
                <w:lang w:eastAsia="en-AU"/>
              </w:rPr>
              <w:t xml:space="preserve"> block-funded functions (</w:t>
            </w:r>
            <w:hyperlink w:anchor="_4.3_Local_public" w:history="1">
              <w:r w:rsidR="005B5CB9" w:rsidRPr="003A124F">
                <w:rPr>
                  <w:rStyle w:val="Hyperlink"/>
                  <w:szCs w:val="18"/>
                  <w:lang w:eastAsia="en-AU"/>
                </w:rPr>
                <w:t>Se</w:t>
              </w:r>
              <w:bookmarkStart w:id="1549" w:name="_Hlt234575265"/>
              <w:r w:rsidR="005B5CB9" w:rsidRPr="003A124F">
                <w:rPr>
                  <w:rStyle w:val="Hyperlink"/>
                  <w:szCs w:val="18"/>
                  <w:lang w:eastAsia="en-AU"/>
                </w:rPr>
                <w:t>c</w:t>
              </w:r>
              <w:bookmarkEnd w:id="1549"/>
              <w:r w:rsidR="005B5CB9" w:rsidRPr="003A124F">
                <w:rPr>
                  <w:rStyle w:val="Hyperlink"/>
                  <w:szCs w:val="18"/>
                  <w:lang w:eastAsia="en-AU"/>
                </w:rPr>
                <w:t>tion 4.3</w:t>
              </w:r>
            </w:hyperlink>
            <w:r w:rsidR="005B5CB9" w:rsidRPr="003A124F">
              <w:rPr>
                <w:color w:val="000000"/>
                <w:szCs w:val="18"/>
                <w:lang w:eastAsia="en-AU"/>
              </w:rPr>
              <w:t>)</w:t>
            </w:r>
          </w:p>
          <w:p w14:paraId="604C091E" w14:textId="45CD7ED1"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color w:val="000000" w:themeColor="text1"/>
                <w:szCs w:val="18"/>
                <w:lang w:eastAsia="en-AU"/>
              </w:rPr>
              <w:t>Mental Health Community Support Services (MHCSS) (</w:t>
            </w:r>
            <w:hyperlink w:anchor="_Mental_Health_Community" w:history="1">
              <w:r w:rsidRPr="00E63869">
                <w:rPr>
                  <w:rStyle w:val="Hyperlink"/>
                  <w:szCs w:val="18"/>
                  <w:lang w:eastAsia="en-AU"/>
                </w:rPr>
                <w:t>Secti</w:t>
              </w:r>
              <w:r w:rsidRPr="00E63869">
                <w:rPr>
                  <w:rStyle w:val="Hyperlink"/>
                  <w:szCs w:val="18"/>
                  <w:lang w:eastAsia="en-AU"/>
                </w:rPr>
                <w:t>o</w:t>
              </w:r>
              <w:r w:rsidRPr="00E63869">
                <w:rPr>
                  <w:rStyle w:val="Hyperlink"/>
                  <w:szCs w:val="18"/>
                  <w:lang w:eastAsia="en-AU"/>
                </w:rPr>
                <w:t>n 4</w:t>
              </w:r>
              <w:r w:rsidRPr="00E63869">
                <w:rPr>
                  <w:rStyle w:val="Hyperlink"/>
                  <w:szCs w:val="18"/>
                  <w:lang w:eastAsia="en-AU"/>
                </w:rPr>
                <w:t>.</w:t>
              </w:r>
              <w:r w:rsidRPr="00E63869">
                <w:rPr>
                  <w:rStyle w:val="Hyperlink"/>
                  <w:szCs w:val="18"/>
                </w:rPr>
                <w:t>4</w:t>
              </w:r>
            </w:hyperlink>
            <w:r w:rsidRPr="003A124F">
              <w:rPr>
                <w:color w:val="000000" w:themeColor="text1"/>
                <w:szCs w:val="18"/>
                <w:lang w:eastAsia="en-AU"/>
              </w:rPr>
              <w:t>)</w:t>
            </w:r>
          </w:p>
          <w:p w14:paraId="6006ADEC" w14:textId="1B8EA579"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color w:val="000000"/>
                <w:szCs w:val="18"/>
                <w:lang w:eastAsia="en-AU"/>
              </w:rPr>
              <w:t>Mental Health Community (non-admitted) mental health services (</w:t>
            </w:r>
            <w:hyperlink w:anchor="_Community_(non-admitted)_mental" w:history="1">
              <w:r w:rsidRPr="003A124F">
                <w:rPr>
                  <w:rStyle w:val="Hyperlink"/>
                  <w:szCs w:val="18"/>
                  <w:lang w:eastAsia="en-AU"/>
                </w:rPr>
                <w:t>Sec</w:t>
              </w:r>
              <w:r w:rsidRPr="003A124F">
                <w:rPr>
                  <w:rStyle w:val="Hyperlink"/>
                  <w:szCs w:val="18"/>
                  <w:lang w:eastAsia="en-AU"/>
                </w:rPr>
                <w:t>t</w:t>
              </w:r>
              <w:r w:rsidRPr="003A124F">
                <w:rPr>
                  <w:rStyle w:val="Hyperlink"/>
                  <w:szCs w:val="18"/>
                  <w:lang w:eastAsia="en-AU"/>
                </w:rPr>
                <w:t>i</w:t>
              </w:r>
              <w:r w:rsidRPr="003A124F">
                <w:rPr>
                  <w:rStyle w:val="Hyperlink"/>
                  <w:szCs w:val="18"/>
                  <w:lang w:eastAsia="en-AU"/>
                </w:rPr>
                <w:t>on 4.5</w:t>
              </w:r>
            </w:hyperlink>
            <w:r w:rsidRPr="003A124F">
              <w:rPr>
                <w:color w:val="000000" w:themeColor="text1"/>
                <w:szCs w:val="18"/>
                <w:lang w:eastAsia="en-AU"/>
              </w:rPr>
              <w:t>)</w:t>
            </w:r>
          </w:p>
          <w:p w14:paraId="7B4B1165" w14:textId="312AAC7C"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color w:val="000000" w:themeColor="text1"/>
                <w:szCs w:val="18"/>
                <w:lang w:eastAsia="en-AU"/>
              </w:rPr>
              <w:t>Transition Care Program (TPC) (</w:t>
            </w:r>
            <w:hyperlink w:anchor="_Transition_Care_Program" w:history="1">
              <w:r w:rsidRPr="003A124F">
                <w:rPr>
                  <w:rStyle w:val="Hyperlink"/>
                  <w:szCs w:val="18"/>
                  <w:lang w:eastAsia="en-AU"/>
                </w:rPr>
                <w:t>Secti</w:t>
              </w:r>
              <w:r w:rsidRPr="003A124F">
                <w:rPr>
                  <w:rStyle w:val="Hyperlink"/>
                  <w:szCs w:val="18"/>
                  <w:lang w:eastAsia="en-AU"/>
                </w:rPr>
                <w:t>o</w:t>
              </w:r>
              <w:r w:rsidRPr="003A124F">
                <w:rPr>
                  <w:rStyle w:val="Hyperlink"/>
                  <w:szCs w:val="18"/>
                  <w:lang w:eastAsia="en-AU"/>
                </w:rPr>
                <w:t>n</w:t>
              </w:r>
              <w:r w:rsidRPr="003A124F">
                <w:rPr>
                  <w:rStyle w:val="Hyperlink"/>
                  <w:szCs w:val="18"/>
                  <w:lang w:eastAsia="en-AU"/>
                </w:rPr>
                <w:t xml:space="preserve"> 4.8</w:t>
              </w:r>
            </w:hyperlink>
            <w:r w:rsidRPr="003A124F">
              <w:rPr>
                <w:color w:val="000000" w:themeColor="text1"/>
                <w:szCs w:val="18"/>
                <w:lang w:eastAsia="en-AU"/>
              </w:rPr>
              <w:t>)</w:t>
            </w:r>
          </w:p>
          <w:p w14:paraId="09E747A8"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szCs w:val="18"/>
                <w:lang w:eastAsia="en-AU"/>
              </w:rPr>
              <w:lastRenderedPageBreak/>
              <w:t>Entities not designated nationally as ABF or block-funded hospitals (for example, non-government organisations and primary care centres)</w:t>
            </w:r>
          </w:p>
          <w:p w14:paraId="08B4A42B" w14:textId="77777777" w:rsidR="005B5CB9" w:rsidRPr="003A124F" w:rsidRDefault="005B5CB9" w:rsidP="009D0B64">
            <w:pPr>
              <w:pStyle w:val="Tabletext"/>
              <w:cnfStyle w:val="000000100000" w:firstRow="0" w:lastRow="0" w:firstColumn="0" w:lastColumn="0" w:oddVBand="0" w:evenVBand="0" w:oddHBand="1" w:evenHBand="0" w:firstRowFirstColumn="0" w:firstRowLastColumn="0" w:lastRowFirstColumn="0" w:lastRowLastColumn="0"/>
              <w:rPr>
                <w:color w:val="000000"/>
                <w:szCs w:val="18"/>
                <w:lang w:eastAsia="en-AU"/>
              </w:rPr>
            </w:pPr>
            <w:r w:rsidRPr="003A124F">
              <w:rPr>
                <w:szCs w:val="18"/>
                <w:lang w:eastAsia="en-AU"/>
              </w:rPr>
              <w:t xml:space="preserve">Prisoners (Medicare ineligible) </w:t>
            </w:r>
            <w:r w:rsidRPr="003A124F">
              <w:rPr>
                <w:color w:val="000000"/>
                <w:szCs w:val="18"/>
                <w:lang w:eastAsia="en-AU"/>
              </w:rPr>
              <w:t>(</w:t>
            </w:r>
            <w:hyperlink w:anchor="_5.4_Prisoners" w:history="1">
              <w:r w:rsidRPr="003A124F">
                <w:rPr>
                  <w:rStyle w:val="Hyperlink"/>
                  <w:szCs w:val="18"/>
                  <w:lang w:eastAsia="en-AU"/>
                </w:rPr>
                <w:t>Se</w:t>
              </w:r>
              <w:bookmarkStart w:id="1550" w:name="_Hlt234575500"/>
              <w:r w:rsidRPr="003A124F">
                <w:rPr>
                  <w:rStyle w:val="Hyperlink"/>
                  <w:szCs w:val="18"/>
                  <w:lang w:eastAsia="en-AU"/>
                </w:rPr>
                <w:t>c</w:t>
              </w:r>
              <w:bookmarkEnd w:id="1550"/>
              <w:r w:rsidRPr="003A124F">
                <w:rPr>
                  <w:rStyle w:val="Hyperlink"/>
                  <w:szCs w:val="18"/>
                  <w:lang w:eastAsia="en-AU"/>
                </w:rPr>
                <w:t>tion 5.7</w:t>
              </w:r>
            </w:hyperlink>
            <w:r w:rsidRPr="003A124F">
              <w:rPr>
                <w:color w:val="000000"/>
                <w:szCs w:val="18"/>
                <w:lang w:eastAsia="en-AU"/>
              </w:rPr>
              <w:t>)</w:t>
            </w:r>
          </w:p>
        </w:tc>
      </w:tr>
      <w:tr w:rsidR="005B5CB9" w:rsidRPr="003A124F" w14:paraId="56EE84BF" w14:textId="77777777" w:rsidTr="00400506">
        <w:trPr>
          <w:trHeight w:val="376"/>
        </w:trPr>
        <w:tc>
          <w:tcPr>
            <w:cnfStyle w:val="001000000000" w:firstRow="0" w:lastRow="0" w:firstColumn="1" w:lastColumn="0" w:oddVBand="0" w:evenVBand="0" w:oddHBand="0" w:evenHBand="0" w:firstRowFirstColumn="0" w:firstRowLastColumn="0" w:lastRowFirstColumn="0" w:lastRowLastColumn="0"/>
            <w:tcW w:w="0" w:type="auto"/>
          </w:tcPr>
          <w:p w14:paraId="5757A6A8" w14:textId="77777777" w:rsidR="005B5CB9" w:rsidRPr="003A124F" w:rsidRDefault="005B5CB9" w:rsidP="009D0B64">
            <w:pPr>
              <w:pStyle w:val="Tabletext"/>
              <w:rPr>
                <w:szCs w:val="18"/>
                <w:lang w:eastAsia="en-AU"/>
              </w:rPr>
            </w:pPr>
            <w:r w:rsidRPr="003A124F">
              <w:rPr>
                <w:szCs w:val="18"/>
                <w:lang w:eastAsia="en-AU"/>
              </w:rPr>
              <w:lastRenderedPageBreak/>
              <w:t>Out of scope</w:t>
            </w:r>
          </w:p>
        </w:tc>
        <w:tc>
          <w:tcPr>
            <w:tcW w:w="3365" w:type="dxa"/>
            <w:hideMark/>
          </w:tcPr>
          <w:p w14:paraId="58A17144"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color w:val="000000"/>
                <w:szCs w:val="18"/>
                <w:lang w:eastAsia="en-AU"/>
              </w:rPr>
            </w:pPr>
            <w:r w:rsidRPr="003A124F">
              <w:rPr>
                <w:szCs w:val="18"/>
                <w:lang w:eastAsia="en-AU"/>
              </w:rPr>
              <w:t>Services not funded by Victorian public hospital funding, or services funded through alternative sources</w:t>
            </w:r>
          </w:p>
        </w:tc>
        <w:tc>
          <w:tcPr>
            <w:tcW w:w="3366" w:type="dxa"/>
            <w:hideMark/>
          </w:tcPr>
          <w:p w14:paraId="44832FAB"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rPr>
            </w:pPr>
            <w:r w:rsidRPr="003A124F">
              <w:rPr>
                <w:szCs w:val="18"/>
              </w:rPr>
              <w:t>Sub-acute activity unable to be assigned a classification due to incomplete reporting is not funded. Fall-back pricing for subacute is not funded (</w:t>
            </w:r>
            <w:hyperlink w:anchor="_3.12_Subacute_and" w:history="1">
              <w:r w:rsidRPr="003A124F">
                <w:rPr>
                  <w:rStyle w:val="Hyperlink"/>
                  <w:szCs w:val="18"/>
                </w:rPr>
                <w:t>Secti</w:t>
              </w:r>
              <w:bookmarkStart w:id="1551" w:name="_Hlt234575514"/>
              <w:r w:rsidRPr="003A124F">
                <w:rPr>
                  <w:rStyle w:val="Hyperlink"/>
                  <w:szCs w:val="18"/>
                </w:rPr>
                <w:t>o</w:t>
              </w:r>
              <w:bookmarkEnd w:id="1551"/>
              <w:r w:rsidRPr="003A124F">
                <w:rPr>
                  <w:rStyle w:val="Hyperlink"/>
                  <w:szCs w:val="18"/>
                </w:rPr>
                <w:t>n 3.12</w:t>
              </w:r>
            </w:hyperlink>
            <w:r w:rsidRPr="003A124F">
              <w:rPr>
                <w:szCs w:val="18"/>
              </w:rPr>
              <w:t>)</w:t>
            </w:r>
          </w:p>
          <w:p w14:paraId="77C89786"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rPr>
            </w:pPr>
            <w:r w:rsidRPr="003A124F">
              <w:rPr>
                <w:szCs w:val="18"/>
              </w:rPr>
              <w:t>Invalid end classes, or end classes that are not priced</w:t>
            </w:r>
          </w:p>
          <w:p w14:paraId="6569D8CD"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rPr>
            </w:pPr>
            <w:r w:rsidRPr="003A124F">
              <w:rPr>
                <w:szCs w:val="18"/>
              </w:rPr>
              <w:t>Nursing home type admissions</w:t>
            </w:r>
          </w:p>
          <w:p w14:paraId="28AF2AAF"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rPr>
            </w:pPr>
            <w:r w:rsidRPr="003A124F">
              <w:rPr>
                <w:szCs w:val="18"/>
              </w:rPr>
              <w:t xml:space="preserve">Lithotripsy provided by hospitals other than the designated hub or satellite services </w:t>
            </w:r>
            <w:r w:rsidRPr="003A124F">
              <w:rPr>
                <w:szCs w:val="18"/>
                <w:lang w:eastAsia="en-AU"/>
              </w:rPr>
              <w:t>(</w:t>
            </w:r>
            <w:hyperlink w:anchor="_Toc197452697" w:history="1">
              <w:r w:rsidRPr="003A124F">
                <w:rPr>
                  <w:rStyle w:val="Hyperlink"/>
                  <w:szCs w:val="18"/>
                  <w:lang w:eastAsia="en-AU"/>
                </w:rPr>
                <w:t>Section 3.8</w:t>
              </w:r>
            </w:hyperlink>
            <w:r w:rsidRPr="003A124F">
              <w:rPr>
                <w:szCs w:val="18"/>
                <w:lang w:eastAsia="en-AU"/>
              </w:rPr>
              <w:t>)</w:t>
            </w:r>
          </w:p>
          <w:p w14:paraId="630538DD" w14:textId="6579BAC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color w:val="000000"/>
                <w:szCs w:val="18"/>
                <w:lang w:eastAsia="en-AU"/>
              </w:rPr>
            </w:pPr>
            <w:r w:rsidRPr="003A124F">
              <w:rPr>
                <w:szCs w:val="18"/>
              </w:rPr>
              <w:t>Electroconvulsive therapy, unless provided by</w:t>
            </w:r>
            <w:r w:rsidR="00E3351E">
              <w:rPr>
                <w:szCs w:val="18"/>
              </w:rPr>
              <w:t xml:space="preserve"> </w:t>
            </w:r>
            <w:r w:rsidR="005450C9">
              <w:rPr>
                <w:szCs w:val="18"/>
              </w:rPr>
              <w:t>t</w:t>
            </w:r>
            <w:r w:rsidR="00E3351E">
              <w:rPr>
                <w:szCs w:val="18"/>
              </w:rPr>
              <w:t>he</w:t>
            </w:r>
            <w:r w:rsidRPr="003A124F">
              <w:rPr>
                <w:szCs w:val="18"/>
              </w:rPr>
              <w:t xml:space="preserve"> Royal Melbourne Hospital (hub and spoke model)</w:t>
            </w:r>
          </w:p>
        </w:tc>
        <w:tc>
          <w:tcPr>
            <w:tcW w:w="3366" w:type="dxa"/>
            <w:hideMark/>
          </w:tcPr>
          <w:p w14:paraId="5A636674"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color w:val="000000"/>
                <w:szCs w:val="18"/>
                <w:lang w:eastAsia="en-AU"/>
              </w:rPr>
            </w:pPr>
            <w:r w:rsidRPr="003A124F">
              <w:rPr>
                <w:color w:val="000000"/>
                <w:szCs w:val="18"/>
                <w:lang w:eastAsia="en-AU"/>
              </w:rPr>
              <w:t>Nil</w:t>
            </w:r>
          </w:p>
        </w:tc>
        <w:tc>
          <w:tcPr>
            <w:tcW w:w="3366" w:type="dxa"/>
            <w:hideMark/>
          </w:tcPr>
          <w:p w14:paraId="325E46C2"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color w:val="000000"/>
                <w:szCs w:val="18"/>
                <w:lang w:eastAsia="en-AU"/>
              </w:rPr>
            </w:pPr>
            <w:r w:rsidRPr="003A124F">
              <w:rPr>
                <w:color w:val="000000"/>
                <w:szCs w:val="18"/>
                <w:lang w:eastAsia="en-AU"/>
              </w:rPr>
              <w:t>Compensable patients (</w:t>
            </w:r>
            <w:r w:rsidRPr="003A124F">
              <w:rPr>
                <w:szCs w:val="18"/>
              </w:rPr>
              <w:t>Transport Accident Commission</w:t>
            </w:r>
            <w:r w:rsidRPr="003A124F">
              <w:rPr>
                <w:color w:val="000000"/>
                <w:szCs w:val="18"/>
                <w:lang w:eastAsia="en-AU"/>
              </w:rPr>
              <w:t xml:space="preserve"> (TAC), WorkSafe, </w:t>
            </w:r>
            <w:r w:rsidRPr="003A124F">
              <w:rPr>
                <w:szCs w:val="18"/>
              </w:rPr>
              <w:t>Department of Veterans' Affairs</w:t>
            </w:r>
            <w:r w:rsidRPr="003A124F">
              <w:rPr>
                <w:color w:val="000000"/>
                <w:szCs w:val="18"/>
                <w:lang w:eastAsia="en-AU"/>
              </w:rPr>
              <w:t xml:space="preserve"> (DVA), Seamen, Armed Services, Common Law, Other) (</w:t>
            </w:r>
            <w:hyperlink w:anchor="_5.1.2_TAC_patients" w:history="1">
              <w:r w:rsidRPr="003A124F">
                <w:rPr>
                  <w:rStyle w:val="Hyperlink"/>
                  <w:szCs w:val="18"/>
                  <w:lang w:eastAsia="en-AU"/>
                </w:rPr>
                <w:t>Section 5.2</w:t>
              </w:r>
            </w:hyperlink>
            <w:r w:rsidRPr="003A124F">
              <w:rPr>
                <w:color w:val="000000"/>
                <w:szCs w:val="18"/>
                <w:lang w:eastAsia="en-AU"/>
              </w:rPr>
              <w:t>)</w:t>
            </w:r>
          </w:p>
          <w:p w14:paraId="65CD596A"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3A124F">
              <w:rPr>
                <w:color w:val="000000"/>
                <w:szCs w:val="18"/>
                <w:lang w:eastAsia="en-AU"/>
              </w:rPr>
              <w:t>Cross-border patient cost recovery (</w:t>
            </w:r>
            <w:hyperlink w:anchor="_5.2_Cross-border_patients" w:history="1">
              <w:r w:rsidRPr="003A124F">
                <w:rPr>
                  <w:rStyle w:val="Hyperlink"/>
                  <w:szCs w:val="18"/>
                  <w:lang w:eastAsia="en-AU"/>
                </w:rPr>
                <w:t>Section 5.5</w:t>
              </w:r>
            </w:hyperlink>
            <w:r w:rsidRPr="003A124F">
              <w:rPr>
                <w:color w:val="000000"/>
                <w:szCs w:val="18"/>
                <w:lang w:eastAsia="en-AU"/>
              </w:rPr>
              <w:t>)</w:t>
            </w:r>
          </w:p>
          <w:p w14:paraId="11EC28A7"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3A124F">
              <w:rPr>
                <w:szCs w:val="18"/>
                <w:lang w:eastAsia="en-AU"/>
              </w:rPr>
              <w:t xml:space="preserve">Ineligible patients (Medicare ineligible, or non-residents </w:t>
            </w:r>
            <w:proofErr w:type="gramStart"/>
            <w:r w:rsidRPr="003A124F">
              <w:rPr>
                <w:szCs w:val="18"/>
                <w:lang w:eastAsia="en-AU"/>
              </w:rPr>
              <w:t>not exempt</w:t>
            </w:r>
            <w:proofErr w:type="gramEnd"/>
            <w:r w:rsidRPr="003A124F">
              <w:rPr>
                <w:szCs w:val="18"/>
                <w:lang w:eastAsia="en-AU"/>
              </w:rPr>
              <w:t xml:space="preserve"> from fees) (</w:t>
            </w:r>
            <w:hyperlink w:anchor="_5.6_Private_patients" w:history="1">
              <w:r w:rsidRPr="003A124F">
                <w:rPr>
                  <w:rStyle w:val="Hyperlink"/>
                  <w:szCs w:val="18"/>
                  <w:lang w:eastAsia="en-AU"/>
                </w:rPr>
                <w:t>Section</w:t>
              </w:r>
              <w:bookmarkStart w:id="1552" w:name="_Hlt233275168"/>
              <w:r w:rsidRPr="003A124F">
                <w:rPr>
                  <w:rStyle w:val="Hyperlink"/>
                  <w:szCs w:val="18"/>
                  <w:lang w:eastAsia="en-AU"/>
                </w:rPr>
                <w:t xml:space="preserve"> </w:t>
              </w:r>
              <w:bookmarkEnd w:id="1552"/>
              <w:r w:rsidRPr="003A124F">
                <w:rPr>
                  <w:rStyle w:val="Hyperlink"/>
                  <w:szCs w:val="18"/>
                  <w:lang w:eastAsia="en-AU"/>
                </w:rPr>
                <w:t>5.6</w:t>
              </w:r>
            </w:hyperlink>
            <w:r w:rsidRPr="003A124F">
              <w:rPr>
                <w:szCs w:val="18"/>
                <w:lang w:eastAsia="en-AU"/>
              </w:rPr>
              <w:t>)</w:t>
            </w:r>
          </w:p>
          <w:p w14:paraId="2BE04CC9" w14:textId="77777777" w:rsidR="005B5CB9" w:rsidRPr="003A124F" w:rsidRDefault="005B5CB9" w:rsidP="009D0B64">
            <w:pPr>
              <w:pStyle w:val="Tabletext"/>
              <w:cnfStyle w:val="000000000000" w:firstRow="0" w:lastRow="0" w:firstColumn="0" w:lastColumn="0" w:oddVBand="0" w:evenVBand="0" w:oddHBand="0" w:evenHBand="0" w:firstRowFirstColumn="0" w:firstRowLastColumn="0" w:lastRowFirstColumn="0" w:lastRowLastColumn="0"/>
              <w:rPr>
                <w:b/>
                <w:color w:val="000000"/>
                <w:szCs w:val="18"/>
                <w:lang w:eastAsia="en-AU"/>
              </w:rPr>
            </w:pPr>
            <w:r w:rsidRPr="003A124F">
              <w:rPr>
                <w:szCs w:val="18"/>
                <w:lang w:eastAsia="en-AU"/>
              </w:rPr>
              <w:t>Medicare Benefits Schedule (MBS) billed activity, including co-located GP services, primary health care (</w:t>
            </w:r>
            <w:hyperlink w:anchor="_5.6_Private_patients" w:history="1">
              <w:r w:rsidRPr="003A124F">
                <w:rPr>
                  <w:rStyle w:val="Hyperlink"/>
                  <w:szCs w:val="18"/>
                  <w:lang w:eastAsia="en-AU"/>
                </w:rPr>
                <w:t>Section 5.6</w:t>
              </w:r>
            </w:hyperlink>
            <w:r w:rsidRPr="003A124F">
              <w:rPr>
                <w:szCs w:val="18"/>
                <w:lang w:eastAsia="en-AU"/>
              </w:rPr>
              <w:t>)</w:t>
            </w:r>
          </w:p>
        </w:tc>
      </w:tr>
    </w:tbl>
    <w:p w14:paraId="17678967" w14:textId="77777777" w:rsidR="005B5CB9" w:rsidRDefault="005B5CB9" w:rsidP="005B5CB9">
      <w:pPr>
        <w:pStyle w:val="Body"/>
        <w:sectPr w:rsidR="005B5CB9" w:rsidSect="005B5CB9">
          <w:footerReference w:type="even" r:id="rId31"/>
          <w:footerReference w:type="default" r:id="rId32"/>
          <w:footerReference w:type="first" r:id="rId33"/>
          <w:pgSz w:w="16838" w:h="11906" w:orient="landscape" w:code="9"/>
          <w:pgMar w:top="1304" w:right="1418" w:bottom="1304" w:left="1134" w:header="680" w:footer="567" w:gutter="0"/>
          <w:cols w:space="340"/>
          <w:docGrid w:linePitch="360"/>
        </w:sectPr>
      </w:pPr>
    </w:p>
    <w:p w14:paraId="7A0EEB1D" w14:textId="7624A2C5" w:rsidR="005B5CB9" w:rsidRDefault="005B5CB9" w:rsidP="005F3688">
      <w:pPr>
        <w:pStyle w:val="Heading1"/>
      </w:pPr>
      <w:bookmarkStart w:id="1553" w:name="_2_Victorian_pricing"/>
      <w:bookmarkStart w:id="1554" w:name="_Ref199409125"/>
      <w:bookmarkStart w:id="1555" w:name="_Ref199409143"/>
      <w:bookmarkStart w:id="1556" w:name="_Ref199409157"/>
      <w:bookmarkStart w:id="1557" w:name="_Victorian_pricing_framework"/>
      <w:bookmarkStart w:id="1558" w:name="_Toc234580267"/>
      <w:bookmarkEnd w:id="1553"/>
      <w:bookmarkEnd w:id="1557"/>
      <w:r>
        <w:lastRenderedPageBreak/>
        <w:t>Victorian pricing framework for ABF health services</w:t>
      </w:r>
      <w:bookmarkEnd w:id="1533"/>
      <w:bookmarkEnd w:id="1554"/>
      <w:bookmarkEnd w:id="1555"/>
      <w:bookmarkEnd w:id="1556"/>
      <w:bookmarkEnd w:id="1558"/>
    </w:p>
    <w:p w14:paraId="295EA84E" w14:textId="6D8B08F9" w:rsidR="005B5CB9" w:rsidRDefault="005B5CB9" w:rsidP="006F273F">
      <w:pPr>
        <w:pStyle w:val="Body"/>
      </w:pPr>
      <w:r>
        <w:t xml:space="preserve">The Victorian </w:t>
      </w:r>
      <w:r w:rsidR="0090113E">
        <w:t>p</w:t>
      </w:r>
      <w:r>
        <w:t xml:space="preserve">ricing </w:t>
      </w:r>
      <w:r w:rsidR="0090113E">
        <w:t>f</w:t>
      </w:r>
      <w:r>
        <w:t>ramework for ABF health services (the Victorian ABF pricing framework) establishes the policy settings for determining the VEP and the application of localised pricing adjustments, applying only to public health service entities in scope for ABF, as defined by the NHRA.</w:t>
      </w:r>
    </w:p>
    <w:p w14:paraId="2F6B7A0D" w14:textId="6B64D157" w:rsidR="005B5CB9" w:rsidRPr="009C09C0" w:rsidRDefault="005B5CB9" w:rsidP="005B5CB9">
      <w:pPr>
        <w:pStyle w:val="Heading2"/>
      </w:pPr>
      <w:bookmarkStart w:id="1559" w:name="_2.1_Scope"/>
      <w:bookmarkStart w:id="1560" w:name="_Toc234580268"/>
      <w:bookmarkEnd w:id="1559"/>
      <w:r w:rsidRPr="009C09C0">
        <w:t>Scope</w:t>
      </w:r>
      <w:bookmarkEnd w:id="1560"/>
    </w:p>
    <w:p w14:paraId="493603AA" w14:textId="7BA025A2" w:rsidR="005B5CB9" w:rsidRPr="006F273F" w:rsidRDefault="005B5CB9" w:rsidP="006F273F">
      <w:pPr>
        <w:pStyle w:val="Body"/>
      </w:pPr>
      <w:r w:rsidRPr="006F273F">
        <w:t>The Victorian ABF pricing framework only applies to public health service entities that are in scope for ABF, as defined by the NHRA (</w:t>
      </w:r>
      <w:r w:rsidR="00E3284D">
        <w:t xml:space="preserve">see </w:t>
      </w:r>
      <w:hyperlink w:anchor="_Victorian_alignment_with" w:history="1">
        <w:r w:rsidRPr="0052456D">
          <w:rPr>
            <w:rStyle w:val="Hyperlink"/>
          </w:rPr>
          <w:t>Table 2</w:t>
        </w:r>
      </w:hyperlink>
      <w:r w:rsidRPr="006F273F">
        <w:t>).</w:t>
      </w:r>
    </w:p>
    <w:p w14:paraId="38375A6A" w14:textId="77777777" w:rsidR="005B5CB9" w:rsidRDefault="005B5CB9" w:rsidP="006F273F">
      <w:pPr>
        <w:pStyle w:val="Body"/>
      </w:pPr>
      <w:r w:rsidRPr="006F273F">
        <w:t>Activity that is in scope includes:</w:t>
      </w:r>
    </w:p>
    <w:p w14:paraId="3E945D30" w14:textId="762F532E" w:rsidR="005B5CB9" w:rsidRPr="006F273F" w:rsidRDefault="005B5CB9" w:rsidP="006F273F">
      <w:pPr>
        <w:pStyle w:val="Bullet1"/>
      </w:pPr>
      <w:r w:rsidRPr="006F273F">
        <w:t xml:space="preserve">in-scope public hospital services with valid end classes, as defined in the </w:t>
      </w:r>
      <w:hyperlink r:id="rId34" w:history="1">
        <w:r w:rsidRPr="00620A28">
          <w:rPr>
            <w:rStyle w:val="Hyperlink"/>
            <w:i/>
            <w:iCs/>
          </w:rPr>
          <w:t>N</w:t>
        </w:r>
        <w:r w:rsidR="00867C3D" w:rsidRPr="00620A28">
          <w:rPr>
            <w:rStyle w:val="Hyperlink"/>
            <w:i/>
            <w:iCs/>
          </w:rPr>
          <w:t xml:space="preserve">ational Efficient Price </w:t>
        </w:r>
        <w:r w:rsidR="007E554D" w:rsidRPr="00620A28">
          <w:rPr>
            <w:rStyle w:val="Hyperlink"/>
            <w:i/>
            <w:iCs/>
          </w:rPr>
          <w:t>D</w:t>
        </w:r>
        <w:r w:rsidRPr="00620A28">
          <w:rPr>
            <w:rStyle w:val="Hyperlink"/>
            <w:i/>
            <w:iCs/>
          </w:rPr>
          <w:t>etermination 2026–27</w:t>
        </w:r>
      </w:hyperlink>
      <w:r w:rsidR="00F54630">
        <w:t xml:space="preserve"> &lt;</w:t>
      </w:r>
      <w:r w:rsidR="00F54630" w:rsidRPr="00F54630">
        <w:t>https://www.ihacpa.gov.au/resources/national-efficient-price-determination-2026-27</w:t>
      </w:r>
      <w:r w:rsidR="00F54630">
        <w:t>&gt;.</w:t>
      </w:r>
    </w:p>
    <w:p w14:paraId="5CC7DB9E" w14:textId="279CA8DE" w:rsidR="005B5CB9" w:rsidRPr="006F273F" w:rsidRDefault="005B5CB9" w:rsidP="006F273F">
      <w:pPr>
        <w:pStyle w:val="Bullet1"/>
      </w:pPr>
      <w:r w:rsidRPr="006F273F">
        <w:t>community mental health services delivered by eligible rural and regional services, as specified in Appendix E of the NEC determination 2026–27.</w:t>
      </w:r>
    </w:p>
    <w:p w14:paraId="7A412CCA" w14:textId="77777777" w:rsidR="005B5CB9" w:rsidRPr="00EA5D0F" w:rsidRDefault="005B5CB9" w:rsidP="005B5CB9">
      <w:pPr>
        <w:pStyle w:val="Bodyafterbullets"/>
      </w:pPr>
      <w:r>
        <w:t xml:space="preserve">Activity </w:t>
      </w:r>
      <w:r w:rsidRPr="00EA5D0F">
        <w:t>that is out of scope includes:</w:t>
      </w:r>
    </w:p>
    <w:p w14:paraId="31602CE8" w14:textId="77777777" w:rsidR="005B5CB9" w:rsidRPr="006F273F" w:rsidRDefault="005B5CB9" w:rsidP="006F273F">
      <w:pPr>
        <w:pStyle w:val="Bullet1"/>
      </w:pPr>
      <w:r w:rsidRPr="006F273F">
        <w:t>services not priced under the NFM</w:t>
      </w:r>
    </w:p>
    <w:p w14:paraId="51A78CEF" w14:textId="77777777" w:rsidR="005B5CB9" w:rsidRPr="006F273F" w:rsidRDefault="005B5CB9" w:rsidP="006F273F">
      <w:pPr>
        <w:pStyle w:val="Bullet1"/>
      </w:pPr>
      <w:r w:rsidRPr="006F273F">
        <w:t>nursing home type admissions</w:t>
      </w:r>
    </w:p>
    <w:p w14:paraId="23D67FB2" w14:textId="77777777" w:rsidR="005B5CB9" w:rsidRPr="006F273F" w:rsidRDefault="005B5CB9" w:rsidP="006F273F">
      <w:pPr>
        <w:pStyle w:val="Bullet1"/>
      </w:pPr>
      <w:r w:rsidRPr="006F273F">
        <w:t>electroconvulsive therapy (except the Royal Melbourne Hospital hub and spoke model)</w:t>
      </w:r>
    </w:p>
    <w:p w14:paraId="76EDA574" w14:textId="77777777" w:rsidR="005B5CB9" w:rsidRPr="006F273F" w:rsidRDefault="005B5CB9" w:rsidP="006F273F">
      <w:pPr>
        <w:pStyle w:val="Bullet1"/>
        <w:spacing w:after="120"/>
      </w:pPr>
      <w:r w:rsidRPr="006F273F">
        <w:t>services in Section 3 funded outside the NWAU mechanism.</w:t>
      </w:r>
    </w:p>
    <w:p w14:paraId="15F15286" w14:textId="77777777" w:rsidR="005B5CB9" w:rsidRDefault="005B5CB9" w:rsidP="006F273F">
      <w:pPr>
        <w:pStyle w:val="Body"/>
      </w:pPr>
      <w:r>
        <w:t xml:space="preserve">The Victorian ABF pricing framework governs the setting of VEP, localised pricing adjustments and the integration of pricing elements. </w:t>
      </w:r>
    </w:p>
    <w:p w14:paraId="65F78A10" w14:textId="77777777" w:rsidR="005B5CB9" w:rsidRPr="00960C49" w:rsidRDefault="005B5CB9" w:rsidP="006F273F">
      <w:pPr>
        <w:pStyle w:val="Body"/>
      </w:pPr>
      <w:r>
        <w:t>The framework does not determine total funding allocations, block-funding arrangements, payment flows, or accountability and performance mechanisms. Legacy and specified grants are explicitly excluded from pricing methodology (</w:t>
      </w:r>
      <w:r w:rsidRPr="00DB7B8E">
        <w:t xml:space="preserve">see </w:t>
      </w:r>
      <w:hyperlink w:anchor="_2.9_Legacy_and_1" w:history="1">
        <w:r w:rsidRPr="00DB7B8E">
          <w:rPr>
            <w:rStyle w:val="Hyperlink"/>
          </w:rPr>
          <w:t>Section 2.9</w:t>
        </w:r>
      </w:hyperlink>
      <w:r w:rsidRPr="00DB7B8E">
        <w:t>).</w:t>
      </w:r>
      <w:r>
        <w:t xml:space="preserve"> </w:t>
      </w:r>
    </w:p>
    <w:p w14:paraId="6478682B" w14:textId="208D8D9F" w:rsidR="005B5CB9" w:rsidRPr="000D7507" w:rsidRDefault="005B5CB9" w:rsidP="005B5CB9">
      <w:pPr>
        <w:pStyle w:val="Heading2"/>
      </w:pPr>
      <w:bookmarkStart w:id="1561" w:name="_Toc165961790"/>
      <w:bookmarkStart w:id="1562" w:name="_Toc234580269"/>
      <w:r>
        <w:t>Principles</w:t>
      </w:r>
      <w:bookmarkEnd w:id="1561"/>
      <w:bookmarkEnd w:id="1562"/>
    </w:p>
    <w:p w14:paraId="7A412A16" w14:textId="77777777" w:rsidR="005B5CB9" w:rsidRPr="006F273F" w:rsidRDefault="005B5CB9" w:rsidP="006F273F">
      <w:pPr>
        <w:pStyle w:val="Body"/>
      </w:pPr>
      <w:r w:rsidRPr="006F273F">
        <w:t>The Victorian ABF pricing framework is underpinned by:</w:t>
      </w:r>
    </w:p>
    <w:p w14:paraId="30F8807C" w14:textId="77777777" w:rsidR="005B5CB9" w:rsidRPr="00777CAC" w:rsidRDefault="005B5CB9" w:rsidP="00777CAC">
      <w:pPr>
        <w:pStyle w:val="Bullet1"/>
      </w:pPr>
      <w:r w:rsidRPr="00777CAC">
        <w:rPr>
          <w:b/>
          <w:bCs/>
        </w:rPr>
        <w:t>efficient and sustainable pricing –</w:t>
      </w:r>
      <w:r w:rsidRPr="00777CAC">
        <w:t xml:space="preserve"> pricing reflects the efficient cost of care and supports sustainable service delivery within available system resources. Prices are based on consistent benchmarking and do not embed inefficiency or unmanaged cost variation</w:t>
      </w:r>
    </w:p>
    <w:p w14:paraId="4865DD81" w14:textId="77777777" w:rsidR="005B5CB9" w:rsidRPr="00777CAC" w:rsidRDefault="005B5CB9" w:rsidP="00777CAC">
      <w:pPr>
        <w:pStyle w:val="Bullet1"/>
      </w:pPr>
      <w:r w:rsidRPr="00777CAC">
        <w:rPr>
          <w:b/>
          <w:bCs/>
        </w:rPr>
        <w:t>equity through targeted adjustment</w:t>
      </w:r>
      <w:r w:rsidRPr="00777CAC">
        <w:t xml:space="preserve"> – structural or system-driven variation is addressed through transparent and targeted adjustments, rather than being embedded in base prices</w:t>
      </w:r>
    </w:p>
    <w:p w14:paraId="06EF6A25" w14:textId="77777777" w:rsidR="005B5CB9" w:rsidRPr="00777CAC" w:rsidRDefault="005B5CB9" w:rsidP="00777CAC">
      <w:pPr>
        <w:pStyle w:val="Bullet1"/>
      </w:pPr>
      <w:r w:rsidRPr="00777CAC">
        <w:rPr>
          <w:b/>
          <w:bCs/>
        </w:rPr>
        <w:t>transparency, simplicity and practical application</w:t>
      </w:r>
      <w:r w:rsidRPr="00777CAC">
        <w:t xml:space="preserve"> – pricing methodologies and adjustments are clear, consistent and administratively practical</w:t>
      </w:r>
    </w:p>
    <w:p w14:paraId="29C7BD79" w14:textId="77777777" w:rsidR="005B5CB9" w:rsidRPr="00777CAC" w:rsidRDefault="005B5CB9" w:rsidP="00777CAC">
      <w:pPr>
        <w:pStyle w:val="Bullet1"/>
      </w:pPr>
      <w:r w:rsidRPr="00777CAC">
        <w:rPr>
          <w:b/>
          <w:bCs/>
        </w:rPr>
        <w:t>alignment with quality and safe care</w:t>
      </w:r>
      <w:r w:rsidRPr="00777CAC">
        <w:t xml:space="preserve"> – financial signals do not conflict with clinical objectives or system-wide quality requirements. Pricing supports safe, high-quality, clinically appropriate care</w:t>
      </w:r>
    </w:p>
    <w:p w14:paraId="6EBC8EFD" w14:textId="77777777" w:rsidR="005B5CB9" w:rsidRPr="00777CAC" w:rsidRDefault="005B5CB9" w:rsidP="00777CAC">
      <w:pPr>
        <w:pStyle w:val="Bullet1"/>
      </w:pPr>
      <w:r w:rsidRPr="00777CAC">
        <w:rPr>
          <w:b/>
          <w:bCs/>
        </w:rPr>
        <w:lastRenderedPageBreak/>
        <w:t>alignment with service capacity and activity</w:t>
      </w:r>
      <w:r w:rsidRPr="00777CAC">
        <w:t xml:space="preserve"> – pricing and funding support achievable and affordable levels of activity, reflecting service capacity, demand and the broader funding environment. </w:t>
      </w:r>
    </w:p>
    <w:p w14:paraId="52C67D6A" w14:textId="37B85124" w:rsidR="005B5CB9" w:rsidRPr="00586155" w:rsidRDefault="005B5CB9" w:rsidP="005B5CB9">
      <w:pPr>
        <w:pStyle w:val="Heading2"/>
      </w:pPr>
      <w:bookmarkStart w:id="1563" w:name="_Toc234580270"/>
      <w:r>
        <w:t>Key concepts</w:t>
      </w:r>
      <w:bookmarkEnd w:id="1563"/>
    </w:p>
    <w:p w14:paraId="23C62EF1" w14:textId="77777777" w:rsidR="005B5CB9" w:rsidRPr="00777CAC" w:rsidRDefault="005B5CB9" w:rsidP="00777CAC">
      <w:pPr>
        <w:pStyle w:val="Body"/>
      </w:pPr>
      <w:r w:rsidRPr="00777CAC">
        <w:t>The concepts that underpin the calculation of the VEP and localised pricing adjustments include:</w:t>
      </w:r>
    </w:p>
    <w:p w14:paraId="05038874" w14:textId="77777777" w:rsidR="005B5CB9" w:rsidRPr="00777CAC" w:rsidRDefault="005B5CB9" w:rsidP="00777CAC">
      <w:pPr>
        <w:pStyle w:val="Bullet1"/>
      </w:pPr>
      <w:r w:rsidRPr="00777CAC">
        <w:rPr>
          <w:b/>
          <w:bCs/>
        </w:rPr>
        <w:t xml:space="preserve">cost recovery </w:t>
      </w:r>
      <w:r w:rsidRPr="00777CAC">
        <w:t>– the VEP does not fully reimburse observed costs. A consistent cost-recovery benchmark of 85 per cent is applied system-wide. This is the proportion of efficient cost funded through the VEP and localised pricing adjustments, recognising that health services generate revenue that is reasonably available to support ABF service delivery</w:t>
      </w:r>
    </w:p>
    <w:p w14:paraId="739686C1" w14:textId="77777777" w:rsidR="005B5CB9" w:rsidRPr="00777CAC" w:rsidRDefault="005B5CB9" w:rsidP="00777CAC">
      <w:pPr>
        <w:pStyle w:val="Bullet1"/>
      </w:pPr>
      <w:r w:rsidRPr="00777CAC">
        <w:rPr>
          <w:b/>
          <w:bCs/>
        </w:rPr>
        <w:t xml:space="preserve">reasonable revenue </w:t>
      </w:r>
      <w:r w:rsidRPr="00777CAC">
        <w:t xml:space="preserve">– the revenue that a health service has </w:t>
      </w:r>
      <w:proofErr w:type="gramStart"/>
      <w:r w:rsidRPr="00777CAC">
        <w:t>actually realised</w:t>
      </w:r>
      <w:proofErr w:type="gramEnd"/>
      <w:r w:rsidRPr="00777CAC">
        <w:t xml:space="preserve"> and that is reasonably available to support ABF service delivery. This contributes to efficient cost recovery alongside the VEP and localised pricing adjustments</w:t>
      </w:r>
    </w:p>
    <w:p w14:paraId="70BC984A" w14:textId="77777777" w:rsidR="005B5CB9" w:rsidRPr="00777CAC" w:rsidRDefault="005B5CB9" w:rsidP="00777CAC">
      <w:pPr>
        <w:pStyle w:val="Bullet1"/>
      </w:pPr>
      <w:r w:rsidRPr="00777CAC">
        <w:rPr>
          <w:b/>
          <w:bCs/>
        </w:rPr>
        <w:t xml:space="preserve">health service cost data </w:t>
      </w:r>
      <w:r w:rsidRPr="00777CAC">
        <w:t>– patient-level cost data from the National Hospital Cost Data Collection (NHCDC) 2024–25, linked to activity datasets with NWAU for in-scope services. Data is independently audited and internally validated</w:t>
      </w:r>
    </w:p>
    <w:p w14:paraId="0E2B4A98" w14:textId="77777777" w:rsidR="005B5CB9" w:rsidRPr="00777CAC" w:rsidRDefault="005B5CB9" w:rsidP="00777CAC">
      <w:pPr>
        <w:pStyle w:val="Bullet1"/>
      </w:pPr>
      <w:r w:rsidRPr="00777CAC">
        <w:rPr>
          <w:b/>
          <w:bCs/>
        </w:rPr>
        <w:t>equity</w:t>
      </w:r>
      <w:r w:rsidRPr="00777CAC">
        <w:t xml:space="preserve"> – refers to achieving comparable cost recovery for a similar activity, after accounting for structural and unavoidable variation. Equity does not mean equalising all funding outcomes or funding inefficient services.</w:t>
      </w:r>
    </w:p>
    <w:p w14:paraId="2DD95880" w14:textId="3C6DE64E" w:rsidR="005B5CB9" w:rsidRPr="00586155" w:rsidRDefault="005B5CB9" w:rsidP="005B5CB9">
      <w:pPr>
        <w:pStyle w:val="Heading2"/>
      </w:pPr>
      <w:bookmarkStart w:id="1564" w:name="_Toc234580271"/>
      <w:r>
        <w:t>Costing methodology and data assurance</w:t>
      </w:r>
      <w:bookmarkEnd w:id="1564"/>
      <w:r>
        <w:t xml:space="preserve"> </w:t>
      </w:r>
    </w:p>
    <w:p w14:paraId="0624F195" w14:textId="77777777" w:rsidR="005B5CB9" w:rsidRDefault="005B5CB9" w:rsidP="00777CAC">
      <w:pPr>
        <w:pStyle w:val="Body"/>
        <w:rPr>
          <w:highlight w:val="yellow"/>
        </w:rPr>
      </w:pPr>
      <w:r>
        <w:t xml:space="preserve">Victorian Efficient Prices are informed by nationally consistent costing methodologies and health service cost data submitted through the NHCDC. Pricing decisions are supported by departmental review and assurance processes to ensure prices remain evidence-based, transparent and aligned with the efficient delivery of public hospital services. Funding outcomes and cost recovery are monitored annually to inform ongoing refinement of pricing methodologies and funding arrangements. Funding eligibility and consequences of non-compliance are set out in </w:t>
      </w:r>
      <w:hyperlink w:anchor="_2.10_Application_of" w:history="1">
        <w:r w:rsidRPr="00DB7B8E">
          <w:rPr>
            <w:rStyle w:val="Hyperlink"/>
          </w:rPr>
          <w:t>Section 2.10</w:t>
        </w:r>
      </w:hyperlink>
      <w:r w:rsidRPr="00DB7B8E">
        <w:t>.</w:t>
      </w:r>
    </w:p>
    <w:p w14:paraId="525494C1" w14:textId="7197CDEA" w:rsidR="005B5CB9" w:rsidRPr="009C1C53" w:rsidRDefault="005B5CB9" w:rsidP="005B5CB9">
      <w:pPr>
        <w:pStyle w:val="Heading2"/>
      </w:pPr>
      <w:bookmarkStart w:id="1565" w:name="_Toc234580272"/>
      <w:r>
        <w:t>What is Outside the Victorian ABF Pricing Framework</w:t>
      </w:r>
      <w:bookmarkEnd w:id="1565"/>
    </w:p>
    <w:p w14:paraId="11DB8FBA" w14:textId="77777777" w:rsidR="005B5CB9" w:rsidRPr="00D437D2" w:rsidRDefault="005B5CB9" w:rsidP="00777CAC">
      <w:pPr>
        <w:pStyle w:val="Body"/>
      </w:pPr>
      <w:r>
        <w:t>The Victorian ABF Pricing Framework establishes the pricing methodology used to determine funding for eligible ABF services. The framework does not determine total budget allocations, performance and accountability arrangements, funding policy decisions, block-funded service budgets, legacy grants or other funding streams that are managed separately by the department. These arrangements may influence a health service's overall funding position but are outside the scope of the Victorian ABF Pricing Framework.</w:t>
      </w:r>
    </w:p>
    <w:p w14:paraId="2F257D5B" w14:textId="47CF8D60" w:rsidR="005B5CB9" w:rsidRPr="00CA68BC" w:rsidRDefault="005B5CB9" w:rsidP="005B5CB9">
      <w:pPr>
        <w:pStyle w:val="Heading2"/>
      </w:pPr>
      <w:bookmarkStart w:id="1566" w:name="_Toc234580273"/>
      <w:r>
        <w:t>Relationship Between Funding Components</w:t>
      </w:r>
      <w:bookmarkEnd w:id="1566"/>
    </w:p>
    <w:p w14:paraId="4C46DB08" w14:textId="772E2ED5" w:rsidR="005B5CB9" w:rsidRPr="007D64FB" w:rsidRDefault="005B5CB9" w:rsidP="00777CAC">
      <w:pPr>
        <w:pStyle w:val="Body"/>
      </w:pPr>
      <w:r>
        <w:t xml:space="preserve">Funding for Victorian public health services may comprise a combination of </w:t>
      </w:r>
      <w:r w:rsidR="00DE704F">
        <w:t>ABF</w:t>
      </w:r>
      <w:r>
        <w:t xml:space="preserve">, localised pricing adjustments, block funding and other targeted funding streams. </w:t>
      </w:r>
      <w:r w:rsidR="00DE704F">
        <w:t>ABF</w:t>
      </w:r>
      <w:r>
        <w:t xml:space="preserve"> is determined through the VEP and associated pricing adjustments, while block funding supports services or functions that are not suitable for </w:t>
      </w:r>
      <w:r w:rsidR="00DE704F">
        <w:t>ABF</w:t>
      </w:r>
      <w:r>
        <w:t>. Additional grants and targeted funding programs may be provided to support specific policy objectives, service requirements or transitional arrangements. Together, these funding components form the overall funding model for Victorian public health services. Funding provided under one mechanism must not duplicate funding provided under another mechanism.</w:t>
      </w:r>
    </w:p>
    <w:p w14:paraId="554DACFA" w14:textId="50D57ADF" w:rsidR="005B5CB9" w:rsidRDefault="005B5CB9" w:rsidP="005B5CB9">
      <w:pPr>
        <w:pStyle w:val="Heading2"/>
      </w:pPr>
      <w:bookmarkStart w:id="1567" w:name="_Toc234580274"/>
      <w:r>
        <w:lastRenderedPageBreak/>
        <w:t>Victorian efficient price (VEP)</w:t>
      </w:r>
      <w:bookmarkEnd w:id="1567"/>
    </w:p>
    <w:p w14:paraId="076D08E9" w14:textId="77777777" w:rsidR="00DE2A00" w:rsidRDefault="005B5CB9" w:rsidP="00777CAC">
      <w:pPr>
        <w:pStyle w:val="Body"/>
      </w:pPr>
      <w:r>
        <w:t xml:space="preserve">The VEP is the base price paid per NWAU, derived through a structured data-to-price methodology using patient-level cost data, incorporating cost per NWAU, the 85% cost recovery benchmark, and indexation and loadings reflecting the Victorian operating environment. </w:t>
      </w:r>
    </w:p>
    <w:p w14:paraId="1FF1E251" w14:textId="0143219C" w:rsidR="005B5CB9" w:rsidRDefault="005B5CB9" w:rsidP="00777CAC">
      <w:pPr>
        <w:pStyle w:val="Body"/>
      </w:pPr>
      <w:r>
        <w:t>In 2026–27, peer group pricing is retained:</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B5CB9" w14:paraId="3C6CA540" w14:textId="77777777">
        <w:trPr>
          <w:trHeight w:val="300"/>
        </w:trPr>
        <w:tc>
          <w:tcPr>
            <w:tcW w:w="9360" w:type="dxa"/>
            <w:tcBorders>
              <w:top w:val="single" w:sz="4" w:space="0" w:color="2E75B6"/>
              <w:left w:val="single" w:sz="8" w:space="0" w:color="2E75B6"/>
              <w:bottom w:val="single" w:sz="4" w:space="0" w:color="2E75B6"/>
              <w:right w:val="nil"/>
            </w:tcBorders>
            <w:shd w:val="clear" w:color="auto" w:fill="D6E4F0"/>
            <w:tcMar>
              <w:top w:w="80" w:type="dxa"/>
              <w:left w:w="140" w:type="dxa"/>
              <w:bottom w:w="80" w:type="dxa"/>
              <w:right w:w="80" w:type="dxa"/>
            </w:tcMar>
          </w:tcPr>
          <w:p w14:paraId="6B5B8CF7" w14:textId="40071E3F" w:rsidR="005B5CB9" w:rsidRPr="004573E0" w:rsidRDefault="005B5CB9">
            <w:pPr>
              <w:spacing w:before="40" w:after="40"/>
              <w:rPr>
                <w:b/>
                <w:bCs/>
              </w:rPr>
            </w:pPr>
            <w:r w:rsidRPr="004573E0">
              <w:rPr>
                <w:b/>
                <w:bCs/>
              </w:rPr>
              <w:t>2026–27 Victorian Efficient Price</w:t>
            </w:r>
          </w:p>
          <w:p w14:paraId="323BCD80" w14:textId="77777777" w:rsidR="005B5CB9" w:rsidRDefault="005B5CB9">
            <w:pPr>
              <w:spacing w:before="40" w:after="40"/>
            </w:pPr>
            <w:r>
              <w:t>Metropolitan and Large Regional: $6,744 per NWAU</w:t>
            </w:r>
          </w:p>
          <w:p w14:paraId="3B478563" w14:textId="77777777" w:rsidR="005B5CB9" w:rsidRDefault="005B5CB9">
            <w:pPr>
              <w:spacing w:before="40" w:after="40"/>
            </w:pPr>
            <w:r>
              <w:t>Subregional: $7,275 per NWAU</w:t>
            </w:r>
          </w:p>
          <w:p w14:paraId="41D4F14B" w14:textId="77777777" w:rsidR="005B5CB9" w:rsidRDefault="005B5CB9">
            <w:pPr>
              <w:spacing w:before="40" w:after="40"/>
            </w:pPr>
            <w:r>
              <w:t>Compensable rates: DVA $7,258 | TAC $7,934 | WorkSafe $6,207 per NWAU</w:t>
            </w:r>
          </w:p>
          <w:p w14:paraId="2139AB48" w14:textId="77777777" w:rsidR="005B5CB9" w:rsidRDefault="005B5CB9">
            <w:pPr>
              <w:spacing w:before="40" w:after="40"/>
            </w:pPr>
            <w:r>
              <w:t>Note: VEP applies at whole-of-health-service level, not individual campuses.</w:t>
            </w:r>
          </w:p>
        </w:tc>
      </w:tr>
    </w:tbl>
    <w:p w14:paraId="073EB380" w14:textId="01519D06" w:rsidR="005B5CB9" w:rsidRDefault="005B5CB9" w:rsidP="00777CAC">
      <w:pPr>
        <w:pStyle w:val="Body"/>
        <w:spacing w:before="120"/>
        <w:rPr>
          <w:highlight w:val="yellow"/>
        </w:rPr>
      </w:pPr>
      <w:r>
        <w:t xml:space="preserve">Peer pricing groups health services with similar cost characteristics, applying a consistent price within each group. It is a transitional mechanism supporting stability while the system moves toward greater pricing consistency. Assignments are at </w:t>
      </w:r>
      <w:hyperlink w:anchor="_Victorian_pricing_framework" w:history="1">
        <w:r w:rsidRPr="00461CC4">
          <w:rPr>
            <w:rStyle w:val="Hyperlink"/>
          </w:rPr>
          <w:t>Table 2</w:t>
        </w:r>
      </w:hyperlink>
      <w:r w:rsidR="00065D06">
        <w:t>.</w:t>
      </w:r>
    </w:p>
    <w:p w14:paraId="0B78E216" w14:textId="7CFB7EB3" w:rsidR="005B5CB9" w:rsidRPr="00837364" w:rsidRDefault="005B5CB9" w:rsidP="005B5CB9">
      <w:pPr>
        <w:pStyle w:val="Heading3"/>
      </w:pPr>
      <w:bookmarkStart w:id="1568" w:name="_Toc234574557"/>
      <w:bookmarkStart w:id="1569" w:name="_Toc234578151"/>
      <w:bookmarkStart w:id="1570" w:name="_Toc234580275"/>
      <w:r>
        <w:t>Activity targets</w:t>
      </w:r>
      <w:bookmarkEnd w:id="1568"/>
      <w:bookmarkEnd w:id="1569"/>
      <w:bookmarkEnd w:id="1570"/>
    </w:p>
    <w:p w14:paraId="37861C64" w14:textId="77777777" w:rsidR="005B5CB9" w:rsidRDefault="005B5CB9" w:rsidP="00DE2A00">
      <w:pPr>
        <w:pStyle w:val="Body"/>
      </w:pPr>
      <w:r>
        <w:t>Activity targets are set as budget divided by VEP at health service level. A single consolidated target covers all existing and growth activity, supporting flexibility. Stream-based indicative targets may be provided to guide historical allocation understanding and meet IHACPA requirements.</w:t>
      </w:r>
    </w:p>
    <w:p w14:paraId="2EFBFD39" w14:textId="57389D3D" w:rsidR="005B5CB9" w:rsidRDefault="005B5CB9" w:rsidP="005B5CB9">
      <w:pPr>
        <w:pStyle w:val="Heading2"/>
      </w:pPr>
      <w:bookmarkStart w:id="1571" w:name="_2.8__Localised_pricing"/>
      <w:bookmarkStart w:id="1572" w:name="_Toc234580276"/>
      <w:r>
        <w:t>Localised pricing adjustments</w:t>
      </w:r>
      <w:bookmarkEnd w:id="1571"/>
      <w:bookmarkEnd w:id="1572"/>
    </w:p>
    <w:p w14:paraId="142E45D5" w14:textId="77777777" w:rsidR="005B5CB9" w:rsidRPr="00F23792" w:rsidRDefault="005B5CB9" w:rsidP="00F23792">
      <w:pPr>
        <w:pStyle w:val="Body"/>
      </w:pPr>
      <w:r w:rsidRPr="00F23792">
        <w:t>Localised pricing adjustments address material and unavoidable variation in cost recovery that cannot be reflected in the VEP. All adjustments are derived after the VEP is established and operate within the same integrated pricing model. Adjustments are applied sequentially and cumulatively in the order specified below. Each adjustment addresses a distinct source of variation and does not duplicate funding already provided through the VEP or prior adjustments.</w:t>
      </w:r>
    </w:p>
    <w:p w14:paraId="4E39B2DA" w14:textId="77777777" w:rsidR="005B5CB9" w:rsidRPr="00F23792" w:rsidRDefault="005B5CB9" w:rsidP="00F23792">
      <w:pPr>
        <w:pStyle w:val="Body"/>
      </w:pPr>
      <w:r w:rsidRPr="00F23792">
        <w:t>Key principles: anchored to the 85% cost recovery benchmark; a rate below 70% represents material under-recovery; no double-counting; materiality-tested; evidence-based; expressed as relativities scaling with activity and price, sequencing and mutually exclusive.</w:t>
      </w:r>
    </w:p>
    <w:p w14:paraId="168F310F" w14:textId="1829911C" w:rsidR="005B5CB9" w:rsidRDefault="005B5CB9" w:rsidP="00DE2A00">
      <w:pPr>
        <w:pStyle w:val="Tablecaption"/>
      </w:pPr>
      <w:bookmarkStart w:id="1573" w:name="_Toc232527219"/>
      <w:r w:rsidRPr="00DE2A00">
        <w:t xml:space="preserve">Table </w:t>
      </w:r>
      <w:r w:rsidRPr="00DE2A00">
        <w:fldChar w:fldCharType="begin"/>
      </w:r>
      <w:r w:rsidRPr="00DE2A00">
        <w:instrText>SEQ Table \* ARABIC</w:instrText>
      </w:r>
      <w:r w:rsidRPr="00DE2A00">
        <w:fldChar w:fldCharType="separate"/>
      </w:r>
      <w:r w:rsidRPr="00DE2A00">
        <w:t>3</w:t>
      </w:r>
      <w:r w:rsidRPr="00DE2A00">
        <w:fldChar w:fldCharType="end"/>
      </w:r>
      <w:r w:rsidR="009E411F">
        <w:t>.</w:t>
      </w:r>
      <w:r w:rsidRPr="00DE2A00">
        <w:t xml:space="preserve"> Local pricing adjustments</w:t>
      </w:r>
      <w:bookmarkEnd w:id="1573"/>
    </w:p>
    <w:tbl>
      <w:tblPr>
        <w:tblStyle w:val="GridTable4-Accent1"/>
        <w:tblW w:w="0" w:type="auto"/>
        <w:tblLook w:val="04A0" w:firstRow="1" w:lastRow="0" w:firstColumn="1" w:lastColumn="0" w:noHBand="0" w:noVBand="1"/>
      </w:tblPr>
      <w:tblGrid>
        <w:gridCol w:w="2134"/>
        <w:gridCol w:w="3317"/>
        <w:gridCol w:w="3837"/>
      </w:tblGrid>
      <w:tr w:rsidR="00B76863" w:rsidRPr="00B76863" w14:paraId="359FAF02" w14:textId="77777777" w:rsidTr="00EE2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92E41B" w14:textId="73CB5E7B" w:rsidR="00B76863" w:rsidRPr="00B76863" w:rsidRDefault="00B76863" w:rsidP="009D0B64">
            <w:pPr>
              <w:pStyle w:val="Body"/>
              <w:spacing w:after="60" w:line="240" w:lineRule="auto"/>
              <w:rPr>
                <w:sz w:val="18"/>
                <w:szCs w:val="18"/>
              </w:rPr>
            </w:pPr>
            <w:r w:rsidRPr="00B76863">
              <w:rPr>
                <w:sz w:val="18"/>
                <w:szCs w:val="18"/>
              </w:rPr>
              <w:t>Adjustment (applied in sequence)</w:t>
            </w:r>
          </w:p>
        </w:tc>
        <w:tc>
          <w:tcPr>
            <w:tcW w:w="0" w:type="auto"/>
          </w:tcPr>
          <w:p w14:paraId="7745BBE4" w14:textId="5BF47EA1" w:rsidR="00B76863" w:rsidRPr="00B76863" w:rsidRDefault="00B76863" w:rsidP="009D0B64">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76863">
              <w:rPr>
                <w:sz w:val="18"/>
                <w:szCs w:val="18"/>
              </w:rPr>
              <w:t>Purpose</w:t>
            </w:r>
          </w:p>
        </w:tc>
        <w:tc>
          <w:tcPr>
            <w:tcW w:w="0" w:type="auto"/>
          </w:tcPr>
          <w:p w14:paraId="49462319" w14:textId="4DAAE0B2" w:rsidR="00B76863" w:rsidRPr="00B76863" w:rsidRDefault="00B76863" w:rsidP="009D0B64">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76863">
              <w:rPr>
                <w:sz w:val="18"/>
                <w:szCs w:val="18"/>
              </w:rPr>
              <w:t>Key threshold</w:t>
            </w:r>
          </w:p>
        </w:tc>
      </w:tr>
      <w:tr w:rsidR="00B76863" w:rsidRPr="00B76863" w14:paraId="710D88AF" w14:textId="77777777" w:rsidTr="00EE2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0E92E1" w14:textId="0E1C70F2" w:rsidR="00B76863" w:rsidRPr="00B76863" w:rsidRDefault="00B76863" w:rsidP="00327097">
            <w:pPr>
              <w:pStyle w:val="Body"/>
              <w:numPr>
                <w:ilvl w:val="0"/>
                <w:numId w:val="19"/>
              </w:numPr>
              <w:spacing w:after="60" w:line="240" w:lineRule="auto"/>
              <w:rPr>
                <w:sz w:val="18"/>
                <w:szCs w:val="18"/>
              </w:rPr>
            </w:pPr>
            <w:r w:rsidRPr="00B76863">
              <w:rPr>
                <w:color w:val="000000" w:themeColor="text1"/>
                <w:sz w:val="18"/>
                <w:szCs w:val="18"/>
              </w:rPr>
              <w:t>Commissioning new services</w:t>
            </w:r>
          </w:p>
        </w:tc>
        <w:tc>
          <w:tcPr>
            <w:tcW w:w="0" w:type="auto"/>
          </w:tcPr>
          <w:p w14:paraId="1A624399" w14:textId="77777777" w:rsidR="00B76863" w:rsidRPr="00B76863" w:rsidRDefault="00B76863" w:rsidP="009D0B64">
            <w:pPr>
              <w:spacing w:after="60"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B76863">
              <w:rPr>
                <w:color w:val="000000" w:themeColor="text1"/>
                <w:sz w:val="18"/>
                <w:szCs w:val="18"/>
              </w:rPr>
              <w:t xml:space="preserve">Time-limited support (maximum 3 years) for new services where economies of scale cannot be immediately achieved. </w:t>
            </w:r>
          </w:p>
          <w:p w14:paraId="20258E18" w14:textId="46C7F4D6" w:rsidR="00B76863" w:rsidRPr="00B76863" w:rsidRDefault="00B76863" w:rsidP="009D0B64">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76863">
              <w:rPr>
                <w:color w:val="000000" w:themeColor="text1"/>
                <w:sz w:val="18"/>
                <w:szCs w:val="18"/>
              </w:rPr>
              <w:t>Phased down as activity grows.</w:t>
            </w:r>
          </w:p>
        </w:tc>
        <w:tc>
          <w:tcPr>
            <w:tcW w:w="0" w:type="auto"/>
          </w:tcPr>
          <w:p w14:paraId="5BC8E5B7" w14:textId="00088EB0" w:rsidR="00B76863" w:rsidRPr="00B76863" w:rsidRDefault="00B76863" w:rsidP="009D0B64">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76863">
              <w:rPr>
                <w:color w:val="000000" w:themeColor="text1"/>
                <w:sz w:val="18"/>
                <w:szCs w:val="18"/>
              </w:rPr>
              <w:t>New service established as a decision of Government; demonstrated funding gap; material start-up costs; limited early revenue.</w:t>
            </w:r>
          </w:p>
        </w:tc>
      </w:tr>
      <w:tr w:rsidR="00B76863" w:rsidRPr="00B76863" w14:paraId="40CE2C29" w14:textId="77777777" w:rsidTr="00EE2604">
        <w:tc>
          <w:tcPr>
            <w:cnfStyle w:val="001000000000" w:firstRow="0" w:lastRow="0" w:firstColumn="1" w:lastColumn="0" w:oddVBand="0" w:evenVBand="0" w:oddHBand="0" w:evenHBand="0" w:firstRowFirstColumn="0" w:firstRowLastColumn="0" w:lastRowFirstColumn="0" w:lastRowLastColumn="0"/>
            <w:tcW w:w="0" w:type="auto"/>
          </w:tcPr>
          <w:p w14:paraId="291EA1DD" w14:textId="746B7F1E" w:rsidR="00B76863" w:rsidRPr="00B76863" w:rsidRDefault="00B76863" w:rsidP="00327097">
            <w:pPr>
              <w:pStyle w:val="Body"/>
              <w:numPr>
                <w:ilvl w:val="0"/>
                <w:numId w:val="19"/>
              </w:numPr>
              <w:spacing w:after="60" w:line="240" w:lineRule="auto"/>
              <w:rPr>
                <w:sz w:val="18"/>
                <w:szCs w:val="18"/>
              </w:rPr>
            </w:pPr>
            <w:r w:rsidRPr="00B76863">
              <w:rPr>
                <w:color w:val="000000" w:themeColor="text1"/>
                <w:sz w:val="18"/>
                <w:szCs w:val="18"/>
              </w:rPr>
              <w:t>Classification</w:t>
            </w:r>
          </w:p>
        </w:tc>
        <w:tc>
          <w:tcPr>
            <w:tcW w:w="0" w:type="auto"/>
          </w:tcPr>
          <w:p w14:paraId="17345E0D" w14:textId="0C6C532E" w:rsidR="00B76863" w:rsidRPr="00B76863" w:rsidRDefault="00B76863" w:rsidP="009D0B64">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76863">
              <w:rPr>
                <w:color w:val="000000" w:themeColor="text1"/>
                <w:sz w:val="18"/>
                <w:szCs w:val="18"/>
              </w:rPr>
              <w:t>Addresses systemic material under-recovery where national price weights do not reflect efficient cost for specific end-classes.</w:t>
            </w:r>
          </w:p>
        </w:tc>
        <w:tc>
          <w:tcPr>
            <w:tcW w:w="0" w:type="auto"/>
          </w:tcPr>
          <w:p w14:paraId="4F08C621" w14:textId="32BFBCB7" w:rsidR="00B76863" w:rsidRPr="00B76863" w:rsidRDefault="00B76863" w:rsidP="009D0B64">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76863">
              <w:rPr>
                <w:color w:val="000000" w:themeColor="text1"/>
                <w:sz w:val="18"/>
                <w:szCs w:val="18"/>
              </w:rPr>
              <w:t>System-level cost recovery &lt;70%; health service level &lt;85%; potential adjustment &gt;$1m and &gt;50 episodes.</w:t>
            </w:r>
          </w:p>
        </w:tc>
      </w:tr>
      <w:tr w:rsidR="00B76863" w:rsidRPr="00B76863" w14:paraId="51C7B1D3" w14:textId="77777777" w:rsidTr="00EE2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A76471" w14:textId="35D28BAB" w:rsidR="00B76863" w:rsidRPr="00B76863" w:rsidRDefault="00B76863" w:rsidP="00327097">
            <w:pPr>
              <w:pStyle w:val="Body"/>
              <w:numPr>
                <w:ilvl w:val="0"/>
                <w:numId w:val="19"/>
              </w:numPr>
              <w:spacing w:after="60" w:line="240" w:lineRule="auto"/>
              <w:rPr>
                <w:sz w:val="18"/>
                <w:szCs w:val="18"/>
              </w:rPr>
            </w:pPr>
            <w:r w:rsidRPr="00B76863">
              <w:rPr>
                <w:color w:val="000000" w:themeColor="text1"/>
                <w:sz w:val="18"/>
                <w:szCs w:val="18"/>
              </w:rPr>
              <w:t>Loading</w:t>
            </w:r>
          </w:p>
        </w:tc>
        <w:tc>
          <w:tcPr>
            <w:tcW w:w="0" w:type="auto"/>
          </w:tcPr>
          <w:p w14:paraId="53C548CC" w14:textId="1C44732C" w:rsidR="00B76863" w:rsidRPr="00B76863" w:rsidRDefault="00B76863" w:rsidP="009D0B64">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76863">
              <w:rPr>
                <w:color w:val="000000" w:themeColor="text1"/>
                <w:sz w:val="18"/>
                <w:szCs w:val="18"/>
              </w:rPr>
              <w:t xml:space="preserve">Addresses cohort or activity-specific cost variation not adequately captured in national loadings. Brings cohort cost </w:t>
            </w:r>
            <w:r w:rsidRPr="00B76863">
              <w:rPr>
                <w:color w:val="000000" w:themeColor="text1"/>
                <w:sz w:val="18"/>
                <w:szCs w:val="18"/>
              </w:rPr>
              <w:lastRenderedPageBreak/>
              <w:t>recovery to parity with non-cohort benchmark.</w:t>
            </w:r>
          </w:p>
        </w:tc>
        <w:tc>
          <w:tcPr>
            <w:tcW w:w="0" w:type="auto"/>
          </w:tcPr>
          <w:p w14:paraId="52869CCA" w14:textId="090320DA" w:rsidR="00B76863" w:rsidRPr="00B76863" w:rsidRDefault="00B76863" w:rsidP="009D0B64">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76863">
              <w:rPr>
                <w:color w:val="000000" w:themeColor="text1"/>
                <w:sz w:val="18"/>
                <w:szCs w:val="18"/>
              </w:rPr>
              <w:lastRenderedPageBreak/>
              <w:t xml:space="preserve">National model identifies cohort; system-level recovery &lt;70%; health service cohort </w:t>
            </w:r>
            <w:r w:rsidRPr="00B76863">
              <w:rPr>
                <w:color w:val="000000" w:themeColor="text1"/>
                <w:sz w:val="18"/>
                <w:szCs w:val="18"/>
              </w:rPr>
              <w:lastRenderedPageBreak/>
              <w:t>recovery below statewide non-cohort rate; uplift &gt;$1m and &gt;100 episodes.</w:t>
            </w:r>
          </w:p>
        </w:tc>
      </w:tr>
      <w:tr w:rsidR="00B76863" w:rsidRPr="00B76863" w14:paraId="4F90B2D2" w14:textId="77777777" w:rsidTr="00EE2604">
        <w:tc>
          <w:tcPr>
            <w:cnfStyle w:val="001000000000" w:firstRow="0" w:lastRow="0" w:firstColumn="1" w:lastColumn="0" w:oddVBand="0" w:evenVBand="0" w:oddHBand="0" w:evenHBand="0" w:firstRowFirstColumn="0" w:firstRowLastColumn="0" w:lastRowFirstColumn="0" w:lastRowLastColumn="0"/>
            <w:tcW w:w="0" w:type="auto"/>
          </w:tcPr>
          <w:p w14:paraId="73BD22C6" w14:textId="5784F85A" w:rsidR="00B76863" w:rsidRPr="00B76863" w:rsidRDefault="00B76863" w:rsidP="00327097">
            <w:pPr>
              <w:pStyle w:val="Body"/>
              <w:numPr>
                <w:ilvl w:val="0"/>
                <w:numId w:val="19"/>
              </w:numPr>
              <w:spacing w:after="60" w:line="240" w:lineRule="auto"/>
              <w:rPr>
                <w:sz w:val="18"/>
                <w:szCs w:val="18"/>
              </w:rPr>
            </w:pPr>
            <w:r w:rsidRPr="00B76863">
              <w:rPr>
                <w:color w:val="000000" w:themeColor="text1"/>
                <w:sz w:val="18"/>
                <w:szCs w:val="18"/>
              </w:rPr>
              <w:lastRenderedPageBreak/>
              <w:t>Statewide service</w:t>
            </w:r>
          </w:p>
        </w:tc>
        <w:tc>
          <w:tcPr>
            <w:tcW w:w="0" w:type="auto"/>
          </w:tcPr>
          <w:p w14:paraId="39EBF7BF" w14:textId="7871D0AD" w:rsidR="00B76863" w:rsidRPr="00B76863" w:rsidRDefault="00B76863" w:rsidP="009D0B64">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76863">
              <w:rPr>
                <w:color w:val="000000" w:themeColor="text1"/>
                <w:sz w:val="18"/>
                <w:szCs w:val="18"/>
              </w:rPr>
              <w:t>Supports designated statewide services where cost and volume profile is not reflected in the base price.</w:t>
            </w:r>
          </w:p>
        </w:tc>
        <w:tc>
          <w:tcPr>
            <w:tcW w:w="0" w:type="auto"/>
          </w:tcPr>
          <w:p w14:paraId="2C8C30EE" w14:textId="415F6D17" w:rsidR="00B76863" w:rsidRPr="00B76863" w:rsidRDefault="00B76863" w:rsidP="009D0B64">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76863">
              <w:rPr>
                <w:color w:val="000000" w:themeColor="text1"/>
                <w:sz w:val="18"/>
                <w:szCs w:val="18"/>
              </w:rPr>
              <w:t>Department designation as statewide service; high cost or specialised equipment; low volume; single/few providers; significant out-of-catchment clients.</w:t>
            </w:r>
          </w:p>
        </w:tc>
      </w:tr>
      <w:tr w:rsidR="00B76863" w:rsidRPr="00B76863" w14:paraId="31407048" w14:textId="77777777" w:rsidTr="00EE2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6943D0" w14:textId="19A9ECA5" w:rsidR="00B76863" w:rsidRPr="00B76863" w:rsidRDefault="00B76863" w:rsidP="00327097">
            <w:pPr>
              <w:pStyle w:val="Body"/>
              <w:numPr>
                <w:ilvl w:val="0"/>
                <w:numId w:val="19"/>
              </w:numPr>
              <w:spacing w:after="60" w:line="240" w:lineRule="auto"/>
              <w:rPr>
                <w:sz w:val="18"/>
                <w:szCs w:val="18"/>
              </w:rPr>
            </w:pPr>
            <w:r w:rsidRPr="00B76863">
              <w:rPr>
                <w:color w:val="000000" w:themeColor="text1"/>
                <w:sz w:val="18"/>
                <w:szCs w:val="18"/>
              </w:rPr>
              <w:t>Entity</w:t>
            </w:r>
          </w:p>
        </w:tc>
        <w:tc>
          <w:tcPr>
            <w:tcW w:w="0" w:type="auto"/>
          </w:tcPr>
          <w:p w14:paraId="595B66E4" w14:textId="7642FA1C" w:rsidR="00B76863" w:rsidRPr="00B76863" w:rsidRDefault="00B76863" w:rsidP="009D0B64">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76863">
              <w:rPr>
                <w:color w:val="000000" w:themeColor="text1"/>
                <w:sz w:val="18"/>
                <w:szCs w:val="18"/>
              </w:rPr>
              <w:t>Final residual structural under-recovery after all other adjustments. Addresses both cost-side and revenue-side gaps.</w:t>
            </w:r>
          </w:p>
        </w:tc>
        <w:tc>
          <w:tcPr>
            <w:tcW w:w="0" w:type="auto"/>
          </w:tcPr>
          <w:p w14:paraId="0281ED73" w14:textId="77777777" w:rsidR="00B76863" w:rsidRPr="00B76863" w:rsidRDefault="00B76863" w:rsidP="009D0B64">
            <w:pPr>
              <w:spacing w:after="60"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B76863">
              <w:rPr>
                <w:color w:val="000000" w:themeColor="text1"/>
                <w:sz w:val="18"/>
                <w:szCs w:val="18"/>
              </w:rPr>
              <w:t xml:space="preserve">Combined ABF and supplementary revenue &lt;98% of ABF cost; cost-side: recovery &lt;85% (tops up to 85%); revenue-side: supplementary revenue &lt;13% of ABF cost; materiality tests apply. </w:t>
            </w:r>
          </w:p>
          <w:p w14:paraId="22871AFC" w14:textId="4D7F1032" w:rsidR="00B76863" w:rsidRPr="00B76863" w:rsidRDefault="00B76863" w:rsidP="009D0B64">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76863">
              <w:rPr>
                <w:color w:val="000000" w:themeColor="text1"/>
                <w:sz w:val="18"/>
                <w:szCs w:val="18"/>
              </w:rPr>
              <w:t>Capped at 3% of ABF cost.</w:t>
            </w:r>
          </w:p>
        </w:tc>
      </w:tr>
    </w:tbl>
    <w:p w14:paraId="473268F1" w14:textId="77777777" w:rsidR="005B5CB9" w:rsidRDefault="005B5CB9" w:rsidP="00F23792">
      <w:pPr>
        <w:pStyle w:val="Body"/>
        <w:spacing w:before="120"/>
        <w:rPr>
          <w:strike/>
        </w:rPr>
      </w:pPr>
      <w:r>
        <w:t xml:space="preserve">Adjustments are expressed as relativities applied to a health service’s ABF revenue. </w:t>
      </w:r>
    </w:p>
    <w:p w14:paraId="73F0BE7D" w14:textId="4519FD94" w:rsidR="005B5CB9" w:rsidRDefault="005B5CB9" w:rsidP="005B5CB9">
      <w:pPr>
        <w:pStyle w:val="Heading2"/>
      </w:pPr>
      <w:bookmarkStart w:id="1574" w:name="_2.9_Legacy_and_1"/>
      <w:bookmarkStart w:id="1575" w:name="_Legacy_and_specified"/>
      <w:bookmarkStart w:id="1576" w:name="_Toc234580277"/>
      <w:bookmarkEnd w:id="1574"/>
      <w:bookmarkEnd w:id="1575"/>
      <w:r>
        <w:t>Legacy and specified grants</w:t>
      </w:r>
      <w:bookmarkEnd w:id="1576"/>
    </w:p>
    <w:p w14:paraId="75C8B28D" w14:textId="78E6EBF3" w:rsidR="005B5CB9" w:rsidRPr="009D0B64" w:rsidRDefault="005B5CB9" w:rsidP="009D0B64">
      <w:pPr>
        <w:pStyle w:val="Body"/>
      </w:pPr>
      <w:r w:rsidRPr="009D0B64">
        <w:t>Legacy and specified grants are historical and program-specific funding allocations outside the Victorian ABF pricing framework. They are explicitly excluded from efficient cost calculations, cost recovery benchmarks and pricing adjustments</w:t>
      </w:r>
      <w:r w:rsidR="00F23792" w:rsidRPr="009D0B64">
        <w:t xml:space="preserve"> - </w:t>
      </w:r>
      <w:r w:rsidRPr="009D0B64">
        <w:t>preserving the integrity of the price signal.</w:t>
      </w:r>
    </w:p>
    <w:p w14:paraId="2F76AFDA" w14:textId="64BFFBB5" w:rsidR="005B5CB9" w:rsidRPr="009D0B64" w:rsidRDefault="005B5CB9" w:rsidP="009D0B64">
      <w:pPr>
        <w:pStyle w:val="Body"/>
      </w:pPr>
      <w:r w:rsidRPr="009D0B64">
        <w:t xml:space="preserve">In </w:t>
      </w:r>
      <w:r w:rsidR="009D05A6">
        <w:t>2026–27</w:t>
      </w:r>
      <w:r w:rsidRPr="009D0B64">
        <w:t>, 14 legacy and historical EBA grants were aligned with the Victorian ABF pricing framework. The department is systematically reviewing legacy grants to transition eligible services to ABF, incorporate funding into structured adjustments, or rationalise allocations no longer aligned with current policy objectives.</w:t>
      </w:r>
    </w:p>
    <w:p w14:paraId="774515EF" w14:textId="77777777" w:rsidR="005B5CB9" w:rsidRPr="009D0B64" w:rsidRDefault="005B5CB9" w:rsidP="009D0B64">
      <w:pPr>
        <w:pStyle w:val="Body"/>
      </w:pPr>
      <w:r w:rsidRPr="009D0B64">
        <w:t xml:space="preserve">While legacy and specified grants sit outside the pricing methodology, they are an essential component of overall funding outcomes and should be considered in interpreting health service funding positions. </w:t>
      </w:r>
    </w:p>
    <w:p w14:paraId="30676690" w14:textId="1FB002AE" w:rsidR="005B5CB9" w:rsidRPr="00852B57" w:rsidRDefault="005B5CB9" w:rsidP="005B5CB9">
      <w:pPr>
        <w:pStyle w:val="Heading2"/>
      </w:pPr>
      <w:bookmarkStart w:id="1577" w:name="_2.10_Application_of"/>
      <w:bookmarkStart w:id="1578" w:name="_Toc234580278"/>
      <w:bookmarkEnd w:id="1577"/>
      <w:r>
        <w:t xml:space="preserve">Application of </w:t>
      </w:r>
      <w:r w:rsidR="006D5696">
        <w:t>Funding rules</w:t>
      </w:r>
      <w:bookmarkEnd w:id="1578"/>
    </w:p>
    <w:p w14:paraId="09D67C28" w14:textId="0C954C0A" w:rsidR="005B5CB9" w:rsidRPr="00852B57" w:rsidRDefault="005B5CB9" w:rsidP="00F23792">
      <w:pPr>
        <w:pStyle w:val="Body"/>
      </w:pPr>
      <w:r>
        <w:t xml:space="preserve">Unless otherwise specified, the following rules apply to all funding models described in these </w:t>
      </w:r>
      <w:r w:rsidR="006D5696">
        <w:t>Funding rules</w:t>
      </w:r>
      <w:r>
        <w:t xml:space="preserve">, including but not limited to </w:t>
      </w:r>
      <w:r w:rsidR="00DE704F">
        <w:t>ABF</w:t>
      </w:r>
      <w:r>
        <w:t>.</w:t>
      </w:r>
    </w:p>
    <w:p w14:paraId="0465B5D8" w14:textId="7C13ABA8" w:rsidR="005B5CB9" w:rsidRPr="008B0584" w:rsidRDefault="005B5CB9" w:rsidP="005B5CB9">
      <w:pPr>
        <w:pStyle w:val="Heading3"/>
      </w:pPr>
      <w:bookmarkStart w:id="1579" w:name="_Toc234574561"/>
      <w:bookmarkStart w:id="1580" w:name="_Toc234578155"/>
      <w:bookmarkStart w:id="1581" w:name="_Toc234580279"/>
      <w:r>
        <w:t xml:space="preserve">Eligibility for </w:t>
      </w:r>
      <w:r w:rsidR="00F70033">
        <w:t>ABF</w:t>
      </w:r>
      <w:r>
        <w:t xml:space="preserve"> under the NHRA</w:t>
      </w:r>
      <w:bookmarkEnd w:id="1579"/>
      <w:bookmarkEnd w:id="1580"/>
      <w:bookmarkEnd w:id="1581"/>
    </w:p>
    <w:p w14:paraId="4CFDD27F" w14:textId="42ABC990" w:rsidR="005B5CB9" w:rsidRPr="00727321" w:rsidRDefault="005B5CB9" w:rsidP="009D0B64">
      <w:pPr>
        <w:pStyle w:val="Body"/>
      </w:pPr>
      <w:r>
        <w:t xml:space="preserve">Eligibility determines whether activity attracts funding under these </w:t>
      </w:r>
      <w:r w:rsidR="006D5696">
        <w:t>Funding rules</w:t>
      </w:r>
      <w:r>
        <w:t xml:space="preserve">. It does not determine the level of cost recovery, which is governed by the Victorian ABF pricing framework and broader funding arrangements set out in </w:t>
      </w:r>
      <w:hyperlink w:anchor="_1_National_funding" w:history="1">
        <w:r w:rsidRPr="00DB4F6E">
          <w:rPr>
            <w:rStyle w:val="Hyperlink"/>
          </w:rPr>
          <w:t>Section 1.</w:t>
        </w:r>
      </w:hyperlink>
    </w:p>
    <w:p w14:paraId="4081205D" w14:textId="77777777" w:rsidR="005B5CB9" w:rsidRPr="00727321" w:rsidRDefault="005B5CB9" w:rsidP="009D0B64">
      <w:pPr>
        <w:pStyle w:val="Body"/>
      </w:pPr>
      <w:r>
        <w:t xml:space="preserve">To be eligible for funding, activity must meet </w:t>
      </w:r>
      <w:proofErr w:type="gramStart"/>
      <w:r>
        <w:t>all of</w:t>
      </w:r>
      <w:proofErr w:type="gramEnd"/>
      <w:r>
        <w:t xml:space="preserve"> the following requirements:</w:t>
      </w:r>
    </w:p>
    <w:p w14:paraId="34C35B8A" w14:textId="77777777" w:rsidR="005B5CB9" w:rsidRPr="00727321" w:rsidRDefault="005B5CB9" w:rsidP="009D0B64">
      <w:pPr>
        <w:pStyle w:val="Bullet1"/>
      </w:pPr>
      <w:r>
        <w:t>be classified using an approved national classification relevant to the service setting</w:t>
      </w:r>
    </w:p>
    <w:p w14:paraId="459B891C" w14:textId="77777777" w:rsidR="005B5CB9" w:rsidRPr="00727321" w:rsidRDefault="005B5CB9" w:rsidP="009D0B64">
      <w:pPr>
        <w:pStyle w:val="Bullet1"/>
      </w:pPr>
      <w:r>
        <w:t>be supported by complete, accurate and valid activity and costing data</w:t>
      </w:r>
    </w:p>
    <w:p w14:paraId="7AE7D80D" w14:textId="77777777" w:rsidR="005B5CB9" w:rsidRPr="00727321" w:rsidRDefault="005B5CB9" w:rsidP="009D0B64">
      <w:pPr>
        <w:pStyle w:val="Bullet1"/>
      </w:pPr>
      <w:r>
        <w:t>be delivered within an approved service scope or program</w:t>
      </w:r>
    </w:p>
    <w:p w14:paraId="2B58659B" w14:textId="36D24978" w:rsidR="005B5CB9" w:rsidRPr="00727321" w:rsidRDefault="005B5CB9" w:rsidP="009D0B64">
      <w:pPr>
        <w:pStyle w:val="Bullet1"/>
      </w:pPr>
      <w:r>
        <w:t xml:space="preserve">not be excluded under these </w:t>
      </w:r>
      <w:r w:rsidR="006D5696">
        <w:t>Funding rules</w:t>
      </w:r>
      <w:r>
        <w:t>.</w:t>
      </w:r>
    </w:p>
    <w:p w14:paraId="793EC0F3" w14:textId="77777777" w:rsidR="005B5CB9" w:rsidRPr="00727321" w:rsidRDefault="005B5CB9" w:rsidP="005B5CB9">
      <w:pPr>
        <w:spacing w:before="80" w:after="80"/>
      </w:pPr>
      <w:r>
        <w:t>Activity that does not meet these conditions is not eligible for funding unless explicitly approved by the department in accordance with the provisions.</w:t>
      </w:r>
    </w:p>
    <w:p w14:paraId="777D1BB7" w14:textId="77777777" w:rsidR="005B5CB9" w:rsidRPr="008B0584" w:rsidRDefault="005B5CB9" w:rsidP="009D0B64">
      <w:pPr>
        <w:pStyle w:val="Body"/>
      </w:pPr>
      <w:r>
        <w:t>Funding determinations are based on submitted data. Incomplete, invalid or late data submissions will not attract funding unless otherwise approved.</w:t>
      </w:r>
    </w:p>
    <w:p w14:paraId="159D3BFC" w14:textId="0E0BC33F" w:rsidR="005B5CB9" w:rsidRPr="008B0584" w:rsidRDefault="005B5CB9" w:rsidP="005B5CB9">
      <w:pPr>
        <w:pStyle w:val="Heading3"/>
      </w:pPr>
      <w:bookmarkStart w:id="1582" w:name="_Toc234574562"/>
      <w:bookmarkStart w:id="1583" w:name="_Toc234578156"/>
      <w:bookmarkStart w:id="1584" w:name="_Toc234580280"/>
      <w:r>
        <w:lastRenderedPageBreak/>
        <w:t>Assignment of funding model</w:t>
      </w:r>
      <w:bookmarkEnd w:id="1582"/>
      <w:bookmarkEnd w:id="1583"/>
      <w:bookmarkEnd w:id="1584"/>
    </w:p>
    <w:p w14:paraId="4C12F9CE" w14:textId="4BE78226" w:rsidR="005B5CB9" w:rsidRPr="00727321" w:rsidRDefault="005B5CB9" w:rsidP="009D0B64">
      <w:pPr>
        <w:pStyle w:val="Body"/>
      </w:pPr>
      <w:r>
        <w:t xml:space="preserve">Each service, program or activity is assigned to a single primary funding model: </w:t>
      </w:r>
      <w:r w:rsidR="000A699A">
        <w:t>ABF</w:t>
      </w:r>
      <w:r>
        <w:t>, block funding, or an alternative program-based approach.</w:t>
      </w:r>
    </w:p>
    <w:p w14:paraId="0F0623B6" w14:textId="77777777" w:rsidR="005B5CB9" w:rsidRPr="00727321" w:rsidRDefault="005B5CB9" w:rsidP="009D0B64">
      <w:pPr>
        <w:pStyle w:val="Body"/>
      </w:pPr>
      <w:r>
        <w:t>Assignment is determined by the nature of the activity and its alignment with the National Health Reform Agreement and associated classifications. Where activity could reasonably fall across multiple models, the classification most consistent with national definitions is applied.</w:t>
      </w:r>
    </w:p>
    <w:p w14:paraId="7994C8B7" w14:textId="77777777" w:rsidR="005B5CB9" w:rsidRPr="00727321" w:rsidRDefault="005B5CB9" w:rsidP="009D0B64">
      <w:pPr>
        <w:pStyle w:val="Body"/>
      </w:pPr>
      <w:r>
        <w:t>In practice, funding models operate in a complementary but distinct manner:</w:t>
      </w:r>
    </w:p>
    <w:p w14:paraId="5BE51F3F" w14:textId="45775284" w:rsidR="005B5CB9" w:rsidRPr="00727321" w:rsidRDefault="000A699A" w:rsidP="009D0B64">
      <w:pPr>
        <w:pStyle w:val="Bullet1"/>
      </w:pPr>
      <w:r>
        <w:t>ABF</w:t>
      </w:r>
      <w:r w:rsidR="005B5CB9">
        <w:t xml:space="preserve"> applies where activity can be consistently classified, counted and priced</w:t>
      </w:r>
    </w:p>
    <w:p w14:paraId="7FEC9D02" w14:textId="1CA52DB8" w:rsidR="005B5CB9" w:rsidRPr="00727321" w:rsidRDefault="005B5CB9" w:rsidP="009D0B64">
      <w:pPr>
        <w:pStyle w:val="Bullet1"/>
      </w:pPr>
      <w:r>
        <w:t xml:space="preserve">block funding applies where the requirements for </w:t>
      </w:r>
      <w:r w:rsidR="000A699A">
        <w:t>ABF</w:t>
      </w:r>
      <w:r>
        <w:t xml:space="preserve"> cannot be met</w:t>
      </w:r>
    </w:p>
    <w:p w14:paraId="33504FDC" w14:textId="77777777" w:rsidR="005B5CB9" w:rsidRPr="00727321" w:rsidRDefault="005B5CB9" w:rsidP="009D0B64">
      <w:pPr>
        <w:pStyle w:val="Bullet1"/>
        <w:spacing w:after="120"/>
      </w:pPr>
      <w:r>
        <w:t>alternative models apply where service characteristics, or policy objectives, require a tailored approach.</w:t>
      </w:r>
    </w:p>
    <w:p w14:paraId="2B1487C2" w14:textId="77777777" w:rsidR="005B5CB9" w:rsidRPr="00727321" w:rsidRDefault="005B5CB9" w:rsidP="009D0B64">
      <w:pPr>
        <w:pStyle w:val="Body"/>
      </w:pPr>
      <w:r>
        <w:t>Funding provided under one model must not duplicate funding provided under another.</w:t>
      </w:r>
    </w:p>
    <w:p w14:paraId="4DA8F957" w14:textId="3FD1D5BC" w:rsidR="005B5CB9" w:rsidRPr="008B0584" w:rsidRDefault="005B5CB9" w:rsidP="005B5CB9">
      <w:pPr>
        <w:pStyle w:val="Heading3"/>
      </w:pPr>
      <w:bookmarkStart w:id="1585" w:name="_Toc234574563"/>
      <w:bookmarkStart w:id="1586" w:name="_Toc234578157"/>
      <w:bookmarkStart w:id="1587" w:name="_Toc234580281"/>
      <w:r>
        <w:t>Localised pricing adjustments – application rules</w:t>
      </w:r>
      <w:bookmarkEnd w:id="1585"/>
      <w:bookmarkEnd w:id="1586"/>
      <w:bookmarkEnd w:id="1587"/>
    </w:p>
    <w:p w14:paraId="66724C9B" w14:textId="77777777" w:rsidR="005B5CB9" w:rsidRPr="00E67DC5" w:rsidRDefault="005B5CB9" w:rsidP="009D0B64">
      <w:pPr>
        <w:pStyle w:val="Body"/>
        <w:rPr>
          <w:rStyle w:val="Hyperlink"/>
          <w:highlight w:val="yellow"/>
        </w:rPr>
      </w:pPr>
      <w:r>
        <w:t xml:space="preserve">Localised pricing adjustments are applied in accordance with the Victorian ABF pricing framework set out in </w:t>
      </w:r>
      <w:hyperlink w:anchor="_2_Victorian_pricing" w:history="1">
        <w:r w:rsidRPr="002A63B4">
          <w:rPr>
            <w:rStyle w:val="Hyperlink"/>
          </w:rPr>
          <w:t>Section 2.</w:t>
        </w:r>
      </w:hyperlink>
    </w:p>
    <w:p w14:paraId="49F1B385" w14:textId="77777777" w:rsidR="005B5CB9" w:rsidRPr="00E67DC5" w:rsidRDefault="005B5CB9" w:rsidP="009D0B64">
      <w:pPr>
        <w:pStyle w:val="Body"/>
      </w:pPr>
      <w:r>
        <w:t>Adjustments are:</w:t>
      </w:r>
    </w:p>
    <w:p w14:paraId="5880CDA8" w14:textId="77777777" w:rsidR="005B5CB9" w:rsidRPr="00E67DC5" w:rsidRDefault="005B5CB9" w:rsidP="009D0B64">
      <w:pPr>
        <w:pStyle w:val="Bullet1"/>
      </w:pPr>
      <w:r>
        <w:t>applied sequentially and cumulatively in the prescribed order</w:t>
      </w:r>
    </w:p>
    <w:p w14:paraId="605E85CA" w14:textId="77777777" w:rsidR="005B5CB9" w:rsidRPr="00E67DC5" w:rsidRDefault="005B5CB9" w:rsidP="009D0B64">
      <w:pPr>
        <w:pStyle w:val="Bullet1"/>
      </w:pPr>
      <w:r>
        <w:t>required to address a distinct source of cost variation</w:t>
      </w:r>
    </w:p>
    <w:p w14:paraId="253F7578" w14:textId="77777777" w:rsidR="005B5CB9" w:rsidRPr="00E67DC5" w:rsidRDefault="005B5CB9" w:rsidP="009D0B64">
      <w:pPr>
        <w:pStyle w:val="Bullet1"/>
      </w:pPr>
      <w:r>
        <w:t>subject to defined materiality, evidence and threshold criteria</w:t>
      </w:r>
    </w:p>
    <w:p w14:paraId="0E8A4354" w14:textId="77777777" w:rsidR="005B5CB9" w:rsidRPr="00E67DC5" w:rsidRDefault="005B5CB9" w:rsidP="009D0B64">
      <w:pPr>
        <w:pStyle w:val="Bullet1"/>
        <w:spacing w:after="120"/>
      </w:pPr>
      <w:r>
        <w:t>applied in a manner that avoids duplication of funding for the same cost driver.</w:t>
      </w:r>
    </w:p>
    <w:p w14:paraId="6945B2F9" w14:textId="77777777" w:rsidR="005B5CB9" w:rsidRPr="00E67DC5" w:rsidRDefault="005B5CB9" w:rsidP="009D0B64">
      <w:pPr>
        <w:pStyle w:val="Body"/>
      </w:pPr>
      <w:r>
        <w:t>Where multiple adjustments apply, earlier adjustments form part of the base for subsequent calculations. The Entity adjustment is applied last as a residual adjustment.</w:t>
      </w:r>
    </w:p>
    <w:p w14:paraId="31EFE2E9" w14:textId="4A28CEEB" w:rsidR="005B5CB9" w:rsidRPr="00E67DC5" w:rsidRDefault="005B5CB9" w:rsidP="009D0B64">
      <w:pPr>
        <w:pStyle w:val="Body"/>
      </w:pPr>
      <w:r>
        <w:t xml:space="preserve">Eligibility, methodology and final allocation of all adjustments are determined by the department in accordance with its authority under these </w:t>
      </w:r>
      <w:r w:rsidR="006D5696">
        <w:t>Funding rules</w:t>
      </w:r>
      <w:r>
        <w:t>.</w:t>
      </w:r>
    </w:p>
    <w:p w14:paraId="5AE0C010" w14:textId="6DB06ED5" w:rsidR="005B5CB9" w:rsidRPr="008B0584" w:rsidRDefault="005B5CB9" w:rsidP="005B5CB9">
      <w:pPr>
        <w:pStyle w:val="Heading3"/>
      </w:pPr>
      <w:bookmarkStart w:id="1588" w:name="_Toc234574564"/>
      <w:bookmarkStart w:id="1589" w:name="_Toc234578158"/>
      <w:bookmarkStart w:id="1590" w:name="_Toc234580282"/>
      <w:r>
        <w:t>Treatment of errors, disputes and exceptional circumstances</w:t>
      </w:r>
      <w:bookmarkEnd w:id="1588"/>
      <w:bookmarkEnd w:id="1589"/>
      <w:bookmarkEnd w:id="1590"/>
    </w:p>
    <w:p w14:paraId="7B350139" w14:textId="77777777" w:rsidR="005B5CB9" w:rsidRPr="00394493" w:rsidRDefault="005B5CB9" w:rsidP="009D0B64">
      <w:pPr>
        <w:pStyle w:val="Body"/>
      </w:pPr>
      <w:r>
        <w:t>Health services are responsible for ensuring that activity data is accurate and complete prior to dataset finalisation.</w:t>
      </w:r>
    </w:p>
    <w:p w14:paraId="3B7CD8A0" w14:textId="77777777" w:rsidR="005B5CB9" w:rsidRPr="00394493" w:rsidRDefault="005B5CB9" w:rsidP="005B5CB9">
      <w:pPr>
        <w:spacing w:before="80" w:after="80"/>
      </w:pPr>
      <w:r>
        <w:t>Where errors in classification or attribution are identified:</w:t>
      </w:r>
    </w:p>
    <w:p w14:paraId="3F8F41C6" w14:textId="77777777" w:rsidR="005B5CB9" w:rsidRPr="00394493" w:rsidRDefault="005B5CB9" w:rsidP="009D0B64">
      <w:pPr>
        <w:pStyle w:val="Bullet1"/>
      </w:pPr>
      <w:r>
        <w:t>records must be corrected prior to finalisation where possible</w:t>
      </w:r>
    </w:p>
    <w:p w14:paraId="75DB25FD" w14:textId="77777777" w:rsidR="005B5CB9" w:rsidRPr="00394493" w:rsidRDefault="005B5CB9" w:rsidP="009D0B64">
      <w:pPr>
        <w:pStyle w:val="Bullet1"/>
      </w:pPr>
      <w:r>
        <w:t>funding impacts are managed through established prior-year adjustment processes where relevant</w:t>
      </w:r>
    </w:p>
    <w:p w14:paraId="734D4BAD" w14:textId="77777777" w:rsidR="005B5CB9" w:rsidRPr="00394493" w:rsidRDefault="005B5CB9" w:rsidP="009D0B64">
      <w:pPr>
        <w:pStyle w:val="Bullet1"/>
      </w:pPr>
      <w:r>
        <w:t>failure to correct records may result in non-payment.</w:t>
      </w:r>
    </w:p>
    <w:p w14:paraId="775D13EC" w14:textId="2C7E19C7" w:rsidR="005B5CB9" w:rsidRPr="00394493" w:rsidRDefault="005B5CB9" w:rsidP="009D0B64">
      <w:pPr>
        <w:pStyle w:val="Body"/>
      </w:pPr>
      <w:r>
        <w:t xml:space="preserve">Where disputes arise regarding funding treatment, health services must provide supporting evidence and justification. The department will assess the information and determine the outcome in accordance with the governing provisions of these </w:t>
      </w:r>
      <w:r w:rsidR="006D5696">
        <w:t>Funding rules</w:t>
      </w:r>
      <w:r>
        <w:t>.</w:t>
      </w:r>
    </w:p>
    <w:p w14:paraId="48D22A1D" w14:textId="77777777" w:rsidR="005B5CB9" w:rsidRPr="00394493" w:rsidRDefault="005B5CB9" w:rsidP="009D0B64">
      <w:pPr>
        <w:pStyle w:val="Body"/>
      </w:pPr>
      <w:r>
        <w:t xml:space="preserve">In exceptional circumstances, the department may apply discretionary adjustments where events outside reasonable control such as system disruptions or emergencies materially affects activity delivery or data integrity. Health services must notify the department in a timely manner and </w:t>
      </w:r>
      <w:r>
        <w:lastRenderedPageBreak/>
        <w:t>demonstrate that reasonable mitigation actions have been taken. No additional funding is guaranteed.</w:t>
      </w:r>
    </w:p>
    <w:p w14:paraId="41A66B3C" w14:textId="3C54E392" w:rsidR="005B5CB9" w:rsidRPr="008B0584" w:rsidRDefault="005B5CB9" w:rsidP="005B5CB9">
      <w:pPr>
        <w:pStyle w:val="Heading3"/>
      </w:pPr>
      <w:bookmarkStart w:id="1591" w:name="_Toc234574565"/>
      <w:bookmarkStart w:id="1592" w:name="_Toc234578159"/>
      <w:bookmarkStart w:id="1593" w:name="_Toc234580283"/>
      <w:r>
        <w:t>Exclusions from funding</w:t>
      </w:r>
      <w:bookmarkEnd w:id="1591"/>
      <w:bookmarkEnd w:id="1592"/>
      <w:bookmarkEnd w:id="1593"/>
    </w:p>
    <w:p w14:paraId="286CA854" w14:textId="77777777" w:rsidR="005B5CB9" w:rsidRPr="00394493" w:rsidRDefault="005B5CB9" w:rsidP="009D0B64">
      <w:pPr>
        <w:pStyle w:val="Body"/>
      </w:pPr>
      <w:r>
        <w:t>Certain activity does not attract funding under the Victorian public hospital funding model. This includes:</w:t>
      </w:r>
    </w:p>
    <w:p w14:paraId="6B825596" w14:textId="7D602938" w:rsidR="005B5CB9" w:rsidRPr="00394493" w:rsidRDefault="005B5CB9" w:rsidP="009D0B64">
      <w:pPr>
        <w:pStyle w:val="Bullet1"/>
      </w:pPr>
      <w:r>
        <w:t xml:space="preserve">activity explicitly identified as out of scope in these </w:t>
      </w:r>
      <w:r w:rsidR="006D5696">
        <w:t>Funding rules</w:t>
      </w:r>
    </w:p>
    <w:p w14:paraId="021A48BE" w14:textId="77777777" w:rsidR="005B5CB9" w:rsidRPr="00394493" w:rsidRDefault="005B5CB9" w:rsidP="009D0B64">
      <w:pPr>
        <w:pStyle w:val="Bullet1"/>
      </w:pPr>
      <w:r>
        <w:t>activity with invalid, incomplete or unpriced classifications</w:t>
      </w:r>
    </w:p>
    <w:p w14:paraId="45654E35" w14:textId="77777777" w:rsidR="005B5CB9" w:rsidRPr="00394493" w:rsidRDefault="005B5CB9" w:rsidP="009D0B64">
      <w:pPr>
        <w:pStyle w:val="Bullet1"/>
      </w:pPr>
      <w:r>
        <w:t>activity that cannot be assigned a recognised unit of measure, including NWAU where applicable</w:t>
      </w:r>
    </w:p>
    <w:p w14:paraId="5A760F09" w14:textId="77777777" w:rsidR="005B5CB9" w:rsidRPr="00370C79" w:rsidRDefault="005B5CB9" w:rsidP="009D0B64">
      <w:pPr>
        <w:pStyle w:val="Bullet1"/>
        <w:spacing w:after="120"/>
      </w:pPr>
      <w:r w:rsidRPr="00370C79">
        <w:t xml:space="preserve">activity funded through alternative mechanisms, refer to </w:t>
      </w:r>
      <w:hyperlink w:anchor="_Toc164262523" w:history="1">
        <w:r w:rsidRPr="00370C79">
          <w:rPr>
            <w:rStyle w:val="Hyperlink"/>
          </w:rPr>
          <w:t>Section 5</w:t>
        </w:r>
      </w:hyperlink>
      <w:r w:rsidRPr="00370C79">
        <w:t>.</w:t>
      </w:r>
    </w:p>
    <w:p w14:paraId="7E2BBD8F" w14:textId="77777777" w:rsidR="005B5CB9" w:rsidRPr="00370C79" w:rsidRDefault="005B5CB9" w:rsidP="009D0B64">
      <w:pPr>
        <w:pStyle w:val="Body"/>
        <w:rPr>
          <w:rStyle w:val="Hyperlink"/>
        </w:rPr>
      </w:pPr>
      <w:r w:rsidRPr="00370C79">
        <w:t xml:space="preserve">These exclusions operate in addition to scope limitations set out in </w:t>
      </w:r>
      <w:hyperlink w:anchor="_2.1_Scope" w:history="1">
        <w:r w:rsidRPr="00370C79">
          <w:rPr>
            <w:rStyle w:val="Hyperlink"/>
          </w:rPr>
          <w:t>Section 2.1.</w:t>
        </w:r>
      </w:hyperlink>
    </w:p>
    <w:p w14:paraId="6F14095D" w14:textId="77777777" w:rsidR="005B5CB9" w:rsidRDefault="005B5CB9" w:rsidP="009D0B64">
      <w:pPr>
        <w:pStyle w:val="Body"/>
      </w:pPr>
      <w:r>
        <w:t>No proxy, fallback or substitute funding applies unless explicitly specified.</w:t>
      </w:r>
      <w:bookmarkStart w:id="1594" w:name="_2.9_Legacy_and"/>
      <w:bookmarkEnd w:id="1594"/>
    </w:p>
    <w:p w14:paraId="6EB81CB5" w14:textId="13093FA1" w:rsidR="005B5CB9" w:rsidRPr="00EA3A75" w:rsidRDefault="005B5CB9" w:rsidP="009D0B64">
      <w:pPr>
        <w:pStyle w:val="Heading1"/>
      </w:pPr>
      <w:bookmarkStart w:id="1595" w:name="_3_NHRA_services"/>
      <w:bookmarkStart w:id="1596" w:name="_Toc165961795"/>
      <w:bookmarkStart w:id="1597" w:name="_Toc234580284"/>
      <w:bookmarkEnd w:id="1595"/>
      <w:r>
        <w:lastRenderedPageBreak/>
        <w:t xml:space="preserve">NHRA services funded outside the Victorian ABF </w:t>
      </w:r>
      <w:bookmarkEnd w:id="1596"/>
      <w:r>
        <w:t>pricing framework</w:t>
      </w:r>
      <w:bookmarkEnd w:id="1597"/>
    </w:p>
    <w:p w14:paraId="2832498F" w14:textId="77777777" w:rsidR="005B5CB9" w:rsidRPr="009D0B64" w:rsidRDefault="005B5CB9" w:rsidP="009D0B64">
      <w:pPr>
        <w:pStyle w:val="Body"/>
      </w:pPr>
      <w:r w:rsidRPr="009D0B64">
        <w:t>The following services are within scope of the NHRA and have funding arrangements that sit outside the Victorian ABF pricing framework. Some funding models align with the national approach, whereas others are unique to the Victorian setting.</w:t>
      </w:r>
    </w:p>
    <w:p w14:paraId="2C3CCBE4" w14:textId="1F50B6D5" w:rsidR="005B5CB9" w:rsidRPr="007F03EF" w:rsidRDefault="005B5CB9" w:rsidP="005B5CB9">
      <w:pPr>
        <w:pStyle w:val="Heading2"/>
      </w:pPr>
      <w:bookmarkStart w:id="1598" w:name="_Toc164262473"/>
      <w:bookmarkStart w:id="1599" w:name="_Toc164262808"/>
      <w:bookmarkStart w:id="1600" w:name="_Toc164262474"/>
      <w:bookmarkStart w:id="1601" w:name="_Toc164262809"/>
      <w:bookmarkStart w:id="1602" w:name="_Toc164262475"/>
      <w:bookmarkStart w:id="1603" w:name="_Toc164262810"/>
      <w:bookmarkStart w:id="1604" w:name="_Toc164262476"/>
      <w:bookmarkStart w:id="1605" w:name="_Toc164262811"/>
      <w:bookmarkStart w:id="1606" w:name="_3.1_Community_palliative"/>
      <w:bookmarkStart w:id="1607" w:name="_Toc165961796"/>
      <w:bookmarkStart w:id="1608" w:name="_Ref199253120"/>
      <w:bookmarkStart w:id="1609" w:name="_Ref199253135"/>
      <w:bookmarkStart w:id="1610" w:name="_Ref199253146"/>
      <w:bookmarkStart w:id="1611" w:name="_Ref199253165"/>
      <w:bookmarkStart w:id="1612" w:name="_Ref199253186"/>
      <w:bookmarkStart w:id="1613" w:name="_Ref199253207"/>
      <w:bookmarkStart w:id="1614" w:name="_Toc234580285"/>
      <w:bookmarkEnd w:id="1598"/>
      <w:bookmarkEnd w:id="1599"/>
      <w:bookmarkEnd w:id="1600"/>
      <w:bookmarkEnd w:id="1601"/>
      <w:bookmarkEnd w:id="1602"/>
      <w:bookmarkEnd w:id="1603"/>
      <w:bookmarkEnd w:id="1604"/>
      <w:bookmarkEnd w:id="1605"/>
      <w:bookmarkEnd w:id="1606"/>
      <w:r>
        <w:t xml:space="preserve">Community </w:t>
      </w:r>
      <w:bookmarkEnd w:id="1607"/>
      <w:r>
        <w:t>palliative care</w:t>
      </w:r>
      <w:bookmarkEnd w:id="1608"/>
      <w:bookmarkEnd w:id="1609"/>
      <w:bookmarkEnd w:id="1610"/>
      <w:bookmarkEnd w:id="1611"/>
      <w:bookmarkEnd w:id="1612"/>
      <w:bookmarkEnd w:id="1613"/>
      <w:bookmarkEnd w:id="1614"/>
    </w:p>
    <w:p w14:paraId="3366B49C" w14:textId="77777777" w:rsidR="005B5CB9" w:rsidRPr="00EE6F16" w:rsidRDefault="005B5CB9" w:rsidP="00EE6F16">
      <w:pPr>
        <w:pStyle w:val="Body"/>
      </w:pPr>
      <w:r w:rsidRPr="00EE6F16">
        <w:t xml:space="preserve">NFM: NWAU ABF. Victoria: block-grant basis. The department proposes to review these arrangements to improve NFM alignment. </w:t>
      </w:r>
    </w:p>
    <w:p w14:paraId="062B82CB" w14:textId="77777777" w:rsidR="005B5CB9" w:rsidRPr="00EE6F16" w:rsidRDefault="005B5CB9" w:rsidP="00EE6F16">
      <w:pPr>
        <w:pStyle w:val="Body"/>
      </w:pPr>
      <w:r w:rsidRPr="00EE6F16">
        <w:t>Each Victorian local government area has a designated service with a prescribed catchment, including obligations to service residential aged care facilities and disability group homes. Flexible funds for home care are incorporated in each service’s allocation.</w:t>
      </w:r>
    </w:p>
    <w:p w14:paraId="4E45491D" w14:textId="77777777" w:rsidR="005B5CB9" w:rsidRPr="00EE6F16" w:rsidRDefault="005B5CB9" w:rsidP="00EE6F16">
      <w:pPr>
        <w:pStyle w:val="Body"/>
        <w:rPr>
          <w:b/>
          <w:bCs/>
        </w:rPr>
      </w:pPr>
      <w:r w:rsidRPr="00EE6F16">
        <w:rPr>
          <w:b/>
          <w:bCs/>
        </w:rPr>
        <w:t>Business rules and data:</w:t>
      </w:r>
    </w:p>
    <w:p w14:paraId="5312AD2F" w14:textId="77777777" w:rsidR="005B5CB9" w:rsidRPr="00370C79" w:rsidRDefault="005B5CB9" w:rsidP="009D0B64">
      <w:pPr>
        <w:pStyle w:val="Bullet1"/>
        <w:rPr>
          <w:b/>
          <w:bCs/>
        </w:rPr>
      </w:pPr>
      <w:r w:rsidRPr="00370C79">
        <w:t xml:space="preserve">Activity delivered through the Community Palliative Care Program should be classified using the Tier 2 non-admitted services classification (see </w:t>
      </w:r>
      <w:hyperlink w:anchor="_9.1_National_classifications" w:history="1">
        <w:r w:rsidRPr="00370C79">
          <w:rPr>
            <w:rStyle w:val="Hyperlink"/>
          </w:rPr>
          <w:t>Section 9.1</w:t>
        </w:r>
      </w:hyperlink>
      <w:r w:rsidRPr="00370C79">
        <w:t>).</w:t>
      </w:r>
    </w:p>
    <w:p w14:paraId="0E8AC123" w14:textId="0817386D" w:rsidR="005B5CB9" w:rsidRDefault="005B5CB9" w:rsidP="009D0B64">
      <w:pPr>
        <w:pStyle w:val="Bullet1"/>
      </w:pPr>
      <w:r w:rsidRPr="5B850891">
        <w:t xml:space="preserve">Report via </w:t>
      </w:r>
      <w:r w:rsidR="00074986" w:rsidRPr="002E3429">
        <w:t>Victorian Integrated Non-Admitted Health</w:t>
      </w:r>
      <w:r w:rsidR="00074986">
        <w:t xml:space="preserve"> minimum dataset</w:t>
      </w:r>
      <w:r w:rsidR="00074986" w:rsidRPr="5B850891">
        <w:t xml:space="preserve"> </w:t>
      </w:r>
      <w:r w:rsidR="00074986">
        <w:t>(</w:t>
      </w:r>
      <w:r w:rsidRPr="5B850891">
        <w:t>VINAH MDS</w:t>
      </w:r>
      <w:r w:rsidR="00074986">
        <w:t>)</w:t>
      </w:r>
      <w:r w:rsidRPr="5B850891">
        <w:t>.</w:t>
      </w:r>
    </w:p>
    <w:p w14:paraId="7C20261E" w14:textId="0BFD3D56" w:rsidR="005B5CB9" w:rsidRDefault="005B5CB9" w:rsidP="009D0B64">
      <w:pPr>
        <w:pStyle w:val="Bullet1"/>
      </w:pPr>
      <w:r w:rsidRPr="5B850891">
        <w:t xml:space="preserve">Report patient-level cost data to the </w:t>
      </w:r>
      <w:r w:rsidR="00074986" w:rsidRPr="002E3429">
        <w:t>Victorian Cost Data Collection</w:t>
      </w:r>
      <w:r w:rsidR="00074986" w:rsidRPr="5B850891">
        <w:t xml:space="preserve"> </w:t>
      </w:r>
      <w:r w:rsidR="00074986">
        <w:t>(</w:t>
      </w:r>
      <w:r w:rsidRPr="5B850891">
        <w:t>VCDC</w:t>
      </w:r>
      <w:r w:rsidR="00074986">
        <w:t>)</w:t>
      </w:r>
      <w:r w:rsidRPr="5B850891">
        <w:t>. The department will work with non-government and community health providers throughout 2026–27 towards this requirement.</w:t>
      </w:r>
    </w:p>
    <w:p w14:paraId="786334E5" w14:textId="4028712D" w:rsidR="005B5CB9" w:rsidRPr="00363DE2" w:rsidRDefault="005B5CB9" w:rsidP="009D0B64">
      <w:pPr>
        <w:pStyle w:val="Bullet1"/>
      </w:pPr>
      <w:r w:rsidRPr="5B850891">
        <w:t xml:space="preserve">Services must provide care per conditions of funding on the department’s Palliative care webpage, furthering </w:t>
      </w:r>
      <w:r w:rsidRPr="00074986">
        <w:rPr>
          <w:i/>
          <w:iCs/>
        </w:rPr>
        <w:t>Victoria’s Palliative and End-of-life Care Framework 2026–36</w:t>
      </w:r>
      <w:r w:rsidRPr="5B850891">
        <w:t>.</w:t>
      </w:r>
      <w:r w:rsidR="0078577E">
        <w:t xml:space="preserve"> For more information, see </w:t>
      </w:r>
      <w:hyperlink r:id="rId35" w:history="1">
        <w:r w:rsidR="00E2625B" w:rsidRPr="00E2625B">
          <w:rPr>
            <w:rStyle w:val="Hyperlink"/>
          </w:rPr>
          <w:t>Palliative Care Program</w:t>
        </w:r>
      </w:hyperlink>
      <w:r w:rsidR="00E2625B">
        <w:t xml:space="preserve"> &lt;</w:t>
      </w:r>
      <w:r w:rsidR="00E2625B" w:rsidRPr="00E2625B">
        <w:t>https://www.health.vic.gov.au/end-of-life-care/palliative-care-program</w:t>
      </w:r>
      <w:r w:rsidR="00E2625B">
        <w:t>&gt;.</w:t>
      </w:r>
    </w:p>
    <w:p w14:paraId="10F139E5" w14:textId="6606355C" w:rsidR="005B5CB9" w:rsidRPr="007F03EF" w:rsidRDefault="005B5CB9" w:rsidP="005B5CB9">
      <w:pPr>
        <w:pStyle w:val="Heading2"/>
      </w:pPr>
      <w:bookmarkStart w:id="1615" w:name="_3.2_Palliative_care"/>
      <w:bookmarkStart w:id="1616" w:name="_Toc234580286"/>
      <w:bookmarkEnd w:id="1615"/>
      <w:r>
        <w:t>Palliative care consultancy services</w:t>
      </w:r>
      <w:bookmarkEnd w:id="1616"/>
    </w:p>
    <w:p w14:paraId="1146ADAF" w14:textId="77777777" w:rsidR="005B5CB9" w:rsidRDefault="005B5CB9" w:rsidP="00EE6F16">
      <w:pPr>
        <w:pStyle w:val="Body"/>
      </w:pPr>
      <w:r>
        <w:t xml:space="preserve">NFM: NWAU ABF. Victoria: block-grant basis. </w:t>
      </w:r>
    </w:p>
    <w:p w14:paraId="5F81BB7C" w14:textId="77777777" w:rsidR="005B5CB9" w:rsidRDefault="005B5CB9" w:rsidP="00EE6F16">
      <w:pPr>
        <w:pStyle w:val="Body"/>
      </w:pPr>
      <w:proofErr w:type="spellStart"/>
      <w:r>
        <w:t>Funded</w:t>
      </w:r>
      <w:proofErr w:type="spellEnd"/>
      <w:r>
        <w:t xml:space="preserve"> in 12 metropolitan health services and 5 rural regions. Consultancy services work across all settings providing specialist advice, supporting services to avoid hospital admission, and delivering education and training. Regional consultancies and statewide consultancies (Victorian Paediatric Palliative Care Program, Very Special Kids, MND Victoria, Grief Australia) are funded as recurrent block grants.</w:t>
      </w:r>
    </w:p>
    <w:p w14:paraId="0F0264A2" w14:textId="77777777" w:rsidR="005B5CB9" w:rsidRDefault="005B5CB9" w:rsidP="00EE6F16">
      <w:pPr>
        <w:pStyle w:val="Body"/>
        <w:rPr>
          <w:b/>
          <w:bCs/>
        </w:rPr>
      </w:pPr>
      <w:r w:rsidRPr="5B850891">
        <w:rPr>
          <w:b/>
          <w:bCs/>
        </w:rPr>
        <w:t>Business rules and data:</w:t>
      </w:r>
    </w:p>
    <w:p w14:paraId="69DB537F" w14:textId="1B76E592" w:rsidR="005B5CB9" w:rsidRPr="00951761" w:rsidRDefault="005B5CB9" w:rsidP="009D0B64">
      <w:pPr>
        <w:pStyle w:val="Bullet1"/>
      </w:pPr>
      <w:r w:rsidRPr="5B850891">
        <w:t xml:space="preserve">Health services should maintain and report patient-level activity for hospital-based palliative care consultancy and statewide services to the </w:t>
      </w:r>
      <w:r w:rsidR="00074986" w:rsidRPr="002E3429">
        <w:t>Agency Information Management System</w:t>
      </w:r>
      <w:r w:rsidR="00074986" w:rsidRPr="5B850891">
        <w:t xml:space="preserve"> </w:t>
      </w:r>
      <w:r w:rsidR="00074986">
        <w:t>(</w:t>
      </w:r>
      <w:r w:rsidRPr="5B850891">
        <w:t>AIMS</w:t>
      </w:r>
      <w:r w:rsidR="00074986">
        <w:t>)</w:t>
      </w:r>
      <w:r w:rsidRPr="5B850891">
        <w:t xml:space="preserve"> Palliative Care Consultancy Program form and VINAH MDS.</w:t>
      </w:r>
    </w:p>
    <w:p w14:paraId="1E1F1544" w14:textId="77777777" w:rsidR="005B5CB9" w:rsidRPr="00951761" w:rsidRDefault="005B5CB9" w:rsidP="009D0B64">
      <w:pPr>
        <w:pStyle w:val="Bullet1"/>
      </w:pPr>
      <w:r w:rsidRPr="5B850891">
        <w:t>Health services should also maintain and include hospital-based palliative care consultancy activity as part of their reporting of patient-level costing data to the VCDC.</w:t>
      </w:r>
    </w:p>
    <w:p w14:paraId="297F9B49" w14:textId="77777777" w:rsidR="005B5CB9" w:rsidRPr="00951761" w:rsidRDefault="005B5CB9" w:rsidP="009D0B64">
      <w:pPr>
        <w:pStyle w:val="Bullet1"/>
      </w:pPr>
      <w:r w:rsidRPr="5B850891">
        <w:t>Include hospital-based consultancy costing data in VCDC reporting.</w:t>
      </w:r>
    </w:p>
    <w:p w14:paraId="1F75013C" w14:textId="4CAB4A55" w:rsidR="005B5CB9" w:rsidRPr="003214D3" w:rsidRDefault="005B5CB9" w:rsidP="005B5CB9">
      <w:pPr>
        <w:pStyle w:val="Heading2"/>
      </w:pPr>
      <w:bookmarkStart w:id="1617" w:name="_3.3_Complex_care"/>
      <w:bookmarkStart w:id="1618" w:name="_Toc234580287"/>
      <w:bookmarkEnd w:id="1617"/>
      <w:r>
        <w:lastRenderedPageBreak/>
        <w:t>Complex care program (formerly Family Choice Program)</w:t>
      </w:r>
      <w:bookmarkEnd w:id="1618"/>
    </w:p>
    <w:p w14:paraId="66BD19BC" w14:textId="7391F0F9" w:rsidR="005B5CB9" w:rsidRDefault="005B5CB9" w:rsidP="00EE6F16">
      <w:pPr>
        <w:pStyle w:val="Body"/>
        <w:rPr>
          <w:highlight w:val="yellow"/>
        </w:rPr>
      </w:pPr>
      <w:r>
        <w:t xml:space="preserve">NFM: admitted/non-admitted complex care NWAU ABF; non-admitted home ventilation block funded. Victoria: block grant to </w:t>
      </w:r>
      <w:r w:rsidR="00957436">
        <w:t xml:space="preserve">The </w:t>
      </w:r>
      <w:r>
        <w:t>Royal Children’s Hospital. Home ventilation in line with NHRA terms; other program funding remains a legacy block gra</w:t>
      </w:r>
      <w:r w:rsidRPr="00614699">
        <w:t>nt (</w:t>
      </w:r>
      <w:hyperlink w:anchor="_Legacy_and_specified" w:history="1">
        <w:r w:rsidRPr="0F3AAB1D">
          <w:rPr>
            <w:rStyle w:val="Hyperlink"/>
          </w:rPr>
          <w:t>Sectio</w:t>
        </w:r>
        <w:r w:rsidRPr="0F3AAB1D">
          <w:rPr>
            <w:rStyle w:val="Hyperlink"/>
          </w:rPr>
          <w:t>n</w:t>
        </w:r>
        <w:r w:rsidRPr="0F3AAB1D">
          <w:rPr>
            <w:rStyle w:val="Hyperlink"/>
          </w:rPr>
          <w:t xml:space="preserve"> 2.9</w:t>
        </w:r>
      </w:hyperlink>
      <w:r>
        <w:t>).</w:t>
      </w:r>
    </w:p>
    <w:p w14:paraId="7F913150" w14:textId="77777777" w:rsidR="005B5CB9" w:rsidRDefault="005B5CB9" w:rsidP="00EE6F16">
      <w:pPr>
        <w:pStyle w:val="Body"/>
        <w:rPr>
          <w:b/>
          <w:bCs/>
        </w:rPr>
      </w:pPr>
      <w:r w:rsidRPr="5B850891">
        <w:rPr>
          <w:b/>
          <w:bCs/>
        </w:rPr>
        <w:t>Business rules and data:</w:t>
      </w:r>
    </w:p>
    <w:p w14:paraId="001DB91C" w14:textId="77777777" w:rsidR="005B5CB9" w:rsidRDefault="005B5CB9" w:rsidP="00EE6F16">
      <w:pPr>
        <w:pStyle w:val="Bullet1"/>
      </w:pPr>
      <w:r w:rsidRPr="5B850891">
        <w:t>Activity delivered through the complex care hub related to the FCP should be classified using the Tier 2 non-admitted services classification.</w:t>
      </w:r>
    </w:p>
    <w:p w14:paraId="0F532225" w14:textId="77777777" w:rsidR="005B5CB9" w:rsidRDefault="005B5CB9" w:rsidP="00EE6F16">
      <w:pPr>
        <w:pStyle w:val="Bullet1"/>
      </w:pPr>
      <w:r w:rsidRPr="3A38767E">
        <w:t xml:space="preserve">See </w:t>
      </w:r>
      <w:hyperlink w:anchor="_8_Health_service" w:history="1">
        <w:r w:rsidRPr="00614699">
          <w:rPr>
            <w:rStyle w:val="Hyperlink"/>
          </w:rPr>
          <w:t>Section 8</w:t>
        </w:r>
      </w:hyperlink>
      <w:r w:rsidRPr="00614699">
        <w:t xml:space="preserve"> for</w:t>
      </w:r>
      <w:r w:rsidRPr="3A38767E">
        <w:t xml:space="preserve"> costing and non-admitted activity reporting requirements.</w:t>
      </w:r>
    </w:p>
    <w:p w14:paraId="0351970D" w14:textId="167B8E02" w:rsidR="005B5CB9" w:rsidRPr="003214D3" w:rsidRDefault="005B5CB9" w:rsidP="005B5CB9">
      <w:pPr>
        <w:pStyle w:val="Heading2"/>
        <w:spacing w:line="259" w:lineRule="auto"/>
      </w:pPr>
      <w:bookmarkStart w:id="1619" w:name="_3.4_Early_parenting"/>
      <w:bookmarkStart w:id="1620" w:name="_Toc234580288"/>
      <w:bookmarkEnd w:id="1619"/>
      <w:r>
        <w:t>Early parenting services</w:t>
      </w:r>
      <w:bookmarkEnd w:id="1620"/>
    </w:p>
    <w:p w14:paraId="6C1C72A4" w14:textId="7A0C83D1" w:rsidR="005B5CB9" w:rsidRPr="00EE6F16" w:rsidDel="001C2071" w:rsidRDefault="005B5CB9" w:rsidP="00EE6F16">
      <w:pPr>
        <w:pStyle w:val="Body"/>
      </w:pPr>
      <w:r w:rsidRPr="00EE6F16">
        <w:t>NFM: NWAU ABF. Victoria: predominantly block funded (Tweddle, QEC, Mercy Health O’Connell Family Centre, and newer services from the 2023 expansion program). ABF</w:t>
      </w:r>
      <w:r w:rsidR="000A699A">
        <w:t xml:space="preserve"> </w:t>
      </w:r>
      <w:r w:rsidRPr="00EE6F16">
        <w:t xml:space="preserve">eligible services also receive </w:t>
      </w:r>
      <w:r w:rsidR="000A699A">
        <w:t>ABF</w:t>
      </w:r>
      <w:r w:rsidRPr="00EE6F16">
        <w:t xml:space="preserve"> at unit prices in </w:t>
      </w:r>
      <w:hyperlink w:anchor="_13.4_Early_Parenting" w:history="1">
        <w:r w:rsidRPr="00EE6F16">
          <w:rPr>
            <w:rStyle w:val="Hyperlink"/>
            <w:color w:val="auto"/>
            <w:u w:val="none"/>
          </w:rPr>
          <w:t>Section 13.4.</w:t>
        </w:r>
      </w:hyperlink>
      <w:r w:rsidRPr="00EE6F16">
        <w:t xml:space="preserve"> The department proposes to review arrangements to improve NFM alignment.</w:t>
      </w:r>
    </w:p>
    <w:p w14:paraId="1A66F453" w14:textId="5D807CFA" w:rsidR="005B5CB9" w:rsidRPr="003214D3" w:rsidRDefault="005B5CB9" w:rsidP="005B5CB9">
      <w:pPr>
        <w:pStyle w:val="Heading2"/>
      </w:pPr>
      <w:bookmarkStart w:id="1621" w:name="_Toc197452693"/>
      <w:bookmarkStart w:id="1622" w:name="_3.5_Forensicare"/>
      <w:bookmarkStart w:id="1623" w:name="_Toc234580289"/>
      <w:bookmarkEnd w:id="1621"/>
      <w:bookmarkEnd w:id="1622"/>
      <w:r>
        <w:t>Forensicare</w:t>
      </w:r>
      <w:bookmarkEnd w:id="1623"/>
    </w:p>
    <w:p w14:paraId="7AB7E2C0" w14:textId="77777777" w:rsidR="005B5CB9" w:rsidRPr="00587ACF" w:rsidRDefault="005B5CB9" w:rsidP="005B5CB9">
      <w:pPr>
        <w:pStyle w:val="Body"/>
      </w:pPr>
      <w:r>
        <w:t>The Victorian Institute of Forensic Mental Health, known as Forensicare, is a specialist standalone mental health service.</w:t>
      </w:r>
    </w:p>
    <w:p w14:paraId="7B82CE57" w14:textId="28DD8E0C" w:rsidR="005B5CB9" w:rsidRPr="00587ACF" w:rsidRDefault="005B5CB9" w:rsidP="005B5CB9">
      <w:pPr>
        <w:pStyle w:val="Body"/>
      </w:pPr>
      <w:r>
        <w:t>Under the NFM for 2026–27, admitted services delivered by Forensicare are NWAU activity-based funded</w:t>
      </w:r>
      <w:r w:rsidDel="005C6A78">
        <w:t xml:space="preserve"> </w:t>
      </w:r>
      <w:r>
        <w:t>and community mental health services are block funded.</w:t>
      </w:r>
    </w:p>
    <w:p w14:paraId="6432E3B4" w14:textId="569F2DD0" w:rsidR="005B5CB9" w:rsidRDefault="005B5CB9" w:rsidP="005B5CB9">
      <w:pPr>
        <w:pStyle w:val="Body"/>
      </w:pPr>
      <w:r>
        <w:t>In 2026–27, Victoria will fund Forensicare’s admitted and community (non-admitted) services on a block-funding basis.</w:t>
      </w:r>
    </w:p>
    <w:p w14:paraId="0F565339" w14:textId="25475DA3" w:rsidR="005B5CB9" w:rsidRPr="0018160B" w:rsidRDefault="005B5CB9" w:rsidP="005B5CB9">
      <w:pPr>
        <w:pStyle w:val="Heading2"/>
      </w:pPr>
      <w:bookmarkStart w:id="1624" w:name="_3.6_Genetic_clinical"/>
      <w:bookmarkStart w:id="1625" w:name="_Toc234580290"/>
      <w:bookmarkEnd w:id="1624"/>
      <w:r>
        <w:t>Genetic clinical activity</w:t>
      </w:r>
      <w:bookmarkEnd w:id="1625"/>
    </w:p>
    <w:p w14:paraId="7DC37B95" w14:textId="77777777" w:rsidR="005B5CB9" w:rsidRDefault="005B5CB9" w:rsidP="005B5CB9">
      <w:pPr>
        <w:pStyle w:val="Body"/>
      </w:pPr>
      <w:r w:rsidRPr="00587ACF">
        <w:t xml:space="preserve">Under the </w:t>
      </w:r>
      <w:r>
        <w:t>NFM</w:t>
      </w:r>
      <w:r w:rsidRPr="00587ACF">
        <w:t>, genetic clinical activity services are NWAU activity-based funded when delivered by health services in scope for ABF, as defined by the NHRA.</w:t>
      </w:r>
    </w:p>
    <w:p w14:paraId="4F690714" w14:textId="076F1538" w:rsidR="005B5CB9" w:rsidRPr="00254A77" w:rsidRDefault="005B5CB9" w:rsidP="005B5CB9">
      <w:pPr>
        <w:pStyle w:val="Body"/>
        <w:rPr>
          <w:lang w:eastAsia="en-AU"/>
        </w:rPr>
      </w:pPr>
      <w:r w:rsidRPr="00254A77">
        <w:t xml:space="preserve">In Victoria, genetic clinical activity </w:t>
      </w:r>
      <w:r w:rsidRPr="00254A77">
        <w:rPr>
          <w:lang w:eastAsia="en-AU"/>
        </w:rPr>
        <w:t>provided by the Victorian Clinical Genetic Services and metabolic medicine/disease unit at</w:t>
      </w:r>
      <w:r w:rsidR="00A75FA0">
        <w:rPr>
          <w:lang w:eastAsia="en-AU"/>
        </w:rPr>
        <w:t xml:space="preserve"> the</w:t>
      </w:r>
      <w:r w:rsidRPr="00254A77">
        <w:rPr>
          <w:lang w:eastAsia="en-AU"/>
        </w:rPr>
        <w:t xml:space="preserve"> Royal Melbourne Hospital are block funded in </w:t>
      </w:r>
      <w:r w:rsidRPr="7DC889B7">
        <w:rPr>
          <w:lang w:eastAsia="en-AU"/>
        </w:rPr>
        <w:t>2026–27</w:t>
      </w:r>
      <w:r w:rsidRPr="00254A77">
        <w:rPr>
          <w:lang w:eastAsia="en-AU"/>
        </w:rPr>
        <w:t>.</w:t>
      </w:r>
    </w:p>
    <w:p w14:paraId="0B415F2A" w14:textId="77777777" w:rsidR="005B5CB9" w:rsidRDefault="005B5CB9" w:rsidP="005B5CB9">
      <w:pPr>
        <w:pStyle w:val="Body"/>
      </w:pPr>
      <w:r>
        <w:t>The department proposes to review funding arrangements to improve alignment with the NFM as appropriate.</w:t>
      </w:r>
    </w:p>
    <w:p w14:paraId="65EC7A04" w14:textId="3DDFEF63" w:rsidR="005B5CB9" w:rsidRPr="00556C90" w:rsidRDefault="005B5CB9" w:rsidP="005B5CB9">
      <w:pPr>
        <w:pStyle w:val="Heading2"/>
        <w:rPr>
          <w:rFonts w:eastAsia="Times"/>
        </w:rPr>
      </w:pPr>
      <w:bookmarkStart w:id="1626" w:name="_3.7_High-cost_HSTs"/>
      <w:bookmarkStart w:id="1627" w:name="_Ref199324695"/>
      <w:bookmarkStart w:id="1628" w:name="_Ref199324736"/>
      <w:bookmarkStart w:id="1629" w:name="_Toc234580291"/>
      <w:bookmarkEnd w:id="1626"/>
      <w:r>
        <w:t xml:space="preserve">High-cost </w:t>
      </w:r>
      <w:bookmarkEnd w:id="1627"/>
      <w:bookmarkEnd w:id="1628"/>
      <w:r>
        <w:t>HSTs</w:t>
      </w:r>
      <w:bookmarkEnd w:id="1629"/>
    </w:p>
    <w:p w14:paraId="3C11C84A" w14:textId="1C8A0CE9" w:rsidR="005B5CB9" w:rsidRDefault="005B5CB9" w:rsidP="00EE6F16">
      <w:pPr>
        <w:pStyle w:val="Body"/>
      </w:pPr>
      <w:r>
        <w:t xml:space="preserve">NFM: block funded. HSTs are defined by IHACPA in the annual NEC Determination and funded to actual expenditure in 2026–27. Victoria: Grants are recognised </w:t>
      </w:r>
      <w:proofErr w:type="gramStart"/>
      <w:r>
        <w:t>on the basis of</w:t>
      </w:r>
      <w:proofErr w:type="gramEnd"/>
      <w:r>
        <w:t xml:space="preserve"> actual costs incurred (patient, product and program costs)</w:t>
      </w:r>
    </w:p>
    <w:p w14:paraId="113D9AC0" w14:textId="77777777" w:rsidR="005B5CB9" w:rsidRDefault="005B5CB9" w:rsidP="00EE6F16">
      <w:pPr>
        <w:pStyle w:val="Body"/>
        <w:rPr>
          <w:b/>
          <w:bCs/>
        </w:rPr>
      </w:pPr>
      <w:r w:rsidRPr="5B850891">
        <w:rPr>
          <w:b/>
          <w:bCs/>
        </w:rPr>
        <w:t>Business rules and data:</w:t>
      </w:r>
    </w:p>
    <w:p w14:paraId="03665F64" w14:textId="77777777" w:rsidR="005B5CB9" w:rsidRDefault="005B5CB9" w:rsidP="00EE6F16">
      <w:pPr>
        <w:pStyle w:val="Bullet1"/>
      </w:pPr>
      <w:r w:rsidRPr="5B850891">
        <w:t>Report actual costs and patient data to the department annually, 11 weeks after year end via a supplied template; CEO certificate of assurance required.</w:t>
      </w:r>
    </w:p>
    <w:p w14:paraId="0966362E" w14:textId="77777777" w:rsidR="005B5CB9" w:rsidRPr="003726B5" w:rsidRDefault="005B5CB9" w:rsidP="00EE6F16">
      <w:pPr>
        <w:pStyle w:val="Bullet1"/>
      </w:pPr>
      <w:r w:rsidRPr="5B850891">
        <w:t>Report costs for the financial year in which treatment was provided, up to 30 June only.</w:t>
      </w:r>
    </w:p>
    <w:p w14:paraId="313934B0" w14:textId="77777777" w:rsidR="005B5CB9" w:rsidRPr="002048E8" w:rsidRDefault="005B5CB9" w:rsidP="00EE6F16">
      <w:pPr>
        <w:pStyle w:val="Bullet1"/>
      </w:pPr>
      <w:r w:rsidRPr="002048E8">
        <w:lastRenderedPageBreak/>
        <w:t>The costs reported should correspond to the expenses incurred in the relevant financial year for patients treated in that year. Only costs incurred up to the end of the financial year should be included.</w:t>
      </w:r>
    </w:p>
    <w:p w14:paraId="7AA723B1" w14:textId="2D9D7868" w:rsidR="005B5CB9" w:rsidRDefault="005B5CB9" w:rsidP="00EE6F16">
      <w:pPr>
        <w:pStyle w:val="Bullet1"/>
      </w:pPr>
      <w:r w:rsidRPr="5B850891">
        <w:t>Apply the ‘highly specialised therapy’ flag in the</w:t>
      </w:r>
      <w:r w:rsidR="00627B97" w:rsidRPr="00627B97">
        <w:t xml:space="preserve"> </w:t>
      </w:r>
      <w:r w:rsidR="00627B97" w:rsidRPr="002536F6">
        <w:t>Victorian Admitted Episodes Dataset</w:t>
      </w:r>
      <w:r w:rsidRPr="5B850891">
        <w:t xml:space="preserve"> </w:t>
      </w:r>
      <w:r w:rsidR="00627B97">
        <w:t>(</w:t>
      </w:r>
      <w:r w:rsidRPr="5B850891">
        <w:t>VAED</w:t>
      </w:r>
      <w:r w:rsidR="00627B97">
        <w:t>)</w:t>
      </w:r>
      <w:r w:rsidRPr="5B850891">
        <w:t xml:space="preserve"> for NHRA reporting and reconciliation.</w:t>
      </w:r>
    </w:p>
    <w:p w14:paraId="791142BF" w14:textId="77777777" w:rsidR="005B5CB9" w:rsidRPr="002048E8" w:rsidRDefault="005B5CB9" w:rsidP="00EE6F16">
      <w:pPr>
        <w:pStyle w:val="Bullet1"/>
      </w:pPr>
      <w:r w:rsidRPr="5B850891">
        <w:t>Provide monthly and quarterly activity data and fulfil ad hoc requests.</w:t>
      </w:r>
    </w:p>
    <w:p w14:paraId="263A868F" w14:textId="061A26F7" w:rsidR="005B5CB9" w:rsidRPr="00280A87" w:rsidRDefault="005B5CB9" w:rsidP="005B5CB9">
      <w:pPr>
        <w:pStyle w:val="Heading2"/>
        <w:rPr>
          <w:rFonts w:eastAsia="Times"/>
        </w:rPr>
      </w:pPr>
      <w:bookmarkStart w:id="1630" w:name="_Toc197452697"/>
      <w:bookmarkStart w:id="1631" w:name="_3.8_Lithotripsy"/>
      <w:bookmarkStart w:id="1632" w:name="_Toc234580292"/>
      <w:bookmarkEnd w:id="1630"/>
      <w:bookmarkEnd w:id="1631"/>
      <w:r w:rsidRPr="5B850891">
        <w:rPr>
          <w:rFonts w:eastAsia="Times"/>
        </w:rPr>
        <w:t>Lithotripsy</w:t>
      </w:r>
      <w:bookmarkEnd w:id="1632"/>
    </w:p>
    <w:p w14:paraId="2E48E874" w14:textId="77777777" w:rsidR="005B5CB9" w:rsidRPr="00EE6F16" w:rsidRDefault="005B5CB9" w:rsidP="00EE6F16">
      <w:pPr>
        <w:pStyle w:val="Body"/>
      </w:pPr>
      <w:r w:rsidRPr="00EE6F16">
        <w:t>Under the NFM, lithotripsy services are NWAU activity-based funded when delivered by health services in scope for ABF, as defined by the NHRA.</w:t>
      </w:r>
    </w:p>
    <w:p w14:paraId="3E0A6F13" w14:textId="77777777" w:rsidR="005B5CB9" w:rsidRPr="00EE6F16" w:rsidRDefault="005B5CB9" w:rsidP="00EE6F16">
      <w:pPr>
        <w:pStyle w:val="Body"/>
      </w:pPr>
      <w:r w:rsidRPr="00EE6F16">
        <w:t>In Victoria, lithotripsy is provided by St Vincent’s Health as a statewide provider and a network of designated satellite providers.</w:t>
      </w:r>
    </w:p>
    <w:p w14:paraId="315409F0" w14:textId="771E19A9" w:rsidR="005B5CB9" w:rsidRPr="00EE6F16" w:rsidRDefault="005B5CB9" w:rsidP="00EE6F16">
      <w:pPr>
        <w:pStyle w:val="Body"/>
      </w:pPr>
      <w:r w:rsidRPr="00EE6F16">
        <w:t xml:space="preserve">In 2026–27, lithotripsy episodes are funded only at: </w:t>
      </w:r>
    </w:p>
    <w:p w14:paraId="000E1475" w14:textId="77777777" w:rsidR="005B5CB9" w:rsidRPr="00EE6F16" w:rsidRDefault="005B5CB9" w:rsidP="00EE6F16">
      <w:pPr>
        <w:pStyle w:val="Bullet1"/>
      </w:pPr>
      <w:r w:rsidRPr="00EE6F16">
        <w:t>St Vincent’s Health</w:t>
      </w:r>
    </w:p>
    <w:p w14:paraId="37337EEE" w14:textId="77777777" w:rsidR="005B5CB9" w:rsidRPr="00EE6F16" w:rsidRDefault="005B5CB9" w:rsidP="00EE6F16">
      <w:pPr>
        <w:pStyle w:val="Bullet1"/>
      </w:pPr>
      <w:r w:rsidRPr="00EE6F16">
        <w:t>Grampian’s Health</w:t>
      </w:r>
    </w:p>
    <w:p w14:paraId="4D9953AB" w14:textId="77777777" w:rsidR="005B5CB9" w:rsidRPr="00EE6F16" w:rsidRDefault="005B5CB9" w:rsidP="00EE6F16">
      <w:pPr>
        <w:pStyle w:val="Bullet1"/>
      </w:pPr>
      <w:r w:rsidRPr="00EE6F16">
        <w:t>Bendigo Health</w:t>
      </w:r>
    </w:p>
    <w:p w14:paraId="0E2B9B1E" w14:textId="77777777" w:rsidR="005B5CB9" w:rsidRPr="00EE6F16" w:rsidRDefault="005B5CB9" w:rsidP="00EE6F16">
      <w:pPr>
        <w:pStyle w:val="Bullet1"/>
      </w:pPr>
      <w:r w:rsidRPr="00EE6F16">
        <w:t>Barwon Health</w:t>
      </w:r>
    </w:p>
    <w:p w14:paraId="39EA9921" w14:textId="77777777" w:rsidR="005B5CB9" w:rsidRPr="00EE6F16" w:rsidRDefault="005B5CB9" w:rsidP="00EE6F16">
      <w:pPr>
        <w:pStyle w:val="Bullet1"/>
      </w:pPr>
      <w:r w:rsidRPr="00EE6F16">
        <w:t>Goulburn Valley Health</w:t>
      </w:r>
    </w:p>
    <w:p w14:paraId="7801488C" w14:textId="77777777" w:rsidR="005B5CB9" w:rsidRPr="00EE6F16" w:rsidRDefault="005B5CB9" w:rsidP="00EE6F16">
      <w:pPr>
        <w:pStyle w:val="Bullet1"/>
      </w:pPr>
      <w:r w:rsidRPr="00EE6F16">
        <w:t>The Royal Children’s Hospital</w:t>
      </w:r>
    </w:p>
    <w:p w14:paraId="64492096" w14:textId="77777777" w:rsidR="005B5CB9" w:rsidRPr="00EE6F16" w:rsidRDefault="005B5CB9" w:rsidP="00EE6F16">
      <w:pPr>
        <w:pStyle w:val="Bullet1"/>
      </w:pPr>
      <w:r w:rsidRPr="00EE6F16">
        <w:t>Mildura Base Hospital</w:t>
      </w:r>
    </w:p>
    <w:p w14:paraId="647412E6" w14:textId="77777777" w:rsidR="005B5CB9" w:rsidRPr="00EE6F16" w:rsidRDefault="005B5CB9" w:rsidP="00EE6F16">
      <w:pPr>
        <w:pStyle w:val="Bullet1"/>
      </w:pPr>
      <w:r w:rsidRPr="00EE6F16">
        <w:t xml:space="preserve">Western Health </w:t>
      </w:r>
    </w:p>
    <w:p w14:paraId="5405FDC9" w14:textId="77777777" w:rsidR="005B5CB9" w:rsidRPr="00EE6F16" w:rsidRDefault="005B5CB9" w:rsidP="00EE6F16">
      <w:pPr>
        <w:pStyle w:val="Bullet1"/>
        <w:spacing w:after="120"/>
      </w:pPr>
      <w:r w:rsidRPr="00EE6F16">
        <w:t>Mercy Health (Werribee campus only).</w:t>
      </w:r>
    </w:p>
    <w:p w14:paraId="04E5E802" w14:textId="77777777" w:rsidR="005B5CB9" w:rsidRDefault="005B5CB9" w:rsidP="00EE6F16">
      <w:pPr>
        <w:pStyle w:val="Body"/>
      </w:pPr>
      <w:r>
        <w:t>These services are funded through NWAU ABF.</w:t>
      </w:r>
    </w:p>
    <w:p w14:paraId="03023BFE" w14:textId="6788BE53" w:rsidR="005B5CB9" w:rsidRPr="002D59A4" w:rsidRDefault="005B5CB9" w:rsidP="005B5CB9">
      <w:pPr>
        <w:pStyle w:val="Heading2"/>
      </w:pPr>
      <w:bookmarkStart w:id="1633" w:name="_3.9_Mental_health"/>
      <w:bookmarkStart w:id="1634" w:name="_3.9￼Mental_health_and"/>
      <w:bookmarkStart w:id="1635" w:name="_Toc234580293"/>
      <w:bookmarkEnd w:id="1633"/>
      <w:r>
        <w:t>Mental health and wellbeing</w:t>
      </w:r>
      <w:bookmarkEnd w:id="1634"/>
      <w:bookmarkEnd w:id="1635"/>
    </w:p>
    <w:p w14:paraId="07C439A5" w14:textId="77777777" w:rsidR="005B5CB9" w:rsidRPr="00EE6F16" w:rsidRDefault="005B5CB9" w:rsidP="00EE6F16">
      <w:pPr>
        <w:pStyle w:val="Body"/>
      </w:pPr>
      <w:r w:rsidRPr="00EE6F16">
        <w:t>Under the NFM, subacute mental health services and residential mental health services are block funded. In Victoria, these services are either block funded or funded per bed day.</w:t>
      </w:r>
    </w:p>
    <w:p w14:paraId="0DE43588" w14:textId="58CB727C" w:rsidR="005B5CB9" w:rsidRPr="00EE6F16" w:rsidRDefault="005B5CB9" w:rsidP="00EE6F16">
      <w:pPr>
        <w:pStyle w:val="Body"/>
      </w:pPr>
      <w:r w:rsidRPr="00EE6F16">
        <w:t>Under the NFM community, (non-admitted) mental health services are predominately NWAU activity-based funded. In Victoria, the following NHRA in-scope community mental health services remain block-funded in 2026–27. These programs do not contribute to community mental health NWAU targets or community mental health service hour targets.</w:t>
      </w:r>
    </w:p>
    <w:p w14:paraId="06E64A90" w14:textId="21B1AC58" w:rsidR="005B5CB9" w:rsidRPr="00EE6F16" w:rsidRDefault="005B5CB9" w:rsidP="00EE6F16">
      <w:pPr>
        <w:pStyle w:val="Tablecaption"/>
      </w:pPr>
      <w:bookmarkStart w:id="1636" w:name="_Toc232527220"/>
      <w:r w:rsidRPr="00EE6F16">
        <w:t xml:space="preserve">Table </w:t>
      </w:r>
      <w:fldSimple w:instr=" SEQ Table \* ARABIC ">
        <w:r w:rsidRPr="00EE6F16">
          <w:t>4</w:t>
        </w:r>
      </w:fldSimple>
      <w:r w:rsidRPr="00EE6F16">
        <w:t>.</w:t>
      </w:r>
      <w:r w:rsidR="00EE6F16" w:rsidRPr="00EE6F16">
        <w:t xml:space="preserve"> </w:t>
      </w:r>
      <w:r w:rsidRPr="00EE6F16">
        <w:t>Programs in Area Mental Health and Wellbeing Services</w:t>
      </w:r>
      <w:bookmarkEnd w:id="1636"/>
    </w:p>
    <w:tbl>
      <w:tblPr>
        <w:tblStyle w:val="GridTable4-Accent1"/>
        <w:tblW w:w="5000" w:type="pct"/>
        <w:tblLook w:val="04A0" w:firstRow="1" w:lastRow="0" w:firstColumn="1" w:lastColumn="0" w:noHBand="0" w:noVBand="1"/>
      </w:tblPr>
      <w:tblGrid>
        <w:gridCol w:w="4644"/>
        <w:gridCol w:w="4644"/>
      </w:tblGrid>
      <w:tr w:rsidR="005B5CB9" w:rsidRPr="00EE6F16" w14:paraId="18676DA6" w14:textId="77777777" w:rsidTr="004A1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BC72854" w14:textId="77777777" w:rsidR="005B5CB9" w:rsidRPr="00EE6F16" w:rsidRDefault="005B5CB9" w:rsidP="004A1DD0">
            <w:pPr>
              <w:pStyle w:val="Body"/>
              <w:spacing w:after="60" w:line="240" w:lineRule="auto"/>
              <w:rPr>
                <w:sz w:val="18"/>
                <w:szCs w:val="18"/>
              </w:rPr>
            </w:pPr>
            <w:r w:rsidRPr="00EE6F16">
              <w:rPr>
                <w:sz w:val="18"/>
                <w:szCs w:val="18"/>
              </w:rPr>
              <w:t>Community mental health program</w:t>
            </w:r>
          </w:p>
        </w:tc>
        <w:tc>
          <w:tcPr>
            <w:tcW w:w="2500" w:type="pct"/>
          </w:tcPr>
          <w:p w14:paraId="3262EE94" w14:textId="77777777" w:rsidR="005B5CB9" w:rsidRPr="00EE6F16" w:rsidRDefault="005B5CB9" w:rsidP="004A1DD0">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EE6F16">
              <w:rPr>
                <w:sz w:val="18"/>
                <w:szCs w:val="18"/>
              </w:rPr>
              <w:t>Area Mental Health and Wellbeing Service</w:t>
            </w:r>
          </w:p>
        </w:tc>
      </w:tr>
      <w:tr w:rsidR="005B5CB9" w:rsidRPr="00EE6F16" w14:paraId="36960C70"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2E63087" w14:textId="77777777" w:rsidR="005B5CB9" w:rsidRPr="00EE6F16" w:rsidRDefault="005B5CB9" w:rsidP="004A1DD0">
            <w:pPr>
              <w:pStyle w:val="Body"/>
              <w:spacing w:after="60" w:line="240" w:lineRule="auto"/>
              <w:rPr>
                <w:sz w:val="18"/>
                <w:szCs w:val="18"/>
              </w:rPr>
            </w:pPr>
            <w:r w:rsidRPr="00EE6F16">
              <w:rPr>
                <w:sz w:val="18"/>
                <w:szCs w:val="18"/>
              </w:rPr>
              <w:t>Family where a Parent Has a Mental Illness</w:t>
            </w:r>
          </w:p>
        </w:tc>
        <w:tc>
          <w:tcPr>
            <w:tcW w:w="2500" w:type="pct"/>
          </w:tcPr>
          <w:p w14:paraId="63E07FDC" w14:textId="77777777" w:rsidR="005B5CB9" w:rsidRPr="00EE6F16" w:rsidRDefault="005B5CB9" w:rsidP="004A1DD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E6F16">
              <w:rPr>
                <w:sz w:val="18"/>
                <w:szCs w:val="18"/>
              </w:rPr>
              <w:t>All</w:t>
            </w:r>
          </w:p>
        </w:tc>
      </w:tr>
      <w:tr w:rsidR="005B5CB9" w:rsidRPr="00EE6F16" w14:paraId="013F5B7D"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356805A5" w14:textId="77777777" w:rsidR="005B5CB9" w:rsidRPr="00EE6F16" w:rsidRDefault="005B5CB9" w:rsidP="004A1DD0">
            <w:pPr>
              <w:pStyle w:val="Body"/>
              <w:spacing w:after="60" w:line="240" w:lineRule="auto"/>
              <w:rPr>
                <w:sz w:val="18"/>
                <w:szCs w:val="18"/>
              </w:rPr>
            </w:pPr>
            <w:r w:rsidRPr="00EE6F16">
              <w:rPr>
                <w:sz w:val="18"/>
                <w:szCs w:val="18"/>
              </w:rPr>
              <w:t>ED response to AOD presentations</w:t>
            </w:r>
          </w:p>
        </w:tc>
        <w:tc>
          <w:tcPr>
            <w:tcW w:w="2500" w:type="pct"/>
          </w:tcPr>
          <w:p w14:paraId="72AD666D" w14:textId="77777777" w:rsidR="005B5CB9" w:rsidRPr="00EE6F16" w:rsidRDefault="005B5CB9" w:rsidP="004A1DD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E6F16">
              <w:rPr>
                <w:sz w:val="18"/>
                <w:szCs w:val="18"/>
              </w:rPr>
              <w:t>All</w:t>
            </w:r>
          </w:p>
        </w:tc>
      </w:tr>
      <w:tr w:rsidR="005B5CB9" w:rsidRPr="00EE6F16" w14:paraId="52429BA3"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6A56F7F" w14:textId="77777777" w:rsidR="005B5CB9" w:rsidRPr="00EE6F16" w:rsidRDefault="005B5CB9" w:rsidP="004A1DD0">
            <w:pPr>
              <w:pStyle w:val="Body"/>
              <w:spacing w:after="60" w:line="240" w:lineRule="auto"/>
              <w:rPr>
                <w:sz w:val="18"/>
                <w:szCs w:val="18"/>
              </w:rPr>
            </w:pPr>
            <w:r w:rsidRPr="00EE6F16">
              <w:rPr>
                <w:sz w:val="18"/>
                <w:szCs w:val="18"/>
              </w:rPr>
              <w:t>Autism State Plan Coordinator</w:t>
            </w:r>
          </w:p>
        </w:tc>
        <w:tc>
          <w:tcPr>
            <w:tcW w:w="2500" w:type="pct"/>
          </w:tcPr>
          <w:p w14:paraId="43B357F8" w14:textId="77777777" w:rsidR="005B5CB9" w:rsidRPr="00EE6F16" w:rsidRDefault="005B5CB9" w:rsidP="004A1DD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E6F16">
              <w:rPr>
                <w:sz w:val="18"/>
                <w:szCs w:val="18"/>
              </w:rPr>
              <w:t>All</w:t>
            </w:r>
          </w:p>
        </w:tc>
      </w:tr>
      <w:tr w:rsidR="005B5CB9" w:rsidRPr="00EE6F16" w14:paraId="1F844559"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60598E2F" w14:textId="77777777" w:rsidR="005B5CB9" w:rsidRPr="00EE6F16" w:rsidRDefault="005B5CB9" w:rsidP="004A1DD0">
            <w:pPr>
              <w:pStyle w:val="Body"/>
              <w:spacing w:after="60" w:line="240" w:lineRule="auto"/>
              <w:rPr>
                <w:sz w:val="18"/>
                <w:szCs w:val="18"/>
              </w:rPr>
            </w:pPr>
            <w:r w:rsidRPr="00EE6F16">
              <w:rPr>
                <w:sz w:val="18"/>
                <w:szCs w:val="18"/>
              </w:rPr>
              <w:t>Centre in Excellence for Eating Disorders</w:t>
            </w:r>
          </w:p>
        </w:tc>
        <w:tc>
          <w:tcPr>
            <w:tcW w:w="2500" w:type="pct"/>
          </w:tcPr>
          <w:p w14:paraId="66B09656" w14:textId="77777777" w:rsidR="005B5CB9" w:rsidRPr="00EE6F16" w:rsidRDefault="005B5CB9" w:rsidP="004A1DD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E6F16">
              <w:rPr>
                <w:sz w:val="18"/>
                <w:szCs w:val="18"/>
              </w:rPr>
              <w:t>Melbourne Health</w:t>
            </w:r>
          </w:p>
        </w:tc>
      </w:tr>
      <w:tr w:rsidR="005B5CB9" w:rsidRPr="00EE6F16" w14:paraId="3410B6CA"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0653496" w14:textId="77777777" w:rsidR="005B5CB9" w:rsidRPr="00EE6F16" w:rsidRDefault="005B5CB9" w:rsidP="004A1DD0">
            <w:pPr>
              <w:pStyle w:val="Body"/>
              <w:spacing w:after="60" w:line="240" w:lineRule="auto"/>
              <w:rPr>
                <w:sz w:val="18"/>
                <w:szCs w:val="18"/>
              </w:rPr>
            </w:pPr>
            <w:r w:rsidRPr="00EE6F16">
              <w:rPr>
                <w:sz w:val="18"/>
                <w:szCs w:val="18"/>
              </w:rPr>
              <w:t xml:space="preserve">Spectrum – borderline personality disorder </w:t>
            </w:r>
          </w:p>
        </w:tc>
        <w:tc>
          <w:tcPr>
            <w:tcW w:w="2500" w:type="pct"/>
          </w:tcPr>
          <w:p w14:paraId="359F1C62" w14:textId="77777777" w:rsidR="005B5CB9" w:rsidRPr="00EE6F16" w:rsidRDefault="005B5CB9" w:rsidP="004A1DD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E6F16">
              <w:rPr>
                <w:sz w:val="18"/>
                <w:szCs w:val="18"/>
              </w:rPr>
              <w:t>Eastern Health</w:t>
            </w:r>
          </w:p>
        </w:tc>
      </w:tr>
      <w:tr w:rsidR="005B5CB9" w:rsidRPr="00EE6F16" w14:paraId="7BC1B275"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00413F66" w14:textId="77777777" w:rsidR="005B5CB9" w:rsidRPr="00EE6F16" w:rsidRDefault="005B5CB9" w:rsidP="004A1DD0">
            <w:pPr>
              <w:pStyle w:val="Body"/>
              <w:spacing w:after="60" w:line="240" w:lineRule="auto"/>
              <w:rPr>
                <w:sz w:val="18"/>
                <w:szCs w:val="18"/>
              </w:rPr>
            </w:pPr>
            <w:r w:rsidRPr="00EE6F16">
              <w:rPr>
                <w:sz w:val="18"/>
                <w:szCs w:val="18"/>
              </w:rPr>
              <w:t>Infant Child Youth Group-based parenting supporting</w:t>
            </w:r>
          </w:p>
        </w:tc>
        <w:tc>
          <w:tcPr>
            <w:tcW w:w="2500" w:type="pct"/>
          </w:tcPr>
          <w:p w14:paraId="6229E1A0" w14:textId="77777777" w:rsidR="005B5CB9" w:rsidRPr="00EE6F16" w:rsidRDefault="005B5CB9" w:rsidP="004A1DD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E6F16">
              <w:rPr>
                <w:sz w:val="18"/>
                <w:szCs w:val="18"/>
              </w:rPr>
              <w:t xml:space="preserve">Mildura Base Hospital, Latrobe Regional Health, Grampians Health, Bendigo Health, Albury Wodonga </w:t>
            </w:r>
            <w:r w:rsidRPr="00EE6F16">
              <w:rPr>
                <w:sz w:val="18"/>
                <w:szCs w:val="18"/>
              </w:rPr>
              <w:lastRenderedPageBreak/>
              <w:t>Health, Barwon Health, Goulburn Valley Health, Southwest Healthcare</w:t>
            </w:r>
          </w:p>
        </w:tc>
      </w:tr>
      <w:tr w:rsidR="005B5CB9" w:rsidRPr="00EE6F16" w14:paraId="00DD5DF1"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E819FB" w14:textId="77777777" w:rsidR="005B5CB9" w:rsidRPr="00EE6F16" w:rsidRDefault="005B5CB9" w:rsidP="004A1DD0">
            <w:pPr>
              <w:pStyle w:val="Body"/>
              <w:spacing w:after="60" w:line="240" w:lineRule="auto"/>
              <w:rPr>
                <w:sz w:val="18"/>
                <w:szCs w:val="18"/>
              </w:rPr>
            </w:pPr>
            <w:r w:rsidRPr="00EE6F16">
              <w:rPr>
                <w:sz w:val="18"/>
                <w:szCs w:val="18"/>
              </w:rPr>
              <w:lastRenderedPageBreak/>
              <w:t>Hamilton Centre</w:t>
            </w:r>
          </w:p>
        </w:tc>
        <w:tc>
          <w:tcPr>
            <w:tcW w:w="2500" w:type="pct"/>
          </w:tcPr>
          <w:p w14:paraId="7339862D" w14:textId="77777777" w:rsidR="005B5CB9" w:rsidRPr="00EE6F16" w:rsidRDefault="005B5CB9" w:rsidP="004A1DD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E6F16">
              <w:rPr>
                <w:sz w:val="18"/>
                <w:szCs w:val="18"/>
              </w:rPr>
              <w:t>Austin Health, St Vincent's Hospital, Western Health, Eastern Health</w:t>
            </w:r>
          </w:p>
        </w:tc>
      </w:tr>
      <w:tr w:rsidR="005B5CB9" w:rsidRPr="00EE6F16" w14:paraId="68647647"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4769A81D" w14:textId="77777777" w:rsidR="005B5CB9" w:rsidRPr="00EE6F16" w:rsidRDefault="005B5CB9" w:rsidP="004A1DD0">
            <w:pPr>
              <w:pStyle w:val="Body"/>
              <w:spacing w:after="60" w:line="240" w:lineRule="auto"/>
              <w:rPr>
                <w:sz w:val="18"/>
                <w:szCs w:val="18"/>
              </w:rPr>
            </w:pPr>
            <w:r w:rsidRPr="00EE6F16">
              <w:rPr>
                <w:sz w:val="18"/>
                <w:szCs w:val="18"/>
              </w:rPr>
              <w:t xml:space="preserve">Early intervention and integration lead – eating disorders </w:t>
            </w:r>
          </w:p>
        </w:tc>
        <w:tc>
          <w:tcPr>
            <w:tcW w:w="2500" w:type="pct"/>
          </w:tcPr>
          <w:p w14:paraId="3B6337E7" w14:textId="2C506837" w:rsidR="005B5CB9" w:rsidRPr="00EE6F16" w:rsidRDefault="005B5CB9" w:rsidP="004A1DD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E6F16">
              <w:rPr>
                <w:sz w:val="18"/>
                <w:szCs w:val="18"/>
              </w:rPr>
              <w:t xml:space="preserve">Mildura Base Hospital, Latrobe Regional Health, </w:t>
            </w:r>
            <w:r w:rsidR="00957436">
              <w:rPr>
                <w:sz w:val="18"/>
                <w:szCs w:val="18"/>
              </w:rPr>
              <w:t xml:space="preserve">The </w:t>
            </w:r>
            <w:r w:rsidRPr="00EE6F16">
              <w:rPr>
                <w:sz w:val="18"/>
                <w:szCs w:val="18"/>
              </w:rPr>
              <w:t>Royal Children's Hospital, Monash Health, Grampians Health, Bendigo Health, Albury Wodonga Health, Western Health, Eastern Health, Melbourne Health</w:t>
            </w:r>
          </w:p>
        </w:tc>
      </w:tr>
      <w:tr w:rsidR="005B5CB9" w:rsidRPr="00EE6F16" w14:paraId="22B3C2EC"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1A6811" w14:textId="77777777" w:rsidR="005B5CB9" w:rsidRPr="00EE6F16" w:rsidRDefault="005B5CB9" w:rsidP="004A1DD0">
            <w:pPr>
              <w:pStyle w:val="Body"/>
              <w:spacing w:after="60" w:line="240" w:lineRule="auto"/>
              <w:rPr>
                <w:sz w:val="18"/>
                <w:szCs w:val="18"/>
              </w:rPr>
            </w:pPr>
            <w:r w:rsidRPr="00EE6F16">
              <w:rPr>
                <w:sz w:val="18"/>
                <w:szCs w:val="18"/>
              </w:rPr>
              <w:t>In-home program – eating disorders</w:t>
            </w:r>
          </w:p>
        </w:tc>
        <w:tc>
          <w:tcPr>
            <w:tcW w:w="2500" w:type="pct"/>
          </w:tcPr>
          <w:p w14:paraId="1D17520F" w14:textId="77777777" w:rsidR="005B5CB9" w:rsidRPr="00EE6F16" w:rsidRDefault="005B5CB9" w:rsidP="004A1DD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E6F16">
              <w:rPr>
                <w:sz w:val="18"/>
                <w:szCs w:val="18"/>
              </w:rPr>
              <w:t>Austin Health, Alfred Health</w:t>
            </w:r>
          </w:p>
        </w:tc>
      </w:tr>
      <w:tr w:rsidR="005B5CB9" w:rsidRPr="00EE6F16" w14:paraId="4A792473"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6549976C" w14:textId="77777777" w:rsidR="005B5CB9" w:rsidRPr="00EE6F16" w:rsidRDefault="005B5CB9" w:rsidP="004A1DD0">
            <w:pPr>
              <w:pStyle w:val="Body"/>
              <w:spacing w:after="60" w:line="240" w:lineRule="auto"/>
              <w:rPr>
                <w:sz w:val="18"/>
                <w:szCs w:val="18"/>
              </w:rPr>
            </w:pPr>
            <w:r w:rsidRPr="00EE6F16">
              <w:rPr>
                <w:sz w:val="18"/>
                <w:szCs w:val="18"/>
              </w:rPr>
              <w:t>Regional day program – eating disorders</w:t>
            </w:r>
          </w:p>
        </w:tc>
        <w:tc>
          <w:tcPr>
            <w:tcW w:w="2500" w:type="pct"/>
          </w:tcPr>
          <w:p w14:paraId="5342F335" w14:textId="77777777" w:rsidR="005B5CB9" w:rsidRPr="00EE6F16" w:rsidRDefault="005B5CB9" w:rsidP="004A1DD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E6F16">
              <w:rPr>
                <w:sz w:val="18"/>
                <w:szCs w:val="18"/>
              </w:rPr>
              <w:t>Barwon Health</w:t>
            </w:r>
          </w:p>
        </w:tc>
      </w:tr>
      <w:tr w:rsidR="005B5CB9" w:rsidRPr="00EE6F16" w14:paraId="127E17C0"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47834B5" w14:textId="77777777" w:rsidR="005B5CB9" w:rsidRPr="00EE6F16" w:rsidRDefault="005B5CB9" w:rsidP="004A1DD0">
            <w:pPr>
              <w:pStyle w:val="Body"/>
              <w:spacing w:after="60" w:line="240" w:lineRule="auto"/>
              <w:rPr>
                <w:sz w:val="18"/>
                <w:szCs w:val="18"/>
              </w:rPr>
            </w:pPr>
            <w:r w:rsidRPr="00EE6F16">
              <w:rPr>
                <w:sz w:val="18"/>
                <w:szCs w:val="18"/>
              </w:rPr>
              <w:t>Specialist statewide services – dual disability</w:t>
            </w:r>
          </w:p>
        </w:tc>
        <w:tc>
          <w:tcPr>
            <w:tcW w:w="2500" w:type="pct"/>
          </w:tcPr>
          <w:p w14:paraId="328AD0EE" w14:textId="77777777" w:rsidR="005B5CB9" w:rsidRPr="00EE6F16" w:rsidRDefault="005B5CB9" w:rsidP="004A1DD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E6F16">
              <w:rPr>
                <w:sz w:val="18"/>
                <w:szCs w:val="18"/>
              </w:rPr>
              <w:t>Monash Health, St Vincent's Hospital, Alfred Health</w:t>
            </w:r>
          </w:p>
        </w:tc>
      </w:tr>
      <w:tr w:rsidR="005B5CB9" w:rsidRPr="00EE6F16" w14:paraId="21AD326F"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0A61D9B3" w14:textId="77777777" w:rsidR="005B5CB9" w:rsidRPr="00EE6F16" w:rsidRDefault="005B5CB9" w:rsidP="004A1DD0">
            <w:pPr>
              <w:pStyle w:val="Body"/>
              <w:spacing w:after="60" w:line="240" w:lineRule="auto"/>
              <w:rPr>
                <w:sz w:val="18"/>
                <w:szCs w:val="18"/>
              </w:rPr>
            </w:pPr>
            <w:r w:rsidRPr="00EE6F16">
              <w:rPr>
                <w:sz w:val="18"/>
                <w:szCs w:val="18"/>
              </w:rPr>
              <w:t>Specialist statewide services – neuropsychiatry</w:t>
            </w:r>
          </w:p>
        </w:tc>
        <w:tc>
          <w:tcPr>
            <w:tcW w:w="2500" w:type="pct"/>
          </w:tcPr>
          <w:p w14:paraId="66E95D4D" w14:textId="77777777" w:rsidR="005B5CB9" w:rsidRPr="00EE6F16" w:rsidRDefault="005B5CB9" w:rsidP="004A1DD0">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E6F16">
              <w:rPr>
                <w:sz w:val="18"/>
                <w:szCs w:val="18"/>
              </w:rPr>
              <w:t>Melbourne Health</w:t>
            </w:r>
          </w:p>
        </w:tc>
      </w:tr>
      <w:tr w:rsidR="005B5CB9" w:rsidRPr="00EE6F16" w14:paraId="705D1ADE"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748F8A" w14:textId="77777777" w:rsidR="005B5CB9" w:rsidRPr="00EE6F16" w:rsidRDefault="005B5CB9" w:rsidP="004A1DD0">
            <w:pPr>
              <w:pStyle w:val="Body"/>
              <w:spacing w:after="60" w:line="240" w:lineRule="auto"/>
              <w:rPr>
                <w:sz w:val="18"/>
                <w:szCs w:val="18"/>
              </w:rPr>
            </w:pPr>
            <w:r w:rsidRPr="00EE6F16">
              <w:rPr>
                <w:sz w:val="18"/>
                <w:szCs w:val="18"/>
              </w:rPr>
              <w:t>Consultation liaison</w:t>
            </w:r>
          </w:p>
        </w:tc>
        <w:tc>
          <w:tcPr>
            <w:tcW w:w="2500" w:type="pct"/>
          </w:tcPr>
          <w:p w14:paraId="6EB351FC" w14:textId="14D987C6" w:rsidR="005B5CB9" w:rsidRPr="00EE6F16" w:rsidRDefault="005B5CB9" w:rsidP="004A1DD0">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E6F16">
              <w:rPr>
                <w:sz w:val="18"/>
                <w:szCs w:val="18"/>
              </w:rPr>
              <w:t xml:space="preserve">Royal </w:t>
            </w:r>
            <w:r w:rsidR="00BD340A" w:rsidRPr="00EE6F16">
              <w:rPr>
                <w:sz w:val="18"/>
                <w:szCs w:val="18"/>
              </w:rPr>
              <w:t>Women’s</w:t>
            </w:r>
            <w:r w:rsidRPr="00EE6F16">
              <w:rPr>
                <w:sz w:val="18"/>
                <w:szCs w:val="18"/>
              </w:rPr>
              <w:t xml:space="preserve"> Hospital, Austin Health, Mildura Hospital, Latrobe Regional Health, Peninsula Health, </w:t>
            </w:r>
            <w:r w:rsidR="00957436">
              <w:rPr>
                <w:sz w:val="18"/>
                <w:szCs w:val="18"/>
              </w:rPr>
              <w:t xml:space="preserve">The </w:t>
            </w:r>
            <w:r w:rsidRPr="00EE6F16">
              <w:rPr>
                <w:sz w:val="18"/>
                <w:szCs w:val="18"/>
              </w:rPr>
              <w:t>Royal Children</w:t>
            </w:r>
            <w:r w:rsidR="004A1DD0">
              <w:rPr>
                <w:sz w:val="18"/>
                <w:szCs w:val="18"/>
              </w:rPr>
              <w:t>’</w:t>
            </w:r>
            <w:r w:rsidRPr="00EE6F16">
              <w:rPr>
                <w:sz w:val="18"/>
                <w:szCs w:val="18"/>
              </w:rPr>
              <w:t xml:space="preserve">s Hospital, Monash Health, Grampians Health, St Vincents Hospital, Bendigo Health, Albury Wodonga Health, Barwon Health, Mercy Hospital, Goulburn Valley Health, </w:t>
            </w:r>
            <w:proofErr w:type="gramStart"/>
            <w:r w:rsidRPr="00EE6F16">
              <w:rPr>
                <w:sz w:val="18"/>
                <w:szCs w:val="18"/>
              </w:rPr>
              <w:t>South West</w:t>
            </w:r>
            <w:proofErr w:type="gramEnd"/>
            <w:r w:rsidRPr="00EE6F16">
              <w:rPr>
                <w:sz w:val="18"/>
                <w:szCs w:val="18"/>
              </w:rPr>
              <w:t xml:space="preserve"> Healthcare, Western Health, Northern Health, Eastern Health, Alfred Health, Melbourne Health</w:t>
            </w:r>
          </w:p>
        </w:tc>
      </w:tr>
      <w:tr w:rsidR="005B5CB9" w:rsidRPr="00EE6F16" w14:paraId="2F92FDE8"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3EDCAD43" w14:textId="77777777" w:rsidR="005B5CB9" w:rsidRPr="00EE6F16" w:rsidRDefault="005B5CB9" w:rsidP="004A1DD0">
            <w:pPr>
              <w:pStyle w:val="Tabletext"/>
              <w:rPr>
                <w:szCs w:val="18"/>
              </w:rPr>
            </w:pPr>
            <w:r w:rsidRPr="00EE6F16">
              <w:rPr>
                <w:szCs w:val="18"/>
              </w:rPr>
              <w:t>National Disability Insurance Scheme clinical mental health interface</w:t>
            </w:r>
          </w:p>
        </w:tc>
        <w:tc>
          <w:tcPr>
            <w:tcW w:w="2500" w:type="pct"/>
          </w:tcPr>
          <w:p w14:paraId="32EFAB7F" w14:textId="77777777" w:rsidR="005B5CB9" w:rsidRPr="00EE6F16" w:rsidRDefault="005B5CB9" w:rsidP="004A1DD0">
            <w:pPr>
              <w:pStyle w:val="Tabletext"/>
              <w:cnfStyle w:val="000000000000" w:firstRow="0" w:lastRow="0" w:firstColumn="0" w:lastColumn="0" w:oddVBand="0" w:evenVBand="0" w:oddHBand="0" w:evenHBand="0" w:firstRowFirstColumn="0" w:firstRowLastColumn="0" w:lastRowFirstColumn="0" w:lastRowLastColumn="0"/>
              <w:rPr>
                <w:szCs w:val="18"/>
              </w:rPr>
            </w:pPr>
            <w:r w:rsidRPr="00EE6F16">
              <w:rPr>
                <w:szCs w:val="18"/>
              </w:rPr>
              <w:t>All</w:t>
            </w:r>
          </w:p>
        </w:tc>
      </w:tr>
      <w:tr w:rsidR="005B5CB9" w:rsidRPr="00EE6F16" w14:paraId="1BA4B82C" w14:textId="77777777" w:rsidTr="004A1D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35236DCC" w14:textId="77777777" w:rsidR="005B5CB9" w:rsidRPr="00EE6F16" w:rsidRDefault="005B5CB9" w:rsidP="004A1DD0">
            <w:pPr>
              <w:pStyle w:val="Tabletext"/>
              <w:rPr>
                <w:szCs w:val="18"/>
              </w:rPr>
            </w:pPr>
            <w:r w:rsidRPr="00EE6F16">
              <w:rPr>
                <w:szCs w:val="18"/>
              </w:rPr>
              <w:t>Specialist Family Violence Advisor</w:t>
            </w:r>
          </w:p>
        </w:tc>
        <w:tc>
          <w:tcPr>
            <w:tcW w:w="2500" w:type="pct"/>
          </w:tcPr>
          <w:p w14:paraId="2B37EDA6" w14:textId="77777777" w:rsidR="005B5CB9" w:rsidRPr="00EE6F16" w:rsidRDefault="005B5CB9" w:rsidP="004A1DD0">
            <w:pPr>
              <w:pStyle w:val="Tabletext"/>
              <w:cnfStyle w:val="000000100000" w:firstRow="0" w:lastRow="0" w:firstColumn="0" w:lastColumn="0" w:oddVBand="0" w:evenVBand="0" w:oddHBand="1" w:evenHBand="0" w:firstRowFirstColumn="0" w:firstRowLastColumn="0" w:lastRowFirstColumn="0" w:lastRowLastColumn="0"/>
              <w:rPr>
                <w:szCs w:val="18"/>
              </w:rPr>
            </w:pPr>
            <w:r w:rsidRPr="00EE6F16">
              <w:rPr>
                <w:szCs w:val="18"/>
              </w:rPr>
              <w:t>All</w:t>
            </w:r>
          </w:p>
        </w:tc>
      </w:tr>
      <w:tr w:rsidR="005B5CB9" w:rsidRPr="00EE6F16" w14:paraId="45887A54" w14:textId="77777777" w:rsidTr="004A1DD0">
        <w:tc>
          <w:tcPr>
            <w:cnfStyle w:val="001000000000" w:firstRow="0" w:lastRow="0" w:firstColumn="1" w:lastColumn="0" w:oddVBand="0" w:evenVBand="0" w:oddHBand="0" w:evenHBand="0" w:firstRowFirstColumn="0" w:firstRowLastColumn="0" w:lastRowFirstColumn="0" w:lastRowLastColumn="0"/>
            <w:tcW w:w="2500" w:type="pct"/>
          </w:tcPr>
          <w:p w14:paraId="193A32AC" w14:textId="77777777" w:rsidR="005B5CB9" w:rsidRPr="00EE6F16" w:rsidRDefault="005B5CB9" w:rsidP="004A1DD0">
            <w:pPr>
              <w:pStyle w:val="Tabletext"/>
              <w:rPr>
                <w:szCs w:val="18"/>
              </w:rPr>
            </w:pPr>
            <w:r w:rsidRPr="00EE6F16">
              <w:rPr>
                <w:szCs w:val="18"/>
              </w:rPr>
              <w:t xml:space="preserve">Mental Health Advice Response Service </w:t>
            </w:r>
          </w:p>
        </w:tc>
        <w:tc>
          <w:tcPr>
            <w:tcW w:w="2500" w:type="pct"/>
          </w:tcPr>
          <w:p w14:paraId="68B6BD49" w14:textId="77777777" w:rsidR="005B5CB9" w:rsidRPr="00EE6F16" w:rsidRDefault="005B5CB9" w:rsidP="004A1DD0">
            <w:pPr>
              <w:pStyle w:val="Tabletext"/>
              <w:cnfStyle w:val="000000000000" w:firstRow="0" w:lastRow="0" w:firstColumn="0" w:lastColumn="0" w:oddVBand="0" w:evenVBand="0" w:oddHBand="0" w:evenHBand="0" w:firstRowFirstColumn="0" w:firstRowLastColumn="0" w:lastRowFirstColumn="0" w:lastRowLastColumn="0"/>
              <w:rPr>
                <w:szCs w:val="18"/>
              </w:rPr>
            </w:pPr>
            <w:r w:rsidRPr="00EE6F16">
              <w:rPr>
                <w:szCs w:val="18"/>
              </w:rPr>
              <w:t>Latrobe Regional Health, Grampians Health, Bendigo Health, Barwon Health, Goulburn Valley Health, Victorian Institute of Forensic Mental Health</w:t>
            </w:r>
          </w:p>
        </w:tc>
      </w:tr>
      <w:tr w:rsidR="005B5CB9" w:rsidRPr="00EE6F16" w14:paraId="63847F41"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FC9B612" w14:textId="77777777" w:rsidR="005B5CB9" w:rsidRPr="00EE6F16" w:rsidRDefault="005B5CB9" w:rsidP="004A1DD0">
            <w:pPr>
              <w:pStyle w:val="Tabletext"/>
              <w:rPr>
                <w:szCs w:val="18"/>
              </w:rPr>
            </w:pPr>
            <w:r w:rsidRPr="00EE6F16">
              <w:rPr>
                <w:szCs w:val="18"/>
              </w:rPr>
              <w:t xml:space="preserve">Community Forensic Youth Mental Health Service </w:t>
            </w:r>
          </w:p>
        </w:tc>
        <w:tc>
          <w:tcPr>
            <w:tcW w:w="2500" w:type="pct"/>
          </w:tcPr>
          <w:p w14:paraId="185A83F1" w14:textId="77777777" w:rsidR="005B5CB9" w:rsidRPr="00EE6F16" w:rsidRDefault="005B5CB9" w:rsidP="004A1DD0">
            <w:pPr>
              <w:pStyle w:val="Tabletext"/>
              <w:cnfStyle w:val="000000100000" w:firstRow="0" w:lastRow="0" w:firstColumn="0" w:lastColumn="0" w:oddVBand="0" w:evenVBand="0" w:oddHBand="1" w:evenHBand="0" w:firstRowFirstColumn="0" w:firstRowLastColumn="0" w:lastRowFirstColumn="0" w:lastRowLastColumn="0"/>
              <w:rPr>
                <w:szCs w:val="18"/>
              </w:rPr>
            </w:pPr>
            <w:r w:rsidRPr="00EE6F16">
              <w:rPr>
                <w:szCs w:val="18"/>
              </w:rPr>
              <w:t>Alfred Health, Parkville Youth Mental Health and Wellbeing Service</w:t>
            </w:r>
          </w:p>
        </w:tc>
      </w:tr>
      <w:tr w:rsidR="005B5CB9" w:rsidRPr="00EE6F16" w14:paraId="4936DAAB" w14:textId="77777777" w:rsidTr="004A1DD0">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6D12BE1F" w14:textId="77777777" w:rsidR="005B5CB9" w:rsidRPr="00EE6F16" w:rsidRDefault="005B5CB9" w:rsidP="004A1DD0">
            <w:pPr>
              <w:pStyle w:val="Tabletext"/>
              <w:rPr>
                <w:szCs w:val="18"/>
              </w:rPr>
            </w:pPr>
            <w:r w:rsidRPr="00EE6F16">
              <w:rPr>
                <w:szCs w:val="18"/>
              </w:rPr>
              <w:t xml:space="preserve">Custodial Forensic Youth Mental Health Service </w:t>
            </w:r>
          </w:p>
        </w:tc>
        <w:tc>
          <w:tcPr>
            <w:tcW w:w="2500" w:type="pct"/>
          </w:tcPr>
          <w:p w14:paraId="03149F7B" w14:textId="77777777" w:rsidR="005B5CB9" w:rsidRPr="00EE6F16" w:rsidRDefault="005B5CB9" w:rsidP="004A1DD0">
            <w:pPr>
              <w:pStyle w:val="Tabletext"/>
              <w:cnfStyle w:val="000000000000" w:firstRow="0" w:lastRow="0" w:firstColumn="0" w:lastColumn="0" w:oddVBand="0" w:evenVBand="0" w:oddHBand="0" w:evenHBand="0" w:firstRowFirstColumn="0" w:firstRowLastColumn="0" w:lastRowFirstColumn="0" w:lastRowLastColumn="0"/>
              <w:rPr>
                <w:szCs w:val="18"/>
              </w:rPr>
            </w:pPr>
            <w:r w:rsidRPr="00EE6F16">
              <w:rPr>
                <w:szCs w:val="18"/>
              </w:rPr>
              <w:t>Parkville Youth Mental Health and Wellbeing Service</w:t>
            </w:r>
          </w:p>
        </w:tc>
      </w:tr>
      <w:tr w:rsidR="005B5CB9" w:rsidRPr="00EE6F16" w14:paraId="29C95950" w14:textId="77777777" w:rsidTr="004A1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86FB9AC" w14:textId="77777777" w:rsidR="005B5CB9" w:rsidRPr="00EE6F16" w:rsidRDefault="005B5CB9" w:rsidP="004A1DD0">
            <w:pPr>
              <w:pStyle w:val="Tabletext"/>
              <w:rPr>
                <w:szCs w:val="18"/>
              </w:rPr>
            </w:pPr>
            <w:r w:rsidRPr="00EE6F16">
              <w:rPr>
                <w:szCs w:val="18"/>
              </w:rPr>
              <w:t xml:space="preserve">Youth Homeless Dual Diagnosis </w:t>
            </w:r>
          </w:p>
        </w:tc>
        <w:tc>
          <w:tcPr>
            <w:tcW w:w="2500" w:type="pct"/>
          </w:tcPr>
          <w:p w14:paraId="5132ED60" w14:textId="77777777" w:rsidR="005B5CB9" w:rsidRPr="00EE6F16" w:rsidRDefault="005B5CB9" w:rsidP="004A1DD0">
            <w:pPr>
              <w:pStyle w:val="Tabletext"/>
              <w:cnfStyle w:val="000000100000" w:firstRow="0" w:lastRow="0" w:firstColumn="0" w:lastColumn="0" w:oddVBand="0" w:evenVBand="0" w:oddHBand="1" w:evenHBand="0" w:firstRowFirstColumn="0" w:firstRowLastColumn="0" w:lastRowFirstColumn="0" w:lastRowLastColumn="0"/>
              <w:rPr>
                <w:szCs w:val="18"/>
              </w:rPr>
            </w:pPr>
            <w:r w:rsidRPr="00EE6F16">
              <w:rPr>
                <w:szCs w:val="18"/>
              </w:rPr>
              <w:t>Mildura Base Hospital, Latrobe Regional Health, Monash Health, Grampians Health, Barwon Health, Goulburn Valley Health, Eastern Health, Melbourne Health</w:t>
            </w:r>
          </w:p>
        </w:tc>
      </w:tr>
      <w:tr w:rsidR="005B5CB9" w:rsidRPr="00EE6F16" w14:paraId="4A36E9E8" w14:textId="77777777" w:rsidTr="004A1DD0">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2C7418F2" w14:textId="77777777" w:rsidR="005B5CB9" w:rsidRPr="00EE6F16" w:rsidRDefault="005B5CB9" w:rsidP="004A1DD0">
            <w:pPr>
              <w:pStyle w:val="Tabletext"/>
              <w:rPr>
                <w:szCs w:val="18"/>
              </w:rPr>
            </w:pPr>
            <w:r w:rsidRPr="00EE6F16">
              <w:rPr>
                <w:szCs w:val="18"/>
              </w:rPr>
              <w:t>Forensic threat assessment, response, prevention and recovery care</w:t>
            </w:r>
          </w:p>
        </w:tc>
        <w:tc>
          <w:tcPr>
            <w:tcW w:w="2500" w:type="pct"/>
          </w:tcPr>
          <w:p w14:paraId="7CEDCF4E" w14:textId="77777777" w:rsidR="005B5CB9" w:rsidRPr="00EE6F16" w:rsidRDefault="005B5CB9" w:rsidP="004A1DD0">
            <w:pPr>
              <w:pStyle w:val="Tabletext"/>
              <w:cnfStyle w:val="000000000000" w:firstRow="0" w:lastRow="0" w:firstColumn="0" w:lastColumn="0" w:oddVBand="0" w:evenVBand="0" w:oddHBand="0" w:evenHBand="0" w:firstRowFirstColumn="0" w:firstRowLastColumn="0" w:lastRowFirstColumn="0" w:lastRowLastColumn="0"/>
              <w:rPr>
                <w:szCs w:val="18"/>
              </w:rPr>
            </w:pPr>
            <w:r w:rsidRPr="00EE6F16">
              <w:rPr>
                <w:szCs w:val="18"/>
              </w:rPr>
              <w:t>Melbourne Health, Monash Health, Victorian Institute of Forensic Mental Health</w:t>
            </w:r>
          </w:p>
        </w:tc>
      </w:tr>
      <w:tr w:rsidR="005B5CB9" w:rsidRPr="00EE6F16" w14:paraId="46181E88" w14:textId="77777777" w:rsidTr="004A1D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tcPr>
          <w:p w14:paraId="37B84BD0" w14:textId="77777777" w:rsidR="005B5CB9" w:rsidRPr="00EE6F16" w:rsidRDefault="005B5CB9" w:rsidP="004A1DD0">
            <w:pPr>
              <w:pStyle w:val="Tabletext"/>
              <w:rPr>
                <w:szCs w:val="18"/>
              </w:rPr>
            </w:pPr>
            <w:r w:rsidRPr="00EE6F16">
              <w:rPr>
                <w:szCs w:val="18"/>
              </w:rPr>
              <w:t>Justice Mental Health Initiative</w:t>
            </w:r>
          </w:p>
        </w:tc>
        <w:tc>
          <w:tcPr>
            <w:tcW w:w="2500" w:type="pct"/>
          </w:tcPr>
          <w:p w14:paraId="34413EEF" w14:textId="77777777" w:rsidR="005B5CB9" w:rsidRPr="00EE6F16" w:rsidRDefault="005B5CB9" w:rsidP="004A1DD0">
            <w:pPr>
              <w:pStyle w:val="Tabletext"/>
              <w:cnfStyle w:val="000000100000" w:firstRow="0" w:lastRow="0" w:firstColumn="0" w:lastColumn="0" w:oddVBand="0" w:evenVBand="0" w:oddHBand="1" w:evenHBand="0" w:firstRowFirstColumn="0" w:firstRowLastColumn="0" w:lastRowFirstColumn="0" w:lastRowLastColumn="0"/>
              <w:rPr>
                <w:szCs w:val="18"/>
              </w:rPr>
            </w:pPr>
            <w:r w:rsidRPr="00EE6F16">
              <w:rPr>
                <w:szCs w:val="18"/>
              </w:rPr>
              <w:t>Austin Health, Grampians Health, Albury Wodonga Health, Barwon Health, Alfred Health</w:t>
            </w:r>
          </w:p>
        </w:tc>
      </w:tr>
    </w:tbl>
    <w:p w14:paraId="26581ABA" w14:textId="0FF3F643" w:rsidR="005B5CB9" w:rsidRDefault="005B5CB9" w:rsidP="009C35B2">
      <w:pPr>
        <w:pStyle w:val="Body"/>
        <w:spacing w:before="120"/>
      </w:pPr>
      <w:r>
        <w:t xml:space="preserve">In 2026–27, community mental health programs that have transitioned to ABF under the NFM will contribute to community mental health NWAU targets and service hour targets. This recognises that these programs are well established and mature, with operational stability required to deliver to these targets. </w:t>
      </w:r>
    </w:p>
    <w:p w14:paraId="1D062AD0" w14:textId="2AAB234F" w:rsidR="005B5CB9" w:rsidRPr="00084C04" w:rsidRDefault="005B5CB9" w:rsidP="005B5CB9">
      <w:pPr>
        <w:pStyle w:val="Heading2"/>
      </w:pPr>
      <w:bookmarkStart w:id="1637" w:name="_3.10_Radiotherapy"/>
      <w:bookmarkStart w:id="1638" w:name="_Toc234580294"/>
      <w:bookmarkEnd w:id="1637"/>
      <w:r>
        <w:t>Radiotherapy</w:t>
      </w:r>
      <w:bookmarkEnd w:id="1638"/>
    </w:p>
    <w:p w14:paraId="10A52DDB" w14:textId="77777777" w:rsidR="005B5CB9" w:rsidRPr="009C35B2" w:rsidRDefault="005B5CB9" w:rsidP="009C35B2">
      <w:pPr>
        <w:pStyle w:val="Body"/>
      </w:pPr>
      <w:r w:rsidRPr="009C35B2">
        <w:t xml:space="preserve">Under the NFM, radiotherapy services are activity-based funded when delivered by health services in scope for ABF, as defined by the NHRA. </w:t>
      </w:r>
    </w:p>
    <w:p w14:paraId="2BDCD831" w14:textId="02765C14" w:rsidR="005B5CB9" w:rsidRPr="00084C04" w:rsidRDefault="005B5CB9" w:rsidP="005B5CB9">
      <w:pPr>
        <w:pStyle w:val="Heading3"/>
      </w:pPr>
      <w:bookmarkStart w:id="1639" w:name="_Toc234574577"/>
      <w:bookmarkStart w:id="1640" w:name="_Toc234578171"/>
      <w:bookmarkStart w:id="1641" w:name="_Toc234580295"/>
      <w:r>
        <w:lastRenderedPageBreak/>
        <w:t>Admitted radiotherapy funding model</w:t>
      </w:r>
      <w:bookmarkEnd w:id="1639"/>
      <w:bookmarkEnd w:id="1640"/>
      <w:bookmarkEnd w:id="1641"/>
    </w:p>
    <w:p w14:paraId="525E9B07" w14:textId="77777777" w:rsidR="005B5CB9" w:rsidRPr="009C35B2" w:rsidRDefault="005B5CB9" w:rsidP="009C35B2">
      <w:pPr>
        <w:pStyle w:val="Body"/>
      </w:pPr>
      <w:r w:rsidRPr="009C35B2">
        <w:t>Public radiotherapy activity delivered as part of an admitted episode of care is funded under NWAU ABF using VEP.</w:t>
      </w:r>
    </w:p>
    <w:p w14:paraId="126E4379" w14:textId="3F09F63E" w:rsidR="005B5CB9" w:rsidRPr="00C4640D" w:rsidRDefault="005B5CB9" w:rsidP="005B5CB9">
      <w:pPr>
        <w:pStyle w:val="Heading3"/>
      </w:pPr>
      <w:bookmarkStart w:id="1642" w:name="_Toc234574578"/>
      <w:bookmarkStart w:id="1643" w:name="_Toc234578172"/>
      <w:bookmarkStart w:id="1644" w:name="_Toc234580296"/>
      <w:r>
        <w:t>Non-admitted radiotherapy funding model</w:t>
      </w:r>
      <w:bookmarkEnd w:id="1642"/>
      <w:bookmarkEnd w:id="1643"/>
      <w:bookmarkEnd w:id="1644"/>
    </w:p>
    <w:p w14:paraId="2B1F29F6" w14:textId="77777777" w:rsidR="005B5CB9" w:rsidRDefault="005B5CB9" w:rsidP="009C35B2">
      <w:pPr>
        <w:pStyle w:val="Body"/>
      </w:pPr>
      <w:r>
        <w:t>NFM: NWAU ABF. Victoria: Four hub services: Bayside Health, Austin Health, Barwon Health, and Peter MacCallum Cancer Centre.</w:t>
      </w:r>
    </w:p>
    <w:p w14:paraId="65999443" w14:textId="77777777" w:rsidR="005B5CB9" w:rsidRDefault="005B5CB9" w:rsidP="009C35B2">
      <w:pPr>
        <w:pStyle w:val="Body"/>
      </w:pPr>
      <w:r>
        <w:t xml:space="preserve">Block funding is provided to Bayside Health and Peter MacCallum Cancer Centre for specialist equipment (MR-Linac and Gamma Knife). </w:t>
      </w:r>
    </w:p>
    <w:p w14:paraId="4FD9BCA2" w14:textId="77777777" w:rsidR="005B5CB9" w:rsidRDefault="005B5CB9" w:rsidP="009C35B2">
      <w:pPr>
        <w:pStyle w:val="Body"/>
      </w:pPr>
      <w:r>
        <w:t>Targets (courses per year) are set via Statement of Priorities.</w:t>
      </w:r>
    </w:p>
    <w:p w14:paraId="6F267B13" w14:textId="77777777" w:rsidR="005B5CB9" w:rsidRDefault="005B5CB9" w:rsidP="009C35B2">
      <w:pPr>
        <w:pStyle w:val="Body"/>
      </w:pPr>
      <w:r>
        <w:t xml:space="preserve">Contracted services: the department funds private sector radiotherapy at </w:t>
      </w:r>
      <w:proofErr w:type="gramStart"/>
      <w:r>
        <w:t>South West</w:t>
      </w:r>
      <w:proofErr w:type="gramEnd"/>
      <w:r>
        <w:t xml:space="preserve"> Healthcare Warrnambool, Albury Wodonga Health, Mildura Base Hospital, and Goulburn Valley Health; all patients at no out-of-pocket cost. </w:t>
      </w:r>
    </w:p>
    <w:p w14:paraId="324C7B25" w14:textId="77777777" w:rsidR="005B5CB9" w:rsidRDefault="005B5CB9" w:rsidP="009C35B2">
      <w:pPr>
        <w:pStyle w:val="Body"/>
      </w:pPr>
      <w:r>
        <w:t>Shared care: eligible metropolitan health services (Northern Health, Peninsula Health, Monash Health Casey, Western Health Footscray) receive funding for eligible concession card holders accessing local private operators.</w:t>
      </w:r>
    </w:p>
    <w:p w14:paraId="3B1CFC01" w14:textId="77777777" w:rsidR="005B5CB9" w:rsidRPr="009C35B2" w:rsidRDefault="005B5CB9" w:rsidP="009C35B2">
      <w:pPr>
        <w:pStyle w:val="Body"/>
        <w:rPr>
          <w:b/>
          <w:bCs/>
        </w:rPr>
      </w:pPr>
      <w:r w:rsidRPr="009C35B2">
        <w:rPr>
          <w:b/>
          <w:bCs/>
        </w:rPr>
        <w:t>Data and quality:</w:t>
      </w:r>
    </w:p>
    <w:p w14:paraId="61FC89BA" w14:textId="1D11341C" w:rsidR="005B5CB9" w:rsidRDefault="005B5CB9" w:rsidP="009C35B2">
      <w:pPr>
        <w:pStyle w:val="Bullet1"/>
      </w:pPr>
      <w:r w:rsidRPr="5B850891">
        <w:t xml:space="preserve">Report consultations, treatment and simulation to the VINAH MDS or </w:t>
      </w:r>
      <w:proofErr w:type="gramStart"/>
      <w:r w:rsidR="002C3AE9">
        <w:t>Non Admitted</w:t>
      </w:r>
      <w:proofErr w:type="gramEnd"/>
      <w:r w:rsidR="002C3AE9">
        <w:t xml:space="preserve"> Data Collection</w:t>
      </w:r>
      <w:r w:rsidR="002C3AE9" w:rsidRPr="5B850891">
        <w:t xml:space="preserve"> </w:t>
      </w:r>
      <w:r w:rsidR="002C3AE9">
        <w:t>(</w:t>
      </w:r>
      <w:r w:rsidRPr="5B850891">
        <w:t>NADC</w:t>
      </w:r>
      <w:r w:rsidR="002C3AE9">
        <w:t>)</w:t>
      </w:r>
      <w:r w:rsidRPr="5B850891">
        <w:t>; consultations also to AIMS S8 form.</w:t>
      </w:r>
    </w:p>
    <w:p w14:paraId="303C9CD5" w14:textId="77777777" w:rsidR="005B5CB9" w:rsidRDefault="005B5CB9" w:rsidP="009C35B2">
      <w:pPr>
        <w:pStyle w:val="Bullet1"/>
      </w:pPr>
      <w:r w:rsidRPr="5B850891">
        <w:t>Report patient-level radiotherapy costing via the VCDC.</w:t>
      </w:r>
    </w:p>
    <w:p w14:paraId="20595F50" w14:textId="77777777" w:rsidR="005B5CB9" w:rsidRPr="00B33024" w:rsidRDefault="005B5CB9" w:rsidP="009C35B2">
      <w:pPr>
        <w:pStyle w:val="Bullet1"/>
      </w:pPr>
      <w:r w:rsidRPr="5B850891">
        <w:t>Assess services against the Radiation Oncology Practice Standards using the self-audit tool. Report material outliers to the department.</w:t>
      </w:r>
    </w:p>
    <w:p w14:paraId="1FAA41ED" w14:textId="50DBBD95" w:rsidR="005B5CB9" w:rsidRPr="00556C90" w:rsidRDefault="005B5CB9" w:rsidP="005B5CB9">
      <w:pPr>
        <w:pStyle w:val="Heading2"/>
        <w:rPr>
          <w:rFonts w:eastAsia="Times"/>
        </w:rPr>
      </w:pPr>
      <w:bookmarkStart w:id="1645" w:name="_3.11_Small_rural"/>
      <w:bookmarkStart w:id="1646" w:name="_Toc197957843"/>
      <w:bookmarkStart w:id="1647" w:name="_Toc234580297"/>
      <w:bookmarkEnd w:id="1645"/>
      <w:r w:rsidRPr="5B850891">
        <w:rPr>
          <w:rFonts w:eastAsia="Times"/>
        </w:rPr>
        <w:t>Small rural health services</w:t>
      </w:r>
      <w:bookmarkEnd w:id="1646"/>
      <w:bookmarkEnd w:id="1647"/>
    </w:p>
    <w:p w14:paraId="61AFEDF9" w14:textId="77777777" w:rsidR="005B5CB9" w:rsidRDefault="005B5CB9" w:rsidP="009C35B2">
      <w:pPr>
        <w:pStyle w:val="Body"/>
        <w:rPr>
          <w:highlight w:val="yellow"/>
        </w:rPr>
      </w:pPr>
      <w:r>
        <w:t xml:space="preserve">NFM: NHRA in-scope block-funded services. Victoria: Funded under the flexible Victorian SRHS model introduced in 2003–04 (not the national NEC-based model). SRHS may use funds from acute health and primary care outputs flexibly. Multipurpose services may flexibly use aged care funding under the tripartite agreement. SRHS funded under this model are listed in </w:t>
      </w:r>
      <w:hyperlink w:anchor="_15_Output_and" w:history="1">
        <w:r w:rsidRPr="00051A6D">
          <w:rPr>
            <w:rStyle w:val="Hyperlink"/>
          </w:rPr>
          <w:t>Section 15.</w:t>
        </w:r>
      </w:hyperlink>
    </w:p>
    <w:p w14:paraId="3549513C" w14:textId="1904CC42" w:rsidR="005B5CB9" w:rsidRPr="00736CC1" w:rsidRDefault="005B5CB9" w:rsidP="005B5CB9">
      <w:pPr>
        <w:pStyle w:val="Heading2"/>
      </w:pPr>
      <w:bookmarkStart w:id="1648" w:name="_3.12_Subacute_and"/>
      <w:bookmarkStart w:id="1649" w:name="_Toc234580298"/>
      <w:bookmarkEnd w:id="1648"/>
      <w:r>
        <w:t>Subacute and non-acute care exceptions to NFM</w:t>
      </w:r>
      <w:bookmarkEnd w:id="1649"/>
    </w:p>
    <w:p w14:paraId="58BE343A" w14:textId="77777777" w:rsidR="005B5CB9" w:rsidRDefault="005B5CB9" w:rsidP="009C35B2">
      <w:pPr>
        <w:pStyle w:val="Bullet1"/>
      </w:pPr>
      <w:r w:rsidRPr="5B850891">
        <w:t xml:space="preserve">Community palliative care is block funded </w:t>
      </w:r>
      <w:r w:rsidRPr="00051A6D">
        <w:t>(</w:t>
      </w:r>
      <w:hyperlink w:anchor="_Toc164262473" w:history="1">
        <w:r w:rsidRPr="00051A6D">
          <w:rPr>
            <w:rStyle w:val="Hyperlink"/>
          </w:rPr>
          <w:t>Section 3.1</w:t>
        </w:r>
      </w:hyperlink>
      <w:r w:rsidRPr="00051A6D">
        <w:t>).</w:t>
      </w:r>
    </w:p>
    <w:p w14:paraId="13E66F36" w14:textId="1D3B1B72" w:rsidR="005B5CB9" w:rsidRDefault="005B5CB9" w:rsidP="009C35B2">
      <w:pPr>
        <w:pStyle w:val="Bullet1"/>
      </w:pPr>
      <w:r w:rsidRPr="5B850891">
        <w:t>The psychogeriatric care type is not used in Victoria in 2026–27.</w:t>
      </w:r>
    </w:p>
    <w:p w14:paraId="0A4531CD" w14:textId="0B55CB8B" w:rsidR="005B5CB9" w:rsidRDefault="005B5CB9" w:rsidP="009C35B2">
      <w:pPr>
        <w:pStyle w:val="Bullet1"/>
      </w:pPr>
      <w:r w:rsidRPr="5B850891">
        <w:t xml:space="preserve">Where </w:t>
      </w:r>
      <w:r w:rsidR="002A1F38" w:rsidRPr="002E3429">
        <w:t>Australian National Subacute and Non-Acute Patient</w:t>
      </w:r>
      <w:r w:rsidR="002A1F38" w:rsidRPr="5B850891">
        <w:t xml:space="preserve"> </w:t>
      </w:r>
      <w:r w:rsidR="002A1F38">
        <w:t>(</w:t>
      </w:r>
      <w:r w:rsidRPr="5B850891">
        <w:t>AN-SNAP</w:t>
      </w:r>
      <w:r w:rsidR="002A1F38">
        <w:t>)</w:t>
      </w:r>
      <w:r w:rsidRPr="5B850891">
        <w:t xml:space="preserve"> classification data is unavailable, activity is not funded and Victoria does not transfer the episode to the acute model as occurs nationally.</w:t>
      </w:r>
    </w:p>
    <w:p w14:paraId="1B944E61" w14:textId="77777777" w:rsidR="005B5CB9" w:rsidRDefault="005B5CB9" w:rsidP="009C35B2">
      <w:pPr>
        <w:pStyle w:val="Bullet1"/>
      </w:pPr>
      <w:r w:rsidRPr="5B850891">
        <w:t>The department does not reimburse hospitals for public nursing-home-type episodes. DVA and private patient arrangements remain in place.</w:t>
      </w:r>
    </w:p>
    <w:p w14:paraId="238FAEF7" w14:textId="5DBC2680" w:rsidR="005B5CB9" w:rsidRPr="00F94A30" w:rsidRDefault="005B5CB9" w:rsidP="005B5CB9">
      <w:pPr>
        <w:pStyle w:val="Heading2"/>
      </w:pPr>
      <w:bookmarkStart w:id="1650" w:name="_3.13_Training_and"/>
      <w:bookmarkStart w:id="1651" w:name="_Toc234580299"/>
      <w:bookmarkEnd w:id="1650"/>
      <w:r>
        <w:lastRenderedPageBreak/>
        <w:t>Training and development</w:t>
      </w:r>
      <w:bookmarkEnd w:id="1651"/>
    </w:p>
    <w:p w14:paraId="5A37F765" w14:textId="77777777" w:rsidR="005B5CB9" w:rsidRDefault="005B5CB9" w:rsidP="009C35B2">
      <w:pPr>
        <w:pStyle w:val="Body"/>
      </w:pPr>
      <w:r>
        <w:t xml:space="preserve">NFM: NHRA in-scope block-funded. Victoria: Funded as grants per the Training and Development Funding Program Guidelines. Multiple streams support the continuum of training activities. Rates are at </w:t>
      </w:r>
      <w:hyperlink w:anchor="_13.9_Training_and" w:history="1">
        <w:r w:rsidRPr="00BF7504">
          <w:rPr>
            <w:rStyle w:val="Hyperlink"/>
          </w:rPr>
          <w:t>Section 13.9.</w:t>
        </w:r>
      </w:hyperlink>
    </w:p>
    <w:p w14:paraId="301ACA57" w14:textId="21EC0C33" w:rsidR="005B5CB9" w:rsidRPr="00E300EA" w:rsidRDefault="005B5CB9" w:rsidP="005B5CB9">
      <w:pPr>
        <w:pStyle w:val="Heading2"/>
      </w:pPr>
      <w:bookmarkStart w:id="1652" w:name="_3.14__Victorian"/>
      <w:bookmarkStart w:id="1653" w:name="_Toc234580300"/>
      <w:bookmarkEnd w:id="1652"/>
      <w:r>
        <w:t>Victorian Virtual Emergency Department</w:t>
      </w:r>
      <w:bookmarkEnd w:id="1653"/>
    </w:p>
    <w:p w14:paraId="0ED12D9F" w14:textId="77777777" w:rsidR="005B5CB9" w:rsidRDefault="005B5CB9" w:rsidP="009C35B2">
      <w:pPr>
        <w:pStyle w:val="Body"/>
      </w:pPr>
      <w:r>
        <w:t>NFM: NHRA in-scope block-funded. Victoria: Block funded statewide program delivered by Northern Health. Enables select non-urgent patients to receive virtual video assessments 24/7. The VVED does not attract NWAU ABF.</w:t>
      </w:r>
    </w:p>
    <w:p w14:paraId="09CFE137" w14:textId="77777777" w:rsidR="005B5CB9" w:rsidRDefault="005B5CB9" w:rsidP="009C35B2">
      <w:pPr>
        <w:pStyle w:val="Body"/>
        <w:rPr>
          <w:b/>
          <w:bCs/>
        </w:rPr>
      </w:pPr>
      <w:r w:rsidRPr="5B850891">
        <w:rPr>
          <w:b/>
          <w:bCs/>
        </w:rPr>
        <w:t>Business rules:</w:t>
      </w:r>
    </w:p>
    <w:p w14:paraId="06FFB428" w14:textId="77777777" w:rsidR="005B5CB9" w:rsidRDefault="005B5CB9" w:rsidP="009C35B2">
      <w:pPr>
        <w:pStyle w:val="Bullet1"/>
      </w:pPr>
      <w:r w:rsidRPr="5B850891">
        <w:t>Unit of count: presentations. Report to the Victorian Emergency Minimum Dataset (VEMD).</w:t>
      </w:r>
    </w:p>
    <w:p w14:paraId="1AAF0659" w14:textId="77777777" w:rsidR="005B5CB9" w:rsidRDefault="005B5CB9" w:rsidP="009C35B2">
      <w:pPr>
        <w:pStyle w:val="Bullet1"/>
      </w:pPr>
      <w:r w:rsidRPr="5B850891">
        <w:t>Provide monthly and quarterly activity data and fulfil ad hoc data requests per funding obligations and Annual Agreement</w:t>
      </w:r>
      <w:r>
        <w:br w:type="page"/>
      </w:r>
    </w:p>
    <w:p w14:paraId="4793576D" w14:textId="4A0E6FC9" w:rsidR="005B5CB9" w:rsidRPr="00EA3A75" w:rsidRDefault="005B5CB9" w:rsidP="005B5CB9">
      <w:pPr>
        <w:pStyle w:val="Heading1"/>
      </w:pPr>
      <w:bookmarkStart w:id="1654" w:name="_4_Services_funded"/>
      <w:bookmarkStart w:id="1655" w:name="_Toc234580301"/>
      <w:bookmarkEnd w:id="1654"/>
      <w:r>
        <w:lastRenderedPageBreak/>
        <w:t>Services funded in addition to the NHRA</w:t>
      </w:r>
      <w:bookmarkEnd w:id="1655"/>
    </w:p>
    <w:p w14:paraId="7A8DDB4B" w14:textId="77777777" w:rsidR="005B5CB9" w:rsidRPr="009C35B2" w:rsidRDefault="005B5CB9" w:rsidP="009C35B2">
      <w:pPr>
        <w:pStyle w:val="Body"/>
      </w:pPr>
      <w:r w:rsidRPr="009C35B2">
        <w:t>The following services are outside the scope of the NHRA and are funded by Victoria, the Victorian and Australian Governments or other public funding sources.</w:t>
      </w:r>
    </w:p>
    <w:p w14:paraId="2F22BF43" w14:textId="26E35BF8" w:rsidR="005B5CB9" w:rsidRDefault="005B5CB9" w:rsidP="005B5CB9">
      <w:pPr>
        <w:pStyle w:val="Heading2"/>
      </w:pPr>
      <w:bookmarkStart w:id="1656" w:name="_4.1_Alcohol_and"/>
      <w:bookmarkStart w:id="1657" w:name="_Toc234580302"/>
      <w:bookmarkEnd w:id="1656"/>
      <w:r>
        <w:t>Alcohol and other drug services</w:t>
      </w:r>
      <w:bookmarkEnd w:id="1657"/>
    </w:p>
    <w:p w14:paraId="63104049" w14:textId="4AC075AB" w:rsidR="005B5CB9" w:rsidRPr="009C35B2" w:rsidRDefault="005B5CB9" w:rsidP="009C35B2">
      <w:pPr>
        <w:pStyle w:val="Body"/>
      </w:pPr>
      <w:r w:rsidRPr="009C35B2">
        <w:t xml:space="preserve">Victorian-funded services operating under a mixed model. Residential services and most adult community-based services are funded via drug treatment activity units (DTAUs) against agreed targets. Prices at </w:t>
      </w:r>
      <w:hyperlink w:anchor="_13.6_Alcohol_and" w:history="1">
        <w:r w:rsidRPr="009C35B2">
          <w:rPr>
            <w:rStyle w:val="Hyperlink"/>
            <w:color w:val="auto"/>
            <w:u w:val="none"/>
          </w:rPr>
          <w:t>Section 13.6;</w:t>
        </w:r>
      </w:hyperlink>
      <w:r w:rsidRPr="009C35B2">
        <w:t xml:space="preserve"> targets at </w:t>
      </w:r>
      <w:hyperlink w:anchor="_Alcohol_and_other" w:history="1">
        <w:r w:rsidRPr="00461CC4">
          <w:rPr>
            <w:rStyle w:val="Hyperlink"/>
          </w:rPr>
          <w:t>Table 17.5</w:t>
        </w:r>
      </w:hyperlink>
      <w:r w:rsidRPr="00461CC4">
        <w:t>.</w:t>
      </w:r>
      <w:r w:rsidRPr="009C35B2">
        <w:t xml:space="preserve"> All Victorian funded AOD treatment providers report to the Victorian Alcohol and Drug Collection.</w:t>
      </w:r>
    </w:p>
    <w:p w14:paraId="017F0D49" w14:textId="7B4C0CC9" w:rsidR="005B5CB9" w:rsidRPr="00593888" w:rsidRDefault="005B5CB9" w:rsidP="005B5CB9">
      <w:pPr>
        <w:pStyle w:val="Heading2"/>
      </w:pPr>
      <w:bookmarkStart w:id="1658" w:name="_4.2_Community_health"/>
      <w:bookmarkStart w:id="1659" w:name="_Toc234580303"/>
      <w:bookmarkEnd w:id="1658"/>
      <w:r>
        <w:t>Community health pricing</w:t>
      </w:r>
      <w:bookmarkEnd w:id="1659"/>
    </w:p>
    <w:p w14:paraId="022D580E" w14:textId="77777777" w:rsidR="005B5CB9" w:rsidRDefault="005B5CB9" w:rsidP="009C35B2">
      <w:pPr>
        <w:pStyle w:val="Body"/>
        <w:rPr>
          <w:highlight w:val="yellow"/>
        </w:rPr>
      </w:pPr>
      <w:r>
        <w:t xml:space="preserve">A single unit price for all community health activities applies from 1 July 2025, achieving parity between nursing and allied health unit prices. Funding is activity-based; activity is measured in service hours. See </w:t>
      </w:r>
      <w:hyperlink w:anchor="_13.8_Community_health" w:history="1">
        <w:r w:rsidRPr="00F0296E">
          <w:rPr>
            <w:rStyle w:val="Hyperlink"/>
          </w:rPr>
          <w:t>Section 13.8.</w:t>
        </w:r>
      </w:hyperlink>
    </w:p>
    <w:p w14:paraId="2097BCD9" w14:textId="2F93771A" w:rsidR="005B5CB9" w:rsidRDefault="005B5CB9" w:rsidP="005B5CB9">
      <w:pPr>
        <w:pStyle w:val="Heading2"/>
      </w:pPr>
      <w:bookmarkStart w:id="1660" w:name="_Toc197452707"/>
      <w:bookmarkStart w:id="1661" w:name="_4.3_Local_public"/>
      <w:bookmarkStart w:id="1662" w:name="_Toc234580304"/>
      <w:bookmarkEnd w:id="1660"/>
      <w:bookmarkEnd w:id="1661"/>
      <w:r>
        <w:t>Local public health unit block-funded functions</w:t>
      </w:r>
      <w:bookmarkEnd w:id="1662"/>
      <w:r>
        <w:t xml:space="preserve"> </w:t>
      </w:r>
    </w:p>
    <w:p w14:paraId="783492CD" w14:textId="4343C2EF" w:rsidR="005B5CB9" w:rsidRDefault="005B5CB9" w:rsidP="009C35B2">
      <w:pPr>
        <w:pStyle w:val="Body"/>
      </w:pPr>
      <w:r>
        <w:t xml:space="preserve">Health services operating </w:t>
      </w:r>
      <w:proofErr w:type="gramStart"/>
      <w:r>
        <w:t>an</w:t>
      </w:r>
      <w:proofErr w:type="gramEnd"/>
      <w:r>
        <w:t xml:space="preserve"> </w:t>
      </w:r>
      <w:r w:rsidR="00793584" w:rsidRPr="00CE3410">
        <w:t>Local Public Health Unit</w:t>
      </w:r>
      <w:r w:rsidR="00793584">
        <w:t xml:space="preserve"> (</w:t>
      </w:r>
      <w:r>
        <w:t>LPHU</w:t>
      </w:r>
      <w:r w:rsidR="00793584">
        <w:t>)</w:t>
      </w:r>
      <w:r>
        <w:t xml:space="preserve"> receive funding for two lines in the Health Agencies Reporting Tool (HeART): LPHU health protection core operations [M1549]; and health advancement [M1546]. LPHU funding is tied to its designated purpose and cannot be redistributed. Unspent funds require explicit department approval before reuse.</w:t>
      </w:r>
    </w:p>
    <w:p w14:paraId="13F0BC59" w14:textId="474CF27E" w:rsidR="005B5CB9" w:rsidRDefault="005B5CB9" w:rsidP="005B5CB9">
      <w:pPr>
        <w:pStyle w:val="Heading2"/>
      </w:pPr>
      <w:bookmarkStart w:id="1663" w:name="_4.4_Mental_Health"/>
      <w:bookmarkStart w:id="1664" w:name="_Mental_Health_Community"/>
      <w:bookmarkStart w:id="1665" w:name="_Toc234580305"/>
      <w:bookmarkEnd w:id="1663"/>
      <w:bookmarkEnd w:id="1664"/>
      <w:r>
        <w:t>Mental Health Community Support Services</w:t>
      </w:r>
      <w:bookmarkEnd w:id="1665"/>
    </w:p>
    <w:p w14:paraId="15765390" w14:textId="77777777" w:rsidR="005B5CB9" w:rsidRDefault="005B5CB9" w:rsidP="009C35B2">
      <w:pPr>
        <w:pStyle w:val="Body"/>
      </w:pPr>
      <w:r>
        <w:t xml:space="preserve">Funding is output-based. Statewide targets are set in Victorian State Budget Paper No. 3 (2026). MHCSS activities listed in the Funding and Service Agreement are minimum deliverables. </w:t>
      </w:r>
    </w:p>
    <w:p w14:paraId="77707BBF" w14:textId="6DFFA1A4" w:rsidR="005B5CB9" w:rsidRDefault="005B5CB9" w:rsidP="005B5CB9">
      <w:pPr>
        <w:pStyle w:val="Heading2"/>
      </w:pPr>
      <w:bookmarkStart w:id="1666" w:name="_Toc234580306"/>
      <w:r>
        <w:t>Community (non-admitted) mental health services</w:t>
      </w:r>
      <w:bookmarkEnd w:id="1666"/>
    </w:p>
    <w:p w14:paraId="314856AF" w14:textId="77777777" w:rsidR="005B5CB9" w:rsidRDefault="005B5CB9" w:rsidP="009C35B2">
      <w:pPr>
        <w:pStyle w:val="Body"/>
      </w:pPr>
      <w:r>
        <w:t>The following services are outside NHRA scope and do not contribute to community mental health NWAU or service hour targets:</w:t>
      </w:r>
    </w:p>
    <w:p w14:paraId="3F323AA3" w14:textId="77777777" w:rsidR="005B5CB9" w:rsidRDefault="005B5CB9" w:rsidP="005B5CB9">
      <w:pPr>
        <w:pStyle w:val="Tablecaption"/>
      </w:pPr>
      <w:bookmarkStart w:id="1667" w:name="_Toc232527221"/>
      <w:r>
        <w:t xml:space="preserve">Table </w:t>
      </w:r>
      <w:r w:rsidRPr="1733D40D">
        <w:fldChar w:fldCharType="begin"/>
      </w:r>
      <w:r>
        <w:instrText xml:space="preserve"> SEQ Table \* ARABIC </w:instrText>
      </w:r>
      <w:r w:rsidRPr="1733D40D">
        <w:fldChar w:fldCharType="separate"/>
      </w:r>
      <w:r w:rsidRPr="1733D40D">
        <w:rPr>
          <w:noProof/>
        </w:rPr>
        <w:t>5</w:t>
      </w:r>
      <w:r w:rsidRPr="1733D40D">
        <w:rPr>
          <w:noProof/>
        </w:rPr>
        <w:fldChar w:fldCharType="end"/>
      </w:r>
      <w:r>
        <w:t>. Community mental health program service locations</w:t>
      </w:r>
      <w:bookmarkEnd w:id="1667"/>
    </w:p>
    <w:tbl>
      <w:tblPr>
        <w:tblStyle w:val="GridTable4-Accent1"/>
        <w:tblW w:w="0" w:type="auto"/>
        <w:tblLook w:val="04A0" w:firstRow="1" w:lastRow="0" w:firstColumn="1" w:lastColumn="0" w:noHBand="0" w:noVBand="1"/>
      </w:tblPr>
      <w:tblGrid>
        <w:gridCol w:w="4644"/>
        <w:gridCol w:w="4644"/>
      </w:tblGrid>
      <w:tr w:rsidR="005B5CB9" w:rsidRPr="009C35B2" w14:paraId="09826508" w14:textId="77777777" w:rsidTr="009C3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5004880" w14:textId="77777777" w:rsidR="005B5CB9" w:rsidRPr="009C35B2" w:rsidRDefault="005B5CB9">
            <w:pPr>
              <w:pStyle w:val="Tablecolhead"/>
              <w:rPr>
                <w:b/>
                <w:bCs w:val="0"/>
                <w:color w:val="FFFFFF" w:themeColor="background1"/>
                <w:sz w:val="18"/>
                <w:szCs w:val="18"/>
              </w:rPr>
            </w:pPr>
            <w:r w:rsidRPr="009C35B2">
              <w:rPr>
                <w:b/>
                <w:bCs w:val="0"/>
                <w:color w:val="FFFFFF" w:themeColor="background1"/>
                <w:sz w:val="18"/>
                <w:szCs w:val="18"/>
              </w:rPr>
              <w:t>Community mental health program</w:t>
            </w:r>
          </w:p>
        </w:tc>
        <w:tc>
          <w:tcPr>
            <w:tcW w:w="4644" w:type="dxa"/>
          </w:tcPr>
          <w:p w14:paraId="76E9FC56" w14:textId="77777777" w:rsidR="005B5CB9" w:rsidRPr="009C35B2" w:rsidRDefault="005B5CB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C35B2">
              <w:rPr>
                <w:b/>
                <w:bCs w:val="0"/>
                <w:color w:val="FFFFFF" w:themeColor="background1"/>
                <w:sz w:val="18"/>
                <w:szCs w:val="18"/>
              </w:rPr>
              <w:t>Area Mental Health and Wellbeing Service</w:t>
            </w:r>
          </w:p>
        </w:tc>
      </w:tr>
      <w:tr w:rsidR="005B5CB9" w:rsidRPr="009C35B2" w14:paraId="5550ECA4" w14:textId="77777777" w:rsidTr="009C3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6A6AAC0F" w14:textId="77777777" w:rsidR="005B5CB9" w:rsidRPr="009C35B2" w:rsidRDefault="005B5CB9">
            <w:pPr>
              <w:pStyle w:val="Tabletext"/>
              <w:rPr>
                <w:szCs w:val="18"/>
              </w:rPr>
            </w:pPr>
            <w:r w:rsidRPr="009C35B2">
              <w:rPr>
                <w:szCs w:val="18"/>
              </w:rPr>
              <w:t>Early Intervention Psychosocial Response</w:t>
            </w:r>
          </w:p>
        </w:tc>
        <w:tc>
          <w:tcPr>
            <w:tcW w:w="4644" w:type="dxa"/>
          </w:tcPr>
          <w:p w14:paraId="1957B895" w14:textId="77777777" w:rsidR="005B5CB9" w:rsidRPr="009C35B2"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9C35B2">
              <w:rPr>
                <w:szCs w:val="18"/>
              </w:rPr>
              <w:t>All</w:t>
            </w:r>
          </w:p>
        </w:tc>
      </w:tr>
      <w:tr w:rsidR="005B5CB9" w:rsidRPr="009C35B2" w14:paraId="7E1234E8" w14:textId="77777777" w:rsidTr="009C35B2">
        <w:tc>
          <w:tcPr>
            <w:cnfStyle w:val="001000000000" w:firstRow="0" w:lastRow="0" w:firstColumn="1" w:lastColumn="0" w:oddVBand="0" w:evenVBand="0" w:oddHBand="0" w:evenHBand="0" w:firstRowFirstColumn="0" w:firstRowLastColumn="0" w:lastRowFirstColumn="0" w:lastRowLastColumn="0"/>
            <w:tcW w:w="4644" w:type="dxa"/>
          </w:tcPr>
          <w:p w14:paraId="1C93387B" w14:textId="77777777" w:rsidR="005B5CB9" w:rsidRPr="009C35B2" w:rsidRDefault="005B5CB9">
            <w:pPr>
              <w:pStyle w:val="Tabletext"/>
              <w:rPr>
                <w:szCs w:val="18"/>
              </w:rPr>
            </w:pPr>
            <w:r w:rsidRPr="009C35B2">
              <w:rPr>
                <w:szCs w:val="18"/>
              </w:rPr>
              <w:t>Forensic Mental Health in the Community</w:t>
            </w:r>
          </w:p>
        </w:tc>
        <w:tc>
          <w:tcPr>
            <w:tcW w:w="4644" w:type="dxa"/>
          </w:tcPr>
          <w:p w14:paraId="56EA858C" w14:textId="77777777" w:rsidR="005B5CB9" w:rsidRPr="009C35B2"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9C35B2">
              <w:rPr>
                <w:szCs w:val="18"/>
              </w:rPr>
              <w:t>Peninsula Health, Monash Health</w:t>
            </w:r>
          </w:p>
        </w:tc>
      </w:tr>
    </w:tbl>
    <w:p w14:paraId="1B849B73" w14:textId="3D619203" w:rsidR="005B5CB9" w:rsidRDefault="005B5CB9" w:rsidP="005B5CB9">
      <w:pPr>
        <w:pStyle w:val="Heading2"/>
      </w:pPr>
      <w:bookmarkStart w:id="1668" w:name="_Toc165961797"/>
      <w:bookmarkStart w:id="1669" w:name="_Toc234580307"/>
      <w:r>
        <w:t>Nationally funded centres</w:t>
      </w:r>
      <w:bookmarkEnd w:id="1668"/>
      <w:r>
        <w:t xml:space="preserve"> (NFC)</w:t>
      </w:r>
      <w:bookmarkEnd w:id="1669"/>
    </w:p>
    <w:p w14:paraId="494C454C" w14:textId="1F3A8762" w:rsidR="005B5CB9" w:rsidRPr="009C35B2" w:rsidRDefault="005B5CB9" w:rsidP="009C35B2">
      <w:pPr>
        <w:pStyle w:val="Body"/>
      </w:pPr>
      <w:r w:rsidRPr="009C35B2">
        <w:t xml:space="preserve">NFC programs (admitted and non-admitted) are funded to actuals at the NFC-determined cost per procedure, from a pool with contributions from all states and territories on a population basis. Victorian hosting agencies and programs are listed in </w:t>
      </w:r>
      <w:hyperlink w:anchor="_Nationally_Funded_Centres" w:history="1">
        <w:r w:rsidRPr="004F1558">
          <w:rPr>
            <w:rStyle w:val="Hyperlink"/>
          </w:rPr>
          <w:t xml:space="preserve">Section </w:t>
        </w:r>
        <w:r w:rsidRPr="004F1558">
          <w:rPr>
            <w:rStyle w:val="Hyperlink"/>
          </w:rPr>
          <w:t>1</w:t>
        </w:r>
        <w:r w:rsidRPr="004F1558">
          <w:rPr>
            <w:rStyle w:val="Hyperlink"/>
          </w:rPr>
          <w:t>3.2</w:t>
        </w:r>
      </w:hyperlink>
      <w:r w:rsidRPr="009C35B2">
        <w:t>. NFC activity is funded to actuals and is not subject to standard prior-year adjustment</w:t>
      </w:r>
      <w:r w:rsidR="009C35B2">
        <w:t>.</w:t>
      </w:r>
    </w:p>
    <w:p w14:paraId="0E0B4922" w14:textId="02EFBA06" w:rsidR="005B5CB9" w:rsidRPr="001B4DAF" w:rsidRDefault="005B5CB9" w:rsidP="005B5CB9">
      <w:pPr>
        <w:pStyle w:val="Heading2"/>
      </w:pPr>
      <w:bookmarkStart w:id="1670" w:name="_4.6_Ageing,_aged"/>
      <w:bookmarkStart w:id="1671" w:name="_Toc234580308"/>
      <w:bookmarkEnd w:id="1670"/>
      <w:r>
        <w:lastRenderedPageBreak/>
        <w:t>Ageing, aged and home care</w:t>
      </w:r>
      <w:bookmarkEnd w:id="1671"/>
    </w:p>
    <w:p w14:paraId="62014CA1" w14:textId="41C03147" w:rsidR="005B5CB9" w:rsidRPr="001B4DAF" w:rsidRDefault="005B5CB9" w:rsidP="005B5CB9">
      <w:pPr>
        <w:pStyle w:val="Heading3"/>
      </w:pPr>
      <w:bookmarkStart w:id="1672" w:name="_4.6.1_Public_sector"/>
      <w:bookmarkStart w:id="1673" w:name="_Toc234574591"/>
      <w:bookmarkStart w:id="1674" w:name="_Toc234578185"/>
      <w:bookmarkStart w:id="1675" w:name="_Toc234580309"/>
      <w:bookmarkEnd w:id="1672"/>
      <w:r>
        <w:t>Public sector residential aged care services</w:t>
      </w:r>
      <w:bookmarkEnd w:id="1673"/>
      <w:bookmarkEnd w:id="1674"/>
      <w:bookmarkEnd w:id="1675"/>
    </w:p>
    <w:p w14:paraId="66E5ADED" w14:textId="0BA88C54" w:rsidR="005B5CB9" w:rsidRDefault="005B5CB9" w:rsidP="009C35B2">
      <w:pPr>
        <w:pStyle w:val="Body"/>
      </w:pPr>
      <w:r>
        <w:t xml:space="preserve">The department funds health services, multipurpose services and contracted non-government providers to deliver </w:t>
      </w:r>
      <w:r w:rsidR="00FE5F08">
        <w:t>p</w:t>
      </w:r>
      <w:r w:rsidR="00627B97">
        <w:t>ublic sector residential aged care services</w:t>
      </w:r>
      <w:r w:rsidR="00627B97">
        <w:t xml:space="preserve"> (</w:t>
      </w:r>
      <w:r>
        <w:t>PSRACS</w:t>
      </w:r>
      <w:r w:rsidR="00627B97">
        <w:t>)</w:t>
      </w:r>
      <w:r>
        <w:t xml:space="preserve">. Funded organisations must deliver a set number of available bed days; state funding supports additional operational expenses for high quality nurse-led care. Funding allocations are based on bed type, staffing requirements, location and resident complexity </w:t>
      </w:r>
      <w:r w:rsidRPr="00F0296E">
        <w:t>(</w:t>
      </w:r>
      <w:hyperlink w:anchor="_13.7_Ageing,_aged" w:history="1">
        <w:r w:rsidRPr="00F0296E">
          <w:rPr>
            <w:rStyle w:val="Hyperlink"/>
          </w:rPr>
          <w:t>Se</w:t>
        </w:r>
        <w:bookmarkStart w:id="1676" w:name="_Hlt234576122"/>
        <w:r w:rsidRPr="00F0296E">
          <w:rPr>
            <w:rStyle w:val="Hyperlink"/>
          </w:rPr>
          <w:t>c</w:t>
        </w:r>
        <w:bookmarkEnd w:id="1676"/>
        <w:r w:rsidRPr="00F0296E">
          <w:rPr>
            <w:rStyle w:val="Hyperlink"/>
          </w:rPr>
          <w:t>tion 13.7</w:t>
        </w:r>
      </w:hyperlink>
      <w:r w:rsidRPr="00F0296E">
        <w:t>). Funded</w:t>
      </w:r>
      <w:r>
        <w:t xml:space="preserve"> organisations should regularly review resident care needs and proactively manage Commonwealth income, Refundable Accommodation Deposit (RADs) and resident fees.</w:t>
      </w:r>
    </w:p>
    <w:p w14:paraId="144E5D74" w14:textId="77777777" w:rsidR="005B5CB9" w:rsidRDefault="005B5CB9" w:rsidP="009C35B2">
      <w:pPr>
        <w:pStyle w:val="Body"/>
      </w:pPr>
      <w:r>
        <w:t xml:space="preserve">Annual PSRACS supplement funding is generally calculated as: number of operational places × 365.25 days per year × 99% occupancy factor × relevant unit price. </w:t>
      </w:r>
    </w:p>
    <w:p w14:paraId="1D63E463" w14:textId="77777777" w:rsidR="005B5CB9" w:rsidRDefault="005B5CB9" w:rsidP="009C35B2">
      <w:pPr>
        <w:pStyle w:val="Body"/>
      </w:pPr>
      <w:r>
        <w:t>Places that are not operational (for a time-limited period or on an ongoing basis), or used for any other purpose, will not attract state government PSRACS supplements.</w:t>
      </w:r>
    </w:p>
    <w:p w14:paraId="1C3D7B1D" w14:textId="02E8F091" w:rsidR="005B5CB9" w:rsidRPr="00EE3680" w:rsidRDefault="005B5CB9" w:rsidP="005B5CB9">
      <w:pPr>
        <w:pStyle w:val="Heading3"/>
      </w:pPr>
      <w:bookmarkStart w:id="1677" w:name="_Toc234574592"/>
      <w:bookmarkStart w:id="1678" w:name="_Toc234578186"/>
      <w:bookmarkStart w:id="1679" w:name="_Toc234580310"/>
      <w:r w:rsidRPr="00EE3680">
        <w:t>Home and Community Care Program for Younger People</w:t>
      </w:r>
      <w:bookmarkEnd w:id="1677"/>
      <w:bookmarkEnd w:id="1678"/>
      <w:bookmarkEnd w:id="1679"/>
    </w:p>
    <w:p w14:paraId="7DA8D682" w14:textId="5034C1C7" w:rsidR="005B5CB9" w:rsidRDefault="005B5CB9" w:rsidP="009C35B2">
      <w:pPr>
        <w:pStyle w:val="Body"/>
      </w:pPr>
      <w:r>
        <w:t xml:space="preserve">From 1 July 2026, the Property Maintenance unit price increased alongside consolidation of the HACC-PYP activity structure. The unit price covers one hour of direct and indirect service delivery costs. Funding is activity-based; activity is measured in service hours. See </w:t>
      </w:r>
      <w:hyperlink w:anchor="_Toc167651298" w:history="1">
        <w:r w:rsidRPr="00467D71">
          <w:rPr>
            <w:rStyle w:val="Hyperlink"/>
          </w:rPr>
          <w:t>Section</w:t>
        </w:r>
        <w:r w:rsidR="009C35B2">
          <w:rPr>
            <w:rStyle w:val="Hyperlink"/>
          </w:rPr>
          <w:t xml:space="preserve"> </w:t>
        </w:r>
        <w:bookmarkStart w:id="1680" w:name="_Hlt234576132"/>
        <w:r w:rsidRPr="00467D71">
          <w:rPr>
            <w:rStyle w:val="Hyperlink"/>
          </w:rPr>
          <w:t>1</w:t>
        </w:r>
        <w:bookmarkEnd w:id="1680"/>
        <w:r w:rsidRPr="00467D71">
          <w:rPr>
            <w:rStyle w:val="Hyperlink"/>
          </w:rPr>
          <w:t>3.8</w:t>
        </w:r>
      </w:hyperlink>
      <w:r>
        <w:t>.</w:t>
      </w:r>
    </w:p>
    <w:p w14:paraId="3E8F672E" w14:textId="7582AC38" w:rsidR="005B5CB9" w:rsidRDefault="005B5CB9" w:rsidP="00F22D8A">
      <w:pPr>
        <w:pStyle w:val="Heading2"/>
      </w:pPr>
      <w:bookmarkStart w:id="1681" w:name="_Toc199184874"/>
      <w:bookmarkStart w:id="1682" w:name="_Toc197452713"/>
      <w:bookmarkStart w:id="1683" w:name="_Toc197452714"/>
      <w:bookmarkStart w:id="1684" w:name="_Toc197452715"/>
      <w:bookmarkStart w:id="1685" w:name="_Toc197452716"/>
      <w:bookmarkStart w:id="1686" w:name="_Toc197452717"/>
      <w:bookmarkStart w:id="1687" w:name="_Toc197452718"/>
      <w:bookmarkStart w:id="1688" w:name="_Toc197452719"/>
      <w:bookmarkStart w:id="1689" w:name="_Toc197452720"/>
      <w:bookmarkStart w:id="1690" w:name="_Toc197452721"/>
      <w:bookmarkStart w:id="1691" w:name="_Toc197452722"/>
      <w:bookmarkStart w:id="1692" w:name="_4.7_TCP"/>
      <w:bookmarkStart w:id="1693" w:name="_4.7_Transition_Care"/>
      <w:bookmarkStart w:id="1694" w:name="_Transition_Care_Program"/>
      <w:bookmarkStart w:id="1695" w:name="_Toc234580311"/>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t>Transition Care Program (TCP)</w:t>
      </w:r>
      <w:bookmarkEnd w:id="1695"/>
    </w:p>
    <w:p w14:paraId="1E7614F2" w14:textId="77777777" w:rsidR="005B5CB9" w:rsidRDefault="005B5CB9" w:rsidP="00F22D8A">
      <w:pPr>
        <w:pStyle w:val="Body"/>
      </w:pPr>
      <w:r>
        <w:t>TCP is co-funded by the Commonwealth and state. Health services may also charge participants a basic daily care fee.</w:t>
      </w:r>
    </w:p>
    <w:p w14:paraId="330E5B76" w14:textId="1687BCDA" w:rsidR="005B5CB9" w:rsidRDefault="005B5CB9" w:rsidP="00F22D8A">
      <w:pPr>
        <w:pStyle w:val="Body"/>
        <w:rPr>
          <w:b/>
          <w:bCs/>
        </w:rPr>
      </w:pPr>
      <w:r w:rsidRPr="5B850891">
        <w:rPr>
          <w:b/>
          <w:bCs/>
        </w:rPr>
        <w:t>Commonwealth subsidies</w:t>
      </w:r>
    </w:p>
    <w:p w14:paraId="48D785A6" w14:textId="77777777" w:rsidR="005B5CB9" w:rsidRDefault="005B5CB9" w:rsidP="00F22D8A">
      <w:pPr>
        <w:pStyle w:val="Body"/>
      </w:pPr>
      <w:r>
        <w:t>Paid on a monthly advance and acquittal basis on occupied places, submitted directly to Services Australia. Claims must align with My Aged Care approvals; cannot exceed the maximum approved TCP places; and eligibility requirements must be met. Subsidies are indexed annually from 1 July.</w:t>
      </w:r>
    </w:p>
    <w:p w14:paraId="0F2F0B99" w14:textId="7064A978" w:rsidR="005B5CB9" w:rsidRDefault="005B5CB9" w:rsidP="00F22D8A">
      <w:pPr>
        <w:pStyle w:val="Body"/>
        <w:rPr>
          <w:b/>
          <w:bCs/>
        </w:rPr>
      </w:pPr>
      <w:r w:rsidRPr="5B850891">
        <w:rPr>
          <w:b/>
          <w:bCs/>
        </w:rPr>
        <w:t>Department funding</w:t>
      </w:r>
    </w:p>
    <w:p w14:paraId="1ADC9B57" w14:textId="77777777" w:rsidR="005B5CB9" w:rsidRDefault="005B5CB9" w:rsidP="00F22D8A">
      <w:pPr>
        <w:pStyle w:val="Body"/>
      </w:pPr>
      <w:r>
        <w:t>Paid to specified health services registered to provide TCP. Funds must be used for TCP delivery. Funding is subject to recall for activity below target. Funding will cease if a health service loses registration under the Aged Care Act 2024, ceases holding allocated TCP places, breaches obligations and fails to begin rectification within seven business days, enters insolvency, or brings the department into disrepute. Records must be kept separately and are producible within 10 days on request. Unspent funding by 30 June may be redeployed by proposal; absent an agreed proposal, the department may request return of funds.</w:t>
      </w:r>
    </w:p>
    <w:p w14:paraId="1C401945" w14:textId="77777777" w:rsidR="005B5CB9" w:rsidRDefault="005B5CB9" w:rsidP="00F22D8A">
      <w:pPr>
        <w:pStyle w:val="Body"/>
      </w:pPr>
      <w:r>
        <w:t xml:space="preserve">Per diem rates are outlined in the price </w:t>
      </w:r>
      <w:r w:rsidRPr="00467D71">
        <w:t>tables (</w:t>
      </w:r>
      <w:hyperlink w:anchor="_13.3_Transition_Care" w:history="1">
        <w:r w:rsidRPr="00467D71">
          <w:rPr>
            <w:rStyle w:val="Hyperlink"/>
          </w:rPr>
          <w:t>Section 13.3</w:t>
        </w:r>
      </w:hyperlink>
      <w:r w:rsidRPr="00467D71">
        <w:t>). Note</w:t>
      </w:r>
      <w:r>
        <w:t xml:space="preserve"> that funding and occupancy targets include a leap year adjustment.</w:t>
      </w:r>
    </w:p>
    <w:p w14:paraId="62163C8A" w14:textId="60C65C39" w:rsidR="005B5CB9" w:rsidRDefault="005B5CB9" w:rsidP="00F22D8A">
      <w:pPr>
        <w:pStyle w:val="Body"/>
        <w:rPr>
          <w:b/>
          <w:bCs/>
        </w:rPr>
      </w:pPr>
      <w:r w:rsidRPr="5B850891">
        <w:rPr>
          <w:b/>
          <w:bCs/>
        </w:rPr>
        <w:t>Basic daily care fees</w:t>
      </w:r>
    </w:p>
    <w:p w14:paraId="22A403B3" w14:textId="442CB0F7" w:rsidR="005B5CB9" w:rsidRDefault="005B5CB9" w:rsidP="005B5CB9">
      <w:pPr>
        <w:pStyle w:val="Body"/>
      </w:pPr>
      <w:r>
        <w:t>Set by the Commonwealth: up to 85% of the basic single age pension for residential care; 17.5% for community care. Health services must have a fee-hardship policy. Fees are adjusted twice yearly (March and September) per CPI. Health services must report annually to the Commonwealth via the Annual Accountability Report; the department collates and submits on behalf of health services.</w:t>
      </w:r>
      <w:r w:rsidRPr="5B850891">
        <w:rPr>
          <w:highlight w:val="yellow"/>
        </w:rPr>
        <w:br w:type="page"/>
      </w:r>
    </w:p>
    <w:p w14:paraId="092EAFCA" w14:textId="018DC9AD" w:rsidR="005B5CB9" w:rsidRDefault="005B5CB9" w:rsidP="005B5CB9">
      <w:pPr>
        <w:pStyle w:val="Heading1"/>
      </w:pPr>
      <w:bookmarkStart w:id="1696" w:name="_Toc164262523"/>
      <w:bookmarkStart w:id="1697" w:name="_Toc164262858"/>
      <w:bookmarkStart w:id="1698" w:name="_Toc164262524"/>
      <w:bookmarkStart w:id="1699" w:name="_Toc164262859"/>
      <w:bookmarkStart w:id="1700" w:name="_Toc164262525"/>
      <w:bookmarkStart w:id="1701" w:name="_Toc164262860"/>
      <w:bookmarkStart w:id="1702" w:name="_Toc164262526"/>
      <w:bookmarkStart w:id="1703" w:name="_Toc164262861"/>
      <w:bookmarkStart w:id="1704" w:name="_Toc164262527"/>
      <w:bookmarkStart w:id="1705" w:name="_Toc164262862"/>
      <w:bookmarkStart w:id="1706" w:name="_Toc164262528"/>
      <w:bookmarkStart w:id="1707" w:name="_Toc164262863"/>
      <w:bookmarkStart w:id="1708" w:name="_Toc164262529"/>
      <w:bookmarkStart w:id="1709" w:name="_Toc164262864"/>
      <w:bookmarkStart w:id="1710" w:name="_Toc164262531"/>
      <w:bookmarkStart w:id="1711" w:name="_Toc164262866"/>
      <w:bookmarkStart w:id="1712" w:name="_Toc164262532"/>
      <w:bookmarkStart w:id="1713" w:name="_Toc164262867"/>
      <w:bookmarkStart w:id="1714" w:name="_Toc164262533"/>
      <w:bookmarkStart w:id="1715" w:name="_Toc164262868"/>
      <w:bookmarkStart w:id="1716" w:name="_Toc164262534"/>
      <w:bookmarkStart w:id="1717" w:name="_Toc164262869"/>
      <w:bookmarkStart w:id="1718" w:name="_Toc164262535"/>
      <w:bookmarkStart w:id="1719" w:name="_Toc164262870"/>
      <w:bookmarkStart w:id="1720" w:name="_5_Compensable,_cross-border"/>
      <w:bookmarkStart w:id="1721" w:name="_Toc234580312"/>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lastRenderedPageBreak/>
        <w:t>Compensable, cross-border and prisoner patients</w:t>
      </w:r>
      <w:bookmarkStart w:id="1722" w:name="_Toc165961806"/>
      <w:bookmarkEnd w:id="1721"/>
    </w:p>
    <w:p w14:paraId="5F1A8FFA" w14:textId="5808A0DA" w:rsidR="005B5CB9" w:rsidRDefault="005B5CB9" w:rsidP="005B5CB9">
      <w:pPr>
        <w:pStyle w:val="Heading2"/>
      </w:pPr>
      <w:bookmarkStart w:id="1723" w:name="_Toc165961807"/>
      <w:bookmarkStart w:id="1724" w:name="_Toc234580313"/>
      <w:bookmarkEnd w:id="1722"/>
      <w:r>
        <w:t xml:space="preserve">Department of Veterans’ Affairs </w:t>
      </w:r>
      <w:bookmarkEnd w:id="1723"/>
      <w:bookmarkEnd w:id="1724"/>
    </w:p>
    <w:p w14:paraId="1912617C" w14:textId="0A07AABB" w:rsidR="005B5CB9" w:rsidRDefault="00E85A9A" w:rsidP="00F22D8A">
      <w:pPr>
        <w:pStyle w:val="Body"/>
      </w:pPr>
      <w:r>
        <w:t xml:space="preserve">The </w:t>
      </w:r>
      <w:r w:rsidRPr="001F21EE">
        <w:t>Department of Veterans' Affairs</w:t>
      </w:r>
      <w:r>
        <w:t xml:space="preserve"> (</w:t>
      </w:r>
      <w:r w:rsidR="005B5CB9">
        <w:t>DVA</w:t>
      </w:r>
      <w:r>
        <w:t>)</w:t>
      </w:r>
      <w:r w:rsidR="005B5CB9">
        <w:t xml:space="preserve"> pays for public hospital services for entitled persons under the Hospital Services Arrangement (in effect to 30 June 2026; both parties agreed in principle to roll over to 30 June 2027 pending finalisation). Payments are NEP-based ABF where practicable, NEC-based block where appropriate. Activity and funding are uncapped, outside the NHRA.</w:t>
      </w:r>
    </w:p>
    <w:p w14:paraId="71328898" w14:textId="54A9B6D6" w:rsidR="005B5CB9" w:rsidRDefault="005B5CB9" w:rsidP="00F22D8A">
      <w:pPr>
        <w:pStyle w:val="Body"/>
        <w:rPr>
          <w:b/>
          <w:bCs/>
        </w:rPr>
      </w:pPr>
      <w:r w:rsidRPr="5B850891">
        <w:rPr>
          <w:b/>
          <w:bCs/>
        </w:rPr>
        <w:t>Eligible services</w:t>
      </w:r>
    </w:p>
    <w:p w14:paraId="3AAF120D" w14:textId="77777777" w:rsidR="005B5CB9" w:rsidRDefault="005B5CB9" w:rsidP="00F22D8A">
      <w:pPr>
        <w:pStyle w:val="Body"/>
      </w:pPr>
      <w:r>
        <w:t>Admitted patient treatment (including HITH); all emergency treatment at recognised EDs; all non-admitted occasions classified as Tier 2 clinics; and other relevant non-admitted, mental health and subacute public hospital services.</w:t>
      </w:r>
    </w:p>
    <w:p w14:paraId="695446AD" w14:textId="0DD824A2" w:rsidR="005B5CB9" w:rsidRDefault="005B5CB9" w:rsidP="00F22D8A">
      <w:pPr>
        <w:pStyle w:val="Body"/>
        <w:rPr>
          <w:b/>
          <w:bCs/>
        </w:rPr>
      </w:pPr>
      <w:r w:rsidRPr="5B850891">
        <w:rPr>
          <w:b/>
          <w:bCs/>
        </w:rPr>
        <w:t>Eligibility</w:t>
      </w:r>
    </w:p>
    <w:p w14:paraId="61283F66" w14:textId="77777777" w:rsidR="005B5CB9" w:rsidRDefault="005B5CB9" w:rsidP="00F22D8A">
      <w:pPr>
        <w:pStyle w:val="Body"/>
      </w:pPr>
      <w:r>
        <w:t>Entitled persons hold a Gold Card, White Card, Orange Card (pharmaceuticals only) or written DVA authorisation. Health services must collect the DVA unique identifier, name, date of birth and sex at each admission. Final payment requires DVA eligibility confirmation. Veterans are not covered under the DVA arrangement if they elect to be a public patient, are eligible under another compensable category (TAC/WorkSafe), or elect to be a private patient.</w:t>
      </w:r>
    </w:p>
    <w:p w14:paraId="6015231D" w14:textId="38021C1D" w:rsidR="005B5CB9" w:rsidRDefault="005B5CB9" w:rsidP="00F22D8A">
      <w:pPr>
        <w:pStyle w:val="Body"/>
        <w:rPr>
          <w:b/>
          <w:bCs/>
        </w:rPr>
      </w:pPr>
      <w:r w:rsidRPr="5B850891">
        <w:rPr>
          <w:b/>
          <w:bCs/>
        </w:rPr>
        <w:t>Admission</w:t>
      </w:r>
    </w:p>
    <w:p w14:paraId="25F1016E" w14:textId="77777777" w:rsidR="005B5CB9" w:rsidRDefault="005B5CB9" w:rsidP="00F22D8A">
      <w:pPr>
        <w:pStyle w:val="Body"/>
      </w:pPr>
      <w:r>
        <w:t>Within two days of admission, health services should complete a DVA Hospital Admission Voucher (or form that captures equivalent information) for each admitted eligible veteran. Health services should ensure that the admission of eligible veterans is in accordance with Victoria’s admission policy and other relevant policies and procedures. DVA admission commences when the patient physically departs the ED clinical area for a ward or operating theatre, virtual ward within the ED does not constitute admission. DVA patients are treated as private patients and are entitled to shared accommodation, choice of doctor (subject to rights of private practice), and private accommodation where medically necessary.</w:t>
      </w:r>
    </w:p>
    <w:p w14:paraId="29D09009" w14:textId="3EEFF9BE" w:rsidR="005B5CB9" w:rsidRDefault="005B5CB9" w:rsidP="00F22D8A">
      <w:pPr>
        <w:pStyle w:val="Body"/>
      </w:pPr>
      <w:r>
        <w:t xml:space="preserve">DVA’s expectation is that when admitted for medical management, an entitled person must receive a minimum of 4 hours’ continuous active management, and that management must occur, at least in part, outside the </w:t>
      </w:r>
      <w:r w:rsidR="00BE4891">
        <w:t>ED</w:t>
      </w:r>
      <w:r>
        <w:t xml:space="preserve"> in an inpatient area.</w:t>
      </w:r>
    </w:p>
    <w:p w14:paraId="41327027" w14:textId="77777777" w:rsidR="005B5CB9" w:rsidRDefault="005B5CB9" w:rsidP="00F22D8A">
      <w:pPr>
        <w:pStyle w:val="Body"/>
      </w:pPr>
      <w:r>
        <w:t>DVA may review short stay admissions and request additional supporting information for the treatment provided to ensure that appropriate payments are made.</w:t>
      </w:r>
    </w:p>
    <w:p w14:paraId="47055B90" w14:textId="43FD6664" w:rsidR="005B5CB9" w:rsidRDefault="005B5CB9" w:rsidP="00F22D8A">
      <w:pPr>
        <w:pStyle w:val="Body"/>
        <w:rPr>
          <w:b/>
          <w:bCs/>
        </w:rPr>
      </w:pPr>
      <w:r w:rsidRPr="5B850891">
        <w:rPr>
          <w:b/>
          <w:bCs/>
        </w:rPr>
        <w:t>Long stay and nursing-home-type patients</w:t>
      </w:r>
    </w:p>
    <w:p w14:paraId="33968386" w14:textId="77777777" w:rsidR="005B5CB9" w:rsidRDefault="005B5CB9" w:rsidP="00F22D8A">
      <w:pPr>
        <w:pStyle w:val="Body"/>
      </w:pPr>
      <w:r>
        <w:t>Where hospitalisation is likely to exceed 35 continuous days, complete an Acute Care Certificate (or equivalent) before 30 days and retain on file, or reclassify as maintenance. If reclassified, the health service should ensure the patient is assessed and a discharge plan is developed. At multipurpose services, attempt to reclassify nursing-home-type veterans to residential aged care; if no RAC beds are available, reclassify as nursing-home-type. The health service should use its best endeavours to ensure the patient is assessed and a discharge plan is developed.</w:t>
      </w:r>
    </w:p>
    <w:p w14:paraId="304067D9" w14:textId="77777777" w:rsidR="005B5CB9" w:rsidRDefault="005B5CB9" w:rsidP="00F22D8A">
      <w:pPr>
        <w:pStyle w:val="Body"/>
      </w:pPr>
      <w:r>
        <w:t>Note: The Acute Care Certificate or equivalent is no longer required to be sent to DVA. It must be retained on the patient’s medical record for audit and/or reconciliation purposes only.</w:t>
      </w:r>
    </w:p>
    <w:p w14:paraId="7D5FC698" w14:textId="0DFA04BD" w:rsidR="005B5CB9" w:rsidRPr="002665BD" w:rsidRDefault="005B5CB9" w:rsidP="00F22D8A">
      <w:pPr>
        <w:pStyle w:val="Body"/>
      </w:pPr>
      <w:r>
        <w:lastRenderedPageBreak/>
        <w:t xml:space="preserve">Health services should collect any co-payment for nursing-home-type patients from the patient, </w:t>
      </w:r>
      <w:proofErr w:type="gramStart"/>
      <w:r>
        <w:t>with the exception of</w:t>
      </w:r>
      <w:proofErr w:type="gramEnd"/>
      <w:r>
        <w:t xml:space="preserve"> Victoria Cross or prisoners of war recipients. For this group, health services should make a claim directly to DVA for reimbursement using Medicare Benefits Schedule (MBS) item number NH05, based on prior approval from DVA.</w:t>
      </w:r>
    </w:p>
    <w:p w14:paraId="51E40CDA" w14:textId="77777777" w:rsidR="002665BD" w:rsidRDefault="005B5CB9" w:rsidP="00F22D8A">
      <w:pPr>
        <w:pStyle w:val="Body"/>
        <w:rPr>
          <w:b/>
          <w:bCs/>
        </w:rPr>
      </w:pPr>
      <w:r w:rsidRPr="002665BD">
        <w:rPr>
          <w:b/>
          <w:bCs/>
        </w:rPr>
        <w:t>Pharmaceuticals</w:t>
      </w:r>
    </w:p>
    <w:p w14:paraId="5E52AEE7" w14:textId="34CDEFCC" w:rsidR="005B5CB9" w:rsidRPr="00F22D8A" w:rsidRDefault="005B5CB9" w:rsidP="00F22D8A">
      <w:pPr>
        <w:pStyle w:val="Body"/>
      </w:pPr>
      <w:r w:rsidRPr="00F22D8A">
        <w:t>Contact the Veterans Affairs Pharmaceutical Advisory Centre on 1800 552 580 for medication queries.</w:t>
      </w:r>
    </w:p>
    <w:p w14:paraId="250CAD29" w14:textId="77777777" w:rsidR="005B5CB9" w:rsidRPr="002665BD" w:rsidRDefault="005B5CB9" w:rsidP="00F22D8A">
      <w:pPr>
        <w:pStyle w:val="Body"/>
        <w:rPr>
          <w:b/>
          <w:bCs/>
        </w:rPr>
      </w:pPr>
      <w:r w:rsidRPr="002665BD">
        <w:rPr>
          <w:b/>
          <w:bCs/>
        </w:rPr>
        <w:t>Discharge planning</w:t>
      </w:r>
    </w:p>
    <w:p w14:paraId="725BBE2E" w14:textId="77777777" w:rsidR="005B5CB9" w:rsidRPr="00F22D8A" w:rsidRDefault="005B5CB9" w:rsidP="00F22D8A">
      <w:pPr>
        <w:pStyle w:val="Body"/>
      </w:pPr>
      <w:r w:rsidRPr="00F22D8A">
        <w:t>Health services must demonstrate effective discharge planning for DVA patients, including the regular contribution of a multidisciplinary team, supporting documentation, discharge follow-up, and communication with care providers, family and carers (with patient permission).</w:t>
      </w:r>
    </w:p>
    <w:p w14:paraId="449BE512" w14:textId="77777777" w:rsidR="005B5CB9" w:rsidRPr="00F22D8A" w:rsidRDefault="005B5CB9" w:rsidP="00F22D8A">
      <w:pPr>
        <w:pStyle w:val="Body"/>
      </w:pPr>
      <w:r w:rsidRPr="00F22D8A">
        <w:t>The patient or carer should be given written documentation in the form of a discharge plan on the day of discharge. Use electronic discharge summaries where available.</w:t>
      </w:r>
    </w:p>
    <w:p w14:paraId="2BAFAED8" w14:textId="77777777" w:rsidR="005B5CB9" w:rsidRPr="002048E8" w:rsidRDefault="005B5CB9" w:rsidP="00F22D8A">
      <w:pPr>
        <w:pStyle w:val="Bullet1"/>
      </w:pPr>
      <w:r w:rsidRPr="002048E8">
        <w:t>DVA may request documentation of hospital discharge policies and procedures, as well as copies of patient and hospital discharge plans.</w:t>
      </w:r>
    </w:p>
    <w:p w14:paraId="0DD35D01" w14:textId="77777777" w:rsidR="005B5CB9" w:rsidRPr="002048E8" w:rsidRDefault="005B5CB9" w:rsidP="00F22D8A">
      <w:pPr>
        <w:pStyle w:val="Bullet1"/>
      </w:pPr>
      <w:r w:rsidRPr="002048E8">
        <w:t>Where the patient is enrolled in a Coordinated Veterans’ Care program, the local medical officer or nurse coordinator must also receive a copy of the discharge plan and be involved as appropriate.</w:t>
      </w:r>
    </w:p>
    <w:p w14:paraId="00A39C40" w14:textId="77777777" w:rsidR="005B5CB9" w:rsidRPr="002048E8" w:rsidRDefault="005B5CB9" w:rsidP="00F22D8A">
      <w:pPr>
        <w:pStyle w:val="Bullet1"/>
      </w:pPr>
      <w:r w:rsidRPr="002048E8">
        <w:t>Public hospitals must provide a discharge summary to the original referring doctor and local medical officer at, or within, 48 hours of discharge.</w:t>
      </w:r>
    </w:p>
    <w:p w14:paraId="1FADEF29" w14:textId="77777777" w:rsidR="005B5CB9" w:rsidRPr="002048E8" w:rsidRDefault="005B5CB9" w:rsidP="00F22D8A">
      <w:pPr>
        <w:pStyle w:val="Bullet1"/>
      </w:pPr>
      <w:r w:rsidRPr="002048E8">
        <w:t>Health services should coordinate for a health professional to assess eligible veterans before discharge for community nursing, personal care, aids and appliances, home modifications or convalescent care. Any aids, equipment or modifications will be arranged through DVA services in a timely manner and be available to the patient prior to discharge.</w:t>
      </w:r>
    </w:p>
    <w:p w14:paraId="6EBCBC4D" w14:textId="77777777" w:rsidR="005B5CB9" w:rsidRPr="002048E8" w:rsidRDefault="005B5CB9" w:rsidP="00F22D8A">
      <w:pPr>
        <w:pStyle w:val="Bullet1"/>
      </w:pPr>
      <w:r w:rsidRPr="002048E8">
        <w:t>To arrange home and personal care services for eligible veterans, health services must contact the National Veterans’ Home Care assessment agency on 1300 550 450.</w:t>
      </w:r>
    </w:p>
    <w:p w14:paraId="5990DB75" w14:textId="4B12E94E" w:rsidR="005B5CB9" w:rsidRPr="002048E8" w:rsidRDefault="005B5CB9" w:rsidP="00EE3F7D">
      <w:pPr>
        <w:pStyle w:val="Bullet1"/>
        <w:spacing w:after="120"/>
      </w:pPr>
      <w:r w:rsidRPr="002048E8">
        <w:t xml:space="preserve">Discharge aids and equipment must be provided to facilitate safe discharge for a period of 30 days after discharge. For </w:t>
      </w:r>
      <w:r w:rsidR="00E2625B">
        <w:t>more</w:t>
      </w:r>
      <w:r w:rsidRPr="002048E8">
        <w:t xml:space="preserve"> information see </w:t>
      </w:r>
      <w:hyperlink r:id="rId36" w:history="1">
        <w:r w:rsidRPr="00F17305">
          <w:rPr>
            <w:rStyle w:val="Hyperlink"/>
          </w:rPr>
          <w:t>DVA Aids, app</w:t>
        </w:r>
        <w:r w:rsidRPr="00F17305">
          <w:rPr>
            <w:rStyle w:val="Hyperlink"/>
          </w:rPr>
          <w:t>l</w:t>
        </w:r>
        <w:r w:rsidRPr="00F17305">
          <w:rPr>
            <w:rStyle w:val="Hyperlink"/>
          </w:rPr>
          <w:t>iances and home modifications</w:t>
        </w:r>
      </w:hyperlink>
      <w:r w:rsidRPr="002048E8">
        <w:t xml:space="preserve"> webpage</w:t>
      </w:r>
      <w:r w:rsidR="00333A1B">
        <w:t xml:space="preserve"> &lt;</w:t>
      </w:r>
      <w:r w:rsidR="00333A1B" w:rsidRPr="00333A1B">
        <w:t>https://www.dva.gov.au/what-we-help-with/care-at-home-and-aged-care-services/living-independently/getting-aids-equipment-and-home-modifications</w:t>
      </w:r>
      <w:r w:rsidR="00FC1EA8">
        <w:t>&gt;</w:t>
      </w:r>
      <w:r w:rsidRPr="002048E8">
        <w:t xml:space="preserve"> or call 1300 550 457 (metropolitan) or 1800 550 457 (rural).</w:t>
      </w:r>
    </w:p>
    <w:p w14:paraId="44F365B5" w14:textId="77777777" w:rsidR="002665BD" w:rsidRDefault="005B5CB9" w:rsidP="00F22D8A">
      <w:pPr>
        <w:pStyle w:val="Body"/>
        <w:rPr>
          <w:b/>
          <w:bCs/>
        </w:rPr>
      </w:pPr>
      <w:r w:rsidRPr="5B850891">
        <w:rPr>
          <w:b/>
          <w:bCs/>
        </w:rPr>
        <w:t>Subcontracting to private hospitals</w:t>
      </w:r>
    </w:p>
    <w:p w14:paraId="253FF4F1" w14:textId="4891BAB4" w:rsidR="005B5CB9" w:rsidRDefault="005B5CB9" w:rsidP="00F22D8A">
      <w:pPr>
        <w:pStyle w:val="Body"/>
      </w:pPr>
      <w:r>
        <w:t>The DVA agreement recognises that treatment may occasionally be subcontracted to a private hospital or facility. Where that facility is contracted to DVA and claims the service directly, DVA pays the facility through Medicare Australia. The public hospital cannot also claim payment for the same treatment. Subcontracting for Transition Care is exempt as public hospitals do not directly bill DVA for TCP.</w:t>
      </w:r>
    </w:p>
    <w:p w14:paraId="21A4886F" w14:textId="77777777" w:rsidR="005B5CB9" w:rsidRDefault="005B5CB9" w:rsidP="00F22D8A">
      <w:pPr>
        <w:pStyle w:val="Body"/>
      </w:pPr>
      <w:r>
        <w:t>DVA prohibits charges directly on entitled persons except as provided under Commonwealth legislation. Where a claim is not accepted, health services must transmit corrected information or retrospectively reclassify. Records must be updated with DVA remittance advice before VAED consolidation; unresolved records will not be paid at either DVA or public rate.</w:t>
      </w:r>
    </w:p>
    <w:p w14:paraId="4012DDB8" w14:textId="72338338" w:rsidR="005B5CB9" w:rsidRDefault="005B5CB9" w:rsidP="005B5CB9">
      <w:pPr>
        <w:pStyle w:val="Heading2"/>
      </w:pPr>
      <w:bookmarkStart w:id="1725" w:name="_5.1.2_TAC_patients"/>
      <w:bookmarkStart w:id="1726" w:name="_5.2_TAC_patients"/>
      <w:bookmarkStart w:id="1727" w:name="_Toc234580314"/>
      <w:bookmarkEnd w:id="1725"/>
      <w:bookmarkEnd w:id="1726"/>
      <w:r>
        <w:lastRenderedPageBreak/>
        <w:t>TAC patients</w:t>
      </w:r>
      <w:bookmarkEnd w:id="1727"/>
    </w:p>
    <w:p w14:paraId="2ED0BC0E" w14:textId="77777777" w:rsidR="005B5CB9" w:rsidRDefault="005B5CB9" w:rsidP="00EE3F7D">
      <w:pPr>
        <w:pStyle w:val="Body"/>
      </w:pPr>
      <w:r>
        <w:t>From 1 July 2026, TAC funding moves to a single payment per episode of care (the TAC NWAU), paid directly to health services replacing the prior split billing model. An episode of care is a single ED presentation, inpatient admission (acute, subacute or mental health), or non-admitted service event. Separate service types at different times are treated as separate episodes.</w:t>
      </w:r>
    </w:p>
    <w:p w14:paraId="18CB2142" w14:textId="77777777" w:rsidR="005B5CB9" w:rsidRDefault="005B5CB9" w:rsidP="005B5CB9">
      <w:pPr>
        <w:pStyle w:val="Tablecaption"/>
      </w:pPr>
      <w:r>
        <w:t xml:space="preserve">Table </w:t>
      </w:r>
      <w:r>
        <w:fldChar w:fldCharType="begin"/>
      </w:r>
      <w:r>
        <w:instrText>SEQ Table \* ARABIC</w:instrText>
      </w:r>
      <w:r>
        <w:fldChar w:fldCharType="separate"/>
      </w:r>
      <w:r>
        <w:rPr>
          <w:noProof/>
        </w:rPr>
        <w:t>6</w:t>
      </w:r>
      <w:r>
        <w:fldChar w:fldCharType="end"/>
      </w:r>
      <w:r>
        <w:t>. Impacts to TAC patients by changes to funding arrangements</w:t>
      </w:r>
    </w:p>
    <w:tbl>
      <w:tblPr>
        <w:tblStyle w:val="GridTable4-Accent1"/>
        <w:tblW w:w="0" w:type="auto"/>
        <w:tblLook w:val="04A0" w:firstRow="1" w:lastRow="0" w:firstColumn="1" w:lastColumn="0" w:noHBand="0" w:noVBand="1"/>
      </w:tblPr>
      <w:tblGrid>
        <w:gridCol w:w="4644"/>
        <w:gridCol w:w="4644"/>
      </w:tblGrid>
      <w:tr w:rsidR="009E411F" w:rsidRPr="009E411F" w14:paraId="608CC1BD" w14:textId="77777777" w:rsidTr="00EE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F137985" w14:textId="0A1B42C7" w:rsidR="009E411F" w:rsidRPr="009E411F" w:rsidRDefault="009E411F" w:rsidP="0007039E">
            <w:pPr>
              <w:spacing w:line="240" w:lineRule="auto"/>
              <w:rPr>
                <w:sz w:val="18"/>
                <w:szCs w:val="18"/>
              </w:rPr>
            </w:pPr>
            <w:r w:rsidRPr="009E411F">
              <w:rPr>
                <w:sz w:val="18"/>
                <w:szCs w:val="18"/>
              </w:rPr>
              <w:t>Service type</w:t>
            </w:r>
          </w:p>
        </w:tc>
        <w:tc>
          <w:tcPr>
            <w:tcW w:w="4644" w:type="dxa"/>
          </w:tcPr>
          <w:p w14:paraId="4929B836" w14:textId="18E85E4E" w:rsidR="009E411F" w:rsidRPr="009E411F" w:rsidRDefault="009E411F" w:rsidP="0007039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9E411F">
              <w:rPr>
                <w:sz w:val="18"/>
                <w:szCs w:val="18"/>
              </w:rPr>
              <w:t>From 1 July 2026</w:t>
            </w:r>
          </w:p>
        </w:tc>
      </w:tr>
      <w:tr w:rsidR="00EE3F7D" w:rsidRPr="009E411F" w14:paraId="6A0B4E00" w14:textId="77777777" w:rsidTr="00EE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2F14C80" w14:textId="5FA3157E" w:rsidR="00EE3F7D" w:rsidRPr="009E411F" w:rsidRDefault="00EE3F7D" w:rsidP="0007039E">
            <w:pPr>
              <w:spacing w:line="240" w:lineRule="auto"/>
              <w:rPr>
                <w:sz w:val="18"/>
                <w:szCs w:val="18"/>
              </w:rPr>
            </w:pPr>
            <w:r w:rsidRPr="009E411F">
              <w:rPr>
                <w:color w:val="000000" w:themeColor="text1"/>
                <w:sz w:val="18"/>
                <w:szCs w:val="18"/>
              </w:rPr>
              <w:t>Emergency only attendance</w:t>
            </w:r>
          </w:p>
        </w:tc>
        <w:tc>
          <w:tcPr>
            <w:tcW w:w="4644" w:type="dxa"/>
          </w:tcPr>
          <w:p w14:paraId="4E108000" w14:textId="0E7C6E73" w:rsidR="00EE3F7D" w:rsidRPr="009E411F" w:rsidRDefault="00EE3F7D" w:rsidP="0007039E">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9E411F">
              <w:rPr>
                <w:color w:val="000000" w:themeColor="text1"/>
                <w:sz w:val="18"/>
                <w:szCs w:val="18"/>
              </w:rPr>
              <w:t xml:space="preserve">Monthly advance, annual PYA. Price: TAC price per NWAU </w:t>
            </w:r>
            <w:hyperlink w:anchor="_13.1_NWAU_2026–27" w:history="1">
              <w:r w:rsidRPr="009E411F">
                <w:rPr>
                  <w:rStyle w:val="Hyperlink"/>
                  <w:sz w:val="18"/>
                  <w:szCs w:val="18"/>
                </w:rPr>
                <w:t>(Section 13.1).</w:t>
              </w:r>
            </w:hyperlink>
          </w:p>
        </w:tc>
      </w:tr>
      <w:tr w:rsidR="00EE3F7D" w:rsidRPr="009E411F" w14:paraId="5DB174C3" w14:textId="77777777" w:rsidTr="00EE3F7D">
        <w:tc>
          <w:tcPr>
            <w:cnfStyle w:val="001000000000" w:firstRow="0" w:lastRow="0" w:firstColumn="1" w:lastColumn="0" w:oddVBand="0" w:evenVBand="0" w:oddHBand="0" w:evenHBand="0" w:firstRowFirstColumn="0" w:firstRowLastColumn="0" w:lastRowFirstColumn="0" w:lastRowLastColumn="0"/>
            <w:tcW w:w="4644" w:type="dxa"/>
          </w:tcPr>
          <w:p w14:paraId="4EBC3336" w14:textId="56A5E5ED" w:rsidR="00EE3F7D" w:rsidRPr="009E411F" w:rsidRDefault="00EE3F7D" w:rsidP="0007039E">
            <w:pPr>
              <w:spacing w:line="240" w:lineRule="auto"/>
              <w:rPr>
                <w:sz w:val="18"/>
                <w:szCs w:val="18"/>
              </w:rPr>
            </w:pPr>
            <w:r w:rsidRPr="009E411F">
              <w:rPr>
                <w:color w:val="000000" w:themeColor="text1"/>
                <w:sz w:val="18"/>
                <w:szCs w:val="18"/>
              </w:rPr>
              <w:t>Acute admitted (incl. ED), rehabilitation (subacute), admitted mental health, non-admitted</w:t>
            </w:r>
          </w:p>
        </w:tc>
        <w:tc>
          <w:tcPr>
            <w:tcW w:w="4644" w:type="dxa"/>
          </w:tcPr>
          <w:p w14:paraId="250576F6" w14:textId="35729F1F" w:rsidR="00EE3F7D" w:rsidRPr="009E411F" w:rsidRDefault="00EE3F7D" w:rsidP="0007039E">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E411F">
              <w:rPr>
                <w:color w:val="000000" w:themeColor="text1"/>
                <w:sz w:val="18"/>
                <w:szCs w:val="18"/>
              </w:rPr>
              <w:t>Monthly advance, annual PYA. Price: TAC price per NWAU.</w:t>
            </w:r>
          </w:p>
        </w:tc>
      </w:tr>
      <w:tr w:rsidR="00EE3F7D" w:rsidRPr="009E411F" w14:paraId="49D1E5D6" w14:textId="77777777" w:rsidTr="00EE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BD93BEC" w14:textId="094F42EE" w:rsidR="00EE3F7D" w:rsidRPr="009E411F" w:rsidRDefault="00EE3F7D" w:rsidP="0007039E">
            <w:pPr>
              <w:spacing w:line="240" w:lineRule="auto"/>
              <w:rPr>
                <w:sz w:val="18"/>
                <w:szCs w:val="18"/>
              </w:rPr>
            </w:pPr>
            <w:r w:rsidRPr="009E411F">
              <w:rPr>
                <w:color w:val="000000" w:themeColor="text1"/>
                <w:sz w:val="18"/>
                <w:szCs w:val="18"/>
              </w:rPr>
              <w:t>Community mental health</w:t>
            </w:r>
          </w:p>
        </w:tc>
        <w:tc>
          <w:tcPr>
            <w:tcW w:w="4644" w:type="dxa"/>
          </w:tcPr>
          <w:p w14:paraId="57DCB9D4" w14:textId="40C74FB2" w:rsidR="00EE3F7D" w:rsidRPr="009E411F" w:rsidRDefault="00EE3F7D" w:rsidP="0007039E">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9E411F">
              <w:rPr>
                <w:color w:val="000000" w:themeColor="text1"/>
                <w:sz w:val="18"/>
                <w:szCs w:val="18"/>
              </w:rPr>
              <w:t>No change — billed directly to TAC pending system flag update.</w:t>
            </w:r>
          </w:p>
        </w:tc>
      </w:tr>
      <w:tr w:rsidR="00EE3F7D" w:rsidRPr="009E411F" w14:paraId="2DD5A78B" w14:textId="77777777" w:rsidTr="00EE3F7D">
        <w:tc>
          <w:tcPr>
            <w:cnfStyle w:val="001000000000" w:firstRow="0" w:lastRow="0" w:firstColumn="1" w:lastColumn="0" w:oddVBand="0" w:evenVBand="0" w:oddHBand="0" w:evenHBand="0" w:firstRowFirstColumn="0" w:firstRowLastColumn="0" w:lastRowFirstColumn="0" w:lastRowLastColumn="0"/>
            <w:tcW w:w="4644" w:type="dxa"/>
          </w:tcPr>
          <w:p w14:paraId="146B2B32" w14:textId="39493216" w:rsidR="00EE3F7D" w:rsidRPr="009E411F" w:rsidRDefault="00EE3F7D" w:rsidP="0007039E">
            <w:pPr>
              <w:spacing w:line="240" w:lineRule="auto"/>
              <w:rPr>
                <w:sz w:val="18"/>
                <w:szCs w:val="18"/>
              </w:rPr>
            </w:pPr>
            <w:r w:rsidRPr="009E411F">
              <w:rPr>
                <w:color w:val="000000" w:themeColor="text1"/>
                <w:sz w:val="18"/>
                <w:szCs w:val="18"/>
              </w:rPr>
              <w:t>Clinician / diagnostics</w:t>
            </w:r>
          </w:p>
        </w:tc>
        <w:tc>
          <w:tcPr>
            <w:tcW w:w="4644" w:type="dxa"/>
          </w:tcPr>
          <w:p w14:paraId="6E64D894" w14:textId="48134857" w:rsidR="00EE3F7D" w:rsidRPr="009E411F" w:rsidRDefault="00EE3F7D" w:rsidP="0007039E">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E411F">
              <w:rPr>
                <w:color w:val="000000" w:themeColor="text1"/>
                <w:sz w:val="18"/>
                <w:szCs w:val="18"/>
              </w:rPr>
              <w:t>Direct billing to TAC ceases; remuneration per provider-health service agreement.</w:t>
            </w:r>
          </w:p>
        </w:tc>
      </w:tr>
      <w:tr w:rsidR="00EE3F7D" w:rsidRPr="009E411F" w14:paraId="55ADCDDA" w14:textId="77777777" w:rsidTr="00EE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8894A0C" w14:textId="26CAFCFC" w:rsidR="00EE3F7D" w:rsidRPr="009E411F" w:rsidRDefault="00EE3F7D" w:rsidP="0007039E">
            <w:pPr>
              <w:spacing w:line="240" w:lineRule="auto"/>
              <w:rPr>
                <w:sz w:val="18"/>
                <w:szCs w:val="18"/>
              </w:rPr>
            </w:pPr>
            <w:r w:rsidRPr="009E411F">
              <w:rPr>
                <w:color w:val="000000" w:themeColor="text1"/>
                <w:sz w:val="18"/>
                <w:szCs w:val="18"/>
              </w:rPr>
              <w:t>Urgent care centre</w:t>
            </w:r>
          </w:p>
        </w:tc>
        <w:tc>
          <w:tcPr>
            <w:tcW w:w="4644" w:type="dxa"/>
          </w:tcPr>
          <w:p w14:paraId="45EAA44C" w14:textId="54581F0B" w:rsidR="00EE3F7D" w:rsidRPr="009E411F" w:rsidRDefault="00EE3F7D" w:rsidP="0007039E">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9E411F">
              <w:rPr>
                <w:color w:val="000000" w:themeColor="text1"/>
                <w:sz w:val="18"/>
                <w:szCs w:val="18"/>
              </w:rPr>
              <w:t>Billed directly to TAC at specified TAC rate.</w:t>
            </w:r>
          </w:p>
        </w:tc>
      </w:tr>
      <w:tr w:rsidR="00EE3F7D" w:rsidRPr="009E411F" w14:paraId="35AE211D" w14:textId="77777777" w:rsidTr="00EE3F7D">
        <w:tc>
          <w:tcPr>
            <w:cnfStyle w:val="001000000000" w:firstRow="0" w:lastRow="0" w:firstColumn="1" w:lastColumn="0" w:oddVBand="0" w:evenVBand="0" w:oddHBand="0" w:evenHBand="0" w:firstRowFirstColumn="0" w:firstRowLastColumn="0" w:lastRowFirstColumn="0" w:lastRowLastColumn="0"/>
            <w:tcW w:w="4644" w:type="dxa"/>
          </w:tcPr>
          <w:p w14:paraId="07BF00A9" w14:textId="53ABDE7C" w:rsidR="00EE3F7D" w:rsidRPr="009E411F" w:rsidRDefault="00EE3F7D" w:rsidP="0007039E">
            <w:pPr>
              <w:spacing w:line="240" w:lineRule="auto"/>
              <w:rPr>
                <w:sz w:val="18"/>
                <w:szCs w:val="18"/>
              </w:rPr>
            </w:pPr>
            <w:r w:rsidRPr="009E411F">
              <w:rPr>
                <w:sz w:val="18"/>
                <w:szCs w:val="18"/>
              </w:rPr>
              <w:t>Gait Analysis</w:t>
            </w:r>
          </w:p>
        </w:tc>
        <w:tc>
          <w:tcPr>
            <w:tcW w:w="4644" w:type="dxa"/>
          </w:tcPr>
          <w:p w14:paraId="45890C6A" w14:textId="03830DB2" w:rsidR="00EE3F7D" w:rsidRPr="009E411F" w:rsidRDefault="00EE3F7D" w:rsidP="0007039E">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E411F">
              <w:rPr>
                <w:sz w:val="18"/>
                <w:szCs w:val="18"/>
              </w:rPr>
              <w:t>Contact the TAC for applicable billing arrangements.</w:t>
            </w:r>
          </w:p>
        </w:tc>
      </w:tr>
      <w:tr w:rsidR="00E844BF" w:rsidRPr="009E411F" w14:paraId="4DE3E070" w14:textId="77777777" w:rsidTr="00EE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391FBFB" w14:textId="677004AB" w:rsidR="00E844BF" w:rsidRPr="00E844BF" w:rsidRDefault="00E844BF" w:rsidP="00E844BF">
            <w:pPr>
              <w:spacing w:line="240" w:lineRule="auto"/>
              <w:rPr>
                <w:sz w:val="18"/>
                <w:szCs w:val="18"/>
              </w:rPr>
            </w:pPr>
            <w:r w:rsidRPr="00E844BF">
              <w:rPr>
                <w:sz w:val="18"/>
                <w:szCs w:val="18"/>
              </w:rPr>
              <w:t>Aids and equipment</w:t>
            </w:r>
          </w:p>
        </w:tc>
        <w:tc>
          <w:tcPr>
            <w:tcW w:w="4644" w:type="dxa"/>
          </w:tcPr>
          <w:p w14:paraId="127C8415" w14:textId="4F6FF60D" w:rsidR="00E844BF" w:rsidRPr="00E844BF" w:rsidRDefault="00E844BF" w:rsidP="00E844BF">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844BF">
              <w:rPr>
                <w:sz w:val="18"/>
                <w:szCs w:val="18"/>
              </w:rPr>
              <w:t>Billed directly to TAC - contact the TAC for the approvals process.</w:t>
            </w:r>
          </w:p>
        </w:tc>
      </w:tr>
    </w:tbl>
    <w:p w14:paraId="5980DABB" w14:textId="77777777" w:rsidR="005B5CB9" w:rsidRDefault="005B5CB9" w:rsidP="00EE3F7D">
      <w:pPr>
        <w:pStyle w:val="Body"/>
        <w:spacing w:before="120"/>
      </w:pPr>
      <w:r>
        <w:t>TAC activity is uncapped and outside the NHRA. Payments are advanced based on forecast NWAU and reconciled to actuals at year end. Rejected TAC claims should be reclassified as public patients; the department funds at public NWAU subject to target. Records must be updated before VAED consolidation; unresolved records will not be paid as public NWAU beyond this point if TAC ultimately do not approve the claim.</w:t>
      </w:r>
    </w:p>
    <w:p w14:paraId="3F54233B" w14:textId="77777777" w:rsidR="005B5CB9" w:rsidRDefault="005B5CB9" w:rsidP="00EE3F7D">
      <w:pPr>
        <w:pStyle w:val="Body"/>
      </w:pPr>
      <w:r>
        <w:t>Health services should update their TAC patient records with TAC remittance advice. This will ensure the TAC accepts the updated records and will minimise delays in reconciling activity and payment.</w:t>
      </w:r>
    </w:p>
    <w:p w14:paraId="19D86C79" w14:textId="791B15DA" w:rsidR="005B5CB9" w:rsidRDefault="005B5CB9" w:rsidP="005B5CB9">
      <w:pPr>
        <w:pStyle w:val="Heading2"/>
      </w:pPr>
      <w:bookmarkStart w:id="1728" w:name="_Toc234580315"/>
      <w:r>
        <w:t>WorkSafe Victoria patients</w:t>
      </w:r>
      <w:bookmarkEnd w:id="1728"/>
    </w:p>
    <w:p w14:paraId="1EC60FDD" w14:textId="77777777" w:rsidR="005B5CB9" w:rsidRDefault="005B5CB9" w:rsidP="00EE3F7D">
      <w:pPr>
        <w:pStyle w:val="Body"/>
      </w:pPr>
      <w:r>
        <w:t>WorkSafe compensable funding is uncapped and outside the NHRA. Rejected WorkSafe claims should be reclassified as public patients; the department funds at public NWAU in the PYA process subject to target. Records must be updated before VAED consolidation.</w:t>
      </w:r>
    </w:p>
    <w:p w14:paraId="2F5B43B7" w14:textId="77777777" w:rsidR="005B5CB9" w:rsidRDefault="005B5CB9" w:rsidP="00EE3F7D">
      <w:pPr>
        <w:pStyle w:val="Body"/>
      </w:pPr>
      <w:r>
        <w:t>Health services should keep WorkSafe patient records updated with WorkSafe remittance advice. This will ensure WorkSafe accepts the updated records and will minimise delays in reconciling activity and payment.</w:t>
      </w:r>
    </w:p>
    <w:p w14:paraId="5B418052" w14:textId="1F223CBD" w:rsidR="005B5CB9" w:rsidRDefault="005B5CB9" w:rsidP="005B5CB9">
      <w:pPr>
        <w:pStyle w:val="Heading2"/>
      </w:pPr>
      <w:bookmarkStart w:id="1729" w:name="_Toc234580316"/>
      <w:r>
        <w:t>Direct-billing-compensable patients</w:t>
      </w:r>
      <w:bookmarkEnd w:id="1729"/>
    </w:p>
    <w:p w14:paraId="7AE4B682" w14:textId="72498AB3" w:rsidR="005B5CB9" w:rsidRDefault="005B5CB9" w:rsidP="00EE3F7D">
      <w:pPr>
        <w:pStyle w:val="Body"/>
      </w:pPr>
      <w:r>
        <w:t xml:space="preserve">For these patients, health services should directly bill the relevant organisation responsible for payment. Billing rates are determined by health services. These should be set to provide for full cost recovery. </w:t>
      </w:r>
      <w:r w:rsidR="00105937">
        <w:t>For more information on r</w:t>
      </w:r>
      <w:r>
        <w:t>ecommended fees</w:t>
      </w:r>
      <w:r w:rsidR="00105937">
        <w:t>, see</w:t>
      </w:r>
      <w:r>
        <w:t xml:space="preserve"> </w:t>
      </w:r>
      <w:hyperlink r:id="rId37" w:history="1">
        <w:r w:rsidRPr="00105937">
          <w:rPr>
            <w:rStyle w:val="Hyperlink"/>
          </w:rPr>
          <w:t>Patient fees and charges</w:t>
        </w:r>
      </w:hyperlink>
      <w:r>
        <w:t xml:space="preserve"> </w:t>
      </w:r>
      <w:r w:rsidR="00105937">
        <w:lastRenderedPageBreak/>
        <w:t>&lt;</w:t>
      </w:r>
      <w:r w:rsidR="00105937" w:rsidRPr="00105937">
        <w:t>https://www.health.vic.gov.au/hospitals-and-health-services/patient-fees-and-charges-for-public-health-services</w:t>
      </w:r>
      <w:r w:rsidR="00105937">
        <w:t>&gt;</w:t>
      </w:r>
      <w:r>
        <w:t>.</w:t>
      </w:r>
    </w:p>
    <w:p w14:paraId="333A8892" w14:textId="77777777" w:rsidR="005B5CB9" w:rsidRDefault="005B5CB9" w:rsidP="00EE3F7D">
      <w:pPr>
        <w:pStyle w:val="Bullet1"/>
      </w:pPr>
      <w:r w:rsidRPr="5B850891">
        <w:t>Armed services — billed via BUPA to the Department of Defence.</w:t>
      </w:r>
    </w:p>
    <w:p w14:paraId="67961FE1" w14:textId="77777777" w:rsidR="005B5CB9" w:rsidRDefault="005B5CB9" w:rsidP="00EE3F7D">
      <w:pPr>
        <w:pStyle w:val="Bullet1"/>
      </w:pPr>
      <w:r w:rsidRPr="5B850891">
        <w:t>Australian seafarers — billed per Seacare Australia.</w:t>
      </w:r>
    </w:p>
    <w:p w14:paraId="0551E896" w14:textId="77777777" w:rsidR="005B5CB9" w:rsidRDefault="005B5CB9" w:rsidP="00EE3F7D">
      <w:pPr>
        <w:pStyle w:val="Bullet1"/>
      </w:pPr>
      <w:r w:rsidRPr="5B850891">
        <w:t>International seafarers — billed to relevant private health insurers.</w:t>
      </w:r>
    </w:p>
    <w:p w14:paraId="325480E9" w14:textId="77777777" w:rsidR="005B5CB9" w:rsidRDefault="005B5CB9" w:rsidP="00EE3F7D">
      <w:pPr>
        <w:pStyle w:val="Bullet1"/>
      </w:pPr>
      <w:r w:rsidRPr="5B850891">
        <w:t>Common-law recoveries and other compensable — billed to the relevant third party.</w:t>
      </w:r>
    </w:p>
    <w:p w14:paraId="6EE229E2" w14:textId="2AC877EA" w:rsidR="005B5CB9" w:rsidRPr="0054536C" w:rsidRDefault="005B5CB9" w:rsidP="005B5CB9">
      <w:pPr>
        <w:pStyle w:val="Heading2"/>
      </w:pPr>
      <w:bookmarkStart w:id="1730" w:name="_5.2_Cross-border_patients"/>
      <w:bookmarkStart w:id="1731" w:name="_5.5__Cross-border"/>
      <w:bookmarkStart w:id="1732" w:name="_Toc165961808"/>
      <w:bookmarkStart w:id="1733" w:name="_Toc234580317"/>
      <w:bookmarkEnd w:id="1730"/>
      <w:bookmarkEnd w:id="1731"/>
      <w:r>
        <w:t>Cross-border patients</w:t>
      </w:r>
      <w:bookmarkEnd w:id="1732"/>
      <w:bookmarkEnd w:id="1733"/>
    </w:p>
    <w:p w14:paraId="0AEB0720" w14:textId="438AFF61" w:rsidR="005B5CB9" w:rsidRDefault="005B5CB9" w:rsidP="00511707">
      <w:pPr>
        <w:pStyle w:val="Body"/>
      </w:pPr>
      <w:r>
        <w:t xml:space="preserve">Cross-border agreements are developed under NHRA clause A91 between jurisdictions with significant flows. Annual reconciliations determine each jurisdiction’s liability, factored into the modelled budget. All transactions are between health departments, not hospital-to-hospital. Prior-year adjustment does not adjust for annual variations in this cohort. </w:t>
      </w:r>
    </w:p>
    <w:p w14:paraId="757D19FC" w14:textId="0456C63B" w:rsidR="005B5CB9" w:rsidRDefault="005B5CB9" w:rsidP="00511707">
      <w:pPr>
        <w:pStyle w:val="Body"/>
        <w:rPr>
          <w:b/>
          <w:bCs/>
        </w:rPr>
      </w:pPr>
      <w:r w:rsidRPr="5B850891">
        <w:rPr>
          <w:b/>
          <w:bCs/>
        </w:rPr>
        <w:t>High-cost procedures</w:t>
      </w:r>
    </w:p>
    <w:p w14:paraId="5B5ABDB3" w14:textId="77777777" w:rsidR="005B5CB9" w:rsidRDefault="005B5CB9" w:rsidP="00511707">
      <w:pPr>
        <w:pStyle w:val="Body"/>
      </w:pPr>
      <w:r>
        <w:t>An exemption applies where a procedure is provided at limited sites nationally (&lt;200 separations), and costs materially more than NWAU funding provides (&gt;$20,000 above NEP Determination funding). Hospitals may seek this exemption in advance from the department for non-resident patients. NFC procedures are excluded. Eligible hospitals may receive a supplementary payment through the PYA process.</w:t>
      </w:r>
    </w:p>
    <w:p w14:paraId="432C5E42" w14:textId="77777777" w:rsidR="005B5CB9" w:rsidRDefault="005B5CB9" w:rsidP="00511707">
      <w:pPr>
        <w:pStyle w:val="Body"/>
      </w:pPr>
      <w:r>
        <w:t>Hospitals should advise the department in advance (wherever possible) when treating non-resident patients under a high-cost procedure exemption. Care to non-resident patients should not be subject to, or impacted by, financial arrangements and should be based on standard clinical protocols.</w:t>
      </w:r>
    </w:p>
    <w:p w14:paraId="1828E8D7" w14:textId="46740075" w:rsidR="005B5CB9" w:rsidRPr="00736CC1" w:rsidRDefault="005B5CB9" w:rsidP="005B5CB9">
      <w:pPr>
        <w:pStyle w:val="Heading2"/>
      </w:pPr>
      <w:bookmarkStart w:id="1734" w:name="_5.6_Private_patients"/>
      <w:bookmarkStart w:id="1735" w:name="_Toc234580318"/>
      <w:bookmarkEnd w:id="1734"/>
      <w:r>
        <w:t>Private patients in public hospitals</w:t>
      </w:r>
      <w:bookmarkEnd w:id="1735"/>
    </w:p>
    <w:p w14:paraId="687D6FA5" w14:textId="261A0F8F" w:rsidR="005B5CB9" w:rsidRDefault="005B5CB9" w:rsidP="00511707">
      <w:pPr>
        <w:pStyle w:val="Body"/>
      </w:pPr>
      <w:r>
        <w:t xml:space="preserve">Patients may elect public or private status at admission regardless of private health insurance status, per National Standards for Public Hospital Admitted Patient Election processes. An election must be made in writing before, or as soon as possible after presentation. Under the </w:t>
      </w:r>
      <w:r w:rsidR="005719B1">
        <w:t>Addendum to the NHRA 2026-2031</w:t>
      </w:r>
      <w:r w:rsidR="005719B1">
        <w:t xml:space="preserve"> </w:t>
      </w:r>
      <w:r>
        <w:t>(Schedule L), a patient’s election applies to all related episodes of care (admitted and non-admitted), unless unforeseen circumstances arise (clause J17). Unforeseen circumstances include (but are not limited to) complications from a procedure requiring additional procedures, an extended length of stay or course of treatment, and changes to social circumstances such as job loss (clause J30(g)). Inadequate private health insurance cover is not normally sufficient to change a patient’s election status (clause J30(i)). These requirements will not commence until guidance material is finalised by the Commonwealth, in consultation with States, and agreed by HCEF no later than June 2027 (clauses J31 and J32).</w:t>
      </w:r>
    </w:p>
    <w:p w14:paraId="2F30F445" w14:textId="30BAC2C4" w:rsidR="005B5CB9" w:rsidRDefault="005B5CB9" w:rsidP="00511707">
      <w:pPr>
        <w:pStyle w:val="Body"/>
        <w:rPr>
          <w:b/>
          <w:bCs/>
        </w:rPr>
      </w:pPr>
      <w:r w:rsidRPr="5B850891">
        <w:rPr>
          <w:b/>
          <w:bCs/>
        </w:rPr>
        <w:t>MBS-billed services</w:t>
      </w:r>
    </w:p>
    <w:p w14:paraId="0417C10E" w14:textId="77777777" w:rsidR="005B5CB9" w:rsidRDefault="005B5CB9" w:rsidP="00511707">
      <w:pPr>
        <w:pStyle w:val="Body"/>
      </w:pPr>
      <w:r>
        <w:t>Outside NHRA scope; do not attract NWAU funding. Must be reported as such. Health services may operate parallel public NWAU-funded and MBS-billed clinics, but MBS-billed clinics can only be provided if the same service is provided on a public basis. All Assignment of Benefits arrangements must comply with Commonwealth requirements.</w:t>
      </w:r>
    </w:p>
    <w:p w14:paraId="1E55DC3A" w14:textId="40AE332C" w:rsidR="005B5CB9" w:rsidRDefault="005B5CB9" w:rsidP="00511707">
      <w:pPr>
        <w:pStyle w:val="Body"/>
      </w:pPr>
      <w:r>
        <w:t xml:space="preserve">The </w:t>
      </w:r>
      <w:r w:rsidRPr="00473A00">
        <w:rPr>
          <w:i/>
          <w:iCs/>
        </w:rPr>
        <w:t>MBS billing policy framework</w:t>
      </w:r>
      <w:r w:rsidR="00670AA7" w:rsidRPr="00473A00">
        <w:rPr>
          <w:i/>
          <w:iCs/>
        </w:rPr>
        <w:t xml:space="preserve"> -</w:t>
      </w:r>
      <w:r w:rsidRPr="00473A00">
        <w:rPr>
          <w:i/>
          <w:iCs/>
        </w:rPr>
        <w:t xml:space="preserve"> Victorian public hospitals</w:t>
      </w:r>
      <w:r>
        <w:t xml:space="preserve"> sets out the mandatory requirements that apply to Victorian public hospitals billing under the MBS on behalf of health practitioners exercising a right of private practice. The </w:t>
      </w:r>
      <w:r w:rsidRPr="00EF55A7">
        <w:rPr>
          <w:i/>
          <w:iCs/>
        </w:rPr>
        <w:t xml:space="preserve">MBS billing policy in Victorian public hospitals: Interpretive </w:t>
      </w:r>
      <w:r w:rsidRPr="00EF55A7">
        <w:rPr>
          <w:i/>
          <w:iCs/>
        </w:rPr>
        <w:lastRenderedPageBreak/>
        <w:t>guidelines for best practice</w:t>
      </w:r>
      <w:r>
        <w:t xml:space="preserve"> interprets the relevant Commonwealth and Victorian policies, legislation and agreements. These documents must be read in conjunction with each other</w:t>
      </w:r>
      <w:r w:rsidR="00F63699">
        <w:t xml:space="preserve">. For more information, see </w:t>
      </w:r>
      <w:r>
        <w:t xml:space="preserve">the department’s </w:t>
      </w:r>
      <w:hyperlink r:id="rId38" w:history="1">
        <w:r w:rsidRPr="009302AE">
          <w:rPr>
            <w:rStyle w:val="Hyperlink"/>
          </w:rPr>
          <w:t>MBS billing policy framework</w:t>
        </w:r>
      </w:hyperlink>
      <w:r>
        <w:t xml:space="preserve"> </w:t>
      </w:r>
      <w:r w:rsidR="0029684D">
        <w:t>&lt;</w:t>
      </w:r>
      <w:r w:rsidR="0029684D" w:rsidRPr="0029684D">
        <w:t>https://www.health.vic.gov.au/funding-performance-accountability/mbs-billing-policy-framework-victorian-public-hospitals</w:t>
      </w:r>
      <w:r w:rsidR="00DF1850">
        <w:t>&gt;.</w:t>
      </w:r>
    </w:p>
    <w:p w14:paraId="5EEE6201" w14:textId="77777777" w:rsidR="005B5CB9" w:rsidRDefault="005B5CB9" w:rsidP="00511707">
      <w:pPr>
        <w:pStyle w:val="Body"/>
      </w:pPr>
      <w:r>
        <w:t>These documents do not replace, or override Commonwealth legislation, Medicare rules, or guidance issued by the Australian Government or Services Australia. Health services and individual practitioners remain responsible for ensuring their MBS billing practices comply with all applicable Commonwealth requirements.</w:t>
      </w:r>
    </w:p>
    <w:p w14:paraId="7A329E65" w14:textId="3948FF91" w:rsidR="005B5CB9" w:rsidRDefault="005B5CB9" w:rsidP="005B5CB9">
      <w:pPr>
        <w:pStyle w:val="Heading2"/>
      </w:pPr>
      <w:bookmarkStart w:id="1736" w:name="_5.4_Prisoners"/>
      <w:bookmarkStart w:id="1737" w:name="_5.7_Prisoners"/>
      <w:bookmarkStart w:id="1738" w:name="_Toc234580319"/>
      <w:bookmarkEnd w:id="1736"/>
      <w:bookmarkEnd w:id="1737"/>
      <w:r>
        <w:t>Prisoners</w:t>
      </w:r>
      <w:bookmarkEnd w:id="1738"/>
    </w:p>
    <w:p w14:paraId="539B2DBA" w14:textId="4DBE541F" w:rsidR="005B5CB9" w:rsidRDefault="005B5CB9" w:rsidP="00511707">
      <w:pPr>
        <w:pStyle w:val="Body"/>
      </w:pPr>
      <w:r>
        <w:t>Funded solely by Victoria; falls within health service NWAU targets despite being outside NHRA scope.</w:t>
      </w:r>
    </w:p>
    <w:p w14:paraId="033629B8" w14:textId="0FFF711F" w:rsidR="005B5CB9" w:rsidRDefault="005B5CB9" w:rsidP="00511707">
      <w:pPr>
        <w:pStyle w:val="Body"/>
        <w:rPr>
          <w:b/>
          <w:bCs/>
        </w:rPr>
      </w:pPr>
      <w:r w:rsidRPr="5B850891">
        <w:rPr>
          <w:b/>
          <w:bCs/>
        </w:rPr>
        <w:t>Business rules</w:t>
      </w:r>
    </w:p>
    <w:p w14:paraId="4FEB2699" w14:textId="77777777" w:rsidR="005B5CB9" w:rsidRDefault="005B5CB9" w:rsidP="00511707">
      <w:pPr>
        <w:pStyle w:val="Bullet1"/>
      </w:pPr>
      <w:r w:rsidRPr="5B850891">
        <w:t>VAED: account class ‘JP – Prisoner’ or ‘JN – Prisoner Non-Acute’; Medicare Suffix P-N.</w:t>
      </w:r>
    </w:p>
    <w:p w14:paraId="0B34A29D" w14:textId="77777777" w:rsidR="005B5CB9" w:rsidRDefault="005B5CB9" w:rsidP="00511707">
      <w:pPr>
        <w:pStyle w:val="Bullet1"/>
      </w:pPr>
      <w:r w:rsidRPr="5B850891">
        <w:t>VEMD: ‘type of usual accommodation’ as prison/remand centre/youth training centre; Medicare Suffix P-N.</w:t>
      </w:r>
    </w:p>
    <w:p w14:paraId="7D4F2225" w14:textId="77777777" w:rsidR="005B5CB9" w:rsidRDefault="005B5CB9" w:rsidP="00511707">
      <w:pPr>
        <w:pStyle w:val="Bullet1"/>
      </w:pPr>
      <w:r w:rsidRPr="5B850891">
        <w:t>VINAH MDS: contact account class ‘JP – Prisoner’; Contact Client Medicare Suffix P-N.</w:t>
      </w:r>
    </w:p>
    <w:p w14:paraId="5FDDDFB9" w14:textId="77777777" w:rsidR="005B5CB9" w:rsidRDefault="005B5CB9" w:rsidP="00511707">
      <w:pPr>
        <w:pStyle w:val="Bullet1"/>
      </w:pPr>
      <w:r w:rsidRPr="5B850891">
        <w:t>Health services should not bill the Department of Justice and Community Services via primary care providers for these services provided to prisoners.</w:t>
      </w:r>
    </w:p>
    <w:p w14:paraId="5DDCA6D4" w14:textId="77777777" w:rsidR="005B5CB9" w:rsidRDefault="005B5CB9" w:rsidP="005B5CB9">
      <w:pPr>
        <w:pStyle w:val="Body"/>
      </w:pPr>
      <w:r>
        <w:br w:type="page"/>
      </w:r>
    </w:p>
    <w:p w14:paraId="74F8FF0F" w14:textId="731CF31F" w:rsidR="005B5CB9" w:rsidRPr="00AF18F3" w:rsidRDefault="005B5CB9" w:rsidP="005B5CB9">
      <w:pPr>
        <w:pStyle w:val="Heading1"/>
        <w:rPr>
          <w:rFonts w:eastAsia="Arial"/>
        </w:rPr>
      </w:pPr>
      <w:bookmarkStart w:id="1739" w:name="_Toc100263336"/>
      <w:bookmarkStart w:id="1740" w:name="_Toc165961809"/>
      <w:bookmarkStart w:id="1741" w:name="_Toc234580320"/>
      <w:r>
        <w:lastRenderedPageBreak/>
        <w:t>Improving health outcomes for Aboriginal and Torres Strait Islander patients</w:t>
      </w:r>
      <w:bookmarkEnd w:id="1739"/>
      <w:bookmarkEnd w:id="1740"/>
      <w:bookmarkEnd w:id="1741"/>
      <w:r>
        <w:t xml:space="preserve"> </w:t>
      </w:r>
    </w:p>
    <w:p w14:paraId="0F5DDFCF" w14:textId="77777777" w:rsidR="005B5CB9" w:rsidRDefault="005B5CB9" w:rsidP="004475BA">
      <w:pPr>
        <w:pStyle w:val="Body"/>
      </w:pPr>
      <w:r>
        <w:t>All health services receive a national pricing adjustment to support culturally safe services for Aboriginal patients. Health services with larger Aboriginal catchment populations additionally receive a Commonwealth-funded Aboriginal cultural safety fixed grant, aimed at building cultural safety responses and improving health outcomes.</w:t>
      </w:r>
    </w:p>
    <w:p w14:paraId="1F5FB755" w14:textId="11ACDB83" w:rsidR="005B5CB9" w:rsidRDefault="005B5CB9" w:rsidP="004475BA">
      <w:pPr>
        <w:pStyle w:val="Body"/>
      </w:pPr>
      <w:r>
        <w:t>All health services must deliver culturally safe services as a quality and safety obligation, per the Statement of Priorities and the</w:t>
      </w:r>
      <w:r w:rsidR="00EE0371">
        <w:t xml:space="preserve"> </w:t>
      </w:r>
      <w:r w:rsidR="00EE0371" w:rsidRPr="00EE0371">
        <w:rPr>
          <w:i/>
          <w:iCs/>
        </w:rPr>
        <w:t>Victorian</w:t>
      </w:r>
      <w:r w:rsidRPr="00EE0371">
        <w:rPr>
          <w:i/>
          <w:iCs/>
        </w:rPr>
        <w:t xml:space="preserve"> Aboriginal Health and Wellbeing Partnership Agreement and </w:t>
      </w:r>
      <w:r w:rsidR="00EE0371" w:rsidRPr="00EE0371">
        <w:rPr>
          <w:i/>
          <w:iCs/>
        </w:rPr>
        <w:t>A</w:t>
      </w:r>
      <w:r w:rsidRPr="00EE0371">
        <w:rPr>
          <w:i/>
          <w:iCs/>
        </w:rPr>
        <w:t xml:space="preserve">ction </w:t>
      </w:r>
      <w:r w:rsidR="00EE0371" w:rsidRPr="00EE0371">
        <w:rPr>
          <w:i/>
          <w:iCs/>
        </w:rPr>
        <w:t>P</w:t>
      </w:r>
      <w:r w:rsidRPr="00EE0371">
        <w:rPr>
          <w:i/>
          <w:iCs/>
        </w:rPr>
        <w:t>lan 2023–2025</w:t>
      </w:r>
      <w:r>
        <w:t>. These requirements reflect Ministerial commitments to the Yoorrook Justice Commission in 2024.</w:t>
      </w:r>
    </w:p>
    <w:p w14:paraId="3608F505" w14:textId="54C0B45B" w:rsidR="005B5CB9" w:rsidRDefault="005B5CB9" w:rsidP="004475BA">
      <w:pPr>
        <w:pStyle w:val="Body"/>
      </w:pPr>
      <w:r>
        <w:t xml:space="preserve">The </w:t>
      </w:r>
      <w:r w:rsidRPr="00EE0371">
        <w:rPr>
          <w:i/>
          <w:iCs/>
        </w:rPr>
        <w:t>Statewide Treaty Act 2025</w:t>
      </w:r>
      <w:r>
        <w:t xml:space="preserve"> establishes Gellung Warl (from Gunaikurnai language), evolved from the First Peoples’ Assembly, with functions including cultural safety and State accountability for First Peoples’ outcomes. A priority action is ensuring all funding for prevention and early intervention programs related to Aboriginal health and wellbeing is first offered to </w:t>
      </w:r>
      <w:r w:rsidR="00AC311D" w:rsidRPr="001F21EE">
        <w:t>Aboriginal community-controlled organisations</w:t>
      </w:r>
      <w:r w:rsidR="00AC311D">
        <w:t xml:space="preserve"> (</w:t>
      </w:r>
      <w:r>
        <w:t>ACCO</w:t>
      </w:r>
      <w:r w:rsidR="00AC311D">
        <w:t>)</w:t>
      </w:r>
      <w:r>
        <w:t xml:space="preserve"> through appropriate procurement processes.</w:t>
      </w:r>
    </w:p>
    <w:p w14:paraId="10ACA30D" w14:textId="77777777" w:rsidR="005B5CB9" w:rsidRDefault="005B5CB9" w:rsidP="004475BA">
      <w:pPr>
        <w:pStyle w:val="Body"/>
      </w:pPr>
      <w:r>
        <w:t>Health services receiving the Aboriginal cultural safety fixed grant must submit annual cultural safety plans, Aboriginal employment plans, and progress reports. Funding supports: cultural safety across the health service; the Improving Care for Aboriginal Patients program; and Koori Mental Health Liaison Officers in selected services.</w:t>
      </w:r>
    </w:p>
    <w:p w14:paraId="49F7E238" w14:textId="24E34169" w:rsidR="005B5CB9" w:rsidRPr="0009363E" w:rsidRDefault="005B5CB9" w:rsidP="005B5CB9">
      <w:pPr>
        <w:pStyle w:val="Heading2"/>
      </w:pPr>
      <w:bookmarkStart w:id="1742" w:name="_Toc450303701"/>
      <w:bookmarkStart w:id="1743" w:name="_Toc451364919"/>
      <w:bookmarkStart w:id="1744" w:name="_Toc451453982"/>
      <w:bookmarkStart w:id="1745" w:name="_Toc451516740"/>
      <w:bookmarkStart w:id="1746" w:name="_Toc451800494"/>
      <w:bookmarkStart w:id="1747" w:name="_Toc451801385"/>
      <w:bookmarkStart w:id="1748" w:name="_Toc451802974"/>
      <w:bookmarkStart w:id="1749" w:name="_Toc234580321"/>
      <w:bookmarkEnd w:id="1742"/>
      <w:bookmarkEnd w:id="1743"/>
      <w:bookmarkEnd w:id="1744"/>
      <w:bookmarkEnd w:id="1745"/>
      <w:bookmarkEnd w:id="1746"/>
      <w:bookmarkEnd w:id="1747"/>
      <w:bookmarkEnd w:id="1748"/>
      <w:r>
        <w:t>Indicators and monitoring</w:t>
      </w:r>
      <w:bookmarkEnd w:id="1749"/>
    </w:p>
    <w:p w14:paraId="45AE5689" w14:textId="03BED65F" w:rsidR="005B5CB9" w:rsidRPr="00511707" w:rsidRDefault="005B5CB9" w:rsidP="00511707">
      <w:pPr>
        <w:pStyle w:val="Body"/>
      </w:pPr>
      <w:r w:rsidRPr="00511707">
        <w:t>Aboriginal cultural safety indicators for the acute setting include ‘leave against medical advice</w:t>
      </w:r>
      <w:r w:rsidRPr="00BD7A80">
        <w:rPr>
          <w:vertAlign w:val="superscript"/>
        </w:rPr>
        <w:footnoteReference w:id="3"/>
      </w:r>
      <w:r w:rsidR="00181DFB">
        <w:t>’</w:t>
      </w:r>
      <w:r w:rsidRPr="00BD7A80">
        <w:rPr>
          <w:vertAlign w:val="superscript"/>
        </w:rPr>
        <w:t xml:space="preserve"> </w:t>
      </w:r>
      <w:r w:rsidRPr="00511707">
        <w:t>for inpatients and ‘did not wait’ for ED presentations.</w:t>
      </w:r>
    </w:p>
    <w:p w14:paraId="4C3A9797" w14:textId="77777777" w:rsidR="005B5CB9" w:rsidRPr="00511707" w:rsidRDefault="005B5CB9" w:rsidP="00511707">
      <w:pPr>
        <w:pStyle w:val="Body"/>
      </w:pPr>
      <w:r w:rsidRPr="00511707">
        <w:t xml:space="preserve">From 2024–25, the target for health services for these two leave-event measures were adjusted to ‘no gap’ in rates between Aboriginal and non-Aboriginal patients. </w:t>
      </w:r>
    </w:p>
    <w:p w14:paraId="7ED6632E" w14:textId="76FF619F" w:rsidR="005B5CB9" w:rsidRPr="00511707" w:rsidRDefault="005B5CB9" w:rsidP="00511707">
      <w:pPr>
        <w:pStyle w:val="Body"/>
      </w:pPr>
      <w:r w:rsidRPr="00511707">
        <w:t xml:space="preserve">This is to drive health equity and aligns with Victoria’s commitments under the </w:t>
      </w:r>
      <w:r w:rsidRPr="00B91006">
        <w:rPr>
          <w:i/>
          <w:iCs/>
        </w:rPr>
        <w:t xml:space="preserve">National Agreement </w:t>
      </w:r>
      <w:r w:rsidR="00B91006" w:rsidRPr="00B91006">
        <w:rPr>
          <w:i/>
          <w:iCs/>
        </w:rPr>
        <w:t>on</w:t>
      </w:r>
      <w:r w:rsidRPr="00B91006">
        <w:rPr>
          <w:i/>
          <w:iCs/>
        </w:rPr>
        <w:t xml:space="preserve"> Closing the Gap.</w:t>
      </w:r>
      <w:r w:rsidRPr="00511707">
        <w:t xml:space="preserve"> Additional measures, including Aboriginal health workforce and outpatient data, will continue to be explored as supplements to the higher-level cultural safety indicators.</w:t>
      </w:r>
    </w:p>
    <w:p w14:paraId="01A7C810" w14:textId="77777777" w:rsidR="005B5CB9" w:rsidRPr="00511707" w:rsidRDefault="005B5CB9" w:rsidP="00511707">
      <w:pPr>
        <w:pStyle w:val="Body"/>
      </w:pPr>
      <w:r w:rsidRPr="00511707">
        <w:br w:type="page"/>
      </w:r>
    </w:p>
    <w:p w14:paraId="1CB2B41A" w14:textId="0124E574" w:rsidR="005B5CB9" w:rsidRPr="00500C8C" w:rsidRDefault="005B5CB9" w:rsidP="005B5CB9">
      <w:pPr>
        <w:pStyle w:val="Heading1"/>
        <w:rPr>
          <w:rStyle w:val="Heading1Char"/>
        </w:rPr>
      </w:pPr>
      <w:bookmarkStart w:id="1750" w:name="_Toc167651247"/>
      <w:bookmarkStart w:id="1751" w:name="_Toc418694906"/>
      <w:bookmarkStart w:id="1752" w:name="_Toc6215545"/>
      <w:bookmarkStart w:id="1753" w:name="_Toc10199621"/>
      <w:bookmarkStart w:id="1754" w:name="_Toc52892567"/>
      <w:bookmarkStart w:id="1755" w:name="_Toc100263280"/>
      <w:bookmarkStart w:id="1756" w:name="_Toc165961812"/>
      <w:bookmarkStart w:id="1757" w:name="_Hlk77685410"/>
      <w:bookmarkStart w:id="1758" w:name="_Toc52892559"/>
      <w:bookmarkStart w:id="1759" w:name="_Toc234580322"/>
      <w:bookmarkEnd w:id="1750"/>
      <w:r w:rsidRPr="00FC093B">
        <w:rPr>
          <w:rStyle w:val="Heading1Char"/>
        </w:rPr>
        <w:lastRenderedPageBreak/>
        <w:t>Pricing for quality</w:t>
      </w:r>
      <w:bookmarkEnd w:id="1751"/>
      <w:bookmarkEnd w:id="1752"/>
      <w:bookmarkEnd w:id="1753"/>
      <w:bookmarkEnd w:id="1754"/>
      <w:bookmarkEnd w:id="1755"/>
      <w:bookmarkEnd w:id="1756"/>
      <w:bookmarkEnd w:id="1759"/>
    </w:p>
    <w:p w14:paraId="0EB41C52" w14:textId="6905B5F7" w:rsidR="005B5CB9" w:rsidRDefault="005B5CB9" w:rsidP="00511707">
      <w:pPr>
        <w:pStyle w:val="Body"/>
      </w:pPr>
      <w:r>
        <w:t xml:space="preserve">Quality and safety are incorporated into hospital pricing through three mechanisms: sentinel events, hospital acquired complications (HACs), and avoidable hospital readmissions (AHRs). Victoria introduced sentinel event pricing in 2017–18, applied the national HAC model from 2023–24, and </w:t>
      </w:r>
      <w:r w:rsidRPr="00825CBB">
        <w:rPr>
          <w:shd w:val="clear" w:color="auto" w:fill="FFFFFF" w:themeFill="background1"/>
        </w:rPr>
        <w:t>implemented the AHR adjustment from 2024–25. Pricing and quality’s interaction with the Victorian ABF pricing framework should be interpreted as supporting the delivery of high-quality care, while operating within the broader system</w:t>
      </w:r>
      <w:r w:rsidRPr="00825CBB">
        <w:t xml:space="preserve"> of quality and safety obligations.</w:t>
      </w:r>
    </w:p>
    <w:p w14:paraId="2EAF30B9" w14:textId="318AFB51" w:rsidR="005B5CB9" w:rsidRPr="007F03EF" w:rsidRDefault="005B5CB9" w:rsidP="005B5CB9">
      <w:pPr>
        <w:pStyle w:val="Heading2"/>
        <w:rPr>
          <w:lang w:eastAsia="en-AU"/>
        </w:rPr>
      </w:pPr>
      <w:bookmarkStart w:id="1760" w:name="_Toc164262556"/>
      <w:bookmarkStart w:id="1761" w:name="_Toc164262891"/>
      <w:bookmarkStart w:id="1762" w:name="_7.1_Sentinel_events"/>
      <w:bookmarkStart w:id="1763" w:name="_Toc100263281"/>
      <w:bookmarkStart w:id="1764" w:name="_Toc165961813"/>
      <w:bookmarkStart w:id="1765" w:name="_Toc234580323"/>
      <w:bookmarkEnd w:id="1760"/>
      <w:bookmarkEnd w:id="1761"/>
      <w:bookmarkEnd w:id="1762"/>
      <w:r w:rsidRPr="5B850891">
        <w:rPr>
          <w:lang w:eastAsia="en-AU"/>
        </w:rPr>
        <w:t>Sentinel events</w:t>
      </w:r>
      <w:bookmarkEnd w:id="1763"/>
      <w:bookmarkEnd w:id="1764"/>
      <w:bookmarkEnd w:id="1765"/>
    </w:p>
    <w:p w14:paraId="11ECEA83" w14:textId="77777777" w:rsidR="005B5CB9" w:rsidRDefault="005B5CB9" w:rsidP="00511707">
      <w:pPr>
        <w:pStyle w:val="Body"/>
      </w:pPr>
      <w:r>
        <w:t>Episodes with a wholly preventable sentinel event (categories 1–10) are not funded. Category 11 (‘all other adverse patient safety events resulting in serious harm or death’) is excluded from pricing for quality and it is Victoria-only and not subject to national pricing. Health services must report all sentinel events to the Sentinel Event Program (Safer Care Victoria).</w:t>
      </w:r>
    </w:p>
    <w:p w14:paraId="48ED4F63" w14:textId="6FAFA7FD" w:rsidR="005B5CB9" w:rsidRDefault="005B5CB9" w:rsidP="00511707">
      <w:pPr>
        <w:pStyle w:val="Body"/>
      </w:pPr>
      <w:r>
        <w:t>Sentinel event categories 1–10: surgery on wrong site/patient; wrong procedure; unintended retention of foreign object; haemolytic blood transfusion reaction (ABO incompatibility); suspected suicide in an acute psychiatric unit or ward; medication error resulting in serious harm or death; use of restraint resulting in serious harm or death; discharge of infant/child to unauthorised person; incorrectly positioned oro</w:t>
      </w:r>
      <w:r w:rsidR="00207EE0">
        <w:t>gastric</w:t>
      </w:r>
      <w:r>
        <w:t xml:space="preserve"> or nasogastric tube resulting in serious harm or death.</w:t>
      </w:r>
    </w:p>
    <w:p w14:paraId="530B561A" w14:textId="66FA5909" w:rsidR="005B5CB9" w:rsidRPr="007F03EF" w:rsidRDefault="005B5CB9" w:rsidP="005B5CB9">
      <w:pPr>
        <w:pStyle w:val="Heading2"/>
        <w:rPr>
          <w:lang w:eastAsia="en-AU"/>
        </w:rPr>
      </w:pPr>
      <w:bookmarkStart w:id="1766" w:name="_Toc234580324"/>
      <w:r w:rsidRPr="0B5A0D58">
        <w:rPr>
          <w:lang w:eastAsia="en-AU"/>
        </w:rPr>
        <w:t>Hospital Acquired Complications (HACs)</w:t>
      </w:r>
      <w:bookmarkEnd w:id="1766"/>
    </w:p>
    <w:p w14:paraId="74F31063" w14:textId="77777777" w:rsidR="005B5CB9" w:rsidRDefault="005B5CB9" w:rsidP="00511707">
      <w:pPr>
        <w:pStyle w:val="Body"/>
        <w:rPr>
          <w:highlight w:val="yellow"/>
        </w:rPr>
      </w:pPr>
      <w:r>
        <w:t xml:space="preserve">The national ABF model applies a risk-adjusted NWAU discount to each episode in which a HAC is present. The HAC NWAU growth-funding adjustment is calculated </w:t>
      </w:r>
      <w:r w:rsidRPr="00B44176">
        <w:t xml:space="preserve">per </w:t>
      </w:r>
      <w:hyperlink w:anchor="_11.2_HAC_NWAU" w:history="1">
        <w:r w:rsidRPr="00B44176">
          <w:rPr>
            <w:rStyle w:val="Hyperlink"/>
          </w:rPr>
          <w:t>Section 11.2</w:t>
        </w:r>
      </w:hyperlink>
      <w:r>
        <w:t xml:space="preserve"> and applied as part of annual reconciliations </w:t>
      </w:r>
      <w:r w:rsidRPr="00B44176">
        <w:t>(</w:t>
      </w:r>
      <w:hyperlink w:anchor="_Toc167651270" w:history="1">
        <w:r w:rsidRPr="00B44176">
          <w:rPr>
            <w:rStyle w:val="Hyperlink"/>
          </w:rPr>
          <w:t>Section 10</w:t>
        </w:r>
      </w:hyperlink>
      <w:r w:rsidRPr="00B44176">
        <w:t>).</w:t>
      </w:r>
      <w:r>
        <w:t xml:space="preserve"> The indicative HAC NWAU baseline is at </w:t>
      </w:r>
      <w:hyperlink w:anchor="_11.2_HAC_NWAU" w:history="1">
        <w:r w:rsidRPr="00A163F7">
          <w:rPr>
            <w:rStyle w:val="Hyperlink"/>
          </w:rPr>
          <w:t>Section 11.2</w:t>
        </w:r>
      </w:hyperlink>
    </w:p>
    <w:p w14:paraId="2BC8AA37" w14:textId="4EC63EA6" w:rsidR="005B5CB9" w:rsidRDefault="005B5CB9" w:rsidP="00511707">
      <w:pPr>
        <w:pStyle w:val="Body"/>
      </w:pPr>
      <w:r>
        <w:t xml:space="preserve">HACs monitored: pressure injury; falls resulting in fracture or intracranial injury; healthcare-associated infection; surgical complications requiring unplanned return to theatre; unplanned ICU admission; respiratory complications; venous thromboembolism; renal failure; gastrointestinal bleeding; medication complications; delirium; incontinence; endocrine complications; cardiac complications; third and fourth-degree perineal laceration during delivery; neonatal birth trauma. Risk adjustment details are in the IHACPA </w:t>
      </w:r>
      <w:hyperlink r:id="rId39" w:history="1">
        <w:r w:rsidRPr="005E0B40">
          <w:rPr>
            <w:rStyle w:val="Hyperlink"/>
            <w:i/>
            <w:iCs/>
          </w:rPr>
          <w:t>National Pricing Model Technical Specifications 2026–27</w:t>
        </w:r>
      </w:hyperlink>
      <w:r w:rsidR="000C26DF">
        <w:t xml:space="preserve"> </w:t>
      </w:r>
      <w:r w:rsidR="005E0B40">
        <w:t>&lt;</w:t>
      </w:r>
      <w:r w:rsidR="005E0B40" w:rsidRPr="005E0B40">
        <w:t>https://www.ihacpa.gov.au/resources/national-pricing-model-technical-specifications-2026-27</w:t>
      </w:r>
      <w:r w:rsidR="005E0B40">
        <w:t>&gt;.</w:t>
      </w:r>
    </w:p>
    <w:p w14:paraId="4C36CA62" w14:textId="587CB5A4" w:rsidR="005B5CB9" w:rsidRDefault="005B5CB9" w:rsidP="005B5CB9">
      <w:pPr>
        <w:pStyle w:val="Heading2"/>
        <w:rPr>
          <w:lang w:eastAsia="en-AU"/>
        </w:rPr>
      </w:pPr>
      <w:bookmarkStart w:id="1767" w:name="_Toc234580325"/>
      <w:r w:rsidRPr="5B850891">
        <w:rPr>
          <w:lang w:eastAsia="en-AU"/>
        </w:rPr>
        <w:t>Avoidable hospital readmissions (AHRs)</w:t>
      </w:r>
      <w:bookmarkEnd w:id="1767"/>
    </w:p>
    <w:p w14:paraId="6CFEF99A" w14:textId="43215B88" w:rsidR="005B5CB9" w:rsidRDefault="005B5CB9" w:rsidP="00511707">
      <w:pPr>
        <w:pStyle w:val="Body"/>
      </w:pPr>
      <w:r>
        <w:t xml:space="preserve">Victoria monitors patients discharged home who are readmitted with the same diagnosis or a complication of the previous admission. The AHR NWAU growth-funding adjustment is calculated per </w:t>
      </w:r>
      <w:hyperlink w:anchor="_11.3_AHR_NWAU" w:history="1">
        <w:r w:rsidRPr="5B850891">
          <w:rPr>
            <w:rStyle w:val="Hyperlink"/>
          </w:rPr>
          <w:t>Section 11.3</w:t>
        </w:r>
      </w:hyperlink>
      <w:r>
        <w:t xml:space="preserve"> and applied as part of annual reconciliations. The indicative AHR baseline is at </w:t>
      </w:r>
      <w:hyperlink w:anchor="_17.2_Non-admitted_episode" w:history="1">
        <w:r>
          <w:rPr>
            <w:rStyle w:val="Hyperlink"/>
          </w:rPr>
          <w:t>Section 17.2</w:t>
        </w:r>
      </w:hyperlink>
      <w:r>
        <w:t xml:space="preserve">. Readmission conditions monitored include: pressure injury (7–14 days); infections including UTI, SSI, pneumonia and bloodstream infections (2–90 days); surgical complications (14–28 days); respiratory complications (21 days); venous thromboembolism (90 days); renal failure (21 days); medication complications (2–14 days); delirium (10 days); and cardiac complications (14–30 days). Full condition and interval detail is at </w:t>
      </w:r>
      <w:hyperlink w:anchor="_7.1_Sentinel_events" w:history="1">
        <w:r>
          <w:rPr>
            <w:rStyle w:val="Hyperlink"/>
          </w:rPr>
          <w:t>Sec</w:t>
        </w:r>
        <w:r>
          <w:rPr>
            <w:rStyle w:val="Hyperlink"/>
          </w:rPr>
          <w:t>t</w:t>
        </w:r>
        <w:r>
          <w:rPr>
            <w:rStyle w:val="Hyperlink"/>
          </w:rPr>
          <w:t>ion 7.1</w:t>
        </w:r>
      </w:hyperlink>
    </w:p>
    <w:p w14:paraId="0CBA6749" w14:textId="77777777" w:rsidR="005B5CB9" w:rsidRDefault="005B5CB9" w:rsidP="00511707">
      <w:pPr>
        <w:pStyle w:val="Body"/>
      </w:pPr>
    </w:p>
    <w:p w14:paraId="66190301" w14:textId="77777777" w:rsidR="005B5CB9" w:rsidRDefault="005B5CB9" w:rsidP="005B5CB9">
      <w:pPr>
        <w:spacing w:before="80" w:after="80"/>
      </w:pPr>
    </w:p>
    <w:p w14:paraId="68953300" w14:textId="1ED449DD" w:rsidR="005B5CB9" w:rsidRDefault="005B5CB9" w:rsidP="005B5CB9">
      <w:pPr>
        <w:pStyle w:val="Heading1"/>
      </w:pPr>
      <w:bookmarkStart w:id="1768" w:name="_8_Health_service"/>
      <w:bookmarkStart w:id="1769" w:name="_Toc100263283"/>
      <w:bookmarkStart w:id="1770" w:name="_Toc165961815"/>
      <w:bookmarkStart w:id="1771" w:name="_Ref199252855"/>
      <w:bookmarkStart w:id="1772" w:name="_Toc234580326"/>
      <w:bookmarkEnd w:id="1768"/>
      <w:r>
        <w:lastRenderedPageBreak/>
        <w:t xml:space="preserve">Health service </w:t>
      </w:r>
      <w:bookmarkEnd w:id="1769"/>
      <w:r>
        <w:t>requirements</w:t>
      </w:r>
      <w:bookmarkEnd w:id="1770"/>
      <w:bookmarkEnd w:id="1771"/>
      <w:bookmarkEnd w:id="1772"/>
      <w:r>
        <w:t xml:space="preserve"> </w:t>
      </w:r>
    </w:p>
    <w:p w14:paraId="3ED26795" w14:textId="77777777" w:rsidR="005B5CB9" w:rsidRPr="00547EDF" w:rsidRDefault="005B5CB9" w:rsidP="0034464A">
      <w:pPr>
        <w:pStyle w:val="Body"/>
      </w:pPr>
      <w:r>
        <w:t>Activity data and patient-level cost data form the evidence base for pricing, funding allocations, reconciliations and performance monitoring. Data quality and integrity is a fundamental obligation of funding.</w:t>
      </w:r>
    </w:p>
    <w:p w14:paraId="28DC9E24" w14:textId="776D9269" w:rsidR="005B5CB9" w:rsidRDefault="005B5CB9" w:rsidP="005B5CB9">
      <w:pPr>
        <w:pStyle w:val="Heading2"/>
      </w:pPr>
      <w:bookmarkStart w:id="1773" w:name="_Toc100263284"/>
      <w:bookmarkStart w:id="1774" w:name="_Toc165961816"/>
      <w:bookmarkStart w:id="1775" w:name="_Toc234580327"/>
      <w:r>
        <w:t xml:space="preserve">Patient </w:t>
      </w:r>
      <w:bookmarkEnd w:id="1773"/>
      <w:r>
        <w:t>costing</w:t>
      </w:r>
      <w:bookmarkEnd w:id="1774"/>
      <w:bookmarkEnd w:id="1775"/>
    </w:p>
    <w:p w14:paraId="32AB8AD8" w14:textId="77777777" w:rsidR="005B5CB9" w:rsidRDefault="005B5CB9" w:rsidP="0034464A">
      <w:pPr>
        <w:pStyle w:val="Body"/>
      </w:pPr>
      <w:r>
        <w:t>Victorian public hospitals must report patient-level cost data for all patients and all settings to the annual VCDC (Victorian Cost Data Collection) regardless of funding source. Covered settings: admitted (acute, subacute, palliative, rehabilitation, mental health); non-admitted contacts; home-based services; emergency activity; mental health community activity; radiotherapy; community health; and specialty programs.</w:t>
      </w:r>
    </w:p>
    <w:p w14:paraId="79FA4A0C" w14:textId="77777777" w:rsidR="005B5CB9" w:rsidRDefault="005B5CB9" w:rsidP="0034464A">
      <w:pPr>
        <w:pStyle w:val="Body"/>
      </w:pPr>
      <w:r>
        <w:t>Cost method: actual expenditure (regardless of funding source) allocated to patients’ actual interactions and events, including overhead allocation. Actual expenditure includes capital and depreciation, though these are excluded from the total cost of patient. All costs must reconcile with the general ledger and annual financial statements.</w:t>
      </w:r>
    </w:p>
    <w:p w14:paraId="11F79670" w14:textId="733BEFDE" w:rsidR="005B5CB9" w:rsidRDefault="005B5CB9" w:rsidP="0034464A">
      <w:pPr>
        <w:pStyle w:val="Body"/>
      </w:pPr>
      <w:r>
        <w:t xml:space="preserve">Health services must: adhere to VCDC specifications; follow the </w:t>
      </w:r>
      <w:r w:rsidRPr="00281C6C">
        <w:rPr>
          <w:i/>
          <w:iCs/>
        </w:rPr>
        <w:t>Australian Hospital Patient Costing Standards</w:t>
      </w:r>
      <w:r>
        <w:t xml:space="preserve"> (v4.2 or latest); maintain activity and costing systems; review allocation methodologies; reconcile financial and non-financial data to source systems; and review data quality before submission. VCDC data is submitted to the NHCDC (National Hospital Cost Data Collection) via IHACPA</w:t>
      </w:r>
      <w:r w:rsidR="00522B51">
        <w:t>.</w:t>
      </w:r>
    </w:p>
    <w:p w14:paraId="625305B3" w14:textId="4CC5C543" w:rsidR="005B5CB9" w:rsidRDefault="005B5CB9" w:rsidP="005B5CB9">
      <w:pPr>
        <w:pStyle w:val="Heading2"/>
        <w:rPr>
          <w:rFonts w:cs="Arial"/>
        </w:rPr>
      </w:pPr>
      <w:bookmarkStart w:id="1776" w:name="_Ref77709814"/>
      <w:bookmarkStart w:id="1777" w:name="_Toc100263285"/>
      <w:bookmarkStart w:id="1778" w:name="_Ref165637472"/>
      <w:bookmarkStart w:id="1779" w:name="_Ref165637495"/>
      <w:bookmarkStart w:id="1780" w:name="_Toc165961817"/>
      <w:bookmarkStart w:id="1781" w:name="_Toc234580328"/>
      <w:r>
        <w:t xml:space="preserve">Activity </w:t>
      </w:r>
      <w:bookmarkEnd w:id="1776"/>
      <w:bookmarkEnd w:id="1777"/>
      <w:r>
        <w:t>reporting</w:t>
      </w:r>
      <w:bookmarkEnd w:id="1778"/>
      <w:bookmarkEnd w:id="1779"/>
      <w:bookmarkEnd w:id="1780"/>
      <w:bookmarkEnd w:id="1781"/>
    </w:p>
    <w:p w14:paraId="260E9B04" w14:textId="77777777" w:rsidR="005B5CB9" w:rsidRPr="0034464A" w:rsidRDefault="005B5CB9" w:rsidP="0034464A">
      <w:pPr>
        <w:pStyle w:val="Body"/>
      </w:pPr>
      <w:r w:rsidRPr="0034464A">
        <w:t xml:space="preserve">It is a condition of funding that health services collect and report activity data that spans a range of healthcare settings, in accordance with the department’s health data collection specifications. These include, but are not limited to, the VAED, the VEMD, the Elective Surgery Information System, the VINAH MDS, AIMS and the Client Management Interface/Operational Data Store. </w:t>
      </w:r>
    </w:p>
    <w:p w14:paraId="195DAD04" w14:textId="77777777" w:rsidR="005B5CB9" w:rsidRDefault="005B5CB9" w:rsidP="0034464A">
      <w:pPr>
        <w:pStyle w:val="Body"/>
      </w:pPr>
      <w:r w:rsidRPr="0034464A">
        <w:t>For specifications for these data sets, visit</w:t>
      </w:r>
      <w:r>
        <w:t xml:space="preserve"> </w:t>
      </w:r>
      <w:hyperlink r:id="rId40" w:history="1">
        <w:r w:rsidRPr="007C40A4">
          <w:rPr>
            <w:rStyle w:val="Hyperlink"/>
          </w:rPr>
          <w:t>Health data standards and systems</w:t>
        </w:r>
      </w:hyperlink>
      <w:r>
        <w:t xml:space="preserve"> </w:t>
      </w:r>
      <w:r w:rsidRPr="008B043B">
        <w:t>&lt;</w:t>
      </w:r>
      <w:r w:rsidRPr="003D5EDC">
        <w:t>https://www.health.vic.gov.au/data-reporting/health-data-standards-and-systems</w:t>
      </w:r>
      <w:r w:rsidRPr="008B043B">
        <w:t>&gt;.</w:t>
      </w:r>
    </w:p>
    <w:p w14:paraId="39C32DA6" w14:textId="77777777" w:rsidR="005B5CB9" w:rsidRPr="00CF2535" w:rsidRDefault="005B5CB9" w:rsidP="005B5CB9">
      <w:pPr>
        <w:pStyle w:val="Body"/>
      </w:pPr>
      <w:r w:rsidRPr="00ED2E82">
        <w:t>NWAU cannot be calculated for incomplete or uncoded records.</w:t>
      </w:r>
    </w:p>
    <w:p w14:paraId="0FBAFFD1" w14:textId="52B38A19" w:rsidR="005B5CB9" w:rsidRDefault="005B5CB9" w:rsidP="005B5CB9">
      <w:pPr>
        <w:pStyle w:val="Heading3"/>
      </w:pPr>
      <w:bookmarkStart w:id="1782" w:name="_Toc234574611"/>
      <w:bookmarkStart w:id="1783" w:name="_Toc234578205"/>
      <w:bookmarkStart w:id="1784" w:name="_Toc234580329"/>
      <w:r>
        <w:t>Admitted episodes</w:t>
      </w:r>
      <w:bookmarkEnd w:id="1782"/>
      <w:bookmarkEnd w:id="1783"/>
      <w:bookmarkEnd w:id="1784"/>
    </w:p>
    <w:p w14:paraId="5466C9DD" w14:textId="77777777" w:rsidR="00281C6C" w:rsidRDefault="005B5CB9" w:rsidP="0034464A">
      <w:pPr>
        <w:pStyle w:val="Body"/>
      </w:pPr>
      <w:r>
        <w:t xml:space="preserve">An admitted patient undergoes a formal hospital admission process. The VAED criteria for reporting </w:t>
      </w:r>
      <w:r w:rsidR="009D05A6">
        <w:t>2026–27</w:t>
      </w:r>
      <w:r>
        <w:t xml:space="preserve"> </w:t>
      </w:r>
      <w:proofErr w:type="gramStart"/>
      <w:r>
        <w:t>distinguishes</w:t>
      </w:r>
      <w:proofErr w:type="gramEnd"/>
      <w:r>
        <w:t xml:space="preserve"> admitted from non-admitted patients. Admission practices must not use insurance status, financial status, place of residence, public/private election intent, or Medicare-ineligible asylum seeker status as basis for priority. </w:t>
      </w:r>
    </w:p>
    <w:p w14:paraId="13F4A57B" w14:textId="01FCA586" w:rsidR="005B5CB9" w:rsidRPr="0091695C" w:rsidRDefault="005B5CB9" w:rsidP="0034464A">
      <w:pPr>
        <w:pStyle w:val="Body"/>
      </w:pPr>
      <w:r>
        <w:t>Health services must: ensure written public/private election at admission; identify ineligible persons in the VAED; report Medicare-ineligible asylum seekers with account class MF; verify interstate patient residence; and ask all patients about Aboriginal or Torres Strait Islander background, Indigenous status identification is mandatory in the VAED.</w:t>
      </w:r>
    </w:p>
    <w:p w14:paraId="2B7D2E23" w14:textId="77777777" w:rsidR="005B5CB9" w:rsidRPr="00773FB4" w:rsidRDefault="005B5CB9" w:rsidP="005B5CB9"/>
    <w:p w14:paraId="7C5FAF01" w14:textId="6B23EE7A" w:rsidR="005B5CB9" w:rsidRDefault="005B5CB9" w:rsidP="005B5CB9">
      <w:pPr>
        <w:pStyle w:val="Heading3"/>
      </w:pPr>
      <w:bookmarkStart w:id="1785" w:name="_Toc77588919"/>
      <w:bookmarkStart w:id="1786" w:name="_Toc234574612"/>
      <w:bookmarkStart w:id="1787" w:name="_Toc234578206"/>
      <w:bookmarkStart w:id="1788" w:name="_Toc234580330"/>
      <w:r>
        <w:lastRenderedPageBreak/>
        <w:t>Care type</w:t>
      </w:r>
      <w:bookmarkEnd w:id="1785"/>
      <w:bookmarkEnd w:id="1786"/>
      <w:bookmarkEnd w:id="1787"/>
      <w:bookmarkEnd w:id="1788"/>
    </w:p>
    <w:p w14:paraId="7DC9C5B3" w14:textId="4DEEF617" w:rsidR="005B5CB9" w:rsidRDefault="005B5CB9" w:rsidP="0034464A">
      <w:pPr>
        <w:pStyle w:val="Body"/>
      </w:pPr>
      <w:r>
        <w:t>Care type reflects the primary clinical purpose or treatment goal during an admitted episode. Assign one care type per episode based on primary purpose. National METeOR definitions apply; refer to the VAED manual for code references.</w:t>
      </w:r>
      <w:r w:rsidR="009A647C">
        <w:t xml:space="preserve"> For more information</w:t>
      </w:r>
      <w:r w:rsidR="008C6CD5">
        <w:t xml:space="preserve"> and access to the manual</w:t>
      </w:r>
      <w:r w:rsidR="009A647C">
        <w:t xml:space="preserve">, see </w:t>
      </w:r>
      <w:hyperlink r:id="rId41" w:history="1">
        <w:r w:rsidR="008C6CD5" w:rsidRPr="008C6CD5">
          <w:rPr>
            <w:rStyle w:val="Hyperlink"/>
          </w:rPr>
          <w:t>VAED</w:t>
        </w:r>
      </w:hyperlink>
      <w:r w:rsidR="008C6CD5">
        <w:t xml:space="preserve"> &lt;</w:t>
      </w:r>
      <w:r w:rsidR="008C6CD5" w:rsidRPr="008C6CD5">
        <w:t>https://www.health.vic.gov.au/data-reporting/victorian-admitted-episodes-dataset</w:t>
      </w:r>
      <w:r w:rsidR="008C6CD5">
        <w:t>&gt;.</w:t>
      </w:r>
    </w:p>
    <w:p w14:paraId="40B26C79" w14:textId="2BBC4C73" w:rsidR="005B5CB9" w:rsidRPr="00A05AD8" w:rsidRDefault="005B5CB9" w:rsidP="005B5CB9">
      <w:pPr>
        <w:pStyle w:val="Heading3"/>
      </w:pPr>
      <w:bookmarkStart w:id="1789" w:name="_Toc234574613"/>
      <w:bookmarkStart w:id="1790" w:name="_Toc234578207"/>
      <w:bookmarkStart w:id="1791" w:name="_Toc234580331"/>
      <w:r>
        <w:t>Emergency services activity</w:t>
      </w:r>
      <w:bookmarkEnd w:id="1789"/>
      <w:bookmarkEnd w:id="1790"/>
      <w:bookmarkEnd w:id="1791"/>
    </w:p>
    <w:p w14:paraId="17F82EF5" w14:textId="77777777" w:rsidR="005B5CB9" w:rsidRDefault="005B5CB9" w:rsidP="0034464A">
      <w:pPr>
        <w:pStyle w:val="Body"/>
      </w:pPr>
      <w:r>
        <w:t>ED care is reported to the VEMD. SRHS and other services providing urgent care or unplanned emergency medical treatment report to AIMS Urgent Care Centre form. MBS-billed UCC activity must be reported as such.</w:t>
      </w:r>
    </w:p>
    <w:p w14:paraId="272E2E0B" w14:textId="6364F61C" w:rsidR="005B5CB9" w:rsidRPr="00736CC1" w:rsidRDefault="005B5CB9" w:rsidP="005B5CB9">
      <w:pPr>
        <w:pStyle w:val="Heading3"/>
      </w:pPr>
      <w:bookmarkStart w:id="1792" w:name="_Toc234574614"/>
      <w:bookmarkStart w:id="1793" w:name="_Toc234578208"/>
      <w:bookmarkStart w:id="1794" w:name="_Toc234580332"/>
      <w:r>
        <w:t>Subacute and non-acute care activity</w:t>
      </w:r>
      <w:bookmarkEnd w:id="1792"/>
      <w:bookmarkEnd w:id="1793"/>
      <w:bookmarkEnd w:id="1794"/>
    </w:p>
    <w:p w14:paraId="31A928F3" w14:textId="32F8B6A4" w:rsidR="005B5CB9" w:rsidRDefault="005B5CB9" w:rsidP="0034464A">
      <w:pPr>
        <w:pStyle w:val="Body"/>
      </w:pPr>
      <w:r>
        <w:t xml:space="preserve">All metropolitan, regional and subregional health services are delineated for rehabilitation and </w:t>
      </w:r>
      <w:r w:rsidR="00BE4891" w:rsidRPr="002E3429">
        <w:t>geriatric evaluation and management</w:t>
      </w:r>
      <w:r w:rsidR="00BE4891">
        <w:t xml:space="preserve"> (GEM) </w:t>
      </w:r>
      <w:r>
        <w:t>services per the 2013 subacute planning framework. Level 2 local health services can provide and report maintenance care. AN-SNAP v5.0 is used in 2026–27; psychogeriatric AN-SNAP classes are not used in Victoria in 2026–27.</w:t>
      </w:r>
    </w:p>
    <w:p w14:paraId="4194BAA9" w14:textId="1861ECDC" w:rsidR="005B5CB9" w:rsidRDefault="005B5CB9" w:rsidP="0034464A">
      <w:pPr>
        <w:pStyle w:val="Body"/>
      </w:pPr>
      <w:r>
        <w:t xml:space="preserve">Home-based </w:t>
      </w:r>
      <w:r w:rsidR="00BE4891">
        <w:t>GEM</w:t>
      </w:r>
      <w:r w:rsidR="00BE4891">
        <w:t xml:space="preserve"> </w:t>
      </w:r>
      <w:r>
        <w:t>and rehabilitation-type services can also be delivered through the HIP non-admitted platform, with activity reported in the VINAH MDS.</w:t>
      </w:r>
    </w:p>
    <w:p w14:paraId="4215CC56" w14:textId="1D3EBB69" w:rsidR="007330D1" w:rsidRDefault="005B5CB9" w:rsidP="0034464A">
      <w:pPr>
        <w:pStyle w:val="Body"/>
      </w:pPr>
      <w:r>
        <w:t xml:space="preserve">Where admitted palliative care services are delivered in the patient’s home, health services must ensure that all obligations, standards and requirements for admitted palliative care contained in the </w:t>
      </w:r>
      <w:r w:rsidR="006D5696">
        <w:t>Policy guide</w:t>
      </w:r>
      <w:r>
        <w:t xml:space="preserve"> are met.</w:t>
      </w:r>
    </w:p>
    <w:p w14:paraId="30A695E8" w14:textId="1B73FD16" w:rsidR="005B5CB9" w:rsidRPr="00D26196" w:rsidRDefault="005B5CB9" w:rsidP="005B5CB9">
      <w:pPr>
        <w:pStyle w:val="Heading3"/>
      </w:pPr>
      <w:bookmarkStart w:id="1795" w:name="_Toc234574615"/>
      <w:bookmarkStart w:id="1796" w:name="_Toc234578209"/>
      <w:bookmarkStart w:id="1797" w:name="_Toc234580333"/>
      <w:r>
        <w:t>Non- admitted activity</w:t>
      </w:r>
      <w:bookmarkEnd w:id="1795"/>
      <w:bookmarkEnd w:id="1796"/>
      <w:bookmarkEnd w:id="1797"/>
    </w:p>
    <w:p w14:paraId="634B1737" w14:textId="29017C68" w:rsidR="005B5CB9" w:rsidRDefault="005B5CB9" w:rsidP="0034464A">
      <w:pPr>
        <w:pStyle w:val="Body"/>
      </w:pPr>
      <w:r>
        <w:t>Patient-level data is required for NWAU calculation; aggregate AIMS data is not used for target achievement. Block-funded health services report aggregate non-admitted data using AIMS S10, S11, S11A, S12 per the AIMS manual. All public health services must register non-admitted clinics in the NACMS via HealthCollect. The unit of count is the ‘service event’; multiple contacts on the same day may be bundled per Tier 2 counting rules.</w:t>
      </w:r>
    </w:p>
    <w:p w14:paraId="52C687E0" w14:textId="77777777" w:rsidR="005B5CB9" w:rsidRDefault="005B5CB9" w:rsidP="005B5CB9">
      <w:pPr>
        <w:spacing w:before="80" w:after="80"/>
      </w:pPr>
    </w:p>
    <w:p w14:paraId="255786A0" w14:textId="77777777" w:rsidR="005B5CB9" w:rsidRDefault="005B5CB9" w:rsidP="005B5CB9">
      <w:pPr>
        <w:spacing w:before="80" w:after="80"/>
      </w:pPr>
    </w:p>
    <w:p w14:paraId="29D47155" w14:textId="77777777" w:rsidR="005B5CB9" w:rsidRDefault="005B5CB9" w:rsidP="005B5CB9">
      <w:pPr>
        <w:spacing w:before="80" w:after="80"/>
      </w:pPr>
    </w:p>
    <w:p w14:paraId="560C8F1D" w14:textId="77777777" w:rsidR="005B5CB9" w:rsidRDefault="005B5CB9" w:rsidP="005B5CB9">
      <w:pPr>
        <w:spacing w:before="80" w:after="80"/>
      </w:pPr>
    </w:p>
    <w:p w14:paraId="3ADB1F15" w14:textId="77777777" w:rsidR="005B5CB9" w:rsidRDefault="005B5CB9" w:rsidP="005B5CB9">
      <w:pPr>
        <w:spacing w:before="80" w:after="80"/>
      </w:pPr>
    </w:p>
    <w:p w14:paraId="0344306A" w14:textId="77777777" w:rsidR="005B5CB9" w:rsidRDefault="005B5CB9" w:rsidP="005B5CB9">
      <w:pPr>
        <w:spacing w:before="80" w:after="80"/>
      </w:pPr>
    </w:p>
    <w:p w14:paraId="6A02066E" w14:textId="77777777" w:rsidR="005B5CB9" w:rsidRDefault="005B5CB9" w:rsidP="005B5CB9">
      <w:pPr>
        <w:spacing w:before="80" w:after="80"/>
      </w:pPr>
    </w:p>
    <w:p w14:paraId="6ABDA571" w14:textId="77777777" w:rsidR="005B5CB9" w:rsidRDefault="005B5CB9" w:rsidP="005B5CB9">
      <w:pPr>
        <w:spacing w:before="80" w:after="80"/>
      </w:pPr>
    </w:p>
    <w:p w14:paraId="0880DE15" w14:textId="77777777" w:rsidR="005B5CB9" w:rsidRDefault="005B5CB9" w:rsidP="005B5CB9">
      <w:pPr>
        <w:spacing w:before="80" w:after="80"/>
      </w:pPr>
    </w:p>
    <w:p w14:paraId="52D49309" w14:textId="77777777" w:rsidR="005B5CB9" w:rsidRDefault="005B5CB9" w:rsidP="005B5CB9">
      <w:pPr>
        <w:spacing w:before="80" w:after="80"/>
      </w:pPr>
    </w:p>
    <w:p w14:paraId="40199E14" w14:textId="2D8D0EF9" w:rsidR="005B5CB9" w:rsidRDefault="0034464A" w:rsidP="0034464A">
      <w:pPr>
        <w:pStyle w:val="Heading1"/>
      </w:pPr>
      <w:bookmarkStart w:id="1798" w:name="_Toc418694969"/>
      <w:bookmarkStart w:id="1799" w:name="_Toc6215623"/>
      <w:bookmarkStart w:id="1800" w:name="_Ref9935718"/>
      <w:bookmarkStart w:id="1801" w:name="_Ref9935756"/>
      <w:bookmarkStart w:id="1802" w:name="_Toc10199696"/>
      <w:bookmarkStart w:id="1803" w:name="_Toc52892596"/>
      <w:bookmarkStart w:id="1804" w:name="_Toc100263328"/>
      <w:bookmarkStart w:id="1805" w:name="_Toc167651254"/>
      <w:bookmarkStart w:id="1806" w:name="_Toc167651255"/>
      <w:bookmarkStart w:id="1807" w:name="_Toc110949972"/>
      <w:bookmarkStart w:id="1808" w:name="_Toc110949973"/>
      <w:bookmarkStart w:id="1809" w:name="_Toc484461856"/>
      <w:bookmarkStart w:id="1810" w:name="_Toc484461859"/>
      <w:bookmarkStart w:id="1811" w:name="_Toc484461861"/>
      <w:bookmarkStart w:id="1812" w:name="_Toc77711254"/>
      <w:bookmarkStart w:id="1813" w:name="_Toc484461866"/>
      <w:bookmarkStart w:id="1814" w:name="_Toc37934578"/>
      <w:bookmarkStart w:id="1815" w:name="_Toc10144528"/>
      <w:bookmarkStart w:id="1816" w:name="_Toc10144798"/>
      <w:bookmarkStart w:id="1817" w:name="_Toc10145068"/>
      <w:bookmarkStart w:id="1818" w:name="_Toc10199091"/>
      <w:bookmarkStart w:id="1819" w:name="_Toc10199360"/>
      <w:bookmarkStart w:id="1820" w:name="_Toc10199629"/>
      <w:bookmarkStart w:id="1821" w:name="_Toc10459884"/>
      <w:bookmarkStart w:id="1822" w:name="_Toc8919126"/>
      <w:bookmarkStart w:id="1823" w:name="_Toc8930643"/>
      <w:bookmarkStart w:id="1824" w:name="_Toc8931029"/>
      <w:bookmarkStart w:id="1825" w:name="_Toc8931373"/>
      <w:bookmarkStart w:id="1826" w:name="_Toc8931754"/>
      <w:bookmarkStart w:id="1827" w:name="_Toc9441702"/>
      <w:bookmarkStart w:id="1828" w:name="_Toc8919127"/>
      <w:bookmarkStart w:id="1829" w:name="_Toc8930644"/>
      <w:bookmarkStart w:id="1830" w:name="_Toc8931030"/>
      <w:bookmarkStart w:id="1831" w:name="_Toc8931374"/>
      <w:bookmarkStart w:id="1832" w:name="_Toc8931755"/>
      <w:bookmarkStart w:id="1833" w:name="_Toc9441703"/>
      <w:bookmarkStart w:id="1834" w:name="_Toc165961830"/>
      <w:bookmarkStart w:id="1835" w:name="_Toc234580334"/>
      <w:bookmarkEnd w:id="1521"/>
      <w:bookmarkEnd w:id="1522"/>
      <w:bookmarkEnd w:id="1523"/>
      <w:bookmarkEnd w:id="1757"/>
      <w:bookmarkEnd w:id="1758"/>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lastRenderedPageBreak/>
        <w:t>N</w:t>
      </w:r>
      <w:r w:rsidR="005B5CB9">
        <w:t>ational funding model: classifications and payment flows</w:t>
      </w:r>
      <w:bookmarkEnd w:id="1835"/>
      <w:r w:rsidR="005B5CB9">
        <w:t xml:space="preserve"> </w:t>
      </w:r>
      <w:bookmarkEnd w:id="1834"/>
    </w:p>
    <w:p w14:paraId="31D24EFE" w14:textId="6C37EFEA" w:rsidR="005B5CB9" w:rsidRPr="003F6A02" w:rsidRDefault="005B5CB9" w:rsidP="005B5CB9">
      <w:pPr>
        <w:pStyle w:val="Heading2"/>
      </w:pPr>
      <w:bookmarkStart w:id="1836" w:name="_9.1_National_classifications"/>
      <w:bookmarkStart w:id="1837" w:name="_Ref199252060"/>
      <w:bookmarkStart w:id="1838" w:name="_Ref199252665"/>
      <w:bookmarkStart w:id="1839" w:name="_Ref165634918"/>
      <w:bookmarkStart w:id="1840" w:name="_Ref165634980"/>
      <w:bookmarkStart w:id="1841" w:name="_Ref165637179"/>
      <w:bookmarkStart w:id="1842" w:name="_Ref165637201"/>
      <w:bookmarkStart w:id="1843" w:name="_Toc165961831"/>
      <w:bookmarkStart w:id="1844" w:name="_Toc234580335"/>
      <w:bookmarkEnd w:id="1836"/>
      <w:r>
        <w:t>National classifications</w:t>
      </w:r>
      <w:bookmarkEnd w:id="1837"/>
      <w:bookmarkEnd w:id="1838"/>
      <w:r>
        <w:t xml:space="preserve"> </w:t>
      </w:r>
      <w:r w:rsidR="009D05A6">
        <w:t>2026–27</w:t>
      </w:r>
      <w:bookmarkEnd w:id="1844"/>
    </w:p>
    <w:p w14:paraId="5D210363" w14:textId="519E876D" w:rsidR="00335DD4" w:rsidRDefault="005B5CB9" w:rsidP="00335DD4">
      <w:pPr>
        <w:pStyle w:val="Tablecaption"/>
      </w:pPr>
      <w:bookmarkStart w:id="1845" w:name="_Toc232527223"/>
      <w:r>
        <w:t xml:space="preserve">Table </w:t>
      </w:r>
      <w:r>
        <w:fldChar w:fldCharType="begin"/>
      </w:r>
      <w:r>
        <w:instrText>SEQ Table \* ARABIC</w:instrText>
      </w:r>
      <w:r>
        <w:fldChar w:fldCharType="separate"/>
      </w:r>
      <w:r>
        <w:rPr>
          <w:noProof/>
        </w:rPr>
        <w:t>7</w:t>
      </w:r>
      <w:r>
        <w:fldChar w:fldCharType="end"/>
      </w:r>
      <w:r w:rsidR="00282DB3">
        <w:t>.</w:t>
      </w:r>
      <w:r>
        <w:t xml:space="preserve"> National classification</w:t>
      </w:r>
      <w:bookmarkEnd w:id="1845"/>
    </w:p>
    <w:tbl>
      <w:tblPr>
        <w:tblStyle w:val="GridTable4-Accent1"/>
        <w:tblW w:w="0" w:type="auto"/>
        <w:tblLook w:val="04A0" w:firstRow="1" w:lastRow="0" w:firstColumn="1" w:lastColumn="0" w:noHBand="0" w:noVBand="1"/>
      </w:tblPr>
      <w:tblGrid>
        <w:gridCol w:w="4644"/>
        <w:gridCol w:w="4644"/>
      </w:tblGrid>
      <w:tr w:rsidR="00335DD4" w:rsidRPr="00EE3F7D" w14:paraId="7C3016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97B6E6A" w14:textId="04AD85E0" w:rsidR="00335DD4" w:rsidRPr="00335DD4" w:rsidRDefault="00335DD4" w:rsidP="007F6FC4">
            <w:pPr>
              <w:spacing w:after="80" w:line="240" w:lineRule="auto"/>
              <w:rPr>
                <w:sz w:val="18"/>
                <w:szCs w:val="18"/>
              </w:rPr>
            </w:pPr>
            <w:r w:rsidRPr="00335DD4">
              <w:rPr>
                <w:sz w:val="18"/>
                <w:szCs w:val="18"/>
              </w:rPr>
              <w:t>Service stream</w:t>
            </w:r>
          </w:p>
        </w:tc>
        <w:tc>
          <w:tcPr>
            <w:tcW w:w="4644" w:type="dxa"/>
          </w:tcPr>
          <w:p w14:paraId="7F47AFCC" w14:textId="5E4E5DAA" w:rsidR="00335DD4" w:rsidRPr="00335DD4" w:rsidRDefault="00335DD4" w:rsidP="007F6FC4">
            <w:pPr>
              <w:spacing w:after="8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335DD4">
              <w:rPr>
                <w:sz w:val="18"/>
                <w:szCs w:val="18"/>
              </w:rPr>
              <w:t>Classification system</w:t>
            </w:r>
          </w:p>
        </w:tc>
      </w:tr>
      <w:tr w:rsidR="00335DD4" w:rsidRPr="00EE3F7D" w14:paraId="50E4FD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BD83978" w14:textId="72F37B58" w:rsidR="00335DD4" w:rsidRPr="00335DD4" w:rsidRDefault="00335DD4" w:rsidP="007F6FC4">
            <w:pPr>
              <w:spacing w:after="80" w:line="240" w:lineRule="auto"/>
              <w:rPr>
                <w:sz w:val="18"/>
                <w:szCs w:val="18"/>
              </w:rPr>
            </w:pPr>
            <w:r w:rsidRPr="00335DD4">
              <w:rPr>
                <w:color w:val="000000" w:themeColor="text1"/>
                <w:sz w:val="18"/>
                <w:szCs w:val="18"/>
              </w:rPr>
              <w:t>Admitted acute</w:t>
            </w:r>
          </w:p>
        </w:tc>
        <w:tc>
          <w:tcPr>
            <w:tcW w:w="4644" w:type="dxa"/>
          </w:tcPr>
          <w:p w14:paraId="11219886" w14:textId="1D69BB7A" w:rsidR="00335DD4" w:rsidRPr="00335DD4" w:rsidRDefault="00335DD4" w:rsidP="007F6FC4">
            <w:pPr>
              <w:spacing w:after="8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35DD4">
              <w:rPr>
                <w:color w:val="000000" w:themeColor="text1"/>
                <w:sz w:val="18"/>
                <w:szCs w:val="18"/>
              </w:rPr>
              <w:t>ICD-10-AM/ACHI/</w:t>
            </w:r>
            <w:proofErr w:type="gramStart"/>
            <w:r w:rsidRPr="00335DD4">
              <w:rPr>
                <w:color w:val="000000" w:themeColor="text1"/>
                <w:sz w:val="18"/>
                <w:szCs w:val="18"/>
              </w:rPr>
              <w:t>ACS</w:t>
            </w:r>
            <w:proofErr w:type="gramEnd"/>
            <w:r w:rsidRPr="00335DD4">
              <w:rPr>
                <w:color w:val="000000" w:themeColor="text1"/>
                <w:sz w:val="18"/>
                <w:szCs w:val="18"/>
              </w:rPr>
              <w:t xml:space="preserve"> 13th Edition; AR-DRG v12.0</w:t>
            </w:r>
          </w:p>
        </w:tc>
      </w:tr>
      <w:tr w:rsidR="00335DD4" w:rsidRPr="00EE3F7D" w14:paraId="66E725B0" w14:textId="77777777">
        <w:tc>
          <w:tcPr>
            <w:cnfStyle w:val="001000000000" w:firstRow="0" w:lastRow="0" w:firstColumn="1" w:lastColumn="0" w:oddVBand="0" w:evenVBand="0" w:oddHBand="0" w:evenHBand="0" w:firstRowFirstColumn="0" w:firstRowLastColumn="0" w:lastRowFirstColumn="0" w:lastRowLastColumn="0"/>
            <w:tcW w:w="4644" w:type="dxa"/>
          </w:tcPr>
          <w:p w14:paraId="7BE4F478" w14:textId="3D25C13D" w:rsidR="00335DD4" w:rsidRPr="00335DD4" w:rsidRDefault="00335DD4" w:rsidP="007F6FC4">
            <w:pPr>
              <w:spacing w:after="80" w:line="240" w:lineRule="auto"/>
              <w:rPr>
                <w:sz w:val="18"/>
                <w:szCs w:val="18"/>
              </w:rPr>
            </w:pPr>
            <w:r w:rsidRPr="00335DD4">
              <w:rPr>
                <w:color w:val="000000" w:themeColor="text1"/>
                <w:sz w:val="18"/>
                <w:szCs w:val="18"/>
              </w:rPr>
              <w:t>Admitted subacute and non-acute</w:t>
            </w:r>
          </w:p>
        </w:tc>
        <w:tc>
          <w:tcPr>
            <w:tcW w:w="4644" w:type="dxa"/>
          </w:tcPr>
          <w:p w14:paraId="19838DE4" w14:textId="1627A8F4" w:rsidR="00335DD4" w:rsidRPr="00335DD4" w:rsidRDefault="00335DD4" w:rsidP="007F6FC4">
            <w:pPr>
              <w:spacing w:after="8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5DD4">
              <w:rPr>
                <w:color w:val="000000" w:themeColor="text1"/>
                <w:sz w:val="18"/>
                <w:szCs w:val="18"/>
              </w:rPr>
              <w:t>AN-SNAP v5.0</w:t>
            </w:r>
          </w:p>
        </w:tc>
      </w:tr>
      <w:tr w:rsidR="00335DD4" w:rsidRPr="00EE3F7D" w14:paraId="396BC7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C9DC42D" w14:textId="4F76755D" w:rsidR="00335DD4" w:rsidRPr="00335DD4" w:rsidRDefault="00335DD4" w:rsidP="007F6FC4">
            <w:pPr>
              <w:spacing w:after="80" w:line="240" w:lineRule="auto"/>
              <w:rPr>
                <w:sz w:val="18"/>
                <w:szCs w:val="18"/>
              </w:rPr>
            </w:pPr>
            <w:r w:rsidRPr="00335DD4">
              <w:rPr>
                <w:color w:val="000000" w:themeColor="text1"/>
                <w:sz w:val="18"/>
                <w:szCs w:val="18"/>
              </w:rPr>
              <w:t>Admitted and community mental health</w:t>
            </w:r>
          </w:p>
        </w:tc>
        <w:tc>
          <w:tcPr>
            <w:tcW w:w="4644" w:type="dxa"/>
          </w:tcPr>
          <w:p w14:paraId="5B7BDA1F" w14:textId="12C7DA67" w:rsidR="00335DD4" w:rsidRPr="00335DD4" w:rsidRDefault="00335DD4" w:rsidP="007F6FC4">
            <w:pPr>
              <w:spacing w:after="8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35DD4">
              <w:rPr>
                <w:color w:val="000000" w:themeColor="text1"/>
                <w:sz w:val="18"/>
                <w:szCs w:val="18"/>
              </w:rPr>
              <w:t>Australian Mental Health Care Classification v1.1</w:t>
            </w:r>
          </w:p>
        </w:tc>
      </w:tr>
      <w:tr w:rsidR="00335DD4" w:rsidRPr="00EE3F7D" w14:paraId="0E69CCAC" w14:textId="77777777">
        <w:tc>
          <w:tcPr>
            <w:cnfStyle w:val="001000000000" w:firstRow="0" w:lastRow="0" w:firstColumn="1" w:lastColumn="0" w:oddVBand="0" w:evenVBand="0" w:oddHBand="0" w:evenHBand="0" w:firstRowFirstColumn="0" w:firstRowLastColumn="0" w:lastRowFirstColumn="0" w:lastRowLastColumn="0"/>
            <w:tcW w:w="4644" w:type="dxa"/>
          </w:tcPr>
          <w:p w14:paraId="76C03E39" w14:textId="1197AF25" w:rsidR="00335DD4" w:rsidRPr="00335DD4" w:rsidRDefault="00335DD4" w:rsidP="007F6FC4">
            <w:pPr>
              <w:spacing w:after="80" w:line="240" w:lineRule="auto"/>
              <w:rPr>
                <w:sz w:val="18"/>
                <w:szCs w:val="18"/>
              </w:rPr>
            </w:pPr>
            <w:r w:rsidRPr="00335DD4">
              <w:rPr>
                <w:color w:val="000000" w:themeColor="text1"/>
                <w:sz w:val="18"/>
                <w:szCs w:val="18"/>
              </w:rPr>
              <w:t>Non-admitted</w:t>
            </w:r>
          </w:p>
        </w:tc>
        <w:tc>
          <w:tcPr>
            <w:tcW w:w="4644" w:type="dxa"/>
          </w:tcPr>
          <w:p w14:paraId="481FFE41" w14:textId="0286BF1A" w:rsidR="00335DD4" w:rsidRPr="00335DD4" w:rsidRDefault="00335DD4" w:rsidP="007F6FC4">
            <w:pPr>
              <w:spacing w:after="8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5DD4">
              <w:rPr>
                <w:color w:val="000000" w:themeColor="text1"/>
                <w:sz w:val="18"/>
                <w:szCs w:val="18"/>
              </w:rPr>
              <w:t>Tier 2 Non-Admitted Services Classification v10.0</w:t>
            </w:r>
          </w:p>
        </w:tc>
      </w:tr>
      <w:tr w:rsidR="00335DD4" w:rsidRPr="00EE3F7D" w14:paraId="671701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BDD99C9" w14:textId="5BC215FE" w:rsidR="00335DD4" w:rsidRPr="00335DD4" w:rsidRDefault="00335DD4" w:rsidP="007F6FC4">
            <w:pPr>
              <w:spacing w:after="80" w:line="240" w:lineRule="auto"/>
              <w:rPr>
                <w:sz w:val="18"/>
                <w:szCs w:val="18"/>
              </w:rPr>
            </w:pPr>
            <w:r w:rsidRPr="00335DD4">
              <w:rPr>
                <w:color w:val="000000" w:themeColor="text1"/>
                <w:sz w:val="18"/>
                <w:szCs w:val="18"/>
              </w:rPr>
              <w:t>Emergency department</w:t>
            </w:r>
          </w:p>
        </w:tc>
        <w:tc>
          <w:tcPr>
            <w:tcW w:w="4644" w:type="dxa"/>
          </w:tcPr>
          <w:p w14:paraId="4F616971" w14:textId="0EC529E6" w:rsidR="00335DD4" w:rsidRPr="00335DD4" w:rsidRDefault="00335DD4" w:rsidP="007F6FC4">
            <w:pPr>
              <w:spacing w:after="8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35DD4">
              <w:rPr>
                <w:color w:val="000000" w:themeColor="text1"/>
                <w:sz w:val="18"/>
                <w:szCs w:val="18"/>
              </w:rPr>
              <w:t>Australian Emergency Care Classification v1.1</w:t>
            </w:r>
          </w:p>
        </w:tc>
      </w:tr>
      <w:tr w:rsidR="00335DD4" w:rsidRPr="00EE3F7D" w14:paraId="6333C620" w14:textId="77777777">
        <w:tc>
          <w:tcPr>
            <w:cnfStyle w:val="001000000000" w:firstRow="0" w:lastRow="0" w:firstColumn="1" w:lastColumn="0" w:oddVBand="0" w:evenVBand="0" w:oddHBand="0" w:evenHBand="0" w:firstRowFirstColumn="0" w:firstRowLastColumn="0" w:lastRowFirstColumn="0" w:lastRowLastColumn="0"/>
            <w:tcW w:w="4644" w:type="dxa"/>
          </w:tcPr>
          <w:p w14:paraId="789F53BE" w14:textId="3B570C8F" w:rsidR="00335DD4" w:rsidRPr="00335DD4" w:rsidRDefault="00335DD4" w:rsidP="007F6FC4">
            <w:pPr>
              <w:spacing w:after="80" w:line="240" w:lineRule="auto"/>
              <w:rPr>
                <w:sz w:val="18"/>
                <w:szCs w:val="18"/>
              </w:rPr>
            </w:pPr>
            <w:r w:rsidRPr="00335DD4">
              <w:rPr>
                <w:color w:val="000000" w:themeColor="text1"/>
                <w:sz w:val="18"/>
                <w:szCs w:val="18"/>
              </w:rPr>
              <w:t>Emergency services</w:t>
            </w:r>
          </w:p>
        </w:tc>
        <w:tc>
          <w:tcPr>
            <w:tcW w:w="4644" w:type="dxa"/>
          </w:tcPr>
          <w:p w14:paraId="135C9E5B" w14:textId="5E403854" w:rsidR="00335DD4" w:rsidRPr="00335DD4" w:rsidRDefault="00335DD4" w:rsidP="007F6FC4">
            <w:pPr>
              <w:spacing w:after="8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35DD4">
              <w:rPr>
                <w:color w:val="000000" w:themeColor="text1"/>
                <w:sz w:val="18"/>
                <w:szCs w:val="18"/>
              </w:rPr>
              <w:t>Urgency Disposition Groups Classification v1.3</w:t>
            </w:r>
          </w:p>
        </w:tc>
      </w:tr>
    </w:tbl>
    <w:p w14:paraId="16CC5236" w14:textId="2C6A7558" w:rsidR="005B5CB9" w:rsidRPr="003F6A02" w:rsidRDefault="008769EF" w:rsidP="005B5CB9">
      <w:pPr>
        <w:spacing w:before="80" w:after="80"/>
      </w:pPr>
      <w:r>
        <w:t xml:space="preserve">For more </w:t>
      </w:r>
      <w:r w:rsidR="005B5CB9">
        <w:t>information</w:t>
      </w:r>
      <w:r w:rsidR="00F72960">
        <w:t xml:space="preserve">, see </w:t>
      </w:r>
      <w:hyperlink r:id="rId42" w:history="1">
        <w:r w:rsidR="00F72960" w:rsidRPr="00F72960">
          <w:rPr>
            <w:rStyle w:val="Hyperlink"/>
          </w:rPr>
          <w:t>IHACPA Classification</w:t>
        </w:r>
      </w:hyperlink>
      <w:r w:rsidR="005B5CB9">
        <w:t xml:space="preserve"> </w:t>
      </w:r>
      <w:r w:rsidR="00A707E7">
        <w:t>&lt;</w:t>
      </w:r>
      <w:r w:rsidR="005B5CB9">
        <w:t>ihacpa.gov.au/</w:t>
      </w:r>
      <w:proofErr w:type="gramStart"/>
      <w:r w:rsidR="005B5CB9">
        <w:t>health-care</w:t>
      </w:r>
      <w:proofErr w:type="gramEnd"/>
      <w:r w:rsidR="005B5CB9">
        <w:t>/classification</w:t>
      </w:r>
      <w:r w:rsidR="00A707E7">
        <w:t>&gt;</w:t>
      </w:r>
    </w:p>
    <w:p w14:paraId="377AA62D" w14:textId="396F403D" w:rsidR="005B5CB9" w:rsidRPr="00EC1D86" w:rsidRDefault="005B5CB9" w:rsidP="005B5CB9">
      <w:pPr>
        <w:pStyle w:val="Heading2"/>
      </w:pPr>
      <w:bookmarkStart w:id="1846" w:name="_Toc234580336"/>
      <w:bookmarkEnd w:id="1839"/>
      <w:bookmarkEnd w:id="1840"/>
      <w:bookmarkEnd w:id="1841"/>
      <w:bookmarkEnd w:id="1842"/>
      <w:bookmarkEnd w:id="1843"/>
      <w:r>
        <w:t>National price weights and NEP</w:t>
      </w:r>
      <w:bookmarkEnd w:id="1846"/>
    </w:p>
    <w:p w14:paraId="7745EDE7" w14:textId="41E2A5FC" w:rsidR="005B5CB9" w:rsidRDefault="005B5CB9" w:rsidP="00335DD4">
      <w:pPr>
        <w:pStyle w:val="Body"/>
      </w:pPr>
      <w:r>
        <w:t>Activity is measured in NWAU. Price weights are determined by IHACPA (National Pricing Model Technical Specifications</w:t>
      </w:r>
      <w:r w:rsidR="00FF32B0">
        <w:t xml:space="preserve"> 2026-27</w:t>
      </w:r>
      <w:r>
        <w:t>; National Efficient Price Determination</w:t>
      </w:r>
      <w:r w:rsidR="00FF32B0">
        <w:t xml:space="preserve"> 2026-27</w:t>
      </w:r>
      <w:r>
        <w:t>). The NEP is the national base price set annually by IHACPA for in-scope public hospital services funded by the Commonwealth. In Victoria, the VEP (not the NEP) is the price paid per NWAU.</w:t>
      </w:r>
    </w:p>
    <w:p w14:paraId="50C4A3CA" w14:textId="48D7C1C6" w:rsidR="005B5CB9" w:rsidRPr="00104CF7" w:rsidRDefault="005B5CB9" w:rsidP="005B5CB9">
      <w:pPr>
        <w:pStyle w:val="Heading2"/>
      </w:pPr>
      <w:bookmarkStart w:id="1847" w:name="_Toc234580337"/>
      <w:r>
        <w:t xml:space="preserve">Adjustments to the </w:t>
      </w:r>
      <w:bookmarkEnd w:id="1847"/>
      <w:r w:rsidR="00CF3F81">
        <w:t>NEP</w:t>
      </w:r>
    </w:p>
    <w:p w14:paraId="22CC5360" w14:textId="2D97D508" w:rsidR="005B5CB9" w:rsidRDefault="005B5CB9" w:rsidP="00335DD4">
      <w:pPr>
        <w:pStyle w:val="Body"/>
      </w:pPr>
      <w:r>
        <w:t xml:space="preserve">The national framework includes NEP adjustments for legitimate and unavoidable cost variations, applied in Victoria. This includes the ICU adjustment for specified intensive care units (Appendix D, NEP Determination </w:t>
      </w:r>
      <w:r w:rsidR="009D05A6">
        <w:t>2026–27</w:t>
      </w:r>
      <w:r>
        <w:t>). Health services with ICUs not on the eligible list may contact the department to review eligibility.</w:t>
      </w:r>
    </w:p>
    <w:p w14:paraId="13A75F4C" w14:textId="2E6EADA9" w:rsidR="005B5CB9" w:rsidRPr="003F2312" w:rsidRDefault="005B5CB9" w:rsidP="005B5CB9">
      <w:pPr>
        <w:pStyle w:val="Heading2"/>
      </w:pPr>
      <w:bookmarkStart w:id="1848" w:name="_Ref77679727"/>
      <w:bookmarkStart w:id="1849" w:name="_Toc165961832"/>
      <w:bookmarkStart w:id="1850" w:name="_Toc234580338"/>
      <w:r>
        <w:t>Payment flows</w:t>
      </w:r>
      <w:bookmarkEnd w:id="1848"/>
      <w:bookmarkEnd w:id="1849"/>
      <w:bookmarkEnd w:id="1850"/>
    </w:p>
    <w:p w14:paraId="16FF9CC9" w14:textId="237C0A64" w:rsidR="005B5CB9" w:rsidRDefault="005B5CB9" w:rsidP="00335DD4">
      <w:pPr>
        <w:pStyle w:val="Body"/>
      </w:pPr>
      <w:r>
        <w:t xml:space="preserve">Commonwealth ABF flows to health services through Victoria’s State Pool Account managed by the Administrator of the National Health Funding Pool. The Victorian Government instructs payments per activity levels agreed in Statements of Priorities. National Health Reform block funding is paid through the State Managed Fund. </w:t>
      </w:r>
      <w:r w:rsidR="00F72960">
        <w:t>For further information on the national pricing framework, s</w:t>
      </w:r>
      <w:r>
        <w:t xml:space="preserve">ee </w:t>
      </w:r>
      <w:hyperlink r:id="rId43" w:history="1">
        <w:r w:rsidR="00877FF7" w:rsidRPr="00AF5A0F">
          <w:rPr>
            <w:rStyle w:val="Hyperlink"/>
          </w:rPr>
          <w:t>IH</w:t>
        </w:r>
        <w:r w:rsidR="00C65F20" w:rsidRPr="00AF5A0F">
          <w:rPr>
            <w:rStyle w:val="Hyperlink"/>
          </w:rPr>
          <w:t xml:space="preserve">ACPA </w:t>
        </w:r>
        <w:r w:rsidR="00877FF7" w:rsidRPr="00AF5A0F">
          <w:rPr>
            <w:rStyle w:val="Hyperlink"/>
          </w:rPr>
          <w:t>Pricing</w:t>
        </w:r>
      </w:hyperlink>
      <w:r w:rsidR="00877FF7">
        <w:t xml:space="preserve"> </w:t>
      </w:r>
      <w:r w:rsidR="00AF5A0F">
        <w:t>&lt;</w:t>
      </w:r>
      <w:r w:rsidR="00AF5A0F" w:rsidRPr="00AF5A0F">
        <w:t>https://www.ihacpa.gov.au/health-care/pricing</w:t>
      </w:r>
      <w:r w:rsidR="00AF5A0F">
        <w:t>&gt;</w:t>
      </w:r>
      <w:r>
        <w:t>.</w:t>
      </w:r>
    </w:p>
    <w:p w14:paraId="672E8B02" w14:textId="77777777" w:rsidR="005B5CB9" w:rsidRDefault="005B5CB9" w:rsidP="005B5CB9">
      <w:pPr>
        <w:spacing w:before="80" w:after="80"/>
      </w:pPr>
    </w:p>
    <w:p w14:paraId="7F97AA35" w14:textId="4EC02426" w:rsidR="005B5CB9" w:rsidRDefault="005B5CB9" w:rsidP="005B5CB9">
      <w:pPr>
        <w:pStyle w:val="Heading1"/>
      </w:pPr>
      <w:bookmarkStart w:id="1851" w:name="_Toc167651270"/>
      <w:bookmarkStart w:id="1852" w:name="_10_Prior-year_adjustment:"/>
      <w:bookmarkStart w:id="1853" w:name="_Ref142493085"/>
      <w:bookmarkStart w:id="1854" w:name="_Ref142493761"/>
      <w:bookmarkStart w:id="1855" w:name="_Ref143004120"/>
      <w:bookmarkStart w:id="1856" w:name="_Toc165961833"/>
      <w:bookmarkStart w:id="1857" w:name="_Toc234580339"/>
      <w:bookmarkEnd w:id="1851"/>
      <w:bookmarkEnd w:id="1852"/>
      <w:r>
        <w:lastRenderedPageBreak/>
        <w:t>Prior-year adjustment: ABF reconciliation</w:t>
      </w:r>
      <w:bookmarkEnd w:id="1853"/>
      <w:bookmarkEnd w:id="1854"/>
      <w:bookmarkEnd w:id="1855"/>
      <w:bookmarkEnd w:id="1856"/>
      <w:bookmarkEnd w:id="1857"/>
    </w:p>
    <w:p w14:paraId="7869B554" w14:textId="77777777" w:rsidR="005B5CB9" w:rsidRDefault="005B5CB9" w:rsidP="00335DD4">
      <w:pPr>
        <w:pStyle w:val="Body"/>
      </w:pPr>
      <w:bookmarkStart w:id="1858" w:name="_Toc418694970"/>
      <w:bookmarkStart w:id="1859" w:name="_Ref419741339"/>
      <w:bookmarkStart w:id="1860" w:name="_Ref419741349"/>
      <w:r>
        <w:t>The department allocates funding according to expected deliverables and cash-flows funded organisations throughout the year. Where required, adjustments for over- and underactivity are made in the following financial year. Accurate and timely data submission is essential; significant over- or underactivity should be discussed with the department before year end.</w:t>
      </w:r>
    </w:p>
    <w:p w14:paraId="0A5E3DF2" w14:textId="5A8AAD0A" w:rsidR="005B5CB9" w:rsidRPr="0007156B" w:rsidRDefault="005B5CB9" w:rsidP="005B5CB9">
      <w:pPr>
        <w:pStyle w:val="Heading2"/>
      </w:pPr>
      <w:bookmarkStart w:id="1861" w:name="_Toc110950017"/>
      <w:bookmarkStart w:id="1862" w:name="_Toc100263330"/>
      <w:bookmarkStart w:id="1863" w:name="_Ref111538488"/>
      <w:bookmarkStart w:id="1864" w:name="_Ref111538507"/>
      <w:bookmarkStart w:id="1865" w:name="_Toc165961834"/>
      <w:bookmarkStart w:id="1866" w:name="_Funding_recall_policy"/>
      <w:bookmarkStart w:id="1867" w:name="_Toc234580340"/>
      <w:bookmarkEnd w:id="1858"/>
      <w:bookmarkEnd w:id="1859"/>
      <w:bookmarkEnd w:id="1860"/>
      <w:bookmarkEnd w:id="1861"/>
      <w:bookmarkEnd w:id="1866"/>
      <w:r>
        <w:t>Funding recall policy</w:t>
      </w:r>
      <w:bookmarkEnd w:id="1862"/>
      <w:bookmarkEnd w:id="1863"/>
      <w:bookmarkEnd w:id="1864"/>
      <w:bookmarkEnd w:id="1865"/>
      <w:bookmarkEnd w:id="1867"/>
      <w:r>
        <w:t xml:space="preserve"> </w:t>
      </w:r>
    </w:p>
    <w:p w14:paraId="5C7B2C14" w14:textId="3ED57DAB" w:rsidR="005B5CB9" w:rsidRDefault="005B5CB9" w:rsidP="00335DD4">
      <w:pPr>
        <w:pStyle w:val="Body"/>
      </w:pPr>
      <w:r>
        <w:t xml:space="preserve">Recall is triggered when activity falls below target. The 2026–27 marginal NWAU policy maintains minimal funding for underactivity, recognising fixed costs and variable demand, while incentivising efficient delivery above target </w:t>
      </w:r>
      <w:proofErr w:type="gramStart"/>
      <w:r>
        <w:t>where</w:t>
      </w:r>
      <w:proofErr w:type="gramEnd"/>
      <w:r>
        <w:t xml:space="preserve"> cost-effective.</w:t>
      </w:r>
    </w:p>
    <w:p w14:paraId="7C56D9D2" w14:textId="04A3BA2A" w:rsidR="005B5CB9" w:rsidRDefault="005B5CB9" w:rsidP="005B5CB9">
      <w:pPr>
        <w:pStyle w:val="Tablecaption"/>
      </w:pPr>
      <w:bookmarkStart w:id="1868" w:name="_Toc232527224"/>
      <w:r>
        <w:t xml:space="preserve">Table </w:t>
      </w:r>
      <w:r>
        <w:fldChar w:fldCharType="begin"/>
      </w:r>
      <w:r>
        <w:instrText>SEQ Table \* ARABIC</w:instrText>
      </w:r>
      <w:r>
        <w:fldChar w:fldCharType="separate"/>
      </w:r>
      <w:r>
        <w:rPr>
          <w:noProof/>
        </w:rPr>
        <w:t>8</w:t>
      </w:r>
      <w:r>
        <w:fldChar w:fldCharType="end"/>
      </w:r>
      <w:r w:rsidR="009E411F">
        <w:t>.</w:t>
      </w:r>
      <w:r>
        <w:t xml:space="preserve"> Funding recall policy</w:t>
      </w:r>
      <w:bookmarkEnd w:id="1868"/>
    </w:p>
    <w:tbl>
      <w:tblPr>
        <w:tblStyle w:val="GridTable4-Accent1"/>
        <w:tblW w:w="0" w:type="auto"/>
        <w:tblLook w:val="04A0" w:firstRow="1" w:lastRow="0" w:firstColumn="1" w:lastColumn="0" w:noHBand="0" w:noVBand="1"/>
      </w:tblPr>
      <w:tblGrid>
        <w:gridCol w:w="3367"/>
        <w:gridCol w:w="5921"/>
      </w:tblGrid>
      <w:tr w:rsidR="00335DD4" w:rsidRPr="00364338" w14:paraId="538B52DE" w14:textId="77777777" w:rsidTr="00364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0C53AB" w14:textId="39855FFC" w:rsidR="00335DD4" w:rsidRPr="00364338" w:rsidRDefault="00335DD4" w:rsidP="00364338">
            <w:pPr>
              <w:spacing w:after="60" w:line="240" w:lineRule="auto"/>
              <w:rPr>
                <w:rFonts w:cs="Arial"/>
                <w:sz w:val="18"/>
                <w:szCs w:val="18"/>
              </w:rPr>
            </w:pPr>
            <w:r w:rsidRPr="00364338">
              <w:rPr>
                <w:rFonts w:cs="Arial"/>
                <w:sz w:val="18"/>
                <w:szCs w:val="18"/>
              </w:rPr>
              <w:t>Service</w:t>
            </w:r>
          </w:p>
        </w:tc>
        <w:tc>
          <w:tcPr>
            <w:tcW w:w="0" w:type="auto"/>
          </w:tcPr>
          <w:p w14:paraId="22F2B15F" w14:textId="02034381" w:rsidR="00335DD4" w:rsidRPr="00364338" w:rsidRDefault="00335DD4" w:rsidP="00364338">
            <w:pPr>
              <w:spacing w:after="60" w:line="240" w:lineRule="auto"/>
              <w:cnfStyle w:val="100000000000" w:firstRow="1" w:lastRow="0" w:firstColumn="0" w:lastColumn="0" w:oddVBand="0" w:evenVBand="0" w:oddHBand="0" w:evenHBand="0" w:firstRowFirstColumn="0" w:firstRowLastColumn="0" w:lastRowFirstColumn="0" w:lastRowLastColumn="0"/>
              <w:rPr>
                <w:rFonts w:cs="Arial"/>
                <w:sz w:val="18"/>
                <w:szCs w:val="18"/>
              </w:rPr>
            </w:pPr>
            <w:r w:rsidRPr="00364338">
              <w:rPr>
                <w:rFonts w:cs="Arial"/>
                <w:sz w:val="18"/>
                <w:szCs w:val="18"/>
              </w:rPr>
              <w:t>PYA policy</w:t>
            </w:r>
          </w:p>
        </w:tc>
      </w:tr>
      <w:tr w:rsidR="00364338" w:rsidRPr="00364338" w14:paraId="231D8FC0"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F6E1D2" w14:textId="12883593" w:rsidR="00364338" w:rsidRPr="00364338" w:rsidRDefault="00364338" w:rsidP="00364338">
            <w:pPr>
              <w:spacing w:after="60" w:line="240" w:lineRule="auto"/>
              <w:rPr>
                <w:rFonts w:cs="Arial"/>
                <w:sz w:val="18"/>
                <w:szCs w:val="18"/>
              </w:rPr>
            </w:pPr>
            <w:r w:rsidRPr="00364338">
              <w:rPr>
                <w:rFonts w:cs="Arial"/>
                <w:color w:val="000000" w:themeColor="text1"/>
                <w:sz w:val="18"/>
                <w:szCs w:val="18"/>
              </w:rPr>
              <w:t>Consolidated NWAU (acute admitted, admitted mental health, subacute, non-admitted, emergency non-admitted)</w:t>
            </w:r>
          </w:p>
        </w:tc>
        <w:tc>
          <w:tcPr>
            <w:tcW w:w="0" w:type="auto"/>
          </w:tcPr>
          <w:p w14:paraId="74420097" w14:textId="49547E10"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64338">
              <w:rPr>
                <w:rFonts w:cs="Arial"/>
                <w:color w:val="000000" w:themeColor="text1"/>
                <w:sz w:val="18"/>
                <w:szCs w:val="18"/>
              </w:rPr>
              <w:t>Recall at 50% for activity between 97–100% of target. No payment for overactivity.</w:t>
            </w:r>
          </w:p>
        </w:tc>
      </w:tr>
      <w:tr w:rsidR="00364338" w:rsidRPr="00364338" w14:paraId="2515BA0E"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40208BFF" w14:textId="2BC30622" w:rsidR="00364338" w:rsidRPr="00364338" w:rsidRDefault="00364338" w:rsidP="00364338">
            <w:pPr>
              <w:spacing w:after="60" w:line="240" w:lineRule="auto"/>
              <w:rPr>
                <w:rFonts w:cs="Arial"/>
                <w:sz w:val="18"/>
                <w:szCs w:val="18"/>
              </w:rPr>
            </w:pPr>
            <w:r w:rsidRPr="00364338">
              <w:rPr>
                <w:rFonts w:cs="Arial"/>
                <w:color w:val="000000" w:themeColor="text1"/>
                <w:sz w:val="18"/>
                <w:szCs w:val="18"/>
              </w:rPr>
              <w:t>Community Mental Health NWAU</w:t>
            </w:r>
          </w:p>
        </w:tc>
        <w:tc>
          <w:tcPr>
            <w:tcW w:w="0" w:type="auto"/>
          </w:tcPr>
          <w:p w14:paraId="3BA787E9" w14:textId="68611405"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64338">
              <w:rPr>
                <w:rFonts w:cs="Arial"/>
                <w:color w:val="000000" w:themeColor="text1"/>
                <w:sz w:val="18"/>
                <w:szCs w:val="18"/>
              </w:rPr>
              <w:t>Full recall for activity below 97% of target. Recall at 50% between 97–100%. No payment for overactivity.</w:t>
            </w:r>
          </w:p>
        </w:tc>
      </w:tr>
      <w:tr w:rsidR="00364338" w:rsidRPr="00364338" w14:paraId="3DA58F08"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8F7EB5" w14:textId="01B1F1B9" w:rsidR="00364338" w:rsidRPr="00364338" w:rsidRDefault="00364338" w:rsidP="00364338">
            <w:pPr>
              <w:spacing w:after="60" w:line="240" w:lineRule="auto"/>
              <w:rPr>
                <w:rFonts w:cs="Arial"/>
                <w:sz w:val="18"/>
                <w:szCs w:val="18"/>
              </w:rPr>
            </w:pPr>
            <w:r w:rsidRPr="00364338">
              <w:rPr>
                <w:rFonts w:cs="Arial"/>
                <w:color w:val="000000" w:themeColor="text1"/>
                <w:sz w:val="18"/>
                <w:szCs w:val="18"/>
              </w:rPr>
              <w:t>DVA</w:t>
            </w:r>
          </w:p>
        </w:tc>
        <w:tc>
          <w:tcPr>
            <w:tcW w:w="0" w:type="auto"/>
          </w:tcPr>
          <w:p w14:paraId="14FCB482" w14:textId="79EF125A"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64338">
              <w:rPr>
                <w:rFonts w:cs="Arial"/>
                <w:color w:val="000000" w:themeColor="text1"/>
                <w:sz w:val="18"/>
                <w:szCs w:val="18"/>
              </w:rPr>
              <w:t>Reconciled to actual activity (admitted acute/mental health, community mental health, emergency, non-admitted, subacute).</w:t>
            </w:r>
          </w:p>
        </w:tc>
      </w:tr>
      <w:tr w:rsidR="00364338" w:rsidRPr="00364338" w14:paraId="1DC65F2F"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136CFB67" w14:textId="0B106FEE" w:rsidR="00364338" w:rsidRPr="00364338" w:rsidRDefault="00364338" w:rsidP="00364338">
            <w:pPr>
              <w:spacing w:after="60" w:line="240" w:lineRule="auto"/>
              <w:rPr>
                <w:rFonts w:cs="Arial"/>
                <w:sz w:val="18"/>
                <w:szCs w:val="18"/>
              </w:rPr>
            </w:pPr>
            <w:r w:rsidRPr="00364338">
              <w:rPr>
                <w:rFonts w:cs="Arial"/>
                <w:color w:val="000000" w:themeColor="text1"/>
                <w:sz w:val="18"/>
                <w:szCs w:val="18"/>
              </w:rPr>
              <w:t>TAC</w:t>
            </w:r>
          </w:p>
        </w:tc>
        <w:tc>
          <w:tcPr>
            <w:tcW w:w="0" w:type="auto"/>
          </w:tcPr>
          <w:p w14:paraId="56F55B8F" w14:textId="4F53375D"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64338">
              <w:rPr>
                <w:rFonts w:cs="Arial"/>
                <w:color w:val="000000" w:themeColor="text1"/>
                <w:sz w:val="18"/>
                <w:szCs w:val="18"/>
              </w:rPr>
              <w:t>Reconciled to actual NWAU (admitted acute, ED, subacute, mental health admitted, non-admitted). Community mental health, urgent care, PAC after 28 days, aids/equipment, and discharge pharmaceuticals are excluded.</w:t>
            </w:r>
          </w:p>
        </w:tc>
      </w:tr>
      <w:tr w:rsidR="00364338" w:rsidRPr="00364338" w14:paraId="50BBD441"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3E4692" w14:textId="2F9B54CE" w:rsidR="00364338" w:rsidRPr="00364338" w:rsidRDefault="00364338" w:rsidP="00364338">
            <w:pPr>
              <w:spacing w:after="60" w:line="240" w:lineRule="auto"/>
              <w:rPr>
                <w:rFonts w:cs="Arial"/>
                <w:sz w:val="18"/>
                <w:szCs w:val="18"/>
              </w:rPr>
            </w:pPr>
            <w:r w:rsidRPr="00364338">
              <w:rPr>
                <w:rFonts w:cs="Arial"/>
                <w:color w:val="000000" w:themeColor="text1"/>
                <w:sz w:val="18"/>
                <w:szCs w:val="18"/>
              </w:rPr>
              <w:t>HSTs</w:t>
            </w:r>
          </w:p>
        </w:tc>
        <w:tc>
          <w:tcPr>
            <w:tcW w:w="0" w:type="auto"/>
          </w:tcPr>
          <w:p w14:paraId="1626273C" w14:textId="307FB3F6"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64338">
              <w:rPr>
                <w:rFonts w:cs="Arial"/>
                <w:color w:val="000000" w:themeColor="text1"/>
                <w:sz w:val="18"/>
                <w:szCs w:val="18"/>
              </w:rPr>
              <w:t>Reconciled to actual costs per acquittal (Section 3.7).</w:t>
            </w:r>
          </w:p>
        </w:tc>
      </w:tr>
      <w:tr w:rsidR="00364338" w:rsidRPr="00364338" w14:paraId="22BBB346"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50CAA8F0" w14:textId="44C1940C" w:rsidR="00364338" w:rsidRPr="00364338" w:rsidRDefault="00364338" w:rsidP="00364338">
            <w:pPr>
              <w:spacing w:after="60" w:line="240" w:lineRule="auto"/>
              <w:rPr>
                <w:rFonts w:cs="Arial"/>
                <w:sz w:val="18"/>
                <w:szCs w:val="18"/>
              </w:rPr>
            </w:pPr>
            <w:r w:rsidRPr="00364338">
              <w:rPr>
                <w:rFonts w:cs="Arial"/>
                <w:color w:val="000000" w:themeColor="text1"/>
                <w:sz w:val="18"/>
                <w:szCs w:val="18"/>
              </w:rPr>
              <w:t>Nationally Funded Centres</w:t>
            </w:r>
          </w:p>
        </w:tc>
        <w:tc>
          <w:tcPr>
            <w:tcW w:w="0" w:type="auto"/>
          </w:tcPr>
          <w:p w14:paraId="09BFEB8A" w14:textId="6F996932"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64338">
              <w:rPr>
                <w:rFonts w:cs="Arial"/>
                <w:color w:val="000000" w:themeColor="text1"/>
                <w:sz w:val="18"/>
                <w:szCs w:val="18"/>
              </w:rPr>
              <w:t>Reconciled to actual activity. NWAU associated with NFCs, including procedures undertaken up to 3 months post discharge, will not be recognised as public–private NWAU for the purposes of calculated funding recall for acute admitted services.</w:t>
            </w:r>
          </w:p>
        </w:tc>
      </w:tr>
      <w:tr w:rsidR="00364338" w:rsidRPr="00364338" w14:paraId="33548777"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AB81CF" w14:textId="6B65913B"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Small Rural Health Services</w:t>
            </w:r>
          </w:p>
        </w:tc>
        <w:tc>
          <w:tcPr>
            <w:tcW w:w="0" w:type="auto"/>
          </w:tcPr>
          <w:p w14:paraId="1C9FA39D" w14:textId="32817E31"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PYA applies to ACA, DVA, TAC and residential aged care. Renal dialysis and National Cancer Screening reconciled to actuals. No PYA for public/private acute, subacute, primary health and HACC.</w:t>
            </w:r>
          </w:p>
        </w:tc>
      </w:tr>
      <w:tr w:rsidR="00364338" w:rsidRPr="00364338" w14:paraId="2CFCB2BE"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48D29692" w14:textId="2CD2FE16"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Acquired brain injury unit</w:t>
            </w:r>
          </w:p>
        </w:tc>
        <w:tc>
          <w:tcPr>
            <w:tcW w:w="0" w:type="auto"/>
          </w:tcPr>
          <w:p w14:paraId="51E72ED6" w14:textId="356A5521"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Full recall for underactivity.</w:t>
            </w:r>
          </w:p>
        </w:tc>
      </w:tr>
      <w:tr w:rsidR="00364338" w:rsidRPr="00364338" w14:paraId="5233A54D"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6B8A18" w14:textId="4B50A33C"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Mental health subacute and residential</w:t>
            </w:r>
          </w:p>
        </w:tc>
        <w:tc>
          <w:tcPr>
            <w:tcW w:w="0" w:type="auto"/>
          </w:tcPr>
          <w:p w14:paraId="629D9395" w14:textId="6F93233D"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Department may recall funds for beds that remain unopened or temporarily closed, depending on statewide priorities.</w:t>
            </w:r>
          </w:p>
        </w:tc>
      </w:tr>
      <w:tr w:rsidR="00364338" w:rsidRPr="00364338" w14:paraId="3827F847"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74F530A5" w14:textId="7ABBD152"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Transition Care Program</w:t>
            </w:r>
          </w:p>
        </w:tc>
        <w:tc>
          <w:tcPr>
            <w:tcW w:w="0" w:type="auto"/>
          </w:tcPr>
          <w:p w14:paraId="7D581B9B" w14:textId="125A21DD"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0–5% below target: no recall. &gt;5%: recall may apply to the amount beyond 5%.</w:t>
            </w:r>
          </w:p>
        </w:tc>
      </w:tr>
      <w:tr w:rsidR="00364338" w:rsidRPr="00364338" w14:paraId="7633B22B"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131E6A" w14:textId="26D1E47E"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Integrated cancer services</w:t>
            </w:r>
          </w:p>
        </w:tc>
        <w:tc>
          <w:tcPr>
            <w:tcW w:w="0" w:type="auto"/>
          </w:tcPr>
          <w:p w14:paraId="5D8298FB" w14:textId="5D377B01"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Department may recall unexpended funds depending on statewide priorities.</w:t>
            </w:r>
          </w:p>
        </w:tc>
      </w:tr>
      <w:tr w:rsidR="00364338" w:rsidRPr="00364338" w14:paraId="1C985FA2"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1A637F3C" w14:textId="3476CF46"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Community Health / Early Parenting / HACC-PYP / Health Promotion / Dental</w:t>
            </w:r>
          </w:p>
        </w:tc>
        <w:tc>
          <w:tcPr>
            <w:tcW w:w="0" w:type="auto"/>
          </w:tcPr>
          <w:p w14:paraId="7614F217" w14:textId="4CFA7836"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0–5% below: no recall. &gt;5%: department may recall at full rate for the amount beyond 5%.</w:t>
            </w:r>
          </w:p>
        </w:tc>
      </w:tr>
      <w:tr w:rsidR="00364338" w:rsidRPr="00364338" w14:paraId="0AF5608F"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8C9AB4" w14:textId="3FE289E8"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BreastScreen Victoria</w:t>
            </w:r>
          </w:p>
        </w:tc>
        <w:tc>
          <w:tcPr>
            <w:tcW w:w="0" w:type="auto"/>
          </w:tcPr>
          <w:p w14:paraId="1717E693" w14:textId="70D15E66"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Full rate recall for performance below department-funded target, per FSA terms.</w:t>
            </w:r>
          </w:p>
        </w:tc>
      </w:tr>
      <w:tr w:rsidR="00364338" w:rsidRPr="00364338" w14:paraId="2F9397E9"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5D8D7012" w14:textId="2B1F5615"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Aged Care Assessment</w:t>
            </w:r>
          </w:p>
        </w:tc>
        <w:tc>
          <w:tcPr>
            <w:tcW w:w="0" w:type="auto"/>
          </w:tcPr>
          <w:p w14:paraId="16114513" w14:textId="6C36342D"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Sustained underperformance &gt;5% for 2+ years may attract funding reduction corresponding to underperformance.</w:t>
            </w:r>
          </w:p>
        </w:tc>
      </w:tr>
      <w:tr w:rsidR="00364338" w:rsidRPr="00364338" w14:paraId="445CCFA3"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3337B1" w14:textId="767C864D"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lastRenderedPageBreak/>
              <w:t>Diabetes prevention</w:t>
            </w:r>
          </w:p>
        </w:tc>
        <w:tc>
          <w:tcPr>
            <w:tcW w:w="0" w:type="auto"/>
          </w:tcPr>
          <w:p w14:paraId="6CEC67F3" w14:textId="22391DCD"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64338">
              <w:rPr>
                <w:rFonts w:eastAsia="Arial Unicode MS" w:cs="Arial"/>
                <w:color w:val="000000" w:themeColor="text1"/>
                <w:sz w:val="18"/>
                <w:szCs w:val="18"/>
              </w:rPr>
              <w:t>Recalled per Life! participant target not met. Contingency available if target exceeded by ≥5% with advance notice.</w:t>
            </w:r>
          </w:p>
        </w:tc>
      </w:tr>
      <w:tr w:rsidR="00364338" w:rsidRPr="00364338" w14:paraId="2026608B"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582C7914" w14:textId="0439159F"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Residential aged care</w:t>
            </w:r>
          </w:p>
        </w:tc>
        <w:tc>
          <w:tcPr>
            <w:tcW w:w="0" w:type="auto"/>
          </w:tcPr>
          <w:p w14:paraId="3D2DC68A" w14:textId="1CFF2791"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Recall if operational places are reduced without 3-month department notification.</w:t>
            </w:r>
          </w:p>
        </w:tc>
      </w:tr>
      <w:tr w:rsidR="00364338" w:rsidRPr="00364338" w14:paraId="53DFB32C"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11778C" w14:textId="039D9F00"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LPHU Health Protection and Health Advancement</w:t>
            </w:r>
          </w:p>
        </w:tc>
        <w:tc>
          <w:tcPr>
            <w:tcW w:w="0" w:type="auto"/>
          </w:tcPr>
          <w:p w14:paraId="05241253" w14:textId="50E974C0"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Full recall for underspend.</w:t>
            </w:r>
          </w:p>
        </w:tc>
      </w:tr>
      <w:tr w:rsidR="00364338" w:rsidRPr="00364338" w14:paraId="18EF4622" w14:textId="77777777" w:rsidTr="00364338">
        <w:tc>
          <w:tcPr>
            <w:cnfStyle w:val="001000000000" w:firstRow="0" w:lastRow="0" w:firstColumn="1" w:lastColumn="0" w:oddVBand="0" w:evenVBand="0" w:oddHBand="0" w:evenHBand="0" w:firstRowFirstColumn="0" w:firstRowLastColumn="0" w:lastRowFirstColumn="0" w:lastRowLastColumn="0"/>
            <w:tcW w:w="0" w:type="auto"/>
          </w:tcPr>
          <w:p w14:paraId="54F396C0" w14:textId="2730DAF8"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Victorian Virtual Emergency Department</w:t>
            </w:r>
          </w:p>
        </w:tc>
        <w:tc>
          <w:tcPr>
            <w:tcW w:w="0" w:type="auto"/>
          </w:tcPr>
          <w:p w14:paraId="1FEB1772" w14:textId="184D212E" w:rsidR="00364338" w:rsidRPr="00364338" w:rsidRDefault="00364338" w:rsidP="00364338">
            <w:pPr>
              <w:spacing w:after="6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Agreed partial rate recall applied to Northern Health based on call volumes.</w:t>
            </w:r>
          </w:p>
        </w:tc>
      </w:tr>
      <w:tr w:rsidR="00364338" w:rsidRPr="00364338" w14:paraId="18A10F54"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0A3BB8" w14:textId="61FEA751" w:rsidR="00364338" w:rsidRPr="00364338" w:rsidRDefault="00364338" w:rsidP="00364338">
            <w:pPr>
              <w:spacing w:after="60" w:line="240" w:lineRule="auto"/>
              <w:rPr>
                <w:rFonts w:cs="Arial"/>
                <w:color w:val="000000" w:themeColor="text1"/>
                <w:sz w:val="18"/>
                <w:szCs w:val="18"/>
              </w:rPr>
            </w:pPr>
            <w:r w:rsidRPr="00364338">
              <w:rPr>
                <w:rFonts w:cs="Arial"/>
                <w:color w:val="000000" w:themeColor="text1"/>
                <w:sz w:val="18"/>
                <w:szCs w:val="18"/>
              </w:rPr>
              <w:t>Mental Health and Wellbeing Locals</w:t>
            </w:r>
          </w:p>
        </w:tc>
        <w:tc>
          <w:tcPr>
            <w:tcW w:w="0" w:type="auto"/>
          </w:tcPr>
          <w:p w14:paraId="56A1CF78" w14:textId="0165C4D1" w:rsidR="00364338" w:rsidRPr="00364338" w:rsidRDefault="00364338" w:rsidP="00364338">
            <w:pPr>
              <w:spacing w:after="6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64338">
              <w:rPr>
                <w:rFonts w:cs="Arial"/>
                <w:color w:val="000000" w:themeColor="text1"/>
                <w:sz w:val="18"/>
                <w:szCs w:val="18"/>
              </w:rPr>
              <w:t>Department reserves the right to apply recall where funded activity targets are not satisfactorily met, following an appropriate establishment period.</w:t>
            </w:r>
          </w:p>
        </w:tc>
      </w:tr>
    </w:tbl>
    <w:p w14:paraId="2BC9A432" w14:textId="1A19E4BF" w:rsidR="005B5CB9" w:rsidRDefault="005B5CB9" w:rsidP="00364338">
      <w:pPr>
        <w:pStyle w:val="Body"/>
        <w:spacing w:before="120"/>
      </w:pPr>
      <w:r>
        <w:t>Health services must update the VAED for any rejected or denied DVA episodes of care prior to reconciliation. Any denied or rejected records that are not amended will not be paid as either public or DVA when the prior-year adjustment is calculated.</w:t>
      </w:r>
    </w:p>
    <w:p w14:paraId="71ACD393" w14:textId="77777777" w:rsidR="005B5CB9" w:rsidRPr="00364338" w:rsidRDefault="005B5CB9" w:rsidP="00364338">
      <w:pPr>
        <w:pStyle w:val="Body"/>
        <w:rPr>
          <w:b/>
          <w:bCs/>
        </w:rPr>
      </w:pPr>
      <w:r w:rsidRPr="00364338">
        <w:rPr>
          <w:b/>
          <w:bCs/>
        </w:rPr>
        <w:t>Exceptional events</w:t>
      </w:r>
    </w:p>
    <w:p w14:paraId="0E3D9E33" w14:textId="77777777" w:rsidR="005B5CB9" w:rsidRDefault="005B5CB9" w:rsidP="00364338">
      <w:pPr>
        <w:pStyle w:val="Body"/>
      </w:pPr>
      <w:r>
        <w:t>At its discretion, the department will consider adjustments where circumstances beyond reasonable management control (industrial action, natural disasters) prevent target throughput. Health services must actively mitigate exposure. No additional funding will be provided for catch-up throughput or activity in areas unaffected by the event.</w:t>
      </w:r>
    </w:p>
    <w:p w14:paraId="6CEABE4D" w14:textId="55BEFA47" w:rsidR="005B5CB9" w:rsidRPr="000244B9" w:rsidRDefault="005B5CB9" w:rsidP="005B5CB9">
      <w:pPr>
        <w:pStyle w:val="Heading2"/>
      </w:pPr>
      <w:bookmarkStart w:id="1869" w:name="_Toc234580341"/>
      <w:r>
        <w:t>Overactivity</w:t>
      </w:r>
      <w:bookmarkEnd w:id="1869"/>
      <w:r>
        <w:t xml:space="preserve"> </w:t>
      </w:r>
    </w:p>
    <w:p w14:paraId="04937D86" w14:textId="648B7A30" w:rsidR="005B5CB9" w:rsidRDefault="005B5CB9" w:rsidP="005B5CB9">
      <w:pPr>
        <w:spacing w:before="80" w:after="80"/>
      </w:pPr>
      <w:r>
        <w:t xml:space="preserve">Funding for throughput above target is based on a proportion of the funding rate (refer to </w:t>
      </w:r>
      <w:hyperlink w:anchor="_Funding_recall_policy" w:history="1">
        <w:r w:rsidRPr="00813A97">
          <w:rPr>
            <w:rStyle w:val="Hyperlink"/>
          </w:rPr>
          <w:t>Table 8</w:t>
        </w:r>
      </w:hyperlink>
      <w:r>
        <w:t>). DVA and TAC are funded to actual activity and attract additional funding for overactivity. There is no funding for overactivity for non-acute care programs.</w:t>
      </w:r>
    </w:p>
    <w:p w14:paraId="29432060" w14:textId="5050DA03" w:rsidR="005B5CB9" w:rsidRDefault="005B5CB9" w:rsidP="005B5CB9">
      <w:pPr>
        <w:pStyle w:val="Heading2"/>
      </w:pPr>
      <w:bookmarkStart w:id="1870" w:name="_Toc418694971"/>
      <w:bookmarkStart w:id="1871" w:name="_Toc6215625"/>
      <w:bookmarkStart w:id="1872" w:name="_Toc10199698"/>
      <w:bookmarkStart w:id="1873" w:name="_Toc52892598"/>
      <w:bookmarkStart w:id="1874" w:name="_Toc100263331"/>
      <w:bookmarkStart w:id="1875" w:name="_Toc165961835"/>
      <w:bookmarkStart w:id="1876" w:name="_Toc234580342"/>
      <w:r>
        <w:t>Reconciliation of Commonwealth contributions</w:t>
      </w:r>
      <w:bookmarkEnd w:id="1870"/>
      <w:bookmarkEnd w:id="1871"/>
      <w:bookmarkEnd w:id="1872"/>
      <w:bookmarkEnd w:id="1873"/>
      <w:bookmarkEnd w:id="1874"/>
      <w:bookmarkEnd w:id="1875"/>
      <w:bookmarkEnd w:id="1876"/>
    </w:p>
    <w:p w14:paraId="0F3DBA2D" w14:textId="6638E57F" w:rsidR="005B5CB9" w:rsidRDefault="005B5CB9" w:rsidP="00364338">
      <w:pPr>
        <w:pStyle w:val="Body"/>
      </w:pPr>
      <w:r>
        <w:t xml:space="preserve">The </w:t>
      </w:r>
      <w:r w:rsidR="005719B1">
        <w:t>Addendum to the NHRA 2026-2031</w:t>
      </w:r>
      <w:r w:rsidR="005719B1">
        <w:t xml:space="preserve"> </w:t>
      </w:r>
      <w:r>
        <w:t>requires annual reconciliation of Commonwealth ABF and block funding to ensure estimates are adjusted to actual delivery. ABF entitlements are based on reported NWAU. The Administrator of the NHFP calculates reconciliation adjustments; the Commonwealth Treasurer makes a final determination. Adjustments are spread across payments in the following quarter.</w:t>
      </w:r>
    </w:p>
    <w:p w14:paraId="4E1C05C5" w14:textId="169BAC86" w:rsidR="005B5CB9" w:rsidRPr="0007156B" w:rsidRDefault="005B5CB9" w:rsidP="005B5CB9">
      <w:pPr>
        <w:pStyle w:val="Heading2"/>
      </w:pPr>
      <w:bookmarkStart w:id="1877" w:name="_10.4_Funding_to"/>
      <w:bookmarkStart w:id="1878" w:name="_Toc234580343"/>
      <w:bookmarkEnd w:id="1877"/>
      <w:r>
        <w:t>Safety and quality adjustments</w:t>
      </w:r>
      <w:bookmarkEnd w:id="1878"/>
      <w:r>
        <w:t xml:space="preserve"> </w:t>
      </w:r>
    </w:p>
    <w:p w14:paraId="241643F7" w14:textId="77777777" w:rsidR="005B5CB9" w:rsidRDefault="005B5CB9" w:rsidP="00364338">
      <w:pPr>
        <w:pStyle w:val="Body"/>
      </w:pPr>
      <w:r>
        <w:t xml:space="preserve">A funding adjustment is applied to each NWAU-funded health service based on the change in HACs and/or AHRs relative to the previous year, after risk adjustment. Paid or recalled at the full VEP rate. HAC and AHR adjustments are netted to form one annual adjustment. </w:t>
      </w:r>
    </w:p>
    <w:p w14:paraId="053A15B4" w14:textId="26510500" w:rsidR="005B5CB9" w:rsidRDefault="005B5CB9" w:rsidP="005B5CB9">
      <w:pPr>
        <w:pStyle w:val="Heading2"/>
      </w:pPr>
      <w:bookmarkStart w:id="1879" w:name="_Toc165961836"/>
      <w:bookmarkStart w:id="1880" w:name="_Toc455836075"/>
      <w:bookmarkStart w:id="1881" w:name="_Toc6215626"/>
      <w:bookmarkStart w:id="1882" w:name="_Toc10199699"/>
      <w:bookmarkStart w:id="1883" w:name="_Toc52892599"/>
      <w:bookmarkStart w:id="1884" w:name="_Toc100263332"/>
      <w:bookmarkStart w:id="1885" w:name="_Toc234580344"/>
      <w:r>
        <w:t>Public and private activity mix</w:t>
      </w:r>
      <w:bookmarkEnd w:id="1879"/>
      <w:bookmarkEnd w:id="1885"/>
    </w:p>
    <w:p w14:paraId="205F4BFF" w14:textId="77777777" w:rsidR="005B5CB9" w:rsidRDefault="005B5CB9" w:rsidP="00364338">
      <w:pPr>
        <w:pStyle w:val="Body"/>
      </w:pPr>
      <w:r>
        <w:t>The PYA no longer explicitly accounts for changes in private patient activity relative to public activity. Changes in the public-to-private ratio affect NWAU per separation yield, which in turn affects the speed at which health services achieve throughput or recall thresholds.</w:t>
      </w:r>
    </w:p>
    <w:p w14:paraId="46E73EE9" w14:textId="1E0DDF2F" w:rsidR="005B5CB9" w:rsidRDefault="005B5CB9" w:rsidP="005B5CB9">
      <w:pPr>
        <w:pStyle w:val="Body"/>
      </w:pPr>
      <w:r>
        <w:t>NWAU values reported in Monitor will be used to assess health service performance and any funding recall.</w:t>
      </w:r>
      <w:bookmarkStart w:id="1886" w:name="_Toc111713580"/>
      <w:bookmarkStart w:id="1887" w:name="_Toc418694972"/>
      <w:bookmarkEnd w:id="1880"/>
      <w:bookmarkEnd w:id="1881"/>
      <w:bookmarkEnd w:id="1882"/>
      <w:bookmarkEnd w:id="1883"/>
      <w:bookmarkEnd w:id="1884"/>
      <w:bookmarkEnd w:id="1886"/>
      <w:r>
        <w:br w:type="page"/>
      </w:r>
    </w:p>
    <w:p w14:paraId="30655BDF" w14:textId="1537BDBB" w:rsidR="005B5CB9" w:rsidRDefault="005B5CB9" w:rsidP="005B5CB9">
      <w:pPr>
        <w:pStyle w:val="Heading1"/>
        <w:ind w:left="851" w:hanging="851"/>
      </w:pPr>
      <w:bookmarkStart w:id="1888" w:name="_Ref111538889"/>
      <w:bookmarkStart w:id="1889" w:name="_Ref111538897"/>
      <w:bookmarkStart w:id="1890" w:name="_Toc165961840"/>
      <w:bookmarkStart w:id="1891" w:name="_Toc234580345"/>
      <w:r>
        <w:lastRenderedPageBreak/>
        <w:t>Calculating funding recall</w:t>
      </w:r>
      <w:bookmarkEnd w:id="1888"/>
      <w:bookmarkEnd w:id="1889"/>
      <w:bookmarkEnd w:id="1890"/>
      <w:r>
        <w:t xml:space="preserve"> and adjustment</w:t>
      </w:r>
      <w:bookmarkEnd w:id="1891"/>
    </w:p>
    <w:p w14:paraId="3B8241B8" w14:textId="1676767E" w:rsidR="005B5CB9" w:rsidRPr="00E33FF4" w:rsidRDefault="005B5CB9" w:rsidP="005B5CB9">
      <w:pPr>
        <w:pStyle w:val="Heading2"/>
      </w:pPr>
      <w:bookmarkStart w:id="1892" w:name="_11.1_NWAU_funding"/>
      <w:bookmarkStart w:id="1893" w:name="_Toc234580346"/>
      <w:bookmarkEnd w:id="1892"/>
      <w:r w:rsidRPr="00E33FF4">
        <w:t>NWAU funding recall</w:t>
      </w:r>
      <w:bookmarkEnd w:id="1893"/>
    </w:p>
    <w:p w14:paraId="0F20032B" w14:textId="77777777" w:rsidR="005B5CB9" w:rsidRPr="00364338" w:rsidRDefault="005B5CB9" w:rsidP="00364338">
      <w:pPr>
        <w:pStyle w:val="Body"/>
      </w:pPr>
      <w:bookmarkStart w:id="1894" w:name="_Toc487742054"/>
      <w:bookmarkStart w:id="1895" w:name="_Toc14172285"/>
      <w:bookmarkStart w:id="1896" w:name="_Toc55381149"/>
      <w:bookmarkStart w:id="1897" w:name="_Toc100263356"/>
      <w:bookmarkStart w:id="1898" w:name="_Toc165961841"/>
      <w:r w:rsidRPr="00364338">
        <w:t xml:space="preserve">The steps for calculating NWAU funding </w:t>
      </w:r>
      <w:bookmarkEnd w:id="1894"/>
      <w:bookmarkEnd w:id="1895"/>
      <w:bookmarkEnd w:id="1896"/>
      <w:bookmarkEnd w:id="1897"/>
      <w:r w:rsidRPr="00364338">
        <w:t>recall</w:t>
      </w:r>
      <w:bookmarkEnd w:id="1898"/>
      <w:r w:rsidRPr="00364338">
        <w:t xml:space="preserve"> include:</w:t>
      </w:r>
    </w:p>
    <w:p w14:paraId="5A263B7F" w14:textId="77777777" w:rsidR="005B5CB9" w:rsidRPr="00364338" w:rsidRDefault="005B5CB9" w:rsidP="00364338">
      <w:pPr>
        <w:pStyle w:val="Bullet1"/>
      </w:pPr>
      <w:r w:rsidRPr="00364338">
        <w:t>Step 1: Calculate the full-year total NWAU activity</w:t>
      </w:r>
    </w:p>
    <w:p w14:paraId="07C55DCB" w14:textId="77777777" w:rsidR="005B5CB9" w:rsidRPr="00364338" w:rsidRDefault="005B5CB9" w:rsidP="00364338">
      <w:pPr>
        <w:pStyle w:val="Bullet1"/>
      </w:pPr>
      <w:r w:rsidRPr="00364338">
        <w:t>Step 2: Calculate full-year NWAU activity targets</w:t>
      </w:r>
    </w:p>
    <w:p w14:paraId="39ABE261" w14:textId="77777777" w:rsidR="005B5CB9" w:rsidRPr="00364338" w:rsidRDefault="005B5CB9" w:rsidP="00364338">
      <w:pPr>
        <w:pStyle w:val="Bullet1"/>
      </w:pPr>
      <w:r w:rsidRPr="00364338" w:rsidDel="00F65C42">
        <w:t>Step 3:</w:t>
      </w:r>
      <w:r w:rsidRPr="00364338">
        <w:t xml:space="preserve"> Express actual activity as a percentage of the revised target to determine performance above or below target</w:t>
      </w:r>
      <w:r w:rsidRPr="00364338" w:rsidDel="00AE5659">
        <w:t xml:space="preserve"> </w:t>
      </w:r>
    </w:p>
    <w:p w14:paraId="12186E78" w14:textId="77777777" w:rsidR="005B5CB9" w:rsidRPr="00364338" w:rsidRDefault="005B5CB9" w:rsidP="00364338">
      <w:pPr>
        <w:pStyle w:val="Bullet1"/>
      </w:pPr>
      <w:r w:rsidRPr="00364338" w:rsidDel="00F65C42">
        <w:t xml:space="preserve">Step </w:t>
      </w:r>
      <w:r w:rsidRPr="00364338">
        <w:t>4: Multiply the performance percentage within the recall/payment threshold by the target value. Multiply by the VEP, then multiply by the recall/payment percentage.</w:t>
      </w:r>
    </w:p>
    <w:p w14:paraId="4E52B328" w14:textId="7AD1C19D" w:rsidR="005B5CB9" w:rsidRDefault="005B5CB9" w:rsidP="005B5CB9">
      <w:pPr>
        <w:pStyle w:val="Heading2"/>
      </w:pPr>
      <w:bookmarkStart w:id="1899" w:name="_11.2_HAC_NWAU"/>
      <w:bookmarkStart w:id="1900" w:name="_Ref143004077"/>
      <w:bookmarkStart w:id="1901" w:name="_Toc165961842"/>
      <w:bookmarkStart w:id="1902" w:name="_Toc234580347"/>
      <w:bookmarkEnd w:id="1899"/>
      <w:r>
        <w:t>HAC NWAU growth-funding adjustment</w:t>
      </w:r>
      <w:bookmarkEnd w:id="1900"/>
      <w:bookmarkEnd w:id="1901"/>
      <w:bookmarkEnd w:id="1902"/>
      <w:r>
        <w:t xml:space="preserve"> </w:t>
      </w:r>
    </w:p>
    <w:p w14:paraId="55AFDCE6" w14:textId="77777777" w:rsidR="005B5CB9" w:rsidRPr="00364338" w:rsidRDefault="005B5CB9" w:rsidP="00364338">
      <w:pPr>
        <w:pStyle w:val="Body"/>
      </w:pPr>
      <w:r w:rsidRPr="00364338">
        <w:t>The steps for calculating NWAU growth-funding adjustment include:</w:t>
      </w:r>
    </w:p>
    <w:p w14:paraId="56BA3573" w14:textId="77777777" w:rsidR="005B5CB9" w:rsidRPr="00364338" w:rsidRDefault="005B5CB9" w:rsidP="00364338">
      <w:pPr>
        <w:pStyle w:val="Bullet1"/>
      </w:pPr>
      <w:r w:rsidRPr="00364338">
        <w:t>Step 1: For the current year, calculate the full-year total HAC NWAU adjustment</w:t>
      </w:r>
    </w:p>
    <w:p w14:paraId="40A16B12" w14:textId="77777777" w:rsidR="005B5CB9" w:rsidRPr="00364338" w:rsidRDefault="005B5CB9" w:rsidP="00364338">
      <w:pPr>
        <w:pStyle w:val="Bullet1"/>
      </w:pPr>
      <w:r w:rsidRPr="00364338">
        <w:t>Step 2: For the prior year, calculate the full-year HAC NWAU adjustment</w:t>
      </w:r>
    </w:p>
    <w:p w14:paraId="0B9579C5" w14:textId="77777777" w:rsidR="005B5CB9" w:rsidRPr="00364338" w:rsidRDefault="005B5CB9" w:rsidP="00364338">
      <w:pPr>
        <w:pStyle w:val="Bullet1"/>
      </w:pPr>
      <w:r w:rsidRPr="00364338">
        <w:t>Step 3: Calculate the change in the HAC NWAU adjustment as the difference between Step 1 and Step 2</w:t>
      </w:r>
    </w:p>
    <w:p w14:paraId="006D2115" w14:textId="77777777" w:rsidR="005B5CB9" w:rsidRPr="00364338" w:rsidRDefault="005B5CB9" w:rsidP="00364338">
      <w:pPr>
        <w:pStyle w:val="Bullet1"/>
      </w:pPr>
      <w:r w:rsidRPr="00364338">
        <w:t>Step 4: Multiply Step 3 by VEP to derive the HAC NWAU funding adjustment. The funding adjustment is applied as a PYA at the same time as the throughput and recall adjustment.</w:t>
      </w:r>
    </w:p>
    <w:p w14:paraId="759AE40A" w14:textId="6AF5DC3B" w:rsidR="005B5CB9" w:rsidRDefault="005B5CB9" w:rsidP="005B5CB9">
      <w:pPr>
        <w:pStyle w:val="Heading2"/>
      </w:pPr>
      <w:bookmarkStart w:id="1903" w:name="_11.3_AHR_NWAU"/>
      <w:bookmarkStart w:id="1904" w:name="_Ref167781452"/>
      <w:bookmarkStart w:id="1905" w:name="_Toc487742055"/>
      <w:bookmarkStart w:id="1906" w:name="_Toc14172286"/>
      <w:bookmarkStart w:id="1907" w:name="_Toc55381150"/>
      <w:bookmarkStart w:id="1908" w:name="_Toc100263357"/>
      <w:bookmarkStart w:id="1909" w:name="_Toc165961843"/>
      <w:bookmarkStart w:id="1910" w:name="_Toc234580348"/>
      <w:bookmarkEnd w:id="1903"/>
      <w:r>
        <w:t>AHR NWAU growth-funding adjustment</w:t>
      </w:r>
      <w:bookmarkEnd w:id="1904"/>
      <w:bookmarkEnd w:id="1910"/>
      <w:r>
        <w:t xml:space="preserve"> </w:t>
      </w:r>
    </w:p>
    <w:p w14:paraId="522B436D" w14:textId="77777777" w:rsidR="005B5CB9" w:rsidRPr="0078390C" w:rsidRDefault="005B5CB9" w:rsidP="005B5CB9">
      <w:pPr>
        <w:pStyle w:val="Body"/>
      </w:pPr>
      <w:r>
        <w:t>The steps for calculating NWAU growth-funding adjustment include:</w:t>
      </w:r>
    </w:p>
    <w:p w14:paraId="60C69246" w14:textId="77777777" w:rsidR="005B5CB9" w:rsidRPr="00364338" w:rsidRDefault="005B5CB9" w:rsidP="00364338">
      <w:pPr>
        <w:pStyle w:val="Bullet1"/>
      </w:pPr>
      <w:r w:rsidRPr="00364338">
        <w:t>Step 1: For the current year, calculate the full-year total AHR NWAU adjustment</w:t>
      </w:r>
    </w:p>
    <w:p w14:paraId="3CE673ED" w14:textId="77777777" w:rsidR="005B5CB9" w:rsidRPr="00364338" w:rsidRDefault="005B5CB9" w:rsidP="00364338">
      <w:pPr>
        <w:pStyle w:val="Bullet1"/>
      </w:pPr>
      <w:r w:rsidRPr="00364338">
        <w:t>Step 2: For the prior year, calculate the full-year AHR NWAU adjustment and back cast to align NWAU between the current and prior year</w:t>
      </w:r>
    </w:p>
    <w:p w14:paraId="6FFA2589" w14:textId="77777777" w:rsidR="005B5CB9" w:rsidRPr="00364338" w:rsidRDefault="005B5CB9" w:rsidP="00364338">
      <w:pPr>
        <w:pStyle w:val="Bullet1"/>
      </w:pPr>
      <w:r w:rsidRPr="00364338">
        <w:t>Step 3: Calculate the change in the AHR NWAU adjustment as the difference between Step 1 and Step 2</w:t>
      </w:r>
    </w:p>
    <w:p w14:paraId="6A7EDBD3" w14:textId="77777777" w:rsidR="005B5CB9" w:rsidRPr="00364338" w:rsidRDefault="005B5CB9" w:rsidP="00364338">
      <w:pPr>
        <w:pStyle w:val="Bullet1"/>
      </w:pPr>
      <w:r w:rsidRPr="00364338">
        <w:t>Step 4: Calculate the AHR growth-funding adjustment. Multiply Step 3 by VEP to derive the AHR NWAU funding adjustment.</w:t>
      </w:r>
    </w:p>
    <w:p w14:paraId="1FC40C97" w14:textId="1F7796A9" w:rsidR="005B5CB9" w:rsidRDefault="005B5CB9" w:rsidP="005B5CB9">
      <w:pPr>
        <w:pStyle w:val="Heading2"/>
      </w:pPr>
      <w:bookmarkStart w:id="1911" w:name="_Toc234580349"/>
      <w:r>
        <w:t xml:space="preserve">TAC, WorkSafe or DVA NWAU funding </w:t>
      </w:r>
      <w:bookmarkEnd w:id="1905"/>
      <w:bookmarkEnd w:id="1906"/>
      <w:bookmarkEnd w:id="1907"/>
      <w:bookmarkEnd w:id="1908"/>
      <w:r>
        <w:t>recall</w:t>
      </w:r>
      <w:bookmarkEnd w:id="1909"/>
      <w:bookmarkEnd w:id="1911"/>
    </w:p>
    <w:p w14:paraId="3F23B5A7" w14:textId="77777777" w:rsidR="005B5CB9" w:rsidRPr="0078390C" w:rsidRDefault="005B5CB9" w:rsidP="005B5CB9">
      <w:pPr>
        <w:pStyle w:val="Body"/>
      </w:pPr>
      <w:r>
        <w:t xml:space="preserve">The steps for calculating </w:t>
      </w:r>
      <w:r w:rsidRPr="0078390C">
        <w:t xml:space="preserve">TAC, WorkSafe or DVA NWAU funding recall </w:t>
      </w:r>
      <w:r>
        <w:t>include:</w:t>
      </w:r>
    </w:p>
    <w:p w14:paraId="57FC955E" w14:textId="77777777" w:rsidR="005B5CB9" w:rsidRPr="00364338" w:rsidRDefault="005B5CB9" w:rsidP="00364338">
      <w:pPr>
        <w:pStyle w:val="Bullet1"/>
      </w:pPr>
      <w:r w:rsidRPr="00364338">
        <w:t>Step 1: Calculate the over- or underactivity by subtracting the total full-year target from total full-year activity. A negative variance indicates that actual activity is less than the funded target (under-performance), and a positive variance indicated activity is greater than funded performance (overactivity)</w:t>
      </w:r>
    </w:p>
    <w:p w14:paraId="0FFB1EDA" w14:textId="77777777" w:rsidR="005B5CB9" w:rsidRPr="00364338" w:rsidRDefault="005B5CB9" w:rsidP="00364338">
      <w:pPr>
        <w:pStyle w:val="Bullet1"/>
      </w:pPr>
      <w:r w:rsidRPr="00364338">
        <w:t>Step 2: Calculate the amount of funding to be recalled (health service liability to department) or paid (department liability to health service) by multiplying the variance calculated in Step 1 by the TAC, WorkSafe or DVA NWAU unit rate.</w:t>
      </w:r>
    </w:p>
    <w:p w14:paraId="2FDB53A8" w14:textId="77777777" w:rsidR="005B5CB9" w:rsidRDefault="005B5CB9" w:rsidP="005B5CB9">
      <w:pPr>
        <w:spacing w:after="0" w:line="240" w:lineRule="auto"/>
        <w:rPr>
          <w:rFonts w:eastAsia="Times"/>
        </w:rPr>
      </w:pPr>
      <w:bookmarkStart w:id="1912" w:name="_Toc452819097"/>
      <w:bookmarkStart w:id="1913" w:name="_Toc452822067"/>
      <w:bookmarkStart w:id="1914" w:name="_Toc452819098"/>
      <w:bookmarkStart w:id="1915" w:name="_Toc452822068"/>
      <w:bookmarkStart w:id="1916" w:name="_Toc452819099"/>
      <w:bookmarkStart w:id="1917" w:name="_Toc452822069"/>
      <w:bookmarkStart w:id="1918" w:name="_Toc452819100"/>
      <w:bookmarkStart w:id="1919" w:name="_Toc452822070"/>
      <w:bookmarkStart w:id="1920" w:name="_Toc452819101"/>
      <w:bookmarkStart w:id="1921" w:name="_Toc452822071"/>
      <w:bookmarkStart w:id="1922" w:name="_Toc452819102"/>
      <w:bookmarkStart w:id="1923" w:name="_Toc452822072"/>
      <w:bookmarkStart w:id="1924" w:name="_Toc452819103"/>
      <w:bookmarkStart w:id="1925" w:name="_Toc452822073"/>
      <w:bookmarkStart w:id="1926" w:name="_Toc452819104"/>
      <w:bookmarkStart w:id="1927" w:name="_Toc452822074"/>
      <w:bookmarkStart w:id="1928" w:name="_Toc452819105"/>
      <w:bookmarkStart w:id="1929" w:name="_Toc452822075"/>
      <w:bookmarkStart w:id="1930" w:name="_Toc452819106"/>
      <w:bookmarkStart w:id="1931" w:name="_Toc452822076"/>
      <w:bookmarkStart w:id="1932" w:name="_Toc452819107"/>
      <w:bookmarkStart w:id="1933" w:name="_Toc452822077"/>
      <w:bookmarkStart w:id="1934" w:name="_Toc452819108"/>
      <w:bookmarkStart w:id="1935" w:name="_Toc452822078"/>
      <w:bookmarkStart w:id="1936" w:name="_Toc452819109"/>
      <w:bookmarkStart w:id="1937" w:name="_Toc452822079"/>
      <w:bookmarkStart w:id="1938" w:name="_Toc452819110"/>
      <w:bookmarkStart w:id="1939" w:name="_Toc452822080"/>
      <w:bookmarkStart w:id="1940" w:name="_Toc452819111"/>
      <w:bookmarkStart w:id="1941" w:name="_Toc452822081"/>
      <w:bookmarkStart w:id="1942" w:name="_Toc452819112"/>
      <w:bookmarkStart w:id="1943" w:name="_Toc452822082"/>
      <w:bookmarkStart w:id="1944" w:name="_Toc484327540"/>
      <w:bookmarkStart w:id="1945" w:name="_Toc484327542"/>
      <w:bookmarkStart w:id="1946" w:name="_Toc484327544"/>
      <w:bookmarkStart w:id="1947" w:name="_Toc484327545"/>
      <w:bookmarkStart w:id="1948" w:name="_Toc484327547"/>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r>
        <w:br w:type="page"/>
      </w:r>
    </w:p>
    <w:p w14:paraId="0C25324B" w14:textId="600A5F4A" w:rsidR="005B5CB9" w:rsidRDefault="005B5CB9" w:rsidP="005B5CB9">
      <w:pPr>
        <w:pStyle w:val="Heading1"/>
      </w:pPr>
      <w:bookmarkStart w:id="1949" w:name="_Toc59472682"/>
      <w:bookmarkStart w:id="1950" w:name="_Toc5810315"/>
      <w:bookmarkStart w:id="1951" w:name="_Toc5871391"/>
      <w:bookmarkStart w:id="1952" w:name="_Toc5871662"/>
      <w:bookmarkStart w:id="1953" w:name="_Toc5810316"/>
      <w:bookmarkStart w:id="1954" w:name="_Toc5810485"/>
      <w:bookmarkStart w:id="1955" w:name="_Toc5871392"/>
      <w:bookmarkStart w:id="1956" w:name="_Toc5871663"/>
      <w:bookmarkStart w:id="1957" w:name="_Toc5810317"/>
      <w:bookmarkStart w:id="1958" w:name="_Toc5810486"/>
      <w:bookmarkStart w:id="1959" w:name="_Toc5871393"/>
      <w:bookmarkStart w:id="1960" w:name="_Toc5871664"/>
      <w:bookmarkStart w:id="1961" w:name="_Toc5810318"/>
      <w:bookmarkStart w:id="1962" w:name="_Toc5810487"/>
      <w:bookmarkStart w:id="1963" w:name="_Toc5871394"/>
      <w:bookmarkStart w:id="1964" w:name="_Toc5871665"/>
      <w:bookmarkStart w:id="1965" w:name="_Toc51061162"/>
      <w:bookmarkStart w:id="1966" w:name="_Toc51062423"/>
      <w:bookmarkStart w:id="1967" w:name="_Toc51082066"/>
      <w:bookmarkStart w:id="1968" w:name="_Toc52897457"/>
      <w:bookmarkStart w:id="1969" w:name="_Toc52898836"/>
      <w:bookmarkStart w:id="1970" w:name="_Toc52900291"/>
      <w:bookmarkStart w:id="1971" w:name="_Toc52901634"/>
      <w:bookmarkStart w:id="1972" w:name="_Toc52903097"/>
      <w:bookmarkStart w:id="1973" w:name="_Toc53058074"/>
      <w:bookmarkStart w:id="1974" w:name="_Toc53059418"/>
      <w:bookmarkStart w:id="1975" w:name="_Toc53060760"/>
      <w:bookmarkStart w:id="1976" w:name="_Toc53062223"/>
      <w:bookmarkStart w:id="1977" w:name="_Toc53063600"/>
      <w:bookmarkStart w:id="1978" w:name="_Toc53064978"/>
      <w:bookmarkStart w:id="1979" w:name="_Toc54261562"/>
      <w:bookmarkStart w:id="1980" w:name="_Toc54615378"/>
      <w:bookmarkStart w:id="1981" w:name="_Toc55380961"/>
      <w:bookmarkStart w:id="1982" w:name="_Toc51061230"/>
      <w:bookmarkStart w:id="1983" w:name="_Toc51062491"/>
      <w:bookmarkStart w:id="1984" w:name="_Toc51082134"/>
      <w:bookmarkStart w:id="1985" w:name="_Toc51061313"/>
      <w:bookmarkStart w:id="1986" w:name="_Toc51062574"/>
      <w:bookmarkStart w:id="1987" w:name="_Toc51082217"/>
      <w:bookmarkStart w:id="1988" w:name="_Toc52897600"/>
      <w:bookmarkStart w:id="1989" w:name="_Toc52898979"/>
      <w:bookmarkStart w:id="1990" w:name="_Toc52900434"/>
      <w:bookmarkStart w:id="1991" w:name="_Toc52901777"/>
      <w:bookmarkStart w:id="1992" w:name="_Toc52903240"/>
      <w:bookmarkStart w:id="1993" w:name="_Toc53058217"/>
      <w:bookmarkStart w:id="1994" w:name="_Toc53059561"/>
      <w:bookmarkStart w:id="1995" w:name="_Toc53060903"/>
      <w:bookmarkStart w:id="1996" w:name="_Toc53062366"/>
      <w:bookmarkStart w:id="1997" w:name="_Toc53063743"/>
      <w:bookmarkStart w:id="1998" w:name="_Toc53065121"/>
      <w:bookmarkStart w:id="1999" w:name="_Toc53387630"/>
      <w:bookmarkStart w:id="2000" w:name="_Toc51062183"/>
      <w:bookmarkStart w:id="2001" w:name="_Toc51063444"/>
      <w:bookmarkStart w:id="2002" w:name="_Toc51083087"/>
      <w:bookmarkStart w:id="2003" w:name="_Toc52898470"/>
      <w:bookmarkStart w:id="2004" w:name="_Toc52899849"/>
      <w:bookmarkStart w:id="2005" w:name="_Toc52901304"/>
      <w:bookmarkStart w:id="2006" w:name="_Toc52902647"/>
      <w:bookmarkStart w:id="2007" w:name="_Toc52904110"/>
      <w:bookmarkStart w:id="2008" w:name="_Toc53059087"/>
      <w:bookmarkStart w:id="2009" w:name="_Toc53060431"/>
      <w:bookmarkStart w:id="2010" w:name="_Toc53061773"/>
      <w:bookmarkStart w:id="2011" w:name="_Toc53063236"/>
      <w:bookmarkStart w:id="2012" w:name="_Toc53064613"/>
      <w:bookmarkStart w:id="2013" w:name="_Toc53065991"/>
      <w:bookmarkStart w:id="2014" w:name="_Toc6408403"/>
      <w:bookmarkStart w:id="2015" w:name="_Toc10199774"/>
      <w:bookmarkStart w:id="2016" w:name="_Toc37862571"/>
      <w:bookmarkStart w:id="2017" w:name="_Toc52892655"/>
      <w:bookmarkStart w:id="2018" w:name="_Toc100263339"/>
      <w:bookmarkStart w:id="2019" w:name="_Toc165961844"/>
      <w:bookmarkStart w:id="2020" w:name="_Toc234580350"/>
      <w:bookmarkEnd w:id="1798"/>
      <w:bookmarkEnd w:id="1799"/>
      <w:bookmarkEnd w:id="1800"/>
      <w:bookmarkEnd w:id="1801"/>
      <w:bookmarkEnd w:id="1802"/>
      <w:bookmarkEnd w:id="1803"/>
      <w:bookmarkEnd w:id="1804"/>
      <w:bookmarkEnd w:id="1887"/>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lastRenderedPageBreak/>
        <w:t xml:space="preserve">Payments and cash </w:t>
      </w:r>
      <w:bookmarkEnd w:id="2014"/>
      <w:bookmarkEnd w:id="2015"/>
      <w:bookmarkEnd w:id="2016"/>
      <w:bookmarkEnd w:id="2017"/>
      <w:bookmarkEnd w:id="2018"/>
      <w:r>
        <w:t>flow</w:t>
      </w:r>
      <w:bookmarkEnd w:id="2019"/>
      <w:bookmarkEnd w:id="2020"/>
    </w:p>
    <w:p w14:paraId="0A072E0F" w14:textId="2738C74D" w:rsidR="005B5CB9" w:rsidRDefault="005B5CB9" w:rsidP="005B5CB9">
      <w:pPr>
        <w:pStyle w:val="Heading2"/>
      </w:pPr>
      <w:bookmarkStart w:id="2021" w:name="_Toc100263341"/>
      <w:bookmarkStart w:id="2022" w:name="_Toc6408406"/>
      <w:bookmarkStart w:id="2023" w:name="_Toc10199777"/>
      <w:bookmarkStart w:id="2024" w:name="_Toc37862574"/>
      <w:bookmarkStart w:id="2025" w:name="_Toc52892658"/>
      <w:bookmarkStart w:id="2026" w:name="_Toc165961845"/>
      <w:bookmarkStart w:id="2027" w:name="_Toc234580351"/>
      <w:r>
        <w:t xml:space="preserve">Use of </w:t>
      </w:r>
      <w:bookmarkEnd w:id="2021"/>
      <w:bookmarkEnd w:id="2022"/>
      <w:bookmarkEnd w:id="2023"/>
      <w:bookmarkEnd w:id="2024"/>
      <w:bookmarkEnd w:id="2025"/>
      <w:r>
        <w:t>contracts</w:t>
      </w:r>
      <w:bookmarkEnd w:id="2026"/>
      <w:bookmarkEnd w:id="2027"/>
      <w:r>
        <w:t xml:space="preserve"> </w:t>
      </w:r>
    </w:p>
    <w:p w14:paraId="507E9B83" w14:textId="1B897E21" w:rsidR="005B5CB9" w:rsidRDefault="005B5CB9" w:rsidP="00364338">
      <w:pPr>
        <w:pStyle w:val="Body"/>
      </w:pPr>
      <w:r>
        <w:t xml:space="preserve">Where a health service has reduced capacity, it may contract with another service for a limited period. Approval from the </w:t>
      </w:r>
      <w:r w:rsidR="000D79CF">
        <w:t>d</w:t>
      </w:r>
      <w:r w:rsidR="00182238">
        <w:t>epartment</w:t>
      </w:r>
      <w:r>
        <w:t xml:space="preserve"> requires demonstration that the capacity reduction is temporary and the contract is an appropriate use of allocated NWAU. Episodes at the contracted provider are not eligible for NWAU ABF. </w:t>
      </w:r>
      <w:r w:rsidR="00B65AF3">
        <w:t>For more information</w:t>
      </w:r>
      <w:r w:rsidR="00A33B45">
        <w:t xml:space="preserve"> on reporting guidelines, s</w:t>
      </w:r>
      <w:r>
        <w:t xml:space="preserve">ee the </w:t>
      </w:r>
      <w:hyperlink r:id="rId44" w:history="1">
        <w:r w:rsidRPr="00A33B45">
          <w:rPr>
            <w:rStyle w:val="Hyperlink"/>
          </w:rPr>
          <w:t>VAED manual</w:t>
        </w:r>
      </w:hyperlink>
      <w:r w:rsidR="00A33B45">
        <w:t xml:space="preserve"> &lt;</w:t>
      </w:r>
      <w:r w:rsidR="00A33B45" w:rsidRPr="00A33B45">
        <w:t>https://www.health.vic.gov.au/data-reporting/victorian-admitted-episodes-dataset</w:t>
      </w:r>
      <w:r w:rsidR="00A33B45">
        <w:t>&gt;</w:t>
      </w:r>
      <w:r>
        <w:t>.</w:t>
      </w:r>
    </w:p>
    <w:p w14:paraId="2420D4EC" w14:textId="635CA512" w:rsidR="005B5CB9" w:rsidRDefault="005B5CB9" w:rsidP="005B5CB9">
      <w:pPr>
        <w:pStyle w:val="Heading2"/>
      </w:pPr>
      <w:bookmarkStart w:id="2028" w:name="_Toc197452758"/>
      <w:bookmarkStart w:id="2029" w:name="_Toc6408407"/>
      <w:bookmarkStart w:id="2030" w:name="_Ref9933651"/>
      <w:bookmarkStart w:id="2031" w:name="_Ref9933660"/>
      <w:bookmarkStart w:id="2032" w:name="_Toc10199778"/>
      <w:bookmarkStart w:id="2033" w:name="_Toc37862575"/>
      <w:bookmarkStart w:id="2034" w:name="_Toc52892659"/>
      <w:bookmarkStart w:id="2035" w:name="_Toc100263342"/>
      <w:bookmarkStart w:id="2036" w:name="_Ref144128947"/>
      <w:bookmarkStart w:id="2037" w:name="_Toc165961846"/>
      <w:bookmarkStart w:id="2038" w:name="_Ref199318532"/>
      <w:bookmarkStart w:id="2039" w:name="_Ref199318544"/>
      <w:bookmarkStart w:id="2040" w:name="_Ref199318547"/>
      <w:bookmarkStart w:id="2041" w:name="_Toc234580352"/>
      <w:bookmarkEnd w:id="2028"/>
      <w:r>
        <w:t>Health service fees and charges</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r>
        <w:t xml:space="preserve"> </w:t>
      </w:r>
    </w:p>
    <w:p w14:paraId="1A951D88" w14:textId="77777777" w:rsidR="005B5CB9" w:rsidRDefault="005B5CB9" w:rsidP="00364338">
      <w:pPr>
        <w:pStyle w:val="Body"/>
      </w:pPr>
      <w:r>
        <w:t>Fees must comply with the department’s Patient fees and charges for public health services policy. Health services may raise fees for: dental services; spectacles and hearing aids; surgical supplies; aids, appliances and home modifications; and other services agreed with the Commonwealth. Upon admitted discharge, health services may charge for pharmaceuticals at PBS co-payment levels for use after separation. The following must be provided free of charge: artificial limbs; surgically implanted prostheses; and external breast prostheses funded by the National External Breast Prostheses Reimbursement Program.</w:t>
      </w:r>
    </w:p>
    <w:p w14:paraId="659A9BEF" w14:textId="7515D53E" w:rsidR="005B5CB9" w:rsidRDefault="005B5CB9" w:rsidP="005B5CB9">
      <w:pPr>
        <w:pStyle w:val="Heading2"/>
      </w:pPr>
      <w:bookmarkStart w:id="2042" w:name="_Toc37862576"/>
      <w:bookmarkStart w:id="2043" w:name="_Toc37862577"/>
      <w:bookmarkStart w:id="2044" w:name="_Toc37862578"/>
      <w:bookmarkStart w:id="2045" w:name="_Toc37862579"/>
      <w:bookmarkStart w:id="2046" w:name="_Toc37862580"/>
      <w:bookmarkStart w:id="2047" w:name="_Toc6408408"/>
      <w:bookmarkStart w:id="2048" w:name="_Toc10199779"/>
      <w:bookmarkStart w:id="2049" w:name="_Toc37862581"/>
      <w:bookmarkStart w:id="2050" w:name="_Toc52892660"/>
      <w:bookmarkStart w:id="2051" w:name="_Toc100263343"/>
      <w:bookmarkStart w:id="2052" w:name="_Toc165961847"/>
      <w:bookmarkStart w:id="2053" w:name="_Toc234580353"/>
      <w:bookmarkEnd w:id="2042"/>
      <w:bookmarkEnd w:id="2043"/>
      <w:bookmarkEnd w:id="2044"/>
      <w:bookmarkEnd w:id="2045"/>
      <w:bookmarkEnd w:id="2046"/>
      <w:r>
        <w:t>Facility-based renal dialysis</w:t>
      </w:r>
      <w:bookmarkEnd w:id="2053"/>
    </w:p>
    <w:p w14:paraId="775CFC22" w14:textId="77777777" w:rsidR="005B5CB9" w:rsidRDefault="005B5CB9" w:rsidP="00364338">
      <w:pPr>
        <w:pStyle w:val="Body"/>
      </w:pPr>
      <w:r>
        <w:t>Satellite facilities must pay their hub a set rate per L61Z dialysis separation: $123 for equipment and consumables (including maintenance, servicing and water testing); $86 for specialist services (including 24-hour on-call, review, emergency and coordination services).</w:t>
      </w:r>
    </w:p>
    <w:p w14:paraId="45419C29" w14:textId="6DC9A8EF" w:rsidR="005B5CB9" w:rsidRDefault="005B5CB9" w:rsidP="005B5CB9">
      <w:pPr>
        <w:pStyle w:val="Heading2"/>
      </w:pPr>
      <w:bookmarkStart w:id="2054" w:name="_Toc234580354"/>
      <w:r>
        <w:t>Private patient accommodation charges</w:t>
      </w:r>
      <w:bookmarkEnd w:id="2047"/>
      <w:bookmarkEnd w:id="2048"/>
      <w:bookmarkEnd w:id="2049"/>
      <w:bookmarkEnd w:id="2050"/>
      <w:bookmarkEnd w:id="2051"/>
      <w:bookmarkEnd w:id="2052"/>
      <w:bookmarkEnd w:id="2054"/>
      <w:r>
        <w:t xml:space="preserve"> </w:t>
      </w:r>
    </w:p>
    <w:p w14:paraId="0110BBD2" w14:textId="665CF44A" w:rsidR="005B5CB9" w:rsidRDefault="005B5CB9" w:rsidP="00364338">
      <w:pPr>
        <w:pStyle w:val="Body"/>
      </w:pPr>
      <w:r>
        <w:t xml:space="preserve">Health services should note </w:t>
      </w:r>
      <w:r w:rsidR="00B204F2">
        <w:t>part 3, section 8(b)</w:t>
      </w:r>
      <w:r w:rsidR="00B204F2">
        <w:t xml:space="preserve"> of </w:t>
      </w:r>
      <w:r>
        <w:t xml:space="preserve">the </w:t>
      </w:r>
      <w:r w:rsidRPr="00B204F2">
        <w:rPr>
          <w:i/>
          <w:iCs/>
        </w:rPr>
        <w:t>Private Health Insurance (Health Insurance Business) Rules 2018 (Cth)</w:t>
      </w:r>
      <w:r w:rsidR="00B204F2">
        <w:t>.</w:t>
      </w:r>
      <w:r>
        <w:t xml:space="preserve"> This states that treatment provided to a person at an </w:t>
      </w:r>
      <w:r w:rsidR="00BE4891">
        <w:t>ED</w:t>
      </w:r>
      <w:r>
        <w:t xml:space="preserve"> is excluded treatment for the purposes of private health insurance.</w:t>
      </w:r>
    </w:p>
    <w:p w14:paraId="7A02227B" w14:textId="77777777" w:rsidR="005B5CB9" w:rsidRDefault="005B5CB9" w:rsidP="00364338">
      <w:pPr>
        <w:pStyle w:val="Body"/>
      </w:pPr>
      <w:r>
        <w:t>The Commonwealth sets the minimum private health insurer benefit for shared-ward accommodation. No minimum is set for single rooms. Health services may set their own charges for private patients, considering the insurer benefit, patient willingness to pay, and the hospital’s viable co-payment position. Guidance is in the department’s Fees manual. Health services must not bill private health funds for accommodation or services provided to admitted private patients at an ED (</w:t>
      </w:r>
      <w:r w:rsidRPr="00B517FD">
        <w:rPr>
          <w:i/>
          <w:iCs/>
        </w:rPr>
        <w:t>Private Health Insurance (Health Insurance Business) Rules 2018</w:t>
      </w:r>
      <w:r>
        <w:t>, Pt 3 s.8(b)).</w:t>
      </w:r>
    </w:p>
    <w:p w14:paraId="3EF1B58E" w14:textId="1A42F675" w:rsidR="005B5CB9" w:rsidRDefault="005B5CB9" w:rsidP="005B5CB9">
      <w:pPr>
        <w:pStyle w:val="Heading2"/>
      </w:pPr>
      <w:bookmarkStart w:id="2055" w:name="_Redirection_of_Funds"/>
      <w:bookmarkStart w:id="2056" w:name="_Toc197452763"/>
      <w:bookmarkStart w:id="2057" w:name="_Toc197452764"/>
      <w:bookmarkStart w:id="2058" w:name="_Toc6408410"/>
      <w:bookmarkStart w:id="2059" w:name="_Toc10199781"/>
      <w:bookmarkStart w:id="2060" w:name="_Toc37862583"/>
      <w:bookmarkStart w:id="2061" w:name="_Toc52892662"/>
      <w:bookmarkStart w:id="2062" w:name="_Toc100263345"/>
      <w:bookmarkStart w:id="2063" w:name="_Toc165961849"/>
      <w:bookmarkStart w:id="2064" w:name="_Toc234580355"/>
      <w:bookmarkEnd w:id="2055"/>
      <w:bookmarkEnd w:id="2056"/>
      <w:bookmarkEnd w:id="2057"/>
      <w:r>
        <w:t>Doctors in training secondment arrangements</w:t>
      </w:r>
      <w:bookmarkEnd w:id="2058"/>
      <w:bookmarkEnd w:id="2059"/>
      <w:bookmarkEnd w:id="2060"/>
      <w:bookmarkEnd w:id="2061"/>
      <w:bookmarkEnd w:id="2062"/>
      <w:bookmarkEnd w:id="2063"/>
      <w:bookmarkEnd w:id="2064"/>
      <w:r>
        <w:t xml:space="preserve"> </w:t>
      </w:r>
    </w:p>
    <w:p w14:paraId="59CEEB1E" w14:textId="77777777" w:rsidR="005B5CB9" w:rsidRDefault="005B5CB9" w:rsidP="00364338">
      <w:pPr>
        <w:pStyle w:val="Body"/>
        <w:rPr>
          <w:lang w:eastAsia="en-AU"/>
        </w:rPr>
      </w:pPr>
      <w:r>
        <w:t>The parent hospital manages and pays all leave for junior doctors on rotation, including during the rotation period. If annual (or other) leave is planned within the rotation period, both hospitals should approve this leave. Only the parent hospital pays out annual leave, as this is included in the overheads paid to the parent hospital (refer to Doctors in Training (Victorian Public Health Sector) (AMA Victoria/SMOF) (Single Interest Employers) Enterprise Agreement 2022–2026). The parent hospital will endeavour to organise suitable relief for leave periods exceeding one week, ensuring the relieving doctor has commensurate experience and skills to maintain the expected service level at the external hospital.</w:t>
      </w:r>
      <w:r w:rsidRPr="5B850891">
        <w:rPr>
          <w:lang w:eastAsia="en-AU"/>
        </w:rPr>
        <w:br w:type="page"/>
      </w:r>
    </w:p>
    <w:p w14:paraId="721EB244" w14:textId="4F0EE7D4" w:rsidR="005B5CB9" w:rsidRDefault="005B5CB9" w:rsidP="005B5CB9">
      <w:pPr>
        <w:pStyle w:val="Heading1"/>
      </w:pPr>
      <w:bookmarkStart w:id="2065" w:name="_Toc450839104"/>
      <w:bookmarkStart w:id="2066" w:name="_Toc451801406"/>
      <w:bookmarkStart w:id="2067" w:name="_Toc451802013"/>
      <w:bookmarkStart w:id="2068" w:name="_Toc452211490"/>
      <w:bookmarkStart w:id="2069" w:name="_Toc452227856"/>
      <w:bookmarkStart w:id="2070" w:name="_Toc13040179"/>
      <w:bookmarkStart w:id="2071" w:name="_Toc13040180"/>
      <w:bookmarkStart w:id="2072" w:name="_Toc13040181"/>
      <w:bookmarkStart w:id="2073" w:name="_Toc13040182"/>
      <w:bookmarkStart w:id="2074" w:name="_Toc13040183"/>
      <w:bookmarkStart w:id="2075" w:name="_Toc13040184"/>
      <w:bookmarkStart w:id="2076" w:name="_Toc13040185"/>
      <w:bookmarkStart w:id="2077" w:name="_Toc13040186"/>
      <w:bookmarkStart w:id="2078" w:name="_Toc13040187"/>
      <w:bookmarkStart w:id="2079" w:name="_Toc13040188"/>
      <w:bookmarkStart w:id="2080" w:name="_Toc13040189"/>
      <w:bookmarkStart w:id="2081" w:name="_Toc13040190"/>
      <w:bookmarkStart w:id="2082" w:name="_Toc13040191"/>
      <w:bookmarkStart w:id="2083" w:name="_Toc13040192"/>
      <w:bookmarkStart w:id="2084" w:name="_Toc13040193"/>
      <w:bookmarkStart w:id="2085" w:name="_Toc13040194"/>
      <w:bookmarkStart w:id="2086" w:name="_Toc13040195"/>
      <w:bookmarkStart w:id="2087" w:name="_Toc13040196"/>
      <w:bookmarkStart w:id="2088" w:name="_Toc13040197"/>
      <w:bookmarkStart w:id="2089" w:name="_Toc13040198"/>
      <w:bookmarkStart w:id="2090" w:name="_Toc13040199"/>
      <w:bookmarkStart w:id="2091" w:name="_Toc13040200"/>
      <w:bookmarkStart w:id="2092" w:name="_Toc13040201"/>
      <w:bookmarkStart w:id="2093" w:name="_Toc13040202"/>
      <w:bookmarkStart w:id="2094" w:name="_Toc13040203"/>
      <w:bookmarkStart w:id="2095" w:name="_Toc13040204"/>
      <w:bookmarkStart w:id="2096" w:name="_Toc13040205"/>
      <w:bookmarkStart w:id="2097" w:name="_Toc13040206"/>
      <w:bookmarkStart w:id="2098" w:name="_Toc13040213"/>
      <w:bookmarkStart w:id="2099" w:name="_Toc13040214"/>
      <w:bookmarkStart w:id="2100" w:name="_Toc13040215"/>
      <w:bookmarkStart w:id="2101" w:name="_Toc13040216"/>
      <w:bookmarkStart w:id="2102" w:name="_Toc13040217"/>
      <w:bookmarkStart w:id="2103" w:name="_Toc13040218"/>
      <w:bookmarkStart w:id="2104" w:name="_Toc13040219"/>
      <w:bookmarkStart w:id="2105" w:name="_Toc13040220"/>
      <w:bookmarkStart w:id="2106" w:name="_Toc13040271"/>
      <w:bookmarkStart w:id="2107" w:name="_Toc13040272"/>
      <w:bookmarkStart w:id="2108" w:name="_Toc13040273"/>
      <w:bookmarkStart w:id="2109" w:name="_Toc13040274"/>
      <w:bookmarkStart w:id="2110" w:name="_Toc13040275"/>
      <w:bookmarkStart w:id="2111" w:name="_Toc13040276"/>
      <w:bookmarkStart w:id="2112" w:name="_Toc13040277"/>
      <w:bookmarkStart w:id="2113" w:name="_Toc13040278"/>
      <w:bookmarkStart w:id="2114" w:name="_Toc13040279"/>
      <w:bookmarkStart w:id="2115" w:name="_Toc13040280"/>
      <w:bookmarkStart w:id="2116" w:name="_Toc13040281"/>
      <w:bookmarkStart w:id="2117" w:name="_Toc13040282"/>
      <w:bookmarkStart w:id="2118" w:name="_Toc13040283"/>
      <w:bookmarkStart w:id="2119" w:name="_Toc13040284"/>
      <w:bookmarkStart w:id="2120" w:name="_Toc13040285"/>
      <w:bookmarkStart w:id="2121" w:name="_Toc13040286"/>
      <w:bookmarkStart w:id="2122" w:name="_Toc13040287"/>
      <w:bookmarkStart w:id="2123" w:name="_Toc13040288"/>
      <w:bookmarkStart w:id="2124" w:name="_Toc13040289"/>
      <w:bookmarkStart w:id="2125" w:name="_Toc13040290"/>
      <w:bookmarkStart w:id="2126" w:name="_Toc13040291"/>
      <w:bookmarkStart w:id="2127" w:name="_Toc13040292"/>
      <w:bookmarkStart w:id="2128" w:name="_Toc13040293"/>
      <w:bookmarkStart w:id="2129" w:name="_Toc13040294"/>
      <w:bookmarkStart w:id="2130" w:name="_Toc13040295"/>
      <w:bookmarkStart w:id="2131" w:name="_Toc13040296"/>
      <w:bookmarkStart w:id="2132" w:name="_Toc13040297"/>
      <w:bookmarkStart w:id="2133" w:name="_Toc13040298"/>
      <w:bookmarkStart w:id="2134" w:name="_Toc13040299"/>
      <w:bookmarkStart w:id="2135" w:name="_Toc13040300"/>
      <w:bookmarkStart w:id="2136" w:name="_Toc13040301"/>
      <w:bookmarkStart w:id="2137" w:name="_Toc13040302"/>
      <w:bookmarkStart w:id="2138" w:name="_Toc13040303"/>
      <w:bookmarkStart w:id="2139" w:name="_Toc13040304"/>
      <w:bookmarkStart w:id="2140" w:name="_Toc13040305"/>
      <w:bookmarkStart w:id="2141" w:name="_Toc13040306"/>
      <w:bookmarkStart w:id="2142" w:name="_Toc13040307"/>
      <w:bookmarkStart w:id="2143" w:name="_Toc13040308"/>
      <w:bookmarkStart w:id="2144" w:name="_Toc13040309"/>
      <w:bookmarkStart w:id="2145" w:name="_Toc13040310"/>
      <w:bookmarkStart w:id="2146" w:name="_Toc13040311"/>
      <w:bookmarkStart w:id="2147" w:name="_Toc13040312"/>
      <w:bookmarkStart w:id="2148" w:name="_Toc13040313"/>
      <w:bookmarkStart w:id="2149" w:name="_Toc13040314"/>
      <w:bookmarkStart w:id="2150" w:name="_Toc13040315"/>
      <w:bookmarkStart w:id="2151" w:name="_Toc13040316"/>
      <w:bookmarkStart w:id="2152" w:name="_Toc13040317"/>
      <w:bookmarkStart w:id="2153" w:name="_Toc13040318"/>
      <w:bookmarkStart w:id="2154" w:name="_Toc13040376"/>
      <w:bookmarkStart w:id="2155" w:name="_Toc13040385"/>
      <w:bookmarkStart w:id="2156" w:name="_Toc13040398"/>
      <w:bookmarkStart w:id="2157" w:name="_Toc13040407"/>
      <w:bookmarkStart w:id="2158" w:name="_Toc13040416"/>
      <w:bookmarkStart w:id="2159" w:name="_Toc13040417"/>
      <w:bookmarkStart w:id="2160" w:name="_Toc13040418"/>
      <w:bookmarkStart w:id="2161" w:name="_Toc13040419"/>
      <w:bookmarkStart w:id="2162" w:name="_Toc13040420"/>
      <w:bookmarkStart w:id="2163" w:name="_13_Price_tables"/>
      <w:bookmarkStart w:id="2164" w:name="_Toc418694984"/>
      <w:bookmarkStart w:id="2165" w:name="_Ref423019815"/>
      <w:bookmarkStart w:id="2166" w:name="_Ref423019825"/>
      <w:bookmarkStart w:id="2167" w:name="_Ref423019949"/>
      <w:bookmarkStart w:id="2168" w:name="_Ref423019957"/>
      <w:bookmarkStart w:id="2169" w:name="_Ref423020094"/>
      <w:bookmarkStart w:id="2170" w:name="_Ref423020103"/>
      <w:bookmarkStart w:id="2171" w:name="_Toc487742005"/>
      <w:bookmarkStart w:id="2172" w:name="_Ref12022946"/>
      <w:bookmarkStart w:id="2173" w:name="_Ref12022951"/>
      <w:bookmarkStart w:id="2174" w:name="_Ref12023799"/>
      <w:bookmarkStart w:id="2175" w:name="_Toc14172235"/>
      <w:bookmarkStart w:id="2176" w:name="_Ref70881789"/>
      <w:bookmarkStart w:id="2177" w:name="_Ref70881795"/>
      <w:bookmarkStart w:id="2178" w:name="_Ref70881989"/>
      <w:bookmarkStart w:id="2179" w:name="_Ref70881998"/>
      <w:bookmarkStart w:id="2180" w:name="_Ref70882094"/>
      <w:bookmarkStart w:id="2181" w:name="_Ref70882107"/>
      <w:bookmarkStart w:id="2182" w:name="_Ref70882154"/>
      <w:bookmarkStart w:id="2183" w:name="_Ref70882163"/>
      <w:bookmarkStart w:id="2184" w:name="_Ref70960639"/>
      <w:bookmarkStart w:id="2185" w:name="_Ref70960640"/>
      <w:bookmarkStart w:id="2186" w:name="_Ref77777659"/>
      <w:bookmarkStart w:id="2187" w:name="_Ref77777682"/>
      <w:bookmarkStart w:id="2188" w:name="_Ref88483663"/>
      <w:bookmarkStart w:id="2189" w:name="_Ref96635540"/>
      <w:bookmarkStart w:id="2190" w:name="_Toc100263346"/>
      <w:bookmarkStart w:id="2191" w:name="_Ref144043389"/>
      <w:bookmarkStart w:id="2192" w:name="_Ref165637299"/>
      <w:bookmarkStart w:id="2193" w:name="_Toc165961850"/>
      <w:bookmarkStart w:id="2194" w:name="_Toc234580356"/>
      <w:bookmarkEnd w:id="1524"/>
      <w:bookmarkEnd w:id="1525"/>
      <w:bookmarkEnd w:id="1526"/>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r>
        <w:lastRenderedPageBreak/>
        <w:t xml:space="preserve">Price </w:t>
      </w:r>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r>
        <w:t>tables</w:t>
      </w:r>
      <w:bookmarkEnd w:id="2192"/>
      <w:bookmarkEnd w:id="2193"/>
      <w:bookmarkEnd w:id="2194"/>
    </w:p>
    <w:p w14:paraId="1EA9C8C6" w14:textId="6785D017" w:rsidR="005B5CB9" w:rsidRPr="009445B3" w:rsidRDefault="005B5CB9" w:rsidP="005B5CB9">
      <w:pPr>
        <w:pStyle w:val="Heading2"/>
      </w:pPr>
      <w:bookmarkStart w:id="2195" w:name="_13.1_NWAU_2026–27"/>
      <w:bookmarkStart w:id="2196" w:name="_Toc100263347"/>
      <w:bookmarkStart w:id="2197" w:name="_Toc165961851"/>
      <w:bookmarkStart w:id="2198" w:name="_Toc234580357"/>
      <w:bookmarkEnd w:id="2195"/>
      <w:r>
        <w:t xml:space="preserve">NWAU </w:t>
      </w:r>
      <w:bookmarkEnd w:id="2196"/>
      <w:bookmarkEnd w:id="2197"/>
      <w:r>
        <w:t>2026–27</w:t>
      </w:r>
      <w:bookmarkEnd w:id="2198"/>
    </w:p>
    <w:p w14:paraId="72882752" w14:textId="1F42E67C" w:rsidR="005B5CB9" w:rsidRDefault="005B5CB9" w:rsidP="00597E0E">
      <w:pPr>
        <w:pStyle w:val="Tablecaption"/>
        <w:spacing w:before="160"/>
      </w:pPr>
      <w:bookmarkStart w:id="2199" w:name="_Toc232527225"/>
      <w:r>
        <w:t xml:space="preserve">Table </w:t>
      </w:r>
      <w:r w:rsidRPr="5B850891">
        <w:fldChar w:fldCharType="begin"/>
      </w:r>
      <w:r>
        <w:instrText xml:space="preserve"> SEQ Table \* ARABIC </w:instrText>
      </w:r>
      <w:r w:rsidRPr="5B850891">
        <w:fldChar w:fldCharType="separate"/>
      </w:r>
      <w:r>
        <w:rPr>
          <w:noProof/>
        </w:rPr>
        <w:t>9</w:t>
      </w:r>
      <w:r w:rsidRPr="5B850891">
        <w:rPr>
          <w:noProof/>
        </w:rPr>
        <w:fldChar w:fldCharType="end"/>
      </w:r>
      <w:r>
        <w:t>. NWAU VEP 2026–27</w:t>
      </w:r>
      <w:bookmarkEnd w:id="2199"/>
    </w:p>
    <w:tbl>
      <w:tblPr>
        <w:tblStyle w:val="GridTable4-Accent1"/>
        <w:tblW w:w="0" w:type="auto"/>
        <w:tblLook w:val="04A0" w:firstRow="1" w:lastRow="0" w:firstColumn="1" w:lastColumn="0" w:noHBand="0" w:noVBand="1"/>
      </w:tblPr>
      <w:tblGrid>
        <w:gridCol w:w="1187"/>
        <w:gridCol w:w="3167"/>
        <w:gridCol w:w="2445"/>
      </w:tblGrid>
      <w:tr w:rsidR="005B5CB9" w:rsidRPr="00364338" w14:paraId="450675AB" w14:textId="77777777" w:rsidTr="00364338">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tcPr>
          <w:p w14:paraId="6C597B5C" w14:textId="77777777" w:rsidR="005B5CB9" w:rsidRPr="00364338" w:rsidRDefault="005B5CB9">
            <w:pPr>
              <w:pStyle w:val="Tablecolhead8pt"/>
              <w:rPr>
                <w:b/>
                <w:bCs w:val="0"/>
                <w:color w:val="FFFFFF" w:themeColor="background1"/>
                <w:sz w:val="18"/>
                <w:szCs w:val="18"/>
              </w:rPr>
            </w:pPr>
            <w:r w:rsidRPr="00364338">
              <w:rPr>
                <w:b/>
                <w:bCs w:val="0"/>
                <w:color w:val="FFFFFF" w:themeColor="background1"/>
                <w:sz w:val="18"/>
                <w:szCs w:val="18"/>
              </w:rPr>
              <w:t>Payment</w:t>
            </w:r>
          </w:p>
        </w:tc>
        <w:tc>
          <w:tcPr>
            <w:tcW w:w="0" w:type="auto"/>
          </w:tcPr>
          <w:p w14:paraId="3FDE5AF4"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Metropolitan and large regional ($)</w:t>
            </w:r>
          </w:p>
        </w:tc>
        <w:tc>
          <w:tcPr>
            <w:tcW w:w="2445" w:type="dxa"/>
          </w:tcPr>
          <w:p w14:paraId="50541716"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Subregional ($)</w:t>
            </w:r>
          </w:p>
        </w:tc>
      </w:tr>
      <w:tr w:rsidR="005B5CB9" w:rsidRPr="00364338" w14:paraId="39FBD5B0"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DCF053" w14:textId="77777777" w:rsidR="005B5CB9" w:rsidRPr="00364338" w:rsidRDefault="005B5CB9">
            <w:pPr>
              <w:pStyle w:val="Tabletext"/>
              <w:rPr>
                <w:b w:val="0"/>
                <w:szCs w:val="18"/>
              </w:rPr>
            </w:pPr>
            <w:r w:rsidRPr="00364338">
              <w:rPr>
                <w:bCs w:val="0"/>
                <w:szCs w:val="18"/>
              </w:rPr>
              <w:t>VEP NWAU</w:t>
            </w:r>
          </w:p>
        </w:tc>
        <w:tc>
          <w:tcPr>
            <w:tcW w:w="0" w:type="auto"/>
          </w:tcPr>
          <w:p w14:paraId="6DFC5367"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6,744</w:t>
            </w:r>
          </w:p>
        </w:tc>
        <w:tc>
          <w:tcPr>
            <w:tcW w:w="2445" w:type="dxa"/>
          </w:tcPr>
          <w:p w14:paraId="0418798D"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7,275</w:t>
            </w:r>
          </w:p>
        </w:tc>
      </w:tr>
    </w:tbl>
    <w:p w14:paraId="0D419503" w14:textId="77777777" w:rsidR="005B5CB9" w:rsidRDefault="005B5CB9" w:rsidP="005B5CB9">
      <w:pPr>
        <w:pStyle w:val="Tablefigurenote9pt"/>
        <w:rPr>
          <w:lang w:eastAsia="en-AU"/>
        </w:rPr>
      </w:pPr>
      <w:r w:rsidRPr="0027319E">
        <w:rPr>
          <w:lang w:eastAsia="en-AU"/>
        </w:rPr>
        <w:t>Note: NWAU VEP prices apply at the whole of health service level, not individual campuses.</w:t>
      </w:r>
    </w:p>
    <w:p w14:paraId="27FE3FED" w14:textId="6490E2F5" w:rsidR="005B5CB9" w:rsidRDefault="005B5CB9" w:rsidP="00597E0E">
      <w:pPr>
        <w:pStyle w:val="Tablecaption"/>
        <w:spacing w:before="160"/>
      </w:pPr>
      <w:bookmarkStart w:id="2200" w:name="_Toc232527226"/>
      <w:r>
        <w:t xml:space="preserve">Table </w:t>
      </w:r>
      <w:r w:rsidRPr="5B850891">
        <w:fldChar w:fldCharType="begin"/>
      </w:r>
      <w:r>
        <w:instrText xml:space="preserve"> SEQ Table \* ARABIC </w:instrText>
      </w:r>
      <w:r w:rsidRPr="5B850891">
        <w:fldChar w:fldCharType="separate"/>
      </w:r>
      <w:r>
        <w:rPr>
          <w:noProof/>
        </w:rPr>
        <w:t>10</w:t>
      </w:r>
      <w:r w:rsidRPr="5B850891">
        <w:rPr>
          <w:noProof/>
        </w:rPr>
        <w:fldChar w:fldCharType="end"/>
      </w:r>
      <w:r>
        <w:t>. NWAU compensable price rates 2026–27</w:t>
      </w:r>
      <w:bookmarkEnd w:id="2200"/>
    </w:p>
    <w:tbl>
      <w:tblPr>
        <w:tblStyle w:val="GridTable4-Accent1"/>
        <w:tblW w:w="0" w:type="auto"/>
        <w:tblLook w:val="04A0" w:firstRow="1" w:lastRow="0" w:firstColumn="1" w:lastColumn="0" w:noHBand="0" w:noVBand="1"/>
      </w:tblPr>
      <w:tblGrid>
        <w:gridCol w:w="4390"/>
        <w:gridCol w:w="2409"/>
      </w:tblGrid>
      <w:tr w:rsidR="005B5CB9" w:rsidRPr="00364338" w14:paraId="3E28F4C0" w14:textId="77777777" w:rsidTr="00364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FE7248A" w14:textId="77777777" w:rsidR="005B5CB9" w:rsidRPr="00364338" w:rsidRDefault="005B5CB9">
            <w:pPr>
              <w:pStyle w:val="Tablecolhead8pt"/>
              <w:rPr>
                <w:b/>
                <w:bCs w:val="0"/>
                <w:color w:val="FFFFFF" w:themeColor="background1"/>
                <w:sz w:val="18"/>
                <w:szCs w:val="18"/>
              </w:rPr>
            </w:pPr>
            <w:r w:rsidRPr="00364338">
              <w:rPr>
                <w:b/>
                <w:bCs w:val="0"/>
                <w:color w:val="FFFFFF" w:themeColor="background1"/>
                <w:sz w:val="18"/>
                <w:szCs w:val="18"/>
              </w:rPr>
              <w:t>Compensable payment</w:t>
            </w:r>
          </w:p>
        </w:tc>
        <w:tc>
          <w:tcPr>
            <w:tcW w:w="2409" w:type="dxa"/>
          </w:tcPr>
          <w:p w14:paraId="417199E0"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All health services ($)</w:t>
            </w:r>
          </w:p>
        </w:tc>
      </w:tr>
      <w:tr w:rsidR="005B5CB9" w:rsidRPr="00364338" w14:paraId="5DDE45A6"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noWrap/>
          </w:tcPr>
          <w:p w14:paraId="44424370" w14:textId="77777777" w:rsidR="005B5CB9" w:rsidRPr="00364338" w:rsidRDefault="005B5CB9">
            <w:pPr>
              <w:pStyle w:val="Tabletext"/>
              <w:rPr>
                <w:b w:val="0"/>
                <w:szCs w:val="18"/>
              </w:rPr>
            </w:pPr>
            <w:r w:rsidRPr="00364338">
              <w:rPr>
                <w:bCs w:val="0"/>
                <w:szCs w:val="18"/>
              </w:rPr>
              <w:t xml:space="preserve">DVA: acute and subacute NWAU </w:t>
            </w:r>
          </w:p>
        </w:tc>
        <w:tc>
          <w:tcPr>
            <w:tcW w:w="2409" w:type="dxa"/>
          </w:tcPr>
          <w:p w14:paraId="3D2209C9"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7,418</w:t>
            </w:r>
          </w:p>
        </w:tc>
      </w:tr>
      <w:tr w:rsidR="005B5CB9" w:rsidRPr="00364338" w14:paraId="6F2CE5FB" w14:textId="77777777" w:rsidTr="00364338">
        <w:tc>
          <w:tcPr>
            <w:cnfStyle w:val="001000000000" w:firstRow="0" w:lastRow="0" w:firstColumn="1" w:lastColumn="0" w:oddVBand="0" w:evenVBand="0" w:oddHBand="0" w:evenHBand="0" w:firstRowFirstColumn="0" w:firstRowLastColumn="0" w:lastRowFirstColumn="0" w:lastRowLastColumn="0"/>
            <w:tcW w:w="4390" w:type="dxa"/>
            <w:noWrap/>
          </w:tcPr>
          <w:p w14:paraId="3322E525" w14:textId="77777777" w:rsidR="005B5CB9" w:rsidRPr="00364338" w:rsidRDefault="005B5CB9">
            <w:pPr>
              <w:pStyle w:val="Tabletext"/>
              <w:rPr>
                <w:b w:val="0"/>
                <w:szCs w:val="18"/>
              </w:rPr>
            </w:pPr>
            <w:r w:rsidRPr="00364338">
              <w:rPr>
                <w:bCs w:val="0"/>
                <w:szCs w:val="18"/>
              </w:rPr>
              <w:t xml:space="preserve">TAC price per NWAU </w:t>
            </w:r>
          </w:p>
        </w:tc>
        <w:tc>
          <w:tcPr>
            <w:tcW w:w="2409" w:type="dxa"/>
          </w:tcPr>
          <w:p w14:paraId="5CBD8F3C"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 xml:space="preserve">7,934 </w:t>
            </w:r>
          </w:p>
        </w:tc>
      </w:tr>
      <w:tr w:rsidR="005B5CB9" w:rsidRPr="00364338" w14:paraId="5C86C2AA"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noWrap/>
          </w:tcPr>
          <w:p w14:paraId="287FD1AF" w14:textId="77777777" w:rsidR="005B5CB9" w:rsidRPr="00364338" w:rsidRDefault="005B5CB9">
            <w:pPr>
              <w:pStyle w:val="Tabletext"/>
              <w:rPr>
                <w:b w:val="0"/>
                <w:szCs w:val="18"/>
              </w:rPr>
            </w:pPr>
            <w:r w:rsidRPr="00364338">
              <w:rPr>
                <w:bCs w:val="0"/>
                <w:szCs w:val="18"/>
              </w:rPr>
              <w:t>WorkSafe price per NWAU</w:t>
            </w:r>
          </w:p>
        </w:tc>
        <w:tc>
          <w:tcPr>
            <w:tcW w:w="2409" w:type="dxa"/>
          </w:tcPr>
          <w:p w14:paraId="4A9BF805"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6,207</w:t>
            </w:r>
          </w:p>
        </w:tc>
      </w:tr>
    </w:tbl>
    <w:p w14:paraId="38E6CE59" w14:textId="44E74CC0" w:rsidR="005B5CB9" w:rsidRDefault="005B5CB9" w:rsidP="005B5CB9">
      <w:pPr>
        <w:pStyle w:val="Heading2"/>
        <w:tabs>
          <w:tab w:val="right" w:pos="9298"/>
        </w:tabs>
      </w:pPr>
      <w:bookmarkStart w:id="2201" w:name="_Toc167651295"/>
      <w:bookmarkStart w:id="2202" w:name="_Toc167651294"/>
      <w:bookmarkStart w:id="2203" w:name="_13.2_Nationally_Funded"/>
      <w:bookmarkStart w:id="2204" w:name="_Toc418694986"/>
      <w:bookmarkStart w:id="2205" w:name="_Toc487742007"/>
      <w:bookmarkStart w:id="2206" w:name="_Toc14172237"/>
      <w:bookmarkStart w:id="2207" w:name="_Toc100263348"/>
      <w:bookmarkStart w:id="2208" w:name="_Toc165961852"/>
      <w:bookmarkStart w:id="2209" w:name="_Nationally_Funded_Centres"/>
      <w:bookmarkStart w:id="2210" w:name="_Toc234580358"/>
      <w:bookmarkEnd w:id="2201"/>
      <w:bookmarkEnd w:id="2202"/>
      <w:bookmarkEnd w:id="2203"/>
      <w:bookmarkEnd w:id="2209"/>
      <w:r w:rsidRPr="008A6AD8">
        <w:t>Nationally Funded Centres Program 2026–27</w:t>
      </w:r>
      <w:bookmarkEnd w:id="2210"/>
    </w:p>
    <w:tbl>
      <w:tblPr>
        <w:tblStyle w:val="GridTable4-Accent1"/>
        <w:tblW w:w="9287" w:type="dxa"/>
        <w:tblLook w:val="04A0" w:firstRow="1" w:lastRow="0" w:firstColumn="1" w:lastColumn="0" w:noHBand="0" w:noVBand="1"/>
      </w:tblPr>
      <w:tblGrid>
        <w:gridCol w:w="6091"/>
        <w:gridCol w:w="3196"/>
      </w:tblGrid>
      <w:tr w:rsidR="005B5CB9" w:rsidRPr="00364338" w14:paraId="0564E99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hideMark/>
          </w:tcPr>
          <w:p w14:paraId="0986F6F7" w14:textId="77777777" w:rsidR="005B5CB9" w:rsidRPr="00364338" w:rsidRDefault="005B5CB9">
            <w:pPr>
              <w:pStyle w:val="Tablecolhead8pt"/>
              <w:rPr>
                <w:b/>
                <w:bCs w:val="0"/>
                <w:color w:val="FFFFFF" w:themeColor="background1"/>
                <w:sz w:val="18"/>
                <w:szCs w:val="18"/>
              </w:rPr>
            </w:pPr>
            <w:r w:rsidRPr="00364338">
              <w:rPr>
                <w:b/>
                <w:bCs w:val="0"/>
                <w:color w:val="FFFFFF" w:themeColor="background1"/>
                <w:sz w:val="18"/>
                <w:szCs w:val="18"/>
              </w:rPr>
              <w:t>Payment</w:t>
            </w:r>
          </w:p>
        </w:tc>
        <w:tc>
          <w:tcPr>
            <w:tcW w:w="3196" w:type="dxa"/>
            <w:hideMark/>
          </w:tcPr>
          <w:p w14:paraId="19BD11E9"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Hosting health service ($)</w:t>
            </w:r>
          </w:p>
        </w:tc>
      </w:tr>
      <w:tr w:rsidR="005B5CB9" w:rsidRPr="00364338" w14:paraId="4CB5ED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0B63214D" w14:textId="77777777" w:rsidR="005B5CB9" w:rsidRPr="00364338" w:rsidRDefault="005B5CB9">
            <w:pPr>
              <w:pStyle w:val="Tabletext"/>
              <w:rPr>
                <w:b w:val="0"/>
                <w:bCs w:val="0"/>
                <w:szCs w:val="18"/>
              </w:rPr>
            </w:pPr>
            <w:r w:rsidRPr="00364338">
              <w:rPr>
                <w:szCs w:val="18"/>
              </w:rPr>
              <w:t>Islet cell transplantation</w:t>
            </w:r>
          </w:p>
        </w:tc>
        <w:tc>
          <w:tcPr>
            <w:tcW w:w="3196" w:type="dxa"/>
            <w:hideMark/>
          </w:tcPr>
          <w:p w14:paraId="750144B6"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253,602</w:t>
            </w:r>
          </w:p>
        </w:tc>
      </w:tr>
      <w:tr w:rsidR="005B5CB9" w:rsidRPr="00364338" w14:paraId="6F12F72D" w14:textId="77777777">
        <w:tc>
          <w:tcPr>
            <w:cnfStyle w:val="001000000000" w:firstRow="0" w:lastRow="0" w:firstColumn="1" w:lastColumn="0" w:oddVBand="0" w:evenVBand="0" w:oddHBand="0" w:evenHBand="0" w:firstRowFirstColumn="0" w:firstRowLastColumn="0" w:lastRowFirstColumn="0" w:lastRowLastColumn="0"/>
            <w:tcW w:w="6091" w:type="dxa"/>
            <w:noWrap/>
            <w:hideMark/>
          </w:tcPr>
          <w:p w14:paraId="7A6E0342" w14:textId="77777777" w:rsidR="005B5CB9" w:rsidRPr="00364338" w:rsidRDefault="005B5CB9">
            <w:pPr>
              <w:pStyle w:val="Tabletext"/>
              <w:rPr>
                <w:b w:val="0"/>
                <w:szCs w:val="18"/>
              </w:rPr>
            </w:pPr>
            <w:r w:rsidRPr="00364338">
              <w:rPr>
                <w:szCs w:val="18"/>
              </w:rPr>
              <w:t>Paediatric heart transplantation – no ventricular assist device</w:t>
            </w:r>
          </w:p>
        </w:tc>
        <w:tc>
          <w:tcPr>
            <w:tcW w:w="3196" w:type="dxa"/>
            <w:hideMark/>
          </w:tcPr>
          <w:p w14:paraId="6980037E"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521,339</w:t>
            </w:r>
          </w:p>
        </w:tc>
      </w:tr>
      <w:tr w:rsidR="005B5CB9" w:rsidRPr="00364338" w14:paraId="72FBA3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45A16399" w14:textId="77777777" w:rsidR="005B5CB9" w:rsidRPr="00364338" w:rsidRDefault="005B5CB9">
            <w:pPr>
              <w:pStyle w:val="Tabletext"/>
              <w:rPr>
                <w:b w:val="0"/>
                <w:szCs w:val="18"/>
              </w:rPr>
            </w:pPr>
            <w:r w:rsidRPr="00364338">
              <w:rPr>
                <w:bCs w:val="0"/>
                <w:szCs w:val="18"/>
              </w:rPr>
              <w:t>Paediatric heart transplantation – with ventricular assist device</w:t>
            </w:r>
          </w:p>
        </w:tc>
        <w:tc>
          <w:tcPr>
            <w:tcW w:w="3196" w:type="dxa"/>
            <w:hideMark/>
          </w:tcPr>
          <w:p w14:paraId="5B76ADEF"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1,208,613</w:t>
            </w:r>
          </w:p>
        </w:tc>
      </w:tr>
      <w:tr w:rsidR="005B5CB9" w:rsidRPr="00364338" w14:paraId="042D0391" w14:textId="77777777">
        <w:tc>
          <w:tcPr>
            <w:cnfStyle w:val="001000000000" w:firstRow="0" w:lastRow="0" w:firstColumn="1" w:lastColumn="0" w:oddVBand="0" w:evenVBand="0" w:oddHBand="0" w:evenHBand="0" w:firstRowFirstColumn="0" w:firstRowLastColumn="0" w:lastRowFirstColumn="0" w:lastRowLastColumn="0"/>
            <w:tcW w:w="6091" w:type="dxa"/>
            <w:noWrap/>
            <w:hideMark/>
          </w:tcPr>
          <w:p w14:paraId="3AB6CBBA" w14:textId="77777777" w:rsidR="005B5CB9" w:rsidRPr="00364338" w:rsidRDefault="005B5CB9">
            <w:pPr>
              <w:pStyle w:val="Tabletext"/>
              <w:rPr>
                <w:b w:val="0"/>
                <w:szCs w:val="18"/>
              </w:rPr>
            </w:pPr>
            <w:r w:rsidRPr="00364338">
              <w:rPr>
                <w:bCs w:val="0"/>
                <w:szCs w:val="18"/>
              </w:rPr>
              <w:t>Paediatric liver transplantation</w:t>
            </w:r>
          </w:p>
        </w:tc>
        <w:tc>
          <w:tcPr>
            <w:tcW w:w="3196" w:type="dxa"/>
            <w:hideMark/>
          </w:tcPr>
          <w:p w14:paraId="11B2672E"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425,718</w:t>
            </w:r>
          </w:p>
        </w:tc>
      </w:tr>
      <w:tr w:rsidR="005B5CB9" w:rsidRPr="00364338" w14:paraId="06995C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4DEE7976" w14:textId="77777777" w:rsidR="005B5CB9" w:rsidRPr="00364338" w:rsidRDefault="005B5CB9">
            <w:pPr>
              <w:pStyle w:val="Tabletext"/>
              <w:rPr>
                <w:b w:val="0"/>
                <w:szCs w:val="18"/>
              </w:rPr>
            </w:pPr>
            <w:r w:rsidRPr="00364338">
              <w:rPr>
                <w:bCs w:val="0"/>
                <w:szCs w:val="18"/>
              </w:rPr>
              <w:t>Paediatric lung/heart–lung transplantation</w:t>
            </w:r>
          </w:p>
        </w:tc>
        <w:tc>
          <w:tcPr>
            <w:tcW w:w="3196" w:type="dxa"/>
            <w:hideMark/>
          </w:tcPr>
          <w:p w14:paraId="50B68F04"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371,718</w:t>
            </w:r>
          </w:p>
        </w:tc>
      </w:tr>
      <w:tr w:rsidR="005B5CB9" w:rsidRPr="00364338" w14:paraId="762718B4" w14:textId="77777777">
        <w:tc>
          <w:tcPr>
            <w:cnfStyle w:val="001000000000" w:firstRow="0" w:lastRow="0" w:firstColumn="1" w:lastColumn="0" w:oddVBand="0" w:evenVBand="0" w:oddHBand="0" w:evenHBand="0" w:firstRowFirstColumn="0" w:firstRowLastColumn="0" w:lastRowFirstColumn="0" w:lastRowLastColumn="0"/>
            <w:tcW w:w="6091" w:type="dxa"/>
            <w:noWrap/>
            <w:hideMark/>
          </w:tcPr>
          <w:p w14:paraId="44806DBB" w14:textId="77777777" w:rsidR="005B5CB9" w:rsidRPr="00364338" w:rsidRDefault="005B5CB9">
            <w:pPr>
              <w:pStyle w:val="Tabletext"/>
              <w:rPr>
                <w:b w:val="0"/>
                <w:szCs w:val="18"/>
              </w:rPr>
            </w:pPr>
            <w:r w:rsidRPr="00364338">
              <w:rPr>
                <w:bCs w:val="0"/>
                <w:szCs w:val="18"/>
              </w:rPr>
              <w:t>Pancreas transplantation</w:t>
            </w:r>
          </w:p>
        </w:tc>
        <w:tc>
          <w:tcPr>
            <w:tcW w:w="3196" w:type="dxa"/>
            <w:hideMark/>
          </w:tcPr>
          <w:p w14:paraId="0DFE76FA"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234,040</w:t>
            </w:r>
          </w:p>
        </w:tc>
      </w:tr>
    </w:tbl>
    <w:p w14:paraId="6E8AC2AC" w14:textId="316C909E" w:rsidR="005B5CB9" w:rsidRDefault="005B5CB9" w:rsidP="005B5CB9">
      <w:pPr>
        <w:pStyle w:val="Heading2"/>
        <w:tabs>
          <w:tab w:val="right" w:pos="9298"/>
        </w:tabs>
      </w:pPr>
      <w:bookmarkStart w:id="2211" w:name="_13.3_Transition_Care"/>
      <w:bookmarkStart w:id="2212" w:name="_Toc234580359"/>
      <w:bookmarkEnd w:id="2211"/>
      <w:r>
        <w:t>Transition Care Program 2026–27</w:t>
      </w:r>
      <w:bookmarkEnd w:id="2204"/>
      <w:bookmarkEnd w:id="2205"/>
      <w:bookmarkEnd w:id="2206"/>
      <w:bookmarkEnd w:id="2207"/>
      <w:bookmarkEnd w:id="2208"/>
      <w:bookmarkEnd w:id="2212"/>
      <w:r>
        <w:tab/>
      </w:r>
    </w:p>
    <w:p w14:paraId="5C5B415C" w14:textId="255FCEE3" w:rsidR="005B5CB9" w:rsidRDefault="005B5CB9" w:rsidP="00597E0E">
      <w:pPr>
        <w:pStyle w:val="Tablecaption"/>
        <w:spacing w:before="160"/>
      </w:pPr>
      <w:bookmarkStart w:id="2213" w:name="_Toc232527228"/>
      <w:r>
        <w:t xml:space="preserve">Table </w:t>
      </w:r>
      <w:r w:rsidRPr="5B850891">
        <w:fldChar w:fldCharType="begin"/>
      </w:r>
      <w:r>
        <w:instrText xml:space="preserve"> SEQ Table \* ARABIC </w:instrText>
      </w:r>
      <w:r w:rsidRPr="5B850891">
        <w:fldChar w:fldCharType="separate"/>
      </w:r>
      <w:r>
        <w:rPr>
          <w:noProof/>
        </w:rPr>
        <w:t>11</w:t>
      </w:r>
      <w:r w:rsidRPr="5B850891">
        <w:rPr>
          <w:noProof/>
        </w:rPr>
        <w:fldChar w:fldCharType="end"/>
      </w:r>
      <w:r>
        <w:t>. TCP 2026–27</w:t>
      </w:r>
      <w:bookmarkEnd w:id="2213"/>
    </w:p>
    <w:tbl>
      <w:tblPr>
        <w:tblStyle w:val="GridTable4-Accent1"/>
        <w:tblW w:w="9287" w:type="dxa"/>
        <w:tblLook w:val="04A0" w:firstRow="1" w:lastRow="0" w:firstColumn="1" w:lastColumn="0" w:noHBand="0" w:noVBand="1"/>
      </w:tblPr>
      <w:tblGrid>
        <w:gridCol w:w="6091"/>
        <w:gridCol w:w="3196"/>
      </w:tblGrid>
      <w:tr w:rsidR="005B5CB9" w:rsidRPr="00364338" w14:paraId="1D3DD0D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hideMark/>
          </w:tcPr>
          <w:p w14:paraId="33E75072" w14:textId="77777777" w:rsidR="005B5CB9" w:rsidRPr="00364338" w:rsidRDefault="005B5CB9">
            <w:pPr>
              <w:pStyle w:val="Tablecolhead8pt"/>
              <w:rPr>
                <w:b/>
                <w:bCs w:val="0"/>
                <w:color w:val="FFFFFF" w:themeColor="background1"/>
                <w:sz w:val="18"/>
                <w:szCs w:val="18"/>
              </w:rPr>
            </w:pPr>
            <w:r w:rsidRPr="00364338">
              <w:rPr>
                <w:b/>
                <w:bCs w:val="0"/>
                <w:color w:val="FFFFFF" w:themeColor="background1"/>
                <w:sz w:val="18"/>
                <w:szCs w:val="18"/>
              </w:rPr>
              <w:t>Payment</w:t>
            </w:r>
          </w:p>
        </w:tc>
        <w:tc>
          <w:tcPr>
            <w:tcW w:w="3196" w:type="dxa"/>
            <w:hideMark/>
          </w:tcPr>
          <w:p w14:paraId="4C060014"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All health services ($)</w:t>
            </w:r>
          </w:p>
        </w:tc>
      </w:tr>
      <w:tr w:rsidR="005B5CB9" w:rsidRPr="00364338" w14:paraId="04761A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678280B4" w14:textId="77777777" w:rsidR="005B5CB9" w:rsidRPr="00364338" w:rsidRDefault="005B5CB9">
            <w:pPr>
              <w:pStyle w:val="Tabletext"/>
              <w:rPr>
                <w:b w:val="0"/>
                <w:bCs w:val="0"/>
                <w:szCs w:val="18"/>
              </w:rPr>
            </w:pPr>
            <w:r w:rsidRPr="00364338">
              <w:rPr>
                <w:szCs w:val="18"/>
              </w:rPr>
              <w:t>TCP bed places</w:t>
            </w:r>
            <w:r w:rsidRPr="00364338">
              <w:rPr>
                <w:szCs w:val="18"/>
                <w:vertAlign w:val="superscript"/>
              </w:rPr>
              <w:footnoteReference w:id="4"/>
            </w:r>
            <w:r w:rsidRPr="00364338">
              <w:rPr>
                <w:szCs w:val="18"/>
                <w:vertAlign w:val="superscript"/>
              </w:rPr>
              <w:t xml:space="preserve"> </w:t>
            </w:r>
            <w:r w:rsidRPr="00364338">
              <w:rPr>
                <w:szCs w:val="18"/>
              </w:rPr>
              <w:t>(per diem rate)</w:t>
            </w:r>
          </w:p>
        </w:tc>
        <w:tc>
          <w:tcPr>
            <w:tcW w:w="3196" w:type="dxa"/>
            <w:hideMark/>
          </w:tcPr>
          <w:p w14:paraId="1490721A"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182.60</w:t>
            </w:r>
          </w:p>
        </w:tc>
      </w:tr>
      <w:tr w:rsidR="005B5CB9" w:rsidRPr="00364338" w14:paraId="335F9AE5" w14:textId="77777777">
        <w:tc>
          <w:tcPr>
            <w:cnfStyle w:val="001000000000" w:firstRow="0" w:lastRow="0" w:firstColumn="1" w:lastColumn="0" w:oddVBand="0" w:evenVBand="0" w:oddHBand="0" w:evenHBand="0" w:firstRowFirstColumn="0" w:firstRowLastColumn="0" w:lastRowFirstColumn="0" w:lastRowLastColumn="0"/>
            <w:tcW w:w="6091" w:type="dxa"/>
            <w:noWrap/>
            <w:hideMark/>
          </w:tcPr>
          <w:p w14:paraId="41EFE027" w14:textId="77777777" w:rsidR="005B5CB9" w:rsidRPr="00364338" w:rsidRDefault="005B5CB9">
            <w:pPr>
              <w:pStyle w:val="Tabletext"/>
              <w:rPr>
                <w:b w:val="0"/>
                <w:bCs w:val="0"/>
                <w:szCs w:val="18"/>
              </w:rPr>
            </w:pPr>
            <w:r w:rsidRPr="00364338">
              <w:rPr>
                <w:szCs w:val="18"/>
              </w:rPr>
              <w:t>TCP home places (per diem rate)</w:t>
            </w:r>
          </w:p>
        </w:tc>
        <w:tc>
          <w:tcPr>
            <w:tcW w:w="3196" w:type="dxa"/>
            <w:hideMark/>
          </w:tcPr>
          <w:p w14:paraId="2A77074B"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66.95</w:t>
            </w:r>
          </w:p>
        </w:tc>
      </w:tr>
    </w:tbl>
    <w:p w14:paraId="75C60414" w14:textId="4110D86F" w:rsidR="005B5CB9" w:rsidRPr="009445B3" w:rsidRDefault="005B5CB9" w:rsidP="005B5CB9">
      <w:pPr>
        <w:pStyle w:val="Heading2"/>
        <w:tabs>
          <w:tab w:val="right" w:pos="9298"/>
        </w:tabs>
      </w:pPr>
      <w:bookmarkStart w:id="2214" w:name="_13.4_Early_Parenting"/>
      <w:bookmarkStart w:id="2215" w:name="_Toc234580360"/>
      <w:bookmarkEnd w:id="2214"/>
      <w:r>
        <w:t>Early Parenting Centres 2026–27</w:t>
      </w:r>
      <w:bookmarkEnd w:id="2215"/>
    </w:p>
    <w:p w14:paraId="489758A5" w14:textId="0B0035B2" w:rsidR="005B5CB9" w:rsidRPr="00364338" w:rsidRDefault="005B5CB9" w:rsidP="00597E0E">
      <w:pPr>
        <w:pStyle w:val="Tablecaption"/>
        <w:spacing w:before="160"/>
      </w:pPr>
      <w:bookmarkStart w:id="2216" w:name="_Toc232527229"/>
      <w:r w:rsidRPr="00364338">
        <w:t xml:space="preserve">Table </w:t>
      </w:r>
      <w:r w:rsidRPr="00364338">
        <w:fldChar w:fldCharType="begin"/>
      </w:r>
      <w:r w:rsidRPr="00364338">
        <w:instrText>SEQ Table \* ARABIC</w:instrText>
      </w:r>
      <w:r w:rsidRPr="00364338">
        <w:fldChar w:fldCharType="separate"/>
      </w:r>
      <w:r w:rsidRPr="00364338">
        <w:t>12</w:t>
      </w:r>
      <w:r w:rsidRPr="00364338">
        <w:fldChar w:fldCharType="end"/>
      </w:r>
      <w:r w:rsidR="00364338" w:rsidRPr="00364338">
        <w:t>.</w:t>
      </w:r>
      <w:r w:rsidRPr="00364338">
        <w:t xml:space="preserve"> EPC </w:t>
      </w:r>
      <w:r w:rsidR="009D05A6">
        <w:t>2026–27</w:t>
      </w:r>
      <w:bookmarkEnd w:id="2216"/>
    </w:p>
    <w:tbl>
      <w:tblPr>
        <w:tblStyle w:val="GridTable4-Accent1"/>
        <w:tblW w:w="9285" w:type="dxa"/>
        <w:tblLayout w:type="fixed"/>
        <w:tblLook w:val="04A0" w:firstRow="1" w:lastRow="0" w:firstColumn="1" w:lastColumn="0" w:noHBand="0" w:noVBand="1"/>
      </w:tblPr>
      <w:tblGrid>
        <w:gridCol w:w="3539"/>
        <w:gridCol w:w="3255"/>
        <w:gridCol w:w="2491"/>
      </w:tblGrid>
      <w:tr w:rsidR="005B5CB9" w:rsidRPr="00364338" w14:paraId="7CCDFDD7"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539" w:type="dxa"/>
            <w:hideMark/>
          </w:tcPr>
          <w:p w14:paraId="713082A3" w14:textId="77777777" w:rsidR="005B5CB9" w:rsidRPr="00364338" w:rsidRDefault="005B5CB9">
            <w:pPr>
              <w:pStyle w:val="Tablecolhead8pt"/>
              <w:rPr>
                <w:b/>
                <w:bCs w:val="0"/>
                <w:color w:val="FFFFFF" w:themeColor="background1"/>
                <w:sz w:val="18"/>
                <w:szCs w:val="18"/>
              </w:rPr>
            </w:pPr>
            <w:r w:rsidRPr="00364338">
              <w:rPr>
                <w:b/>
                <w:bCs w:val="0"/>
                <w:color w:val="FFFFFF" w:themeColor="background1"/>
                <w:sz w:val="18"/>
                <w:szCs w:val="18"/>
              </w:rPr>
              <w:t>Service element</w:t>
            </w:r>
          </w:p>
        </w:tc>
        <w:tc>
          <w:tcPr>
            <w:tcW w:w="3255" w:type="dxa"/>
            <w:hideMark/>
          </w:tcPr>
          <w:p w14:paraId="6D10991A"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Funded unit</w:t>
            </w:r>
          </w:p>
        </w:tc>
        <w:tc>
          <w:tcPr>
            <w:tcW w:w="2491" w:type="dxa"/>
            <w:hideMark/>
          </w:tcPr>
          <w:p w14:paraId="30CE7E3F"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All health services ($)</w:t>
            </w:r>
          </w:p>
        </w:tc>
      </w:tr>
      <w:tr w:rsidR="005B5CB9" w:rsidRPr="00364338" w14:paraId="27C39F5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tcPr>
          <w:p w14:paraId="059021D6" w14:textId="77777777" w:rsidR="005B5CB9" w:rsidRPr="00364338" w:rsidRDefault="005B5CB9">
            <w:pPr>
              <w:pStyle w:val="Tabletext"/>
              <w:rPr>
                <w:b w:val="0"/>
                <w:bCs w:val="0"/>
                <w:szCs w:val="18"/>
              </w:rPr>
            </w:pPr>
            <w:r w:rsidRPr="00364338">
              <w:rPr>
                <w:szCs w:val="18"/>
              </w:rPr>
              <w:t>Day Stay</w:t>
            </w:r>
          </w:p>
        </w:tc>
        <w:tc>
          <w:tcPr>
            <w:tcW w:w="3255" w:type="dxa"/>
          </w:tcPr>
          <w:p w14:paraId="056EC49F"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Number of children supported</w:t>
            </w:r>
          </w:p>
        </w:tc>
        <w:tc>
          <w:tcPr>
            <w:tcW w:w="2491" w:type="dxa"/>
          </w:tcPr>
          <w:p w14:paraId="0579ABE2"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364338">
              <w:rPr>
                <w:szCs w:val="18"/>
              </w:rPr>
              <w:t>553.37</w:t>
            </w:r>
          </w:p>
        </w:tc>
      </w:tr>
      <w:tr w:rsidR="005B5CB9" w:rsidRPr="00364338" w14:paraId="1B2184A9" w14:textId="77777777">
        <w:trPr>
          <w:trHeight w:val="300"/>
        </w:trPr>
        <w:tc>
          <w:tcPr>
            <w:cnfStyle w:val="001000000000" w:firstRow="0" w:lastRow="0" w:firstColumn="1" w:lastColumn="0" w:oddVBand="0" w:evenVBand="0" w:oddHBand="0" w:evenHBand="0" w:firstRowFirstColumn="0" w:firstRowLastColumn="0" w:lastRowFirstColumn="0" w:lastRowLastColumn="0"/>
            <w:tcW w:w="3539" w:type="dxa"/>
            <w:hideMark/>
          </w:tcPr>
          <w:p w14:paraId="16C4CD2F" w14:textId="77777777" w:rsidR="005B5CB9" w:rsidRPr="00364338" w:rsidRDefault="005B5CB9">
            <w:pPr>
              <w:pStyle w:val="Tabletext"/>
              <w:rPr>
                <w:b w:val="0"/>
                <w:bCs w:val="0"/>
                <w:szCs w:val="18"/>
              </w:rPr>
            </w:pPr>
            <w:r w:rsidRPr="00364338">
              <w:rPr>
                <w:szCs w:val="18"/>
              </w:rPr>
              <w:t>Residential Stay</w:t>
            </w:r>
          </w:p>
        </w:tc>
        <w:tc>
          <w:tcPr>
            <w:tcW w:w="3255" w:type="dxa"/>
            <w:hideMark/>
          </w:tcPr>
          <w:p w14:paraId="1700523A"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Number of children supported</w:t>
            </w:r>
          </w:p>
        </w:tc>
        <w:tc>
          <w:tcPr>
            <w:tcW w:w="2491" w:type="dxa"/>
            <w:hideMark/>
          </w:tcPr>
          <w:p w14:paraId="025F3FDC"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4,612.51</w:t>
            </w:r>
          </w:p>
        </w:tc>
      </w:tr>
    </w:tbl>
    <w:p w14:paraId="25A6FA2E" w14:textId="38957B12" w:rsidR="005B5CB9" w:rsidRPr="009445B3" w:rsidRDefault="005B5CB9" w:rsidP="005B5CB9">
      <w:pPr>
        <w:pStyle w:val="Heading2"/>
        <w:tabs>
          <w:tab w:val="right" w:pos="9298"/>
        </w:tabs>
      </w:pPr>
      <w:bookmarkStart w:id="2217" w:name="_Mental_health_services"/>
      <w:bookmarkStart w:id="2218" w:name="_Toc234580361"/>
      <w:bookmarkEnd w:id="2217"/>
      <w:r>
        <w:lastRenderedPageBreak/>
        <w:t>Mental health services 2026–27</w:t>
      </w:r>
      <w:bookmarkEnd w:id="2218"/>
    </w:p>
    <w:p w14:paraId="11D871AF" w14:textId="77777777" w:rsidR="005B5CB9" w:rsidRDefault="005B5CB9" w:rsidP="005B5CB9">
      <w:pPr>
        <w:pStyle w:val="Tablecaption"/>
      </w:pPr>
      <w:bookmarkStart w:id="2219" w:name="_Toc232527230"/>
      <w:bookmarkStart w:id="2220" w:name="_Toc419644512"/>
      <w:bookmarkStart w:id="2221" w:name="_Toc487742070"/>
      <w:bookmarkStart w:id="2222" w:name="_Hlk12609501"/>
      <w:r>
        <w:t xml:space="preserve">Table </w:t>
      </w:r>
      <w:r w:rsidRPr="5B850891">
        <w:fldChar w:fldCharType="begin"/>
      </w:r>
      <w:r>
        <w:instrText xml:space="preserve"> SEQ Table \* ARABIC </w:instrText>
      </w:r>
      <w:r w:rsidRPr="5B850891">
        <w:fldChar w:fldCharType="separate"/>
      </w:r>
      <w:r>
        <w:rPr>
          <w:noProof/>
        </w:rPr>
        <w:t>13</w:t>
      </w:r>
      <w:r w:rsidRPr="5B850891">
        <w:rPr>
          <w:noProof/>
        </w:rPr>
        <w:fldChar w:fldCharType="end"/>
      </w:r>
      <w:r>
        <w:t>. Non-admitted bed-based mental health services</w:t>
      </w:r>
      <w:bookmarkEnd w:id="2219"/>
    </w:p>
    <w:tbl>
      <w:tblPr>
        <w:tblStyle w:val="GridTable4-Accent1"/>
        <w:tblW w:w="9285" w:type="dxa"/>
        <w:tblLayout w:type="fixed"/>
        <w:tblLook w:val="04A0" w:firstRow="1" w:lastRow="0" w:firstColumn="1" w:lastColumn="0" w:noHBand="0" w:noVBand="1"/>
      </w:tblPr>
      <w:tblGrid>
        <w:gridCol w:w="3539"/>
        <w:gridCol w:w="3255"/>
        <w:gridCol w:w="2491"/>
      </w:tblGrid>
      <w:tr w:rsidR="005B5CB9" w:rsidRPr="00364338" w14:paraId="399070C9" w14:textId="77777777" w:rsidTr="003643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hideMark/>
          </w:tcPr>
          <w:p w14:paraId="378DF82D" w14:textId="77777777" w:rsidR="005B5CB9" w:rsidRPr="00364338" w:rsidRDefault="005B5CB9">
            <w:pPr>
              <w:pStyle w:val="Tablecolhead8pt"/>
              <w:rPr>
                <w:b/>
                <w:bCs w:val="0"/>
                <w:color w:val="FFFFFF" w:themeColor="background1"/>
                <w:sz w:val="18"/>
                <w:szCs w:val="18"/>
              </w:rPr>
            </w:pPr>
            <w:r w:rsidRPr="00364338">
              <w:rPr>
                <w:b/>
                <w:bCs w:val="0"/>
                <w:color w:val="FFFFFF" w:themeColor="background1"/>
                <w:sz w:val="18"/>
                <w:szCs w:val="18"/>
              </w:rPr>
              <w:t>Service element</w:t>
            </w:r>
          </w:p>
        </w:tc>
        <w:tc>
          <w:tcPr>
            <w:tcW w:w="3255" w:type="dxa"/>
            <w:hideMark/>
          </w:tcPr>
          <w:p w14:paraId="5C76B9A0"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Funded unit</w:t>
            </w:r>
          </w:p>
        </w:tc>
        <w:tc>
          <w:tcPr>
            <w:tcW w:w="2491" w:type="dxa"/>
            <w:hideMark/>
          </w:tcPr>
          <w:p w14:paraId="51BC22D0" w14:textId="77777777" w:rsidR="005B5CB9" w:rsidRPr="00364338"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All health services ($)</w:t>
            </w:r>
          </w:p>
        </w:tc>
      </w:tr>
      <w:tr w:rsidR="005B5CB9" w:rsidRPr="00364338" w14:paraId="7FBAB043" w14:textId="77777777" w:rsidTr="00364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543A615" w14:textId="77777777" w:rsidR="005B5CB9" w:rsidRPr="00364338" w:rsidRDefault="005B5CB9">
            <w:pPr>
              <w:pStyle w:val="Tabletext"/>
              <w:rPr>
                <w:b w:val="0"/>
                <w:szCs w:val="18"/>
              </w:rPr>
            </w:pPr>
            <w:r w:rsidRPr="00364338">
              <w:rPr>
                <w:bCs w:val="0"/>
                <w:szCs w:val="18"/>
              </w:rPr>
              <w:t>DVA Veteran’s Unit (Austin Health)</w:t>
            </w:r>
          </w:p>
        </w:tc>
        <w:tc>
          <w:tcPr>
            <w:tcW w:w="3255" w:type="dxa"/>
          </w:tcPr>
          <w:p w14:paraId="3F477661"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Available bed day</w:t>
            </w:r>
          </w:p>
        </w:tc>
        <w:tc>
          <w:tcPr>
            <w:tcW w:w="2491" w:type="dxa"/>
          </w:tcPr>
          <w:p w14:paraId="33953FBB"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973.49</w:t>
            </w:r>
          </w:p>
        </w:tc>
      </w:tr>
      <w:tr w:rsidR="005B5CB9" w:rsidRPr="00364338" w14:paraId="61019A18" w14:textId="77777777" w:rsidTr="00364338">
        <w:tc>
          <w:tcPr>
            <w:cnfStyle w:val="001000000000" w:firstRow="0" w:lastRow="0" w:firstColumn="1" w:lastColumn="0" w:oddVBand="0" w:evenVBand="0" w:oddHBand="0" w:evenHBand="0" w:firstRowFirstColumn="0" w:firstRowLastColumn="0" w:lastRowFirstColumn="0" w:lastRowLastColumn="0"/>
            <w:tcW w:w="3539" w:type="dxa"/>
          </w:tcPr>
          <w:p w14:paraId="3808F78C" w14:textId="77777777" w:rsidR="005B5CB9" w:rsidRPr="00364338" w:rsidRDefault="005B5CB9">
            <w:pPr>
              <w:pStyle w:val="Tabletext"/>
              <w:rPr>
                <w:b w:val="0"/>
                <w:szCs w:val="18"/>
              </w:rPr>
            </w:pPr>
            <w:r w:rsidRPr="00364338">
              <w:rPr>
                <w:bCs w:val="0"/>
                <w:szCs w:val="18"/>
              </w:rPr>
              <w:t>Transitional Support Unit</w:t>
            </w:r>
          </w:p>
        </w:tc>
        <w:tc>
          <w:tcPr>
            <w:tcW w:w="3255" w:type="dxa"/>
          </w:tcPr>
          <w:p w14:paraId="4B0D7D6A"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Available bed day</w:t>
            </w:r>
          </w:p>
        </w:tc>
        <w:tc>
          <w:tcPr>
            <w:tcW w:w="2491" w:type="dxa"/>
          </w:tcPr>
          <w:p w14:paraId="5F913741"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674.41</w:t>
            </w:r>
          </w:p>
        </w:tc>
      </w:tr>
      <w:tr w:rsidR="005B5CB9" w:rsidRPr="00364338" w14:paraId="011F5B0B"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14:paraId="158170A0" w14:textId="77777777" w:rsidR="005B5CB9" w:rsidRPr="00364338" w:rsidRDefault="005B5CB9">
            <w:pPr>
              <w:pStyle w:val="Tabletext"/>
              <w:rPr>
                <w:b w:val="0"/>
                <w:szCs w:val="18"/>
              </w:rPr>
            </w:pPr>
            <w:r w:rsidRPr="00364338">
              <w:rPr>
                <w:bCs w:val="0"/>
                <w:szCs w:val="18"/>
              </w:rPr>
              <w:t>Community Care Unit</w:t>
            </w:r>
          </w:p>
        </w:tc>
        <w:tc>
          <w:tcPr>
            <w:tcW w:w="3255" w:type="dxa"/>
            <w:hideMark/>
          </w:tcPr>
          <w:p w14:paraId="21CA5ECD"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Available bed day</w:t>
            </w:r>
          </w:p>
        </w:tc>
        <w:tc>
          <w:tcPr>
            <w:tcW w:w="2491" w:type="dxa"/>
            <w:hideMark/>
          </w:tcPr>
          <w:p w14:paraId="6BA3AC8C"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465.01</w:t>
            </w:r>
          </w:p>
        </w:tc>
      </w:tr>
      <w:tr w:rsidR="005B5CB9" w:rsidRPr="00364338" w14:paraId="73F6DB37" w14:textId="77777777" w:rsidTr="00364338">
        <w:tc>
          <w:tcPr>
            <w:cnfStyle w:val="001000000000" w:firstRow="0" w:lastRow="0" w:firstColumn="1" w:lastColumn="0" w:oddVBand="0" w:evenVBand="0" w:oddHBand="0" w:evenHBand="0" w:firstRowFirstColumn="0" w:firstRowLastColumn="0" w:lastRowFirstColumn="0" w:lastRowLastColumn="0"/>
            <w:tcW w:w="3539" w:type="dxa"/>
            <w:hideMark/>
          </w:tcPr>
          <w:p w14:paraId="2AF462EE" w14:textId="3AB69B48" w:rsidR="005B5CB9" w:rsidRPr="00364338" w:rsidRDefault="005B5CB9">
            <w:pPr>
              <w:pStyle w:val="Tabletext"/>
              <w:rPr>
                <w:b w:val="0"/>
                <w:szCs w:val="18"/>
              </w:rPr>
            </w:pPr>
            <w:r w:rsidRPr="00364338">
              <w:rPr>
                <w:bCs w:val="0"/>
                <w:szCs w:val="18"/>
              </w:rPr>
              <w:t xml:space="preserve">Adult </w:t>
            </w:r>
            <w:r w:rsidR="002C3AE9">
              <w:t>P</w:t>
            </w:r>
            <w:r w:rsidR="002C3AE9" w:rsidRPr="000E1A59">
              <w:t xml:space="preserve">revention and </w:t>
            </w:r>
            <w:r w:rsidR="002C3AE9">
              <w:t>R</w:t>
            </w:r>
            <w:r w:rsidR="002C3AE9" w:rsidRPr="000E1A59">
              <w:t xml:space="preserve">ecovery </w:t>
            </w:r>
            <w:r w:rsidR="002C3AE9">
              <w:t>C</w:t>
            </w:r>
            <w:r w:rsidR="002C3AE9" w:rsidRPr="000E1A59">
              <w:t>are</w:t>
            </w:r>
            <w:r w:rsidR="002C3AE9" w:rsidRPr="00364338">
              <w:rPr>
                <w:bCs w:val="0"/>
                <w:szCs w:val="18"/>
              </w:rPr>
              <w:t xml:space="preserve"> </w:t>
            </w:r>
            <w:r w:rsidR="002C3AE9">
              <w:rPr>
                <w:bCs w:val="0"/>
                <w:szCs w:val="18"/>
              </w:rPr>
              <w:t>(</w:t>
            </w:r>
            <w:r w:rsidRPr="00364338">
              <w:rPr>
                <w:bCs w:val="0"/>
                <w:szCs w:val="18"/>
              </w:rPr>
              <w:t>PARC</w:t>
            </w:r>
            <w:r w:rsidR="002C3AE9">
              <w:rPr>
                <w:bCs w:val="0"/>
                <w:szCs w:val="18"/>
              </w:rPr>
              <w:t xml:space="preserve">) </w:t>
            </w:r>
          </w:p>
        </w:tc>
        <w:tc>
          <w:tcPr>
            <w:tcW w:w="3255" w:type="dxa"/>
            <w:hideMark/>
          </w:tcPr>
          <w:p w14:paraId="7C840532"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Available bed day</w:t>
            </w:r>
          </w:p>
        </w:tc>
        <w:tc>
          <w:tcPr>
            <w:tcW w:w="2491" w:type="dxa"/>
            <w:hideMark/>
          </w:tcPr>
          <w:p w14:paraId="6FC85878"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612.37</w:t>
            </w:r>
          </w:p>
        </w:tc>
      </w:tr>
      <w:tr w:rsidR="005B5CB9" w:rsidRPr="00364338" w14:paraId="1C07354F"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14:paraId="6044D546" w14:textId="77777777" w:rsidR="005B5CB9" w:rsidRPr="00364338" w:rsidRDefault="005B5CB9">
            <w:pPr>
              <w:pStyle w:val="Tabletext"/>
              <w:rPr>
                <w:b w:val="0"/>
                <w:szCs w:val="18"/>
              </w:rPr>
            </w:pPr>
            <w:r w:rsidRPr="00364338">
              <w:rPr>
                <w:bCs w:val="0"/>
                <w:szCs w:val="18"/>
              </w:rPr>
              <w:t>Youth PARC</w:t>
            </w:r>
          </w:p>
        </w:tc>
        <w:tc>
          <w:tcPr>
            <w:tcW w:w="3255" w:type="dxa"/>
            <w:hideMark/>
          </w:tcPr>
          <w:p w14:paraId="4BB6C7DA"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Available bed day</w:t>
            </w:r>
          </w:p>
        </w:tc>
        <w:tc>
          <w:tcPr>
            <w:tcW w:w="2491" w:type="dxa"/>
            <w:hideMark/>
          </w:tcPr>
          <w:p w14:paraId="3E1DE5D7"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730.49</w:t>
            </w:r>
          </w:p>
        </w:tc>
      </w:tr>
      <w:tr w:rsidR="005B5CB9" w:rsidRPr="00364338" w14:paraId="3F183743" w14:textId="77777777" w:rsidTr="00364338">
        <w:tc>
          <w:tcPr>
            <w:cnfStyle w:val="001000000000" w:firstRow="0" w:lastRow="0" w:firstColumn="1" w:lastColumn="0" w:oddVBand="0" w:evenVBand="0" w:oddHBand="0" w:evenHBand="0" w:firstRowFirstColumn="0" w:firstRowLastColumn="0" w:lastRowFirstColumn="0" w:lastRowLastColumn="0"/>
            <w:tcW w:w="3539" w:type="dxa"/>
            <w:hideMark/>
          </w:tcPr>
          <w:p w14:paraId="5B94E71F" w14:textId="77777777" w:rsidR="005B5CB9" w:rsidRPr="00364338" w:rsidRDefault="005B5CB9">
            <w:pPr>
              <w:pStyle w:val="Tabletext"/>
              <w:rPr>
                <w:b w:val="0"/>
                <w:szCs w:val="18"/>
              </w:rPr>
            </w:pPr>
            <w:r w:rsidRPr="00364338">
              <w:rPr>
                <w:bCs w:val="0"/>
                <w:szCs w:val="18"/>
              </w:rPr>
              <w:t>Aged persons nursing home supplement</w:t>
            </w:r>
          </w:p>
        </w:tc>
        <w:tc>
          <w:tcPr>
            <w:tcW w:w="3255" w:type="dxa"/>
            <w:hideMark/>
          </w:tcPr>
          <w:p w14:paraId="7A737EC7"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Available bed day</w:t>
            </w:r>
          </w:p>
        </w:tc>
        <w:tc>
          <w:tcPr>
            <w:tcW w:w="2491" w:type="dxa"/>
            <w:hideMark/>
          </w:tcPr>
          <w:p w14:paraId="3BD3956C"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119.29</w:t>
            </w:r>
          </w:p>
        </w:tc>
      </w:tr>
      <w:tr w:rsidR="005B5CB9" w:rsidRPr="00364338" w14:paraId="7E705E26" w14:textId="77777777" w:rsidTr="00364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14:paraId="1F0CD5D1" w14:textId="77777777" w:rsidR="005B5CB9" w:rsidRPr="00364338" w:rsidRDefault="005B5CB9">
            <w:pPr>
              <w:pStyle w:val="Tabletext"/>
              <w:rPr>
                <w:b w:val="0"/>
                <w:szCs w:val="18"/>
              </w:rPr>
            </w:pPr>
            <w:r w:rsidRPr="00364338">
              <w:rPr>
                <w:bCs w:val="0"/>
                <w:szCs w:val="18"/>
              </w:rPr>
              <w:t>Aged persons hostel supplement</w:t>
            </w:r>
          </w:p>
        </w:tc>
        <w:tc>
          <w:tcPr>
            <w:tcW w:w="3255" w:type="dxa"/>
            <w:hideMark/>
          </w:tcPr>
          <w:p w14:paraId="4A73698C"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Available bed day</w:t>
            </w:r>
          </w:p>
        </w:tc>
        <w:tc>
          <w:tcPr>
            <w:tcW w:w="2491" w:type="dxa"/>
            <w:hideMark/>
          </w:tcPr>
          <w:p w14:paraId="48A509A8" w14:textId="77777777" w:rsidR="005B5CB9" w:rsidRPr="00364338"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364338">
              <w:rPr>
                <w:szCs w:val="18"/>
              </w:rPr>
              <w:t>105.92</w:t>
            </w:r>
          </w:p>
        </w:tc>
      </w:tr>
      <w:tr w:rsidR="005B5CB9" w:rsidRPr="00364338" w14:paraId="09C31294" w14:textId="77777777" w:rsidTr="00364338">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37D8DC21" w14:textId="77777777" w:rsidR="005B5CB9" w:rsidRPr="00364338" w:rsidRDefault="005B5CB9">
            <w:pPr>
              <w:pStyle w:val="Tabletext"/>
              <w:rPr>
                <w:szCs w:val="18"/>
              </w:rPr>
            </w:pPr>
            <w:r w:rsidRPr="00364338">
              <w:rPr>
                <w:szCs w:val="18"/>
              </w:rPr>
              <w:t>Ambulatory community care</w:t>
            </w:r>
          </w:p>
        </w:tc>
        <w:tc>
          <w:tcPr>
            <w:tcW w:w="3255" w:type="dxa"/>
          </w:tcPr>
          <w:p w14:paraId="1581AF70"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Community service hour</w:t>
            </w:r>
          </w:p>
        </w:tc>
        <w:tc>
          <w:tcPr>
            <w:tcW w:w="2491" w:type="dxa"/>
          </w:tcPr>
          <w:p w14:paraId="2B34202C" w14:textId="77777777" w:rsidR="005B5CB9" w:rsidRPr="00364338"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364338">
              <w:rPr>
                <w:szCs w:val="18"/>
              </w:rPr>
              <w:t>514.09</w:t>
            </w:r>
          </w:p>
        </w:tc>
      </w:tr>
    </w:tbl>
    <w:p w14:paraId="3E537573" w14:textId="77777777" w:rsidR="005B5CB9" w:rsidRDefault="005B5CB9" w:rsidP="005B5CB9">
      <w:pPr>
        <w:pStyle w:val="Tablecaption"/>
      </w:pPr>
      <w:bookmarkStart w:id="2223" w:name="_Toc110944654"/>
      <w:bookmarkStart w:id="2224" w:name="_Toc232527231"/>
      <w:bookmarkEnd w:id="2223"/>
      <w:r>
        <w:t xml:space="preserve">Table </w:t>
      </w:r>
      <w:r w:rsidRPr="5B850891">
        <w:fldChar w:fldCharType="begin"/>
      </w:r>
      <w:r>
        <w:instrText xml:space="preserve"> SEQ Table \* ARABIC </w:instrText>
      </w:r>
      <w:r w:rsidRPr="5B850891">
        <w:fldChar w:fldCharType="separate"/>
      </w:r>
      <w:r>
        <w:rPr>
          <w:noProof/>
        </w:rPr>
        <w:t>14</w:t>
      </w:r>
      <w:r w:rsidRPr="5B850891">
        <w:rPr>
          <w:noProof/>
        </w:rPr>
        <w:fldChar w:fldCharType="end"/>
      </w:r>
      <w:r>
        <w:t>. Community support services</w:t>
      </w:r>
      <w:bookmarkEnd w:id="2224"/>
    </w:p>
    <w:tbl>
      <w:tblPr>
        <w:tblStyle w:val="GridTable4-Accent1"/>
        <w:tblW w:w="9285" w:type="dxa"/>
        <w:tblLayout w:type="fixed"/>
        <w:tblLook w:val="04A0" w:firstRow="1" w:lastRow="0" w:firstColumn="1" w:lastColumn="0" w:noHBand="0" w:noVBand="1"/>
      </w:tblPr>
      <w:tblGrid>
        <w:gridCol w:w="4673"/>
        <w:gridCol w:w="2126"/>
        <w:gridCol w:w="2486"/>
      </w:tblGrid>
      <w:tr w:rsidR="005B5CB9" w:rsidRPr="00364338" w14:paraId="53C9B765" w14:textId="77777777" w:rsidTr="000814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22CD8EC0" w14:textId="77777777" w:rsidR="005B5CB9" w:rsidRPr="00364338" w:rsidRDefault="005B5CB9">
            <w:pPr>
              <w:pStyle w:val="Tablecolhead8pt"/>
              <w:rPr>
                <w:b/>
                <w:bCs w:val="0"/>
                <w:color w:val="FFFFFF" w:themeColor="background1"/>
                <w:sz w:val="18"/>
                <w:szCs w:val="18"/>
              </w:rPr>
            </w:pPr>
            <w:r w:rsidRPr="00364338">
              <w:rPr>
                <w:b/>
                <w:bCs w:val="0"/>
                <w:color w:val="FFFFFF" w:themeColor="background1"/>
                <w:sz w:val="18"/>
                <w:szCs w:val="18"/>
              </w:rPr>
              <w:t>Service element</w:t>
            </w:r>
          </w:p>
        </w:tc>
        <w:tc>
          <w:tcPr>
            <w:tcW w:w="2126" w:type="dxa"/>
          </w:tcPr>
          <w:p w14:paraId="42EA2AA6" w14:textId="77777777" w:rsidR="005B5CB9" w:rsidRPr="00364338" w:rsidRDefault="005B5CB9" w:rsidP="00597E0E">
            <w:pPr>
              <w:pStyle w:val="Tablecolhead8pt"/>
              <w:jc w:val="both"/>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 xml:space="preserve">Funded unit </w:t>
            </w:r>
          </w:p>
        </w:tc>
        <w:tc>
          <w:tcPr>
            <w:tcW w:w="2486" w:type="dxa"/>
          </w:tcPr>
          <w:p w14:paraId="2C730669" w14:textId="77777777" w:rsidR="005B5CB9" w:rsidRPr="00364338" w:rsidRDefault="005B5CB9" w:rsidP="00597E0E">
            <w:pPr>
              <w:pStyle w:val="Tablecolhead8pt"/>
              <w:jc w:val="both"/>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338">
              <w:rPr>
                <w:b/>
                <w:bCs w:val="0"/>
                <w:color w:val="FFFFFF" w:themeColor="background1"/>
                <w:sz w:val="18"/>
                <w:szCs w:val="18"/>
              </w:rPr>
              <w:t>All health services ($)</w:t>
            </w:r>
          </w:p>
        </w:tc>
      </w:tr>
      <w:tr w:rsidR="005B5CB9" w:rsidRPr="00364338" w14:paraId="79DD3D4F" w14:textId="77777777" w:rsidTr="00081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7C8D81F1" w14:textId="77777777" w:rsidR="005B5CB9" w:rsidRPr="00364338" w:rsidRDefault="005B5CB9">
            <w:pPr>
              <w:pStyle w:val="Tabletext"/>
              <w:rPr>
                <w:szCs w:val="18"/>
              </w:rPr>
            </w:pPr>
            <w:r w:rsidRPr="00364338">
              <w:rPr>
                <w:szCs w:val="18"/>
              </w:rPr>
              <w:t>Individualised client support packages</w:t>
            </w:r>
          </w:p>
        </w:tc>
        <w:tc>
          <w:tcPr>
            <w:tcW w:w="2126" w:type="dxa"/>
            <w:hideMark/>
          </w:tcPr>
          <w:p w14:paraId="5BBEFC1A"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szCs w:val="18"/>
              </w:rPr>
              <w:t>Client support unit</w:t>
            </w:r>
          </w:p>
        </w:tc>
        <w:tc>
          <w:tcPr>
            <w:tcW w:w="2486" w:type="dxa"/>
            <w:hideMark/>
          </w:tcPr>
          <w:p w14:paraId="48DA4D88"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szCs w:val="18"/>
              </w:rPr>
              <w:t>130.97</w:t>
            </w:r>
          </w:p>
        </w:tc>
      </w:tr>
      <w:tr w:rsidR="005B5CB9" w:rsidRPr="00364338" w14:paraId="3D9D84AC" w14:textId="77777777" w:rsidTr="000814D5">
        <w:tc>
          <w:tcPr>
            <w:cnfStyle w:val="001000000000" w:firstRow="0" w:lastRow="0" w:firstColumn="1" w:lastColumn="0" w:oddVBand="0" w:evenVBand="0" w:oddHBand="0" w:evenHBand="0" w:firstRowFirstColumn="0" w:firstRowLastColumn="0" w:lastRowFirstColumn="0" w:lastRowLastColumn="0"/>
            <w:tcW w:w="4673" w:type="dxa"/>
            <w:hideMark/>
          </w:tcPr>
          <w:p w14:paraId="3785F6E9" w14:textId="77777777" w:rsidR="005B5CB9" w:rsidRPr="00364338" w:rsidRDefault="005B5CB9">
            <w:pPr>
              <w:pStyle w:val="Tabletext"/>
              <w:rPr>
                <w:szCs w:val="18"/>
              </w:rPr>
            </w:pPr>
            <w:r w:rsidRPr="00364338">
              <w:rPr>
                <w:szCs w:val="18"/>
              </w:rPr>
              <w:t>Youth residential rehabilitation – 24-hour</w:t>
            </w:r>
          </w:p>
        </w:tc>
        <w:tc>
          <w:tcPr>
            <w:tcW w:w="2126" w:type="dxa"/>
            <w:hideMark/>
          </w:tcPr>
          <w:p w14:paraId="295E2230"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szCs w:val="18"/>
              </w:rPr>
              <w:t>Bed day</w:t>
            </w:r>
          </w:p>
        </w:tc>
        <w:tc>
          <w:tcPr>
            <w:tcW w:w="2486" w:type="dxa"/>
            <w:hideMark/>
          </w:tcPr>
          <w:p w14:paraId="1B52413D"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szCs w:val="18"/>
              </w:rPr>
              <w:t>315.04</w:t>
            </w:r>
          </w:p>
        </w:tc>
      </w:tr>
      <w:tr w:rsidR="005B5CB9" w:rsidRPr="00364338" w14:paraId="002225BE" w14:textId="77777777" w:rsidTr="00081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5EF78736" w14:textId="77777777" w:rsidR="005B5CB9" w:rsidRPr="00364338" w:rsidRDefault="005B5CB9">
            <w:pPr>
              <w:pStyle w:val="Tabletext"/>
              <w:rPr>
                <w:szCs w:val="18"/>
              </w:rPr>
            </w:pPr>
            <w:bookmarkStart w:id="2225" w:name="_Toc110944656"/>
            <w:bookmarkEnd w:id="2225"/>
            <w:r w:rsidRPr="00364338">
              <w:rPr>
                <w:szCs w:val="18"/>
              </w:rPr>
              <w:t>Youth residential rehabilitation – non-24-hour</w:t>
            </w:r>
          </w:p>
        </w:tc>
        <w:tc>
          <w:tcPr>
            <w:tcW w:w="2126" w:type="dxa"/>
            <w:hideMark/>
          </w:tcPr>
          <w:p w14:paraId="590AFC74"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szCs w:val="18"/>
              </w:rPr>
              <w:t>Bed day</w:t>
            </w:r>
          </w:p>
        </w:tc>
        <w:tc>
          <w:tcPr>
            <w:tcW w:w="2486" w:type="dxa"/>
            <w:hideMark/>
          </w:tcPr>
          <w:p w14:paraId="1583E62E"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szCs w:val="18"/>
              </w:rPr>
              <w:t>270.50</w:t>
            </w:r>
          </w:p>
        </w:tc>
      </w:tr>
      <w:tr w:rsidR="005B5CB9" w:rsidRPr="00364338" w14:paraId="31F5A6FE" w14:textId="77777777" w:rsidTr="000814D5">
        <w:tc>
          <w:tcPr>
            <w:cnfStyle w:val="001000000000" w:firstRow="0" w:lastRow="0" w:firstColumn="1" w:lastColumn="0" w:oddVBand="0" w:evenVBand="0" w:oddHBand="0" w:evenHBand="0" w:firstRowFirstColumn="0" w:firstRowLastColumn="0" w:lastRowFirstColumn="0" w:lastRowLastColumn="0"/>
            <w:tcW w:w="4673" w:type="dxa"/>
          </w:tcPr>
          <w:p w14:paraId="390E91E3" w14:textId="77777777" w:rsidR="005B5CB9" w:rsidRPr="00364338" w:rsidRDefault="005B5CB9">
            <w:pPr>
              <w:pStyle w:val="Tabletext"/>
              <w:rPr>
                <w:szCs w:val="18"/>
              </w:rPr>
            </w:pPr>
            <w:r w:rsidRPr="00364338">
              <w:rPr>
                <w:bCs w:val="0"/>
                <w:szCs w:val="18"/>
              </w:rPr>
              <w:t>Individual support referral and advocacy</w:t>
            </w:r>
          </w:p>
        </w:tc>
        <w:tc>
          <w:tcPr>
            <w:tcW w:w="2126" w:type="dxa"/>
          </w:tcPr>
          <w:p w14:paraId="7EFF7D37"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color w:val="000000"/>
                <w:szCs w:val="18"/>
              </w:rPr>
              <w:t>Contact hour</w:t>
            </w:r>
          </w:p>
        </w:tc>
        <w:tc>
          <w:tcPr>
            <w:tcW w:w="2486" w:type="dxa"/>
          </w:tcPr>
          <w:p w14:paraId="2A73A7B5"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highlight w:val="yellow"/>
              </w:rPr>
            </w:pPr>
            <w:r w:rsidRPr="00364338">
              <w:rPr>
                <w:color w:val="000000"/>
                <w:szCs w:val="18"/>
              </w:rPr>
              <w:t>57.43</w:t>
            </w:r>
          </w:p>
        </w:tc>
      </w:tr>
      <w:tr w:rsidR="005B5CB9" w:rsidRPr="00364338" w14:paraId="3233C29A" w14:textId="77777777" w:rsidTr="00081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381428C1" w14:textId="77777777" w:rsidR="005B5CB9" w:rsidRPr="00364338" w:rsidRDefault="005B5CB9">
            <w:pPr>
              <w:pStyle w:val="Tabletext"/>
              <w:rPr>
                <w:szCs w:val="18"/>
              </w:rPr>
            </w:pPr>
            <w:r w:rsidRPr="00364338">
              <w:rPr>
                <w:szCs w:val="18"/>
              </w:rPr>
              <w:t>Stand-alone (high availability)</w:t>
            </w:r>
          </w:p>
        </w:tc>
        <w:tc>
          <w:tcPr>
            <w:tcW w:w="2126" w:type="dxa"/>
            <w:hideMark/>
          </w:tcPr>
          <w:p w14:paraId="786C3CB7"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szCs w:val="18"/>
              </w:rPr>
              <w:t>Weighted block grant</w:t>
            </w:r>
          </w:p>
        </w:tc>
        <w:tc>
          <w:tcPr>
            <w:tcW w:w="2486" w:type="dxa"/>
            <w:hideMark/>
          </w:tcPr>
          <w:p w14:paraId="6B62390E"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szCs w:val="18"/>
              </w:rPr>
              <w:t>331,933</w:t>
            </w:r>
          </w:p>
        </w:tc>
      </w:tr>
      <w:tr w:rsidR="005B5CB9" w:rsidRPr="00364338" w14:paraId="4C2891C0" w14:textId="77777777" w:rsidTr="000814D5">
        <w:tc>
          <w:tcPr>
            <w:cnfStyle w:val="001000000000" w:firstRow="0" w:lastRow="0" w:firstColumn="1" w:lastColumn="0" w:oddVBand="0" w:evenVBand="0" w:oddHBand="0" w:evenHBand="0" w:firstRowFirstColumn="0" w:firstRowLastColumn="0" w:lastRowFirstColumn="0" w:lastRowLastColumn="0"/>
            <w:tcW w:w="4673" w:type="dxa"/>
            <w:hideMark/>
          </w:tcPr>
          <w:p w14:paraId="06BD52CF" w14:textId="77777777" w:rsidR="005B5CB9" w:rsidRPr="00364338" w:rsidRDefault="005B5CB9">
            <w:pPr>
              <w:pStyle w:val="Tabletext"/>
              <w:rPr>
                <w:szCs w:val="18"/>
              </w:rPr>
            </w:pPr>
            <w:r w:rsidRPr="00364338">
              <w:rPr>
                <w:szCs w:val="18"/>
              </w:rPr>
              <w:t>Stand-alone (high availability)</w:t>
            </w:r>
          </w:p>
        </w:tc>
        <w:tc>
          <w:tcPr>
            <w:tcW w:w="2126" w:type="dxa"/>
            <w:hideMark/>
          </w:tcPr>
          <w:p w14:paraId="281E7FE8"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szCs w:val="18"/>
              </w:rPr>
              <w:t>Weighted block grant</w:t>
            </w:r>
          </w:p>
        </w:tc>
        <w:tc>
          <w:tcPr>
            <w:tcW w:w="2486" w:type="dxa"/>
            <w:hideMark/>
          </w:tcPr>
          <w:p w14:paraId="351D9D4E"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szCs w:val="18"/>
              </w:rPr>
              <w:t>Variable</w:t>
            </w:r>
          </w:p>
        </w:tc>
      </w:tr>
      <w:tr w:rsidR="005B5CB9" w:rsidRPr="00364338" w14:paraId="56DB956D" w14:textId="77777777" w:rsidTr="00081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6C597A" w14:textId="77777777" w:rsidR="005B5CB9" w:rsidRPr="00364338" w:rsidRDefault="005B5CB9">
            <w:pPr>
              <w:pStyle w:val="Tabletext"/>
              <w:rPr>
                <w:szCs w:val="18"/>
              </w:rPr>
            </w:pPr>
            <w:r w:rsidRPr="00364338">
              <w:rPr>
                <w:bCs w:val="0"/>
                <w:szCs w:val="18"/>
              </w:rPr>
              <w:t>Mutual support and self-help group support</w:t>
            </w:r>
          </w:p>
        </w:tc>
        <w:tc>
          <w:tcPr>
            <w:tcW w:w="2126" w:type="dxa"/>
          </w:tcPr>
          <w:p w14:paraId="16B17849"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color w:val="000000"/>
                <w:szCs w:val="18"/>
              </w:rPr>
              <w:t>Contact hour (group)</w:t>
            </w:r>
          </w:p>
        </w:tc>
        <w:tc>
          <w:tcPr>
            <w:tcW w:w="2486" w:type="dxa"/>
          </w:tcPr>
          <w:p w14:paraId="31604FA1"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color w:val="000000"/>
                <w:szCs w:val="18"/>
              </w:rPr>
              <w:t>151.98</w:t>
            </w:r>
          </w:p>
        </w:tc>
      </w:tr>
      <w:tr w:rsidR="005B5CB9" w:rsidRPr="00364338" w14:paraId="5E7D3D91" w14:textId="77777777" w:rsidTr="000814D5">
        <w:tc>
          <w:tcPr>
            <w:cnfStyle w:val="001000000000" w:firstRow="0" w:lastRow="0" w:firstColumn="1" w:lastColumn="0" w:oddVBand="0" w:evenVBand="0" w:oddHBand="0" w:evenHBand="0" w:firstRowFirstColumn="0" w:firstRowLastColumn="0" w:lastRowFirstColumn="0" w:lastRowLastColumn="0"/>
            <w:tcW w:w="4673" w:type="dxa"/>
          </w:tcPr>
          <w:p w14:paraId="41004A71" w14:textId="77777777" w:rsidR="005B5CB9" w:rsidRPr="00364338" w:rsidRDefault="005B5CB9">
            <w:pPr>
              <w:pStyle w:val="Tabletext"/>
              <w:rPr>
                <w:szCs w:val="18"/>
              </w:rPr>
            </w:pPr>
            <w:r w:rsidRPr="00364338">
              <w:rPr>
                <w:bCs w:val="0"/>
                <w:szCs w:val="18"/>
              </w:rPr>
              <w:t>Group education and training</w:t>
            </w:r>
          </w:p>
        </w:tc>
        <w:tc>
          <w:tcPr>
            <w:tcW w:w="2126" w:type="dxa"/>
          </w:tcPr>
          <w:p w14:paraId="4334B4B5"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color w:val="000000"/>
                <w:szCs w:val="18"/>
              </w:rPr>
              <w:t>Contact hour (group)</w:t>
            </w:r>
          </w:p>
        </w:tc>
        <w:tc>
          <w:tcPr>
            <w:tcW w:w="2486" w:type="dxa"/>
          </w:tcPr>
          <w:p w14:paraId="58054D8F"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color w:val="000000"/>
                <w:szCs w:val="18"/>
              </w:rPr>
              <w:t>517.98</w:t>
            </w:r>
          </w:p>
        </w:tc>
      </w:tr>
      <w:tr w:rsidR="005B5CB9" w:rsidRPr="00364338" w14:paraId="7AE34CBE" w14:textId="77777777" w:rsidTr="00081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5AFBC9F" w14:textId="77777777" w:rsidR="005B5CB9" w:rsidRPr="00364338" w:rsidRDefault="005B5CB9">
            <w:pPr>
              <w:pStyle w:val="Tabletext"/>
              <w:rPr>
                <w:szCs w:val="18"/>
              </w:rPr>
            </w:pPr>
            <w:r w:rsidRPr="00364338">
              <w:rPr>
                <w:bCs w:val="0"/>
                <w:szCs w:val="18"/>
              </w:rPr>
              <w:t>Volunteer coordination</w:t>
            </w:r>
          </w:p>
        </w:tc>
        <w:tc>
          <w:tcPr>
            <w:tcW w:w="2126" w:type="dxa"/>
          </w:tcPr>
          <w:p w14:paraId="41E3C42D"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color w:val="000000"/>
                <w:szCs w:val="18"/>
              </w:rPr>
              <w:t>Hour</w:t>
            </w:r>
          </w:p>
        </w:tc>
        <w:tc>
          <w:tcPr>
            <w:tcW w:w="2486" w:type="dxa"/>
          </w:tcPr>
          <w:p w14:paraId="59E9D6D3"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color w:val="000000"/>
                <w:szCs w:val="18"/>
              </w:rPr>
              <w:t>66.59</w:t>
            </w:r>
          </w:p>
        </w:tc>
      </w:tr>
      <w:tr w:rsidR="005B5CB9" w:rsidRPr="00364338" w14:paraId="5C63A3EB" w14:textId="77777777" w:rsidTr="000814D5">
        <w:tc>
          <w:tcPr>
            <w:cnfStyle w:val="001000000000" w:firstRow="0" w:lastRow="0" w:firstColumn="1" w:lastColumn="0" w:oddVBand="0" w:evenVBand="0" w:oddHBand="0" w:evenHBand="0" w:firstRowFirstColumn="0" w:firstRowLastColumn="0" w:lastRowFirstColumn="0" w:lastRowLastColumn="0"/>
            <w:tcW w:w="4673" w:type="dxa"/>
          </w:tcPr>
          <w:p w14:paraId="7D040B08" w14:textId="77777777" w:rsidR="005B5CB9" w:rsidRPr="00364338" w:rsidRDefault="005B5CB9">
            <w:pPr>
              <w:pStyle w:val="Tabletext"/>
              <w:rPr>
                <w:szCs w:val="18"/>
              </w:rPr>
            </w:pPr>
            <w:r w:rsidRPr="00364338">
              <w:rPr>
                <w:bCs w:val="0"/>
                <w:szCs w:val="18"/>
              </w:rPr>
              <w:t>In home, community and residential MHCSS contact</w:t>
            </w:r>
          </w:p>
        </w:tc>
        <w:tc>
          <w:tcPr>
            <w:tcW w:w="2126" w:type="dxa"/>
          </w:tcPr>
          <w:p w14:paraId="1F283568"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color w:val="000000"/>
                <w:szCs w:val="18"/>
              </w:rPr>
              <w:t>Client contact hour</w:t>
            </w:r>
          </w:p>
        </w:tc>
        <w:tc>
          <w:tcPr>
            <w:tcW w:w="2486" w:type="dxa"/>
          </w:tcPr>
          <w:p w14:paraId="6495A83A"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color w:val="000000"/>
                <w:szCs w:val="18"/>
              </w:rPr>
              <w:t>51.91</w:t>
            </w:r>
          </w:p>
        </w:tc>
      </w:tr>
      <w:tr w:rsidR="005B5CB9" w:rsidRPr="00364338" w14:paraId="27F9F6AF" w14:textId="77777777" w:rsidTr="00081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59448F5" w14:textId="77777777" w:rsidR="005B5CB9" w:rsidRPr="00364338" w:rsidRDefault="005B5CB9">
            <w:pPr>
              <w:pStyle w:val="Tabletext"/>
              <w:rPr>
                <w:szCs w:val="18"/>
              </w:rPr>
            </w:pPr>
            <w:r w:rsidRPr="00364338">
              <w:rPr>
                <w:bCs w:val="0"/>
                <w:szCs w:val="18"/>
              </w:rPr>
              <w:t>24-hour onsite small facilities (0–11 beds)</w:t>
            </w:r>
          </w:p>
        </w:tc>
        <w:tc>
          <w:tcPr>
            <w:tcW w:w="2126" w:type="dxa"/>
          </w:tcPr>
          <w:p w14:paraId="54BFCFFF"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color w:val="000000"/>
                <w:szCs w:val="18"/>
              </w:rPr>
              <w:t>Available bed day</w:t>
            </w:r>
          </w:p>
        </w:tc>
        <w:tc>
          <w:tcPr>
            <w:tcW w:w="2486" w:type="dxa"/>
          </w:tcPr>
          <w:p w14:paraId="5D9B402D" w14:textId="77777777" w:rsidR="005B5CB9" w:rsidRPr="00364338" w:rsidRDefault="005B5CB9" w:rsidP="00597E0E">
            <w:pPr>
              <w:pStyle w:val="Tabletext"/>
              <w:jc w:val="both"/>
              <w:cnfStyle w:val="000000100000" w:firstRow="0" w:lastRow="0" w:firstColumn="0" w:lastColumn="0" w:oddVBand="0" w:evenVBand="0" w:oddHBand="1" w:evenHBand="0" w:firstRowFirstColumn="0" w:firstRowLastColumn="0" w:lastRowFirstColumn="0" w:lastRowLastColumn="0"/>
              <w:rPr>
                <w:szCs w:val="18"/>
              </w:rPr>
            </w:pPr>
            <w:r w:rsidRPr="00364338">
              <w:rPr>
                <w:color w:val="000000"/>
                <w:szCs w:val="18"/>
              </w:rPr>
              <w:t>217.49</w:t>
            </w:r>
          </w:p>
        </w:tc>
      </w:tr>
      <w:tr w:rsidR="005B5CB9" w:rsidRPr="00364338" w14:paraId="70FF8510" w14:textId="77777777" w:rsidTr="000814D5">
        <w:tc>
          <w:tcPr>
            <w:cnfStyle w:val="001000000000" w:firstRow="0" w:lastRow="0" w:firstColumn="1" w:lastColumn="0" w:oddVBand="0" w:evenVBand="0" w:oddHBand="0" w:evenHBand="0" w:firstRowFirstColumn="0" w:firstRowLastColumn="0" w:lastRowFirstColumn="0" w:lastRowLastColumn="0"/>
            <w:tcW w:w="4673" w:type="dxa"/>
          </w:tcPr>
          <w:p w14:paraId="3B796679" w14:textId="77777777" w:rsidR="005B5CB9" w:rsidRPr="00364338" w:rsidRDefault="005B5CB9">
            <w:pPr>
              <w:pStyle w:val="Tabletext"/>
              <w:rPr>
                <w:szCs w:val="18"/>
              </w:rPr>
            </w:pPr>
            <w:r w:rsidRPr="00364338">
              <w:rPr>
                <w:bCs w:val="0"/>
                <w:szCs w:val="18"/>
              </w:rPr>
              <w:t>24-hour onsite small facilities (&gt;11 beds)</w:t>
            </w:r>
          </w:p>
        </w:tc>
        <w:tc>
          <w:tcPr>
            <w:tcW w:w="2126" w:type="dxa"/>
          </w:tcPr>
          <w:p w14:paraId="3B5D1410"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color w:val="000000"/>
                <w:szCs w:val="18"/>
              </w:rPr>
              <w:t>Available bed day</w:t>
            </w:r>
          </w:p>
        </w:tc>
        <w:tc>
          <w:tcPr>
            <w:tcW w:w="2486" w:type="dxa"/>
          </w:tcPr>
          <w:p w14:paraId="7CD7770F" w14:textId="77777777" w:rsidR="005B5CB9" w:rsidRPr="00364338" w:rsidRDefault="005B5CB9" w:rsidP="00597E0E">
            <w:pPr>
              <w:pStyle w:val="Tabletext"/>
              <w:jc w:val="both"/>
              <w:cnfStyle w:val="000000000000" w:firstRow="0" w:lastRow="0" w:firstColumn="0" w:lastColumn="0" w:oddVBand="0" w:evenVBand="0" w:oddHBand="0" w:evenHBand="0" w:firstRowFirstColumn="0" w:firstRowLastColumn="0" w:lastRowFirstColumn="0" w:lastRowLastColumn="0"/>
              <w:rPr>
                <w:szCs w:val="18"/>
              </w:rPr>
            </w:pPr>
            <w:r w:rsidRPr="00364338">
              <w:rPr>
                <w:color w:val="000000"/>
                <w:szCs w:val="18"/>
              </w:rPr>
              <w:t>76.12</w:t>
            </w:r>
          </w:p>
        </w:tc>
      </w:tr>
    </w:tbl>
    <w:p w14:paraId="15A0B884" w14:textId="617EB243" w:rsidR="005B5CB9" w:rsidRDefault="005B5CB9" w:rsidP="005B5CB9">
      <w:pPr>
        <w:pStyle w:val="Heading2"/>
        <w:tabs>
          <w:tab w:val="right" w:pos="9298"/>
        </w:tabs>
      </w:pPr>
      <w:bookmarkStart w:id="2226" w:name="_Toc110944658"/>
      <w:bookmarkStart w:id="2227" w:name="_Toc110944660"/>
      <w:bookmarkStart w:id="2228" w:name="_Toc110944662"/>
      <w:bookmarkStart w:id="2229" w:name="_Toc110944664"/>
      <w:bookmarkStart w:id="2230" w:name="_13.6_Alcohol_and"/>
      <w:bookmarkStart w:id="2231" w:name="_Toc419623620"/>
      <w:bookmarkStart w:id="2232" w:name="_Toc419623732"/>
      <w:bookmarkStart w:id="2233" w:name="_Toc419644514"/>
      <w:bookmarkStart w:id="2234" w:name="_Toc487742072"/>
      <w:bookmarkStart w:id="2235" w:name="_Toc234580362"/>
      <w:bookmarkEnd w:id="2220"/>
      <w:bookmarkEnd w:id="2221"/>
      <w:bookmarkEnd w:id="2222"/>
      <w:bookmarkEnd w:id="2226"/>
      <w:bookmarkEnd w:id="2227"/>
      <w:bookmarkEnd w:id="2228"/>
      <w:bookmarkEnd w:id="2229"/>
      <w:bookmarkEnd w:id="2230"/>
      <w:r>
        <w:t>Alcohol and other drug services 2026–27</w:t>
      </w:r>
      <w:bookmarkEnd w:id="2235"/>
    </w:p>
    <w:p w14:paraId="51D3639D" w14:textId="77777777" w:rsidR="005B5CB9" w:rsidRDefault="005B5CB9" w:rsidP="005B5CB9">
      <w:pPr>
        <w:pStyle w:val="Tablecaption"/>
      </w:pPr>
      <w:bookmarkStart w:id="2236" w:name="_Toc232527232"/>
      <w:r>
        <w:t xml:space="preserve">Table </w:t>
      </w:r>
      <w:r w:rsidRPr="5B850891">
        <w:fldChar w:fldCharType="begin"/>
      </w:r>
      <w:r>
        <w:instrText xml:space="preserve"> SEQ Table \* ARABIC </w:instrText>
      </w:r>
      <w:r w:rsidRPr="5B850891">
        <w:fldChar w:fldCharType="separate"/>
      </w:r>
      <w:r>
        <w:rPr>
          <w:noProof/>
        </w:rPr>
        <w:t>15</w:t>
      </w:r>
      <w:r w:rsidRPr="5B850891">
        <w:rPr>
          <w:noProof/>
        </w:rPr>
        <w:fldChar w:fldCharType="end"/>
      </w:r>
      <w:r>
        <w:t>. AOD services</w:t>
      </w:r>
      <w:bookmarkEnd w:id="2236"/>
    </w:p>
    <w:tbl>
      <w:tblPr>
        <w:tblStyle w:val="GridTable4-Accent1"/>
        <w:tblW w:w="9351" w:type="dxa"/>
        <w:tblLook w:val="04A0" w:firstRow="1" w:lastRow="0" w:firstColumn="1" w:lastColumn="0" w:noHBand="0" w:noVBand="1"/>
      </w:tblPr>
      <w:tblGrid>
        <w:gridCol w:w="3964"/>
        <w:gridCol w:w="1560"/>
        <w:gridCol w:w="1842"/>
        <w:gridCol w:w="1985"/>
      </w:tblGrid>
      <w:tr w:rsidR="005B5CB9" w:rsidRPr="00364338" w14:paraId="08516DA3" w14:textId="77777777" w:rsidTr="007A75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35A158B3" w14:textId="77777777" w:rsidR="005B5CB9" w:rsidRPr="00364338" w:rsidRDefault="005B5CB9">
            <w:pPr>
              <w:pStyle w:val="Tablecolhead8pt"/>
              <w:rPr>
                <w:rFonts w:cs="Arial"/>
                <w:b/>
                <w:bCs w:val="0"/>
                <w:color w:val="FFFFFF" w:themeColor="background1"/>
                <w:sz w:val="18"/>
                <w:szCs w:val="18"/>
              </w:rPr>
            </w:pPr>
            <w:bookmarkStart w:id="2237" w:name="_Toc418694987"/>
            <w:bookmarkStart w:id="2238" w:name="_Ref419741277"/>
            <w:bookmarkStart w:id="2239" w:name="_Ref419741290"/>
            <w:bookmarkStart w:id="2240" w:name="_Ref425436162"/>
            <w:r w:rsidRPr="00364338">
              <w:rPr>
                <w:rFonts w:cs="Arial"/>
                <w:b/>
                <w:bCs w:val="0"/>
                <w:color w:val="FFFFFF" w:themeColor="background1"/>
                <w:sz w:val="18"/>
                <w:szCs w:val="18"/>
              </w:rPr>
              <w:t>Service element</w:t>
            </w:r>
          </w:p>
        </w:tc>
        <w:tc>
          <w:tcPr>
            <w:tcW w:w="1560" w:type="dxa"/>
          </w:tcPr>
          <w:p w14:paraId="09D49CA1" w14:textId="77777777" w:rsidR="005B5CB9" w:rsidRPr="00364338" w:rsidRDefault="005B5CB9" w:rsidP="00597E0E">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8"/>
                <w:szCs w:val="18"/>
              </w:rPr>
            </w:pPr>
            <w:r w:rsidRPr="00364338">
              <w:rPr>
                <w:rFonts w:cs="Arial"/>
                <w:b/>
                <w:bCs w:val="0"/>
                <w:color w:val="FFFFFF" w:themeColor="background1"/>
                <w:sz w:val="18"/>
                <w:szCs w:val="18"/>
              </w:rPr>
              <w:t>Funded unit</w:t>
            </w:r>
          </w:p>
        </w:tc>
        <w:tc>
          <w:tcPr>
            <w:tcW w:w="1842" w:type="dxa"/>
          </w:tcPr>
          <w:p w14:paraId="3C89788C" w14:textId="77777777" w:rsidR="005B5CB9" w:rsidRPr="00364338" w:rsidRDefault="005B5CB9" w:rsidP="00597E0E">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8"/>
                <w:szCs w:val="18"/>
              </w:rPr>
            </w:pPr>
            <w:r w:rsidRPr="00364338">
              <w:rPr>
                <w:rFonts w:cs="Arial"/>
                <w:b/>
                <w:bCs w:val="0"/>
                <w:color w:val="FFFFFF" w:themeColor="background1"/>
                <w:sz w:val="18"/>
                <w:szCs w:val="18"/>
              </w:rPr>
              <w:t>Metro unit price ($)</w:t>
            </w:r>
          </w:p>
        </w:tc>
        <w:tc>
          <w:tcPr>
            <w:tcW w:w="1985" w:type="dxa"/>
          </w:tcPr>
          <w:p w14:paraId="00E26536" w14:textId="77777777" w:rsidR="005B5CB9" w:rsidRPr="00364338" w:rsidRDefault="005B5CB9" w:rsidP="00597E0E">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8"/>
                <w:szCs w:val="18"/>
              </w:rPr>
            </w:pPr>
            <w:r w:rsidRPr="00364338">
              <w:rPr>
                <w:rFonts w:cs="Arial"/>
                <w:b/>
                <w:bCs w:val="0"/>
                <w:color w:val="FFFFFF" w:themeColor="background1"/>
                <w:sz w:val="18"/>
                <w:szCs w:val="18"/>
              </w:rPr>
              <w:t>Rural unit price ($)</w:t>
            </w:r>
          </w:p>
        </w:tc>
      </w:tr>
      <w:tr w:rsidR="005B5CB9" w:rsidRPr="00364338" w14:paraId="4649A833" w14:textId="77777777" w:rsidTr="007A7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6E7AF5A" w14:textId="77777777" w:rsidR="005B5CB9" w:rsidRPr="00364338" w:rsidRDefault="005B5CB9">
            <w:pPr>
              <w:pStyle w:val="Tabletext"/>
              <w:rPr>
                <w:rFonts w:cs="Arial"/>
                <w:szCs w:val="18"/>
              </w:rPr>
            </w:pPr>
            <w:r w:rsidRPr="00364338">
              <w:rPr>
                <w:rFonts w:cs="Arial"/>
                <w:szCs w:val="18"/>
              </w:rPr>
              <w:t xml:space="preserve">Drug treatment services </w:t>
            </w:r>
            <w:r w:rsidRPr="00364338">
              <w:rPr>
                <w:rFonts w:cs="Arial"/>
                <w:b w:val="0"/>
                <w:szCs w:val="18"/>
              </w:rPr>
              <w:t>(intake, assessment, care coordination, counselling, non-residential withdrawal, therapeutic day rehabilitation; adult/youth/Aboriginal residential withdrawal and rehabilitation)</w:t>
            </w:r>
          </w:p>
        </w:tc>
        <w:tc>
          <w:tcPr>
            <w:tcW w:w="1560" w:type="dxa"/>
          </w:tcPr>
          <w:p w14:paraId="713EEA52"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Drug treatment activity unit</w:t>
            </w:r>
          </w:p>
        </w:tc>
        <w:tc>
          <w:tcPr>
            <w:tcW w:w="1842" w:type="dxa"/>
          </w:tcPr>
          <w:p w14:paraId="15B02D0D"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1,067</w:t>
            </w:r>
          </w:p>
        </w:tc>
        <w:tc>
          <w:tcPr>
            <w:tcW w:w="1985" w:type="dxa"/>
          </w:tcPr>
          <w:p w14:paraId="22BCF682"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color w:val="000000"/>
                <w:szCs w:val="18"/>
              </w:rPr>
              <w:t>1,067</w:t>
            </w:r>
          </w:p>
        </w:tc>
      </w:tr>
      <w:tr w:rsidR="005B5CB9" w:rsidRPr="00364338" w14:paraId="13B95250" w14:textId="77777777" w:rsidTr="007A75C8">
        <w:tc>
          <w:tcPr>
            <w:cnfStyle w:val="001000000000" w:firstRow="0" w:lastRow="0" w:firstColumn="1" w:lastColumn="0" w:oddVBand="0" w:evenVBand="0" w:oddHBand="0" w:evenHBand="0" w:firstRowFirstColumn="0" w:firstRowLastColumn="0" w:lastRowFirstColumn="0" w:lastRowLastColumn="0"/>
            <w:tcW w:w="3964" w:type="dxa"/>
          </w:tcPr>
          <w:p w14:paraId="12C6979A" w14:textId="77777777" w:rsidR="005B5CB9" w:rsidRPr="00364338" w:rsidRDefault="005B5CB9">
            <w:pPr>
              <w:pStyle w:val="Tabletext"/>
              <w:rPr>
                <w:rFonts w:cs="Arial"/>
                <w:szCs w:val="18"/>
              </w:rPr>
            </w:pPr>
            <w:r w:rsidRPr="00364338">
              <w:rPr>
                <w:rFonts w:cs="Arial"/>
                <w:szCs w:val="18"/>
              </w:rPr>
              <w:t xml:space="preserve">Youth </w:t>
            </w:r>
            <w:r w:rsidRPr="00364338">
              <w:rPr>
                <w:rFonts w:cs="Arial"/>
                <w:bCs w:val="0"/>
                <w:szCs w:val="18"/>
              </w:rPr>
              <w:t>AOD</w:t>
            </w:r>
            <w:r w:rsidRPr="00364338">
              <w:rPr>
                <w:rFonts w:cs="Arial"/>
                <w:szCs w:val="18"/>
              </w:rPr>
              <w:t xml:space="preserve"> supported accommodation</w:t>
            </w:r>
          </w:p>
        </w:tc>
        <w:tc>
          <w:tcPr>
            <w:tcW w:w="1560" w:type="dxa"/>
          </w:tcPr>
          <w:p w14:paraId="67B2B813"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4E4C9588"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8,201</w:t>
            </w:r>
          </w:p>
        </w:tc>
        <w:tc>
          <w:tcPr>
            <w:tcW w:w="1985" w:type="dxa"/>
          </w:tcPr>
          <w:p w14:paraId="6B115A12"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10,934</w:t>
            </w:r>
          </w:p>
        </w:tc>
      </w:tr>
      <w:tr w:rsidR="005B5CB9" w:rsidRPr="00364338" w14:paraId="717A4D49" w14:textId="77777777" w:rsidTr="007A7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7977E96" w14:textId="77777777" w:rsidR="005B5CB9" w:rsidRPr="00364338" w:rsidRDefault="005B5CB9">
            <w:pPr>
              <w:pStyle w:val="Tabletext"/>
              <w:rPr>
                <w:rFonts w:cs="Arial"/>
                <w:szCs w:val="18"/>
              </w:rPr>
            </w:pPr>
            <w:r w:rsidRPr="00364338">
              <w:rPr>
                <w:rFonts w:cs="Arial"/>
                <w:szCs w:val="18"/>
              </w:rPr>
              <w:t xml:space="preserve">Aboriginal </w:t>
            </w:r>
            <w:r w:rsidRPr="00364338">
              <w:rPr>
                <w:rFonts w:cs="Arial"/>
                <w:bCs w:val="0"/>
                <w:szCs w:val="18"/>
              </w:rPr>
              <w:t>AOD</w:t>
            </w:r>
            <w:r w:rsidRPr="00364338">
              <w:rPr>
                <w:rFonts w:cs="Arial"/>
                <w:szCs w:val="18"/>
              </w:rPr>
              <w:t xml:space="preserve"> worker</w:t>
            </w:r>
          </w:p>
        </w:tc>
        <w:tc>
          <w:tcPr>
            <w:tcW w:w="1560" w:type="dxa"/>
          </w:tcPr>
          <w:p w14:paraId="19E00AD3"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430BFB52"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2,762</w:t>
            </w:r>
          </w:p>
        </w:tc>
        <w:tc>
          <w:tcPr>
            <w:tcW w:w="1985" w:type="dxa"/>
          </w:tcPr>
          <w:p w14:paraId="3DB55B3F"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color w:val="000000" w:themeColor="text1"/>
                <w:szCs w:val="18"/>
              </w:rPr>
              <w:t>—</w:t>
            </w:r>
          </w:p>
        </w:tc>
      </w:tr>
      <w:tr w:rsidR="005B5CB9" w:rsidRPr="00364338" w14:paraId="77E8A59E" w14:textId="77777777" w:rsidTr="007A75C8">
        <w:tc>
          <w:tcPr>
            <w:cnfStyle w:val="001000000000" w:firstRow="0" w:lastRow="0" w:firstColumn="1" w:lastColumn="0" w:oddVBand="0" w:evenVBand="0" w:oddHBand="0" w:evenHBand="0" w:firstRowFirstColumn="0" w:firstRowLastColumn="0" w:lastRowFirstColumn="0" w:lastRowLastColumn="0"/>
            <w:tcW w:w="3964" w:type="dxa"/>
          </w:tcPr>
          <w:p w14:paraId="7BF3DBB5" w14:textId="77777777" w:rsidR="005B5CB9" w:rsidRPr="00364338" w:rsidRDefault="005B5CB9">
            <w:pPr>
              <w:pStyle w:val="Tabletext"/>
              <w:rPr>
                <w:rFonts w:cs="Arial"/>
                <w:szCs w:val="18"/>
              </w:rPr>
            </w:pPr>
            <w:r w:rsidRPr="00364338">
              <w:rPr>
                <w:rFonts w:cs="Arial"/>
                <w:szCs w:val="18"/>
              </w:rPr>
              <w:lastRenderedPageBreak/>
              <w:t>Youth outreach</w:t>
            </w:r>
          </w:p>
        </w:tc>
        <w:tc>
          <w:tcPr>
            <w:tcW w:w="1560" w:type="dxa"/>
          </w:tcPr>
          <w:p w14:paraId="5540A810"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2C7C4AA6"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highlight w:val="yellow"/>
              </w:rPr>
            </w:pPr>
            <w:r w:rsidRPr="00364338">
              <w:rPr>
                <w:rFonts w:cs="Arial"/>
                <w:szCs w:val="18"/>
              </w:rPr>
              <w:t>2,443</w:t>
            </w:r>
          </w:p>
        </w:tc>
        <w:tc>
          <w:tcPr>
            <w:tcW w:w="1985" w:type="dxa"/>
          </w:tcPr>
          <w:p w14:paraId="37489E2B"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color w:val="000000" w:themeColor="text1"/>
                <w:szCs w:val="18"/>
              </w:rPr>
              <w:t>—</w:t>
            </w:r>
          </w:p>
        </w:tc>
      </w:tr>
      <w:tr w:rsidR="005B5CB9" w:rsidRPr="00364338" w14:paraId="27375BC6" w14:textId="77777777" w:rsidTr="007A7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326A1F9" w14:textId="77777777" w:rsidR="005B5CB9" w:rsidRPr="00364338" w:rsidRDefault="005B5CB9">
            <w:pPr>
              <w:pStyle w:val="Tabletext"/>
              <w:rPr>
                <w:rFonts w:cs="Arial"/>
                <w:szCs w:val="18"/>
              </w:rPr>
            </w:pPr>
            <w:r w:rsidRPr="00364338">
              <w:rPr>
                <w:rFonts w:cs="Arial"/>
                <w:szCs w:val="18"/>
              </w:rPr>
              <w:t>Specialist pharmacotherapy program</w:t>
            </w:r>
          </w:p>
        </w:tc>
        <w:tc>
          <w:tcPr>
            <w:tcW w:w="1560" w:type="dxa"/>
          </w:tcPr>
          <w:p w14:paraId="6C20A5CC"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3B8562DE"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4,471</w:t>
            </w:r>
          </w:p>
        </w:tc>
        <w:tc>
          <w:tcPr>
            <w:tcW w:w="1985" w:type="dxa"/>
          </w:tcPr>
          <w:p w14:paraId="072EBDE3"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color w:val="000000" w:themeColor="text1"/>
                <w:szCs w:val="18"/>
              </w:rPr>
              <w:t>—</w:t>
            </w:r>
          </w:p>
        </w:tc>
      </w:tr>
      <w:tr w:rsidR="005B5CB9" w:rsidRPr="00364338" w14:paraId="680FA792" w14:textId="77777777" w:rsidTr="007A75C8">
        <w:tc>
          <w:tcPr>
            <w:cnfStyle w:val="001000000000" w:firstRow="0" w:lastRow="0" w:firstColumn="1" w:lastColumn="0" w:oddVBand="0" w:evenVBand="0" w:oddHBand="0" w:evenHBand="0" w:firstRowFirstColumn="0" w:firstRowLastColumn="0" w:lastRowFirstColumn="0" w:lastRowLastColumn="0"/>
            <w:tcW w:w="3964" w:type="dxa"/>
          </w:tcPr>
          <w:p w14:paraId="11C87826" w14:textId="77777777" w:rsidR="005B5CB9" w:rsidRPr="00364338" w:rsidRDefault="005B5CB9">
            <w:pPr>
              <w:pStyle w:val="Tabletext"/>
              <w:rPr>
                <w:rFonts w:cs="Arial"/>
                <w:szCs w:val="18"/>
              </w:rPr>
            </w:pPr>
            <w:r w:rsidRPr="00364338">
              <w:rPr>
                <w:rFonts w:cs="Arial"/>
                <w:szCs w:val="18"/>
              </w:rPr>
              <w:t>Mobile overdose response</w:t>
            </w:r>
          </w:p>
        </w:tc>
        <w:tc>
          <w:tcPr>
            <w:tcW w:w="1560" w:type="dxa"/>
          </w:tcPr>
          <w:p w14:paraId="52B60CA4"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2D0FCA51"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highlight w:val="yellow"/>
              </w:rPr>
            </w:pPr>
            <w:r w:rsidRPr="00364338">
              <w:rPr>
                <w:rFonts w:cs="Arial"/>
                <w:szCs w:val="18"/>
              </w:rPr>
              <w:t>9,637</w:t>
            </w:r>
          </w:p>
        </w:tc>
        <w:tc>
          <w:tcPr>
            <w:tcW w:w="1985" w:type="dxa"/>
          </w:tcPr>
          <w:p w14:paraId="51D15DFE"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color w:val="000000" w:themeColor="text1"/>
                <w:szCs w:val="18"/>
              </w:rPr>
              <w:t>—</w:t>
            </w:r>
          </w:p>
        </w:tc>
      </w:tr>
      <w:tr w:rsidR="005B5CB9" w:rsidRPr="00364338" w14:paraId="48A59300" w14:textId="77777777" w:rsidTr="007A7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B9C8520" w14:textId="77777777" w:rsidR="005B5CB9" w:rsidRPr="00364338" w:rsidRDefault="005B5CB9">
            <w:pPr>
              <w:pStyle w:val="Tabletext"/>
              <w:rPr>
                <w:rFonts w:cs="Arial"/>
                <w:szCs w:val="18"/>
              </w:rPr>
            </w:pPr>
            <w:r w:rsidRPr="00364338">
              <w:rPr>
                <w:rFonts w:cs="Arial"/>
                <w:szCs w:val="18"/>
              </w:rPr>
              <w:t>Rural withdrawal</w:t>
            </w:r>
          </w:p>
        </w:tc>
        <w:tc>
          <w:tcPr>
            <w:tcW w:w="1560" w:type="dxa"/>
          </w:tcPr>
          <w:p w14:paraId="7EABE47A"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236923F1"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color w:val="000000" w:themeColor="text1"/>
                <w:szCs w:val="18"/>
              </w:rPr>
              <w:t>—</w:t>
            </w:r>
          </w:p>
        </w:tc>
        <w:tc>
          <w:tcPr>
            <w:tcW w:w="1985" w:type="dxa"/>
          </w:tcPr>
          <w:p w14:paraId="1394A5B3"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2,475</w:t>
            </w:r>
          </w:p>
        </w:tc>
      </w:tr>
      <w:tr w:rsidR="005B5CB9" w:rsidRPr="00364338" w14:paraId="67963E18" w14:textId="77777777" w:rsidTr="007A75C8">
        <w:tc>
          <w:tcPr>
            <w:cnfStyle w:val="001000000000" w:firstRow="0" w:lastRow="0" w:firstColumn="1" w:lastColumn="0" w:oddVBand="0" w:evenVBand="0" w:oddHBand="0" w:evenHBand="0" w:firstRowFirstColumn="0" w:firstRowLastColumn="0" w:lastRowFirstColumn="0" w:lastRowLastColumn="0"/>
            <w:tcW w:w="3964" w:type="dxa"/>
          </w:tcPr>
          <w:p w14:paraId="13055213" w14:textId="77777777" w:rsidR="005B5CB9" w:rsidRPr="00364338" w:rsidRDefault="005B5CB9">
            <w:pPr>
              <w:pStyle w:val="Tabletext"/>
              <w:rPr>
                <w:rFonts w:cs="Arial"/>
                <w:szCs w:val="18"/>
              </w:rPr>
            </w:pPr>
            <w:r w:rsidRPr="00364338">
              <w:rPr>
                <w:rFonts w:cs="Arial"/>
                <w:szCs w:val="18"/>
              </w:rPr>
              <w:t xml:space="preserve">Women’s </w:t>
            </w:r>
            <w:r w:rsidRPr="00364338">
              <w:rPr>
                <w:rFonts w:cs="Arial"/>
                <w:bCs w:val="0"/>
                <w:szCs w:val="18"/>
              </w:rPr>
              <w:t>AOD</w:t>
            </w:r>
            <w:r w:rsidRPr="00364338">
              <w:rPr>
                <w:rFonts w:cs="Arial"/>
                <w:szCs w:val="18"/>
              </w:rPr>
              <w:t xml:space="preserve"> supported accommodation</w:t>
            </w:r>
          </w:p>
        </w:tc>
        <w:tc>
          <w:tcPr>
            <w:tcW w:w="1560" w:type="dxa"/>
          </w:tcPr>
          <w:p w14:paraId="4E2A6C08"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4C7F5389"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highlight w:val="yellow"/>
              </w:rPr>
            </w:pPr>
            <w:r w:rsidRPr="00364338">
              <w:rPr>
                <w:rFonts w:cs="Arial"/>
                <w:szCs w:val="18"/>
              </w:rPr>
              <w:t>8,201</w:t>
            </w:r>
          </w:p>
        </w:tc>
        <w:tc>
          <w:tcPr>
            <w:tcW w:w="1985" w:type="dxa"/>
          </w:tcPr>
          <w:p w14:paraId="4BB4866F"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color w:val="000000" w:themeColor="text1"/>
                <w:szCs w:val="18"/>
              </w:rPr>
              <w:t>—</w:t>
            </w:r>
          </w:p>
        </w:tc>
      </w:tr>
      <w:tr w:rsidR="005B5CB9" w:rsidRPr="00364338" w14:paraId="17255B01" w14:textId="77777777" w:rsidTr="007A7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9D8FC88" w14:textId="77777777" w:rsidR="005B5CB9" w:rsidRPr="00364338" w:rsidRDefault="005B5CB9">
            <w:pPr>
              <w:pStyle w:val="Tabletext"/>
              <w:rPr>
                <w:rFonts w:cs="Arial"/>
                <w:szCs w:val="18"/>
              </w:rPr>
            </w:pPr>
            <w:r w:rsidRPr="00364338">
              <w:rPr>
                <w:rFonts w:cs="Arial"/>
                <w:szCs w:val="18"/>
              </w:rPr>
              <w:t xml:space="preserve">ACCO services – community model 1 </w:t>
            </w:r>
          </w:p>
        </w:tc>
        <w:tc>
          <w:tcPr>
            <w:tcW w:w="1560" w:type="dxa"/>
          </w:tcPr>
          <w:p w14:paraId="645CB0C4"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52F6345B"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1,006</w:t>
            </w:r>
          </w:p>
        </w:tc>
        <w:tc>
          <w:tcPr>
            <w:tcW w:w="1985" w:type="dxa"/>
          </w:tcPr>
          <w:p w14:paraId="4A436924"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color w:val="000000" w:themeColor="text1"/>
                <w:szCs w:val="18"/>
              </w:rPr>
              <w:t>—</w:t>
            </w:r>
          </w:p>
        </w:tc>
      </w:tr>
      <w:tr w:rsidR="005B5CB9" w:rsidRPr="00364338" w14:paraId="2D8DCF92" w14:textId="77777777" w:rsidTr="007A75C8">
        <w:tc>
          <w:tcPr>
            <w:cnfStyle w:val="001000000000" w:firstRow="0" w:lastRow="0" w:firstColumn="1" w:lastColumn="0" w:oddVBand="0" w:evenVBand="0" w:oddHBand="0" w:evenHBand="0" w:firstRowFirstColumn="0" w:firstRowLastColumn="0" w:lastRowFirstColumn="0" w:lastRowLastColumn="0"/>
            <w:tcW w:w="3964" w:type="dxa"/>
          </w:tcPr>
          <w:p w14:paraId="0F20EF70" w14:textId="77777777" w:rsidR="005B5CB9" w:rsidRPr="00364338" w:rsidRDefault="005B5CB9">
            <w:pPr>
              <w:pStyle w:val="Tabletext"/>
              <w:rPr>
                <w:rFonts w:cs="Arial"/>
                <w:szCs w:val="18"/>
              </w:rPr>
            </w:pPr>
            <w:r w:rsidRPr="00364338">
              <w:rPr>
                <w:rFonts w:cs="Arial"/>
                <w:szCs w:val="18"/>
              </w:rPr>
              <w:t>ACCO services – community models 2 and 3</w:t>
            </w:r>
          </w:p>
        </w:tc>
        <w:tc>
          <w:tcPr>
            <w:tcW w:w="1560" w:type="dxa"/>
          </w:tcPr>
          <w:p w14:paraId="7D8E4665"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562F7F0F"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szCs w:val="18"/>
              </w:rPr>
              <w:t>3,107</w:t>
            </w:r>
          </w:p>
        </w:tc>
        <w:tc>
          <w:tcPr>
            <w:tcW w:w="1985" w:type="dxa"/>
          </w:tcPr>
          <w:p w14:paraId="772A51B7" w14:textId="77777777" w:rsidR="005B5CB9" w:rsidRPr="00364338"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364338">
              <w:rPr>
                <w:rFonts w:cs="Arial"/>
                <w:color w:val="000000" w:themeColor="text1"/>
                <w:szCs w:val="18"/>
              </w:rPr>
              <w:t>—</w:t>
            </w:r>
          </w:p>
        </w:tc>
      </w:tr>
      <w:tr w:rsidR="005B5CB9" w:rsidRPr="00364338" w14:paraId="6B8FC32F" w14:textId="77777777" w:rsidTr="007A7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460D1B5" w14:textId="77777777" w:rsidR="005B5CB9" w:rsidRPr="00364338" w:rsidRDefault="005B5CB9">
            <w:pPr>
              <w:pStyle w:val="Tabletext"/>
              <w:rPr>
                <w:rFonts w:cs="Arial"/>
                <w:szCs w:val="18"/>
              </w:rPr>
            </w:pPr>
            <w:r w:rsidRPr="00364338">
              <w:rPr>
                <w:rFonts w:cs="Arial"/>
                <w:szCs w:val="18"/>
              </w:rPr>
              <w:t>ACCO services – community AOD worker</w:t>
            </w:r>
          </w:p>
        </w:tc>
        <w:tc>
          <w:tcPr>
            <w:tcW w:w="1560" w:type="dxa"/>
          </w:tcPr>
          <w:p w14:paraId="0159D30A"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Episodes of care</w:t>
            </w:r>
          </w:p>
        </w:tc>
        <w:tc>
          <w:tcPr>
            <w:tcW w:w="1842" w:type="dxa"/>
          </w:tcPr>
          <w:p w14:paraId="6E01E8A4"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364338">
              <w:rPr>
                <w:rFonts w:cs="Arial"/>
                <w:szCs w:val="18"/>
              </w:rPr>
              <w:t>2,762</w:t>
            </w:r>
          </w:p>
        </w:tc>
        <w:tc>
          <w:tcPr>
            <w:tcW w:w="1985" w:type="dxa"/>
          </w:tcPr>
          <w:p w14:paraId="5A46DCC1" w14:textId="77777777" w:rsidR="005B5CB9" w:rsidRPr="00364338"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cs="Arial"/>
                <w:szCs w:val="18"/>
                <w:highlight w:val="yellow"/>
              </w:rPr>
            </w:pPr>
            <w:r w:rsidRPr="00364338">
              <w:rPr>
                <w:rFonts w:cs="Arial"/>
                <w:color w:val="000000" w:themeColor="text1"/>
                <w:szCs w:val="18"/>
              </w:rPr>
              <w:t>—</w:t>
            </w:r>
          </w:p>
        </w:tc>
      </w:tr>
    </w:tbl>
    <w:p w14:paraId="7C578C4D" w14:textId="021FAE1D" w:rsidR="005B5CB9" w:rsidRDefault="005B5CB9" w:rsidP="005B5CB9">
      <w:pPr>
        <w:pStyle w:val="Heading2"/>
      </w:pPr>
      <w:bookmarkStart w:id="2241" w:name="_Ref423020194"/>
      <w:bookmarkStart w:id="2242" w:name="_Ref423020203"/>
      <w:bookmarkStart w:id="2243" w:name="_Toc487742009"/>
      <w:bookmarkStart w:id="2244" w:name="_Toc14172239"/>
      <w:bookmarkStart w:id="2245" w:name="_Toc100263349"/>
      <w:bookmarkStart w:id="2246" w:name="_Toc165961853"/>
      <w:bookmarkStart w:id="2247" w:name="_Ref199254065"/>
      <w:bookmarkStart w:id="2248" w:name="_Ref199254073"/>
      <w:bookmarkStart w:id="2249" w:name="_Toc418694988"/>
      <w:bookmarkStart w:id="2250" w:name="_Ref419741590"/>
      <w:bookmarkStart w:id="2251" w:name="_Ref419741598"/>
      <w:bookmarkStart w:id="2252" w:name="_13.5_Ageing,_aged"/>
      <w:bookmarkStart w:id="2253" w:name="_13.7_Ageing,_aged"/>
      <w:bookmarkStart w:id="2254" w:name="_Toc234580363"/>
      <w:bookmarkEnd w:id="2231"/>
      <w:bookmarkEnd w:id="2232"/>
      <w:bookmarkEnd w:id="2233"/>
      <w:bookmarkEnd w:id="2234"/>
      <w:bookmarkEnd w:id="2237"/>
      <w:bookmarkEnd w:id="2238"/>
      <w:bookmarkEnd w:id="2239"/>
      <w:bookmarkEnd w:id="2240"/>
      <w:bookmarkEnd w:id="2252"/>
      <w:bookmarkEnd w:id="2253"/>
      <w:r>
        <w:t xml:space="preserve">Ageing, aged and home </w:t>
      </w:r>
      <w:bookmarkEnd w:id="2241"/>
      <w:bookmarkEnd w:id="2242"/>
      <w:bookmarkEnd w:id="2243"/>
      <w:bookmarkEnd w:id="2244"/>
      <w:bookmarkEnd w:id="2245"/>
      <w:r>
        <w:t>care</w:t>
      </w:r>
      <w:bookmarkEnd w:id="2246"/>
      <w:bookmarkEnd w:id="2247"/>
      <w:bookmarkEnd w:id="2248"/>
      <w:r>
        <w:t xml:space="preserve"> </w:t>
      </w:r>
      <w:r w:rsidR="009D05A6">
        <w:t>2026–27</w:t>
      </w:r>
      <w:bookmarkEnd w:id="2254"/>
    </w:p>
    <w:p w14:paraId="45AE6401" w14:textId="77777777" w:rsidR="005B5CB9" w:rsidRDefault="005B5CB9" w:rsidP="005B5CB9">
      <w:pPr>
        <w:pStyle w:val="Tablecaption"/>
      </w:pPr>
      <w:bookmarkStart w:id="2255" w:name="_Toc232527233"/>
      <w:r>
        <w:t xml:space="preserve">Table </w:t>
      </w:r>
      <w:r w:rsidRPr="5B850891">
        <w:fldChar w:fldCharType="begin"/>
      </w:r>
      <w:r>
        <w:instrText xml:space="preserve"> SEQ Table \* ARABIC </w:instrText>
      </w:r>
      <w:r w:rsidRPr="5B850891">
        <w:fldChar w:fldCharType="separate"/>
      </w:r>
      <w:r>
        <w:rPr>
          <w:noProof/>
        </w:rPr>
        <w:t>16</w:t>
      </w:r>
      <w:r w:rsidRPr="5B850891">
        <w:rPr>
          <w:noProof/>
        </w:rPr>
        <w:fldChar w:fldCharType="end"/>
      </w:r>
      <w:r>
        <w:t>. Residential aged care – PSRACS supplements</w:t>
      </w:r>
      <w:bookmarkEnd w:id="2255"/>
    </w:p>
    <w:tbl>
      <w:tblPr>
        <w:tblStyle w:val="GridTable4-Accent1"/>
        <w:tblW w:w="9209" w:type="dxa"/>
        <w:tblLook w:val="04A0" w:firstRow="1" w:lastRow="0" w:firstColumn="1" w:lastColumn="0" w:noHBand="0" w:noVBand="1"/>
      </w:tblPr>
      <w:tblGrid>
        <w:gridCol w:w="5949"/>
        <w:gridCol w:w="1701"/>
        <w:gridCol w:w="1559"/>
      </w:tblGrid>
      <w:tr w:rsidR="005B5CB9" w:rsidRPr="000814D5" w14:paraId="09520F38" w14:textId="77777777" w:rsidTr="00597E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hideMark/>
          </w:tcPr>
          <w:p w14:paraId="4E3F41EB" w14:textId="77777777" w:rsidR="005B5CB9" w:rsidRPr="00A27CEE" w:rsidRDefault="005B5CB9">
            <w:pPr>
              <w:pStyle w:val="Tablecolhead8pt"/>
              <w:rPr>
                <w:b/>
                <w:bCs w:val="0"/>
                <w:color w:val="FFFFFF" w:themeColor="background1"/>
                <w:sz w:val="18"/>
                <w:szCs w:val="18"/>
              </w:rPr>
            </w:pPr>
            <w:bookmarkStart w:id="2256" w:name="_Toc487742074"/>
            <w:r w:rsidRPr="00A27CEE">
              <w:rPr>
                <w:b/>
                <w:bCs w:val="0"/>
                <w:color w:val="FFFFFF" w:themeColor="background1"/>
                <w:sz w:val="18"/>
                <w:szCs w:val="18"/>
              </w:rPr>
              <w:t>Service</w:t>
            </w:r>
          </w:p>
        </w:tc>
        <w:tc>
          <w:tcPr>
            <w:tcW w:w="1701" w:type="dxa"/>
            <w:hideMark/>
          </w:tcPr>
          <w:p w14:paraId="6BD0C01E" w14:textId="77777777" w:rsidR="005B5CB9" w:rsidRPr="00A27CEE" w:rsidRDefault="005B5CB9" w:rsidP="00597E0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A27CEE">
              <w:rPr>
                <w:b/>
                <w:bCs w:val="0"/>
                <w:color w:val="FFFFFF" w:themeColor="background1"/>
                <w:sz w:val="18"/>
                <w:szCs w:val="18"/>
              </w:rPr>
              <w:t>Funded unit</w:t>
            </w:r>
          </w:p>
        </w:tc>
        <w:tc>
          <w:tcPr>
            <w:tcW w:w="1559" w:type="dxa"/>
            <w:hideMark/>
          </w:tcPr>
          <w:p w14:paraId="42672061" w14:textId="77777777" w:rsidR="005B5CB9" w:rsidRPr="00A27CEE" w:rsidRDefault="005B5CB9" w:rsidP="00597E0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A27CEE">
              <w:rPr>
                <w:b/>
                <w:bCs w:val="0"/>
                <w:color w:val="FFFFFF" w:themeColor="background1"/>
                <w:sz w:val="18"/>
                <w:szCs w:val="18"/>
              </w:rPr>
              <w:t>Estimated unit price ($)</w:t>
            </w:r>
          </w:p>
        </w:tc>
      </w:tr>
      <w:tr w:rsidR="005B5CB9" w:rsidRPr="000814D5" w14:paraId="39CE27CE" w14:textId="77777777" w:rsidTr="00597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2C1E92FD" w14:textId="77777777" w:rsidR="005B5CB9" w:rsidRPr="000814D5" w:rsidRDefault="005B5CB9">
            <w:pPr>
              <w:pStyle w:val="Tabletext"/>
              <w:rPr>
                <w:b w:val="0"/>
                <w:szCs w:val="18"/>
              </w:rPr>
            </w:pPr>
            <w:r w:rsidRPr="000814D5">
              <w:rPr>
                <w:bCs w:val="0"/>
                <w:szCs w:val="18"/>
              </w:rPr>
              <w:t>Rural small high-care supplement</w:t>
            </w:r>
            <w:r w:rsidRPr="000814D5">
              <w:rPr>
                <w:b w:val="0"/>
                <w:szCs w:val="18"/>
              </w:rPr>
              <w:t xml:space="preserve"> </w:t>
            </w:r>
            <w:r w:rsidRPr="000814D5">
              <w:rPr>
                <w:bCs w:val="0"/>
                <w:szCs w:val="18"/>
              </w:rPr>
              <w:t>1–10 places</w:t>
            </w:r>
          </w:p>
        </w:tc>
        <w:tc>
          <w:tcPr>
            <w:tcW w:w="1701" w:type="dxa"/>
            <w:hideMark/>
          </w:tcPr>
          <w:p w14:paraId="2BF9BDDE"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szCs w:val="18"/>
              </w:rPr>
            </w:pPr>
            <w:r w:rsidRPr="000814D5">
              <w:rPr>
                <w:szCs w:val="18"/>
              </w:rPr>
              <w:t>Bed day</w:t>
            </w:r>
          </w:p>
        </w:tc>
        <w:tc>
          <w:tcPr>
            <w:tcW w:w="1559" w:type="dxa"/>
          </w:tcPr>
          <w:p w14:paraId="26F5ABD7"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12.55</w:t>
            </w:r>
          </w:p>
        </w:tc>
      </w:tr>
      <w:tr w:rsidR="005B5CB9" w:rsidRPr="000814D5" w14:paraId="65F4FF40" w14:textId="77777777" w:rsidTr="00597E0E">
        <w:tc>
          <w:tcPr>
            <w:cnfStyle w:val="001000000000" w:firstRow="0" w:lastRow="0" w:firstColumn="1" w:lastColumn="0" w:oddVBand="0" w:evenVBand="0" w:oddHBand="0" w:evenHBand="0" w:firstRowFirstColumn="0" w:firstRowLastColumn="0" w:lastRowFirstColumn="0" w:lastRowLastColumn="0"/>
            <w:tcW w:w="5949" w:type="dxa"/>
            <w:hideMark/>
          </w:tcPr>
          <w:p w14:paraId="34D9D55D" w14:textId="77777777" w:rsidR="005B5CB9" w:rsidRPr="000814D5" w:rsidRDefault="005B5CB9">
            <w:pPr>
              <w:pStyle w:val="Tabletext"/>
              <w:rPr>
                <w:b w:val="0"/>
                <w:szCs w:val="18"/>
              </w:rPr>
            </w:pPr>
            <w:r w:rsidRPr="000814D5">
              <w:rPr>
                <w:bCs w:val="0"/>
                <w:szCs w:val="18"/>
              </w:rPr>
              <w:t>Rural small high-care supplement</w:t>
            </w:r>
            <w:r w:rsidRPr="000814D5">
              <w:rPr>
                <w:b w:val="0"/>
                <w:szCs w:val="18"/>
              </w:rPr>
              <w:t xml:space="preserve"> </w:t>
            </w:r>
            <w:r w:rsidRPr="000814D5">
              <w:rPr>
                <w:bCs w:val="0"/>
                <w:szCs w:val="18"/>
              </w:rPr>
              <w:t>11–20 places</w:t>
            </w:r>
          </w:p>
        </w:tc>
        <w:tc>
          <w:tcPr>
            <w:tcW w:w="1701" w:type="dxa"/>
            <w:hideMark/>
          </w:tcPr>
          <w:p w14:paraId="23DB2E39" w14:textId="77777777" w:rsidR="005B5CB9" w:rsidRPr="000814D5" w:rsidRDefault="005B5CB9" w:rsidP="00597E0E">
            <w:pPr>
              <w:pStyle w:val="Tabletext"/>
              <w:cnfStyle w:val="000000000000" w:firstRow="0" w:lastRow="0" w:firstColumn="0" w:lastColumn="0" w:oddVBand="0" w:evenVBand="0" w:oddHBand="0" w:evenHBand="0" w:firstRowFirstColumn="0" w:firstRowLastColumn="0" w:lastRowFirstColumn="0" w:lastRowLastColumn="0"/>
              <w:rPr>
                <w:szCs w:val="18"/>
              </w:rPr>
            </w:pPr>
            <w:r w:rsidRPr="000814D5">
              <w:rPr>
                <w:szCs w:val="18"/>
              </w:rPr>
              <w:t>Bed day</w:t>
            </w:r>
          </w:p>
        </w:tc>
        <w:tc>
          <w:tcPr>
            <w:tcW w:w="1559" w:type="dxa"/>
          </w:tcPr>
          <w:p w14:paraId="2A890797" w14:textId="77777777" w:rsidR="005B5CB9" w:rsidRPr="000814D5"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9.40</w:t>
            </w:r>
          </w:p>
        </w:tc>
      </w:tr>
      <w:tr w:rsidR="005B5CB9" w:rsidRPr="000814D5" w14:paraId="77E0505C" w14:textId="77777777" w:rsidTr="00597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02F11A76" w14:textId="77777777" w:rsidR="005B5CB9" w:rsidRPr="000814D5" w:rsidRDefault="005B5CB9">
            <w:pPr>
              <w:pStyle w:val="Tabletext"/>
              <w:rPr>
                <w:b w:val="0"/>
                <w:szCs w:val="18"/>
              </w:rPr>
            </w:pPr>
            <w:r w:rsidRPr="000814D5">
              <w:rPr>
                <w:bCs w:val="0"/>
                <w:szCs w:val="18"/>
              </w:rPr>
              <w:t>Rural small high-care supplement</w:t>
            </w:r>
            <w:r w:rsidRPr="000814D5">
              <w:rPr>
                <w:b w:val="0"/>
                <w:szCs w:val="18"/>
              </w:rPr>
              <w:t xml:space="preserve"> </w:t>
            </w:r>
            <w:r w:rsidRPr="000814D5">
              <w:rPr>
                <w:bCs w:val="0"/>
                <w:szCs w:val="18"/>
              </w:rPr>
              <w:t>21–30 places</w:t>
            </w:r>
          </w:p>
        </w:tc>
        <w:tc>
          <w:tcPr>
            <w:tcW w:w="1701" w:type="dxa"/>
            <w:hideMark/>
          </w:tcPr>
          <w:p w14:paraId="7690DD08"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szCs w:val="18"/>
              </w:rPr>
            </w:pPr>
            <w:r w:rsidRPr="000814D5">
              <w:rPr>
                <w:szCs w:val="18"/>
              </w:rPr>
              <w:t>Bed day</w:t>
            </w:r>
          </w:p>
        </w:tc>
        <w:tc>
          <w:tcPr>
            <w:tcW w:w="1559" w:type="dxa"/>
          </w:tcPr>
          <w:p w14:paraId="2E7C76A4"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7.85</w:t>
            </w:r>
          </w:p>
        </w:tc>
      </w:tr>
      <w:tr w:rsidR="005B5CB9" w:rsidRPr="000814D5" w14:paraId="1D245448" w14:textId="77777777" w:rsidTr="00597E0E">
        <w:tc>
          <w:tcPr>
            <w:cnfStyle w:val="001000000000" w:firstRow="0" w:lastRow="0" w:firstColumn="1" w:lastColumn="0" w:oddVBand="0" w:evenVBand="0" w:oddHBand="0" w:evenHBand="0" w:firstRowFirstColumn="0" w:firstRowLastColumn="0" w:lastRowFirstColumn="0" w:lastRowLastColumn="0"/>
            <w:tcW w:w="5949" w:type="dxa"/>
            <w:hideMark/>
          </w:tcPr>
          <w:p w14:paraId="7377D101" w14:textId="77777777" w:rsidR="005B5CB9" w:rsidRPr="000814D5" w:rsidRDefault="005B5CB9">
            <w:pPr>
              <w:pStyle w:val="Tabletext"/>
              <w:rPr>
                <w:b w:val="0"/>
                <w:szCs w:val="18"/>
              </w:rPr>
            </w:pPr>
            <w:r w:rsidRPr="000814D5">
              <w:rPr>
                <w:szCs w:val="18"/>
              </w:rPr>
              <w:t>Low-care supplement</w:t>
            </w:r>
            <w:r w:rsidRPr="000814D5">
              <w:rPr>
                <w:szCs w:val="18"/>
                <w:vertAlign w:val="superscript"/>
              </w:rPr>
              <w:footnoteReference w:id="5"/>
            </w:r>
          </w:p>
        </w:tc>
        <w:tc>
          <w:tcPr>
            <w:tcW w:w="1701" w:type="dxa"/>
            <w:hideMark/>
          </w:tcPr>
          <w:p w14:paraId="569A0FAB" w14:textId="77777777" w:rsidR="005B5CB9" w:rsidRPr="000814D5" w:rsidRDefault="005B5CB9" w:rsidP="00597E0E">
            <w:pPr>
              <w:pStyle w:val="Tabletext"/>
              <w:cnfStyle w:val="000000000000" w:firstRow="0" w:lastRow="0" w:firstColumn="0" w:lastColumn="0" w:oddVBand="0" w:evenVBand="0" w:oddHBand="0" w:evenHBand="0" w:firstRowFirstColumn="0" w:firstRowLastColumn="0" w:lastRowFirstColumn="0" w:lastRowLastColumn="0"/>
              <w:rPr>
                <w:szCs w:val="18"/>
              </w:rPr>
            </w:pPr>
            <w:r w:rsidRPr="000814D5">
              <w:rPr>
                <w:szCs w:val="18"/>
              </w:rPr>
              <w:t>Bed day</w:t>
            </w:r>
          </w:p>
        </w:tc>
        <w:tc>
          <w:tcPr>
            <w:tcW w:w="1559" w:type="dxa"/>
          </w:tcPr>
          <w:p w14:paraId="6F57FA25" w14:textId="77777777" w:rsidR="005B5CB9" w:rsidRPr="000814D5"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7.19</w:t>
            </w:r>
          </w:p>
        </w:tc>
      </w:tr>
      <w:tr w:rsidR="005B5CB9" w:rsidRPr="000814D5" w14:paraId="55E19CAF" w14:textId="77777777" w:rsidTr="00597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15C204EF" w14:textId="77777777" w:rsidR="005B5CB9" w:rsidRPr="000814D5" w:rsidRDefault="005B5CB9">
            <w:pPr>
              <w:pStyle w:val="Tabletext"/>
              <w:rPr>
                <w:b w:val="0"/>
                <w:szCs w:val="18"/>
              </w:rPr>
            </w:pPr>
            <w:r w:rsidRPr="000814D5">
              <w:rPr>
                <w:bCs w:val="0"/>
                <w:szCs w:val="18"/>
              </w:rPr>
              <w:t>High-care supplement</w:t>
            </w:r>
          </w:p>
        </w:tc>
        <w:tc>
          <w:tcPr>
            <w:tcW w:w="1701" w:type="dxa"/>
            <w:hideMark/>
          </w:tcPr>
          <w:p w14:paraId="4F43EFD5"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szCs w:val="18"/>
              </w:rPr>
            </w:pPr>
            <w:r w:rsidRPr="000814D5">
              <w:rPr>
                <w:szCs w:val="18"/>
              </w:rPr>
              <w:t>Bed day</w:t>
            </w:r>
          </w:p>
        </w:tc>
        <w:tc>
          <w:tcPr>
            <w:tcW w:w="1559" w:type="dxa"/>
          </w:tcPr>
          <w:p w14:paraId="7C54A241"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77.61</w:t>
            </w:r>
          </w:p>
        </w:tc>
      </w:tr>
      <w:tr w:rsidR="005B5CB9" w:rsidRPr="000814D5" w14:paraId="2B0D0650" w14:textId="77777777" w:rsidTr="00597E0E">
        <w:tc>
          <w:tcPr>
            <w:cnfStyle w:val="001000000000" w:firstRow="0" w:lastRow="0" w:firstColumn="1" w:lastColumn="0" w:oddVBand="0" w:evenVBand="0" w:oddHBand="0" w:evenHBand="0" w:firstRowFirstColumn="0" w:firstRowLastColumn="0" w:lastRowFirstColumn="0" w:lastRowLastColumn="0"/>
            <w:tcW w:w="5949" w:type="dxa"/>
            <w:hideMark/>
          </w:tcPr>
          <w:p w14:paraId="4B44D631" w14:textId="77777777" w:rsidR="005B5CB9" w:rsidRPr="000814D5" w:rsidRDefault="005B5CB9">
            <w:pPr>
              <w:pStyle w:val="Tabletext"/>
              <w:rPr>
                <w:b w:val="0"/>
                <w:szCs w:val="18"/>
              </w:rPr>
            </w:pPr>
            <w:r w:rsidRPr="000814D5">
              <w:rPr>
                <w:bCs w:val="0"/>
                <w:szCs w:val="18"/>
              </w:rPr>
              <w:t>Public sector residential aged care supplement</w:t>
            </w:r>
          </w:p>
        </w:tc>
        <w:tc>
          <w:tcPr>
            <w:tcW w:w="1701" w:type="dxa"/>
            <w:hideMark/>
          </w:tcPr>
          <w:p w14:paraId="2AD9EFDE" w14:textId="77777777" w:rsidR="005B5CB9" w:rsidRPr="000814D5" w:rsidRDefault="005B5CB9" w:rsidP="00597E0E">
            <w:pPr>
              <w:pStyle w:val="Tabletext"/>
              <w:cnfStyle w:val="000000000000" w:firstRow="0" w:lastRow="0" w:firstColumn="0" w:lastColumn="0" w:oddVBand="0" w:evenVBand="0" w:oddHBand="0" w:evenHBand="0" w:firstRowFirstColumn="0" w:firstRowLastColumn="0" w:lastRowFirstColumn="0" w:lastRowLastColumn="0"/>
              <w:rPr>
                <w:szCs w:val="18"/>
              </w:rPr>
            </w:pPr>
            <w:r w:rsidRPr="000814D5">
              <w:rPr>
                <w:szCs w:val="18"/>
              </w:rPr>
              <w:t>Bed day</w:t>
            </w:r>
          </w:p>
        </w:tc>
        <w:tc>
          <w:tcPr>
            <w:tcW w:w="1559" w:type="dxa"/>
          </w:tcPr>
          <w:p w14:paraId="05D3D7DE" w14:textId="77777777" w:rsidR="005B5CB9" w:rsidRPr="000814D5" w:rsidRDefault="005B5CB9" w:rsidP="00597E0E">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13.98</w:t>
            </w:r>
          </w:p>
        </w:tc>
      </w:tr>
      <w:tr w:rsidR="005B5CB9" w:rsidRPr="000814D5" w14:paraId="0F42EFBA" w14:textId="77777777" w:rsidTr="00597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2DB7FA6A" w14:textId="77777777" w:rsidR="005B5CB9" w:rsidRPr="000814D5" w:rsidRDefault="005B5CB9">
            <w:pPr>
              <w:pStyle w:val="Tabletext"/>
              <w:rPr>
                <w:b w:val="0"/>
                <w:szCs w:val="18"/>
              </w:rPr>
            </w:pPr>
            <w:r w:rsidRPr="000814D5">
              <w:rPr>
                <w:bCs w:val="0"/>
                <w:szCs w:val="18"/>
              </w:rPr>
              <w:t>Complex care supplement</w:t>
            </w:r>
          </w:p>
        </w:tc>
        <w:tc>
          <w:tcPr>
            <w:tcW w:w="1701" w:type="dxa"/>
            <w:hideMark/>
          </w:tcPr>
          <w:p w14:paraId="060E75B3"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szCs w:val="18"/>
              </w:rPr>
            </w:pPr>
            <w:r w:rsidRPr="000814D5">
              <w:rPr>
                <w:szCs w:val="18"/>
              </w:rPr>
              <w:t>Bed day</w:t>
            </w:r>
          </w:p>
        </w:tc>
        <w:tc>
          <w:tcPr>
            <w:tcW w:w="1559" w:type="dxa"/>
          </w:tcPr>
          <w:p w14:paraId="73C6088D" w14:textId="77777777" w:rsidR="005B5CB9" w:rsidRPr="000814D5" w:rsidRDefault="005B5CB9" w:rsidP="00597E0E">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47.08</w:t>
            </w:r>
          </w:p>
        </w:tc>
      </w:tr>
    </w:tbl>
    <w:p w14:paraId="15F378A2" w14:textId="761AA35C" w:rsidR="005B5CB9" w:rsidRDefault="005B5CB9" w:rsidP="005B5CB9">
      <w:pPr>
        <w:pStyle w:val="Tablecaption"/>
      </w:pPr>
      <w:bookmarkStart w:id="2257" w:name="_Toc232527234"/>
      <w:r>
        <w:t xml:space="preserve">Table </w:t>
      </w:r>
      <w:r w:rsidRPr="5B850891">
        <w:fldChar w:fldCharType="begin"/>
      </w:r>
      <w:r>
        <w:instrText xml:space="preserve"> SEQ Table \* ARABIC </w:instrText>
      </w:r>
      <w:r w:rsidRPr="5B850891">
        <w:fldChar w:fldCharType="separate"/>
      </w:r>
      <w:r>
        <w:rPr>
          <w:noProof/>
        </w:rPr>
        <w:t>17</w:t>
      </w:r>
      <w:r w:rsidRPr="5B850891">
        <w:rPr>
          <w:noProof/>
        </w:rPr>
        <w:fldChar w:fldCharType="end"/>
      </w:r>
      <w:r>
        <w:t xml:space="preserve">. </w:t>
      </w:r>
      <w:r w:rsidR="003333FE">
        <w:t>Home and Community Care Program Younger People</w:t>
      </w:r>
      <w:r w:rsidR="003333FE">
        <w:t xml:space="preserve"> (</w:t>
      </w:r>
      <w:r>
        <w:t>HACC PYP</w:t>
      </w:r>
      <w:r w:rsidR="003333FE">
        <w:t>)</w:t>
      </w:r>
      <w:r>
        <w:t xml:space="preserve"> unit prices</w:t>
      </w:r>
      <w:bookmarkEnd w:id="2257"/>
    </w:p>
    <w:tbl>
      <w:tblPr>
        <w:tblStyle w:val="GridTable4-Accent1"/>
        <w:tblW w:w="9288" w:type="dxa"/>
        <w:tblLook w:val="04A0" w:firstRow="1" w:lastRow="0" w:firstColumn="1" w:lastColumn="0" w:noHBand="0" w:noVBand="1"/>
      </w:tblPr>
      <w:tblGrid>
        <w:gridCol w:w="3256"/>
        <w:gridCol w:w="1275"/>
        <w:gridCol w:w="2378"/>
        <w:gridCol w:w="2379"/>
      </w:tblGrid>
      <w:tr w:rsidR="005B5CB9" w:rsidRPr="000814D5" w14:paraId="79DB0EE8" w14:textId="77777777" w:rsidTr="00597E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38678BF6" w14:textId="77777777" w:rsidR="005B5CB9" w:rsidRPr="00A27CEE" w:rsidRDefault="005B5CB9">
            <w:pPr>
              <w:pStyle w:val="Tablecolhead8pt"/>
              <w:rPr>
                <w:rFonts w:cs="Arial"/>
                <w:b/>
                <w:bCs w:val="0"/>
                <w:color w:val="FFFFFF" w:themeColor="background1"/>
                <w:sz w:val="18"/>
                <w:szCs w:val="18"/>
              </w:rPr>
            </w:pPr>
            <w:r w:rsidRPr="00A27CEE">
              <w:rPr>
                <w:rFonts w:cs="Arial"/>
                <w:b/>
                <w:bCs w:val="0"/>
                <w:color w:val="FFFFFF" w:themeColor="background1"/>
                <w:sz w:val="18"/>
                <w:szCs w:val="18"/>
              </w:rPr>
              <w:t>Service</w:t>
            </w:r>
          </w:p>
        </w:tc>
        <w:tc>
          <w:tcPr>
            <w:tcW w:w="1275" w:type="dxa"/>
            <w:hideMark/>
          </w:tcPr>
          <w:p w14:paraId="77711D2D" w14:textId="77777777" w:rsidR="005B5CB9" w:rsidRPr="00A27CEE" w:rsidRDefault="005B5CB9">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8"/>
                <w:szCs w:val="18"/>
              </w:rPr>
            </w:pPr>
            <w:r w:rsidRPr="00A27CEE">
              <w:rPr>
                <w:rFonts w:cs="Arial"/>
                <w:b/>
                <w:bCs w:val="0"/>
                <w:color w:val="FFFFFF" w:themeColor="background1"/>
                <w:sz w:val="18"/>
                <w:szCs w:val="18"/>
              </w:rPr>
              <w:t>Funded unit</w:t>
            </w:r>
          </w:p>
        </w:tc>
        <w:tc>
          <w:tcPr>
            <w:tcW w:w="2378" w:type="dxa"/>
            <w:hideMark/>
          </w:tcPr>
          <w:p w14:paraId="49794C1F" w14:textId="77777777" w:rsidR="005B5CB9" w:rsidRPr="00A27CEE" w:rsidRDefault="005B5CB9">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8"/>
                <w:szCs w:val="18"/>
              </w:rPr>
            </w:pPr>
            <w:r w:rsidRPr="00A27CEE">
              <w:rPr>
                <w:rFonts w:cs="Arial"/>
                <w:b/>
                <w:bCs w:val="0"/>
                <w:color w:val="FFFFFF" w:themeColor="background1"/>
                <w:sz w:val="18"/>
                <w:szCs w:val="18"/>
              </w:rPr>
              <w:t>Estimated unit price ($)</w:t>
            </w:r>
          </w:p>
        </w:tc>
        <w:tc>
          <w:tcPr>
            <w:tcW w:w="2379" w:type="dxa"/>
          </w:tcPr>
          <w:p w14:paraId="4D6A1601" w14:textId="77777777" w:rsidR="005B5CB9" w:rsidRPr="00A27CEE" w:rsidRDefault="005B5CB9">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8"/>
                <w:szCs w:val="18"/>
              </w:rPr>
            </w:pPr>
            <w:r w:rsidRPr="00A27CEE">
              <w:rPr>
                <w:rFonts w:cs="Arial"/>
                <w:b/>
                <w:bCs w:val="0"/>
                <w:color w:val="FFFFFF" w:themeColor="background1"/>
                <w:sz w:val="18"/>
                <w:szCs w:val="18"/>
              </w:rPr>
              <w:t>ACCO ($)</w:t>
            </w:r>
          </w:p>
        </w:tc>
      </w:tr>
      <w:tr w:rsidR="005B5CB9" w:rsidRPr="000814D5" w14:paraId="0F80137D" w14:textId="77777777" w:rsidTr="00597E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63D7E5B9" w14:textId="77777777" w:rsidR="005B5CB9" w:rsidRPr="000814D5" w:rsidRDefault="005B5CB9">
            <w:pPr>
              <w:pStyle w:val="Tabletext"/>
              <w:rPr>
                <w:rFonts w:cs="Arial"/>
                <w:b w:val="0"/>
                <w:bCs w:val="0"/>
                <w:szCs w:val="18"/>
              </w:rPr>
            </w:pPr>
            <w:r w:rsidRPr="000814D5">
              <w:rPr>
                <w:rFonts w:cs="Arial"/>
                <w:szCs w:val="18"/>
              </w:rPr>
              <w:t>Access and support</w:t>
            </w:r>
          </w:p>
        </w:tc>
        <w:tc>
          <w:tcPr>
            <w:tcW w:w="1275" w:type="dxa"/>
            <w:hideMark/>
          </w:tcPr>
          <w:p w14:paraId="6C94C564"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Hour</w:t>
            </w:r>
          </w:p>
        </w:tc>
        <w:tc>
          <w:tcPr>
            <w:tcW w:w="2378" w:type="dxa"/>
          </w:tcPr>
          <w:p w14:paraId="22658FB5"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82.30</w:t>
            </w:r>
          </w:p>
        </w:tc>
        <w:tc>
          <w:tcPr>
            <w:tcW w:w="2379" w:type="dxa"/>
          </w:tcPr>
          <w:p w14:paraId="2D46C854"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91.44</w:t>
            </w:r>
          </w:p>
        </w:tc>
      </w:tr>
      <w:tr w:rsidR="005B5CB9" w:rsidRPr="000814D5" w14:paraId="0FB85856" w14:textId="77777777" w:rsidTr="00597E0E">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3F785523" w14:textId="77777777" w:rsidR="005B5CB9" w:rsidRPr="000814D5" w:rsidRDefault="005B5CB9">
            <w:pPr>
              <w:pStyle w:val="Tabletext"/>
              <w:rPr>
                <w:rFonts w:cs="Arial"/>
                <w:b w:val="0"/>
                <w:bCs w:val="0"/>
                <w:szCs w:val="18"/>
              </w:rPr>
            </w:pPr>
            <w:r w:rsidRPr="000814D5">
              <w:rPr>
                <w:rFonts w:cs="Arial"/>
                <w:szCs w:val="18"/>
              </w:rPr>
              <w:t>Health supports</w:t>
            </w:r>
          </w:p>
        </w:tc>
        <w:tc>
          <w:tcPr>
            <w:tcW w:w="1275" w:type="dxa"/>
            <w:hideMark/>
          </w:tcPr>
          <w:p w14:paraId="0666F86F"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Hour</w:t>
            </w:r>
          </w:p>
        </w:tc>
        <w:tc>
          <w:tcPr>
            <w:tcW w:w="2378" w:type="dxa"/>
          </w:tcPr>
          <w:p w14:paraId="37557033"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146.65</w:t>
            </w:r>
          </w:p>
        </w:tc>
        <w:tc>
          <w:tcPr>
            <w:tcW w:w="2379" w:type="dxa"/>
          </w:tcPr>
          <w:p w14:paraId="63BE1F01"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cs="Arial"/>
                <w:color w:val="000000" w:themeColor="text1"/>
                <w:szCs w:val="18"/>
              </w:rPr>
              <w:t>N/A</w:t>
            </w:r>
          </w:p>
        </w:tc>
      </w:tr>
      <w:tr w:rsidR="005B5CB9" w:rsidRPr="000814D5" w14:paraId="5E4A0FC3" w14:textId="77777777" w:rsidTr="00597E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tcPr>
          <w:p w14:paraId="2E218F18" w14:textId="77777777" w:rsidR="005B5CB9" w:rsidRPr="000814D5" w:rsidRDefault="005B5CB9">
            <w:pPr>
              <w:pStyle w:val="Tabletext"/>
              <w:rPr>
                <w:rFonts w:cs="Arial"/>
                <w:szCs w:val="18"/>
              </w:rPr>
            </w:pPr>
            <w:r w:rsidRPr="000814D5">
              <w:rPr>
                <w:rFonts w:cs="Arial"/>
                <w:szCs w:val="18"/>
              </w:rPr>
              <w:t>Allied Health</w:t>
            </w:r>
          </w:p>
        </w:tc>
        <w:tc>
          <w:tcPr>
            <w:tcW w:w="1275" w:type="dxa"/>
          </w:tcPr>
          <w:p w14:paraId="587B59DE"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Hour</w:t>
            </w:r>
          </w:p>
        </w:tc>
        <w:tc>
          <w:tcPr>
            <w:tcW w:w="2378" w:type="dxa"/>
          </w:tcPr>
          <w:p w14:paraId="0F3384CD"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N/A – funded under Health supports</w:t>
            </w:r>
          </w:p>
        </w:tc>
        <w:tc>
          <w:tcPr>
            <w:tcW w:w="2379" w:type="dxa"/>
          </w:tcPr>
          <w:p w14:paraId="467A5635"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135.82</w:t>
            </w:r>
          </w:p>
        </w:tc>
      </w:tr>
      <w:tr w:rsidR="005B5CB9" w:rsidRPr="000814D5" w14:paraId="787142E5" w14:textId="77777777" w:rsidTr="00597E0E">
        <w:trPr>
          <w:trHeight w:val="300"/>
        </w:trPr>
        <w:tc>
          <w:tcPr>
            <w:cnfStyle w:val="001000000000" w:firstRow="0" w:lastRow="0" w:firstColumn="1" w:lastColumn="0" w:oddVBand="0" w:evenVBand="0" w:oddHBand="0" w:evenHBand="0" w:firstRowFirstColumn="0" w:firstRowLastColumn="0" w:lastRowFirstColumn="0" w:lastRowLastColumn="0"/>
            <w:tcW w:w="3256" w:type="dxa"/>
          </w:tcPr>
          <w:p w14:paraId="5A4B83E1" w14:textId="77777777" w:rsidR="005B5CB9" w:rsidRPr="000814D5" w:rsidRDefault="005B5CB9">
            <w:pPr>
              <w:pStyle w:val="Tabletext"/>
              <w:rPr>
                <w:rFonts w:cs="Arial"/>
                <w:szCs w:val="18"/>
              </w:rPr>
            </w:pPr>
            <w:r w:rsidRPr="000814D5">
              <w:rPr>
                <w:rFonts w:cs="Arial"/>
                <w:szCs w:val="18"/>
              </w:rPr>
              <w:t>Nursing</w:t>
            </w:r>
          </w:p>
        </w:tc>
        <w:tc>
          <w:tcPr>
            <w:tcW w:w="1275" w:type="dxa"/>
          </w:tcPr>
          <w:p w14:paraId="1E0F38FD"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Hour</w:t>
            </w:r>
          </w:p>
        </w:tc>
        <w:tc>
          <w:tcPr>
            <w:tcW w:w="2378" w:type="dxa"/>
          </w:tcPr>
          <w:p w14:paraId="490A0B1D"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N/A – funded under Health supports</w:t>
            </w:r>
          </w:p>
        </w:tc>
        <w:tc>
          <w:tcPr>
            <w:tcW w:w="2379" w:type="dxa"/>
          </w:tcPr>
          <w:p w14:paraId="21594322"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124.48</w:t>
            </w:r>
          </w:p>
        </w:tc>
      </w:tr>
      <w:tr w:rsidR="005B5CB9" w:rsidRPr="000814D5" w14:paraId="055B1F61" w14:textId="77777777" w:rsidTr="00597E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2C203956" w14:textId="77777777" w:rsidR="005B5CB9" w:rsidRPr="000814D5" w:rsidRDefault="005B5CB9">
            <w:pPr>
              <w:pStyle w:val="Tabletext"/>
              <w:rPr>
                <w:rFonts w:cs="Arial"/>
                <w:b w:val="0"/>
                <w:bCs w:val="0"/>
                <w:szCs w:val="18"/>
              </w:rPr>
            </w:pPr>
            <w:r w:rsidRPr="000814D5">
              <w:rPr>
                <w:rFonts w:cs="Arial"/>
                <w:szCs w:val="18"/>
              </w:rPr>
              <w:t>Assessment and care management</w:t>
            </w:r>
          </w:p>
        </w:tc>
        <w:tc>
          <w:tcPr>
            <w:tcW w:w="1275" w:type="dxa"/>
            <w:hideMark/>
          </w:tcPr>
          <w:p w14:paraId="6B4472AE"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Hour</w:t>
            </w:r>
          </w:p>
        </w:tc>
        <w:tc>
          <w:tcPr>
            <w:tcW w:w="2378" w:type="dxa"/>
          </w:tcPr>
          <w:p w14:paraId="3BF06044"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112.01</w:t>
            </w:r>
          </w:p>
        </w:tc>
        <w:tc>
          <w:tcPr>
            <w:tcW w:w="2379" w:type="dxa"/>
          </w:tcPr>
          <w:p w14:paraId="0FA9EFA4"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124.48</w:t>
            </w:r>
          </w:p>
        </w:tc>
      </w:tr>
      <w:tr w:rsidR="005B5CB9" w:rsidRPr="000814D5" w14:paraId="11B5EA53" w14:textId="77777777" w:rsidTr="00597E0E">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13CF7394" w14:textId="77777777" w:rsidR="005B5CB9" w:rsidRPr="000814D5" w:rsidRDefault="005B5CB9">
            <w:pPr>
              <w:pStyle w:val="Tabletext"/>
              <w:rPr>
                <w:rFonts w:cs="Arial"/>
                <w:b w:val="0"/>
                <w:bCs w:val="0"/>
                <w:szCs w:val="18"/>
              </w:rPr>
            </w:pPr>
            <w:r w:rsidRPr="000814D5">
              <w:rPr>
                <w:rFonts w:cs="Arial"/>
                <w:szCs w:val="18"/>
              </w:rPr>
              <w:t>Delivered meals</w:t>
            </w:r>
          </w:p>
        </w:tc>
        <w:tc>
          <w:tcPr>
            <w:tcW w:w="1275" w:type="dxa"/>
            <w:hideMark/>
          </w:tcPr>
          <w:p w14:paraId="1891B61B"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Meal</w:t>
            </w:r>
          </w:p>
        </w:tc>
        <w:tc>
          <w:tcPr>
            <w:tcW w:w="2378" w:type="dxa"/>
          </w:tcPr>
          <w:p w14:paraId="2903EC46"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4.06</w:t>
            </w:r>
          </w:p>
        </w:tc>
        <w:tc>
          <w:tcPr>
            <w:tcW w:w="2379" w:type="dxa"/>
          </w:tcPr>
          <w:p w14:paraId="168BF154"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4.50</w:t>
            </w:r>
          </w:p>
        </w:tc>
      </w:tr>
      <w:tr w:rsidR="005B5CB9" w:rsidRPr="000814D5" w14:paraId="624FB3C1" w14:textId="77777777" w:rsidTr="00597E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0AEB3E95" w14:textId="77777777" w:rsidR="005B5CB9" w:rsidRPr="000814D5" w:rsidRDefault="005B5CB9">
            <w:pPr>
              <w:pStyle w:val="Tabletext"/>
              <w:rPr>
                <w:rFonts w:cs="Arial"/>
                <w:b w:val="0"/>
                <w:bCs w:val="0"/>
                <w:szCs w:val="18"/>
              </w:rPr>
            </w:pPr>
            <w:r w:rsidRPr="000814D5">
              <w:rPr>
                <w:rFonts w:cs="Arial"/>
                <w:szCs w:val="18"/>
              </w:rPr>
              <w:t>Community care</w:t>
            </w:r>
          </w:p>
        </w:tc>
        <w:tc>
          <w:tcPr>
            <w:tcW w:w="1275" w:type="dxa"/>
            <w:hideMark/>
          </w:tcPr>
          <w:p w14:paraId="7DCC9817"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Hour</w:t>
            </w:r>
          </w:p>
        </w:tc>
        <w:tc>
          <w:tcPr>
            <w:tcW w:w="2378" w:type="dxa"/>
          </w:tcPr>
          <w:p w14:paraId="2CF3B2E0"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73.39</w:t>
            </w:r>
          </w:p>
        </w:tc>
        <w:tc>
          <w:tcPr>
            <w:tcW w:w="2379" w:type="dxa"/>
          </w:tcPr>
          <w:p w14:paraId="1C22136B"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62.73</w:t>
            </w:r>
          </w:p>
        </w:tc>
      </w:tr>
      <w:tr w:rsidR="005B5CB9" w:rsidRPr="000814D5" w14:paraId="6C04C6E8" w14:textId="77777777" w:rsidTr="00597E0E">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26AFE2AF" w14:textId="77777777" w:rsidR="005B5CB9" w:rsidRPr="000814D5" w:rsidRDefault="005B5CB9">
            <w:pPr>
              <w:pStyle w:val="Tabletext"/>
              <w:rPr>
                <w:rFonts w:cs="Arial"/>
                <w:b w:val="0"/>
                <w:bCs w:val="0"/>
                <w:szCs w:val="18"/>
              </w:rPr>
            </w:pPr>
            <w:r w:rsidRPr="000814D5">
              <w:rPr>
                <w:rFonts w:cs="Arial"/>
                <w:szCs w:val="18"/>
              </w:rPr>
              <w:t>Planned activity group</w:t>
            </w:r>
          </w:p>
        </w:tc>
        <w:tc>
          <w:tcPr>
            <w:tcW w:w="1275" w:type="dxa"/>
            <w:hideMark/>
          </w:tcPr>
          <w:p w14:paraId="449818CF"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Per person</w:t>
            </w:r>
          </w:p>
        </w:tc>
        <w:tc>
          <w:tcPr>
            <w:tcW w:w="2378" w:type="dxa"/>
          </w:tcPr>
          <w:p w14:paraId="19FC90BF"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19.41</w:t>
            </w:r>
          </w:p>
        </w:tc>
        <w:tc>
          <w:tcPr>
            <w:tcW w:w="2379" w:type="dxa"/>
          </w:tcPr>
          <w:p w14:paraId="0949B72C"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21.01</w:t>
            </w:r>
          </w:p>
        </w:tc>
      </w:tr>
      <w:tr w:rsidR="005B5CB9" w:rsidRPr="000814D5" w14:paraId="6C1FE9AF" w14:textId="77777777" w:rsidTr="00597E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0E4FADC4" w14:textId="77777777" w:rsidR="005B5CB9" w:rsidRPr="000814D5" w:rsidRDefault="005B5CB9">
            <w:pPr>
              <w:pStyle w:val="Tabletext"/>
              <w:rPr>
                <w:rFonts w:cs="Arial"/>
                <w:b w:val="0"/>
                <w:bCs w:val="0"/>
                <w:szCs w:val="18"/>
              </w:rPr>
            </w:pPr>
            <w:r w:rsidRPr="000814D5">
              <w:rPr>
                <w:rFonts w:cs="Arial"/>
                <w:szCs w:val="18"/>
              </w:rPr>
              <w:t>Property maintenance</w:t>
            </w:r>
          </w:p>
        </w:tc>
        <w:tc>
          <w:tcPr>
            <w:tcW w:w="1275" w:type="dxa"/>
            <w:hideMark/>
          </w:tcPr>
          <w:p w14:paraId="21C9F8DE"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Hour</w:t>
            </w:r>
          </w:p>
        </w:tc>
        <w:tc>
          <w:tcPr>
            <w:tcW w:w="2378" w:type="dxa"/>
          </w:tcPr>
          <w:p w14:paraId="5C5D2D1F"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58.54</w:t>
            </w:r>
          </w:p>
        </w:tc>
        <w:tc>
          <w:tcPr>
            <w:tcW w:w="2379" w:type="dxa"/>
          </w:tcPr>
          <w:p w14:paraId="7D98DB3F"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0814D5">
              <w:rPr>
                <w:rFonts w:eastAsia="Arial" w:cs="Arial"/>
                <w:szCs w:val="18"/>
              </w:rPr>
              <w:t>65.03</w:t>
            </w:r>
          </w:p>
        </w:tc>
      </w:tr>
      <w:tr w:rsidR="005B5CB9" w:rsidRPr="000814D5" w14:paraId="518B1979" w14:textId="77777777" w:rsidTr="00597E0E">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1F54CAB3" w14:textId="77777777" w:rsidR="005B5CB9" w:rsidRPr="000814D5" w:rsidRDefault="005B5CB9">
            <w:pPr>
              <w:pStyle w:val="Tabletext"/>
              <w:rPr>
                <w:rFonts w:cs="Arial"/>
                <w:szCs w:val="18"/>
              </w:rPr>
            </w:pPr>
            <w:r w:rsidRPr="000814D5">
              <w:rPr>
                <w:rFonts w:cs="Arial"/>
                <w:szCs w:val="18"/>
              </w:rPr>
              <w:t>Volunteer Coordination</w:t>
            </w:r>
          </w:p>
        </w:tc>
        <w:tc>
          <w:tcPr>
            <w:tcW w:w="1275" w:type="dxa"/>
            <w:hideMark/>
          </w:tcPr>
          <w:p w14:paraId="12F0ECB4"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Hour</w:t>
            </w:r>
          </w:p>
        </w:tc>
        <w:tc>
          <w:tcPr>
            <w:tcW w:w="2378" w:type="dxa"/>
          </w:tcPr>
          <w:p w14:paraId="3FB5674B"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47.74</w:t>
            </w:r>
          </w:p>
        </w:tc>
        <w:tc>
          <w:tcPr>
            <w:tcW w:w="2379" w:type="dxa"/>
          </w:tcPr>
          <w:p w14:paraId="2D48810A"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0814D5">
              <w:rPr>
                <w:rFonts w:eastAsia="Arial" w:cs="Arial"/>
                <w:szCs w:val="18"/>
              </w:rPr>
              <w:t>53.02</w:t>
            </w:r>
          </w:p>
        </w:tc>
      </w:tr>
    </w:tbl>
    <w:p w14:paraId="45D1957E" w14:textId="1E5DBC8A" w:rsidR="005B5CB9" w:rsidRDefault="005B5CB9" w:rsidP="005B5CB9">
      <w:pPr>
        <w:pStyle w:val="Heading2"/>
        <w:spacing w:line="259" w:lineRule="auto"/>
      </w:pPr>
      <w:bookmarkStart w:id="2258" w:name="_Toc167651298"/>
      <w:bookmarkStart w:id="2259" w:name="_13.6_Small_rural"/>
      <w:bookmarkStart w:id="2260" w:name="_13.8_Community_health"/>
      <w:bookmarkStart w:id="2261" w:name="_Toc234580364"/>
      <w:bookmarkEnd w:id="2258"/>
      <w:bookmarkEnd w:id="2259"/>
      <w:bookmarkEnd w:id="2260"/>
      <w:r>
        <w:lastRenderedPageBreak/>
        <w:t xml:space="preserve">Community health care </w:t>
      </w:r>
      <w:r w:rsidR="009D05A6">
        <w:t>2026–27</w:t>
      </w:r>
      <w:bookmarkEnd w:id="2261"/>
    </w:p>
    <w:p w14:paraId="1460E2C2" w14:textId="77777777" w:rsidR="005B5CB9" w:rsidRDefault="005B5CB9" w:rsidP="005B5CB9">
      <w:pPr>
        <w:pStyle w:val="Tablecaption"/>
      </w:pPr>
      <w:bookmarkStart w:id="2262" w:name="_Toc419623621"/>
      <w:bookmarkStart w:id="2263" w:name="_Toc419623733"/>
      <w:bookmarkStart w:id="2264" w:name="_Toc232527235"/>
      <w:bookmarkStart w:id="2265" w:name="_Hlk169612630"/>
      <w:bookmarkEnd w:id="2249"/>
      <w:bookmarkEnd w:id="2250"/>
      <w:bookmarkEnd w:id="2251"/>
      <w:bookmarkEnd w:id="2256"/>
      <w:bookmarkEnd w:id="2262"/>
      <w:bookmarkEnd w:id="2263"/>
      <w:r>
        <w:t xml:space="preserve">Table </w:t>
      </w:r>
      <w:r w:rsidRPr="5B850891">
        <w:fldChar w:fldCharType="begin"/>
      </w:r>
      <w:r>
        <w:instrText xml:space="preserve"> SEQ Table \* ARABIC </w:instrText>
      </w:r>
      <w:r w:rsidRPr="5B850891">
        <w:fldChar w:fldCharType="separate"/>
      </w:r>
      <w:r>
        <w:rPr>
          <w:noProof/>
        </w:rPr>
        <w:t>18</w:t>
      </w:r>
      <w:r w:rsidRPr="5B850891">
        <w:rPr>
          <w:noProof/>
        </w:rPr>
        <w:fldChar w:fldCharType="end"/>
      </w:r>
      <w:r>
        <w:t>. Community health care</w:t>
      </w:r>
      <w:bookmarkEnd w:id="2264"/>
    </w:p>
    <w:tbl>
      <w:tblPr>
        <w:tblStyle w:val="GridTable4-Accent1"/>
        <w:tblW w:w="9287" w:type="dxa"/>
        <w:tblLook w:val="04A0" w:firstRow="1" w:lastRow="0" w:firstColumn="1" w:lastColumn="0" w:noHBand="0" w:noVBand="1"/>
      </w:tblPr>
      <w:tblGrid>
        <w:gridCol w:w="5665"/>
        <w:gridCol w:w="1276"/>
        <w:gridCol w:w="2346"/>
      </w:tblGrid>
      <w:tr w:rsidR="005B5CB9" w:rsidRPr="00A27CEE" w14:paraId="75D09221" w14:textId="77777777" w:rsidTr="00A27C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5" w:type="dxa"/>
            <w:hideMark/>
          </w:tcPr>
          <w:p w14:paraId="63E7FA1A" w14:textId="77777777" w:rsidR="005B5CB9" w:rsidRPr="00A27CEE" w:rsidRDefault="005B5CB9">
            <w:pPr>
              <w:pStyle w:val="Tablecolhead8pt"/>
              <w:rPr>
                <w:b/>
                <w:bCs w:val="0"/>
                <w:color w:val="FFFFFF" w:themeColor="background1"/>
                <w:sz w:val="18"/>
                <w:szCs w:val="18"/>
              </w:rPr>
            </w:pPr>
            <w:r w:rsidRPr="00A27CEE">
              <w:rPr>
                <w:b/>
                <w:bCs w:val="0"/>
                <w:color w:val="FFFFFF" w:themeColor="background1"/>
                <w:sz w:val="18"/>
                <w:szCs w:val="18"/>
              </w:rPr>
              <w:t>Service</w:t>
            </w:r>
          </w:p>
        </w:tc>
        <w:tc>
          <w:tcPr>
            <w:tcW w:w="1276" w:type="dxa"/>
            <w:hideMark/>
          </w:tcPr>
          <w:p w14:paraId="5572982D" w14:textId="77777777" w:rsidR="005B5CB9" w:rsidRPr="00A27CEE"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A27CEE">
              <w:rPr>
                <w:b/>
                <w:bCs w:val="0"/>
                <w:color w:val="FFFFFF" w:themeColor="background1"/>
                <w:sz w:val="18"/>
                <w:szCs w:val="18"/>
              </w:rPr>
              <w:t>Funded unit</w:t>
            </w:r>
          </w:p>
        </w:tc>
        <w:tc>
          <w:tcPr>
            <w:tcW w:w="2346" w:type="dxa"/>
            <w:hideMark/>
          </w:tcPr>
          <w:p w14:paraId="2844E34C" w14:textId="77777777" w:rsidR="005B5CB9" w:rsidRPr="00A27CEE"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A27CEE">
              <w:rPr>
                <w:b/>
                <w:bCs w:val="0"/>
                <w:color w:val="FFFFFF" w:themeColor="background1"/>
                <w:sz w:val="18"/>
                <w:szCs w:val="18"/>
              </w:rPr>
              <w:t>Estimated unit price ($)</w:t>
            </w:r>
          </w:p>
        </w:tc>
      </w:tr>
      <w:tr w:rsidR="005B5CB9" w:rsidRPr="00A27CEE" w14:paraId="7C709695" w14:textId="77777777" w:rsidTr="00A2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5D82ECAE" w14:textId="77777777" w:rsidR="005B5CB9" w:rsidRPr="00A27CEE" w:rsidRDefault="005B5CB9">
            <w:pPr>
              <w:pStyle w:val="Tabletext"/>
              <w:rPr>
                <w:szCs w:val="18"/>
              </w:rPr>
            </w:pPr>
            <w:r w:rsidRPr="00A27CEE">
              <w:rPr>
                <w:szCs w:val="18"/>
              </w:rPr>
              <w:t>Community health (all programs)</w:t>
            </w:r>
          </w:p>
        </w:tc>
        <w:tc>
          <w:tcPr>
            <w:tcW w:w="1276" w:type="dxa"/>
            <w:hideMark/>
          </w:tcPr>
          <w:p w14:paraId="02BEB03F"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A27CEE">
              <w:rPr>
                <w:szCs w:val="18"/>
              </w:rPr>
              <w:t>Hour</w:t>
            </w:r>
          </w:p>
        </w:tc>
        <w:tc>
          <w:tcPr>
            <w:tcW w:w="2346" w:type="dxa"/>
          </w:tcPr>
          <w:p w14:paraId="687C1CFA"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highlight w:val="yellow"/>
              </w:rPr>
            </w:pPr>
            <w:r w:rsidRPr="00A27CEE">
              <w:rPr>
                <w:szCs w:val="18"/>
              </w:rPr>
              <w:t>128.29</w:t>
            </w:r>
          </w:p>
        </w:tc>
      </w:tr>
      <w:tr w:rsidR="005B5CB9" w:rsidRPr="00A27CEE" w14:paraId="141FC1A3" w14:textId="77777777" w:rsidTr="00A27CEE">
        <w:tc>
          <w:tcPr>
            <w:cnfStyle w:val="001000000000" w:firstRow="0" w:lastRow="0" w:firstColumn="1" w:lastColumn="0" w:oddVBand="0" w:evenVBand="0" w:oddHBand="0" w:evenHBand="0" w:firstRowFirstColumn="0" w:firstRowLastColumn="0" w:lastRowFirstColumn="0" w:lastRowLastColumn="0"/>
            <w:tcW w:w="5665" w:type="dxa"/>
          </w:tcPr>
          <w:p w14:paraId="064DDB54" w14:textId="77777777" w:rsidR="005B5CB9" w:rsidRPr="00A27CEE" w:rsidRDefault="005B5CB9">
            <w:pPr>
              <w:pStyle w:val="Tabletext"/>
              <w:rPr>
                <w:szCs w:val="18"/>
              </w:rPr>
            </w:pPr>
            <w:r w:rsidRPr="00A27CEE">
              <w:rPr>
                <w:szCs w:val="18"/>
              </w:rPr>
              <w:t>Aboriginal services and support (case coordination)</w:t>
            </w:r>
          </w:p>
        </w:tc>
        <w:tc>
          <w:tcPr>
            <w:tcW w:w="1276" w:type="dxa"/>
          </w:tcPr>
          <w:p w14:paraId="73E3C91B" w14:textId="77777777" w:rsidR="005B5CB9" w:rsidRPr="00A27CEE"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A27CEE">
              <w:rPr>
                <w:szCs w:val="18"/>
              </w:rPr>
              <w:t>Hour</w:t>
            </w:r>
          </w:p>
        </w:tc>
        <w:tc>
          <w:tcPr>
            <w:tcW w:w="2346" w:type="dxa"/>
          </w:tcPr>
          <w:p w14:paraId="04A6F55E" w14:textId="77777777" w:rsidR="005B5CB9" w:rsidRPr="00A27CEE"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szCs w:val="18"/>
              </w:rPr>
            </w:pPr>
            <w:r w:rsidRPr="00A27CEE">
              <w:rPr>
                <w:szCs w:val="18"/>
              </w:rPr>
              <w:t>139.58</w:t>
            </w:r>
          </w:p>
        </w:tc>
      </w:tr>
      <w:tr w:rsidR="005B5CB9" w:rsidRPr="00A27CEE" w14:paraId="616A270B" w14:textId="77777777" w:rsidTr="00A2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21543D51" w14:textId="77777777" w:rsidR="005B5CB9" w:rsidRPr="00A27CEE" w:rsidRDefault="005B5CB9">
            <w:pPr>
              <w:pStyle w:val="Tabletext"/>
              <w:rPr>
                <w:szCs w:val="18"/>
              </w:rPr>
            </w:pPr>
            <w:r w:rsidRPr="00A27CEE">
              <w:rPr>
                <w:szCs w:val="18"/>
              </w:rPr>
              <w:t>ACCO services (counselling/casework)</w:t>
            </w:r>
          </w:p>
        </w:tc>
        <w:tc>
          <w:tcPr>
            <w:tcW w:w="1276" w:type="dxa"/>
            <w:hideMark/>
          </w:tcPr>
          <w:p w14:paraId="37C1219F"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A27CEE">
              <w:rPr>
                <w:szCs w:val="18"/>
              </w:rPr>
              <w:t>Hour</w:t>
            </w:r>
          </w:p>
        </w:tc>
        <w:tc>
          <w:tcPr>
            <w:tcW w:w="2346" w:type="dxa"/>
          </w:tcPr>
          <w:p w14:paraId="07339866"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A27CEE">
              <w:rPr>
                <w:szCs w:val="18"/>
              </w:rPr>
              <w:t>141.88</w:t>
            </w:r>
          </w:p>
        </w:tc>
      </w:tr>
    </w:tbl>
    <w:p w14:paraId="0AF5BF57" w14:textId="3A00ABFE" w:rsidR="005B5CB9" w:rsidRPr="00770846" w:rsidRDefault="005B5CB9" w:rsidP="005B5CB9">
      <w:pPr>
        <w:pStyle w:val="Heading2"/>
      </w:pPr>
      <w:bookmarkStart w:id="2266" w:name="_Toc110950043"/>
      <w:bookmarkStart w:id="2267" w:name="_13.7_Primary,_community"/>
      <w:bookmarkStart w:id="2268" w:name="_Toc144905625"/>
      <w:bookmarkStart w:id="2269" w:name="_13.8_Training_and"/>
      <w:bookmarkStart w:id="2270" w:name="_13.9_Training_and"/>
      <w:bookmarkStart w:id="2271" w:name="_Toc487742012"/>
      <w:bookmarkStart w:id="2272" w:name="_Toc14172242"/>
      <w:bookmarkStart w:id="2273" w:name="_Toc100263352"/>
      <w:bookmarkStart w:id="2274" w:name="_Toc165961856"/>
      <w:bookmarkStart w:id="2275" w:name="_Ref423018061"/>
      <w:bookmarkStart w:id="2276" w:name="_Toc419623616"/>
      <w:bookmarkStart w:id="2277" w:name="_Toc419623728"/>
      <w:bookmarkStart w:id="2278" w:name="_Toc419644503"/>
      <w:bookmarkStart w:id="2279" w:name="_Toc450824823"/>
      <w:bookmarkStart w:id="2280" w:name="_Toc418694990"/>
      <w:bookmarkStart w:id="2281" w:name="_Ref423019767"/>
      <w:bookmarkStart w:id="2282" w:name="_Ref423019777"/>
      <w:bookmarkStart w:id="2283" w:name="_Toc234580365"/>
      <w:bookmarkEnd w:id="2266"/>
      <w:bookmarkEnd w:id="2267"/>
      <w:bookmarkEnd w:id="2268"/>
      <w:bookmarkEnd w:id="2269"/>
      <w:bookmarkEnd w:id="2270"/>
      <w:r>
        <w:t xml:space="preserve">Training and </w:t>
      </w:r>
      <w:bookmarkEnd w:id="2271"/>
      <w:bookmarkEnd w:id="2272"/>
      <w:bookmarkEnd w:id="2273"/>
      <w:r>
        <w:t>development</w:t>
      </w:r>
      <w:bookmarkEnd w:id="2274"/>
      <w:r>
        <w:t xml:space="preserve"> </w:t>
      </w:r>
      <w:r w:rsidR="009D05A6">
        <w:t>2026–27</w:t>
      </w:r>
      <w:bookmarkEnd w:id="2283"/>
    </w:p>
    <w:p w14:paraId="10BA1DC3" w14:textId="2656EEA3" w:rsidR="005B5CB9" w:rsidRDefault="005B5CB9" w:rsidP="005B5CB9">
      <w:pPr>
        <w:pStyle w:val="Tablecaption"/>
      </w:pPr>
      <w:bookmarkStart w:id="2284" w:name="_Toc232527236"/>
      <w:r>
        <w:t xml:space="preserve">Table </w:t>
      </w:r>
      <w:r w:rsidRPr="5B850891">
        <w:fldChar w:fldCharType="begin"/>
      </w:r>
      <w:r>
        <w:instrText xml:space="preserve"> SEQ Table \* ARABIC </w:instrText>
      </w:r>
      <w:r w:rsidRPr="5B850891">
        <w:fldChar w:fldCharType="separate"/>
      </w:r>
      <w:r>
        <w:rPr>
          <w:noProof/>
        </w:rPr>
        <w:t>19</w:t>
      </w:r>
      <w:r w:rsidRPr="5B850891">
        <w:rPr>
          <w:noProof/>
        </w:rPr>
        <w:fldChar w:fldCharType="end"/>
      </w:r>
      <w:r>
        <w:t xml:space="preserve">. Training and development funding rates in </w:t>
      </w:r>
      <w:r w:rsidR="009D05A6">
        <w:t>2026–27</w:t>
      </w:r>
      <w:r>
        <w:t>*</w:t>
      </w:r>
      <w:bookmarkEnd w:id="2284"/>
    </w:p>
    <w:tbl>
      <w:tblPr>
        <w:tblStyle w:val="GridTable4-Accent1"/>
        <w:tblW w:w="4973" w:type="pct"/>
        <w:tblLook w:val="04A0" w:firstRow="1" w:lastRow="0" w:firstColumn="1" w:lastColumn="0" w:noHBand="0" w:noVBand="1"/>
      </w:tblPr>
      <w:tblGrid>
        <w:gridCol w:w="6941"/>
        <w:gridCol w:w="2297"/>
      </w:tblGrid>
      <w:tr w:rsidR="005B5CB9" w:rsidRPr="00A27CEE" w14:paraId="19F18DBA" w14:textId="77777777" w:rsidTr="0044444B">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000" w:firstRow="0" w:lastRow="0" w:firstColumn="1" w:lastColumn="0" w:oddVBand="0" w:evenVBand="0" w:oddHBand="0" w:evenHBand="0" w:firstRowFirstColumn="0" w:firstRowLastColumn="0" w:lastRowFirstColumn="0" w:lastRowLastColumn="0"/>
            <w:tcW w:w="6941" w:type="dxa"/>
            <w:hideMark/>
          </w:tcPr>
          <w:p w14:paraId="4F147B4F" w14:textId="77777777" w:rsidR="005B5CB9" w:rsidRPr="00A27CEE" w:rsidRDefault="005B5CB9">
            <w:pPr>
              <w:pStyle w:val="Tablecolhead8pt"/>
              <w:rPr>
                <w:b/>
                <w:bCs w:val="0"/>
                <w:color w:val="FFFFFF" w:themeColor="background1"/>
                <w:sz w:val="18"/>
                <w:szCs w:val="18"/>
              </w:rPr>
            </w:pPr>
            <w:bookmarkStart w:id="2285" w:name="_Hlk169869617"/>
            <w:r w:rsidRPr="00A27CEE">
              <w:rPr>
                <w:b/>
                <w:bCs w:val="0"/>
                <w:color w:val="FFFFFF" w:themeColor="background1"/>
                <w:sz w:val="18"/>
                <w:szCs w:val="18"/>
              </w:rPr>
              <w:t>Program</w:t>
            </w:r>
          </w:p>
        </w:tc>
        <w:tc>
          <w:tcPr>
            <w:tcW w:w="2297" w:type="dxa"/>
            <w:hideMark/>
          </w:tcPr>
          <w:p w14:paraId="5FCB6BC0" w14:textId="77777777" w:rsidR="005B5CB9" w:rsidRPr="00A27CEE" w:rsidRDefault="005B5CB9">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A27CEE">
              <w:rPr>
                <w:b/>
                <w:bCs w:val="0"/>
                <w:color w:val="FFFFFF" w:themeColor="background1"/>
                <w:sz w:val="18"/>
                <w:szCs w:val="18"/>
              </w:rPr>
              <w:t>Rate per EFT ($)</w:t>
            </w:r>
          </w:p>
        </w:tc>
      </w:tr>
      <w:tr w:rsidR="005B5CB9" w:rsidRPr="00A27CEE" w14:paraId="0776F583" w14:textId="77777777" w:rsidTr="0044444B">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62D6DE67" w14:textId="54E1EFE5" w:rsidR="005B5CB9" w:rsidRPr="00A27CEE" w:rsidRDefault="005B5CB9">
            <w:pPr>
              <w:pStyle w:val="Tabletext"/>
              <w:rPr>
                <w:szCs w:val="18"/>
              </w:rPr>
            </w:pPr>
            <w:r w:rsidRPr="00A27CEE">
              <w:rPr>
                <w:szCs w:val="18"/>
              </w:rPr>
              <w:t xml:space="preserve">Allied health graduate – metro (matched to rural from </w:t>
            </w:r>
            <w:r w:rsidR="009D05A6">
              <w:rPr>
                <w:szCs w:val="18"/>
              </w:rPr>
              <w:t>2026–27</w:t>
            </w:r>
            <w:r w:rsidRPr="00A27CEE">
              <w:rPr>
                <w:szCs w:val="18"/>
              </w:rPr>
              <w:t>)</w:t>
            </w:r>
          </w:p>
        </w:tc>
        <w:tc>
          <w:tcPr>
            <w:tcW w:w="2297" w:type="dxa"/>
          </w:tcPr>
          <w:p w14:paraId="681EFA58"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highlight w:val="yellow"/>
              </w:rPr>
            </w:pPr>
            <w:r w:rsidRPr="00A27CEE">
              <w:rPr>
                <w:color w:val="000000" w:themeColor="text1"/>
                <w:szCs w:val="18"/>
              </w:rPr>
              <w:t>12,936</w:t>
            </w:r>
          </w:p>
        </w:tc>
      </w:tr>
      <w:tr w:rsidR="005B5CB9" w:rsidRPr="00A27CEE" w14:paraId="2215B432" w14:textId="77777777" w:rsidTr="0044444B">
        <w:trPr>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79B55982" w14:textId="77777777" w:rsidR="005B5CB9" w:rsidRPr="00A27CEE" w:rsidRDefault="005B5CB9">
            <w:pPr>
              <w:pStyle w:val="Tabletext"/>
              <w:rPr>
                <w:szCs w:val="18"/>
              </w:rPr>
            </w:pPr>
            <w:r w:rsidRPr="00A27CEE">
              <w:rPr>
                <w:szCs w:val="18"/>
              </w:rPr>
              <w:t>Allied health graduate – rural</w:t>
            </w:r>
          </w:p>
        </w:tc>
        <w:tc>
          <w:tcPr>
            <w:tcW w:w="2297" w:type="dxa"/>
          </w:tcPr>
          <w:p w14:paraId="3D37D5E6" w14:textId="77777777" w:rsidR="005B5CB9" w:rsidRPr="00A27CEE"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A27CEE">
              <w:rPr>
                <w:color w:val="000000" w:themeColor="text1"/>
                <w:szCs w:val="18"/>
              </w:rPr>
              <w:t>12,936</w:t>
            </w:r>
          </w:p>
        </w:tc>
      </w:tr>
      <w:tr w:rsidR="005B5CB9" w:rsidRPr="00A27CEE" w14:paraId="085F2471" w14:textId="77777777" w:rsidTr="0044444B">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941" w:type="dxa"/>
          </w:tcPr>
          <w:p w14:paraId="35AE9B43" w14:textId="77777777" w:rsidR="005B5CB9" w:rsidRPr="00A27CEE" w:rsidRDefault="005B5CB9">
            <w:pPr>
              <w:pStyle w:val="Tabletext"/>
              <w:rPr>
                <w:szCs w:val="18"/>
              </w:rPr>
            </w:pPr>
            <w:r w:rsidRPr="00A27CEE">
              <w:rPr>
                <w:szCs w:val="18"/>
              </w:rPr>
              <w:t>Pharmacy interns</w:t>
            </w:r>
          </w:p>
        </w:tc>
        <w:tc>
          <w:tcPr>
            <w:tcW w:w="2297" w:type="dxa"/>
          </w:tcPr>
          <w:p w14:paraId="06871C8E"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A27CEE">
              <w:rPr>
                <w:color w:val="000000" w:themeColor="text1"/>
                <w:szCs w:val="18"/>
              </w:rPr>
              <w:t>36,809</w:t>
            </w:r>
          </w:p>
        </w:tc>
      </w:tr>
      <w:tr w:rsidR="005B5CB9" w:rsidRPr="00A27CEE" w14:paraId="554E87D1" w14:textId="77777777" w:rsidTr="0044444B">
        <w:trPr>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4505C703" w14:textId="77777777" w:rsidR="005B5CB9" w:rsidRPr="00A27CEE" w:rsidRDefault="005B5CB9">
            <w:pPr>
              <w:pStyle w:val="Tabletext"/>
              <w:rPr>
                <w:szCs w:val="18"/>
              </w:rPr>
            </w:pPr>
            <w:r w:rsidRPr="00A27CEE">
              <w:rPr>
                <w:szCs w:val="18"/>
              </w:rPr>
              <w:t>Medical graduate year 1 (PGY1)</w:t>
            </w:r>
          </w:p>
        </w:tc>
        <w:tc>
          <w:tcPr>
            <w:tcW w:w="2297" w:type="dxa"/>
          </w:tcPr>
          <w:p w14:paraId="09B08E44" w14:textId="77777777" w:rsidR="005B5CB9" w:rsidRPr="00A27CEE"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A27CEE">
              <w:rPr>
                <w:color w:val="000000" w:themeColor="text1"/>
                <w:szCs w:val="18"/>
              </w:rPr>
              <w:t>44,298</w:t>
            </w:r>
          </w:p>
        </w:tc>
      </w:tr>
      <w:tr w:rsidR="005B5CB9" w:rsidRPr="00A27CEE" w14:paraId="04549368" w14:textId="77777777" w:rsidTr="0044444B">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40BD30D9" w14:textId="77777777" w:rsidR="005B5CB9" w:rsidRPr="00A27CEE" w:rsidRDefault="005B5CB9">
            <w:pPr>
              <w:pStyle w:val="Tabletext"/>
              <w:rPr>
                <w:szCs w:val="18"/>
              </w:rPr>
            </w:pPr>
            <w:r w:rsidRPr="00A27CEE">
              <w:rPr>
                <w:szCs w:val="18"/>
              </w:rPr>
              <w:t>Medical graduate year 2 (PGY2)</w:t>
            </w:r>
          </w:p>
        </w:tc>
        <w:tc>
          <w:tcPr>
            <w:tcW w:w="2297" w:type="dxa"/>
          </w:tcPr>
          <w:p w14:paraId="3507B918"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A27CEE">
              <w:rPr>
                <w:color w:val="000000" w:themeColor="text1"/>
                <w:szCs w:val="18"/>
              </w:rPr>
              <w:t>48,044</w:t>
            </w:r>
          </w:p>
        </w:tc>
      </w:tr>
      <w:tr w:rsidR="005B5CB9" w:rsidRPr="00A27CEE" w14:paraId="6668F2D9" w14:textId="77777777" w:rsidTr="0044444B">
        <w:trPr>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3BA7AD69" w14:textId="77777777" w:rsidR="005B5CB9" w:rsidRPr="00A27CEE" w:rsidRDefault="005B5CB9">
            <w:pPr>
              <w:pStyle w:val="Tabletext"/>
              <w:rPr>
                <w:szCs w:val="18"/>
              </w:rPr>
            </w:pPr>
            <w:r w:rsidRPr="00A27CEE">
              <w:rPr>
                <w:szCs w:val="18"/>
              </w:rPr>
              <w:t>Nursing and midwifery (transition to practice)</w:t>
            </w:r>
          </w:p>
        </w:tc>
        <w:tc>
          <w:tcPr>
            <w:tcW w:w="2297" w:type="dxa"/>
          </w:tcPr>
          <w:p w14:paraId="2AB46A90" w14:textId="77777777" w:rsidR="005B5CB9" w:rsidRPr="00A27CEE"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A27CEE">
              <w:rPr>
                <w:color w:val="000000" w:themeColor="text1"/>
                <w:szCs w:val="18"/>
              </w:rPr>
              <w:t>21,892</w:t>
            </w:r>
          </w:p>
        </w:tc>
      </w:tr>
      <w:tr w:rsidR="005B5CB9" w:rsidRPr="00A27CEE" w14:paraId="0CB8ABAA" w14:textId="77777777" w:rsidTr="0044444B">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6339552F" w14:textId="77777777" w:rsidR="005B5CB9" w:rsidRPr="00A27CEE" w:rsidRDefault="005B5CB9">
            <w:pPr>
              <w:pStyle w:val="Tabletext"/>
              <w:rPr>
                <w:szCs w:val="18"/>
              </w:rPr>
            </w:pPr>
            <w:r w:rsidRPr="00A27CEE">
              <w:rPr>
                <w:szCs w:val="18"/>
              </w:rPr>
              <w:t>Victorian Medical Specialist Training Program</w:t>
            </w:r>
          </w:p>
        </w:tc>
        <w:tc>
          <w:tcPr>
            <w:tcW w:w="2297" w:type="dxa"/>
          </w:tcPr>
          <w:p w14:paraId="2985CA8F"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A27CEE">
              <w:rPr>
                <w:color w:val="000000" w:themeColor="text1"/>
                <w:szCs w:val="18"/>
              </w:rPr>
              <w:t>82,550</w:t>
            </w:r>
          </w:p>
        </w:tc>
      </w:tr>
      <w:tr w:rsidR="005B5CB9" w:rsidRPr="00A27CEE" w14:paraId="1660319E" w14:textId="77777777" w:rsidTr="0044444B">
        <w:trPr>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239E58D3" w14:textId="77777777" w:rsidR="005B5CB9" w:rsidRPr="00A27CEE" w:rsidRDefault="005B5CB9">
            <w:pPr>
              <w:pStyle w:val="Tabletext"/>
              <w:rPr>
                <w:szCs w:val="18"/>
              </w:rPr>
            </w:pPr>
            <w:r w:rsidRPr="00A27CEE">
              <w:rPr>
                <w:szCs w:val="18"/>
              </w:rPr>
              <w:t>Victorian Paediatric Training Program</w:t>
            </w:r>
          </w:p>
        </w:tc>
        <w:tc>
          <w:tcPr>
            <w:tcW w:w="2297" w:type="dxa"/>
          </w:tcPr>
          <w:p w14:paraId="0CC255BF" w14:textId="77777777" w:rsidR="005B5CB9" w:rsidRPr="00A27CEE"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A27CEE">
              <w:rPr>
                <w:color w:val="000000" w:themeColor="text1"/>
                <w:szCs w:val="18"/>
              </w:rPr>
              <w:t>112,031</w:t>
            </w:r>
          </w:p>
        </w:tc>
      </w:tr>
      <w:tr w:rsidR="005B5CB9" w:rsidRPr="00A27CEE" w14:paraId="26C880D6" w14:textId="77777777" w:rsidTr="0044444B">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035C3AD7" w14:textId="77777777" w:rsidR="005B5CB9" w:rsidRPr="00A27CEE" w:rsidRDefault="005B5CB9">
            <w:pPr>
              <w:pStyle w:val="Tabletext"/>
              <w:rPr>
                <w:szCs w:val="18"/>
              </w:rPr>
            </w:pPr>
            <w:r w:rsidRPr="00A27CEE">
              <w:rPr>
                <w:szCs w:val="18"/>
              </w:rPr>
              <w:t>Nursing and midwifery postgraduates</w:t>
            </w:r>
          </w:p>
        </w:tc>
        <w:tc>
          <w:tcPr>
            <w:tcW w:w="2297" w:type="dxa"/>
          </w:tcPr>
          <w:p w14:paraId="044A05AD" w14:textId="77777777" w:rsidR="005B5CB9" w:rsidRPr="00A27CEE" w:rsidRDefault="005B5CB9">
            <w:pPr>
              <w:pStyle w:val="Tabletext"/>
              <w:cnfStyle w:val="000000100000" w:firstRow="0" w:lastRow="0" w:firstColumn="0" w:lastColumn="0" w:oddVBand="0" w:evenVBand="0" w:oddHBand="1" w:evenHBand="0" w:firstRowFirstColumn="0" w:firstRowLastColumn="0" w:lastRowFirstColumn="0" w:lastRowLastColumn="0"/>
              <w:rPr>
                <w:rFonts w:eastAsia="Arial" w:cs="Arial"/>
                <w:szCs w:val="18"/>
              </w:rPr>
            </w:pPr>
            <w:r w:rsidRPr="00A27CEE">
              <w:rPr>
                <w:color w:val="000000" w:themeColor="text1"/>
                <w:szCs w:val="18"/>
              </w:rPr>
              <w:t>21,892</w:t>
            </w:r>
          </w:p>
        </w:tc>
      </w:tr>
      <w:tr w:rsidR="005B5CB9" w:rsidRPr="00A27CEE" w14:paraId="26BE2432" w14:textId="77777777" w:rsidTr="0044444B">
        <w:trPr>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7503540D" w14:textId="77777777" w:rsidR="005B5CB9" w:rsidRPr="00A27CEE" w:rsidRDefault="005B5CB9">
            <w:pPr>
              <w:pStyle w:val="Tabletext"/>
              <w:rPr>
                <w:szCs w:val="18"/>
              </w:rPr>
            </w:pPr>
            <w:r w:rsidRPr="00A27CEE">
              <w:rPr>
                <w:szCs w:val="18"/>
              </w:rPr>
              <w:t>Professional-entry student placements; basic physician training consortia</w:t>
            </w:r>
          </w:p>
        </w:tc>
        <w:tc>
          <w:tcPr>
            <w:tcW w:w="2297" w:type="dxa"/>
          </w:tcPr>
          <w:p w14:paraId="1BBC6D69" w14:textId="77777777" w:rsidR="005B5CB9" w:rsidRPr="00A27CEE" w:rsidRDefault="005B5CB9">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r w:rsidRPr="00A27CEE">
              <w:rPr>
                <w:color w:val="000000" w:themeColor="text1"/>
                <w:szCs w:val="18"/>
              </w:rPr>
              <w:t>Not EFT-based</w:t>
            </w:r>
          </w:p>
        </w:tc>
      </w:tr>
    </w:tbl>
    <w:p w14:paraId="1C3FEC7B" w14:textId="3F140E75" w:rsidR="005B5CB9" w:rsidRPr="00C75011" w:rsidRDefault="005B5CB9" w:rsidP="000814D5">
      <w:pPr>
        <w:pStyle w:val="Tablefigurenote9pt"/>
        <w:spacing w:before="120"/>
      </w:pPr>
      <w:bookmarkStart w:id="2286" w:name="_Toc167651302"/>
      <w:bookmarkStart w:id="2287" w:name="_Toc418694983"/>
      <w:bookmarkStart w:id="2288" w:name="_Ref419741197"/>
      <w:bookmarkStart w:id="2289" w:name="_Ref419741215"/>
      <w:bookmarkStart w:id="2290" w:name="_Toc487742013"/>
      <w:bookmarkStart w:id="2291" w:name="_Toc14172243"/>
      <w:bookmarkStart w:id="2292" w:name="_Ref70881847"/>
      <w:bookmarkStart w:id="2293" w:name="_Ref70881855"/>
      <w:bookmarkStart w:id="2294" w:name="_Ref77707788"/>
      <w:bookmarkStart w:id="2295" w:name="_Ref77707841"/>
      <w:bookmarkStart w:id="2296" w:name="_Toc100263353"/>
      <w:bookmarkStart w:id="2297" w:name="_Toc165961857"/>
      <w:bookmarkEnd w:id="2265"/>
      <w:bookmarkEnd w:id="2275"/>
      <w:bookmarkEnd w:id="2276"/>
      <w:bookmarkEnd w:id="2277"/>
      <w:bookmarkEnd w:id="2278"/>
      <w:bookmarkEnd w:id="2279"/>
      <w:bookmarkEnd w:id="2285"/>
      <w:bookmarkEnd w:id="2286"/>
      <w:r>
        <w:t xml:space="preserve">*Note: indexation to be applied in June 2026 for the </w:t>
      </w:r>
      <w:r w:rsidR="009D05A6">
        <w:t>2026–27</w:t>
      </w:r>
      <w:r>
        <w:t xml:space="preserve"> financial year. </w:t>
      </w:r>
    </w:p>
    <w:p w14:paraId="5B5FE953" w14:textId="679093EF" w:rsidR="005B5CB9" w:rsidRPr="00C75011" w:rsidRDefault="005B5CB9" w:rsidP="005B5CB9">
      <w:pPr>
        <w:pStyle w:val="Tablefigurenote9pt"/>
      </w:pPr>
      <w:r>
        <w:t xml:space="preserve">^Commencing 2026–27, metro health service funding rates will be matched to the rural funding rate, indexed annually. </w:t>
      </w:r>
    </w:p>
    <w:p w14:paraId="0986E94D" w14:textId="77777777" w:rsidR="005B5CB9" w:rsidRPr="00B83565" w:rsidRDefault="005B5CB9" w:rsidP="005B5CB9">
      <w:pPr>
        <w:spacing w:after="0" w:line="240" w:lineRule="auto"/>
        <w:rPr>
          <w:highlight w:val="yellow"/>
        </w:rPr>
      </w:pPr>
      <w:r w:rsidDel="00935FC5">
        <w:t xml:space="preserve"> </w:t>
      </w:r>
      <w:r w:rsidRPr="00B83565">
        <w:rPr>
          <w:highlight w:val="yellow"/>
        </w:rPr>
        <w:br w:type="page"/>
      </w:r>
    </w:p>
    <w:p w14:paraId="17B0E1C7" w14:textId="55FF2B60" w:rsidR="005B5CB9" w:rsidRPr="00F2166A" w:rsidRDefault="005B5CB9" w:rsidP="005B5CB9">
      <w:pPr>
        <w:pStyle w:val="Heading1"/>
        <w:ind w:left="851" w:hanging="851"/>
      </w:pPr>
      <w:bookmarkStart w:id="2298" w:name="_Toc234580366"/>
      <w:r>
        <w:lastRenderedPageBreak/>
        <w:t xml:space="preserve">Price groups for NWAU </w:t>
      </w:r>
      <w:bookmarkEnd w:id="2287"/>
      <w:bookmarkEnd w:id="2288"/>
      <w:bookmarkEnd w:id="2289"/>
      <w:bookmarkEnd w:id="2290"/>
      <w:bookmarkEnd w:id="2291"/>
      <w:bookmarkEnd w:id="2292"/>
      <w:bookmarkEnd w:id="2293"/>
      <w:bookmarkEnd w:id="2294"/>
      <w:bookmarkEnd w:id="2295"/>
      <w:bookmarkEnd w:id="2296"/>
      <w:r>
        <w:t>purposes</w:t>
      </w:r>
      <w:bookmarkEnd w:id="2297"/>
      <w:bookmarkEnd w:id="2298"/>
    </w:p>
    <w:p w14:paraId="77D2489C" w14:textId="77777777" w:rsidR="005B5CB9" w:rsidRDefault="005B5CB9" w:rsidP="005B5CB9">
      <w:pPr>
        <w:pStyle w:val="Tablecaption"/>
      </w:pPr>
      <w:bookmarkStart w:id="2299" w:name="_Toc232527237"/>
      <w:r>
        <w:t xml:space="preserve">Table </w:t>
      </w:r>
      <w:r w:rsidRPr="5B850891">
        <w:fldChar w:fldCharType="begin"/>
      </w:r>
      <w:r>
        <w:instrText xml:space="preserve"> SEQ Table \* ARABIC </w:instrText>
      </w:r>
      <w:r w:rsidRPr="5B850891">
        <w:fldChar w:fldCharType="separate"/>
      </w:r>
      <w:r>
        <w:rPr>
          <w:noProof/>
        </w:rPr>
        <w:t>20</w:t>
      </w:r>
      <w:r w:rsidRPr="5B850891">
        <w:rPr>
          <w:noProof/>
        </w:rPr>
        <w:fldChar w:fldCharType="end"/>
      </w:r>
      <w:r>
        <w:t>. Price groups for NWAU purposes</w:t>
      </w:r>
      <w:bookmarkEnd w:id="2299"/>
    </w:p>
    <w:tbl>
      <w:tblPr>
        <w:tblStyle w:val="GridTable4-Accent1"/>
        <w:tblW w:w="5000" w:type="pct"/>
        <w:tblLook w:val="04A0" w:firstRow="1" w:lastRow="0" w:firstColumn="1" w:lastColumn="0" w:noHBand="0" w:noVBand="1"/>
      </w:tblPr>
      <w:tblGrid>
        <w:gridCol w:w="5120"/>
        <w:gridCol w:w="4168"/>
      </w:tblGrid>
      <w:tr w:rsidR="005B5CB9" w:rsidRPr="000814D5" w14:paraId="3711E144" w14:textId="7777777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756" w:type="pct"/>
            <w:noWrap/>
          </w:tcPr>
          <w:p w14:paraId="59388726" w14:textId="77777777" w:rsidR="005B5CB9" w:rsidRPr="0044444B" w:rsidRDefault="005B5CB9">
            <w:pPr>
              <w:pStyle w:val="Tablecolhead8pt"/>
              <w:rPr>
                <w:rFonts w:cs="Arial"/>
                <w:b/>
                <w:bCs w:val="0"/>
                <w:color w:val="FFFFFF" w:themeColor="background1"/>
                <w:sz w:val="18"/>
                <w:szCs w:val="18"/>
              </w:rPr>
            </w:pPr>
            <w:bookmarkStart w:id="2300" w:name="_Toc487742014"/>
            <w:bookmarkStart w:id="2301" w:name="_Toc14172244"/>
            <w:r w:rsidRPr="0044444B">
              <w:rPr>
                <w:rFonts w:cs="Arial"/>
                <w:b/>
                <w:bCs w:val="0"/>
                <w:color w:val="FFFFFF" w:themeColor="background1"/>
                <w:sz w:val="18"/>
                <w:szCs w:val="18"/>
              </w:rPr>
              <w:t>Health services</w:t>
            </w:r>
          </w:p>
        </w:tc>
        <w:tc>
          <w:tcPr>
            <w:tcW w:w="2244" w:type="pct"/>
          </w:tcPr>
          <w:p w14:paraId="68A5AE05" w14:textId="77777777" w:rsidR="005B5CB9" w:rsidRPr="0044444B" w:rsidRDefault="005B5CB9">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8"/>
                <w:szCs w:val="18"/>
              </w:rPr>
            </w:pPr>
            <w:r w:rsidRPr="0044444B">
              <w:rPr>
                <w:rFonts w:cs="Arial"/>
                <w:b/>
                <w:bCs w:val="0"/>
                <w:color w:val="FFFFFF" w:themeColor="background1"/>
                <w:sz w:val="18"/>
                <w:szCs w:val="18"/>
              </w:rPr>
              <w:t>Peer group</w:t>
            </w:r>
          </w:p>
        </w:tc>
      </w:tr>
      <w:tr w:rsidR="005B5CB9" w:rsidRPr="000814D5" w14:paraId="6247298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43FBB350" w14:textId="77777777" w:rsidR="005B5CB9" w:rsidRPr="000814D5" w:rsidRDefault="005B5CB9">
            <w:pPr>
              <w:pStyle w:val="Tabletext"/>
              <w:rPr>
                <w:rFonts w:cs="Arial"/>
                <w:b w:val="0"/>
                <w:szCs w:val="18"/>
              </w:rPr>
            </w:pPr>
            <w:r w:rsidRPr="000814D5">
              <w:rPr>
                <w:rFonts w:cs="Arial"/>
                <w:bCs w:val="0"/>
                <w:szCs w:val="18"/>
              </w:rPr>
              <w:t>Albury Wodonga Health</w:t>
            </w:r>
          </w:p>
        </w:tc>
        <w:tc>
          <w:tcPr>
            <w:tcW w:w="2244" w:type="pct"/>
          </w:tcPr>
          <w:p w14:paraId="2A1AD416"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439D33F3"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5F112291" w14:textId="77777777" w:rsidR="005B5CB9" w:rsidRPr="000814D5" w:rsidRDefault="005B5CB9">
            <w:pPr>
              <w:pStyle w:val="Tabletext"/>
              <w:rPr>
                <w:rFonts w:cs="Arial"/>
                <w:b w:val="0"/>
                <w:szCs w:val="18"/>
              </w:rPr>
            </w:pPr>
            <w:r w:rsidRPr="000814D5">
              <w:rPr>
                <w:rFonts w:cs="Arial"/>
                <w:bCs w:val="0"/>
                <w:szCs w:val="18"/>
              </w:rPr>
              <w:t>Austin Health</w:t>
            </w:r>
          </w:p>
        </w:tc>
        <w:tc>
          <w:tcPr>
            <w:tcW w:w="2244" w:type="pct"/>
          </w:tcPr>
          <w:p w14:paraId="2F67FE8D"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22192D6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00DECB1F" w14:textId="77777777" w:rsidR="005B5CB9" w:rsidRPr="000814D5" w:rsidRDefault="005B5CB9">
            <w:pPr>
              <w:pStyle w:val="Tabletext"/>
              <w:rPr>
                <w:rFonts w:cs="Arial"/>
                <w:b w:val="0"/>
                <w:szCs w:val="18"/>
              </w:rPr>
            </w:pPr>
            <w:r w:rsidRPr="000814D5">
              <w:rPr>
                <w:rFonts w:cs="Arial"/>
                <w:bCs w:val="0"/>
                <w:szCs w:val="18"/>
              </w:rPr>
              <w:t>Barwon Health</w:t>
            </w:r>
          </w:p>
        </w:tc>
        <w:tc>
          <w:tcPr>
            <w:tcW w:w="2244" w:type="pct"/>
          </w:tcPr>
          <w:p w14:paraId="7E230F91"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39CE24D5"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tcPr>
          <w:p w14:paraId="3AF0AECD" w14:textId="77777777" w:rsidR="005B5CB9" w:rsidRPr="000814D5" w:rsidRDefault="005B5CB9">
            <w:pPr>
              <w:pStyle w:val="Tabletext"/>
              <w:rPr>
                <w:rFonts w:cs="Arial"/>
                <w:b w:val="0"/>
                <w:szCs w:val="18"/>
              </w:rPr>
            </w:pPr>
            <w:r w:rsidRPr="000814D5">
              <w:rPr>
                <w:rFonts w:cs="Arial"/>
                <w:bCs w:val="0"/>
                <w:szCs w:val="18"/>
              </w:rPr>
              <w:t>Bayside Health</w:t>
            </w:r>
          </w:p>
        </w:tc>
        <w:tc>
          <w:tcPr>
            <w:tcW w:w="2244" w:type="pct"/>
          </w:tcPr>
          <w:p w14:paraId="3E6EC025"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0AE254C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3467CD9B" w14:textId="77777777" w:rsidR="005B5CB9" w:rsidRPr="000814D5" w:rsidRDefault="005B5CB9">
            <w:pPr>
              <w:pStyle w:val="Tabletext"/>
              <w:rPr>
                <w:rFonts w:cs="Arial"/>
                <w:b w:val="0"/>
                <w:szCs w:val="18"/>
              </w:rPr>
            </w:pPr>
            <w:r w:rsidRPr="000814D5">
              <w:rPr>
                <w:rFonts w:cs="Arial"/>
                <w:bCs w:val="0"/>
                <w:szCs w:val="18"/>
              </w:rPr>
              <w:t>Bendigo Health</w:t>
            </w:r>
          </w:p>
        </w:tc>
        <w:tc>
          <w:tcPr>
            <w:tcW w:w="2244" w:type="pct"/>
          </w:tcPr>
          <w:p w14:paraId="0D477F11"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2B2AAB5A"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tcPr>
          <w:p w14:paraId="27DBAA44" w14:textId="77777777" w:rsidR="005B5CB9" w:rsidRPr="000814D5" w:rsidRDefault="005B5CB9">
            <w:pPr>
              <w:pStyle w:val="Tabletext"/>
              <w:rPr>
                <w:rFonts w:cs="Arial"/>
                <w:b w:val="0"/>
                <w:szCs w:val="18"/>
              </w:rPr>
            </w:pPr>
            <w:r w:rsidRPr="000814D5">
              <w:rPr>
                <w:rFonts w:cs="Arial"/>
                <w:bCs w:val="0"/>
                <w:szCs w:val="18"/>
              </w:rPr>
              <w:t>Calvary Health Care Bethlehem Ltd</w:t>
            </w:r>
          </w:p>
        </w:tc>
        <w:tc>
          <w:tcPr>
            <w:tcW w:w="2244" w:type="pct"/>
          </w:tcPr>
          <w:p w14:paraId="311FC739"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0EDA7DF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1EFC66C7" w14:textId="77777777" w:rsidR="005B5CB9" w:rsidRPr="000814D5" w:rsidRDefault="005B5CB9">
            <w:pPr>
              <w:pStyle w:val="Tabletext"/>
              <w:rPr>
                <w:rFonts w:cs="Arial"/>
                <w:b w:val="0"/>
                <w:szCs w:val="18"/>
              </w:rPr>
            </w:pPr>
            <w:r w:rsidRPr="000814D5">
              <w:rPr>
                <w:rFonts w:cs="Arial"/>
                <w:bCs w:val="0"/>
                <w:szCs w:val="18"/>
              </w:rPr>
              <w:t>Eastern Health</w:t>
            </w:r>
          </w:p>
        </w:tc>
        <w:tc>
          <w:tcPr>
            <w:tcW w:w="2244" w:type="pct"/>
          </w:tcPr>
          <w:p w14:paraId="53FF93EB"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68D1E46A"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6F1FD754" w14:textId="77777777" w:rsidR="005B5CB9" w:rsidRPr="000814D5" w:rsidRDefault="005B5CB9">
            <w:pPr>
              <w:pStyle w:val="Tabletext"/>
              <w:rPr>
                <w:rFonts w:cs="Arial"/>
                <w:b w:val="0"/>
                <w:szCs w:val="18"/>
              </w:rPr>
            </w:pPr>
            <w:r w:rsidRPr="000814D5">
              <w:rPr>
                <w:rFonts w:cs="Arial"/>
                <w:bCs w:val="0"/>
                <w:szCs w:val="18"/>
              </w:rPr>
              <w:t>Goulburn Valley Health</w:t>
            </w:r>
          </w:p>
        </w:tc>
        <w:tc>
          <w:tcPr>
            <w:tcW w:w="2244" w:type="pct"/>
          </w:tcPr>
          <w:p w14:paraId="3394A6DB"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28B911D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5734B3F0" w14:textId="77777777" w:rsidR="005B5CB9" w:rsidRPr="000814D5" w:rsidRDefault="005B5CB9">
            <w:pPr>
              <w:pStyle w:val="Tabletext"/>
              <w:rPr>
                <w:rFonts w:cs="Arial"/>
                <w:b w:val="0"/>
                <w:szCs w:val="18"/>
              </w:rPr>
            </w:pPr>
            <w:r w:rsidRPr="000814D5">
              <w:rPr>
                <w:rFonts w:cs="Arial"/>
                <w:bCs w:val="0"/>
                <w:szCs w:val="18"/>
              </w:rPr>
              <w:t>Grampians Health</w:t>
            </w:r>
          </w:p>
        </w:tc>
        <w:tc>
          <w:tcPr>
            <w:tcW w:w="2244" w:type="pct"/>
          </w:tcPr>
          <w:p w14:paraId="1BE7DA94"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3E4317F5"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5EED65A7" w14:textId="77777777" w:rsidR="005B5CB9" w:rsidRPr="000814D5" w:rsidRDefault="005B5CB9">
            <w:pPr>
              <w:pStyle w:val="Tabletext"/>
              <w:rPr>
                <w:rFonts w:cs="Arial"/>
                <w:b w:val="0"/>
                <w:szCs w:val="18"/>
              </w:rPr>
            </w:pPr>
            <w:r w:rsidRPr="000814D5">
              <w:rPr>
                <w:rFonts w:cs="Arial"/>
                <w:bCs w:val="0"/>
                <w:szCs w:val="18"/>
              </w:rPr>
              <w:t>Latrobe Regional Health</w:t>
            </w:r>
          </w:p>
        </w:tc>
        <w:tc>
          <w:tcPr>
            <w:tcW w:w="2244" w:type="pct"/>
          </w:tcPr>
          <w:p w14:paraId="546192A1"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4A34065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2EFAFA4E" w14:textId="77777777" w:rsidR="005B5CB9" w:rsidRPr="000814D5" w:rsidRDefault="005B5CB9">
            <w:pPr>
              <w:pStyle w:val="Tabletext"/>
              <w:rPr>
                <w:rFonts w:cs="Arial"/>
                <w:b w:val="0"/>
                <w:szCs w:val="18"/>
              </w:rPr>
            </w:pPr>
            <w:r w:rsidRPr="000814D5">
              <w:rPr>
                <w:rFonts w:cs="Arial"/>
                <w:bCs w:val="0"/>
                <w:szCs w:val="18"/>
              </w:rPr>
              <w:t>Melbourne Health</w:t>
            </w:r>
          </w:p>
        </w:tc>
        <w:tc>
          <w:tcPr>
            <w:tcW w:w="2244" w:type="pct"/>
          </w:tcPr>
          <w:p w14:paraId="6D61562E"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375030B3"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48E50E1A" w14:textId="77777777" w:rsidR="005B5CB9" w:rsidRPr="000814D5" w:rsidRDefault="005B5CB9">
            <w:pPr>
              <w:pStyle w:val="Tabletext"/>
              <w:rPr>
                <w:rFonts w:cs="Arial"/>
                <w:b w:val="0"/>
                <w:szCs w:val="18"/>
              </w:rPr>
            </w:pPr>
            <w:r w:rsidRPr="000814D5">
              <w:rPr>
                <w:rFonts w:cs="Arial"/>
                <w:bCs w:val="0"/>
                <w:szCs w:val="18"/>
              </w:rPr>
              <w:t>Mercy Hospitals Victoria Ltd</w:t>
            </w:r>
          </w:p>
        </w:tc>
        <w:tc>
          <w:tcPr>
            <w:tcW w:w="2244" w:type="pct"/>
          </w:tcPr>
          <w:p w14:paraId="165AE000"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45C51C1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1A690E8F" w14:textId="77777777" w:rsidR="005B5CB9" w:rsidRPr="000814D5" w:rsidRDefault="005B5CB9">
            <w:pPr>
              <w:pStyle w:val="Tabletext"/>
              <w:rPr>
                <w:rFonts w:cs="Arial"/>
                <w:b w:val="0"/>
                <w:szCs w:val="18"/>
              </w:rPr>
            </w:pPr>
            <w:r w:rsidRPr="000814D5">
              <w:rPr>
                <w:rFonts w:cs="Arial"/>
                <w:bCs w:val="0"/>
                <w:szCs w:val="18"/>
              </w:rPr>
              <w:t>Monash Health</w:t>
            </w:r>
          </w:p>
        </w:tc>
        <w:tc>
          <w:tcPr>
            <w:tcW w:w="2244" w:type="pct"/>
          </w:tcPr>
          <w:p w14:paraId="4B603B05"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7A76CB65"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35D26535" w14:textId="77777777" w:rsidR="005B5CB9" w:rsidRPr="000814D5" w:rsidRDefault="005B5CB9">
            <w:pPr>
              <w:pStyle w:val="Tabletext"/>
              <w:rPr>
                <w:rFonts w:cs="Arial"/>
                <w:b w:val="0"/>
                <w:szCs w:val="18"/>
              </w:rPr>
            </w:pPr>
            <w:r w:rsidRPr="000814D5">
              <w:rPr>
                <w:rFonts w:cs="Arial"/>
                <w:bCs w:val="0"/>
                <w:szCs w:val="18"/>
              </w:rPr>
              <w:t>Northern Health</w:t>
            </w:r>
          </w:p>
        </w:tc>
        <w:tc>
          <w:tcPr>
            <w:tcW w:w="2244" w:type="pct"/>
          </w:tcPr>
          <w:p w14:paraId="63818276"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7865886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tcPr>
          <w:p w14:paraId="3A65DC6D" w14:textId="77777777" w:rsidR="005B5CB9" w:rsidRPr="000814D5" w:rsidRDefault="005B5CB9">
            <w:pPr>
              <w:pStyle w:val="Tabletext"/>
              <w:rPr>
                <w:rFonts w:cs="Arial"/>
                <w:b w:val="0"/>
                <w:szCs w:val="18"/>
              </w:rPr>
            </w:pPr>
            <w:r w:rsidRPr="000814D5">
              <w:rPr>
                <w:rFonts w:cs="Arial"/>
                <w:bCs w:val="0"/>
                <w:szCs w:val="18"/>
              </w:rPr>
              <w:t>Parkville Youth Mental Health and Wellbeing Service</w:t>
            </w:r>
          </w:p>
        </w:tc>
        <w:tc>
          <w:tcPr>
            <w:tcW w:w="2244" w:type="pct"/>
          </w:tcPr>
          <w:p w14:paraId="70C60974"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32E0903B"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6A2E8233" w14:textId="77777777" w:rsidR="005B5CB9" w:rsidRPr="000814D5" w:rsidRDefault="005B5CB9">
            <w:pPr>
              <w:pStyle w:val="Tabletext"/>
              <w:rPr>
                <w:rFonts w:cs="Arial"/>
                <w:b w:val="0"/>
                <w:szCs w:val="18"/>
              </w:rPr>
            </w:pPr>
            <w:r w:rsidRPr="000814D5">
              <w:rPr>
                <w:rFonts w:cs="Arial"/>
                <w:bCs w:val="0"/>
                <w:szCs w:val="18"/>
              </w:rPr>
              <w:t>Peter MacCallum Cancer Institute</w:t>
            </w:r>
          </w:p>
        </w:tc>
        <w:tc>
          <w:tcPr>
            <w:tcW w:w="2244" w:type="pct"/>
          </w:tcPr>
          <w:p w14:paraId="1545D3F1"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1D633D3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6C09EC71" w14:textId="124DF208" w:rsidR="005B5CB9" w:rsidRPr="000814D5" w:rsidRDefault="00957436">
            <w:pPr>
              <w:pStyle w:val="Tabletext"/>
              <w:rPr>
                <w:rFonts w:cs="Arial"/>
                <w:b w:val="0"/>
                <w:szCs w:val="18"/>
              </w:rPr>
            </w:pPr>
            <w:r>
              <w:rPr>
                <w:rFonts w:cs="Arial"/>
                <w:bCs w:val="0"/>
                <w:szCs w:val="18"/>
              </w:rPr>
              <w:t xml:space="preserve">The </w:t>
            </w:r>
            <w:r w:rsidR="005B5CB9" w:rsidRPr="000814D5">
              <w:rPr>
                <w:rFonts w:cs="Arial"/>
                <w:bCs w:val="0"/>
                <w:szCs w:val="18"/>
              </w:rPr>
              <w:t>Royal Children’s Hospital</w:t>
            </w:r>
          </w:p>
        </w:tc>
        <w:tc>
          <w:tcPr>
            <w:tcW w:w="2244" w:type="pct"/>
          </w:tcPr>
          <w:p w14:paraId="53C0900E"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4015E2D2"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0330D99A" w14:textId="5247562D" w:rsidR="005B5CB9" w:rsidRPr="000814D5" w:rsidRDefault="00B64DA5">
            <w:pPr>
              <w:pStyle w:val="Tabletext"/>
              <w:rPr>
                <w:rFonts w:cs="Arial"/>
                <w:b w:val="0"/>
                <w:szCs w:val="18"/>
              </w:rPr>
            </w:pPr>
            <w:r>
              <w:rPr>
                <w:rFonts w:cs="Arial"/>
                <w:bCs w:val="0"/>
                <w:szCs w:val="18"/>
              </w:rPr>
              <w:t xml:space="preserve">The </w:t>
            </w:r>
            <w:r w:rsidR="005B5CB9" w:rsidRPr="000814D5">
              <w:rPr>
                <w:rFonts w:cs="Arial"/>
                <w:bCs w:val="0"/>
                <w:szCs w:val="18"/>
              </w:rPr>
              <w:t>Royal Women’s Hospital</w:t>
            </w:r>
          </w:p>
        </w:tc>
        <w:tc>
          <w:tcPr>
            <w:tcW w:w="2244" w:type="pct"/>
          </w:tcPr>
          <w:p w14:paraId="0418A245"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788430E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22AB7423" w14:textId="77777777" w:rsidR="005B5CB9" w:rsidRPr="000814D5" w:rsidRDefault="005B5CB9">
            <w:pPr>
              <w:pStyle w:val="Tabletext"/>
              <w:rPr>
                <w:rFonts w:cs="Arial"/>
                <w:b w:val="0"/>
                <w:szCs w:val="18"/>
              </w:rPr>
            </w:pPr>
            <w:r w:rsidRPr="000814D5">
              <w:rPr>
                <w:rFonts w:cs="Arial"/>
                <w:bCs w:val="0"/>
                <w:szCs w:val="18"/>
              </w:rPr>
              <w:t>St Vincents Health</w:t>
            </w:r>
          </w:p>
        </w:tc>
        <w:tc>
          <w:tcPr>
            <w:tcW w:w="2244" w:type="pct"/>
          </w:tcPr>
          <w:p w14:paraId="269335D0"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301D094B"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0254B436" w14:textId="77777777" w:rsidR="005B5CB9" w:rsidRPr="000814D5" w:rsidRDefault="005B5CB9">
            <w:pPr>
              <w:pStyle w:val="Tabletext"/>
              <w:rPr>
                <w:rFonts w:cs="Arial"/>
                <w:b w:val="0"/>
                <w:szCs w:val="18"/>
              </w:rPr>
            </w:pPr>
            <w:r w:rsidRPr="000814D5">
              <w:rPr>
                <w:rFonts w:cs="Arial"/>
                <w:bCs w:val="0"/>
                <w:szCs w:val="18"/>
              </w:rPr>
              <w:t>The Royal Victorian Eye &amp; Ear Hospital</w:t>
            </w:r>
          </w:p>
        </w:tc>
        <w:tc>
          <w:tcPr>
            <w:tcW w:w="2244" w:type="pct"/>
          </w:tcPr>
          <w:p w14:paraId="06922834"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4C7A8E7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64FA47C5" w14:textId="77777777" w:rsidR="005B5CB9" w:rsidRPr="000814D5" w:rsidRDefault="005B5CB9">
            <w:pPr>
              <w:pStyle w:val="Tabletext"/>
              <w:rPr>
                <w:rFonts w:cs="Arial"/>
                <w:b w:val="0"/>
                <w:szCs w:val="18"/>
              </w:rPr>
            </w:pPr>
            <w:r w:rsidRPr="000814D5">
              <w:rPr>
                <w:rFonts w:cs="Arial"/>
                <w:bCs w:val="0"/>
                <w:szCs w:val="18"/>
              </w:rPr>
              <w:t>Western Health</w:t>
            </w:r>
          </w:p>
        </w:tc>
        <w:tc>
          <w:tcPr>
            <w:tcW w:w="2244" w:type="pct"/>
          </w:tcPr>
          <w:p w14:paraId="70A030BC"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Metropolitan and large regional</w:t>
            </w:r>
          </w:p>
        </w:tc>
      </w:tr>
      <w:tr w:rsidR="005B5CB9" w:rsidRPr="000814D5" w14:paraId="3397B42F"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14B9245C" w14:textId="77777777" w:rsidR="005B5CB9" w:rsidRPr="000814D5" w:rsidRDefault="005B5CB9">
            <w:pPr>
              <w:pStyle w:val="Tabletext"/>
              <w:rPr>
                <w:rFonts w:cs="Arial"/>
                <w:b w:val="0"/>
                <w:szCs w:val="18"/>
              </w:rPr>
            </w:pPr>
            <w:r w:rsidRPr="000814D5">
              <w:rPr>
                <w:rFonts w:cs="Arial"/>
                <w:bCs w:val="0"/>
                <w:szCs w:val="18"/>
              </w:rPr>
              <w:t>Bairnsdale Regional Health Service</w:t>
            </w:r>
          </w:p>
        </w:tc>
        <w:tc>
          <w:tcPr>
            <w:tcW w:w="2244" w:type="pct"/>
          </w:tcPr>
          <w:p w14:paraId="1DB493D2"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294BF3D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5DE84132" w14:textId="77777777" w:rsidR="005B5CB9" w:rsidRPr="000814D5" w:rsidRDefault="005B5CB9">
            <w:pPr>
              <w:pStyle w:val="Tabletext"/>
              <w:rPr>
                <w:rFonts w:cs="Arial"/>
                <w:b w:val="0"/>
                <w:szCs w:val="18"/>
              </w:rPr>
            </w:pPr>
            <w:r w:rsidRPr="000814D5">
              <w:rPr>
                <w:rFonts w:cs="Arial"/>
                <w:bCs w:val="0"/>
                <w:szCs w:val="18"/>
              </w:rPr>
              <w:t>Benalla Health</w:t>
            </w:r>
          </w:p>
        </w:tc>
        <w:tc>
          <w:tcPr>
            <w:tcW w:w="2244" w:type="pct"/>
          </w:tcPr>
          <w:p w14:paraId="3219F800"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r w:rsidR="005B5CB9" w:rsidRPr="000814D5" w14:paraId="3ADA6246"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61D73349" w14:textId="77777777" w:rsidR="005B5CB9" w:rsidRPr="000814D5" w:rsidRDefault="005B5CB9">
            <w:pPr>
              <w:pStyle w:val="Tabletext"/>
              <w:rPr>
                <w:rFonts w:cs="Arial"/>
                <w:b w:val="0"/>
                <w:szCs w:val="18"/>
              </w:rPr>
            </w:pPr>
            <w:r w:rsidRPr="000814D5">
              <w:rPr>
                <w:rFonts w:cs="Arial"/>
                <w:bCs w:val="0"/>
                <w:szCs w:val="18"/>
              </w:rPr>
              <w:t>Central Gippsland Health Service</w:t>
            </w:r>
          </w:p>
        </w:tc>
        <w:tc>
          <w:tcPr>
            <w:tcW w:w="2244" w:type="pct"/>
          </w:tcPr>
          <w:p w14:paraId="17D754BC"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5C9F9A6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tcPr>
          <w:p w14:paraId="66F8F730" w14:textId="77777777" w:rsidR="005B5CB9" w:rsidRPr="000814D5" w:rsidRDefault="005B5CB9">
            <w:pPr>
              <w:pStyle w:val="Tabletext"/>
              <w:rPr>
                <w:rFonts w:cs="Arial"/>
                <w:b w:val="0"/>
                <w:szCs w:val="18"/>
              </w:rPr>
            </w:pPr>
            <w:r w:rsidRPr="000814D5">
              <w:rPr>
                <w:rFonts w:cs="Arial"/>
                <w:bCs w:val="0"/>
                <w:szCs w:val="18"/>
              </w:rPr>
              <w:t>Colac Area Health</w:t>
            </w:r>
          </w:p>
        </w:tc>
        <w:tc>
          <w:tcPr>
            <w:tcW w:w="2244" w:type="pct"/>
          </w:tcPr>
          <w:p w14:paraId="782FCB85"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r w:rsidR="005B5CB9" w:rsidRPr="000814D5" w14:paraId="5C76A3A4"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71F399F7" w14:textId="77777777" w:rsidR="005B5CB9" w:rsidRPr="000814D5" w:rsidRDefault="005B5CB9">
            <w:pPr>
              <w:pStyle w:val="Tabletext"/>
              <w:rPr>
                <w:rFonts w:cs="Arial"/>
                <w:b w:val="0"/>
                <w:bCs w:val="0"/>
                <w:szCs w:val="18"/>
              </w:rPr>
            </w:pPr>
            <w:r w:rsidRPr="000814D5">
              <w:rPr>
                <w:rFonts w:cs="Arial"/>
                <w:szCs w:val="18"/>
              </w:rPr>
              <w:t>Dhelkaya Health</w:t>
            </w:r>
          </w:p>
        </w:tc>
        <w:tc>
          <w:tcPr>
            <w:tcW w:w="2244" w:type="pct"/>
          </w:tcPr>
          <w:p w14:paraId="2966812F"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036D434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4E70B3ED" w14:textId="77777777" w:rsidR="005B5CB9" w:rsidRPr="000814D5" w:rsidRDefault="005B5CB9">
            <w:pPr>
              <w:pStyle w:val="Tabletext"/>
              <w:rPr>
                <w:rFonts w:cs="Arial"/>
                <w:b w:val="0"/>
                <w:szCs w:val="18"/>
              </w:rPr>
            </w:pPr>
            <w:r w:rsidRPr="000814D5">
              <w:rPr>
                <w:rFonts w:cs="Arial"/>
                <w:bCs w:val="0"/>
                <w:szCs w:val="18"/>
              </w:rPr>
              <w:t>East Grampians Health Service</w:t>
            </w:r>
          </w:p>
        </w:tc>
        <w:tc>
          <w:tcPr>
            <w:tcW w:w="2244" w:type="pct"/>
          </w:tcPr>
          <w:p w14:paraId="54B373C6"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r w:rsidR="005B5CB9" w:rsidRPr="000814D5" w14:paraId="2ACCD9B3"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11B9E3AA" w14:textId="77777777" w:rsidR="005B5CB9" w:rsidRPr="000814D5" w:rsidRDefault="005B5CB9">
            <w:pPr>
              <w:pStyle w:val="Tabletext"/>
              <w:rPr>
                <w:rFonts w:cs="Arial"/>
                <w:b w:val="0"/>
                <w:szCs w:val="18"/>
              </w:rPr>
            </w:pPr>
            <w:r w:rsidRPr="000814D5">
              <w:rPr>
                <w:rFonts w:cs="Arial"/>
                <w:bCs w:val="0"/>
                <w:szCs w:val="18"/>
              </w:rPr>
              <w:t>Echuca Regional Health</w:t>
            </w:r>
          </w:p>
        </w:tc>
        <w:tc>
          <w:tcPr>
            <w:tcW w:w="2244" w:type="pct"/>
          </w:tcPr>
          <w:p w14:paraId="235FBC70"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1EED43DF"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0FC866AC" w14:textId="77777777" w:rsidR="005B5CB9" w:rsidRPr="000814D5" w:rsidRDefault="005B5CB9">
            <w:pPr>
              <w:pStyle w:val="Tabletext"/>
              <w:rPr>
                <w:rFonts w:cs="Arial"/>
                <w:b w:val="0"/>
                <w:szCs w:val="18"/>
              </w:rPr>
            </w:pPr>
            <w:r w:rsidRPr="000814D5">
              <w:rPr>
                <w:rFonts w:cs="Arial"/>
                <w:bCs w:val="0"/>
                <w:szCs w:val="18"/>
              </w:rPr>
              <w:t>Kyabram District Health Service</w:t>
            </w:r>
          </w:p>
        </w:tc>
        <w:tc>
          <w:tcPr>
            <w:tcW w:w="2244" w:type="pct"/>
          </w:tcPr>
          <w:p w14:paraId="16178245"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r w:rsidR="005B5CB9" w:rsidRPr="000814D5" w14:paraId="333E587E"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0F517B56" w14:textId="77777777" w:rsidR="005B5CB9" w:rsidRPr="000814D5" w:rsidRDefault="005B5CB9">
            <w:pPr>
              <w:pStyle w:val="Tabletext"/>
              <w:rPr>
                <w:rFonts w:cs="Arial"/>
                <w:b w:val="0"/>
                <w:szCs w:val="18"/>
              </w:rPr>
            </w:pPr>
            <w:r w:rsidRPr="000814D5">
              <w:rPr>
                <w:rFonts w:cs="Arial"/>
                <w:bCs w:val="0"/>
                <w:szCs w:val="18"/>
              </w:rPr>
              <w:t>Maryborough District Health Service</w:t>
            </w:r>
          </w:p>
        </w:tc>
        <w:tc>
          <w:tcPr>
            <w:tcW w:w="2244" w:type="pct"/>
          </w:tcPr>
          <w:p w14:paraId="43F543FF"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052BE88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79D59EDB" w14:textId="77777777" w:rsidR="005B5CB9" w:rsidRPr="000814D5" w:rsidRDefault="005B5CB9">
            <w:pPr>
              <w:pStyle w:val="Tabletext"/>
              <w:rPr>
                <w:rFonts w:cs="Arial"/>
                <w:b w:val="0"/>
                <w:szCs w:val="18"/>
              </w:rPr>
            </w:pPr>
            <w:r w:rsidRPr="000814D5">
              <w:rPr>
                <w:rFonts w:cs="Arial"/>
                <w:bCs w:val="0"/>
                <w:szCs w:val="18"/>
              </w:rPr>
              <w:t>Mildura Base Public Hospital</w:t>
            </w:r>
          </w:p>
        </w:tc>
        <w:tc>
          <w:tcPr>
            <w:tcW w:w="2244" w:type="pct"/>
          </w:tcPr>
          <w:p w14:paraId="133C2389"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r w:rsidR="005B5CB9" w:rsidRPr="000814D5" w14:paraId="36767479"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00837D60" w14:textId="77777777" w:rsidR="005B5CB9" w:rsidRPr="000814D5" w:rsidRDefault="005B5CB9">
            <w:pPr>
              <w:pStyle w:val="Tabletext"/>
              <w:rPr>
                <w:rFonts w:cs="Arial"/>
                <w:b w:val="0"/>
                <w:szCs w:val="18"/>
              </w:rPr>
            </w:pPr>
            <w:r w:rsidRPr="000814D5">
              <w:rPr>
                <w:rFonts w:cs="Arial"/>
                <w:bCs w:val="0"/>
                <w:szCs w:val="18"/>
              </w:rPr>
              <w:t>Northeast Health Wangaratta</w:t>
            </w:r>
          </w:p>
        </w:tc>
        <w:tc>
          <w:tcPr>
            <w:tcW w:w="2244" w:type="pct"/>
          </w:tcPr>
          <w:p w14:paraId="4F6D7D8D"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583795A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795F1A9F" w14:textId="77777777" w:rsidR="005B5CB9" w:rsidRPr="000814D5" w:rsidRDefault="005B5CB9">
            <w:pPr>
              <w:pStyle w:val="Tabletext"/>
              <w:rPr>
                <w:rFonts w:cs="Arial"/>
                <w:b w:val="0"/>
                <w:szCs w:val="18"/>
              </w:rPr>
            </w:pPr>
            <w:r w:rsidRPr="000814D5">
              <w:rPr>
                <w:rFonts w:cs="Arial"/>
                <w:bCs w:val="0"/>
                <w:szCs w:val="18"/>
              </w:rPr>
              <w:t>Portland District Health</w:t>
            </w:r>
          </w:p>
        </w:tc>
        <w:tc>
          <w:tcPr>
            <w:tcW w:w="2244" w:type="pct"/>
          </w:tcPr>
          <w:p w14:paraId="508D4FB4"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r w:rsidR="005B5CB9" w:rsidRPr="000814D5" w14:paraId="7E2A7C85"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67757C76" w14:textId="77777777" w:rsidR="005B5CB9" w:rsidRPr="000814D5" w:rsidRDefault="005B5CB9">
            <w:pPr>
              <w:pStyle w:val="Tabletext"/>
              <w:rPr>
                <w:rFonts w:cs="Arial"/>
                <w:b w:val="0"/>
                <w:bCs w:val="0"/>
                <w:szCs w:val="18"/>
              </w:rPr>
            </w:pPr>
            <w:proofErr w:type="gramStart"/>
            <w:r w:rsidRPr="000814D5">
              <w:rPr>
                <w:rFonts w:cs="Arial"/>
                <w:szCs w:val="18"/>
              </w:rPr>
              <w:t>South West</w:t>
            </w:r>
            <w:proofErr w:type="gramEnd"/>
            <w:r w:rsidRPr="000814D5">
              <w:rPr>
                <w:rFonts w:cs="Arial"/>
                <w:szCs w:val="18"/>
              </w:rPr>
              <w:t xml:space="preserve"> Healthcare</w:t>
            </w:r>
          </w:p>
        </w:tc>
        <w:tc>
          <w:tcPr>
            <w:tcW w:w="2244" w:type="pct"/>
          </w:tcPr>
          <w:p w14:paraId="2134B5AD"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31AB93B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3EF7EFE1" w14:textId="77777777" w:rsidR="005B5CB9" w:rsidRPr="000814D5" w:rsidRDefault="005B5CB9">
            <w:pPr>
              <w:pStyle w:val="Tabletext"/>
              <w:rPr>
                <w:rFonts w:cs="Arial"/>
                <w:b w:val="0"/>
                <w:szCs w:val="18"/>
              </w:rPr>
            </w:pPr>
            <w:r w:rsidRPr="000814D5">
              <w:rPr>
                <w:rFonts w:cs="Arial"/>
                <w:bCs w:val="0"/>
                <w:szCs w:val="18"/>
              </w:rPr>
              <w:lastRenderedPageBreak/>
              <w:t>Swan Hill District Health</w:t>
            </w:r>
          </w:p>
        </w:tc>
        <w:tc>
          <w:tcPr>
            <w:tcW w:w="2244" w:type="pct"/>
          </w:tcPr>
          <w:p w14:paraId="48BA646D"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r w:rsidR="005B5CB9" w:rsidRPr="000814D5" w14:paraId="2E3648CA" w14:textId="77777777">
        <w:trPr>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1E4DF54C" w14:textId="77777777" w:rsidR="005B5CB9" w:rsidRPr="000814D5" w:rsidRDefault="005B5CB9">
            <w:pPr>
              <w:pStyle w:val="Tabletext"/>
              <w:rPr>
                <w:rFonts w:cs="Arial"/>
                <w:b w:val="0"/>
                <w:szCs w:val="18"/>
              </w:rPr>
            </w:pPr>
            <w:r w:rsidRPr="000814D5">
              <w:rPr>
                <w:rFonts w:cs="Arial"/>
                <w:bCs w:val="0"/>
                <w:szCs w:val="18"/>
              </w:rPr>
              <w:t>West Gippsland Healthcare Group</w:t>
            </w:r>
          </w:p>
        </w:tc>
        <w:tc>
          <w:tcPr>
            <w:tcW w:w="2244" w:type="pct"/>
          </w:tcPr>
          <w:p w14:paraId="2FC83216" w14:textId="77777777" w:rsidR="005B5CB9" w:rsidRPr="000814D5"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814D5">
              <w:rPr>
                <w:rFonts w:cs="Arial"/>
                <w:szCs w:val="18"/>
              </w:rPr>
              <w:t>Subregional</w:t>
            </w:r>
          </w:p>
        </w:tc>
      </w:tr>
      <w:tr w:rsidR="005B5CB9" w:rsidRPr="000814D5" w14:paraId="3E24BFC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56" w:type="pct"/>
            <w:noWrap/>
            <w:hideMark/>
          </w:tcPr>
          <w:p w14:paraId="73933C34" w14:textId="77777777" w:rsidR="005B5CB9" w:rsidRPr="000814D5" w:rsidRDefault="005B5CB9">
            <w:pPr>
              <w:pStyle w:val="Tabletext"/>
              <w:rPr>
                <w:rFonts w:cs="Arial"/>
                <w:b w:val="0"/>
                <w:szCs w:val="18"/>
              </w:rPr>
            </w:pPr>
            <w:r w:rsidRPr="000814D5">
              <w:rPr>
                <w:rFonts w:cs="Arial"/>
                <w:bCs w:val="0"/>
                <w:szCs w:val="18"/>
              </w:rPr>
              <w:t>Western District Health Service</w:t>
            </w:r>
          </w:p>
        </w:tc>
        <w:tc>
          <w:tcPr>
            <w:tcW w:w="2244" w:type="pct"/>
          </w:tcPr>
          <w:p w14:paraId="72799A63" w14:textId="77777777" w:rsidR="005B5CB9" w:rsidRPr="000814D5"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814D5">
              <w:rPr>
                <w:rFonts w:cs="Arial"/>
                <w:szCs w:val="18"/>
              </w:rPr>
              <w:t>Subregional</w:t>
            </w:r>
          </w:p>
        </w:tc>
      </w:tr>
    </w:tbl>
    <w:p w14:paraId="22DDF9DB" w14:textId="77777777" w:rsidR="005B5CB9" w:rsidRDefault="005B5CB9" w:rsidP="005B5CB9">
      <w:pPr>
        <w:pStyle w:val="Tabletext9pt"/>
      </w:pPr>
    </w:p>
    <w:p w14:paraId="38C701C1" w14:textId="77777777" w:rsidR="005B5CB9" w:rsidRDefault="005B5CB9" w:rsidP="005B5CB9">
      <w:pPr>
        <w:pStyle w:val="Tablecaption"/>
        <w:spacing w:after="0"/>
      </w:pPr>
      <w:bookmarkStart w:id="2302" w:name="_Toc486151653"/>
      <w:bookmarkStart w:id="2303" w:name="_Toc12780585"/>
      <w:bookmarkStart w:id="2304" w:name="_Toc487742063"/>
      <w:bookmarkStart w:id="2305" w:name="_Toc167651304"/>
      <w:bookmarkStart w:id="2306" w:name="_Toc12780655"/>
      <w:bookmarkStart w:id="2307" w:name="_Toc14172296"/>
      <w:bookmarkStart w:id="2308" w:name="_Toc33703970"/>
      <w:bookmarkStart w:id="2309" w:name="_Toc55381158"/>
      <w:bookmarkEnd w:id="2280"/>
      <w:bookmarkEnd w:id="2281"/>
      <w:bookmarkEnd w:id="2282"/>
      <w:bookmarkEnd w:id="2300"/>
      <w:bookmarkEnd w:id="2301"/>
      <w:bookmarkEnd w:id="2305"/>
    </w:p>
    <w:p w14:paraId="459B0F9F" w14:textId="77777777" w:rsidR="005B5CB9" w:rsidRDefault="005B5CB9" w:rsidP="005B5CB9">
      <w:pPr>
        <w:spacing w:after="0" w:line="240" w:lineRule="auto"/>
        <w:rPr>
          <w:rFonts w:eastAsia="MS Gothic" w:cs="Arial"/>
          <w:color w:val="201547"/>
          <w:sz w:val="44"/>
          <w:szCs w:val="44"/>
        </w:rPr>
      </w:pPr>
      <w:r>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F82B4E" w14:paraId="41091061" w14:textId="77777777">
        <w:trPr>
          <w:trHeight w:val="7371"/>
        </w:trPr>
        <w:tc>
          <w:tcPr>
            <w:tcW w:w="7598" w:type="dxa"/>
            <w:vAlign w:val="center"/>
          </w:tcPr>
          <w:p w14:paraId="065FF90D" w14:textId="2986E7BF" w:rsidR="00F82B4E" w:rsidRDefault="00F82B4E">
            <w:pPr>
              <w:pStyle w:val="Heading1"/>
              <w:numPr>
                <w:ilvl w:val="0"/>
                <w:numId w:val="0"/>
              </w:numPr>
              <w:ind w:left="1134"/>
            </w:pPr>
            <w:bookmarkStart w:id="2310" w:name="_Toc234580367"/>
            <w:r w:rsidRPr="004C7717">
              <w:lastRenderedPageBreak/>
              <w:t xml:space="preserve">Part </w:t>
            </w:r>
            <w:r>
              <w:t>2</w:t>
            </w:r>
            <w:r w:rsidRPr="004C7717">
              <w:t xml:space="preserve">: </w:t>
            </w:r>
            <w:r w:rsidRPr="00F82B4E">
              <w:t>Funding and activity levels</w:t>
            </w:r>
            <w:bookmarkEnd w:id="2310"/>
          </w:p>
          <w:p w14:paraId="2AE22743" w14:textId="77777777" w:rsidR="00F82B4E" w:rsidRDefault="00F82B4E">
            <w:pPr>
              <w:pStyle w:val="Documentsubtitle"/>
            </w:pPr>
          </w:p>
        </w:tc>
      </w:tr>
      <w:tr w:rsidR="00F82B4E" w14:paraId="33DF0C3E" w14:textId="77777777">
        <w:tc>
          <w:tcPr>
            <w:tcW w:w="7598" w:type="dxa"/>
          </w:tcPr>
          <w:p w14:paraId="13C62751" w14:textId="77777777" w:rsidR="00F82B4E" w:rsidRDefault="00F82B4E">
            <w:pPr>
              <w:pStyle w:val="Body"/>
            </w:pPr>
          </w:p>
        </w:tc>
      </w:tr>
    </w:tbl>
    <w:p w14:paraId="3A866AA9" w14:textId="77777777" w:rsidR="005B5CB9" w:rsidRDefault="005B5CB9" w:rsidP="005B5CB9">
      <w:pPr>
        <w:spacing w:before="40" w:after="40"/>
      </w:pPr>
    </w:p>
    <w:p w14:paraId="57A71156" w14:textId="77777777" w:rsidR="005B5CB9" w:rsidRDefault="005B5CB9" w:rsidP="005B5CB9">
      <w:pPr>
        <w:spacing w:before="40" w:after="40"/>
        <w:sectPr w:rsidR="005B5CB9" w:rsidSect="005B5CB9">
          <w:pgSz w:w="11906" w:h="16838" w:code="9"/>
          <w:pgMar w:top="1418" w:right="1304" w:bottom="1134" w:left="1304" w:header="680" w:footer="567" w:gutter="0"/>
          <w:cols w:space="340"/>
          <w:docGrid w:linePitch="360"/>
        </w:sectPr>
      </w:pPr>
    </w:p>
    <w:p w14:paraId="3F50E7E9" w14:textId="40AE89F8" w:rsidR="005B5CB9" w:rsidRDefault="005B5CB9" w:rsidP="005B5CB9">
      <w:pPr>
        <w:pStyle w:val="Heading1"/>
      </w:pPr>
      <w:bookmarkStart w:id="2311" w:name="_15_Output_and"/>
      <w:bookmarkStart w:id="2312" w:name="_Ref74211066"/>
      <w:bookmarkStart w:id="2313" w:name="_Ref74211072"/>
      <w:bookmarkStart w:id="2314" w:name="_Ref74211078"/>
      <w:bookmarkStart w:id="2315" w:name="_Ref74211087"/>
      <w:bookmarkStart w:id="2316" w:name="_Toc100263364"/>
      <w:bookmarkStart w:id="2317" w:name="_Toc165961860"/>
      <w:bookmarkStart w:id="2318" w:name="_Hlk169612588"/>
      <w:bookmarkStart w:id="2319" w:name="_Toc234580368"/>
      <w:bookmarkEnd w:id="2306"/>
      <w:bookmarkEnd w:id="2307"/>
      <w:bookmarkEnd w:id="2308"/>
      <w:bookmarkEnd w:id="2309"/>
      <w:bookmarkEnd w:id="2311"/>
      <w:r>
        <w:lastRenderedPageBreak/>
        <w:t>Output and activity tables</w:t>
      </w:r>
      <w:bookmarkEnd w:id="2319"/>
    </w:p>
    <w:p w14:paraId="1DDD9D0E" w14:textId="77777777" w:rsidR="005B5CB9" w:rsidRDefault="005B5CB9" w:rsidP="005B5CB9">
      <w:pPr>
        <w:spacing w:before="80" w:after="80"/>
      </w:pPr>
      <w:r w:rsidRPr="00F82B4E">
        <w:rPr>
          <w:rStyle w:val="BodyChar"/>
        </w:rPr>
        <w:t>The following tables describe outputs and activities for Small Rural Health Services, Aged Care, Community Health, and Public Health programs. These descriptions support the interpretation of budget and target tables in</w:t>
      </w:r>
      <w:r>
        <w:t xml:space="preserve"> </w:t>
      </w:r>
      <w:hyperlink w:anchor="_16_Budget_tables" w:history="1">
        <w:r w:rsidRPr="005713F8">
          <w:rPr>
            <w:rStyle w:val="Hyperlink"/>
          </w:rPr>
          <w:t>Section 16</w:t>
        </w:r>
      </w:hyperlink>
      <w:r w:rsidRPr="005713F8">
        <w:t>.</w:t>
      </w:r>
    </w:p>
    <w:p w14:paraId="59DED988" w14:textId="77777777" w:rsidR="005B5CB9" w:rsidRDefault="005B5CB9" w:rsidP="005B5CB9">
      <w:pPr>
        <w:pStyle w:val="Tablecaption"/>
      </w:pPr>
      <w:r>
        <w:t xml:space="preserve">Table </w:t>
      </w:r>
      <w:r w:rsidRPr="5B850891">
        <w:fldChar w:fldCharType="begin"/>
      </w:r>
      <w:r>
        <w:instrText xml:space="preserve"> SEQ Table \* ARABIC </w:instrText>
      </w:r>
      <w:r w:rsidRPr="5B850891">
        <w:fldChar w:fldCharType="separate"/>
      </w:r>
      <w:r>
        <w:rPr>
          <w:noProof/>
        </w:rPr>
        <w:t>21</w:t>
      </w:r>
      <w:r w:rsidRPr="5B850891">
        <w:rPr>
          <w:noProof/>
        </w:rPr>
        <w:fldChar w:fldCharType="end"/>
      </w:r>
      <w:r>
        <w:t>. Outputs and activities for small rural services</w:t>
      </w:r>
    </w:p>
    <w:tbl>
      <w:tblPr>
        <w:tblStyle w:val="GridTable4-Accent1"/>
        <w:tblW w:w="9209" w:type="dxa"/>
        <w:tblLook w:val="04A0" w:firstRow="1" w:lastRow="0" w:firstColumn="1" w:lastColumn="0" w:noHBand="0" w:noVBand="1"/>
      </w:tblPr>
      <w:tblGrid>
        <w:gridCol w:w="1271"/>
        <w:gridCol w:w="2268"/>
        <w:gridCol w:w="5670"/>
      </w:tblGrid>
      <w:tr w:rsidR="005B5CB9" w:rsidRPr="00F82B4E" w14:paraId="007A2FD2"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1" w:type="dxa"/>
            <w:hideMark/>
          </w:tcPr>
          <w:p w14:paraId="554C2021" w14:textId="77777777" w:rsidR="005B5CB9" w:rsidRPr="00F82B4E" w:rsidRDefault="005B5CB9">
            <w:pPr>
              <w:pStyle w:val="Tablecolhead"/>
              <w:rPr>
                <w:rFonts w:eastAsia="Arial"/>
                <w:b/>
                <w:bCs w:val="0"/>
                <w:color w:val="FFFFFF" w:themeColor="background1"/>
                <w:sz w:val="18"/>
                <w:szCs w:val="18"/>
              </w:rPr>
            </w:pPr>
            <w:r w:rsidRPr="00F82B4E">
              <w:rPr>
                <w:rFonts w:eastAsia="Arial"/>
                <w:b/>
                <w:bCs w:val="0"/>
                <w:color w:val="FFFFFF" w:themeColor="background1"/>
                <w:sz w:val="18"/>
                <w:szCs w:val="18"/>
              </w:rPr>
              <w:t>Activity no.</w:t>
            </w:r>
          </w:p>
        </w:tc>
        <w:tc>
          <w:tcPr>
            <w:tcW w:w="2268" w:type="dxa"/>
            <w:hideMark/>
          </w:tcPr>
          <w:p w14:paraId="64797724" w14:textId="77777777" w:rsidR="005B5CB9" w:rsidRPr="00F82B4E"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F82B4E">
              <w:rPr>
                <w:rFonts w:eastAsia="Arial"/>
                <w:b/>
                <w:bCs w:val="0"/>
                <w:color w:val="FFFFFF" w:themeColor="background1"/>
                <w:sz w:val="18"/>
                <w:szCs w:val="18"/>
              </w:rPr>
              <w:t>Activity name</w:t>
            </w:r>
          </w:p>
        </w:tc>
        <w:tc>
          <w:tcPr>
            <w:tcW w:w="5670" w:type="dxa"/>
            <w:hideMark/>
          </w:tcPr>
          <w:p w14:paraId="22DC8229" w14:textId="77777777" w:rsidR="005B5CB9" w:rsidRPr="00F82B4E"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F82B4E">
              <w:rPr>
                <w:rFonts w:eastAsia="Arial"/>
                <w:b/>
                <w:bCs w:val="0"/>
                <w:color w:val="FFFFFF" w:themeColor="background1"/>
                <w:sz w:val="18"/>
                <w:szCs w:val="18"/>
              </w:rPr>
              <w:t>Activity description</w:t>
            </w:r>
          </w:p>
        </w:tc>
      </w:tr>
      <w:tr w:rsidR="005B5CB9" w:rsidRPr="00F82B4E" w14:paraId="3363F37C" w14:textId="77777777">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271" w:type="dxa"/>
            <w:hideMark/>
          </w:tcPr>
          <w:p w14:paraId="6A89455B" w14:textId="77777777" w:rsidR="005B5CB9" w:rsidRPr="00F82B4E" w:rsidRDefault="005B5CB9" w:rsidP="00F82B4E">
            <w:pPr>
              <w:pStyle w:val="Tabletext"/>
              <w:rPr>
                <w:b w:val="0"/>
                <w:bCs w:val="0"/>
                <w:szCs w:val="18"/>
              </w:rPr>
            </w:pPr>
            <w:r w:rsidRPr="00F82B4E">
              <w:rPr>
                <w:szCs w:val="18"/>
              </w:rPr>
              <w:t>35010</w:t>
            </w:r>
          </w:p>
        </w:tc>
        <w:tc>
          <w:tcPr>
            <w:tcW w:w="2268" w:type="dxa"/>
            <w:hideMark/>
          </w:tcPr>
          <w:p w14:paraId="2F36AB7F" w14:textId="77777777" w:rsidR="005B5CB9" w:rsidRPr="00F82B4E" w:rsidRDefault="005B5CB9" w:rsidP="00F82B4E">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Small rural – aged support services</w:t>
            </w:r>
          </w:p>
        </w:tc>
        <w:tc>
          <w:tcPr>
            <w:tcW w:w="5670" w:type="dxa"/>
            <w:hideMark/>
          </w:tcPr>
          <w:p w14:paraId="5F5DFA9B" w14:textId="77777777" w:rsidR="005B5CB9" w:rsidRPr="00F82B4E" w:rsidRDefault="005B5CB9" w:rsidP="00F82B4E">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 xml:space="preserve">Health promotion and community service activities that support older Victorians and their </w:t>
            </w:r>
            <w:proofErr w:type="spellStart"/>
            <w:r w:rsidRPr="00F82B4E">
              <w:rPr>
                <w:szCs w:val="18"/>
              </w:rPr>
              <w:t>carers</w:t>
            </w:r>
            <w:proofErr w:type="spellEnd"/>
            <w:r w:rsidRPr="00F82B4E">
              <w:rPr>
                <w:szCs w:val="18"/>
              </w:rPr>
              <w:t xml:space="preserve"> in small rural communities. This includes </w:t>
            </w:r>
            <w:proofErr w:type="gramStart"/>
            <w:r w:rsidRPr="00F82B4E">
              <w:rPr>
                <w:szCs w:val="18"/>
              </w:rPr>
              <w:t>seniors</w:t>
            </w:r>
            <w:proofErr w:type="gramEnd"/>
            <w:r w:rsidRPr="00F82B4E">
              <w:rPr>
                <w:szCs w:val="18"/>
              </w:rPr>
              <w:t xml:space="preserve"> health promotion, aged carer support and respite, dementia services and aged care community grants</w:t>
            </w:r>
          </w:p>
        </w:tc>
      </w:tr>
      <w:tr w:rsidR="005B5CB9" w:rsidRPr="00F82B4E" w14:paraId="4A123D67" w14:textId="77777777">
        <w:trPr>
          <w:trHeight w:val="96"/>
        </w:trPr>
        <w:tc>
          <w:tcPr>
            <w:cnfStyle w:val="001000000000" w:firstRow="0" w:lastRow="0" w:firstColumn="1" w:lastColumn="0" w:oddVBand="0" w:evenVBand="0" w:oddHBand="0" w:evenHBand="0" w:firstRowFirstColumn="0" w:firstRowLastColumn="0" w:lastRowFirstColumn="0" w:lastRowLastColumn="0"/>
            <w:tcW w:w="1271" w:type="dxa"/>
            <w:hideMark/>
          </w:tcPr>
          <w:p w14:paraId="1C80BA76" w14:textId="77777777" w:rsidR="005B5CB9" w:rsidRPr="00F82B4E" w:rsidRDefault="005B5CB9" w:rsidP="00F82B4E">
            <w:pPr>
              <w:pStyle w:val="Tabletext"/>
              <w:rPr>
                <w:b w:val="0"/>
                <w:bCs w:val="0"/>
                <w:szCs w:val="18"/>
              </w:rPr>
            </w:pPr>
            <w:r w:rsidRPr="00F82B4E">
              <w:rPr>
                <w:szCs w:val="18"/>
              </w:rPr>
              <w:t>35052</w:t>
            </w:r>
          </w:p>
        </w:tc>
        <w:tc>
          <w:tcPr>
            <w:tcW w:w="2268" w:type="dxa"/>
            <w:hideMark/>
          </w:tcPr>
          <w:p w14:paraId="117DEF40" w14:textId="77777777" w:rsidR="005B5CB9" w:rsidRPr="00F82B4E" w:rsidRDefault="005B5CB9" w:rsidP="00F82B4E">
            <w:pPr>
              <w:pStyle w:val="Tabletext"/>
              <w:cnfStyle w:val="000000000000" w:firstRow="0" w:lastRow="0" w:firstColumn="0" w:lastColumn="0" w:oddVBand="0" w:evenVBand="0" w:oddHBand="0" w:evenHBand="0" w:firstRowFirstColumn="0" w:firstRowLastColumn="0" w:lastRowFirstColumn="0" w:lastRowLastColumn="0"/>
              <w:rPr>
                <w:szCs w:val="18"/>
              </w:rPr>
            </w:pPr>
            <w:r w:rsidRPr="00F82B4E">
              <w:rPr>
                <w:szCs w:val="18"/>
              </w:rPr>
              <w:t xml:space="preserve">Small rural services home and community care </w:t>
            </w:r>
          </w:p>
        </w:tc>
        <w:tc>
          <w:tcPr>
            <w:tcW w:w="5670" w:type="dxa"/>
            <w:hideMark/>
          </w:tcPr>
          <w:p w14:paraId="27502E70" w14:textId="77777777" w:rsidR="005B5CB9" w:rsidRPr="00F82B4E" w:rsidRDefault="005B5CB9" w:rsidP="00F82B4E">
            <w:pPr>
              <w:pStyle w:val="Tabletext"/>
              <w:cnfStyle w:val="000000000000" w:firstRow="0" w:lastRow="0" w:firstColumn="0" w:lastColumn="0" w:oddVBand="0" w:evenVBand="0" w:oddHBand="0" w:evenHBand="0" w:firstRowFirstColumn="0" w:firstRowLastColumn="0" w:lastRowFirstColumn="0" w:lastRowLastColumn="0"/>
              <w:rPr>
                <w:szCs w:val="18"/>
              </w:rPr>
            </w:pPr>
            <w:r w:rsidRPr="00F82B4E">
              <w:rPr>
                <w:szCs w:val="18"/>
              </w:rPr>
              <w:t>A range of services to support younger people who have difficulty with the activities of daily living and their carers to remain at home and participate in the community</w:t>
            </w:r>
          </w:p>
        </w:tc>
      </w:tr>
      <w:tr w:rsidR="005B5CB9" w:rsidRPr="00F82B4E" w14:paraId="17DC5A57" w14:textId="77777777">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271" w:type="dxa"/>
            <w:hideMark/>
          </w:tcPr>
          <w:p w14:paraId="38CA7388" w14:textId="77777777" w:rsidR="005B5CB9" w:rsidRPr="00F82B4E" w:rsidRDefault="005B5CB9" w:rsidP="00F82B4E">
            <w:pPr>
              <w:pStyle w:val="Tabletext"/>
              <w:rPr>
                <w:b w:val="0"/>
                <w:bCs w:val="0"/>
                <w:szCs w:val="18"/>
              </w:rPr>
            </w:pPr>
            <w:r w:rsidRPr="00F82B4E">
              <w:rPr>
                <w:szCs w:val="18"/>
              </w:rPr>
              <w:t>35011</w:t>
            </w:r>
          </w:p>
        </w:tc>
        <w:tc>
          <w:tcPr>
            <w:tcW w:w="2268" w:type="dxa"/>
            <w:hideMark/>
          </w:tcPr>
          <w:p w14:paraId="49BEFD73" w14:textId="77777777" w:rsidR="005B5CB9" w:rsidRPr="00F82B4E" w:rsidRDefault="005B5CB9" w:rsidP="00F82B4E">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Small rural – residential aged care</w:t>
            </w:r>
          </w:p>
        </w:tc>
        <w:tc>
          <w:tcPr>
            <w:tcW w:w="5670" w:type="dxa"/>
            <w:hideMark/>
          </w:tcPr>
          <w:p w14:paraId="3F0E04D6" w14:textId="77777777" w:rsidR="005B5CB9" w:rsidRPr="00F82B4E" w:rsidRDefault="005B5CB9" w:rsidP="00F82B4E">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Care and support for people in small rural communities who are approved for care and accommodation in PSRACS</w:t>
            </w:r>
          </w:p>
        </w:tc>
      </w:tr>
      <w:tr w:rsidR="005B5CB9" w:rsidRPr="00F82B4E" w14:paraId="2ADB4663" w14:textId="77777777">
        <w:trPr>
          <w:trHeight w:val="96"/>
        </w:trPr>
        <w:tc>
          <w:tcPr>
            <w:cnfStyle w:val="001000000000" w:firstRow="0" w:lastRow="0" w:firstColumn="1" w:lastColumn="0" w:oddVBand="0" w:evenVBand="0" w:oddHBand="0" w:evenHBand="0" w:firstRowFirstColumn="0" w:firstRowLastColumn="0" w:lastRowFirstColumn="0" w:lastRowLastColumn="0"/>
            <w:tcW w:w="1271" w:type="dxa"/>
            <w:hideMark/>
          </w:tcPr>
          <w:p w14:paraId="7B8271DA" w14:textId="77777777" w:rsidR="005B5CB9" w:rsidRPr="00F82B4E" w:rsidRDefault="005B5CB9" w:rsidP="00F82B4E">
            <w:pPr>
              <w:pStyle w:val="Tabletext"/>
              <w:rPr>
                <w:b w:val="0"/>
                <w:bCs w:val="0"/>
                <w:szCs w:val="18"/>
              </w:rPr>
            </w:pPr>
            <w:r w:rsidRPr="00F82B4E">
              <w:rPr>
                <w:szCs w:val="18"/>
              </w:rPr>
              <w:t>35042</w:t>
            </w:r>
          </w:p>
        </w:tc>
        <w:tc>
          <w:tcPr>
            <w:tcW w:w="2268" w:type="dxa"/>
            <w:hideMark/>
          </w:tcPr>
          <w:p w14:paraId="5656A584" w14:textId="77777777" w:rsidR="005B5CB9" w:rsidRPr="00F82B4E" w:rsidRDefault="005B5CB9" w:rsidP="00F82B4E">
            <w:pPr>
              <w:pStyle w:val="Tabletext"/>
              <w:cnfStyle w:val="000000000000" w:firstRow="0" w:lastRow="0" w:firstColumn="0" w:lastColumn="0" w:oddVBand="0" w:evenVBand="0" w:oddHBand="0" w:evenHBand="0" w:firstRowFirstColumn="0" w:firstRowLastColumn="0" w:lastRowFirstColumn="0" w:lastRowLastColumn="0"/>
              <w:rPr>
                <w:szCs w:val="18"/>
              </w:rPr>
            </w:pPr>
            <w:r w:rsidRPr="00F82B4E">
              <w:rPr>
                <w:szCs w:val="18"/>
              </w:rPr>
              <w:t>Small rural – drugs services</w:t>
            </w:r>
          </w:p>
        </w:tc>
        <w:tc>
          <w:tcPr>
            <w:tcW w:w="5670" w:type="dxa"/>
            <w:hideMark/>
          </w:tcPr>
          <w:p w14:paraId="55189364" w14:textId="77777777" w:rsidR="005B5CB9" w:rsidRPr="00F82B4E" w:rsidRDefault="005B5CB9" w:rsidP="00F82B4E">
            <w:pPr>
              <w:pStyle w:val="Tabletext"/>
              <w:cnfStyle w:val="000000000000" w:firstRow="0" w:lastRow="0" w:firstColumn="0" w:lastColumn="0" w:oddVBand="0" w:evenVBand="0" w:oddHBand="0" w:evenHBand="0" w:firstRowFirstColumn="0" w:firstRowLastColumn="0" w:lastRowFirstColumn="0" w:lastRowLastColumn="0"/>
              <w:rPr>
                <w:szCs w:val="18"/>
              </w:rPr>
            </w:pPr>
            <w:r w:rsidRPr="00F82B4E">
              <w:rPr>
                <w:szCs w:val="18"/>
              </w:rPr>
              <w:t>Delivery of health and aged care services as per an agreed service profile and business rules</w:t>
            </w:r>
          </w:p>
        </w:tc>
      </w:tr>
      <w:tr w:rsidR="005B5CB9" w:rsidRPr="00F82B4E" w14:paraId="529B4F74" w14:textId="77777777">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271" w:type="dxa"/>
            <w:hideMark/>
          </w:tcPr>
          <w:p w14:paraId="3927FC63" w14:textId="77777777" w:rsidR="005B5CB9" w:rsidRPr="00F82B4E" w:rsidRDefault="005B5CB9" w:rsidP="00F82B4E">
            <w:pPr>
              <w:pStyle w:val="Tabletext"/>
              <w:rPr>
                <w:b w:val="0"/>
                <w:bCs w:val="0"/>
                <w:szCs w:val="18"/>
              </w:rPr>
            </w:pPr>
            <w:r w:rsidRPr="00F82B4E">
              <w:rPr>
                <w:szCs w:val="18"/>
              </w:rPr>
              <w:t>35048</w:t>
            </w:r>
          </w:p>
        </w:tc>
        <w:tc>
          <w:tcPr>
            <w:tcW w:w="2268" w:type="dxa"/>
            <w:hideMark/>
          </w:tcPr>
          <w:p w14:paraId="4E0A3330" w14:textId="77777777" w:rsidR="005B5CB9" w:rsidRPr="00F82B4E" w:rsidRDefault="005B5CB9" w:rsidP="00F82B4E">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 xml:space="preserve">Small rural – primary health </w:t>
            </w:r>
          </w:p>
        </w:tc>
        <w:tc>
          <w:tcPr>
            <w:tcW w:w="5670" w:type="dxa"/>
            <w:hideMark/>
          </w:tcPr>
          <w:p w14:paraId="785A8E61" w14:textId="77777777" w:rsidR="005B5CB9" w:rsidRPr="00F82B4E" w:rsidRDefault="005B5CB9" w:rsidP="00F82B4E">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Suitably qualified people assessing and providing direct care. This includes therapeutic intervention, clinical care, practical assistance, support, referral, and advocacy with the goal of improving quality of life, social function and health</w:t>
            </w:r>
          </w:p>
          <w:p w14:paraId="45150631" w14:textId="77777777" w:rsidR="005B5CB9" w:rsidRPr="00F82B4E" w:rsidRDefault="005B5CB9" w:rsidP="00F82B4E">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Promoting health, independence, and wellbeing to prevent illness, injury and disease through screening, risk assessment, immunisation, social marketing of health information, community action for social and environmental change, organisational development, workforce development and resources</w:t>
            </w:r>
          </w:p>
        </w:tc>
      </w:tr>
    </w:tbl>
    <w:p w14:paraId="2B440430" w14:textId="77777777" w:rsidR="005B5CB9" w:rsidRDefault="005B5CB9" w:rsidP="005B5CB9">
      <w:pPr>
        <w:pStyle w:val="Tablecaption"/>
      </w:pPr>
      <w:r>
        <w:t xml:space="preserve">Table </w:t>
      </w:r>
      <w:r w:rsidRPr="5B850891">
        <w:fldChar w:fldCharType="begin"/>
      </w:r>
      <w:r>
        <w:instrText xml:space="preserve"> SEQ Table \* ARABIC </w:instrText>
      </w:r>
      <w:r w:rsidRPr="5B850891">
        <w:fldChar w:fldCharType="separate"/>
      </w:r>
      <w:r>
        <w:rPr>
          <w:noProof/>
        </w:rPr>
        <w:t>22</w:t>
      </w:r>
      <w:r w:rsidRPr="5B850891">
        <w:rPr>
          <w:noProof/>
        </w:rPr>
        <w:fldChar w:fldCharType="end"/>
      </w:r>
      <w:r>
        <w:t>. Outputs and activities for aged and home care – ACA</w:t>
      </w:r>
    </w:p>
    <w:tbl>
      <w:tblPr>
        <w:tblStyle w:val="GridTable4-Accent1"/>
        <w:tblW w:w="9209" w:type="dxa"/>
        <w:tblLook w:val="04A0" w:firstRow="1" w:lastRow="0" w:firstColumn="1" w:lastColumn="0" w:noHBand="0" w:noVBand="1"/>
      </w:tblPr>
      <w:tblGrid>
        <w:gridCol w:w="1271"/>
        <w:gridCol w:w="2268"/>
        <w:gridCol w:w="5670"/>
      </w:tblGrid>
      <w:tr w:rsidR="005B5CB9" w:rsidRPr="00F82B4E" w14:paraId="009F7C0C" w14:textId="77777777" w:rsidTr="00F82B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hideMark/>
          </w:tcPr>
          <w:p w14:paraId="6B616041" w14:textId="77777777" w:rsidR="005B5CB9" w:rsidRPr="00F82B4E" w:rsidRDefault="005B5CB9">
            <w:pPr>
              <w:pStyle w:val="Tablecolhead"/>
              <w:rPr>
                <w:rFonts w:eastAsia="Arial"/>
                <w:b/>
                <w:bCs w:val="0"/>
                <w:color w:val="FFFFFF" w:themeColor="background1"/>
                <w:sz w:val="18"/>
                <w:szCs w:val="18"/>
              </w:rPr>
            </w:pPr>
            <w:r w:rsidRPr="00F82B4E">
              <w:rPr>
                <w:rFonts w:eastAsia="Arial"/>
                <w:b/>
                <w:bCs w:val="0"/>
                <w:color w:val="FFFFFF" w:themeColor="background1"/>
                <w:sz w:val="18"/>
                <w:szCs w:val="18"/>
              </w:rPr>
              <w:t>Activity no.</w:t>
            </w:r>
          </w:p>
        </w:tc>
        <w:tc>
          <w:tcPr>
            <w:tcW w:w="2268" w:type="dxa"/>
            <w:hideMark/>
          </w:tcPr>
          <w:p w14:paraId="11B68E02" w14:textId="77777777" w:rsidR="005B5CB9" w:rsidRPr="00F82B4E"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F82B4E">
              <w:rPr>
                <w:rFonts w:eastAsia="Arial"/>
                <w:b/>
                <w:bCs w:val="0"/>
                <w:color w:val="FFFFFF" w:themeColor="background1"/>
                <w:sz w:val="18"/>
                <w:szCs w:val="18"/>
              </w:rPr>
              <w:t>Activity name</w:t>
            </w:r>
          </w:p>
        </w:tc>
        <w:tc>
          <w:tcPr>
            <w:tcW w:w="5670" w:type="dxa"/>
            <w:hideMark/>
          </w:tcPr>
          <w:p w14:paraId="2372A7E3" w14:textId="77777777" w:rsidR="005B5CB9" w:rsidRPr="00F82B4E"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F82B4E">
              <w:rPr>
                <w:rFonts w:eastAsia="Arial"/>
                <w:b/>
                <w:bCs w:val="0"/>
                <w:color w:val="FFFFFF" w:themeColor="background1"/>
                <w:sz w:val="18"/>
                <w:szCs w:val="18"/>
              </w:rPr>
              <w:t>Activity description</w:t>
            </w:r>
          </w:p>
        </w:tc>
      </w:tr>
      <w:tr w:rsidR="005B5CB9" w:rsidRPr="00F82B4E" w14:paraId="6016063F" w14:textId="77777777" w:rsidTr="00F82B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hideMark/>
          </w:tcPr>
          <w:p w14:paraId="01667DE7" w14:textId="77777777" w:rsidR="005B5CB9" w:rsidRPr="00F82B4E" w:rsidRDefault="005B5CB9">
            <w:pPr>
              <w:pStyle w:val="Tabletext"/>
              <w:rPr>
                <w:b w:val="0"/>
                <w:bCs w:val="0"/>
                <w:szCs w:val="18"/>
              </w:rPr>
            </w:pPr>
            <w:r w:rsidRPr="00F82B4E">
              <w:rPr>
                <w:szCs w:val="18"/>
              </w:rPr>
              <w:t>13005</w:t>
            </w:r>
          </w:p>
        </w:tc>
        <w:tc>
          <w:tcPr>
            <w:tcW w:w="2268" w:type="dxa"/>
            <w:hideMark/>
          </w:tcPr>
          <w:p w14:paraId="53F8BA78" w14:textId="77777777" w:rsidR="005B5CB9" w:rsidRPr="00F82B4E"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 xml:space="preserve">ACA </w:t>
            </w:r>
          </w:p>
        </w:tc>
        <w:tc>
          <w:tcPr>
            <w:tcW w:w="5670" w:type="dxa"/>
            <w:hideMark/>
          </w:tcPr>
          <w:p w14:paraId="081671BD" w14:textId="306240DE" w:rsidR="005B5CB9" w:rsidRPr="00F82B4E"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F82B4E">
              <w:rPr>
                <w:szCs w:val="18"/>
              </w:rPr>
              <w:t>To conduct Aged Care Needs Assessments (home support, comprehensive and hospital assessments)</w:t>
            </w:r>
            <w:r w:rsidR="0044444B">
              <w:rPr>
                <w:szCs w:val="18"/>
              </w:rPr>
              <w:t xml:space="preserve"> </w:t>
            </w:r>
            <w:r w:rsidRPr="00F82B4E">
              <w:rPr>
                <w:szCs w:val="18"/>
              </w:rPr>
              <w:t>to assess the care needs of older people in Victoria. Assessment services are conducted to determine supports for those who wish to remain living in their home and community. This includes determining eligibility for services under the Aged Care Act, including residential aged care, residential respite care, Transition Care Program, the Commonwealth Home Support Program and Home Care Program packages</w:t>
            </w:r>
          </w:p>
        </w:tc>
      </w:tr>
    </w:tbl>
    <w:p w14:paraId="47FA8DA1" w14:textId="77777777" w:rsidR="005B5CB9" w:rsidRDefault="005B5CB9" w:rsidP="005B5CB9">
      <w:pPr>
        <w:pStyle w:val="Tablecaption"/>
      </w:pPr>
      <w:r>
        <w:t xml:space="preserve">Table </w:t>
      </w:r>
      <w:r w:rsidRPr="5B850891">
        <w:fldChar w:fldCharType="begin"/>
      </w:r>
      <w:r>
        <w:instrText xml:space="preserve"> SEQ Table \* ARABIC </w:instrText>
      </w:r>
      <w:r w:rsidRPr="5B850891">
        <w:fldChar w:fldCharType="separate"/>
      </w:r>
      <w:r>
        <w:rPr>
          <w:noProof/>
        </w:rPr>
        <w:t>23</w:t>
      </w:r>
      <w:r w:rsidRPr="5B850891">
        <w:rPr>
          <w:noProof/>
        </w:rPr>
        <w:fldChar w:fldCharType="end"/>
      </w:r>
      <w:r>
        <w:t>. Outputs and activities for community health care</w:t>
      </w:r>
    </w:p>
    <w:tbl>
      <w:tblPr>
        <w:tblStyle w:val="GridTable4-Accent1"/>
        <w:tblW w:w="9209" w:type="dxa"/>
        <w:tblLook w:val="04A0" w:firstRow="1" w:lastRow="0" w:firstColumn="1" w:lastColumn="0" w:noHBand="0" w:noVBand="1"/>
      </w:tblPr>
      <w:tblGrid>
        <w:gridCol w:w="1271"/>
        <w:gridCol w:w="2268"/>
        <w:gridCol w:w="5670"/>
      </w:tblGrid>
      <w:tr w:rsidR="005B5CB9" w:rsidRPr="001B5617" w14:paraId="47EE6C80" w14:textId="77777777" w:rsidTr="001B561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1" w:type="dxa"/>
          </w:tcPr>
          <w:p w14:paraId="72184528" w14:textId="77777777" w:rsidR="005B5CB9" w:rsidRPr="001B5617" w:rsidRDefault="005B5CB9" w:rsidP="00790CF5">
            <w:pPr>
              <w:pStyle w:val="Tablecolhead"/>
              <w:rPr>
                <w:rFonts w:eastAsia="Arial"/>
                <w:b/>
                <w:bCs w:val="0"/>
                <w:color w:val="FFFFFF" w:themeColor="background1"/>
                <w:sz w:val="18"/>
                <w:szCs w:val="18"/>
              </w:rPr>
            </w:pPr>
            <w:r w:rsidRPr="001B5617">
              <w:rPr>
                <w:rFonts w:eastAsia="Arial"/>
                <w:b/>
                <w:bCs w:val="0"/>
                <w:color w:val="FFFFFF" w:themeColor="background1"/>
                <w:sz w:val="18"/>
                <w:szCs w:val="18"/>
              </w:rPr>
              <w:t>Activity no.</w:t>
            </w:r>
          </w:p>
        </w:tc>
        <w:tc>
          <w:tcPr>
            <w:tcW w:w="2268" w:type="dxa"/>
          </w:tcPr>
          <w:p w14:paraId="28221069" w14:textId="77777777" w:rsidR="005B5CB9" w:rsidRPr="001B5617" w:rsidRDefault="005B5CB9" w:rsidP="00790CF5">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1B5617">
              <w:rPr>
                <w:rFonts w:eastAsia="Arial"/>
                <w:b/>
                <w:bCs w:val="0"/>
                <w:color w:val="FFFFFF" w:themeColor="background1"/>
                <w:sz w:val="18"/>
                <w:szCs w:val="18"/>
              </w:rPr>
              <w:t>Activity name</w:t>
            </w:r>
          </w:p>
        </w:tc>
        <w:tc>
          <w:tcPr>
            <w:tcW w:w="5670" w:type="dxa"/>
          </w:tcPr>
          <w:p w14:paraId="3DDC4FCE" w14:textId="77777777" w:rsidR="005B5CB9" w:rsidRPr="001B5617" w:rsidRDefault="005B5CB9" w:rsidP="00790CF5">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1B5617">
              <w:rPr>
                <w:rFonts w:eastAsia="Arial"/>
                <w:b/>
                <w:bCs w:val="0"/>
                <w:color w:val="FFFFFF" w:themeColor="background1"/>
                <w:sz w:val="18"/>
                <w:szCs w:val="18"/>
              </w:rPr>
              <w:t>Activity description</w:t>
            </w:r>
          </w:p>
        </w:tc>
      </w:tr>
      <w:tr w:rsidR="005B5CB9" w:rsidRPr="001B5617" w14:paraId="145612FF"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0C53C19" w14:textId="77777777" w:rsidR="005B5CB9" w:rsidRPr="001B5617" w:rsidRDefault="005B5CB9" w:rsidP="00790CF5">
            <w:pPr>
              <w:pStyle w:val="Tabletext"/>
              <w:rPr>
                <w:b w:val="0"/>
                <w:bCs w:val="0"/>
                <w:szCs w:val="18"/>
              </w:rPr>
            </w:pPr>
            <w:r w:rsidRPr="001B5617">
              <w:rPr>
                <w:szCs w:val="18"/>
              </w:rPr>
              <w:t>28066</w:t>
            </w:r>
          </w:p>
        </w:tc>
        <w:tc>
          <w:tcPr>
            <w:tcW w:w="2268" w:type="dxa"/>
          </w:tcPr>
          <w:p w14:paraId="499F5D81"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Innovative health services for homeless youth</w:t>
            </w:r>
          </w:p>
        </w:tc>
        <w:tc>
          <w:tcPr>
            <w:tcW w:w="5670" w:type="dxa"/>
          </w:tcPr>
          <w:p w14:paraId="01D2F037"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To promote health care and improve access to services for young people who are homeless or at risk of homelessness</w:t>
            </w:r>
          </w:p>
        </w:tc>
      </w:tr>
      <w:tr w:rsidR="005B5CB9" w:rsidRPr="001B5617" w14:paraId="026A5071"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5239023" w14:textId="77777777" w:rsidR="005B5CB9" w:rsidRPr="001B5617" w:rsidRDefault="005B5CB9" w:rsidP="00790CF5">
            <w:pPr>
              <w:pStyle w:val="Tabletext"/>
              <w:rPr>
                <w:b w:val="0"/>
                <w:bCs w:val="0"/>
                <w:szCs w:val="18"/>
              </w:rPr>
            </w:pPr>
            <w:r w:rsidRPr="001B5617">
              <w:rPr>
                <w:szCs w:val="18"/>
              </w:rPr>
              <w:t>28068</w:t>
            </w:r>
          </w:p>
        </w:tc>
        <w:tc>
          <w:tcPr>
            <w:tcW w:w="2268" w:type="dxa"/>
          </w:tcPr>
          <w:p w14:paraId="005D74D9"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 xml:space="preserve">Family planning </w:t>
            </w:r>
          </w:p>
        </w:tc>
        <w:tc>
          <w:tcPr>
            <w:tcW w:w="5670" w:type="dxa"/>
          </w:tcPr>
          <w:p w14:paraId="1C584C0D"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Provision of therapeutic intervention, clinical care, practical assistance, support, referral and/or advocacy that is responsive and culturally relevant</w:t>
            </w:r>
          </w:p>
        </w:tc>
      </w:tr>
      <w:tr w:rsidR="005B5CB9" w:rsidRPr="001B5617" w14:paraId="69A556BF"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39CA603" w14:textId="77777777" w:rsidR="005B5CB9" w:rsidRPr="001B5617" w:rsidRDefault="005B5CB9" w:rsidP="00790CF5">
            <w:pPr>
              <w:pStyle w:val="Tabletext"/>
              <w:rPr>
                <w:b w:val="0"/>
                <w:bCs w:val="0"/>
                <w:szCs w:val="18"/>
              </w:rPr>
            </w:pPr>
            <w:r w:rsidRPr="001B5617">
              <w:rPr>
                <w:szCs w:val="18"/>
              </w:rPr>
              <w:t>28069</w:t>
            </w:r>
          </w:p>
        </w:tc>
        <w:tc>
          <w:tcPr>
            <w:tcW w:w="2268" w:type="dxa"/>
          </w:tcPr>
          <w:p w14:paraId="6B99AC50"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Service system development</w:t>
            </w:r>
          </w:p>
        </w:tc>
        <w:tc>
          <w:tcPr>
            <w:tcW w:w="5670" w:type="dxa"/>
          </w:tcPr>
          <w:p w14:paraId="01746723"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 xml:space="preserve">Funding to improve the planning, coordination and delivery of primary care services that is not specific to a direct care activity (for </w:t>
            </w:r>
            <w:r w:rsidRPr="001B5617">
              <w:rPr>
                <w:szCs w:val="18"/>
              </w:rPr>
              <w:lastRenderedPageBreak/>
              <w:t>example, board expenses funding or non-recurrent funding for projects)</w:t>
            </w:r>
          </w:p>
        </w:tc>
      </w:tr>
      <w:tr w:rsidR="005B5CB9" w:rsidRPr="001B5617" w14:paraId="6D810A3D"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6FDBD9A" w14:textId="77777777" w:rsidR="005B5CB9" w:rsidRPr="001B5617" w:rsidRDefault="005B5CB9" w:rsidP="00790CF5">
            <w:pPr>
              <w:pStyle w:val="Tabletext"/>
              <w:rPr>
                <w:b w:val="0"/>
                <w:bCs w:val="0"/>
                <w:szCs w:val="18"/>
              </w:rPr>
            </w:pPr>
            <w:r w:rsidRPr="001B5617">
              <w:rPr>
                <w:szCs w:val="18"/>
              </w:rPr>
              <w:lastRenderedPageBreak/>
              <w:t>28072</w:t>
            </w:r>
          </w:p>
        </w:tc>
        <w:tc>
          <w:tcPr>
            <w:tcW w:w="2268" w:type="dxa"/>
          </w:tcPr>
          <w:p w14:paraId="4F5F5E36"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Integrated chronic disease management</w:t>
            </w:r>
          </w:p>
        </w:tc>
        <w:tc>
          <w:tcPr>
            <w:tcW w:w="5670" w:type="dxa"/>
          </w:tcPr>
          <w:p w14:paraId="18AE3056"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Provides funds to community health services for integrated chronic disease management encompassing direct care and change management</w:t>
            </w:r>
          </w:p>
        </w:tc>
      </w:tr>
      <w:tr w:rsidR="005B5CB9" w:rsidRPr="001B5617" w14:paraId="092CC727"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A72AC71" w14:textId="77777777" w:rsidR="005B5CB9" w:rsidRPr="001B5617" w:rsidRDefault="005B5CB9" w:rsidP="00790CF5">
            <w:pPr>
              <w:pStyle w:val="Tabletext"/>
              <w:rPr>
                <w:b w:val="0"/>
                <w:bCs w:val="0"/>
                <w:szCs w:val="18"/>
              </w:rPr>
            </w:pPr>
            <w:r w:rsidRPr="001B5617">
              <w:rPr>
                <w:szCs w:val="18"/>
              </w:rPr>
              <w:t>28076</w:t>
            </w:r>
          </w:p>
        </w:tc>
        <w:tc>
          <w:tcPr>
            <w:tcW w:w="2268" w:type="dxa"/>
          </w:tcPr>
          <w:p w14:paraId="6C4E1C47"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Refugee and asylum seeker health services</w:t>
            </w:r>
          </w:p>
        </w:tc>
        <w:tc>
          <w:tcPr>
            <w:tcW w:w="5670" w:type="dxa"/>
          </w:tcPr>
          <w:p w14:paraId="0B9FB699"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Responding to the poor health and complex health issues of arriving refugees in Victoria</w:t>
            </w:r>
          </w:p>
        </w:tc>
      </w:tr>
      <w:tr w:rsidR="005B5CB9" w:rsidRPr="001B5617" w14:paraId="3BF62ECC"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5E0E628" w14:textId="77777777" w:rsidR="005B5CB9" w:rsidRPr="001B5617" w:rsidRDefault="005B5CB9" w:rsidP="00790CF5">
            <w:pPr>
              <w:pStyle w:val="Tabletext"/>
              <w:rPr>
                <w:b w:val="0"/>
                <w:bCs w:val="0"/>
                <w:szCs w:val="18"/>
              </w:rPr>
            </w:pPr>
            <w:r w:rsidRPr="001B5617">
              <w:rPr>
                <w:szCs w:val="18"/>
              </w:rPr>
              <w:t>28080</w:t>
            </w:r>
          </w:p>
        </w:tc>
        <w:tc>
          <w:tcPr>
            <w:tcW w:w="2268" w:type="dxa"/>
          </w:tcPr>
          <w:p w14:paraId="6FEA4ED7"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Healthy Mothers Healthy Babies</w:t>
            </w:r>
          </w:p>
        </w:tc>
        <w:tc>
          <w:tcPr>
            <w:tcW w:w="5670" w:type="dxa"/>
          </w:tcPr>
          <w:p w14:paraId="0ADF84CC"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To improve the health and wellbeing of mothers and babies and reduce health inequity by addressing maternal risk behaviours and providing support during pregnancy</w:t>
            </w:r>
          </w:p>
        </w:tc>
      </w:tr>
      <w:tr w:rsidR="005B5CB9" w:rsidRPr="001B5617" w14:paraId="78CE66E4"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6E6E13C9" w14:textId="77777777" w:rsidR="005B5CB9" w:rsidRPr="001B5617" w:rsidRDefault="005B5CB9" w:rsidP="00790CF5">
            <w:pPr>
              <w:pStyle w:val="Tabletext"/>
              <w:rPr>
                <w:b w:val="0"/>
                <w:bCs w:val="0"/>
                <w:szCs w:val="18"/>
              </w:rPr>
            </w:pPr>
            <w:r w:rsidRPr="001B5617">
              <w:rPr>
                <w:szCs w:val="18"/>
              </w:rPr>
              <w:t>28081</w:t>
            </w:r>
          </w:p>
        </w:tc>
        <w:tc>
          <w:tcPr>
            <w:tcW w:w="2268" w:type="dxa"/>
          </w:tcPr>
          <w:p w14:paraId="0FF9F165"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 xml:space="preserve">National Diabetes Services Scheme </w:t>
            </w:r>
          </w:p>
        </w:tc>
        <w:tc>
          <w:tcPr>
            <w:tcW w:w="5670" w:type="dxa"/>
          </w:tcPr>
          <w:p w14:paraId="02AE6E69"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To enhance the capacity of people with diabetes to understand and self-manage their condition and distribute of packs of needles and syringes</w:t>
            </w:r>
          </w:p>
        </w:tc>
      </w:tr>
      <w:tr w:rsidR="005B5CB9" w:rsidRPr="001B5617" w14:paraId="66378836"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14E343D" w14:textId="77777777" w:rsidR="005B5CB9" w:rsidRPr="001B5617" w:rsidRDefault="005B5CB9" w:rsidP="00790CF5">
            <w:pPr>
              <w:pStyle w:val="Tabletext"/>
              <w:rPr>
                <w:b w:val="0"/>
                <w:bCs w:val="0"/>
                <w:szCs w:val="18"/>
              </w:rPr>
            </w:pPr>
            <w:r w:rsidRPr="001B5617">
              <w:rPr>
                <w:szCs w:val="18"/>
              </w:rPr>
              <w:t>28048</w:t>
            </w:r>
          </w:p>
        </w:tc>
        <w:tc>
          <w:tcPr>
            <w:tcW w:w="2268" w:type="dxa"/>
          </w:tcPr>
          <w:p w14:paraId="5036D8DB"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Language services</w:t>
            </w:r>
          </w:p>
        </w:tc>
        <w:tc>
          <w:tcPr>
            <w:tcW w:w="5670" w:type="dxa"/>
          </w:tcPr>
          <w:p w14:paraId="632A3B73"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Provision of accredited interpreting and translation services by specialist agencies</w:t>
            </w:r>
          </w:p>
        </w:tc>
      </w:tr>
      <w:tr w:rsidR="005B5CB9" w:rsidRPr="001B5617" w14:paraId="5AEE6745"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7B716CDC" w14:textId="77777777" w:rsidR="005B5CB9" w:rsidRPr="001B5617" w:rsidRDefault="005B5CB9" w:rsidP="00790CF5">
            <w:pPr>
              <w:pStyle w:val="Tabletext"/>
              <w:rPr>
                <w:b w:val="0"/>
                <w:bCs w:val="0"/>
                <w:szCs w:val="18"/>
              </w:rPr>
            </w:pPr>
            <w:r w:rsidRPr="001B5617">
              <w:rPr>
                <w:szCs w:val="18"/>
              </w:rPr>
              <w:t>28086</w:t>
            </w:r>
          </w:p>
        </w:tc>
        <w:tc>
          <w:tcPr>
            <w:tcW w:w="2268" w:type="dxa"/>
          </w:tcPr>
          <w:p w14:paraId="496A2DAE"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Community health</w:t>
            </w:r>
          </w:p>
        </w:tc>
        <w:tc>
          <w:tcPr>
            <w:tcW w:w="5670" w:type="dxa"/>
          </w:tcPr>
          <w:p w14:paraId="09674C7F"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The program funds general counselling, allied health and nursing services</w:t>
            </w:r>
          </w:p>
        </w:tc>
      </w:tr>
      <w:tr w:rsidR="005B5CB9" w:rsidRPr="001B5617" w14:paraId="2599D4FF"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6FCB8AF" w14:textId="77777777" w:rsidR="005B5CB9" w:rsidRPr="001B5617" w:rsidRDefault="005B5CB9" w:rsidP="00790CF5">
            <w:pPr>
              <w:pStyle w:val="Tabletext"/>
              <w:rPr>
                <w:b w:val="0"/>
                <w:bCs w:val="0"/>
                <w:szCs w:val="18"/>
              </w:rPr>
            </w:pPr>
            <w:r w:rsidRPr="001B5617">
              <w:rPr>
                <w:szCs w:val="18"/>
              </w:rPr>
              <w:t>28090</w:t>
            </w:r>
          </w:p>
        </w:tc>
        <w:tc>
          <w:tcPr>
            <w:tcW w:w="2268" w:type="dxa"/>
          </w:tcPr>
          <w:p w14:paraId="2845B34B"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MDC community health nurse</w:t>
            </w:r>
          </w:p>
        </w:tc>
        <w:tc>
          <w:tcPr>
            <w:tcW w:w="5670" w:type="dxa"/>
          </w:tcPr>
          <w:p w14:paraId="14FC140C"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Community health nurses work with clients to identity and determine health and care needs, and provide support to navigate and access services and programs to meet each person’s needs</w:t>
            </w:r>
          </w:p>
        </w:tc>
      </w:tr>
      <w:tr w:rsidR="005B5CB9" w:rsidRPr="001B5617" w14:paraId="1448F1E9"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98CFCCD" w14:textId="77777777" w:rsidR="005B5CB9" w:rsidRPr="001B5617" w:rsidRDefault="005B5CB9" w:rsidP="00790CF5">
            <w:pPr>
              <w:pStyle w:val="Tabletext"/>
              <w:rPr>
                <w:b w:val="0"/>
                <w:bCs w:val="0"/>
                <w:szCs w:val="18"/>
              </w:rPr>
            </w:pPr>
            <w:r w:rsidRPr="001B5617">
              <w:rPr>
                <w:szCs w:val="18"/>
              </w:rPr>
              <w:t>28091</w:t>
            </w:r>
          </w:p>
        </w:tc>
        <w:tc>
          <w:tcPr>
            <w:tcW w:w="2268" w:type="dxa"/>
          </w:tcPr>
          <w:p w14:paraId="50CB06DC"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Community Asthma Program</w:t>
            </w:r>
          </w:p>
        </w:tc>
        <w:tc>
          <w:tcPr>
            <w:tcW w:w="5670" w:type="dxa"/>
          </w:tcPr>
          <w:p w14:paraId="17D2FD37"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The Community Asthma Program supports avoidable hospital admissions through the delivery of community-based services, with a focus on asthma self-management and improved cohesion of services for children and young people presenting with asthma symptoms</w:t>
            </w:r>
          </w:p>
        </w:tc>
      </w:tr>
      <w:tr w:rsidR="005B5CB9" w:rsidRPr="001B5617" w14:paraId="1B7B0DB7"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D7543B2" w14:textId="77777777" w:rsidR="005B5CB9" w:rsidRPr="001B5617" w:rsidRDefault="005B5CB9" w:rsidP="00790CF5">
            <w:pPr>
              <w:pStyle w:val="Tabletext"/>
              <w:rPr>
                <w:b w:val="0"/>
                <w:bCs w:val="0"/>
                <w:szCs w:val="18"/>
              </w:rPr>
            </w:pPr>
            <w:r w:rsidRPr="001B5617">
              <w:rPr>
                <w:szCs w:val="18"/>
              </w:rPr>
              <w:t>28092</w:t>
            </w:r>
          </w:p>
        </w:tc>
        <w:tc>
          <w:tcPr>
            <w:tcW w:w="2268" w:type="dxa"/>
          </w:tcPr>
          <w:p w14:paraId="26B2EB84"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Infant Child and Family Health and Wellbeing Hubs – Community health</w:t>
            </w:r>
          </w:p>
        </w:tc>
        <w:tc>
          <w:tcPr>
            <w:tcW w:w="5670" w:type="dxa"/>
          </w:tcPr>
          <w:p w14:paraId="3901F75A"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 xml:space="preserve">Provision of integrated and community-based multidisciplinary health services and supports for children experiencing developmental, emotional, relational and behavioural challenges and their families. Hub services delivered in community health will include the establishment of the service and delivery of specialist medical appointments, allied health service hours, intake, care coordination and in-reach </w:t>
            </w:r>
            <w:proofErr w:type="gramStart"/>
            <w:r w:rsidRPr="001B5617">
              <w:rPr>
                <w:szCs w:val="18"/>
              </w:rPr>
              <w:t>supports</w:t>
            </w:r>
            <w:proofErr w:type="gramEnd"/>
          </w:p>
        </w:tc>
      </w:tr>
      <w:tr w:rsidR="005B5CB9" w:rsidRPr="001B5617" w14:paraId="0F70D6BB"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5AC9ED09" w14:textId="77777777" w:rsidR="005B5CB9" w:rsidRPr="001B5617" w:rsidRDefault="005B5CB9" w:rsidP="00790CF5">
            <w:pPr>
              <w:pStyle w:val="Tabletext"/>
              <w:rPr>
                <w:b w:val="0"/>
                <w:bCs w:val="0"/>
                <w:szCs w:val="18"/>
              </w:rPr>
            </w:pPr>
            <w:r w:rsidRPr="001B5617">
              <w:rPr>
                <w:szCs w:val="18"/>
              </w:rPr>
              <w:t>28095</w:t>
            </w:r>
          </w:p>
        </w:tc>
        <w:tc>
          <w:tcPr>
            <w:tcW w:w="2268" w:type="dxa"/>
          </w:tcPr>
          <w:p w14:paraId="0F975E05"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Putting Families First – Community health</w:t>
            </w:r>
          </w:p>
        </w:tc>
        <w:tc>
          <w:tcPr>
            <w:tcW w:w="5670" w:type="dxa"/>
          </w:tcPr>
          <w:p w14:paraId="3CFEA0EF" w14:textId="77777777" w:rsidR="005B5CB9" w:rsidRPr="001B5617" w:rsidRDefault="005B5CB9" w:rsidP="00790CF5">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To work as part of an interdisciplinary team to enhance family health, wellbeing and inclusion by improving identification of family health needs and access and engagement with relevant health services</w:t>
            </w:r>
          </w:p>
        </w:tc>
      </w:tr>
      <w:tr w:rsidR="005B5CB9" w:rsidRPr="001B5617" w14:paraId="62615BA2"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76EA789B" w14:textId="77777777" w:rsidR="005B5CB9" w:rsidRPr="001B5617" w:rsidRDefault="005B5CB9" w:rsidP="00790CF5">
            <w:pPr>
              <w:pStyle w:val="Tabletext"/>
              <w:rPr>
                <w:b w:val="0"/>
                <w:bCs w:val="0"/>
                <w:szCs w:val="18"/>
              </w:rPr>
            </w:pPr>
            <w:r w:rsidRPr="001B5617">
              <w:rPr>
                <w:szCs w:val="18"/>
              </w:rPr>
              <w:t>35048</w:t>
            </w:r>
          </w:p>
        </w:tc>
        <w:tc>
          <w:tcPr>
            <w:tcW w:w="2268" w:type="dxa"/>
          </w:tcPr>
          <w:p w14:paraId="1C21C6C0"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 xml:space="preserve">Small rural – Primary health </w:t>
            </w:r>
          </w:p>
        </w:tc>
        <w:tc>
          <w:tcPr>
            <w:tcW w:w="5670" w:type="dxa"/>
          </w:tcPr>
          <w:p w14:paraId="56D271B7" w14:textId="77777777" w:rsidR="005B5CB9" w:rsidRPr="001B5617" w:rsidRDefault="005B5CB9" w:rsidP="00790CF5">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Provision of general counselling, allied health, nursing and health promotion services. Note this funding can be used flexibly to provide other service types under the small rural health services funding model</w:t>
            </w:r>
          </w:p>
        </w:tc>
      </w:tr>
    </w:tbl>
    <w:p w14:paraId="4C05541B" w14:textId="77777777" w:rsidR="005B5CB9" w:rsidRDefault="005B5CB9" w:rsidP="005B5CB9">
      <w:pPr>
        <w:pStyle w:val="Tablecaption"/>
      </w:pPr>
      <w:r>
        <w:t xml:space="preserve">Table </w:t>
      </w:r>
      <w:r w:rsidRPr="5B850891">
        <w:fldChar w:fldCharType="begin"/>
      </w:r>
      <w:r>
        <w:instrText xml:space="preserve"> SEQ Table \* ARABIC </w:instrText>
      </w:r>
      <w:r w:rsidRPr="5B850891">
        <w:fldChar w:fldCharType="separate"/>
      </w:r>
      <w:r>
        <w:rPr>
          <w:noProof/>
        </w:rPr>
        <w:t>24</w:t>
      </w:r>
      <w:r w:rsidRPr="5B850891">
        <w:rPr>
          <w:noProof/>
        </w:rPr>
        <w:fldChar w:fldCharType="end"/>
      </w:r>
      <w:r>
        <w:t>. Outputs and activities for HACC PYP</w:t>
      </w:r>
    </w:p>
    <w:tbl>
      <w:tblPr>
        <w:tblStyle w:val="GridTable4-Accent1"/>
        <w:tblW w:w="9209" w:type="dxa"/>
        <w:tblLook w:val="04A0" w:firstRow="1" w:lastRow="0" w:firstColumn="1" w:lastColumn="0" w:noHBand="0" w:noVBand="1"/>
      </w:tblPr>
      <w:tblGrid>
        <w:gridCol w:w="1271"/>
        <w:gridCol w:w="2268"/>
        <w:gridCol w:w="5670"/>
      </w:tblGrid>
      <w:tr w:rsidR="005B5CB9" w:rsidRPr="001B5617" w14:paraId="42B95289" w14:textId="77777777" w:rsidTr="001B561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1" w:type="dxa"/>
            <w:hideMark/>
          </w:tcPr>
          <w:p w14:paraId="03786C20" w14:textId="77777777" w:rsidR="005B5CB9" w:rsidRPr="001B5617" w:rsidRDefault="005B5CB9">
            <w:pPr>
              <w:pStyle w:val="Tablecolhead"/>
              <w:rPr>
                <w:rFonts w:eastAsia="Arial" w:cs="Arial"/>
                <w:b/>
                <w:bCs w:val="0"/>
                <w:color w:val="FFFFFF" w:themeColor="background1"/>
                <w:sz w:val="18"/>
                <w:szCs w:val="18"/>
              </w:rPr>
            </w:pPr>
            <w:r w:rsidRPr="001B5617">
              <w:rPr>
                <w:rFonts w:eastAsia="Arial" w:cs="Arial"/>
                <w:b/>
                <w:bCs w:val="0"/>
                <w:color w:val="FFFFFF" w:themeColor="background1"/>
                <w:sz w:val="18"/>
                <w:szCs w:val="18"/>
              </w:rPr>
              <w:t>Activity no.</w:t>
            </w:r>
          </w:p>
        </w:tc>
        <w:tc>
          <w:tcPr>
            <w:tcW w:w="2268" w:type="dxa"/>
            <w:hideMark/>
          </w:tcPr>
          <w:p w14:paraId="3DD8B2B6"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cs="Arial"/>
                <w:b/>
                <w:bCs w:val="0"/>
                <w:color w:val="FFFFFF" w:themeColor="background1"/>
                <w:sz w:val="18"/>
                <w:szCs w:val="18"/>
              </w:rPr>
            </w:pPr>
            <w:r w:rsidRPr="001B5617">
              <w:rPr>
                <w:rFonts w:eastAsia="Arial" w:cs="Arial"/>
                <w:b/>
                <w:bCs w:val="0"/>
                <w:color w:val="FFFFFF" w:themeColor="background1"/>
                <w:sz w:val="18"/>
                <w:szCs w:val="18"/>
              </w:rPr>
              <w:t>Activity name</w:t>
            </w:r>
          </w:p>
        </w:tc>
        <w:tc>
          <w:tcPr>
            <w:tcW w:w="5670" w:type="dxa"/>
            <w:hideMark/>
          </w:tcPr>
          <w:p w14:paraId="3D4CB49A"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cs="Arial"/>
                <w:b/>
                <w:bCs w:val="0"/>
                <w:color w:val="FFFFFF" w:themeColor="background1"/>
                <w:sz w:val="18"/>
                <w:szCs w:val="18"/>
              </w:rPr>
            </w:pPr>
            <w:r w:rsidRPr="001B5617">
              <w:rPr>
                <w:rFonts w:eastAsia="Arial" w:cs="Arial"/>
                <w:b/>
                <w:bCs w:val="0"/>
                <w:color w:val="FFFFFF" w:themeColor="background1"/>
                <w:sz w:val="18"/>
                <w:szCs w:val="18"/>
              </w:rPr>
              <w:t>Activity description</w:t>
            </w:r>
          </w:p>
        </w:tc>
      </w:tr>
      <w:tr w:rsidR="005B5CB9" w:rsidRPr="001B5617" w14:paraId="61705C7C" w14:textId="77777777" w:rsidTr="001B561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1" w:type="dxa"/>
            <w:hideMark/>
          </w:tcPr>
          <w:p w14:paraId="5AA01C66" w14:textId="77777777" w:rsidR="005B5CB9" w:rsidRPr="001B5617" w:rsidRDefault="005B5CB9">
            <w:pPr>
              <w:pStyle w:val="Tabletext"/>
              <w:rPr>
                <w:rFonts w:cs="Arial"/>
                <w:b w:val="0"/>
                <w:bCs w:val="0"/>
                <w:szCs w:val="18"/>
              </w:rPr>
            </w:pPr>
            <w:r w:rsidRPr="001B5617">
              <w:rPr>
                <w:rFonts w:cs="Arial"/>
                <w:szCs w:val="18"/>
              </w:rPr>
              <w:t>13015</w:t>
            </w:r>
          </w:p>
        </w:tc>
        <w:tc>
          <w:tcPr>
            <w:tcW w:w="2268" w:type="dxa"/>
            <w:hideMark/>
          </w:tcPr>
          <w:p w14:paraId="4B6E4B99"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 xml:space="preserve">HACC PYP linkages case management </w:t>
            </w:r>
          </w:p>
        </w:tc>
        <w:tc>
          <w:tcPr>
            <w:tcW w:w="5670" w:type="dxa"/>
            <w:hideMark/>
          </w:tcPr>
          <w:p w14:paraId="6156FE8D"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Case management and funds to purchase supports beyond what is typically required through core HACC PYP services, to support HACC PYP clients with complex care needs</w:t>
            </w:r>
          </w:p>
        </w:tc>
      </w:tr>
      <w:tr w:rsidR="005B5CB9" w:rsidRPr="001B5617" w14:paraId="7B1AC5CF" w14:textId="77777777" w:rsidTr="001B5617">
        <w:trPr>
          <w:trHeight w:val="322"/>
        </w:trPr>
        <w:tc>
          <w:tcPr>
            <w:cnfStyle w:val="001000000000" w:firstRow="0" w:lastRow="0" w:firstColumn="1" w:lastColumn="0" w:oddVBand="0" w:evenVBand="0" w:oddHBand="0" w:evenHBand="0" w:firstRowFirstColumn="0" w:firstRowLastColumn="0" w:lastRowFirstColumn="0" w:lastRowLastColumn="0"/>
            <w:tcW w:w="1271" w:type="dxa"/>
            <w:hideMark/>
          </w:tcPr>
          <w:p w14:paraId="2E98E527" w14:textId="77777777" w:rsidR="005B5CB9" w:rsidRPr="001B5617" w:rsidRDefault="005B5CB9">
            <w:pPr>
              <w:pStyle w:val="Tabletext"/>
              <w:rPr>
                <w:rFonts w:cs="Arial"/>
                <w:b w:val="0"/>
                <w:bCs w:val="0"/>
                <w:szCs w:val="18"/>
              </w:rPr>
            </w:pPr>
            <w:r w:rsidRPr="001B5617">
              <w:rPr>
                <w:rFonts w:cs="Arial"/>
                <w:szCs w:val="18"/>
              </w:rPr>
              <w:t>13024</w:t>
            </w:r>
          </w:p>
        </w:tc>
        <w:tc>
          <w:tcPr>
            <w:tcW w:w="2268" w:type="dxa"/>
            <w:hideMark/>
          </w:tcPr>
          <w:p w14:paraId="3A9BD66B"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 xml:space="preserve">HACC PYP assessment and care management </w:t>
            </w:r>
          </w:p>
        </w:tc>
        <w:tc>
          <w:tcPr>
            <w:tcW w:w="5670" w:type="dxa"/>
            <w:hideMark/>
          </w:tcPr>
          <w:p w14:paraId="077DAB21"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Assessment of a person’s goals and needs for living independently and safely in the home and community, support with care planning and care coordination to access services to support independent living</w:t>
            </w:r>
          </w:p>
        </w:tc>
      </w:tr>
      <w:tr w:rsidR="005B5CB9" w:rsidRPr="001B5617" w14:paraId="4FE9B97E" w14:textId="77777777" w:rsidTr="001B561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1" w:type="dxa"/>
            <w:hideMark/>
          </w:tcPr>
          <w:p w14:paraId="4D239893" w14:textId="77777777" w:rsidR="005B5CB9" w:rsidRPr="001B5617" w:rsidRDefault="005B5CB9">
            <w:pPr>
              <w:pStyle w:val="Tabletext"/>
              <w:rPr>
                <w:rFonts w:cs="Arial"/>
                <w:b w:val="0"/>
                <w:bCs w:val="0"/>
                <w:szCs w:val="18"/>
              </w:rPr>
            </w:pPr>
            <w:r w:rsidRPr="001B5617">
              <w:rPr>
                <w:rFonts w:cs="Arial"/>
                <w:szCs w:val="18"/>
              </w:rPr>
              <w:t>13026</w:t>
            </w:r>
          </w:p>
        </w:tc>
        <w:tc>
          <w:tcPr>
            <w:tcW w:w="2268" w:type="dxa"/>
            <w:hideMark/>
          </w:tcPr>
          <w:p w14:paraId="69A11B56"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HACC PYP community care</w:t>
            </w:r>
          </w:p>
        </w:tc>
        <w:tc>
          <w:tcPr>
            <w:tcW w:w="5670" w:type="dxa"/>
            <w:hideMark/>
          </w:tcPr>
          <w:p w14:paraId="64A2AD92"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Personal and in-home supports to people birth to 65 years of age who have difficulty with the activities of daily living</w:t>
            </w:r>
          </w:p>
        </w:tc>
      </w:tr>
      <w:tr w:rsidR="005B5CB9" w:rsidRPr="001B5617" w14:paraId="5C8BE3C6"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47DEF7D" w14:textId="77777777" w:rsidR="005B5CB9" w:rsidRPr="001B5617" w:rsidRDefault="005B5CB9">
            <w:pPr>
              <w:pStyle w:val="Tabletext"/>
              <w:rPr>
                <w:rFonts w:cs="Arial"/>
                <w:b w:val="0"/>
                <w:bCs w:val="0"/>
                <w:szCs w:val="18"/>
              </w:rPr>
            </w:pPr>
            <w:r w:rsidRPr="001B5617">
              <w:rPr>
                <w:rFonts w:cs="Arial"/>
                <w:szCs w:val="18"/>
              </w:rPr>
              <w:lastRenderedPageBreak/>
              <w:t>13038</w:t>
            </w:r>
          </w:p>
        </w:tc>
        <w:tc>
          <w:tcPr>
            <w:tcW w:w="2268" w:type="dxa"/>
            <w:shd w:val="clear" w:color="auto" w:fill="FFFFFF" w:themeFill="background1"/>
            <w:hideMark/>
          </w:tcPr>
          <w:p w14:paraId="7E596AA5"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HACC PYP service system resourcing</w:t>
            </w:r>
          </w:p>
        </w:tc>
        <w:tc>
          <w:tcPr>
            <w:tcW w:w="5670" w:type="dxa"/>
            <w:shd w:val="clear" w:color="auto" w:fill="FFFFFF" w:themeFill="background1"/>
            <w:hideMark/>
          </w:tcPr>
          <w:p w14:paraId="475D2CC9"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Resources to assist the sector to better meet the needs of younger people in the HACC PYP target group and assist clients to gain better access to services. This also includes the Social and Community Service Award</w:t>
            </w:r>
          </w:p>
        </w:tc>
      </w:tr>
      <w:tr w:rsidR="005B5CB9" w:rsidRPr="001B5617" w14:paraId="405ECA0C" w14:textId="77777777" w:rsidTr="001B561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1" w:type="dxa"/>
            <w:hideMark/>
          </w:tcPr>
          <w:p w14:paraId="7DAE0B14" w14:textId="77777777" w:rsidR="005B5CB9" w:rsidRPr="001B5617" w:rsidRDefault="005B5CB9">
            <w:pPr>
              <w:pStyle w:val="Tabletext"/>
              <w:rPr>
                <w:rFonts w:cs="Arial"/>
                <w:b w:val="0"/>
                <w:bCs w:val="0"/>
                <w:szCs w:val="18"/>
              </w:rPr>
            </w:pPr>
            <w:r w:rsidRPr="001B5617">
              <w:rPr>
                <w:rFonts w:cs="Arial"/>
                <w:szCs w:val="18"/>
              </w:rPr>
              <w:t>13043</w:t>
            </w:r>
          </w:p>
        </w:tc>
        <w:tc>
          <w:tcPr>
            <w:tcW w:w="2268" w:type="dxa"/>
            <w:hideMark/>
          </w:tcPr>
          <w:p w14:paraId="18EBEA8A"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HACC PYP flexible service response</w:t>
            </w:r>
          </w:p>
        </w:tc>
        <w:tc>
          <w:tcPr>
            <w:tcW w:w="5670" w:type="dxa"/>
            <w:hideMark/>
          </w:tcPr>
          <w:p w14:paraId="2D9175BE"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Funding to support innovative and/or developmental approaches to HACC PYP and/or service delivery that cannot be funded under the unit pricing structure</w:t>
            </w:r>
          </w:p>
        </w:tc>
      </w:tr>
      <w:tr w:rsidR="005B5CB9" w:rsidRPr="001B5617" w14:paraId="12CEFBCA"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F7A07E7" w14:textId="77777777" w:rsidR="005B5CB9" w:rsidRPr="001B5617" w:rsidRDefault="005B5CB9">
            <w:pPr>
              <w:pStyle w:val="Tabletext"/>
              <w:rPr>
                <w:rFonts w:cs="Arial"/>
                <w:b w:val="0"/>
                <w:bCs w:val="0"/>
                <w:szCs w:val="18"/>
              </w:rPr>
            </w:pPr>
            <w:r w:rsidRPr="001B5617">
              <w:rPr>
                <w:rFonts w:cs="Arial"/>
                <w:szCs w:val="18"/>
              </w:rPr>
              <w:t>13056</w:t>
            </w:r>
          </w:p>
        </w:tc>
        <w:tc>
          <w:tcPr>
            <w:tcW w:w="2268" w:type="dxa"/>
            <w:shd w:val="clear" w:color="auto" w:fill="FFFFFF" w:themeFill="background1"/>
            <w:hideMark/>
          </w:tcPr>
          <w:p w14:paraId="578DDEB7"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HACC PYP planned activity group</w:t>
            </w:r>
          </w:p>
        </w:tc>
        <w:tc>
          <w:tcPr>
            <w:tcW w:w="5670" w:type="dxa"/>
            <w:shd w:val="clear" w:color="auto" w:fill="FFFFFF" w:themeFill="background1"/>
            <w:hideMark/>
          </w:tcPr>
          <w:p w14:paraId="78A5FC5A"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Planned program of group activity to maintain a younger person’s capacity to perform the activities of daily living and social skills. Planned activity groups can be offered in a centre or in the community</w:t>
            </w:r>
          </w:p>
        </w:tc>
      </w:tr>
      <w:tr w:rsidR="005B5CB9" w:rsidRPr="001B5617" w14:paraId="5FBBE2E5"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hideMark/>
          </w:tcPr>
          <w:p w14:paraId="299E27DC" w14:textId="77777777" w:rsidR="005B5CB9" w:rsidRPr="001B5617" w:rsidRDefault="005B5CB9">
            <w:pPr>
              <w:pStyle w:val="Tabletext"/>
              <w:rPr>
                <w:rFonts w:cs="Arial"/>
                <w:b w:val="0"/>
                <w:bCs w:val="0"/>
                <w:szCs w:val="18"/>
              </w:rPr>
            </w:pPr>
            <w:r w:rsidRPr="001B5617">
              <w:rPr>
                <w:rFonts w:cs="Arial"/>
                <w:szCs w:val="18"/>
              </w:rPr>
              <w:t>13063</w:t>
            </w:r>
          </w:p>
        </w:tc>
        <w:tc>
          <w:tcPr>
            <w:tcW w:w="2268" w:type="dxa"/>
            <w:hideMark/>
          </w:tcPr>
          <w:p w14:paraId="336BF498"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HACC PYP volunteer coordination</w:t>
            </w:r>
          </w:p>
        </w:tc>
        <w:tc>
          <w:tcPr>
            <w:tcW w:w="5670" w:type="dxa"/>
            <w:hideMark/>
          </w:tcPr>
          <w:p w14:paraId="4F93449C"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Funding to coordinators to recruit, train and supervise volunteers and manage the volunteer services to HACC PYP clients</w:t>
            </w:r>
          </w:p>
        </w:tc>
      </w:tr>
      <w:tr w:rsidR="005B5CB9" w:rsidRPr="001B5617" w14:paraId="3C365687" w14:textId="77777777" w:rsidTr="001B5617">
        <w:trPr>
          <w:trHeight w:val="32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45FC5D4F" w14:textId="77777777" w:rsidR="005B5CB9" w:rsidRPr="001B5617" w:rsidRDefault="005B5CB9">
            <w:pPr>
              <w:pStyle w:val="Tabletext"/>
              <w:rPr>
                <w:rFonts w:cs="Arial"/>
                <w:b w:val="0"/>
                <w:bCs w:val="0"/>
                <w:szCs w:val="18"/>
              </w:rPr>
            </w:pPr>
            <w:r w:rsidRPr="001B5617">
              <w:rPr>
                <w:rFonts w:cs="Arial"/>
                <w:szCs w:val="18"/>
              </w:rPr>
              <w:t>13097</w:t>
            </w:r>
          </w:p>
        </w:tc>
        <w:tc>
          <w:tcPr>
            <w:tcW w:w="2268" w:type="dxa"/>
            <w:shd w:val="clear" w:color="auto" w:fill="FFFFFF" w:themeFill="background1"/>
            <w:hideMark/>
          </w:tcPr>
          <w:p w14:paraId="7D946BAC"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HACC PYP delivered meals</w:t>
            </w:r>
          </w:p>
        </w:tc>
        <w:tc>
          <w:tcPr>
            <w:tcW w:w="5670" w:type="dxa"/>
            <w:shd w:val="clear" w:color="auto" w:fill="FFFFFF" w:themeFill="background1"/>
            <w:hideMark/>
          </w:tcPr>
          <w:p w14:paraId="41F3ACBB"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Subsidy for meals delivered to people in the HACC PYP target group at home and or in a local venue</w:t>
            </w:r>
          </w:p>
        </w:tc>
      </w:tr>
      <w:tr w:rsidR="005B5CB9" w:rsidRPr="001B5617" w14:paraId="436701AB"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hideMark/>
          </w:tcPr>
          <w:p w14:paraId="0BA255A8" w14:textId="77777777" w:rsidR="005B5CB9" w:rsidRPr="001B5617" w:rsidRDefault="005B5CB9">
            <w:pPr>
              <w:pStyle w:val="Tabletext"/>
              <w:rPr>
                <w:rFonts w:cs="Arial"/>
                <w:b w:val="0"/>
                <w:bCs w:val="0"/>
                <w:szCs w:val="18"/>
              </w:rPr>
            </w:pPr>
            <w:r w:rsidRPr="001B5617">
              <w:rPr>
                <w:rFonts w:cs="Arial"/>
                <w:szCs w:val="18"/>
              </w:rPr>
              <w:t>13099</w:t>
            </w:r>
          </w:p>
        </w:tc>
        <w:tc>
          <w:tcPr>
            <w:tcW w:w="2268" w:type="dxa"/>
            <w:hideMark/>
          </w:tcPr>
          <w:p w14:paraId="6DBCD4FC"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HACC PYP property maintenance</w:t>
            </w:r>
          </w:p>
        </w:tc>
        <w:tc>
          <w:tcPr>
            <w:tcW w:w="5670" w:type="dxa"/>
            <w:hideMark/>
          </w:tcPr>
          <w:p w14:paraId="0043C847"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Services essential for client safety in the home and safe delivery of HACC PYP services, where these are not the responsibility of the rental provider or relevant housing authority</w:t>
            </w:r>
          </w:p>
        </w:tc>
      </w:tr>
      <w:tr w:rsidR="005B5CB9" w:rsidRPr="001B5617" w14:paraId="2429CFD9" w14:textId="77777777" w:rsidTr="001B5617">
        <w:trPr>
          <w:trHeight w:val="32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1B7C799" w14:textId="77777777" w:rsidR="005B5CB9" w:rsidRPr="001B5617" w:rsidRDefault="005B5CB9">
            <w:pPr>
              <w:pStyle w:val="Tabletext"/>
              <w:rPr>
                <w:rFonts w:cs="Arial"/>
                <w:b w:val="0"/>
                <w:bCs w:val="0"/>
                <w:szCs w:val="18"/>
              </w:rPr>
            </w:pPr>
            <w:r w:rsidRPr="001B5617">
              <w:rPr>
                <w:rFonts w:cs="Arial"/>
                <w:szCs w:val="18"/>
              </w:rPr>
              <w:t>13130</w:t>
            </w:r>
          </w:p>
        </w:tc>
        <w:tc>
          <w:tcPr>
            <w:tcW w:w="2268" w:type="dxa"/>
            <w:shd w:val="clear" w:color="auto" w:fill="FFFFFF" w:themeFill="background1"/>
            <w:hideMark/>
          </w:tcPr>
          <w:p w14:paraId="627135EF"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HACC PYP volunteer coordination – other</w:t>
            </w:r>
          </w:p>
        </w:tc>
        <w:tc>
          <w:tcPr>
            <w:tcW w:w="5670" w:type="dxa"/>
            <w:shd w:val="clear" w:color="auto" w:fill="FFFFFF" w:themeFill="background1"/>
            <w:hideMark/>
          </w:tcPr>
          <w:p w14:paraId="2C2F0D9B"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Block funding to offset costs of volunteer programs including volunteer reimbursements, police checks and some program costs</w:t>
            </w:r>
          </w:p>
        </w:tc>
      </w:tr>
      <w:tr w:rsidR="005B5CB9" w:rsidRPr="001B5617" w14:paraId="2E603DE1"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hideMark/>
          </w:tcPr>
          <w:p w14:paraId="731777D1" w14:textId="77777777" w:rsidR="005B5CB9" w:rsidRPr="001B5617" w:rsidRDefault="005B5CB9">
            <w:pPr>
              <w:pStyle w:val="Tabletext"/>
              <w:rPr>
                <w:rFonts w:cs="Arial"/>
                <w:b w:val="0"/>
                <w:bCs w:val="0"/>
                <w:szCs w:val="18"/>
              </w:rPr>
            </w:pPr>
            <w:r w:rsidRPr="001B5617">
              <w:rPr>
                <w:rFonts w:cs="Arial"/>
                <w:szCs w:val="18"/>
              </w:rPr>
              <w:t>13223</w:t>
            </w:r>
          </w:p>
        </w:tc>
        <w:tc>
          <w:tcPr>
            <w:tcW w:w="2268" w:type="dxa"/>
            <w:hideMark/>
          </w:tcPr>
          <w:p w14:paraId="665C91C6"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 xml:space="preserve">HACC PYP health supports </w:t>
            </w:r>
          </w:p>
        </w:tc>
        <w:tc>
          <w:tcPr>
            <w:tcW w:w="5670" w:type="dxa"/>
            <w:hideMark/>
          </w:tcPr>
          <w:p w14:paraId="085134B8"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Allied health and clinical nursing care an assessment to support safe and independent living in the home</w:t>
            </w:r>
          </w:p>
        </w:tc>
      </w:tr>
      <w:tr w:rsidR="005B5CB9" w:rsidRPr="001B5617" w14:paraId="13196CF4"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D329BB5" w14:textId="77777777" w:rsidR="005B5CB9" w:rsidRPr="001B5617" w:rsidRDefault="005B5CB9">
            <w:pPr>
              <w:pStyle w:val="Tabletext"/>
              <w:rPr>
                <w:rFonts w:cs="Arial"/>
                <w:b w:val="0"/>
                <w:bCs w:val="0"/>
                <w:szCs w:val="18"/>
              </w:rPr>
            </w:pPr>
            <w:r w:rsidRPr="001B5617">
              <w:rPr>
                <w:rFonts w:cs="Arial"/>
                <w:szCs w:val="18"/>
              </w:rPr>
              <w:t>13227</w:t>
            </w:r>
          </w:p>
        </w:tc>
        <w:tc>
          <w:tcPr>
            <w:tcW w:w="2268" w:type="dxa"/>
            <w:shd w:val="clear" w:color="auto" w:fill="FFFFFF" w:themeFill="background1"/>
            <w:hideMark/>
          </w:tcPr>
          <w:p w14:paraId="598C46B8"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ACCO services – HACC PYP</w:t>
            </w:r>
          </w:p>
        </w:tc>
        <w:tc>
          <w:tcPr>
            <w:tcW w:w="5670" w:type="dxa"/>
            <w:shd w:val="clear" w:color="auto" w:fill="FFFFFF" w:themeFill="background1"/>
            <w:hideMark/>
          </w:tcPr>
          <w:p w14:paraId="7581E41F"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Funding for HACC PYP services provided by ACCOs</w:t>
            </w:r>
          </w:p>
        </w:tc>
      </w:tr>
      <w:tr w:rsidR="005B5CB9" w:rsidRPr="001B5617" w14:paraId="3772DB3B"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hideMark/>
          </w:tcPr>
          <w:p w14:paraId="51759180" w14:textId="77777777" w:rsidR="005B5CB9" w:rsidRPr="001B5617" w:rsidRDefault="005B5CB9">
            <w:pPr>
              <w:pStyle w:val="Tabletext"/>
              <w:rPr>
                <w:rFonts w:cs="Arial"/>
                <w:b w:val="0"/>
                <w:bCs w:val="0"/>
                <w:szCs w:val="18"/>
              </w:rPr>
            </w:pPr>
            <w:r w:rsidRPr="001B5617">
              <w:rPr>
                <w:rFonts w:cs="Arial"/>
                <w:szCs w:val="18"/>
              </w:rPr>
              <w:t>13229</w:t>
            </w:r>
          </w:p>
        </w:tc>
        <w:tc>
          <w:tcPr>
            <w:tcW w:w="2268" w:type="dxa"/>
            <w:hideMark/>
          </w:tcPr>
          <w:p w14:paraId="265BB292"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HACC PYP access and support</w:t>
            </w:r>
          </w:p>
        </w:tc>
        <w:tc>
          <w:tcPr>
            <w:tcW w:w="5670" w:type="dxa"/>
            <w:hideMark/>
          </w:tcPr>
          <w:p w14:paraId="26DE4110"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Support to people with complex needs from priority populations to access services that will improve their capacity to live independently in the home and community</w:t>
            </w:r>
          </w:p>
        </w:tc>
      </w:tr>
    </w:tbl>
    <w:p w14:paraId="4C5126CC" w14:textId="77777777" w:rsidR="005B5CB9" w:rsidRDefault="005B5CB9" w:rsidP="005B5CB9">
      <w:pPr>
        <w:pStyle w:val="Tablecaption"/>
      </w:pPr>
      <w:r>
        <w:t xml:space="preserve">Table </w:t>
      </w:r>
      <w:r w:rsidRPr="5B850891">
        <w:fldChar w:fldCharType="begin"/>
      </w:r>
      <w:r>
        <w:instrText xml:space="preserve"> SEQ Table \* ARABIC </w:instrText>
      </w:r>
      <w:r w:rsidRPr="5B850891">
        <w:fldChar w:fldCharType="separate"/>
      </w:r>
      <w:r>
        <w:rPr>
          <w:noProof/>
        </w:rPr>
        <w:t>25</w:t>
      </w:r>
      <w:r w:rsidRPr="5B850891">
        <w:rPr>
          <w:noProof/>
        </w:rPr>
        <w:fldChar w:fldCharType="end"/>
      </w:r>
      <w:r>
        <w:t>. Outputs and activities for public health advancement</w:t>
      </w:r>
    </w:p>
    <w:tbl>
      <w:tblPr>
        <w:tblStyle w:val="GridTable4-Accent1"/>
        <w:tblW w:w="9209" w:type="dxa"/>
        <w:tblLook w:val="04A0" w:firstRow="1" w:lastRow="0" w:firstColumn="1" w:lastColumn="0" w:noHBand="0" w:noVBand="1"/>
      </w:tblPr>
      <w:tblGrid>
        <w:gridCol w:w="1271"/>
        <w:gridCol w:w="2410"/>
        <w:gridCol w:w="5528"/>
      </w:tblGrid>
      <w:tr w:rsidR="005B5CB9" w:rsidRPr="001B5617" w14:paraId="0DA7E864"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1" w:type="dxa"/>
          </w:tcPr>
          <w:p w14:paraId="604A3B12" w14:textId="77777777" w:rsidR="005B5CB9" w:rsidRPr="001B5617" w:rsidRDefault="005B5CB9">
            <w:pPr>
              <w:pStyle w:val="Tablecolhead"/>
              <w:rPr>
                <w:rFonts w:eastAsia="Arial" w:cs="Arial"/>
                <w:b/>
                <w:bCs w:val="0"/>
                <w:color w:val="FFFFFF" w:themeColor="background1"/>
                <w:sz w:val="18"/>
                <w:szCs w:val="18"/>
              </w:rPr>
            </w:pPr>
            <w:r w:rsidRPr="001B5617">
              <w:rPr>
                <w:rFonts w:eastAsia="Arial" w:cs="Arial"/>
                <w:b/>
                <w:bCs w:val="0"/>
                <w:color w:val="FFFFFF" w:themeColor="background1"/>
                <w:sz w:val="18"/>
                <w:szCs w:val="18"/>
              </w:rPr>
              <w:t>Activity no.</w:t>
            </w:r>
          </w:p>
        </w:tc>
        <w:tc>
          <w:tcPr>
            <w:tcW w:w="2410" w:type="dxa"/>
          </w:tcPr>
          <w:p w14:paraId="1AC90F03"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cs="Arial"/>
                <w:b/>
                <w:bCs w:val="0"/>
                <w:color w:val="FFFFFF" w:themeColor="background1"/>
                <w:sz w:val="18"/>
                <w:szCs w:val="18"/>
              </w:rPr>
            </w:pPr>
            <w:r w:rsidRPr="001B5617">
              <w:rPr>
                <w:rFonts w:eastAsia="Arial" w:cs="Arial"/>
                <w:b/>
                <w:bCs w:val="0"/>
                <w:color w:val="FFFFFF" w:themeColor="background1"/>
                <w:sz w:val="18"/>
                <w:szCs w:val="18"/>
              </w:rPr>
              <w:t>Activity name</w:t>
            </w:r>
          </w:p>
        </w:tc>
        <w:tc>
          <w:tcPr>
            <w:tcW w:w="5528" w:type="dxa"/>
          </w:tcPr>
          <w:p w14:paraId="2E51A807"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cs="Arial"/>
                <w:b/>
                <w:bCs w:val="0"/>
                <w:color w:val="FFFFFF" w:themeColor="background1"/>
                <w:sz w:val="18"/>
                <w:szCs w:val="18"/>
              </w:rPr>
            </w:pPr>
            <w:r w:rsidRPr="001B5617">
              <w:rPr>
                <w:rFonts w:eastAsia="Arial" w:cs="Arial"/>
                <w:b/>
                <w:bCs w:val="0"/>
                <w:color w:val="FFFFFF" w:themeColor="background1"/>
                <w:sz w:val="18"/>
                <w:szCs w:val="18"/>
              </w:rPr>
              <w:t>Activity description</w:t>
            </w:r>
          </w:p>
        </w:tc>
      </w:tr>
      <w:tr w:rsidR="005B5CB9" w:rsidRPr="001B5617" w14:paraId="7256ED0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7D8B019E" w14:textId="77777777" w:rsidR="005B5CB9" w:rsidRPr="001B5617" w:rsidRDefault="005B5CB9">
            <w:pPr>
              <w:pStyle w:val="Tabletext"/>
              <w:rPr>
                <w:rFonts w:cs="Arial"/>
                <w:b w:val="0"/>
                <w:bCs w:val="0"/>
                <w:szCs w:val="18"/>
              </w:rPr>
            </w:pPr>
            <w:r w:rsidRPr="001B5617">
              <w:rPr>
                <w:rFonts w:cs="Arial"/>
                <w:szCs w:val="18"/>
              </w:rPr>
              <w:t>16308</w:t>
            </w:r>
          </w:p>
        </w:tc>
        <w:tc>
          <w:tcPr>
            <w:tcW w:w="2410" w:type="dxa"/>
          </w:tcPr>
          <w:p w14:paraId="58C9FA91"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Injury prevention</w:t>
            </w:r>
          </w:p>
        </w:tc>
        <w:tc>
          <w:tcPr>
            <w:tcW w:w="5528" w:type="dxa"/>
          </w:tcPr>
          <w:p w14:paraId="579E635E"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undertake the design, management and evaluation of projects aimed at fostering best practice in injury prevention program planning and delivery</w:t>
            </w:r>
          </w:p>
        </w:tc>
      </w:tr>
      <w:tr w:rsidR="005B5CB9" w:rsidRPr="001B5617" w14:paraId="0D813D2E"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BD11F1C" w14:textId="77777777" w:rsidR="005B5CB9" w:rsidRPr="001B5617" w:rsidRDefault="005B5CB9">
            <w:pPr>
              <w:pStyle w:val="Tabletext"/>
              <w:rPr>
                <w:rFonts w:cs="Arial"/>
                <w:b w:val="0"/>
                <w:bCs w:val="0"/>
                <w:szCs w:val="18"/>
              </w:rPr>
            </w:pPr>
            <w:r w:rsidRPr="001B5617">
              <w:rPr>
                <w:rFonts w:cs="Arial"/>
                <w:szCs w:val="18"/>
              </w:rPr>
              <w:t>16449</w:t>
            </w:r>
          </w:p>
        </w:tc>
        <w:tc>
          <w:tcPr>
            <w:tcW w:w="2410" w:type="dxa"/>
          </w:tcPr>
          <w:p w14:paraId="70A333BC"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Smoking/vaping information – advice and interventions</w:t>
            </w:r>
          </w:p>
        </w:tc>
        <w:tc>
          <w:tcPr>
            <w:tcW w:w="5528" w:type="dxa"/>
          </w:tcPr>
          <w:p w14:paraId="4004A6D6"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provide smoking and vaping cessation advice/support, research and to educate the community and stakeholders about tobacco, e-cigarettes and smoking/vaping-related legislative requirements and to administer relevant parts of the Tobacco Act 1987 through MAV agreement</w:t>
            </w:r>
          </w:p>
        </w:tc>
      </w:tr>
      <w:tr w:rsidR="005B5CB9" w:rsidRPr="001B5617" w14:paraId="5847A60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3214D498" w14:textId="77777777" w:rsidR="005B5CB9" w:rsidRPr="001B5617" w:rsidRDefault="005B5CB9">
            <w:pPr>
              <w:pStyle w:val="Tabletext"/>
              <w:rPr>
                <w:rFonts w:cs="Arial"/>
                <w:b w:val="0"/>
                <w:bCs w:val="0"/>
                <w:szCs w:val="18"/>
              </w:rPr>
            </w:pPr>
            <w:r w:rsidRPr="001B5617">
              <w:rPr>
                <w:rFonts w:cs="Arial"/>
                <w:szCs w:val="18"/>
              </w:rPr>
              <w:t>16450</w:t>
            </w:r>
          </w:p>
        </w:tc>
        <w:tc>
          <w:tcPr>
            <w:tcW w:w="2410" w:type="dxa"/>
          </w:tcPr>
          <w:p w14:paraId="642C9E9D"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Diabetes prevention</w:t>
            </w:r>
          </w:p>
        </w:tc>
        <w:tc>
          <w:tcPr>
            <w:tcW w:w="5528" w:type="dxa"/>
          </w:tcPr>
          <w:p w14:paraId="1ECDCD3F"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undertake primary and secondary prevention initiatives aimed at reducing the number of people in the Victorian community developing type 2 diabetes and cardiovascular disease</w:t>
            </w:r>
          </w:p>
        </w:tc>
      </w:tr>
      <w:tr w:rsidR="005B5CB9" w:rsidRPr="001B5617" w14:paraId="161DC96E"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FBA3B74" w14:textId="77777777" w:rsidR="005B5CB9" w:rsidRPr="001B5617" w:rsidRDefault="005B5CB9">
            <w:pPr>
              <w:pStyle w:val="Tabletext"/>
              <w:rPr>
                <w:rFonts w:cs="Arial"/>
                <w:b w:val="0"/>
                <w:bCs w:val="0"/>
                <w:szCs w:val="18"/>
              </w:rPr>
            </w:pPr>
            <w:r w:rsidRPr="001B5617">
              <w:rPr>
                <w:rFonts w:cs="Arial"/>
                <w:szCs w:val="18"/>
              </w:rPr>
              <w:t>16454</w:t>
            </w:r>
          </w:p>
        </w:tc>
        <w:tc>
          <w:tcPr>
            <w:tcW w:w="2410" w:type="dxa"/>
          </w:tcPr>
          <w:p w14:paraId="3687BF36"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Health promotion initiatives</w:t>
            </w:r>
          </w:p>
        </w:tc>
        <w:tc>
          <w:tcPr>
            <w:tcW w:w="5528" w:type="dxa"/>
          </w:tcPr>
          <w:p w14:paraId="10BF4DF1"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develop and support programs that prevent illness and promote wellbeing through using a mix of health promotion interventions and capacity-building strategies delivering place-based approaches in Victorian communities – including activity delivered through LPHU population health catchment plans</w:t>
            </w:r>
          </w:p>
        </w:tc>
      </w:tr>
      <w:tr w:rsidR="005B5CB9" w:rsidRPr="001B5617" w14:paraId="6248547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FC54141" w14:textId="77777777" w:rsidR="005B5CB9" w:rsidRPr="001B5617" w:rsidRDefault="005B5CB9">
            <w:pPr>
              <w:pStyle w:val="Tabletext"/>
              <w:rPr>
                <w:rFonts w:cs="Arial"/>
                <w:b w:val="0"/>
                <w:bCs w:val="0"/>
                <w:szCs w:val="18"/>
              </w:rPr>
            </w:pPr>
            <w:r w:rsidRPr="001B5617">
              <w:rPr>
                <w:rFonts w:cs="Arial"/>
                <w:szCs w:val="18"/>
              </w:rPr>
              <w:t>16460</w:t>
            </w:r>
          </w:p>
        </w:tc>
        <w:tc>
          <w:tcPr>
            <w:tcW w:w="2410" w:type="dxa"/>
          </w:tcPr>
          <w:p w14:paraId="1D65083F"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Targeted recruitment for screening programs</w:t>
            </w:r>
          </w:p>
        </w:tc>
        <w:tc>
          <w:tcPr>
            <w:tcW w:w="5528" w:type="dxa"/>
          </w:tcPr>
          <w:p w14:paraId="47FA241D"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undertake a range of activities aimed at improving participation of under-screened and never-screened people in screening programs</w:t>
            </w:r>
          </w:p>
        </w:tc>
      </w:tr>
      <w:tr w:rsidR="005B5CB9" w:rsidRPr="001B5617" w14:paraId="4BC48C72"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BDD0A3D" w14:textId="77777777" w:rsidR="005B5CB9" w:rsidRPr="001B5617" w:rsidRDefault="005B5CB9">
            <w:pPr>
              <w:pStyle w:val="Tabletext"/>
              <w:rPr>
                <w:rFonts w:cs="Arial"/>
                <w:b w:val="0"/>
                <w:bCs w:val="0"/>
                <w:szCs w:val="18"/>
              </w:rPr>
            </w:pPr>
            <w:r w:rsidRPr="001B5617">
              <w:rPr>
                <w:rFonts w:cs="Arial"/>
                <w:szCs w:val="18"/>
              </w:rPr>
              <w:t>16461</w:t>
            </w:r>
          </w:p>
        </w:tc>
        <w:tc>
          <w:tcPr>
            <w:tcW w:w="2410" w:type="dxa"/>
          </w:tcPr>
          <w:p w14:paraId="39DE71B2"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ACCO services – public health</w:t>
            </w:r>
          </w:p>
        </w:tc>
        <w:tc>
          <w:tcPr>
            <w:tcW w:w="5528" w:type="dxa"/>
          </w:tcPr>
          <w:p w14:paraId="25BC8199"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Funding for those public health services provided by ACCOs</w:t>
            </w:r>
          </w:p>
        </w:tc>
      </w:tr>
      <w:tr w:rsidR="005B5CB9" w:rsidRPr="001B5617" w14:paraId="3478C8C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E4CBE4A" w14:textId="77777777" w:rsidR="005B5CB9" w:rsidRPr="001B5617" w:rsidRDefault="005B5CB9">
            <w:pPr>
              <w:pStyle w:val="Tabletext"/>
              <w:rPr>
                <w:rFonts w:cs="Arial"/>
                <w:b w:val="0"/>
                <w:bCs w:val="0"/>
                <w:szCs w:val="18"/>
              </w:rPr>
            </w:pPr>
            <w:r w:rsidRPr="001B5617">
              <w:rPr>
                <w:rFonts w:cs="Arial"/>
                <w:szCs w:val="18"/>
              </w:rPr>
              <w:lastRenderedPageBreak/>
              <w:t>16377</w:t>
            </w:r>
          </w:p>
        </w:tc>
        <w:tc>
          <w:tcPr>
            <w:tcW w:w="2410" w:type="dxa"/>
          </w:tcPr>
          <w:p w14:paraId="712D04A8"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BBV/STI surveillance</w:t>
            </w:r>
          </w:p>
        </w:tc>
        <w:tc>
          <w:tcPr>
            <w:tcW w:w="5528" w:type="dxa"/>
          </w:tcPr>
          <w:p w14:paraId="671890D2"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collect, collate and report on data relating to notifiable BBV/STIs</w:t>
            </w:r>
          </w:p>
        </w:tc>
      </w:tr>
      <w:tr w:rsidR="005B5CB9" w:rsidRPr="001B5617" w14:paraId="48DE0D0A"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8BBDAEE" w14:textId="77777777" w:rsidR="005B5CB9" w:rsidRPr="001B5617" w:rsidRDefault="005B5CB9">
            <w:pPr>
              <w:pStyle w:val="Tabletext"/>
              <w:rPr>
                <w:rFonts w:cs="Arial"/>
                <w:b w:val="0"/>
                <w:bCs w:val="0"/>
                <w:szCs w:val="18"/>
              </w:rPr>
            </w:pPr>
            <w:r w:rsidRPr="001B5617">
              <w:rPr>
                <w:rFonts w:cs="Arial"/>
                <w:szCs w:val="18"/>
              </w:rPr>
              <w:t>16381</w:t>
            </w:r>
          </w:p>
        </w:tc>
        <w:tc>
          <w:tcPr>
            <w:tcW w:w="2410" w:type="dxa"/>
          </w:tcPr>
          <w:p w14:paraId="79CAA55D"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Risk management and emergency response</w:t>
            </w:r>
          </w:p>
        </w:tc>
        <w:tc>
          <w:tcPr>
            <w:tcW w:w="5528" w:type="dxa"/>
          </w:tcPr>
          <w:p w14:paraId="6E36D6DF"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performance activities to assess, investigate, forecast and respond to environmental health risks, emergencies or incidents</w:t>
            </w:r>
          </w:p>
        </w:tc>
      </w:tr>
      <w:tr w:rsidR="005B5CB9" w:rsidRPr="001B5617" w14:paraId="31B9132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9A7255B" w14:textId="77777777" w:rsidR="005B5CB9" w:rsidRPr="001B5617" w:rsidRDefault="005B5CB9">
            <w:pPr>
              <w:pStyle w:val="Tabletext"/>
              <w:rPr>
                <w:rFonts w:cs="Arial"/>
                <w:b w:val="0"/>
                <w:bCs w:val="0"/>
                <w:szCs w:val="18"/>
              </w:rPr>
            </w:pPr>
            <w:r w:rsidRPr="001B5617">
              <w:rPr>
                <w:rFonts w:cs="Arial"/>
                <w:szCs w:val="18"/>
              </w:rPr>
              <w:t>16503</w:t>
            </w:r>
          </w:p>
        </w:tc>
        <w:tc>
          <w:tcPr>
            <w:tcW w:w="2410" w:type="dxa"/>
          </w:tcPr>
          <w:p w14:paraId="6C50DD09"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Antimicrobial Resistance Testing, Characterisation and Surveillance</w:t>
            </w:r>
          </w:p>
        </w:tc>
        <w:tc>
          <w:tcPr>
            <w:tcW w:w="5528" w:type="dxa"/>
          </w:tcPr>
          <w:p w14:paraId="753C9F52"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provide laboratory testing, including molecular, genomic and antimicrobial susceptibility testing of CPO isolates submitted by diagnostic laboratories, and contribute to the investigation of sporadic cases and transmissions of CPO</w:t>
            </w:r>
          </w:p>
        </w:tc>
      </w:tr>
      <w:tr w:rsidR="005B5CB9" w:rsidRPr="001B5617" w14:paraId="3E33689A"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41FF36B" w14:textId="77777777" w:rsidR="005B5CB9" w:rsidRPr="001B5617" w:rsidRDefault="005B5CB9">
            <w:pPr>
              <w:pStyle w:val="Tabletext"/>
              <w:rPr>
                <w:rFonts w:cs="Arial"/>
                <w:b w:val="0"/>
                <w:bCs w:val="0"/>
                <w:szCs w:val="18"/>
              </w:rPr>
            </w:pPr>
            <w:r w:rsidRPr="001B5617">
              <w:rPr>
                <w:rFonts w:cs="Arial"/>
                <w:szCs w:val="18"/>
              </w:rPr>
              <w:t>16505</w:t>
            </w:r>
          </w:p>
        </w:tc>
        <w:tc>
          <w:tcPr>
            <w:tcW w:w="2410" w:type="dxa"/>
          </w:tcPr>
          <w:p w14:paraId="78CA1135"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BBV/STIs – training and development</w:t>
            </w:r>
          </w:p>
        </w:tc>
        <w:tc>
          <w:tcPr>
            <w:tcW w:w="5528" w:type="dxa"/>
          </w:tcPr>
          <w:p w14:paraId="7B030713"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provide education and training to the BBV/STI sector, including volunteers and organisation staff, and coordination of information updates</w:t>
            </w:r>
          </w:p>
        </w:tc>
      </w:tr>
      <w:tr w:rsidR="005B5CB9" w:rsidRPr="001B5617" w14:paraId="3F6EB01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5540A9CB" w14:textId="77777777" w:rsidR="005B5CB9" w:rsidRPr="001B5617" w:rsidRDefault="005B5CB9">
            <w:pPr>
              <w:pStyle w:val="Tabletext"/>
              <w:rPr>
                <w:rFonts w:cs="Arial"/>
                <w:b w:val="0"/>
                <w:bCs w:val="0"/>
                <w:szCs w:val="18"/>
              </w:rPr>
            </w:pPr>
            <w:r w:rsidRPr="001B5617">
              <w:rPr>
                <w:rFonts w:cs="Arial"/>
                <w:szCs w:val="18"/>
              </w:rPr>
              <w:t>16506</w:t>
            </w:r>
          </w:p>
        </w:tc>
        <w:tc>
          <w:tcPr>
            <w:tcW w:w="2410" w:type="dxa"/>
          </w:tcPr>
          <w:p w14:paraId="2CBEC663"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BBV and STI – research</w:t>
            </w:r>
          </w:p>
        </w:tc>
        <w:tc>
          <w:tcPr>
            <w:tcW w:w="5528" w:type="dxa"/>
          </w:tcPr>
          <w:p w14:paraId="2DCD7E30"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support commission or undertake research projects related to BBV/STIs in Victoria</w:t>
            </w:r>
          </w:p>
        </w:tc>
      </w:tr>
      <w:tr w:rsidR="005B5CB9" w:rsidRPr="001B5617" w14:paraId="7C0C0A32"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465FBC2" w14:textId="77777777" w:rsidR="005B5CB9" w:rsidRPr="001B5617" w:rsidRDefault="005B5CB9">
            <w:pPr>
              <w:pStyle w:val="Tabletext"/>
              <w:rPr>
                <w:rFonts w:cs="Arial"/>
                <w:b w:val="0"/>
                <w:bCs w:val="0"/>
                <w:szCs w:val="18"/>
              </w:rPr>
            </w:pPr>
            <w:r w:rsidRPr="001B5617">
              <w:rPr>
                <w:rFonts w:cs="Arial"/>
                <w:szCs w:val="18"/>
              </w:rPr>
              <w:t>16507</w:t>
            </w:r>
          </w:p>
        </w:tc>
        <w:tc>
          <w:tcPr>
            <w:tcW w:w="2410" w:type="dxa"/>
          </w:tcPr>
          <w:p w14:paraId="27780B0F"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BBV and STI – laboratory services</w:t>
            </w:r>
          </w:p>
        </w:tc>
        <w:tc>
          <w:tcPr>
            <w:tcW w:w="5528" w:type="dxa"/>
          </w:tcPr>
          <w:p w14:paraId="434D0029"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provide laboratory-testing services related to BBV/STIs in Victoria</w:t>
            </w:r>
          </w:p>
        </w:tc>
      </w:tr>
      <w:tr w:rsidR="005B5CB9" w:rsidRPr="001B5617" w14:paraId="7386EB6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74F0102E" w14:textId="77777777" w:rsidR="005B5CB9" w:rsidRPr="001B5617" w:rsidRDefault="005B5CB9">
            <w:pPr>
              <w:pStyle w:val="Tabletext"/>
              <w:rPr>
                <w:rFonts w:cs="Arial"/>
                <w:b w:val="0"/>
                <w:bCs w:val="0"/>
                <w:szCs w:val="18"/>
              </w:rPr>
            </w:pPr>
            <w:r w:rsidRPr="001B5617">
              <w:rPr>
                <w:rFonts w:cs="Arial"/>
                <w:szCs w:val="18"/>
              </w:rPr>
              <w:t>16508</w:t>
            </w:r>
          </w:p>
        </w:tc>
        <w:tc>
          <w:tcPr>
            <w:tcW w:w="2410" w:type="dxa"/>
          </w:tcPr>
          <w:p w14:paraId="38A9A3D5"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 xml:space="preserve">BBV and STI – health promotion </w:t>
            </w:r>
          </w:p>
        </w:tc>
        <w:tc>
          <w:tcPr>
            <w:tcW w:w="5528" w:type="dxa"/>
          </w:tcPr>
          <w:p w14:paraId="5EFEE43D"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provide for the delivery of BBV/STIs health-promotion and prevention services to the community or targeted population groups</w:t>
            </w:r>
          </w:p>
        </w:tc>
      </w:tr>
      <w:tr w:rsidR="005B5CB9" w:rsidRPr="001B5617" w14:paraId="25275CAE"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A018FD5" w14:textId="77777777" w:rsidR="005B5CB9" w:rsidRPr="001B5617" w:rsidRDefault="005B5CB9">
            <w:pPr>
              <w:pStyle w:val="Tabletext"/>
              <w:rPr>
                <w:rFonts w:cs="Arial"/>
                <w:b w:val="0"/>
                <w:bCs w:val="0"/>
                <w:szCs w:val="18"/>
              </w:rPr>
            </w:pPr>
            <w:r w:rsidRPr="001B5617">
              <w:rPr>
                <w:rFonts w:cs="Arial"/>
                <w:szCs w:val="18"/>
              </w:rPr>
              <w:t>16509</w:t>
            </w:r>
          </w:p>
        </w:tc>
        <w:tc>
          <w:tcPr>
            <w:tcW w:w="2410" w:type="dxa"/>
          </w:tcPr>
          <w:p w14:paraId="48F7A7E2"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 xml:space="preserve">BBV and STI – community-based care and support </w:t>
            </w:r>
          </w:p>
        </w:tc>
        <w:tc>
          <w:tcPr>
            <w:tcW w:w="5528" w:type="dxa"/>
          </w:tcPr>
          <w:p w14:paraId="5FF06A35"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provide the delivery of community-based care and support to clients, carers and significant others</w:t>
            </w:r>
          </w:p>
        </w:tc>
      </w:tr>
      <w:tr w:rsidR="005B5CB9" w:rsidRPr="001B5617" w14:paraId="1720C3E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721B487D" w14:textId="77777777" w:rsidR="005B5CB9" w:rsidRPr="001B5617" w:rsidRDefault="005B5CB9">
            <w:pPr>
              <w:pStyle w:val="Tabletext"/>
              <w:rPr>
                <w:rFonts w:cs="Arial"/>
                <w:b w:val="0"/>
                <w:bCs w:val="0"/>
                <w:szCs w:val="18"/>
              </w:rPr>
            </w:pPr>
            <w:r w:rsidRPr="001B5617">
              <w:rPr>
                <w:rFonts w:cs="Arial"/>
                <w:szCs w:val="18"/>
              </w:rPr>
              <w:t>16513</w:t>
            </w:r>
          </w:p>
        </w:tc>
        <w:tc>
          <w:tcPr>
            <w:tcW w:w="2410" w:type="dxa"/>
          </w:tcPr>
          <w:p w14:paraId="1BB8D5FA"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 xml:space="preserve">Screening and preventive messages </w:t>
            </w:r>
          </w:p>
        </w:tc>
        <w:tc>
          <w:tcPr>
            <w:tcW w:w="5528" w:type="dxa"/>
          </w:tcPr>
          <w:p w14:paraId="1CF5A752"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undertake a range of activities within the community aimed at enabling people to make positive decisions about their health and wellbeing</w:t>
            </w:r>
          </w:p>
        </w:tc>
      </w:tr>
      <w:tr w:rsidR="005B5CB9" w:rsidRPr="001B5617" w14:paraId="3E077973"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5F08BAA7" w14:textId="77777777" w:rsidR="005B5CB9" w:rsidRPr="001B5617" w:rsidRDefault="005B5CB9">
            <w:pPr>
              <w:pStyle w:val="Tabletext"/>
              <w:rPr>
                <w:rFonts w:cs="Arial"/>
                <w:b w:val="0"/>
                <w:bCs w:val="0"/>
                <w:szCs w:val="18"/>
              </w:rPr>
            </w:pPr>
            <w:r w:rsidRPr="001B5617">
              <w:rPr>
                <w:rFonts w:cs="Arial"/>
                <w:szCs w:val="18"/>
              </w:rPr>
              <w:t>16514</w:t>
            </w:r>
          </w:p>
        </w:tc>
        <w:tc>
          <w:tcPr>
            <w:tcW w:w="2410" w:type="dxa"/>
          </w:tcPr>
          <w:p w14:paraId="6CED7FEB"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 xml:space="preserve">Screening service development </w:t>
            </w:r>
          </w:p>
        </w:tc>
        <w:tc>
          <w:tcPr>
            <w:tcW w:w="5528" w:type="dxa"/>
          </w:tcPr>
          <w:p w14:paraId="6E513FBF"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undertake specific activities to improve service delivery, capacity and program effectiveness</w:t>
            </w:r>
          </w:p>
        </w:tc>
      </w:tr>
      <w:tr w:rsidR="005B5CB9" w:rsidRPr="001B5617" w14:paraId="6B065A2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3FCAFC61" w14:textId="77777777" w:rsidR="005B5CB9" w:rsidRPr="001B5617" w:rsidRDefault="005B5CB9">
            <w:pPr>
              <w:pStyle w:val="Tabletext"/>
              <w:rPr>
                <w:rFonts w:cs="Arial"/>
                <w:b w:val="0"/>
                <w:bCs w:val="0"/>
                <w:szCs w:val="18"/>
              </w:rPr>
            </w:pPr>
            <w:r w:rsidRPr="001B5617">
              <w:rPr>
                <w:rFonts w:cs="Arial"/>
                <w:szCs w:val="18"/>
              </w:rPr>
              <w:t>16517</w:t>
            </w:r>
          </w:p>
        </w:tc>
        <w:tc>
          <w:tcPr>
            <w:tcW w:w="2410" w:type="dxa"/>
          </w:tcPr>
          <w:p w14:paraId="6940F9A4"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Cancer and screening registers</w:t>
            </w:r>
          </w:p>
        </w:tc>
        <w:tc>
          <w:tcPr>
            <w:tcW w:w="5528" w:type="dxa"/>
          </w:tcPr>
          <w:p w14:paraId="7CB5F1B3"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B5617">
              <w:rPr>
                <w:rFonts w:cs="Arial"/>
                <w:szCs w:val="18"/>
              </w:rPr>
              <w:t>To maintain a register (as prescribed by legislation where applicable) to record data about cancers and screening results for Victorians</w:t>
            </w:r>
          </w:p>
        </w:tc>
      </w:tr>
      <w:tr w:rsidR="005B5CB9" w:rsidRPr="001B5617" w14:paraId="1A1E6126"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6DBDB3BA" w14:textId="77777777" w:rsidR="005B5CB9" w:rsidRPr="001B5617" w:rsidRDefault="005B5CB9">
            <w:pPr>
              <w:pStyle w:val="Tabletext"/>
              <w:rPr>
                <w:rFonts w:cs="Arial"/>
                <w:b w:val="0"/>
                <w:bCs w:val="0"/>
                <w:szCs w:val="18"/>
              </w:rPr>
            </w:pPr>
            <w:r w:rsidRPr="001B5617">
              <w:rPr>
                <w:rFonts w:cs="Arial"/>
                <w:szCs w:val="18"/>
              </w:rPr>
              <w:t>16519</w:t>
            </w:r>
          </w:p>
        </w:tc>
        <w:tc>
          <w:tcPr>
            <w:tcW w:w="2410" w:type="dxa"/>
          </w:tcPr>
          <w:p w14:paraId="21A4E8DF"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 xml:space="preserve">Screening tests and assessments </w:t>
            </w:r>
          </w:p>
        </w:tc>
        <w:tc>
          <w:tcPr>
            <w:tcW w:w="5528" w:type="dxa"/>
          </w:tcPr>
          <w:p w14:paraId="4E86880E"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1B5617">
              <w:rPr>
                <w:rFonts w:cs="Arial"/>
                <w:szCs w:val="18"/>
              </w:rPr>
              <w:t>To provide screening tests and assessments to the target population of an organised screening program</w:t>
            </w:r>
          </w:p>
        </w:tc>
      </w:tr>
    </w:tbl>
    <w:p w14:paraId="79723EE1" w14:textId="77777777" w:rsidR="005B5CB9" w:rsidRDefault="005B5CB9" w:rsidP="005B5CB9">
      <w:pPr>
        <w:pStyle w:val="Tablecaption"/>
      </w:pPr>
      <w:r>
        <w:t xml:space="preserve">Table </w:t>
      </w:r>
      <w:r w:rsidRPr="5B850891">
        <w:fldChar w:fldCharType="begin"/>
      </w:r>
      <w:r>
        <w:instrText xml:space="preserve"> SEQ Table \* ARABIC </w:instrText>
      </w:r>
      <w:r w:rsidRPr="5B850891">
        <w:fldChar w:fldCharType="separate"/>
      </w:r>
      <w:r>
        <w:rPr>
          <w:noProof/>
        </w:rPr>
        <w:t>26</w:t>
      </w:r>
      <w:r w:rsidRPr="5B850891">
        <w:rPr>
          <w:noProof/>
        </w:rPr>
        <w:fldChar w:fldCharType="end"/>
      </w:r>
      <w:r>
        <w:t>. Outputs and activities for public health development</w:t>
      </w:r>
    </w:p>
    <w:tbl>
      <w:tblPr>
        <w:tblStyle w:val="GridTable4-Accent1"/>
        <w:tblW w:w="9209" w:type="dxa"/>
        <w:tblLayout w:type="fixed"/>
        <w:tblLook w:val="04A0" w:firstRow="1" w:lastRow="0" w:firstColumn="1" w:lastColumn="0" w:noHBand="0" w:noVBand="1"/>
      </w:tblPr>
      <w:tblGrid>
        <w:gridCol w:w="1271"/>
        <w:gridCol w:w="2410"/>
        <w:gridCol w:w="5528"/>
      </w:tblGrid>
      <w:tr w:rsidR="005B5CB9" w:rsidRPr="001B5617" w14:paraId="51CC301A" w14:textId="77777777" w:rsidTr="001B561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EE32B0F" w14:textId="77777777" w:rsidR="005B5CB9" w:rsidRPr="001B5617" w:rsidRDefault="005B5CB9">
            <w:pPr>
              <w:pStyle w:val="Tablecolhead"/>
              <w:rPr>
                <w:rFonts w:eastAsia="Arial"/>
                <w:b/>
                <w:bCs w:val="0"/>
                <w:color w:val="FFFFFF" w:themeColor="background1"/>
                <w:sz w:val="18"/>
                <w:szCs w:val="18"/>
              </w:rPr>
            </w:pPr>
            <w:r w:rsidRPr="001B5617">
              <w:rPr>
                <w:rFonts w:eastAsia="Arial"/>
                <w:b/>
                <w:bCs w:val="0"/>
                <w:color w:val="FFFFFF" w:themeColor="background1"/>
                <w:sz w:val="18"/>
                <w:szCs w:val="18"/>
              </w:rPr>
              <w:t>Activity no.</w:t>
            </w:r>
          </w:p>
        </w:tc>
        <w:tc>
          <w:tcPr>
            <w:tcW w:w="2410" w:type="dxa"/>
          </w:tcPr>
          <w:p w14:paraId="5BF7B8E3"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1B5617">
              <w:rPr>
                <w:rFonts w:eastAsia="Arial"/>
                <w:b/>
                <w:bCs w:val="0"/>
                <w:color w:val="FFFFFF" w:themeColor="background1"/>
                <w:sz w:val="18"/>
                <w:szCs w:val="18"/>
              </w:rPr>
              <w:t>Activity name</w:t>
            </w:r>
          </w:p>
        </w:tc>
        <w:tc>
          <w:tcPr>
            <w:tcW w:w="5528" w:type="dxa"/>
          </w:tcPr>
          <w:p w14:paraId="497CBF85"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1B5617">
              <w:rPr>
                <w:rFonts w:eastAsia="Arial"/>
                <w:b/>
                <w:bCs w:val="0"/>
                <w:color w:val="FFFFFF" w:themeColor="background1"/>
                <w:sz w:val="18"/>
                <w:szCs w:val="18"/>
              </w:rPr>
              <w:t>Activity description</w:t>
            </w:r>
          </w:p>
        </w:tc>
      </w:tr>
      <w:tr w:rsidR="005B5CB9" w:rsidRPr="001B5617" w14:paraId="7BD828B4"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15E26AB" w14:textId="77777777" w:rsidR="005B5CB9" w:rsidRPr="001B5617" w:rsidRDefault="005B5CB9">
            <w:pPr>
              <w:pStyle w:val="Tabletext"/>
              <w:rPr>
                <w:b w:val="0"/>
                <w:bCs w:val="0"/>
                <w:szCs w:val="18"/>
              </w:rPr>
            </w:pPr>
            <w:r w:rsidRPr="001B5617">
              <w:rPr>
                <w:szCs w:val="18"/>
              </w:rPr>
              <w:t>16107</w:t>
            </w:r>
          </w:p>
        </w:tc>
        <w:tc>
          <w:tcPr>
            <w:tcW w:w="2410" w:type="dxa"/>
          </w:tcPr>
          <w:p w14:paraId="33FE4411"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Public Health Research Capacity Building</w:t>
            </w:r>
          </w:p>
        </w:tc>
        <w:tc>
          <w:tcPr>
            <w:tcW w:w="5528" w:type="dxa"/>
          </w:tcPr>
          <w:p w14:paraId="3C8600C4"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eastAsia="MS Gothic"/>
                <w:szCs w:val="18"/>
              </w:rPr>
            </w:pPr>
            <w:r w:rsidRPr="001B5617">
              <w:rPr>
                <w:szCs w:val="18"/>
              </w:rPr>
              <w:t>To develop an evidence base that will assist Victorian medical practitioners to safely prescribe cannabidiol, a medicinal cannabis product, to children with severe intractable epilepsy</w:t>
            </w:r>
          </w:p>
        </w:tc>
      </w:tr>
      <w:tr w:rsidR="005B5CB9" w:rsidRPr="001B5617" w14:paraId="44B6E73D" w14:textId="77777777" w:rsidTr="001B561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E9E88DD" w14:textId="77777777" w:rsidR="005B5CB9" w:rsidRPr="001B5617" w:rsidRDefault="005B5CB9">
            <w:pPr>
              <w:pStyle w:val="Tabletext"/>
              <w:rPr>
                <w:b w:val="0"/>
                <w:bCs w:val="0"/>
                <w:szCs w:val="18"/>
              </w:rPr>
            </w:pPr>
            <w:r w:rsidRPr="001B5617">
              <w:rPr>
                <w:szCs w:val="18"/>
              </w:rPr>
              <w:t>16114</w:t>
            </w:r>
          </w:p>
        </w:tc>
        <w:tc>
          <w:tcPr>
            <w:tcW w:w="2410" w:type="dxa"/>
          </w:tcPr>
          <w:p w14:paraId="12F54959"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Public Health Training (Aboriginal-led place-based health promotion)</w:t>
            </w:r>
          </w:p>
        </w:tc>
        <w:tc>
          <w:tcPr>
            <w:tcW w:w="5528" w:type="dxa"/>
          </w:tcPr>
          <w:p w14:paraId="670BA49C"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To provide a self-determined, place-based approach to improving Aboriginal health and wellbeing outcomes in the Loddon and Mallee regions aligned to the Victorian Public Health and Wellbeing Plan and Victorian Cancer Plan</w:t>
            </w:r>
          </w:p>
        </w:tc>
      </w:tr>
      <w:tr w:rsidR="005B5CB9" w:rsidRPr="001B5617" w14:paraId="2BDF3C6B"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37D1DE96" w14:textId="77777777" w:rsidR="005B5CB9" w:rsidRPr="001B5617" w:rsidRDefault="005B5CB9">
            <w:pPr>
              <w:pStyle w:val="Tabletext"/>
              <w:rPr>
                <w:b w:val="0"/>
                <w:bCs w:val="0"/>
                <w:szCs w:val="18"/>
              </w:rPr>
            </w:pPr>
            <w:r w:rsidRPr="001B5617">
              <w:rPr>
                <w:szCs w:val="18"/>
              </w:rPr>
              <w:t>16203</w:t>
            </w:r>
          </w:p>
        </w:tc>
        <w:tc>
          <w:tcPr>
            <w:tcW w:w="2410" w:type="dxa"/>
          </w:tcPr>
          <w:p w14:paraId="0954E8A7"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 xml:space="preserve">Regulation of assisted reproductive technology and associated legislation </w:t>
            </w:r>
          </w:p>
        </w:tc>
        <w:tc>
          <w:tcPr>
            <w:tcW w:w="5528" w:type="dxa"/>
          </w:tcPr>
          <w:p w14:paraId="196DFF13"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To provide funding and support of legislation for assisted reproductive technology</w:t>
            </w:r>
          </w:p>
        </w:tc>
      </w:tr>
    </w:tbl>
    <w:p w14:paraId="2E1D9769" w14:textId="77777777" w:rsidR="005B5CB9" w:rsidRDefault="005B5CB9" w:rsidP="005B5CB9">
      <w:pPr>
        <w:pStyle w:val="Tablecaption"/>
      </w:pPr>
      <w:r>
        <w:t xml:space="preserve">Table </w:t>
      </w:r>
      <w:r w:rsidRPr="5B850891">
        <w:fldChar w:fldCharType="begin"/>
      </w:r>
      <w:r>
        <w:instrText xml:space="preserve"> SEQ Table \* ARABIC </w:instrText>
      </w:r>
      <w:r w:rsidRPr="5B850891">
        <w:fldChar w:fldCharType="separate"/>
      </w:r>
      <w:r>
        <w:rPr>
          <w:noProof/>
        </w:rPr>
        <w:t>27</w:t>
      </w:r>
      <w:r w:rsidRPr="5B850891">
        <w:rPr>
          <w:noProof/>
        </w:rPr>
        <w:fldChar w:fldCharType="end"/>
      </w:r>
      <w:r>
        <w:t>. Outputs and activities for community health care</w:t>
      </w:r>
    </w:p>
    <w:tbl>
      <w:tblPr>
        <w:tblStyle w:val="GridTable4-Accent1"/>
        <w:tblW w:w="9209" w:type="dxa"/>
        <w:tblLayout w:type="fixed"/>
        <w:tblLook w:val="04A0" w:firstRow="1" w:lastRow="0" w:firstColumn="1" w:lastColumn="0" w:noHBand="0" w:noVBand="1"/>
      </w:tblPr>
      <w:tblGrid>
        <w:gridCol w:w="1271"/>
        <w:gridCol w:w="2410"/>
        <w:gridCol w:w="425"/>
        <w:gridCol w:w="5103"/>
      </w:tblGrid>
      <w:tr w:rsidR="005B5CB9" w:rsidRPr="001B5617" w14:paraId="6C35878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40465602" w14:textId="77777777" w:rsidR="005B5CB9" w:rsidRPr="001B5617" w:rsidRDefault="005B5CB9">
            <w:pPr>
              <w:pStyle w:val="Tablecolhead"/>
              <w:rPr>
                <w:rFonts w:eastAsia="Arial"/>
                <w:b/>
                <w:bCs w:val="0"/>
                <w:color w:val="FFFFFF" w:themeColor="background1"/>
                <w:sz w:val="18"/>
                <w:szCs w:val="18"/>
              </w:rPr>
            </w:pPr>
            <w:r w:rsidRPr="001B5617">
              <w:rPr>
                <w:rFonts w:eastAsia="Arial"/>
                <w:b/>
                <w:bCs w:val="0"/>
                <w:color w:val="FFFFFF" w:themeColor="background1"/>
                <w:sz w:val="18"/>
                <w:szCs w:val="18"/>
              </w:rPr>
              <w:t>Activity no.</w:t>
            </w:r>
          </w:p>
        </w:tc>
        <w:tc>
          <w:tcPr>
            <w:tcW w:w="2835" w:type="dxa"/>
            <w:gridSpan w:val="2"/>
          </w:tcPr>
          <w:p w14:paraId="655E73C6"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1B5617">
              <w:rPr>
                <w:rFonts w:eastAsia="Arial"/>
                <w:b/>
                <w:bCs w:val="0"/>
                <w:color w:val="FFFFFF" w:themeColor="background1"/>
                <w:sz w:val="18"/>
                <w:szCs w:val="18"/>
              </w:rPr>
              <w:t>Activity name</w:t>
            </w:r>
          </w:p>
        </w:tc>
        <w:tc>
          <w:tcPr>
            <w:tcW w:w="5103" w:type="dxa"/>
          </w:tcPr>
          <w:p w14:paraId="738C6617" w14:textId="77777777" w:rsidR="005B5CB9" w:rsidRPr="001B5617" w:rsidRDefault="005B5CB9">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18"/>
                <w:szCs w:val="18"/>
              </w:rPr>
            </w:pPr>
            <w:r w:rsidRPr="001B5617">
              <w:rPr>
                <w:rFonts w:eastAsia="Arial"/>
                <w:b/>
                <w:bCs w:val="0"/>
                <w:color w:val="FFFFFF" w:themeColor="background1"/>
                <w:sz w:val="18"/>
                <w:szCs w:val="18"/>
              </w:rPr>
              <w:t>Activity description</w:t>
            </w:r>
          </w:p>
        </w:tc>
      </w:tr>
      <w:tr w:rsidR="005B5CB9" w:rsidRPr="001B5617" w14:paraId="16D073A7" w14:textId="77777777" w:rsidTr="001B56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5C9D1398" w14:textId="77777777" w:rsidR="005B5CB9" w:rsidRPr="001B5617" w:rsidRDefault="005B5CB9">
            <w:pPr>
              <w:pStyle w:val="Tabletext"/>
              <w:rPr>
                <w:b w:val="0"/>
                <w:bCs w:val="0"/>
                <w:szCs w:val="18"/>
              </w:rPr>
            </w:pPr>
            <w:r w:rsidRPr="001B5617">
              <w:rPr>
                <w:szCs w:val="18"/>
              </w:rPr>
              <w:t>28086</w:t>
            </w:r>
          </w:p>
        </w:tc>
        <w:tc>
          <w:tcPr>
            <w:tcW w:w="2410" w:type="dxa"/>
          </w:tcPr>
          <w:p w14:paraId="11058810"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Community health</w:t>
            </w:r>
          </w:p>
        </w:tc>
        <w:tc>
          <w:tcPr>
            <w:tcW w:w="5528" w:type="dxa"/>
            <w:gridSpan w:val="2"/>
          </w:tcPr>
          <w:p w14:paraId="1C417920"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Provision of services including prevention, clinical care, practical assistance, support, referral and advocacy</w:t>
            </w:r>
          </w:p>
        </w:tc>
      </w:tr>
      <w:tr w:rsidR="005B5CB9" w:rsidRPr="001B5617" w14:paraId="77B481B5"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55F19BE4" w14:textId="77777777" w:rsidR="005B5CB9" w:rsidRPr="001B5617" w:rsidRDefault="005B5CB9">
            <w:pPr>
              <w:pStyle w:val="Tabletext"/>
              <w:rPr>
                <w:b w:val="0"/>
                <w:bCs w:val="0"/>
                <w:szCs w:val="18"/>
              </w:rPr>
            </w:pPr>
            <w:r w:rsidRPr="001B5617">
              <w:rPr>
                <w:szCs w:val="18"/>
              </w:rPr>
              <w:lastRenderedPageBreak/>
              <w:t>28071</w:t>
            </w:r>
          </w:p>
        </w:tc>
        <w:tc>
          <w:tcPr>
            <w:tcW w:w="2835" w:type="dxa"/>
            <w:gridSpan w:val="2"/>
          </w:tcPr>
          <w:p w14:paraId="30F66BF2"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1B5617">
              <w:rPr>
                <w:szCs w:val="18"/>
              </w:rPr>
              <w:t>Aboriginal services and support</w:t>
            </w:r>
          </w:p>
        </w:tc>
        <w:tc>
          <w:tcPr>
            <w:tcW w:w="5103" w:type="dxa"/>
          </w:tcPr>
          <w:p w14:paraId="7897EEE3" w14:textId="77777777" w:rsidR="005B5CB9" w:rsidRPr="001B5617" w:rsidRDefault="005B5CB9">
            <w:pPr>
              <w:pStyle w:val="Tabletext"/>
              <w:cnfStyle w:val="000000000000" w:firstRow="0" w:lastRow="0" w:firstColumn="0" w:lastColumn="0" w:oddVBand="0" w:evenVBand="0" w:oddHBand="0" w:evenHBand="0" w:firstRowFirstColumn="0" w:firstRowLastColumn="0" w:lastRowFirstColumn="0" w:lastRowLastColumn="0"/>
              <w:rPr>
                <w:rFonts w:eastAsia="MS Gothic"/>
                <w:szCs w:val="18"/>
              </w:rPr>
            </w:pPr>
            <w:r w:rsidRPr="001B5617">
              <w:rPr>
                <w:szCs w:val="18"/>
              </w:rPr>
              <w:t>Provision of access to a range of services and support including chronic disease prevention, management services and integrated health promotion interventions</w:t>
            </w:r>
          </w:p>
        </w:tc>
      </w:tr>
      <w:tr w:rsidR="005B5CB9" w:rsidRPr="001B5617" w14:paraId="0B89101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62E0F7B6" w14:textId="77777777" w:rsidR="005B5CB9" w:rsidRPr="001B5617" w:rsidRDefault="005B5CB9">
            <w:pPr>
              <w:pStyle w:val="Tabletext"/>
              <w:rPr>
                <w:b w:val="0"/>
                <w:bCs w:val="0"/>
                <w:szCs w:val="18"/>
              </w:rPr>
            </w:pPr>
            <w:r w:rsidRPr="001B5617">
              <w:rPr>
                <w:szCs w:val="18"/>
              </w:rPr>
              <w:t>28072</w:t>
            </w:r>
          </w:p>
        </w:tc>
        <w:tc>
          <w:tcPr>
            <w:tcW w:w="2835" w:type="dxa"/>
            <w:gridSpan w:val="2"/>
          </w:tcPr>
          <w:p w14:paraId="6B8BDDCD"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1B5617">
              <w:rPr>
                <w:szCs w:val="18"/>
              </w:rPr>
              <w:t>Integrated chronic disease management</w:t>
            </w:r>
          </w:p>
        </w:tc>
        <w:tc>
          <w:tcPr>
            <w:tcW w:w="5103" w:type="dxa"/>
          </w:tcPr>
          <w:p w14:paraId="6FC8F5C2" w14:textId="77777777" w:rsidR="005B5CB9" w:rsidRPr="001B5617" w:rsidRDefault="005B5CB9">
            <w:pPr>
              <w:pStyle w:val="Tabletext"/>
              <w:cnfStyle w:val="000000100000" w:firstRow="0" w:lastRow="0" w:firstColumn="0" w:lastColumn="0" w:oddVBand="0" w:evenVBand="0" w:oddHBand="1" w:evenHBand="0" w:firstRowFirstColumn="0" w:firstRowLastColumn="0" w:lastRowFirstColumn="0" w:lastRowLastColumn="0"/>
              <w:rPr>
                <w:rFonts w:eastAsia="MS Gothic"/>
                <w:szCs w:val="18"/>
              </w:rPr>
            </w:pPr>
            <w:r w:rsidRPr="001B5617">
              <w:rPr>
                <w:szCs w:val="18"/>
              </w:rPr>
              <w:t>Provides funds to community health services for integrated chronic disease management encompassing direct care and change management</w:t>
            </w:r>
          </w:p>
        </w:tc>
      </w:tr>
    </w:tbl>
    <w:p w14:paraId="243AD22B" w14:textId="77777777" w:rsidR="005B5CB9" w:rsidRDefault="005B5CB9" w:rsidP="005B5CB9">
      <w:pPr>
        <w:pStyle w:val="Body"/>
      </w:pPr>
    </w:p>
    <w:p w14:paraId="7F9D7B9B" w14:textId="77777777" w:rsidR="005B5CB9" w:rsidRDefault="005B5CB9" w:rsidP="005B5CB9">
      <w:pPr>
        <w:pStyle w:val="Heading1"/>
        <w:spacing w:after="0" w:line="240" w:lineRule="auto"/>
        <w:sectPr w:rsidR="005B5CB9" w:rsidSect="005B5CB9">
          <w:pgSz w:w="11906" w:h="16838" w:code="9"/>
          <w:pgMar w:top="1418" w:right="1304" w:bottom="1134" w:left="1304" w:header="680" w:footer="567" w:gutter="0"/>
          <w:cols w:space="340"/>
          <w:docGrid w:linePitch="360"/>
        </w:sectPr>
      </w:pPr>
    </w:p>
    <w:p w14:paraId="579BEE28" w14:textId="3D847DD5" w:rsidR="005B5CB9" w:rsidRPr="004903A7" w:rsidRDefault="005B5CB9" w:rsidP="00FC7E53">
      <w:pPr>
        <w:pStyle w:val="Heading1"/>
        <w:spacing w:before="0"/>
        <w:ind w:left="851" w:hanging="851"/>
      </w:pPr>
      <w:bookmarkStart w:id="2320" w:name="_16_Budget_tables"/>
      <w:bookmarkStart w:id="2321" w:name="_Toc234580369"/>
      <w:bookmarkEnd w:id="2320"/>
      <w:r>
        <w:lastRenderedPageBreak/>
        <w:t xml:space="preserve">Budget </w:t>
      </w:r>
      <w:bookmarkEnd w:id="2312"/>
      <w:bookmarkEnd w:id="2313"/>
      <w:bookmarkEnd w:id="2314"/>
      <w:bookmarkEnd w:id="2315"/>
      <w:bookmarkEnd w:id="2316"/>
      <w:r>
        <w:t>tables</w:t>
      </w:r>
      <w:bookmarkEnd w:id="2317"/>
      <w:bookmarkEnd w:id="2321"/>
    </w:p>
    <w:p w14:paraId="140C5052" w14:textId="3C6E6036" w:rsidR="005B5CB9" w:rsidRPr="00D750E5" w:rsidRDefault="005B5CB9" w:rsidP="005B5CB9">
      <w:pPr>
        <w:pStyle w:val="Bullet1"/>
        <w:numPr>
          <w:ilvl w:val="0"/>
          <w:numId w:val="0"/>
        </w:numPr>
      </w:pPr>
      <w:bookmarkStart w:id="2322" w:name="_Toc12780560"/>
      <w:bookmarkStart w:id="2323" w:name="_Toc14194816"/>
      <w:bookmarkStart w:id="2324" w:name="_Toc33703997"/>
      <w:r>
        <w:t xml:space="preserve">Budget tables will be </w:t>
      </w:r>
      <w:r w:rsidR="0044444B">
        <w:t xml:space="preserve">included </w:t>
      </w:r>
      <w:r>
        <w:t xml:space="preserve">in </w:t>
      </w:r>
      <w:r w:rsidR="00790CF5">
        <w:t xml:space="preserve">the </w:t>
      </w:r>
      <w:r w:rsidR="001B5617">
        <w:t>T</w:t>
      </w:r>
      <w:r>
        <w:t xml:space="preserve">ranche 2 release of the Policy and Funding Guidelines: </w:t>
      </w:r>
      <w:r w:rsidR="006D5696">
        <w:t>Funding rules</w:t>
      </w:r>
      <w:r>
        <w:t xml:space="preserve">. </w:t>
      </w:r>
    </w:p>
    <w:p w14:paraId="377220D2" w14:textId="6342CA73" w:rsidR="005B5CB9" w:rsidRPr="00445B44" w:rsidRDefault="005B5CB9" w:rsidP="005B5CB9">
      <w:pPr>
        <w:pStyle w:val="Heading1"/>
      </w:pPr>
      <w:bookmarkStart w:id="2325" w:name="_17_Activity_target"/>
      <w:bookmarkStart w:id="2326" w:name="_Toc100263374"/>
      <w:bookmarkStart w:id="2327" w:name="_Toc165961870"/>
      <w:bookmarkStart w:id="2328" w:name="_Toc234580370"/>
      <w:bookmarkEnd w:id="2322"/>
      <w:bookmarkEnd w:id="2323"/>
      <w:bookmarkEnd w:id="2324"/>
      <w:bookmarkEnd w:id="2325"/>
      <w:r>
        <w:lastRenderedPageBreak/>
        <w:t xml:space="preserve">Activity target </w:t>
      </w:r>
      <w:bookmarkEnd w:id="2326"/>
      <w:r>
        <w:t>tables</w:t>
      </w:r>
      <w:bookmarkEnd w:id="2327"/>
      <w:bookmarkEnd w:id="2328"/>
      <w:r>
        <w:t xml:space="preserve"> </w:t>
      </w:r>
    </w:p>
    <w:p w14:paraId="3061F99F" w14:textId="145D97B0" w:rsidR="005B5CB9" w:rsidRPr="00EA3B00" w:rsidRDefault="005B5CB9" w:rsidP="005B5CB9">
      <w:pPr>
        <w:pStyle w:val="Heading2"/>
      </w:pPr>
      <w:bookmarkStart w:id="2329" w:name="_Victorian_Acute_Admitted"/>
      <w:bookmarkStart w:id="2330" w:name="_Toc12780671"/>
      <w:bookmarkStart w:id="2331" w:name="_Toc14172312"/>
      <w:bookmarkStart w:id="2332" w:name="_Toc33703986"/>
      <w:bookmarkStart w:id="2333" w:name="_Toc55381174"/>
      <w:bookmarkStart w:id="2334" w:name="_Toc100263379"/>
      <w:bookmarkStart w:id="2335" w:name="_Toc165961875"/>
      <w:bookmarkStart w:id="2336" w:name="_Toc234580371"/>
      <w:bookmarkEnd w:id="2329"/>
      <w:r>
        <w:t xml:space="preserve">Transition Care Program </w:t>
      </w:r>
      <w:bookmarkEnd w:id="2330"/>
      <w:bookmarkEnd w:id="2331"/>
      <w:bookmarkEnd w:id="2332"/>
      <w:bookmarkEnd w:id="2333"/>
      <w:bookmarkEnd w:id="2334"/>
      <w:r>
        <w:t xml:space="preserve">targets </w:t>
      </w:r>
      <w:bookmarkEnd w:id="2335"/>
      <w:r w:rsidRPr="005561A3">
        <w:t>2026</w:t>
      </w:r>
      <w:r>
        <w:t>–</w:t>
      </w:r>
      <w:r w:rsidRPr="005561A3">
        <w:t>27</w:t>
      </w:r>
      <w:bookmarkEnd w:id="2336"/>
    </w:p>
    <w:p w14:paraId="39B220BA" w14:textId="3FFB0BAC" w:rsidR="005B5CB9" w:rsidRPr="00EA3B00" w:rsidRDefault="005B5CB9" w:rsidP="00FF2D3D">
      <w:pPr>
        <w:pStyle w:val="Tablecaption"/>
        <w:spacing w:before="120"/>
      </w:pPr>
      <w:bookmarkStart w:id="2337" w:name="_Toc232527276"/>
      <w:r w:rsidRPr="00EA3B00">
        <w:t xml:space="preserve">Table </w:t>
      </w:r>
      <w:r>
        <w:t>2</w:t>
      </w:r>
      <w:r w:rsidR="00B24E97">
        <w:t>8</w:t>
      </w:r>
      <w:r>
        <w:t>:</w:t>
      </w:r>
      <w:r w:rsidRPr="00EA3B00">
        <w:t xml:space="preserve"> Transition Care Program targets </w:t>
      </w:r>
      <w:r w:rsidR="009D05A6">
        <w:t>2026–27</w:t>
      </w:r>
      <w:bookmarkEnd w:id="2337"/>
    </w:p>
    <w:p w14:paraId="019E62DB" w14:textId="14988CB3" w:rsidR="005B5CB9" w:rsidRPr="00010DD3" w:rsidRDefault="005B5CB9" w:rsidP="005B5CB9">
      <w:pPr>
        <w:pStyle w:val="Body"/>
        <w:rPr>
          <w:szCs w:val="21"/>
        </w:rPr>
      </w:pPr>
      <w:r w:rsidRPr="00010DD3">
        <w:rPr>
          <w:szCs w:val="21"/>
        </w:rPr>
        <w:t>Not</w:t>
      </w:r>
      <w:r w:rsidR="00010DD3">
        <w:rPr>
          <w:szCs w:val="21"/>
        </w:rPr>
        <w:t>e</w:t>
      </w:r>
      <w:r w:rsidR="00294F60">
        <w:rPr>
          <w:szCs w:val="21"/>
        </w:rPr>
        <w:t xml:space="preserve"> that</w:t>
      </w:r>
      <w:r w:rsidR="00010DD3">
        <w:rPr>
          <w:szCs w:val="21"/>
        </w:rPr>
        <w:t>:</w:t>
      </w:r>
    </w:p>
    <w:p w14:paraId="34431286" w14:textId="77777777" w:rsidR="005B5CB9" w:rsidRPr="005561A3" w:rsidRDefault="005B5CB9" w:rsidP="00010DD3">
      <w:pPr>
        <w:pStyle w:val="Bullet1"/>
      </w:pPr>
      <w:r w:rsidRPr="005561A3">
        <w:t xml:space="preserve">Target is 100% of stated annual figure. </w:t>
      </w:r>
    </w:p>
    <w:p w14:paraId="0C2A638B" w14:textId="77777777" w:rsidR="005B5CB9" w:rsidRPr="005561A3" w:rsidRDefault="005B5CB9" w:rsidP="00010DD3">
      <w:pPr>
        <w:pStyle w:val="Bullet1"/>
      </w:pPr>
      <w:r w:rsidRPr="005561A3">
        <w:t xml:space="preserve">Variation in figures in ‘Total full occupancy’ represents rounding applied to MAPS values. </w:t>
      </w:r>
    </w:p>
    <w:p w14:paraId="513987B3" w14:textId="77777777" w:rsidR="005B5CB9" w:rsidRDefault="005B5CB9" w:rsidP="00010DD3">
      <w:pPr>
        <w:pStyle w:val="Bullet1"/>
        <w:spacing w:after="120"/>
      </w:pPr>
      <w:r w:rsidRPr="005561A3">
        <w:t>Annual targets may not be evenly distributed across quarters for some providers.</w:t>
      </w:r>
    </w:p>
    <w:tbl>
      <w:tblPr>
        <w:tblStyle w:val="GridTable4-Accent1"/>
        <w:tblW w:w="5000" w:type="pct"/>
        <w:tblLook w:val="04A0" w:firstRow="1" w:lastRow="0" w:firstColumn="1" w:lastColumn="0" w:noHBand="0" w:noVBand="1"/>
      </w:tblPr>
      <w:tblGrid>
        <w:gridCol w:w="2917"/>
        <w:gridCol w:w="2124"/>
        <w:gridCol w:w="2124"/>
        <w:gridCol w:w="2123"/>
      </w:tblGrid>
      <w:tr w:rsidR="005B5CB9" w:rsidRPr="00010DD3" w14:paraId="0342F83B" w14:textId="77777777" w:rsidTr="008763B3">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570" w:type="pct"/>
          </w:tcPr>
          <w:p w14:paraId="2717C910" w14:textId="77777777" w:rsidR="005B5CB9" w:rsidRPr="00010DD3" w:rsidRDefault="005B5CB9">
            <w:pPr>
              <w:pStyle w:val="Tablecolhead8pt"/>
              <w:rPr>
                <w:b/>
                <w:sz w:val="18"/>
                <w:szCs w:val="18"/>
              </w:rPr>
            </w:pPr>
            <w:r w:rsidRPr="00010DD3">
              <w:rPr>
                <w:b/>
                <w:color w:val="FFFFFF" w:themeColor="background1"/>
                <w:sz w:val="18"/>
                <w:szCs w:val="18"/>
              </w:rPr>
              <w:t>Health Service</w:t>
            </w:r>
          </w:p>
        </w:tc>
        <w:tc>
          <w:tcPr>
            <w:tcW w:w="1143" w:type="pct"/>
          </w:tcPr>
          <w:p w14:paraId="568943AD" w14:textId="77777777" w:rsidR="005B5CB9" w:rsidRPr="00010DD3" w:rsidRDefault="005B5CB9">
            <w:pPr>
              <w:pStyle w:val="Tablecolhead8pt"/>
              <w:cnfStyle w:val="100000000000" w:firstRow="1" w:lastRow="0" w:firstColumn="0" w:lastColumn="0" w:oddVBand="0" w:evenVBand="0" w:oddHBand="0" w:evenHBand="0" w:firstRowFirstColumn="0" w:firstRowLastColumn="0" w:lastRowFirstColumn="0" w:lastRowLastColumn="0"/>
              <w:rPr>
                <w:b/>
                <w:sz w:val="18"/>
                <w:szCs w:val="18"/>
              </w:rPr>
            </w:pPr>
            <w:r w:rsidRPr="00010DD3">
              <w:rPr>
                <w:b/>
                <w:color w:val="FFFFFF" w:themeColor="background1"/>
                <w:sz w:val="18"/>
                <w:szCs w:val="18"/>
              </w:rPr>
              <w:t>TCP residential (bed day) full occupancy</w:t>
            </w:r>
          </w:p>
        </w:tc>
        <w:tc>
          <w:tcPr>
            <w:tcW w:w="1143" w:type="pct"/>
          </w:tcPr>
          <w:p w14:paraId="6AF62E05" w14:textId="77777777" w:rsidR="005B5CB9" w:rsidRPr="00010DD3" w:rsidRDefault="005B5CB9">
            <w:pPr>
              <w:pStyle w:val="Tablecolhead8pt"/>
              <w:cnfStyle w:val="100000000000" w:firstRow="1" w:lastRow="0" w:firstColumn="0" w:lastColumn="0" w:oddVBand="0" w:evenVBand="0" w:oddHBand="0" w:evenHBand="0" w:firstRowFirstColumn="0" w:firstRowLastColumn="0" w:lastRowFirstColumn="0" w:lastRowLastColumn="0"/>
              <w:rPr>
                <w:b/>
                <w:sz w:val="18"/>
                <w:szCs w:val="18"/>
              </w:rPr>
            </w:pPr>
            <w:r w:rsidRPr="00010DD3">
              <w:rPr>
                <w:b/>
                <w:color w:val="FFFFFF" w:themeColor="background1"/>
                <w:sz w:val="18"/>
                <w:szCs w:val="18"/>
              </w:rPr>
              <w:t xml:space="preserve">TCP community (home day) full occupancy </w:t>
            </w:r>
          </w:p>
        </w:tc>
        <w:tc>
          <w:tcPr>
            <w:tcW w:w="1143" w:type="pct"/>
          </w:tcPr>
          <w:p w14:paraId="01505E6C" w14:textId="77777777" w:rsidR="005B5CB9" w:rsidRPr="00010DD3" w:rsidRDefault="005B5CB9">
            <w:pPr>
              <w:pStyle w:val="Tablecolhead8pt"/>
              <w:cnfStyle w:val="100000000000" w:firstRow="1" w:lastRow="0" w:firstColumn="0" w:lastColumn="0" w:oddVBand="0" w:evenVBand="0" w:oddHBand="0" w:evenHBand="0" w:firstRowFirstColumn="0" w:firstRowLastColumn="0" w:lastRowFirstColumn="0" w:lastRowLastColumn="0"/>
              <w:rPr>
                <w:b/>
                <w:sz w:val="18"/>
                <w:szCs w:val="18"/>
              </w:rPr>
            </w:pPr>
            <w:r w:rsidRPr="00010DD3">
              <w:rPr>
                <w:b/>
                <w:color w:val="FFFFFF" w:themeColor="background1"/>
                <w:sz w:val="18"/>
                <w:szCs w:val="18"/>
              </w:rPr>
              <w:t>Total full occupancy</w:t>
            </w:r>
          </w:p>
        </w:tc>
      </w:tr>
      <w:tr w:rsidR="005B5CB9" w:rsidRPr="00010DD3" w14:paraId="39977DB8"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3B399C3E" w14:textId="77777777" w:rsidR="005B5CB9" w:rsidRPr="00010DD3" w:rsidRDefault="005B5CB9">
            <w:pPr>
              <w:pStyle w:val="Tabletext"/>
              <w:rPr>
                <w:szCs w:val="18"/>
              </w:rPr>
            </w:pPr>
            <w:r w:rsidRPr="00010DD3">
              <w:rPr>
                <w:szCs w:val="18"/>
              </w:rPr>
              <w:t>Austin Health</w:t>
            </w:r>
          </w:p>
        </w:tc>
        <w:tc>
          <w:tcPr>
            <w:tcW w:w="1143" w:type="pct"/>
          </w:tcPr>
          <w:p w14:paraId="2C2BCD54"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7,643</w:t>
            </w:r>
          </w:p>
        </w:tc>
        <w:tc>
          <w:tcPr>
            <w:tcW w:w="1143" w:type="pct"/>
          </w:tcPr>
          <w:p w14:paraId="2770CFBB"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11,317</w:t>
            </w:r>
          </w:p>
        </w:tc>
        <w:tc>
          <w:tcPr>
            <w:tcW w:w="1143" w:type="pct"/>
          </w:tcPr>
          <w:p w14:paraId="2DDE05F6"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18,960</w:t>
            </w:r>
          </w:p>
        </w:tc>
      </w:tr>
      <w:tr w:rsidR="005B5CB9" w:rsidRPr="00010DD3" w14:paraId="67C5632B"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03BEBD09" w14:textId="77777777" w:rsidR="005B5CB9" w:rsidRPr="00010DD3" w:rsidRDefault="005B5CB9">
            <w:pPr>
              <w:pStyle w:val="Tabletext"/>
              <w:rPr>
                <w:szCs w:val="18"/>
              </w:rPr>
            </w:pPr>
            <w:r w:rsidRPr="00010DD3">
              <w:rPr>
                <w:szCs w:val="18"/>
              </w:rPr>
              <w:t>Barwon Health</w:t>
            </w:r>
          </w:p>
        </w:tc>
        <w:tc>
          <w:tcPr>
            <w:tcW w:w="1143" w:type="pct"/>
          </w:tcPr>
          <w:p w14:paraId="4766B6CB"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12,398</w:t>
            </w:r>
          </w:p>
        </w:tc>
        <w:tc>
          <w:tcPr>
            <w:tcW w:w="1143" w:type="pct"/>
          </w:tcPr>
          <w:p w14:paraId="4A7F703F"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7,302</w:t>
            </w:r>
          </w:p>
        </w:tc>
        <w:tc>
          <w:tcPr>
            <w:tcW w:w="1143" w:type="pct"/>
          </w:tcPr>
          <w:p w14:paraId="16020D50"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19,700</w:t>
            </w:r>
          </w:p>
        </w:tc>
      </w:tr>
      <w:tr w:rsidR="005B5CB9" w:rsidRPr="00010DD3" w14:paraId="2477CADE"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1A7A4FCD" w14:textId="77777777" w:rsidR="005B5CB9" w:rsidRPr="00010DD3" w:rsidRDefault="005B5CB9">
            <w:pPr>
              <w:pStyle w:val="Tabletext"/>
              <w:rPr>
                <w:szCs w:val="18"/>
              </w:rPr>
            </w:pPr>
            <w:r w:rsidRPr="00010DD3">
              <w:rPr>
                <w:szCs w:val="18"/>
              </w:rPr>
              <w:t>Bayside Health</w:t>
            </w:r>
          </w:p>
        </w:tc>
        <w:tc>
          <w:tcPr>
            <w:tcW w:w="1143" w:type="pct"/>
          </w:tcPr>
          <w:p w14:paraId="61542384"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21,900</w:t>
            </w:r>
          </w:p>
        </w:tc>
        <w:tc>
          <w:tcPr>
            <w:tcW w:w="1143" w:type="pct"/>
          </w:tcPr>
          <w:p w14:paraId="73E37A0F"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37,867</w:t>
            </w:r>
          </w:p>
        </w:tc>
        <w:tc>
          <w:tcPr>
            <w:tcW w:w="1143" w:type="pct"/>
          </w:tcPr>
          <w:p w14:paraId="78CE7BFE"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59,767</w:t>
            </w:r>
          </w:p>
        </w:tc>
      </w:tr>
      <w:tr w:rsidR="005B5CB9" w:rsidRPr="00010DD3" w14:paraId="331A6219"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22AE6969" w14:textId="77777777" w:rsidR="005B5CB9" w:rsidRPr="00010DD3" w:rsidRDefault="005B5CB9">
            <w:pPr>
              <w:pStyle w:val="Tabletext"/>
              <w:rPr>
                <w:szCs w:val="18"/>
              </w:rPr>
            </w:pPr>
            <w:r w:rsidRPr="00010DD3">
              <w:rPr>
                <w:szCs w:val="18"/>
              </w:rPr>
              <w:t>Bendigo Health</w:t>
            </w:r>
          </w:p>
        </w:tc>
        <w:tc>
          <w:tcPr>
            <w:tcW w:w="1143" w:type="pct"/>
          </w:tcPr>
          <w:p w14:paraId="180EB4EB"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18,220</w:t>
            </w:r>
          </w:p>
        </w:tc>
        <w:tc>
          <w:tcPr>
            <w:tcW w:w="1143" w:type="pct"/>
          </w:tcPr>
          <w:p w14:paraId="073F51B3"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12,814</w:t>
            </w:r>
          </w:p>
        </w:tc>
        <w:tc>
          <w:tcPr>
            <w:tcW w:w="1143" w:type="pct"/>
          </w:tcPr>
          <w:p w14:paraId="232DE797"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31,034</w:t>
            </w:r>
          </w:p>
        </w:tc>
      </w:tr>
      <w:tr w:rsidR="005B5CB9" w:rsidRPr="00010DD3" w14:paraId="4D4A4749"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1632358C" w14:textId="77777777" w:rsidR="005B5CB9" w:rsidRPr="00010DD3" w:rsidRDefault="005B5CB9">
            <w:pPr>
              <w:pStyle w:val="Tabletext"/>
              <w:rPr>
                <w:szCs w:val="18"/>
              </w:rPr>
            </w:pPr>
            <w:r w:rsidRPr="00010DD3">
              <w:rPr>
                <w:szCs w:val="18"/>
              </w:rPr>
              <w:t>Eastern Health</w:t>
            </w:r>
          </w:p>
        </w:tc>
        <w:tc>
          <w:tcPr>
            <w:tcW w:w="1143" w:type="pct"/>
          </w:tcPr>
          <w:p w14:paraId="1F3CF4E2"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23,749</w:t>
            </w:r>
          </w:p>
        </w:tc>
        <w:tc>
          <w:tcPr>
            <w:tcW w:w="1143" w:type="pct"/>
          </w:tcPr>
          <w:p w14:paraId="008B3E59"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10,533</w:t>
            </w:r>
          </w:p>
        </w:tc>
        <w:tc>
          <w:tcPr>
            <w:tcW w:w="1143" w:type="pct"/>
          </w:tcPr>
          <w:p w14:paraId="78E3914E"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34,281</w:t>
            </w:r>
          </w:p>
        </w:tc>
      </w:tr>
      <w:tr w:rsidR="005B5CB9" w:rsidRPr="00010DD3" w14:paraId="23D2B53F"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359D9AC1" w14:textId="77777777" w:rsidR="005B5CB9" w:rsidRPr="00010DD3" w:rsidRDefault="005B5CB9">
            <w:pPr>
              <w:pStyle w:val="Tabletext"/>
              <w:rPr>
                <w:szCs w:val="18"/>
              </w:rPr>
            </w:pPr>
            <w:r w:rsidRPr="00010DD3">
              <w:rPr>
                <w:szCs w:val="18"/>
              </w:rPr>
              <w:t>Goulburn Valley Health</w:t>
            </w:r>
          </w:p>
        </w:tc>
        <w:tc>
          <w:tcPr>
            <w:tcW w:w="1143" w:type="pct"/>
          </w:tcPr>
          <w:p w14:paraId="7A46B2C7"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13,824</w:t>
            </w:r>
          </w:p>
        </w:tc>
        <w:tc>
          <w:tcPr>
            <w:tcW w:w="1143" w:type="pct"/>
          </w:tcPr>
          <w:p w14:paraId="0545863D"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14,252</w:t>
            </w:r>
          </w:p>
        </w:tc>
        <w:tc>
          <w:tcPr>
            <w:tcW w:w="1143" w:type="pct"/>
          </w:tcPr>
          <w:p w14:paraId="573B9512"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28,076</w:t>
            </w:r>
          </w:p>
        </w:tc>
      </w:tr>
      <w:tr w:rsidR="005B5CB9" w:rsidRPr="00010DD3" w14:paraId="699C04ED"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65800654" w14:textId="77777777" w:rsidR="005B5CB9" w:rsidRPr="00010DD3" w:rsidRDefault="005B5CB9">
            <w:pPr>
              <w:pStyle w:val="Tabletext"/>
              <w:rPr>
                <w:szCs w:val="18"/>
              </w:rPr>
            </w:pPr>
            <w:r w:rsidRPr="00010DD3">
              <w:rPr>
                <w:szCs w:val="18"/>
              </w:rPr>
              <w:t>Grampians Health</w:t>
            </w:r>
          </w:p>
        </w:tc>
        <w:tc>
          <w:tcPr>
            <w:tcW w:w="1143" w:type="pct"/>
          </w:tcPr>
          <w:p w14:paraId="7B7FB98D"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13,847</w:t>
            </w:r>
          </w:p>
        </w:tc>
        <w:tc>
          <w:tcPr>
            <w:tcW w:w="1143" w:type="pct"/>
          </w:tcPr>
          <w:p w14:paraId="6DFE4BC8"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9,153</w:t>
            </w:r>
          </w:p>
        </w:tc>
        <w:tc>
          <w:tcPr>
            <w:tcW w:w="1143" w:type="pct"/>
          </w:tcPr>
          <w:p w14:paraId="4FAE37B5"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23,000</w:t>
            </w:r>
          </w:p>
        </w:tc>
      </w:tr>
      <w:tr w:rsidR="005B5CB9" w:rsidRPr="00010DD3" w14:paraId="28C1FF54"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2175E0B3" w14:textId="77777777" w:rsidR="005B5CB9" w:rsidRPr="00010DD3" w:rsidRDefault="005B5CB9">
            <w:pPr>
              <w:pStyle w:val="Tabletext"/>
              <w:rPr>
                <w:szCs w:val="18"/>
              </w:rPr>
            </w:pPr>
            <w:r w:rsidRPr="00010DD3">
              <w:rPr>
                <w:szCs w:val="18"/>
              </w:rPr>
              <w:t>Latrobe Regional Health</w:t>
            </w:r>
          </w:p>
        </w:tc>
        <w:tc>
          <w:tcPr>
            <w:tcW w:w="1143" w:type="pct"/>
          </w:tcPr>
          <w:p w14:paraId="4239FC62"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9,095</w:t>
            </w:r>
          </w:p>
        </w:tc>
        <w:tc>
          <w:tcPr>
            <w:tcW w:w="1143" w:type="pct"/>
          </w:tcPr>
          <w:p w14:paraId="45940EC6"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7,668</w:t>
            </w:r>
          </w:p>
        </w:tc>
        <w:tc>
          <w:tcPr>
            <w:tcW w:w="1143" w:type="pct"/>
          </w:tcPr>
          <w:p w14:paraId="5C078D3B"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16,764</w:t>
            </w:r>
          </w:p>
        </w:tc>
      </w:tr>
      <w:tr w:rsidR="005B5CB9" w:rsidRPr="00010DD3" w14:paraId="7AC0B084"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356D0CC3" w14:textId="77777777" w:rsidR="005B5CB9" w:rsidRPr="00010DD3" w:rsidRDefault="005B5CB9">
            <w:pPr>
              <w:pStyle w:val="Tabletext"/>
              <w:rPr>
                <w:szCs w:val="18"/>
              </w:rPr>
            </w:pPr>
            <w:r w:rsidRPr="00010DD3">
              <w:rPr>
                <w:szCs w:val="18"/>
              </w:rPr>
              <w:t>Melbourne Health</w:t>
            </w:r>
          </w:p>
        </w:tc>
        <w:tc>
          <w:tcPr>
            <w:tcW w:w="1143" w:type="pct"/>
          </w:tcPr>
          <w:p w14:paraId="338F671D"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8,373</w:t>
            </w:r>
          </w:p>
        </w:tc>
        <w:tc>
          <w:tcPr>
            <w:tcW w:w="1143" w:type="pct"/>
          </w:tcPr>
          <w:p w14:paraId="1F7387F2"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14,652</w:t>
            </w:r>
          </w:p>
        </w:tc>
        <w:tc>
          <w:tcPr>
            <w:tcW w:w="1143" w:type="pct"/>
          </w:tcPr>
          <w:p w14:paraId="2E332289"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23,026</w:t>
            </w:r>
          </w:p>
        </w:tc>
      </w:tr>
      <w:tr w:rsidR="005B5CB9" w:rsidRPr="00010DD3" w14:paraId="571226AD"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4D40B47C" w14:textId="77777777" w:rsidR="005B5CB9" w:rsidRPr="00010DD3" w:rsidRDefault="005B5CB9">
            <w:pPr>
              <w:pStyle w:val="Tabletext"/>
              <w:rPr>
                <w:szCs w:val="18"/>
              </w:rPr>
            </w:pPr>
            <w:r w:rsidRPr="00010DD3">
              <w:rPr>
                <w:szCs w:val="18"/>
              </w:rPr>
              <w:t>Mildura Base Public Hospital</w:t>
            </w:r>
          </w:p>
        </w:tc>
        <w:tc>
          <w:tcPr>
            <w:tcW w:w="1143" w:type="pct"/>
          </w:tcPr>
          <w:p w14:paraId="4658CEB1"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1018</w:t>
            </w:r>
          </w:p>
        </w:tc>
        <w:tc>
          <w:tcPr>
            <w:tcW w:w="1143" w:type="pct"/>
          </w:tcPr>
          <w:p w14:paraId="57FE2761"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5533</w:t>
            </w:r>
          </w:p>
        </w:tc>
        <w:tc>
          <w:tcPr>
            <w:tcW w:w="1143" w:type="pct"/>
          </w:tcPr>
          <w:p w14:paraId="4C398E3A"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6551</w:t>
            </w:r>
          </w:p>
        </w:tc>
      </w:tr>
      <w:tr w:rsidR="005B5CB9" w:rsidRPr="00010DD3" w14:paraId="73FC7C49"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6E62B25B" w14:textId="77777777" w:rsidR="005B5CB9" w:rsidRPr="00010DD3" w:rsidRDefault="005B5CB9">
            <w:pPr>
              <w:pStyle w:val="Tabletext"/>
              <w:rPr>
                <w:szCs w:val="18"/>
              </w:rPr>
            </w:pPr>
            <w:r w:rsidRPr="00010DD3">
              <w:rPr>
                <w:szCs w:val="18"/>
              </w:rPr>
              <w:t>Monash Health</w:t>
            </w:r>
          </w:p>
        </w:tc>
        <w:tc>
          <w:tcPr>
            <w:tcW w:w="1143" w:type="pct"/>
          </w:tcPr>
          <w:p w14:paraId="5B614265"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17,491</w:t>
            </w:r>
          </w:p>
        </w:tc>
        <w:tc>
          <w:tcPr>
            <w:tcW w:w="1143" w:type="pct"/>
          </w:tcPr>
          <w:p w14:paraId="3D3D07EA"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12,837</w:t>
            </w:r>
          </w:p>
        </w:tc>
        <w:tc>
          <w:tcPr>
            <w:tcW w:w="1143" w:type="pct"/>
          </w:tcPr>
          <w:p w14:paraId="69657313"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30,329</w:t>
            </w:r>
          </w:p>
        </w:tc>
      </w:tr>
      <w:tr w:rsidR="005B5CB9" w:rsidRPr="00010DD3" w14:paraId="423ED477"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3838FB4D" w14:textId="77777777" w:rsidR="005B5CB9" w:rsidRPr="00010DD3" w:rsidRDefault="005B5CB9">
            <w:pPr>
              <w:pStyle w:val="Tabletext"/>
              <w:rPr>
                <w:szCs w:val="18"/>
              </w:rPr>
            </w:pPr>
            <w:r w:rsidRPr="00010DD3">
              <w:rPr>
                <w:szCs w:val="18"/>
              </w:rPr>
              <w:t>Northern Health</w:t>
            </w:r>
          </w:p>
        </w:tc>
        <w:tc>
          <w:tcPr>
            <w:tcW w:w="1143" w:type="pct"/>
          </w:tcPr>
          <w:p w14:paraId="7D0D7955"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8,728</w:t>
            </w:r>
          </w:p>
        </w:tc>
        <w:tc>
          <w:tcPr>
            <w:tcW w:w="1143" w:type="pct"/>
          </w:tcPr>
          <w:p w14:paraId="08F4B335"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16,466</w:t>
            </w:r>
          </w:p>
        </w:tc>
        <w:tc>
          <w:tcPr>
            <w:tcW w:w="1143" w:type="pct"/>
          </w:tcPr>
          <w:p w14:paraId="2E8BBF83"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25,194</w:t>
            </w:r>
          </w:p>
        </w:tc>
      </w:tr>
      <w:tr w:rsidR="005B5CB9" w:rsidRPr="00010DD3" w14:paraId="5C8BE648"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7F69A4D4" w14:textId="77777777" w:rsidR="005B5CB9" w:rsidRPr="00010DD3" w:rsidRDefault="005B5CB9">
            <w:pPr>
              <w:pStyle w:val="Tabletext"/>
              <w:rPr>
                <w:szCs w:val="18"/>
              </w:rPr>
            </w:pPr>
            <w:proofErr w:type="gramStart"/>
            <w:r w:rsidRPr="00010DD3">
              <w:rPr>
                <w:szCs w:val="18"/>
              </w:rPr>
              <w:t>South West</w:t>
            </w:r>
            <w:proofErr w:type="gramEnd"/>
            <w:r w:rsidRPr="00010DD3">
              <w:rPr>
                <w:szCs w:val="18"/>
              </w:rPr>
              <w:t xml:space="preserve"> Healthcare</w:t>
            </w:r>
          </w:p>
        </w:tc>
        <w:tc>
          <w:tcPr>
            <w:tcW w:w="1143" w:type="pct"/>
          </w:tcPr>
          <w:p w14:paraId="12E563C9"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3,645</w:t>
            </w:r>
          </w:p>
        </w:tc>
        <w:tc>
          <w:tcPr>
            <w:tcW w:w="1143" w:type="pct"/>
          </w:tcPr>
          <w:p w14:paraId="0531D8C9"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3,663</w:t>
            </w:r>
          </w:p>
        </w:tc>
        <w:tc>
          <w:tcPr>
            <w:tcW w:w="1143" w:type="pct"/>
          </w:tcPr>
          <w:p w14:paraId="6456446D"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7,309</w:t>
            </w:r>
          </w:p>
        </w:tc>
      </w:tr>
      <w:tr w:rsidR="005B5CB9" w:rsidRPr="00010DD3" w14:paraId="79781C06"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7E0E4C71" w14:textId="77777777" w:rsidR="005B5CB9" w:rsidRPr="00010DD3" w:rsidRDefault="005B5CB9">
            <w:pPr>
              <w:pStyle w:val="Tabletext"/>
              <w:rPr>
                <w:szCs w:val="18"/>
              </w:rPr>
            </w:pPr>
            <w:r w:rsidRPr="00010DD3">
              <w:rPr>
                <w:szCs w:val="18"/>
              </w:rPr>
              <w:t>St Vincents Hospital Melbourne Limited</w:t>
            </w:r>
          </w:p>
        </w:tc>
        <w:tc>
          <w:tcPr>
            <w:tcW w:w="1143" w:type="pct"/>
          </w:tcPr>
          <w:p w14:paraId="059787A9"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9,472</w:t>
            </w:r>
          </w:p>
        </w:tc>
        <w:tc>
          <w:tcPr>
            <w:tcW w:w="1143" w:type="pct"/>
          </w:tcPr>
          <w:p w14:paraId="213C1492"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16,459</w:t>
            </w:r>
          </w:p>
        </w:tc>
        <w:tc>
          <w:tcPr>
            <w:tcW w:w="1143" w:type="pct"/>
          </w:tcPr>
          <w:p w14:paraId="18EDE508"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25,931</w:t>
            </w:r>
          </w:p>
        </w:tc>
      </w:tr>
      <w:tr w:rsidR="005B5CB9" w:rsidRPr="00010DD3" w14:paraId="521B86AC"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0FD81442" w14:textId="77777777" w:rsidR="005B5CB9" w:rsidRPr="00010DD3" w:rsidRDefault="005B5CB9">
            <w:pPr>
              <w:pStyle w:val="Tabletext"/>
              <w:rPr>
                <w:szCs w:val="18"/>
              </w:rPr>
            </w:pPr>
            <w:r w:rsidRPr="00010DD3">
              <w:rPr>
                <w:szCs w:val="18"/>
              </w:rPr>
              <w:t>Western District Health Service</w:t>
            </w:r>
          </w:p>
        </w:tc>
        <w:tc>
          <w:tcPr>
            <w:tcW w:w="1143" w:type="pct"/>
          </w:tcPr>
          <w:p w14:paraId="6F8DE80A"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1,094</w:t>
            </w:r>
          </w:p>
        </w:tc>
        <w:tc>
          <w:tcPr>
            <w:tcW w:w="1143" w:type="pct"/>
          </w:tcPr>
          <w:p w14:paraId="320BAD16" w14:textId="77777777" w:rsidR="005B5CB9" w:rsidRPr="00010DD3" w:rsidRDefault="005B5CB9">
            <w:pPr>
              <w:pStyle w:val="Tabletext"/>
              <w:cnfStyle w:val="000000100000" w:firstRow="0" w:lastRow="0" w:firstColumn="0" w:lastColumn="0" w:oddVBand="0" w:evenVBand="0" w:oddHBand="1" w:evenHBand="0" w:firstRowFirstColumn="0" w:firstRowLastColumn="0" w:lastRowFirstColumn="0" w:lastRowLastColumn="0"/>
              <w:rPr>
                <w:szCs w:val="18"/>
              </w:rPr>
            </w:pPr>
            <w:r w:rsidRPr="00010DD3">
              <w:rPr>
                <w:szCs w:val="18"/>
              </w:rPr>
              <w:t>1,468</w:t>
            </w:r>
          </w:p>
        </w:tc>
        <w:tc>
          <w:tcPr>
            <w:tcW w:w="1143" w:type="pct"/>
          </w:tcPr>
          <w:p w14:paraId="04FBFCBD" w14:textId="77777777" w:rsidR="005B5CB9" w:rsidRPr="00FF2D3D"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FF2D3D">
              <w:rPr>
                <w:b/>
                <w:bCs/>
                <w:szCs w:val="18"/>
              </w:rPr>
              <w:t>2,561</w:t>
            </w:r>
          </w:p>
        </w:tc>
      </w:tr>
      <w:tr w:rsidR="005B5CB9" w:rsidRPr="00010DD3" w14:paraId="11E2D698" w14:textId="77777777" w:rsidTr="008763B3">
        <w:tc>
          <w:tcPr>
            <w:cnfStyle w:val="001000000000" w:firstRow="0" w:lastRow="0" w:firstColumn="1" w:lastColumn="0" w:oddVBand="0" w:evenVBand="0" w:oddHBand="0" w:evenHBand="0" w:firstRowFirstColumn="0" w:firstRowLastColumn="0" w:lastRowFirstColumn="0" w:lastRowLastColumn="0"/>
            <w:tcW w:w="1570" w:type="pct"/>
          </w:tcPr>
          <w:p w14:paraId="050A4E2D" w14:textId="77777777" w:rsidR="005B5CB9" w:rsidRPr="00010DD3" w:rsidRDefault="005B5CB9">
            <w:pPr>
              <w:pStyle w:val="Tabletext"/>
              <w:rPr>
                <w:szCs w:val="18"/>
              </w:rPr>
            </w:pPr>
            <w:r w:rsidRPr="00010DD3">
              <w:rPr>
                <w:szCs w:val="18"/>
              </w:rPr>
              <w:t>Western Health</w:t>
            </w:r>
          </w:p>
        </w:tc>
        <w:tc>
          <w:tcPr>
            <w:tcW w:w="1143" w:type="pct"/>
          </w:tcPr>
          <w:p w14:paraId="7765D814"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10,943</w:t>
            </w:r>
          </w:p>
        </w:tc>
        <w:tc>
          <w:tcPr>
            <w:tcW w:w="1143" w:type="pct"/>
          </w:tcPr>
          <w:p w14:paraId="191F7F43" w14:textId="77777777" w:rsidR="005B5CB9" w:rsidRPr="00010DD3" w:rsidRDefault="005B5CB9">
            <w:pPr>
              <w:pStyle w:val="Tabletext"/>
              <w:cnfStyle w:val="000000000000" w:firstRow="0" w:lastRow="0" w:firstColumn="0" w:lastColumn="0" w:oddVBand="0" w:evenVBand="0" w:oddHBand="0" w:evenHBand="0" w:firstRowFirstColumn="0" w:firstRowLastColumn="0" w:lastRowFirstColumn="0" w:lastRowLastColumn="0"/>
              <w:rPr>
                <w:szCs w:val="18"/>
              </w:rPr>
            </w:pPr>
            <w:r w:rsidRPr="00010DD3">
              <w:rPr>
                <w:szCs w:val="18"/>
              </w:rPr>
              <w:t>17,906</w:t>
            </w:r>
          </w:p>
        </w:tc>
        <w:tc>
          <w:tcPr>
            <w:tcW w:w="1143" w:type="pct"/>
          </w:tcPr>
          <w:p w14:paraId="6861FAE3" w14:textId="77777777" w:rsidR="005B5CB9" w:rsidRPr="00FF2D3D" w:rsidRDefault="005B5CB9">
            <w:pPr>
              <w:pStyle w:val="Tabletext"/>
              <w:cnfStyle w:val="000000000000" w:firstRow="0" w:lastRow="0" w:firstColumn="0" w:lastColumn="0" w:oddVBand="0" w:evenVBand="0" w:oddHBand="0" w:evenHBand="0" w:firstRowFirstColumn="0" w:firstRowLastColumn="0" w:lastRowFirstColumn="0" w:lastRowLastColumn="0"/>
              <w:rPr>
                <w:b/>
                <w:bCs/>
                <w:szCs w:val="18"/>
              </w:rPr>
            </w:pPr>
            <w:r w:rsidRPr="00FF2D3D">
              <w:rPr>
                <w:b/>
                <w:bCs/>
                <w:szCs w:val="18"/>
              </w:rPr>
              <w:t>28,849</w:t>
            </w:r>
          </w:p>
        </w:tc>
      </w:tr>
      <w:tr w:rsidR="005B5CB9" w:rsidRPr="00010DD3" w14:paraId="0CD8E248" w14:textId="77777777" w:rsidTr="0087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tcPr>
          <w:p w14:paraId="464F4FEC" w14:textId="77777777" w:rsidR="005B5CB9" w:rsidRPr="00010DD3" w:rsidRDefault="005B5CB9">
            <w:pPr>
              <w:pStyle w:val="Tabletext"/>
              <w:rPr>
                <w:szCs w:val="18"/>
              </w:rPr>
            </w:pPr>
            <w:r w:rsidRPr="00010DD3">
              <w:rPr>
                <w:szCs w:val="18"/>
              </w:rPr>
              <w:t>Total</w:t>
            </w:r>
          </w:p>
        </w:tc>
        <w:tc>
          <w:tcPr>
            <w:tcW w:w="1143" w:type="pct"/>
          </w:tcPr>
          <w:p w14:paraId="6BB9EE3E" w14:textId="77777777" w:rsidR="005B5CB9" w:rsidRPr="00294F60"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294F60">
              <w:rPr>
                <w:b/>
                <w:bCs/>
                <w:szCs w:val="18"/>
              </w:rPr>
              <w:t>181,441</w:t>
            </w:r>
          </w:p>
        </w:tc>
        <w:tc>
          <w:tcPr>
            <w:tcW w:w="1143" w:type="pct"/>
          </w:tcPr>
          <w:p w14:paraId="56F5B4BC" w14:textId="77777777" w:rsidR="005B5CB9" w:rsidRPr="00294F60"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294F60">
              <w:rPr>
                <w:b/>
                <w:bCs/>
                <w:szCs w:val="18"/>
              </w:rPr>
              <w:t>199,890</w:t>
            </w:r>
          </w:p>
        </w:tc>
        <w:tc>
          <w:tcPr>
            <w:tcW w:w="1143" w:type="pct"/>
          </w:tcPr>
          <w:p w14:paraId="2B238603" w14:textId="77777777" w:rsidR="005B5CB9" w:rsidRPr="00294F60" w:rsidRDefault="005B5CB9">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294F60">
              <w:rPr>
                <w:b/>
                <w:bCs/>
                <w:szCs w:val="18"/>
              </w:rPr>
              <w:t>381,331</w:t>
            </w:r>
          </w:p>
        </w:tc>
      </w:tr>
    </w:tbl>
    <w:p w14:paraId="428731B7" w14:textId="129E7583" w:rsidR="005B5CB9" w:rsidRDefault="005B5CB9" w:rsidP="005B5CB9">
      <w:pPr>
        <w:pStyle w:val="Heading2"/>
      </w:pPr>
      <w:bookmarkStart w:id="2338" w:name="_Toc144905692"/>
      <w:bookmarkStart w:id="2339" w:name="_Toc144905693"/>
      <w:bookmarkStart w:id="2340" w:name="_Toc144905694"/>
      <w:bookmarkStart w:id="2341" w:name="_Toc144905695"/>
      <w:bookmarkStart w:id="2342" w:name="_Toc144905696"/>
      <w:bookmarkStart w:id="2343" w:name="_Toc144905697"/>
      <w:bookmarkStart w:id="2344" w:name="_Toc483748272"/>
      <w:bookmarkStart w:id="2345" w:name="_Toc483748591"/>
      <w:bookmarkStart w:id="2346" w:name="_Toc483748115"/>
      <w:bookmarkStart w:id="2347" w:name="_Toc483748274"/>
      <w:bookmarkStart w:id="2348" w:name="_Toc483748593"/>
      <w:bookmarkStart w:id="2349" w:name="_Toc164262696"/>
      <w:bookmarkStart w:id="2350" w:name="_Toc164263031"/>
      <w:bookmarkStart w:id="2351" w:name="_Toc164262697"/>
      <w:bookmarkStart w:id="2352" w:name="_Toc164263032"/>
      <w:bookmarkStart w:id="2353" w:name="_Toc164262698"/>
      <w:bookmarkStart w:id="2354" w:name="_Toc164263033"/>
      <w:bookmarkStart w:id="2355" w:name="_Toc164262699"/>
      <w:bookmarkStart w:id="2356" w:name="_Toc164263034"/>
      <w:bookmarkStart w:id="2357" w:name="_Toc164262739"/>
      <w:bookmarkStart w:id="2358" w:name="_Toc164263074"/>
      <w:bookmarkStart w:id="2359" w:name="_17.2_Non-admitted_episode"/>
      <w:bookmarkStart w:id="2360" w:name="_Toc165961876"/>
      <w:bookmarkStart w:id="2361" w:name="_Toc12780676"/>
      <w:bookmarkStart w:id="2362" w:name="_Toc14172317"/>
      <w:bookmarkStart w:id="2363" w:name="_Toc33703991"/>
      <w:bookmarkStart w:id="2364" w:name="_Toc55381179"/>
      <w:bookmarkStart w:id="2365" w:name="_Toc100263383"/>
      <w:bookmarkStart w:id="2366" w:name="_Toc234580372"/>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r>
        <w:t>Non-admitted episode targets – community palliative care</w:t>
      </w:r>
      <w:bookmarkEnd w:id="2360"/>
      <w:bookmarkEnd w:id="2366"/>
    </w:p>
    <w:p w14:paraId="578AFF8A" w14:textId="7C0E7521" w:rsidR="005B5CB9" w:rsidRDefault="005B5CB9" w:rsidP="005B5CB9">
      <w:pPr>
        <w:pStyle w:val="Tablecaption"/>
      </w:pPr>
      <w:bookmarkStart w:id="2367" w:name="_Toc232527278"/>
      <w:r w:rsidRPr="005C6B6F">
        <w:t xml:space="preserve">Table </w:t>
      </w:r>
      <w:r w:rsidR="00B24E97">
        <w:t>29</w:t>
      </w:r>
      <w:r>
        <w:t>.</w:t>
      </w:r>
      <w:r w:rsidRPr="005C6B6F">
        <w:t xml:space="preserve"> Community palliative care – new episodes for distinct clients </w:t>
      </w:r>
      <w:r>
        <w:t>2026–27</w:t>
      </w:r>
      <w:bookmarkEnd w:id="2367"/>
      <w:r>
        <w:t xml:space="preserve"> </w:t>
      </w:r>
    </w:p>
    <w:tbl>
      <w:tblPr>
        <w:tblStyle w:val="GridTable4-Accent1"/>
        <w:tblW w:w="0" w:type="auto"/>
        <w:tblLook w:val="04A0" w:firstRow="1" w:lastRow="0" w:firstColumn="1" w:lastColumn="0" w:noHBand="0" w:noVBand="1"/>
      </w:tblPr>
      <w:tblGrid>
        <w:gridCol w:w="3917"/>
        <w:gridCol w:w="1377"/>
      </w:tblGrid>
      <w:tr w:rsidR="005B5CB9" w:rsidRPr="00294F60" w14:paraId="10DFF6AD" w14:textId="77777777" w:rsidTr="00294F6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A7A249B" w14:textId="77777777" w:rsidR="005B5CB9" w:rsidRPr="00294F60" w:rsidRDefault="005B5CB9" w:rsidP="00FF2D3D">
            <w:pPr>
              <w:pStyle w:val="Tablecolhead8pt"/>
              <w:rPr>
                <w:b/>
                <w:bCs w:val="0"/>
                <w:color w:val="FFFFFF" w:themeColor="background1"/>
                <w:sz w:val="18"/>
                <w:szCs w:val="18"/>
              </w:rPr>
            </w:pPr>
            <w:r w:rsidRPr="00294F60">
              <w:rPr>
                <w:b/>
                <w:bCs w:val="0"/>
                <w:color w:val="FFFFFF" w:themeColor="background1"/>
                <w:sz w:val="18"/>
                <w:szCs w:val="18"/>
              </w:rPr>
              <w:t>Health service/organisation</w:t>
            </w:r>
          </w:p>
        </w:tc>
        <w:tc>
          <w:tcPr>
            <w:tcW w:w="0" w:type="auto"/>
            <w:noWrap/>
            <w:hideMark/>
          </w:tcPr>
          <w:p w14:paraId="0ADB0F20" w14:textId="77777777" w:rsidR="005B5CB9" w:rsidRPr="00294F60" w:rsidRDefault="005B5CB9" w:rsidP="007D7B3B">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294F60">
              <w:rPr>
                <w:b/>
                <w:bCs w:val="0"/>
                <w:color w:val="FFFFFF" w:themeColor="background1"/>
                <w:sz w:val="18"/>
                <w:szCs w:val="18"/>
              </w:rPr>
              <w:t>Annual target</w:t>
            </w:r>
          </w:p>
        </w:tc>
      </w:tr>
      <w:tr w:rsidR="005B5CB9" w:rsidRPr="00294F60" w14:paraId="2C4E62A1"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06F93A" w14:textId="77777777" w:rsidR="005B5CB9" w:rsidRPr="00294F60" w:rsidRDefault="005B5CB9" w:rsidP="00FF2D3D">
            <w:pPr>
              <w:pStyle w:val="Tabletext"/>
              <w:rPr>
                <w:szCs w:val="18"/>
              </w:rPr>
            </w:pPr>
            <w:r w:rsidRPr="00294F60">
              <w:rPr>
                <w:szCs w:val="18"/>
              </w:rPr>
              <w:t>Albury Wodonga Health</w:t>
            </w:r>
          </w:p>
        </w:tc>
        <w:tc>
          <w:tcPr>
            <w:tcW w:w="0" w:type="auto"/>
            <w:noWrap/>
          </w:tcPr>
          <w:p w14:paraId="5594109E"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222</w:t>
            </w:r>
          </w:p>
        </w:tc>
      </w:tr>
      <w:tr w:rsidR="005B5CB9" w:rsidRPr="00294F60" w14:paraId="2073369D"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62A7D2C" w14:textId="77777777" w:rsidR="005B5CB9" w:rsidRPr="00294F60" w:rsidRDefault="005B5CB9" w:rsidP="00FF2D3D">
            <w:pPr>
              <w:pStyle w:val="Tabletext"/>
              <w:rPr>
                <w:szCs w:val="18"/>
              </w:rPr>
            </w:pPr>
            <w:r w:rsidRPr="00294F60">
              <w:rPr>
                <w:szCs w:val="18"/>
              </w:rPr>
              <w:t>Bairnsdale Regional Health Service</w:t>
            </w:r>
          </w:p>
        </w:tc>
        <w:tc>
          <w:tcPr>
            <w:tcW w:w="0" w:type="auto"/>
            <w:noWrap/>
          </w:tcPr>
          <w:p w14:paraId="3710F426"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73</w:t>
            </w:r>
          </w:p>
        </w:tc>
      </w:tr>
      <w:tr w:rsidR="005B5CB9" w:rsidRPr="00294F60" w14:paraId="295E34D5"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F02F295" w14:textId="77777777" w:rsidR="005B5CB9" w:rsidRPr="00294F60" w:rsidRDefault="005B5CB9" w:rsidP="00FF2D3D">
            <w:pPr>
              <w:pStyle w:val="Tabletext"/>
              <w:rPr>
                <w:szCs w:val="18"/>
              </w:rPr>
            </w:pPr>
            <w:r w:rsidRPr="00294F60">
              <w:rPr>
                <w:szCs w:val="18"/>
              </w:rPr>
              <w:t>Ballarat Hospice Care</w:t>
            </w:r>
          </w:p>
        </w:tc>
        <w:tc>
          <w:tcPr>
            <w:tcW w:w="0" w:type="auto"/>
            <w:noWrap/>
          </w:tcPr>
          <w:p w14:paraId="2F213E42"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343</w:t>
            </w:r>
          </w:p>
        </w:tc>
      </w:tr>
      <w:tr w:rsidR="005B5CB9" w:rsidRPr="00294F60" w14:paraId="67A42E20"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1D9477" w14:textId="77777777" w:rsidR="005B5CB9" w:rsidRPr="00294F60" w:rsidRDefault="005B5CB9" w:rsidP="00FF2D3D">
            <w:pPr>
              <w:pStyle w:val="Tabletext"/>
              <w:rPr>
                <w:szCs w:val="18"/>
              </w:rPr>
            </w:pPr>
            <w:r w:rsidRPr="00294F60">
              <w:rPr>
                <w:szCs w:val="18"/>
              </w:rPr>
              <w:t>Banksia Palliative Care Service</w:t>
            </w:r>
          </w:p>
        </w:tc>
        <w:tc>
          <w:tcPr>
            <w:tcW w:w="0" w:type="auto"/>
            <w:noWrap/>
          </w:tcPr>
          <w:p w14:paraId="6FD55ED6"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1,050</w:t>
            </w:r>
          </w:p>
        </w:tc>
      </w:tr>
      <w:tr w:rsidR="005B5CB9" w:rsidRPr="00294F60" w14:paraId="6C8058C3"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208A8188" w14:textId="77777777" w:rsidR="005B5CB9" w:rsidRPr="00294F60" w:rsidRDefault="005B5CB9" w:rsidP="00FF2D3D">
            <w:pPr>
              <w:pStyle w:val="Tabletext"/>
              <w:rPr>
                <w:szCs w:val="18"/>
              </w:rPr>
            </w:pPr>
            <w:r w:rsidRPr="00294F60">
              <w:rPr>
                <w:szCs w:val="18"/>
              </w:rPr>
              <w:lastRenderedPageBreak/>
              <w:t>Barwon Health</w:t>
            </w:r>
          </w:p>
        </w:tc>
        <w:tc>
          <w:tcPr>
            <w:tcW w:w="0" w:type="auto"/>
            <w:noWrap/>
          </w:tcPr>
          <w:p w14:paraId="7C97F434"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578</w:t>
            </w:r>
          </w:p>
        </w:tc>
      </w:tr>
      <w:tr w:rsidR="005B5CB9" w:rsidRPr="00294F60" w14:paraId="13B61469"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2DA2402" w14:textId="77777777" w:rsidR="005B5CB9" w:rsidRPr="00294F60" w:rsidRDefault="005B5CB9" w:rsidP="00FF2D3D">
            <w:pPr>
              <w:pStyle w:val="Tabletext"/>
              <w:rPr>
                <w:szCs w:val="18"/>
              </w:rPr>
            </w:pPr>
            <w:r w:rsidRPr="00294F60">
              <w:rPr>
                <w:szCs w:val="18"/>
              </w:rPr>
              <w:t>Bass Coast Health</w:t>
            </w:r>
          </w:p>
        </w:tc>
        <w:tc>
          <w:tcPr>
            <w:tcW w:w="0" w:type="auto"/>
            <w:noWrap/>
          </w:tcPr>
          <w:p w14:paraId="55A41B3F"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115</w:t>
            </w:r>
          </w:p>
        </w:tc>
      </w:tr>
      <w:tr w:rsidR="005B5CB9" w:rsidRPr="00294F60" w14:paraId="7EF8CDD5"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39AF6D" w14:textId="77777777" w:rsidR="005B5CB9" w:rsidRPr="00294F60" w:rsidRDefault="005B5CB9" w:rsidP="00FF2D3D">
            <w:pPr>
              <w:pStyle w:val="Tabletext"/>
              <w:rPr>
                <w:szCs w:val="18"/>
              </w:rPr>
            </w:pPr>
            <w:r w:rsidRPr="00294F60">
              <w:rPr>
                <w:szCs w:val="18"/>
              </w:rPr>
              <w:t>Bellarine Community Health Service</w:t>
            </w:r>
          </w:p>
        </w:tc>
        <w:tc>
          <w:tcPr>
            <w:tcW w:w="0" w:type="auto"/>
            <w:noWrap/>
          </w:tcPr>
          <w:p w14:paraId="7F0BB3AC"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137</w:t>
            </w:r>
          </w:p>
        </w:tc>
      </w:tr>
      <w:tr w:rsidR="005B5CB9" w:rsidRPr="00294F60" w14:paraId="6EACAA34"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29FD6A6D" w14:textId="77777777" w:rsidR="005B5CB9" w:rsidRPr="00294F60" w:rsidRDefault="005B5CB9" w:rsidP="00FF2D3D">
            <w:pPr>
              <w:pStyle w:val="Tabletext"/>
              <w:rPr>
                <w:szCs w:val="18"/>
              </w:rPr>
            </w:pPr>
            <w:r w:rsidRPr="00294F60">
              <w:rPr>
                <w:szCs w:val="18"/>
              </w:rPr>
              <w:t>Benalla and District Memorial Hospital</w:t>
            </w:r>
          </w:p>
        </w:tc>
        <w:tc>
          <w:tcPr>
            <w:tcW w:w="0" w:type="auto"/>
            <w:noWrap/>
          </w:tcPr>
          <w:p w14:paraId="79E8AFC9"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131</w:t>
            </w:r>
          </w:p>
        </w:tc>
      </w:tr>
      <w:tr w:rsidR="005B5CB9" w:rsidRPr="00294F60" w14:paraId="1AE198F7"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10A7437" w14:textId="77777777" w:rsidR="005B5CB9" w:rsidRPr="00294F60" w:rsidRDefault="005B5CB9" w:rsidP="00FF2D3D">
            <w:pPr>
              <w:pStyle w:val="Tabletext"/>
              <w:rPr>
                <w:szCs w:val="18"/>
              </w:rPr>
            </w:pPr>
            <w:r w:rsidRPr="00294F60">
              <w:rPr>
                <w:szCs w:val="18"/>
              </w:rPr>
              <w:t>Bendigo Health</w:t>
            </w:r>
          </w:p>
        </w:tc>
        <w:tc>
          <w:tcPr>
            <w:tcW w:w="0" w:type="auto"/>
            <w:noWrap/>
          </w:tcPr>
          <w:p w14:paraId="39194E67"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339</w:t>
            </w:r>
          </w:p>
        </w:tc>
      </w:tr>
      <w:tr w:rsidR="005B5CB9" w:rsidRPr="00294F60" w14:paraId="675C96DB"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BB60383" w14:textId="77777777" w:rsidR="005B5CB9" w:rsidRPr="00294F60" w:rsidRDefault="005B5CB9" w:rsidP="00FF2D3D">
            <w:pPr>
              <w:pStyle w:val="Tabletext"/>
              <w:rPr>
                <w:szCs w:val="18"/>
              </w:rPr>
            </w:pPr>
            <w:r w:rsidRPr="00294F60">
              <w:rPr>
                <w:szCs w:val="18"/>
              </w:rPr>
              <w:t>Calvary Health Care Bethlehem</w:t>
            </w:r>
          </w:p>
        </w:tc>
        <w:tc>
          <w:tcPr>
            <w:tcW w:w="0" w:type="auto"/>
            <w:noWrap/>
          </w:tcPr>
          <w:p w14:paraId="70B192E0"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1,250</w:t>
            </w:r>
          </w:p>
        </w:tc>
      </w:tr>
      <w:tr w:rsidR="005B5CB9" w:rsidRPr="00294F60" w14:paraId="0FBC28B8"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6143695" w14:textId="77777777" w:rsidR="005B5CB9" w:rsidRPr="00294F60" w:rsidRDefault="005B5CB9" w:rsidP="00FF2D3D">
            <w:pPr>
              <w:pStyle w:val="Tabletext"/>
              <w:rPr>
                <w:szCs w:val="18"/>
              </w:rPr>
            </w:pPr>
            <w:r w:rsidRPr="00294F60">
              <w:rPr>
                <w:szCs w:val="18"/>
              </w:rPr>
              <w:t>Central Gippsland Health Service</w:t>
            </w:r>
          </w:p>
        </w:tc>
        <w:tc>
          <w:tcPr>
            <w:tcW w:w="0" w:type="auto"/>
            <w:noWrap/>
          </w:tcPr>
          <w:p w14:paraId="307EE8F7"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133</w:t>
            </w:r>
          </w:p>
        </w:tc>
      </w:tr>
      <w:tr w:rsidR="005B5CB9" w:rsidRPr="00294F60" w14:paraId="7C0F2FF7"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072DE48" w14:textId="77777777" w:rsidR="005B5CB9" w:rsidRPr="00294F60" w:rsidRDefault="005B5CB9" w:rsidP="00FF2D3D">
            <w:pPr>
              <w:pStyle w:val="Tabletext"/>
              <w:rPr>
                <w:szCs w:val="18"/>
              </w:rPr>
            </w:pPr>
            <w:r w:rsidRPr="00294F60">
              <w:rPr>
                <w:szCs w:val="18"/>
              </w:rPr>
              <w:t>Colac Area Health</w:t>
            </w:r>
          </w:p>
        </w:tc>
        <w:tc>
          <w:tcPr>
            <w:tcW w:w="0" w:type="auto"/>
            <w:noWrap/>
          </w:tcPr>
          <w:p w14:paraId="11C635EB"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77</w:t>
            </w:r>
          </w:p>
        </w:tc>
      </w:tr>
      <w:tr w:rsidR="005B5CB9" w:rsidRPr="00294F60" w14:paraId="21FDB9F0"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tcPr>
          <w:p w14:paraId="6DB00E63" w14:textId="77777777" w:rsidR="005B5CB9" w:rsidRPr="00294F60" w:rsidRDefault="005B5CB9" w:rsidP="00FF2D3D">
            <w:pPr>
              <w:pStyle w:val="Tabletext"/>
              <w:rPr>
                <w:szCs w:val="18"/>
              </w:rPr>
            </w:pPr>
            <w:r w:rsidRPr="00294F60">
              <w:rPr>
                <w:szCs w:val="18"/>
              </w:rPr>
              <w:t xml:space="preserve">Dhelkaya Health </w:t>
            </w:r>
          </w:p>
        </w:tc>
        <w:tc>
          <w:tcPr>
            <w:tcW w:w="0" w:type="auto"/>
            <w:noWrap/>
          </w:tcPr>
          <w:p w14:paraId="1624EF51"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55</w:t>
            </w:r>
          </w:p>
        </w:tc>
      </w:tr>
      <w:tr w:rsidR="005B5CB9" w:rsidRPr="00294F60" w14:paraId="4C0E1081"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DD2F8EB" w14:textId="77777777" w:rsidR="005B5CB9" w:rsidRPr="00294F60" w:rsidRDefault="005B5CB9" w:rsidP="00FF2D3D">
            <w:pPr>
              <w:pStyle w:val="Tabletext"/>
              <w:rPr>
                <w:szCs w:val="18"/>
              </w:rPr>
            </w:pPr>
            <w:r w:rsidRPr="00294F60">
              <w:rPr>
                <w:szCs w:val="18"/>
              </w:rPr>
              <w:t>East Grampians Health Service</w:t>
            </w:r>
          </w:p>
        </w:tc>
        <w:tc>
          <w:tcPr>
            <w:tcW w:w="0" w:type="auto"/>
            <w:noWrap/>
          </w:tcPr>
          <w:p w14:paraId="41A402D9"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109</w:t>
            </w:r>
          </w:p>
        </w:tc>
      </w:tr>
      <w:tr w:rsidR="005B5CB9" w:rsidRPr="00294F60" w14:paraId="53FFF0DB"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9BFE40" w14:textId="77777777" w:rsidR="005B5CB9" w:rsidRPr="00294F60" w:rsidRDefault="005B5CB9" w:rsidP="00FF2D3D">
            <w:pPr>
              <w:pStyle w:val="Tabletext"/>
              <w:rPr>
                <w:szCs w:val="18"/>
              </w:rPr>
            </w:pPr>
            <w:r w:rsidRPr="00294F60">
              <w:rPr>
                <w:szCs w:val="18"/>
              </w:rPr>
              <w:t>Eastern Palliative Care Association</w:t>
            </w:r>
          </w:p>
        </w:tc>
        <w:tc>
          <w:tcPr>
            <w:tcW w:w="0" w:type="auto"/>
            <w:noWrap/>
          </w:tcPr>
          <w:p w14:paraId="4575D1D7"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2,609</w:t>
            </w:r>
          </w:p>
        </w:tc>
      </w:tr>
      <w:tr w:rsidR="005B5CB9" w:rsidRPr="00294F60" w14:paraId="06C56036"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C7F3E7" w14:textId="77777777" w:rsidR="005B5CB9" w:rsidRPr="00294F60" w:rsidRDefault="005B5CB9" w:rsidP="00FF2D3D">
            <w:pPr>
              <w:pStyle w:val="Tabletext"/>
              <w:rPr>
                <w:szCs w:val="18"/>
              </w:rPr>
            </w:pPr>
            <w:r w:rsidRPr="00294F60">
              <w:rPr>
                <w:szCs w:val="18"/>
              </w:rPr>
              <w:t>Echuca Regional Health</w:t>
            </w:r>
          </w:p>
        </w:tc>
        <w:tc>
          <w:tcPr>
            <w:tcW w:w="0" w:type="auto"/>
            <w:noWrap/>
          </w:tcPr>
          <w:p w14:paraId="3DE49F70"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144</w:t>
            </w:r>
          </w:p>
        </w:tc>
      </w:tr>
      <w:tr w:rsidR="005B5CB9" w:rsidRPr="00294F60" w14:paraId="477470D7"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08A6E5" w14:textId="77777777" w:rsidR="005B5CB9" w:rsidRPr="00294F60" w:rsidRDefault="005B5CB9" w:rsidP="00FF2D3D">
            <w:pPr>
              <w:pStyle w:val="Tabletext"/>
              <w:rPr>
                <w:szCs w:val="18"/>
              </w:rPr>
            </w:pPr>
            <w:r w:rsidRPr="00294F60">
              <w:rPr>
                <w:szCs w:val="18"/>
              </w:rPr>
              <w:t>Gippsland Lakes Community Health</w:t>
            </w:r>
          </w:p>
        </w:tc>
        <w:tc>
          <w:tcPr>
            <w:tcW w:w="0" w:type="auto"/>
            <w:noWrap/>
          </w:tcPr>
          <w:p w14:paraId="2FF790A2"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153</w:t>
            </w:r>
          </w:p>
        </w:tc>
      </w:tr>
      <w:tr w:rsidR="005B5CB9" w:rsidRPr="00294F60" w14:paraId="67F95776"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919C7B6" w14:textId="77777777" w:rsidR="005B5CB9" w:rsidRPr="00294F60" w:rsidRDefault="005B5CB9" w:rsidP="00FF2D3D">
            <w:pPr>
              <w:pStyle w:val="Tabletext"/>
              <w:rPr>
                <w:szCs w:val="18"/>
              </w:rPr>
            </w:pPr>
            <w:r w:rsidRPr="00294F60">
              <w:rPr>
                <w:szCs w:val="18"/>
              </w:rPr>
              <w:t>Gippsland Southern Health Service</w:t>
            </w:r>
          </w:p>
        </w:tc>
        <w:tc>
          <w:tcPr>
            <w:tcW w:w="0" w:type="auto"/>
            <w:noWrap/>
          </w:tcPr>
          <w:p w14:paraId="4D0F88A1"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85</w:t>
            </w:r>
          </w:p>
        </w:tc>
      </w:tr>
      <w:tr w:rsidR="005B5CB9" w:rsidRPr="00294F60" w14:paraId="4FE059D7"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39D34F0" w14:textId="77777777" w:rsidR="005B5CB9" w:rsidRPr="00294F60" w:rsidRDefault="005B5CB9" w:rsidP="00FF2D3D">
            <w:pPr>
              <w:pStyle w:val="Tabletext"/>
              <w:rPr>
                <w:szCs w:val="18"/>
              </w:rPr>
            </w:pPr>
            <w:r w:rsidRPr="00294F60">
              <w:rPr>
                <w:szCs w:val="18"/>
              </w:rPr>
              <w:t>Goulburn Valley Hospice Care Service</w:t>
            </w:r>
          </w:p>
        </w:tc>
        <w:tc>
          <w:tcPr>
            <w:tcW w:w="0" w:type="auto"/>
            <w:noWrap/>
          </w:tcPr>
          <w:p w14:paraId="2104CAAF"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260</w:t>
            </w:r>
          </w:p>
        </w:tc>
      </w:tr>
      <w:tr w:rsidR="005B5CB9" w:rsidRPr="00294F60" w14:paraId="41F50C21"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CE364C5" w14:textId="77777777" w:rsidR="005B5CB9" w:rsidRPr="00294F60" w:rsidRDefault="005B5CB9" w:rsidP="00FF2D3D">
            <w:pPr>
              <w:pStyle w:val="Tabletext"/>
              <w:rPr>
                <w:szCs w:val="18"/>
              </w:rPr>
            </w:pPr>
            <w:r w:rsidRPr="00294F60">
              <w:rPr>
                <w:szCs w:val="18"/>
              </w:rPr>
              <w:t xml:space="preserve">Grampians Health </w:t>
            </w:r>
          </w:p>
        </w:tc>
        <w:tc>
          <w:tcPr>
            <w:tcW w:w="0" w:type="auto"/>
            <w:noWrap/>
          </w:tcPr>
          <w:p w14:paraId="6A9DC756"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185</w:t>
            </w:r>
          </w:p>
        </w:tc>
      </w:tr>
      <w:tr w:rsidR="005B5CB9" w:rsidRPr="00294F60" w14:paraId="65AEB708" w14:textId="77777777" w:rsidTr="00294F60">
        <w:trPr>
          <w:cnfStyle w:val="000000100000" w:firstRow="0" w:lastRow="0" w:firstColumn="0" w:lastColumn="0" w:oddVBand="0" w:evenVBand="0" w:oddHBand="1" w:evenHBand="0" w:firstRowFirstColumn="0" w:firstRowLastColumn="0" w:lastRowFirstColumn="0" w:lastRowLastColumn="0"/>
          <w:trHeight w:hRule="exact" w:val="347"/>
        </w:trPr>
        <w:tc>
          <w:tcPr>
            <w:cnfStyle w:val="001000000000" w:firstRow="0" w:lastRow="0" w:firstColumn="1" w:lastColumn="0" w:oddVBand="0" w:evenVBand="0" w:oddHBand="0" w:evenHBand="0" w:firstRowFirstColumn="0" w:firstRowLastColumn="0" w:lastRowFirstColumn="0" w:lastRowLastColumn="0"/>
            <w:tcW w:w="0" w:type="auto"/>
            <w:noWrap/>
            <w:hideMark/>
          </w:tcPr>
          <w:p w14:paraId="70DF1851" w14:textId="77777777" w:rsidR="005B5CB9" w:rsidRPr="00294F60" w:rsidRDefault="005B5CB9" w:rsidP="00FF2D3D">
            <w:pPr>
              <w:pStyle w:val="Tabletext"/>
              <w:rPr>
                <w:szCs w:val="18"/>
              </w:rPr>
            </w:pPr>
            <w:r w:rsidRPr="00294F60">
              <w:rPr>
                <w:szCs w:val="18"/>
              </w:rPr>
              <w:t>Kyneton District Health (Central Highlands)</w:t>
            </w:r>
          </w:p>
        </w:tc>
        <w:tc>
          <w:tcPr>
            <w:tcW w:w="0" w:type="auto"/>
            <w:noWrap/>
          </w:tcPr>
          <w:p w14:paraId="39B4BC75"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155</w:t>
            </w:r>
          </w:p>
        </w:tc>
      </w:tr>
      <w:tr w:rsidR="005B5CB9" w:rsidRPr="00294F60" w14:paraId="1BE7BAEB"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B0A8A3" w14:textId="77777777" w:rsidR="005B5CB9" w:rsidRPr="00294F60" w:rsidRDefault="005B5CB9" w:rsidP="00FF2D3D">
            <w:pPr>
              <w:pStyle w:val="Tabletext"/>
              <w:rPr>
                <w:szCs w:val="18"/>
              </w:rPr>
            </w:pPr>
            <w:r w:rsidRPr="00294F60">
              <w:rPr>
                <w:szCs w:val="18"/>
              </w:rPr>
              <w:t>Latrobe Community Health Service</w:t>
            </w:r>
          </w:p>
        </w:tc>
        <w:tc>
          <w:tcPr>
            <w:tcW w:w="0" w:type="auto"/>
            <w:noWrap/>
          </w:tcPr>
          <w:p w14:paraId="66426348"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190</w:t>
            </w:r>
          </w:p>
        </w:tc>
      </w:tr>
      <w:tr w:rsidR="005B5CB9" w:rsidRPr="00294F60" w14:paraId="03F4F0F7"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23FA8338" w14:textId="77777777" w:rsidR="005B5CB9" w:rsidRPr="00294F60" w:rsidRDefault="005B5CB9" w:rsidP="00FF2D3D">
            <w:pPr>
              <w:pStyle w:val="Tabletext"/>
              <w:rPr>
                <w:szCs w:val="18"/>
              </w:rPr>
            </w:pPr>
            <w:r w:rsidRPr="00294F60">
              <w:rPr>
                <w:szCs w:val="18"/>
              </w:rPr>
              <w:t>Maryborough District Health Service</w:t>
            </w:r>
          </w:p>
        </w:tc>
        <w:tc>
          <w:tcPr>
            <w:tcW w:w="0" w:type="auto"/>
            <w:noWrap/>
          </w:tcPr>
          <w:p w14:paraId="5C88B782"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44</w:t>
            </w:r>
          </w:p>
        </w:tc>
      </w:tr>
      <w:tr w:rsidR="005B5CB9" w:rsidRPr="00294F60" w14:paraId="1E631CF3"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6CCD512" w14:textId="77777777" w:rsidR="005B5CB9" w:rsidRPr="00294F60" w:rsidRDefault="005B5CB9" w:rsidP="00FF2D3D">
            <w:pPr>
              <w:pStyle w:val="Tabletext"/>
              <w:rPr>
                <w:szCs w:val="18"/>
              </w:rPr>
            </w:pPr>
            <w:r w:rsidRPr="00294F60">
              <w:rPr>
                <w:szCs w:val="18"/>
              </w:rPr>
              <w:t>Melbourne City Mission</w:t>
            </w:r>
          </w:p>
        </w:tc>
        <w:tc>
          <w:tcPr>
            <w:tcW w:w="0" w:type="auto"/>
            <w:noWrap/>
          </w:tcPr>
          <w:p w14:paraId="5B170D39"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1,625</w:t>
            </w:r>
          </w:p>
        </w:tc>
      </w:tr>
      <w:tr w:rsidR="005B5CB9" w:rsidRPr="00294F60" w14:paraId="2D33ADB7"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B5A5691" w14:textId="77777777" w:rsidR="005B5CB9" w:rsidRPr="00294F60" w:rsidRDefault="005B5CB9" w:rsidP="00FF2D3D">
            <w:pPr>
              <w:pStyle w:val="Tabletext"/>
              <w:rPr>
                <w:szCs w:val="18"/>
              </w:rPr>
            </w:pPr>
            <w:r w:rsidRPr="00294F60">
              <w:rPr>
                <w:szCs w:val="18"/>
              </w:rPr>
              <w:t>Mercy Palliative Care</w:t>
            </w:r>
          </w:p>
        </w:tc>
        <w:tc>
          <w:tcPr>
            <w:tcW w:w="0" w:type="auto"/>
            <w:noWrap/>
          </w:tcPr>
          <w:p w14:paraId="33B7CCAC"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2,110</w:t>
            </w:r>
          </w:p>
        </w:tc>
      </w:tr>
      <w:tr w:rsidR="005B5CB9" w:rsidRPr="00294F60" w14:paraId="3C98A9AF"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29C070B" w14:textId="77777777" w:rsidR="005B5CB9" w:rsidRPr="00294F60" w:rsidRDefault="005B5CB9" w:rsidP="00FF2D3D">
            <w:pPr>
              <w:pStyle w:val="Tabletext"/>
              <w:rPr>
                <w:szCs w:val="18"/>
              </w:rPr>
            </w:pPr>
            <w:proofErr w:type="gramStart"/>
            <w:r w:rsidRPr="00294F60">
              <w:rPr>
                <w:szCs w:val="18"/>
              </w:rPr>
              <w:t>North East</w:t>
            </w:r>
            <w:proofErr w:type="gramEnd"/>
            <w:r w:rsidRPr="00294F60">
              <w:rPr>
                <w:szCs w:val="18"/>
              </w:rPr>
              <w:t xml:space="preserve"> Health Wangaratta</w:t>
            </w:r>
          </w:p>
        </w:tc>
        <w:tc>
          <w:tcPr>
            <w:tcW w:w="0" w:type="auto"/>
            <w:noWrap/>
          </w:tcPr>
          <w:p w14:paraId="26C7085D"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211</w:t>
            </w:r>
          </w:p>
        </w:tc>
      </w:tr>
      <w:tr w:rsidR="005B5CB9" w:rsidRPr="00294F60" w14:paraId="59347E3B"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7B26681" w14:textId="77777777" w:rsidR="005B5CB9" w:rsidRPr="00294F60" w:rsidRDefault="005B5CB9" w:rsidP="00FF2D3D">
            <w:pPr>
              <w:pStyle w:val="Tabletext"/>
              <w:rPr>
                <w:szCs w:val="18"/>
              </w:rPr>
            </w:pPr>
            <w:r w:rsidRPr="00294F60">
              <w:rPr>
                <w:szCs w:val="18"/>
              </w:rPr>
              <w:t>NCN Health</w:t>
            </w:r>
          </w:p>
        </w:tc>
        <w:tc>
          <w:tcPr>
            <w:tcW w:w="0" w:type="auto"/>
            <w:noWrap/>
          </w:tcPr>
          <w:p w14:paraId="22134B17"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116</w:t>
            </w:r>
          </w:p>
        </w:tc>
      </w:tr>
      <w:tr w:rsidR="005B5CB9" w:rsidRPr="00294F60" w14:paraId="7896D07F"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DDB8535" w14:textId="77777777" w:rsidR="005B5CB9" w:rsidRPr="00294F60" w:rsidRDefault="005B5CB9" w:rsidP="00FF2D3D">
            <w:pPr>
              <w:pStyle w:val="Tabletext"/>
              <w:rPr>
                <w:szCs w:val="18"/>
              </w:rPr>
            </w:pPr>
            <w:r w:rsidRPr="00294F60">
              <w:rPr>
                <w:szCs w:val="18"/>
              </w:rPr>
              <w:t xml:space="preserve">Peninsula Home Hospice </w:t>
            </w:r>
          </w:p>
        </w:tc>
        <w:tc>
          <w:tcPr>
            <w:tcW w:w="0" w:type="auto"/>
            <w:noWrap/>
          </w:tcPr>
          <w:p w14:paraId="7992320B"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780</w:t>
            </w:r>
          </w:p>
        </w:tc>
      </w:tr>
      <w:tr w:rsidR="005B5CB9" w:rsidRPr="00294F60" w14:paraId="7D4AAF2A"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C985C2" w14:textId="77777777" w:rsidR="005B5CB9" w:rsidRPr="00294F60" w:rsidRDefault="005B5CB9" w:rsidP="00FF2D3D">
            <w:pPr>
              <w:pStyle w:val="Tabletext"/>
              <w:rPr>
                <w:szCs w:val="18"/>
              </w:rPr>
            </w:pPr>
            <w:r w:rsidRPr="00294F60">
              <w:rPr>
                <w:szCs w:val="18"/>
              </w:rPr>
              <w:t>Portland and District Hospital</w:t>
            </w:r>
          </w:p>
        </w:tc>
        <w:tc>
          <w:tcPr>
            <w:tcW w:w="0" w:type="auto"/>
            <w:noWrap/>
          </w:tcPr>
          <w:p w14:paraId="6A1D336C"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52</w:t>
            </w:r>
          </w:p>
        </w:tc>
      </w:tr>
      <w:tr w:rsidR="005B5CB9" w:rsidRPr="00294F60" w14:paraId="0592C7FE"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2EE4E8" w14:textId="77777777" w:rsidR="005B5CB9" w:rsidRPr="00294F60" w:rsidRDefault="005B5CB9" w:rsidP="00FF2D3D">
            <w:pPr>
              <w:pStyle w:val="Tabletext"/>
              <w:rPr>
                <w:szCs w:val="18"/>
              </w:rPr>
            </w:pPr>
            <w:r w:rsidRPr="00294F60">
              <w:rPr>
                <w:szCs w:val="18"/>
              </w:rPr>
              <w:t>Seymour Health</w:t>
            </w:r>
          </w:p>
        </w:tc>
        <w:tc>
          <w:tcPr>
            <w:tcW w:w="0" w:type="auto"/>
            <w:noWrap/>
          </w:tcPr>
          <w:p w14:paraId="63105B7D"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181</w:t>
            </w:r>
          </w:p>
        </w:tc>
      </w:tr>
      <w:tr w:rsidR="005B5CB9" w:rsidRPr="00294F60" w14:paraId="084DE1B9" w14:textId="77777777" w:rsidTr="00294F60">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B0F1F3B" w14:textId="77777777" w:rsidR="005B5CB9" w:rsidRPr="00294F60" w:rsidRDefault="005B5CB9" w:rsidP="00FF2D3D">
            <w:pPr>
              <w:pStyle w:val="Tabletext"/>
              <w:rPr>
                <w:szCs w:val="18"/>
              </w:rPr>
            </w:pPr>
            <w:r w:rsidRPr="00294F60">
              <w:rPr>
                <w:szCs w:val="18"/>
              </w:rPr>
              <w:t xml:space="preserve">Palliative Care </w:t>
            </w:r>
            <w:proofErr w:type="gramStart"/>
            <w:r w:rsidRPr="00294F60">
              <w:rPr>
                <w:szCs w:val="18"/>
              </w:rPr>
              <w:t>South East</w:t>
            </w:r>
            <w:proofErr w:type="gramEnd"/>
          </w:p>
        </w:tc>
        <w:tc>
          <w:tcPr>
            <w:tcW w:w="0" w:type="auto"/>
            <w:noWrap/>
          </w:tcPr>
          <w:p w14:paraId="3E2E10F8"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1,125</w:t>
            </w:r>
          </w:p>
        </w:tc>
      </w:tr>
      <w:tr w:rsidR="005B5CB9" w:rsidRPr="00294F60" w14:paraId="0E1BBC95"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D931B4" w14:textId="77777777" w:rsidR="005B5CB9" w:rsidRPr="00294F60" w:rsidRDefault="005B5CB9" w:rsidP="00FF2D3D">
            <w:pPr>
              <w:pStyle w:val="Tabletext"/>
              <w:rPr>
                <w:szCs w:val="18"/>
              </w:rPr>
            </w:pPr>
            <w:r w:rsidRPr="00294F60">
              <w:rPr>
                <w:szCs w:val="18"/>
              </w:rPr>
              <w:t>Southwest Health Care</w:t>
            </w:r>
          </w:p>
        </w:tc>
        <w:tc>
          <w:tcPr>
            <w:tcW w:w="0" w:type="auto"/>
            <w:noWrap/>
          </w:tcPr>
          <w:p w14:paraId="5D548268"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251</w:t>
            </w:r>
          </w:p>
        </w:tc>
      </w:tr>
      <w:tr w:rsidR="005B5CB9" w:rsidRPr="00294F60" w14:paraId="3DB40702"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91E49B7" w14:textId="77777777" w:rsidR="005B5CB9" w:rsidRPr="00294F60" w:rsidRDefault="005B5CB9" w:rsidP="00FF2D3D">
            <w:pPr>
              <w:pStyle w:val="Tabletext"/>
              <w:rPr>
                <w:szCs w:val="18"/>
              </w:rPr>
            </w:pPr>
            <w:r w:rsidRPr="00294F60">
              <w:rPr>
                <w:szCs w:val="18"/>
              </w:rPr>
              <w:t>Sunraysia Community Health Services</w:t>
            </w:r>
          </w:p>
        </w:tc>
        <w:tc>
          <w:tcPr>
            <w:tcW w:w="0" w:type="auto"/>
            <w:noWrap/>
          </w:tcPr>
          <w:p w14:paraId="79FEC40C"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191</w:t>
            </w:r>
          </w:p>
        </w:tc>
      </w:tr>
      <w:tr w:rsidR="005B5CB9" w:rsidRPr="00294F60" w14:paraId="6BBB19BD"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E7D9AF0" w14:textId="77777777" w:rsidR="005B5CB9" w:rsidRPr="00294F60" w:rsidRDefault="005B5CB9" w:rsidP="00FF2D3D">
            <w:pPr>
              <w:pStyle w:val="Tabletext"/>
              <w:rPr>
                <w:szCs w:val="18"/>
              </w:rPr>
            </w:pPr>
            <w:r w:rsidRPr="00294F60">
              <w:rPr>
                <w:szCs w:val="18"/>
              </w:rPr>
              <w:t>Swan Hill District Health</w:t>
            </w:r>
          </w:p>
        </w:tc>
        <w:tc>
          <w:tcPr>
            <w:tcW w:w="0" w:type="auto"/>
            <w:noWrap/>
          </w:tcPr>
          <w:p w14:paraId="73ADC067"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108</w:t>
            </w:r>
          </w:p>
        </w:tc>
      </w:tr>
      <w:tr w:rsidR="005B5CB9" w:rsidRPr="00294F60" w14:paraId="0D543043"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D75E47" w14:textId="77777777" w:rsidR="005B5CB9" w:rsidRPr="00294F60" w:rsidRDefault="005B5CB9" w:rsidP="00FF2D3D">
            <w:pPr>
              <w:pStyle w:val="Tabletext"/>
              <w:rPr>
                <w:szCs w:val="18"/>
              </w:rPr>
            </w:pPr>
            <w:r w:rsidRPr="00294F60">
              <w:rPr>
                <w:szCs w:val="18"/>
              </w:rPr>
              <w:t xml:space="preserve">West Gippsland Healthcare Group </w:t>
            </w:r>
          </w:p>
        </w:tc>
        <w:tc>
          <w:tcPr>
            <w:tcW w:w="0" w:type="auto"/>
            <w:noWrap/>
          </w:tcPr>
          <w:p w14:paraId="78486B95"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141</w:t>
            </w:r>
          </w:p>
        </w:tc>
      </w:tr>
      <w:tr w:rsidR="005B5CB9" w:rsidRPr="00294F60" w14:paraId="014F9FE2"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1CC3B00" w14:textId="77777777" w:rsidR="005B5CB9" w:rsidRPr="00294F60" w:rsidRDefault="005B5CB9" w:rsidP="00FF2D3D">
            <w:pPr>
              <w:pStyle w:val="Tabletext"/>
              <w:rPr>
                <w:szCs w:val="18"/>
              </w:rPr>
            </w:pPr>
            <w:r w:rsidRPr="00294F60">
              <w:rPr>
                <w:szCs w:val="18"/>
              </w:rPr>
              <w:t>Western District Health Service</w:t>
            </w:r>
          </w:p>
        </w:tc>
        <w:tc>
          <w:tcPr>
            <w:tcW w:w="0" w:type="auto"/>
            <w:noWrap/>
          </w:tcPr>
          <w:p w14:paraId="430065D6"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72</w:t>
            </w:r>
          </w:p>
        </w:tc>
      </w:tr>
      <w:tr w:rsidR="005B5CB9" w:rsidRPr="00294F60" w14:paraId="2AFC86E6"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6B54C1C" w14:textId="77777777" w:rsidR="005B5CB9" w:rsidRPr="00294F60" w:rsidRDefault="005B5CB9" w:rsidP="00FF2D3D">
            <w:pPr>
              <w:pStyle w:val="Tabletext"/>
              <w:rPr>
                <w:szCs w:val="18"/>
              </w:rPr>
            </w:pPr>
            <w:r w:rsidRPr="00294F60">
              <w:rPr>
                <w:szCs w:val="18"/>
              </w:rPr>
              <w:t xml:space="preserve">Western Health </w:t>
            </w:r>
          </w:p>
        </w:tc>
        <w:tc>
          <w:tcPr>
            <w:tcW w:w="0" w:type="auto"/>
            <w:noWrap/>
          </w:tcPr>
          <w:p w14:paraId="5435B20D"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83</w:t>
            </w:r>
          </w:p>
        </w:tc>
      </w:tr>
      <w:tr w:rsidR="005B5CB9" w:rsidRPr="00294F60" w14:paraId="3168589E" w14:textId="77777777" w:rsidTr="00294F60">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CFE7CB" w14:textId="77777777" w:rsidR="005B5CB9" w:rsidRPr="00294F60" w:rsidRDefault="005B5CB9" w:rsidP="00FF2D3D">
            <w:pPr>
              <w:pStyle w:val="Tabletext"/>
              <w:rPr>
                <w:szCs w:val="18"/>
              </w:rPr>
            </w:pPr>
            <w:r w:rsidRPr="00294F60">
              <w:rPr>
                <w:szCs w:val="18"/>
              </w:rPr>
              <w:t>Yarram and District Health Service</w:t>
            </w:r>
          </w:p>
        </w:tc>
        <w:tc>
          <w:tcPr>
            <w:tcW w:w="0" w:type="auto"/>
            <w:noWrap/>
          </w:tcPr>
          <w:p w14:paraId="26FC201A"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17</w:t>
            </w:r>
          </w:p>
        </w:tc>
      </w:tr>
      <w:tr w:rsidR="005B5CB9" w:rsidRPr="00294F60" w14:paraId="274B3DFB" w14:textId="77777777" w:rsidTr="00294F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0B1C70B4" w14:textId="77777777" w:rsidR="005B5CB9" w:rsidRPr="00294F60" w:rsidRDefault="005B5CB9" w:rsidP="00FF2D3D">
            <w:pPr>
              <w:pStyle w:val="Tabletext"/>
              <w:rPr>
                <w:szCs w:val="18"/>
              </w:rPr>
            </w:pPr>
            <w:r w:rsidRPr="00294F60">
              <w:rPr>
                <w:szCs w:val="18"/>
              </w:rPr>
              <w:t>Total</w:t>
            </w:r>
          </w:p>
        </w:tc>
        <w:tc>
          <w:tcPr>
            <w:tcW w:w="0" w:type="auto"/>
            <w:noWrap/>
          </w:tcPr>
          <w:p w14:paraId="5D1C71EB"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294F60">
              <w:rPr>
                <w:b/>
                <w:bCs/>
                <w:szCs w:val="18"/>
              </w:rPr>
              <w:t>15,500</w:t>
            </w:r>
          </w:p>
        </w:tc>
      </w:tr>
    </w:tbl>
    <w:p w14:paraId="7ED19CE1" w14:textId="77777777" w:rsidR="00100F12" w:rsidRDefault="00100F12" w:rsidP="00100F12">
      <w:pPr>
        <w:pStyle w:val="Heading2"/>
        <w:numPr>
          <w:ilvl w:val="0"/>
          <w:numId w:val="0"/>
        </w:numPr>
      </w:pPr>
      <w:bookmarkStart w:id="2368" w:name="_Toc199184946"/>
      <w:bookmarkStart w:id="2369" w:name="_Toc199184947"/>
      <w:bookmarkStart w:id="2370" w:name="_17.7_NFC_program"/>
      <w:bookmarkStart w:id="2371" w:name="_Toc165961877"/>
      <w:bookmarkEnd w:id="2368"/>
      <w:bookmarkEnd w:id="2369"/>
      <w:bookmarkEnd w:id="2370"/>
    </w:p>
    <w:p w14:paraId="0C959875" w14:textId="4FB41B78" w:rsidR="005B5CB9" w:rsidRDefault="00100F12" w:rsidP="00FC70F1">
      <w:pPr>
        <w:pStyle w:val="Heading2"/>
      </w:pPr>
      <w:r>
        <w:br w:type="page"/>
      </w:r>
      <w:bookmarkStart w:id="2372" w:name="_Toc234580373"/>
      <w:r w:rsidR="005B5CB9">
        <w:lastRenderedPageBreak/>
        <w:t xml:space="preserve">NFC program </w:t>
      </w:r>
      <w:bookmarkEnd w:id="2361"/>
      <w:bookmarkEnd w:id="2362"/>
      <w:bookmarkEnd w:id="2363"/>
      <w:bookmarkEnd w:id="2364"/>
      <w:bookmarkEnd w:id="2365"/>
      <w:r w:rsidR="005B5CB9">
        <w:t>202</w:t>
      </w:r>
      <w:bookmarkEnd w:id="2371"/>
      <w:r w:rsidR="005B5CB9">
        <w:t>6–27</w:t>
      </w:r>
      <w:bookmarkEnd w:id="2372"/>
    </w:p>
    <w:p w14:paraId="620684E9" w14:textId="77777777" w:rsidR="005B5CB9" w:rsidRPr="00294F60" w:rsidRDefault="005B5CB9" w:rsidP="00294F60">
      <w:pPr>
        <w:pStyle w:val="Body"/>
      </w:pPr>
      <w:r w:rsidRPr="00294F60">
        <w:t>Note that:</w:t>
      </w:r>
    </w:p>
    <w:p w14:paraId="2F25D8A1" w14:textId="3D62DAF2" w:rsidR="005B5CB9" w:rsidRPr="00FF2D3D" w:rsidRDefault="005B5CB9" w:rsidP="00FF2D3D">
      <w:pPr>
        <w:pStyle w:val="Bullet1"/>
        <w:spacing w:after="0"/>
      </w:pPr>
      <w:r w:rsidRPr="00FF2D3D">
        <w:t xml:space="preserve">targets </w:t>
      </w:r>
      <w:r w:rsidR="00FF2D3D">
        <w:t>and prices are</w:t>
      </w:r>
      <w:r w:rsidRPr="00FF2D3D">
        <w:t xml:space="preserve"> subject to approval by the Health Chief Executives Forum</w:t>
      </w:r>
    </w:p>
    <w:p w14:paraId="10296555" w14:textId="17F3B49F" w:rsidR="005B5CB9" w:rsidRPr="00FF2D3D" w:rsidRDefault="005B5CB9" w:rsidP="00FF2D3D">
      <w:pPr>
        <w:pStyle w:val="Bullet1"/>
        <w:spacing w:after="0"/>
      </w:pPr>
      <w:r w:rsidRPr="00FF2D3D">
        <w:t xml:space="preserve">paediatric liver transplantation </w:t>
      </w:r>
      <w:r w:rsidR="00FF2D3D">
        <w:t>-</w:t>
      </w:r>
      <w:r w:rsidRPr="00FF2D3D">
        <w:t xml:space="preserve"> 55% for The Royal Children’s Hospital and 45% for Austin Health</w:t>
      </w:r>
    </w:p>
    <w:p w14:paraId="1F211D03" w14:textId="47D34712" w:rsidR="005B5CB9" w:rsidRPr="00FF2D3D" w:rsidRDefault="005B5CB9" w:rsidP="00FF2D3D">
      <w:pPr>
        <w:pStyle w:val="Bullet1"/>
        <w:spacing w:after="0"/>
      </w:pPr>
      <w:r w:rsidRPr="00FF2D3D">
        <w:t xml:space="preserve">paediatric lung/heart-lung transplantation </w:t>
      </w:r>
      <w:r w:rsidR="00FF2D3D">
        <w:t>-</w:t>
      </w:r>
      <w:r w:rsidRPr="00FF2D3D">
        <w:t xml:space="preserve"> 97% for Alfred Health and 3% for The Royal Children’s Hospital.</w:t>
      </w:r>
    </w:p>
    <w:p w14:paraId="5462B93B" w14:textId="2243ED0E" w:rsidR="005B5CB9" w:rsidRPr="0016481A" w:rsidRDefault="005B5CB9" w:rsidP="00FF2D3D">
      <w:pPr>
        <w:pStyle w:val="Tablecaption"/>
        <w:spacing w:before="120"/>
        <w:rPr>
          <w:color w:val="FF0000"/>
        </w:rPr>
      </w:pPr>
      <w:bookmarkStart w:id="2373" w:name="_Toc232527279"/>
      <w:r>
        <w:t xml:space="preserve">Table </w:t>
      </w:r>
      <w:r w:rsidR="00B24E97">
        <w:t>30</w:t>
      </w:r>
      <w:r>
        <w:t>.</w:t>
      </w:r>
      <w:r w:rsidRPr="00742C12">
        <w:t xml:space="preserve"> </w:t>
      </w:r>
      <w:r>
        <w:t>NFC</w:t>
      </w:r>
      <w:r w:rsidRPr="00271AC6">
        <w:t xml:space="preserve"> </w:t>
      </w:r>
      <w:r>
        <w:t>p</w:t>
      </w:r>
      <w:r w:rsidRPr="00271AC6">
        <w:t xml:space="preserve">rogram </w:t>
      </w:r>
      <w:r w:rsidRPr="00A65006">
        <w:t>targets 202</w:t>
      </w:r>
      <w:r>
        <w:t>6</w:t>
      </w:r>
      <w:r w:rsidRPr="00A65006">
        <w:t>–2</w:t>
      </w:r>
      <w:r>
        <w:t>7</w:t>
      </w:r>
      <w:bookmarkEnd w:id="2373"/>
      <w:r>
        <w:t xml:space="preserve"> </w:t>
      </w:r>
    </w:p>
    <w:tbl>
      <w:tblPr>
        <w:tblStyle w:val="GridTable4-Accent1"/>
        <w:tblW w:w="5000" w:type="pct"/>
        <w:tblLook w:val="04A0" w:firstRow="1" w:lastRow="0" w:firstColumn="1" w:lastColumn="0" w:noHBand="0" w:noVBand="1"/>
      </w:tblPr>
      <w:tblGrid>
        <w:gridCol w:w="4642"/>
        <w:gridCol w:w="3052"/>
        <w:gridCol w:w="1594"/>
      </w:tblGrid>
      <w:tr w:rsidR="005B5CB9" w:rsidRPr="00294F60" w14:paraId="633581AD" w14:textId="77777777" w:rsidTr="00294F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9" w:type="pct"/>
            <w:noWrap/>
            <w:vAlign w:val="center"/>
            <w:hideMark/>
          </w:tcPr>
          <w:p w14:paraId="6A68EEAA" w14:textId="77777777" w:rsidR="005B5CB9" w:rsidRPr="00294F60" w:rsidRDefault="005B5CB9" w:rsidP="007D7B3B">
            <w:pPr>
              <w:pStyle w:val="Tablecolhead8pt"/>
              <w:rPr>
                <w:sz w:val="18"/>
                <w:szCs w:val="18"/>
              </w:rPr>
            </w:pPr>
            <w:r w:rsidRPr="00294F60">
              <w:rPr>
                <w:b/>
                <w:color w:val="FFFFFF" w:themeColor="background1"/>
                <w:sz w:val="18"/>
                <w:szCs w:val="18"/>
              </w:rPr>
              <w:t>Price name</w:t>
            </w:r>
          </w:p>
        </w:tc>
        <w:tc>
          <w:tcPr>
            <w:tcW w:w="1643" w:type="pct"/>
            <w:noWrap/>
            <w:vAlign w:val="center"/>
            <w:hideMark/>
          </w:tcPr>
          <w:p w14:paraId="5698CE9E" w14:textId="77777777" w:rsidR="005B5CB9" w:rsidRPr="00294F60" w:rsidRDefault="005B5CB9" w:rsidP="007D7B3B">
            <w:pPr>
              <w:pStyle w:val="Tablecolhead8pt"/>
              <w:cnfStyle w:val="100000000000" w:firstRow="1" w:lastRow="0" w:firstColumn="0" w:lastColumn="0" w:oddVBand="0" w:evenVBand="0" w:oddHBand="0" w:evenHBand="0" w:firstRowFirstColumn="0" w:firstRowLastColumn="0" w:lastRowFirstColumn="0" w:lastRowLastColumn="0"/>
              <w:rPr>
                <w:sz w:val="18"/>
                <w:szCs w:val="18"/>
              </w:rPr>
            </w:pPr>
            <w:r w:rsidRPr="00294F60">
              <w:rPr>
                <w:b/>
                <w:color w:val="FFFFFF" w:themeColor="background1"/>
                <w:sz w:val="18"/>
                <w:szCs w:val="18"/>
              </w:rPr>
              <w:t>Health service</w:t>
            </w:r>
          </w:p>
        </w:tc>
        <w:tc>
          <w:tcPr>
            <w:tcW w:w="858" w:type="pct"/>
            <w:noWrap/>
            <w:vAlign w:val="center"/>
            <w:hideMark/>
          </w:tcPr>
          <w:p w14:paraId="3F3B5B97" w14:textId="77777777" w:rsidR="005B5CB9" w:rsidRPr="00294F60" w:rsidRDefault="005B5CB9" w:rsidP="007D7B3B">
            <w:pPr>
              <w:pStyle w:val="Tablecolhead8pt"/>
              <w:cnfStyle w:val="100000000000" w:firstRow="1" w:lastRow="0" w:firstColumn="0" w:lastColumn="0" w:oddVBand="0" w:evenVBand="0" w:oddHBand="0" w:evenHBand="0" w:firstRowFirstColumn="0" w:firstRowLastColumn="0" w:lastRowFirstColumn="0" w:lastRowLastColumn="0"/>
              <w:rPr>
                <w:sz w:val="18"/>
                <w:szCs w:val="18"/>
              </w:rPr>
            </w:pPr>
            <w:r w:rsidRPr="00294F60">
              <w:rPr>
                <w:b/>
                <w:color w:val="FFFFFF" w:themeColor="background1"/>
                <w:sz w:val="18"/>
                <w:szCs w:val="18"/>
              </w:rPr>
              <w:t>Annual target</w:t>
            </w:r>
          </w:p>
        </w:tc>
      </w:tr>
      <w:tr w:rsidR="005B5CB9" w:rsidRPr="00294F60" w14:paraId="2376528A" w14:textId="77777777" w:rsidTr="00294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16BCB12D" w14:textId="77777777" w:rsidR="005B5CB9" w:rsidRPr="00294F60" w:rsidRDefault="005B5CB9" w:rsidP="007D7B3B">
            <w:pPr>
              <w:pStyle w:val="Tabletext"/>
              <w:rPr>
                <w:szCs w:val="18"/>
              </w:rPr>
            </w:pPr>
            <w:r w:rsidRPr="00294F60">
              <w:rPr>
                <w:szCs w:val="18"/>
              </w:rPr>
              <w:t>NFC islet cell transplantation</w:t>
            </w:r>
          </w:p>
        </w:tc>
        <w:tc>
          <w:tcPr>
            <w:tcW w:w="1643" w:type="pct"/>
            <w:noWrap/>
            <w:hideMark/>
          </w:tcPr>
          <w:p w14:paraId="5FE5D154"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St Vincents Hospital Melbourne</w:t>
            </w:r>
          </w:p>
        </w:tc>
        <w:tc>
          <w:tcPr>
            <w:tcW w:w="858" w:type="pct"/>
            <w:noWrap/>
          </w:tcPr>
          <w:p w14:paraId="0E9C7662" w14:textId="3DA8E684"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6</w:t>
            </w:r>
          </w:p>
        </w:tc>
      </w:tr>
      <w:tr w:rsidR="005B5CB9" w:rsidRPr="00294F60" w14:paraId="3CF28101" w14:textId="77777777" w:rsidTr="00294F60">
        <w:trPr>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0D492FCF" w14:textId="77777777" w:rsidR="005B5CB9" w:rsidRPr="00294F60" w:rsidRDefault="005B5CB9" w:rsidP="007D7B3B">
            <w:pPr>
              <w:pStyle w:val="Tabletext"/>
              <w:rPr>
                <w:szCs w:val="18"/>
              </w:rPr>
            </w:pPr>
            <w:r w:rsidRPr="00294F60">
              <w:rPr>
                <w:szCs w:val="18"/>
              </w:rPr>
              <w:t>NFC paediatric heart: no ventricular assist device</w:t>
            </w:r>
          </w:p>
        </w:tc>
        <w:tc>
          <w:tcPr>
            <w:tcW w:w="1643" w:type="pct"/>
            <w:noWrap/>
            <w:hideMark/>
          </w:tcPr>
          <w:p w14:paraId="4BBBCA1A"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The Royal Children’s Hospital</w:t>
            </w:r>
          </w:p>
        </w:tc>
        <w:tc>
          <w:tcPr>
            <w:tcW w:w="858" w:type="pct"/>
            <w:noWrap/>
          </w:tcPr>
          <w:p w14:paraId="7E45203B" w14:textId="13A02DFF"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w:t>
            </w:r>
          </w:p>
        </w:tc>
      </w:tr>
      <w:tr w:rsidR="005B5CB9" w:rsidRPr="00294F60" w14:paraId="3AD3B8F9" w14:textId="77777777" w:rsidTr="00294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3E4BC9B9" w14:textId="77777777" w:rsidR="005B5CB9" w:rsidRPr="00294F60" w:rsidRDefault="005B5CB9" w:rsidP="007D7B3B">
            <w:pPr>
              <w:pStyle w:val="Tabletext"/>
              <w:rPr>
                <w:szCs w:val="18"/>
              </w:rPr>
            </w:pPr>
            <w:r w:rsidRPr="00294F60">
              <w:rPr>
                <w:szCs w:val="18"/>
              </w:rPr>
              <w:t>NFC paediatric heart: ventricular assist device</w:t>
            </w:r>
          </w:p>
        </w:tc>
        <w:tc>
          <w:tcPr>
            <w:tcW w:w="1643" w:type="pct"/>
            <w:noWrap/>
            <w:hideMark/>
          </w:tcPr>
          <w:p w14:paraId="7C86872F"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The Royal Children’s Hospital</w:t>
            </w:r>
          </w:p>
        </w:tc>
        <w:tc>
          <w:tcPr>
            <w:tcW w:w="858" w:type="pct"/>
            <w:noWrap/>
          </w:tcPr>
          <w:p w14:paraId="4FFD1321" w14:textId="0311538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9</w:t>
            </w:r>
          </w:p>
        </w:tc>
      </w:tr>
      <w:tr w:rsidR="005B5CB9" w:rsidRPr="00294F60" w14:paraId="18219609" w14:textId="77777777" w:rsidTr="00294F60">
        <w:trPr>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676BF615" w14:textId="77777777" w:rsidR="005B5CB9" w:rsidRPr="00294F60" w:rsidRDefault="005B5CB9" w:rsidP="007D7B3B">
            <w:pPr>
              <w:pStyle w:val="Tabletext"/>
              <w:rPr>
                <w:szCs w:val="18"/>
              </w:rPr>
            </w:pPr>
            <w:r w:rsidRPr="00294F60">
              <w:rPr>
                <w:szCs w:val="18"/>
              </w:rPr>
              <w:t>NFC paediatric lung transplantation</w:t>
            </w:r>
          </w:p>
        </w:tc>
        <w:tc>
          <w:tcPr>
            <w:tcW w:w="1643" w:type="pct"/>
            <w:noWrap/>
            <w:hideMark/>
          </w:tcPr>
          <w:p w14:paraId="33CC645D"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Alfred Health</w:t>
            </w:r>
          </w:p>
        </w:tc>
        <w:tc>
          <w:tcPr>
            <w:tcW w:w="858" w:type="pct"/>
            <w:noWrap/>
          </w:tcPr>
          <w:p w14:paraId="43330A5E" w14:textId="4ABE04E2"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4</w:t>
            </w:r>
          </w:p>
        </w:tc>
      </w:tr>
      <w:tr w:rsidR="005B5CB9" w:rsidRPr="00294F60" w14:paraId="3186B72D" w14:textId="77777777" w:rsidTr="00294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5B85A199" w14:textId="77777777" w:rsidR="005B5CB9" w:rsidRPr="00294F60" w:rsidRDefault="005B5CB9" w:rsidP="007D7B3B">
            <w:pPr>
              <w:pStyle w:val="Tabletext"/>
              <w:rPr>
                <w:szCs w:val="18"/>
              </w:rPr>
            </w:pPr>
            <w:r w:rsidRPr="00294F60">
              <w:rPr>
                <w:szCs w:val="18"/>
              </w:rPr>
              <w:t>NFC paediatric lung transplantation</w:t>
            </w:r>
          </w:p>
        </w:tc>
        <w:tc>
          <w:tcPr>
            <w:tcW w:w="1643" w:type="pct"/>
            <w:noWrap/>
            <w:hideMark/>
          </w:tcPr>
          <w:p w14:paraId="30954B9E"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The Royal Children’s Hospital</w:t>
            </w:r>
          </w:p>
        </w:tc>
        <w:tc>
          <w:tcPr>
            <w:tcW w:w="858" w:type="pct"/>
            <w:noWrap/>
          </w:tcPr>
          <w:p w14:paraId="6A82A87D" w14:textId="76CE3DB3"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0</w:t>
            </w:r>
          </w:p>
        </w:tc>
      </w:tr>
      <w:tr w:rsidR="005B5CB9" w:rsidRPr="00294F60" w14:paraId="75E2859E" w14:textId="77777777" w:rsidTr="00294F60">
        <w:trPr>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182E052E" w14:textId="77777777" w:rsidR="005B5CB9" w:rsidRPr="00294F60" w:rsidRDefault="005B5CB9" w:rsidP="007D7B3B">
            <w:pPr>
              <w:pStyle w:val="Tabletext"/>
              <w:rPr>
                <w:szCs w:val="18"/>
              </w:rPr>
            </w:pPr>
            <w:r w:rsidRPr="00294F60">
              <w:rPr>
                <w:szCs w:val="18"/>
              </w:rPr>
              <w:t>NFC pancreas transplants</w:t>
            </w:r>
          </w:p>
        </w:tc>
        <w:tc>
          <w:tcPr>
            <w:tcW w:w="1643" w:type="pct"/>
            <w:noWrap/>
            <w:hideMark/>
          </w:tcPr>
          <w:p w14:paraId="3889624B"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Monash Health</w:t>
            </w:r>
          </w:p>
        </w:tc>
        <w:tc>
          <w:tcPr>
            <w:tcW w:w="858" w:type="pct"/>
            <w:noWrap/>
          </w:tcPr>
          <w:p w14:paraId="098CB403" w14:textId="6121E693"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15</w:t>
            </w:r>
          </w:p>
        </w:tc>
      </w:tr>
      <w:tr w:rsidR="005B5CB9" w:rsidRPr="00294F60" w14:paraId="01303FE1" w14:textId="77777777" w:rsidTr="00294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0E2CF6E3" w14:textId="77777777" w:rsidR="005B5CB9" w:rsidRPr="00294F60" w:rsidRDefault="005B5CB9" w:rsidP="007D7B3B">
            <w:pPr>
              <w:pStyle w:val="Tabletext"/>
              <w:rPr>
                <w:szCs w:val="18"/>
              </w:rPr>
            </w:pPr>
            <w:r w:rsidRPr="00294F60">
              <w:rPr>
                <w:szCs w:val="18"/>
              </w:rPr>
              <w:t>NFC transplants paediatric liver</w:t>
            </w:r>
          </w:p>
        </w:tc>
        <w:tc>
          <w:tcPr>
            <w:tcW w:w="1643" w:type="pct"/>
            <w:noWrap/>
            <w:hideMark/>
          </w:tcPr>
          <w:p w14:paraId="6E0818EF"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Austin Health</w:t>
            </w:r>
          </w:p>
        </w:tc>
        <w:tc>
          <w:tcPr>
            <w:tcW w:w="858" w:type="pct"/>
            <w:noWrap/>
          </w:tcPr>
          <w:p w14:paraId="47B18B0D" w14:textId="6C977AA1"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w:t>
            </w:r>
          </w:p>
        </w:tc>
      </w:tr>
      <w:tr w:rsidR="005B5CB9" w:rsidRPr="00294F60" w14:paraId="38DEEDCF" w14:textId="77777777" w:rsidTr="00294F60">
        <w:trPr>
          <w:trHeight w:val="300"/>
        </w:trPr>
        <w:tc>
          <w:tcPr>
            <w:cnfStyle w:val="001000000000" w:firstRow="0" w:lastRow="0" w:firstColumn="1" w:lastColumn="0" w:oddVBand="0" w:evenVBand="0" w:oddHBand="0" w:evenHBand="0" w:firstRowFirstColumn="0" w:firstRowLastColumn="0" w:lastRowFirstColumn="0" w:lastRowLastColumn="0"/>
            <w:tcW w:w="2499" w:type="pct"/>
            <w:noWrap/>
            <w:hideMark/>
          </w:tcPr>
          <w:p w14:paraId="330F3929" w14:textId="77777777" w:rsidR="005B5CB9" w:rsidRPr="00294F60" w:rsidRDefault="005B5CB9" w:rsidP="007D7B3B">
            <w:pPr>
              <w:pStyle w:val="Tabletext"/>
              <w:rPr>
                <w:szCs w:val="18"/>
              </w:rPr>
            </w:pPr>
            <w:r w:rsidRPr="00294F60">
              <w:rPr>
                <w:szCs w:val="18"/>
              </w:rPr>
              <w:t>NFC transplants paediatric liver</w:t>
            </w:r>
          </w:p>
        </w:tc>
        <w:tc>
          <w:tcPr>
            <w:tcW w:w="1643" w:type="pct"/>
            <w:noWrap/>
            <w:hideMark/>
          </w:tcPr>
          <w:p w14:paraId="6A10A9FE"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The Royal Children’s Hospital</w:t>
            </w:r>
          </w:p>
        </w:tc>
        <w:tc>
          <w:tcPr>
            <w:tcW w:w="858" w:type="pct"/>
            <w:noWrap/>
          </w:tcPr>
          <w:p w14:paraId="1C566149" w14:textId="0A485B8B"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w:t>
            </w:r>
          </w:p>
        </w:tc>
      </w:tr>
      <w:tr w:rsidR="005B5CB9" w:rsidRPr="00294F60" w14:paraId="2FA073FB" w14:textId="77777777" w:rsidTr="00294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9" w:type="pct"/>
            <w:noWrap/>
          </w:tcPr>
          <w:p w14:paraId="5B55F231" w14:textId="77777777" w:rsidR="005B5CB9" w:rsidRPr="00294F60" w:rsidRDefault="005B5CB9" w:rsidP="007D7B3B">
            <w:pPr>
              <w:pStyle w:val="Tabletext"/>
              <w:rPr>
                <w:szCs w:val="18"/>
              </w:rPr>
            </w:pPr>
            <w:r w:rsidRPr="00294F60">
              <w:rPr>
                <w:szCs w:val="18"/>
              </w:rPr>
              <w:t>Total</w:t>
            </w:r>
          </w:p>
        </w:tc>
        <w:tc>
          <w:tcPr>
            <w:tcW w:w="1643" w:type="pct"/>
            <w:noWrap/>
          </w:tcPr>
          <w:p w14:paraId="0B393365"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p>
        </w:tc>
        <w:tc>
          <w:tcPr>
            <w:tcW w:w="858" w:type="pct"/>
            <w:noWrap/>
          </w:tcPr>
          <w:p w14:paraId="2C756B41" w14:textId="14EC8A16"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b/>
                <w:bCs/>
                <w:szCs w:val="18"/>
              </w:rPr>
            </w:pPr>
            <w:r w:rsidRPr="00294F60">
              <w:rPr>
                <w:b/>
                <w:bCs/>
                <w:szCs w:val="18"/>
              </w:rPr>
              <w:t>49</w:t>
            </w:r>
          </w:p>
        </w:tc>
      </w:tr>
    </w:tbl>
    <w:p w14:paraId="1FBD8B90" w14:textId="6E6B5365" w:rsidR="005B5CB9" w:rsidRPr="005561A3" w:rsidRDefault="005B5CB9" w:rsidP="005B5CB9">
      <w:pPr>
        <w:pStyle w:val="Heading2"/>
      </w:pPr>
      <w:bookmarkStart w:id="2374" w:name="_Toc12780677"/>
      <w:bookmarkStart w:id="2375" w:name="_Toc14172318"/>
      <w:bookmarkStart w:id="2376" w:name="_Toc33703992"/>
      <w:bookmarkStart w:id="2377" w:name="_Toc55381180"/>
      <w:bookmarkStart w:id="2378" w:name="_Toc100263384"/>
      <w:bookmarkStart w:id="2379" w:name="_Toc165961878"/>
      <w:bookmarkStart w:id="2380" w:name="_Toc234580374"/>
      <w:bookmarkEnd w:id="2318"/>
      <w:r w:rsidRPr="005561A3">
        <w:t>Early Parenting Centres 2026</w:t>
      </w:r>
      <w:r>
        <w:t>–</w:t>
      </w:r>
      <w:r w:rsidRPr="005561A3">
        <w:t>27</w:t>
      </w:r>
      <w:bookmarkEnd w:id="2380"/>
    </w:p>
    <w:p w14:paraId="459FD52D" w14:textId="051AF454" w:rsidR="005B5CB9" w:rsidRPr="00575C87" w:rsidRDefault="005B5CB9" w:rsidP="00FF2D3D">
      <w:pPr>
        <w:pStyle w:val="Tablecaption"/>
        <w:spacing w:before="120"/>
      </w:pPr>
      <w:bookmarkStart w:id="2381" w:name="_Toc232527280"/>
      <w:r w:rsidRPr="00540C26">
        <w:t xml:space="preserve">Table </w:t>
      </w:r>
      <w:r>
        <w:t>3</w:t>
      </w:r>
      <w:r w:rsidR="00B24E97">
        <w:t>1</w:t>
      </w:r>
      <w:r>
        <w:t>.</w:t>
      </w:r>
      <w:r w:rsidRPr="00540C26">
        <w:t xml:space="preserve"> </w:t>
      </w:r>
      <w:r>
        <w:t>Early Parenting Centres (EPC) targets 2</w:t>
      </w:r>
      <w:r w:rsidRPr="00540C26">
        <w:t>02</w:t>
      </w:r>
      <w:r>
        <w:t>6–27</w:t>
      </w:r>
      <w:bookmarkEnd w:id="2381"/>
    </w:p>
    <w:tbl>
      <w:tblPr>
        <w:tblStyle w:val="GridTable4-Accent1"/>
        <w:tblW w:w="9351" w:type="dxa"/>
        <w:tblLook w:val="04A0" w:firstRow="1" w:lastRow="0" w:firstColumn="1" w:lastColumn="0" w:noHBand="0" w:noVBand="1"/>
      </w:tblPr>
      <w:tblGrid>
        <w:gridCol w:w="5949"/>
        <w:gridCol w:w="1701"/>
        <w:gridCol w:w="1701"/>
      </w:tblGrid>
      <w:tr w:rsidR="005B5CB9" w:rsidRPr="00294F60" w14:paraId="67A26675" w14:textId="77777777" w:rsidTr="007D7B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1FC1EC3A" w14:textId="77777777" w:rsidR="005B5CB9" w:rsidRPr="008C13E8" w:rsidRDefault="005B5CB9">
            <w:pPr>
              <w:pStyle w:val="Tablecolhead8pt"/>
              <w:rPr>
                <w:b/>
                <w:bCs w:val="0"/>
                <w:color w:val="FFFFFF" w:themeColor="background1"/>
                <w:sz w:val="18"/>
                <w:szCs w:val="18"/>
              </w:rPr>
            </w:pPr>
            <w:r w:rsidRPr="008C13E8">
              <w:rPr>
                <w:b/>
                <w:bCs w:val="0"/>
                <w:color w:val="FFFFFF" w:themeColor="background1"/>
                <w:sz w:val="18"/>
                <w:szCs w:val="18"/>
              </w:rPr>
              <w:t>Health service</w:t>
            </w:r>
          </w:p>
        </w:tc>
        <w:tc>
          <w:tcPr>
            <w:tcW w:w="1701" w:type="dxa"/>
            <w:hideMark/>
          </w:tcPr>
          <w:p w14:paraId="6D902E7B" w14:textId="77777777" w:rsidR="005B5CB9" w:rsidRPr="008C13E8" w:rsidRDefault="005B5CB9" w:rsidP="007D7B3B">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8C13E8">
              <w:rPr>
                <w:b/>
                <w:bCs w:val="0"/>
                <w:color w:val="FFFFFF" w:themeColor="background1"/>
                <w:sz w:val="18"/>
                <w:szCs w:val="18"/>
              </w:rPr>
              <w:t>Day stay</w:t>
            </w:r>
          </w:p>
        </w:tc>
        <w:tc>
          <w:tcPr>
            <w:tcW w:w="1701" w:type="dxa"/>
            <w:hideMark/>
          </w:tcPr>
          <w:p w14:paraId="4F54147A" w14:textId="77777777" w:rsidR="005B5CB9" w:rsidRPr="008C13E8" w:rsidRDefault="005B5CB9" w:rsidP="007D7B3B">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8C13E8">
              <w:rPr>
                <w:b/>
                <w:bCs w:val="0"/>
                <w:color w:val="FFFFFF" w:themeColor="background1"/>
                <w:sz w:val="18"/>
                <w:szCs w:val="18"/>
              </w:rPr>
              <w:t>Residential stay</w:t>
            </w:r>
          </w:p>
        </w:tc>
      </w:tr>
      <w:tr w:rsidR="005B5CB9" w:rsidRPr="00294F60" w14:paraId="5F2792A5" w14:textId="77777777" w:rsidTr="007D7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5C41840C" w14:textId="77777777" w:rsidR="005B5CB9" w:rsidRPr="00294F60" w:rsidRDefault="005B5CB9">
            <w:pPr>
              <w:pStyle w:val="Tabletext"/>
              <w:rPr>
                <w:szCs w:val="18"/>
              </w:rPr>
            </w:pPr>
            <w:r w:rsidRPr="00294F60">
              <w:rPr>
                <w:szCs w:val="18"/>
              </w:rPr>
              <w:t>The Queen Elizabeth Centre (Mundi Noble Park EPC)</w:t>
            </w:r>
          </w:p>
        </w:tc>
        <w:tc>
          <w:tcPr>
            <w:tcW w:w="1701" w:type="dxa"/>
            <w:hideMark/>
          </w:tcPr>
          <w:p w14:paraId="5873AFA0"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507</w:t>
            </w:r>
          </w:p>
        </w:tc>
        <w:tc>
          <w:tcPr>
            <w:tcW w:w="1701" w:type="dxa"/>
            <w:hideMark/>
          </w:tcPr>
          <w:p w14:paraId="69258336"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686</w:t>
            </w:r>
          </w:p>
        </w:tc>
      </w:tr>
      <w:tr w:rsidR="005B5CB9" w:rsidRPr="00294F60" w14:paraId="7E143366" w14:textId="77777777" w:rsidTr="007D7B3B">
        <w:tc>
          <w:tcPr>
            <w:cnfStyle w:val="001000000000" w:firstRow="0" w:lastRow="0" w:firstColumn="1" w:lastColumn="0" w:oddVBand="0" w:evenVBand="0" w:oddHBand="0" w:evenHBand="0" w:firstRowFirstColumn="0" w:firstRowLastColumn="0" w:lastRowFirstColumn="0" w:lastRowLastColumn="0"/>
            <w:tcW w:w="5949" w:type="dxa"/>
            <w:hideMark/>
          </w:tcPr>
          <w:p w14:paraId="0C31B097" w14:textId="77777777" w:rsidR="005B5CB9" w:rsidRPr="00294F60" w:rsidRDefault="005B5CB9">
            <w:pPr>
              <w:pStyle w:val="Tabletext"/>
              <w:rPr>
                <w:szCs w:val="18"/>
              </w:rPr>
            </w:pPr>
            <w:r w:rsidRPr="00294F60">
              <w:rPr>
                <w:szCs w:val="18"/>
              </w:rPr>
              <w:t>Tweddle Child and Family Health Service (Footscray EPC)</w:t>
            </w:r>
          </w:p>
        </w:tc>
        <w:tc>
          <w:tcPr>
            <w:tcW w:w="1701" w:type="dxa"/>
            <w:hideMark/>
          </w:tcPr>
          <w:p w14:paraId="695052DD"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688</w:t>
            </w:r>
          </w:p>
        </w:tc>
        <w:tc>
          <w:tcPr>
            <w:tcW w:w="1701" w:type="dxa"/>
            <w:hideMark/>
          </w:tcPr>
          <w:p w14:paraId="4987E976"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585</w:t>
            </w:r>
          </w:p>
        </w:tc>
      </w:tr>
      <w:tr w:rsidR="005B5CB9" w:rsidRPr="00294F60" w14:paraId="0A9E364C" w14:textId="77777777" w:rsidTr="007D7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6804C098" w14:textId="77777777" w:rsidR="005B5CB9" w:rsidRPr="00294F60" w:rsidRDefault="005B5CB9">
            <w:pPr>
              <w:pStyle w:val="Tabletext"/>
              <w:rPr>
                <w:szCs w:val="18"/>
              </w:rPr>
            </w:pPr>
            <w:r w:rsidRPr="00294F60">
              <w:rPr>
                <w:szCs w:val="18"/>
              </w:rPr>
              <w:t>Mercy Health (O’Connell Family Centre)</w:t>
            </w:r>
          </w:p>
        </w:tc>
        <w:tc>
          <w:tcPr>
            <w:tcW w:w="1701" w:type="dxa"/>
            <w:hideMark/>
          </w:tcPr>
          <w:p w14:paraId="195D80D4"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400</w:t>
            </w:r>
          </w:p>
        </w:tc>
        <w:tc>
          <w:tcPr>
            <w:tcW w:w="1701" w:type="dxa"/>
            <w:hideMark/>
          </w:tcPr>
          <w:p w14:paraId="3324174A"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400</w:t>
            </w:r>
          </w:p>
        </w:tc>
      </w:tr>
      <w:tr w:rsidR="005B5CB9" w:rsidRPr="00294F60" w14:paraId="3FF9D425" w14:textId="77777777" w:rsidTr="007D7B3B">
        <w:tc>
          <w:tcPr>
            <w:cnfStyle w:val="001000000000" w:firstRow="0" w:lastRow="0" w:firstColumn="1" w:lastColumn="0" w:oddVBand="0" w:evenVBand="0" w:oddHBand="0" w:evenHBand="0" w:firstRowFirstColumn="0" w:firstRowLastColumn="0" w:lastRowFirstColumn="0" w:lastRowLastColumn="0"/>
            <w:tcW w:w="5949" w:type="dxa"/>
            <w:hideMark/>
          </w:tcPr>
          <w:p w14:paraId="7295AEDD" w14:textId="77777777" w:rsidR="005B5CB9" w:rsidRPr="00294F60" w:rsidRDefault="005B5CB9">
            <w:pPr>
              <w:pStyle w:val="Tabletext"/>
              <w:rPr>
                <w:szCs w:val="18"/>
              </w:rPr>
            </w:pPr>
            <w:r w:rsidRPr="00294F60">
              <w:rPr>
                <w:szCs w:val="18"/>
              </w:rPr>
              <w:t xml:space="preserve">Tweddle Child and Family Health Service (Wyndham EPC) </w:t>
            </w:r>
          </w:p>
        </w:tc>
        <w:tc>
          <w:tcPr>
            <w:tcW w:w="1701" w:type="dxa"/>
            <w:hideMark/>
          </w:tcPr>
          <w:p w14:paraId="73624965"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c>
          <w:tcPr>
            <w:tcW w:w="1701" w:type="dxa"/>
            <w:hideMark/>
          </w:tcPr>
          <w:p w14:paraId="1CA6A44D"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r>
      <w:tr w:rsidR="005B5CB9" w:rsidRPr="00294F60" w14:paraId="7D0EBBBC" w14:textId="77777777" w:rsidTr="007D7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6E4C75CA" w14:textId="77777777" w:rsidR="005B5CB9" w:rsidRPr="00294F60" w:rsidRDefault="005B5CB9">
            <w:pPr>
              <w:pStyle w:val="Tabletext"/>
              <w:rPr>
                <w:szCs w:val="18"/>
              </w:rPr>
            </w:pPr>
            <w:r w:rsidRPr="00294F60">
              <w:rPr>
                <w:szCs w:val="18"/>
              </w:rPr>
              <w:t>Mercy Health (Woi-wurrung-yagila-wulumperi Whittlesea EPC)</w:t>
            </w:r>
          </w:p>
        </w:tc>
        <w:tc>
          <w:tcPr>
            <w:tcW w:w="1701" w:type="dxa"/>
            <w:hideMark/>
          </w:tcPr>
          <w:p w14:paraId="064FCB3C"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500</w:t>
            </w:r>
          </w:p>
        </w:tc>
        <w:tc>
          <w:tcPr>
            <w:tcW w:w="1701" w:type="dxa"/>
            <w:hideMark/>
          </w:tcPr>
          <w:p w14:paraId="3E347239"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500</w:t>
            </w:r>
          </w:p>
        </w:tc>
      </w:tr>
      <w:tr w:rsidR="005B5CB9" w:rsidRPr="00294F60" w14:paraId="54988344" w14:textId="77777777" w:rsidTr="007D7B3B">
        <w:tc>
          <w:tcPr>
            <w:cnfStyle w:val="001000000000" w:firstRow="0" w:lastRow="0" w:firstColumn="1" w:lastColumn="0" w:oddVBand="0" w:evenVBand="0" w:oddHBand="0" w:evenHBand="0" w:firstRowFirstColumn="0" w:firstRowLastColumn="0" w:lastRowFirstColumn="0" w:lastRowLastColumn="0"/>
            <w:tcW w:w="5949" w:type="dxa"/>
            <w:hideMark/>
          </w:tcPr>
          <w:p w14:paraId="394522FE" w14:textId="77777777" w:rsidR="005B5CB9" w:rsidRPr="00294F60" w:rsidRDefault="005B5CB9">
            <w:pPr>
              <w:pStyle w:val="Tabletext"/>
              <w:rPr>
                <w:szCs w:val="18"/>
              </w:rPr>
            </w:pPr>
            <w:r w:rsidRPr="00294F60">
              <w:rPr>
                <w:szCs w:val="18"/>
              </w:rPr>
              <w:t>Barwon Health (Barwon EPC)</w:t>
            </w:r>
          </w:p>
        </w:tc>
        <w:tc>
          <w:tcPr>
            <w:tcW w:w="1701" w:type="dxa"/>
            <w:hideMark/>
          </w:tcPr>
          <w:p w14:paraId="2C5C4251"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c>
          <w:tcPr>
            <w:tcW w:w="1701" w:type="dxa"/>
            <w:hideMark/>
          </w:tcPr>
          <w:p w14:paraId="6A68E14F"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r>
      <w:tr w:rsidR="005B5CB9" w:rsidRPr="00294F60" w14:paraId="6D4F1B3D" w14:textId="77777777" w:rsidTr="007D7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hideMark/>
          </w:tcPr>
          <w:p w14:paraId="79F0B34C" w14:textId="77777777" w:rsidR="005B5CB9" w:rsidRPr="00294F60" w:rsidRDefault="005B5CB9">
            <w:pPr>
              <w:pStyle w:val="Tabletext"/>
              <w:rPr>
                <w:szCs w:val="18"/>
              </w:rPr>
            </w:pPr>
            <w:r w:rsidRPr="00294F60">
              <w:rPr>
                <w:szCs w:val="18"/>
              </w:rPr>
              <w:t>Bendigo Health (Wayipunga Bendigo EPC)</w:t>
            </w:r>
          </w:p>
        </w:tc>
        <w:tc>
          <w:tcPr>
            <w:tcW w:w="1701" w:type="dxa"/>
            <w:hideMark/>
          </w:tcPr>
          <w:p w14:paraId="221B6485"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500</w:t>
            </w:r>
          </w:p>
        </w:tc>
        <w:tc>
          <w:tcPr>
            <w:tcW w:w="1701" w:type="dxa"/>
            <w:hideMark/>
          </w:tcPr>
          <w:p w14:paraId="0FEC0A2D"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500</w:t>
            </w:r>
          </w:p>
        </w:tc>
      </w:tr>
      <w:tr w:rsidR="005B5CB9" w:rsidRPr="00294F60" w14:paraId="59371661" w14:textId="77777777" w:rsidTr="007D7B3B">
        <w:tc>
          <w:tcPr>
            <w:cnfStyle w:val="001000000000" w:firstRow="0" w:lastRow="0" w:firstColumn="1" w:lastColumn="0" w:oddVBand="0" w:evenVBand="0" w:oddHBand="0" w:evenHBand="0" w:firstRowFirstColumn="0" w:firstRowLastColumn="0" w:lastRowFirstColumn="0" w:lastRowLastColumn="0"/>
            <w:tcW w:w="5949" w:type="dxa"/>
            <w:hideMark/>
          </w:tcPr>
          <w:p w14:paraId="0ED4EA86" w14:textId="77777777" w:rsidR="005B5CB9" w:rsidRPr="00294F60" w:rsidRDefault="005B5CB9">
            <w:pPr>
              <w:pStyle w:val="Tabletext"/>
              <w:rPr>
                <w:szCs w:val="18"/>
              </w:rPr>
            </w:pPr>
            <w:r w:rsidRPr="00294F60">
              <w:rPr>
                <w:szCs w:val="18"/>
              </w:rPr>
              <w:t>Grampians Health (Grampians EPC)</w:t>
            </w:r>
          </w:p>
        </w:tc>
        <w:tc>
          <w:tcPr>
            <w:tcW w:w="1701" w:type="dxa"/>
            <w:hideMark/>
          </w:tcPr>
          <w:p w14:paraId="1935D7CC"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c>
          <w:tcPr>
            <w:tcW w:w="1701" w:type="dxa"/>
            <w:hideMark/>
          </w:tcPr>
          <w:p w14:paraId="41A45AAA"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r>
      <w:tr w:rsidR="005B5CB9" w:rsidRPr="00294F60" w14:paraId="3DDCE243" w14:textId="77777777" w:rsidTr="007D7B3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949" w:type="dxa"/>
            <w:hideMark/>
          </w:tcPr>
          <w:p w14:paraId="31627349" w14:textId="77777777" w:rsidR="005B5CB9" w:rsidRPr="00294F60" w:rsidRDefault="005B5CB9">
            <w:pPr>
              <w:pStyle w:val="Tabletext"/>
              <w:rPr>
                <w:szCs w:val="18"/>
              </w:rPr>
            </w:pPr>
            <w:r w:rsidRPr="00294F60">
              <w:rPr>
                <w:szCs w:val="18"/>
              </w:rPr>
              <w:t>Monash Health (Murrumbek Casey EPC)</w:t>
            </w:r>
          </w:p>
        </w:tc>
        <w:tc>
          <w:tcPr>
            <w:tcW w:w="1701" w:type="dxa"/>
            <w:hideMark/>
          </w:tcPr>
          <w:p w14:paraId="28ED8E83"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500</w:t>
            </w:r>
          </w:p>
        </w:tc>
        <w:tc>
          <w:tcPr>
            <w:tcW w:w="1701" w:type="dxa"/>
            <w:hideMark/>
          </w:tcPr>
          <w:p w14:paraId="3C810D02" w14:textId="77777777" w:rsidR="005B5CB9" w:rsidRPr="00294F60" w:rsidRDefault="005B5CB9" w:rsidP="007D7B3B">
            <w:pPr>
              <w:pStyle w:val="Tabletext"/>
              <w:cnfStyle w:val="000000100000" w:firstRow="0" w:lastRow="0" w:firstColumn="0" w:lastColumn="0" w:oddVBand="0" w:evenVBand="0" w:oddHBand="1" w:evenHBand="0" w:firstRowFirstColumn="0" w:firstRowLastColumn="0" w:lastRowFirstColumn="0" w:lastRowLastColumn="0"/>
              <w:rPr>
                <w:szCs w:val="18"/>
              </w:rPr>
            </w:pPr>
            <w:r w:rsidRPr="00294F60">
              <w:rPr>
                <w:szCs w:val="18"/>
              </w:rPr>
              <w:t>500</w:t>
            </w:r>
          </w:p>
        </w:tc>
      </w:tr>
      <w:tr w:rsidR="005B5CB9" w:rsidRPr="00294F60" w14:paraId="40D8745C" w14:textId="77777777" w:rsidTr="007D7B3B">
        <w:trPr>
          <w:trHeight w:val="64"/>
        </w:trPr>
        <w:tc>
          <w:tcPr>
            <w:cnfStyle w:val="001000000000" w:firstRow="0" w:lastRow="0" w:firstColumn="1" w:lastColumn="0" w:oddVBand="0" w:evenVBand="0" w:oddHBand="0" w:evenHBand="0" w:firstRowFirstColumn="0" w:firstRowLastColumn="0" w:lastRowFirstColumn="0" w:lastRowLastColumn="0"/>
            <w:tcW w:w="5949" w:type="dxa"/>
          </w:tcPr>
          <w:p w14:paraId="5DE10AB1" w14:textId="77777777" w:rsidR="005B5CB9" w:rsidRPr="00294F60" w:rsidRDefault="005B5CB9">
            <w:pPr>
              <w:pStyle w:val="Tabletext"/>
              <w:rPr>
                <w:szCs w:val="18"/>
              </w:rPr>
            </w:pPr>
            <w:r w:rsidRPr="00294F60">
              <w:rPr>
                <w:szCs w:val="18"/>
              </w:rPr>
              <w:t>The Queen Elizabeth Centre (Baabak Hastings EPC)</w:t>
            </w:r>
          </w:p>
        </w:tc>
        <w:tc>
          <w:tcPr>
            <w:tcW w:w="1701" w:type="dxa"/>
          </w:tcPr>
          <w:p w14:paraId="1D6406CA"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c>
          <w:tcPr>
            <w:tcW w:w="1701" w:type="dxa"/>
          </w:tcPr>
          <w:p w14:paraId="216528BC" w14:textId="77777777" w:rsidR="005B5CB9" w:rsidRPr="00294F60" w:rsidRDefault="005B5CB9" w:rsidP="007D7B3B">
            <w:pPr>
              <w:pStyle w:val="Tabletext"/>
              <w:cnfStyle w:val="000000000000" w:firstRow="0" w:lastRow="0" w:firstColumn="0" w:lastColumn="0" w:oddVBand="0" w:evenVBand="0" w:oddHBand="0" w:evenHBand="0" w:firstRowFirstColumn="0" w:firstRowLastColumn="0" w:lastRowFirstColumn="0" w:lastRowLastColumn="0"/>
              <w:rPr>
                <w:szCs w:val="18"/>
              </w:rPr>
            </w:pPr>
            <w:r w:rsidRPr="00294F60">
              <w:rPr>
                <w:szCs w:val="18"/>
              </w:rPr>
              <w:t>500</w:t>
            </w:r>
          </w:p>
        </w:tc>
      </w:tr>
    </w:tbl>
    <w:p w14:paraId="4AF4D2E0" w14:textId="77777777" w:rsidR="005B5CB9" w:rsidRDefault="005B5CB9" w:rsidP="005B5CB9">
      <w:pPr>
        <w:spacing w:after="0" w:line="240" w:lineRule="auto"/>
        <w:sectPr w:rsidR="005B5CB9" w:rsidSect="00FC7E53">
          <w:headerReference w:type="default" r:id="rId45"/>
          <w:footerReference w:type="even" r:id="rId46"/>
          <w:footerReference w:type="default" r:id="rId47"/>
          <w:headerReference w:type="first" r:id="rId48"/>
          <w:pgSz w:w="11906" w:h="16838" w:code="9"/>
          <w:pgMar w:top="1134" w:right="1304" w:bottom="1418" w:left="1304" w:header="680" w:footer="567" w:gutter="0"/>
          <w:cols w:space="340"/>
          <w:docGrid w:linePitch="360"/>
        </w:sectPr>
      </w:pPr>
    </w:p>
    <w:p w14:paraId="2D4AB2F8" w14:textId="278BD726" w:rsidR="005B5CB9" w:rsidRDefault="005B5CB9" w:rsidP="00542907">
      <w:pPr>
        <w:pStyle w:val="Heading2"/>
        <w:spacing w:before="0"/>
      </w:pPr>
      <w:bookmarkStart w:id="2382" w:name="_17.5_Alcohol_and"/>
      <w:bookmarkStart w:id="2383" w:name="_Alcohol_and_other"/>
      <w:bookmarkStart w:id="2384" w:name="_Toc234580375"/>
      <w:bookmarkEnd w:id="2382"/>
      <w:bookmarkEnd w:id="2383"/>
      <w:r>
        <w:rPr>
          <w:rFonts w:eastAsia="Times"/>
        </w:rPr>
        <w:lastRenderedPageBreak/>
        <w:t>Alcohol and other</w:t>
      </w:r>
      <w:r>
        <w:t xml:space="preserve"> output targets 2026–27</w:t>
      </w:r>
      <w:bookmarkEnd w:id="2384"/>
    </w:p>
    <w:p w14:paraId="25C09489" w14:textId="62278DD0" w:rsidR="005B5CB9" w:rsidRDefault="005B5CB9" w:rsidP="005B5CB9">
      <w:pPr>
        <w:pStyle w:val="Tablecaption"/>
      </w:pPr>
      <w:r>
        <w:t>Table 3</w:t>
      </w:r>
      <w:r w:rsidR="002261B8">
        <w:t>2</w:t>
      </w:r>
      <w:r>
        <w:t xml:space="preserve">. </w:t>
      </w:r>
      <w:r w:rsidRPr="006663AB">
        <w:t>AOD output targets 2026–27 for metropolitan and regional</w:t>
      </w:r>
    </w:p>
    <w:tbl>
      <w:tblPr>
        <w:tblStyle w:val="GridTable4-Accent1"/>
        <w:tblW w:w="0" w:type="auto"/>
        <w:tblLayout w:type="fixed"/>
        <w:tblLook w:val="04A0" w:firstRow="1" w:lastRow="0" w:firstColumn="1" w:lastColumn="0" w:noHBand="0" w:noVBand="1"/>
      </w:tblPr>
      <w:tblGrid>
        <w:gridCol w:w="1413"/>
        <w:gridCol w:w="1417"/>
        <w:gridCol w:w="1332"/>
        <w:gridCol w:w="1333"/>
        <w:gridCol w:w="1332"/>
        <w:gridCol w:w="1333"/>
        <w:gridCol w:w="1333"/>
        <w:gridCol w:w="1332"/>
        <w:gridCol w:w="1333"/>
        <w:gridCol w:w="1332"/>
        <w:gridCol w:w="1333"/>
        <w:gridCol w:w="1333"/>
        <w:gridCol w:w="1332"/>
        <w:gridCol w:w="1333"/>
        <w:gridCol w:w="1333"/>
        <w:gridCol w:w="767"/>
      </w:tblGrid>
      <w:tr w:rsidR="005B5CB9" w:rsidRPr="00542907" w14:paraId="74CE53FA" w14:textId="77777777" w:rsidTr="007D7B3B">
        <w:trPr>
          <w:cnfStyle w:val="100000000000" w:firstRow="1" w:lastRow="0" w:firstColumn="0" w:lastColumn="0" w:oddVBand="0" w:evenVBand="0" w:oddHBand="0" w:evenHBand="0" w:firstRowFirstColumn="0" w:firstRowLastColumn="0" w:lastRowFirstColumn="0" w:lastRowLastColumn="0"/>
          <w:trHeight w:val="871"/>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680F0756" w14:textId="77777777" w:rsidR="005B5CB9" w:rsidRPr="00542907" w:rsidRDefault="005B5CB9" w:rsidP="00542907">
            <w:pPr>
              <w:pStyle w:val="Tablecolhead8pt"/>
              <w:rPr>
                <w:rFonts w:cs="Arial"/>
                <w:b/>
                <w:color w:val="FFFFFF" w:themeColor="background1"/>
                <w:sz w:val="18"/>
                <w:szCs w:val="18"/>
              </w:rPr>
            </w:pPr>
            <w:r w:rsidRPr="00542907">
              <w:rPr>
                <w:rFonts w:cs="Arial"/>
                <w:b/>
                <w:color w:val="FFFFFF" w:themeColor="background1"/>
                <w:sz w:val="18"/>
                <w:szCs w:val="18"/>
              </w:rPr>
              <w:t>Health service</w:t>
            </w:r>
          </w:p>
        </w:tc>
        <w:tc>
          <w:tcPr>
            <w:tcW w:w="1417" w:type="dxa"/>
            <w:hideMark/>
          </w:tcPr>
          <w:p w14:paraId="23995798" w14:textId="6880C11B"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 xml:space="preserve">DTAU </w:t>
            </w:r>
            <w:r w:rsidR="00076466">
              <w:rPr>
                <w:rFonts w:cs="Arial"/>
                <w:b/>
                <w:color w:val="FFFFFF" w:themeColor="background1"/>
                <w:sz w:val="18"/>
                <w:szCs w:val="18"/>
              </w:rPr>
              <w:t>-</w:t>
            </w:r>
            <w:r w:rsidRPr="00542907">
              <w:rPr>
                <w:rFonts w:cs="Arial"/>
                <w:b/>
                <w:color w:val="FFFFFF" w:themeColor="background1"/>
                <w:sz w:val="18"/>
                <w:szCs w:val="18"/>
              </w:rPr>
              <w:t xml:space="preserve"> Dual diagnosis residential rehabilitation </w:t>
            </w:r>
          </w:p>
        </w:tc>
        <w:tc>
          <w:tcPr>
            <w:tcW w:w="1332" w:type="dxa"/>
            <w:hideMark/>
          </w:tcPr>
          <w:p w14:paraId="4CC22488" w14:textId="312F41A2"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DTAU – Adult residential drug withdrawal</w:t>
            </w:r>
          </w:p>
        </w:tc>
        <w:tc>
          <w:tcPr>
            <w:tcW w:w="1333" w:type="dxa"/>
          </w:tcPr>
          <w:p w14:paraId="4F0045BB"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DTAU – therapeutic day program</w:t>
            </w:r>
          </w:p>
        </w:tc>
        <w:tc>
          <w:tcPr>
            <w:tcW w:w="1332" w:type="dxa"/>
          </w:tcPr>
          <w:p w14:paraId="587FE5FB"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542907">
              <w:rPr>
                <w:rFonts w:cs="Arial"/>
                <w:b/>
                <w:color w:val="FFFFFF" w:themeColor="background1"/>
                <w:sz w:val="18"/>
                <w:szCs w:val="18"/>
              </w:rPr>
              <w:t>DTAU - Intake</w:t>
            </w:r>
          </w:p>
        </w:tc>
        <w:tc>
          <w:tcPr>
            <w:tcW w:w="1333" w:type="dxa"/>
            <w:hideMark/>
          </w:tcPr>
          <w:p w14:paraId="3DA6C03A"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DTAU – Assessment</w:t>
            </w:r>
          </w:p>
        </w:tc>
        <w:tc>
          <w:tcPr>
            <w:tcW w:w="1333" w:type="dxa"/>
            <w:hideMark/>
          </w:tcPr>
          <w:p w14:paraId="41293614"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DTAU – Care and recovery coordination</w:t>
            </w:r>
          </w:p>
        </w:tc>
        <w:tc>
          <w:tcPr>
            <w:tcW w:w="1332" w:type="dxa"/>
            <w:hideMark/>
          </w:tcPr>
          <w:p w14:paraId="650C8244"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DTAU – Counselling</w:t>
            </w:r>
          </w:p>
        </w:tc>
        <w:tc>
          <w:tcPr>
            <w:tcW w:w="1333" w:type="dxa"/>
            <w:hideMark/>
          </w:tcPr>
          <w:p w14:paraId="2BEE6536"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Episode of care – Mobile overdose response service</w:t>
            </w:r>
          </w:p>
        </w:tc>
        <w:tc>
          <w:tcPr>
            <w:tcW w:w="1332" w:type="dxa"/>
            <w:hideMark/>
          </w:tcPr>
          <w:p w14:paraId="73ADA1C7"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DTAU – Non-Residential Drug withdrawal</w:t>
            </w:r>
          </w:p>
        </w:tc>
        <w:tc>
          <w:tcPr>
            <w:tcW w:w="1333" w:type="dxa"/>
            <w:hideMark/>
          </w:tcPr>
          <w:p w14:paraId="67245556"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 xml:space="preserve">DTAU – Youth residential drug withdrawal </w:t>
            </w:r>
          </w:p>
        </w:tc>
        <w:tc>
          <w:tcPr>
            <w:tcW w:w="1333" w:type="dxa"/>
          </w:tcPr>
          <w:p w14:paraId="77EAC2CB"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DTAU – Rural withdrawal</w:t>
            </w:r>
          </w:p>
          <w:p w14:paraId="043FDDEF"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c>
          <w:tcPr>
            <w:tcW w:w="1332" w:type="dxa"/>
            <w:hideMark/>
          </w:tcPr>
          <w:p w14:paraId="2131DACA"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Episode of care – Specialist pharmacotherapy service</w:t>
            </w:r>
          </w:p>
        </w:tc>
        <w:tc>
          <w:tcPr>
            <w:tcW w:w="1333" w:type="dxa"/>
            <w:hideMark/>
          </w:tcPr>
          <w:p w14:paraId="10A33D5E"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Episode of care – Youth AOD supported accommodation</w:t>
            </w:r>
          </w:p>
        </w:tc>
        <w:tc>
          <w:tcPr>
            <w:tcW w:w="1333" w:type="dxa"/>
            <w:hideMark/>
          </w:tcPr>
          <w:p w14:paraId="61760BA6" w14:textId="77777777" w:rsidR="005B5CB9" w:rsidRPr="0054290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542907">
              <w:rPr>
                <w:rFonts w:cs="Arial"/>
                <w:b/>
                <w:color w:val="FFFFFF" w:themeColor="background1"/>
                <w:sz w:val="18"/>
                <w:szCs w:val="18"/>
              </w:rPr>
              <w:t>Episode of care – Youth outreach</w:t>
            </w:r>
          </w:p>
        </w:tc>
        <w:tc>
          <w:tcPr>
            <w:tcW w:w="767" w:type="dxa"/>
            <w:hideMark/>
          </w:tcPr>
          <w:p w14:paraId="08A9CA9B" w14:textId="77777777" w:rsidR="005B5CB9" w:rsidRPr="00EB7537" w:rsidRDefault="005B5CB9" w:rsidP="005429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EB7537">
              <w:rPr>
                <w:rFonts w:cs="Arial"/>
                <w:b/>
                <w:color w:val="FFFFFF" w:themeColor="background1"/>
                <w:sz w:val="18"/>
                <w:szCs w:val="18"/>
              </w:rPr>
              <w:t>Total</w:t>
            </w:r>
          </w:p>
        </w:tc>
      </w:tr>
      <w:tr w:rsidR="005B5CB9" w:rsidRPr="00542907" w14:paraId="7E00B8B1" w14:textId="77777777" w:rsidTr="007D7B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2A789C73" w14:textId="77777777" w:rsidR="005B5CB9" w:rsidRPr="001568FD" w:rsidRDefault="005B5CB9" w:rsidP="00542907">
            <w:pPr>
              <w:pStyle w:val="Tabletext8pt"/>
              <w:rPr>
                <w:rFonts w:cs="Arial"/>
                <w:sz w:val="18"/>
                <w:szCs w:val="18"/>
              </w:rPr>
            </w:pPr>
            <w:r w:rsidRPr="001568FD">
              <w:rPr>
                <w:rFonts w:cs="Arial"/>
                <w:sz w:val="18"/>
                <w:szCs w:val="18"/>
              </w:rPr>
              <w:t>Alfred Health</w:t>
            </w:r>
          </w:p>
        </w:tc>
        <w:tc>
          <w:tcPr>
            <w:tcW w:w="1417" w:type="dxa"/>
            <w:noWrap/>
          </w:tcPr>
          <w:p w14:paraId="7016C0B7"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33EC1DA0"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tcPr>
          <w:p w14:paraId="04394165"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tcPr>
          <w:p w14:paraId="238E70FF"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2A91AE0C"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31CEB9CF"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62BAFD8F"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3A9E3C1A"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63749386"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0A4C72F8"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tcPr>
          <w:p w14:paraId="31E34E2A"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783A725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140</w:t>
            </w:r>
          </w:p>
        </w:tc>
        <w:tc>
          <w:tcPr>
            <w:tcW w:w="1333" w:type="dxa"/>
            <w:noWrap/>
          </w:tcPr>
          <w:p w14:paraId="7540EEE2"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5719435E"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767" w:type="dxa"/>
            <w:noWrap/>
          </w:tcPr>
          <w:p w14:paraId="7F3A634F" w14:textId="77777777" w:rsidR="005B5CB9" w:rsidRPr="00EB753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EB7537">
              <w:rPr>
                <w:rFonts w:cs="Arial"/>
                <w:b/>
                <w:bCs/>
                <w:sz w:val="18"/>
                <w:szCs w:val="18"/>
              </w:rPr>
              <w:t>140</w:t>
            </w:r>
          </w:p>
        </w:tc>
      </w:tr>
      <w:tr w:rsidR="005B5CB9" w:rsidRPr="00542907" w14:paraId="6E2E3DA6" w14:textId="77777777" w:rsidTr="007D7B3B">
        <w:trPr>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7CBA6D30" w14:textId="77777777" w:rsidR="005B5CB9" w:rsidRPr="001568FD" w:rsidRDefault="005B5CB9" w:rsidP="00542907">
            <w:pPr>
              <w:pStyle w:val="Tabletext8pt"/>
              <w:rPr>
                <w:rFonts w:cs="Arial"/>
                <w:sz w:val="18"/>
                <w:szCs w:val="18"/>
              </w:rPr>
            </w:pPr>
            <w:r w:rsidRPr="001568FD">
              <w:rPr>
                <w:rFonts w:cs="Arial"/>
                <w:sz w:val="18"/>
                <w:szCs w:val="18"/>
              </w:rPr>
              <w:t>Austin Health</w:t>
            </w:r>
          </w:p>
        </w:tc>
        <w:tc>
          <w:tcPr>
            <w:tcW w:w="1417" w:type="dxa"/>
            <w:noWrap/>
          </w:tcPr>
          <w:p w14:paraId="16FBB344"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5118EFAD"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tcPr>
          <w:p w14:paraId="44AF8DA0"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tcPr>
          <w:p w14:paraId="1DD8FB6F"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28328FAB"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36BE4B6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3D5F24FA"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061A6902"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3E3B3191"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7FE95838"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tcPr>
          <w:p w14:paraId="35EA66AA"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7C714738"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140</w:t>
            </w:r>
          </w:p>
        </w:tc>
        <w:tc>
          <w:tcPr>
            <w:tcW w:w="1333" w:type="dxa"/>
            <w:noWrap/>
          </w:tcPr>
          <w:p w14:paraId="20C629C7"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6D3D89A3"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767" w:type="dxa"/>
            <w:noWrap/>
          </w:tcPr>
          <w:p w14:paraId="6CD623F4" w14:textId="77777777" w:rsidR="005B5CB9" w:rsidRPr="00EB753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EB7537">
              <w:rPr>
                <w:rFonts w:cs="Arial"/>
                <w:b/>
                <w:bCs/>
                <w:sz w:val="18"/>
                <w:szCs w:val="18"/>
              </w:rPr>
              <w:t>140</w:t>
            </w:r>
          </w:p>
        </w:tc>
      </w:tr>
      <w:tr w:rsidR="005B5CB9" w:rsidRPr="00542907" w14:paraId="26C8BFA0" w14:textId="77777777" w:rsidTr="007D7B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7F000CCD" w14:textId="77777777" w:rsidR="005B5CB9" w:rsidRPr="001568FD" w:rsidRDefault="005B5CB9" w:rsidP="00542907">
            <w:pPr>
              <w:pStyle w:val="Tabletext8pt"/>
              <w:rPr>
                <w:rFonts w:cs="Arial"/>
                <w:sz w:val="18"/>
                <w:szCs w:val="18"/>
              </w:rPr>
            </w:pPr>
            <w:r w:rsidRPr="001568FD">
              <w:rPr>
                <w:rFonts w:cs="Arial"/>
                <w:sz w:val="18"/>
                <w:szCs w:val="18"/>
              </w:rPr>
              <w:t>Barwon Health</w:t>
            </w:r>
          </w:p>
        </w:tc>
        <w:tc>
          <w:tcPr>
            <w:tcW w:w="1417" w:type="dxa"/>
            <w:noWrap/>
          </w:tcPr>
          <w:p w14:paraId="3FF80C49"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29FC1115"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tcPr>
          <w:p w14:paraId="46280DD2"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tcPr>
          <w:p w14:paraId="09A71E2A"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424</w:t>
            </w:r>
          </w:p>
        </w:tc>
        <w:tc>
          <w:tcPr>
            <w:tcW w:w="1333" w:type="dxa"/>
            <w:noWrap/>
          </w:tcPr>
          <w:p w14:paraId="6B3CE1CF"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280</w:t>
            </w:r>
          </w:p>
        </w:tc>
        <w:tc>
          <w:tcPr>
            <w:tcW w:w="1333" w:type="dxa"/>
            <w:noWrap/>
          </w:tcPr>
          <w:p w14:paraId="19AFB70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263</w:t>
            </w:r>
          </w:p>
        </w:tc>
        <w:tc>
          <w:tcPr>
            <w:tcW w:w="1332" w:type="dxa"/>
            <w:noWrap/>
          </w:tcPr>
          <w:p w14:paraId="050CCED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669</w:t>
            </w:r>
          </w:p>
        </w:tc>
        <w:tc>
          <w:tcPr>
            <w:tcW w:w="1333" w:type="dxa"/>
            <w:noWrap/>
          </w:tcPr>
          <w:p w14:paraId="57673B3C"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2E584AAF"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304</w:t>
            </w:r>
          </w:p>
        </w:tc>
        <w:tc>
          <w:tcPr>
            <w:tcW w:w="1333" w:type="dxa"/>
            <w:noWrap/>
          </w:tcPr>
          <w:p w14:paraId="0C35E5E8"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tcPr>
          <w:p w14:paraId="0AC1AFF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4387DFBC"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4E9EFCB2"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15</w:t>
            </w:r>
          </w:p>
        </w:tc>
        <w:tc>
          <w:tcPr>
            <w:tcW w:w="1333" w:type="dxa"/>
            <w:noWrap/>
          </w:tcPr>
          <w:p w14:paraId="44512ADB"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71</w:t>
            </w:r>
          </w:p>
        </w:tc>
        <w:tc>
          <w:tcPr>
            <w:tcW w:w="767" w:type="dxa"/>
            <w:noWrap/>
          </w:tcPr>
          <w:p w14:paraId="78E5E680" w14:textId="77777777" w:rsidR="005B5CB9" w:rsidRPr="00EB753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EB7537">
              <w:rPr>
                <w:rFonts w:cs="Arial"/>
                <w:b/>
                <w:bCs/>
                <w:sz w:val="18"/>
                <w:szCs w:val="18"/>
              </w:rPr>
              <w:t>2,026</w:t>
            </w:r>
          </w:p>
        </w:tc>
      </w:tr>
      <w:tr w:rsidR="005B5CB9" w:rsidRPr="00542907" w14:paraId="626EAEE5" w14:textId="77777777" w:rsidTr="007D7B3B">
        <w:trPr>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7E6C322A" w14:textId="77777777" w:rsidR="005B5CB9" w:rsidRPr="001568FD" w:rsidRDefault="005B5CB9" w:rsidP="00542907">
            <w:pPr>
              <w:pStyle w:val="Tabletext8pt"/>
              <w:rPr>
                <w:rFonts w:cs="Arial"/>
                <w:sz w:val="18"/>
                <w:szCs w:val="18"/>
              </w:rPr>
            </w:pPr>
            <w:r w:rsidRPr="001568FD">
              <w:rPr>
                <w:rFonts w:cs="Arial"/>
                <w:sz w:val="18"/>
                <w:szCs w:val="18"/>
              </w:rPr>
              <w:t>Bendigo Health</w:t>
            </w:r>
          </w:p>
        </w:tc>
        <w:tc>
          <w:tcPr>
            <w:tcW w:w="1417" w:type="dxa"/>
            <w:noWrap/>
          </w:tcPr>
          <w:p w14:paraId="17CD7BAF"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2,391</w:t>
            </w:r>
          </w:p>
        </w:tc>
        <w:tc>
          <w:tcPr>
            <w:tcW w:w="1332" w:type="dxa"/>
            <w:noWrap/>
          </w:tcPr>
          <w:p w14:paraId="410E96F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tcPr>
          <w:p w14:paraId="67C1F930"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tcPr>
          <w:p w14:paraId="17818B8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5FD22210"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1B71BB39"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75283366"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2248CB04"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5DA10EC6"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06C0B639"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tcPr>
          <w:p w14:paraId="2A1B5896"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76224EF3"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1D3BC607"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1928B6DD"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767" w:type="dxa"/>
            <w:noWrap/>
          </w:tcPr>
          <w:p w14:paraId="49FBF83A" w14:textId="77777777" w:rsidR="005B5CB9" w:rsidRPr="00EB753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EB7537">
              <w:rPr>
                <w:rFonts w:cs="Arial"/>
                <w:b/>
                <w:bCs/>
                <w:sz w:val="18"/>
                <w:szCs w:val="18"/>
              </w:rPr>
              <w:t>2,391</w:t>
            </w:r>
          </w:p>
        </w:tc>
      </w:tr>
      <w:tr w:rsidR="005B5CB9" w:rsidRPr="00542907" w14:paraId="1D2C9DDD" w14:textId="77777777" w:rsidTr="007D7B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4B3881A0" w14:textId="77777777" w:rsidR="005B5CB9" w:rsidRPr="001568FD" w:rsidRDefault="005B5CB9" w:rsidP="00542907">
            <w:pPr>
              <w:pStyle w:val="Tabletext8pt"/>
              <w:rPr>
                <w:rFonts w:cs="Arial"/>
                <w:sz w:val="18"/>
                <w:szCs w:val="18"/>
              </w:rPr>
            </w:pPr>
            <w:r w:rsidRPr="001568FD">
              <w:rPr>
                <w:rFonts w:cs="Arial"/>
                <w:sz w:val="18"/>
                <w:szCs w:val="18"/>
              </w:rPr>
              <w:t>Eastern Health</w:t>
            </w:r>
          </w:p>
        </w:tc>
        <w:tc>
          <w:tcPr>
            <w:tcW w:w="1417" w:type="dxa"/>
            <w:noWrap/>
          </w:tcPr>
          <w:p w14:paraId="51D1A952"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73599297"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4,972</w:t>
            </w:r>
          </w:p>
        </w:tc>
        <w:tc>
          <w:tcPr>
            <w:tcW w:w="1333" w:type="dxa"/>
          </w:tcPr>
          <w:p w14:paraId="4E59A8F6"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tcPr>
          <w:p w14:paraId="60B3B3D1"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545</w:t>
            </w:r>
          </w:p>
        </w:tc>
        <w:tc>
          <w:tcPr>
            <w:tcW w:w="1333" w:type="dxa"/>
            <w:noWrap/>
          </w:tcPr>
          <w:p w14:paraId="69063995"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701</w:t>
            </w:r>
          </w:p>
        </w:tc>
        <w:tc>
          <w:tcPr>
            <w:tcW w:w="1333" w:type="dxa"/>
            <w:noWrap/>
          </w:tcPr>
          <w:p w14:paraId="2EDBEF1C"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562</w:t>
            </w:r>
          </w:p>
        </w:tc>
        <w:tc>
          <w:tcPr>
            <w:tcW w:w="1332" w:type="dxa"/>
            <w:noWrap/>
          </w:tcPr>
          <w:p w14:paraId="4670C0D1"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1,942</w:t>
            </w:r>
          </w:p>
        </w:tc>
        <w:tc>
          <w:tcPr>
            <w:tcW w:w="1333" w:type="dxa"/>
            <w:noWrap/>
          </w:tcPr>
          <w:p w14:paraId="6EA1DBE1"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19</w:t>
            </w:r>
          </w:p>
        </w:tc>
        <w:tc>
          <w:tcPr>
            <w:tcW w:w="1332" w:type="dxa"/>
            <w:noWrap/>
          </w:tcPr>
          <w:p w14:paraId="527D2B4B"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669</w:t>
            </w:r>
          </w:p>
        </w:tc>
        <w:tc>
          <w:tcPr>
            <w:tcW w:w="1333" w:type="dxa"/>
            <w:noWrap/>
          </w:tcPr>
          <w:p w14:paraId="26F2AD18"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tcPr>
          <w:p w14:paraId="46E74B2F"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323C1F45"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170</w:t>
            </w:r>
          </w:p>
        </w:tc>
        <w:tc>
          <w:tcPr>
            <w:tcW w:w="1333" w:type="dxa"/>
            <w:noWrap/>
          </w:tcPr>
          <w:p w14:paraId="478861B3"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5618DC61"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767" w:type="dxa"/>
            <w:noWrap/>
          </w:tcPr>
          <w:p w14:paraId="12CB529A" w14:textId="77777777" w:rsidR="005B5CB9" w:rsidRPr="00EB753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EB7537">
              <w:rPr>
                <w:rFonts w:cs="Arial"/>
                <w:b/>
                <w:bCs/>
                <w:sz w:val="18"/>
                <w:szCs w:val="18"/>
              </w:rPr>
              <w:t>9,580</w:t>
            </w:r>
          </w:p>
        </w:tc>
      </w:tr>
      <w:tr w:rsidR="005B5CB9" w:rsidRPr="00542907" w14:paraId="00FA8E64" w14:textId="77777777" w:rsidTr="007D7B3B">
        <w:trPr>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53B0D870" w14:textId="77777777" w:rsidR="005B5CB9" w:rsidRPr="001568FD" w:rsidRDefault="005B5CB9" w:rsidP="00542907">
            <w:pPr>
              <w:pStyle w:val="Tabletext8pt"/>
              <w:rPr>
                <w:rFonts w:cs="Arial"/>
                <w:sz w:val="18"/>
                <w:szCs w:val="18"/>
              </w:rPr>
            </w:pPr>
            <w:r w:rsidRPr="001568FD">
              <w:rPr>
                <w:rFonts w:cs="Arial"/>
                <w:sz w:val="18"/>
                <w:szCs w:val="18"/>
              </w:rPr>
              <w:t>Goulburn Valley Health</w:t>
            </w:r>
          </w:p>
        </w:tc>
        <w:tc>
          <w:tcPr>
            <w:tcW w:w="1417" w:type="dxa"/>
            <w:noWrap/>
          </w:tcPr>
          <w:p w14:paraId="426C208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4928745E"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933</w:t>
            </w:r>
          </w:p>
        </w:tc>
        <w:tc>
          <w:tcPr>
            <w:tcW w:w="1333" w:type="dxa"/>
          </w:tcPr>
          <w:p w14:paraId="30052320"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848</w:t>
            </w:r>
          </w:p>
        </w:tc>
        <w:tc>
          <w:tcPr>
            <w:tcW w:w="1332" w:type="dxa"/>
          </w:tcPr>
          <w:p w14:paraId="5021487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27E5956F"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237</w:t>
            </w:r>
          </w:p>
        </w:tc>
        <w:tc>
          <w:tcPr>
            <w:tcW w:w="1333" w:type="dxa"/>
            <w:noWrap/>
          </w:tcPr>
          <w:p w14:paraId="2DA29080"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196</w:t>
            </w:r>
          </w:p>
        </w:tc>
        <w:tc>
          <w:tcPr>
            <w:tcW w:w="1332" w:type="dxa"/>
            <w:noWrap/>
          </w:tcPr>
          <w:p w14:paraId="508E5BC9"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622</w:t>
            </w:r>
          </w:p>
        </w:tc>
        <w:tc>
          <w:tcPr>
            <w:tcW w:w="1333" w:type="dxa"/>
            <w:noWrap/>
          </w:tcPr>
          <w:p w14:paraId="00640D5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19602B28"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451</w:t>
            </w:r>
          </w:p>
        </w:tc>
        <w:tc>
          <w:tcPr>
            <w:tcW w:w="1333" w:type="dxa"/>
            <w:noWrap/>
          </w:tcPr>
          <w:p w14:paraId="196456A1"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tcPr>
          <w:p w14:paraId="395C3011"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20ACD673"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21ABB067"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529B22DA"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767" w:type="dxa"/>
            <w:noWrap/>
          </w:tcPr>
          <w:p w14:paraId="2494F152" w14:textId="77777777" w:rsidR="005B5CB9" w:rsidRPr="00EB753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EB7537">
              <w:rPr>
                <w:rFonts w:cs="Arial"/>
                <w:b/>
                <w:bCs/>
                <w:sz w:val="18"/>
                <w:szCs w:val="18"/>
              </w:rPr>
              <w:t>3,287</w:t>
            </w:r>
          </w:p>
        </w:tc>
      </w:tr>
      <w:tr w:rsidR="005B5CB9" w:rsidRPr="00542907" w14:paraId="1240B70C" w14:textId="77777777" w:rsidTr="007D7B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27353D44" w14:textId="77777777" w:rsidR="005B5CB9" w:rsidRPr="001568FD" w:rsidRDefault="005B5CB9" w:rsidP="00542907">
            <w:pPr>
              <w:pStyle w:val="Tabletext8pt"/>
              <w:rPr>
                <w:rFonts w:cs="Arial"/>
                <w:sz w:val="18"/>
                <w:szCs w:val="18"/>
              </w:rPr>
            </w:pPr>
            <w:r w:rsidRPr="001568FD">
              <w:rPr>
                <w:rFonts w:cs="Arial"/>
                <w:sz w:val="18"/>
                <w:szCs w:val="18"/>
              </w:rPr>
              <w:t>Monash Health</w:t>
            </w:r>
          </w:p>
        </w:tc>
        <w:tc>
          <w:tcPr>
            <w:tcW w:w="1417" w:type="dxa"/>
            <w:noWrap/>
          </w:tcPr>
          <w:p w14:paraId="407C1041"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7288559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3,113</w:t>
            </w:r>
          </w:p>
        </w:tc>
        <w:tc>
          <w:tcPr>
            <w:tcW w:w="1333" w:type="dxa"/>
          </w:tcPr>
          <w:p w14:paraId="73480DB1"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tcPr>
          <w:p w14:paraId="2E42341E"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3CD61D45"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7D2DA6A5"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5B5F0C30"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159</w:t>
            </w:r>
          </w:p>
        </w:tc>
        <w:tc>
          <w:tcPr>
            <w:tcW w:w="1333" w:type="dxa"/>
            <w:noWrap/>
          </w:tcPr>
          <w:p w14:paraId="68637E3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4BED78E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7043A129"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tcPr>
          <w:p w14:paraId="6D8A9608"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78AA9FB9"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44BE6EEC"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32</w:t>
            </w:r>
          </w:p>
        </w:tc>
        <w:tc>
          <w:tcPr>
            <w:tcW w:w="1333" w:type="dxa"/>
            <w:noWrap/>
          </w:tcPr>
          <w:p w14:paraId="58B2312B"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28</w:t>
            </w:r>
          </w:p>
        </w:tc>
        <w:tc>
          <w:tcPr>
            <w:tcW w:w="767" w:type="dxa"/>
            <w:noWrap/>
          </w:tcPr>
          <w:p w14:paraId="47152BDE" w14:textId="77777777" w:rsidR="005B5CB9" w:rsidRPr="00EB753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EB7537">
              <w:rPr>
                <w:rFonts w:cs="Arial"/>
                <w:b/>
                <w:bCs/>
                <w:sz w:val="18"/>
                <w:szCs w:val="18"/>
              </w:rPr>
              <w:t>3,332</w:t>
            </w:r>
          </w:p>
        </w:tc>
      </w:tr>
      <w:tr w:rsidR="005B5CB9" w:rsidRPr="00542907" w14:paraId="6314EB87" w14:textId="77777777" w:rsidTr="007D7B3B">
        <w:trPr>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57BB0134" w14:textId="77777777" w:rsidR="005B5CB9" w:rsidRPr="001568FD" w:rsidRDefault="005B5CB9" w:rsidP="00542907">
            <w:pPr>
              <w:pStyle w:val="Tabletext8pt"/>
              <w:rPr>
                <w:rFonts w:cs="Arial"/>
                <w:sz w:val="18"/>
                <w:szCs w:val="18"/>
              </w:rPr>
            </w:pPr>
            <w:r w:rsidRPr="001568FD">
              <w:rPr>
                <w:rFonts w:cs="Arial"/>
                <w:sz w:val="18"/>
                <w:szCs w:val="18"/>
              </w:rPr>
              <w:t>Peninsula Health</w:t>
            </w:r>
          </w:p>
        </w:tc>
        <w:tc>
          <w:tcPr>
            <w:tcW w:w="1417" w:type="dxa"/>
            <w:noWrap/>
          </w:tcPr>
          <w:p w14:paraId="3C2A0A6C"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33DEA59B"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tcPr>
          <w:p w14:paraId="7F83F303"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tcPr>
          <w:p w14:paraId="040EB3C7"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294</w:t>
            </w:r>
          </w:p>
        </w:tc>
        <w:tc>
          <w:tcPr>
            <w:tcW w:w="1333" w:type="dxa"/>
            <w:noWrap/>
          </w:tcPr>
          <w:p w14:paraId="43138C2B"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222</w:t>
            </w:r>
          </w:p>
        </w:tc>
        <w:tc>
          <w:tcPr>
            <w:tcW w:w="1333" w:type="dxa"/>
            <w:noWrap/>
          </w:tcPr>
          <w:p w14:paraId="5FF5344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140</w:t>
            </w:r>
          </w:p>
        </w:tc>
        <w:tc>
          <w:tcPr>
            <w:tcW w:w="1332" w:type="dxa"/>
            <w:noWrap/>
          </w:tcPr>
          <w:p w14:paraId="5CE3356C"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562</w:t>
            </w:r>
          </w:p>
        </w:tc>
        <w:tc>
          <w:tcPr>
            <w:tcW w:w="1333" w:type="dxa"/>
            <w:noWrap/>
          </w:tcPr>
          <w:p w14:paraId="138561D4"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7F06C393"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253</w:t>
            </w:r>
          </w:p>
        </w:tc>
        <w:tc>
          <w:tcPr>
            <w:tcW w:w="1333" w:type="dxa"/>
            <w:noWrap/>
          </w:tcPr>
          <w:p w14:paraId="4189DC22"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tcPr>
          <w:p w14:paraId="60CED66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7A03DCEB"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013F29B9"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8</w:t>
            </w:r>
          </w:p>
        </w:tc>
        <w:tc>
          <w:tcPr>
            <w:tcW w:w="1333" w:type="dxa"/>
            <w:noWrap/>
          </w:tcPr>
          <w:p w14:paraId="6F30458B"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109</w:t>
            </w:r>
          </w:p>
        </w:tc>
        <w:tc>
          <w:tcPr>
            <w:tcW w:w="767" w:type="dxa"/>
            <w:noWrap/>
          </w:tcPr>
          <w:p w14:paraId="29E8CD33" w14:textId="77777777" w:rsidR="005B5CB9" w:rsidRPr="00EB753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EB7537">
              <w:rPr>
                <w:rFonts w:cs="Arial"/>
                <w:b/>
                <w:bCs/>
                <w:sz w:val="18"/>
                <w:szCs w:val="18"/>
              </w:rPr>
              <w:t>1,589</w:t>
            </w:r>
          </w:p>
        </w:tc>
      </w:tr>
      <w:tr w:rsidR="005B5CB9" w:rsidRPr="00542907" w14:paraId="358BDAE9" w14:textId="77777777" w:rsidTr="007D7B3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349C7741" w14:textId="77777777" w:rsidR="005B5CB9" w:rsidRPr="001568FD" w:rsidRDefault="005B5CB9" w:rsidP="00542907">
            <w:pPr>
              <w:pStyle w:val="Tabletext8pt"/>
              <w:rPr>
                <w:rFonts w:cs="Arial"/>
                <w:sz w:val="18"/>
                <w:szCs w:val="18"/>
              </w:rPr>
            </w:pPr>
            <w:r w:rsidRPr="001568FD">
              <w:rPr>
                <w:rFonts w:cs="Arial"/>
                <w:sz w:val="18"/>
                <w:szCs w:val="18"/>
              </w:rPr>
              <w:t>St Vincent’s Hospital Melbourne Limited</w:t>
            </w:r>
          </w:p>
        </w:tc>
        <w:tc>
          <w:tcPr>
            <w:tcW w:w="1417" w:type="dxa"/>
            <w:noWrap/>
          </w:tcPr>
          <w:p w14:paraId="7197D0F3"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68380066"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542907">
              <w:rPr>
                <w:rFonts w:cs="Arial"/>
                <w:sz w:val="18"/>
                <w:szCs w:val="18"/>
              </w:rPr>
              <w:t>2,769</w:t>
            </w:r>
          </w:p>
        </w:tc>
        <w:tc>
          <w:tcPr>
            <w:tcW w:w="1333" w:type="dxa"/>
          </w:tcPr>
          <w:p w14:paraId="4774284A"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tcPr>
          <w:p w14:paraId="4E3A738D"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336FCBCE"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62EA60AC"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548B8139"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06E94047"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3D538BBB"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492457A7"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tcPr>
          <w:p w14:paraId="12438FE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2" w:type="dxa"/>
            <w:noWrap/>
          </w:tcPr>
          <w:p w14:paraId="44F3D8B9"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59CE0234"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3" w:type="dxa"/>
            <w:noWrap/>
          </w:tcPr>
          <w:p w14:paraId="4F376C4B" w14:textId="77777777" w:rsidR="005B5CB9" w:rsidRPr="005429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767" w:type="dxa"/>
            <w:noWrap/>
          </w:tcPr>
          <w:p w14:paraId="1C424633" w14:textId="77777777" w:rsidR="005B5CB9" w:rsidRPr="00EB753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EB7537">
              <w:rPr>
                <w:rFonts w:cs="Arial"/>
                <w:b/>
                <w:bCs/>
                <w:sz w:val="18"/>
                <w:szCs w:val="18"/>
              </w:rPr>
              <w:t>2,769</w:t>
            </w:r>
          </w:p>
        </w:tc>
      </w:tr>
      <w:tr w:rsidR="005B5CB9" w:rsidRPr="00542907" w14:paraId="7EEB36BB" w14:textId="77777777" w:rsidTr="007D7B3B">
        <w:trPr>
          <w:trHeight w:val="284"/>
        </w:trPr>
        <w:tc>
          <w:tcPr>
            <w:cnfStyle w:val="001000000000" w:firstRow="0" w:lastRow="0" w:firstColumn="1" w:lastColumn="0" w:oddVBand="0" w:evenVBand="0" w:oddHBand="0" w:evenHBand="0" w:firstRowFirstColumn="0" w:firstRowLastColumn="0" w:lastRowFirstColumn="0" w:lastRowLastColumn="0"/>
            <w:tcW w:w="1413" w:type="dxa"/>
            <w:hideMark/>
          </w:tcPr>
          <w:p w14:paraId="5159E1F4" w14:textId="77777777" w:rsidR="005B5CB9" w:rsidRPr="001568FD" w:rsidRDefault="005B5CB9" w:rsidP="00542907">
            <w:pPr>
              <w:pStyle w:val="Tabletext8pt"/>
              <w:rPr>
                <w:rFonts w:cs="Arial"/>
                <w:sz w:val="18"/>
                <w:szCs w:val="18"/>
              </w:rPr>
            </w:pPr>
            <w:r w:rsidRPr="001568FD">
              <w:rPr>
                <w:rFonts w:cs="Arial"/>
                <w:sz w:val="18"/>
                <w:szCs w:val="18"/>
              </w:rPr>
              <w:t>Western Health</w:t>
            </w:r>
          </w:p>
        </w:tc>
        <w:tc>
          <w:tcPr>
            <w:tcW w:w="1417" w:type="dxa"/>
            <w:noWrap/>
          </w:tcPr>
          <w:p w14:paraId="003E2829"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6,041</w:t>
            </w:r>
          </w:p>
        </w:tc>
        <w:tc>
          <w:tcPr>
            <w:tcW w:w="1332" w:type="dxa"/>
            <w:noWrap/>
          </w:tcPr>
          <w:p w14:paraId="6B974A30"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2,765</w:t>
            </w:r>
          </w:p>
        </w:tc>
        <w:tc>
          <w:tcPr>
            <w:tcW w:w="1333" w:type="dxa"/>
          </w:tcPr>
          <w:p w14:paraId="26061478"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660</w:t>
            </w:r>
          </w:p>
        </w:tc>
        <w:tc>
          <w:tcPr>
            <w:tcW w:w="1332" w:type="dxa"/>
          </w:tcPr>
          <w:p w14:paraId="524BF936"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47A4809B"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497</w:t>
            </w:r>
          </w:p>
        </w:tc>
        <w:tc>
          <w:tcPr>
            <w:tcW w:w="1333" w:type="dxa"/>
            <w:noWrap/>
          </w:tcPr>
          <w:p w14:paraId="0CE69B0B"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392</w:t>
            </w:r>
          </w:p>
        </w:tc>
        <w:tc>
          <w:tcPr>
            <w:tcW w:w="1332" w:type="dxa"/>
            <w:noWrap/>
          </w:tcPr>
          <w:p w14:paraId="05D6BB9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1,583</w:t>
            </w:r>
          </w:p>
        </w:tc>
        <w:tc>
          <w:tcPr>
            <w:tcW w:w="1333" w:type="dxa"/>
            <w:noWrap/>
          </w:tcPr>
          <w:p w14:paraId="19E6FAA7"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4D2AA2FF"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578</w:t>
            </w:r>
          </w:p>
        </w:tc>
        <w:tc>
          <w:tcPr>
            <w:tcW w:w="1333" w:type="dxa"/>
            <w:noWrap/>
          </w:tcPr>
          <w:p w14:paraId="77BBF1AA"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1,597</w:t>
            </w:r>
          </w:p>
        </w:tc>
        <w:tc>
          <w:tcPr>
            <w:tcW w:w="1333" w:type="dxa"/>
          </w:tcPr>
          <w:p w14:paraId="00330F95"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2" w:type="dxa"/>
            <w:noWrap/>
          </w:tcPr>
          <w:p w14:paraId="41E96E51"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140</w:t>
            </w:r>
          </w:p>
        </w:tc>
        <w:tc>
          <w:tcPr>
            <w:tcW w:w="1333" w:type="dxa"/>
            <w:noWrap/>
          </w:tcPr>
          <w:p w14:paraId="3339F331"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3" w:type="dxa"/>
            <w:noWrap/>
          </w:tcPr>
          <w:p w14:paraId="513377E4" w14:textId="77777777" w:rsidR="005B5CB9" w:rsidRPr="005429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542907">
              <w:rPr>
                <w:rFonts w:cs="Arial"/>
                <w:sz w:val="18"/>
                <w:szCs w:val="18"/>
              </w:rPr>
              <w:t>220</w:t>
            </w:r>
          </w:p>
        </w:tc>
        <w:tc>
          <w:tcPr>
            <w:tcW w:w="767" w:type="dxa"/>
            <w:noWrap/>
          </w:tcPr>
          <w:p w14:paraId="3E8B3E8B" w14:textId="77777777" w:rsidR="005B5CB9" w:rsidRPr="00EB753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EB7537">
              <w:rPr>
                <w:rFonts w:cs="Arial"/>
                <w:b/>
                <w:bCs/>
                <w:sz w:val="18"/>
                <w:szCs w:val="18"/>
              </w:rPr>
              <w:t>14,473</w:t>
            </w:r>
          </w:p>
        </w:tc>
      </w:tr>
    </w:tbl>
    <w:p w14:paraId="251B5F0D" w14:textId="280401B8" w:rsidR="005B5CB9" w:rsidRDefault="005B5CB9" w:rsidP="005B5CB9">
      <w:pPr>
        <w:pStyle w:val="Tablecaption"/>
      </w:pPr>
      <w:r>
        <w:t>Table 3</w:t>
      </w:r>
      <w:r w:rsidR="002261B8">
        <w:t>3</w:t>
      </w:r>
      <w:r>
        <w:t xml:space="preserve">. </w:t>
      </w:r>
      <w:r w:rsidRPr="00DA77F7">
        <w:t>AOD output targets 2026–27 for subregional</w:t>
      </w:r>
    </w:p>
    <w:tbl>
      <w:tblPr>
        <w:tblStyle w:val="GridTable4-Accent1"/>
        <w:tblW w:w="0" w:type="auto"/>
        <w:tblLayout w:type="fixed"/>
        <w:tblLook w:val="04A0" w:firstRow="1" w:lastRow="0" w:firstColumn="1" w:lastColumn="0" w:noHBand="0" w:noVBand="1"/>
      </w:tblPr>
      <w:tblGrid>
        <w:gridCol w:w="1413"/>
        <w:gridCol w:w="1417"/>
        <w:gridCol w:w="1330"/>
        <w:gridCol w:w="1331"/>
        <w:gridCol w:w="1331"/>
        <w:gridCol w:w="1331"/>
        <w:gridCol w:w="1331"/>
        <w:gridCol w:w="1331"/>
        <w:gridCol w:w="1331"/>
        <w:gridCol w:w="1331"/>
        <w:gridCol w:w="1331"/>
        <w:gridCol w:w="1331"/>
        <w:gridCol w:w="1331"/>
        <w:gridCol w:w="1331"/>
        <w:gridCol w:w="1331"/>
        <w:gridCol w:w="789"/>
      </w:tblGrid>
      <w:tr w:rsidR="005B5CB9" w:rsidRPr="007E2307" w14:paraId="4B2F67AD" w14:textId="77777777" w:rsidTr="008B245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13" w:type="dxa"/>
            <w:hideMark/>
          </w:tcPr>
          <w:p w14:paraId="261A3783" w14:textId="77777777" w:rsidR="005B5CB9" w:rsidRPr="007E2307" w:rsidRDefault="005B5CB9" w:rsidP="007E2307">
            <w:pPr>
              <w:pStyle w:val="Tablecolhead8pt"/>
              <w:rPr>
                <w:rFonts w:cs="Arial"/>
                <w:b/>
                <w:color w:val="FFFFFF" w:themeColor="background1"/>
                <w:sz w:val="18"/>
                <w:szCs w:val="18"/>
              </w:rPr>
            </w:pPr>
            <w:r w:rsidRPr="007E2307">
              <w:rPr>
                <w:rFonts w:cs="Arial"/>
                <w:b/>
                <w:color w:val="FFFFFF" w:themeColor="background1"/>
                <w:sz w:val="18"/>
                <w:szCs w:val="18"/>
              </w:rPr>
              <w:t>Health service</w:t>
            </w:r>
          </w:p>
        </w:tc>
        <w:tc>
          <w:tcPr>
            <w:tcW w:w="1417" w:type="dxa"/>
            <w:hideMark/>
          </w:tcPr>
          <w:p w14:paraId="56D0627F" w14:textId="7025168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 xml:space="preserve">DTAU </w:t>
            </w:r>
            <w:r w:rsidR="008B245D">
              <w:rPr>
                <w:rFonts w:cs="Arial"/>
                <w:b/>
                <w:color w:val="FFFFFF" w:themeColor="background1"/>
                <w:sz w:val="18"/>
                <w:szCs w:val="18"/>
              </w:rPr>
              <w:t>-</w:t>
            </w:r>
            <w:r w:rsidRPr="007E2307">
              <w:rPr>
                <w:rFonts w:cs="Arial"/>
                <w:b/>
                <w:color w:val="FFFFFF" w:themeColor="background1"/>
                <w:sz w:val="18"/>
                <w:szCs w:val="18"/>
              </w:rPr>
              <w:t xml:space="preserve"> dual diagnosis residential rehabilitation </w:t>
            </w:r>
          </w:p>
        </w:tc>
        <w:tc>
          <w:tcPr>
            <w:tcW w:w="1330" w:type="dxa"/>
          </w:tcPr>
          <w:p w14:paraId="135F8E09"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DTAU – Adult residential drug withdrawal</w:t>
            </w:r>
          </w:p>
          <w:p w14:paraId="53D8B853"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c>
          <w:tcPr>
            <w:tcW w:w="1331" w:type="dxa"/>
          </w:tcPr>
          <w:p w14:paraId="3C2425D0"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DTAU – therapeutic day program</w:t>
            </w:r>
          </w:p>
          <w:p w14:paraId="51CB7859"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c>
          <w:tcPr>
            <w:tcW w:w="1331" w:type="dxa"/>
          </w:tcPr>
          <w:p w14:paraId="05D4DBBB"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DTAU - Intake</w:t>
            </w:r>
          </w:p>
          <w:p w14:paraId="51FE4FE7"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c>
          <w:tcPr>
            <w:tcW w:w="1331" w:type="dxa"/>
          </w:tcPr>
          <w:p w14:paraId="244C28E3"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sz w:val="18"/>
                <w:szCs w:val="18"/>
              </w:rPr>
            </w:pPr>
            <w:r w:rsidRPr="007E2307">
              <w:rPr>
                <w:rFonts w:eastAsia="Arial" w:cs="Arial"/>
                <w:b/>
                <w:color w:val="FFFFFF" w:themeColor="background1"/>
                <w:sz w:val="18"/>
                <w:szCs w:val="18"/>
              </w:rPr>
              <w:t>DTAU – Assessment</w:t>
            </w:r>
          </w:p>
          <w:p w14:paraId="18C94962"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sz w:val="18"/>
                <w:szCs w:val="18"/>
              </w:rPr>
            </w:pPr>
          </w:p>
        </w:tc>
        <w:tc>
          <w:tcPr>
            <w:tcW w:w="1331" w:type="dxa"/>
          </w:tcPr>
          <w:p w14:paraId="7D1101ED"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DTAU – Care and recovery coordination</w:t>
            </w:r>
          </w:p>
          <w:p w14:paraId="1083CC53"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c>
          <w:tcPr>
            <w:tcW w:w="1331" w:type="dxa"/>
            <w:hideMark/>
          </w:tcPr>
          <w:p w14:paraId="2B423CEF"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DTAU – Counselling</w:t>
            </w:r>
          </w:p>
        </w:tc>
        <w:tc>
          <w:tcPr>
            <w:tcW w:w="1331" w:type="dxa"/>
          </w:tcPr>
          <w:p w14:paraId="272859D1"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Episode of care – Mobile overdose response service</w:t>
            </w:r>
          </w:p>
          <w:p w14:paraId="520A7B38"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c>
          <w:tcPr>
            <w:tcW w:w="1331" w:type="dxa"/>
            <w:hideMark/>
          </w:tcPr>
          <w:p w14:paraId="7725FA71"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DTAU – Non-residential Drug Withdrawal</w:t>
            </w:r>
          </w:p>
        </w:tc>
        <w:tc>
          <w:tcPr>
            <w:tcW w:w="1331" w:type="dxa"/>
          </w:tcPr>
          <w:p w14:paraId="0705BEDC"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DTAU – Youth residential drug withdrawal</w:t>
            </w:r>
          </w:p>
          <w:p w14:paraId="0277B081"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p>
        </w:tc>
        <w:tc>
          <w:tcPr>
            <w:tcW w:w="1331" w:type="dxa"/>
            <w:hideMark/>
          </w:tcPr>
          <w:p w14:paraId="44BAE947"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 xml:space="preserve">DTAU – rural withdrawal </w:t>
            </w:r>
          </w:p>
        </w:tc>
        <w:tc>
          <w:tcPr>
            <w:tcW w:w="1331" w:type="dxa"/>
            <w:hideMark/>
          </w:tcPr>
          <w:p w14:paraId="51942D46"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Episode of care – Specialist pharmacotherapy service</w:t>
            </w:r>
          </w:p>
        </w:tc>
        <w:tc>
          <w:tcPr>
            <w:tcW w:w="1331" w:type="dxa"/>
            <w:hideMark/>
          </w:tcPr>
          <w:p w14:paraId="3C99B72A"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Episode of care – Youth AOD supported accommodation</w:t>
            </w:r>
          </w:p>
        </w:tc>
        <w:tc>
          <w:tcPr>
            <w:tcW w:w="1331" w:type="dxa"/>
            <w:hideMark/>
          </w:tcPr>
          <w:p w14:paraId="70148CD6" w14:textId="77777777" w:rsidR="005B5CB9" w:rsidRPr="007E2307"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7E2307">
              <w:rPr>
                <w:rFonts w:cs="Arial"/>
                <w:b/>
                <w:color w:val="FFFFFF" w:themeColor="background1"/>
                <w:sz w:val="18"/>
                <w:szCs w:val="18"/>
              </w:rPr>
              <w:t>Episode of care –Youth outreach</w:t>
            </w:r>
          </w:p>
        </w:tc>
        <w:tc>
          <w:tcPr>
            <w:tcW w:w="789" w:type="dxa"/>
            <w:hideMark/>
          </w:tcPr>
          <w:p w14:paraId="5F6BF1FD" w14:textId="77777777" w:rsidR="005B5CB9" w:rsidRPr="008B245D" w:rsidRDefault="005B5CB9" w:rsidP="007E2307">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8B245D">
              <w:rPr>
                <w:rFonts w:cs="Arial"/>
                <w:b/>
                <w:color w:val="FFFFFF" w:themeColor="background1"/>
                <w:sz w:val="18"/>
                <w:szCs w:val="18"/>
              </w:rPr>
              <w:t>Total</w:t>
            </w:r>
          </w:p>
        </w:tc>
      </w:tr>
      <w:tr w:rsidR="005B5CB9" w:rsidRPr="007E2307" w14:paraId="602DBD1A" w14:textId="77777777" w:rsidTr="008B245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413" w:type="dxa"/>
            <w:hideMark/>
          </w:tcPr>
          <w:p w14:paraId="74A93FD8" w14:textId="77777777" w:rsidR="005B5CB9" w:rsidRPr="001568FD" w:rsidRDefault="005B5CB9" w:rsidP="007E2307">
            <w:pPr>
              <w:pStyle w:val="Tabletext8pt"/>
              <w:rPr>
                <w:rFonts w:cs="Arial"/>
                <w:bCs w:val="0"/>
                <w:sz w:val="18"/>
                <w:szCs w:val="18"/>
              </w:rPr>
            </w:pPr>
            <w:r w:rsidRPr="001568FD">
              <w:rPr>
                <w:rFonts w:cs="Arial"/>
                <w:bCs w:val="0"/>
                <w:sz w:val="18"/>
                <w:szCs w:val="18"/>
              </w:rPr>
              <w:t>Albury Wodonga Health</w:t>
            </w:r>
          </w:p>
        </w:tc>
        <w:tc>
          <w:tcPr>
            <w:tcW w:w="1417" w:type="dxa"/>
            <w:noWrap/>
          </w:tcPr>
          <w:p w14:paraId="1C03462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c>
          <w:tcPr>
            <w:tcW w:w="1330" w:type="dxa"/>
          </w:tcPr>
          <w:p w14:paraId="44A7AD79"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238</w:t>
            </w:r>
          </w:p>
        </w:tc>
        <w:tc>
          <w:tcPr>
            <w:tcW w:w="1331" w:type="dxa"/>
          </w:tcPr>
          <w:p w14:paraId="6FB6CA3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52791A04"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0AE7EA8A"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7E1D76DD"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4B65E81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1F863C56"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7BC571A0"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60A504C7"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35B537A9"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0425216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1F7FC33D"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0371CBF0"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789" w:type="dxa"/>
            <w:noWrap/>
          </w:tcPr>
          <w:p w14:paraId="3FA96252" w14:textId="77777777" w:rsidR="005B5CB9" w:rsidRPr="008B245D"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8B245D">
              <w:rPr>
                <w:rFonts w:cs="Arial"/>
                <w:b/>
                <w:bCs/>
                <w:sz w:val="18"/>
                <w:szCs w:val="18"/>
              </w:rPr>
              <w:t>238</w:t>
            </w:r>
          </w:p>
        </w:tc>
      </w:tr>
      <w:tr w:rsidR="005B5CB9" w:rsidRPr="007E2307" w14:paraId="19573162" w14:textId="77777777" w:rsidTr="008B245D">
        <w:trPr>
          <w:trHeight w:val="311"/>
        </w:trPr>
        <w:tc>
          <w:tcPr>
            <w:cnfStyle w:val="001000000000" w:firstRow="0" w:lastRow="0" w:firstColumn="1" w:lastColumn="0" w:oddVBand="0" w:evenVBand="0" w:oddHBand="0" w:evenHBand="0" w:firstRowFirstColumn="0" w:firstRowLastColumn="0" w:lastRowFirstColumn="0" w:lastRowLastColumn="0"/>
            <w:tcW w:w="1413" w:type="dxa"/>
            <w:hideMark/>
          </w:tcPr>
          <w:p w14:paraId="55BC7C10" w14:textId="77777777" w:rsidR="005B5CB9" w:rsidRPr="001568FD" w:rsidRDefault="005B5CB9" w:rsidP="007E2307">
            <w:pPr>
              <w:pStyle w:val="Tabletext8pt"/>
              <w:rPr>
                <w:rFonts w:cs="Arial"/>
                <w:bCs w:val="0"/>
                <w:sz w:val="18"/>
                <w:szCs w:val="18"/>
              </w:rPr>
            </w:pPr>
            <w:r w:rsidRPr="001568FD">
              <w:rPr>
                <w:rFonts w:cs="Arial"/>
                <w:bCs w:val="0"/>
                <w:sz w:val="18"/>
                <w:szCs w:val="18"/>
              </w:rPr>
              <w:t>Central Gippsland Health Service</w:t>
            </w:r>
          </w:p>
        </w:tc>
        <w:tc>
          <w:tcPr>
            <w:tcW w:w="1417" w:type="dxa"/>
            <w:noWrap/>
          </w:tcPr>
          <w:p w14:paraId="3AF0680D"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0" w:type="dxa"/>
          </w:tcPr>
          <w:p w14:paraId="33D4865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7E2307">
              <w:rPr>
                <w:rFonts w:cs="Arial"/>
                <w:sz w:val="18"/>
                <w:szCs w:val="18"/>
              </w:rPr>
              <w:t>476</w:t>
            </w:r>
          </w:p>
        </w:tc>
        <w:tc>
          <w:tcPr>
            <w:tcW w:w="1331" w:type="dxa"/>
          </w:tcPr>
          <w:p w14:paraId="7B32028E"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4898EAB6"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2D711BF7"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674A9005"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3283FFFC"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0D003D2B"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5D374D32"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2D99684F"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71435CD0"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404C87A8"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52FD07AE"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501C7B45"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789" w:type="dxa"/>
            <w:noWrap/>
          </w:tcPr>
          <w:p w14:paraId="6FB1F6D5" w14:textId="77777777" w:rsidR="005B5CB9" w:rsidRPr="008B245D"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8B245D">
              <w:rPr>
                <w:rFonts w:cs="Arial"/>
                <w:b/>
                <w:bCs/>
                <w:sz w:val="18"/>
                <w:szCs w:val="18"/>
              </w:rPr>
              <w:t>476</w:t>
            </w:r>
          </w:p>
        </w:tc>
      </w:tr>
      <w:tr w:rsidR="005B5CB9" w:rsidRPr="007E2307" w14:paraId="5B9D37EB" w14:textId="77777777" w:rsidTr="008B245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413" w:type="dxa"/>
          </w:tcPr>
          <w:p w14:paraId="410E3493" w14:textId="77777777" w:rsidR="005B5CB9" w:rsidRPr="001568FD" w:rsidRDefault="005B5CB9" w:rsidP="007E2307">
            <w:pPr>
              <w:pStyle w:val="Tabletext8pt"/>
              <w:rPr>
                <w:rFonts w:cs="Arial"/>
                <w:bCs w:val="0"/>
                <w:sz w:val="18"/>
                <w:szCs w:val="18"/>
              </w:rPr>
            </w:pPr>
            <w:r w:rsidRPr="001568FD">
              <w:rPr>
                <w:rFonts w:cs="Arial"/>
                <w:bCs w:val="0"/>
                <w:sz w:val="18"/>
                <w:szCs w:val="18"/>
              </w:rPr>
              <w:t>Central Highlands Rural Health</w:t>
            </w:r>
          </w:p>
        </w:tc>
        <w:tc>
          <w:tcPr>
            <w:tcW w:w="1417" w:type="dxa"/>
            <w:noWrap/>
          </w:tcPr>
          <w:p w14:paraId="5903B92D"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0" w:type="dxa"/>
          </w:tcPr>
          <w:p w14:paraId="7EE3E203"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07629829"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6C74152A"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3C5CD5E8"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25</w:t>
            </w:r>
          </w:p>
        </w:tc>
        <w:tc>
          <w:tcPr>
            <w:tcW w:w="1331" w:type="dxa"/>
          </w:tcPr>
          <w:p w14:paraId="5087039E"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23</w:t>
            </w:r>
          </w:p>
        </w:tc>
        <w:tc>
          <w:tcPr>
            <w:tcW w:w="1331" w:type="dxa"/>
            <w:noWrap/>
          </w:tcPr>
          <w:p w14:paraId="66A2922C"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37</w:t>
            </w:r>
          </w:p>
        </w:tc>
        <w:tc>
          <w:tcPr>
            <w:tcW w:w="1331" w:type="dxa"/>
          </w:tcPr>
          <w:p w14:paraId="05CE90A8"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60903B5F"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41</w:t>
            </w:r>
          </w:p>
        </w:tc>
        <w:tc>
          <w:tcPr>
            <w:tcW w:w="1331" w:type="dxa"/>
          </w:tcPr>
          <w:p w14:paraId="18428A26"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4BBA9717"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50432B8A"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3BEA3356"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22C03AC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33</w:t>
            </w:r>
          </w:p>
        </w:tc>
        <w:tc>
          <w:tcPr>
            <w:tcW w:w="789" w:type="dxa"/>
            <w:noWrap/>
          </w:tcPr>
          <w:p w14:paraId="439C3B56" w14:textId="77777777" w:rsidR="005B5CB9" w:rsidRPr="008B245D"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8B245D">
              <w:rPr>
                <w:rFonts w:cs="Arial"/>
                <w:b/>
                <w:bCs/>
                <w:sz w:val="18"/>
                <w:szCs w:val="18"/>
              </w:rPr>
              <w:t>159</w:t>
            </w:r>
          </w:p>
        </w:tc>
      </w:tr>
      <w:tr w:rsidR="005B5CB9" w:rsidRPr="007E2307" w14:paraId="59D8D312" w14:textId="77777777" w:rsidTr="008B245D">
        <w:trPr>
          <w:trHeight w:val="311"/>
        </w:trPr>
        <w:tc>
          <w:tcPr>
            <w:cnfStyle w:val="001000000000" w:firstRow="0" w:lastRow="0" w:firstColumn="1" w:lastColumn="0" w:oddVBand="0" w:evenVBand="0" w:oddHBand="0" w:evenHBand="0" w:firstRowFirstColumn="0" w:firstRowLastColumn="0" w:lastRowFirstColumn="0" w:lastRowLastColumn="0"/>
            <w:tcW w:w="1413" w:type="dxa"/>
            <w:hideMark/>
          </w:tcPr>
          <w:p w14:paraId="39771EDE" w14:textId="77777777" w:rsidR="005B5CB9" w:rsidRPr="001568FD" w:rsidRDefault="005B5CB9" w:rsidP="007E2307">
            <w:pPr>
              <w:pStyle w:val="Tabletext8pt"/>
              <w:rPr>
                <w:rFonts w:cs="Arial"/>
                <w:bCs w:val="0"/>
                <w:sz w:val="18"/>
                <w:szCs w:val="18"/>
              </w:rPr>
            </w:pPr>
            <w:r w:rsidRPr="001568FD">
              <w:rPr>
                <w:rFonts w:cs="Arial"/>
                <w:bCs w:val="0"/>
                <w:sz w:val="18"/>
                <w:szCs w:val="18"/>
              </w:rPr>
              <w:t>Colac Area Health</w:t>
            </w:r>
          </w:p>
        </w:tc>
        <w:tc>
          <w:tcPr>
            <w:tcW w:w="1417" w:type="dxa"/>
            <w:noWrap/>
          </w:tcPr>
          <w:p w14:paraId="29E80517"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0" w:type="dxa"/>
          </w:tcPr>
          <w:p w14:paraId="4518000C"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44C6AB25"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14A07BAB"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6BB4FEB3"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199BFFFB"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10B809D7"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7F5E45C8"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5EA81133"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70A8C1FE"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15271FC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18FA6AA9"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59DAA1AC"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7E2307">
              <w:rPr>
                <w:rFonts w:cs="Arial"/>
                <w:sz w:val="18"/>
                <w:szCs w:val="18"/>
              </w:rPr>
              <w:t>1</w:t>
            </w:r>
          </w:p>
        </w:tc>
        <w:tc>
          <w:tcPr>
            <w:tcW w:w="1331" w:type="dxa"/>
            <w:noWrap/>
          </w:tcPr>
          <w:p w14:paraId="337919E1"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789" w:type="dxa"/>
            <w:noWrap/>
          </w:tcPr>
          <w:p w14:paraId="47E290C6" w14:textId="77777777" w:rsidR="005B5CB9" w:rsidRPr="008B245D"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8B245D">
              <w:rPr>
                <w:rFonts w:cs="Arial"/>
                <w:b/>
                <w:bCs/>
                <w:sz w:val="18"/>
                <w:szCs w:val="18"/>
              </w:rPr>
              <w:t>1</w:t>
            </w:r>
          </w:p>
        </w:tc>
      </w:tr>
      <w:tr w:rsidR="005B5CB9" w:rsidRPr="007E2307" w14:paraId="68E2A07D" w14:textId="77777777" w:rsidTr="008B245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413" w:type="dxa"/>
            <w:hideMark/>
          </w:tcPr>
          <w:p w14:paraId="6E263CE4" w14:textId="77777777" w:rsidR="005B5CB9" w:rsidRPr="001568FD" w:rsidRDefault="005B5CB9" w:rsidP="007E2307">
            <w:pPr>
              <w:pStyle w:val="Tabletext8pt"/>
              <w:rPr>
                <w:rFonts w:cs="Arial"/>
                <w:bCs w:val="0"/>
                <w:sz w:val="18"/>
                <w:szCs w:val="18"/>
              </w:rPr>
            </w:pPr>
            <w:r w:rsidRPr="001568FD">
              <w:rPr>
                <w:rFonts w:cs="Arial"/>
                <w:bCs w:val="0"/>
                <w:sz w:val="18"/>
                <w:szCs w:val="18"/>
              </w:rPr>
              <w:t xml:space="preserve">Gippsland Southern </w:t>
            </w:r>
            <w:r w:rsidRPr="001568FD">
              <w:rPr>
                <w:rFonts w:cs="Arial"/>
                <w:bCs w:val="0"/>
                <w:sz w:val="18"/>
                <w:szCs w:val="18"/>
              </w:rPr>
              <w:lastRenderedPageBreak/>
              <w:t>Health Service</w:t>
            </w:r>
          </w:p>
        </w:tc>
        <w:tc>
          <w:tcPr>
            <w:tcW w:w="1417" w:type="dxa"/>
            <w:noWrap/>
          </w:tcPr>
          <w:p w14:paraId="4BFAF17C"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0" w:type="dxa"/>
          </w:tcPr>
          <w:p w14:paraId="750F0938"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238</w:t>
            </w:r>
          </w:p>
        </w:tc>
        <w:tc>
          <w:tcPr>
            <w:tcW w:w="1331" w:type="dxa"/>
          </w:tcPr>
          <w:p w14:paraId="5CE1AE1E"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58E189A4"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5F6A4320"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0A9E07B5"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6B9A5F80"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1C4EACE9"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114C206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30845E12"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6119B107"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31A9473D"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461EC601"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259EDBD9"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789" w:type="dxa"/>
            <w:noWrap/>
          </w:tcPr>
          <w:p w14:paraId="5A64D23F" w14:textId="77777777" w:rsidR="005B5CB9" w:rsidRPr="008B245D"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8B245D">
              <w:rPr>
                <w:rFonts w:cs="Arial"/>
                <w:b/>
                <w:bCs/>
                <w:sz w:val="18"/>
                <w:szCs w:val="18"/>
              </w:rPr>
              <w:t>238</w:t>
            </w:r>
          </w:p>
        </w:tc>
      </w:tr>
      <w:tr w:rsidR="005B5CB9" w:rsidRPr="007E2307" w14:paraId="6D65804B" w14:textId="77777777" w:rsidTr="008B245D">
        <w:trPr>
          <w:trHeight w:val="311"/>
        </w:trPr>
        <w:tc>
          <w:tcPr>
            <w:cnfStyle w:val="001000000000" w:firstRow="0" w:lastRow="0" w:firstColumn="1" w:lastColumn="0" w:oddVBand="0" w:evenVBand="0" w:oddHBand="0" w:evenHBand="0" w:firstRowFirstColumn="0" w:firstRowLastColumn="0" w:lastRowFirstColumn="0" w:lastRowLastColumn="0"/>
            <w:tcW w:w="1413" w:type="dxa"/>
            <w:hideMark/>
          </w:tcPr>
          <w:p w14:paraId="5933C0F0" w14:textId="77777777" w:rsidR="005B5CB9" w:rsidRPr="001568FD" w:rsidRDefault="005B5CB9" w:rsidP="007E2307">
            <w:pPr>
              <w:pStyle w:val="Tabletext8pt"/>
              <w:rPr>
                <w:rFonts w:cs="Arial"/>
                <w:bCs w:val="0"/>
                <w:sz w:val="18"/>
                <w:szCs w:val="18"/>
              </w:rPr>
            </w:pPr>
            <w:r w:rsidRPr="001568FD">
              <w:rPr>
                <w:rFonts w:cs="Arial"/>
                <w:bCs w:val="0"/>
                <w:sz w:val="18"/>
                <w:szCs w:val="18"/>
              </w:rPr>
              <w:t>Mildura Base Public Hospital</w:t>
            </w:r>
          </w:p>
        </w:tc>
        <w:tc>
          <w:tcPr>
            <w:tcW w:w="1417" w:type="dxa"/>
            <w:noWrap/>
          </w:tcPr>
          <w:p w14:paraId="317D95C0"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0" w:type="dxa"/>
          </w:tcPr>
          <w:p w14:paraId="39E6A311"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7E2307">
              <w:rPr>
                <w:rFonts w:cs="Arial"/>
                <w:sz w:val="18"/>
                <w:szCs w:val="18"/>
              </w:rPr>
              <w:t>308</w:t>
            </w:r>
          </w:p>
        </w:tc>
        <w:tc>
          <w:tcPr>
            <w:tcW w:w="1331" w:type="dxa"/>
          </w:tcPr>
          <w:p w14:paraId="600AA57B"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137B458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7B2686A8"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1008D398"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3DAA2BBC"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445CAA02"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31F2D8FB"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4C7AEF3F"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23392A77"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631EE441"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3327875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0E7F62B5"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789" w:type="dxa"/>
            <w:noWrap/>
          </w:tcPr>
          <w:p w14:paraId="47FA6E47" w14:textId="77777777" w:rsidR="005B5CB9" w:rsidRPr="008B245D"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8B245D">
              <w:rPr>
                <w:rFonts w:cs="Arial"/>
                <w:b/>
                <w:bCs/>
                <w:sz w:val="18"/>
                <w:szCs w:val="18"/>
              </w:rPr>
              <w:t>308</w:t>
            </w:r>
          </w:p>
        </w:tc>
      </w:tr>
      <w:tr w:rsidR="005B5CB9" w:rsidRPr="007E2307" w14:paraId="14672F03" w14:textId="77777777" w:rsidTr="008B245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3" w:type="dxa"/>
            <w:hideMark/>
          </w:tcPr>
          <w:p w14:paraId="69F7A9AA" w14:textId="77777777" w:rsidR="005B5CB9" w:rsidRPr="001568FD" w:rsidRDefault="005B5CB9" w:rsidP="007E2307">
            <w:pPr>
              <w:pStyle w:val="Tabletext8pt"/>
              <w:rPr>
                <w:rFonts w:cs="Arial"/>
                <w:bCs w:val="0"/>
                <w:sz w:val="18"/>
                <w:szCs w:val="18"/>
              </w:rPr>
            </w:pPr>
            <w:r w:rsidRPr="001568FD">
              <w:rPr>
                <w:rFonts w:cs="Arial"/>
                <w:bCs w:val="0"/>
                <w:sz w:val="18"/>
                <w:szCs w:val="18"/>
              </w:rPr>
              <w:t>Northeast Health Wangaratta</w:t>
            </w:r>
          </w:p>
        </w:tc>
        <w:tc>
          <w:tcPr>
            <w:tcW w:w="1417" w:type="dxa"/>
            <w:noWrap/>
          </w:tcPr>
          <w:p w14:paraId="5D34D8AA"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c>
          <w:tcPr>
            <w:tcW w:w="1330" w:type="dxa"/>
          </w:tcPr>
          <w:p w14:paraId="4F68DFE7"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r w:rsidRPr="007E2307">
              <w:rPr>
                <w:rFonts w:cs="Arial"/>
                <w:sz w:val="18"/>
                <w:szCs w:val="18"/>
              </w:rPr>
              <w:t>238</w:t>
            </w:r>
          </w:p>
        </w:tc>
        <w:tc>
          <w:tcPr>
            <w:tcW w:w="1331" w:type="dxa"/>
          </w:tcPr>
          <w:p w14:paraId="05627B36"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2E1D7560"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3B2CA48A"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3AB1129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3623A14C"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0FEFA40C"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7775261D"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tcPr>
          <w:p w14:paraId="64442ADB"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262D0B5F"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2919FFFF"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657EB439"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331" w:type="dxa"/>
            <w:noWrap/>
          </w:tcPr>
          <w:p w14:paraId="48D4DFB3" w14:textId="77777777" w:rsidR="005B5CB9" w:rsidRPr="007E2307"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789" w:type="dxa"/>
            <w:noWrap/>
          </w:tcPr>
          <w:p w14:paraId="2996AC92" w14:textId="77777777" w:rsidR="005B5CB9" w:rsidRPr="008B245D" w:rsidRDefault="005B5CB9" w:rsidP="007D7B3B">
            <w:pPr>
              <w:pStyle w:val="Tabletext8p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8B245D">
              <w:rPr>
                <w:rFonts w:cs="Arial"/>
                <w:b/>
                <w:bCs/>
                <w:sz w:val="18"/>
                <w:szCs w:val="18"/>
              </w:rPr>
              <w:t>238</w:t>
            </w:r>
          </w:p>
        </w:tc>
      </w:tr>
      <w:tr w:rsidR="005B5CB9" w:rsidRPr="007E2307" w14:paraId="04061AEB" w14:textId="77777777" w:rsidTr="008B245D">
        <w:trPr>
          <w:trHeight w:val="345"/>
        </w:trPr>
        <w:tc>
          <w:tcPr>
            <w:cnfStyle w:val="001000000000" w:firstRow="0" w:lastRow="0" w:firstColumn="1" w:lastColumn="0" w:oddVBand="0" w:evenVBand="0" w:oddHBand="0" w:evenHBand="0" w:firstRowFirstColumn="0" w:firstRowLastColumn="0" w:lastRowFirstColumn="0" w:lastRowLastColumn="0"/>
            <w:tcW w:w="1413" w:type="dxa"/>
            <w:hideMark/>
          </w:tcPr>
          <w:p w14:paraId="558354FD" w14:textId="77777777" w:rsidR="005B5CB9" w:rsidRPr="001568FD" w:rsidRDefault="005B5CB9" w:rsidP="007E2307">
            <w:pPr>
              <w:pStyle w:val="Tabletext8pt"/>
              <w:rPr>
                <w:rFonts w:cs="Arial"/>
                <w:bCs w:val="0"/>
                <w:sz w:val="18"/>
                <w:szCs w:val="18"/>
              </w:rPr>
            </w:pPr>
            <w:proofErr w:type="gramStart"/>
            <w:r w:rsidRPr="001568FD">
              <w:rPr>
                <w:rFonts w:cs="Arial"/>
                <w:bCs w:val="0"/>
                <w:sz w:val="18"/>
                <w:szCs w:val="18"/>
              </w:rPr>
              <w:t>South West</w:t>
            </w:r>
            <w:proofErr w:type="gramEnd"/>
            <w:r w:rsidRPr="001568FD">
              <w:rPr>
                <w:rFonts w:cs="Arial"/>
                <w:bCs w:val="0"/>
                <w:sz w:val="18"/>
                <w:szCs w:val="18"/>
              </w:rPr>
              <w:t xml:space="preserve"> Healthcare</w:t>
            </w:r>
          </w:p>
        </w:tc>
        <w:tc>
          <w:tcPr>
            <w:tcW w:w="1417" w:type="dxa"/>
            <w:noWrap/>
            <w:hideMark/>
          </w:tcPr>
          <w:p w14:paraId="2A60520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7E2307">
              <w:rPr>
                <w:rFonts w:cs="Arial"/>
                <w:sz w:val="18"/>
                <w:szCs w:val="18"/>
              </w:rPr>
              <w:t> </w:t>
            </w:r>
          </w:p>
        </w:tc>
        <w:tc>
          <w:tcPr>
            <w:tcW w:w="1330" w:type="dxa"/>
          </w:tcPr>
          <w:p w14:paraId="4C3730B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7C544DA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49338E21"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59E06413"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106C0FD0"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hideMark/>
          </w:tcPr>
          <w:p w14:paraId="1CA7490D"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7E2307">
              <w:rPr>
                <w:rFonts w:cs="Arial"/>
                <w:sz w:val="18"/>
                <w:szCs w:val="18"/>
              </w:rPr>
              <w:t> </w:t>
            </w:r>
          </w:p>
        </w:tc>
        <w:tc>
          <w:tcPr>
            <w:tcW w:w="1331" w:type="dxa"/>
          </w:tcPr>
          <w:p w14:paraId="58AA2AD3"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1339B5D9"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tcPr>
          <w:p w14:paraId="28020D77"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71CB5A94"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7E2307">
              <w:rPr>
                <w:rFonts w:cs="Arial"/>
                <w:sz w:val="18"/>
                <w:szCs w:val="18"/>
              </w:rPr>
              <w:t>120</w:t>
            </w:r>
          </w:p>
        </w:tc>
        <w:tc>
          <w:tcPr>
            <w:tcW w:w="1331" w:type="dxa"/>
            <w:noWrap/>
          </w:tcPr>
          <w:p w14:paraId="215EE37E"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r w:rsidRPr="007E2307">
              <w:rPr>
                <w:rFonts w:cs="Arial"/>
                <w:sz w:val="18"/>
                <w:szCs w:val="18"/>
              </w:rPr>
              <w:t>12</w:t>
            </w:r>
          </w:p>
        </w:tc>
        <w:tc>
          <w:tcPr>
            <w:tcW w:w="1331" w:type="dxa"/>
            <w:noWrap/>
          </w:tcPr>
          <w:p w14:paraId="504A18D6"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31" w:type="dxa"/>
            <w:noWrap/>
          </w:tcPr>
          <w:p w14:paraId="45A7AF32" w14:textId="77777777" w:rsidR="005B5CB9" w:rsidRPr="007E2307"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789" w:type="dxa"/>
            <w:noWrap/>
          </w:tcPr>
          <w:p w14:paraId="4CF8E8C1" w14:textId="77777777" w:rsidR="005B5CB9" w:rsidRPr="008B245D" w:rsidRDefault="005B5CB9" w:rsidP="007D7B3B">
            <w:pPr>
              <w:pStyle w:val="Tabletext8p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8B245D">
              <w:rPr>
                <w:rFonts w:cs="Arial"/>
                <w:b/>
                <w:bCs/>
                <w:sz w:val="18"/>
                <w:szCs w:val="18"/>
              </w:rPr>
              <w:t>132</w:t>
            </w:r>
          </w:p>
        </w:tc>
      </w:tr>
    </w:tbl>
    <w:p w14:paraId="0D97BBAD" w14:textId="7AFF3B05" w:rsidR="001568FD" w:rsidRDefault="001568FD" w:rsidP="001568FD">
      <w:pPr>
        <w:pStyle w:val="Heading2"/>
      </w:pPr>
      <w:bookmarkStart w:id="2385" w:name="_Toc234580376"/>
      <w:r>
        <w:t>Mental health admitted acute beds 2026–27</w:t>
      </w:r>
      <w:bookmarkEnd w:id="2385"/>
    </w:p>
    <w:p w14:paraId="348792B1" w14:textId="2B7A24CA" w:rsidR="005B5CB9" w:rsidRPr="001568FD" w:rsidRDefault="001568FD" w:rsidP="001568FD">
      <w:pPr>
        <w:pStyle w:val="Body"/>
      </w:pPr>
      <w:r>
        <w:t xml:space="preserve">Admitted acute mental health beds are funded by NWAU under the NFM. Health services are expected to operate the number and type of acute beds as part of consolidated acute admitted NWAU funding received. </w:t>
      </w:r>
    </w:p>
    <w:p w14:paraId="2B3DECDC" w14:textId="13E05CDE" w:rsidR="001568FD" w:rsidRDefault="001568FD" w:rsidP="001568FD">
      <w:pPr>
        <w:pStyle w:val="Tablecaption"/>
      </w:pPr>
      <w:r>
        <w:t>Table 3</w:t>
      </w:r>
      <w:r w:rsidR="002261B8">
        <w:t>4</w:t>
      </w:r>
      <w:r>
        <w:t>. Mental health admitted acute beds 2026–27</w:t>
      </w:r>
      <w:r w:rsidRPr="00540C26">
        <w:rPr>
          <w:rStyle w:val="FootnoteReference"/>
        </w:rPr>
        <w:footnoteReference w:id="6"/>
      </w:r>
    </w:p>
    <w:p w14:paraId="6DC5E161" w14:textId="5DE84229" w:rsidR="00790CF5" w:rsidRPr="00790CF5" w:rsidRDefault="00790CF5" w:rsidP="00790CF5">
      <w:pPr>
        <w:pStyle w:val="Bodyafterfiguretable"/>
      </w:pPr>
      <w:r>
        <w:t>Non-admitted mental health beds are funded by bed day rates as indicated in the Funding rules. Health services are expected to operate the number and type of non-admitted beds as part of funding received.</w:t>
      </w:r>
    </w:p>
    <w:tbl>
      <w:tblPr>
        <w:tblStyle w:val="GridTable4-Accent1"/>
        <w:tblW w:w="5000" w:type="pct"/>
        <w:tblLook w:val="04A0" w:firstRow="1" w:lastRow="0" w:firstColumn="1" w:lastColumn="0" w:noHBand="0" w:noVBand="1"/>
      </w:tblPr>
      <w:tblGrid>
        <w:gridCol w:w="1478"/>
        <w:gridCol w:w="1244"/>
        <w:gridCol w:w="1244"/>
        <w:gridCol w:w="1244"/>
        <w:gridCol w:w="1244"/>
        <w:gridCol w:w="1244"/>
        <w:gridCol w:w="1244"/>
        <w:gridCol w:w="1244"/>
        <w:gridCol w:w="1243"/>
        <w:gridCol w:w="1243"/>
        <w:gridCol w:w="1243"/>
        <w:gridCol w:w="1243"/>
        <w:gridCol w:w="1243"/>
        <w:gridCol w:w="1243"/>
        <w:gridCol w:w="1243"/>
        <w:gridCol w:w="1243"/>
        <w:gridCol w:w="791"/>
      </w:tblGrid>
      <w:tr w:rsidR="001568FD" w:rsidRPr="008B245D" w14:paraId="16535C5D" w14:textId="77777777" w:rsidTr="008B245D">
        <w:trPr>
          <w:cnfStyle w:val="100000000000" w:firstRow="1" w:lastRow="0" w:firstColumn="0" w:lastColumn="0" w:oddVBand="0" w:evenVBand="0" w:oddHBand="0" w:evenHBand="0" w:firstRowFirstColumn="0" w:firstRowLastColumn="0" w:lastRowFirstColumn="0" w:lastRowLastColumn="0"/>
          <w:trHeight w:val="19"/>
          <w:tblHeader/>
        </w:trPr>
        <w:tc>
          <w:tcPr>
            <w:cnfStyle w:val="001000000000" w:firstRow="0" w:lastRow="0" w:firstColumn="1" w:lastColumn="0" w:oddVBand="0" w:evenVBand="0" w:oddHBand="0" w:evenHBand="0" w:firstRowFirstColumn="0" w:firstRowLastColumn="0" w:lastRowFirstColumn="0" w:lastRowLastColumn="0"/>
            <w:tcW w:w="353" w:type="pct"/>
            <w:hideMark/>
          </w:tcPr>
          <w:p w14:paraId="0B8338E5" w14:textId="77777777" w:rsidR="001568FD" w:rsidRPr="008B245D" w:rsidRDefault="001568FD" w:rsidP="00562FD9">
            <w:pPr>
              <w:pStyle w:val="Tablecolhead8pt"/>
              <w:rPr>
                <w:rFonts w:cs="Arial"/>
                <w:b/>
                <w:color w:val="FFFFFF" w:themeColor="background1"/>
                <w:sz w:val="18"/>
                <w:szCs w:val="18"/>
              </w:rPr>
            </w:pPr>
            <w:r w:rsidRPr="008B245D">
              <w:rPr>
                <w:rFonts w:cs="Arial"/>
                <w:b/>
                <w:color w:val="FFFFFF" w:themeColor="background1"/>
                <w:sz w:val="18"/>
                <w:szCs w:val="18"/>
              </w:rPr>
              <w:t>Health service</w:t>
            </w:r>
          </w:p>
        </w:tc>
        <w:tc>
          <w:tcPr>
            <w:tcW w:w="297" w:type="pct"/>
            <w:hideMark/>
          </w:tcPr>
          <w:p w14:paraId="442A58D9"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8B245D">
              <w:rPr>
                <w:rFonts w:cs="Arial"/>
                <w:b/>
                <w:color w:val="FFFFFF" w:themeColor="background1"/>
                <w:sz w:val="18"/>
                <w:szCs w:val="18"/>
              </w:rPr>
              <w:t>Child</w:t>
            </w:r>
            <w:r w:rsidRPr="008B245D">
              <w:rPr>
                <w:rFonts w:cs="Arial"/>
                <w:b/>
                <w:color w:val="FFFFFF" w:themeColor="background1"/>
                <w:sz w:val="18"/>
                <w:szCs w:val="18"/>
                <w:rtl/>
              </w:rPr>
              <w:t xml:space="preserve"> </w:t>
            </w:r>
            <w:r w:rsidRPr="008B245D">
              <w:rPr>
                <w:rFonts w:cs="Arial"/>
                <w:b/>
                <w:color w:val="FFFFFF" w:themeColor="background1"/>
                <w:sz w:val="18"/>
                <w:szCs w:val="18"/>
              </w:rPr>
              <w:t>Acute LDU/GCA</w:t>
            </w:r>
          </w:p>
        </w:tc>
        <w:tc>
          <w:tcPr>
            <w:tcW w:w="297" w:type="pct"/>
            <w:hideMark/>
          </w:tcPr>
          <w:p w14:paraId="279F4464"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Child</w:t>
            </w:r>
            <w:r w:rsidRPr="008B245D">
              <w:rPr>
                <w:rFonts w:cs="Arial"/>
                <w:b/>
                <w:color w:val="FFFFFF" w:themeColor="background1"/>
                <w:sz w:val="18"/>
                <w:szCs w:val="18"/>
                <w:rtl/>
              </w:rPr>
              <w:t xml:space="preserve"> </w:t>
            </w:r>
            <w:r w:rsidRPr="008B245D">
              <w:rPr>
                <w:rFonts w:cs="Arial"/>
                <w:b/>
                <w:color w:val="FFFFFF" w:themeColor="background1"/>
                <w:sz w:val="18"/>
                <w:szCs w:val="18"/>
              </w:rPr>
              <w:t>Acute HDU/ICA</w:t>
            </w:r>
          </w:p>
        </w:tc>
        <w:tc>
          <w:tcPr>
            <w:tcW w:w="297" w:type="pct"/>
            <w:hideMark/>
          </w:tcPr>
          <w:p w14:paraId="240F75B7"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Adolescent</w:t>
            </w:r>
            <w:r w:rsidRPr="008B245D">
              <w:rPr>
                <w:rFonts w:cs="Arial"/>
                <w:b/>
                <w:color w:val="FFFFFF" w:themeColor="background1"/>
                <w:sz w:val="18"/>
                <w:szCs w:val="18"/>
                <w:rtl/>
              </w:rPr>
              <w:t xml:space="preserve"> </w:t>
            </w:r>
            <w:r w:rsidRPr="008B245D">
              <w:rPr>
                <w:rFonts w:cs="Arial"/>
                <w:b/>
                <w:color w:val="FFFFFF" w:themeColor="background1"/>
                <w:sz w:val="18"/>
                <w:szCs w:val="18"/>
              </w:rPr>
              <w:t>and Youth</w:t>
            </w:r>
            <w:r w:rsidRPr="008B245D">
              <w:rPr>
                <w:rFonts w:cs="Arial"/>
                <w:b/>
                <w:color w:val="FFFFFF" w:themeColor="background1"/>
                <w:sz w:val="18"/>
                <w:szCs w:val="18"/>
                <w:rtl/>
              </w:rPr>
              <w:t xml:space="preserve"> </w:t>
            </w:r>
            <w:r w:rsidRPr="008B245D">
              <w:rPr>
                <w:rFonts w:cs="Arial"/>
                <w:b/>
                <w:color w:val="FFFFFF" w:themeColor="background1"/>
                <w:sz w:val="18"/>
                <w:szCs w:val="18"/>
              </w:rPr>
              <w:t>Acute LDU/GCA</w:t>
            </w:r>
          </w:p>
        </w:tc>
        <w:tc>
          <w:tcPr>
            <w:tcW w:w="297" w:type="pct"/>
            <w:hideMark/>
          </w:tcPr>
          <w:p w14:paraId="0023A89A"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Adolescent</w:t>
            </w:r>
            <w:r w:rsidRPr="008B245D">
              <w:rPr>
                <w:rFonts w:cs="Arial"/>
                <w:b/>
                <w:color w:val="FFFFFF" w:themeColor="background1"/>
                <w:sz w:val="18"/>
                <w:szCs w:val="18"/>
                <w:rtl/>
              </w:rPr>
              <w:t xml:space="preserve"> </w:t>
            </w:r>
            <w:r w:rsidRPr="008B245D">
              <w:rPr>
                <w:rFonts w:cs="Arial"/>
                <w:b/>
                <w:color w:val="FFFFFF" w:themeColor="background1"/>
                <w:sz w:val="18"/>
                <w:szCs w:val="18"/>
              </w:rPr>
              <w:t>and Youth</w:t>
            </w:r>
            <w:r w:rsidRPr="008B245D">
              <w:rPr>
                <w:rFonts w:cs="Arial"/>
                <w:b/>
                <w:color w:val="FFFFFF" w:themeColor="background1"/>
                <w:sz w:val="18"/>
                <w:szCs w:val="18"/>
                <w:rtl/>
              </w:rPr>
              <w:t xml:space="preserve"> </w:t>
            </w:r>
            <w:r w:rsidRPr="008B245D">
              <w:rPr>
                <w:rFonts w:cs="Arial"/>
                <w:b/>
                <w:color w:val="FFFFFF" w:themeColor="background1"/>
                <w:sz w:val="18"/>
                <w:szCs w:val="18"/>
              </w:rPr>
              <w:t>Acute HDU/ICA</w:t>
            </w:r>
          </w:p>
        </w:tc>
        <w:tc>
          <w:tcPr>
            <w:tcW w:w="297" w:type="pct"/>
            <w:hideMark/>
          </w:tcPr>
          <w:p w14:paraId="7307DB7B"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Adult</w:t>
            </w:r>
            <w:r w:rsidRPr="008B245D">
              <w:rPr>
                <w:rFonts w:cs="Arial"/>
                <w:b/>
                <w:color w:val="FFFFFF" w:themeColor="background1"/>
                <w:sz w:val="18"/>
                <w:szCs w:val="18"/>
                <w:rtl/>
              </w:rPr>
              <w:t xml:space="preserve"> </w:t>
            </w:r>
            <w:r w:rsidRPr="008B245D">
              <w:rPr>
                <w:rFonts w:cs="Arial"/>
                <w:b/>
                <w:color w:val="FFFFFF" w:themeColor="background1"/>
                <w:sz w:val="18"/>
                <w:szCs w:val="18"/>
              </w:rPr>
              <w:t>Acute LDU/ GCA</w:t>
            </w:r>
          </w:p>
        </w:tc>
        <w:tc>
          <w:tcPr>
            <w:tcW w:w="297" w:type="pct"/>
            <w:hideMark/>
          </w:tcPr>
          <w:p w14:paraId="0F7BFF17"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Adult</w:t>
            </w:r>
            <w:r w:rsidRPr="008B245D">
              <w:rPr>
                <w:rFonts w:cs="Arial"/>
                <w:b/>
                <w:color w:val="FFFFFF" w:themeColor="background1"/>
                <w:sz w:val="18"/>
                <w:szCs w:val="18"/>
                <w:rtl/>
              </w:rPr>
              <w:t xml:space="preserve"> </w:t>
            </w:r>
            <w:r w:rsidRPr="008B245D">
              <w:rPr>
                <w:rFonts w:cs="Arial"/>
                <w:b/>
                <w:color w:val="FFFFFF" w:themeColor="background1"/>
                <w:sz w:val="18"/>
                <w:szCs w:val="18"/>
              </w:rPr>
              <w:t>Acute HDU/ ICA</w:t>
            </w:r>
          </w:p>
        </w:tc>
        <w:tc>
          <w:tcPr>
            <w:tcW w:w="297" w:type="pct"/>
            <w:hideMark/>
          </w:tcPr>
          <w:p w14:paraId="22F5CB88"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Older</w:t>
            </w:r>
            <w:r w:rsidRPr="008B245D">
              <w:rPr>
                <w:rFonts w:cs="Arial"/>
                <w:b/>
                <w:color w:val="FFFFFF" w:themeColor="background1"/>
                <w:sz w:val="18"/>
                <w:szCs w:val="18"/>
                <w:rtl/>
              </w:rPr>
              <w:t xml:space="preserve"> </w:t>
            </w:r>
            <w:r w:rsidRPr="008B245D">
              <w:rPr>
                <w:rFonts w:cs="Arial"/>
                <w:b/>
                <w:color w:val="FFFFFF" w:themeColor="background1"/>
                <w:sz w:val="18"/>
                <w:szCs w:val="18"/>
              </w:rPr>
              <w:t>Adult Acute LDU/ GCA</w:t>
            </w:r>
          </w:p>
        </w:tc>
        <w:tc>
          <w:tcPr>
            <w:tcW w:w="297" w:type="pct"/>
            <w:hideMark/>
          </w:tcPr>
          <w:p w14:paraId="4A8DE065"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Older</w:t>
            </w:r>
            <w:r w:rsidRPr="008B245D">
              <w:rPr>
                <w:rFonts w:cs="Arial"/>
                <w:b/>
                <w:color w:val="FFFFFF" w:themeColor="background1"/>
                <w:sz w:val="18"/>
                <w:szCs w:val="18"/>
                <w:rtl/>
              </w:rPr>
              <w:t xml:space="preserve"> </w:t>
            </w:r>
            <w:r w:rsidRPr="008B245D">
              <w:rPr>
                <w:rFonts w:cs="Arial"/>
                <w:b/>
                <w:color w:val="FFFFFF" w:themeColor="background1"/>
                <w:sz w:val="18"/>
                <w:szCs w:val="18"/>
              </w:rPr>
              <w:t>Adult Acute HDU/ ICA</w:t>
            </w:r>
          </w:p>
        </w:tc>
        <w:tc>
          <w:tcPr>
            <w:tcW w:w="297" w:type="pct"/>
            <w:hideMark/>
          </w:tcPr>
          <w:p w14:paraId="3FE6612D"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HITH</w:t>
            </w:r>
          </w:p>
        </w:tc>
        <w:tc>
          <w:tcPr>
            <w:tcW w:w="297" w:type="pct"/>
            <w:hideMark/>
          </w:tcPr>
          <w:p w14:paraId="042AD710"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PAPU</w:t>
            </w:r>
            <w:r w:rsidRPr="008B245D">
              <w:rPr>
                <w:rFonts w:cs="Arial"/>
                <w:b/>
                <w:sz w:val="18"/>
                <w:szCs w:val="18"/>
              </w:rPr>
              <w:footnoteReference w:id="7"/>
            </w:r>
          </w:p>
        </w:tc>
        <w:tc>
          <w:tcPr>
            <w:tcW w:w="297" w:type="pct"/>
            <w:hideMark/>
          </w:tcPr>
          <w:p w14:paraId="7A8940DF" w14:textId="66EB99C9"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Eating</w:t>
            </w:r>
            <w:r w:rsidRPr="008B245D">
              <w:rPr>
                <w:rFonts w:cs="Arial"/>
                <w:b/>
                <w:color w:val="FFFFFF" w:themeColor="background1"/>
                <w:sz w:val="18"/>
                <w:szCs w:val="18"/>
                <w:rtl/>
              </w:rPr>
              <w:t xml:space="preserve"> </w:t>
            </w:r>
            <w:r w:rsidRPr="008B245D">
              <w:rPr>
                <w:rFonts w:cs="Arial"/>
                <w:b/>
                <w:color w:val="FFFFFF" w:themeColor="background1"/>
                <w:sz w:val="18"/>
                <w:szCs w:val="18"/>
              </w:rPr>
              <w:t>disorders</w:t>
            </w:r>
          </w:p>
        </w:tc>
        <w:tc>
          <w:tcPr>
            <w:tcW w:w="297" w:type="pct"/>
            <w:hideMark/>
          </w:tcPr>
          <w:p w14:paraId="7E8AB6D3" w14:textId="77779C18"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proofErr w:type="gramStart"/>
            <w:r w:rsidRPr="008B245D">
              <w:rPr>
                <w:rFonts w:cs="Arial"/>
                <w:b/>
                <w:color w:val="FFFFFF" w:themeColor="background1"/>
                <w:sz w:val="18"/>
                <w:szCs w:val="18"/>
              </w:rPr>
              <w:t>Neuro-psychiatry</w:t>
            </w:r>
            <w:proofErr w:type="gramEnd"/>
          </w:p>
        </w:tc>
        <w:tc>
          <w:tcPr>
            <w:tcW w:w="297" w:type="pct"/>
            <w:hideMark/>
          </w:tcPr>
          <w:p w14:paraId="2A94BAC2"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Parent</w:t>
            </w:r>
            <w:r w:rsidRPr="008B245D">
              <w:rPr>
                <w:rFonts w:cs="Arial"/>
                <w:b/>
                <w:color w:val="FFFFFF" w:themeColor="background1"/>
                <w:sz w:val="18"/>
                <w:szCs w:val="18"/>
                <w:rtl/>
              </w:rPr>
              <w:t xml:space="preserve"> </w:t>
            </w:r>
            <w:r w:rsidRPr="008B245D">
              <w:rPr>
                <w:rFonts w:cs="Arial"/>
                <w:b/>
                <w:color w:val="FFFFFF" w:themeColor="background1"/>
                <w:sz w:val="18"/>
                <w:szCs w:val="18"/>
              </w:rPr>
              <w:t>Infant Unit</w:t>
            </w:r>
          </w:p>
        </w:tc>
        <w:tc>
          <w:tcPr>
            <w:tcW w:w="297" w:type="pct"/>
            <w:hideMark/>
          </w:tcPr>
          <w:p w14:paraId="26CD72EE"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SECU</w:t>
            </w:r>
          </w:p>
        </w:tc>
        <w:tc>
          <w:tcPr>
            <w:tcW w:w="297" w:type="pct"/>
            <w:hideMark/>
          </w:tcPr>
          <w:p w14:paraId="32BECEC2" w14:textId="77777777" w:rsidR="001568FD" w:rsidRPr="008B245D" w:rsidRDefault="001568FD" w:rsidP="00562FD9">
            <w:pPr>
              <w:pStyle w:val="Tablecolhead8pt"/>
              <w:jc w:val="righ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Other</w:t>
            </w:r>
            <w:r w:rsidRPr="008B245D">
              <w:rPr>
                <w:rFonts w:cs="Arial"/>
                <w:b/>
                <w:color w:val="FFFFFF" w:themeColor="background1"/>
                <w:sz w:val="18"/>
                <w:szCs w:val="18"/>
                <w:rtl/>
              </w:rPr>
              <w:t xml:space="preserve"> </w:t>
            </w:r>
            <w:r w:rsidRPr="008B245D">
              <w:rPr>
                <w:rFonts w:cs="Arial"/>
                <w:b/>
                <w:color w:val="FFFFFF" w:themeColor="background1"/>
                <w:sz w:val="18"/>
                <w:szCs w:val="18"/>
              </w:rPr>
              <w:t>acute beds</w:t>
            </w:r>
          </w:p>
        </w:tc>
        <w:tc>
          <w:tcPr>
            <w:tcW w:w="189" w:type="pct"/>
            <w:hideMark/>
          </w:tcPr>
          <w:p w14:paraId="5D0EA817" w14:textId="77777777" w:rsidR="001568FD" w:rsidRPr="008B245D" w:rsidRDefault="001568FD" w:rsidP="00562FD9">
            <w:pPr>
              <w:pStyle w:val="Tablecolhead8pt"/>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8"/>
                <w:szCs w:val="18"/>
                <w:rtl/>
              </w:rPr>
            </w:pPr>
            <w:r w:rsidRPr="008B245D">
              <w:rPr>
                <w:rFonts w:cs="Arial"/>
                <w:b/>
                <w:color w:val="FFFFFF" w:themeColor="background1"/>
                <w:sz w:val="18"/>
                <w:szCs w:val="18"/>
              </w:rPr>
              <w:t>Total</w:t>
            </w:r>
          </w:p>
        </w:tc>
      </w:tr>
      <w:tr w:rsidR="001568FD" w:rsidRPr="008B245D" w14:paraId="272C371C"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170B25BE" w14:textId="77777777" w:rsidR="001568FD" w:rsidRPr="008B245D" w:rsidRDefault="001568FD" w:rsidP="00562FD9">
            <w:pPr>
              <w:pStyle w:val="Tabletext"/>
              <w:rPr>
                <w:rFonts w:cs="Arial"/>
                <w:b w:val="0"/>
                <w:bCs w:val="0"/>
                <w:szCs w:val="18"/>
              </w:rPr>
            </w:pPr>
            <w:r w:rsidRPr="008B245D">
              <w:rPr>
                <w:rFonts w:cs="Arial"/>
                <w:szCs w:val="18"/>
              </w:rPr>
              <w:t>Albury Wodonga Health</w:t>
            </w:r>
          </w:p>
        </w:tc>
        <w:tc>
          <w:tcPr>
            <w:tcW w:w="297" w:type="pct"/>
          </w:tcPr>
          <w:p w14:paraId="21B3A83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044916A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02F7DCB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79DC1C1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0C2EB1F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32</w:t>
            </w:r>
          </w:p>
        </w:tc>
        <w:tc>
          <w:tcPr>
            <w:tcW w:w="297" w:type="pct"/>
            <w:hideMark/>
          </w:tcPr>
          <w:p w14:paraId="766E3B33"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7</w:t>
            </w:r>
          </w:p>
        </w:tc>
        <w:tc>
          <w:tcPr>
            <w:tcW w:w="297" w:type="pct"/>
            <w:hideMark/>
          </w:tcPr>
          <w:p w14:paraId="7DE217F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5</w:t>
            </w:r>
          </w:p>
        </w:tc>
        <w:tc>
          <w:tcPr>
            <w:tcW w:w="297" w:type="pct"/>
          </w:tcPr>
          <w:p w14:paraId="65BF973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0219AD8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2E2371A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20CD054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7450D9F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5CC7FDF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7F6740D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372FCDA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hideMark/>
          </w:tcPr>
          <w:p w14:paraId="3FF14D3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44</w:t>
            </w:r>
          </w:p>
        </w:tc>
      </w:tr>
      <w:tr w:rsidR="001568FD" w:rsidRPr="008B245D" w14:paraId="5AC4D7A1"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664AF7E0" w14:textId="77777777" w:rsidR="001568FD" w:rsidRPr="008B245D" w:rsidRDefault="001568FD" w:rsidP="00562FD9">
            <w:pPr>
              <w:pStyle w:val="Tabletext"/>
              <w:rPr>
                <w:rFonts w:cs="Arial"/>
                <w:b w:val="0"/>
                <w:bCs w:val="0"/>
                <w:szCs w:val="18"/>
              </w:rPr>
            </w:pPr>
            <w:r w:rsidRPr="008B245D">
              <w:rPr>
                <w:rFonts w:cs="Arial"/>
                <w:szCs w:val="18"/>
              </w:rPr>
              <w:t>Austin Health</w:t>
            </w:r>
          </w:p>
        </w:tc>
        <w:tc>
          <w:tcPr>
            <w:tcW w:w="297" w:type="pct"/>
            <w:hideMark/>
          </w:tcPr>
          <w:p w14:paraId="651429E2"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12</w:t>
            </w:r>
          </w:p>
        </w:tc>
        <w:tc>
          <w:tcPr>
            <w:tcW w:w="297" w:type="pct"/>
            <w:hideMark/>
          </w:tcPr>
          <w:p w14:paraId="5197B75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44606DB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10</w:t>
            </w:r>
          </w:p>
        </w:tc>
        <w:tc>
          <w:tcPr>
            <w:tcW w:w="297" w:type="pct"/>
            <w:hideMark/>
          </w:tcPr>
          <w:p w14:paraId="425D4C9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w:t>
            </w:r>
          </w:p>
        </w:tc>
        <w:tc>
          <w:tcPr>
            <w:tcW w:w="297" w:type="pct"/>
            <w:hideMark/>
          </w:tcPr>
          <w:p w14:paraId="1050DBA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15</w:t>
            </w:r>
          </w:p>
        </w:tc>
        <w:tc>
          <w:tcPr>
            <w:tcW w:w="297" w:type="pct"/>
            <w:hideMark/>
          </w:tcPr>
          <w:p w14:paraId="0908885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p>
        </w:tc>
        <w:tc>
          <w:tcPr>
            <w:tcW w:w="297" w:type="pct"/>
            <w:hideMark/>
          </w:tcPr>
          <w:p w14:paraId="27633B3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24E2622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1BDC311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6954C8D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p>
        </w:tc>
        <w:tc>
          <w:tcPr>
            <w:tcW w:w="297" w:type="pct"/>
            <w:hideMark/>
          </w:tcPr>
          <w:p w14:paraId="74A935B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w:t>
            </w:r>
          </w:p>
        </w:tc>
        <w:tc>
          <w:tcPr>
            <w:tcW w:w="297" w:type="pct"/>
            <w:hideMark/>
          </w:tcPr>
          <w:p w14:paraId="1A7DCED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17</w:t>
            </w:r>
          </w:p>
        </w:tc>
        <w:tc>
          <w:tcPr>
            <w:tcW w:w="297" w:type="pct"/>
            <w:hideMark/>
          </w:tcPr>
          <w:p w14:paraId="677524E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hideMark/>
          </w:tcPr>
          <w:p w14:paraId="1416D75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25</w:t>
            </w:r>
          </w:p>
        </w:tc>
        <w:tc>
          <w:tcPr>
            <w:tcW w:w="297" w:type="pct"/>
            <w:hideMark/>
          </w:tcPr>
          <w:p w14:paraId="4B4F06E2"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189" w:type="pct"/>
            <w:hideMark/>
          </w:tcPr>
          <w:p w14:paraId="31C7D86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99</w:t>
            </w:r>
          </w:p>
        </w:tc>
      </w:tr>
      <w:tr w:rsidR="001568FD" w:rsidRPr="008B245D" w14:paraId="384A16AC"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noWrap/>
            <w:hideMark/>
          </w:tcPr>
          <w:p w14:paraId="4C9125E3" w14:textId="77777777" w:rsidR="001568FD" w:rsidRPr="008B245D" w:rsidRDefault="001568FD" w:rsidP="00562FD9">
            <w:pPr>
              <w:pStyle w:val="Tabletext"/>
              <w:rPr>
                <w:rFonts w:cs="Arial"/>
                <w:b w:val="0"/>
                <w:bCs w:val="0"/>
                <w:szCs w:val="18"/>
              </w:rPr>
            </w:pPr>
            <w:r w:rsidRPr="008B245D">
              <w:rPr>
                <w:rFonts w:cs="Arial"/>
                <w:szCs w:val="18"/>
              </w:rPr>
              <w:t>Barwon Health</w:t>
            </w:r>
          </w:p>
        </w:tc>
        <w:tc>
          <w:tcPr>
            <w:tcW w:w="297" w:type="pct"/>
            <w:noWrap/>
          </w:tcPr>
          <w:p w14:paraId="77674C9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50F2B9A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0AC9833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6FBB309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7B42F9D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30</w:t>
            </w:r>
          </w:p>
        </w:tc>
        <w:tc>
          <w:tcPr>
            <w:tcW w:w="297" w:type="pct"/>
            <w:noWrap/>
            <w:hideMark/>
          </w:tcPr>
          <w:p w14:paraId="5378E01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w:t>
            </w:r>
          </w:p>
        </w:tc>
        <w:tc>
          <w:tcPr>
            <w:tcW w:w="297" w:type="pct"/>
            <w:noWrap/>
            <w:hideMark/>
          </w:tcPr>
          <w:p w14:paraId="5F38AFF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14</w:t>
            </w:r>
          </w:p>
        </w:tc>
        <w:tc>
          <w:tcPr>
            <w:tcW w:w="297" w:type="pct"/>
            <w:noWrap/>
            <w:hideMark/>
          </w:tcPr>
          <w:p w14:paraId="1CC43F26"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w:t>
            </w:r>
          </w:p>
        </w:tc>
        <w:tc>
          <w:tcPr>
            <w:tcW w:w="297" w:type="pct"/>
            <w:noWrap/>
            <w:hideMark/>
          </w:tcPr>
          <w:p w14:paraId="2FB75E2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9</w:t>
            </w:r>
          </w:p>
        </w:tc>
        <w:tc>
          <w:tcPr>
            <w:tcW w:w="297" w:type="pct"/>
            <w:noWrap/>
          </w:tcPr>
          <w:p w14:paraId="28A41E1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3B223D7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2B9D603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4F80F13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20B3105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tcPr>
          <w:p w14:paraId="1086C46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noWrap/>
            <w:hideMark/>
          </w:tcPr>
          <w:p w14:paraId="1D2890D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57</w:t>
            </w:r>
          </w:p>
        </w:tc>
      </w:tr>
      <w:tr w:rsidR="001568FD" w:rsidRPr="008B245D" w14:paraId="64B089F6"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0D549AA8" w14:textId="77777777" w:rsidR="001568FD" w:rsidRPr="008B245D" w:rsidRDefault="001568FD" w:rsidP="00562FD9">
            <w:pPr>
              <w:pStyle w:val="Tabletext"/>
              <w:rPr>
                <w:rFonts w:cs="Arial"/>
                <w:b w:val="0"/>
                <w:bCs w:val="0"/>
                <w:szCs w:val="18"/>
              </w:rPr>
            </w:pPr>
            <w:r w:rsidRPr="008B245D">
              <w:rPr>
                <w:rFonts w:cs="Arial"/>
                <w:szCs w:val="18"/>
              </w:rPr>
              <w:t>Bayside Health</w:t>
            </w:r>
          </w:p>
        </w:tc>
        <w:tc>
          <w:tcPr>
            <w:tcW w:w="297" w:type="pct"/>
            <w:noWrap/>
          </w:tcPr>
          <w:p w14:paraId="01BDCE2A"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tcPr>
          <w:p w14:paraId="699ADE6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tcPr>
          <w:p w14:paraId="7552D14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tcPr>
          <w:p w14:paraId="0533D36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304125C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77</w:t>
            </w:r>
          </w:p>
        </w:tc>
        <w:tc>
          <w:tcPr>
            <w:tcW w:w="297" w:type="pct"/>
            <w:noWrap/>
            <w:hideMark/>
          </w:tcPr>
          <w:p w14:paraId="4E54031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19</w:t>
            </w:r>
          </w:p>
        </w:tc>
        <w:tc>
          <w:tcPr>
            <w:tcW w:w="297" w:type="pct"/>
            <w:noWrap/>
            <w:hideMark/>
          </w:tcPr>
          <w:p w14:paraId="0807462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27</w:t>
            </w:r>
          </w:p>
        </w:tc>
        <w:tc>
          <w:tcPr>
            <w:tcW w:w="297" w:type="pct"/>
            <w:noWrap/>
            <w:hideMark/>
          </w:tcPr>
          <w:p w14:paraId="1A19F90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p>
        </w:tc>
        <w:tc>
          <w:tcPr>
            <w:tcW w:w="297" w:type="pct"/>
            <w:noWrap/>
            <w:hideMark/>
          </w:tcPr>
          <w:p w14:paraId="7172DB8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noWrap/>
            <w:hideMark/>
          </w:tcPr>
          <w:p w14:paraId="5E5DACE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noWrap/>
            <w:hideMark/>
          </w:tcPr>
          <w:p w14:paraId="4ABEFD5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w:t>
            </w:r>
          </w:p>
        </w:tc>
        <w:tc>
          <w:tcPr>
            <w:tcW w:w="297" w:type="pct"/>
            <w:noWrap/>
            <w:hideMark/>
          </w:tcPr>
          <w:p w14:paraId="1C0A1A9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4AAB1C3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w:t>
            </w:r>
          </w:p>
        </w:tc>
        <w:tc>
          <w:tcPr>
            <w:tcW w:w="297" w:type="pct"/>
            <w:noWrap/>
          </w:tcPr>
          <w:p w14:paraId="2165A85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tcPr>
          <w:p w14:paraId="53F80D5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189" w:type="pct"/>
            <w:noWrap/>
            <w:hideMark/>
          </w:tcPr>
          <w:p w14:paraId="6E238BA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149</w:t>
            </w:r>
          </w:p>
        </w:tc>
      </w:tr>
      <w:tr w:rsidR="001568FD" w:rsidRPr="008B245D" w14:paraId="69F138ED"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63A9808D" w14:textId="77777777" w:rsidR="001568FD" w:rsidRPr="008B245D" w:rsidRDefault="001568FD" w:rsidP="00562FD9">
            <w:pPr>
              <w:pStyle w:val="Tabletext"/>
              <w:rPr>
                <w:rFonts w:cs="Arial"/>
                <w:b w:val="0"/>
                <w:bCs w:val="0"/>
                <w:szCs w:val="18"/>
              </w:rPr>
            </w:pPr>
            <w:r w:rsidRPr="008B245D">
              <w:rPr>
                <w:rFonts w:cs="Arial"/>
                <w:szCs w:val="18"/>
              </w:rPr>
              <w:t>Bendigo Health</w:t>
            </w:r>
          </w:p>
        </w:tc>
        <w:tc>
          <w:tcPr>
            <w:tcW w:w="297" w:type="pct"/>
            <w:hideMark/>
          </w:tcPr>
          <w:p w14:paraId="78B5876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719312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4C7F3C7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483FB43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4EF2708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30</w:t>
            </w:r>
          </w:p>
        </w:tc>
        <w:tc>
          <w:tcPr>
            <w:tcW w:w="297" w:type="pct"/>
            <w:hideMark/>
          </w:tcPr>
          <w:p w14:paraId="45D4129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5</w:t>
            </w:r>
          </w:p>
        </w:tc>
        <w:tc>
          <w:tcPr>
            <w:tcW w:w="297" w:type="pct"/>
            <w:hideMark/>
          </w:tcPr>
          <w:p w14:paraId="73D9BDA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16</w:t>
            </w:r>
          </w:p>
        </w:tc>
        <w:tc>
          <w:tcPr>
            <w:tcW w:w="297" w:type="pct"/>
            <w:hideMark/>
          </w:tcPr>
          <w:p w14:paraId="034DECF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4</w:t>
            </w:r>
          </w:p>
        </w:tc>
        <w:tc>
          <w:tcPr>
            <w:tcW w:w="297" w:type="pct"/>
            <w:hideMark/>
          </w:tcPr>
          <w:p w14:paraId="5F87866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D3D229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5D6522F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0BFC5B3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B43365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5</w:t>
            </w:r>
          </w:p>
        </w:tc>
        <w:tc>
          <w:tcPr>
            <w:tcW w:w="297" w:type="pct"/>
            <w:hideMark/>
          </w:tcPr>
          <w:p w14:paraId="0C89D6F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20</w:t>
            </w:r>
          </w:p>
        </w:tc>
        <w:tc>
          <w:tcPr>
            <w:tcW w:w="297" w:type="pct"/>
            <w:hideMark/>
          </w:tcPr>
          <w:p w14:paraId="1F08B6B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hideMark/>
          </w:tcPr>
          <w:p w14:paraId="2C5592E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80</w:t>
            </w:r>
          </w:p>
        </w:tc>
      </w:tr>
      <w:tr w:rsidR="001568FD" w:rsidRPr="008B245D" w14:paraId="544C8917"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6621BEDA" w14:textId="77777777" w:rsidR="001568FD" w:rsidRPr="008B245D" w:rsidRDefault="001568FD" w:rsidP="00562FD9">
            <w:pPr>
              <w:pStyle w:val="Tabletext"/>
              <w:rPr>
                <w:rFonts w:cs="Arial"/>
                <w:b w:val="0"/>
                <w:bCs w:val="0"/>
                <w:szCs w:val="18"/>
              </w:rPr>
            </w:pPr>
            <w:r w:rsidRPr="008B245D">
              <w:rPr>
                <w:rFonts w:cs="Arial"/>
                <w:szCs w:val="18"/>
              </w:rPr>
              <w:t>Eastern Health</w:t>
            </w:r>
          </w:p>
        </w:tc>
        <w:tc>
          <w:tcPr>
            <w:tcW w:w="297" w:type="pct"/>
          </w:tcPr>
          <w:p w14:paraId="37A39A7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A69CF4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6842916A"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10</w:t>
            </w:r>
          </w:p>
        </w:tc>
        <w:tc>
          <w:tcPr>
            <w:tcW w:w="297" w:type="pct"/>
            <w:hideMark/>
          </w:tcPr>
          <w:p w14:paraId="5CD1848B"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w:t>
            </w:r>
          </w:p>
        </w:tc>
        <w:tc>
          <w:tcPr>
            <w:tcW w:w="297" w:type="pct"/>
            <w:hideMark/>
          </w:tcPr>
          <w:p w14:paraId="6CD6BE0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69</w:t>
            </w:r>
          </w:p>
        </w:tc>
        <w:tc>
          <w:tcPr>
            <w:tcW w:w="297" w:type="pct"/>
            <w:hideMark/>
          </w:tcPr>
          <w:p w14:paraId="05461F1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15</w:t>
            </w:r>
          </w:p>
        </w:tc>
        <w:tc>
          <w:tcPr>
            <w:tcW w:w="297" w:type="pct"/>
            <w:hideMark/>
          </w:tcPr>
          <w:p w14:paraId="6E228BF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25</w:t>
            </w:r>
          </w:p>
        </w:tc>
        <w:tc>
          <w:tcPr>
            <w:tcW w:w="297" w:type="pct"/>
          </w:tcPr>
          <w:p w14:paraId="3E5F824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7116B79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0F8DD9C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p>
        </w:tc>
        <w:tc>
          <w:tcPr>
            <w:tcW w:w="297" w:type="pct"/>
          </w:tcPr>
          <w:p w14:paraId="4FE74FB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77EA562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73F8103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0E9356D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4578356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189" w:type="pct"/>
            <w:hideMark/>
          </w:tcPr>
          <w:p w14:paraId="2FA47C9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125</w:t>
            </w:r>
          </w:p>
        </w:tc>
      </w:tr>
      <w:tr w:rsidR="001568FD" w:rsidRPr="008B245D" w14:paraId="11BD43E5"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noWrap/>
            <w:hideMark/>
          </w:tcPr>
          <w:p w14:paraId="17342833" w14:textId="77777777" w:rsidR="001568FD" w:rsidRPr="008B245D" w:rsidRDefault="001568FD" w:rsidP="00562FD9">
            <w:pPr>
              <w:pStyle w:val="Tabletext"/>
              <w:rPr>
                <w:rFonts w:cs="Arial"/>
                <w:b w:val="0"/>
                <w:bCs w:val="0"/>
                <w:szCs w:val="18"/>
              </w:rPr>
            </w:pPr>
            <w:r w:rsidRPr="008B245D">
              <w:rPr>
                <w:rFonts w:cs="Arial"/>
                <w:szCs w:val="18"/>
              </w:rPr>
              <w:t>VIFM</w:t>
            </w:r>
          </w:p>
        </w:tc>
        <w:tc>
          <w:tcPr>
            <w:tcW w:w="297" w:type="pct"/>
            <w:noWrap/>
            <w:hideMark/>
          </w:tcPr>
          <w:p w14:paraId="46F6F52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0B26F39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705ACFD3"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66E3BCC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49CED4B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1EC3854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4DDD37A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3AADF936"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3F3E4EC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5461110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2AD7AA4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2EACA3D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30152E9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37AA24E3"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1555E8D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62</w:t>
            </w:r>
            <w:r w:rsidRPr="007D7B3B">
              <w:rPr>
                <w:rStyle w:val="FootnoteReference"/>
                <w:rFonts w:cs="Arial"/>
                <w:b/>
                <w:bCs/>
                <w:color w:val="000000"/>
                <w:szCs w:val="18"/>
              </w:rPr>
              <w:footnoteReference w:id="8"/>
            </w:r>
          </w:p>
        </w:tc>
        <w:tc>
          <w:tcPr>
            <w:tcW w:w="189" w:type="pct"/>
            <w:noWrap/>
            <w:hideMark/>
          </w:tcPr>
          <w:p w14:paraId="1BD33C4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62</w:t>
            </w:r>
          </w:p>
        </w:tc>
      </w:tr>
      <w:tr w:rsidR="001568FD" w:rsidRPr="008B245D" w14:paraId="0AD693EB"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24E26D94" w14:textId="77777777" w:rsidR="001568FD" w:rsidRPr="008B245D" w:rsidRDefault="001568FD" w:rsidP="00562FD9">
            <w:pPr>
              <w:pStyle w:val="Tabletext"/>
              <w:rPr>
                <w:rFonts w:cs="Arial"/>
                <w:b w:val="0"/>
                <w:bCs w:val="0"/>
                <w:szCs w:val="18"/>
              </w:rPr>
            </w:pPr>
            <w:r w:rsidRPr="008B245D">
              <w:rPr>
                <w:rFonts w:cs="Arial"/>
                <w:szCs w:val="18"/>
              </w:rPr>
              <w:t>Goulburn Valley Health</w:t>
            </w:r>
          </w:p>
        </w:tc>
        <w:tc>
          <w:tcPr>
            <w:tcW w:w="297" w:type="pct"/>
          </w:tcPr>
          <w:p w14:paraId="1D9281E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88DA102"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0C667E6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530C037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0EEEDCF5"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14</w:t>
            </w:r>
          </w:p>
        </w:tc>
        <w:tc>
          <w:tcPr>
            <w:tcW w:w="297" w:type="pct"/>
            <w:hideMark/>
          </w:tcPr>
          <w:p w14:paraId="7C9F50DB"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3</w:t>
            </w:r>
          </w:p>
        </w:tc>
        <w:tc>
          <w:tcPr>
            <w:tcW w:w="297" w:type="pct"/>
            <w:hideMark/>
          </w:tcPr>
          <w:p w14:paraId="06EDE80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w:t>
            </w:r>
          </w:p>
        </w:tc>
        <w:tc>
          <w:tcPr>
            <w:tcW w:w="297" w:type="pct"/>
            <w:hideMark/>
          </w:tcPr>
          <w:p w14:paraId="6FEC3CB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54E264AA"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3</w:t>
            </w:r>
          </w:p>
        </w:tc>
        <w:tc>
          <w:tcPr>
            <w:tcW w:w="297" w:type="pct"/>
          </w:tcPr>
          <w:p w14:paraId="0C3CB77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057CED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3A6C9D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0099749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A1A0BD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7444E1D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189" w:type="pct"/>
            <w:hideMark/>
          </w:tcPr>
          <w:p w14:paraId="1197E27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25</w:t>
            </w:r>
          </w:p>
        </w:tc>
      </w:tr>
      <w:tr w:rsidR="001568FD" w:rsidRPr="008B245D" w14:paraId="672A3374"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64F55ECF" w14:textId="77777777" w:rsidR="001568FD" w:rsidRPr="008B245D" w:rsidRDefault="001568FD" w:rsidP="00562FD9">
            <w:pPr>
              <w:pStyle w:val="Tabletext"/>
              <w:rPr>
                <w:rFonts w:cs="Arial"/>
                <w:b w:val="0"/>
                <w:bCs w:val="0"/>
                <w:szCs w:val="18"/>
              </w:rPr>
            </w:pPr>
            <w:r w:rsidRPr="008B245D">
              <w:rPr>
                <w:rFonts w:cs="Arial"/>
                <w:szCs w:val="18"/>
              </w:rPr>
              <w:t xml:space="preserve">Grampians Health </w:t>
            </w:r>
          </w:p>
        </w:tc>
        <w:tc>
          <w:tcPr>
            <w:tcW w:w="297" w:type="pct"/>
            <w:hideMark/>
          </w:tcPr>
          <w:p w14:paraId="34430D2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0B5B945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53568FE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3ADBFAB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242D4DB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20</w:t>
            </w:r>
          </w:p>
        </w:tc>
        <w:tc>
          <w:tcPr>
            <w:tcW w:w="297" w:type="pct"/>
            <w:hideMark/>
          </w:tcPr>
          <w:p w14:paraId="790B312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4</w:t>
            </w:r>
          </w:p>
        </w:tc>
        <w:tc>
          <w:tcPr>
            <w:tcW w:w="297" w:type="pct"/>
            <w:hideMark/>
          </w:tcPr>
          <w:p w14:paraId="3D69B6E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10</w:t>
            </w:r>
          </w:p>
        </w:tc>
        <w:tc>
          <w:tcPr>
            <w:tcW w:w="297" w:type="pct"/>
            <w:hideMark/>
          </w:tcPr>
          <w:p w14:paraId="1B9AA10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161F31C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45C467C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1ACEB6C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0747D16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93A459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5</w:t>
            </w:r>
          </w:p>
        </w:tc>
        <w:tc>
          <w:tcPr>
            <w:tcW w:w="297" w:type="pct"/>
            <w:hideMark/>
          </w:tcPr>
          <w:p w14:paraId="7B8BDF5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12</w:t>
            </w:r>
          </w:p>
        </w:tc>
        <w:tc>
          <w:tcPr>
            <w:tcW w:w="297" w:type="pct"/>
            <w:hideMark/>
          </w:tcPr>
          <w:p w14:paraId="4004A6C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hideMark/>
          </w:tcPr>
          <w:p w14:paraId="0D7F494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51</w:t>
            </w:r>
          </w:p>
        </w:tc>
      </w:tr>
      <w:tr w:rsidR="001568FD" w:rsidRPr="008B245D" w14:paraId="4AF50C0C"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5904D81C" w14:textId="77777777" w:rsidR="001568FD" w:rsidRPr="008B245D" w:rsidRDefault="001568FD" w:rsidP="00562FD9">
            <w:pPr>
              <w:pStyle w:val="Tabletext"/>
              <w:rPr>
                <w:rFonts w:cs="Arial"/>
                <w:b w:val="0"/>
                <w:bCs w:val="0"/>
                <w:szCs w:val="18"/>
              </w:rPr>
            </w:pPr>
            <w:r w:rsidRPr="008B245D">
              <w:rPr>
                <w:rFonts w:cs="Arial"/>
                <w:szCs w:val="18"/>
              </w:rPr>
              <w:t>Latrobe Regional Health</w:t>
            </w:r>
          </w:p>
        </w:tc>
        <w:tc>
          <w:tcPr>
            <w:tcW w:w="297" w:type="pct"/>
            <w:noWrap/>
            <w:hideMark/>
          </w:tcPr>
          <w:p w14:paraId="29E3846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185A981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668A7BA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w:t>
            </w:r>
          </w:p>
        </w:tc>
        <w:tc>
          <w:tcPr>
            <w:tcW w:w="297" w:type="pct"/>
            <w:noWrap/>
            <w:hideMark/>
          </w:tcPr>
          <w:p w14:paraId="69B7B8A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48347EF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23</w:t>
            </w:r>
          </w:p>
        </w:tc>
        <w:tc>
          <w:tcPr>
            <w:tcW w:w="297" w:type="pct"/>
            <w:noWrap/>
            <w:hideMark/>
          </w:tcPr>
          <w:p w14:paraId="20F8AE5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noWrap/>
            <w:hideMark/>
          </w:tcPr>
          <w:p w14:paraId="7F441D4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10</w:t>
            </w:r>
          </w:p>
        </w:tc>
        <w:tc>
          <w:tcPr>
            <w:tcW w:w="297" w:type="pct"/>
            <w:noWrap/>
            <w:hideMark/>
          </w:tcPr>
          <w:p w14:paraId="73254F4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795ECF5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4546707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3A554FE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75E86155"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6EEAEE1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w:t>
            </w:r>
          </w:p>
        </w:tc>
        <w:tc>
          <w:tcPr>
            <w:tcW w:w="297" w:type="pct"/>
            <w:noWrap/>
            <w:hideMark/>
          </w:tcPr>
          <w:p w14:paraId="45BCDE1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noWrap/>
            <w:hideMark/>
          </w:tcPr>
          <w:p w14:paraId="79A019C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189" w:type="pct"/>
            <w:noWrap/>
            <w:hideMark/>
          </w:tcPr>
          <w:p w14:paraId="0E0AAF55"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52</w:t>
            </w:r>
          </w:p>
        </w:tc>
      </w:tr>
      <w:tr w:rsidR="001568FD" w:rsidRPr="008B245D" w14:paraId="6F1C9EA6"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35DBFCBB" w14:textId="77777777" w:rsidR="001568FD" w:rsidRPr="008B245D" w:rsidRDefault="001568FD" w:rsidP="00607F2F">
            <w:pPr>
              <w:pStyle w:val="Tabletext"/>
              <w:rPr>
                <w:rFonts w:cs="Arial"/>
                <w:b w:val="0"/>
                <w:bCs w:val="0"/>
                <w:szCs w:val="18"/>
              </w:rPr>
            </w:pPr>
            <w:r w:rsidRPr="008B245D">
              <w:rPr>
                <w:rFonts w:cs="Arial"/>
                <w:szCs w:val="18"/>
              </w:rPr>
              <w:t>Melbourne Health</w:t>
            </w:r>
          </w:p>
        </w:tc>
        <w:tc>
          <w:tcPr>
            <w:tcW w:w="297" w:type="pct"/>
            <w:hideMark/>
          </w:tcPr>
          <w:p w14:paraId="537B59A4"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3E2ABBE6"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08773FC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1D7356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18285E0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25</w:t>
            </w:r>
          </w:p>
        </w:tc>
        <w:tc>
          <w:tcPr>
            <w:tcW w:w="297" w:type="pct"/>
            <w:hideMark/>
          </w:tcPr>
          <w:p w14:paraId="5FACE3F3"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16</w:t>
            </w:r>
          </w:p>
        </w:tc>
        <w:tc>
          <w:tcPr>
            <w:tcW w:w="297" w:type="pct"/>
            <w:hideMark/>
          </w:tcPr>
          <w:p w14:paraId="06B1C93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D80A74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7B9D60D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5F9A396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3A982D8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8</w:t>
            </w:r>
          </w:p>
        </w:tc>
        <w:tc>
          <w:tcPr>
            <w:tcW w:w="297" w:type="pct"/>
            <w:hideMark/>
          </w:tcPr>
          <w:p w14:paraId="7B16A3F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8</w:t>
            </w:r>
          </w:p>
        </w:tc>
        <w:tc>
          <w:tcPr>
            <w:tcW w:w="297" w:type="pct"/>
            <w:hideMark/>
          </w:tcPr>
          <w:p w14:paraId="2E9C854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45B2EE0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7C637E6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hideMark/>
          </w:tcPr>
          <w:p w14:paraId="0FF618A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57</w:t>
            </w:r>
          </w:p>
        </w:tc>
      </w:tr>
      <w:tr w:rsidR="001568FD" w:rsidRPr="008B245D" w14:paraId="047DEE64"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37FF3A4B" w14:textId="77777777" w:rsidR="001568FD" w:rsidRPr="008B245D" w:rsidRDefault="001568FD" w:rsidP="00607F2F">
            <w:pPr>
              <w:pStyle w:val="Tabletext"/>
              <w:rPr>
                <w:rFonts w:cs="Arial"/>
                <w:b w:val="0"/>
                <w:bCs w:val="0"/>
                <w:szCs w:val="18"/>
              </w:rPr>
            </w:pPr>
            <w:r w:rsidRPr="008B245D">
              <w:rPr>
                <w:rFonts w:cs="Arial"/>
                <w:szCs w:val="18"/>
              </w:rPr>
              <w:t>Mercy Mental Health</w:t>
            </w:r>
          </w:p>
        </w:tc>
        <w:tc>
          <w:tcPr>
            <w:tcW w:w="297" w:type="pct"/>
          </w:tcPr>
          <w:p w14:paraId="556C2FFA"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327976C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78CE1B1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5F20BB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01B7199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40</w:t>
            </w:r>
          </w:p>
        </w:tc>
        <w:tc>
          <w:tcPr>
            <w:tcW w:w="297" w:type="pct"/>
            <w:hideMark/>
          </w:tcPr>
          <w:p w14:paraId="685E31C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14</w:t>
            </w:r>
          </w:p>
        </w:tc>
        <w:tc>
          <w:tcPr>
            <w:tcW w:w="297" w:type="pct"/>
          </w:tcPr>
          <w:p w14:paraId="00A7F99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471F922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213638F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3833F80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3CBFFDE3"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2C7BCE4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24A520F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hideMark/>
          </w:tcPr>
          <w:p w14:paraId="6DEF16F2"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085032F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189" w:type="pct"/>
            <w:hideMark/>
          </w:tcPr>
          <w:p w14:paraId="07C0A4C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60</w:t>
            </w:r>
          </w:p>
        </w:tc>
      </w:tr>
      <w:tr w:rsidR="001568FD" w:rsidRPr="008B245D" w14:paraId="518AC3DC"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6E2F171E" w14:textId="77777777" w:rsidR="001568FD" w:rsidRPr="008B245D" w:rsidRDefault="001568FD" w:rsidP="00607F2F">
            <w:pPr>
              <w:pStyle w:val="Tabletext"/>
              <w:rPr>
                <w:rFonts w:cs="Arial"/>
                <w:b w:val="0"/>
                <w:bCs w:val="0"/>
                <w:szCs w:val="18"/>
              </w:rPr>
            </w:pPr>
            <w:r w:rsidRPr="008B245D">
              <w:rPr>
                <w:rFonts w:cs="Arial"/>
                <w:szCs w:val="18"/>
              </w:rPr>
              <w:lastRenderedPageBreak/>
              <w:t xml:space="preserve">Mildura Base Public Hospital </w:t>
            </w:r>
          </w:p>
        </w:tc>
        <w:tc>
          <w:tcPr>
            <w:tcW w:w="297" w:type="pct"/>
            <w:noWrap/>
            <w:hideMark/>
          </w:tcPr>
          <w:p w14:paraId="1F96BAD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748B3F3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1D0440A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w:t>
            </w:r>
          </w:p>
        </w:tc>
        <w:tc>
          <w:tcPr>
            <w:tcW w:w="297" w:type="pct"/>
            <w:noWrap/>
            <w:hideMark/>
          </w:tcPr>
          <w:p w14:paraId="472FFD7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171C6334"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8</w:t>
            </w:r>
          </w:p>
        </w:tc>
        <w:tc>
          <w:tcPr>
            <w:tcW w:w="297" w:type="pct"/>
            <w:noWrap/>
            <w:hideMark/>
          </w:tcPr>
          <w:p w14:paraId="37167D9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w:t>
            </w:r>
          </w:p>
        </w:tc>
        <w:tc>
          <w:tcPr>
            <w:tcW w:w="297" w:type="pct"/>
            <w:noWrap/>
            <w:hideMark/>
          </w:tcPr>
          <w:p w14:paraId="74DD9A9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w:t>
            </w:r>
          </w:p>
        </w:tc>
        <w:tc>
          <w:tcPr>
            <w:tcW w:w="297" w:type="pct"/>
            <w:noWrap/>
            <w:hideMark/>
          </w:tcPr>
          <w:p w14:paraId="748099A6"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04936CD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26C25CF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0975AE8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02B42983"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54A9453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7CD1BC94"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noWrap/>
            <w:hideMark/>
          </w:tcPr>
          <w:p w14:paraId="153C69F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noWrap/>
            <w:hideMark/>
          </w:tcPr>
          <w:p w14:paraId="49B8CC84"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14</w:t>
            </w:r>
          </w:p>
        </w:tc>
      </w:tr>
      <w:tr w:rsidR="001568FD" w:rsidRPr="008B245D" w14:paraId="41318163"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5388BBF1" w14:textId="77777777" w:rsidR="001568FD" w:rsidRPr="008B245D" w:rsidRDefault="001568FD" w:rsidP="00607F2F">
            <w:pPr>
              <w:pStyle w:val="Tabletext"/>
              <w:rPr>
                <w:rFonts w:cs="Arial"/>
                <w:b w:val="0"/>
                <w:bCs w:val="0"/>
                <w:szCs w:val="18"/>
              </w:rPr>
            </w:pPr>
            <w:r w:rsidRPr="008B245D">
              <w:rPr>
                <w:rFonts w:cs="Arial"/>
                <w:szCs w:val="18"/>
              </w:rPr>
              <w:t>Monash Health</w:t>
            </w:r>
          </w:p>
        </w:tc>
        <w:tc>
          <w:tcPr>
            <w:tcW w:w="297" w:type="pct"/>
            <w:noWrap/>
            <w:hideMark/>
          </w:tcPr>
          <w:p w14:paraId="3F9EF16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noWrap/>
            <w:hideMark/>
          </w:tcPr>
          <w:p w14:paraId="4F9FE8F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w:t>
            </w:r>
          </w:p>
        </w:tc>
        <w:tc>
          <w:tcPr>
            <w:tcW w:w="297" w:type="pct"/>
            <w:noWrap/>
            <w:hideMark/>
          </w:tcPr>
          <w:p w14:paraId="44BA135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11</w:t>
            </w:r>
          </w:p>
        </w:tc>
        <w:tc>
          <w:tcPr>
            <w:tcW w:w="297" w:type="pct"/>
            <w:noWrap/>
            <w:hideMark/>
          </w:tcPr>
          <w:p w14:paraId="3183E95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p>
        </w:tc>
        <w:tc>
          <w:tcPr>
            <w:tcW w:w="297" w:type="pct"/>
            <w:noWrap/>
            <w:hideMark/>
          </w:tcPr>
          <w:p w14:paraId="2C9C4D95"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85</w:t>
            </w:r>
          </w:p>
        </w:tc>
        <w:tc>
          <w:tcPr>
            <w:tcW w:w="297" w:type="pct"/>
            <w:noWrap/>
            <w:hideMark/>
          </w:tcPr>
          <w:p w14:paraId="03591AD5"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20</w:t>
            </w:r>
          </w:p>
        </w:tc>
        <w:tc>
          <w:tcPr>
            <w:tcW w:w="297" w:type="pct"/>
            <w:noWrap/>
            <w:hideMark/>
          </w:tcPr>
          <w:p w14:paraId="0C671EB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35</w:t>
            </w:r>
          </w:p>
        </w:tc>
        <w:tc>
          <w:tcPr>
            <w:tcW w:w="297" w:type="pct"/>
            <w:noWrap/>
            <w:hideMark/>
          </w:tcPr>
          <w:p w14:paraId="6B123B4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w:t>
            </w:r>
          </w:p>
        </w:tc>
        <w:tc>
          <w:tcPr>
            <w:tcW w:w="297" w:type="pct"/>
            <w:noWrap/>
            <w:hideMark/>
          </w:tcPr>
          <w:p w14:paraId="3579FD9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10</w:t>
            </w:r>
          </w:p>
        </w:tc>
        <w:tc>
          <w:tcPr>
            <w:tcW w:w="297" w:type="pct"/>
            <w:noWrap/>
            <w:hideMark/>
          </w:tcPr>
          <w:p w14:paraId="24029D8B"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0</w:t>
            </w:r>
          </w:p>
        </w:tc>
        <w:tc>
          <w:tcPr>
            <w:tcW w:w="297" w:type="pct"/>
            <w:noWrap/>
            <w:hideMark/>
          </w:tcPr>
          <w:p w14:paraId="1362918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p>
        </w:tc>
        <w:tc>
          <w:tcPr>
            <w:tcW w:w="297" w:type="pct"/>
            <w:noWrap/>
            <w:hideMark/>
          </w:tcPr>
          <w:p w14:paraId="4774913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noWrap/>
            <w:hideMark/>
          </w:tcPr>
          <w:p w14:paraId="5DF41A9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noWrap/>
            <w:hideMark/>
          </w:tcPr>
          <w:p w14:paraId="78ADC9E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50</w:t>
            </w:r>
          </w:p>
        </w:tc>
        <w:tc>
          <w:tcPr>
            <w:tcW w:w="297" w:type="pct"/>
            <w:noWrap/>
            <w:hideMark/>
          </w:tcPr>
          <w:p w14:paraId="3E26BC9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189" w:type="pct"/>
            <w:noWrap/>
            <w:hideMark/>
          </w:tcPr>
          <w:p w14:paraId="6F1CDC0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238</w:t>
            </w:r>
          </w:p>
        </w:tc>
      </w:tr>
      <w:tr w:rsidR="001568FD" w:rsidRPr="008B245D" w14:paraId="741091D9"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233D773A" w14:textId="77777777" w:rsidR="001568FD" w:rsidRPr="008B245D" w:rsidRDefault="001568FD" w:rsidP="00607F2F">
            <w:pPr>
              <w:pStyle w:val="Tabletext"/>
              <w:rPr>
                <w:rFonts w:cs="Arial"/>
                <w:b w:val="0"/>
                <w:bCs w:val="0"/>
                <w:szCs w:val="18"/>
              </w:rPr>
            </w:pPr>
            <w:r w:rsidRPr="008B245D">
              <w:rPr>
                <w:rFonts w:cs="Arial"/>
                <w:szCs w:val="18"/>
              </w:rPr>
              <w:t>Northern Health</w:t>
            </w:r>
          </w:p>
        </w:tc>
        <w:tc>
          <w:tcPr>
            <w:tcW w:w="297" w:type="pct"/>
          </w:tcPr>
          <w:p w14:paraId="0813B1C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7697101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1C51B13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0508DA9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3FB752A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80</w:t>
            </w:r>
          </w:p>
        </w:tc>
        <w:tc>
          <w:tcPr>
            <w:tcW w:w="297" w:type="pct"/>
            <w:hideMark/>
          </w:tcPr>
          <w:p w14:paraId="76EAFBE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25</w:t>
            </w:r>
          </w:p>
        </w:tc>
        <w:tc>
          <w:tcPr>
            <w:tcW w:w="297" w:type="pct"/>
            <w:hideMark/>
          </w:tcPr>
          <w:p w14:paraId="2FCDC274"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34</w:t>
            </w:r>
          </w:p>
        </w:tc>
        <w:tc>
          <w:tcPr>
            <w:tcW w:w="297" w:type="pct"/>
          </w:tcPr>
          <w:p w14:paraId="03A99C3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1CDA5C5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0015739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51FF1BC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42D876A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054DE833"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18D1B11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3F837A8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hideMark/>
          </w:tcPr>
          <w:p w14:paraId="320139B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139</w:t>
            </w:r>
          </w:p>
        </w:tc>
      </w:tr>
      <w:tr w:rsidR="001568FD" w:rsidRPr="008B245D" w14:paraId="5F2AF5A9"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3AB826A5" w14:textId="77777777" w:rsidR="001568FD" w:rsidRPr="008B245D" w:rsidRDefault="001568FD" w:rsidP="00607F2F">
            <w:pPr>
              <w:pStyle w:val="Tabletext"/>
              <w:rPr>
                <w:rFonts w:cs="Arial"/>
                <w:b w:val="0"/>
                <w:bCs w:val="0"/>
                <w:szCs w:val="18"/>
              </w:rPr>
            </w:pPr>
            <w:r w:rsidRPr="008B245D">
              <w:rPr>
                <w:rFonts w:cs="Arial"/>
                <w:szCs w:val="18"/>
              </w:rPr>
              <w:t>Parkville Youth Mental Health and Wellbeing Service</w:t>
            </w:r>
          </w:p>
        </w:tc>
        <w:tc>
          <w:tcPr>
            <w:tcW w:w="297" w:type="pct"/>
          </w:tcPr>
          <w:p w14:paraId="45AF68A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754F7B6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053F08DA"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16</w:t>
            </w:r>
          </w:p>
        </w:tc>
        <w:tc>
          <w:tcPr>
            <w:tcW w:w="297" w:type="pct"/>
            <w:hideMark/>
          </w:tcPr>
          <w:p w14:paraId="5E43373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3</w:t>
            </w:r>
          </w:p>
        </w:tc>
        <w:tc>
          <w:tcPr>
            <w:tcW w:w="297" w:type="pct"/>
          </w:tcPr>
          <w:p w14:paraId="53AAE0C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5D7ED07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650F733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CC2E71C"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7C28DB82"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10</w:t>
            </w:r>
          </w:p>
        </w:tc>
        <w:tc>
          <w:tcPr>
            <w:tcW w:w="297" w:type="pct"/>
          </w:tcPr>
          <w:p w14:paraId="467A0F3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53A6E76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45094C1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10B9D69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446B3C52"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60F5F638"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3</w:t>
            </w:r>
            <w:r w:rsidRPr="007D7B3B">
              <w:rPr>
                <w:rStyle w:val="FootnoteReference"/>
                <w:rFonts w:cs="Arial"/>
                <w:b/>
                <w:bCs/>
                <w:color w:val="000000"/>
                <w:szCs w:val="18"/>
              </w:rPr>
              <w:footnoteReference w:id="9"/>
            </w:r>
          </w:p>
        </w:tc>
        <w:tc>
          <w:tcPr>
            <w:tcW w:w="189" w:type="pct"/>
            <w:hideMark/>
          </w:tcPr>
          <w:p w14:paraId="56F3B9C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32</w:t>
            </w:r>
          </w:p>
        </w:tc>
      </w:tr>
      <w:tr w:rsidR="001568FD" w:rsidRPr="008B245D" w14:paraId="59351396"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0E1F4397" w14:textId="77777777" w:rsidR="001568FD" w:rsidRPr="008B245D" w:rsidRDefault="001568FD" w:rsidP="00607F2F">
            <w:pPr>
              <w:pStyle w:val="Tabletext"/>
              <w:rPr>
                <w:rFonts w:cs="Arial"/>
                <w:b w:val="0"/>
                <w:bCs w:val="0"/>
                <w:szCs w:val="18"/>
              </w:rPr>
            </w:pPr>
            <w:r w:rsidRPr="008B245D">
              <w:rPr>
                <w:rFonts w:cs="Arial"/>
                <w:szCs w:val="18"/>
              </w:rPr>
              <w:t>The Royal Children's Hospital</w:t>
            </w:r>
          </w:p>
        </w:tc>
        <w:tc>
          <w:tcPr>
            <w:tcW w:w="297" w:type="pct"/>
            <w:hideMark/>
          </w:tcPr>
          <w:p w14:paraId="6070C09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09A08D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10514C9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14</w:t>
            </w:r>
          </w:p>
        </w:tc>
        <w:tc>
          <w:tcPr>
            <w:tcW w:w="297" w:type="pct"/>
            <w:hideMark/>
          </w:tcPr>
          <w:p w14:paraId="19F2F5D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2</w:t>
            </w:r>
          </w:p>
        </w:tc>
        <w:tc>
          <w:tcPr>
            <w:tcW w:w="297" w:type="pct"/>
            <w:hideMark/>
          </w:tcPr>
          <w:p w14:paraId="18CE4EE4"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3DB5382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C36FF6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14F14C8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08122B7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3C1A4C3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57E9FD7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46ACCBB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E10FCE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1CC2412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634AEB2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hideMark/>
          </w:tcPr>
          <w:p w14:paraId="4C2C43E2"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16</w:t>
            </w:r>
          </w:p>
        </w:tc>
      </w:tr>
      <w:tr w:rsidR="001568FD" w:rsidRPr="008B245D" w14:paraId="299AB154"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643D3D34" w14:textId="77777777" w:rsidR="001568FD" w:rsidRPr="008B245D" w:rsidRDefault="001568FD" w:rsidP="00607F2F">
            <w:pPr>
              <w:pStyle w:val="Tabletext"/>
              <w:rPr>
                <w:rFonts w:cs="Arial"/>
                <w:b w:val="0"/>
                <w:bCs w:val="0"/>
                <w:szCs w:val="18"/>
              </w:rPr>
            </w:pPr>
            <w:proofErr w:type="gramStart"/>
            <w:r w:rsidRPr="008B245D">
              <w:rPr>
                <w:rFonts w:cs="Arial"/>
                <w:szCs w:val="18"/>
              </w:rPr>
              <w:t>South West</w:t>
            </w:r>
            <w:proofErr w:type="gramEnd"/>
            <w:r w:rsidRPr="008B245D">
              <w:rPr>
                <w:rFonts w:cs="Arial"/>
                <w:szCs w:val="18"/>
              </w:rPr>
              <w:t xml:space="preserve"> Healthcare</w:t>
            </w:r>
          </w:p>
        </w:tc>
        <w:tc>
          <w:tcPr>
            <w:tcW w:w="297" w:type="pct"/>
            <w:hideMark/>
          </w:tcPr>
          <w:p w14:paraId="1C61DA52"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71013AE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573CA15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4C05FA6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1C63B73B"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6</w:t>
            </w:r>
          </w:p>
        </w:tc>
        <w:tc>
          <w:tcPr>
            <w:tcW w:w="297" w:type="pct"/>
            <w:hideMark/>
          </w:tcPr>
          <w:p w14:paraId="3879114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5</w:t>
            </w:r>
          </w:p>
        </w:tc>
        <w:tc>
          <w:tcPr>
            <w:tcW w:w="297" w:type="pct"/>
            <w:hideMark/>
          </w:tcPr>
          <w:p w14:paraId="179979A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75DD153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3D82FFF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65A2C10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2FD3437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56D1037A"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2B7F3CD5"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4B4D853B"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77FCF7B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r w:rsidRPr="007D7B3B">
              <w:rPr>
                <w:rStyle w:val="FootnoteReference"/>
                <w:rFonts w:cs="Arial"/>
                <w:b/>
                <w:bCs/>
                <w:color w:val="000000"/>
                <w:szCs w:val="18"/>
              </w:rPr>
              <w:footnoteReference w:id="10"/>
            </w:r>
          </w:p>
        </w:tc>
        <w:tc>
          <w:tcPr>
            <w:tcW w:w="189" w:type="pct"/>
            <w:hideMark/>
          </w:tcPr>
          <w:p w14:paraId="3EB7BB56"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15</w:t>
            </w:r>
          </w:p>
        </w:tc>
      </w:tr>
      <w:tr w:rsidR="001568FD" w:rsidRPr="008B245D" w14:paraId="423C81CB"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2E91AA40" w14:textId="77777777" w:rsidR="001568FD" w:rsidRPr="008B245D" w:rsidRDefault="001568FD" w:rsidP="00607F2F">
            <w:pPr>
              <w:pStyle w:val="Tabletext"/>
              <w:rPr>
                <w:rFonts w:cs="Arial"/>
                <w:b w:val="0"/>
                <w:bCs w:val="0"/>
                <w:szCs w:val="18"/>
              </w:rPr>
            </w:pPr>
            <w:r w:rsidRPr="008B245D">
              <w:rPr>
                <w:rFonts w:cs="Arial"/>
                <w:szCs w:val="18"/>
              </w:rPr>
              <w:t>St Vincent's Hospital</w:t>
            </w:r>
          </w:p>
        </w:tc>
        <w:tc>
          <w:tcPr>
            <w:tcW w:w="297" w:type="pct"/>
          </w:tcPr>
          <w:p w14:paraId="253D1EB6"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34CFEE34"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27F222A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0F28FBE6"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hideMark/>
          </w:tcPr>
          <w:p w14:paraId="3254711C"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38</w:t>
            </w:r>
          </w:p>
        </w:tc>
        <w:tc>
          <w:tcPr>
            <w:tcW w:w="297" w:type="pct"/>
            <w:hideMark/>
          </w:tcPr>
          <w:p w14:paraId="6C840EB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6</w:t>
            </w:r>
          </w:p>
        </w:tc>
        <w:tc>
          <w:tcPr>
            <w:tcW w:w="297" w:type="pct"/>
            <w:hideMark/>
          </w:tcPr>
          <w:p w14:paraId="21368B7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14</w:t>
            </w:r>
          </w:p>
        </w:tc>
        <w:tc>
          <w:tcPr>
            <w:tcW w:w="297" w:type="pct"/>
            <w:hideMark/>
          </w:tcPr>
          <w:p w14:paraId="4491BC4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7D7B3B">
              <w:rPr>
                <w:rFonts w:cs="Arial"/>
                <w:szCs w:val="18"/>
              </w:rPr>
              <w:t>6</w:t>
            </w:r>
          </w:p>
        </w:tc>
        <w:tc>
          <w:tcPr>
            <w:tcW w:w="297" w:type="pct"/>
          </w:tcPr>
          <w:p w14:paraId="25F104C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2A50177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5DA1D2C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2420EBC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1E00E01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22A1CD2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297" w:type="pct"/>
          </w:tcPr>
          <w:p w14:paraId="344892EF"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189" w:type="pct"/>
            <w:hideMark/>
          </w:tcPr>
          <w:p w14:paraId="5F39AA06"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64</w:t>
            </w:r>
          </w:p>
        </w:tc>
      </w:tr>
      <w:tr w:rsidR="001568FD" w:rsidRPr="008B245D" w14:paraId="3E9267FF" w14:textId="77777777" w:rsidTr="008B245D">
        <w:trPr>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264C2BE1" w14:textId="77777777" w:rsidR="001568FD" w:rsidRPr="008B245D" w:rsidRDefault="001568FD" w:rsidP="00607F2F">
            <w:pPr>
              <w:pStyle w:val="Tabletext"/>
              <w:rPr>
                <w:rFonts w:cs="Arial"/>
                <w:b w:val="0"/>
                <w:bCs w:val="0"/>
                <w:szCs w:val="18"/>
              </w:rPr>
            </w:pPr>
            <w:r w:rsidRPr="008B245D">
              <w:rPr>
                <w:rFonts w:cs="Arial"/>
                <w:szCs w:val="18"/>
              </w:rPr>
              <w:t>Western Health</w:t>
            </w:r>
          </w:p>
        </w:tc>
        <w:tc>
          <w:tcPr>
            <w:tcW w:w="297" w:type="pct"/>
          </w:tcPr>
          <w:p w14:paraId="533C162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4329BD1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3347F1A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6A0F36E9"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64BA8A45"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40</w:t>
            </w:r>
          </w:p>
        </w:tc>
        <w:tc>
          <w:tcPr>
            <w:tcW w:w="297" w:type="pct"/>
            <w:hideMark/>
          </w:tcPr>
          <w:p w14:paraId="63575C0B"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16</w:t>
            </w:r>
          </w:p>
        </w:tc>
        <w:tc>
          <w:tcPr>
            <w:tcW w:w="297" w:type="pct"/>
            <w:hideMark/>
          </w:tcPr>
          <w:p w14:paraId="2973102D"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16</w:t>
            </w:r>
          </w:p>
        </w:tc>
        <w:tc>
          <w:tcPr>
            <w:tcW w:w="297" w:type="pct"/>
            <w:hideMark/>
          </w:tcPr>
          <w:p w14:paraId="3E4063B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4</w:t>
            </w:r>
          </w:p>
        </w:tc>
        <w:tc>
          <w:tcPr>
            <w:tcW w:w="297" w:type="pct"/>
            <w:hideMark/>
          </w:tcPr>
          <w:p w14:paraId="473D52D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10</w:t>
            </w:r>
          </w:p>
        </w:tc>
        <w:tc>
          <w:tcPr>
            <w:tcW w:w="297" w:type="pct"/>
          </w:tcPr>
          <w:p w14:paraId="16A0F920"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3881F85F"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6D2233B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tcPr>
          <w:p w14:paraId="5427FB0E"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297" w:type="pct"/>
            <w:hideMark/>
          </w:tcPr>
          <w:p w14:paraId="1CD72BD1"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26</w:t>
            </w:r>
          </w:p>
        </w:tc>
        <w:tc>
          <w:tcPr>
            <w:tcW w:w="297" w:type="pct"/>
            <w:hideMark/>
          </w:tcPr>
          <w:p w14:paraId="05B8C1B4"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7D7B3B">
              <w:rPr>
                <w:rFonts w:cs="Arial"/>
                <w:szCs w:val="18"/>
              </w:rPr>
              <w:t>12</w:t>
            </w:r>
            <w:r w:rsidRPr="007D7B3B">
              <w:rPr>
                <w:rStyle w:val="FootnoteReference"/>
                <w:rFonts w:cs="Arial"/>
                <w:b/>
                <w:bCs/>
                <w:color w:val="000000"/>
                <w:szCs w:val="18"/>
              </w:rPr>
              <w:footnoteReference w:id="11"/>
            </w:r>
          </w:p>
        </w:tc>
        <w:tc>
          <w:tcPr>
            <w:tcW w:w="189" w:type="pct"/>
            <w:hideMark/>
          </w:tcPr>
          <w:p w14:paraId="1BEBC287" w14:textId="77777777" w:rsidR="001568FD" w:rsidRPr="007D7B3B" w:rsidRDefault="001568FD" w:rsidP="007D7B3B">
            <w:pPr>
              <w:pStyle w:val="Tabletext"/>
              <w:cnfStyle w:val="000000000000" w:firstRow="0" w:lastRow="0" w:firstColumn="0" w:lastColumn="0" w:oddVBand="0" w:evenVBand="0" w:oddHBand="0" w:evenHBand="0" w:firstRowFirstColumn="0" w:firstRowLastColumn="0" w:lastRowFirstColumn="0" w:lastRowLastColumn="0"/>
              <w:rPr>
                <w:rFonts w:cs="Arial"/>
                <w:b/>
                <w:bCs/>
                <w:szCs w:val="18"/>
              </w:rPr>
            </w:pPr>
            <w:r w:rsidRPr="007D7B3B">
              <w:rPr>
                <w:rFonts w:cs="Arial"/>
                <w:b/>
                <w:bCs/>
                <w:szCs w:val="18"/>
              </w:rPr>
              <w:t>124</w:t>
            </w:r>
          </w:p>
        </w:tc>
      </w:tr>
      <w:tr w:rsidR="001568FD" w:rsidRPr="008B245D" w14:paraId="0A0C71B3" w14:textId="77777777" w:rsidTr="008B24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 w:type="pct"/>
            <w:hideMark/>
          </w:tcPr>
          <w:p w14:paraId="11AC68E6" w14:textId="77777777" w:rsidR="001568FD" w:rsidRPr="008B245D" w:rsidRDefault="001568FD" w:rsidP="00607F2F">
            <w:pPr>
              <w:pStyle w:val="Tabletext"/>
              <w:rPr>
                <w:rFonts w:cs="Arial"/>
                <w:b w:val="0"/>
                <w:bCs w:val="0"/>
                <w:szCs w:val="18"/>
              </w:rPr>
            </w:pPr>
            <w:r w:rsidRPr="008B245D">
              <w:rPr>
                <w:rFonts w:cs="Arial"/>
                <w:szCs w:val="18"/>
              </w:rPr>
              <w:t>Total</w:t>
            </w:r>
          </w:p>
        </w:tc>
        <w:tc>
          <w:tcPr>
            <w:tcW w:w="297" w:type="pct"/>
            <w:noWrap/>
            <w:hideMark/>
          </w:tcPr>
          <w:p w14:paraId="1E40E91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18</w:t>
            </w:r>
          </w:p>
        </w:tc>
        <w:tc>
          <w:tcPr>
            <w:tcW w:w="297" w:type="pct"/>
            <w:noWrap/>
            <w:hideMark/>
          </w:tcPr>
          <w:p w14:paraId="3B39FCC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2</w:t>
            </w:r>
          </w:p>
        </w:tc>
        <w:tc>
          <w:tcPr>
            <w:tcW w:w="297" w:type="pct"/>
            <w:noWrap/>
            <w:hideMark/>
          </w:tcPr>
          <w:p w14:paraId="3AA342B3"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65</w:t>
            </w:r>
          </w:p>
        </w:tc>
        <w:tc>
          <w:tcPr>
            <w:tcW w:w="297" w:type="pct"/>
            <w:noWrap/>
            <w:hideMark/>
          </w:tcPr>
          <w:p w14:paraId="24428FC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12</w:t>
            </w:r>
          </w:p>
        </w:tc>
        <w:tc>
          <w:tcPr>
            <w:tcW w:w="297" w:type="pct"/>
            <w:noWrap/>
            <w:hideMark/>
          </w:tcPr>
          <w:p w14:paraId="28930C2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632</w:t>
            </w:r>
          </w:p>
        </w:tc>
        <w:tc>
          <w:tcPr>
            <w:tcW w:w="297" w:type="pct"/>
            <w:noWrap/>
            <w:hideMark/>
          </w:tcPr>
          <w:p w14:paraId="2C4610DB"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169</w:t>
            </w:r>
          </w:p>
        </w:tc>
        <w:tc>
          <w:tcPr>
            <w:tcW w:w="297" w:type="pct"/>
            <w:noWrap/>
            <w:hideMark/>
          </w:tcPr>
          <w:p w14:paraId="17016F7D"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213</w:t>
            </w:r>
          </w:p>
        </w:tc>
        <w:tc>
          <w:tcPr>
            <w:tcW w:w="297" w:type="pct"/>
            <w:noWrap/>
            <w:hideMark/>
          </w:tcPr>
          <w:p w14:paraId="2D1EBE4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25</w:t>
            </w:r>
          </w:p>
        </w:tc>
        <w:tc>
          <w:tcPr>
            <w:tcW w:w="297" w:type="pct"/>
            <w:noWrap/>
            <w:hideMark/>
          </w:tcPr>
          <w:p w14:paraId="0F76F959"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48</w:t>
            </w:r>
          </w:p>
        </w:tc>
        <w:tc>
          <w:tcPr>
            <w:tcW w:w="297" w:type="pct"/>
            <w:noWrap/>
            <w:hideMark/>
          </w:tcPr>
          <w:p w14:paraId="6248845A"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14</w:t>
            </w:r>
          </w:p>
        </w:tc>
        <w:tc>
          <w:tcPr>
            <w:tcW w:w="297" w:type="pct"/>
            <w:noWrap/>
            <w:hideMark/>
          </w:tcPr>
          <w:p w14:paraId="130A534E"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22</w:t>
            </w:r>
          </w:p>
        </w:tc>
        <w:tc>
          <w:tcPr>
            <w:tcW w:w="297" w:type="pct"/>
            <w:noWrap/>
            <w:hideMark/>
          </w:tcPr>
          <w:p w14:paraId="0E2A8C50"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25</w:t>
            </w:r>
          </w:p>
        </w:tc>
        <w:tc>
          <w:tcPr>
            <w:tcW w:w="297" w:type="pct"/>
            <w:noWrap/>
            <w:hideMark/>
          </w:tcPr>
          <w:p w14:paraId="11559CA7"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38</w:t>
            </w:r>
          </w:p>
        </w:tc>
        <w:tc>
          <w:tcPr>
            <w:tcW w:w="297" w:type="pct"/>
            <w:noWrap/>
            <w:hideMark/>
          </w:tcPr>
          <w:p w14:paraId="1C676001"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139</w:t>
            </w:r>
          </w:p>
        </w:tc>
        <w:tc>
          <w:tcPr>
            <w:tcW w:w="297" w:type="pct"/>
            <w:noWrap/>
            <w:hideMark/>
          </w:tcPr>
          <w:p w14:paraId="44DAB5B8"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81</w:t>
            </w:r>
          </w:p>
        </w:tc>
        <w:tc>
          <w:tcPr>
            <w:tcW w:w="189" w:type="pct"/>
            <w:noWrap/>
            <w:hideMark/>
          </w:tcPr>
          <w:p w14:paraId="157A25E5" w14:textId="77777777" w:rsidR="001568FD" w:rsidRPr="007D7B3B" w:rsidRDefault="001568FD" w:rsidP="007D7B3B">
            <w:pPr>
              <w:pStyle w:val="Tabletext"/>
              <w:cnfStyle w:val="000000100000" w:firstRow="0" w:lastRow="0" w:firstColumn="0" w:lastColumn="0" w:oddVBand="0" w:evenVBand="0" w:oddHBand="1" w:evenHBand="0" w:firstRowFirstColumn="0" w:firstRowLastColumn="0" w:lastRowFirstColumn="0" w:lastRowLastColumn="0"/>
              <w:rPr>
                <w:rFonts w:cs="Arial"/>
                <w:b/>
                <w:bCs/>
                <w:szCs w:val="18"/>
              </w:rPr>
            </w:pPr>
            <w:r w:rsidRPr="007D7B3B">
              <w:rPr>
                <w:rFonts w:cs="Arial"/>
                <w:b/>
                <w:bCs/>
                <w:szCs w:val="18"/>
              </w:rPr>
              <w:t>1503</w:t>
            </w:r>
          </w:p>
        </w:tc>
      </w:tr>
    </w:tbl>
    <w:p w14:paraId="1A63A547" w14:textId="30F0CE11" w:rsidR="00562FD9" w:rsidRDefault="00562FD9" w:rsidP="00562FD9">
      <w:pPr>
        <w:pStyle w:val="Tablecaption"/>
      </w:pPr>
      <w:r>
        <w:t>Table 3</w:t>
      </w:r>
      <w:r w:rsidR="002261B8">
        <w:t>5</w:t>
      </w:r>
      <w:r>
        <w:t xml:space="preserve">. </w:t>
      </w:r>
      <w:r w:rsidRPr="00C851F9">
        <w:t>Mental health non-admitted subacute and residential beds 2026–27</w:t>
      </w:r>
    </w:p>
    <w:tbl>
      <w:tblPr>
        <w:tblStyle w:val="GridTable4-Accent1"/>
        <w:tblW w:w="5013" w:type="pct"/>
        <w:tblLayout w:type="fixed"/>
        <w:tblLook w:val="04A0" w:firstRow="1" w:lastRow="0" w:firstColumn="1" w:lastColumn="0" w:noHBand="0" w:noVBand="1"/>
      </w:tblPr>
      <w:tblGrid>
        <w:gridCol w:w="4251"/>
        <w:gridCol w:w="2090"/>
        <w:gridCol w:w="2090"/>
        <w:gridCol w:w="2090"/>
        <w:gridCol w:w="2090"/>
        <w:gridCol w:w="2090"/>
        <w:gridCol w:w="2090"/>
        <w:gridCol w:w="2090"/>
        <w:gridCol w:w="2094"/>
      </w:tblGrid>
      <w:tr w:rsidR="00607F2F" w:rsidRPr="00DD5B4C" w14:paraId="7E1727F9" w14:textId="77777777" w:rsidTr="007D7B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25A04053" w14:textId="6B3146A7" w:rsidR="00607F2F" w:rsidRPr="00DD5B4C" w:rsidRDefault="00607F2F" w:rsidP="002E6D85">
            <w:pPr>
              <w:pStyle w:val="Tablecolhead8pt"/>
              <w:rPr>
                <w:sz w:val="18"/>
                <w:szCs w:val="18"/>
              </w:rPr>
            </w:pPr>
            <w:r w:rsidRPr="00DD5B4C">
              <w:rPr>
                <w:b/>
                <w:color w:val="FFFFFF" w:themeColor="background1"/>
                <w:sz w:val="18"/>
                <w:szCs w:val="18"/>
              </w:rPr>
              <w:t>Health service</w:t>
            </w:r>
          </w:p>
        </w:tc>
        <w:tc>
          <w:tcPr>
            <w:tcW w:w="498" w:type="pct"/>
            <w:hideMark/>
          </w:tcPr>
          <w:p w14:paraId="0FD07132"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DD5B4C">
              <w:rPr>
                <w:b/>
                <w:color w:val="FFFFFF" w:themeColor="background1"/>
                <w:sz w:val="18"/>
                <w:szCs w:val="18"/>
              </w:rPr>
              <w:t>Youth</w:t>
            </w:r>
            <w:r w:rsidRPr="00DD5B4C">
              <w:rPr>
                <w:b/>
                <w:color w:val="FFFFFF" w:themeColor="background1"/>
                <w:sz w:val="18"/>
                <w:szCs w:val="18"/>
                <w:rtl/>
              </w:rPr>
              <w:t xml:space="preserve"> </w:t>
            </w:r>
            <w:r w:rsidRPr="00DD5B4C">
              <w:rPr>
                <w:b/>
                <w:color w:val="FFFFFF" w:themeColor="background1"/>
                <w:sz w:val="18"/>
                <w:szCs w:val="18"/>
              </w:rPr>
              <w:t>PARC</w:t>
            </w:r>
          </w:p>
        </w:tc>
        <w:tc>
          <w:tcPr>
            <w:tcW w:w="498" w:type="pct"/>
            <w:hideMark/>
          </w:tcPr>
          <w:p w14:paraId="4A9331C0"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8"/>
                <w:szCs w:val="18"/>
                <w:rtl/>
              </w:rPr>
            </w:pPr>
            <w:r w:rsidRPr="00DD5B4C">
              <w:rPr>
                <w:b/>
                <w:color w:val="FFFFFF" w:themeColor="background1"/>
                <w:sz w:val="18"/>
                <w:szCs w:val="18"/>
              </w:rPr>
              <w:t>Adult</w:t>
            </w:r>
            <w:r w:rsidRPr="00DD5B4C">
              <w:rPr>
                <w:b/>
                <w:color w:val="FFFFFF" w:themeColor="background1"/>
                <w:sz w:val="18"/>
                <w:szCs w:val="18"/>
                <w:rtl/>
              </w:rPr>
              <w:t xml:space="preserve"> </w:t>
            </w:r>
            <w:r w:rsidRPr="00DD5B4C">
              <w:rPr>
                <w:b/>
                <w:color w:val="FFFFFF" w:themeColor="background1"/>
                <w:sz w:val="18"/>
                <w:szCs w:val="18"/>
              </w:rPr>
              <w:t>PARC</w:t>
            </w:r>
          </w:p>
        </w:tc>
        <w:tc>
          <w:tcPr>
            <w:tcW w:w="498" w:type="pct"/>
            <w:hideMark/>
          </w:tcPr>
          <w:p w14:paraId="0BE8817F"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8"/>
                <w:szCs w:val="18"/>
                <w:rtl/>
              </w:rPr>
            </w:pPr>
            <w:r w:rsidRPr="00DD5B4C">
              <w:rPr>
                <w:b/>
                <w:color w:val="FFFFFF" w:themeColor="background1"/>
                <w:sz w:val="18"/>
                <w:szCs w:val="18"/>
              </w:rPr>
              <w:t>CCU</w:t>
            </w:r>
          </w:p>
        </w:tc>
        <w:tc>
          <w:tcPr>
            <w:tcW w:w="498" w:type="pct"/>
            <w:hideMark/>
          </w:tcPr>
          <w:p w14:paraId="71BCAA71"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8"/>
                <w:szCs w:val="18"/>
                <w:rtl/>
              </w:rPr>
            </w:pPr>
            <w:r w:rsidRPr="00DD5B4C">
              <w:rPr>
                <w:b/>
                <w:color w:val="FFFFFF" w:themeColor="background1"/>
                <w:sz w:val="18"/>
                <w:szCs w:val="18"/>
              </w:rPr>
              <w:t>PARC</w:t>
            </w:r>
            <w:r w:rsidRPr="00DD5B4C">
              <w:rPr>
                <w:b/>
                <w:color w:val="FFFFFF" w:themeColor="background1"/>
                <w:sz w:val="18"/>
                <w:szCs w:val="18"/>
                <w:rtl/>
              </w:rPr>
              <w:t xml:space="preserve"> </w:t>
            </w:r>
            <w:r w:rsidRPr="00DD5B4C">
              <w:rPr>
                <w:b/>
                <w:color w:val="FFFFFF" w:themeColor="background1"/>
                <w:sz w:val="18"/>
                <w:szCs w:val="18"/>
              </w:rPr>
              <w:t>Adult day program</w:t>
            </w:r>
          </w:p>
        </w:tc>
        <w:tc>
          <w:tcPr>
            <w:tcW w:w="498" w:type="pct"/>
            <w:hideMark/>
          </w:tcPr>
          <w:p w14:paraId="6DE3B1ED"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8"/>
                <w:szCs w:val="18"/>
                <w:rtl/>
              </w:rPr>
            </w:pPr>
            <w:r w:rsidRPr="00DD5B4C">
              <w:rPr>
                <w:b/>
                <w:color w:val="FFFFFF" w:themeColor="background1"/>
                <w:sz w:val="18"/>
                <w:szCs w:val="18"/>
              </w:rPr>
              <w:t>Transitional</w:t>
            </w:r>
            <w:r w:rsidRPr="00DD5B4C">
              <w:rPr>
                <w:b/>
                <w:color w:val="FFFFFF" w:themeColor="background1"/>
                <w:sz w:val="18"/>
                <w:szCs w:val="18"/>
                <w:rtl/>
              </w:rPr>
              <w:t xml:space="preserve"> </w:t>
            </w:r>
            <w:r w:rsidRPr="00DD5B4C">
              <w:rPr>
                <w:b/>
                <w:color w:val="FFFFFF" w:themeColor="background1"/>
                <w:sz w:val="18"/>
                <w:szCs w:val="18"/>
              </w:rPr>
              <w:t>Support Unit</w:t>
            </w:r>
          </w:p>
        </w:tc>
        <w:tc>
          <w:tcPr>
            <w:tcW w:w="498" w:type="pct"/>
            <w:hideMark/>
          </w:tcPr>
          <w:p w14:paraId="532DBB1F"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8"/>
                <w:szCs w:val="18"/>
                <w:rtl/>
              </w:rPr>
            </w:pPr>
            <w:r w:rsidRPr="00DD5B4C">
              <w:rPr>
                <w:b/>
                <w:color w:val="FFFFFF" w:themeColor="background1"/>
                <w:sz w:val="18"/>
                <w:szCs w:val="18"/>
              </w:rPr>
              <w:t>PSRACS</w:t>
            </w:r>
          </w:p>
        </w:tc>
        <w:tc>
          <w:tcPr>
            <w:tcW w:w="498" w:type="pct"/>
            <w:hideMark/>
          </w:tcPr>
          <w:p w14:paraId="1C706F01"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tl/>
              </w:rPr>
            </w:pPr>
            <w:r w:rsidRPr="00DD5B4C">
              <w:rPr>
                <w:b/>
                <w:color w:val="FFFFFF" w:themeColor="background1"/>
                <w:sz w:val="18"/>
                <w:szCs w:val="18"/>
              </w:rPr>
              <w:t>Other subacute or residential beds</w:t>
            </w:r>
          </w:p>
        </w:tc>
        <w:tc>
          <w:tcPr>
            <w:tcW w:w="499" w:type="pct"/>
            <w:hideMark/>
          </w:tcPr>
          <w:p w14:paraId="205F2B91" w14:textId="77777777" w:rsidR="00607F2F" w:rsidRPr="00DD5B4C" w:rsidRDefault="00607F2F" w:rsidP="002E6D85">
            <w:pPr>
              <w:pStyle w:val="Tablecolhead8pt"/>
              <w:cnfStyle w:val="100000000000" w:firstRow="1" w:lastRow="0" w:firstColumn="0" w:lastColumn="0" w:oddVBand="0" w:evenVBand="0" w:oddHBand="0" w:evenHBand="0" w:firstRowFirstColumn="0" w:firstRowLastColumn="0" w:lastRowFirstColumn="0" w:lastRowLastColumn="0"/>
              <w:rPr>
                <w:sz w:val="18"/>
                <w:szCs w:val="18"/>
              </w:rPr>
            </w:pPr>
            <w:r w:rsidRPr="00DD5B4C">
              <w:rPr>
                <w:b/>
                <w:color w:val="FFFFFF" w:themeColor="background1"/>
                <w:sz w:val="18"/>
                <w:szCs w:val="18"/>
              </w:rPr>
              <w:t>Total</w:t>
            </w:r>
          </w:p>
        </w:tc>
      </w:tr>
      <w:tr w:rsidR="00607F2F" w:rsidRPr="00DD5B4C" w14:paraId="778A2D07"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5965748A" w14:textId="77777777" w:rsidR="00607F2F" w:rsidRPr="00DD5B4C" w:rsidRDefault="00607F2F" w:rsidP="002E6D85">
            <w:pPr>
              <w:pStyle w:val="Tabletext"/>
              <w:contextualSpacing/>
              <w:rPr>
                <w:szCs w:val="18"/>
              </w:rPr>
            </w:pPr>
            <w:r w:rsidRPr="00DD5B4C">
              <w:rPr>
                <w:szCs w:val="18"/>
              </w:rPr>
              <w:t>Albury Wodonga Health</w:t>
            </w:r>
          </w:p>
        </w:tc>
        <w:tc>
          <w:tcPr>
            <w:tcW w:w="498" w:type="pct"/>
            <w:hideMark/>
          </w:tcPr>
          <w:p w14:paraId="2434C05B"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16C41DF4" w14:textId="77777777" w:rsidR="00607F2F" w:rsidRPr="00DD5B4C" w:rsidRDefault="00607F2F" w:rsidP="007D7B3B">
            <w:pPr>
              <w:pStyle w:val="Tabletext"/>
              <w:ind w:left="-140" w:firstLine="140"/>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10</w:t>
            </w:r>
          </w:p>
        </w:tc>
        <w:tc>
          <w:tcPr>
            <w:tcW w:w="498" w:type="pct"/>
            <w:hideMark/>
          </w:tcPr>
          <w:p w14:paraId="7CBDEAA2"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26</w:t>
            </w:r>
          </w:p>
        </w:tc>
        <w:tc>
          <w:tcPr>
            <w:tcW w:w="498" w:type="pct"/>
            <w:hideMark/>
          </w:tcPr>
          <w:p w14:paraId="1CDF569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3F0AB85A"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194F1D1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14</w:t>
            </w:r>
          </w:p>
        </w:tc>
        <w:tc>
          <w:tcPr>
            <w:tcW w:w="498" w:type="pct"/>
            <w:hideMark/>
          </w:tcPr>
          <w:p w14:paraId="0B1B4D9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hideMark/>
          </w:tcPr>
          <w:p w14:paraId="317BDAEB"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50</w:t>
            </w:r>
          </w:p>
        </w:tc>
      </w:tr>
      <w:tr w:rsidR="00607F2F" w:rsidRPr="00DD5B4C" w14:paraId="77B98012"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0AEE6693" w14:textId="77777777" w:rsidR="00607F2F" w:rsidRPr="00DD5B4C" w:rsidRDefault="00607F2F" w:rsidP="002E6D85">
            <w:pPr>
              <w:pStyle w:val="Tabletext"/>
              <w:contextualSpacing/>
              <w:rPr>
                <w:szCs w:val="18"/>
              </w:rPr>
            </w:pPr>
            <w:r w:rsidRPr="00DD5B4C">
              <w:rPr>
                <w:szCs w:val="18"/>
              </w:rPr>
              <w:t>Austin Health</w:t>
            </w:r>
          </w:p>
        </w:tc>
        <w:tc>
          <w:tcPr>
            <w:tcW w:w="498" w:type="pct"/>
            <w:hideMark/>
          </w:tcPr>
          <w:p w14:paraId="76E1C0C8"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4DADBF60"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1D93B67F"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22</w:t>
            </w:r>
          </w:p>
        </w:tc>
        <w:tc>
          <w:tcPr>
            <w:tcW w:w="498" w:type="pct"/>
            <w:hideMark/>
          </w:tcPr>
          <w:p w14:paraId="46CCD9D6"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3BCDCD52"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614A8FD0"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047C1447"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31</w:t>
            </w:r>
          </w:p>
        </w:tc>
        <w:tc>
          <w:tcPr>
            <w:tcW w:w="499" w:type="pct"/>
            <w:hideMark/>
          </w:tcPr>
          <w:p w14:paraId="2722A8FC"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99</w:t>
            </w:r>
          </w:p>
        </w:tc>
      </w:tr>
      <w:tr w:rsidR="00607F2F" w:rsidRPr="00DD5B4C" w14:paraId="65ACD454"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2273190B" w14:textId="77777777" w:rsidR="00607F2F" w:rsidRPr="00DD5B4C" w:rsidRDefault="00607F2F" w:rsidP="002E6D85">
            <w:pPr>
              <w:pStyle w:val="Tabletext"/>
              <w:contextualSpacing/>
              <w:rPr>
                <w:szCs w:val="18"/>
              </w:rPr>
            </w:pPr>
            <w:r w:rsidRPr="00DD5B4C">
              <w:rPr>
                <w:szCs w:val="18"/>
              </w:rPr>
              <w:t>Barwon Health</w:t>
            </w:r>
          </w:p>
        </w:tc>
        <w:tc>
          <w:tcPr>
            <w:tcW w:w="498" w:type="pct"/>
            <w:hideMark/>
          </w:tcPr>
          <w:p w14:paraId="3494810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10</w:t>
            </w:r>
          </w:p>
        </w:tc>
        <w:tc>
          <w:tcPr>
            <w:tcW w:w="498" w:type="pct"/>
            <w:hideMark/>
          </w:tcPr>
          <w:p w14:paraId="4027C98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8</w:t>
            </w:r>
          </w:p>
        </w:tc>
        <w:tc>
          <w:tcPr>
            <w:tcW w:w="498" w:type="pct"/>
            <w:hideMark/>
          </w:tcPr>
          <w:p w14:paraId="516C33C3"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12</w:t>
            </w:r>
          </w:p>
        </w:tc>
        <w:tc>
          <w:tcPr>
            <w:tcW w:w="498" w:type="pct"/>
            <w:hideMark/>
          </w:tcPr>
          <w:p w14:paraId="3F0A9E40"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4</w:t>
            </w:r>
          </w:p>
        </w:tc>
        <w:tc>
          <w:tcPr>
            <w:tcW w:w="498" w:type="pct"/>
            <w:hideMark/>
          </w:tcPr>
          <w:p w14:paraId="1565D1FF"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7E35E7D1"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45</w:t>
            </w:r>
          </w:p>
        </w:tc>
        <w:tc>
          <w:tcPr>
            <w:tcW w:w="498" w:type="pct"/>
            <w:hideMark/>
          </w:tcPr>
          <w:p w14:paraId="750B485D"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hideMark/>
          </w:tcPr>
          <w:p w14:paraId="4CE41956"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79</w:t>
            </w:r>
          </w:p>
        </w:tc>
      </w:tr>
      <w:tr w:rsidR="00607F2F" w:rsidRPr="00DD5B4C" w14:paraId="736BD2A2"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noWrap/>
            <w:hideMark/>
          </w:tcPr>
          <w:p w14:paraId="325A7D6C" w14:textId="77777777" w:rsidR="00607F2F" w:rsidRPr="00DD5B4C" w:rsidRDefault="00607F2F" w:rsidP="002E6D85">
            <w:pPr>
              <w:pStyle w:val="Tabletext"/>
              <w:contextualSpacing/>
              <w:rPr>
                <w:szCs w:val="18"/>
              </w:rPr>
            </w:pPr>
            <w:r w:rsidRPr="00DD5B4C">
              <w:rPr>
                <w:szCs w:val="18"/>
              </w:rPr>
              <w:t>Bayside Health</w:t>
            </w:r>
          </w:p>
        </w:tc>
        <w:tc>
          <w:tcPr>
            <w:tcW w:w="498" w:type="pct"/>
            <w:noWrap/>
            <w:hideMark/>
          </w:tcPr>
          <w:p w14:paraId="548A6915"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noWrap/>
            <w:hideMark/>
          </w:tcPr>
          <w:p w14:paraId="5CEE2418"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32</w:t>
            </w:r>
          </w:p>
        </w:tc>
        <w:tc>
          <w:tcPr>
            <w:tcW w:w="498" w:type="pct"/>
            <w:noWrap/>
            <w:hideMark/>
          </w:tcPr>
          <w:p w14:paraId="36EB81EA"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34</w:t>
            </w:r>
          </w:p>
        </w:tc>
        <w:tc>
          <w:tcPr>
            <w:tcW w:w="498" w:type="pct"/>
            <w:noWrap/>
          </w:tcPr>
          <w:p w14:paraId="03E3B5A5"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noWrap/>
          </w:tcPr>
          <w:p w14:paraId="51BC20E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noWrap/>
            <w:hideMark/>
          </w:tcPr>
          <w:p w14:paraId="394827D3"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26</w:t>
            </w:r>
          </w:p>
        </w:tc>
        <w:tc>
          <w:tcPr>
            <w:tcW w:w="498" w:type="pct"/>
            <w:noWrap/>
          </w:tcPr>
          <w:p w14:paraId="202C8992"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noWrap/>
            <w:hideMark/>
          </w:tcPr>
          <w:p w14:paraId="67A65731"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102</w:t>
            </w:r>
          </w:p>
        </w:tc>
      </w:tr>
      <w:tr w:rsidR="00607F2F" w:rsidRPr="00DD5B4C" w14:paraId="353F8231"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0A7C76E8" w14:textId="77777777" w:rsidR="00607F2F" w:rsidRPr="00DD5B4C" w:rsidRDefault="00607F2F" w:rsidP="002E6D85">
            <w:pPr>
              <w:pStyle w:val="Tabletext"/>
              <w:contextualSpacing/>
              <w:rPr>
                <w:szCs w:val="18"/>
              </w:rPr>
            </w:pPr>
            <w:r w:rsidRPr="00DD5B4C">
              <w:rPr>
                <w:szCs w:val="18"/>
              </w:rPr>
              <w:t>Bendigo Health</w:t>
            </w:r>
          </w:p>
        </w:tc>
        <w:tc>
          <w:tcPr>
            <w:tcW w:w="498" w:type="pct"/>
            <w:hideMark/>
          </w:tcPr>
          <w:p w14:paraId="63EA650A"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10</w:t>
            </w:r>
          </w:p>
        </w:tc>
        <w:tc>
          <w:tcPr>
            <w:tcW w:w="498" w:type="pct"/>
            <w:hideMark/>
          </w:tcPr>
          <w:p w14:paraId="32332AC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10</w:t>
            </w:r>
          </w:p>
        </w:tc>
        <w:tc>
          <w:tcPr>
            <w:tcW w:w="498" w:type="pct"/>
            <w:hideMark/>
          </w:tcPr>
          <w:p w14:paraId="6FFC7DE3"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12</w:t>
            </w:r>
          </w:p>
        </w:tc>
        <w:tc>
          <w:tcPr>
            <w:tcW w:w="498" w:type="pct"/>
          </w:tcPr>
          <w:p w14:paraId="447661C1"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tcPr>
          <w:p w14:paraId="0C90FF5C"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31A1228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30</w:t>
            </w:r>
          </w:p>
        </w:tc>
        <w:tc>
          <w:tcPr>
            <w:tcW w:w="498" w:type="pct"/>
          </w:tcPr>
          <w:p w14:paraId="0DB627B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hideMark/>
          </w:tcPr>
          <w:p w14:paraId="201DE0A3"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62</w:t>
            </w:r>
          </w:p>
        </w:tc>
      </w:tr>
      <w:tr w:rsidR="00607F2F" w:rsidRPr="00DD5B4C" w14:paraId="7AF20A8E"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60725562" w14:textId="77777777" w:rsidR="00607F2F" w:rsidRPr="00DD5B4C" w:rsidRDefault="00607F2F" w:rsidP="002E6D85">
            <w:pPr>
              <w:pStyle w:val="Tabletext"/>
              <w:contextualSpacing/>
              <w:rPr>
                <w:szCs w:val="18"/>
              </w:rPr>
            </w:pPr>
            <w:r w:rsidRPr="00DD5B4C">
              <w:rPr>
                <w:szCs w:val="18"/>
              </w:rPr>
              <w:t>Eastern Health</w:t>
            </w:r>
          </w:p>
        </w:tc>
        <w:tc>
          <w:tcPr>
            <w:tcW w:w="498" w:type="pct"/>
            <w:hideMark/>
          </w:tcPr>
          <w:p w14:paraId="1D428AAA"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1CCE4B1D"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18</w:t>
            </w:r>
          </w:p>
        </w:tc>
        <w:tc>
          <w:tcPr>
            <w:tcW w:w="498" w:type="pct"/>
            <w:hideMark/>
          </w:tcPr>
          <w:p w14:paraId="31246995"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40</w:t>
            </w:r>
          </w:p>
        </w:tc>
        <w:tc>
          <w:tcPr>
            <w:tcW w:w="498" w:type="pct"/>
          </w:tcPr>
          <w:p w14:paraId="5CF34EFF"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tcPr>
          <w:p w14:paraId="7D2A6C9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5F95DD63"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60</w:t>
            </w:r>
          </w:p>
        </w:tc>
        <w:tc>
          <w:tcPr>
            <w:tcW w:w="498" w:type="pct"/>
          </w:tcPr>
          <w:p w14:paraId="135AFFB3"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hideMark/>
          </w:tcPr>
          <w:p w14:paraId="25103C9D"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118</w:t>
            </w:r>
          </w:p>
        </w:tc>
      </w:tr>
      <w:tr w:rsidR="00607F2F" w:rsidRPr="00DD5B4C" w14:paraId="4DB315E6"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328BDA47" w14:textId="77777777" w:rsidR="00607F2F" w:rsidRPr="00DD5B4C" w:rsidRDefault="00607F2F" w:rsidP="002E6D85">
            <w:pPr>
              <w:pStyle w:val="Tabletext"/>
              <w:contextualSpacing/>
              <w:rPr>
                <w:szCs w:val="18"/>
              </w:rPr>
            </w:pPr>
            <w:r w:rsidRPr="00DD5B4C">
              <w:rPr>
                <w:szCs w:val="18"/>
              </w:rPr>
              <w:t>Victorian Institute of Forensic Mental Health</w:t>
            </w:r>
          </w:p>
        </w:tc>
        <w:tc>
          <w:tcPr>
            <w:tcW w:w="498" w:type="pct"/>
            <w:hideMark/>
          </w:tcPr>
          <w:p w14:paraId="3A41B6D3"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060F9F1D"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2057C293"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61D04D3A"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0F2FA362"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319B9D00"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39E2DDE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82</w:t>
            </w:r>
          </w:p>
        </w:tc>
        <w:tc>
          <w:tcPr>
            <w:tcW w:w="499" w:type="pct"/>
            <w:noWrap/>
            <w:hideMark/>
          </w:tcPr>
          <w:p w14:paraId="4F676C50"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82</w:t>
            </w:r>
          </w:p>
        </w:tc>
      </w:tr>
      <w:tr w:rsidR="00607F2F" w:rsidRPr="00DD5B4C" w14:paraId="303538D4"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6A5BF46A" w14:textId="77777777" w:rsidR="00607F2F" w:rsidRPr="00DD5B4C" w:rsidRDefault="00607F2F" w:rsidP="002E6D85">
            <w:pPr>
              <w:pStyle w:val="Tabletext"/>
              <w:contextualSpacing/>
              <w:rPr>
                <w:szCs w:val="18"/>
              </w:rPr>
            </w:pPr>
            <w:r w:rsidRPr="00DD5B4C">
              <w:rPr>
                <w:szCs w:val="18"/>
              </w:rPr>
              <w:t>Goulburn Valley Health</w:t>
            </w:r>
          </w:p>
        </w:tc>
        <w:tc>
          <w:tcPr>
            <w:tcW w:w="498" w:type="pct"/>
            <w:hideMark/>
          </w:tcPr>
          <w:p w14:paraId="64BC7ADF"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2DC29A39"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1DA3550D"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tcPr>
          <w:p w14:paraId="1E028D1F"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tcPr>
          <w:p w14:paraId="62EC96FB"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29690848"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20</w:t>
            </w:r>
          </w:p>
        </w:tc>
        <w:tc>
          <w:tcPr>
            <w:tcW w:w="498" w:type="pct"/>
          </w:tcPr>
          <w:p w14:paraId="3D6F779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hideMark/>
          </w:tcPr>
          <w:p w14:paraId="784CAA7B"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40</w:t>
            </w:r>
          </w:p>
        </w:tc>
      </w:tr>
      <w:tr w:rsidR="00607F2F" w:rsidRPr="00DD5B4C" w14:paraId="54AF9FB7"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noWrap/>
            <w:hideMark/>
          </w:tcPr>
          <w:p w14:paraId="04D1F882" w14:textId="77777777" w:rsidR="00607F2F" w:rsidRPr="00DD5B4C" w:rsidRDefault="00607F2F" w:rsidP="002E6D85">
            <w:pPr>
              <w:pStyle w:val="Tabletext"/>
              <w:contextualSpacing/>
              <w:rPr>
                <w:szCs w:val="18"/>
              </w:rPr>
            </w:pPr>
            <w:r w:rsidRPr="00DD5B4C">
              <w:rPr>
                <w:szCs w:val="18"/>
              </w:rPr>
              <w:lastRenderedPageBreak/>
              <w:t>Grampians Health</w:t>
            </w:r>
          </w:p>
        </w:tc>
        <w:tc>
          <w:tcPr>
            <w:tcW w:w="498" w:type="pct"/>
            <w:hideMark/>
          </w:tcPr>
          <w:p w14:paraId="06373E6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10</w:t>
            </w:r>
          </w:p>
        </w:tc>
        <w:tc>
          <w:tcPr>
            <w:tcW w:w="498" w:type="pct"/>
            <w:hideMark/>
          </w:tcPr>
          <w:p w14:paraId="1061276C"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12</w:t>
            </w:r>
          </w:p>
        </w:tc>
        <w:tc>
          <w:tcPr>
            <w:tcW w:w="498" w:type="pct"/>
            <w:hideMark/>
          </w:tcPr>
          <w:p w14:paraId="7A320A56"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0</w:t>
            </w:r>
          </w:p>
        </w:tc>
        <w:tc>
          <w:tcPr>
            <w:tcW w:w="498" w:type="pct"/>
          </w:tcPr>
          <w:p w14:paraId="6CC3769B"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tcPr>
          <w:p w14:paraId="21AA11C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147876FB"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32</w:t>
            </w:r>
          </w:p>
        </w:tc>
        <w:tc>
          <w:tcPr>
            <w:tcW w:w="498" w:type="pct"/>
          </w:tcPr>
          <w:p w14:paraId="6C792870"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hideMark/>
          </w:tcPr>
          <w:p w14:paraId="7F1145CC"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54</w:t>
            </w:r>
          </w:p>
        </w:tc>
      </w:tr>
      <w:tr w:rsidR="00607F2F" w:rsidRPr="00DD5B4C" w14:paraId="46D5F670"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708F0C04" w14:textId="77777777" w:rsidR="00607F2F" w:rsidRPr="00DD5B4C" w:rsidRDefault="00607F2F" w:rsidP="002E6D85">
            <w:pPr>
              <w:pStyle w:val="Tabletext"/>
              <w:contextualSpacing/>
              <w:rPr>
                <w:szCs w:val="18"/>
              </w:rPr>
            </w:pPr>
            <w:r w:rsidRPr="00DD5B4C">
              <w:rPr>
                <w:szCs w:val="18"/>
              </w:rPr>
              <w:t>Latrobe Regional Health</w:t>
            </w:r>
          </w:p>
        </w:tc>
        <w:tc>
          <w:tcPr>
            <w:tcW w:w="498" w:type="pct"/>
            <w:hideMark/>
          </w:tcPr>
          <w:p w14:paraId="3ACCDBC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60194C78"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4597813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14</w:t>
            </w:r>
          </w:p>
        </w:tc>
        <w:tc>
          <w:tcPr>
            <w:tcW w:w="498" w:type="pct"/>
          </w:tcPr>
          <w:p w14:paraId="604605B5"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tcPr>
          <w:p w14:paraId="7955D6F4"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6D24458D"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tcPr>
          <w:p w14:paraId="238D1641"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hideMark/>
          </w:tcPr>
          <w:p w14:paraId="769B81F8"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44</w:t>
            </w:r>
          </w:p>
        </w:tc>
      </w:tr>
      <w:tr w:rsidR="00607F2F" w:rsidRPr="00DD5B4C" w14:paraId="5A2E85F4"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195BFD88" w14:textId="77777777" w:rsidR="00607F2F" w:rsidRPr="00DD5B4C" w:rsidRDefault="00607F2F" w:rsidP="002E6D85">
            <w:pPr>
              <w:pStyle w:val="Tabletext"/>
              <w:contextualSpacing/>
              <w:rPr>
                <w:szCs w:val="18"/>
              </w:rPr>
            </w:pPr>
            <w:r w:rsidRPr="00DD5B4C">
              <w:rPr>
                <w:szCs w:val="18"/>
              </w:rPr>
              <w:t>Melbourne Health</w:t>
            </w:r>
          </w:p>
        </w:tc>
        <w:tc>
          <w:tcPr>
            <w:tcW w:w="498" w:type="pct"/>
          </w:tcPr>
          <w:p w14:paraId="791A11E2"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782D163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10</w:t>
            </w:r>
          </w:p>
        </w:tc>
        <w:tc>
          <w:tcPr>
            <w:tcW w:w="498" w:type="pct"/>
            <w:hideMark/>
          </w:tcPr>
          <w:p w14:paraId="74BB2E33"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20</w:t>
            </w:r>
          </w:p>
        </w:tc>
        <w:tc>
          <w:tcPr>
            <w:tcW w:w="498" w:type="pct"/>
          </w:tcPr>
          <w:p w14:paraId="4BE84719"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tcPr>
          <w:p w14:paraId="28FC6B91"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tcPr>
          <w:p w14:paraId="76B75936"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tcPr>
          <w:p w14:paraId="72E66E0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hideMark/>
          </w:tcPr>
          <w:p w14:paraId="0D1783F8"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30</w:t>
            </w:r>
          </w:p>
        </w:tc>
      </w:tr>
      <w:tr w:rsidR="00607F2F" w:rsidRPr="00DD5B4C" w14:paraId="1AD208E3"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45D5B8B5" w14:textId="77777777" w:rsidR="00607F2F" w:rsidRPr="00DD5B4C" w:rsidRDefault="00607F2F" w:rsidP="002E6D85">
            <w:pPr>
              <w:pStyle w:val="Tabletext"/>
              <w:contextualSpacing/>
              <w:rPr>
                <w:szCs w:val="18"/>
              </w:rPr>
            </w:pPr>
            <w:r w:rsidRPr="00DD5B4C">
              <w:rPr>
                <w:szCs w:val="18"/>
              </w:rPr>
              <w:t>Mercy Health</w:t>
            </w:r>
          </w:p>
        </w:tc>
        <w:tc>
          <w:tcPr>
            <w:tcW w:w="498" w:type="pct"/>
          </w:tcPr>
          <w:p w14:paraId="331BD424"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4DA6417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7E2B657F"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20</w:t>
            </w:r>
          </w:p>
        </w:tc>
        <w:tc>
          <w:tcPr>
            <w:tcW w:w="498" w:type="pct"/>
          </w:tcPr>
          <w:p w14:paraId="61E1BA76"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tcPr>
          <w:p w14:paraId="2BBB2E7D"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tcPr>
          <w:p w14:paraId="46F34149"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tcPr>
          <w:p w14:paraId="7D1C591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hideMark/>
          </w:tcPr>
          <w:p w14:paraId="4393DEAA"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30</w:t>
            </w:r>
          </w:p>
        </w:tc>
      </w:tr>
      <w:tr w:rsidR="00607F2F" w:rsidRPr="00DD5B4C" w14:paraId="108A43CA"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06AB99E0" w14:textId="77777777" w:rsidR="00607F2F" w:rsidRPr="00DD5B4C" w:rsidRDefault="00607F2F" w:rsidP="002E6D85">
            <w:pPr>
              <w:pStyle w:val="Tabletext"/>
              <w:contextualSpacing/>
              <w:rPr>
                <w:szCs w:val="18"/>
              </w:rPr>
            </w:pPr>
            <w:r w:rsidRPr="00DD5B4C">
              <w:rPr>
                <w:szCs w:val="18"/>
              </w:rPr>
              <w:t>Mildura Base Public Hospital total</w:t>
            </w:r>
          </w:p>
        </w:tc>
        <w:tc>
          <w:tcPr>
            <w:tcW w:w="498" w:type="pct"/>
            <w:hideMark/>
          </w:tcPr>
          <w:p w14:paraId="003ADCB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6D318CF3"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10</w:t>
            </w:r>
          </w:p>
        </w:tc>
        <w:tc>
          <w:tcPr>
            <w:tcW w:w="498" w:type="pct"/>
            <w:noWrap/>
            <w:hideMark/>
          </w:tcPr>
          <w:p w14:paraId="20F942E3"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1587C307"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14519EBD"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1A437F2C"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2A726B8A"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noWrap/>
            <w:hideMark/>
          </w:tcPr>
          <w:p w14:paraId="02945B96"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10</w:t>
            </w:r>
          </w:p>
        </w:tc>
      </w:tr>
      <w:tr w:rsidR="00607F2F" w:rsidRPr="00DD5B4C" w14:paraId="7F1DEC0B"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23575C00" w14:textId="77777777" w:rsidR="00607F2F" w:rsidRPr="00DD5B4C" w:rsidRDefault="00607F2F" w:rsidP="002E6D85">
            <w:pPr>
              <w:pStyle w:val="Tabletext"/>
              <w:contextualSpacing/>
              <w:rPr>
                <w:szCs w:val="18"/>
              </w:rPr>
            </w:pPr>
            <w:r w:rsidRPr="00DD5B4C">
              <w:rPr>
                <w:szCs w:val="18"/>
              </w:rPr>
              <w:t>Monash Health</w:t>
            </w:r>
          </w:p>
        </w:tc>
        <w:tc>
          <w:tcPr>
            <w:tcW w:w="498" w:type="pct"/>
            <w:noWrap/>
            <w:hideMark/>
          </w:tcPr>
          <w:p w14:paraId="69713EA5"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noWrap/>
            <w:hideMark/>
          </w:tcPr>
          <w:p w14:paraId="387D2732"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39</w:t>
            </w:r>
          </w:p>
        </w:tc>
        <w:tc>
          <w:tcPr>
            <w:tcW w:w="498" w:type="pct"/>
            <w:noWrap/>
            <w:hideMark/>
          </w:tcPr>
          <w:p w14:paraId="3455682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40</w:t>
            </w:r>
          </w:p>
        </w:tc>
        <w:tc>
          <w:tcPr>
            <w:tcW w:w="498" w:type="pct"/>
            <w:noWrap/>
            <w:hideMark/>
          </w:tcPr>
          <w:p w14:paraId="4B8A7D55"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noWrap/>
            <w:hideMark/>
          </w:tcPr>
          <w:p w14:paraId="1AF710CE"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noWrap/>
            <w:hideMark/>
          </w:tcPr>
          <w:p w14:paraId="134C6A08"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94</w:t>
            </w:r>
          </w:p>
        </w:tc>
        <w:tc>
          <w:tcPr>
            <w:tcW w:w="498" w:type="pct"/>
            <w:noWrap/>
            <w:hideMark/>
          </w:tcPr>
          <w:p w14:paraId="758C7B69"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noWrap/>
            <w:hideMark/>
          </w:tcPr>
          <w:p w14:paraId="2967686D"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193</w:t>
            </w:r>
          </w:p>
        </w:tc>
      </w:tr>
      <w:tr w:rsidR="00607F2F" w:rsidRPr="00DD5B4C" w14:paraId="1EF04D58"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39F56905" w14:textId="77777777" w:rsidR="00607F2F" w:rsidRPr="00DD5B4C" w:rsidRDefault="00607F2F" w:rsidP="002E6D85">
            <w:pPr>
              <w:pStyle w:val="Tabletext"/>
              <w:contextualSpacing/>
              <w:rPr>
                <w:szCs w:val="18"/>
              </w:rPr>
            </w:pPr>
            <w:r w:rsidRPr="00DD5B4C">
              <w:rPr>
                <w:szCs w:val="18"/>
              </w:rPr>
              <w:t>Northern Health</w:t>
            </w:r>
          </w:p>
        </w:tc>
        <w:tc>
          <w:tcPr>
            <w:tcW w:w="498" w:type="pct"/>
            <w:hideMark/>
          </w:tcPr>
          <w:p w14:paraId="16CAA49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7718B1B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20</w:t>
            </w:r>
          </w:p>
        </w:tc>
        <w:tc>
          <w:tcPr>
            <w:tcW w:w="498" w:type="pct"/>
            <w:hideMark/>
          </w:tcPr>
          <w:p w14:paraId="096654D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40</w:t>
            </w:r>
          </w:p>
        </w:tc>
        <w:tc>
          <w:tcPr>
            <w:tcW w:w="498" w:type="pct"/>
          </w:tcPr>
          <w:p w14:paraId="35D12E6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tcPr>
          <w:p w14:paraId="34EDA951"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1C854CFD"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62</w:t>
            </w:r>
          </w:p>
        </w:tc>
        <w:tc>
          <w:tcPr>
            <w:tcW w:w="498" w:type="pct"/>
            <w:hideMark/>
          </w:tcPr>
          <w:p w14:paraId="40E7411B"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hideMark/>
          </w:tcPr>
          <w:p w14:paraId="02B96F52"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122</w:t>
            </w:r>
          </w:p>
        </w:tc>
      </w:tr>
      <w:tr w:rsidR="00607F2F" w:rsidRPr="00DD5B4C" w14:paraId="2C5CA74B"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03D3F76D" w14:textId="77777777" w:rsidR="00607F2F" w:rsidRPr="00DD5B4C" w:rsidRDefault="00607F2F" w:rsidP="002E6D85">
            <w:pPr>
              <w:pStyle w:val="Tabletext"/>
              <w:contextualSpacing/>
              <w:rPr>
                <w:szCs w:val="18"/>
              </w:rPr>
            </w:pPr>
            <w:r w:rsidRPr="00DD5B4C">
              <w:rPr>
                <w:szCs w:val="18"/>
              </w:rPr>
              <w:t>PYMHWS</w:t>
            </w:r>
          </w:p>
        </w:tc>
        <w:tc>
          <w:tcPr>
            <w:tcW w:w="498" w:type="pct"/>
            <w:hideMark/>
          </w:tcPr>
          <w:p w14:paraId="75C7BB87"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20</w:t>
            </w:r>
          </w:p>
        </w:tc>
        <w:tc>
          <w:tcPr>
            <w:tcW w:w="498" w:type="pct"/>
            <w:hideMark/>
          </w:tcPr>
          <w:p w14:paraId="0A722D52"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59415F41"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3BF030DB"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088F1F26"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75AAA342"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2E460C7F"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hideMark/>
          </w:tcPr>
          <w:p w14:paraId="505A1ECE"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20</w:t>
            </w:r>
          </w:p>
        </w:tc>
      </w:tr>
      <w:tr w:rsidR="00607F2F" w:rsidRPr="00DD5B4C" w14:paraId="0E74EFAF"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798AB5A5" w14:textId="30DEA944" w:rsidR="00607F2F" w:rsidRPr="00DD5B4C" w:rsidRDefault="00607F2F" w:rsidP="002E6D85">
            <w:pPr>
              <w:pStyle w:val="Tabletext"/>
              <w:contextualSpacing/>
              <w:rPr>
                <w:szCs w:val="18"/>
              </w:rPr>
            </w:pPr>
            <w:proofErr w:type="gramStart"/>
            <w:r w:rsidRPr="00DD5B4C">
              <w:rPr>
                <w:szCs w:val="18"/>
              </w:rPr>
              <w:t>South</w:t>
            </w:r>
            <w:r w:rsidR="00D43609">
              <w:rPr>
                <w:szCs w:val="18"/>
              </w:rPr>
              <w:t xml:space="preserve"> </w:t>
            </w:r>
            <w:r w:rsidRPr="00DD5B4C">
              <w:rPr>
                <w:szCs w:val="18"/>
              </w:rPr>
              <w:t>West</w:t>
            </w:r>
            <w:proofErr w:type="gramEnd"/>
            <w:r w:rsidRPr="00DD5B4C">
              <w:rPr>
                <w:szCs w:val="18"/>
              </w:rPr>
              <w:t xml:space="preserve"> Healthcare</w:t>
            </w:r>
          </w:p>
        </w:tc>
        <w:tc>
          <w:tcPr>
            <w:tcW w:w="498" w:type="pct"/>
          </w:tcPr>
          <w:p w14:paraId="59676D22"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6FD2844B"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13</w:t>
            </w:r>
          </w:p>
        </w:tc>
        <w:tc>
          <w:tcPr>
            <w:tcW w:w="498" w:type="pct"/>
            <w:hideMark/>
          </w:tcPr>
          <w:p w14:paraId="7A2A345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4027F58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2</w:t>
            </w:r>
          </w:p>
        </w:tc>
        <w:tc>
          <w:tcPr>
            <w:tcW w:w="498" w:type="pct"/>
          </w:tcPr>
          <w:p w14:paraId="580428B8"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tcPr>
          <w:p w14:paraId="329AF668"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hideMark/>
          </w:tcPr>
          <w:p w14:paraId="7DEBCC4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13</w:t>
            </w:r>
          </w:p>
        </w:tc>
        <w:tc>
          <w:tcPr>
            <w:tcW w:w="499" w:type="pct"/>
            <w:hideMark/>
          </w:tcPr>
          <w:p w14:paraId="5A0860C3"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28</w:t>
            </w:r>
          </w:p>
        </w:tc>
      </w:tr>
      <w:tr w:rsidR="00607F2F" w:rsidRPr="00DD5B4C" w14:paraId="36CE14E6"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hideMark/>
          </w:tcPr>
          <w:p w14:paraId="371BD40F" w14:textId="77777777" w:rsidR="00607F2F" w:rsidRPr="00DD5B4C" w:rsidRDefault="00607F2F" w:rsidP="002E6D85">
            <w:pPr>
              <w:pStyle w:val="Tabletext"/>
              <w:contextualSpacing/>
              <w:rPr>
                <w:szCs w:val="18"/>
              </w:rPr>
            </w:pPr>
            <w:r w:rsidRPr="00DD5B4C">
              <w:rPr>
                <w:szCs w:val="18"/>
              </w:rPr>
              <w:t>St Vincent's Health</w:t>
            </w:r>
          </w:p>
        </w:tc>
        <w:tc>
          <w:tcPr>
            <w:tcW w:w="498" w:type="pct"/>
          </w:tcPr>
          <w:p w14:paraId="41A301DD"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258B60E4"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10</w:t>
            </w:r>
          </w:p>
        </w:tc>
        <w:tc>
          <w:tcPr>
            <w:tcW w:w="498" w:type="pct"/>
            <w:hideMark/>
          </w:tcPr>
          <w:p w14:paraId="6F10C9FD"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20</w:t>
            </w:r>
          </w:p>
        </w:tc>
        <w:tc>
          <w:tcPr>
            <w:tcW w:w="498" w:type="pct"/>
          </w:tcPr>
          <w:p w14:paraId="7221F3D5"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tcPr>
          <w:p w14:paraId="1B941536"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8" w:type="pct"/>
            <w:hideMark/>
          </w:tcPr>
          <w:p w14:paraId="1AFE8293"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r w:rsidRPr="00DD5B4C">
              <w:rPr>
                <w:szCs w:val="18"/>
              </w:rPr>
              <w:t>60</w:t>
            </w:r>
          </w:p>
        </w:tc>
        <w:tc>
          <w:tcPr>
            <w:tcW w:w="498" w:type="pct"/>
            <w:hideMark/>
          </w:tcPr>
          <w:p w14:paraId="30E3FF98" w14:textId="77777777" w:rsidR="00607F2F" w:rsidRPr="00DD5B4C"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szCs w:val="18"/>
              </w:rPr>
            </w:pPr>
          </w:p>
        </w:tc>
        <w:tc>
          <w:tcPr>
            <w:tcW w:w="499" w:type="pct"/>
            <w:hideMark/>
          </w:tcPr>
          <w:p w14:paraId="35D13AEB"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90</w:t>
            </w:r>
          </w:p>
        </w:tc>
      </w:tr>
      <w:tr w:rsidR="00607F2F" w:rsidRPr="00DD5B4C" w14:paraId="4DB53965" w14:textId="77777777" w:rsidTr="007D7B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2" w:type="pct"/>
            <w:noWrap/>
            <w:hideMark/>
          </w:tcPr>
          <w:p w14:paraId="1B0498FE" w14:textId="77777777" w:rsidR="00607F2F" w:rsidRPr="00DD5B4C" w:rsidRDefault="00607F2F" w:rsidP="002E6D85">
            <w:pPr>
              <w:pStyle w:val="Tabletext"/>
              <w:contextualSpacing/>
              <w:rPr>
                <w:szCs w:val="18"/>
              </w:rPr>
            </w:pPr>
            <w:r w:rsidRPr="00DD5B4C">
              <w:rPr>
                <w:szCs w:val="18"/>
              </w:rPr>
              <w:t>Western Health</w:t>
            </w:r>
          </w:p>
        </w:tc>
        <w:tc>
          <w:tcPr>
            <w:tcW w:w="498" w:type="pct"/>
            <w:noWrap/>
            <w:hideMark/>
          </w:tcPr>
          <w:p w14:paraId="1A6E0F29"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0B4844E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22</w:t>
            </w:r>
          </w:p>
        </w:tc>
        <w:tc>
          <w:tcPr>
            <w:tcW w:w="498" w:type="pct"/>
            <w:noWrap/>
            <w:hideMark/>
          </w:tcPr>
          <w:p w14:paraId="6E89184E"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r w:rsidRPr="00DD5B4C">
              <w:rPr>
                <w:szCs w:val="18"/>
              </w:rPr>
              <w:t>20</w:t>
            </w:r>
          </w:p>
        </w:tc>
        <w:tc>
          <w:tcPr>
            <w:tcW w:w="498" w:type="pct"/>
            <w:noWrap/>
            <w:hideMark/>
          </w:tcPr>
          <w:p w14:paraId="1C764ADF"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0122FB19"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36079665"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8" w:type="pct"/>
            <w:noWrap/>
            <w:hideMark/>
          </w:tcPr>
          <w:p w14:paraId="5C216FE4" w14:textId="77777777" w:rsidR="00607F2F" w:rsidRPr="00DD5B4C"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szCs w:val="18"/>
              </w:rPr>
            </w:pPr>
          </w:p>
        </w:tc>
        <w:tc>
          <w:tcPr>
            <w:tcW w:w="499" w:type="pct"/>
            <w:noWrap/>
            <w:hideMark/>
          </w:tcPr>
          <w:p w14:paraId="09CE62E9" w14:textId="77777777" w:rsidR="00607F2F" w:rsidRPr="002E6D85" w:rsidRDefault="00607F2F" w:rsidP="007D7B3B">
            <w:pPr>
              <w:pStyle w:val="Tabletext"/>
              <w:contextualSpacing/>
              <w:cnfStyle w:val="000000100000" w:firstRow="0" w:lastRow="0" w:firstColumn="0" w:lastColumn="0" w:oddVBand="0" w:evenVBand="0" w:oddHBand="1" w:evenHBand="0" w:firstRowFirstColumn="0" w:firstRowLastColumn="0" w:lastRowFirstColumn="0" w:lastRowLastColumn="0"/>
              <w:rPr>
                <w:rFonts w:cs="Arial"/>
                <w:b/>
                <w:bCs/>
                <w:szCs w:val="18"/>
              </w:rPr>
            </w:pPr>
            <w:r w:rsidRPr="002E6D85">
              <w:rPr>
                <w:rFonts w:cs="Arial"/>
                <w:b/>
                <w:bCs/>
                <w:szCs w:val="18"/>
              </w:rPr>
              <w:t>42</w:t>
            </w:r>
          </w:p>
        </w:tc>
      </w:tr>
      <w:tr w:rsidR="00607F2F" w:rsidRPr="00DD5B4C" w14:paraId="2DAF3998" w14:textId="77777777" w:rsidTr="007D7B3B">
        <w:trPr>
          <w:trHeight w:val="510"/>
        </w:trPr>
        <w:tc>
          <w:tcPr>
            <w:cnfStyle w:val="001000000000" w:firstRow="0" w:lastRow="0" w:firstColumn="1" w:lastColumn="0" w:oddVBand="0" w:evenVBand="0" w:oddHBand="0" w:evenHBand="0" w:firstRowFirstColumn="0" w:firstRowLastColumn="0" w:lastRowFirstColumn="0" w:lastRowLastColumn="0"/>
            <w:tcW w:w="1012" w:type="pct"/>
            <w:noWrap/>
            <w:hideMark/>
          </w:tcPr>
          <w:p w14:paraId="3C67ACBC" w14:textId="77777777" w:rsidR="00607F2F" w:rsidRPr="00DD5B4C" w:rsidRDefault="00607F2F" w:rsidP="002E6D85">
            <w:pPr>
              <w:pStyle w:val="Tabletext"/>
              <w:contextualSpacing/>
              <w:rPr>
                <w:szCs w:val="18"/>
              </w:rPr>
            </w:pPr>
            <w:r w:rsidRPr="00DD5B4C">
              <w:rPr>
                <w:szCs w:val="18"/>
              </w:rPr>
              <w:t>Total</w:t>
            </w:r>
          </w:p>
        </w:tc>
        <w:tc>
          <w:tcPr>
            <w:tcW w:w="498" w:type="pct"/>
            <w:noWrap/>
            <w:hideMark/>
          </w:tcPr>
          <w:p w14:paraId="705A885A"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100</w:t>
            </w:r>
          </w:p>
        </w:tc>
        <w:tc>
          <w:tcPr>
            <w:tcW w:w="498" w:type="pct"/>
            <w:noWrap/>
            <w:hideMark/>
          </w:tcPr>
          <w:p w14:paraId="5C2DDFA7"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254</w:t>
            </w:r>
          </w:p>
        </w:tc>
        <w:tc>
          <w:tcPr>
            <w:tcW w:w="498" w:type="pct"/>
            <w:noWrap/>
            <w:hideMark/>
          </w:tcPr>
          <w:p w14:paraId="66E9E65A"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330</w:t>
            </w:r>
          </w:p>
        </w:tc>
        <w:tc>
          <w:tcPr>
            <w:tcW w:w="498" w:type="pct"/>
            <w:noWrap/>
            <w:hideMark/>
          </w:tcPr>
          <w:p w14:paraId="3636FEFC"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6</w:t>
            </w:r>
          </w:p>
        </w:tc>
        <w:tc>
          <w:tcPr>
            <w:tcW w:w="498" w:type="pct"/>
            <w:noWrap/>
            <w:hideMark/>
          </w:tcPr>
          <w:p w14:paraId="76E0DFC9"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20</w:t>
            </w:r>
          </w:p>
        </w:tc>
        <w:tc>
          <w:tcPr>
            <w:tcW w:w="498" w:type="pct"/>
            <w:noWrap/>
            <w:hideMark/>
          </w:tcPr>
          <w:p w14:paraId="2BF624D9"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453</w:t>
            </w:r>
          </w:p>
        </w:tc>
        <w:tc>
          <w:tcPr>
            <w:tcW w:w="498" w:type="pct"/>
            <w:noWrap/>
            <w:hideMark/>
          </w:tcPr>
          <w:p w14:paraId="1CF05201"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126</w:t>
            </w:r>
          </w:p>
        </w:tc>
        <w:tc>
          <w:tcPr>
            <w:tcW w:w="499" w:type="pct"/>
            <w:noWrap/>
            <w:hideMark/>
          </w:tcPr>
          <w:p w14:paraId="4A86BA8B" w14:textId="77777777" w:rsidR="00607F2F" w:rsidRPr="002E6D85" w:rsidRDefault="00607F2F" w:rsidP="007D7B3B">
            <w:pPr>
              <w:pStyle w:val="Tabletext"/>
              <w:contextualSpacing/>
              <w:cnfStyle w:val="000000000000" w:firstRow="0" w:lastRow="0" w:firstColumn="0" w:lastColumn="0" w:oddVBand="0" w:evenVBand="0" w:oddHBand="0" w:evenHBand="0" w:firstRowFirstColumn="0" w:firstRowLastColumn="0" w:lastRowFirstColumn="0" w:lastRowLastColumn="0"/>
              <w:rPr>
                <w:rFonts w:cs="Arial"/>
                <w:b/>
                <w:bCs/>
                <w:szCs w:val="18"/>
              </w:rPr>
            </w:pPr>
            <w:r w:rsidRPr="002E6D85">
              <w:rPr>
                <w:rFonts w:cs="Arial"/>
                <w:b/>
                <w:bCs/>
                <w:szCs w:val="18"/>
              </w:rPr>
              <w:t>1295</w:t>
            </w:r>
          </w:p>
        </w:tc>
      </w:tr>
    </w:tbl>
    <w:p w14:paraId="794364F0" w14:textId="77777777" w:rsidR="00607F2F" w:rsidRDefault="00607F2F" w:rsidP="005B5CB9">
      <w:pPr>
        <w:spacing w:after="0" w:line="240" w:lineRule="auto"/>
        <w:rPr>
          <w:b/>
          <w:color w:val="53565A"/>
          <w:sz w:val="32"/>
          <w:szCs w:val="32"/>
          <w:highlight w:val="yellow"/>
        </w:rPr>
        <w:sectPr w:rsidR="00607F2F" w:rsidSect="007D16D0">
          <w:headerReference w:type="default" r:id="rId49"/>
          <w:footerReference w:type="default" r:id="rId50"/>
          <w:headerReference w:type="first" r:id="rId51"/>
          <w:pgSz w:w="23811" w:h="16838" w:orient="landscape" w:code="8"/>
          <w:pgMar w:top="1440" w:right="1440" w:bottom="1440" w:left="1440" w:header="680" w:footer="283" w:gutter="0"/>
          <w:cols w:space="340"/>
          <w:docGrid w:linePitch="360"/>
        </w:sectPr>
      </w:pPr>
    </w:p>
    <w:p w14:paraId="7A9600B8" w14:textId="77777777" w:rsidR="005B5CB9" w:rsidRDefault="002E6D85" w:rsidP="002E6D85">
      <w:pPr>
        <w:pStyle w:val="Heading1"/>
      </w:pPr>
      <w:bookmarkStart w:id="2386" w:name="_Toc199184952"/>
      <w:bookmarkStart w:id="2387" w:name="_Toc110950079"/>
      <w:bookmarkStart w:id="2388" w:name="_Toc199184973"/>
      <w:bookmarkStart w:id="2389" w:name="_Hlt227913617"/>
      <w:bookmarkStart w:id="2390" w:name="_Hlt227913618"/>
      <w:bookmarkStart w:id="2391" w:name="_Toc12780681"/>
      <w:bookmarkStart w:id="2392" w:name="_Toc14172322"/>
      <w:bookmarkStart w:id="2393" w:name="_Toc55381184"/>
      <w:bookmarkStart w:id="2394" w:name="_Toc100263388"/>
      <w:bookmarkStart w:id="2395" w:name="_Toc165961883"/>
      <w:bookmarkStart w:id="2396" w:name="_Toc234580377"/>
      <w:bookmarkEnd w:id="2302"/>
      <w:bookmarkEnd w:id="2303"/>
      <w:bookmarkEnd w:id="2304"/>
      <w:bookmarkEnd w:id="2374"/>
      <w:bookmarkEnd w:id="2375"/>
      <w:bookmarkEnd w:id="2376"/>
      <w:bookmarkEnd w:id="2377"/>
      <w:bookmarkEnd w:id="2378"/>
      <w:bookmarkEnd w:id="2379"/>
      <w:bookmarkEnd w:id="2386"/>
      <w:bookmarkEnd w:id="2387"/>
      <w:bookmarkEnd w:id="2388"/>
      <w:bookmarkEnd w:id="2389"/>
      <w:bookmarkEnd w:id="2390"/>
      <w:r>
        <w:lastRenderedPageBreak/>
        <w:t>A</w:t>
      </w:r>
      <w:r w:rsidR="005B5CB9">
        <w:t xml:space="preserve">cronyms and </w:t>
      </w:r>
      <w:bookmarkEnd w:id="2391"/>
      <w:bookmarkEnd w:id="2392"/>
      <w:bookmarkEnd w:id="2393"/>
      <w:bookmarkEnd w:id="2394"/>
      <w:r w:rsidR="005B5CB9">
        <w:t>abbreviations</w:t>
      </w:r>
      <w:bookmarkEnd w:id="2395"/>
      <w:bookmarkEnd w:id="2396"/>
    </w:p>
    <w:p w14:paraId="67A68CAD" w14:textId="77777777" w:rsidR="005B5CB9" w:rsidRDefault="005B5CB9" w:rsidP="005B5CB9">
      <w:pPr>
        <w:pStyle w:val="Acronym"/>
      </w:pPr>
      <w:r>
        <w:t>ABF</w:t>
      </w:r>
      <w:r>
        <w:tab/>
        <w:t>activity-based funding</w:t>
      </w:r>
    </w:p>
    <w:p w14:paraId="7B6FB02C" w14:textId="77777777" w:rsidR="005B5CB9" w:rsidRPr="002E3429" w:rsidRDefault="005B5CB9" w:rsidP="005B5CB9">
      <w:pPr>
        <w:pStyle w:val="Acronym"/>
      </w:pPr>
      <w:r w:rsidRPr="0074173F">
        <w:t>ACA</w:t>
      </w:r>
      <w:r w:rsidRPr="0074173F">
        <w:tab/>
        <w:t xml:space="preserve">Aged Care Assessment </w:t>
      </w:r>
    </w:p>
    <w:p w14:paraId="06C67456" w14:textId="77777777" w:rsidR="005B5CB9" w:rsidRPr="002E3429" w:rsidRDefault="005B5CB9" w:rsidP="005B5CB9">
      <w:pPr>
        <w:pStyle w:val="Acronym"/>
      </w:pPr>
      <w:r w:rsidRPr="001F21EE">
        <w:t>ACCO</w:t>
      </w:r>
      <w:r w:rsidRPr="001F21EE">
        <w:tab/>
        <w:t>Aboriginal community-controlled organisations</w:t>
      </w:r>
    </w:p>
    <w:p w14:paraId="0669AD89" w14:textId="77777777" w:rsidR="005B5CB9" w:rsidRPr="002E3429" w:rsidRDefault="005B5CB9" w:rsidP="005B5CB9">
      <w:pPr>
        <w:pStyle w:val="Acronym"/>
      </w:pPr>
      <w:r w:rsidRPr="002E3429">
        <w:t>ACHI</w:t>
      </w:r>
      <w:r>
        <w:tab/>
      </w:r>
      <w:r w:rsidRPr="002E3429">
        <w:t>Australian Classification of Health Interventions</w:t>
      </w:r>
    </w:p>
    <w:p w14:paraId="1F330D47" w14:textId="77777777" w:rsidR="005B5CB9" w:rsidRDefault="005B5CB9" w:rsidP="005B5CB9">
      <w:pPr>
        <w:pStyle w:val="Acronym"/>
      </w:pPr>
      <w:r>
        <w:t>AHR</w:t>
      </w:r>
      <w:r>
        <w:tab/>
        <w:t>Avoidable hospital readmission</w:t>
      </w:r>
    </w:p>
    <w:p w14:paraId="514E7D82" w14:textId="77777777" w:rsidR="005B5CB9" w:rsidRPr="002E3429" w:rsidRDefault="005B5CB9" w:rsidP="005B5CB9">
      <w:pPr>
        <w:pStyle w:val="Acronym"/>
      </w:pPr>
      <w:r w:rsidRPr="002E3429">
        <w:t>AIMS</w:t>
      </w:r>
      <w:r>
        <w:tab/>
      </w:r>
      <w:r w:rsidRPr="002E3429">
        <w:t>Agency Information Management System</w:t>
      </w:r>
    </w:p>
    <w:p w14:paraId="4B31B5F9" w14:textId="77777777" w:rsidR="005B5CB9" w:rsidRPr="002E3429" w:rsidRDefault="005B5CB9" w:rsidP="005B5CB9">
      <w:pPr>
        <w:pStyle w:val="Acronym"/>
      </w:pPr>
      <w:r w:rsidRPr="002E3429">
        <w:t>AN-SNAP</w:t>
      </w:r>
      <w:r w:rsidRPr="002E3429">
        <w:tab/>
        <w:t>Australian National Subacute and Non-Acute Patient</w:t>
      </w:r>
    </w:p>
    <w:p w14:paraId="4D1EF1D0" w14:textId="77777777" w:rsidR="005B5CB9" w:rsidRPr="002E3429" w:rsidRDefault="005B5CB9" w:rsidP="005B5CB9">
      <w:pPr>
        <w:pStyle w:val="Acronym"/>
      </w:pPr>
      <w:r w:rsidRPr="001F21EE">
        <w:t>AOD</w:t>
      </w:r>
      <w:r w:rsidRPr="001F21EE">
        <w:tab/>
        <w:t>alcohol and other drugs</w:t>
      </w:r>
    </w:p>
    <w:p w14:paraId="372FA908" w14:textId="77777777" w:rsidR="005B5CB9" w:rsidRPr="001F21EE" w:rsidRDefault="005B5CB9" w:rsidP="005B5CB9">
      <w:pPr>
        <w:pStyle w:val="Acronym"/>
      </w:pPr>
      <w:r w:rsidRPr="0013154B">
        <w:rPr>
          <w:rFonts w:cs="Arial"/>
          <w:sz w:val="21"/>
          <w:szCs w:val="21"/>
          <w:shd w:val="clear" w:color="auto" w:fill="FFFFFF"/>
        </w:rPr>
        <w:t>BBV</w:t>
      </w:r>
      <w:r w:rsidRPr="001F21EE">
        <w:rPr>
          <w:rFonts w:cs="Arial"/>
          <w:color w:val="4D5156"/>
          <w:sz w:val="21"/>
          <w:szCs w:val="21"/>
          <w:shd w:val="clear" w:color="auto" w:fill="FFFFFF"/>
        </w:rPr>
        <w:tab/>
      </w:r>
      <w:r w:rsidRPr="001F21EE">
        <w:t>blood-borne viruses</w:t>
      </w:r>
    </w:p>
    <w:p w14:paraId="1E2E75BA" w14:textId="77777777" w:rsidR="005B5CB9" w:rsidRDefault="005B5CB9" w:rsidP="005B5CB9">
      <w:pPr>
        <w:pStyle w:val="Acronym"/>
      </w:pPr>
      <w:r w:rsidRPr="001F21EE">
        <w:t>DVA</w:t>
      </w:r>
      <w:r w:rsidRPr="001F21EE">
        <w:tab/>
        <w:t>Department of Veterans' Affairs</w:t>
      </w:r>
    </w:p>
    <w:p w14:paraId="77672CD8" w14:textId="77777777" w:rsidR="005B5CB9" w:rsidRPr="001F21EE" w:rsidRDefault="005B5CB9" w:rsidP="005B5CB9">
      <w:pPr>
        <w:pStyle w:val="Acronym"/>
      </w:pPr>
      <w:r>
        <w:t>ED</w:t>
      </w:r>
      <w:r>
        <w:tab/>
        <w:t>emergency department</w:t>
      </w:r>
    </w:p>
    <w:p w14:paraId="4C305739" w14:textId="77777777" w:rsidR="005B5CB9" w:rsidRPr="002E3429" w:rsidRDefault="005B5CB9" w:rsidP="005B5CB9">
      <w:pPr>
        <w:pStyle w:val="Acronym"/>
      </w:pPr>
      <w:r w:rsidRPr="002E3429">
        <w:t>GEM</w:t>
      </w:r>
      <w:r>
        <w:tab/>
      </w:r>
      <w:r w:rsidRPr="002E3429">
        <w:t>geriatric evaluation and management</w:t>
      </w:r>
    </w:p>
    <w:p w14:paraId="758F102D" w14:textId="77777777" w:rsidR="005B5CB9" w:rsidRDefault="005B5CB9" w:rsidP="005B5CB9">
      <w:pPr>
        <w:pStyle w:val="Acronym"/>
      </w:pPr>
      <w:r>
        <w:t>HAC</w:t>
      </w:r>
      <w:r>
        <w:tab/>
        <w:t>hospital acquired complication</w:t>
      </w:r>
    </w:p>
    <w:p w14:paraId="0C6C92D3" w14:textId="77777777" w:rsidR="005B5CB9" w:rsidRDefault="005B5CB9" w:rsidP="005B5CB9">
      <w:pPr>
        <w:pStyle w:val="Acronym"/>
      </w:pPr>
      <w:r w:rsidRPr="002E3429">
        <w:t>HACC</w:t>
      </w:r>
      <w:r>
        <w:tab/>
      </w:r>
      <w:r w:rsidRPr="002E3429">
        <w:t>Home and Community Care</w:t>
      </w:r>
    </w:p>
    <w:p w14:paraId="3C496186" w14:textId="77777777" w:rsidR="005B5CB9" w:rsidRDefault="005B5CB9" w:rsidP="005B5CB9">
      <w:pPr>
        <w:pStyle w:val="Acronym"/>
      </w:pPr>
      <w:r>
        <w:t>HACC PYP</w:t>
      </w:r>
      <w:r>
        <w:tab/>
        <w:t>Home and Community Care Program Younger People</w:t>
      </w:r>
    </w:p>
    <w:p w14:paraId="662F2659" w14:textId="77777777" w:rsidR="005B5CB9" w:rsidRDefault="005B5CB9" w:rsidP="005B5CB9">
      <w:pPr>
        <w:pStyle w:val="Acronym"/>
      </w:pPr>
      <w:r>
        <w:t>HeART</w:t>
      </w:r>
      <w:r>
        <w:tab/>
      </w:r>
      <w:r w:rsidRPr="007B4C7B">
        <w:rPr>
          <w:szCs w:val="21"/>
        </w:rPr>
        <w:t>Health Agencies Reporting Tool</w:t>
      </w:r>
    </w:p>
    <w:p w14:paraId="3C3F5ED8" w14:textId="77777777" w:rsidR="005B5CB9" w:rsidRPr="002E3429" w:rsidRDefault="005B5CB9" w:rsidP="005B5CB9">
      <w:pPr>
        <w:pStyle w:val="Acronym"/>
      </w:pPr>
      <w:r>
        <w:t>HSTs</w:t>
      </w:r>
      <w:r>
        <w:tab/>
      </w:r>
      <w:r w:rsidRPr="005E65EB">
        <w:t>highly specialised therapies</w:t>
      </w:r>
    </w:p>
    <w:p w14:paraId="691F4CD1" w14:textId="77777777" w:rsidR="005B5CB9" w:rsidRDefault="005B5CB9" w:rsidP="005B5CB9">
      <w:pPr>
        <w:pStyle w:val="Acronym"/>
      </w:pPr>
      <w:r>
        <w:t>ICU</w:t>
      </w:r>
      <w:r>
        <w:tab/>
      </w:r>
      <w:r w:rsidRPr="00E94A7C">
        <w:t>intensive care unit</w:t>
      </w:r>
    </w:p>
    <w:p w14:paraId="70D2E296" w14:textId="77777777" w:rsidR="005B5CB9" w:rsidRPr="002E3429" w:rsidRDefault="005B5CB9" w:rsidP="005B5CB9">
      <w:pPr>
        <w:pStyle w:val="Acronym"/>
      </w:pPr>
      <w:r w:rsidRPr="002E3429">
        <w:t>IH</w:t>
      </w:r>
      <w:r>
        <w:t>AC</w:t>
      </w:r>
      <w:r w:rsidRPr="002E3429">
        <w:t>PA</w:t>
      </w:r>
      <w:r>
        <w:tab/>
      </w:r>
      <w:r w:rsidRPr="002E3429">
        <w:t>Independent H</w:t>
      </w:r>
      <w:r>
        <w:t>ealth and Aged Care</w:t>
      </w:r>
      <w:r w:rsidRPr="002E3429">
        <w:t xml:space="preserve"> Pricing Authority</w:t>
      </w:r>
    </w:p>
    <w:p w14:paraId="654B8D93" w14:textId="77777777" w:rsidR="005B5CB9" w:rsidRPr="002E3429" w:rsidRDefault="005B5CB9" w:rsidP="005B5CB9">
      <w:pPr>
        <w:pStyle w:val="Acronym"/>
      </w:pPr>
      <w:r>
        <w:t>LPHU</w:t>
      </w:r>
      <w:r>
        <w:tab/>
      </w:r>
      <w:r w:rsidRPr="00CE3410">
        <w:t>Local Public Health Unit</w:t>
      </w:r>
    </w:p>
    <w:p w14:paraId="1E832EA0" w14:textId="77777777" w:rsidR="005B5CB9" w:rsidRDefault="005B5CB9" w:rsidP="005B5CB9">
      <w:pPr>
        <w:pStyle w:val="Acronym"/>
      </w:pPr>
      <w:r>
        <w:t>MAPS</w:t>
      </w:r>
      <w:r>
        <w:tab/>
        <w:t>Modelling and Payment System</w:t>
      </w:r>
    </w:p>
    <w:p w14:paraId="29A06B05" w14:textId="77777777" w:rsidR="005B5CB9" w:rsidRDefault="005B5CB9" w:rsidP="005B5CB9">
      <w:pPr>
        <w:pStyle w:val="Acronym"/>
      </w:pPr>
      <w:r>
        <w:t>MBS</w:t>
      </w:r>
      <w:r>
        <w:tab/>
      </w:r>
      <w:r w:rsidRPr="00FA1304">
        <w:t>Medicare Benefits Schedule</w:t>
      </w:r>
    </w:p>
    <w:p w14:paraId="0A366FD1" w14:textId="77777777" w:rsidR="005B5CB9" w:rsidRDefault="005B5CB9" w:rsidP="005B5CB9">
      <w:pPr>
        <w:pStyle w:val="Acronym"/>
      </w:pPr>
      <w:r>
        <w:t>METEOR</w:t>
      </w:r>
      <w:r>
        <w:tab/>
      </w:r>
      <w:r w:rsidRPr="0035393E">
        <w:t>Metadata Online Registry</w:t>
      </w:r>
      <w:r w:rsidRPr="0035393E" w:rsidDel="0035393E">
        <w:t xml:space="preserve"> </w:t>
      </w:r>
    </w:p>
    <w:p w14:paraId="656C65F6" w14:textId="77777777" w:rsidR="005B5CB9" w:rsidRDefault="005B5CB9" w:rsidP="005B5CB9">
      <w:pPr>
        <w:pStyle w:val="Acronym"/>
      </w:pPr>
      <w:r w:rsidRPr="004169D2">
        <w:t>MHCSS</w:t>
      </w:r>
      <w:r w:rsidRPr="004169D2">
        <w:tab/>
      </w:r>
      <w:r>
        <w:t>M</w:t>
      </w:r>
      <w:r w:rsidRPr="004169D2">
        <w:t xml:space="preserve">ental </w:t>
      </w:r>
      <w:r>
        <w:t>H</w:t>
      </w:r>
      <w:r w:rsidRPr="004169D2">
        <w:t xml:space="preserve">ealth </w:t>
      </w:r>
      <w:r>
        <w:t>C</w:t>
      </w:r>
      <w:r w:rsidRPr="004169D2">
        <w:t xml:space="preserve">ommunity </w:t>
      </w:r>
      <w:r>
        <w:t>S</w:t>
      </w:r>
      <w:r w:rsidRPr="004169D2">
        <w:t xml:space="preserve">upport </w:t>
      </w:r>
      <w:r>
        <w:t>S</w:t>
      </w:r>
      <w:r w:rsidRPr="004169D2">
        <w:t>ervices</w:t>
      </w:r>
    </w:p>
    <w:p w14:paraId="64CBDEF4" w14:textId="77777777" w:rsidR="005B5CB9" w:rsidRDefault="005B5CB9" w:rsidP="005B5CB9">
      <w:pPr>
        <w:pStyle w:val="Acronym"/>
      </w:pPr>
      <w:r>
        <w:t>NADC</w:t>
      </w:r>
      <w:r>
        <w:tab/>
      </w:r>
      <w:proofErr w:type="gramStart"/>
      <w:r>
        <w:t>Non Admitted</w:t>
      </w:r>
      <w:proofErr w:type="gramEnd"/>
      <w:r>
        <w:t xml:space="preserve"> Data Collection</w:t>
      </w:r>
    </w:p>
    <w:p w14:paraId="7C35224F" w14:textId="77777777" w:rsidR="005B5CB9" w:rsidRDefault="005B5CB9" w:rsidP="005B5CB9">
      <w:pPr>
        <w:pStyle w:val="Acronym"/>
      </w:pPr>
      <w:r>
        <w:t>NEC</w:t>
      </w:r>
      <w:r>
        <w:tab/>
        <w:t>National Efficient Cost</w:t>
      </w:r>
    </w:p>
    <w:p w14:paraId="1D723194" w14:textId="77777777" w:rsidR="005B5CB9" w:rsidRDefault="005B5CB9" w:rsidP="005B5CB9">
      <w:pPr>
        <w:pStyle w:val="Acronym"/>
      </w:pPr>
      <w:r>
        <w:t>NEP</w:t>
      </w:r>
      <w:r>
        <w:tab/>
        <w:t>National Efficient Price</w:t>
      </w:r>
    </w:p>
    <w:p w14:paraId="40E4BE6D" w14:textId="77777777" w:rsidR="005B5CB9" w:rsidRDefault="005B5CB9" w:rsidP="005B5CB9">
      <w:pPr>
        <w:pStyle w:val="Acronym"/>
      </w:pPr>
      <w:r w:rsidRPr="002E3429">
        <w:t>NFC</w:t>
      </w:r>
      <w:r>
        <w:tab/>
      </w:r>
      <w:r w:rsidRPr="002E3429">
        <w:t>Nationally Funded Centres</w:t>
      </w:r>
    </w:p>
    <w:p w14:paraId="226A3643" w14:textId="77777777" w:rsidR="005B5CB9" w:rsidRDefault="005B5CB9" w:rsidP="005B5CB9">
      <w:pPr>
        <w:pStyle w:val="Acronym"/>
      </w:pPr>
      <w:r>
        <w:t>NFM</w:t>
      </w:r>
      <w:r>
        <w:tab/>
        <w:t>National funding model</w:t>
      </w:r>
    </w:p>
    <w:p w14:paraId="5FB079EF" w14:textId="77777777" w:rsidR="005B5CB9" w:rsidRPr="002E3429" w:rsidRDefault="005B5CB9" w:rsidP="005B5CB9">
      <w:pPr>
        <w:pStyle w:val="Acronym"/>
      </w:pPr>
      <w:r>
        <w:t>NHCDC</w:t>
      </w:r>
      <w:r>
        <w:tab/>
        <w:t>National Hospital Cost Data Collection</w:t>
      </w:r>
    </w:p>
    <w:p w14:paraId="1042BE9D" w14:textId="77777777" w:rsidR="005B5CB9" w:rsidRPr="002E3429" w:rsidRDefault="005B5CB9" w:rsidP="005B5CB9">
      <w:pPr>
        <w:pStyle w:val="Acronym"/>
      </w:pPr>
      <w:r w:rsidRPr="002E3429">
        <w:t>NHRA</w:t>
      </w:r>
      <w:r>
        <w:tab/>
      </w:r>
      <w:r w:rsidRPr="002E3429">
        <w:t>National Health Reform Agreement</w:t>
      </w:r>
    </w:p>
    <w:p w14:paraId="6B973904" w14:textId="77777777" w:rsidR="005B5CB9" w:rsidRPr="00497789" w:rsidRDefault="005B5CB9" w:rsidP="005B5CB9">
      <w:pPr>
        <w:pStyle w:val="Acronym"/>
      </w:pPr>
      <w:r w:rsidRPr="00497789">
        <w:t>NWAU</w:t>
      </w:r>
      <w:r w:rsidRPr="00497789">
        <w:tab/>
        <w:t>national weighted activity unit</w:t>
      </w:r>
    </w:p>
    <w:p w14:paraId="23734032" w14:textId="77777777" w:rsidR="005B5CB9" w:rsidRPr="000E1A59" w:rsidRDefault="005B5CB9" w:rsidP="005B5CB9">
      <w:pPr>
        <w:pStyle w:val="Acronym"/>
      </w:pPr>
      <w:r w:rsidRPr="000E1A59">
        <w:t>PARC</w:t>
      </w:r>
      <w:r w:rsidRPr="000E1A59">
        <w:tab/>
      </w:r>
      <w:r>
        <w:t>P</w:t>
      </w:r>
      <w:r w:rsidRPr="000E1A59">
        <w:t xml:space="preserve">revention and </w:t>
      </w:r>
      <w:r>
        <w:t>R</w:t>
      </w:r>
      <w:r w:rsidRPr="000E1A59">
        <w:t xml:space="preserve">ecovery </w:t>
      </w:r>
      <w:r>
        <w:t>C</w:t>
      </w:r>
      <w:r w:rsidRPr="000E1A59">
        <w:t>are</w:t>
      </w:r>
    </w:p>
    <w:p w14:paraId="17728DD1" w14:textId="77777777" w:rsidR="005B5CB9" w:rsidRDefault="005B5CB9" w:rsidP="005B5CB9">
      <w:pPr>
        <w:pStyle w:val="Acronym"/>
      </w:pPr>
      <w:r>
        <w:t>PSRACS</w:t>
      </w:r>
      <w:r>
        <w:tab/>
        <w:t>public sector residential aged care services</w:t>
      </w:r>
    </w:p>
    <w:p w14:paraId="20B741A0" w14:textId="77777777" w:rsidR="005B5CB9" w:rsidRDefault="005B5CB9" w:rsidP="005B5CB9">
      <w:pPr>
        <w:pStyle w:val="Acronym"/>
      </w:pPr>
      <w:r>
        <w:t>PYA</w:t>
      </w:r>
      <w:r>
        <w:tab/>
        <w:t>prior-year adjustment</w:t>
      </w:r>
    </w:p>
    <w:p w14:paraId="315D6188" w14:textId="77777777" w:rsidR="005B5CB9" w:rsidRDefault="005B5CB9" w:rsidP="005B5CB9">
      <w:pPr>
        <w:pStyle w:val="Acronym"/>
      </w:pPr>
      <w:r w:rsidRPr="000E1A59">
        <w:t>STI</w:t>
      </w:r>
      <w:r w:rsidRPr="000E1A59">
        <w:tab/>
        <w:t>sexually transmissible infections</w:t>
      </w:r>
    </w:p>
    <w:p w14:paraId="6673600B" w14:textId="77777777" w:rsidR="005B5CB9" w:rsidRPr="002E3429" w:rsidRDefault="005B5CB9" w:rsidP="005B5CB9">
      <w:pPr>
        <w:pStyle w:val="Acronym"/>
      </w:pPr>
      <w:r w:rsidRPr="002E3429">
        <w:t>TAC</w:t>
      </w:r>
      <w:r>
        <w:tab/>
      </w:r>
      <w:r w:rsidRPr="002E3429">
        <w:t>Transport Accident Commission</w:t>
      </w:r>
    </w:p>
    <w:p w14:paraId="73386454" w14:textId="77777777" w:rsidR="005B5CB9" w:rsidRPr="002E3429" w:rsidRDefault="005B5CB9" w:rsidP="005B5CB9">
      <w:pPr>
        <w:pStyle w:val="Acronym"/>
      </w:pPr>
      <w:r w:rsidRPr="000E1A59">
        <w:t>TCP</w:t>
      </w:r>
      <w:r w:rsidRPr="000E1A59">
        <w:tab/>
        <w:t>Transition Care Program</w:t>
      </w:r>
    </w:p>
    <w:p w14:paraId="556DDEA7" w14:textId="77777777" w:rsidR="005B5CB9" w:rsidRDefault="005B5CB9" w:rsidP="005B5CB9">
      <w:pPr>
        <w:pStyle w:val="Acronym"/>
      </w:pPr>
      <w:r>
        <w:t>Tier 2</w:t>
      </w:r>
      <w:r>
        <w:tab/>
        <w:t>n</w:t>
      </w:r>
      <w:r w:rsidRPr="000E1A59">
        <w:t>on-</w:t>
      </w:r>
      <w:r>
        <w:t>a</w:t>
      </w:r>
      <w:r w:rsidRPr="000E1A59">
        <w:t xml:space="preserve">dmitted </w:t>
      </w:r>
      <w:r>
        <w:t>s</w:t>
      </w:r>
      <w:r w:rsidRPr="000E1A59">
        <w:t xml:space="preserve">ervices </w:t>
      </w:r>
      <w:r>
        <w:t>c</w:t>
      </w:r>
      <w:r w:rsidRPr="000E1A59">
        <w:t>lassification</w:t>
      </w:r>
    </w:p>
    <w:p w14:paraId="73039B7C" w14:textId="77777777" w:rsidR="005B5CB9" w:rsidRPr="002E3429" w:rsidRDefault="005B5CB9" w:rsidP="005B5CB9">
      <w:pPr>
        <w:pStyle w:val="Acronym"/>
      </w:pPr>
      <w:r w:rsidRPr="002536F6">
        <w:lastRenderedPageBreak/>
        <w:t>VAED</w:t>
      </w:r>
      <w:r w:rsidRPr="002536F6">
        <w:tab/>
        <w:t>Victorian Admitted Episodes Dataset</w:t>
      </w:r>
    </w:p>
    <w:p w14:paraId="6C70D6AF" w14:textId="77777777" w:rsidR="005B5CB9" w:rsidRPr="002E3429" w:rsidRDefault="005B5CB9" w:rsidP="005B5CB9">
      <w:pPr>
        <w:pStyle w:val="Acronym"/>
      </w:pPr>
      <w:r w:rsidRPr="002E3429">
        <w:t>VCDC</w:t>
      </w:r>
      <w:r>
        <w:tab/>
      </w:r>
      <w:r w:rsidRPr="002E3429">
        <w:t>Victorian Cost Data Collection</w:t>
      </w:r>
    </w:p>
    <w:p w14:paraId="3FE8F47B" w14:textId="32E0BF67" w:rsidR="005B5CB9" w:rsidRPr="002E3429" w:rsidRDefault="005B5CB9" w:rsidP="005B5CB9">
      <w:pPr>
        <w:pStyle w:val="Acronym"/>
      </w:pPr>
      <w:r w:rsidRPr="00D62151">
        <w:t>VEMD</w:t>
      </w:r>
      <w:r w:rsidRPr="00D62151">
        <w:tab/>
      </w:r>
      <w:r w:rsidR="00AF179B">
        <w:t xml:space="preserve">Victorian </w:t>
      </w:r>
      <w:r w:rsidRPr="00D62151">
        <w:t>Emergency Minimum Dataset</w:t>
      </w:r>
    </w:p>
    <w:p w14:paraId="66F7E4BA" w14:textId="77777777" w:rsidR="005B5CB9" w:rsidRPr="002E3429" w:rsidRDefault="005B5CB9" w:rsidP="005B5CB9">
      <w:pPr>
        <w:pStyle w:val="Acronym"/>
      </w:pPr>
      <w:r>
        <w:t>VEP</w:t>
      </w:r>
      <w:r>
        <w:tab/>
      </w:r>
      <w:r w:rsidRPr="002E3429">
        <w:t xml:space="preserve">Victorian </w:t>
      </w:r>
      <w:r>
        <w:t>efficient price</w:t>
      </w:r>
    </w:p>
    <w:p w14:paraId="4F0EAFCD" w14:textId="77777777" w:rsidR="005B5CB9" w:rsidRPr="002E3429" w:rsidRDefault="005B5CB9" w:rsidP="005B5CB9">
      <w:pPr>
        <w:pStyle w:val="Acronym"/>
      </w:pPr>
      <w:r w:rsidRPr="002E3429">
        <w:t>VINAH</w:t>
      </w:r>
      <w:r>
        <w:t xml:space="preserve"> MDS</w:t>
      </w:r>
      <w:r>
        <w:tab/>
      </w:r>
      <w:r w:rsidRPr="002E3429">
        <w:t>Victorian Integrated Non-Admitted Health</w:t>
      </w:r>
      <w:r>
        <w:t xml:space="preserve"> minimum dataset</w:t>
      </w:r>
    </w:p>
    <w:p w14:paraId="017B2B76" w14:textId="77777777" w:rsidR="005B5CB9" w:rsidRPr="002E3429" w:rsidRDefault="005B5CB9" w:rsidP="005B5CB9">
      <w:pPr>
        <w:pStyle w:val="Acronym"/>
      </w:pPr>
      <w:r w:rsidRPr="00CF7AAF">
        <w:t>VVED</w:t>
      </w:r>
      <w:r w:rsidRPr="00CF7AAF">
        <w:tab/>
        <w:t>Victorian Virtual Emergency Department</w:t>
      </w:r>
    </w:p>
    <w:p w14:paraId="6D3EF521" w14:textId="77777777" w:rsidR="005B5CB9" w:rsidRPr="00CF0C4D" w:rsidRDefault="005B5CB9" w:rsidP="005B5CB9">
      <w:pPr>
        <w:pStyle w:val="Acronym"/>
      </w:pPr>
    </w:p>
    <w:p w14:paraId="234ED3B9" w14:textId="77777777" w:rsidR="005B5CB9" w:rsidRPr="002E60B9" w:rsidRDefault="005B5CB9" w:rsidP="005B5CB9"/>
    <w:p w14:paraId="34004D85" w14:textId="7234896B" w:rsidR="00454A7D" w:rsidRPr="001A5692" w:rsidRDefault="00454A7D" w:rsidP="001A5692"/>
    <w:sectPr w:rsidR="00454A7D" w:rsidRPr="001A5692" w:rsidSect="00FD2C0B">
      <w:headerReference w:type="even" r:id="rId52"/>
      <w:headerReference w:type="default" r:id="rId53"/>
      <w:footerReference w:type="even" r:id="rId54"/>
      <w:footerReference w:type="default" r:id="rId55"/>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671C" w14:textId="77777777" w:rsidR="00763AFF" w:rsidRDefault="00763AFF">
      <w:r>
        <w:separator/>
      </w:r>
    </w:p>
    <w:p w14:paraId="7FAF4CBF" w14:textId="77777777" w:rsidR="00763AFF" w:rsidRDefault="00763AFF"/>
  </w:endnote>
  <w:endnote w:type="continuationSeparator" w:id="0">
    <w:p w14:paraId="0891EB0D" w14:textId="77777777" w:rsidR="00763AFF" w:rsidRDefault="00763AFF">
      <w:r>
        <w:continuationSeparator/>
      </w:r>
    </w:p>
    <w:p w14:paraId="60F2F40A" w14:textId="77777777" w:rsidR="00763AFF" w:rsidRDefault="00763AFF"/>
  </w:endnote>
  <w:endnote w:type="continuationNotice" w:id="1">
    <w:p w14:paraId="1DFCAC3E" w14:textId="77777777" w:rsidR="00763AFF" w:rsidRDefault="00763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porateSBQ-Regular">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95F" w14:textId="77777777" w:rsidR="005B5CB9" w:rsidRDefault="005B5CB9">
    <w:pPr>
      <w:pStyle w:val="Footer"/>
    </w:pPr>
    <w:r>
      <w:rPr>
        <w:noProof/>
      </w:rPr>
      <mc:AlternateContent>
        <mc:Choice Requires="wps">
          <w:drawing>
            <wp:anchor distT="0" distB="0" distL="0" distR="0" simplePos="0" relativeHeight="251629056" behindDoc="0" locked="0" layoutInCell="1" allowOverlap="1" wp14:anchorId="3DFE9D50" wp14:editId="6BE5E13F">
              <wp:simplePos x="635" y="635"/>
              <wp:positionH relativeFrom="page">
                <wp:align>center</wp:align>
              </wp:positionH>
              <wp:positionV relativeFrom="page">
                <wp:align>bottom</wp:align>
              </wp:positionV>
              <wp:extent cx="656590" cy="369570"/>
              <wp:effectExtent l="0" t="0" r="10160" b="0"/>
              <wp:wrapNone/>
              <wp:docPr id="173156461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D192E2A"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E9D50" id="_x0000_t202" coordsize="21600,21600" o:spt="202" path="m,l,21600r21600,l21600,xe">
              <v:stroke joinstyle="miter"/>
              <v:path gradientshapeok="t" o:connecttype="rect"/>
            </v:shapetype>
            <v:shape id="Text Box 15" o:spid="_x0000_s1026" type="#_x0000_t202" alt="OFFICIAL" style="position:absolute;left:0;text-align:left;margin-left:0;margin-top:0;width:51.7pt;height:29.1pt;z-index:251629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D192E2A"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74A0" w14:textId="77777777" w:rsidR="005B5CB9" w:rsidRPr="0031305A" w:rsidRDefault="005B5CB9">
    <w:pPr>
      <w:pStyle w:val="Header"/>
      <w:spacing w:after="0"/>
      <w:rPr>
        <w:b w:val="0"/>
        <w:bCs/>
        <w:color w:val="auto"/>
      </w:rPr>
    </w:pPr>
    <w:r>
      <w:rPr>
        <w:noProof/>
        <w:lang w:eastAsia="en-AU"/>
      </w:rPr>
      <mc:AlternateContent>
        <mc:Choice Requires="wps">
          <w:drawing>
            <wp:anchor distT="0" distB="0" distL="0" distR="0" simplePos="0" relativeHeight="251699712" behindDoc="0" locked="0" layoutInCell="1" allowOverlap="1" wp14:anchorId="558F0A29" wp14:editId="6B85BD34">
              <wp:simplePos x="635" y="635"/>
              <wp:positionH relativeFrom="page">
                <wp:align>center</wp:align>
              </wp:positionH>
              <wp:positionV relativeFrom="page">
                <wp:align>bottom</wp:align>
              </wp:positionV>
              <wp:extent cx="656590" cy="369570"/>
              <wp:effectExtent l="0" t="0" r="10160" b="0"/>
              <wp:wrapNone/>
              <wp:docPr id="40457680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7ACC402" w14:textId="77777777" w:rsidR="005B5CB9" w:rsidRPr="006C0136" w:rsidRDefault="005B5CB9">
                          <w:pPr>
                            <w:spacing w:after="0"/>
                            <w:rPr>
                              <w:rFonts w:ascii="Arial Black" w:eastAsia="Arial Black" w:hAnsi="Arial Black" w:cs="Arial Black"/>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F0A29" id="_x0000_t202" coordsize="21600,21600" o:spt="202" path="m,l,21600r21600,l21600,xe">
              <v:stroke joinstyle="miter"/>
              <v:path gradientshapeok="t" o:connecttype="rect"/>
            </v:shapetype>
            <v:shape id="Text Box 22" o:spid="_x0000_s1042" type="#_x0000_t202" alt="OFFICIAL" style="position:absolute;margin-left:0;margin-top:0;width:51.7pt;height:29.1pt;z-index:25169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UFDw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6TD+loojtrJ0ItwZuarRey2cfxIWDGNc&#10;qNY/4igb6nJOZ4uziuyvt/whH8AjylkHxeRcQ9KcNT80CAniGgw7GNtojGfpJEVc79s7gg7HeBJG&#10;RhNe65vBLC21L9DzMjRCSGiJdjnfDuadP0kX70Gq5TImQUdG+LXeGBlKB7wCmM/9i7DmjLgHVQ80&#10;yElkr4A/5Yabziz3HvBHVgK2JyDPkEODkazzewki//M/Zl1f9eI3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bai1BQ8CAAAd&#10;BAAADgAAAAAAAAAAAAAAAAAuAgAAZHJzL2Uyb0RvYy54bWxQSwECLQAUAAYACAAAACEA6xtVFNoA&#10;AAAEAQAADwAAAAAAAAAAAAAAAABpBAAAZHJzL2Rvd25yZXYueG1sUEsFBgAAAAAEAAQA8wAAAHAF&#10;AAAAAA==&#10;" filled="f" stroked="f">
              <v:textbox style="mso-fit-shape-to-text:t" inset="0,0,0,15pt">
                <w:txbxContent>
                  <w:p w14:paraId="67ACC402" w14:textId="77777777" w:rsidR="005B5CB9" w:rsidRPr="006C0136" w:rsidRDefault="005B5CB9">
                    <w:pPr>
                      <w:spacing w:after="0"/>
                      <w:rPr>
                        <w:rFonts w:ascii="Arial Black" w:eastAsia="Arial Black" w:hAnsi="Arial Black" w:cs="Arial Black"/>
                        <w:noProof/>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87424" behindDoc="0" locked="0" layoutInCell="0" allowOverlap="1" wp14:anchorId="04B86CD4" wp14:editId="3233BB16">
              <wp:simplePos x="0" y="0"/>
              <wp:positionH relativeFrom="page">
                <wp:posOffset>-5080</wp:posOffset>
              </wp:positionH>
              <wp:positionV relativeFrom="page">
                <wp:posOffset>7107484</wp:posOffset>
              </wp:positionV>
              <wp:extent cx="10668000" cy="190500"/>
              <wp:effectExtent l="0" t="0" r="0" b="0"/>
              <wp:wrapNone/>
              <wp:docPr id="875094294" name="Text Box 87509429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1066800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9A618" w14:textId="77777777" w:rsidR="005B5CB9" w:rsidRPr="002C5B7C" w:rsidRDefault="005B5CB9">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6CD4" id="Text Box 875094294" o:spid="_x0000_s1043" type="#_x0000_t202" alt="{&quot;HashCode&quot;:904758361,&quot;Height&quot;:841.0,&quot;Width&quot;:595.0,&quot;Placement&quot;:&quot;Footer&quot;,&quot;Index&quot;:&quot;OddAndEven&quot;,&quot;Section&quot;:3,&quot;Top&quot;:0.0,&quot;Left&quot;:0.0}" style="position:absolute;margin-left:-.4pt;margin-top:559.65pt;width:840pt;height:1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" o:allowincell="f" filled="f" stroked="f" strokeweight=".5pt">
              <v:textbox inset=",0,,0">
                <w:txbxContent>
                  <w:p w14:paraId="16C9A618" w14:textId="77777777" w:rsidR="005B5CB9" w:rsidRPr="002C5B7C" w:rsidRDefault="005B5CB9">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93568" behindDoc="0" locked="0" layoutInCell="0" allowOverlap="1" wp14:anchorId="059D0C12" wp14:editId="74E4B02E">
              <wp:simplePos x="0" y="0"/>
              <wp:positionH relativeFrom="page">
                <wp:posOffset>-4166</wp:posOffset>
              </wp:positionH>
              <wp:positionV relativeFrom="page">
                <wp:posOffset>10236302</wp:posOffset>
              </wp:positionV>
              <wp:extent cx="7560310" cy="190500"/>
              <wp:effectExtent l="0" t="0" r="0" b="0"/>
              <wp:wrapNone/>
              <wp:docPr id="783466710" name="Text Box 78346671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790A2" w14:textId="77777777" w:rsidR="005B5CB9" w:rsidRPr="002C5B7C" w:rsidRDefault="005B5CB9">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59D0C12" id="Text Box 783466710" o:spid="_x0000_s1044" type="#_x0000_t202" alt="{&quot;HashCode&quot;:904758361,&quot;Height&quot;:841.0,&quot;Width&quot;:595.0,&quot;Placement&quot;:&quot;Footer&quot;,&quot;Index&quot;:&quot;OddAndEven&quot;,&quot;Section&quot;:3,&quot;Top&quot;:0.0,&quot;Left&quot;:0.0}" style="position:absolute;margin-left:-.35pt;margin-top:806pt;width:595.3pt;height:15pt;z-index:2516935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" o:allowincell="f" filled="f" stroked="f" strokeweight=".5pt">
              <v:textbox inset=",0,,0">
                <w:txbxContent>
                  <w:p w14:paraId="7AA790A2" w14:textId="77777777" w:rsidR="005B5CB9" w:rsidRPr="002C5B7C" w:rsidRDefault="005B5CB9">
                    <w:pPr>
                      <w:spacing w:after="0"/>
                      <w:jc w:val="center"/>
                      <w:rPr>
                        <w:rFonts w:ascii="Arial Black" w:hAnsi="Arial Black"/>
                        <w:color w:val="000000"/>
                        <w:sz w:val="2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522" w14:textId="5BC98A49" w:rsidR="00D63636" w:rsidRDefault="00F2366D">
    <w:pPr>
      <w:pStyle w:val="Footer"/>
    </w:pPr>
    <w:r>
      <w:rPr>
        <w:noProof/>
      </w:rPr>
      <mc:AlternateContent>
        <mc:Choice Requires="wps">
          <w:drawing>
            <wp:anchor distT="0" distB="0" distL="0" distR="0" simplePos="0" relativeHeight="251658240" behindDoc="0" locked="0" layoutInCell="1" allowOverlap="1" wp14:anchorId="5DCAF832" wp14:editId="11F3169A">
              <wp:simplePos x="635" y="635"/>
              <wp:positionH relativeFrom="page">
                <wp:align>center</wp:align>
              </wp:positionH>
              <wp:positionV relativeFrom="page">
                <wp:align>bottom</wp:align>
              </wp:positionV>
              <wp:extent cx="656590" cy="369570"/>
              <wp:effectExtent l="0" t="0" r="10160" b="0"/>
              <wp:wrapNone/>
              <wp:docPr id="110573038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EC167D4" w14:textId="5CB9396F"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AF832" id="_x0000_t202" coordsize="21600,21600" o:spt="202" path="m,l,21600r21600,l21600,xe">
              <v:stroke joinstyle="miter"/>
              <v:path gradientshapeok="t" o:connecttype="rect"/>
            </v:shapetype>
            <v:shape id="_x0000_s1045"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yDDw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TD+loojtrJ0ItwZuarRey2cfxIWDGNc&#10;qNY/4igb6nJOZ4uziuyvt/whH8AjylkHxeRcQ9KcNT80CAniGgw7GNtojGfpJEVc79s7gg7HeBJG&#10;RhNe65vBLC21L9DzMjRCSGiJdjnfDuadP0kX70Gq5TImQUdG+LXeGBlKB7wCmM/9i7DmjLgHVQ80&#10;yElkr4A/5Yabziz3HvBHVgK2JyDPkEODkazzewki//M/Zl1f9eI3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2lMgw8CAAAd&#10;BAAADgAAAAAAAAAAAAAAAAAuAgAAZHJzL2Uyb0RvYy54bWxQSwECLQAUAAYACAAAACEA6xtVFNoA&#10;AAAEAQAADwAAAAAAAAAAAAAAAABpBAAAZHJzL2Rvd25yZXYueG1sUEsFBgAAAAAEAAQA8wAAAHAF&#10;AAAAAA==&#10;" filled="f" stroked="f">
              <v:textbox style="mso-fit-shape-to-text:t" inset="0,0,0,15pt">
                <w:txbxContent>
                  <w:p w14:paraId="7EC167D4" w14:textId="5CB9396F"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24C" w14:textId="43B18483" w:rsidR="00431A70" w:rsidRDefault="00F2366D">
    <w:pPr>
      <w:pStyle w:val="Footer"/>
    </w:pPr>
    <w:r>
      <w:rPr>
        <w:noProof/>
      </w:rPr>
      <mc:AlternateContent>
        <mc:Choice Requires="wps">
          <w:drawing>
            <wp:anchor distT="0" distB="0" distL="0" distR="0" simplePos="0" relativeHeight="251658241" behindDoc="0" locked="0" layoutInCell="1" allowOverlap="1" wp14:anchorId="0C357A4C" wp14:editId="7E415EA0">
              <wp:simplePos x="635" y="635"/>
              <wp:positionH relativeFrom="page">
                <wp:align>center</wp:align>
              </wp:positionH>
              <wp:positionV relativeFrom="page">
                <wp:align>bottom</wp:align>
              </wp:positionV>
              <wp:extent cx="656590" cy="369570"/>
              <wp:effectExtent l="0" t="0" r="10160" b="0"/>
              <wp:wrapNone/>
              <wp:docPr id="120329250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13A64" w14:textId="3029C64D"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57A4C" id="_x0000_t202" coordsize="21600,21600" o:spt="202" path="m,l,21600r21600,l21600,xe">
              <v:stroke joinstyle="miter"/>
              <v:path gradientshapeok="t" o:connecttype="rect"/>
            </v:shapetype>
            <v:shape id="_x0000_s104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ndDQIAAB0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JIaR9cOqhNthXAm3Du5bqj3RvjwLJAYpnFJ&#10;teGJDt1CV3K4WJzVgD/+5o/5BDxFOetIMSW3JGnO2m+WCIniGgwcjF0yxvN8mlPcHsw9kA7H9CSc&#10;TCZ5MbSDqRHMK+l5FRtRSFhJ7Uq+G8z7cJYuvQepVquURDpyImzs1slYOuIVwXzpXwW6C+KBqHqE&#10;QU6ieAP8OTfe9G51CAR/YuUG5AVy0mAi6/Jeosh//U9Zt1e9/Ak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O3aWd0NAgAAHQQA&#10;AA4AAAAAAAAAAAAAAAAALgIAAGRycy9lMm9Eb2MueG1sUEsBAi0AFAAGAAgAAAAhAOsbVRTaAAAA&#10;BAEAAA8AAAAAAAAAAAAAAAAAZwQAAGRycy9kb3ducmV2LnhtbFBLBQYAAAAABAAEAPMAAABuBQAA&#10;AAA=&#10;" filled="f" stroked="f">
              <v:textbox style="mso-fit-shape-to-text:t" inset="0,0,0,15pt">
                <w:txbxContent>
                  <w:p w14:paraId="1E013A64" w14:textId="3029C64D"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8D" w14:textId="77777777" w:rsidR="005B5CB9" w:rsidRDefault="005B5CB9">
    <w:pPr>
      <w:pStyle w:val="Footer"/>
    </w:pPr>
    <w:r>
      <w:rPr>
        <w:noProof/>
      </w:rPr>
      <mc:AlternateContent>
        <mc:Choice Requires="wps">
          <w:drawing>
            <wp:anchor distT="0" distB="0" distL="0" distR="0" simplePos="0" relativeHeight="251630080" behindDoc="0" locked="0" layoutInCell="1" allowOverlap="1" wp14:anchorId="6CFF3042" wp14:editId="14EB5648">
              <wp:simplePos x="831850" y="9994900"/>
              <wp:positionH relativeFrom="page">
                <wp:align>center</wp:align>
              </wp:positionH>
              <wp:positionV relativeFrom="page">
                <wp:align>bottom</wp:align>
              </wp:positionV>
              <wp:extent cx="656590" cy="369570"/>
              <wp:effectExtent l="0" t="0" r="10160" b="0"/>
              <wp:wrapNone/>
              <wp:docPr id="22569084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A0CDA6C"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F3042" id="_x0000_t202" coordsize="21600,21600" o:spt="202" path="m,l,21600r21600,l21600,xe">
              <v:stroke joinstyle="miter"/>
              <v:path gradientshapeok="t" o:connecttype="rect"/>
            </v:shapetype>
            <v:shape id="Text Box 16" o:spid="_x0000_s1027" type="#_x0000_t202" alt="OFFICIAL" style="position:absolute;left:0;text-align:left;margin-left:0;margin-top:0;width:51.7pt;height:29.1pt;z-index:251630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A0CDA6C"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C848" w14:textId="77777777" w:rsidR="005B5CB9" w:rsidRDefault="005B5CB9">
    <w:pPr>
      <w:pStyle w:val="Footer"/>
    </w:pPr>
    <w:r>
      <w:rPr>
        <w:noProof/>
      </w:rPr>
      <mc:AlternateContent>
        <mc:Choice Requires="wps">
          <w:drawing>
            <wp:anchor distT="0" distB="0" distL="0" distR="0" simplePos="0" relativeHeight="251628032" behindDoc="0" locked="0" layoutInCell="1" allowOverlap="1" wp14:anchorId="2359B6D7" wp14:editId="43C80FCD">
              <wp:simplePos x="635" y="635"/>
              <wp:positionH relativeFrom="page">
                <wp:align>center</wp:align>
              </wp:positionH>
              <wp:positionV relativeFrom="page">
                <wp:align>bottom</wp:align>
              </wp:positionV>
              <wp:extent cx="656590" cy="369570"/>
              <wp:effectExtent l="0" t="0" r="10160" b="0"/>
              <wp:wrapNone/>
              <wp:docPr id="106101228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A2440EC"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9B6D7" id="_x0000_t202" coordsize="21600,21600" o:spt="202" path="m,l,21600r21600,l21600,xe">
              <v:stroke joinstyle="miter"/>
              <v:path gradientshapeok="t" o:connecttype="rect"/>
            </v:shapetype>
            <v:shape id="Text Box 14" o:spid="_x0000_s1028" type="#_x0000_t202" alt="OFFICIAL" style="position:absolute;left:0;text-align:left;margin-left:0;margin-top:0;width:51.7pt;height:29.1pt;z-index:251628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A2440EC"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B607" w14:textId="77777777" w:rsidR="005B5CB9" w:rsidRDefault="005B5CB9">
    <w:pPr>
      <w:pStyle w:val="Footer"/>
    </w:pPr>
    <w:r>
      <w:rPr>
        <w:noProof/>
        <w:lang w:eastAsia="en-AU"/>
      </w:rPr>
      <mc:AlternateContent>
        <mc:Choice Requires="wps">
          <w:drawing>
            <wp:anchor distT="0" distB="0" distL="0" distR="0" simplePos="0" relativeHeight="251627008" behindDoc="0" locked="0" layoutInCell="1" allowOverlap="1" wp14:anchorId="6D130010" wp14:editId="0CF668CA">
              <wp:simplePos x="635" y="635"/>
              <wp:positionH relativeFrom="page">
                <wp:align>center</wp:align>
              </wp:positionH>
              <wp:positionV relativeFrom="page">
                <wp:align>bottom</wp:align>
              </wp:positionV>
              <wp:extent cx="656590" cy="369570"/>
              <wp:effectExtent l="0" t="0" r="10160" b="0"/>
              <wp:wrapNone/>
              <wp:docPr id="41374002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DB4F7C"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30010" id="_x0000_t202" coordsize="21600,21600" o:spt="202" path="m,l,21600r21600,l21600,xe">
              <v:stroke joinstyle="miter"/>
              <v:path gradientshapeok="t" o:connecttype="rect"/>
            </v:shapetype>
            <v:shape id="Text Box 17" o:spid="_x0000_s1029" type="#_x0000_t202" alt="OFFICIAL" style="position:absolute;left:0;text-align:left;margin-left:0;margin-top:0;width:51.7pt;height:29.1pt;z-index:251627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BDB4F7C"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22912" behindDoc="0" locked="0" layoutInCell="0" allowOverlap="1" wp14:anchorId="641ED457" wp14:editId="0DC4E7F9">
              <wp:simplePos x="0" y="0"/>
              <wp:positionH relativeFrom="margin">
                <wp:posOffset>0</wp:posOffset>
              </wp:positionH>
              <wp:positionV relativeFrom="page">
                <wp:posOffset>7068820</wp:posOffset>
              </wp:positionV>
              <wp:extent cx="9569669" cy="190500"/>
              <wp:effectExtent l="0" t="0" r="0" b="0"/>
              <wp:wrapNone/>
              <wp:docPr id="25" name="Text Box 2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9569669"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53944" w14:textId="77777777" w:rsidR="005B5CB9" w:rsidRPr="002C5B7C" w:rsidRDefault="005B5CB9">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ED457" id="Text Box 25" o:spid="_x0000_s1030" type="#_x0000_t202" alt="{&quot;HashCode&quot;:904758361,&quot;Height&quot;:841.0,&quot;Width&quot;:595.0,&quot;Placement&quot;:&quot;Footer&quot;,&quot;Index&quot;:&quot;OddAndEven&quot;,&quot;Section&quot;:3,&quot;Top&quot;:0.0,&quot;Left&quot;:0.0}" style="position:absolute;left:0;text-align:left;margin-left:0;margin-top:556.6pt;width:753.5pt;height:15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" o:allowincell="f" filled="f" stroked="f" strokeweight=".5pt">
              <v:textbox inset=",0,,0">
                <w:txbxContent>
                  <w:p w14:paraId="27853944" w14:textId="77777777" w:rsidR="005B5CB9" w:rsidRPr="002C5B7C" w:rsidRDefault="005B5CB9">
                    <w:pPr>
                      <w:spacing w:after="0"/>
                      <w:jc w:val="center"/>
                      <w:rPr>
                        <w:rFonts w:ascii="Arial Black" w:hAnsi="Arial Black"/>
                        <w:color w:val="000000"/>
                        <w:sz w:val="20"/>
                      </w:rPr>
                    </w:pPr>
                    <w:r>
                      <w:rPr>
                        <w:rFonts w:ascii="Arial Black" w:hAnsi="Arial Black"/>
                        <w:color w:val="000000"/>
                        <w:sz w:val="20"/>
                      </w:rPr>
                      <w:t>OFFICIAL</w:t>
                    </w:r>
                  </w:p>
                </w:txbxContent>
              </v:textbox>
              <w10:wrap anchorx="margin" anchory="page"/>
            </v:shape>
          </w:pict>
        </mc:Fallback>
      </mc:AlternateContent>
    </w:r>
    <w:r>
      <w:rPr>
        <w:noProof/>
        <w:lang w:eastAsia="en-AU"/>
      </w:rPr>
      <mc:AlternateContent>
        <mc:Choice Requires="wps">
          <w:drawing>
            <wp:anchor distT="0" distB="0" distL="114300" distR="114300" simplePos="0" relativeHeight="251618816" behindDoc="0" locked="0" layoutInCell="0" allowOverlap="1" wp14:anchorId="5603F12E" wp14:editId="7048549D">
              <wp:simplePos x="0" y="0"/>
              <wp:positionH relativeFrom="page">
                <wp:align>right</wp:align>
              </wp:positionH>
              <wp:positionV relativeFrom="page">
                <wp:posOffset>10401300</wp:posOffset>
              </wp:positionV>
              <wp:extent cx="7560310" cy="190500"/>
              <wp:effectExtent l="0" t="0" r="0" b="0"/>
              <wp:wrapNone/>
              <wp:docPr id="12" name="Text Box 12"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2AADD" w14:textId="77777777" w:rsidR="005B5CB9" w:rsidRPr="002C5B7C" w:rsidRDefault="005B5CB9"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5603F12E" id="Text Box 12" o:spid="_x0000_s1031" type="#_x0000_t202" alt="{&quot;HashCode&quot;:904758361,&quot;Height&quot;:841.0,&quot;Width&quot;:595.0,&quot;Placement&quot;:&quot;Footer&quot;,&quot;Index&quot;:&quot;OddAndEven&quot;,&quot;Section&quot;:3,&quot;Top&quot;:0.0,&quot;Left&quot;:0.0}" style="position:absolute;left:0;text-align:left;margin-left:544.1pt;margin-top:819pt;width:595.3pt;height:15pt;z-index:251618816;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j0GAIAACs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" o:allowincell="f" filled="f" stroked="f" strokeweight=".5pt">
              <v:textbox inset=",0,,0">
                <w:txbxContent>
                  <w:p w14:paraId="3CF2AADD" w14:textId="77777777" w:rsidR="005B5CB9" w:rsidRPr="002C5B7C" w:rsidRDefault="005B5CB9"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20A0" w14:textId="77777777" w:rsidR="005B5CB9" w:rsidRDefault="005B5CB9">
    <w:pPr>
      <w:pStyle w:val="Footer"/>
    </w:pPr>
    <w:r>
      <w:rPr>
        <w:noProof/>
      </w:rPr>
      <mc:AlternateContent>
        <mc:Choice Requires="wps">
          <w:drawing>
            <wp:anchor distT="0" distB="0" distL="0" distR="0" simplePos="0" relativeHeight="251677184" behindDoc="0" locked="0" layoutInCell="1" allowOverlap="1" wp14:anchorId="21E30240" wp14:editId="1CDA046E">
              <wp:simplePos x="635" y="635"/>
              <wp:positionH relativeFrom="page">
                <wp:align>center</wp:align>
              </wp:positionH>
              <wp:positionV relativeFrom="page">
                <wp:align>bottom</wp:align>
              </wp:positionV>
              <wp:extent cx="656590" cy="369570"/>
              <wp:effectExtent l="0" t="0" r="10160" b="0"/>
              <wp:wrapNone/>
              <wp:docPr id="136405537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491ACDD" w14:textId="77777777" w:rsidR="005B5CB9" w:rsidRPr="006D2FCD" w:rsidRDefault="005B5CB9">
                          <w:pPr>
                            <w:rPr>
                              <w:rFonts w:ascii="Arial Black" w:eastAsia="Arial Black" w:hAnsi="Arial Black" w:cs="Arial Black"/>
                              <w:noProof/>
                              <w:color w:val="000000"/>
                              <w:sz w:val="20"/>
                            </w:rPr>
                          </w:pPr>
                          <w:r w:rsidRPr="006D2F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30240" id="_x0000_t202" coordsize="21600,21600" o:spt="202" path="m,l,21600r21600,l21600,xe">
              <v:stroke joinstyle="miter"/>
              <v:path gradientshapeok="t" o:connecttype="rect"/>
            </v:shapetype>
            <v:shape id="Text Box 2" o:spid="_x0000_s1032" type="#_x0000_t202" alt="OFFICIAL" style="position:absolute;left:0;text-align:left;margin-left:0;margin-top:0;width:51.7pt;height:29.1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4491ACDD" w14:textId="77777777" w:rsidR="005B5CB9" w:rsidRPr="006D2FCD" w:rsidRDefault="005B5CB9">
                    <w:pPr>
                      <w:rPr>
                        <w:rFonts w:ascii="Arial Black" w:eastAsia="Arial Black" w:hAnsi="Arial Black" w:cs="Arial Black"/>
                        <w:noProof/>
                        <w:color w:val="000000"/>
                        <w:sz w:val="20"/>
                      </w:rPr>
                    </w:pPr>
                    <w:r w:rsidRPr="006D2FC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2015" w14:textId="77777777" w:rsidR="005B5CB9" w:rsidRDefault="005B5CB9">
    <w:pPr>
      <w:pStyle w:val="Footer"/>
      <w:jc w:val="center"/>
    </w:pPr>
    <w:r>
      <w:rPr>
        <w:noProof/>
      </w:rPr>
      <mc:AlternateContent>
        <mc:Choice Requires="wps">
          <w:drawing>
            <wp:inline distT="0" distB="0" distL="0" distR="0" wp14:anchorId="72E8A5C2" wp14:editId="622BED59">
              <wp:extent cx="647700" cy="495300"/>
              <wp:effectExtent l="0" t="0" r="0" b="0"/>
              <wp:docPr id="11081295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7700" cy="495300"/>
                      </a:xfrm>
                      <a:prstGeom prst="rect">
                        <a:avLst/>
                      </a:prstGeom>
                      <a:noFill/>
                      <a:ln>
                        <a:noFill/>
                      </a:ln>
                    </wps:spPr>
                    <wps:txbx>
                      <w:txbxContent>
                        <w:p w14:paraId="01DA195B" w14:textId="77777777" w:rsidR="005B5CB9" w:rsidRPr="006D2FCD" w:rsidRDefault="005B5CB9">
                          <w:pPr>
                            <w:rPr>
                              <w:rFonts w:ascii="Arial Black" w:eastAsia="Arial Black" w:hAnsi="Arial Black" w:cs="Arial Black"/>
                              <w:noProof/>
                              <w:color w:val="000000"/>
                              <w:sz w:val="20"/>
                            </w:rPr>
                          </w:pPr>
                          <w:r w:rsidRPr="006D2F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2E8A5C2" id="_x0000_t202" coordsize="21600,21600" o:spt="202" path="m,l,21600r21600,l21600,xe">
              <v:stroke joinstyle="miter"/>
              <v:path gradientshapeok="t" o:connecttype="rect"/>
            </v:shapetype>
            <v:shape id="Text Box 3" o:spid="_x0000_s1033" type="#_x0000_t202" alt="OFFICIAL" style="width:51pt;height:39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" filled="f" stroked="f">
              <v:textbox style="mso-fit-shape-to-text:t" inset="0,0,0,15pt">
                <w:txbxContent>
                  <w:p w14:paraId="01DA195B" w14:textId="77777777" w:rsidR="005B5CB9" w:rsidRPr="006D2FCD" w:rsidRDefault="005B5CB9">
                    <w:pPr>
                      <w:rPr>
                        <w:rFonts w:ascii="Arial Black" w:eastAsia="Arial Black" w:hAnsi="Arial Black" w:cs="Arial Black"/>
                        <w:noProof/>
                        <w:color w:val="000000"/>
                        <w:sz w:val="20"/>
                      </w:rPr>
                    </w:pPr>
                    <w:r w:rsidRPr="006D2FCD">
                      <w:rPr>
                        <w:rFonts w:ascii="Arial Black" w:eastAsia="Arial Black" w:hAnsi="Arial Black" w:cs="Arial Black"/>
                        <w:noProof/>
                        <w:color w:val="000000"/>
                        <w:sz w:val="20"/>
                      </w:rPr>
                      <w:t>OFFICIAL</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13D5" w14:textId="77777777" w:rsidR="005B5CB9" w:rsidRDefault="005B5CB9">
    <w:pPr>
      <w:pStyle w:val="Footer"/>
    </w:pPr>
    <w:r>
      <w:rPr>
        <w:noProof/>
      </w:rPr>
      <mc:AlternateContent>
        <mc:Choice Requires="wps">
          <w:drawing>
            <wp:anchor distT="0" distB="0" distL="0" distR="0" simplePos="0" relativeHeight="251681280" behindDoc="0" locked="0" layoutInCell="1" allowOverlap="1" wp14:anchorId="4A3D627F" wp14:editId="2FF882F2">
              <wp:simplePos x="635" y="635"/>
              <wp:positionH relativeFrom="page">
                <wp:align>center</wp:align>
              </wp:positionH>
              <wp:positionV relativeFrom="page">
                <wp:align>bottom</wp:align>
              </wp:positionV>
              <wp:extent cx="656590" cy="369570"/>
              <wp:effectExtent l="0" t="0" r="10160" b="0"/>
              <wp:wrapNone/>
              <wp:docPr id="73419637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FB3A82" w14:textId="77777777" w:rsidR="005B5CB9" w:rsidRPr="006D2FCD" w:rsidRDefault="005B5CB9">
                          <w:pPr>
                            <w:rPr>
                              <w:rFonts w:ascii="Arial Black" w:eastAsia="Arial Black" w:hAnsi="Arial Black" w:cs="Arial Black"/>
                              <w:noProof/>
                              <w:color w:val="000000"/>
                              <w:sz w:val="20"/>
                            </w:rPr>
                          </w:pPr>
                          <w:r w:rsidRPr="006D2F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D627F" id="_x0000_t202" coordsize="21600,21600" o:spt="202" path="m,l,21600r21600,l21600,xe">
              <v:stroke joinstyle="miter"/>
              <v:path gradientshapeok="t" o:connecttype="rect"/>
            </v:shapetype>
            <v:shape id="Text Box 1" o:spid="_x0000_s1034" type="#_x0000_t202" alt="OFFICIAL" style="position:absolute;left:0;text-align:left;margin-left:0;margin-top:0;width:51.7pt;height:29.1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7BFB3A82" w14:textId="77777777" w:rsidR="005B5CB9" w:rsidRPr="006D2FCD" w:rsidRDefault="005B5CB9">
                    <w:pPr>
                      <w:rPr>
                        <w:rFonts w:ascii="Arial Black" w:eastAsia="Arial Black" w:hAnsi="Arial Black" w:cs="Arial Black"/>
                        <w:noProof/>
                        <w:color w:val="000000"/>
                        <w:sz w:val="20"/>
                      </w:rPr>
                    </w:pPr>
                    <w:r w:rsidRPr="006D2FC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818" w14:textId="77777777" w:rsidR="005B5CB9" w:rsidRDefault="005B5CB9">
    <w:pPr>
      <w:pStyle w:val="Footer"/>
    </w:pPr>
    <w:r>
      <w:rPr>
        <w:noProof/>
        <w:lang w:eastAsia="en-AU"/>
      </w:rPr>
      <mc:AlternateContent>
        <mc:Choice Requires="wps">
          <w:drawing>
            <wp:anchor distT="0" distB="0" distL="0" distR="0" simplePos="0" relativeHeight="251666944" behindDoc="0" locked="0" layoutInCell="1" allowOverlap="1" wp14:anchorId="54922D5B" wp14:editId="06E2D501">
              <wp:simplePos x="635" y="635"/>
              <wp:positionH relativeFrom="page">
                <wp:align>center</wp:align>
              </wp:positionH>
              <wp:positionV relativeFrom="page">
                <wp:align>bottom</wp:align>
              </wp:positionV>
              <wp:extent cx="656590" cy="369570"/>
              <wp:effectExtent l="0" t="0" r="10160" b="0"/>
              <wp:wrapNone/>
              <wp:docPr id="1093404696"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51E570F"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22D5B" id="_x0000_t202" coordsize="21600,21600" o:spt="202" path="m,l,21600r21600,l21600,xe">
              <v:stroke joinstyle="miter"/>
              <v:path gradientshapeok="t" o:connecttype="rect"/>
            </v:shapetype>
            <v:shape id="Text Box 20" o:spid="_x0000_s1035" type="#_x0000_t202" alt="OFFICIAL" style="position:absolute;left:0;text-align:left;margin-left:0;margin-top:0;width:51.7pt;height:29.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textbox style="mso-fit-shape-to-text:t" inset="0,0,0,15pt">
                <w:txbxContent>
                  <w:p w14:paraId="251E570F"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4656" behindDoc="0" locked="0" layoutInCell="0" allowOverlap="1" wp14:anchorId="47122BC7" wp14:editId="1F2655C6">
              <wp:simplePos x="0" y="0"/>
              <wp:positionH relativeFrom="page">
                <wp:posOffset>1513325</wp:posOffset>
              </wp:positionH>
              <wp:positionV relativeFrom="page">
                <wp:posOffset>7197402</wp:posOffset>
              </wp:positionV>
              <wp:extent cx="7560310" cy="190500"/>
              <wp:effectExtent l="0" t="0" r="0" b="0"/>
              <wp:wrapNone/>
              <wp:docPr id="16" name="Text Box 1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E3091" w14:textId="77777777" w:rsidR="005B5CB9" w:rsidRPr="002C5B7C" w:rsidRDefault="005B5CB9">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47122BC7" id="_x0000_s1036" type="#_x0000_t202" alt="{&quot;HashCode&quot;:904758361,&quot;Height&quot;:841.0,&quot;Width&quot;:595.0,&quot;Placement&quot;:&quot;Footer&quot;,&quot;Index&quot;:&quot;OddAndEven&quot;,&quot;Section&quot;:3,&quot;Top&quot;:0.0,&quot;Left&quot;:0.0}" style="position:absolute;left:0;text-align:left;margin-left:119.15pt;margin-top:566.7pt;width:595.3pt;height:15pt;z-index:2516546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" o:allowincell="f" filled="f" stroked="f" strokeweight=".5pt">
              <v:textbox inset=",0,,0">
                <w:txbxContent>
                  <w:p w14:paraId="20FE3091" w14:textId="77777777" w:rsidR="005B5CB9" w:rsidRPr="002C5B7C" w:rsidRDefault="005B5CB9">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0800" behindDoc="0" locked="0" layoutInCell="0" allowOverlap="1" wp14:anchorId="1CB556A9" wp14:editId="73CA610A">
              <wp:simplePos x="0" y="0"/>
              <wp:positionH relativeFrom="margin">
                <wp:align>center</wp:align>
              </wp:positionH>
              <wp:positionV relativeFrom="page">
                <wp:posOffset>10391775</wp:posOffset>
              </wp:positionV>
              <wp:extent cx="2762250" cy="266700"/>
              <wp:effectExtent l="0" t="0" r="0" b="0"/>
              <wp:wrapNone/>
              <wp:docPr id="9" name="Text Box 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27622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0DAC2" w14:textId="77777777" w:rsidR="005B5CB9" w:rsidRPr="002C5B7C" w:rsidRDefault="005B5CB9" w:rsidP="002C5B7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556A9" id="Text Box 9" o:spid="_x0000_s1037" type="#_x0000_t202" alt="{&quot;HashCode&quot;:904758361,&quot;Height&quot;:841.0,&quot;Width&quot;:595.0,&quot;Placement&quot;:&quot;Footer&quot;,&quot;Index&quot;:&quot;OddAndEven&quot;,&quot;Section&quot;:3,&quot;Top&quot;:0.0,&quot;Left&quot;:0.0}" style="position:absolute;left:0;text-align:left;margin-left:0;margin-top:818.25pt;width:217.5pt;height:21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" o:allowincell="f" filled="f" stroked="f" strokeweight=".5pt">
              <v:textbox inset=",0,,0">
                <w:txbxContent>
                  <w:p w14:paraId="75C0DAC2" w14:textId="77777777" w:rsidR="005B5CB9" w:rsidRPr="002C5B7C" w:rsidRDefault="005B5CB9" w:rsidP="002C5B7C">
                    <w:pPr>
                      <w:spacing w:after="0"/>
                      <w:jc w:val="center"/>
                      <w:rPr>
                        <w:rFonts w:ascii="Arial Black" w:hAnsi="Arial Black"/>
                        <w:color w:val="000000"/>
                        <w:sz w:val="20"/>
                      </w:rPr>
                    </w:pPr>
                  </w:p>
                </w:txbxContent>
              </v:textbox>
              <w10:wrap anchorx="margin"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F945" w14:textId="77777777" w:rsidR="005B5CB9" w:rsidRPr="0031305A" w:rsidRDefault="005B5CB9">
    <w:pPr>
      <w:pStyle w:val="Header"/>
      <w:spacing w:after="0"/>
      <w:rPr>
        <w:b w:val="0"/>
        <w:bCs/>
        <w:color w:val="auto"/>
      </w:rPr>
    </w:pPr>
    <w:r>
      <w:rPr>
        <w:noProof/>
        <w:lang w:eastAsia="en-AU"/>
      </w:rPr>
      <mc:AlternateContent>
        <mc:Choice Requires="wps">
          <w:drawing>
            <wp:anchor distT="0" distB="0" distL="0" distR="0" simplePos="0" relativeHeight="251673088" behindDoc="0" locked="0" layoutInCell="1" allowOverlap="1" wp14:anchorId="35F9C00F" wp14:editId="4949CA01">
              <wp:simplePos x="635" y="635"/>
              <wp:positionH relativeFrom="page">
                <wp:align>center</wp:align>
              </wp:positionH>
              <wp:positionV relativeFrom="page">
                <wp:align>bottom</wp:align>
              </wp:positionV>
              <wp:extent cx="656590" cy="369570"/>
              <wp:effectExtent l="0" t="0" r="10160" b="0"/>
              <wp:wrapNone/>
              <wp:docPr id="38618102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791B6A"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9C00F" id="_x0000_t202" coordsize="21600,21600" o:spt="202" path="m,l,21600r21600,l21600,xe">
              <v:stroke joinstyle="miter"/>
              <v:path gradientshapeok="t" o:connecttype="rect"/>
            </v:shapetype>
            <v:shape id="Text Box 21" o:spid="_x0000_s1038" type="#_x0000_t202" alt="OFFICIAL" style="position:absolute;margin-left:0;margin-top:0;width:51.7pt;height:29.1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textbox style="mso-fit-shape-to-text:t" inset="0,0,0,15pt">
                <w:txbxContent>
                  <w:p w14:paraId="30791B6A" w14:textId="77777777" w:rsidR="005B5CB9" w:rsidRPr="006C0136" w:rsidRDefault="005B5CB9">
                    <w:pPr>
                      <w:spacing w:after="0"/>
                      <w:rPr>
                        <w:rFonts w:ascii="Arial Black" w:eastAsia="Arial Black" w:hAnsi="Arial Black" w:cs="Arial Black"/>
                        <w:noProof/>
                        <w:color w:val="000000"/>
                        <w:sz w:val="20"/>
                      </w:rPr>
                    </w:pPr>
                    <w:r w:rsidRPr="006C0136">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42368" behindDoc="0" locked="0" layoutInCell="0" allowOverlap="1" wp14:anchorId="2ED757F0" wp14:editId="16556848">
              <wp:simplePos x="0" y="0"/>
              <wp:positionH relativeFrom="page">
                <wp:posOffset>-5080</wp:posOffset>
              </wp:positionH>
              <wp:positionV relativeFrom="page">
                <wp:posOffset>7107484</wp:posOffset>
              </wp:positionV>
              <wp:extent cx="10668000" cy="190500"/>
              <wp:effectExtent l="0" t="0" r="0" b="0"/>
              <wp:wrapNone/>
              <wp:docPr id="2138593755" name="Text Box 213859375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1066800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91F3DD" w14:textId="77777777" w:rsidR="005B5CB9" w:rsidRPr="002C5B7C" w:rsidRDefault="005B5CB9">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757F0" id="Text Box 2138593755" o:spid="_x0000_s1039" type="#_x0000_t202" alt="{&quot;HashCode&quot;:904758361,&quot;Height&quot;:841.0,&quot;Width&quot;:595.0,&quot;Placement&quot;:&quot;Footer&quot;,&quot;Index&quot;:&quot;OddAndEven&quot;,&quot;Section&quot;:3,&quot;Top&quot;:0.0,&quot;Left&quot;:0.0}" style="position:absolute;margin-left:-.4pt;margin-top:559.65pt;width:840pt;height:1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" o:allowincell="f" filled="f" stroked="f" strokeweight=".5pt">
              <v:textbox inset=",0,,0">
                <w:txbxContent>
                  <w:p w14:paraId="5391F3DD" w14:textId="77777777" w:rsidR="005B5CB9" w:rsidRPr="002C5B7C" w:rsidRDefault="005B5CB9">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48512" behindDoc="0" locked="0" layoutInCell="0" allowOverlap="1" wp14:anchorId="658E60AE" wp14:editId="221FDAD7">
              <wp:simplePos x="0" y="0"/>
              <wp:positionH relativeFrom="page">
                <wp:posOffset>-4166</wp:posOffset>
              </wp:positionH>
              <wp:positionV relativeFrom="page">
                <wp:posOffset>10236302</wp:posOffset>
              </wp:positionV>
              <wp:extent cx="7560310" cy="190500"/>
              <wp:effectExtent l="0" t="0" r="0" b="0"/>
              <wp:wrapNone/>
              <wp:docPr id="557721828" name="Text Box 55772182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098680" w14:textId="77777777" w:rsidR="005B5CB9" w:rsidRPr="002C5B7C" w:rsidRDefault="005B5CB9">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58E60AE" id="Text Box 557721828" o:spid="_x0000_s1040" type="#_x0000_t202" alt="{&quot;HashCode&quot;:904758361,&quot;Height&quot;:841.0,&quot;Width&quot;:595.0,&quot;Placement&quot;:&quot;Footer&quot;,&quot;Index&quot;:&quot;OddAndEven&quot;,&quot;Section&quot;:3,&quot;Top&quot;:0.0,&quot;Left&quot;:0.0}" style="position:absolute;margin-left:-.35pt;margin-top:806pt;width:595.3pt;height:15pt;z-index:2516485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" o:allowincell="f" filled="f" stroked="f" strokeweight=".5pt">
              <v:textbox inset=",0,,0">
                <w:txbxContent>
                  <w:p w14:paraId="78098680" w14:textId="77777777" w:rsidR="005B5CB9" w:rsidRPr="002C5B7C" w:rsidRDefault="005B5CB9">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36224" behindDoc="0" locked="0" layoutInCell="0" allowOverlap="1" wp14:anchorId="3B1B2599" wp14:editId="1B7E40F7">
              <wp:simplePos x="0" y="0"/>
              <wp:positionH relativeFrom="page">
                <wp:posOffset>-4166</wp:posOffset>
              </wp:positionH>
              <wp:positionV relativeFrom="page">
                <wp:posOffset>10236302</wp:posOffset>
              </wp:positionV>
              <wp:extent cx="7560310" cy="190500"/>
              <wp:effectExtent l="0" t="0" r="0" b="0"/>
              <wp:wrapNone/>
              <wp:docPr id="13" name="Text Box 13"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96D90" w14:textId="77777777" w:rsidR="005B5CB9" w:rsidRPr="002C5B7C" w:rsidRDefault="005B5CB9">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3B1B2599" id="Text Box 13" o:spid="_x0000_s1041" type="#_x0000_t202" alt="{&quot;HashCode&quot;:904758361,&quot;Height&quot;:841.0,&quot;Width&quot;:595.0,&quot;Placement&quot;:&quot;Footer&quot;,&quot;Index&quot;:&quot;OddAndEven&quot;,&quot;Section&quot;:3,&quot;Top&quot;:0.0,&quot;Left&quot;:0.0}" style="position:absolute;margin-left:-.35pt;margin-top:806pt;width:595.3pt;height:15pt;z-index:25163622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zzGQIAACw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" o:allowincell="f" filled="f" stroked="f" strokeweight=".5pt">
              <v:textbox inset=",0,,0">
                <w:txbxContent>
                  <w:p w14:paraId="7EE96D90" w14:textId="77777777" w:rsidR="005B5CB9" w:rsidRPr="002C5B7C" w:rsidRDefault="005B5CB9">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1AF3" w14:textId="77777777" w:rsidR="00763AFF" w:rsidRDefault="00763AFF" w:rsidP="00207717">
      <w:pPr>
        <w:spacing w:before="120"/>
      </w:pPr>
      <w:r>
        <w:separator/>
      </w:r>
    </w:p>
  </w:footnote>
  <w:footnote w:type="continuationSeparator" w:id="0">
    <w:p w14:paraId="7B22F222" w14:textId="77777777" w:rsidR="00763AFF" w:rsidRDefault="00763AFF">
      <w:r>
        <w:continuationSeparator/>
      </w:r>
    </w:p>
    <w:p w14:paraId="06AFF080" w14:textId="77777777" w:rsidR="00763AFF" w:rsidRDefault="00763AFF"/>
  </w:footnote>
  <w:footnote w:type="continuationNotice" w:id="1">
    <w:p w14:paraId="65977475" w14:textId="77777777" w:rsidR="00763AFF" w:rsidRDefault="00763AFF">
      <w:pPr>
        <w:spacing w:after="0" w:line="240" w:lineRule="auto"/>
      </w:pPr>
    </w:p>
  </w:footnote>
  <w:footnote w:id="2">
    <w:p w14:paraId="4D87CB73" w14:textId="77777777" w:rsidR="005B5CB9" w:rsidRDefault="005B5CB9" w:rsidP="005B5CB9">
      <w:pPr>
        <w:pStyle w:val="FootnoteText"/>
      </w:pPr>
      <w:r w:rsidRPr="008E1271">
        <w:rPr>
          <w:rStyle w:val="FootnoteReference"/>
        </w:rPr>
        <w:footnoteRef/>
      </w:r>
      <w:r w:rsidRPr="008E1271">
        <w:t xml:space="preserve"> Victoria will fund these services </w:t>
      </w:r>
      <w:proofErr w:type="gramStart"/>
      <w:r w:rsidRPr="008E1271">
        <w:t>on the basis of</w:t>
      </w:r>
      <w:proofErr w:type="gramEnd"/>
      <w:r w:rsidRPr="008E1271">
        <w:t xml:space="preserve"> NWAU ABF along with the broader transition of community mental services from block funding to ABF in 2025</w:t>
      </w:r>
      <w:r>
        <w:t>–</w:t>
      </w:r>
      <w:r w:rsidRPr="008E1271">
        <w:t xml:space="preserve">26. This exception to aligning to the </w:t>
      </w:r>
      <w:r>
        <w:t>NFM</w:t>
      </w:r>
      <w:r w:rsidRPr="008E1271">
        <w:t xml:space="preserve"> is made on the basis that these services are forecast to exceed the </w:t>
      </w:r>
      <w:r>
        <w:t>NFM</w:t>
      </w:r>
      <w:r w:rsidRPr="008E1271">
        <w:t xml:space="preserve"> for transitional block</w:t>
      </w:r>
      <w:r>
        <w:t>-</w:t>
      </w:r>
      <w:r w:rsidRPr="008E1271">
        <w:t>funding criteria for community mental health services in 2026</w:t>
      </w:r>
      <w:r>
        <w:t>–</w:t>
      </w:r>
      <w:r w:rsidRPr="008E1271">
        <w:t>27.</w:t>
      </w:r>
    </w:p>
  </w:footnote>
  <w:footnote w:id="3">
    <w:p w14:paraId="6D94C926" w14:textId="77777777" w:rsidR="005B5CB9" w:rsidRDefault="005B5CB9" w:rsidP="005B5CB9">
      <w:pPr>
        <w:pStyle w:val="FootnoteText"/>
      </w:pPr>
      <w:r w:rsidRPr="00B11F16">
        <w:rPr>
          <w:vertAlign w:val="superscript"/>
        </w:rPr>
        <w:footnoteRef/>
      </w:r>
      <w:r w:rsidRPr="00DD1351">
        <w:t xml:space="preserve"> Continued analysis of Statement of Priorities leave event data and other supporting measures will inform approaches to enhance patient experiences and improve Aboriginal health and wellbeing</w:t>
      </w:r>
      <w:r>
        <w:t xml:space="preserve">. </w:t>
      </w:r>
    </w:p>
  </w:footnote>
  <w:footnote w:id="4">
    <w:p w14:paraId="7FF5B6DB" w14:textId="77777777" w:rsidR="005B5CB9" w:rsidRDefault="005B5CB9" w:rsidP="005B5CB9">
      <w:pPr>
        <w:pStyle w:val="FootnoteText"/>
        <w:rPr>
          <w:lang w:val="en-US"/>
        </w:rPr>
      </w:pPr>
      <w:r w:rsidRPr="00CA2B41">
        <w:rPr>
          <w:vertAlign w:val="superscript"/>
        </w:rPr>
        <w:footnoteRef/>
      </w:r>
      <w:r>
        <w:t xml:space="preserve"> </w:t>
      </w:r>
      <w:r>
        <w:rPr>
          <w:rFonts w:eastAsia="Arial"/>
        </w:rPr>
        <w:t>State component only.</w:t>
      </w:r>
    </w:p>
  </w:footnote>
  <w:footnote w:id="5">
    <w:p w14:paraId="1074D9BC" w14:textId="77777777" w:rsidR="005B5CB9" w:rsidRDefault="005B5CB9" w:rsidP="005B5CB9">
      <w:pPr>
        <w:pStyle w:val="FootnoteText"/>
      </w:pPr>
      <w:r w:rsidRPr="004132DF">
        <w:rPr>
          <w:vertAlign w:val="superscript"/>
        </w:rPr>
        <w:footnoteRef/>
      </w:r>
      <w:r>
        <w:t xml:space="preserve"> This supplement was previously referred to as HSUA 1 EBA – hostel.</w:t>
      </w:r>
    </w:p>
  </w:footnote>
  <w:footnote w:id="6">
    <w:p w14:paraId="01B47231" w14:textId="77777777" w:rsidR="001568FD" w:rsidRDefault="001568FD" w:rsidP="001568FD">
      <w:pPr>
        <w:pStyle w:val="FootnoteText"/>
      </w:pPr>
      <w:r>
        <w:rPr>
          <w:rStyle w:val="FootnoteReference"/>
        </w:rPr>
        <w:footnoteRef/>
      </w:r>
      <w:r>
        <w:t xml:space="preserve"> Bed numbers in </w:t>
      </w:r>
      <w:r w:rsidRPr="00010DA5">
        <w:t>M</w:t>
      </w:r>
      <w:r>
        <w:t xml:space="preserve">ental </w:t>
      </w:r>
      <w:r w:rsidRPr="00010DA5">
        <w:t>H</w:t>
      </w:r>
      <w:r>
        <w:t xml:space="preserve">ealth and </w:t>
      </w:r>
      <w:r w:rsidRPr="00010DA5">
        <w:t xml:space="preserve">AOD hubs and </w:t>
      </w:r>
      <w:r>
        <w:t>those</w:t>
      </w:r>
      <w:r w:rsidRPr="00010DA5">
        <w:t xml:space="preserve"> under private contract</w:t>
      </w:r>
      <w:r>
        <w:t xml:space="preserve">s are not included. </w:t>
      </w:r>
    </w:p>
  </w:footnote>
  <w:footnote w:id="7">
    <w:p w14:paraId="1A7299A6" w14:textId="77777777" w:rsidR="001568FD" w:rsidRPr="00E20B0E" w:rsidRDefault="001568FD" w:rsidP="001568FD">
      <w:pPr>
        <w:pStyle w:val="FootnoteText"/>
        <w:rPr>
          <w:lang w:val="en-US"/>
        </w:rPr>
      </w:pPr>
      <w:r>
        <w:rPr>
          <w:rStyle w:val="FootnoteReference"/>
        </w:rPr>
        <w:footnoteRef/>
      </w:r>
      <w:r>
        <w:t xml:space="preserve"> Psychiatric Assessment and Planning Unit beds – short-stay beds typically co-located with an ED.</w:t>
      </w:r>
    </w:p>
  </w:footnote>
  <w:footnote w:id="8">
    <w:p w14:paraId="397D42EE" w14:textId="77777777" w:rsidR="001568FD" w:rsidRPr="005A5424" w:rsidRDefault="001568FD" w:rsidP="001568FD">
      <w:pPr>
        <w:pStyle w:val="FootnoteText"/>
        <w:rPr>
          <w:lang w:val="en-US"/>
        </w:rPr>
      </w:pPr>
      <w:r>
        <w:rPr>
          <w:rStyle w:val="FootnoteReference"/>
        </w:rPr>
        <w:footnoteRef/>
      </w:r>
      <w:r>
        <w:t xml:space="preserve"> </w:t>
      </w:r>
      <w:r>
        <w:rPr>
          <w:lang w:val="en-US"/>
        </w:rPr>
        <w:t>These are specialist secure forensic mental health beds.</w:t>
      </w:r>
    </w:p>
  </w:footnote>
  <w:footnote w:id="9">
    <w:p w14:paraId="157D8532" w14:textId="77777777" w:rsidR="001568FD" w:rsidRPr="00E20B0E" w:rsidRDefault="001568FD" w:rsidP="001568FD">
      <w:pPr>
        <w:pStyle w:val="FootnoteText"/>
        <w:rPr>
          <w:lang w:val="en-US"/>
        </w:rPr>
      </w:pPr>
      <w:r>
        <w:rPr>
          <w:rStyle w:val="FootnoteReference"/>
        </w:rPr>
        <w:footnoteRef/>
      </w:r>
      <w:r>
        <w:t xml:space="preserve"> These are secure youth justice beds.</w:t>
      </w:r>
    </w:p>
  </w:footnote>
  <w:footnote w:id="10">
    <w:p w14:paraId="0B6B95C0" w14:textId="77777777" w:rsidR="001568FD" w:rsidRPr="005A5424" w:rsidRDefault="001568FD" w:rsidP="001568FD">
      <w:pPr>
        <w:pStyle w:val="FootnoteText"/>
        <w:rPr>
          <w:lang w:val="en-US"/>
        </w:rPr>
      </w:pPr>
      <w:r>
        <w:rPr>
          <w:rStyle w:val="FootnoteReference"/>
        </w:rPr>
        <w:footnoteRef/>
      </w:r>
      <w:r>
        <w:t xml:space="preserve"> </w:t>
      </w:r>
      <w:r>
        <w:rPr>
          <w:lang w:val="en-US"/>
        </w:rPr>
        <w:t xml:space="preserve">These are beds in the </w:t>
      </w:r>
      <w:r w:rsidRPr="008D22AC">
        <w:rPr>
          <w:lang w:val="en-US"/>
        </w:rPr>
        <w:t>low dependency vulnerable persons unit.</w:t>
      </w:r>
    </w:p>
  </w:footnote>
  <w:footnote w:id="11">
    <w:p w14:paraId="395C9E46" w14:textId="77777777" w:rsidR="001568FD" w:rsidRPr="005A5424" w:rsidRDefault="001568FD" w:rsidP="001568FD">
      <w:pPr>
        <w:pStyle w:val="FootnoteText"/>
        <w:rPr>
          <w:lang w:val="en-US"/>
        </w:rPr>
      </w:pPr>
      <w:r>
        <w:rPr>
          <w:rStyle w:val="FootnoteReference"/>
        </w:rPr>
        <w:footnoteRef/>
      </w:r>
      <w:r>
        <w:t xml:space="preserve"> These are medium care area beds, unique to Sunshine Hospital at Western Health.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ACD" w14:textId="0AD16447" w:rsidR="005B5CB9" w:rsidRDefault="005B5CB9">
    <w:pPr>
      <w:pStyle w:val="Header"/>
      <w:tabs>
        <w:tab w:val="left" w:pos="7298"/>
        <w:tab w:val="left" w:pos="8931"/>
      </w:tabs>
    </w:pPr>
    <w:r w:rsidRPr="00342BA9">
      <w:t xml:space="preserve">Policy and </w:t>
    </w:r>
    <w:r>
      <w:t>f</w:t>
    </w:r>
    <w:r w:rsidRPr="00342BA9">
      <w:t xml:space="preserve">unding </w:t>
    </w:r>
    <w:r>
      <w:t>g</w:t>
    </w:r>
    <w:r w:rsidRPr="00342BA9">
      <w:t xml:space="preserve">uidelines </w:t>
    </w:r>
    <w:r>
      <w:t>2026–27</w:t>
    </w:r>
    <w:r w:rsidRPr="00342BA9">
      <w:t xml:space="preserve">: </w:t>
    </w:r>
    <w:r>
      <w:t xml:space="preserve">Funding </w:t>
    </w:r>
    <w:proofErr w:type="gramStart"/>
    <w:r w:rsidR="009D0B64">
      <w:t>r</w:t>
    </w:r>
    <w:r>
      <w:t>ules</w:t>
    </w:r>
    <w:r w:rsidR="00694DE9">
      <w:t xml:space="preserve">  </w:t>
    </w:r>
    <w:r w:rsidR="00694DE9">
      <w:tab/>
    </w:r>
    <w:proofErr w:type="gramEnd"/>
    <w:r w:rsidR="00694DE9">
      <w:tab/>
    </w:r>
    <w:r w:rsidR="00694DE9">
      <w:tab/>
    </w:r>
    <w:r w:rsidR="00694DE9" w:rsidRPr="00AE6427">
      <w:fldChar w:fldCharType="begin"/>
    </w:r>
    <w:r w:rsidR="00694DE9" w:rsidRPr="00AE6427">
      <w:instrText xml:space="preserve"> PAGE </w:instrText>
    </w:r>
    <w:r w:rsidR="00694DE9" w:rsidRPr="00AE6427">
      <w:fldChar w:fldCharType="separate"/>
    </w:r>
    <w:r w:rsidR="00694DE9">
      <w:t>9</w:t>
    </w:r>
    <w:r w:rsidR="00694DE9" w:rsidRPr="00AE6427">
      <w:fldChar w:fldCharType="end"/>
    </w:r>
    <w:r w:rsidR="00694DE9">
      <w:tab/>
    </w:r>
    <w:r w:rsidR="00694DE9">
      <w:tab/>
      <w:t xml:space="preserve">  </w:t>
    </w:r>
    <w:r w:rsidR="00FC7E53">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5B5CB9" w14:paraId="13851628" w14:textId="77777777">
      <w:trPr>
        <w:trHeight w:val="300"/>
      </w:trPr>
      <w:tc>
        <w:tcPr>
          <w:tcW w:w="4760" w:type="dxa"/>
        </w:tcPr>
        <w:p w14:paraId="7B97F4D0" w14:textId="77777777" w:rsidR="005B5CB9" w:rsidRDefault="005B5CB9">
          <w:pPr>
            <w:pStyle w:val="Header"/>
            <w:ind w:left="-115"/>
          </w:pPr>
        </w:p>
      </w:tc>
      <w:tc>
        <w:tcPr>
          <w:tcW w:w="4760" w:type="dxa"/>
        </w:tcPr>
        <w:p w14:paraId="0F97C8A6" w14:textId="77777777" w:rsidR="005B5CB9" w:rsidRDefault="005B5CB9">
          <w:pPr>
            <w:pStyle w:val="Header"/>
            <w:jc w:val="center"/>
          </w:pPr>
        </w:p>
      </w:tc>
      <w:tc>
        <w:tcPr>
          <w:tcW w:w="4760" w:type="dxa"/>
        </w:tcPr>
        <w:p w14:paraId="4CF95029" w14:textId="77777777" w:rsidR="005B5CB9" w:rsidRDefault="005B5CB9">
          <w:pPr>
            <w:pStyle w:val="Header"/>
            <w:ind w:right="-115"/>
            <w:jc w:val="right"/>
          </w:pPr>
        </w:p>
      </w:tc>
    </w:tr>
  </w:tbl>
  <w:p w14:paraId="73AFA72A" w14:textId="77777777" w:rsidR="005B5CB9" w:rsidRDefault="005B5C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0A6" w14:textId="77777777" w:rsidR="00431A70" w:rsidRPr="00454A7D" w:rsidRDefault="00431A70" w:rsidP="00454A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30C2" w14:textId="3CD42EE1" w:rsidR="00562811" w:rsidRPr="0051568D" w:rsidRDefault="0054715E" w:rsidP="0017674D">
    <w:pPr>
      <w:pStyle w:val="Header"/>
    </w:pPr>
    <w:r>
      <w:t>Policy and funding guidelines 202</w:t>
    </w:r>
    <w:r w:rsidR="00146D56">
      <w:t>6</w:t>
    </w:r>
    <w:r>
      <w:t>–2</w:t>
    </w:r>
    <w:r w:rsidR="00146D56">
      <w:t>7</w:t>
    </w:r>
    <w:r>
      <w:t xml:space="preserve">: </w:t>
    </w:r>
    <w:r w:rsidR="00DD5B4C">
      <w:t>Funding rules</w:t>
    </w:r>
    <w:r w:rsidR="00F21F40">
      <w:tab/>
    </w:r>
    <w:r w:rsidR="00F21F40">
      <w:tab/>
    </w:r>
    <w:r w:rsidR="00F21F40">
      <w:tab/>
    </w:r>
    <w:r w:rsidR="00F21F4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5B5CB9" w14:paraId="50AE5285" w14:textId="77777777">
      <w:trPr>
        <w:trHeight w:val="300"/>
      </w:trPr>
      <w:tc>
        <w:tcPr>
          <w:tcW w:w="3095" w:type="dxa"/>
        </w:tcPr>
        <w:p w14:paraId="2686DDA6" w14:textId="77777777" w:rsidR="005B5CB9" w:rsidRDefault="005B5CB9">
          <w:pPr>
            <w:pStyle w:val="Header"/>
            <w:ind w:left="-115"/>
          </w:pPr>
        </w:p>
      </w:tc>
      <w:tc>
        <w:tcPr>
          <w:tcW w:w="3095" w:type="dxa"/>
        </w:tcPr>
        <w:p w14:paraId="1EF1E8B2" w14:textId="77777777" w:rsidR="005B5CB9" w:rsidRDefault="005B5CB9">
          <w:pPr>
            <w:pStyle w:val="Header"/>
            <w:jc w:val="center"/>
          </w:pPr>
        </w:p>
      </w:tc>
      <w:tc>
        <w:tcPr>
          <w:tcW w:w="3095" w:type="dxa"/>
        </w:tcPr>
        <w:p w14:paraId="4178C1C4" w14:textId="77777777" w:rsidR="005B5CB9" w:rsidRDefault="005B5CB9">
          <w:pPr>
            <w:pStyle w:val="Header"/>
            <w:ind w:right="-115"/>
            <w:jc w:val="right"/>
          </w:pPr>
        </w:p>
      </w:tc>
    </w:tr>
  </w:tbl>
  <w:p w14:paraId="4AA09BBF" w14:textId="77777777" w:rsidR="005B5CB9" w:rsidRDefault="005B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6897" w14:textId="32B65D65" w:rsidR="005B5CB9" w:rsidRPr="00C331DC" w:rsidRDefault="00C331DC" w:rsidP="00C331DC">
    <w:pPr>
      <w:pStyle w:val="Header"/>
    </w:pPr>
    <w:r>
      <w:t>Policy and funding guidelines 2026–27: Funding rules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E1EC" w14:textId="77777777" w:rsidR="005B5CB9" w:rsidRDefault="005B5CB9">
    <w:pPr>
      <w:pStyle w:val="Header"/>
      <w:tabs>
        <w:tab w:val="left" w:pos="8931"/>
      </w:tabs>
    </w:pPr>
    <w:r w:rsidRPr="00342BA9">
      <w:t xml:space="preserve">Policy and </w:t>
    </w:r>
    <w:r>
      <w:t>f</w:t>
    </w:r>
    <w:r w:rsidRPr="00342BA9">
      <w:t xml:space="preserve">unding </w:t>
    </w:r>
    <w:r>
      <w:t>g</w:t>
    </w:r>
    <w:r w:rsidRPr="00342BA9">
      <w:t>uidelines 202</w:t>
    </w:r>
    <w:r>
      <w:t>6</w:t>
    </w:r>
    <w:r w:rsidRPr="00342BA9">
      <w:t>–2</w:t>
    </w:r>
    <w:r>
      <w:t>7</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2</w:t>
    </w:r>
    <w:r w:rsidRPr="00AE642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55B4" w14:textId="77777777" w:rsidR="005B5CB9" w:rsidRDefault="005B5CB9">
    <w:pPr>
      <w:pStyle w:val="Header"/>
      <w:tabs>
        <w:tab w:val="left" w:pos="8931"/>
        <w:tab w:val="left" w:pos="13892"/>
      </w:tabs>
    </w:pPr>
    <w:r w:rsidRPr="00695D13">
      <w:t>Policy and funding guidelines 202</w:t>
    </w:r>
    <w:r>
      <w:t>4</w:t>
    </w:r>
    <w:r w:rsidRPr="00695D13">
      <w:t>–2</w:t>
    </w:r>
    <w:r>
      <w:t>5</w:t>
    </w:r>
    <w:r w:rsidRPr="00695D13">
      <w:t xml:space="preserve">: </w:t>
    </w:r>
    <w:r>
      <w:t>f</w:t>
    </w:r>
    <w:r w:rsidRPr="00695D13">
      <w:t>unding rules</w:t>
    </w:r>
    <w:r>
      <w:rPr>
        <w:color w:val="auto"/>
      </w:rPr>
      <w:tab/>
    </w:r>
    <w:r>
      <w:rPr>
        <w:color w:val="auto"/>
      </w:rPr>
      <w:tab/>
    </w:r>
    <w:r w:rsidRPr="00DE6C85">
      <w:rPr>
        <w:b w:val="0"/>
        <w:bCs/>
      </w:rPr>
      <w:fldChar w:fldCharType="begin"/>
    </w:r>
    <w:r w:rsidRPr="00DE6C85">
      <w:rPr>
        <w:bCs/>
      </w:rPr>
      <w:instrText xml:space="preserve"> PAGE </w:instrText>
    </w:r>
    <w:r w:rsidRPr="00DE6C85">
      <w:rPr>
        <w:b w:val="0"/>
        <w:bCs/>
      </w:rPr>
      <w:fldChar w:fldCharType="separate"/>
    </w:r>
    <w:r>
      <w:rPr>
        <w:b w:val="0"/>
        <w:bCs/>
      </w:rPr>
      <w:t>7</w:t>
    </w:r>
    <w:r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5B5CB9" w14:paraId="6F56C759" w14:textId="77777777">
      <w:trPr>
        <w:trHeight w:val="300"/>
      </w:trPr>
      <w:tc>
        <w:tcPr>
          <w:tcW w:w="4760" w:type="dxa"/>
        </w:tcPr>
        <w:p w14:paraId="5CA53AC3" w14:textId="77777777" w:rsidR="005B5CB9" w:rsidRDefault="005B5CB9">
          <w:pPr>
            <w:pStyle w:val="Header"/>
            <w:ind w:left="-115"/>
          </w:pPr>
        </w:p>
      </w:tc>
      <w:tc>
        <w:tcPr>
          <w:tcW w:w="4760" w:type="dxa"/>
        </w:tcPr>
        <w:p w14:paraId="49CC2368" w14:textId="77777777" w:rsidR="005B5CB9" w:rsidRDefault="005B5CB9">
          <w:pPr>
            <w:pStyle w:val="Header"/>
            <w:jc w:val="center"/>
          </w:pPr>
        </w:p>
      </w:tc>
      <w:tc>
        <w:tcPr>
          <w:tcW w:w="4760" w:type="dxa"/>
        </w:tcPr>
        <w:p w14:paraId="37771B15" w14:textId="77777777" w:rsidR="005B5CB9" w:rsidRDefault="005B5CB9">
          <w:pPr>
            <w:pStyle w:val="Header"/>
            <w:ind w:right="-115"/>
            <w:jc w:val="right"/>
          </w:pPr>
        </w:p>
      </w:tc>
    </w:tr>
  </w:tbl>
  <w:p w14:paraId="6F2A8F8D" w14:textId="77777777" w:rsidR="005B5CB9" w:rsidRDefault="005B5C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E22F" w14:textId="5A90096D" w:rsidR="005B5CB9" w:rsidRPr="0037564B" w:rsidRDefault="005B5CB9" w:rsidP="00FC70F1">
    <w:pPr>
      <w:pStyle w:val="Header"/>
      <w:tabs>
        <w:tab w:val="left" w:pos="8789"/>
        <w:tab w:val="left" w:pos="9072"/>
        <w:tab w:val="left" w:pos="13750"/>
        <w:tab w:val="left" w:pos="13892"/>
      </w:tabs>
      <w:spacing w:after="120"/>
      <w:rPr>
        <w:b w:val="0"/>
        <w:color w:val="auto"/>
      </w:rPr>
    </w:pPr>
    <w:r w:rsidRPr="007B446A">
      <w:t>Policy and funding guidelines 202</w:t>
    </w:r>
    <w:r>
      <w:t>6</w:t>
    </w:r>
    <w:r w:rsidRPr="007B446A">
      <w:t>–2</w:t>
    </w:r>
    <w:r>
      <w:t>7</w:t>
    </w:r>
    <w:r w:rsidRPr="007B446A">
      <w:t xml:space="preserve">: </w:t>
    </w:r>
    <w:r>
      <w:t>f</w:t>
    </w:r>
    <w:r w:rsidRPr="007B446A">
      <w:t xml:space="preserve">unding </w:t>
    </w:r>
    <w:r>
      <w:t>r</w:t>
    </w:r>
    <w:r w:rsidRPr="007B446A">
      <w:t>ules</w:t>
    </w:r>
    <w:r w:rsidR="00FC7E53">
      <w:tab/>
      <w:t xml:space="preserve">      </w:t>
    </w:r>
    <w:r w:rsidR="00FC7E53" w:rsidRPr="00DE6C85">
      <w:rPr>
        <w:b w:val="0"/>
      </w:rPr>
      <w:fldChar w:fldCharType="begin"/>
    </w:r>
    <w:r w:rsidR="00FC7E53" w:rsidRPr="00DE6C85">
      <w:rPr>
        <w:bCs/>
      </w:rPr>
      <w:instrText xml:space="preserve"> PAGE </w:instrText>
    </w:r>
    <w:r w:rsidR="00FC7E53" w:rsidRPr="00DE6C85">
      <w:rPr>
        <w:b w:val="0"/>
      </w:rPr>
      <w:fldChar w:fldCharType="separate"/>
    </w:r>
    <w:r w:rsidR="00FC7E53">
      <w:rPr>
        <w:b w:val="0"/>
      </w:rPr>
      <w:t>52</w:t>
    </w:r>
    <w:r w:rsidR="00FC7E53" w:rsidRPr="00DE6C85">
      <w:rPr>
        <w:b w:val="0"/>
      </w:rPr>
      <w:fldChar w:fldCharType="end"/>
    </w:r>
    <w:r>
      <w:tab/>
    </w:r>
    <w:r>
      <w:tab/>
    </w:r>
    <w:r>
      <w:rPr>
        <w:color w:val="auto"/>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5B5CB9" w14:paraId="5004BAA4" w14:textId="77777777">
      <w:trPr>
        <w:trHeight w:val="300"/>
      </w:trPr>
      <w:tc>
        <w:tcPr>
          <w:tcW w:w="4760" w:type="dxa"/>
        </w:tcPr>
        <w:p w14:paraId="5049A80F" w14:textId="77777777" w:rsidR="005B5CB9" w:rsidRDefault="005B5CB9">
          <w:pPr>
            <w:pStyle w:val="Header"/>
            <w:ind w:left="-115"/>
          </w:pPr>
        </w:p>
      </w:tc>
      <w:tc>
        <w:tcPr>
          <w:tcW w:w="4760" w:type="dxa"/>
        </w:tcPr>
        <w:p w14:paraId="34C13405" w14:textId="77777777" w:rsidR="005B5CB9" w:rsidRDefault="005B5CB9">
          <w:pPr>
            <w:pStyle w:val="Header"/>
            <w:jc w:val="center"/>
          </w:pPr>
        </w:p>
      </w:tc>
      <w:tc>
        <w:tcPr>
          <w:tcW w:w="4760" w:type="dxa"/>
        </w:tcPr>
        <w:p w14:paraId="72F58538" w14:textId="77777777" w:rsidR="005B5CB9" w:rsidRDefault="005B5CB9">
          <w:pPr>
            <w:pStyle w:val="Header"/>
            <w:ind w:right="-115"/>
            <w:jc w:val="right"/>
          </w:pPr>
        </w:p>
      </w:tc>
    </w:tr>
  </w:tbl>
  <w:p w14:paraId="607904CF" w14:textId="77777777" w:rsidR="005B5CB9" w:rsidRDefault="005B5C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DF04" w14:textId="1420E309" w:rsidR="005B5CB9" w:rsidRPr="0037564B" w:rsidRDefault="005B5CB9" w:rsidP="00607F2F">
    <w:pPr>
      <w:pStyle w:val="Header"/>
      <w:tabs>
        <w:tab w:val="left" w:pos="8789"/>
        <w:tab w:val="left" w:pos="9072"/>
        <w:tab w:val="left" w:pos="13750"/>
        <w:tab w:val="left" w:pos="13892"/>
      </w:tabs>
      <w:rPr>
        <w:b w:val="0"/>
        <w:color w:val="auto"/>
      </w:rPr>
    </w:pPr>
    <w:r w:rsidRPr="007B446A">
      <w:t xml:space="preserve">Policy and </w:t>
    </w:r>
    <w:r>
      <w:t>f</w:t>
    </w:r>
    <w:r w:rsidRPr="007B446A">
      <w:t xml:space="preserve">unding </w:t>
    </w:r>
    <w:r>
      <w:t>g</w:t>
    </w:r>
    <w:r w:rsidRPr="007B446A">
      <w:t>uidelines 202</w:t>
    </w:r>
    <w:r>
      <w:t>6</w:t>
    </w:r>
    <w:r w:rsidRPr="007B446A">
      <w:t>–2</w:t>
    </w:r>
    <w:r>
      <w:t>7</w:t>
    </w:r>
    <w:r w:rsidRPr="007B446A">
      <w:t xml:space="preserve">: </w:t>
    </w:r>
    <w:r w:rsidR="00607F2F">
      <w:t>F</w:t>
    </w:r>
    <w:r w:rsidRPr="007B446A">
      <w:t xml:space="preserve">unding </w:t>
    </w:r>
    <w:r>
      <w:t>r</w:t>
    </w:r>
    <w:r w:rsidRPr="007B446A">
      <w:t>ules</w:t>
    </w:r>
    <w:r>
      <w:tab/>
    </w:r>
    <w:r w:rsidR="00607F2F">
      <w:tab/>
    </w:r>
    <w:r w:rsidR="00607F2F">
      <w:tab/>
    </w:r>
    <w:r w:rsidR="00607F2F">
      <w:tab/>
    </w:r>
    <w:r w:rsidR="00607F2F">
      <w:tab/>
    </w:r>
    <w:r w:rsidR="00607F2F">
      <w:tab/>
    </w:r>
    <w:r w:rsidR="00607F2F">
      <w:tab/>
    </w:r>
    <w:r w:rsidR="00607F2F">
      <w:tab/>
    </w:r>
    <w:r w:rsidR="00607F2F">
      <w:tab/>
    </w:r>
    <w:r w:rsidR="00607F2F">
      <w:tab/>
    </w:r>
    <w:r w:rsidRPr="00DE6C85">
      <w:rPr>
        <w:b w:val="0"/>
      </w:rPr>
      <w:fldChar w:fldCharType="begin"/>
    </w:r>
    <w:r w:rsidRPr="00DE6C85">
      <w:rPr>
        <w:bCs/>
      </w:rPr>
      <w:instrText xml:space="preserve"> PAGE </w:instrText>
    </w:r>
    <w:r w:rsidRPr="00DE6C85">
      <w:rPr>
        <w:b w:val="0"/>
      </w:rPr>
      <w:fldChar w:fldCharType="separate"/>
    </w:r>
    <w:r>
      <w:rPr>
        <w:bCs/>
        <w:noProof/>
      </w:rPr>
      <w:t>113</w:t>
    </w:r>
    <w:r w:rsidRPr="00DE6C85">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hybridMultilevel"/>
    <w:tmpl w:val="C1F8E890"/>
    <w:styleLink w:val="ZZTablebullets105pt"/>
    <w:lvl w:ilvl="0" w:tplc="DC7299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A6377"/>
    <w:multiLevelType w:val="multilevel"/>
    <w:tmpl w:val="0C09001D"/>
    <w:styleLink w:val="Heading3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8D43DB"/>
    <w:multiLevelType w:val="multilevel"/>
    <w:tmpl w:val="B33A2DBC"/>
    <w:numStyleLink w:val="ZZNumbersdigit"/>
  </w:abstractNum>
  <w:abstractNum w:abstractNumId="3"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A33F8F"/>
    <w:multiLevelType w:val="hybridMultilevel"/>
    <w:tmpl w:val="12F45C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81128B"/>
    <w:multiLevelType w:val="hybridMultilevel"/>
    <w:tmpl w:val="0FB4D2E4"/>
    <w:styleLink w:val="CurrentList1"/>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6" w15:restartNumberingAfterBreak="0">
    <w:nsid w:val="21E3424A"/>
    <w:multiLevelType w:val="hybridMultilevel"/>
    <w:tmpl w:val="B35077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74F319D"/>
    <w:multiLevelType w:val="hybridMultilevel"/>
    <w:tmpl w:val="C1243384"/>
    <w:styleLink w:val="ZZTablenoteroman"/>
    <w:lvl w:ilvl="0" w:tplc="FFFFFFFF">
      <w:start w:val="1"/>
      <w:numFmt w:val="bullet"/>
      <w:lvlText w:val=""/>
      <w:lvlJc w:val="left"/>
      <w:pPr>
        <w:ind w:left="360" w:hanging="360"/>
      </w:pPr>
      <w:rPr>
        <w:rFonts w:ascii="Symbol" w:hAnsi="Symbol" w:hint="default"/>
      </w:rPr>
    </w:lvl>
    <w:lvl w:ilvl="1" w:tplc="94A2821C">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A65F75"/>
    <w:multiLevelType w:val="multilevel"/>
    <w:tmpl w:val="FA006918"/>
    <w:styleLink w:val="SchA"/>
    <w:lvl w:ilvl="0">
      <w:start w:val="1"/>
      <w:numFmt w:val="decimal"/>
      <w:lvlText w:val="A%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 w15:restartNumberingAfterBreak="0">
    <w:nsid w:val="4D255C0A"/>
    <w:multiLevelType w:val="multilevel"/>
    <w:tmpl w:val="C17070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6107" w:hanging="720"/>
      </w:pPr>
      <w:rPr>
        <w:b w:val="0"/>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41611C2"/>
    <w:multiLevelType w:val="multilevel"/>
    <w:tmpl w:val="350ED9F2"/>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17056B8"/>
    <w:multiLevelType w:val="multilevel"/>
    <w:tmpl w:val="54468906"/>
    <w:styleLink w:val="ZZBox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0247698"/>
    <w:multiLevelType w:val="hybridMultilevel"/>
    <w:tmpl w:val="1398EF24"/>
    <w:lvl w:ilvl="0" w:tplc="55C258B0">
      <w:start w:val="1"/>
      <w:numFmt w:val="bullet"/>
      <w:pStyle w:val="Tablebullet9pt"/>
      <w:lvlText w:val="•"/>
      <w:lvlJc w:val="left"/>
      <w:pPr>
        <w:ind w:left="227" w:hanging="227"/>
      </w:pPr>
      <w:rPr>
        <w:rFonts w:ascii="Calibri" w:hAnsi="Calibri" w:hint="default"/>
      </w:rPr>
    </w:lvl>
    <w:lvl w:ilvl="1" w:tplc="BC20A024">
      <w:start w:val="1"/>
      <w:numFmt w:val="decimal"/>
      <w:lvlRestart w:val="0"/>
      <w:lvlText w:val=""/>
      <w:lvlJc w:val="left"/>
      <w:pPr>
        <w:ind w:left="0" w:firstLine="0"/>
      </w:pPr>
    </w:lvl>
    <w:lvl w:ilvl="2" w:tplc="06F078C0">
      <w:start w:val="1"/>
      <w:numFmt w:val="decimal"/>
      <w:lvlRestart w:val="0"/>
      <w:lvlText w:val=""/>
      <w:lvlJc w:val="left"/>
      <w:pPr>
        <w:ind w:left="0" w:firstLine="0"/>
      </w:pPr>
    </w:lvl>
    <w:lvl w:ilvl="3" w:tplc="C1C2E074">
      <w:start w:val="1"/>
      <w:numFmt w:val="decimal"/>
      <w:lvlRestart w:val="0"/>
      <w:lvlText w:val=""/>
      <w:lvlJc w:val="left"/>
      <w:pPr>
        <w:ind w:left="0" w:firstLine="0"/>
      </w:pPr>
    </w:lvl>
    <w:lvl w:ilvl="4" w:tplc="5A12BDC2">
      <w:start w:val="1"/>
      <w:numFmt w:val="decimal"/>
      <w:lvlRestart w:val="0"/>
      <w:lvlText w:val=""/>
      <w:lvlJc w:val="left"/>
      <w:pPr>
        <w:ind w:left="0" w:firstLine="0"/>
      </w:pPr>
    </w:lvl>
    <w:lvl w:ilvl="5" w:tplc="40FC5E4A">
      <w:start w:val="1"/>
      <w:numFmt w:val="decimal"/>
      <w:lvlRestart w:val="0"/>
      <w:lvlText w:val=""/>
      <w:lvlJc w:val="left"/>
      <w:pPr>
        <w:ind w:left="0" w:firstLine="0"/>
      </w:pPr>
    </w:lvl>
    <w:lvl w:ilvl="6" w:tplc="91747F7E">
      <w:start w:val="1"/>
      <w:numFmt w:val="decimal"/>
      <w:lvlRestart w:val="0"/>
      <w:lvlText w:val=""/>
      <w:lvlJc w:val="left"/>
      <w:pPr>
        <w:ind w:left="0" w:firstLine="0"/>
      </w:pPr>
    </w:lvl>
    <w:lvl w:ilvl="7" w:tplc="9E465B2E">
      <w:start w:val="1"/>
      <w:numFmt w:val="decimal"/>
      <w:lvlRestart w:val="0"/>
      <w:lvlText w:val=""/>
      <w:lvlJc w:val="left"/>
      <w:pPr>
        <w:ind w:left="0" w:firstLine="0"/>
      </w:pPr>
    </w:lvl>
    <w:lvl w:ilvl="8" w:tplc="4A3C4388">
      <w:start w:val="1"/>
      <w:numFmt w:val="decimal"/>
      <w:lvlRestart w:val="0"/>
      <w:lvlText w:val=""/>
      <w:lvlJc w:val="left"/>
      <w:pPr>
        <w:ind w:left="0" w:firstLine="0"/>
      </w:pPr>
    </w:lvl>
  </w:abstractNum>
  <w:abstractNum w:abstractNumId="17" w15:restartNumberingAfterBreak="0">
    <w:nsid w:val="76C421ED"/>
    <w:multiLevelType w:val="hybridMultilevel"/>
    <w:tmpl w:val="01906DBA"/>
    <w:lvl w:ilvl="0" w:tplc="0288960C">
      <w:start w:val="1"/>
      <w:numFmt w:val="lowerRoman"/>
      <w:pStyle w:val="Tablenoteroman"/>
      <w:lvlText w:val="%1."/>
      <w:lvlJc w:val="right"/>
      <w:pPr>
        <w:ind w:left="749" w:hanging="360"/>
      </w:pPr>
      <w:rPr>
        <w:b w:val="0"/>
        <w:bCs/>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num w:numId="1" w16cid:durableId="1955791053">
    <w:abstractNumId w:val="8"/>
  </w:num>
  <w:num w:numId="2" w16cid:durableId="1958678138">
    <w:abstractNumId w:val="13"/>
  </w:num>
  <w:num w:numId="3" w16cid:durableId="567348673">
    <w:abstractNumId w:val="12"/>
  </w:num>
  <w:num w:numId="4" w16cid:durableId="948663205">
    <w:abstractNumId w:val="15"/>
  </w:num>
  <w:num w:numId="5" w16cid:durableId="1104885484">
    <w:abstractNumId w:val="9"/>
  </w:num>
  <w:num w:numId="6" w16cid:durableId="367535064">
    <w:abstractNumId w:val="3"/>
  </w:num>
  <w:num w:numId="7" w16cid:durableId="466092084">
    <w:abstractNumId w:val="1"/>
  </w:num>
  <w:num w:numId="8" w16cid:durableId="1037508985">
    <w:abstractNumId w:val="11"/>
  </w:num>
  <w:num w:numId="9" w16cid:durableId="695353950">
    <w:abstractNumId w:val="13"/>
  </w:num>
  <w:num w:numId="10" w16cid:durableId="713887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772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795818">
    <w:abstractNumId w:val="14"/>
  </w:num>
  <w:num w:numId="13" w16cid:durableId="837622472">
    <w:abstractNumId w:val="7"/>
  </w:num>
  <w:num w:numId="14" w16cid:durableId="1098717726">
    <w:abstractNumId w:val="5"/>
  </w:num>
  <w:num w:numId="15" w16cid:durableId="1399593144">
    <w:abstractNumId w:val="10"/>
  </w:num>
  <w:num w:numId="16" w16cid:durableId="1657807814">
    <w:abstractNumId w:val="16"/>
  </w:num>
  <w:num w:numId="17" w16cid:durableId="1065034126">
    <w:abstractNumId w:val="17"/>
  </w:num>
  <w:num w:numId="18" w16cid:durableId="1144472789">
    <w:abstractNumId w:val="0"/>
  </w:num>
  <w:num w:numId="19" w16cid:durableId="1897734920">
    <w:abstractNumId w:val="6"/>
  </w:num>
  <w:num w:numId="20" w16cid:durableId="213772210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134"/>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2"/>
    <w:rsid w:val="00000719"/>
    <w:rsid w:val="00001128"/>
    <w:rsid w:val="000011CA"/>
    <w:rsid w:val="00002230"/>
    <w:rsid w:val="0000237F"/>
    <w:rsid w:val="00002585"/>
    <w:rsid w:val="00002D68"/>
    <w:rsid w:val="0000319C"/>
    <w:rsid w:val="000033F7"/>
    <w:rsid w:val="00003403"/>
    <w:rsid w:val="00004A56"/>
    <w:rsid w:val="00004AEB"/>
    <w:rsid w:val="00004C60"/>
    <w:rsid w:val="00004E95"/>
    <w:rsid w:val="00005347"/>
    <w:rsid w:val="000063A5"/>
    <w:rsid w:val="00006CCA"/>
    <w:rsid w:val="00007153"/>
    <w:rsid w:val="000072B6"/>
    <w:rsid w:val="000075FA"/>
    <w:rsid w:val="00007A87"/>
    <w:rsid w:val="00007CD8"/>
    <w:rsid w:val="00007D29"/>
    <w:rsid w:val="00007E33"/>
    <w:rsid w:val="00007F72"/>
    <w:rsid w:val="0001021B"/>
    <w:rsid w:val="000109BD"/>
    <w:rsid w:val="00010DD3"/>
    <w:rsid w:val="00011C50"/>
    <w:rsid w:val="00011D7D"/>
    <w:rsid w:val="00011D89"/>
    <w:rsid w:val="000129FF"/>
    <w:rsid w:val="00012A55"/>
    <w:rsid w:val="000131E1"/>
    <w:rsid w:val="00013ADF"/>
    <w:rsid w:val="00013C3F"/>
    <w:rsid w:val="000147BA"/>
    <w:rsid w:val="000154FD"/>
    <w:rsid w:val="00015AC0"/>
    <w:rsid w:val="00015AF7"/>
    <w:rsid w:val="00015C31"/>
    <w:rsid w:val="000166CE"/>
    <w:rsid w:val="00016813"/>
    <w:rsid w:val="0001719D"/>
    <w:rsid w:val="00017D7A"/>
    <w:rsid w:val="0002042C"/>
    <w:rsid w:val="00020E2D"/>
    <w:rsid w:val="00021484"/>
    <w:rsid w:val="0002150F"/>
    <w:rsid w:val="00022271"/>
    <w:rsid w:val="000225F3"/>
    <w:rsid w:val="00022CF8"/>
    <w:rsid w:val="0002308F"/>
    <w:rsid w:val="000232EF"/>
    <w:rsid w:val="000235E8"/>
    <w:rsid w:val="00023B7C"/>
    <w:rsid w:val="00024485"/>
    <w:rsid w:val="00024D89"/>
    <w:rsid w:val="00024E25"/>
    <w:rsid w:val="000250B6"/>
    <w:rsid w:val="000251AE"/>
    <w:rsid w:val="00025DCA"/>
    <w:rsid w:val="00026409"/>
    <w:rsid w:val="00026540"/>
    <w:rsid w:val="00026C85"/>
    <w:rsid w:val="00026DCA"/>
    <w:rsid w:val="00027E8B"/>
    <w:rsid w:val="00030758"/>
    <w:rsid w:val="000307D0"/>
    <w:rsid w:val="00030CDD"/>
    <w:rsid w:val="00031263"/>
    <w:rsid w:val="00031798"/>
    <w:rsid w:val="00031B10"/>
    <w:rsid w:val="00031DE7"/>
    <w:rsid w:val="00031E2B"/>
    <w:rsid w:val="00032323"/>
    <w:rsid w:val="00032BF2"/>
    <w:rsid w:val="00032EC1"/>
    <w:rsid w:val="00033356"/>
    <w:rsid w:val="000333B7"/>
    <w:rsid w:val="000337B4"/>
    <w:rsid w:val="00033D81"/>
    <w:rsid w:val="00033DC9"/>
    <w:rsid w:val="00035045"/>
    <w:rsid w:val="000351C3"/>
    <w:rsid w:val="00036029"/>
    <w:rsid w:val="000361AF"/>
    <w:rsid w:val="000366DB"/>
    <w:rsid w:val="000367B7"/>
    <w:rsid w:val="00036A14"/>
    <w:rsid w:val="00036BD2"/>
    <w:rsid w:val="000370A8"/>
    <w:rsid w:val="00037366"/>
    <w:rsid w:val="0004074C"/>
    <w:rsid w:val="000409CC"/>
    <w:rsid w:val="00040B0E"/>
    <w:rsid w:val="00040E17"/>
    <w:rsid w:val="00040EDC"/>
    <w:rsid w:val="0004143D"/>
    <w:rsid w:val="00041540"/>
    <w:rsid w:val="000416ED"/>
    <w:rsid w:val="00041BF0"/>
    <w:rsid w:val="00042C5B"/>
    <w:rsid w:val="00042C8A"/>
    <w:rsid w:val="00042D02"/>
    <w:rsid w:val="00042DC2"/>
    <w:rsid w:val="00043D67"/>
    <w:rsid w:val="0004433E"/>
    <w:rsid w:val="0004536B"/>
    <w:rsid w:val="000453AF"/>
    <w:rsid w:val="000455BE"/>
    <w:rsid w:val="0004567E"/>
    <w:rsid w:val="000457DA"/>
    <w:rsid w:val="000459FA"/>
    <w:rsid w:val="00045DA2"/>
    <w:rsid w:val="00046B68"/>
    <w:rsid w:val="00046B8D"/>
    <w:rsid w:val="0004787E"/>
    <w:rsid w:val="00047F28"/>
    <w:rsid w:val="00047F75"/>
    <w:rsid w:val="00050B41"/>
    <w:rsid w:val="000511DC"/>
    <w:rsid w:val="000517C1"/>
    <w:rsid w:val="00051993"/>
    <w:rsid w:val="00051CCD"/>
    <w:rsid w:val="00051D5E"/>
    <w:rsid w:val="00052110"/>
    <w:rsid w:val="000527DD"/>
    <w:rsid w:val="00052FDA"/>
    <w:rsid w:val="000530D2"/>
    <w:rsid w:val="00053447"/>
    <w:rsid w:val="000535DE"/>
    <w:rsid w:val="00053975"/>
    <w:rsid w:val="00054316"/>
    <w:rsid w:val="0005486D"/>
    <w:rsid w:val="00054971"/>
    <w:rsid w:val="0005505D"/>
    <w:rsid w:val="000550C4"/>
    <w:rsid w:val="000553FC"/>
    <w:rsid w:val="000557AF"/>
    <w:rsid w:val="00056EC4"/>
    <w:rsid w:val="000578B2"/>
    <w:rsid w:val="0005792B"/>
    <w:rsid w:val="00060637"/>
    <w:rsid w:val="00060935"/>
    <w:rsid w:val="00060959"/>
    <w:rsid w:val="00060B78"/>
    <w:rsid w:val="00060C8F"/>
    <w:rsid w:val="00060F7E"/>
    <w:rsid w:val="00061278"/>
    <w:rsid w:val="0006146C"/>
    <w:rsid w:val="0006156D"/>
    <w:rsid w:val="00061918"/>
    <w:rsid w:val="00061CB8"/>
    <w:rsid w:val="000627A3"/>
    <w:rsid w:val="0006298A"/>
    <w:rsid w:val="00063060"/>
    <w:rsid w:val="000645EA"/>
    <w:rsid w:val="00065AAD"/>
    <w:rsid w:val="00065D06"/>
    <w:rsid w:val="000663CD"/>
    <w:rsid w:val="00066769"/>
    <w:rsid w:val="00066FC0"/>
    <w:rsid w:val="0006738C"/>
    <w:rsid w:val="00067ECA"/>
    <w:rsid w:val="0007039E"/>
    <w:rsid w:val="000707C9"/>
    <w:rsid w:val="00071098"/>
    <w:rsid w:val="000731BB"/>
    <w:rsid w:val="000733FE"/>
    <w:rsid w:val="00073745"/>
    <w:rsid w:val="000738E2"/>
    <w:rsid w:val="0007397F"/>
    <w:rsid w:val="00073B25"/>
    <w:rsid w:val="000740FF"/>
    <w:rsid w:val="00074219"/>
    <w:rsid w:val="00074986"/>
    <w:rsid w:val="00074A82"/>
    <w:rsid w:val="00074ED5"/>
    <w:rsid w:val="000762A6"/>
    <w:rsid w:val="00076466"/>
    <w:rsid w:val="0007673B"/>
    <w:rsid w:val="000769FF"/>
    <w:rsid w:val="00077176"/>
    <w:rsid w:val="00077735"/>
    <w:rsid w:val="00077755"/>
    <w:rsid w:val="00077F37"/>
    <w:rsid w:val="000809C1"/>
    <w:rsid w:val="00080D3D"/>
    <w:rsid w:val="0008146D"/>
    <w:rsid w:val="000814D5"/>
    <w:rsid w:val="000818AA"/>
    <w:rsid w:val="0008204A"/>
    <w:rsid w:val="00083170"/>
    <w:rsid w:val="00083A1C"/>
    <w:rsid w:val="00083F01"/>
    <w:rsid w:val="000840AE"/>
    <w:rsid w:val="00084359"/>
    <w:rsid w:val="00084694"/>
    <w:rsid w:val="00084E08"/>
    <w:rsid w:val="00084FB4"/>
    <w:rsid w:val="0008508E"/>
    <w:rsid w:val="0008551E"/>
    <w:rsid w:val="00085F15"/>
    <w:rsid w:val="000867D0"/>
    <w:rsid w:val="00087951"/>
    <w:rsid w:val="000902E7"/>
    <w:rsid w:val="000904E9"/>
    <w:rsid w:val="000908A6"/>
    <w:rsid w:val="0009113B"/>
    <w:rsid w:val="000919CA"/>
    <w:rsid w:val="00091BC1"/>
    <w:rsid w:val="0009228B"/>
    <w:rsid w:val="00093402"/>
    <w:rsid w:val="00093630"/>
    <w:rsid w:val="00093E79"/>
    <w:rsid w:val="00093F0E"/>
    <w:rsid w:val="000943AB"/>
    <w:rsid w:val="00094A93"/>
    <w:rsid w:val="00094DA3"/>
    <w:rsid w:val="000951F6"/>
    <w:rsid w:val="0009628A"/>
    <w:rsid w:val="000964D0"/>
    <w:rsid w:val="000965E2"/>
    <w:rsid w:val="00096CD1"/>
    <w:rsid w:val="00097374"/>
    <w:rsid w:val="000A00B2"/>
    <w:rsid w:val="000A012C"/>
    <w:rsid w:val="000A0399"/>
    <w:rsid w:val="000A09C8"/>
    <w:rsid w:val="000A0A2E"/>
    <w:rsid w:val="000A0EB9"/>
    <w:rsid w:val="000A186C"/>
    <w:rsid w:val="000A1989"/>
    <w:rsid w:val="000A1C99"/>
    <w:rsid w:val="000A1EA4"/>
    <w:rsid w:val="000A2476"/>
    <w:rsid w:val="000A286F"/>
    <w:rsid w:val="000A2AF2"/>
    <w:rsid w:val="000A34C8"/>
    <w:rsid w:val="000A3D65"/>
    <w:rsid w:val="000A4134"/>
    <w:rsid w:val="000A4254"/>
    <w:rsid w:val="000A4681"/>
    <w:rsid w:val="000A4A78"/>
    <w:rsid w:val="000A4CDB"/>
    <w:rsid w:val="000A5B08"/>
    <w:rsid w:val="000A5E4B"/>
    <w:rsid w:val="000A641A"/>
    <w:rsid w:val="000A64B2"/>
    <w:rsid w:val="000A699A"/>
    <w:rsid w:val="000A7767"/>
    <w:rsid w:val="000A79A5"/>
    <w:rsid w:val="000B10DF"/>
    <w:rsid w:val="000B3422"/>
    <w:rsid w:val="000B3EDB"/>
    <w:rsid w:val="000B4530"/>
    <w:rsid w:val="000B4881"/>
    <w:rsid w:val="000B4BD3"/>
    <w:rsid w:val="000B5210"/>
    <w:rsid w:val="000B543D"/>
    <w:rsid w:val="000B55F9"/>
    <w:rsid w:val="000B59F8"/>
    <w:rsid w:val="000B5BF7"/>
    <w:rsid w:val="000B5CAE"/>
    <w:rsid w:val="000B5E20"/>
    <w:rsid w:val="000B6339"/>
    <w:rsid w:val="000B6536"/>
    <w:rsid w:val="000B6BC8"/>
    <w:rsid w:val="000B72BF"/>
    <w:rsid w:val="000B7E5C"/>
    <w:rsid w:val="000C0303"/>
    <w:rsid w:val="000C0B8D"/>
    <w:rsid w:val="000C0F6D"/>
    <w:rsid w:val="000C121F"/>
    <w:rsid w:val="000C1487"/>
    <w:rsid w:val="000C1D31"/>
    <w:rsid w:val="000C25A6"/>
    <w:rsid w:val="000C26DF"/>
    <w:rsid w:val="000C27CD"/>
    <w:rsid w:val="000C2A64"/>
    <w:rsid w:val="000C3B50"/>
    <w:rsid w:val="000C42C7"/>
    <w:rsid w:val="000C42EA"/>
    <w:rsid w:val="000C4546"/>
    <w:rsid w:val="000C4ADA"/>
    <w:rsid w:val="000C50E3"/>
    <w:rsid w:val="000C524C"/>
    <w:rsid w:val="000C5733"/>
    <w:rsid w:val="000C5BFC"/>
    <w:rsid w:val="000C68F7"/>
    <w:rsid w:val="000C6C04"/>
    <w:rsid w:val="000C6CA5"/>
    <w:rsid w:val="000C6E87"/>
    <w:rsid w:val="000C714B"/>
    <w:rsid w:val="000C7F76"/>
    <w:rsid w:val="000D0258"/>
    <w:rsid w:val="000D038C"/>
    <w:rsid w:val="000D048B"/>
    <w:rsid w:val="000D0D02"/>
    <w:rsid w:val="000D1242"/>
    <w:rsid w:val="000D1339"/>
    <w:rsid w:val="000D1F98"/>
    <w:rsid w:val="000D284B"/>
    <w:rsid w:val="000D2A17"/>
    <w:rsid w:val="000D2ABA"/>
    <w:rsid w:val="000D3F9E"/>
    <w:rsid w:val="000D4A67"/>
    <w:rsid w:val="000D4D67"/>
    <w:rsid w:val="000D54EA"/>
    <w:rsid w:val="000D5B7A"/>
    <w:rsid w:val="000D78BC"/>
    <w:rsid w:val="000D79CF"/>
    <w:rsid w:val="000D7F81"/>
    <w:rsid w:val="000E0970"/>
    <w:rsid w:val="000E0F18"/>
    <w:rsid w:val="000E13A3"/>
    <w:rsid w:val="000E16BA"/>
    <w:rsid w:val="000E2C59"/>
    <w:rsid w:val="000E3164"/>
    <w:rsid w:val="000E3CC7"/>
    <w:rsid w:val="000E4369"/>
    <w:rsid w:val="000E43FE"/>
    <w:rsid w:val="000E4F4D"/>
    <w:rsid w:val="000E532E"/>
    <w:rsid w:val="000E5734"/>
    <w:rsid w:val="000E6BD4"/>
    <w:rsid w:val="000E6D6D"/>
    <w:rsid w:val="000E713E"/>
    <w:rsid w:val="000E7568"/>
    <w:rsid w:val="000F029D"/>
    <w:rsid w:val="000F0D30"/>
    <w:rsid w:val="000F147D"/>
    <w:rsid w:val="000F1F1E"/>
    <w:rsid w:val="000F2259"/>
    <w:rsid w:val="000F2A90"/>
    <w:rsid w:val="000F2C15"/>
    <w:rsid w:val="000F2DDA"/>
    <w:rsid w:val="000F2EA0"/>
    <w:rsid w:val="000F354E"/>
    <w:rsid w:val="000F3C64"/>
    <w:rsid w:val="000F3EBF"/>
    <w:rsid w:val="000F401D"/>
    <w:rsid w:val="000F5213"/>
    <w:rsid w:val="000F527B"/>
    <w:rsid w:val="000F5382"/>
    <w:rsid w:val="000F565B"/>
    <w:rsid w:val="000F5AFB"/>
    <w:rsid w:val="000F5D9A"/>
    <w:rsid w:val="000F629F"/>
    <w:rsid w:val="000F656D"/>
    <w:rsid w:val="000F6899"/>
    <w:rsid w:val="000F727B"/>
    <w:rsid w:val="000F75D9"/>
    <w:rsid w:val="000F7754"/>
    <w:rsid w:val="000F7DB6"/>
    <w:rsid w:val="0010028C"/>
    <w:rsid w:val="001004EA"/>
    <w:rsid w:val="00100675"/>
    <w:rsid w:val="001008F4"/>
    <w:rsid w:val="00100A34"/>
    <w:rsid w:val="00100B52"/>
    <w:rsid w:val="00100F12"/>
    <w:rsid w:val="00101001"/>
    <w:rsid w:val="001015D4"/>
    <w:rsid w:val="00102049"/>
    <w:rsid w:val="0010219B"/>
    <w:rsid w:val="001024DC"/>
    <w:rsid w:val="00102500"/>
    <w:rsid w:val="00102BAB"/>
    <w:rsid w:val="00103276"/>
    <w:rsid w:val="001032FD"/>
    <w:rsid w:val="00103366"/>
    <w:rsid w:val="0010363B"/>
    <w:rsid w:val="0010392D"/>
    <w:rsid w:val="001043AC"/>
    <w:rsid w:val="0010447F"/>
    <w:rsid w:val="001049A1"/>
    <w:rsid w:val="00104FE3"/>
    <w:rsid w:val="00105937"/>
    <w:rsid w:val="00106209"/>
    <w:rsid w:val="00106BC1"/>
    <w:rsid w:val="0010714F"/>
    <w:rsid w:val="00107454"/>
    <w:rsid w:val="00107610"/>
    <w:rsid w:val="00107774"/>
    <w:rsid w:val="00107E9D"/>
    <w:rsid w:val="00107EAB"/>
    <w:rsid w:val="00110A11"/>
    <w:rsid w:val="001120A6"/>
    <w:rsid w:val="001120C5"/>
    <w:rsid w:val="001122D9"/>
    <w:rsid w:val="00112509"/>
    <w:rsid w:val="0011254D"/>
    <w:rsid w:val="001127AF"/>
    <w:rsid w:val="00112A4D"/>
    <w:rsid w:val="00113F96"/>
    <w:rsid w:val="001141E8"/>
    <w:rsid w:val="0011441F"/>
    <w:rsid w:val="001154C2"/>
    <w:rsid w:val="00115B23"/>
    <w:rsid w:val="00116520"/>
    <w:rsid w:val="00116651"/>
    <w:rsid w:val="001166CE"/>
    <w:rsid w:val="0011716B"/>
    <w:rsid w:val="00117745"/>
    <w:rsid w:val="00117D92"/>
    <w:rsid w:val="00120BD3"/>
    <w:rsid w:val="00121CB0"/>
    <w:rsid w:val="00121D9C"/>
    <w:rsid w:val="00122A55"/>
    <w:rsid w:val="00122D00"/>
    <w:rsid w:val="00122FEA"/>
    <w:rsid w:val="00123186"/>
    <w:rsid w:val="001231A4"/>
    <w:rsid w:val="001232BD"/>
    <w:rsid w:val="001233F0"/>
    <w:rsid w:val="001236DC"/>
    <w:rsid w:val="00123776"/>
    <w:rsid w:val="00123785"/>
    <w:rsid w:val="00123D7D"/>
    <w:rsid w:val="0012412E"/>
    <w:rsid w:val="0012454C"/>
    <w:rsid w:val="001246DD"/>
    <w:rsid w:val="00124ED5"/>
    <w:rsid w:val="001256F6"/>
    <w:rsid w:val="001260A7"/>
    <w:rsid w:val="0012715A"/>
    <w:rsid w:val="0012721A"/>
    <w:rsid w:val="001276FA"/>
    <w:rsid w:val="00127B07"/>
    <w:rsid w:val="001305C0"/>
    <w:rsid w:val="00130966"/>
    <w:rsid w:val="00130AC4"/>
    <w:rsid w:val="001318C6"/>
    <w:rsid w:val="00131A4B"/>
    <w:rsid w:val="00132331"/>
    <w:rsid w:val="001323A7"/>
    <w:rsid w:val="00132C27"/>
    <w:rsid w:val="00132D7B"/>
    <w:rsid w:val="001338C1"/>
    <w:rsid w:val="001341F0"/>
    <w:rsid w:val="001343BA"/>
    <w:rsid w:val="001349EA"/>
    <w:rsid w:val="00134A40"/>
    <w:rsid w:val="00134CFF"/>
    <w:rsid w:val="00135E9F"/>
    <w:rsid w:val="00136018"/>
    <w:rsid w:val="00136619"/>
    <w:rsid w:val="00136C9D"/>
    <w:rsid w:val="00136DD1"/>
    <w:rsid w:val="00137401"/>
    <w:rsid w:val="00137523"/>
    <w:rsid w:val="0013758A"/>
    <w:rsid w:val="00140356"/>
    <w:rsid w:val="00140E1C"/>
    <w:rsid w:val="00140FEF"/>
    <w:rsid w:val="001411B9"/>
    <w:rsid w:val="001417D0"/>
    <w:rsid w:val="001420B3"/>
    <w:rsid w:val="00142160"/>
    <w:rsid w:val="00142350"/>
    <w:rsid w:val="001423EB"/>
    <w:rsid w:val="001429D4"/>
    <w:rsid w:val="00143272"/>
    <w:rsid w:val="00143446"/>
    <w:rsid w:val="00143D44"/>
    <w:rsid w:val="001447B3"/>
    <w:rsid w:val="00144C5E"/>
    <w:rsid w:val="00144C6D"/>
    <w:rsid w:val="0014510D"/>
    <w:rsid w:val="00145652"/>
    <w:rsid w:val="00145992"/>
    <w:rsid w:val="00145B80"/>
    <w:rsid w:val="00145CAA"/>
    <w:rsid w:val="00146D56"/>
    <w:rsid w:val="001471F5"/>
    <w:rsid w:val="001502D5"/>
    <w:rsid w:val="00152073"/>
    <w:rsid w:val="00152329"/>
    <w:rsid w:val="00152B10"/>
    <w:rsid w:val="00152E19"/>
    <w:rsid w:val="00153B5F"/>
    <w:rsid w:val="001557CD"/>
    <w:rsid w:val="00156598"/>
    <w:rsid w:val="001568FD"/>
    <w:rsid w:val="0015744D"/>
    <w:rsid w:val="0016064A"/>
    <w:rsid w:val="00160FE8"/>
    <w:rsid w:val="00161760"/>
    <w:rsid w:val="00161939"/>
    <w:rsid w:val="00161AA0"/>
    <w:rsid w:val="00161D2E"/>
    <w:rsid w:val="00161F3E"/>
    <w:rsid w:val="00162093"/>
    <w:rsid w:val="001623F1"/>
    <w:rsid w:val="0016276A"/>
    <w:rsid w:val="00162CA9"/>
    <w:rsid w:val="00162D25"/>
    <w:rsid w:val="00162F31"/>
    <w:rsid w:val="001634A8"/>
    <w:rsid w:val="00163950"/>
    <w:rsid w:val="00163A33"/>
    <w:rsid w:val="001640DE"/>
    <w:rsid w:val="00164206"/>
    <w:rsid w:val="001650F2"/>
    <w:rsid w:val="00165459"/>
    <w:rsid w:val="00165738"/>
    <w:rsid w:val="00165A50"/>
    <w:rsid w:val="00165A57"/>
    <w:rsid w:val="0016632E"/>
    <w:rsid w:val="0016664E"/>
    <w:rsid w:val="00166934"/>
    <w:rsid w:val="0016751E"/>
    <w:rsid w:val="00167D90"/>
    <w:rsid w:val="00167FF7"/>
    <w:rsid w:val="00170430"/>
    <w:rsid w:val="0017044F"/>
    <w:rsid w:val="001707FA"/>
    <w:rsid w:val="00171290"/>
    <w:rsid w:val="001712C2"/>
    <w:rsid w:val="001712EF"/>
    <w:rsid w:val="00171361"/>
    <w:rsid w:val="001713C2"/>
    <w:rsid w:val="00171DAA"/>
    <w:rsid w:val="0017275D"/>
    <w:rsid w:val="00172BAF"/>
    <w:rsid w:val="00172DC6"/>
    <w:rsid w:val="001733CB"/>
    <w:rsid w:val="00173744"/>
    <w:rsid w:val="00173B29"/>
    <w:rsid w:val="0017489F"/>
    <w:rsid w:val="001751D2"/>
    <w:rsid w:val="001755B0"/>
    <w:rsid w:val="001758E1"/>
    <w:rsid w:val="0017674D"/>
    <w:rsid w:val="00176EEE"/>
    <w:rsid w:val="001771DD"/>
    <w:rsid w:val="00177995"/>
    <w:rsid w:val="00177A8C"/>
    <w:rsid w:val="00180408"/>
    <w:rsid w:val="00181229"/>
    <w:rsid w:val="0018141C"/>
    <w:rsid w:val="00181D5D"/>
    <w:rsid w:val="00181DFB"/>
    <w:rsid w:val="00182238"/>
    <w:rsid w:val="0018244E"/>
    <w:rsid w:val="001827CA"/>
    <w:rsid w:val="00182EC4"/>
    <w:rsid w:val="001835E4"/>
    <w:rsid w:val="00183AA5"/>
    <w:rsid w:val="0018425A"/>
    <w:rsid w:val="0018445F"/>
    <w:rsid w:val="00184FE0"/>
    <w:rsid w:val="001857A8"/>
    <w:rsid w:val="00185809"/>
    <w:rsid w:val="00185CC4"/>
    <w:rsid w:val="00185E40"/>
    <w:rsid w:val="00186B33"/>
    <w:rsid w:val="00187266"/>
    <w:rsid w:val="0018763F"/>
    <w:rsid w:val="00187E0C"/>
    <w:rsid w:val="00190B41"/>
    <w:rsid w:val="00190D2A"/>
    <w:rsid w:val="001910C0"/>
    <w:rsid w:val="00191760"/>
    <w:rsid w:val="001919C2"/>
    <w:rsid w:val="0019200D"/>
    <w:rsid w:val="00192341"/>
    <w:rsid w:val="00192524"/>
    <w:rsid w:val="00192B68"/>
    <w:rsid w:val="00192F5D"/>
    <w:rsid w:val="00192F9D"/>
    <w:rsid w:val="001936F0"/>
    <w:rsid w:val="00193778"/>
    <w:rsid w:val="0019391A"/>
    <w:rsid w:val="001945B2"/>
    <w:rsid w:val="0019527B"/>
    <w:rsid w:val="00195529"/>
    <w:rsid w:val="00195DC4"/>
    <w:rsid w:val="00196655"/>
    <w:rsid w:val="0019692D"/>
    <w:rsid w:val="00196EB8"/>
    <w:rsid w:val="00196EFB"/>
    <w:rsid w:val="0019753C"/>
    <w:rsid w:val="00197725"/>
    <w:rsid w:val="001979FF"/>
    <w:rsid w:val="00197B17"/>
    <w:rsid w:val="001A0C61"/>
    <w:rsid w:val="001A0ECE"/>
    <w:rsid w:val="001A1199"/>
    <w:rsid w:val="001A1950"/>
    <w:rsid w:val="001A1ABA"/>
    <w:rsid w:val="001A1C54"/>
    <w:rsid w:val="001A2020"/>
    <w:rsid w:val="001A22C6"/>
    <w:rsid w:val="001A29E9"/>
    <w:rsid w:val="001A2DC2"/>
    <w:rsid w:val="001A2F76"/>
    <w:rsid w:val="001A309C"/>
    <w:rsid w:val="001A37C8"/>
    <w:rsid w:val="001A3ACE"/>
    <w:rsid w:val="001A3EAF"/>
    <w:rsid w:val="001A41FC"/>
    <w:rsid w:val="001A43E3"/>
    <w:rsid w:val="001A4606"/>
    <w:rsid w:val="001A51F5"/>
    <w:rsid w:val="001A5692"/>
    <w:rsid w:val="001A6272"/>
    <w:rsid w:val="001A6855"/>
    <w:rsid w:val="001A6AB6"/>
    <w:rsid w:val="001A75AD"/>
    <w:rsid w:val="001A7A35"/>
    <w:rsid w:val="001B04E1"/>
    <w:rsid w:val="001B058F"/>
    <w:rsid w:val="001B16FC"/>
    <w:rsid w:val="001B1D84"/>
    <w:rsid w:val="001B34CF"/>
    <w:rsid w:val="001B3743"/>
    <w:rsid w:val="001B3F54"/>
    <w:rsid w:val="001B40AD"/>
    <w:rsid w:val="001B46F7"/>
    <w:rsid w:val="001B4A75"/>
    <w:rsid w:val="001B528D"/>
    <w:rsid w:val="001B5617"/>
    <w:rsid w:val="001B5AD2"/>
    <w:rsid w:val="001B5FCB"/>
    <w:rsid w:val="001B61E5"/>
    <w:rsid w:val="001B6B96"/>
    <w:rsid w:val="001B70CE"/>
    <w:rsid w:val="001B71E1"/>
    <w:rsid w:val="001B738B"/>
    <w:rsid w:val="001B7C61"/>
    <w:rsid w:val="001C00F4"/>
    <w:rsid w:val="001C0407"/>
    <w:rsid w:val="001C0456"/>
    <w:rsid w:val="001C0551"/>
    <w:rsid w:val="001C05E6"/>
    <w:rsid w:val="001C09DB"/>
    <w:rsid w:val="001C0A0F"/>
    <w:rsid w:val="001C0C24"/>
    <w:rsid w:val="001C102F"/>
    <w:rsid w:val="001C1806"/>
    <w:rsid w:val="001C1F55"/>
    <w:rsid w:val="001C277E"/>
    <w:rsid w:val="001C2A72"/>
    <w:rsid w:val="001C2B7B"/>
    <w:rsid w:val="001C2C3F"/>
    <w:rsid w:val="001C31B7"/>
    <w:rsid w:val="001C40C7"/>
    <w:rsid w:val="001C5802"/>
    <w:rsid w:val="001C5C5B"/>
    <w:rsid w:val="001C5C76"/>
    <w:rsid w:val="001C5F1A"/>
    <w:rsid w:val="001C608E"/>
    <w:rsid w:val="001C767F"/>
    <w:rsid w:val="001C76D3"/>
    <w:rsid w:val="001D0669"/>
    <w:rsid w:val="001D074F"/>
    <w:rsid w:val="001D0B75"/>
    <w:rsid w:val="001D0DA4"/>
    <w:rsid w:val="001D1174"/>
    <w:rsid w:val="001D12DD"/>
    <w:rsid w:val="001D14A0"/>
    <w:rsid w:val="001D1CAA"/>
    <w:rsid w:val="001D2366"/>
    <w:rsid w:val="001D24BB"/>
    <w:rsid w:val="001D2748"/>
    <w:rsid w:val="001D27EB"/>
    <w:rsid w:val="001D29A8"/>
    <w:rsid w:val="001D30A8"/>
    <w:rsid w:val="001D3901"/>
    <w:rsid w:val="001D3954"/>
    <w:rsid w:val="001D39A5"/>
    <w:rsid w:val="001D3C09"/>
    <w:rsid w:val="001D44E8"/>
    <w:rsid w:val="001D45FC"/>
    <w:rsid w:val="001D47D3"/>
    <w:rsid w:val="001D4CA9"/>
    <w:rsid w:val="001D4EE1"/>
    <w:rsid w:val="001D60EC"/>
    <w:rsid w:val="001D6F59"/>
    <w:rsid w:val="001D7605"/>
    <w:rsid w:val="001D7664"/>
    <w:rsid w:val="001D7916"/>
    <w:rsid w:val="001E037D"/>
    <w:rsid w:val="001E0466"/>
    <w:rsid w:val="001E074C"/>
    <w:rsid w:val="001E07EF"/>
    <w:rsid w:val="001E0CCC"/>
    <w:rsid w:val="001E0E60"/>
    <w:rsid w:val="001E114B"/>
    <w:rsid w:val="001E20B0"/>
    <w:rsid w:val="001E21E3"/>
    <w:rsid w:val="001E22BB"/>
    <w:rsid w:val="001E3530"/>
    <w:rsid w:val="001E36D9"/>
    <w:rsid w:val="001E3757"/>
    <w:rsid w:val="001E3F77"/>
    <w:rsid w:val="001E40E7"/>
    <w:rsid w:val="001E4378"/>
    <w:rsid w:val="001E43D4"/>
    <w:rsid w:val="001E44DF"/>
    <w:rsid w:val="001E4817"/>
    <w:rsid w:val="001E51E6"/>
    <w:rsid w:val="001E6337"/>
    <w:rsid w:val="001E68A5"/>
    <w:rsid w:val="001E6BB0"/>
    <w:rsid w:val="001E7282"/>
    <w:rsid w:val="001F004B"/>
    <w:rsid w:val="001F1138"/>
    <w:rsid w:val="001F1B67"/>
    <w:rsid w:val="001F20EB"/>
    <w:rsid w:val="001F3558"/>
    <w:rsid w:val="001F3826"/>
    <w:rsid w:val="001F3B6A"/>
    <w:rsid w:val="001F4A00"/>
    <w:rsid w:val="001F4A98"/>
    <w:rsid w:val="001F6977"/>
    <w:rsid w:val="001F6E46"/>
    <w:rsid w:val="001F7C91"/>
    <w:rsid w:val="001F7E5E"/>
    <w:rsid w:val="002009BD"/>
    <w:rsid w:val="00200C76"/>
    <w:rsid w:val="00201287"/>
    <w:rsid w:val="002013B3"/>
    <w:rsid w:val="0020146E"/>
    <w:rsid w:val="00201E7E"/>
    <w:rsid w:val="00202586"/>
    <w:rsid w:val="0020297E"/>
    <w:rsid w:val="00202FF8"/>
    <w:rsid w:val="002033B7"/>
    <w:rsid w:val="0020359F"/>
    <w:rsid w:val="00203667"/>
    <w:rsid w:val="0020392C"/>
    <w:rsid w:val="00203C94"/>
    <w:rsid w:val="002044C5"/>
    <w:rsid w:val="002046C0"/>
    <w:rsid w:val="00204AED"/>
    <w:rsid w:val="002050F1"/>
    <w:rsid w:val="00206463"/>
    <w:rsid w:val="002065D5"/>
    <w:rsid w:val="00206AF8"/>
    <w:rsid w:val="00206DA3"/>
    <w:rsid w:val="00206F2F"/>
    <w:rsid w:val="00206FAD"/>
    <w:rsid w:val="00207717"/>
    <w:rsid w:val="00207D3D"/>
    <w:rsid w:val="00207EE0"/>
    <w:rsid w:val="00207EFA"/>
    <w:rsid w:val="0021053D"/>
    <w:rsid w:val="002106A9"/>
    <w:rsid w:val="00210A92"/>
    <w:rsid w:val="00210E1A"/>
    <w:rsid w:val="002114AC"/>
    <w:rsid w:val="002127D1"/>
    <w:rsid w:val="00212B95"/>
    <w:rsid w:val="0021310F"/>
    <w:rsid w:val="0021316D"/>
    <w:rsid w:val="00213F87"/>
    <w:rsid w:val="00215172"/>
    <w:rsid w:val="00215844"/>
    <w:rsid w:val="00215CC8"/>
    <w:rsid w:val="00215D03"/>
    <w:rsid w:val="002160FB"/>
    <w:rsid w:val="00216C03"/>
    <w:rsid w:val="00216F6C"/>
    <w:rsid w:val="00217D48"/>
    <w:rsid w:val="002206B2"/>
    <w:rsid w:val="002208B0"/>
    <w:rsid w:val="00220A1A"/>
    <w:rsid w:val="00220B87"/>
    <w:rsid w:val="00220C04"/>
    <w:rsid w:val="002212B5"/>
    <w:rsid w:val="00221CDF"/>
    <w:rsid w:val="00221D0A"/>
    <w:rsid w:val="0022278D"/>
    <w:rsid w:val="00222D2D"/>
    <w:rsid w:val="00223189"/>
    <w:rsid w:val="00223A8B"/>
    <w:rsid w:val="00224214"/>
    <w:rsid w:val="0022481E"/>
    <w:rsid w:val="0022497D"/>
    <w:rsid w:val="00224A91"/>
    <w:rsid w:val="0022584E"/>
    <w:rsid w:val="00225FA5"/>
    <w:rsid w:val="002261B8"/>
    <w:rsid w:val="002265DC"/>
    <w:rsid w:val="0022686A"/>
    <w:rsid w:val="0022701F"/>
    <w:rsid w:val="00227480"/>
    <w:rsid w:val="00227647"/>
    <w:rsid w:val="0022790F"/>
    <w:rsid w:val="00227C68"/>
    <w:rsid w:val="0023039B"/>
    <w:rsid w:val="0023165C"/>
    <w:rsid w:val="00231C48"/>
    <w:rsid w:val="00231E7E"/>
    <w:rsid w:val="002328CD"/>
    <w:rsid w:val="0023293A"/>
    <w:rsid w:val="00232990"/>
    <w:rsid w:val="00232ADD"/>
    <w:rsid w:val="002333F5"/>
    <w:rsid w:val="00233724"/>
    <w:rsid w:val="0023385F"/>
    <w:rsid w:val="00233958"/>
    <w:rsid w:val="00233C58"/>
    <w:rsid w:val="00233D35"/>
    <w:rsid w:val="00233FFC"/>
    <w:rsid w:val="0023548A"/>
    <w:rsid w:val="002355A8"/>
    <w:rsid w:val="002357FE"/>
    <w:rsid w:val="002359F1"/>
    <w:rsid w:val="002365B4"/>
    <w:rsid w:val="00236CBF"/>
    <w:rsid w:val="00237456"/>
    <w:rsid w:val="002375FF"/>
    <w:rsid w:val="00240001"/>
    <w:rsid w:val="002402C3"/>
    <w:rsid w:val="002427AA"/>
    <w:rsid w:val="002428D1"/>
    <w:rsid w:val="00242AAB"/>
    <w:rsid w:val="00243012"/>
    <w:rsid w:val="00243043"/>
    <w:rsid w:val="002432E1"/>
    <w:rsid w:val="00243C38"/>
    <w:rsid w:val="00245660"/>
    <w:rsid w:val="00245A97"/>
    <w:rsid w:val="00245BC2"/>
    <w:rsid w:val="002460FB"/>
    <w:rsid w:val="00246207"/>
    <w:rsid w:val="00246C5E"/>
    <w:rsid w:val="0024757D"/>
    <w:rsid w:val="00250960"/>
    <w:rsid w:val="00250C9E"/>
    <w:rsid w:val="00250D9C"/>
    <w:rsid w:val="00251037"/>
    <w:rsid w:val="0025118F"/>
    <w:rsid w:val="00251343"/>
    <w:rsid w:val="00251B4B"/>
    <w:rsid w:val="00253249"/>
    <w:rsid w:val="002535F3"/>
    <w:rsid w:val="002536A4"/>
    <w:rsid w:val="00253950"/>
    <w:rsid w:val="00253967"/>
    <w:rsid w:val="002539C0"/>
    <w:rsid w:val="00253CFE"/>
    <w:rsid w:val="00253D3A"/>
    <w:rsid w:val="00253DB2"/>
    <w:rsid w:val="00253DD8"/>
    <w:rsid w:val="00253E3D"/>
    <w:rsid w:val="00253F51"/>
    <w:rsid w:val="0025478C"/>
    <w:rsid w:val="00254F58"/>
    <w:rsid w:val="002557BD"/>
    <w:rsid w:val="00255A49"/>
    <w:rsid w:val="00255A80"/>
    <w:rsid w:val="00255E2B"/>
    <w:rsid w:val="00256772"/>
    <w:rsid w:val="002568E1"/>
    <w:rsid w:val="00256994"/>
    <w:rsid w:val="002570A5"/>
    <w:rsid w:val="00257AA3"/>
    <w:rsid w:val="002602E8"/>
    <w:rsid w:val="002604D3"/>
    <w:rsid w:val="002608F6"/>
    <w:rsid w:val="00260BB4"/>
    <w:rsid w:val="00260FCD"/>
    <w:rsid w:val="002611C3"/>
    <w:rsid w:val="00261A40"/>
    <w:rsid w:val="00261E2B"/>
    <w:rsid w:val="002620BC"/>
    <w:rsid w:val="00262322"/>
    <w:rsid w:val="002626E5"/>
    <w:rsid w:val="00262802"/>
    <w:rsid w:val="002628B4"/>
    <w:rsid w:val="0026301F"/>
    <w:rsid w:val="002631BB"/>
    <w:rsid w:val="00263A90"/>
    <w:rsid w:val="0026408B"/>
    <w:rsid w:val="002647B0"/>
    <w:rsid w:val="00264F44"/>
    <w:rsid w:val="002665BD"/>
    <w:rsid w:val="00267922"/>
    <w:rsid w:val="00267C3E"/>
    <w:rsid w:val="0027081B"/>
    <w:rsid w:val="002709BB"/>
    <w:rsid w:val="00270CC2"/>
    <w:rsid w:val="00270FC5"/>
    <w:rsid w:val="0027131C"/>
    <w:rsid w:val="00273A2B"/>
    <w:rsid w:val="00273BAC"/>
    <w:rsid w:val="002742C4"/>
    <w:rsid w:val="0027446B"/>
    <w:rsid w:val="002754B3"/>
    <w:rsid w:val="002763B3"/>
    <w:rsid w:val="00277413"/>
    <w:rsid w:val="00277669"/>
    <w:rsid w:val="00277CEE"/>
    <w:rsid w:val="00277EA6"/>
    <w:rsid w:val="002802E3"/>
    <w:rsid w:val="0028067F"/>
    <w:rsid w:val="002807A3"/>
    <w:rsid w:val="00281099"/>
    <w:rsid w:val="0028160C"/>
    <w:rsid w:val="0028182F"/>
    <w:rsid w:val="002818BE"/>
    <w:rsid w:val="00281A39"/>
    <w:rsid w:val="00281C6C"/>
    <w:rsid w:val="00281FBC"/>
    <w:rsid w:val="0028213D"/>
    <w:rsid w:val="002824AD"/>
    <w:rsid w:val="00282DB3"/>
    <w:rsid w:val="00282EBF"/>
    <w:rsid w:val="00283410"/>
    <w:rsid w:val="00283A86"/>
    <w:rsid w:val="00283F8C"/>
    <w:rsid w:val="0028408D"/>
    <w:rsid w:val="002842D9"/>
    <w:rsid w:val="00285119"/>
    <w:rsid w:val="00285849"/>
    <w:rsid w:val="00285899"/>
    <w:rsid w:val="00285DE8"/>
    <w:rsid w:val="002862F1"/>
    <w:rsid w:val="00286B32"/>
    <w:rsid w:val="00286B97"/>
    <w:rsid w:val="002872F2"/>
    <w:rsid w:val="0028797D"/>
    <w:rsid w:val="00287BCD"/>
    <w:rsid w:val="0029047F"/>
    <w:rsid w:val="00290CF9"/>
    <w:rsid w:val="00291373"/>
    <w:rsid w:val="0029272C"/>
    <w:rsid w:val="0029282F"/>
    <w:rsid w:val="00292EC8"/>
    <w:rsid w:val="00292F7C"/>
    <w:rsid w:val="002932AD"/>
    <w:rsid w:val="00293586"/>
    <w:rsid w:val="00294AB3"/>
    <w:rsid w:val="00294F60"/>
    <w:rsid w:val="00295795"/>
    <w:rsid w:val="0029597D"/>
    <w:rsid w:val="00295DA7"/>
    <w:rsid w:val="00295FA6"/>
    <w:rsid w:val="002962C3"/>
    <w:rsid w:val="00296376"/>
    <w:rsid w:val="00296614"/>
    <w:rsid w:val="0029684D"/>
    <w:rsid w:val="0029752B"/>
    <w:rsid w:val="00297C1E"/>
    <w:rsid w:val="00297F9F"/>
    <w:rsid w:val="002A0177"/>
    <w:rsid w:val="002A0263"/>
    <w:rsid w:val="002A03A2"/>
    <w:rsid w:val="002A04B6"/>
    <w:rsid w:val="002A0A9C"/>
    <w:rsid w:val="002A0C98"/>
    <w:rsid w:val="002A1E80"/>
    <w:rsid w:val="002A1F38"/>
    <w:rsid w:val="002A1F87"/>
    <w:rsid w:val="002A2AA4"/>
    <w:rsid w:val="002A2F00"/>
    <w:rsid w:val="002A38CA"/>
    <w:rsid w:val="002A3F66"/>
    <w:rsid w:val="002A41AF"/>
    <w:rsid w:val="002A463C"/>
    <w:rsid w:val="002A483C"/>
    <w:rsid w:val="002A5BA2"/>
    <w:rsid w:val="002A600B"/>
    <w:rsid w:val="002A6E69"/>
    <w:rsid w:val="002A7AFA"/>
    <w:rsid w:val="002A7D46"/>
    <w:rsid w:val="002B030D"/>
    <w:rsid w:val="002B03DD"/>
    <w:rsid w:val="002B06DE"/>
    <w:rsid w:val="002B08D8"/>
    <w:rsid w:val="002B0A64"/>
    <w:rsid w:val="002B0C7C"/>
    <w:rsid w:val="002B1729"/>
    <w:rsid w:val="002B2115"/>
    <w:rsid w:val="002B2642"/>
    <w:rsid w:val="002B2AD8"/>
    <w:rsid w:val="002B32D8"/>
    <w:rsid w:val="002B3378"/>
    <w:rsid w:val="002B33DB"/>
    <w:rsid w:val="002B36C7"/>
    <w:rsid w:val="002B43CE"/>
    <w:rsid w:val="002B4456"/>
    <w:rsid w:val="002B4DD4"/>
    <w:rsid w:val="002B4F11"/>
    <w:rsid w:val="002B4FA5"/>
    <w:rsid w:val="002B5277"/>
    <w:rsid w:val="002B5375"/>
    <w:rsid w:val="002B5F1F"/>
    <w:rsid w:val="002B6375"/>
    <w:rsid w:val="002B6A33"/>
    <w:rsid w:val="002B6EC4"/>
    <w:rsid w:val="002B7264"/>
    <w:rsid w:val="002B7354"/>
    <w:rsid w:val="002B7357"/>
    <w:rsid w:val="002B7419"/>
    <w:rsid w:val="002B7690"/>
    <w:rsid w:val="002B77C1"/>
    <w:rsid w:val="002B7D50"/>
    <w:rsid w:val="002C0ED7"/>
    <w:rsid w:val="002C1100"/>
    <w:rsid w:val="002C1687"/>
    <w:rsid w:val="002C1756"/>
    <w:rsid w:val="002C17BF"/>
    <w:rsid w:val="002C2728"/>
    <w:rsid w:val="002C28E1"/>
    <w:rsid w:val="002C28EF"/>
    <w:rsid w:val="002C2C26"/>
    <w:rsid w:val="002C30F4"/>
    <w:rsid w:val="002C3AE9"/>
    <w:rsid w:val="002C487C"/>
    <w:rsid w:val="002C4B7D"/>
    <w:rsid w:val="002C5483"/>
    <w:rsid w:val="002C5544"/>
    <w:rsid w:val="002C5B7C"/>
    <w:rsid w:val="002C6210"/>
    <w:rsid w:val="002C66D9"/>
    <w:rsid w:val="002C7093"/>
    <w:rsid w:val="002C715D"/>
    <w:rsid w:val="002C7AAB"/>
    <w:rsid w:val="002C7ABA"/>
    <w:rsid w:val="002D0314"/>
    <w:rsid w:val="002D0C4D"/>
    <w:rsid w:val="002D164B"/>
    <w:rsid w:val="002D1DD7"/>
    <w:rsid w:val="002D1E0D"/>
    <w:rsid w:val="002D2514"/>
    <w:rsid w:val="002D3508"/>
    <w:rsid w:val="002D44CD"/>
    <w:rsid w:val="002D4A69"/>
    <w:rsid w:val="002D5006"/>
    <w:rsid w:val="002D5B24"/>
    <w:rsid w:val="002D5E4B"/>
    <w:rsid w:val="002D5F31"/>
    <w:rsid w:val="002D655C"/>
    <w:rsid w:val="002D6830"/>
    <w:rsid w:val="002D6D69"/>
    <w:rsid w:val="002D6E65"/>
    <w:rsid w:val="002D76C3"/>
    <w:rsid w:val="002D7C61"/>
    <w:rsid w:val="002D7DF9"/>
    <w:rsid w:val="002E01D0"/>
    <w:rsid w:val="002E060F"/>
    <w:rsid w:val="002E11CA"/>
    <w:rsid w:val="002E15D4"/>
    <w:rsid w:val="002E161D"/>
    <w:rsid w:val="002E28A2"/>
    <w:rsid w:val="002E3100"/>
    <w:rsid w:val="002E4B7D"/>
    <w:rsid w:val="002E506A"/>
    <w:rsid w:val="002E529C"/>
    <w:rsid w:val="002E54C8"/>
    <w:rsid w:val="002E55EA"/>
    <w:rsid w:val="002E5DB7"/>
    <w:rsid w:val="002E69C4"/>
    <w:rsid w:val="002E6C95"/>
    <w:rsid w:val="002E6D85"/>
    <w:rsid w:val="002E7C36"/>
    <w:rsid w:val="002F08F6"/>
    <w:rsid w:val="002F15C5"/>
    <w:rsid w:val="002F1953"/>
    <w:rsid w:val="002F1CC0"/>
    <w:rsid w:val="002F1DC7"/>
    <w:rsid w:val="002F25B3"/>
    <w:rsid w:val="002F2636"/>
    <w:rsid w:val="002F2A8D"/>
    <w:rsid w:val="002F2B54"/>
    <w:rsid w:val="002F2B9A"/>
    <w:rsid w:val="002F2C91"/>
    <w:rsid w:val="002F2DDD"/>
    <w:rsid w:val="002F3146"/>
    <w:rsid w:val="002F3A7E"/>
    <w:rsid w:val="002F3D32"/>
    <w:rsid w:val="002F467E"/>
    <w:rsid w:val="002F5F31"/>
    <w:rsid w:val="002F5F46"/>
    <w:rsid w:val="002F5F69"/>
    <w:rsid w:val="002F61EB"/>
    <w:rsid w:val="002F676A"/>
    <w:rsid w:val="002F6B49"/>
    <w:rsid w:val="002F7121"/>
    <w:rsid w:val="002F777E"/>
    <w:rsid w:val="002F7F97"/>
    <w:rsid w:val="003002CD"/>
    <w:rsid w:val="0030098D"/>
    <w:rsid w:val="003011AF"/>
    <w:rsid w:val="00301942"/>
    <w:rsid w:val="00301AEB"/>
    <w:rsid w:val="00301E5B"/>
    <w:rsid w:val="00301EC1"/>
    <w:rsid w:val="00302216"/>
    <w:rsid w:val="00303CF1"/>
    <w:rsid w:val="00303E53"/>
    <w:rsid w:val="00304475"/>
    <w:rsid w:val="00305408"/>
    <w:rsid w:val="0030559D"/>
    <w:rsid w:val="003056A6"/>
    <w:rsid w:val="00305A00"/>
    <w:rsid w:val="00305CC1"/>
    <w:rsid w:val="0030622A"/>
    <w:rsid w:val="00306E5F"/>
    <w:rsid w:val="0030745A"/>
    <w:rsid w:val="00307A9B"/>
    <w:rsid w:val="00307B99"/>
    <w:rsid w:val="00307E14"/>
    <w:rsid w:val="003108A1"/>
    <w:rsid w:val="00310A05"/>
    <w:rsid w:val="00311919"/>
    <w:rsid w:val="00311B9C"/>
    <w:rsid w:val="00311DCF"/>
    <w:rsid w:val="003123F3"/>
    <w:rsid w:val="003125A5"/>
    <w:rsid w:val="003127E3"/>
    <w:rsid w:val="003129C7"/>
    <w:rsid w:val="00313339"/>
    <w:rsid w:val="003138F6"/>
    <w:rsid w:val="00313F4A"/>
    <w:rsid w:val="00314054"/>
    <w:rsid w:val="00314AFF"/>
    <w:rsid w:val="00314BCE"/>
    <w:rsid w:val="00314D30"/>
    <w:rsid w:val="00314E2E"/>
    <w:rsid w:val="003150F3"/>
    <w:rsid w:val="003157A8"/>
    <w:rsid w:val="003158DD"/>
    <w:rsid w:val="00315A04"/>
    <w:rsid w:val="00315B73"/>
    <w:rsid w:val="00316F27"/>
    <w:rsid w:val="00317280"/>
    <w:rsid w:val="003172A7"/>
    <w:rsid w:val="00317EB8"/>
    <w:rsid w:val="003214F1"/>
    <w:rsid w:val="00321AC0"/>
    <w:rsid w:val="00322E4B"/>
    <w:rsid w:val="00323A2B"/>
    <w:rsid w:val="00323CA6"/>
    <w:rsid w:val="00324072"/>
    <w:rsid w:val="00324403"/>
    <w:rsid w:val="00324A86"/>
    <w:rsid w:val="00324F7B"/>
    <w:rsid w:val="00324F86"/>
    <w:rsid w:val="00326466"/>
    <w:rsid w:val="00326AC8"/>
    <w:rsid w:val="00326E70"/>
    <w:rsid w:val="00327097"/>
    <w:rsid w:val="0032713B"/>
    <w:rsid w:val="00327870"/>
    <w:rsid w:val="003278E6"/>
    <w:rsid w:val="0033052B"/>
    <w:rsid w:val="00330DED"/>
    <w:rsid w:val="00331CBC"/>
    <w:rsid w:val="0033259D"/>
    <w:rsid w:val="003333D2"/>
    <w:rsid w:val="003333FE"/>
    <w:rsid w:val="00333A1B"/>
    <w:rsid w:val="00333CD4"/>
    <w:rsid w:val="00334686"/>
    <w:rsid w:val="003349FD"/>
    <w:rsid w:val="003353FB"/>
    <w:rsid w:val="003354B5"/>
    <w:rsid w:val="003355AD"/>
    <w:rsid w:val="00335DA7"/>
    <w:rsid w:val="00335DD4"/>
    <w:rsid w:val="00336277"/>
    <w:rsid w:val="00336B90"/>
    <w:rsid w:val="00336C7E"/>
    <w:rsid w:val="00337296"/>
    <w:rsid w:val="00337339"/>
    <w:rsid w:val="003376CA"/>
    <w:rsid w:val="00337E98"/>
    <w:rsid w:val="00340345"/>
    <w:rsid w:val="00340688"/>
    <w:rsid w:val="003406C6"/>
    <w:rsid w:val="00340A23"/>
    <w:rsid w:val="00340D5D"/>
    <w:rsid w:val="00340EB6"/>
    <w:rsid w:val="00341244"/>
    <w:rsid w:val="00341669"/>
    <w:rsid w:val="003418CC"/>
    <w:rsid w:val="003427A5"/>
    <w:rsid w:val="00342A4F"/>
    <w:rsid w:val="003433CD"/>
    <w:rsid w:val="00343495"/>
    <w:rsid w:val="003434EE"/>
    <w:rsid w:val="003445E8"/>
    <w:rsid w:val="0034464A"/>
    <w:rsid w:val="0034484F"/>
    <w:rsid w:val="003449A0"/>
    <w:rsid w:val="00345734"/>
    <w:rsid w:val="003459BD"/>
    <w:rsid w:val="0034601E"/>
    <w:rsid w:val="0034618F"/>
    <w:rsid w:val="003461D1"/>
    <w:rsid w:val="003463FD"/>
    <w:rsid w:val="003470BF"/>
    <w:rsid w:val="003477E4"/>
    <w:rsid w:val="00347C86"/>
    <w:rsid w:val="00350AFC"/>
    <w:rsid w:val="00350B5C"/>
    <w:rsid w:val="00350D38"/>
    <w:rsid w:val="003514BE"/>
    <w:rsid w:val="00351B36"/>
    <w:rsid w:val="00351E1E"/>
    <w:rsid w:val="00351FBB"/>
    <w:rsid w:val="00352644"/>
    <w:rsid w:val="00352A77"/>
    <w:rsid w:val="00352B60"/>
    <w:rsid w:val="00354061"/>
    <w:rsid w:val="0035444B"/>
    <w:rsid w:val="00354883"/>
    <w:rsid w:val="00354A1A"/>
    <w:rsid w:val="00354B52"/>
    <w:rsid w:val="00354F99"/>
    <w:rsid w:val="00355F87"/>
    <w:rsid w:val="00356A02"/>
    <w:rsid w:val="00357605"/>
    <w:rsid w:val="00357722"/>
    <w:rsid w:val="00357B4E"/>
    <w:rsid w:val="00360096"/>
    <w:rsid w:val="003604E4"/>
    <w:rsid w:val="003616FC"/>
    <w:rsid w:val="00361AD6"/>
    <w:rsid w:val="00361C8A"/>
    <w:rsid w:val="00361F89"/>
    <w:rsid w:val="00362571"/>
    <w:rsid w:val="00362A7A"/>
    <w:rsid w:val="00362C29"/>
    <w:rsid w:val="0036406E"/>
    <w:rsid w:val="00364147"/>
    <w:rsid w:val="00364338"/>
    <w:rsid w:val="003649B7"/>
    <w:rsid w:val="00364DEF"/>
    <w:rsid w:val="003659DA"/>
    <w:rsid w:val="00366C05"/>
    <w:rsid w:val="003671D8"/>
    <w:rsid w:val="00367D74"/>
    <w:rsid w:val="00367EB7"/>
    <w:rsid w:val="0037035F"/>
    <w:rsid w:val="003706CB"/>
    <w:rsid w:val="0037072F"/>
    <w:rsid w:val="0037099C"/>
    <w:rsid w:val="00370A52"/>
    <w:rsid w:val="003716D4"/>
    <w:rsid w:val="003716FD"/>
    <w:rsid w:val="003717BC"/>
    <w:rsid w:val="0037204B"/>
    <w:rsid w:val="0037239D"/>
    <w:rsid w:val="0037260F"/>
    <w:rsid w:val="00372678"/>
    <w:rsid w:val="00373266"/>
    <w:rsid w:val="00373906"/>
    <w:rsid w:val="00374213"/>
    <w:rsid w:val="003743B7"/>
    <w:rsid w:val="003743ED"/>
    <w:rsid w:val="003744CF"/>
    <w:rsid w:val="00374717"/>
    <w:rsid w:val="0037486A"/>
    <w:rsid w:val="0037543D"/>
    <w:rsid w:val="00375F67"/>
    <w:rsid w:val="0037624D"/>
    <w:rsid w:val="0037676C"/>
    <w:rsid w:val="00376A66"/>
    <w:rsid w:val="00376BEA"/>
    <w:rsid w:val="003773A7"/>
    <w:rsid w:val="003773D8"/>
    <w:rsid w:val="0037789D"/>
    <w:rsid w:val="00377E46"/>
    <w:rsid w:val="003808AF"/>
    <w:rsid w:val="00380BBF"/>
    <w:rsid w:val="00380D64"/>
    <w:rsid w:val="00381043"/>
    <w:rsid w:val="003815E2"/>
    <w:rsid w:val="00381D7C"/>
    <w:rsid w:val="00382135"/>
    <w:rsid w:val="00382829"/>
    <w:rsid w:val="003829E5"/>
    <w:rsid w:val="00382BA2"/>
    <w:rsid w:val="00382C5B"/>
    <w:rsid w:val="0038381C"/>
    <w:rsid w:val="00383F21"/>
    <w:rsid w:val="003842F5"/>
    <w:rsid w:val="003847E0"/>
    <w:rsid w:val="00384BC2"/>
    <w:rsid w:val="00384F22"/>
    <w:rsid w:val="00385211"/>
    <w:rsid w:val="00386109"/>
    <w:rsid w:val="003864F2"/>
    <w:rsid w:val="0038669C"/>
    <w:rsid w:val="00386944"/>
    <w:rsid w:val="003873CE"/>
    <w:rsid w:val="003878C4"/>
    <w:rsid w:val="0039051F"/>
    <w:rsid w:val="00390601"/>
    <w:rsid w:val="00391773"/>
    <w:rsid w:val="003917F7"/>
    <w:rsid w:val="00391DB5"/>
    <w:rsid w:val="0039248F"/>
    <w:rsid w:val="003926F8"/>
    <w:rsid w:val="003927C2"/>
    <w:rsid w:val="00392AF5"/>
    <w:rsid w:val="003932E1"/>
    <w:rsid w:val="0039344B"/>
    <w:rsid w:val="003944DD"/>
    <w:rsid w:val="00394AE6"/>
    <w:rsid w:val="00394C44"/>
    <w:rsid w:val="00395049"/>
    <w:rsid w:val="003956CC"/>
    <w:rsid w:val="00395C9A"/>
    <w:rsid w:val="0039608F"/>
    <w:rsid w:val="00396FE2"/>
    <w:rsid w:val="003974FD"/>
    <w:rsid w:val="00397FEA"/>
    <w:rsid w:val="003A0853"/>
    <w:rsid w:val="003A0ED9"/>
    <w:rsid w:val="003A124F"/>
    <w:rsid w:val="003A140D"/>
    <w:rsid w:val="003A1751"/>
    <w:rsid w:val="003A1D62"/>
    <w:rsid w:val="003A1D9B"/>
    <w:rsid w:val="003A268F"/>
    <w:rsid w:val="003A2BE2"/>
    <w:rsid w:val="003A2D9D"/>
    <w:rsid w:val="003A3389"/>
    <w:rsid w:val="003A3CBB"/>
    <w:rsid w:val="003A3DC9"/>
    <w:rsid w:val="003A47FE"/>
    <w:rsid w:val="003A4911"/>
    <w:rsid w:val="003A5CCF"/>
    <w:rsid w:val="003A67AD"/>
    <w:rsid w:val="003A69A5"/>
    <w:rsid w:val="003A6A11"/>
    <w:rsid w:val="003A6B67"/>
    <w:rsid w:val="003A6BD4"/>
    <w:rsid w:val="003A7271"/>
    <w:rsid w:val="003A72D0"/>
    <w:rsid w:val="003A7359"/>
    <w:rsid w:val="003A7D39"/>
    <w:rsid w:val="003B05E1"/>
    <w:rsid w:val="003B0699"/>
    <w:rsid w:val="003B06DD"/>
    <w:rsid w:val="003B0BAA"/>
    <w:rsid w:val="003B0FED"/>
    <w:rsid w:val="003B13B6"/>
    <w:rsid w:val="003B14C3"/>
    <w:rsid w:val="003B15E6"/>
    <w:rsid w:val="003B19D5"/>
    <w:rsid w:val="003B1A28"/>
    <w:rsid w:val="003B21C1"/>
    <w:rsid w:val="003B22EF"/>
    <w:rsid w:val="003B27E0"/>
    <w:rsid w:val="003B2809"/>
    <w:rsid w:val="003B2D07"/>
    <w:rsid w:val="003B2E26"/>
    <w:rsid w:val="003B30D9"/>
    <w:rsid w:val="003B3CC5"/>
    <w:rsid w:val="003B408A"/>
    <w:rsid w:val="003B55BC"/>
    <w:rsid w:val="003B56A4"/>
    <w:rsid w:val="003B5773"/>
    <w:rsid w:val="003B5B02"/>
    <w:rsid w:val="003B5E1A"/>
    <w:rsid w:val="003B5F08"/>
    <w:rsid w:val="003B63BE"/>
    <w:rsid w:val="003B66CE"/>
    <w:rsid w:val="003B6B3C"/>
    <w:rsid w:val="003B73E7"/>
    <w:rsid w:val="003B7439"/>
    <w:rsid w:val="003B7B70"/>
    <w:rsid w:val="003C08A2"/>
    <w:rsid w:val="003C1CAA"/>
    <w:rsid w:val="003C1F4A"/>
    <w:rsid w:val="003C1FC6"/>
    <w:rsid w:val="003C2045"/>
    <w:rsid w:val="003C2500"/>
    <w:rsid w:val="003C277D"/>
    <w:rsid w:val="003C29CF"/>
    <w:rsid w:val="003C2BF9"/>
    <w:rsid w:val="003C2CB0"/>
    <w:rsid w:val="003C2F0A"/>
    <w:rsid w:val="003C3158"/>
    <w:rsid w:val="003C396C"/>
    <w:rsid w:val="003C3F97"/>
    <w:rsid w:val="003C43A1"/>
    <w:rsid w:val="003C4FC0"/>
    <w:rsid w:val="003C55F4"/>
    <w:rsid w:val="003C5D7D"/>
    <w:rsid w:val="003C660F"/>
    <w:rsid w:val="003C7760"/>
    <w:rsid w:val="003C7897"/>
    <w:rsid w:val="003C7A3F"/>
    <w:rsid w:val="003D0228"/>
    <w:rsid w:val="003D1016"/>
    <w:rsid w:val="003D12CD"/>
    <w:rsid w:val="003D1725"/>
    <w:rsid w:val="003D1E2E"/>
    <w:rsid w:val="003D1F96"/>
    <w:rsid w:val="003D2766"/>
    <w:rsid w:val="003D27BB"/>
    <w:rsid w:val="003D2A74"/>
    <w:rsid w:val="003D316C"/>
    <w:rsid w:val="003D3ABC"/>
    <w:rsid w:val="003D3AF4"/>
    <w:rsid w:val="003D3B3E"/>
    <w:rsid w:val="003D3D88"/>
    <w:rsid w:val="003D3E8F"/>
    <w:rsid w:val="003D3EBB"/>
    <w:rsid w:val="003D4751"/>
    <w:rsid w:val="003D4E3A"/>
    <w:rsid w:val="003D54F0"/>
    <w:rsid w:val="003D5A3C"/>
    <w:rsid w:val="003D60B0"/>
    <w:rsid w:val="003D63CC"/>
    <w:rsid w:val="003D6475"/>
    <w:rsid w:val="003D65AE"/>
    <w:rsid w:val="003D665E"/>
    <w:rsid w:val="003D6EE6"/>
    <w:rsid w:val="003D75D0"/>
    <w:rsid w:val="003D7BED"/>
    <w:rsid w:val="003E05F3"/>
    <w:rsid w:val="003E12DB"/>
    <w:rsid w:val="003E1F74"/>
    <w:rsid w:val="003E20B9"/>
    <w:rsid w:val="003E2619"/>
    <w:rsid w:val="003E285E"/>
    <w:rsid w:val="003E2A1A"/>
    <w:rsid w:val="003E3284"/>
    <w:rsid w:val="003E375C"/>
    <w:rsid w:val="003E4086"/>
    <w:rsid w:val="003E4BD5"/>
    <w:rsid w:val="003E557C"/>
    <w:rsid w:val="003E5AB1"/>
    <w:rsid w:val="003E5CAC"/>
    <w:rsid w:val="003E5F03"/>
    <w:rsid w:val="003E5F25"/>
    <w:rsid w:val="003E639E"/>
    <w:rsid w:val="003E6C83"/>
    <w:rsid w:val="003E71E5"/>
    <w:rsid w:val="003E735A"/>
    <w:rsid w:val="003E78A8"/>
    <w:rsid w:val="003F0445"/>
    <w:rsid w:val="003F0B15"/>
    <w:rsid w:val="003F0CF0"/>
    <w:rsid w:val="003F0DBF"/>
    <w:rsid w:val="003F14B1"/>
    <w:rsid w:val="003F156E"/>
    <w:rsid w:val="003F1605"/>
    <w:rsid w:val="003F1B27"/>
    <w:rsid w:val="003F1C38"/>
    <w:rsid w:val="003F2B20"/>
    <w:rsid w:val="003F2F57"/>
    <w:rsid w:val="003F3289"/>
    <w:rsid w:val="003F3351"/>
    <w:rsid w:val="003F39F2"/>
    <w:rsid w:val="003F3C62"/>
    <w:rsid w:val="003F40CD"/>
    <w:rsid w:val="003F48C4"/>
    <w:rsid w:val="003F5CB9"/>
    <w:rsid w:val="003F5F97"/>
    <w:rsid w:val="003F62CB"/>
    <w:rsid w:val="003F6CF2"/>
    <w:rsid w:val="003F6EE7"/>
    <w:rsid w:val="003F70CA"/>
    <w:rsid w:val="003F71C6"/>
    <w:rsid w:val="003F7782"/>
    <w:rsid w:val="00400506"/>
    <w:rsid w:val="00401028"/>
    <w:rsid w:val="0040126C"/>
    <w:rsid w:val="004012AD"/>
    <w:rsid w:val="004013C7"/>
    <w:rsid w:val="004013EF"/>
    <w:rsid w:val="00401FB9"/>
    <w:rsid w:val="00401FCF"/>
    <w:rsid w:val="00403208"/>
    <w:rsid w:val="00404611"/>
    <w:rsid w:val="004048DE"/>
    <w:rsid w:val="00404DB7"/>
    <w:rsid w:val="00405ADA"/>
    <w:rsid w:val="00405FAF"/>
    <w:rsid w:val="00406285"/>
    <w:rsid w:val="00406B9B"/>
    <w:rsid w:val="00407B88"/>
    <w:rsid w:val="00407DD7"/>
    <w:rsid w:val="004102D7"/>
    <w:rsid w:val="004110B2"/>
    <w:rsid w:val="004113D3"/>
    <w:rsid w:val="004115A2"/>
    <w:rsid w:val="00411620"/>
    <w:rsid w:val="00411A6A"/>
    <w:rsid w:val="00411E35"/>
    <w:rsid w:val="004126CE"/>
    <w:rsid w:val="00412ED1"/>
    <w:rsid w:val="00413FC2"/>
    <w:rsid w:val="00414174"/>
    <w:rsid w:val="004148F9"/>
    <w:rsid w:val="00414C24"/>
    <w:rsid w:val="00414CAD"/>
    <w:rsid w:val="00414F5C"/>
    <w:rsid w:val="00416B80"/>
    <w:rsid w:val="00416DEE"/>
    <w:rsid w:val="00417547"/>
    <w:rsid w:val="004176E1"/>
    <w:rsid w:val="0041779E"/>
    <w:rsid w:val="004204C8"/>
    <w:rsid w:val="0042073D"/>
    <w:rsid w:val="0042084E"/>
    <w:rsid w:val="004209B4"/>
    <w:rsid w:val="00420F86"/>
    <w:rsid w:val="0042110F"/>
    <w:rsid w:val="00421EEF"/>
    <w:rsid w:val="00422099"/>
    <w:rsid w:val="0042263F"/>
    <w:rsid w:val="00423040"/>
    <w:rsid w:val="00423F90"/>
    <w:rsid w:val="00424402"/>
    <w:rsid w:val="00424459"/>
    <w:rsid w:val="00424523"/>
    <w:rsid w:val="004247B4"/>
    <w:rsid w:val="00424D65"/>
    <w:rsid w:val="00425530"/>
    <w:rsid w:val="004265E6"/>
    <w:rsid w:val="00426925"/>
    <w:rsid w:val="0042792F"/>
    <w:rsid w:val="00427CC9"/>
    <w:rsid w:val="00427CCB"/>
    <w:rsid w:val="00430393"/>
    <w:rsid w:val="00430AC8"/>
    <w:rsid w:val="0043105A"/>
    <w:rsid w:val="00431806"/>
    <w:rsid w:val="0043190D"/>
    <w:rsid w:val="00431A70"/>
    <w:rsid w:val="00431AD4"/>
    <w:rsid w:val="00431F42"/>
    <w:rsid w:val="00432086"/>
    <w:rsid w:val="00432313"/>
    <w:rsid w:val="00432FAC"/>
    <w:rsid w:val="004332ED"/>
    <w:rsid w:val="004339DF"/>
    <w:rsid w:val="00433B46"/>
    <w:rsid w:val="0043404A"/>
    <w:rsid w:val="00434676"/>
    <w:rsid w:val="00435310"/>
    <w:rsid w:val="004355DA"/>
    <w:rsid w:val="00435D62"/>
    <w:rsid w:val="004361AB"/>
    <w:rsid w:val="0043698B"/>
    <w:rsid w:val="004374F6"/>
    <w:rsid w:val="0043783C"/>
    <w:rsid w:val="00441F2B"/>
    <w:rsid w:val="00442309"/>
    <w:rsid w:val="00442767"/>
    <w:rsid w:val="00442C6C"/>
    <w:rsid w:val="00443B73"/>
    <w:rsid w:val="00443C6E"/>
    <w:rsid w:val="00443CBE"/>
    <w:rsid w:val="00443D45"/>
    <w:rsid w:val="00443E8A"/>
    <w:rsid w:val="004441BC"/>
    <w:rsid w:val="0044444B"/>
    <w:rsid w:val="00444649"/>
    <w:rsid w:val="0044538B"/>
    <w:rsid w:val="00445951"/>
    <w:rsid w:val="004468B4"/>
    <w:rsid w:val="00446D86"/>
    <w:rsid w:val="004471F8"/>
    <w:rsid w:val="004475BA"/>
    <w:rsid w:val="00450610"/>
    <w:rsid w:val="00450840"/>
    <w:rsid w:val="00450DD0"/>
    <w:rsid w:val="004514A6"/>
    <w:rsid w:val="00451907"/>
    <w:rsid w:val="00451B66"/>
    <w:rsid w:val="0045230A"/>
    <w:rsid w:val="00453353"/>
    <w:rsid w:val="004535A8"/>
    <w:rsid w:val="0045403A"/>
    <w:rsid w:val="00454A7D"/>
    <w:rsid w:val="00454AD0"/>
    <w:rsid w:val="00454C06"/>
    <w:rsid w:val="00454C39"/>
    <w:rsid w:val="00455299"/>
    <w:rsid w:val="004562C9"/>
    <w:rsid w:val="004565D3"/>
    <w:rsid w:val="00457265"/>
    <w:rsid w:val="00457337"/>
    <w:rsid w:val="004573E0"/>
    <w:rsid w:val="00457ED7"/>
    <w:rsid w:val="00460076"/>
    <w:rsid w:val="004603CB"/>
    <w:rsid w:val="00460676"/>
    <w:rsid w:val="004618A2"/>
    <w:rsid w:val="00461904"/>
    <w:rsid w:val="00461CC4"/>
    <w:rsid w:val="004625B4"/>
    <w:rsid w:val="00462923"/>
    <w:rsid w:val="00462E3D"/>
    <w:rsid w:val="0046355B"/>
    <w:rsid w:val="00463709"/>
    <w:rsid w:val="00465070"/>
    <w:rsid w:val="0046522F"/>
    <w:rsid w:val="004652F7"/>
    <w:rsid w:val="004657AC"/>
    <w:rsid w:val="00466380"/>
    <w:rsid w:val="00466E79"/>
    <w:rsid w:val="00470C12"/>
    <w:rsid w:val="00470D7D"/>
    <w:rsid w:val="00471131"/>
    <w:rsid w:val="004717B0"/>
    <w:rsid w:val="00471CCB"/>
    <w:rsid w:val="00472726"/>
    <w:rsid w:val="00473088"/>
    <w:rsid w:val="0047349E"/>
    <w:rsid w:val="00473535"/>
    <w:rsid w:val="0047372D"/>
    <w:rsid w:val="00473A00"/>
    <w:rsid w:val="00473BA3"/>
    <w:rsid w:val="004743DD"/>
    <w:rsid w:val="0047468A"/>
    <w:rsid w:val="00474CEA"/>
    <w:rsid w:val="0047556C"/>
    <w:rsid w:val="004763A9"/>
    <w:rsid w:val="004763D2"/>
    <w:rsid w:val="00476B8B"/>
    <w:rsid w:val="00476F64"/>
    <w:rsid w:val="00477137"/>
    <w:rsid w:val="00477142"/>
    <w:rsid w:val="004774E9"/>
    <w:rsid w:val="00477CA3"/>
    <w:rsid w:val="00480B00"/>
    <w:rsid w:val="00480F1D"/>
    <w:rsid w:val="00480F92"/>
    <w:rsid w:val="004815CB"/>
    <w:rsid w:val="004815E3"/>
    <w:rsid w:val="00482028"/>
    <w:rsid w:val="004828E7"/>
    <w:rsid w:val="00482B9F"/>
    <w:rsid w:val="00483968"/>
    <w:rsid w:val="004841BE"/>
    <w:rsid w:val="004846CD"/>
    <w:rsid w:val="004846E4"/>
    <w:rsid w:val="00484B67"/>
    <w:rsid w:val="00484D2D"/>
    <w:rsid w:val="00484F86"/>
    <w:rsid w:val="0048543A"/>
    <w:rsid w:val="00485DB8"/>
    <w:rsid w:val="00486638"/>
    <w:rsid w:val="00486B75"/>
    <w:rsid w:val="004872E9"/>
    <w:rsid w:val="00487351"/>
    <w:rsid w:val="004876B1"/>
    <w:rsid w:val="00490139"/>
    <w:rsid w:val="004903B7"/>
    <w:rsid w:val="00490746"/>
    <w:rsid w:val="00490852"/>
    <w:rsid w:val="004916A1"/>
    <w:rsid w:val="00491C6F"/>
    <w:rsid w:val="00491C9C"/>
    <w:rsid w:val="0049240F"/>
    <w:rsid w:val="004925E6"/>
    <w:rsid w:val="00492F30"/>
    <w:rsid w:val="0049354E"/>
    <w:rsid w:val="004940FF"/>
    <w:rsid w:val="00494474"/>
    <w:rsid w:val="004944F7"/>
    <w:rsid w:val="004946F4"/>
    <w:rsid w:val="0049487E"/>
    <w:rsid w:val="00494CE3"/>
    <w:rsid w:val="004950A7"/>
    <w:rsid w:val="004950D2"/>
    <w:rsid w:val="00496849"/>
    <w:rsid w:val="00496B0B"/>
    <w:rsid w:val="00497312"/>
    <w:rsid w:val="00497871"/>
    <w:rsid w:val="004A07A3"/>
    <w:rsid w:val="004A09A3"/>
    <w:rsid w:val="004A150E"/>
    <w:rsid w:val="004A160D"/>
    <w:rsid w:val="004A1881"/>
    <w:rsid w:val="004A1BDC"/>
    <w:rsid w:val="004A1C93"/>
    <w:rsid w:val="004A1DD0"/>
    <w:rsid w:val="004A2484"/>
    <w:rsid w:val="004A2A44"/>
    <w:rsid w:val="004A2CB7"/>
    <w:rsid w:val="004A3E81"/>
    <w:rsid w:val="004A4195"/>
    <w:rsid w:val="004A4B7F"/>
    <w:rsid w:val="004A4C4C"/>
    <w:rsid w:val="004A4C7B"/>
    <w:rsid w:val="004A4E9D"/>
    <w:rsid w:val="004A4FBF"/>
    <w:rsid w:val="004A5C62"/>
    <w:rsid w:val="004A5C97"/>
    <w:rsid w:val="004A5CE5"/>
    <w:rsid w:val="004A5E07"/>
    <w:rsid w:val="004A664F"/>
    <w:rsid w:val="004A707D"/>
    <w:rsid w:val="004A7479"/>
    <w:rsid w:val="004A74AE"/>
    <w:rsid w:val="004A757C"/>
    <w:rsid w:val="004A77DB"/>
    <w:rsid w:val="004B009C"/>
    <w:rsid w:val="004B0204"/>
    <w:rsid w:val="004B0291"/>
    <w:rsid w:val="004B0662"/>
    <w:rsid w:val="004B0974"/>
    <w:rsid w:val="004B19F3"/>
    <w:rsid w:val="004B1E73"/>
    <w:rsid w:val="004B333D"/>
    <w:rsid w:val="004B3786"/>
    <w:rsid w:val="004B4185"/>
    <w:rsid w:val="004B57D8"/>
    <w:rsid w:val="004B5F8C"/>
    <w:rsid w:val="004B6458"/>
    <w:rsid w:val="004B6944"/>
    <w:rsid w:val="004B749D"/>
    <w:rsid w:val="004B7A11"/>
    <w:rsid w:val="004B7A45"/>
    <w:rsid w:val="004C069A"/>
    <w:rsid w:val="004C0B7A"/>
    <w:rsid w:val="004C0C98"/>
    <w:rsid w:val="004C0EED"/>
    <w:rsid w:val="004C16BF"/>
    <w:rsid w:val="004C1820"/>
    <w:rsid w:val="004C1C90"/>
    <w:rsid w:val="004C288E"/>
    <w:rsid w:val="004C2B1E"/>
    <w:rsid w:val="004C3859"/>
    <w:rsid w:val="004C393E"/>
    <w:rsid w:val="004C3C27"/>
    <w:rsid w:val="004C3C2F"/>
    <w:rsid w:val="004C47F0"/>
    <w:rsid w:val="004C5302"/>
    <w:rsid w:val="004C5541"/>
    <w:rsid w:val="004C5BC5"/>
    <w:rsid w:val="004C5F65"/>
    <w:rsid w:val="004C62BD"/>
    <w:rsid w:val="004C65D3"/>
    <w:rsid w:val="004C66C9"/>
    <w:rsid w:val="004C682B"/>
    <w:rsid w:val="004C6832"/>
    <w:rsid w:val="004C6A8E"/>
    <w:rsid w:val="004C6EEE"/>
    <w:rsid w:val="004C702B"/>
    <w:rsid w:val="004C7A10"/>
    <w:rsid w:val="004D0033"/>
    <w:rsid w:val="004D0154"/>
    <w:rsid w:val="004D016B"/>
    <w:rsid w:val="004D03FC"/>
    <w:rsid w:val="004D0A44"/>
    <w:rsid w:val="004D1741"/>
    <w:rsid w:val="004D1B22"/>
    <w:rsid w:val="004D1C12"/>
    <w:rsid w:val="004D2317"/>
    <w:rsid w:val="004D23CC"/>
    <w:rsid w:val="004D36F2"/>
    <w:rsid w:val="004D3A66"/>
    <w:rsid w:val="004D3B68"/>
    <w:rsid w:val="004D3FB1"/>
    <w:rsid w:val="004D45F5"/>
    <w:rsid w:val="004D4CBC"/>
    <w:rsid w:val="004D544C"/>
    <w:rsid w:val="004D5539"/>
    <w:rsid w:val="004D566F"/>
    <w:rsid w:val="004D645B"/>
    <w:rsid w:val="004D7886"/>
    <w:rsid w:val="004D7AF7"/>
    <w:rsid w:val="004E0487"/>
    <w:rsid w:val="004E07AE"/>
    <w:rsid w:val="004E08AA"/>
    <w:rsid w:val="004E10B4"/>
    <w:rsid w:val="004E1106"/>
    <w:rsid w:val="004E1370"/>
    <w:rsid w:val="004E138F"/>
    <w:rsid w:val="004E1457"/>
    <w:rsid w:val="004E171F"/>
    <w:rsid w:val="004E252A"/>
    <w:rsid w:val="004E30A5"/>
    <w:rsid w:val="004E3DD2"/>
    <w:rsid w:val="004E43D9"/>
    <w:rsid w:val="004E4649"/>
    <w:rsid w:val="004E48B8"/>
    <w:rsid w:val="004E4A80"/>
    <w:rsid w:val="004E5C2B"/>
    <w:rsid w:val="004E657B"/>
    <w:rsid w:val="004E6FB5"/>
    <w:rsid w:val="004E7146"/>
    <w:rsid w:val="004E7371"/>
    <w:rsid w:val="004E789D"/>
    <w:rsid w:val="004F00DD"/>
    <w:rsid w:val="004F0565"/>
    <w:rsid w:val="004F0FEA"/>
    <w:rsid w:val="004F1558"/>
    <w:rsid w:val="004F2133"/>
    <w:rsid w:val="004F350A"/>
    <w:rsid w:val="004F4077"/>
    <w:rsid w:val="004F5398"/>
    <w:rsid w:val="004F54FA"/>
    <w:rsid w:val="004F55F1"/>
    <w:rsid w:val="004F5948"/>
    <w:rsid w:val="004F59AC"/>
    <w:rsid w:val="004F6936"/>
    <w:rsid w:val="004F6D86"/>
    <w:rsid w:val="004F6D88"/>
    <w:rsid w:val="004F70EF"/>
    <w:rsid w:val="004F71D7"/>
    <w:rsid w:val="004F757A"/>
    <w:rsid w:val="004F7A69"/>
    <w:rsid w:val="004F7A92"/>
    <w:rsid w:val="004F7D27"/>
    <w:rsid w:val="00500AC4"/>
    <w:rsid w:val="00500C3F"/>
    <w:rsid w:val="00501779"/>
    <w:rsid w:val="00501C0B"/>
    <w:rsid w:val="0050236B"/>
    <w:rsid w:val="00502C6B"/>
    <w:rsid w:val="00502E16"/>
    <w:rsid w:val="00502EAE"/>
    <w:rsid w:val="00503075"/>
    <w:rsid w:val="00503DC6"/>
    <w:rsid w:val="005043ED"/>
    <w:rsid w:val="00505057"/>
    <w:rsid w:val="00505532"/>
    <w:rsid w:val="005055F0"/>
    <w:rsid w:val="00505920"/>
    <w:rsid w:val="0050592A"/>
    <w:rsid w:val="0050647D"/>
    <w:rsid w:val="00506A91"/>
    <w:rsid w:val="00506A94"/>
    <w:rsid w:val="00506A97"/>
    <w:rsid w:val="00506F5D"/>
    <w:rsid w:val="00507499"/>
    <w:rsid w:val="00507E23"/>
    <w:rsid w:val="00507F52"/>
    <w:rsid w:val="005102C6"/>
    <w:rsid w:val="00510C37"/>
    <w:rsid w:val="005114AD"/>
    <w:rsid w:val="00511707"/>
    <w:rsid w:val="00512154"/>
    <w:rsid w:val="005126D0"/>
    <w:rsid w:val="0051391D"/>
    <w:rsid w:val="00514206"/>
    <w:rsid w:val="00514208"/>
    <w:rsid w:val="005142C5"/>
    <w:rsid w:val="00514378"/>
    <w:rsid w:val="00514667"/>
    <w:rsid w:val="005152FB"/>
    <w:rsid w:val="0051568D"/>
    <w:rsid w:val="005159DD"/>
    <w:rsid w:val="00515B65"/>
    <w:rsid w:val="00515BE4"/>
    <w:rsid w:val="00516316"/>
    <w:rsid w:val="00516552"/>
    <w:rsid w:val="005166B4"/>
    <w:rsid w:val="00516C07"/>
    <w:rsid w:val="00516F3A"/>
    <w:rsid w:val="005200E1"/>
    <w:rsid w:val="0052054D"/>
    <w:rsid w:val="00520574"/>
    <w:rsid w:val="005206F5"/>
    <w:rsid w:val="00520BEB"/>
    <w:rsid w:val="00520DA3"/>
    <w:rsid w:val="00521679"/>
    <w:rsid w:val="00522B51"/>
    <w:rsid w:val="0052353D"/>
    <w:rsid w:val="00523AF2"/>
    <w:rsid w:val="00523C06"/>
    <w:rsid w:val="00523F06"/>
    <w:rsid w:val="0052456D"/>
    <w:rsid w:val="00524C9C"/>
    <w:rsid w:val="00525115"/>
    <w:rsid w:val="00525238"/>
    <w:rsid w:val="00526AC7"/>
    <w:rsid w:val="00526ADB"/>
    <w:rsid w:val="00526C15"/>
    <w:rsid w:val="0053034E"/>
    <w:rsid w:val="005308A7"/>
    <w:rsid w:val="00530E3F"/>
    <w:rsid w:val="00530F3D"/>
    <w:rsid w:val="0053108C"/>
    <w:rsid w:val="00531388"/>
    <w:rsid w:val="005314B1"/>
    <w:rsid w:val="00531E18"/>
    <w:rsid w:val="00531ED0"/>
    <w:rsid w:val="00532005"/>
    <w:rsid w:val="00532608"/>
    <w:rsid w:val="0053273C"/>
    <w:rsid w:val="00533089"/>
    <w:rsid w:val="0053357C"/>
    <w:rsid w:val="00533AAC"/>
    <w:rsid w:val="00533BA7"/>
    <w:rsid w:val="00533DAF"/>
    <w:rsid w:val="00534611"/>
    <w:rsid w:val="0053468D"/>
    <w:rsid w:val="00534C8F"/>
    <w:rsid w:val="005353FD"/>
    <w:rsid w:val="005358A0"/>
    <w:rsid w:val="0053594D"/>
    <w:rsid w:val="0053595C"/>
    <w:rsid w:val="00536048"/>
    <w:rsid w:val="00536289"/>
    <w:rsid w:val="00536387"/>
    <w:rsid w:val="0053647F"/>
    <w:rsid w:val="00536499"/>
    <w:rsid w:val="005368A2"/>
    <w:rsid w:val="00536C70"/>
    <w:rsid w:val="00537A24"/>
    <w:rsid w:val="00537DCC"/>
    <w:rsid w:val="0054017E"/>
    <w:rsid w:val="00540242"/>
    <w:rsid w:val="005403EE"/>
    <w:rsid w:val="00540946"/>
    <w:rsid w:val="00540FB7"/>
    <w:rsid w:val="00541681"/>
    <w:rsid w:val="00541D2D"/>
    <w:rsid w:val="00542907"/>
    <w:rsid w:val="00542A03"/>
    <w:rsid w:val="00543903"/>
    <w:rsid w:val="00543BCC"/>
    <w:rsid w:val="00543F11"/>
    <w:rsid w:val="00544135"/>
    <w:rsid w:val="00544477"/>
    <w:rsid w:val="00544E9B"/>
    <w:rsid w:val="005450C9"/>
    <w:rsid w:val="0054527A"/>
    <w:rsid w:val="00545F74"/>
    <w:rsid w:val="00546305"/>
    <w:rsid w:val="00546955"/>
    <w:rsid w:val="00546D12"/>
    <w:rsid w:val="0054715E"/>
    <w:rsid w:val="0054731B"/>
    <w:rsid w:val="00547992"/>
    <w:rsid w:val="00547A95"/>
    <w:rsid w:val="00547FDC"/>
    <w:rsid w:val="00550109"/>
    <w:rsid w:val="005506AC"/>
    <w:rsid w:val="005509B5"/>
    <w:rsid w:val="0055119B"/>
    <w:rsid w:val="005511F9"/>
    <w:rsid w:val="005523DF"/>
    <w:rsid w:val="005532A8"/>
    <w:rsid w:val="00553AF9"/>
    <w:rsid w:val="00553FEE"/>
    <w:rsid w:val="005543EB"/>
    <w:rsid w:val="005546A0"/>
    <w:rsid w:val="005549F1"/>
    <w:rsid w:val="00554CCB"/>
    <w:rsid w:val="005559B8"/>
    <w:rsid w:val="00556450"/>
    <w:rsid w:val="00556FC6"/>
    <w:rsid w:val="00557047"/>
    <w:rsid w:val="00557507"/>
    <w:rsid w:val="00557ADE"/>
    <w:rsid w:val="00557B44"/>
    <w:rsid w:val="00560EEB"/>
    <w:rsid w:val="00561202"/>
    <w:rsid w:val="0056142F"/>
    <w:rsid w:val="00562507"/>
    <w:rsid w:val="00562811"/>
    <w:rsid w:val="00562FD9"/>
    <w:rsid w:val="005630AE"/>
    <w:rsid w:val="0056333D"/>
    <w:rsid w:val="005645AB"/>
    <w:rsid w:val="00564D23"/>
    <w:rsid w:val="00565604"/>
    <w:rsid w:val="00566A89"/>
    <w:rsid w:val="005672A2"/>
    <w:rsid w:val="00567319"/>
    <w:rsid w:val="005711AA"/>
    <w:rsid w:val="00571306"/>
    <w:rsid w:val="005719B1"/>
    <w:rsid w:val="005719E6"/>
    <w:rsid w:val="00571B58"/>
    <w:rsid w:val="00572031"/>
    <w:rsid w:val="005720E4"/>
    <w:rsid w:val="00572282"/>
    <w:rsid w:val="00572D07"/>
    <w:rsid w:val="00572F76"/>
    <w:rsid w:val="00572FBC"/>
    <w:rsid w:val="0057360E"/>
    <w:rsid w:val="005736D9"/>
    <w:rsid w:val="00573CE3"/>
    <w:rsid w:val="005742B2"/>
    <w:rsid w:val="00574531"/>
    <w:rsid w:val="00574622"/>
    <w:rsid w:val="00574D8B"/>
    <w:rsid w:val="00574E26"/>
    <w:rsid w:val="0057521A"/>
    <w:rsid w:val="00575349"/>
    <w:rsid w:val="00575F5B"/>
    <w:rsid w:val="00576E84"/>
    <w:rsid w:val="00580394"/>
    <w:rsid w:val="00580423"/>
    <w:rsid w:val="00580562"/>
    <w:rsid w:val="005806AA"/>
    <w:rsid w:val="005806F8"/>
    <w:rsid w:val="00580930"/>
    <w:rsid w:val="005809CD"/>
    <w:rsid w:val="00580BDB"/>
    <w:rsid w:val="005810AB"/>
    <w:rsid w:val="005810ED"/>
    <w:rsid w:val="00581C18"/>
    <w:rsid w:val="005829AB"/>
    <w:rsid w:val="00582B8C"/>
    <w:rsid w:val="00582F8D"/>
    <w:rsid w:val="00582FA5"/>
    <w:rsid w:val="005830AC"/>
    <w:rsid w:val="005834F2"/>
    <w:rsid w:val="00583791"/>
    <w:rsid w:val="005837AD"/>
    <w:rsid w:val="00583C7A"/>
    <w:rsid w:val="00583E0A"/>
    <w:rsid w:val="0058468E"/>
    <w:rsid w:val="00584BF9"/>
    <w:rsid w:val="00585D10"/>
    <w:rsid w:val="00586CFE"/>
    <w:rsid w:val="0058757E"/>
    <w:rsid w:val="00587A0D"/>
    <w:rsid w:val="00590490"/>
    <w:rsid w:val="0059068A"/>
    <w:rsid w:val="00590890"/>
    <w:rsid w:val="00590A6D"/>
    <w:rsid w:val="00590EBB"/>
    <w:rsid w:val="005917F3"/>
    <w:rsid w:val="0059184D"/>
    <w:rsid w:val="005918B3"/>
    <w:rsid w:val="00591FF9"/>
    <w:rsid w:val="005928D0"/>
    <w:rsid w:val="0059330A"/>
    <w:rsid w:val="0059388F"/>
    <w:rsid w:val="00593899"/>
    <w:rsid w:val="00593B74"/>
    <w:rsid w:val="00593CCE"/>
    <w:rsid w:val="00593D8E"/>
    <w:rsid w:val="0059418C"/>
    <w:rsid w:val="00595453"/>
    <w:rsid w:val="00595F16"/>
    <w:rsid w:val="00596A4B"/>
    <w:rsid w:val="005970DA"/>
    <w:rsid w:val="005971D9"/>
    <w:rsid w:val="00597507"/>
    <w:rsid w:val="00597CDE"/>
    <w:rsid w:val="00597E0E"/>
    <w:rsid w:val="005A02C6"/>
    <w:rsid w:val="005A0CFA"/>
    <w:rsid w:val="005A1B36"/>
    <w:rsid w:val="005A2725"/>
    <w:rsid w:val="005A279F"/>
    <w:rsid w:val="005A2BA3"/>
    <w:rsid w:val="005A2CE4"/>
    <w:rsid w:val="005A3071"/>
    <w:rsid w:val="005A3B95"/>
    <w:rsid w:val="005A3C07"/>
    <w:rsid w:val="005A42BB"/>
    <w:rsid w:val="005A479D"/>
    <w:rsid w:val="005A5E3A"/>
    <w:rsid w:val="005A6606"/>
    <w:rsid w:val="005A689F"/>
    <w:rsid w:val="005A692C"/>
    <w:rsid w:val="005A7322"/>
    <w:rsid w:val="005A751A"/>
    <w:rsid w:val="005A75D8"/>
    <w:rsid w:val="005A75E5"/>
    <w:rsid w:val="005A7EA3"/>
    <w:rsid w:val="005B006A"/>
    <w:rsid w:val="005B0253"/>
    <w:rsid w:val="005B04BB"/>
    <w:rsid w:val="005B11C4"/>
    <w:rsid w:val="005B1C6D"/>
    <w:rsid w:val="005B21B6"/>
    <w:rsid w:val="005B2F5A"/>
    <w:rsid w:val="005B335C"/>
    <w:rsid w:val="005B3517"/>
    <w:rsid w:val="005B3A08"/>
    <w:rsid w:val="005B55DC"/>
    <w:rsid w:val="005B597A"/>
    <w:rsid w:val="005B5CB9"/>
    <w:rsid w:val="005B68D7"/>
    <w:rsid w:val="005B6EFC"/>
    <w:rsid w:val="005B7A63"/>
    <w:rsid w:val="005B7DF7"/>
    <w:rsid w:val="005B7F08"/>
    <w:rsid w:val="005C010E"/>
    <w:rsid w:val="005C0723"/>
    <w:rsid w:val="005C0955"/>
    <w:rsid w:val="005C10FE"/>
    <w:rsid w:val="005C1E8C"/>
    <w:rsid w:val="005C1F5C"/>
    <w:rsid w:val="005C23C7"/>
    <w:rsid w:val="005C24B2"/>
    <w:rsid w:val="005C2BB0"/>
    <w:rsid w:val="005C31CC"/>
    <w:rsid w:val="005C3960"/>
    <w:rsid w:val="005C430D"/>
    <w:rsid w:val="005C4343"/>
    <w:rsid w:val="005C4555"/>
    <w:rsid w:val="005C45CA"/>
    <w:rsid w:val="005C48DD"/>
    <w:rsid w:val="005C49DA"/>
    <w:rsid w:val="005C4B44"/>
    <w:rsid w:val="005C50F3"/>
    <w:rsid w:val="005C5384"/>
    <w:rsid w:val="005C54B5"/>
    <w:rsid w:val="005C579C"/>
    <w:rsid w:val="005C5C2F"/>
    <w:rsid w:val="005C5D80"/>
    <w:rsid w:val="005C5D91"/>
    <w:rsid w:val="005C5F95"/>
    <w:rsid w:val="005C659D"/>
    <w:rsid w:val="005C73F5"/>
    <w:rsid w:val="005C7A7F"/>
    <w:rsid w:val="005C7B5C"/>
    <w:rsid w:val="005D07B8"/>
    <w:rsid w:val="005D0E33"/>
    <w:rsid w:val="005D0E81"/>
    <w:rsid w:val="005D109B"/>
    <w:rsid w:val="005D13CB"/>
    <w:rsid w:val="005D1513"/>
    <w:rsid w:val="005D179A"/>
    <w:rsid w:val="005D1D03"/>
    <w:rsid w:val="005D218F"/>
    <w:rsid w:val="005D2C48"/>
    <w:rsid w:val="005D346A"/>
    <w:rsid w:val="005D35BE"/>
    <w:rsid w:val="005D3689"/>
    <w:rsid w:val="005D40A2"/>
    <w:rsid w:val="005D40D9"/>
    <w:rsid w:val="005D4911"/>
    <w:rsid w:val="005D4AD3"/>
    <w:rsid w:val="005D5DA6"/>
    <w:rsid w:val="005D6586"/>
    <w:rsid w:val="005D6597"/>
    <w:rsid w:val="005D7056"/>
    <w:rsid w:val="005D76E9"/>
    <w:rsid w:val="005D7936"/>
    <w:rsid w:val="005E0565"/>
    <w:rsid w:val="005E0A05"/>
    <w:rsid w:val="005E0B40"/>
    <w:rsid w:val="005E0E93"/>
    <w:rsid w:val="005E14E7"/>
    <w:rsid w:val="005E183E"/>
    <w:rsid w:val="005E18F9"/>
    <w:rsid w:val="005E26A3"/>
    <w:rsid w:val="005E27EE"/>
    <w:rsid w:val="005E282A"/>
    <w:rsid w:val="005E28EC"/>
    <w:rsid w:val="005E2C35"/>
    <w:rsid w:val="005E2ECB"/>
    <w:rsid w:val="005E3249"/>
    <w:rsid w:val="005E3C7D"/>
    <w:rsid w:val="005E3E8F"/>
    <w:rsid w:val="005E43FF"/>
    <w:rsid w:val="005E447E"/>
    <w:rsid w:val="005E47DF"/>
    <w:rsid w:val="005E4FD1"/>
    <w:rsid w:val="005E5462"/>
    <w:rsid w:val="005E57B6"/>
    <w:rsid w:val="005E6E1E"/>
    <w:rsid w:val="005E7679"/>
    <w:rsid w:val="005E77BB"/>
    <w:rsid w:val="005E7CD8"/>
    <w:rsid w:val="005E7D7E"/>
    <w:rsid w:val="005E7EA1"/>
    <w:rsid w:val="005F031D"/>
    <w:rsid w:val="005F0775"/>
    <w:rsid w:val="005F0CD5"/>
    <w:rsid w:val="005F0CF5"/>
    <w:rsid w:val="005F0E08"/>
    <w:rsid w:val="005F0EAD"/>
    <w:rsid w:val="005F1935"/>
    <w:rsid w:val="005F1C3F"/>
    <w:rsid w:val="005F21EB"/>
    <w:rsid w:val="005F282C"/>
    <w:rsid w:val="005F315C"/>
    <w:rsid w:val="005F3688"/>
    <w:rsid w:val="005F3D5B"/>
    <w:rsid w:val="005F424B"/>
    <w:rsid w:val="005F44BD"/>
    <w:rsid w:val="005F4B4E"/>
    <w:rsid w:val="005F50F6"/>
    <w:rsid w:val="005F5165"/>
    <w:rsid w:val="005F5782"/>
    <w:rsid w:val="005F6377"/>
    <w:rsid w:val="005F6467"/>
    <w:rsid w:val="005F64CF"/>
    <w:rsid w:val="005F6795"/>
    <w:rsid w:val="005F6964"/>
    <w:rsid w:val="005F6D9B"/>
    <w:rsid w:val="005F7929"/>
    <w:rsid w:val="005F7B65"/>
    <w:rsid w:val="0060089C"/>
    <w:rsid w:val="006009FA"/>
    <w:rsid w:val="0060154D"/>
    <w:rsid w:val="00601CC8"/>
    <w:rsid w:val="00602213"/>
    <w:rsid w:val="006038A3"/>
    <w:rsid w:val="00604039"/>
    <w:rsid w:val="00604135"/>
    <w:rsid w:val="0060413B"/>
    <w:rsid w:val="006041AD"/>
    <w:rsid w:val="0060449F"/>
    <w:rsid w:val="0060465F"/>
    <w:rsid w:val="00604841"/>
    <w:rsid w:val="00604FA9"/>
    <w:rsid w:val="00605276"/>
    <w:rsid w:val="006054F0"/>
    <w:rsid w:val="00605908"/>
    <w:rsid w:val="00605CB9"/>
    <w:rsid w:val="00605F62"/>
    <w:rsid w:val="006061B4"/>
    <w:rsid w:val="00606258"/>
    <w:rsid w:val="006066C1"/>
    <w:rsid w:val="00606B45"/>
    <w:rsid w:val="00606C25"/>
    <w:rsid w:val="00606C72"/>
    <w:rsid w:val="00607850"/>
    <w:rsid w:val="00607E9B"/>
    <w:rsid w:val="00607EF7"/>
    <w:rsid w:val="00607F0A"/>
    <w:rsid w:val="00607F2F"/>
    <w:rsid w:val="00610426"/>
    <w:rsid w:val="006106EE"/>
    <w:rsid w:val="00610D7C"/>
    <w:rsid w:val="00611444"/>
    <w:rsid w:val="0061261E"/>
    <w:rsid w:val="00613414"/>
    <w:rsid w:val="006140B5"/>
    <w:rsid w:val="00614343"/>
    <w:rsid w:val="006148E9"/>
    <w:rsid w:val="00615D97"/>
    <w:rsid w:val="00615F9F"/>
    <w:rsid w:val="006163C1"/>
    <w:rsid w:val="006166A2"/>
    <w:rsid w:val="00616B89"/>
    <w:rsid w:val="0061792D"/>
    <w:rsid w:val="00620154"/>
    <w:rsid w:val="00620A28"/>
    <w:rsid w:val="006210C5"/>
    <w:rsid w:val="00621B1D"/>
    <w:rsid w:val="00621CEE"/>
    <w:rsid w:val="00621FF7"/>
    <w:rsid w:val="006225FD"/>
    <w:rsid w:val="0062326D"/>
    <w:rsid w:val="00623A93"/>
    <w:rsid w:val="0062408D"/>
    <w:rsid w:val="006240CC"/>
    <w:rsid w:val="00624185"/>
    <w:rsid w:val="006245FD"/>
    <w:rsid w:val="006248FE"/>
    <w:rsid w:val="00624940"/>
    <w:rsid w:val="00625135"/>
    <w:rsid w:val="006254F8"/>
    <w:rsid w:val="00625550"/>
    <w:rsid w:val="006260D4"/>
    <w:rsid w:val="006265D4"/>
    <w:rsid w:val="00626661"/>
    <w:rsid w:val="006268D1"/>
    <w:rsid w:val="00627B97"/>
    <w:rsid w:val="00627D9E"/>
    <w:rsid w:val="00627DA7"/>
    <w:rsid w:val="00630228"/>
    <w:rsid w:val="00630DA4"/>
    <w:rsid w:val="006313F1"/>
    <w:rsid w:val="00631921"/>
    <w:rsid w:val="00631CD4"/>
    <w:rsid w:val="00632597"/>
    <w:rsid w:val="00632A55"/>
    <w:rsid w:val="006337A5"/>
    <w:rsid w:val="0063387C"/>
    <w:rsid w:val="00633936"/>
    <w:rsid w:val="00633F56"/>
    <w:rsid w:val="006342D2"/>
    <w:rsid w:val="00634C17"/>
    <w:rsid w:val="00634CDD"/>
    <w:rsid w:val="00634D13"/>
    <w:rsid w:val="0063529C"/>
    <w:rsid w:val="006358B4"/>
    <w:rsid w:val="006359DB"/>
    <w:rsid w:val="006361C8"/>
    <w:rsid w:val="00636227"/>
    <w:rsid w:val="00636DEF"/>
    <w:rsid w:val="006371F2"/>
    <w:rsid w:val="00637A4B"/>
    <w:rsid w:val="00637D41"/>
    <w:rsid w:val="00637EB2"/>
    <w:rsid w:val="0064076C"/>
    <w:rsid w:val="00640B1E"/>
    <w:rsid w:val="00641078"/>
    <w:rsid w:val="00641724"/>
    <w:rsid w:val="006419AA"/>
    <w:rsid w:val="006419BE"/>
    <w:rsid w:val="00642326"/>
    <w:rsid w:val="0064293D"/>
    <w:rsid w:val="00642F70"/>
    <w:rsid w:val="00643086"/>
    <w:rsid w:val="00643153"/>
    <w:rsid w:val="00643ACB"/>
    <w:rsid w:val="00643C27"/>
    <w:rsid w:val="00644B1F"/>
    <w:rsid w:val="00644B7E"/>
    <w:rsid w:val="006450CC"/>
    <w:rsid w:val="00645373"/>
    <w:rsid w:val="006454E6"/>
    <w:rsid w:val="00645DBC"/>
    <w:rsid w:val="00645F88"/>
    <w:rsid w:val="006460E2"/>
    <w:rsid w:val="0064616C"/>
    <w:rsid w:val="00646235"/>
    <w:rsid w:val="00646A68"/>
    <w:rsid w:val="00647214"/>
    <w:rsid w:val="00647AA8"/>
    <w:rsid w:val="00647ABE"/>
    <w:rsid w:val="00650143"/>
    <w:rsid w:val="006505BD"/>
    <w:rsid w:val="006508EA"/>
    <w:rsid w:val="0065092E"/>
    <w:rsid w:val="006514CA"/>
    <w:rsid w:val="00651A92"/>
    <w:rsid w:val="006532C3"/>
    <w:rsid w:val="00653F78"/>
    <w:rsid w:val="00655655"/>
    <w:rsid w:val="00655752"/>
    <w:rsid w:val="0065578F"/>
    <w:rsid w:val="006557A7"/>
    <w:rsid w:val="006557B9"/>
    <w:rsid w:val="00655FD3"/>
    <w:rsid w:val="006560D5"/>
    <w:rsid w:val="00656290"/>
    <w:rsid w:val="00656461"/>
    <w:rsid w:val="006564D6"/>
    <w:rsid w:val="00656762"/>
    <w:rsid w:val="00657D46"/>
    <w:rsid w:val="00657DF5"/>
    <w:rsid w:val="006601C9"/>
    <w:rsid w:val="006607B0"/>
    <w:rsid w:val="006608B5"/>
    <w:rsid w:val="006608D8"/>
    <w:rsid w:val="006609A3"/>
    <w:rsid w:val="00660C7B"/>
    <w:rsid w:val="00660CBB"/>
    <w:rsid w:val="006612C2"/>
    <w:rsid w:val="00661918"/>
    <w:rsid w:val="00661AE1"/>
    <w:rsid w:val="006621D7"/>
    <w:rsid w:val="00662BCF"/>
    <w:rsid w:val="00662BFC"/>
    <w:rsid w:val="0066302A"/>
    <w:rsid w:val="00663974"/>
    <w:rsid w:val="00663982"/>
    <w:rsid w:val="006642AD"/>
    <w:rsid w:val="00664495"/>
    <w:rsid w:val="00664BCA"/>
    <w:rsid w:val="0066580C"/>
    <w:rsid w:val="00666043"/>
    <w:rsid w:val="00666B0E"/>
    <w:rsid w:val="00666CEC"/>
    <w:rsid w:val="00666D19"/>
    <w:rsid w:val="00666DDA"/>
    <w:rsid w:val="006671EB"/>
    <w:rsid w:val="006673B1"/>
    <w:rsid w:val="00667770"/>
    <w:rsid w:val="006704D2"/>
    <w:rsid w:val="00670597"/>
    <w:rsid w:val="006706D0"/>
    <w:rsid w:val="0067089E"/>
    <w:rsid w:val="00670AA7"/>
    <w:rsid w:val="006719CA"/>
    <w:rsid w:val="00672BA1"/>
    <w:rsid w:val="006738FC"/>
    <w:rsid w:val="00673FD4"/>
    <w:rsid w:val="00674570"/>
    <w:rsid w:val="00675E84"/>
    <w:rsid w:val="006765E0"/>
    <w:rsid w:val="00676C2E"/>
    <w:rsid w:val="00677574"/>
    <w:rsid w:val="00680AA8"/>
    <w:rsid w:val="0068124C"/>
    <w:rsid w:val="006812ED"/>
    <w:rsid w:val="00681443"/>
    <w:rsid w:val="0068159C"/>
    <w:rsid w:val="00681C9D"/>
    <w:rsid w:val="006820DC"/>
    <w:rsid w:val="0068218D"/>
    <w:rsid w:val="006824D2"/>
    <w:rsid w:val="00683878"/>
    <w:rsid w:val="00683879"/>
    <w:rsid w:val="00684380"/>
    <w:rsid w:val="0068454C"/>
    <w:rsid w:val="0068556F"/>
    <w:rsid w:val="00685880"/>
    <w:rsid w:val="0068733A"/>
    <w:rsid w:val="006873C0"/>
    <w:rsid w:val="00687CB1"/>
    <w:rsid w:val="0069106B"/>
    <w:rsid w:val="00691427"/>
    <w:rsid w:val="00691B62"/>
    <w:rsid w:val="00692D63"/>
    <w:rsid w:val="006933B5"/>
    <w:rsid w:val="00693D14"/>
    <w:rsid w:val="006943A4"/>
    <w:rsid w:val="00694DE9"/>
    <w:rsid w:val="00694DF5"/>
    <w:rsid w:val="0069503A"/>
    <w:rsid w:val="006967B9"/>
    <w:rsid w:val="00696F27"/>
    <w:rsid w:val="0069734E"/>
    <w:rsid w:val="00697C92"/>
    <w:rsid w:val="00697F6B"/>
    <w:rsid w:val="006A18C2"/>
    <w:rsid w:val="006A20EB"/>
    <w:rsid w:val="006A3383"/>
    <w:rsid w:val="006A44ED"/>
    <w:rsid w:val="006A47C9"/>
    <w:rsid w:val="006A4A74"/>
    <w:rsid w:val="006A4A76"/>
    <w:rsid w:val="006A4ADA"/>
    <w:rsid w:val="006A517A"/>
    <w:rsid w:val="006A5299"/>
    <w:rsid w:val="006A575C"/>
    <w:rsid w:val="006A646C"/>
    <w:rsid w:val="006A71CB"/>
    <w:rsid w:val="006A7228"/>
    <w:rsid w:val="006A7346"/>
    <w:rsid w:val="006A73CA"/>
    <w:rsid w:val="006A7BDD"/>
    <w:rsid w:val="006A7DAB"/>
    <w:rsid w:val="006B077C"/>
    <w:rsid w:val="006B1442"/>
    <w:rsid w:val="006B1488"/>
    <w:rsid w:val="006B1C00"/>
    <w:rsid w:val="006B2099"/>
    <w:rsid w:val="006B2180"/>
    <w:rsid w:val="006B223D"/>
    <w:rsid w:val="006B2324"/>
    <w:rsid w:val="006B3020"/>
    <w:rsid w:val="006B3179"/>
    <w:rsid w:val="006B370B"/>
    <w:rsid w:val="006B3807"/>
    <w:rsid w:val="006B391E"/>
    <w:rsid w:val="006B53D9"/>
    <w:rsid w:val="006B56A5"/>
    <w:rsid w:val="006B5FFC"/>
    <w:rsid w:val="006B6803"/>
    <w:rsid w:val="006B7190"/>
    <w:rsid w:val="006B758E"/>
    <w:rsid w:val="006B7734"/>
    <w:rsid w:val="006B79AE"/>
    <w:rsid w:val="006B7E47"/>
    <w:rsid w:val="006C0342"/>
    <w:rsid w:val="006C035F"/>
    <w:rsid w:val="006C0BA9"/>
    <w:rsid w:val="006C12A5"/>
    <w:rsid w:val="006C14D0"/>
    <w:rsid w:val="006C1506"/>
    <w:rsid w:val="006C1CF8"/>
    <w:rsid w:val="006C22B9"/>
    <w:rsid w:val="006C253E"/>
    <w:rsid w:val="006C39A9"/>
    <w:rsid w:val="006C432A"/>
    <w:rsid w:val="006C4D41"/>
    <w:rsid w:val="006C5184"/>
    <w:rsid w:val="006C5AEE"/>
    <w:rsid w:val="006C7C47"/>
    <w:rsid w:val="006D0F16"/>
    <w:rsid w:val="006D28CD"/>
    <w:rsid w:val="006D2928"/>
    <w:rsid w:val="006D2A3F"/>
    <w:rsid w:val="006D2B4D"/>
    <w:rsid w:val="006D2FBC"/>
    <w:rsid w:val="006D303F"/>
    <w:rsid w:val="006D42C0"/>
    <w:rsid w:val="006D4727"/>
    <w:rsid w:val="006D4B1B"/>
    <w:rsid w:val="006D5479"/>
    <w:rsid w:val="006D5696"/>
    <w:rsid w:val="006D56A5"/>
    <w:rsid w:val="006D5A1E"/>
    <w:rsid w:val="006D5D3C"/>
    <w:rsid w:val="006D5F1A"/>
    <w:rsid w:val="006D642A"/>
    <w:rsid w:val="006D689D"/>
    <w:rsid w:val="006D6DCE"/>
    <w:rsid w:val="006D6E34"/>
    <w:rsid w:val="006E0876"/>
    <w:rsid w:val="006E0A43"/>
    <w:rsid w:val="006E0BE0"/>
    <w:rsid w:val="006E0FA0"/>
    <w:rsid w:val="006E112D"/>
    <w:rsid w:val="006E138B"/>
    <w:rsid w:val="006E16CC"/>
    <w:rsid w:val="006E177F"/>
    <w:rsid w:val="006E1867"/>
    <w:rsid w:val="006E217C"/>
    <w:rsid w:val="006E2297"/>
    <w:rsid w:val="006E2DC5"/>
    <w:rsid w:val="006E34E7"/>
    <w:rsid w:val="006E406E"/>
    <w:rsid w:val="006E4AF1"/>
    <w:rsid w:val="006E4BED"/>
    <w:rsid w:val="006E56AB"/>
    <w:rsid w:val="006E56F7"/>
    <w:rsid w:val="006E5BE6"/>
    <w:rsid w:val="006E5D09"/>
    <w:rsid w:val="006E62A1"/>
    <w:rsid w:val="006E6FBA"/>
    <w:rsid w:val="006E7DAC"/>
    <w:rsid w:val="006F0330"/>
    <w:rsid w:val="006F0C05"/>
    <w:rsid w:val="006F14B0"/>
    <w:rsid w:val="006F1509"/>
    <w:rsid w:val="006F1B53"/>
    <w:rsid w:val="006F1E9D"/>
    <w:rsid w:val="006F1FDC"/>
    <w:rsid w:val="006F23B6"/>
    <w:rsid w:val="006F23E1"/>
    <w:rsid w:val="006F244B"/>
    <w:rsid w:val="006F25F5"/>
    <w:rsid w:val="006F273F"/>
    <w:rsid w:val="006F343D"/>
    <w:rsid w:val="006F36CC"/>
    <w:rsid w:val="006F4270"/>
    <w:rsid w:val="006F42EE"/>
    <w:rsid w:val="006F433E"/>
    <w:rsid w:val="006F4E54"/>
    <w:rsid w:val="006F51E1"/>
    <w:rsid w:val="006F5797"/>
    <w:rsid w:val="006F57BB"/>
    <w:rsid w:val="006F5D9D"/>
    <w:rsid w:val="006F61E7"/>
    <w:rsid w:val="006F645A"/>
    <w:rsid w:val="006F6B80"/>
    <w:rsid w:val="006F6B8C"/>
    <w:rsid w:val="006F77EB"/>
    <w:rsid w:val="007013EF"/>
    <w:rsid w:val="00701963"/>
    <w:rsid w:val="007024A8"/>
    <w:rsid w:val="007030DC"/>
    <w:rsid w:val="00703D7C"/>
    <w:rsid w:val="00704D5D"/>
    <w:rsid w:val="00704DD4"/>
    <w:rsid w:val="00704EC7"/>
    <w:rsid w:val="007052A9"/>
    <w:rsid w:val="00705589"/>
    <w:rsid w:val="007055BD"/>
    <w:rsid w:val="00705715"/>
    <w:rsid w:val="007069A8"/>
    <w:rsid w:val="00706AF3"/>
    <w:rsid w:val="00706E63"/>
    <w:rsid w:val="007074B1"/>
    <w:rsid w:val="00707C29"/>
    <w:rsid w:val="0071022B"/>
    <w:rsid w:val="00710453"/>
    <w:rsid w:val="00710479"/>
    <w:rsid w:val="007107C0"/>
    <w:rsid w:val="0071131E"/>
    <w:rsid w:val="00711A76"/>
    <w:rsid w:val="00711B9D"/>
    <w:rsid w:val="00712C79"/>
    <w:rsid w:val="007144FB"/>
    <w:rsid w:val="00714EBC"/>
    <w:rsid w:val="00714FB6"/>
    <w:rsid w:val="00715A14"/>
    <w:rsid w:val="00715D68"/>
    <w:rsid w:val="007160D9"/>
    <w:rsid w:val="00716217"/>
    <w:rsid w:val="00716335"/>
    <w:rsid w:val="007166BF"/>
    <w:rsid w:val="00716949"/>
    <w:rsid w:val="00716A60"/>
    <w:rsid w:val="007173CA"/>
    <w:rsid w:val="00717747"/>
    <w:rsid w:val="00717F38"/>
    <w:rsid w:val="00720639"/>
    <w:rsid w:val="00720BB5"/>
    <w:rsid w:val="007211E4"/>
    <w:rsid w:val="0072152A"/>
    <w:rsid w:val="007216AA"/>
    <w:rsid w:val="00721944"/>
    <w:rsid w:val="007219E1"/>
    <w:rsid w:val="00721A81"/>
    <w:rsid w:val="00721AB5"/>
    <w:rsid w:val="00721B35"/>
    <w:rsid w:val="00721B4B"/>
    <w:rsid w:val="00721CFB"/>
    <w:rsid w:val="00721DEF"/>
    <w:rsid w:val="007222E0"/>
    <w:rsid w:val="00722395"/>
    <w:rsid w:val="0072274D"/>
    <w:rsid w:val="00722E4A"/>
    <w:rsid w:val="00723324"/>
    <w:rsid w:val="0072332F"/>
    <w:rsid w:val="0072351F"/>
    <w:rsid w:val="0072416F"/>
    <w:rsid w:val="007246D8"/>
    <w:rsid w:val="00724A43"/>
    <w:rsid w:val="00725674"/>
    <w:rsid w:val="00725952"/>
    <w:rsid w:val="00725C83"/>
    <w:rsid w:val="00726157"/>
    <w:rsid w:val="007265C0"/>
    <w:rsid w:val="00727162"/>
    <w:rsid w:val="0072735D"/>
    <w:rsid w:val="007273AC"/>
    <w:rsid w:val="0072745C"/>
    <w:rsid w:val="007277B1"/>
    <w:rsid w:val="00727BDD"/>
    <w:rsid w:val="00727CC5"/>
    <w:rsid w:val="00727E59"/>
    <w:rsid w:val="007301B9"/>
    <w:rsid w:val="00730EB1"/>
    <w:rsid w:val="007314BF"/>
    <w:rsid w:val="00731AD4"/>
    <w:rsid w:val="00732780"/>
    <w:rsid w:val="00732D4E"/>
    <w:rsid w:val="00732FF4"/>
    <w:rsid w:val="007330D1"/>
    <w:rsid w:val="00733CC5"/>
    <w:rsid w:val="007346CA"/>
    <w:rsid w:val="007346E4"/>
    <w:rsid w:val="00734FE7"/>
    <w:rsid w:val="00735564"/>
    <w:rsid w:val="007359FD"/>
    <w:rsid w:val="00735DBD"/>
    <w:rsid w:val="0073665C"/>
    <w:rsid w:val="00736CB9"/>
    <w:rsid w:val="00737A0F"/>
    <w:rsid w:val="00740C63"/>
    <w:rsid w:val="00740F01"/>
    <w:rsid w:val="00740F22"/>
    <w:rsid w:val="0074181D"/>
    <w:rsid w:val="00741CF0"/>
    <w:rsid w:val="00741E3A"/>
    <w:rsid w:val="00741F1A"/>
    <w:rsid w:val="00742029"/>
    <w:rsid w:val="0074293A"/>
    <w:rsid w:val="00742BCA"/>
    <w:rsid w:val="007439FB"/>
    <w:rsid w:val="00743CAF"/>
    <w:rsid w:val="007447DA"/>
    <w:rsid w:val="007450F8"/>
    <w:rsid w:val="007450FB"/>
    <w:rsid w:val="007456EA"/>
    <w:rsid w:val="00745AFC"/>
    <w:rsid w:val="00746969"/>
    <w:rsid w:val="0074696E"/>
    <w:rsid w:val="00746B46"/>
    <w:rsid w:val="00747638"/>
    <w:rsid w:val="00750135"/>
    <w:rsid w:val="0075057B"/>
    <w:rsid w:val="00750CA5"/>
    <w:rsid w:val="00750EC2"/>
    <w:rsid w:val="00751223"/>
    <w:rsid w:val="00751A13"/>
    <w:rsid w:val="00751D7B"/>
    <w:rsid w:val="00751E56"/>
    <w:rsid w:val="007520D7"/>
    <w:rsid w:val="00752B26"/>
    <w:rsid w:val="00752B28"/>
    <w:rsid w:val="00752BA7"/>
    <w:rsid w:val="007536BC"/>
    <w:rsid w:val="00753ACA"/>
    <w:rsid w:val="00753B97"/>
    <w:rsid w:val="007541A9"/>
    <w:rsid w:val="00754E36"/>
    <w:rsid w:val="00754EC0"/>
    <w:rsid w:val="00755292"/>
    <w:rsid w:val="00755DDC"/>
    <w:rsid w:val="00756FCE"/>
    <w:rsid w:val="00757033"/>
    <w:rsid w:val="007570AA"/>
    <w:rsid w:val="007576BF"/>
    <w:rsid w:val="00757D8E"/>
    <w:rsid w:val="00757EBF"/>
    <w:rsid w:val="007609E6"/>
    <w:rsid w:val="00760E6C"/>
    <w:rsid w:val="007611A5"/>
    <w:rsid w:val="0076139C"/>
    <w:rsid w:val="00761F51"/>
    <w:rsid w:val="00762B51"/>
    <w:rsid w:val="00762ED8"/>
    <w:rsid w:val="00763139"/>
    <w:rsid w:val="00763812"/>
    <w:rsid w:val="00763AFF"/>
    <w:rsid w:val="00763EE7"/>
    <w:rsid w:val="00764601"/>
    <w:rsid w:val="00765FB9"/>
    <w:rsid w:val="007663F8"/>
    <w:rsid w:val="00766877"/>
    <w:rsid w:val="007668FE"/>
    <w:rsid w:val="0076690A"/>
    <w:rsid w:val="00766A2E"/>
    <w:rsid w:val="00766E31"/>
    <w:rsid w:val="00767334"/>
    <w:rsid w:val="00767B2F"/>
    <w:rsid w:val="00770950"/>
    <w:rsid w:val="00770E87"/>
    <w:rsid w:val="00770F37"/>
    <w:rsid w:val="007711A0"/>
    <w:rsid w:val="0077157D"/>
    <w:rsid w:val="0077161A"/>
    <w:rsid w:val="00771D01"/>
    <w:rsid w:val="0077248E"/>
    <w:rsid w:val="007728B2"/>
    <w:rsid w:val="007728D4"/>
    <w:rsid w:val="00772BEB"/>
    <w:rsid w:val="00772C71"/>
    <w:rsid w:val="00772C96"/>
    <w:rsid w:val="00772D5E"/>
    <w:rsid w:val="00772E85"/>
    <w:rsid w:val="00773447"/>
    <w:rsid w:val="00773A5A"/>
    <w:rsid w:val="00773ECC"/>
    <w:rsid w:val="0077437A"/>
    <w:rsid w:val="0077463E"/>
    <w:rsid w:val="00775684"/>
    <w:rsid w:val="00775F38"/>
    <w:rsid w:val="00776218"/>
    <w:rsid w:val="00776928"/>
    <w:rsid w:val="00776D04"/>
    <w:rsid w:val="00776D56"/>
    <w:rsid w:val="00776E0F"/>
    <w:rsid w:val="007772F9"/>
    <w:rsid w:val="007774B1"/>
    <w:rsid w:val="00777BE1"/>
    <w:rsid w:val="00777CAC"/>
    <w:rsid w:val="00777DCA"/>
    <w:rsid w:val="00777F41"/>
    <w:rsid w:val="00780096"/>
    <w:rsid w:val="00780359"/>
    <w:rsid w:val="00780CDE"/>
    <w:rsid w:val="00780D21"/>
    <w:rsid w:val="00781731"/>
    <w:rsid w:val="00781887"/>
    <w:rsid w:val="0078189B"/>
    <w:rsid w:val="007818B3"/>
    <w:rsid w:val="0078217B"/>
    <w:rsid w:val="00782222"/>
    <w:rsid w:val="00782705"/>
    <w:rsid w:val="00782871"/>
    <w:rsid w:val="00782C14"/>
    <w:rsid w:val="007833D8"/>
    <w:rsid w:val="0078384F"/>
    <w:rsid w:val="0078458C"/>
    <w:rsid w:val="007845FF"/>
    <w:rsid w:val="0078491D"/>
    <w:rsid w:val="00785677"/>
    <w:rsid w:val="0078577E"/>
    <w:rsid w:val="00785A21"/>
    <w:rsid w:val="0078611F"/>
    <w:rsid w:val="0078613C"/>
    <w:rsid w:val="007863F6"/>
    <w:rsid w:val="00786F16"/>
    <w:rsid w:val="00787FA7"/>
    <w:rsid w:val="00790ABF"/>
    <w:rsid w:val="00790CF5"/>
    <w:rsid w:val="00791134"/>
    <w:rsid w:val="00791AD1"/>
    <w:rsid w:val="00791BD7"/>
    <w:rsid w:val="00792774"/>
    <w:rsid w:val="007933F7"/>
    <w:rsid w:val="00793584"/>
    <w:rsid w:val="00793605"/>
    <w:rsid w:val="0079364E"/>
    <w:rsid w:val="00793FC0"/>
    <w:rsid w:val="007950E0"/>
    <w:rsid w:val="0079541C"/>
    <w:rsid w:val="00796536"/>
    <w:rsid w:val="00796649"/>
    <w:rsid w:val="00796E20"/>
    <w:rsid w:val="00797688"/>
    <w:rsid w:val="007976B5"/>
    <w:rsid w:val="00797C32"/>
    <w:rsid w:val="007A0473"/>
    <w:rsid w:val="007A0FF3"/>
    <w:rsid w:val="007A11E8"/>
    <w:rsid w:val="007A29DD"/>
    <w:rsid w:val="007A2D3C"/>
    <w:rsid w:val="007A3104"/>
    <w:rsid w:val="007A3677"/>
    <w:rsid w:val="007A37BB"/>
    <w:rsid w:val="007A3CD2"/>
    <w:rsid w:val="007A3FBC"/>
    <w:rsid w:val="007A42DA"/>
    <w:rsid w:val="007A517F"/>
    <w:rsid w:val="007A5450"/>
    <w:rsid w:val="007A556A"/>
    <w:rsid w:val="007A5777"/>
    <w:rsid w:val="007A583B"/>
    <w:rsid w:val="007A60C7"/>
    <w:rsid w:val="007A645F"/>
    <w:rsid w:val="007A654C"/>
    <w:rsid w:val="007A66E7"/>
    <w:rsid w:val="007A6A17"/>
    <w:rsid w:val="007A6B44"/>
    <w:rsid w:val="007A75C8"/>
    <w:rsid w:val="007A77E6"/>
    <w:rsid w:val="007A7CF6"/>
    <w:rsid w:val="007B031D"/>
    <w:rsid w:val="007B0569"/>
    <w:rsid w:val="007B0914"/>
    <w:rsid w:val="007B0F00"/>
    <w:rsid w:val="007B1374"/>
    <w:rsid w:val="007B1D53"/>
    <w:rsid w:val="007B2DF6"/>
    <w:rsid w:val="007B31E7"/>
    <w:rsid w:val="007B32E5"/>
    <w:rsid w:val="007B3970"/>
    <w:rsid w:val="007B3DB9"/>
    <w:rsid w:val="007B42F8"/>
    <w:rsid w:val="007B4A2D"/>
    <w:rsid w:val="007B4B1A"/>
    <w:rsid w:val="007B4BC5"/>
    <w:rsid w:val="007B51D4"/>
    <w:rsid w:val="007B55F7"/>
    <w:rsid w:val="007B589F"/>
    <w:rsid w:val="007B58E6"/>
    <w:rsid w:val="007B6186"/>
    <w:rsid w:val="007B64C4"/>
    <w:rsid w:val="007B6C98"/>
    <w:rsid w:val="007B6D3D"/>
    <w:rsid w:val="007B6FAE"/>
    <w:rsid w:val="007B73BC"/>
    <w:rsid w:val="007B779D"/>
    <w:rsid w:val="007C0474"/>
    <w:rsid w:val="007C06F0"/>
    <w:rsid w:val="007C0E47"/>
    <w:rsid w:val="007C1838"/>
    <w:rsid w:val="007C1CFF"/>
    <w:rsid w:val="007C20B9"/>
    <w:rsid w:val="007C2955"/>
    <w:rsid w:val="007C2D81"/>
    <w:rsid w:val="007C34C2"/>
    <w:rsid w:val="007C468F"/>
    <w:rsid w:val="007C50B1"/>
    <w:rsid w:val="007C540B"/>
    <w:rsid w:val="007C599E"/>
    <w:rsid w:val="007C5CC7"/>
    <w:rsid w:val="007C68DD"/>
    <w:rsid w:val="007C6E74"/>
    <w:rsid w:val="007C7301"/>
    <w:rsid w:val="007C7859"/>
    <w:rsid w:val="007C788A"/>
    <w:rsid w:val="007C7F28"/>
    <w:rsid w:val="007D0258"/>
    <w:rsid w:val="007D0534"/>
    <w:rsid w:val="007D092A"/>
    <w:rsid w:val="007D1230"/>
    <w:rsid w:val="007D1466"/>
    <w:rsid w:val="007D16D0"/>
    <w:rsid w:val="007D28E5"/>
    <w:rsid w:val="007D2BDE"/>
    <w:rsid w:val="007D2C2F"/>
    <w:rsid w:val="007D2FB6"/>
    <w:rsid w:val="007D38BA"/>
    <w:rsid w:val="007D419D"/>
    <w:rsid w:val="007D4954"/>
    <w:rsid w:val="007D49EB"/>
    <w:rsid w:val="007D4AAC"/>
    <w:rsid w:val="007D500D"/>
    <w:rsid w:val="007D515C"/>
    <w:rsid w:val="007D52E4"/>
    <w:rsid w:val="007D58BA"/>
    <w:rsid w:val="007D5918"/>
    <w:rsid w:val="007D5B6F"/>
    <w:rsid w:val="007D5C4B"/>
    <w:rsid w:val="007D5E1C"/>
    <w:rsid w:val="007D668F"/>
    <w:rsid w:val="007D7045"/>
    <w:rsid w:val="007D73EC"/>
    <w:rsid w:val="007D743D"/>
    <w:rsid w:val="007D7B3B"/>
    <w:rsid w:val="007E0276"/>
    <w:rsid w:val="007E04CE"/>
    <w:rsid w:val="007E0DE2"/>
    <w:rsid w:val="007E0E55"/>
    <w:rsid w:val="007E14AA"/>
    <w:rsid w:val="007E2307"/>
    <w:rsid w:val="007E2875"/>
    <w:rsid w:val="007E2E3C"/>
    <w:rsid w:val="007E3667"/>
    <w:rsid w:val="007E3B98"/>
    <w:rsid w:val="007E3E6F"/>
    <w:rsid w:val="007E4142"/>
    <w:rsid w:val="007E417A"/>
    <w:rsid w:val="007E4DFF"/>
    <w:rsid w:val="007E548D"/>
    <w:rsid w:val="007E554D"/>
    <w:rsid w:val="007E5A10"/>
    <w:rsid w:val="007E5AA0"/>
    <w:rsid w:val="007E7C3E"/>
    <w:rsid w:val="007F101A"/>
    <w:rsid w:val="007F15D8"/>
    <w:rsid w:val="007F18C4"/>
    <w:rsid w:val="007F215C"/>
    <w:rsid w:val="007F2A8E"/>
    <w:rsid w:val="007F2BB6"/>
    <w:rsid w:val="007F2C7D"/>
    <w:rsid w:val="007F31B6"/>
    <w:rsid w:val="007F3CDB"/>
    <w:rsid w:val="007F3E09"/>
    <w:rsid w:val="007F3E71"/>
    <w:rsid w:val="007F3E7E"/>
    <w:rsid w:val="007F4938"/>
    <w:rsid w:val="007F4BDC"/>
    <w:rsid w:val="007F5322"/>
    <w:rsid w:val="007F546C"/>
    <w:rsid w:val="007F57FD"/>
    <w:rsid w:val="007F5931"/>
    <w:rsid w:val="007F625F"/>
    <w:rsid w:val="007F665E"/>
    <w:rsid w:val="007F6867"/>
    <w:rsid w:val="007F6C8C"/>
    <w:rsid w:val="007F6CA5"/>
    <w:rsid w:val="007F6FC4"/>
    <w:rsid w:val="0080032D"/>
    <w:rsid w:val="00800412"/>
    <w:rsid w:val="00800505"/>
    <w:rsid w:val="008006A5"/>
    <w:rsid w:val="008009E5"/>
    <w:rsid w:val="008014F6"/>
    <w:rsid w:val="008024B4"/>
    <w:rsid w:val="008028B2"/>
    <w:rsid w:val="00802E38"/>
    <w:rsid w:val="00803547"/>
    <w:rsid w:val="0080379A"/>
    <w:rsid w:val="00804619"/>
    <w:rsid w:val="008048ED"/>
    <w:rsid w:val="0080502D"/>
    <w:rsid w:val="008053F2"/>
    <w:rsid w:val="0080587B"/>
    <w:rsid w:val="00805A9F"/>
    <w:rsid w:val="00806468"/>
    <w:rsid w:val="00806654"/>
    <w:rsid w:val="00806BF9"/>
    <w:rsid w:val="00806C9D"/>
    <w:rsid w:val="008075F9"/>
    <w:rsid w:val="00807B99"/>
    <w:rsid w:val="00807BB5"/>
    <w:rsid w:val="008108D9"/>
    <w:rsid w:val="00810C45"/>
    <w:rsid w:val="0081148E"/>
    <w:rsid w:val="008118F2"/>
    <w:rsid w:val="008119CA"/>
    <w:rsid w:val="00812039"/>
    <w:rsid w:val="00812868"/>
    <w:rsid w:val="00812DC9"/>
    <w:rsid w:val="008130C4"/>
    <w:rsid w:val="00813155"/>
    <w:rsid w:val="00813242"/>
    <w:rsid w:val="0081337A"/>
    <w:rsid w:val="008134C2"/>
    <w:rsid w:val="00813A97"/>
    <w:rsid w:val="00813CF0"/>
    <w:rsid w:val="0081443B"/>
    <w:rsid w:val="008152D1"/>
    <w:rsid w:val="008155F0"/>
    <w:rsid w:val="00815CB5"/>
    <w:rsid w:val="00816423"/>
    <w:rsid w:val="00816735"/>
    <w:rsid w:val="0081704F"/>
    <w:rsid w:val="00817104"/>
    <w:rsid w:val="008172F3"/>
    <w:rsid w:val="008176F4"/>
    <w:rsid w:val="008176F8"/>
    <w:rsid w:val="0081786A"/>
    <w:rsid w:val="00817873"/>
    <w:rsid w:val="008178B9"/>
    <w:rsid w:val="00820141"/>
    <w:rsid w:val="00820E0C"/>
    <w:rsid w:val="00821B60"/>
    <w:rsid w:val="00822E53"/>
    <w:rsid w:val="00823275"/>
    <w:rsid w:val="0082366F"/>
    <w:rsid w:val="0082508B"/>
    <w:rsid w:val="00825569"/>
    <w:rsid w:val="00826187"/>
    <w:rsid w:val="008267BB"/>
    <w:rsid w:val="00826CBA"/>
    <w:rsid w:val="00826EB5"/>
    <w:rsid w:val="00826F94"/>
    <w:rsid w:val="0082766C"/>
    <w:rsid w:val="00827DA2"/>
    <w:rsid w:val="00830EA0"/>
    <w:rsid w:val="00831C04"/>
    <w:rsid w:val="00832CAA"/>
    <w:rsid w:val="008331EA"/>
    <w:rsid w:val="008338A2"/>
    <w:rsid w:val="00833B63"/>
    <w:rsid w:val="0083407C"/>
    <w:rsid w:val="0083414A"/>
    <w:rsid w:val="008344A9"/>
    <w:rsid w:val="00834837"/>
    <w:rsid w:val="00836440"/>
    <w:rsid w:val="00836560"/>
    <w:rsid w:val="008365F9"/>
    <w:rsid w:val="00836F29"/>
    <w:rsid w:val="00837615"/>
    <w:rsid w:val="00837714"/>
    <w:rsid w:val="008404F7"/>
    <w:rsid w:val="00840ACB"/>
    <w:rsid w:val="00840B94"/>
    <w:rsid w:val="0084131D"/>
    <w:rsid w:val="00841AA9"/>
    <w:rsid w:val="0084227F"/>
    <w:rsid w:val="00842293"/>
    <w:rsid w:val="008423BC"/>
    <w:rsid w:val="0084346C"/>
    <w:rsid w:val="00844671"/>
    <w:rsid w:val="00844730"/>
    <w:rsid w:val="00845587"/>
    <w:rsid w:val="008455EC"/>
    <w:rsid w:val="008457EC"/>
    <w:rsid w:val="008459D0"/>
    <w:rsid w:val="0084608D"/>
    <w:rsid w:val="00846B98"/>
    <w:rsid w:val="008474FE"/>
    <w:rsid w:val="00847573"/>
    <w:rsid w:val="00847C7A"/>
    <w:rsid w:val="00850569"/>
    <w:rsid w:val="00850650"/>
    <w:rsid w:val="00850AD4"/>
    <w:rsid w:val="00850E2D"/>
    <w:rsid w:val="00851213"/>
    <w:rsid w:val="00851A02"/>
    <w:rsid w:val="008520DA"/>
    <w:rsid w:val="00853B15"/>
    <w:rsid w:val="00853EE4"/>
    <w:rsid w:val="00854110"/>
    <w:rsid w:val="00854458"/>
    <w:rsid w:val="00855122"/>
    <w:rsid w:val="00855535"/>
    <w:rsid w:val="008557C6"/>
    <w:rsid w:val="00857129"/>
    <w:rsid w:val="00857C5A"/>
    <w:rsid w:val="0086080F"/>
    <w:rsid w:val="00860CBD"/>
    <w:rsid w:val="008610B9"/>
    <w:rsid w:val="008616F2"/>
    <w:rsid w:val="0086255E"/>
    <w:rsid w:val="008633F0"/>
    <w:rsid w:val="0086340A"/>
    <w:rsid w:val="008638E1"/>
    <w:rsid w:val="008646FB"/>
    <w:rsid w:val="00864BB6"/>
    <w:rsid w:val="00865072"/>
    <w:rsid w:val="00865243"/>
    <w:rsid w:val="008655DF"/>
    <w:rsid w:val="0086587E"/>
    <w:rsid w:val="00866608"/>
    <w:rsid w:val="008669F2"/>
    <w:rsid w:val="00866B80"/>
    <w:rsid w:val="00866DE9"/>
    <w:rsid w:val="00867181"/>
    <w:rsid w:val="00867C3D"/>
    <w:rsid w:val="00867D9D"/>
    <w:rsid w:val="008701C9"/>
    <w:rsid w:val="008707F8"/>
    <w:rsid w:val="008710F8"/>
    <w:rsid w:val="008714A2"/>
    <w:rsid w:val="00871C8D"/>
    <w:rsid w:val="0087204B"/>
    <w:rsid w:val="00872282"/>
    <w:rsid w:val="008728EC"/>
    <w:rsid w:val="00872E0A"/>
    <w:rsid w:val="00872EC3"/>
    <w:rsid w:val="0087333C"/>
    <w:rsid w:val="00873594"/>
    <w:rsid w:val="00874019"/>
    <w:rsid w:val="0087471C"/>
    <w:rsid w:val="00874873"/>
    <w:rsid w:val="00874DDC"/>
    <w:rsid w:val="00874FCE"/>
    <w:rsid w:val="008750AD"/>
    <w:rsid w:val="00875285"/>
    <w:rsid w:val="00875E2E"/>
    <w:rsid w:val="00875E6E"/>
    <w:rsid w:val="00876009"/>
    <w:rsid w:val="008761F5"/>
    <w:rsid w:val="008763B3"/>
    <w:rsid w:val="008765C8"/>
    <w:rsid w:val="008769EF"/>
    <w:rsid w:val="00876D8F"/>
    <w:rsid w:val="00876DE7"/>
    <w:rsid w:val="00876EA2"/>
    <w:rsid w:val="00877FAF"/>
    <w:rsid w:val="00877FF7"/>
    <w:rsid w:val="008812CD"/>
    <w:rsid w:val="0088179A"/>
    <w:rsid w:val="00881C17"/>
    <w:rsid w:val="00881F29"/>
    <w:rsid w:val="00882B2E"/>
    <w:rsid w:val="00882DBC"/>
    <w:rsid w:val="00882F4F"/>
    <w:rsid w:val="008834D8"/>
    <w:rsid w:val="00883559"/>
    <w:rsid w:val="00883888"/>
    <w:rsid w:val="008847AA"/>
    <w:rsid w:val="00884B62"/>
    <w:rsid w:val="00884DC6"/>
    <w:rsid w:val="0088529C"/>
    <w:rsid w:val="00885ADE"/>
    <w:rsid w:val="00885E2E"/>
    <w:rsid w:val="00886062"/>
    <w:rsid w:val="00886329"/>
    <w:rsid w:val="00886CC4"/>
    <w:rsid w:val="00886DB1"/>
    <w:rsid w:val="008871B5"/>
    <w:rsid w:val="00887682"/>
    <w:rsid w:val="00887903"/>
    <w:rsid w:val="00887983"/>
    <w:rsid w:val="00887D46"/>
    <w:rsid w:val="00887DF6"/>
    <w:rsid w:val="00890A34"/>
    <w:rsid w:val="008917CF"/>
    <w:rsid w:val="0089270A"/>
    <w:rsid w:val="0089280A"/>
    <w:rsid w:val="00892B79"/>
    <w:rsid w:val="008937F3"/>
    <w:rsid w:val="00893AF6"/>
    <w:rsid w:val="00893B03"/>
    <w:rsid w:val="0089426F"/>
    <w:rsid w:val="008947AA"/>
    <w:rsid w:val="008949C2"/>
    <w:rsid w:val="00894BC4"/>
    <w:rsid w:val="00896001"/>
    <w:rsid w:val="00896890"/>
    <w:rsid w:val="008971BA"/>
    <w:rsid w:val="008977D1"/>
    <w:rsid w:val="008979A5"/>
    <w:rsid w:val="008979CF"/>
    <w:rsid w:val="008979E8"/>
    <w:rsid w:val="008A04C2"/>
    <w:rsid w:val="008A0622"/>
    <w:rsid w:val="008A0FCB"/>
    <w:rsid w:val="008A1326"/>
    <w:rsid w:val="008A1898"/>
    <w:rsid w:val="008A226F"/>
    <w:rsid w:val="008A2507"/>
    <w:rsid w:val="008A28A8"/>
    <w:rsid w:val="008A2A95"/>
    <w:rsid w:val="008A2AC5"/>
    <w:rsid w:val="008A3498"/>
    <w:rsid w:val="008A36D5"/>
    <w:rsid w:val="008A4626"/>
    <w:rsid w:val="008A473D"/>
    <w:rsid w:val="008A53E0"/>
    <w:rsid w:val="008A54AC"/>
    <w:rsid w:val="008A56F1"/>
    <w:rsid w:val="008A5B32"/>
    <w:rsid w:val="008A5B54"/>
    <w:rsid w:val="008A5DB4"/>
    <w:rsid w:val="008A6020"/>
    <w:rsid w:val="008A78BC"/>
    <w:rsid w:val="008B097D"/>
    <w:rsid w:val="008B1326"/>
    <w:rsid w:val="008B1A11"/>
    <w:rsid w:val="008B1AE4"/>
    <w:rsid w:val="008B2029"/>
    <w:rsid w:val="008B245D"/>
    <w:rsid w:val="008B27F4"/>
    <w:rsid w:val="008B2EE4"/>
    <w:rsid w:val="008B325B"/>
    <w:rsid w:val="008B34D1"/>
    <w:rsid w:val="008B3766"/>
    <w:rsid w:val="008B3821"/>
    <w:rsid w:val="008B38F4"/>
    <w:rsid w:val="008B4D3D"/>
    <w:rsid w:val="008B5683"/>
    <w:rsid w:val="008B57C7"/>
    <w:rsid w:val="008B5967"/>
    <w:rsid w:val="008B7A6E"/>
    <w:rsid w:val="008C035F"/>
    <w:rsid w:val="008C0730"/>
    <w:rsid w:val="008C128E"/>
    <w:rsid w:val="008C13E8"/>
    <w:rsid w:val="008C1ADD"/>
    <w:rsid w:val="008C1D73"/>
    <w:rsid w:val="008C2610"/>
    <w:rsid w:val="008C26AF"/>
    <w:rsid w:val="008C2F92"/>
    <w:rsid w:val="008C3546"/>
    <w:rsid w:val="008C3933"/>
    <w:rsid w:val="008C3C9E"/>
    <w:rsid w:val="008C4610"/>
    <w:rsid w:val="008C4E14"/>
    <w:rsid w:val="008C4E1B"/>
    <w:rsid w:val="008C535F"/>
    <w:rsid w:val="008C579C"/>
    <w:rsid w:val="008C589D"/>
    <w:rsid w:val="008C6CD5"/>
    <w:rsid w:val="008C6D51"/>
    <w:rsid w:val="008C6D9C"/>
    <w:rsid w:val="008C6EAF"/>
    <w:rsid w:val="008C6F59"/>
    <w:rsid w:val="008C764A"/>
    <w:rsid w:val="008D07E5"/>
    <w:rsid w:val="008D159C"/>
    <w:rsid w:val="008D177D"/>
    <w:rsid w:val="008D1787"/>
    <w:rsid w:val="008D2846"/>
    <w:rsid w:val="008D2877"/>
    <w:rsid w:val="008D2DFA"/>
    <w:rsid w:val="008D30FE"/>
    <w:rsid w:val="008D3532"/>
    <w:rsid w:val="008D393C"/>
    <w:rsid w:val="008D4236"/>
    <w:rsid w:val="008D45A5"/>
    <w:rsid w:val="008D462F"/>
    <w:rsid w:val="008D4842"/>
    <w:rsid w:val="008D54AE"/>
    <w:rsid w:val="008D5538"/>
    <w:rsid w:val="008D5629"/>
    <w:rsid w:val="008D5986"/>
    <w:rsid w:val="008D5C25"/>
    <w:rsid w:val="008D675E"/>
    <w:rsid w:val="008D6859"/>
    <w:rsid w:val="008D6DCF"/>
    <w:rsid w:val="008D6E0C"/>
    <w:rsid w:val="008D71AD"/>
    <w:rsid w:val="008E0D6B"/>
    <w:rsid w:val="008E1048"/>
    <w:rsid w:val="008E25D6"/>
    <w:rsid w:val="008E2CB5"/>
    <w:rsid w:val="008E30F9"/>
    <w:rsid w:val="008E36B9"/>
    <w:rsid w:val="008E4266"/>
    <w:rsid w:val="008E4376"/>
    <w:rsid w:val="008E46AE"/>
    <w:rsid w:val="008E48B1"/>
    <w:rsid w:val="008E4AB8"/>
    <w:rsid w:val="008E52A3"/>
    <w:rsid w:val="008E57B8"/>
    <w:rsid w:val="008E5ACF"/>
    <w:rsid w:val="008E5EFF"/>
    <w:rsid w:val="008E6BDA"/>
    <w:rsid w:val="008E6E91"/>
    <w:rsid w:val="008E713C"/>
    <w:rsid w:val="008E7297"/>
    <w:rsid w:val="008E7666"/>
    <w:rsid w:val="008E7864"/>
    <w:rsid w:val="008E7A0A"/>
    <w:rsid w:val="008E7B49"/>
    <w:rsid w:val="008E7FE3"/>
    <w:rsid w:val="008F013A"/>
    <w:rsid w:val="008F064C"/>
    <w:rsid w:val="008F1695"/>
    <w:rsid w:val="008F1AA1"/>
    <w:rsid w:val="008F20A6"/>
    <w:rsid w:val="008F23FB"/>
    <w:rsid w:val="008F2E2A"/>
    <w:rsid w:val="008F3CA4"/>
    <w:rsid w:val="008F46A4"/>
    <w:rsid w:val="008F5391"/>
    <w:rsid w:val="008F59F6"/>
    <w:rsid w:val="008F6223"/>
    <w:rsid w:val="008F62E3"/>
    <w:rsid w:val="008F62F1"/>
    <w:rsid w:val="008F668F"/>
    <w:rsid w:val="008F7035"/>
    <w:rsid w:val="008F7574"/>
    <w:rsid w:val="00900128"/>
    <w:rsid w:val="00900719"/>
    <w:rsid w:val="00900E15"/>
    <w:rsid w:val="0090113E"/>
    <w:rsid w:val="0090116A"/>
    <w:rsid w:val="009017AC"/>
    <w:rsid w:val="00901AB2"/>
    <w:rsid w:val="00901C95"/>
    <w:rsid w:val="0090203B"/>
    <w:rsid w:val="00902A9A"/>
    <w:rsid w:val="00903264"/>
    <w:rsid w:val="009033B5"/>
    <w:rsid w:val="00903BAD"/>
    <w:rsid w:val="00903DFB"/>
    <w:rsid w:val="009049EF"/>
    <w:rsid w:val="00904A1C"/>
    <w:rsid w:val="00904FA9"/>
    <w:rsid w:val="00904FDF"/>
    <w:rsid w:val="00905030"/>
    <w:rsid w:val="009052A5"/>
    <w:rsid w:val="00905798"/>
    <w:rsid w:val="0090597A"/>
    <w:rsid w:val="00905DBA"/>
    <w:rsid w:val="00906409"/>
    <w:rsid w:val="00906490"/>
    <w:rsid w:val="009064F6"/>
    <w:rsid w:val="00906FC7"/>
    <w:rsid w:val="009075D2"/>
    <w:rsid w:val="00907AC0"/>
    <w:rsid w:val="00907E1A"/>
    <w:rsid w:val="00910054"/>
    <w:rsid w:val="00910D85"/>
    <w:rsid w:val="009111B2"/>
    <w:rsid w:val="009122FD"/>
    <w:rsid w:val="00912461"/>
    <w:rsid w:val="0091257F"/>
    <w:rsid w:val="009139EA"/>
    <w:rsid w:val="00913FD2"/>
    <w:rsid w:val="009144EA"/>
    <w:rsid w:val="009151F5"/>
    <w:rsid w:val="009152AE"/>
    <w:rsid w:val="009152AF"/>
    <w:rsid w:val="00915718"/>
    <w:rsid w:val="00915A99"/>
    <w:rsid w:val="0091654F"/>
    <w:rsid w:val="0091784F"/>
    <w:rsid w:val="009200A6"/>
    <w:rsid w:val="00920116"/>
    <w:rsid w:val="009205F8"/>
    <w:rsid w:val="009210B4"/>
    <w:rsid w:val="00922090"/>
    <w:rsid w:val="00922372"/>
    <w:rsid w:val="009233E2"/>
    <w:rsid w:val="009238E9"/>
    <w:rsid w:val="00923DDE"/>
    <w:rsid w:val="009244CF"/>
    <w:rsid w:val="00924AE1"/>
    <w:rsid w:val="0092521C"/>
    <w:rsid w:val="009252C4"/>
    <w:rsid w:val="009252E1"/>
    <w:rsid w:val="009254C0"/>
    <w:rsid w:val="009259DF"/>
    <w:rsid w:val="0092662D"/>
    <w:rsid w:val="0092680C"/>
    <w:rsid w:val="0092698A"/>
    <w:rsid w:val="009269B1"/>
    <w:rsid w:val="00926E60"/>
    <w:rsid w:val="0092724D"/>
    <w:rsid w:val="009272B3"/>
    <w:rsid w:val="00927D0C"/>
    <w:rsid w:val="009302AE"/>
    <w:rsid w:val="009315BE"/>
    <w:rsid w:val="0093169F"/>
    <w:rsid w:val="00931BEF"/>
    <w:rsid w:val="00932693"/>
    <w:rsid w:val="009326DD"/>
    <w:rsid w:val="0093338F"/>
    <w:rsid w:val="00933A99"/>
    <w:rsid w:val="009340F5"/>
    <w:rsid w:val="0093439C"/>
    <w:rsid w:val="0093455F"/>
    <w:rsid w:val="0093539A"/>
    <w:rsid w:val="00936E99"/>
    <w:rsid w:val="00937421"/>
    <w:rsid w:val="00937BC9"/>
    <w:rsid w:val="00937BD9"/>
    <w:rsid w:val="00937E7E"/>
    <w:rsid w:val="009406E2"/>
    <w:rsid w:val="00940D0D"/>
    <w:rsid w:val="00940E8C"/>
    <w:rsid w:val="0094119F"/>
    <w:rsid w:val="009428EF"/>
    <w:rsid w:val="00942B6D"/>
    <w:rsid w:val="00943296"/>
    <w:rsid w:val="00943310"/>
    <w:rsid w:val="0094391B"/>
    <w:rsid w:val="00944B17"/>
    <w:rsid w:val="00944FF8"/>
    <w:rsid w:val="00945219"/>
    <w:rsid w:val="009458F4"/>
    <w:rsid w:val="00945C5A"/>
    <w:rsid w:val="00945DAB"/>
    <w:rsid w:val="009464D0"/>
    <w:rsid w:val="009468A6"/>
    <w:rsid w:val="009469F4"/>
    <w:rsid w:val="00947161"/>
    <w:rsid w:val="00947281"/>
    <w:rsid w:val="009474DF"/>
    <w:rsid w:val="009475FF"/>
    <w:rsid w:val="00947805"/>
    <w:rsid w:val="00947EE5"/>
    <w:rsid w:val="009505DD"/>
    <w:rsid w:val="0095069E"/>
    <w:rsid w:val="00950E2C"/>
    <w:rsid w:val="00950FFE"/>
    <w:rsid w:val="00951B34"/>
    <w:rsid w:val="00951D50"/>
    <w:rsid w:val="0095246B"/>
    <w:rsid w:val="009525EB"/>
    <w:rsid w:val="00953C09"/>
    <w:rsid w:val="009544DC"/>
    <w:rsid w:val="00954600"/>
    <w:rsid w:val="00954673"/>
    <w:rsid w:val="0095470B"/>
    <w:rsid w:val="00954763"/>
    <w:rsid w:val="00954874"/>
    <w:rsid w:val="00954AB1"/>
    <w:rsid w:val="00954E74"/>
    <w:rsid w:val="00955469"/>
    <w:rsid w:val="009554AE"/>
    <w:rsid w:val="0095615A"/>
    <w:rsid w:val="00956B70"/>
    <w:rsid w:val="009570FC"/>
    <w:rsid w:val="00957436"/>
    <w:rsid w:val="00957828"/>
    <w:rsid w:val="00957C9F"/>
    <w:rsid w:val="00961400"/>
    <w:rsid w:val="00962AFA"/>
    <w:rsid w:val="0096308C"/>
    <w:rsid w:val="00963646"/>
    <w:rsid w:val="00963A6A"/>
    <w:rsid w:val="00963BF2"/>
    <w:rsid w:val="00963C90"/>
    <w:rsid w:val="009648F3"/>
    <w:rsid w:val="0096536A"/>
    <w:rsid w:val="0096591F"/>
    <w:rsid w:val="0096632D"/>
    <w:rsid w:val="00966CBF"/>
    <w:rsid w:val="00966E04"/>
    <w:rsid w:val="00966F21"/>
    <w:rsid w:val="00967124"/>
    <w:rsid w:val="009678A7"/>
    <w:rsid w:val="009704AE"/>
    <w:rsid w:val="00970B4B"/>
    <w:rsid w:val="00970D9F"/>
    <w:rsid w:val="0097166C"/>
    <w:rsid w:val="009716E6"/>
    <w:rsid w:val="009718C7"/>
    <w:rsid w:val="00971A67"/>
    <w:rsid w:val="009734B4"/>
    <w:rsid w:val="009737C9"/>
    <w:rsid w:val="00973DFC"/>
    <w:rsid w:val="00973F11"/>
    <w:rsid w:val="0097415C"/>
    <w:rsid w:val="009744CB"/>
    <w:rsid w:val="0097559F"/>
    <w:rsid w:val="009755BC"/>
    <w:rsid w:val="009756F1"/>
    <w:rsid w:val="00975DAA"/>
    <w:rsid w:val="0097606D"/>
    <w:rsid w:val="009761EA"/>
    <w:rsid w:val="0097649C"/>
    <w:rsid w:val="0097667D"/>
    <w:rsid w:val="009766F7"/>
    <w:rsid w:val="0097761E"/>
    <w:rsid w:val="00977645"/>
    <w:rsid w:val="00977FA8"/>
    <w:rsid w:val="00981784"/>
    <w:rsid w:val="009823DA"/>
    <w:rsid w:val="00982454"/>
    <w:rsid w:val="00982691"/>
    <w:rsid w:val="00982CF0"/>
    <w:rsid w:val="00982F81"/>
    <w:rsid w:val="0098331E"/>
    <w:rsid w:val="009833D4"/>
    <w:rsid w:val="00983526"/>
    <w:rsid w:val="00983715"/>
    <w:rsid w:val="00983EF1"/>
    <w:rsid w:val="00985303"/>
    <w:rsid w:val="009853E1"/>
    <w:rsid w:val="00985EBD"/>
    <w:rsid w:val="009860D2"/>
    <w:rsid w:val="00986E6B"/>
    <w:rsid w:val="00987280"/>
    <w:rsid w:val="009874A4"/>
    <w:rsid w:val="00990032"/>
    <w:rsid w:val="009904C3"/>
    <w:rsid w:val="00990B19"/>
    <w:rsid w:val="0099153B"/>
    <w:rsid w:val="00991769"/>
    <w:rsid w:val="0099232C"/>
    <w:rsid w:val="00992B91"/>
    <w:rsid w:val="00992C62"/>
    <w:rsid w:val="00992E6A"/>
    <w:rsid w:val="00994386"/>
    <w:rsid w:val="00994E53"/>
    <w:rsid w:val="00995258"/>
    <w:rsid w:val="00995C6C"/>
    <w:rsid w:val="00995D58"/>
    <w:rsid w:val="00996024"/>
    <w:rsid w:val="00996126"/>
    <w:rsid w:val="00996297"/>
    <w:rsid w:val="00996602"/>
    <w:rsid w:val="009968AA"/>
    <w:rsid w:val="00997B4B"/>
    <w:rsid w:val="00997B86"/>
    <w:rsid w:val="009A0988"/>
    <w:rsid w:val="009A13D8"/>
    <w:rsid w:val="009A15EC"/>
    <w:rsid w:val="009A22EA"/>
    <w:rsid w:val="009A279E"/>
    <w:rsid w:val="009A2F04"/>
    <w:rsid w:val="009A2F1A"/>
    <w:rsid w:val="009A3015"/>
    <w:rsid w:val="009A3490"/>
    <w:rsid w:val="009A34CC"/>
    <w:rsid w:val="009A3F26"/>
    <w:rsid w:val="009A4146"/>
    <w:rsid w:val="009A4589"/>
    <w:rsid w:val="009A4809"/>
    <w:rsid w:val="009A4886"/>
    <w:rsid w:val="009A49A8"/>
    <w:rsid w:val="009A51AC"/>
    <w:rsid w:val="009A647C"/>
    <w:rsid w:val="009A663C"/>
    <w:rsid w:val="009A7BDD"/>
    <w:rsid w:val="009B0A6F"/>
    <w:rsid w:val="009B0A94"/>
    <w:rsid w:val="009B0C62"/>
    <w:rsid w:val="009B1625"/>
    <w:rsid w:val="009B17A6"/>
    <w:rsid w:val="009B1B32"/>
    <w:rsid w:val="009B21FD"/>
    <w:rsid w:val="009B2334"/>
    <w:rsid w:val="009B2409"/>
    <w:rsid w:val="009B28A0"/>
    <w:rsid w:val="009B2AE8"/>
    <w:rsid w:val="009B2D73"/>
    <w:rsid w:val="009B2ED6"/>
    <w:rsid w:val="009B32D7"/>
    <w:rsid w:val="009B3B3C"/>
    <w:rsid w:val="009B3E2D"/>
    <w:rsid w:val="009B4680"/>
    <w:rsid w:val="009B5622"/>
    <w:rsid w:val="009B59E9"/>
    <w:rsid w:val="009B5FC3"/>
    <w:rsid w:val="009B6FC3"/>
    <w:rsid w:val="009B70AA"/>
    <w:rsid w:val="009B79A5"/>
    <w:rsid w:val="009C15C7"/>
    <w:rsid w:val="009C1AA5"/>
    <w:rsid w:val="009C1E27"/>
    <w:rsid w:val="009C245E"/>
    <w:rsid w:val="009C246D"/>
    <w:rsid w:val="009C2474"/>
    <w:rsid w:val="009C2729"/>
    <w:rsid w:val="009C2EB4"/>
    <w:rsid w:val="009C35B2"/>
    <w:rsid w:val="009C52FD"/>
    <w:rsid w:val="009C59BF"/>
    <w:rsid w:val="009C5D17"/>
    <w:rsid w:val="009C5E77"/>
    <w:rsid w:val="009C60C4"/>
    <w:rsid w:val="009C6109"/>
    <w:rsid w:val="009C6A7E"/>
    <w:rsid w:val="009C6C61"/>
    <w:rsid w:val="009C6E5A"/>
    <w:rsid w:val="009C7A7E"/>
    <w:rsid w:val="009D02E8"/>
    <w:rsid w:val="009D04FB"/>
    <w:rsid w:val="009D05A6"/>
    <w:rsid w:val="009D0B64"/>
    <w:rsid w:val="009D1285"/>
    <w:rsid w:val="009D20CD"/>
    <w:rsid w:val="009D2D0F"/>
    <w:rsid w:val="009D2D4D"/>
    <w:rsid w:val="009D4DB9"/>
    <w:rsid w:val="009D51D0"/>
    <w:rsid w:val="009D5A04"/>
    <w:rsid w:val="009D5C95"/>
    <w:rsid w:val="009D61DF"/>
    <w:rsid w:val="009D6297"/>
    <w:rsid w:val="009D674C"/>
    <w:rsid w:val="009D6952"/>
    <w:rsid w:val="009D70A4"/>
    <w:rsid w:val="009D7146"/>
    <w:rsid w:val="009D77F0"/>
    <w:rsid w:val="009D7AA9"/>
    <w:rsid w:val="009D7B14"/>
    <w:rsid w:val="009D7D2C"/>
    <w:rsid w:val="009E01A9"/>
    <w:rsid w:val="009E06A9"/>
    <w:rsid w:val="009E08D1"/>
    <w:rsid w:val="009E0D96"/>
    <w:rsid w:val="009E13AD"/>
    <w:rsid w:val="009E154F"/>
    <w:rsid w:val="009E1B95"/>
    <w:rsid w:val="009E3CEB"/>
    <w:rsid w:val="009E3EC3"/>
    <w:rsid w:val="009E3FF6"/>
    <w:rsid w:val="009E411F"/>
    <w:rsid w:val="009E4304"/>
    <w:rsid w:val="009E492F"/>
    <w:rsid w:val="009E496F"/>
    <w:rsid w:val="009E4B0D"/>
    <w:rsid w:val="009E4C68"/>
    <w:rsid w:val="009E5250"/>
    <w:rsid w:val="009E56B2"/>
    <w:rsid w:val="009E5885"/>
    <w:rsid w:val="009E5AAF"/>
    <w:rsid w:val="009E5C6F"/>
    <w:rsid w:val="009E5F52"/>
    <w:rsid w:val="009E6A50"/>
    <w:rsid w:val="009E6E5B"/>
    <w:rsid w:val="009E7018"/>
    <w:rsid w:val="009E719A"/>
    <w:rsid w:val="009E7749"/>
    <w:rsid w:val="009E79BE"/>
    <w:rsid w:val="009E7A69"/>
    <w:rsid w:val="009E7F92"/>
    <w:rsid w:val="009F02A3"/>
    <w:rsid w:val="009F0763"/>
    <w:rsid w:val="009F085C"/>
    <w:rsid w:val="009F0E24"/>
    <w:rsid w:val="009F1C85"/>
    <w:rsid w:val="009F2169"/>
    <w:rsid w:val="009F2182"/>
    <w:rsid w:val="009F2770"/>
    <w:rsid w:val="009F2A25"/>
    <w:rsid w:val="009F2B4B"/>
    <w:rsid w:val="009F2D72"/>
    <w:rsid w:val="009F2F27"/>
    <w:rsid w:val="009F34AA"/>
    <w:rsid w:val="009F3661"/>
    <w:rsid w:val="009F3D51"/>
    <w:rsid w:val="009F448E"/>
    <w:rsid w:val="009F45DC"/>
    <w:rsid w:val="009F4A37"/>
    <w:rsid w:val="009F4E9E"/>
    <w:rsid w:val="009F5D50"/>
    <w:rsid w:val="009F5D6B"/>
    <w:rsid w:val="009F6A1A"/>
    <w:rsid w:val="009F6BCB"/>
    <w:rsid w:val="009F6E42"/>
    <w:rsid w:val="009F7500"/>
    <w:rsid w:val="009F7B4C"/>
    <w:rsid w:val="009F7B78"/>
    <w:rsid w:val="00A0015C"/>
    <w:rsid w:val="00A0057A"/>
    <w:rsid w:val="00A00853"/>
    <w:rsid w:val="00A00FE5"/>
    <w:rsid w:val="00A0116C"/>
    <w:rsid w:val="00A01794"/>
    <w:rsid w:val="00A01D3B"/>
    <w:rsid w:val="00A02FA1"/>
    <w:rsid w:val="00A033C1"/>
    <w:rsid w:val="00A038E4"/>
    <w:rsid w:val="00A04060"/>
    <w:rsid w:val="00A0462C"/>
    <w:rsid w:val="00A04B7A"/>
    <w:rsid w:val="00A04CCE"/>
    <w:rsid w:val="00A04CF9"/>
    <w:rsid w:val="00A06093"/>
    <w:rsid w:val="00A0625A"/>
    <w:rsid w:val="00A07342"/>
    <w:rsid w:val="00A07421"/>
    <w:rsid w:val="00A0745C"/>
    <w:rsid w:val="00A0776B"/>
    <w:rsid w:val="00A07F5D"/>
    <w:rsid w:val="00A10CA8"/>
    <w:rsid w:val="00A10FB9"/>
    <w:rsid w:val="00A110C5"/>
    <w:rsid w:val="00A113BB"/>
    <w:rsid w:val="00A11421"/>
    <w:rsid w:val="00A11651"/>
    <w:rsid w:val="00A11817"/>
    <w:rsid w:val="00A12121"/>
    <w:rsid w:val="00A1266E"/>
    <w:rsid w:val="00A13851"/>
    <w:rsid w:val="00A1389F"/>
    <w:rsid w:val="00A13B7A"/>
    <w:rsid w:val="00A13C28"/>
    <w:rsid w:val="00A1422E"/>
    <w:rsid w:val="00A1426C"/>
    <w:rsid w:val="00A14430"/>
    <w:rsid w:val="00A14866"/>
    <w:rsid w:val="00A1574E"/>
    <w:rsid w:val="00A157B1"/>
    <w:rsid w:val="00A16208"/>
    <w:rsid w:val="00A166D1"/>
    <w:rsid w:val="00A166E5"/>
    <w:rsid w:val="00A1686C"/>
    <w:rsid w:val="00A1692E"/>
    <w:rsid w:val="00A16BAE"/>
    <w:rsid w:val="00A1707A"/>
    <w:rsid w:val="00A177AB"/>
    <w:rsid w:val="00A17E85"/>
    <w:rsid w:val="00A203AB"/>
    <w:rsid w:val="00A20B87"/>
    <w:rsid w:val="00A20BB6"/>
    <w:rsid w:val="00A20F6A"/>
    <w:rsid w:val="00A2152A"/>
    <w:rsid w:val="00A2164B"/>
    <w:rsid w:val="00A21700"/>
    <w:rsid w:val="00A21CB2"/>
    <w:rsid w:val="00A21ED7"/>
    <w:rsid w:val="00A22229"/>
    <w:rsid w:val="00A2234B"/>
    <w:rsid w:val="00A22450"/>
    <w:rsid w:val="00A2262D"/>
    <w:rsid w:val="00A22B09"/>
    <w:rsid w:val="00A22D47"/>
    <w:rsid w:val="00A22F33"/>
    <w:rsid w:val="00A23249"/>
    <w:rsid w:val="00A23533"/>
    <w:rsid w:val="00A23770"/>
    <w:rsid w:val="00A24442"/>
    <w:rsid w:val="00A24ADA"/>
    <w:rsid w:val="00A24B44"/>
    <w:rsid w:val="00A24FE6"/>
    <w:rsid w:val="00A25F23"/>
    <w:rsid w:val="00A269C7"/>
    <w:rsid w:val="00A26E5E"/>
    <w:rsid w:val="00A2758B"/>
    <w:rsid w:val="00A27CEE"/>
    <w:rsid w:val="00A27E0E"/>
    <w:rsid w:val="00A27F1C"/>
    <w:rsid w:val="00A311EE"/>
    <w:rsid w:val="00A3126E"/>
    <w:rsid w:val="00A312DC"/>
    <w:rsid w:val="00A319C3"/>
    <w:rsid w:val="00A31D6E"/>
    <w:rsid w:val="00A31F7B"/>
    <w:rsid w:val="00A32577"/>
    <w:rsid w:val="00A32EB8"/>
    <w:rsid w:val="00A330BB"/>
    <w:rsid w:val="00A330E0"/>
    <w:rsid w:val="00A33408"/>
    <w:rsid w:val="00A33B21"/>
    <w:rsid w:val="00A33B45"/>
    <w:rsid w:val="00A33BFB"/>
    <w:rsid w:val="00A34153"/>
    <w:rsid w:val="00A3464D"/>
    <w:rsid w:val="00A34CAC"/>
    <w:rsid w:val="00A365F6"/>
    <w:rsid w:val="00A37C9D"/>
    <w:rsid w:val="00A4019F"/>
    <w:rsid w:val="00A40B42"/>
    <w:rsid w:val="00A4148D"/>
    <w:rsid w:val="00A415E2"/>
    <w:rsid w:val="00A41B28"/>
    <w:rsid w:val="00A42BDE"/>
    <w:rsid w:val="00A42CC6"/>
    <w:rsid w:val="00A43636"/>
    <w:rsid w:val="00A44534"/>
    <w:rsid w:val="00A446F5"/>
    <w:rsid w:val="00A447D6"/>
    <w:rsid w:val="00A44882"/>
    <w:rsid w:val="00A45125"/>
    <w:rsid w:val="00A45AF2"/>
    <w:rsid w:val="00A4643E"/>
    <w:rsid w:val="00A475F6"/>
    <w:rsid w:val="00A476BF"/>
    <w:rsid w:val="00A47A31"/>
    <w:rsid w:val="00A47A53"/>
    <w:rsid w:val="00A50898"/>
    <w:rsid w:val="00A509E5"/>
    <w:rsid w:val="00A51AE6"/>
    <w:rsid w:val="00A5206E"/>
    <w:rsid w:val="00A528A2"/>
    <w:rsid w:val="00A52954"/>
    <w:rsid w:val="00A52F61"/>
    <w:rsid w:val="00A531FB"/>
    <w:rsid w:val="00A53222"/>
    <w:rsid w:val="00A535AF"/>
    <w:rsid w:val="00A53FC0"/>
    <w:rsid w:val="00A54635"/>
    <w:rsid w:val="00A54715"/>
    <w:rsid w:val="00A555B3"/>
    <w:rsid w:val="00A558A4"/>
    <w:rsid w:val="00A55C49"/>
    <w:rsid w:val="00A567CC"/>
    <w:rsid w:val="00A6061C"/>
    <w:rsid w:val="00A60ADB"/>
    <w:rsid w:val="00A61402"/>
    <w:rsid w:val="00A618D6"/>
    <w:rsid w:val="00A6282B"/>
    <w:rsid w:val="00A62D44"/>
    <w:rsid w:val="00A63C0D"/>
    <w:rsid w:val="00A63D77"/>
    <w:rsid w:val="00A64612"/>
    <w:rsid w:val="00A655A7"/>
    <w:rsid w:val="00A660B9"/>
    <w:rsid w:val="00A66179"/>
    <w:rsid w:val="00A669BF"/>
    <w:rsid w:val="00A67263"/>
    <w:rsid w:val="00A67C24"/>
    <w:rsid w:val="00A70130"/>
    <w:rsid w:val="00A704E8"/>
    <w:rsid w:val="00A70754"/>
    <w:rsid w:val="00A707E7"/>
    <w:rsid w:val="00A709FF"/>
    <w:rsid w:val="00A71322"/>
    <w:rsid w:val="00A713F4"/>
    <w:rsid w:val="00A7161C"/>
    <w:rsid w:val="00A71CE4"/>
    <w:rsid w:val="00A71D3F"/>
    <w:rsid w:val="00A725EE"/>
    <w:rsid w:val="00A7299B"/>
    <w:rsid w:val="00A72D86"/>
    <w:rsid w:val="00A730AD"/>
    <w:rsid w:val="00A73BA7"/>
    <w:rsid w:val="00A73C51"/>
    <w:rsid w:val="00A74A8E"/>
    <w:rsid w:val="00A75FA0"/>
    <w:rsid w:val="00A761A1"/>
    <w:rsid w:val="00A7693F"/>
    <w:rsid w:val="00A769B3"/>
    <w:rsid w:val="00A7713A"/>
    <w:rsid w:val="00A77360"/>
    <w:rsid w:val="00A779F3"/>
    <w:rsid w:val="00A77A3E"/>
    <w:rsid w:val="00A77A52"/>
    <w:rsid w:val="00A77AA3"/>
    <w:rsid w:val="00A80335"/>
    <w:rsid w:val="00A80A99"/>
    <w:rsid w:val="00A80BE7"/>
    <w:rsid w:val="00A81726"/>
    <w:rsid w:val="00A81CC7"/>
    <w:rsid w:val="00A8236D"/>
    <w:rsid w:val="00A82AC2"/>
    <w:rsid w:val="00A832E0"/>
    <w:rsid w:val="00A837A7"/>
    <w:rsid w:val="00A83D00"/>
    <w:rsid w:val="00A8442E"/>
    <w:rsid w:val="00A84436"/>
    <w:rsid w:val="00A84475"/>
    <w:rsid w:val="00A854EB"/>
    <w:rsid w:val="00A85510"/>
    <w:rsid w:val="00A85C38"/>
    <w:rsid w:val="00A86987"/>
    <w:rsid w:val="00A87080"/>
    <w:rsid w:val="00A872E5"/>
    <w:rsid w:val="00A873A1"/>
    <w:rsid w:val="00A8758F"/>
    <w:rsid w:val="00A878D6"/>
    <w:rsid w:val="00A91345"/>
    <w:rsid w:val="00A91406"/>
    <w:rsid w:val="00A91956"/>
    <w:rsid w:val="00A91A15"/>
    <w:rsid w:val="00A92B84"/>
    <w:rsid w:val="00A92D27"/>
    <w:rsid w:val="00A93366"/>
    <w:rsid w:val="00A938AB"/>
    <w:rsid w:val="00A93A82"/>
    <w:rsid w:val="00A93AC7"/>
    <w:rsid w:val="00A93BDF"/>
    <w:rsid w:val="00A93D5C"/>
    <w:rsid w:val="00A93ED3"/>
    <w:rsid w:val="00A940D8"/>
    <w:rsid w:val="00A943C6"/>
    <w:rsid w:val="00A9631A"/>
    <w:rsid w:val="00A96377"/>
    <w:rsid w:val="00A968A2"/>
    <w:rsid w:val="00A96D8B"/>
    <w:rsid w:val="00A96E65"/>
    <w:rsid w:val="00A96ECE"/>
    <w:rsid w:val="00A977C7"/>
    <w:rsid w:val="00A97C72"/>
    <w:rsid w:val="00A97EC7"/>
    <w:rsid w:val="00AA0AEC"/>
    <w:rsid w:val="00AA115F"/>
    <w:rsid w:val="00AA310B"/>
    <w:rsid w:val="00AA34CA"/>
    <w:rsid w:val="00AA36BA"/>
    <w:rsid w:val="00AA4884"/>
    <w:rsid w:val="00AA59DE"/>
    <w:rsid w:val="00AA63D4"/>
    <w:rsid w:val="00AA6756"/>
    <w:rsid w:val="00AA6925"/>
    <w:rsid w:val="00AA7419"/>
    <w:rsid w:val="00AA7505"/>
    <w:rsid w:val="00AA7D32"/>
    <w:rsid w:val="00AB03C1"/>
    <w:rsid w:val="00AB055D"/>
    <w:rsid w:val="00AB055F"/>
    <w:rsid w:val="00AB06E8"/>
    <w:rsid w:val="00AB0D4B"/>
    <w:rsid w:val="00AB12A5"/>
    <w:rsid w:val="00AB15FD"/>
    <w:rsid w:val="00AB1B58"/>
    <w:rsid w:val="00AB1CD3"/>
    <w:rsid w:val="00AB23EB"/>
    <w:rsid w:val="00AB2752"/>
    <w:rsid w:val="00AB2B8F"/>
    <w:rsid w:val="00AB2EF4"/>
    <w:rsid w:val="00AB352F"/>
    <w:rsid w:val="00AB38B1"/>
    <w:rsid w:val="00AB3AF6"/>
    <w:rsid w:val="00AB41FA"/>
    <w:rsid w:val="00AB4FD5"/>
    <w:rsid w:val="00AB5244"/>
    <w:rsid w:val="00AB5902"/>
    <w:rsid w:val="00AB6158"/>
    <w:rsid w:val="00AB7403"/>
    <w:rsid w:val="00AB7B73"/>
    <w:rsid w:val="00AB7B94"/>
    <w:rsid w:val="00AC0595"/>
    <w:rsid w:val="00AC0607"/>
    <w:rsid w:val="00AC066C"/>
    <w:rsid w:val="00AC08F0"/>
    <w:rsid w:val="00AC0F5D"/>
    <w:rsid w:val="00AC1478"/>
    <w:rsid w:val="00AC21D3"/>
    <w:rsid w:val="00AC21D6"/>
    <w:rsid w:val="00AC274B"/>
    <w:rsid w:val="00AC311D"/>
    <w:rsid w:val="00AC3C1C"/>
    <w:rsid w:val="00AC4250"/>
    <w:rsid w:val="00AC4371"/>
    <w:rsid w:val="00AC4764"/>
    <w:rsid w:val="00AC4BAD"/>
    <w:rsid w:val="00AC50EA"/>
    <w:rsid w:val="00AC539D"/>
    <w:rsid w:val="00AC5C4F"/>
    <w:rsid w:val="00AC5ECC"/>
    <w:rsid w:val="00AC603F"/>
    <w:rsid w:val="00AC6D36"/>
    <w:rsid w:val="00AC6F09"/>
    <w:rsid w:val="00AC70A7"/>
    <w:rsid w:val="00AC75DB"/>
    <w:rsid w:val="00AC7D88"/>
    <w:rsid w:val="00AC7FBE"/>
    <w:rsid w:val="00AD00B5"/>
    <w:rsid w:val="00AD0CBA"/>
    <w:rsid w:val="00AD1075"/>
    <w:rsid w:val="00AD11D3"/>
    <w:rsid w:val="00AD1921"/>
    <w:rsid w:val="00AD20A1"/>
    <w:rsid w:val="00AD22FE"/>
    <w:rsid w:val="00AD2418"/>
    <w:rsid w:val="00AD26E2"/>
    <w:rsid w:val="00AD2BEB"/>
    <w:rsid w:val="00AD2E34"/>
    <w:rsid w:val="00AD32CD"/>
    <w:rsid w:val="00AD3BBC"/>
    <w:rsid w:val="00AD40BF"/>
    <w:rsid w:val="00AD4448"/>
    <w:rsid w:val="00AD4D49"/>
    <w:rsid w:val="00AD522E"/>
    <w:rsid w:val="00AD55D9"/>
    <w:rsid w:val="00AD57F2"/>
    <w:rsid w:val="00AD580D"/>
    <w:rsid w:val="00AD6372"/>
    <w:rsid w:val="00AD6512"/>
    <w:rsid w:val="00AD784C"/>
    <w:rsid w:val="00AE0128"/>
    <w:rsid w:val="00AE0F4D"/>
    <w:rsid w:val="00AE126A"/>
    <w:rsid w:val="00AE1BAE"/>
    <w:rsid w:val="00AE1E7A"/>
    <w:rsid w:val="00AE2275"/>
    <w:rsid w:val="00AE24AA"/>
    <w:rsid w:val="00AE2602"/>
    <w:rsid w:val="00AE2918"/>
    <w:rsid w:val="00AE3005"/>
    <w:rsid w:val="00AE3161"/>
    <w:rsid w:val="00AE32AE"/>
    <w:rsid w:val="00AE3BD5"/>
    <w:rsid w:val="00AE3E9D"/>
    <w:rsid w:val="00AE3F7E"/>
    <w:rsid w:val="00AE4541"/>
    <w:rsid w:val="00AE4F00"/>
    <w:rsid w:val="00AE4FAA"/>
    <w:rsid w:val="00AE53A4"/>
    <w:rsid w:val="00AE59A0"/>
    <w:rsid w:val="00AE5A2D"/>
    <w:rsid w:val="00AE5C48"/>
    <w:rsid w:val="00AE5EB0"/>
    <w:rsid w:val="00AE60AD"/>
    <w:rsid w:val="00AE6A26"/>
    <w:rsid w:val="00AE798A"/>
    <w:rsid w:val="00AE7CB9"/>
    <w:rsid w:val="00AE7CC8"/>
    <w:rsid w:val="00AF05F8"/>
    <w:rsid w:val="00AF076F"/>
    <w:rsid w:val="00AF0824"/>
    <w:rsid w:val="00AF0AC4"/>
    <w:rsid w:val="00AF0C57"/>
    <w:rsid w:val="00AF179B"/>
    <w:rsid w:val="00AF1EBA"/>
    <w:rsid w:val="00AF26F3"/>
    <w:rsid w:val="00AF4043"/>
    <w:rsid w:val="00AF414E"/>
    <w:rsid w:val="00AF45DA"/>
    <w:rsid w:val="00AF4D42"/>
    <w:rsid w:val="00AF5A0F"/>
    <w:rsid w:val="00AF5C68"/>
    <w:rsid w:val="00AF5F04"/>
    <w:rsid w:val="00AF5F4D"/>
    <w:rsid w:val="00AF628A"/>
    <w:rsid w:val="00AF661A"/>
    <w:rsid w:val="00AF6D78"/>
    <w:rsid w:val="00AF6E93"/>
    <w:rsid w:val="00AF72E1"/>
    <w:rsid w:val="00B0014D"/>
    <w:rsid w:val="00B0041B"/>
    <w:rsid w:val="00B00672"/>
    <w:rsid w:val="00B0096C"/>
    <w:rsid w:val="00B00B26"/>
    <w:rsid w:val="00B00D23"/>
    <w:rsid w:val="00B014C0"/>
    <w:rsid w:val="00B01722"/>
    <w:rsid w:val="00B0192B"/>
    <w:rsid w:val="00B01B06"/>
    <w:rsid w:val="00B01B41"/>
    <w:rsid w:val="00B01B4D"/>
    <w:rsid w:val="00B01F3A"/>
    <w:rsid w:val="00B02789"/>
    <w:rsid w:val="00B0404B"/>
    <w:rsid w:val="00B040CC"/>
    <w:rsid w:val="00B04489"/>
    <w:rsid w:val="00B045D1"/>
    <w:rsid w:val="00B049AA"/>
    <w:rsid w:val="00B05FB9"/>
    <w:rsid w:val="00B063EE"/>
    <w:rsid w:val="00B06571"/>
    <w:rsid w:val="00B068BA"/>
    <w:rsid w:val="00B06E8E"/>
    <w:rsid w:val="00B07217"/>
    <w:rsid w:val="00B0764A"/>
    <w:rsid w:val="00B076B0"/>
    <w:rsid w:val="00B07B23"/>
    <w:rsid w:val="00B105D2"/>
    <w:rsid w:val="00B1082D"/>
    <w:rsid w:val="00B114FD"/>
    <w:rsid w:val="00B11AC0"/>
    <w:rsid w:val="00B11FAB"/>
    <w:rsid w:val="00B12348"/>
    <w:rsid w:val="00B12F7A"/>
    <w:rsid w:val="00B1325B"/>
    <w:rsid w:val="00B133F5"/>
    <w:rsid w:val="00B13851"/>
    <w:rsid w:val="00B13B1C"/>
    <w:rsid w:val="00B13DC7"/>
    <w:rsid w:val="00B14B34"/>
    <w:rsid w:val="00B14B5F"/>
    <w:rsid w:val="00B14BB6"/>
    <w:rsid w:val="00B150A3"/>
    <w:rsid w:val="00B1524E"/>
    <w:rsid w:val="00B15875"/>
    <w:rsid w:val="00B15B11"/>
    <w:rsid w:val="00B16716"/>
    <w:rsid w:val="00B1687E"/>
    <w:rsid w:val="00B16A62"/>
    <w:rsid w:val="00B17908"/>
    <w:rsid w:val="00B20246"/>
    <w:rsid w:val="00B204F2"/>
    <w:rsid w:val="00B20654"/>
    <w:rsid w:val="00B206C6"/>
    <w:rsid w:val="00B21880"/>
    <w:rsid w:val="00B21F3E"/>
    <w:rsid w:val="00B21F90"/>
    <w:rsid w:val="00B22291"/>
    <w:rsid w:val="00B2242C"/>
    <w:rsid w:val="00B23608"/>
    <w:rsid w:val="00B23F9A"/>
    <w:rsid w:val="00B2409C"/>
    <w:rsid w:val="00B2417B"/>
    <w:rsid w:val="00B24518"/>
    <w:rsid w:val="00B24A04"/>
    <w:rsid w:val="00B24E6F"/>
    <w:rsid w:val="00B24E97"/>
    <w:rsid w:val="00B26CB5"/>
    <w:rsid w:val="00B26D50"/>
    <w:rsid w:val="00B26F42"/>
    <w:rsid w:val="00B26F9A"/>
    <w:rsid w:val="00B2752E"/>
    <w:rsid w:val="00B27B1A"/>
    <w:rsid w:val="00B3011F"/>
    <w:rsid w:val="00B30381"/>
    <w:rsid w:val="00B3057D"/>
    <w:rsid w:val="00B306B6"/>
    <w:rsid w:val="00B307CC"/>
    <w:rsid w:val="00B309C3"/>
    <w:rsid w:val="00B30F39"/>
    <w:rsid w:val="00B314CD"/>
    <w:rsid w:val="00B31D4A"/>
    <w:rsid w:val="00B32116"/>
    <w:rsid w:val="00B324E5"/>
    <w:rsid w:val="00B326B7"/>
    <w:rsid w:val="00B332B7"/>
    <w:rsid w:val="00B3348D"/>
    <w:rsid w:val="00B3351A"/>
    <w:rsid w:val="00B338D1"/>
    <w:rsid w:val="00B34C1C"/>
    <w:rsid w:val="00B352FB"/>
    <w:rsid w:val="00B3588E"/>
    <w:rsid w:val="00B36294"/>
    <w:rsid w:val="00B36AC8"/>
    <w:rsid w:val="00B4069E"/>
    <w:rsid w:val="00B40B00"/>
    <w:rsid w:val="00B41966"/>
    <w:rsid w:val="00B4198F"/>
    <w:rsid w:val="00B41F3D"/>
    <w:rsid w:val="00B42230"/>
    <w:rsid w:val="00B42F34"/>
    <w:rsid w:val="00B431E8"/>
    <w:rsid w:val="00B43BC2"/>
    <w:rsid w:val="00B444A8"/>
    <w:rsid w:val="00B44B5A"/>
    <w:rsid w:val="00B45004"/>
    <w:rsid w:val="00B45141"/>
    <w:rsid w:val="00B45796"/>
    <w:rsid w:val="00B45CEC"/>
    <w:rsid w:val="00B4650C"/>
    <w:rsid w:val="00B46B24"/>
    <w:rsid w:val="00B47A07"/>
    <w:rsid w:val="00B47A6B"/>
    <w:rsid w:val="00B503C8"/>
    <w:rsid w:val="00B50818"/>
    <w:rsid w:val="00B51282"/>
    <w:rsid w:val="00B517FD"/>
    <w:rsid w:val="00B519CD"/>
    <w:rsid w:val="00B51AAB"/>
    <w:rsid w:val="00B5273A"/>
    <w:rsid w:val="00B52A79"/>
    <w:rsid w:val="00B52F5B"/>
    <w:rsid w:val="00B5301A"/>
    <w:rsid w:val="00B533EC"/>
    <w:rsid w:val="00B53415"/>
    <w:rsid w:val="00B53B3B"/>
    <w:rsid w:val="00B555B1"/>
    <w:rsid w:val="00B5573B"/>
    <w:rsid w:val="00B561FA"/>
    <w:rsid w:val="00B564CA"/>
    <w:rsid w:val="00B57329"/>
    <w:rsid w:val="00B57BE3"/>
    <w:rsid w:val="00B60E2C"/>
    <w:rsid w:val="00B60E61"/>
    <w:rsid w:val="00B61246"/>
    <w:rsid w:val="00B61B50"/>
    <w:rsid w:val="00B61CFE"/>
    <w:rsid w:val="00B62B50"/>
    <w:rsid w:val="00B62E96"/>
    <w:rsid w:val="00B635B7"/>
    <w:rsid w:val="00B637AE"/>
    <w:rsid w:val="00B637B7"/>
    <w:rsid w:val="00B63AE8"/>
    <w:rsid w:val="00B63D71"/>
    <w:rsid w:val="00B63EBA"/>
    <w:rsid w:val="00B63F9C"/>
    <w:rsid w:val="00B64DA5"/>
    <w:rsid w:val="00B65357"/>
    <w:rsid w:val="00B6545A"/>
    <w:rsid w:val="00B65768"/>
    <w:rsid w:val="00B65922"/>
    <w:rsid w:val="00B65950"/>
    <w:rsid w:val="00B65AF3"/>
    <w:rsid w:val="00B65E4B"/>
    <w:rsid w:val="00B66D83"/>
    <w:rsid w:val="00B67209"/>
    <w:rsid w:val="00B672C0"/>
    <w:rsid w:val="00B676FD"/>
    <w:rsid w:val="00B678B6"/>
    <w:rsid w:val="00B67CF9"/>
    <w:rsid w:val="00B7098D"/>
    <w:rsid w:val="00B710E1"/>
    <w:rsid w:val="00B7188E"/>
    <w:rsid w:val="00B7204F"/>
    <w:rsid w:val="00B7206A"/>
    <w:rsid w:val="00B72361"/>
    <w:rsid w:val="00B72555"/>
    <w:rsid w:val="00B72FE0"/>
    <w:rsid w:val="00B73398"/>
    <w:rsid w:val="00B73481"/>
    <w:rsid w:val="00B73A84"/>
    <w:rsid w:val="00B741C0"/>
    <w:rsid w:val="00B7420C"/>
    <w:rsid w:val="00B74334"/>
    <w:rsid w:val="00B749FD"/>
    <w:rsid w:val="00B75091"/>
    <w:rsid w:val="00B754B4"/>
    <w:rsid w:val="00B75646"/>
    <w:rsid w:val="00B75CE5"/>
    <w:rsid w:val="00B7629E"/>
    <w:rsid w:val="00B7660C"/>
    <w:rsid w:val="00B76696"/>
    <w:rsid w:val="00B76863"/>
    <w:rsid w:val="00B76C37"/>
    <w:rsid w:val="00B76FAA"/>
    <w:rsid w:val="00B77115"/>
    <w:rsid w:val="00B7797F"/>
    <w:rsid w:val="00B77B6C"/>
    <w:rsid w:val="00B77D62"/>
    <w:rsid w:val="00B8011F"/>
    <w:rsid w:val="00B8018C"/>
    <w:rsid w:val="00B80480"/>
    <w:rsid w:val="00B80599"/>
    <w:rsid w:val="00B80D42"/>
    <w:rsid w:val="00B80EF5"/>
    <w:rsid w:val="00B81AA3"/>
    <w:rsid w:val="00B81BD7"/>
    <w:rsid w:val="00B8208C"/>
    <w:rsid w:val="00B8277D"/>
    <w:rsid w:val="00B82781"/>
    <w:rsid w:val="00B82BEE"/>
    <w:rsid w:val="00B831A6"/>
    <w:rsid w:val="00B83B98"/>
    <w:rsid w:val="00B83CB2"/>
    <w:rsid w:val="00B84117"/>
    <w:rsid w:val="00B84195"/>
    <w:rsid w:val="00B84BFD"/>
    <w:rsid w:val="00B84C56"/>
    <w:rsid w:val="00B84DB0"/>
    <w:rsid w:val="00B86CA1"/>
    <w:rsid w:val="00B86EB3"/>
    <w:rsid w:val="00B86FAA"/>
    <w:rsid w:val="00B8720E"/>
    <w:rsid w:val="00B87678"/>
    <w:rsid w:val="00B8784F"/>
    <w:rsid w:val="00B87954"/>
    <w:rsid w:val="00B90729"/>
    <w:rsid w:val="00B907DA"/>
    <w:rsid w:val="00B90B09"/>
    <w:rsid w:val="00B91006"/>
    <w:rsid w:val="00B911C8"/>
    <w:rsid w:val="00B9187D"/>
    <w:rsid w:val="00B922A3"/>
    <w:rsid w:val="00B934E4"/>
    <w:rsid w:val="00B934F5"/>
    <w:rsid w:val="00B9421C"/>
    <w:rsid w:val="00B94C5E"/>
    <w:rsid w:val="00B950BC"/>
    <w:rsid w:val="00B95592"/>
    <w:rsid w:val="00B96019"/>
    <w:rsid w:val="00B96340"/>
    <w:rsid w:val="00B96752"/>
    <w:rsid w:val="00B96C37"/>
    <w:rsid w:val="00B9714C"/>
    <w:rsid w:val="00B97620"/>
    <w:rsid w:val="00B97A9E"/>
    <w:rsid w:val="00B97C89"/>
    <w:rsid w:val="00BA023C"/>
    <w:rsid w:val="00BA02C9"/>
    <w:rsid w:val="00BA0347"/>
    <w:rsid w:val="00BA08B4"/>
    <w:rsid w:val="00BA0A59"/>
    <w:rsid w:val="00BA0DCD"/>
    <w:rsid w:val="00BA23EA"/>
    <w:rsid w:val="00BA26F6"/>
    <w:rsid w:val="00BA29AD"/>
    <w:rsid w:val="00BA33CF"/>
    <w:rsid w:val="00BA3F8D"/>
    <w:rsid w:val="00BA5B33"/>
    <w:rsid w:val="00BA5FA9"/>
    <w:rsid w:val="00BA6113"/>
    <w:rsid w:val="00BA71C7"/>
    <w:rsid w:val="00BB0853"/>
    <w:rsid w:val="00BB1656"/>
    <w:rsid w:val="00BB1CEB"/>
    <w:rsid w:val="00BB27F8"/>
    <w:rsid w:val="00BB2E27"/>
    <w:rsid w:val="00BB3B47"/>
    <w:rsid w:val="00BB445A"/>
    <w:rsid w:val="00BB48CA"/>
    <w:rsid w:val="00BB4B16"/>
    <w:rsid w:val="00BB559C"/>
    <w:rsid w:val="00BB60F7"/>
    <w:rsid w:val="00BB64B9"/>
    <w:rsid w:val="00BB65DA"/>
    <w:rsid w:val="00BB67A5"/>
    <w:rsid w:val="00BB7015"/>
    <w:rsid w:val="00BB7411"/>
    <w:rsid w:val="00BB74AC"/>
    <w:rsid w:val="00BB75EC"/>
    <w:rsid w:val="00BB7A10"/>
    <w:rsid w:val="00BC0154"/>
    <w:rsid w:val="00BC127B"/>
    <w:rsid w:val="00BC22A8"/>
    <w:rsid w:val="00BC30E9"/>
    <w:rsid w:val="00BC323E"/>
    <w:rsid w:val="00BC4BC3"/>
    <w:rsid w:val="00BC5FB5"/>
    <w:rsid w:val="00BC60BE"/>
    <w:rsid w:val="00BC6239"/>
    <w:rsid w:val="00BC63FE"/>
    <w:rsid w:val="00BC6482"/>
    <w:rsid w:val="00BC670F"/>
    <w:rsid w:val="00BC6BC5"/>
    <w:rsid w:val="00BC7288"/>
    <w:rsid w:val="00BC7467"/>
    <w:rsid w:val="00BC7468"/>
    <w:rsid w:val="00BC7D4F"/>
    <w:rsid w:val="00BC7ED7"/>
    <w:rsid w:val="00BD007A"/>
    <w:rsid w:val="00BD019F"/>
    <w:rsid w:val="00BD0ED7"/>
    <w:rsid w:val="00BD1103"/>
    <w:rsid w:val="00BD11AA"/>
    <w:rsid w:val="00BD191B"/>
    <w:rsid w:val="00BD250C"/>
    <w:rsid w:val="00BD2850"/>
    <w:rsid w:val="00BD2CAA"/>
    <w:rsid w:val="00BD2EA7"/>
    <w:rsid w:val="00BD340A"/>
    <w:rsid w:val="00BD3737"/>
    <w:rsid w:val="00BD4140"/>
    <w:rsid w:val="00BD433D"/>
    <w:rsid w:val="00BD46FD"/>
    <w:rsid w:val="00BD4B4A"/>
    <w:rsid w:val="00BD4FDE"/>
    <w:rsid w:val="00BD5164"/>
    <w:rsid w:val="00BD594D"/>
    <w:rsid w:val="00BD5D32"/>
    <w:rsid w:val="00BD5FE5"/>
    <w:rsid w:val="00BD6070"/>
    <w:rsid w:val="00BD6B9D"/>
    <w:rsid w:val="00BD71A5"/>
    <w:rsid w:val="00BD76B6"/>
    <w:rsid w:val="00BD7797"/>
    <w:rsid w:val="00BD7A80"/>
    <w:rsid w:val="00BE00D8"/>
    <w:rsid w:val="00BE039E"/>
    <w:rsid w:val="00BE03EE"/>
    <w:rsid w:val="00BE10A8"/>
    <w:rsid w:val="00BE1124"/>
    <w:rsid w:val="00BE19B0"/>
    <w:rsid w:val="00BE1C94"/>
    <w:rsid w:val="00BE28D2"/>
    <w:rsid w:val="00BE3072"/>
    <w:rsid w:val="00BE34E4"/>
    <w:rsid w:val="00BE3A68"/>
    <w:rsid w:val="00BE3F2F"/>
    <w:rsid w:val="00BE4891"/>
    <w:rsid w:val="00BE4A64"/>
    <w:rsid w:val="00BE4AD5"/>
    <w:rsid w:val="00BE5E43"/>
    <w:rsid w:val="00BE64B3"/>
    <w:rsid w:val="00BE6AF0"/>
    <w:rsid w:val="00BF05AB"/>
    <w:rsid w:val="00BF13B3"/>
    <w:rsid w:val="00BF1AF6"/>
    <w:rsid w:val="00BF1BAD"/>
    <w:rsid w:val="00BF1FB3"/>
    <w:rsid w:val="00BF21EF"/>
    <w:rsid w:val="00BF2748"/>
    <w:rsid w:val="00BF2C10"/>
    <w:rsid w:val="00BF2E19"/>
    <w:rsid w:val="00BF392A"/>
    <w:rsid w:val="00BF508A"/>
    <w:rsid w:val="00BF557D"/>
    <w:rsid w:val="00BF5B35"/>
    <w:rsid w:val="00BF5DF3"/>
    <w:rsid w:val="00BF6073"/>
    <w:rsid w:val="00BF658D"/>
    <w:rsid w:val="00BF6C2D"/>
    <w:rsid w:val="00BF70DA"/>
    <w:rsid w:val="00BF7417"/>
    <w:rsid w:val="00BF7611"/>
    <w:rsid w:val="00BF7A52"/>
    <w:rsid w:val="00BF7F58"/>
    <w:rsid w:val="00C0046A"/>
    <w:rsid w:val="00C0047C"/>
    <w:rsid w:val="00C01381"/>
    <w:rsid w:val="00C017E4"/>
    <w:rsid w:val="00C01AB1"/>
    <w:rsid w:val="00C02434"/>
    <w:rsid w:val="00C026A0"/>
    <w:rsid w:val="00C0295A"/>
    <w:rsid w:val="00C02CDF"/>
    <w:rsid w:val="00C0312D"/>
    <w:rsid w:val="00C048AB"/>
    <w:rsid w:val="00C04E98"/>
    <w:rsid w:val="00C05D4B"/>
    <w:rsid w:val="00C06137"/>
    <w:rsid w:val="00C0636A"/>
    <w:rsid w:val="00C0650F"/>
    <w:rsid w:val="00C06929"/>
    <w:rsid w:val="00C07708"/>
    <w:rsid w:val="00C077E5"/>
    <w:rsid w:val="00C079B8"/>
    <w:rsid w:val="00C07A39"/>
    <w:rsid w:val="00C07B4E"/>
    <w:rsid w:val="00C10037"/>
    <w:rsid w:val="00C1048A"/>
    <w:rsid w:val="00C104A4"/>
    <w:rsid w:val="00C1054D"/>
    <w:rsid w:val="00C10B09"/>
    <w:rsid w:val="00C115E1"/>
    <w:rsid w:val="00C11B6A"/>
    <w:rsid w:val="00C11BDE"/>
    <w:rsid w:val="00C123EA"/>
    <w:rsid w:val="00C126EE"/>
    <w:rsid w:val="00C12A49"/>
    <w:rsid w:val="00C12A9B"/>
    <w:rsid w:val="00C133EE"/>
    <w:rsid w:val="00C1363E"/>
    <w:rsid w:val="00C13FF9"/>
    <w:rsid w:val="00C14111"/>
    <w:rsid w:val="00C146D5"/>
    <w:rsid w:val="00C146DB"/>
    <w:rsid w:val="00C1472E"/>
    <w:rsid w:val="00C1474D"/>
    <w:rsid w:val="00C148D2"/>
    <w:rsid w:val="00C149D0"/>
    <w:rsid w:val="00C1512B"/>
    <w:rsid w:val="00C15B64"/>
    <w:rsid w:val="00C15D1F"/>
    <w:rsid w:val="00C16437"/>
    <w:rsid w:val="00C17109"/>
    <w:rsid w:val="00C1739B"/>
    <w:rsid w:val="00C173D3"/>
    <w:rsid w:val="00C2031F"/>
    <w:rsid w:val="00C20C3F"/>
    <w:rsid w:val="00C212EB"/>
    <w:rsid w:val="00C21353"/>
    <w:rsid w:val="00C221C7"/>
    <w:rsid w:val="00C23B06"/>
    <w:rsid w:val="00C244AC"/>
    <w:rsid w:val="00C24641"/>
    <w:rsid w:val="00C24FDD"/>
    <w:rsid w:val="00C25293"/>
    <w:rsid w:val="00C2632B"/>
    <w:rsid w:val="00C26588"/>
    <w:rsid w:val="00C267D2"/>
    <w:rsid w:val="00C26F7F"/>
    <w:rsid w:val="00C2744B"/>
    <w:rsid w:val="00C27DE9"/>
    <w:rsid w:val="00C31646"/>
    <w:rsid w:val="00C317F9"/>
    <w:rsid w:val="00C31852"/>
    <w:rsid w:val="00C31A0B"/>
    <w:rsid w:val="00C32405"/>
    <w:rsid w:val="00C32596"/>
    <w:rsid w:val="00C32989"/>
    <w:rsid w:val="00C32A96"/>
    <w:rsid w:val="00C32B94"/>
    <w:rsid w:val="00C32BCF"/>
    <w:rsid w:val="00C331DC"/>
    <w:rsid w:val="00C33388"/>
    <w:rsid w:val="00C33E08"/>
    <w:rsid w:val="00C3402E"/>
    <w:rsid w:val="00C340EA"/>
    <w:rsid w:val="00C34812"/>
    <w:rsid w:val="00C34B08"/>
    <w:rsid w:val="00C34BB2"/>
    <w:rsid w:val="00C35484"/>
    <w:rsid w:val="00C354CE"/>
    <w:rsid w:val="00C36419"/>
    <w:rsid w:val="00C365D1"/>
    <w:rsid w:val="00C36C7F"/>
    <w:rsid w:val="00C36DCB"/>
    <w:rsid w:val="00C3706B"/>
    <w:rsid w:val="00C378D0"/>
    <w:rsid w:val="00C4076C"/>
    <w:rsid w:val="00C407F9"/>
    <w:rsid w:val="00C409B2"/>
    <w:rsid w:val="00C411A2"/>
    <w:rsid w:val="00C4155C"/>
    <w:rsid w:val="00C4173A"/>
    <w:rsid w:val="00C420B5"/>
    <w:rsid w:val="00C42619"/>
    <w:rsid w:val="00C42682"/>
    <w:rsid w:val="00C4302C"/>
    <w:rsid w:val="00C4404F"/>
    <w:rsid w:val="00C4453F"/>
    <w:rsid w:val="00C44545"/>
    <w:rsid w:val="00C44E60"/>
    <w:rsid w:val="00C44ED8"/>
    <w:rsid w:val="00C45B1C"/>
    <w:rsid w:val="00C45B83"/>
    <w:rsid w:val="00C45BAD"/>
    <w:rsid w:val="00C45DDF"/>
    <w:rsid w:val="00C45F02"/>
    <w:rsid w:val="00C46047"/>
    <w:rsid w:val="00C466DD"/>
    <w:rsid w:val="00C47005"/>
    <w:rsid w:val="00C47898"/>
    <w:rsid w:val="00C47D82"/>
    <w:rsid w:val="00C502D1"/>
    <w:rsid w:val="00C506FD"/>
    <w:rsid w:val="00C5081A"/>
    <w:rsid w:val="00C50CD3"/>
    <w:rsid w:val="00C50DED"/>
    <w:rsid w:val="00C50E85"/>
    <w:rsid w:val="00C515BB"/>
    <w:rsid w:val="00C5181D"/>
    <w:rsid w:val="00C51913"/>
    <w:rsid w:val="00C51E26"/>
    <w:rsid w:val="00C52217"/>
    <w:rsid w:val="00C53513"/>
    <w:rsid w:val="00C53C54"/>
    <w:rsid w:val="00C547B8"/>
    <w:rsid w:val="00C54D84"/>
    <w:rsid w:val="00C55147"/>
    <w:rsid w:val="00C5633D"/>
    <w:rsid w:val="00C57A25"/>
    <w:rsid w:val="00C57AAB"/>
    <w:rsid w:val="00C602FF"/>
    <w:rsid w:val="00C60411"/>
    <w:rsid w:val="00C61174"/>
    <w:rsid w:val="00C6148F"/>
    <w:rsid w:val="00C618A5"/>
    <w:rsid w:val="00C619D0"/>
    <w:rsid w:val="00C619F0"/>
    <w:rsid w:val="00C61CB1"/>
    <w:rsid w:val="00C61CF5"/>
    <w:rsid w:val="00C621B1"/>
    <w:rsid w:val="00C62402"/>
    <w:rsid w:val="00C62597"/>
    <w:rsid w:val="00C62F7A"/>
    <w:rsid w:val="00C632D4"/>
    <w:rsid w:val="00C63B9C"/>
    <w:rsid w:val="00C6503B"/>
    <w:rsid w:val="00C653A7"/>
    <w:rsid w:val="00C653B2"/>
    <w:rsid w:val="00C659D8"/>
    <w:rsid w:val="00C65D9B"/>
    <w:rsid w:val="00C65F20"/>
    <w:rsid w:val="00C6682F"/>
    <w:rsid w:val="00C66EFF"/>
    <w:rsid w:val="00C67095"/>
    <w:rsid w:val="00C67958"/>
    <w:rsid w:val="00C67B10"/>
    <w:rsid w:val="00C67BF4"/>
    <w:rsid w:val="00C7040D"/>
    <w:rsid w:val="00C70A54"/>
    <w:rsid w:val="00C7131E"/>
    <w:rsid w:val="00C71693"/>
    <w:rsid w:val="00C723AF"/>
    <w:rsid w:val="00C7275E"/>
    <w:rsid w:val="00C731AF"/>
    <w:rsid w:val="00C7375E"/>
    <w:rsid w:val="00C7403B"/>
    <w:rsid w:val="00C742BA"/>
    <w:rsid w:val="00C74C5D"/>
    <w:rsid w:val="00C75A4B"/>
    <w:rsid w:val="00C75B1B"/>
    <w:rsid w:val="00C75E08"/>
    <w:rsid w:val="00C761A2"/>
    <w:rsid w:val="00C765AF"/>
    <w:rsid w:val="00C76653"/>
    <w:rsid w:val="00C769FF"/>
    <w:rsid w:val="00C76FA9"/>
    <w:rsid w:val="00C77BFC"/>
    <w:rsid w:val="00C80104"/>
    <w:rsid w:val="00C8154F"/>
    <w:rsid w:val="00C81D68"/>
    <w:rsid w:val="00C81D9C"/>
    <w:rsid w:val="00C829FC"/>
    <w:rsid w:val="00C83404"/>
    <w:rsid w:val="00C83DD0"/>
    <w:rsid w:val="00C852B2"/>
    <w:rsid w:val="00C85ED3"/>
    <w:rsid w:val="00C862A9"/>
    <w:rsid w:val="00C863C4"/>
    <w:rsid w:val="00C90088"/>
    <w:rsid w:val="00C90115"/>
    <w:rsid w:val="00C90DAB"/>
    <w:rsid w:val="00C91507"/>
    <w:rsid w:val="00C9178B"/>
    <w:rsid w:val="00C917C6"/>
    <w:rsid w:val="00C91B2D"/>
    <w:rsid w:val="00C920EA"/>
    <w:rsid w:val="00C9212E"/>
    <w:rsid w:val="00C921E5"/>
    <w:rsid w:val="00C92364"/>
    <w:rsid w:val="00C92AE1"/>
    <w:rsid w:val="00C9342D"/>
    <w:rsid w:val="00C9358B"/>
    <w:rsid w:val="00C937C7"/>
    <w:rsid w:val="00C93C3E"/>
    <w:rsid w:val="00C944C1"/>
    <w:rsid w:val="00C9668A"/>
    <w:rsid w:val="00C96DD6"/>
    <w:rsid w:val="00C96F8B"/>
    <w:rsid w:val="00C972D3"/>
    <w:rsid w:val="00C97532"/>
    <w:rsid w:val="00C9757F"/>
    <w:rsid w:val="00CA00C5"/>
    <w:rsid w:val="00CA112D"/>
    <w:rsid w:val="00CA12E3"/>
    <w:rsid w:val="00CA1353"/>
    <w:rsid w:val="00CA1476"/>
    <w:rsid w:val="00CA1D8A"/>
    <w:rsid w:val="00CA1E35"/>
    <w:rsid w:val="00CA2BAA"/>
    <w:rsid w:val="00CA2BEE"/>
    <w:rsid w:val="00CA2C18"/>
    <w:rsid w:val="00CA4192"/>
    <w:rsid w:val="00CA422C"/>
    <w:rsid w:val="00CA46B8"/>
    <w:rsid w:val="00CA49B7"/>
    <w:rsid w:val="00CA4BFD"/>
    <w:rsid w:val="00CA4D9D"/>
    <w:rsid w:val="00CA5110"/>
    <w:rsid w:val="00CA5624"/>
    <w:rsid w:val="00CA6611"/>
    <w:rsid w:val="00CA6AE6"/>
    <w:rsid w:val="00CA6D49"/>
    <w:rsid w:val="00CA7451"/>
    <w:rsid w:val="00CA74FD"/>
    <w:rsid w:val="00CA782F"/>
    <w:rsid w:val="00CA7A1C"/>
    <w:rsid w:val="00CB0692"/>
    <w:rsid w:val="00CB0795"/>
    <w:rsid w:val="00CB08A8"/>
    <w:rsid w:val="00CB0EA7"/>
    <w:rsid w:val="00CB0ECF"/>
    <w:rsid w:val="00CB1100"/>
    <w:rsid w:val="00CB181A"/>
    <w:rsid w:val="00CB187B"/>
    <w:rsid w:val="00CB18B8"/>
    <w:rsid w:val="00CB19B5"/>
    <w:rsid w:val="00CB1D26"/>
    <w:rsid w:val="00CB1DD8"/>
    <w:rsid w:val="00CB2835"/>
    <w:rsid w:val="00CB3285"/>
    <w:rsid w:val="00CB32CB"/>
    <w:rsid w:val="00CB3430"/>
    <w:rsid w:val="00CB37A8"/>
    <w:rsid w:val="00CB4500"/>
    <w:rsid w:val="00CB47F5"/>
    <w:rsid w:val="00CB4BD3"/>
    <w:rsid w:val="00CB51A3"/>
    <w:rsid w:val="00CB5A5A"/>
    <w:rsid w:val="00CB60E8"/>
    <w:rsid w:val="00CB62B5"/>
    <w:rsid w:val="00CB7791"/>
    <w:rsid w:val="00CC013F"/>
    <w:rsid w:val="00CC0785"/>
    <w:rsid w:val="00CC0C72"/>
    <w:rsid w:val="00CC0D53"/>
    <w:rsid w:val="00CC0F04"/>
    <w:rsid w:val="00CC146F"/>
    <w:rsid w:val="00CC14DA"/>
    <w:rsid w:val="00CC1816"/>
    <w:rsid w:val="00CC1BCB"/>
    <w:rsid w:val="00CC2902"/>
    <w:rsid w:val="00CC2BFD"/>
    <w:rsid w:val="00CC338C"/>
    <w:rsid w:val="00CC3BB0"/>
    <w:rsid w:val="00CC401C"/>
    <w:rsid w:val="00CC415D"/>
    <w:rsid w:val="00CC463F"/>
    <w:rsid w:val="00CC5250"/>
    <w:rsid w:val="00CC5941"/>
    <w:rsid w:val="00CC610A"/>
    <w:rsid w:val="00CC6743"/>
    <w:rsid w:val="00CC6826"/>
    <w:rsid w:val="00CC6A3C"/>
    <w:rsid w:val="00CC6F40"/>
    <w:rsid w:val="00CD149C"/>
    <w:rsid w:val="00CD14CA"/>
    <w:rsid w:val="00CD1BF2"/>
    <w:rsid w:val="00CD2F66"/>
    <w:rsid w:val="00CD32C0"/>
    <w:rsid w:val="00CD32DD"/>
    <w:rsid w:val="00CD33AF"/>
    <w:rsid w:val="00CD3476"/>
    <w:rsid w:val="00CD4355"/>
    <w:rsid w:val="00CD4485"/>
    <w:rsid w:val="00CD44C8"/>
    <w:rsid w:val="00CD4A8F"/>
    <w:rsid w:val="00CD5C61"/>
    <w:rsid w:val="00CD5F4B"/>
    <w:rsid w:val="00CD600C"/>
    <w:rsid w:val="00CD60D7"/>
    <w:rsid w:val="00CD64DF"/>
    <w:rsid w:val="00CD6B1C"/>
    <w:rsid w:val="00CD70D6"/>
    <w:rsid w:val="00CE099E"/>
    <w:rsid w:val="00CE225F"/>
    <w:rsid w:val="00CE2396"/>
    <w:rsid w:val="00CE2680"/>
    <w:rsid w:val="00CE2B05"/>
    <w:rsid w:val="00CE2BE6"/>
    <w:rsid w:val="00CE3810"/>
    <w:rsid w:val="00CE398A"/>
    <w:rsid w:val="00CE3D45"/>
    <w:rsid w:val="00CE3DAE"/>
    <w:rsid w:val="00CE4071"/>
    <w:rsid w:val="00CE450E"/>
    <w:rsid w:val="00CE51CF"/>
    <w:rsid w:val="00CE5463"/>
    <w:rsid w:val="00CE567E"/>
    <w:rsid w:val="00CE59E5"/>
    <w:rsid w:val="00CE5A7A"/>
    <w:rsid w:val="00CE670C"/>
    <w:rsid w:val="00CE6B53"/>
    <w:rsid w:val="00CE7239"/>
    <w:rsid w:val="00CF0B59"/>
    <w:rsid w:val="00CF0BF4"/>
    <w:rsid w:val="00CF1988"/>
    <w:rsid w:val="00CF1FD1"/>
    <w:rsid w:val="00CF2085"/>
    <w:rsid w:val="00CF2A2B"/>
    <w:rsid w:val="00CF2B84"/>
    <w:rsid w:val="00CF2D1E"/>
    <w:rsid w:val="00CF2F50"/>
    <w:rsid w:val="00CF3048"/>
    <w:rsid w:val="00CF363B"/>
    <w:rsid w:val="00CF3993"/>
    <w:rsid w:val="00CF3F81"/>
    <w:rsid w:val="00CF42C9"/>
    <w:rsid w:val="00CF44D4"/>
    <w:rsid w:val="00CF48CF"/>
    <w:rsid w:val="00CF56F1"/>
    <w:rsid w:val="00CF6198"/>
    <w:rsid w:val="00CF6251"/>
    <w:rsid w:val="00CF65F4"/>
    <w:rsid w:val="00CF769C"/>
    <w:rsid w:val="00CF78C7"/>
    <w:rsid w:val="00CF7BA8"/>
    <w:rsid w:val="00D00486"/>
    <w:rsid w:val="00D01336"/>
    <w:rsid w:val="00D013CA"/>
    <w:rsid w:val="00D01997"/>
    <w:rsid w:val="00D01F25"/>
    <w:rsid w:val="00D02919"/>
    <w:rsid w:val="00D02B12"/>
    <w:rsid w:val="00D02C59"/>
    <w:rsid w:val="00D03481"/>
    <w:rsid w:val="00D03694"/>
    <w:rsid w:val="00D04C61"/>
    <w:rsid w:val="00D05222"/>
    <w:rsid w:val="00D05B1B"/>
    <w:rsid w:val="00D05B8D"/>
    <w:rsid w:val="00D05B9B"/>
    <w:rsid w:val="00D060BD"/>
    <w:rsid w:val="00D065A2"/>
    <w:rsid w:val="00D06AD2"/>
    <w:rsid w:val="00D06C6E"/>
    <w:rsid w:val="00D06CF4"/>
    <w:rsid w:val="00D079AA"/>
    <w:rsid w:val="00D07E39"/>
    <w:rsid w:val="00D07F00"/>
    <w:rsid w:val="00D07FA2"/>
    <w:rsid w:val="00D10A16"/>
    <w:rsid w:val="00D10D56"/>
    <w:rsid w:val="00D1130F"/>
    <w:rsid w:val="00D1149F"/>
    <w:rsid w:val="00D118DB"/>
    <w:rsid w:val="00D11D40"/>
    <w:rsid w:val="00D1275A"/>
    <w:rsid w:val="00D13907"/>
    <w:rsid w:val="00D13DDB"/>
    <w:rsid w:val="00D149DB"/>
    <w:rsid w:val="00D15103"/>
    <w:rsid w:val="00D15581"/>
    <w:rsid w:val="00D16000"/>
    <w:rsid w:val="00D17063"/>
    <w:rsid w:val="00D171DD"/>
    <w:rsid w:val="00D172D9"/>
    <w:rsid w:val="00D17752"/>
    <w:rsid w:val="00D17B72"/>
    <w:rsid w:val="00D2092A"/>
    <w:rsid w:val="00D20EF1"/>
    <w:rsid w:val="00D20FFC"/>
    <w:rsid w:val="00D2265D"/>
    <w:rsid w:val="00D22B89"/>
    <w:rsid w:val="00D2315E"/>
    <w:rsid w:val="00D2375B"/>
    <w:rsid w:val="00D23DE8"/>
    <w:rsid w:val="00D2421A"/>
    <w:rsid w:val="00D243E0"/>
    <w:rsid w:val="00D245BD"/>
    <w:rsid w:val="00D24A46"/>
    <w:rsid w:val="00D25B10"/>
    <w:rsid w:val="00D262D9"/>
    <w:rsid w:val="00D26676"/>
    <w:rsid w:val="00D26816"/>
    <w:rsid w:val="00D27211"/>
    <w:rsid w:val="00D274B7"/>
    <w:rsid w:val="00D27AB2"/>
    <w:rsid w:val="00D3009B"/>
    <w:rsid w:val="00D30AAF"/>
    <w:rsid w:val="00D31426"/>
    <w:rsid w:val="00D3185C"/>
    <w:rsid w:val="00D3205F"/>
    <w:rsid w:val="00D32F29"/>
    <w:rsid w:val="00D32F57"/>
    <w:rsid w:val="00D3318E"/>
    <w:rsid w:val="00D33380"/>
    <w:rsid w:val="00D334DC"/>
    <w:rsid w:val="00D33837"/>
    <w:rsid w:val="00D33AA9"/>
    <w:rsid w:val="00D33E72"/>
    <w:rsid w:val="00D35150"/>
    <w:rsid w:val="00D35BD6"/>
    <w:rsid w:val="00D35BF7"/>
    <w:rsid w:val="00D35C38"/>
    <w:rsid w:val="00D36113"/>
    <w:rsid w:val="00D361B5"/>
    <w:rsid w:val="00D36386"/>
    <w:rsid w:val="00D369DD"/>
    <w:rsid w:val="00D37CD3"/>
    <w:rsid w:val="00D404A5"/>
    <w:rsid w:val="00D406AF"/>
    <w:rsid w:val="00D411A2"/>
    <w:rsid w:val="00D4166F"/>
    <w:rsid w:val="00D43609"/>
    <w:rsid w:val="00D436AC"/>
    <w:rsid w:val="00D43767"/>
    <w:rsid w:val="00D43A69"/>
    <w:rsid w:val="00D43FAD"/>
    <w:rsid w:val="00D4419D"/>
    <w:rsid w:val="00D44753"/>
    <w:rsid w:val="00D44FD9"/>
    <w:rsid w:val="00D45C40"/>
    <w:rsid w:val="00D4606D"/>
    <w:rsid w:val="00D46CB7"/>
    <w:rsid w:val="00D46D73"/>
    <w:rsid w:val="00D470A5"/>
    <w:rsid w:val="00D472A5"/>
    <w:rsid w:val="00D47A20"/>
    <w:rsid w:val="00D47B37"/>
    <w:rsid w:val="00D47DAB"/>
    <w:rsid w:val="00D47F39"/>
    <w:rsid w:val="00D47FDF"/>
    <w:rsid w:val="00D50B9C"/>
    <w:rsid w:val="00D50BC7"/>
    <w:rsid w:val="00D50C47"/>
    <w:rsid w:val="00D513AF"/>
    <w:rsid w:val="00D5197B"/>
    <w:rsid w:val="00D51BEE"/>
    <w:rsid w:val="00D51C8C"/>
    <w:rsid w:val="00D529A9"/>
    <w:rsid w:val="00D52A5F"/>
    <w:rsid w:val="00D52D67"/>
    <w:rsid w:val="00D52D73"/>
    <w:rsid w:val="00D52E58"/>
    <w:rsid w:val="00D5334D"/>
    <w:rsid w:val="00D53449"/>
    <w:rsid w:val="00D53797"/>
    <w:rsid w:val="00D55074"/>
    <w:rsid w:val="00D55175"/>
    <w:rsid w:val="00D554C5"/>
    <w:rsid w:val="00D557AA"/>
    <w:rsid w:val="00D55C02"/>
    <w:rsid w:val="00D5693E"/>
    <w:rsid w:val="00D56B20"/>
    <w:rsid w:val="00D578B3"/>
    <w:rsid w:val="00D602F1"/>
    <w:rsid w:val="00D6035C"/>
    <w:rsid w:val="00D60774"/>
    <w:rsid w:val="00D609CE"/>
    <w:rsid w:val="00D60B69"/>
    <w:rsid w:val="00D618F4"/>
    <w:rsid w:val="00D61C1D"/>
    <w:rsid w:val="00D61F05"/>
    <w:rsid w:val="00D622CD"/>
    <w:rsid w:val="00D62392"/>
    <w:rsid w:val="00D62B37"/>
    <w:rsid w:val="00D630F8"/>
    <w:rsid w:val="00D634F1"/>
    <w:rsid w:val="00D63636"/>
    <w:rsid w:val="00D637B8"/>
    <w:rsid w:val="00D63B70"/>
    <w:rsid w:val="00D63BF0"/>
    <w:rsid w:val="00D647F3"/>
    <w:rsid w:val="00D64FA6"/>
    <w:rsid w:val="00D653A0"/>
    <w:rsid w:val="00D65830"/>
    <w:rsid w:val="00D66D4C"/>
    <w:rsid w:val="00D67793"/>
    <w:rsid w:val="00D67B1D"/>
    <w:rsid w:val="00D67B5E"/>
    <w:rsid w:val="00D70C61"/>
    <w:rsid w:val="00D710DC"/>
    <w:rsid w:val="00D714CC"/>
    <w:rsid w:val="00D71705"/>
    <w:rsid w:val="00D71A50"/>
    <w:rsid w:val="00D71D06"/>
    <w:rsid w:val="00D725B5"/>
    <w:rsid w:val="00D72BAE"/>
    <w:rsid w:val="00D737E9"/>
    <w:rsid w:val="00D74CCE"/>
    <w:rsid w:val="00D753A9"/>
    <w:rsid w:val="00D75C58"/>
    <w:rsid w:val="00D75EA7"/>
    <w:rsid w:val="00D76374"/>
    <w:rsid w:val="00D76DE7"/>
    <w:rsid w:val="00D76ECC"/>
    <w:rsid w:val="00D77BAD"/>
    <w:rsid w:val="00D77D0B"/>
    <w:rsid w:val="00D802C2"/>
    <w:rsid w:val="00D81397"/>
    <w:rsid w:val="00D815B6"/>
    <w:rsid w:val="00D81945"/>
    <w:rsid w:val="00D81A4B"/>
    <w:rsid w:val="00D81A86"/>
    <w:rsid w:val="00D81ADF"/>
    <w:rsid w:val="00D81F21"/>
    <w:rsid w:val="00D81F88"/>
    <w:rsid w:val="00D844CC"/>
    <w:rsid w:val="00D84817"/>
    <w:rsid w:val="00D8493E"/>
    <w:rsid w:val="00D855CF"/>
    <w:rsid w:val="00D8572F"/>
    <w:rsid w:val="00D85FC2"/>
    <w:rsid w:val="00D863FC"/>
    <w:rsid w:val="00D864F2"/>
    <w:rsid w:val="00D86934"/>
    <w:rsid w:val="00D86C04"/>
    <w:rsid w:val="00D87151"/>
    <w:rsid w:val="00D87882"/>
    <w:rsid w:val="00D90B92"/>
    <w:rsid w:val="00D9154B"/>
    <w:rsid w:val="00D91BA5"/>
    <w:rsid w:val="00D91CC3"/>
    <w:rsid w:val="00D91D35"/>
    <w:rsid w:val="00D922D4"/>
    <w:rsid w:val="00D93CAE"/>
    <w:rsid w:val="00D93D43"/>
    <w:rsid w:val="00D94077"/>
    <w:rsid w:val="00D9434B"/>
    <w:rsid w:val="00D9434F"/>
    <w:rsid w:val="00D943F8"/>
    <w:rsid w:val="00D9481F"/>
    <w:rsid w:val="00D94B16"/>
    <w:rsid w:val="00D95470"/>
    <w:rsid w:val="00D95A58"/>
    <w:rsid w:val="00D95CC4"/>
    <w:rsid w:val="00D95EBF"/>
    <w:rsid w:val="00D96B55"/>
    <w:rsid w:val="00D96C99"/>
    <w:rsid w:val="00D97CB9"/>
    <w:rsid w:val="00DA003F"/>
    <w:rsid w:val="00DA0439"/>
    <w:rsid w:val="00DA093F"/>
    <w:rsid w:val="00DA0C74"/>
    <w:rsid w:val="00DA1537"/>
    <w:rsid w:val="00DA1EF7"/>
    <w:rsid w:val="00DA2348"/>
    <w:rsid w:val="00DA249E"/>
    <w:rsid w:val="00DA25D5"/>
    <w:rsid w:val="00DA2619"/>
    <w:rsid w:val="00DA276D"/>
    <w:rsid w:val="00DA28AE"/>
    <w:rsid w:val="00DA2E45"/>
    <w:rsid w:val="00DA3A45"/>
    <w:rsid w:val="00DA4239"/>
    <w:rsid w:val="00DA430D"/>
    <w:rsid w:val="00DA4621"/>
    <w:rsid w:val="00DA588C"/>
    <w:rsid w:val="00DA65DE"/>
    <w:rsid w:val="00DB047A"/>
    <w:rsid w:val="00DB06F9"/>
    <w:rsid w:val="00DB0B61"/>
    <w:rsid w:val="00DB0EDA"/>
    <w:rsid w:val="00DB102C"/>
    <w:rsid w:val="00DB1104"/>
    <w:rsid w:val="00DB1474"/>
    <w:rsid w:val="00DB1D56"/>
    <w:rsid w:val="00DB1E52"/>
    <w:rsid w:val="00DB2962"/>
    <w:rsid w:val="00DB3876"/>
    <w:rsid w:val="00DB4427"/>
    <w:rsid w:val="00DB4B47"/>
    <w:rsid w:val="00DB4C11"/>
    <w:rsid w:val="00DB519F"/>
    <w:rsid w:val="00DB52FB"/>
    <w:rsid w:val="00DB5636"/>
    <w:rsid w:val="00DB7642"/>
    <w:rsid w:val="00DB77E2"/>
    <w:rsid w:val="00DB7DF6"/>
    <w:rsid w:val="00DC013B"/>
    <w:rsid w:val="00DC090B"/>
    <w:rsid w:val="00DC0B85"/>
    <w:rsid w:val="00DC13F2"/>
    <w:rsid w:val="00DC1679"/>
    <w:rsid w:val="00DC1894"/>
    <w:rsid w:val="00DC1AB6"/>
    <w:rsid w:val="00DC219B"/>
    <w:rsid w:val="00DC2328"/>
    <w:rsid w:val="00DC2CF1"/>
    <w:rsid w:val="00DC2DC7"/>
    <w:rsid w:val="00DC2EA0"/>
    <w:rsid w:val="00DC3380"/>
    <w:rsid w:val="00DC37F8"/>
    <w:rsid w:val="00DC3A7C"/>
    <w:rsid w:val="00DC3C99"/>
    <w:rsid w:val="00DC3F02"/>
    <w:rsid w:val="00DC4FCF"/>
    <w:rsid w:val="00DC507E"/>
    <w:rsid w:val="00DC50E0"/>
    <w:rsid w:val="00DC537F"/>
    <w:rsid w:val="00DC5907"/>
    <w:rsid w:val="00DC5944"/>
    <w:rsid w:val="00DC5BBB"/>
    <w:rsid w:val="00DC5CFE"/>
    <w:rsid w:val="00DC6364"/>
    <w:rsid w:val="00DC6386"/>
    <w:rsid w:val="00DC7275"/>
    <w:rsid w:val="00DC766C"/>
    <w:rsid w:val="00DC7887"/>
    <w:rsid w:val="00DD04E8"/>
    <w:rsid w:val="00DD0EED"/>
    <w:rsid w:val="00DD1130"/>
    <w:rsid w:val="00DD1323"/>
    <w:rsid w:val="00DD1579"/>
    <w:rsid w:val="00DD1951"/>
    <w:rsid w:val="00DD2867"/>
    <w:rsid w:val="00DD2D65"/>
    <w:rsid w:val="00DD33B1"/>
    <w:rsid w:val="00DD3745"/>
    <w:rsid w:val="00DD3CCC"/>
    <w:rsid w:val="00DD41FF"/>
    <w:rsid w:val="00DD4392"/>
    <w:rsid w:val="00DD47DB"/>
    <w:rsid w:val="00DD487D"/>
    <w:rsid w:val="00DD49B8"/>
    <w:rsid w:val="00DD4E4B"/>
    <w:rsid w:val="00DD4E83"/>
    <w:rsid w:val="00DD5852"/>
    <w:rsid w:val="00DD5B4C"/>
    <w:rsid w:val="00DD6027"/>
    <w:rsid w:val="00DD6404"/>
    <w:rsid w:val="00DD6628"/>
    <w:rsid w:val="00DD67C8"/>
    <w:rsid w:val="00DD6945"/>
    <w:rsid w:val="00DD7E5C"/>
    <w:rsid w:val="00DE05D1"/>
    <w:rsid w:val="00DE08CA"/>
    <w:rsid w:val="00DE09B6"/>
    <w:rsid w:val="00DE11D9"/>
    <w:rsid w:val="00DE12A1"/>
    <w:rsid w:val="00DE12E1"/>
    <w:rsid w:val="00DE15BD"/>
    <w:rsid w:val="00DE2087"/>
    <w:rsid w:val="00DE2107"/>
    <w:rsid w:val="00DE217E"/>
    <w:rsid w:val="00DE2595"/>
    <w:rsid w:val="00DE2A00"/>
    <w:rsid w:val="00DE2D04"/>
    <w:rsid w:val="00DE2EFA"/>
    <w:rsid w:val="00DE305A"/>
    <w:rsid w:val="00DE3250"/>
    <w:rsid w:val="00DE3497"/>
    <w:rsid w:val="00DE3855"/>
    <w:rsid w:val="00DE3B4B"/>
    <w:rsid w:val="00DE3DDC"/>
    <w:rsid w:val="00DE4093"/>
    <w:rsid w:val="00DE43A8"/>
    <w:rsid w:val="00DE44D1"/>
    <w:rsid w:val="00DE4AB0"/>
    <w:rsid w:val="00DE6028"/>
    <w:rsid w:val="00DE69CC"/>
    <w:rsid w:val="00DE6B2F"/>
    <w:rsid w:val="00DE6C85"/>
    <w:rsid w:val="00DE6D9A"/>
    <w:rsid w:val="00DE704F"/>
    <w:rsid w:val="00DE7282"/>
    <w:rsid w:val="00DE78A3"/>
    <w:rsid w:val="00DE7B09"/>
    <w:rsid w:val="00DF015A"/>
    <w:rsid w:val="00DF099C"/>
    <w:rsid w:val="00DF0A6E"/>
    <w:rsid w:val="00DF0E6E"/>
    <w:rsid w:val="00DF1141"/>
    <w:rsid w:val="00DF1850"/>
    <w:rsid w:val="00DF197D"/>
    <w:rsid w:val="00DF1A71"/>
    <w:rsid w:val="00DF1E56"/>
    <w:rsid w:val="00DF21C3"/>
    <w:rsid w:val="00DF252F"/>
    <w:rsid w:val="00DF25F2"/>
    <w:rsid w:val="00DF29C3"/>
    <w:rsid w:val="00DF3892"/>
    <w:rsid w:val="00DF3A84"/>
    <w:rsid w:val="00DF3C2F"/>
    <w:rsid w:val="00DF42F1"/>
    <w:rsid w:val="00DF460B"/>
    <w:rsid w:val="00DF48F5"/>
    <w:rsid w:val="00DF4E8B"/>
    <w:rsid w:val="00DF50FC"/>
    <w:rsid w:val="00DF5AD9"/>
    <w:rsid w:val="00DF6433"/>
    <w:rsid w:val="00DF655D"/>
    <w:rsid w:val="00DF68C7"/>
    <w:rsid w:val="00DF68E8"/>
    <w:rsid w:val="00DF695E"/>
    <w:rsid w:val="00DF6A19"/>
    <w:rsid w:val="00DF731A"/>
    <w:rsid w:val="00DF7513"/>
    <w:rsid w:val="00DF7A3C"/>
    <w:rsid w:val="00DF7D87"/>
    <w:rsid w:val="00E00B16"/>
    <w:rsid w:val="00E013D7"/>
    <w:rsid w:val="00E017EA"/>
    <w:rsid w:val="00E01A54"/>
    <w:rsid w:val="00E02AA6"/>
    <w:rsid w:val="00E02CFC"/>
    <w:rsid w:val="00E03261"/>
    <w:rsid w:val="00E03317"/>
    <w:rsid w:val="00E04670"/>
    <w:rsid w:val="00E050DD"/>
    <w:rsid w:val="00E05582"/>
    <w:rsid w:val="00E059BA"/>
    <w:rsid w:val="00E059F9"/>
    <w:rsid w:val="00E05B71"/>
    <w:rsid w:val="00E06B75"/>
    <w:rsid w:val="00E072AD"/>
    <w:rsid w:val="00E072F9"/>
    <w:rsid w:val="00E0770E"/>
    <w:rsid w:val="00E07B81"/>
    <w:rsid w:val="00E10123"/>
    <w:rsid w:val="00E1018E"/>
    <w:rsid w:val="00E10ECE"/>
    <w:rsid w:val="00E11332"/>
    <w:rsid w:val="00E11352"/>
    <w:rsid w:val="00E11D44"/>
    <w:rsid w:val="00E124FA"/>
    <w:rsid w:val="00E12842"/>
    <w:rsid w:val="00E14141"/>
    <w:rsid w:val="00E1436F"/>
    <w:rsid w:val="00E14597"/>
    <w:rsid w:val="00E145D8"/>
    <w:rsid w:val="00E14CE3"/>
    <w:rsid w:val="00E14FF1"/>
    <w:rsid w:val="00E1529D"/>
    <w:rsid w:val="00E157B6"/>
    <w:rsid w:val="00E1607C"/>
    <w:rsid w:val="00E1624E"/>
    <w:rsid w:val="00E170DC"/>
    <w:rsid w:val="00E171E3"/>
    <w:rsid w:val="00E1751A"/>
    <w:rsid w:val="00E17546"/>
    <w:rsid w:val="00E17845"/>
    <w:rsid w:val="00E17FA7"/>
    <w:rsid w:val="00E20C53"/>
    <w:rsid w:val="00E21083"/>
    <w:rsid w:val="00E210B5"/>
    <w:rsid w:val="00E213D8"/>
    <w:rsid w:val="00E21504"/>
    <w:rsid w:val="00E21590"/>
    <w:rsid w:val="00E21775"/>
    <w:rsid w:val="00E22DB1"/>
    <w:rsid w:val="00E22F5A"/>
    <w:rsid w:val="00E235A6"/>
    <w:rsid w:val="00E2444A"/>
    <w:rsid w:val="00E24861"/>
    <w:rsid w:val="00E24A2C"/>
    <w:rsid w:val="00E251AF"/>
    <w:rsid w:val="00E25665"/>
    <w:rsid w:val="00E25879"/>
    <w:rsid w:val="00E2592F"/>
    <w:rsid w:val="00E261B3"/>
    <w:rsid w:val="00E2625B"/>
    <w:rsid w:val="00E266D0"/>
    <w:rsid w:val="00E26818"/>
    <w:rsid w:val="00E2750B"/>
    <w:rsid w:val="00E27715"/>
    <w:rsid w:val="00E27C7D"/>
    <w:rsid w:val="00E27FFC"/>
    <w:rsid w:val="00E3056A"/>
    <w:rsid w:val="00E30785"/>
    <w:rsid w:val="00E30B15"/>
    <w:rsid w:val="00E30ECD"/>
    <w:rsid w:val="00E313D8"/>
    <w:rsid w:val="00E3162D"/>
    <w:rsid w:val="00E3182E"/>
    <w:rsid w:val="00E31C94"/>
    <w:rsid w:val="00E31FE5"/>
    <w:rsid w:val="00E321AD"/>
    <w:rsid w:val="00E3284D"/>
    <w:rsid w:val="00E329B3"/>
    <w:rsid w:val="00E33237"/>
    <w:rsid w:val="00E3351E"/>
    <w:rsid w:val="00E33D3B"/>
    <w:rsid w:val="00E33F40"/>
    <w:rsid w:val="00E342C9"/>
    <w:rsid w:val="00E342DC"/>
    <w:rsid w:val="00E347BE"/>
    <w:rsid w:val="00E34853"/>
    <w:rsid w:val="00E34C59"/>
    <w:rsid w:val="00E34EFB"/>
    <w:rsid w:val="00E35308"/>
    <w:rsid w:val="00E355C9"/>
    <w:rsid w:val="00E35C44"/>
    <w:rsid w:val="00E35E73"/>
    <w:rsid w:val="00E37412"/>
    <w:rsid w:val="00E377EC"/>
    <w:rsid w:val="00E40181"/>
    <w:rsid w:val="00E40280"/>
    <w:rsid w:val="00E402E5"/>
    <w:rsid w:val="00E40900"/>
    <w:rsid w:val="00E40D89"/>
    <w:rsid w:val="00E4262E"/>
    <w:rsid w:val="00E42964"/>
    <w:rsid w:val="00E42AAF"/>
    <w:rsid w:val="00E42D67"/>
    <w:rsid w:val="00E43316"/>
    <w:rsid w:val="00E43496"/>
    <w:rsid w:val="00E436D5"/>
    <w:rsid w:val="00E44235"/>
    <w:rsid w:val="00E444DE"/>
    <w:rsid w:val="00E44B3C"/>
    <w:rsid w:val="00E450C5"/>
    <w:rsid w:val="00E45648"/>
    <w:rsid w:val="00E45B57"/>
    <w:rsid w:val="00E470A2"/>
    <w:rsid w:val="00E479D0"/>
    <w:rsid w:val="00E5200F"/>
    <w:rsid w:val="00E52401"/>
    <w:rsid w:val="00E524B7"/>
    <w:rsid w:val="00E524EF"/>
    <w:rsid w:val="00E52B4B"/>
    <w:rsid w:val="00E52E09"/>
    <w:rsid w:val="00E53196"/>
    <w:rsid w:val="00E531B8"/>
    <w:rsid w:val="00E5361B"/>
    <w:rsid w:val="00E53985"/>
    <w:rsid w:val="00E53FE1"/>
    <w:rsid w:val="00E543A6"/>
    <w:rsid w:val="00E543E7"/>
    <w:rsid w:val="00E54950"/>
    <w:rsid w:val="00E54B71"/>
    <w:rsid w:val="00E54C9C"/>
    <w:rsid w:val="00E54CFB"/>
    <w:rsid w:val="00E550EB"/>
    <w:rsid w:val="00E55152"/>
    <w:rsid w:val="00E55FB3"/>
    <w:rsid w:val="00E56082"/>
    <w:rsid w:val="00E56A01"/>
    <w:rsid w:val="00E575C6"/>
    <w:rsid w:val="00E603B7"/>
    <w:rsid w:val="00E6041B"/>
    <w:rsid w:val="00E61DEE"/>
    <w:rsid w:val="00E623A6"/>
    <w:rsid w:val="00E62619"/>
    <w:rsid w:val="00E629A1"/>
    <w:rsid w:val="00E62D89"/>
    <w:rsid w:val="00E63050"/>
    <w:rsid w:val="00E63869"/>
    <w:rsid w:val="00E63912"/>
    <w:rsid w:val="00E63928"/>
    <w:rsid w:val="00E63D2E"/>
    <w:rsid w:val="00E64BDA"/>
    <w:rsid w:val="00E64EDE"/>
    <w:rsid w:val="00E64EE2"/>
    <w:rsid w:val="00E6557C"/>
    <w:rsid w:val="00E659F2"/>
    <w:rsid w:val="00E663C3"/>
    <w:rsid w:val="00E669D8"/>
    <w:rsid w:val="00E673BA"/>
    <w:rsid w:val="00E6794C"/>
    <w:rsid w:val="00E67C8C"/>
    <w:rsid w:val="00E67F8B"/>
    <w:rsid w:val="00E70508"/>
    <w:rsid w:val="00E70698"/>
    <w:rsid w:val="00E70AD3"/>
    <w:rsid w:val="00E71591"/>
    <w:rsid w:val="00E71ABF"/>
    <w:rsid w:val="00E71CEB"/>
    <w:rsid w:val="00E723A4"/>
    <w:rsid w:val="00E72792"/>
    <w:rsid w:val="00E72986"/>
    <w:rsid w:val="00E73216"/>
    <w:rsid w:val="00E735E0"/>
    <w:rsid w:val="00E73CA0"/>
    <w:rsid w:val="00E744E6"/>
    <w:rsid w:val="00E745E0"/>
    <w:rsid w:val="00E7474F"/>
    <w:rsid w:val="00E7491A"/>
    <w:rsid w:val="00E74AAC"/>
    <w:rsid w:val="00E74D41"/>
    <w:rsid w:val="00E75148"/>
    <w:rsid w:val="00E75524"/>
    <w:rsid w:val="00E75534"/>
    <w:rsid w:val="00E75EFB"/>
    <w:rsid w:val="00E763B5"/>
    <w:rsid w:val="00E766D9"/>
    <w:rsid w:val="00E77072"/>
    <w:rsid w:val="00E775AD"/>
    <w:rsid w:val="00E801DE"/>
    <w:rsid w:val="00E80901"/>
    <w:rsid w:val="00E80DE3"/>
    <w:rsid w:val="00E81048"/>
    <w:rsid w:val="00E81594"/>
    <w:rsid w:val="00E81E7E"/>
    <w:rsid w:val="00E81F01"/>
    <w:rsid w:val="00E8251D"/>
    <w:rsid w:val="00E8293B"/>
    <w:rsid w:val="00E8297A"/>
    <w:rsid w:val="00E82A34"/>
    <w:rsid w:val="00E82C55"/>
    <w:rsid w:val="00E82CBD"/>
    <w:rsid w:val="00E82F16"/>
    <w:rsid w:val="00E8321D"/>
    <w:rsid w:val="00E83C4F"/>
    <w:rsid w:val="00E844BF"/>
    <w:rsid w:val="00E855D1"/>
    <w:rsid w:val="00E8561A"/>
    <w:rsid w:val="00E85667"/>
    <w:rsid w:val="00E85865"/>
    <w:rsid w:val="00E85A9A"/>
    <w:rsid w:val="00E85DFE"/>
    <w:rsid w:val="00E861D3"/>
    <w:rsid w:val="00E86B26"/>
    <w:rsid w:val="00E87662"/>
    <w:rsid w:val="00E8785A"/>
    <w:rsid w:val="00E8787E"/>
    <w:rsid w:val="00E87C73"/>
    <w:rsid w:val="00E87F77"/>
    <w:rsid w:val="00E9042A"/>
    <w:rsid w:val="00E90688"/>
    <w:rsid w:val="00E906F8"/>
    <w:rsid w:val="00E90CB4"/>
    <w:rsid w:val="00E90E59"/>
    <w:rsid w:val="00E914AA"/>
    <w:rsid w:val="00E917B4"/>
    <w:rsid w:val="00E92AC3"/>
    <w:rsid w:val="00E92D12"/>
    <w:rsid w:val="00E92FDB"/>
    <w:rsid w:val="00E93C0E"/>
    <w:rsid w:val="00E9450A"/>
    <w:rsid w:val="00E94703"/>
    <w:rsid w:val="00E947D7"/>
    <w:rsid w:val="00E9660D"/>
    <w:rsid w:val="00E979D9"/>
    <w:rsid w:val="00E97FBA"/>
    <w:rsid w:val="00EA05AA"/>
    <w:rsid w:val="00EA0C21"/>
    <w:rsid w:val="00EA0E78"/>
    <w:rsid w:val="00EA11E7"/>
    <w:rsid w:val="00EA173E"/>
    <w:rsid w:val="00EA1A1A"/>
    <w:rsid w:val="00EA1AE7"/>
    <w:rsid w:val="00EA26B1"/>
    <w:rsid w:val="00EA28F1"/>
    <w:rsid w:val="00EA2AF7"/>
    <w:rsid w:val="00EA2F6A"/>
    <w:rsid w:val="00EA3394"/>
    <w:rsid w:val="00EA375D"/>
    <w:rsid w:val="00EA3AA4"/>
    <w:rsid w:val="00EA3D03"/>
    <w:rsid w:val="00EA3EE7"/>
    <w:rsid w:val="00EA3F2C"/>
    <w:rsid w:val="00EA43BD"/>
    <w:rsid w:val="00EA516A"/>
    <w:rsid w:val="00EA521B"/>
    <w:rsid w:val="00EA6BB1"/>
    <w:rsid w:val="00EA6CCC"/>
    <w:rsid w:val="00EB00E0"/>
    <w:rsid w:val="00EB04C4"/>
    <w:rsid w:val="00EB05B1"/>
    <w:rsid w:val="00EB05D5"/>
    <w:rsid w:val="00EB097A"/>
    <w:rsid w:val="00EB0BF3"/>
    <w:rsid w:val="00EB0D15"/>
    <w:rsid w:val="00EB1495"/>
    <w:rsid w:val="00EB188A"/>
    <w:rsid w:val="00EB23B7"/>
    <w:rsid w:val="00EB3595"/>
    <w:rsid w:val="00EB4BC7"/>
    <w:rsid w:val="00EB4D28"/>
    <w:rsid w:val="00EB56B9"/>
    <w:rsid w:val="00EB685F"/>
    <w:rsid w:val="00EB6A72"/>
    <w:rsid w:val="00EB6E4C"/>
    <w:rsid w:val="00EB6F47"/>
    <w:rsid w:val="00EB71A1"/>
    <w:rsid w:val="00EB730F"/>
    <w:rsid w:val="00EB7537"/>
    <w:rsid w:val="00EC01E6"/>
    <w:rsid w:val="00EC059F"/>
    <w:rsid w:val="00EC0873"/>
    <w:rsid w:val="00EC096A"/>
    <w:rsid w:val="00EC0C68"/>
    <w:rsid w:val="00EC0EBE"/>
    <w:rsid w:val="00EC13C4"/>
    <w:rsid w:val="00EC1670"/>
    <w:rsid w:val="00EC1A16"/>
    <w:rsid w:val="00EC1F24"/>
    <w:rsid w:val="00EC22F6"/>
    <w:rsid w:val="00EC3DB9"/>
    <w:rsid w:val="00EC407B"/>
    <w:rsid w:val="00EC4CA8"/>
    <w:rsid w:val="00EC5334"/>
    <w:rsid w:val="00EC5DBC"/>
    <w:rsid w:val="00EC69D9"/>
    <w:rsid w:val="00EC6BA8"/>
    <w:rsid w:val="00EC6FE0"/>
    <w:rsid w:val="00EC70D5"/>
    <w:rsid w:val="00EC7E5E"/>
    <w:rsid w:val="00ED0B9B"/>
    <w:rsid w:val="00ED0C91"/>
    <w:rsid w:val="00ED1348"/>
    <w:rsid w:val="00ED1B13"/>
    <w:rsid w:val="00ED28AD"/>
    <w:rsid w:val="00ED4A88"/>
    <w:rsid w:val="00ED4E20"/>
    <w:rsid w:val="00ED5B9B"/>
    <w:rsid w:val="00ED6083"/>
    <w:rsid w:val="00ED6A16"/>
    <w:rsid w:val="00ED6BAD"/>
    <w:rsid w:val="00ED7029"/>
    <w:rsid w:val="00ED7447"/>
    <w:rsid w:val="00ED75B1"/>
    <w:rsid w:val="00ED7762"/>
    <w:rsid w:val="00EE00D6"/>
    <w:rsid w:val="00EE0159"/>
    <w:rsid w:val="00EE0371"/>
    <w:rsid w:val="00EE0BCB"/>
    <w:rsid w:val="00EE1078"/>
    <w:rsid w:val="00EE11CA"/>
    <w:rsid w:val="00EE11E7"/>
    <w:rsid w:val="00EE1309"/>
    <w:rsid w:val="00EE1488"/>
    <w:rsid w:val="00EE1602"/>
    <w:rsid w:val="00EE1E16"/>
    <w:rsid w:val="00EE208D"/>
    <w:rsid w:val="00EE20EB"/>
    <w:rsid w:val="00EE2100"/>
    <w:rsid w:val="00EE2216"/>
    <w:rsid w:val="00EE2604"/>
    <w:rsid w:val="00EE2970"/>
    <w:rsid w:val="00EE29AD"/>
    <w:rsid w:val="00EE3677"/>
    <w:rsid w:val="00EE3E24"/>
    <w:rsid w:val="00EE3F7D"/>
    <w:rsid w:val="00EE4ADF"/>
    <w:rsid w:val="00EE4AF4"/>
    <w:rsid w:val="00EE4D5D"/>
    <w:rsid w:val="00EE4E7F"/>
    <w:rsid w:val="00EE5131"/>
    <w:rsid w:val="00EE52DB"/>
    <w:rsid w:val="00EE5B8D"/>
    <w:rsid w:val="00EE5DEA"/>
    <w:rsid w:val="00EE5E5B"/>
    <w:rsid w:val="00EE5EC3"/>
    <w:rsid w:val="00EE5FA3"/>
    <w:rsid w:val="00EE6196"/>
    <w:rsid w:val="00EE6F16"/>
    <w:rsid w:val="00EE7B9C"/>
    <w:rsid w:val="00EE7C2B"/>
    <w:rsid w:val="00EF0BD0"/>
    <w:rsid w:val="00EF109B"/>
    <w:rsid w:val="00EF166F"/>
    <w:rsid w:val="00EF17D4"/>
    <w:rsid w:val="00EF201C"/>
    <w:rsid w:val="00EF2287"/>
    <w:rsid w:val="00EF2465"/>
    <w:rsid w:val="00EF24F7"/>
    <w:rsid w:val="00EF2C72"/>
    <w:rsid w:val="00EF2F1A"/>
    <w:rsid w:val="00EF34CF"/>
    <w:rsid w:val="00EF36AF"/>
    <w:rsid w:val="00EF3950"/>
    <w:rsid w:val="00EF39D3"/>
    <w:rsid w:val="00EF45D2"/>
    <w:rsid w:val="00EF53B1"/>
    <w:rsid w:val="00EF55A7"/>
    <w:rsid w:val="00EF5858"/>
    <w:rsid w:val="00EF59A3"/>
    <w:rsid w:val="00EF5D20"/>
    <w:rsid w:val="00EF5D6A"/>
    <w:rsid w:val="00EF6354"/>
    <w:rsid w:val="00EF6675"/>
    <w:rsid w:val="00EF6F75"/>
    <w:rsid w:val="00EF71D8"/>
    <w:rsid w:val="00F00504"/>
    <w:rsid w:val="00F0063D"/>
    <w:rsid w:val="00F00665"/>
    <w:rsid w:val="00F00F9C"/>
    <w:rsid w:val="00F01727"/>
    <w:rsid w:val="00F01E5F"/>
    <w:rsid w:val="00F024F3"/>
    <w:rsid w:val="00F02ABA"/>
    <w:rsid w:val="00F02B85"/>
    <w:rsid w:val="00F02CB3"/>
    <w:rsid w:val="00F02D16"/>
    <w:rsid w:val="00F0437A"/>
    <w:rsid w:val="00F048C3"/>
    <w:rsid w:val="00F05201"/>
    <w:rsid w:val="00F053E6"/>
    <w:rsid w:val="00F05EFC"/>
    <w:rsid w:val="00F070BC"/>
    <w:rsid w:val="00F07483"/>
    <w:rsid w:val="00F07678"/>
    <w:rsid w:val="00F101B8"/>
    <w:rsid w:val="00F103DC"/>
    <w:rsid w:val="00F11037"/>
    <w:rsid w:val="00F112D9"/>
    <w:rsid w:val="00F11714"/>
    <w:rsid w:val="00F11CB3"/>
    <w:rsid w:val="00F12099"/>
    <w:rsid w:val="00F125EE"/>
    <w:rsid w:val="00F128F9"/>
    <w:rsid w:val="00F139E7"/>
    <w:rsid w:val="00F13CED"/>
    <w:rsid w:val="00F13D94"/>
    <w:rsid w:val="00F148CD"/>
    <w:rsid w:val="00F15183"/>
    <w:rsid w:val="00F1518E"/>
    <w:rsid w:val="00F15700"/>
    <w:rsid w:val="00F157D1"/>
    <w:rsid w:val="00F15C5F"/>
    <w:rsid w:val="00F15F5A"/>
    <w:rsid w:val="00F16C8D"/>
    <w:rsid w:val="00F16F1B"/>
    <w:rsid w:val="00F17305"/>
    <w:rsid w:val="00F2057E"/>
    <w:rsid w:val="00F20A64"/>
    <w:rsid w:val="00F20D5D"/>
    <w:rsid w:val="00F20FA9"/>
    <w:rsid w:val="00F21005"/>
    <w:rsid w:val="00F21564"/>
    <w:rsid w:val="00F21BDB"/>
    <w:rsid w:val="00F21F40"/>
    <w:rsid w:val="00F22A10"/>
    <w:rsid w:val="00F22D8A"/>
    <w:rsid w:val="00F2366D"/>
    <w:rsid w:val="00F23792"/>
    <w:rsid w:val="00F23AE7"/>
    <w:rsid w:val="00F23B44"/>
    <w:rsid w:val="00F23BD2"/>
    <w:rsid w:val="00F23FCE"/>
    <w:rsid w:val="00F245C2"/>
    <w:rsid w:val="00F24B82"/>
    <w:rsid w:val="00F250A9"/>
    <w:rsid w:val="00F25382"/>
    <w:rsid w:val="00F25C28"/>
    <w:rsid w:val="00F2631C"/>
    <w:rsid w:val="00F267AF"/>
    <w:rsid w:val="00F27615"/>
    <w:rsid w:val="00F27C2B"/>
    <w:rsid w:val="00F27DF3"/>
    <w:rsid w:val="00F27E29"/>
    <w:rsid w:val="00F301B2"/>
    <w:rsid w:val="00F30FF4"/>
    <w:rsid w:val="00F3102B"/>
    <w:rsid w:val="00F3122E"/>
    <w:rsid w:val="00F315A9"/>
    <w:rsid w:val="00F31E4C"/>
    <w:rsid w:val="00F31E63"/>
    <w:rsid w:val="00F32043"/>
    <w:rsid w:val="00F32368"/>
    <w:rsid w:val="00F3285A"/>
    <w:rsid w:val="00F32E5E"/>
    <w:rsid w:val="00F3308B"/>
    <w:rsid w:val="00F331AD"/>
    <w:rsid w:val="00F3342A"/>
    <w:rsid w:val="00F3371F"/>
    <w:rsid w:val="00F33D65"/>
    <w:rsid w:val="00F34153"/>
    <w:rsid w:val="00F345E3"/>
    <w:rsid w:val="00F34888"/>
    <w:rsid w:val="00F35287"/>
    <w:rsid w:val="00F35520"/>
    <w:rsid w:val="00F35902"/>
    <w:rsid w:val="00F35FBF"/>
    <w:rsid w:val="00F35FDF"/>
    <w:rsid w:val="00F361DA"/>
    <w:rsid w:val="00F379E9"/>
    <w:rsid w:val="00F405BA"/>
    <w:rsid w:val="00F40A70"/>
    <w:rsid w:val="00F41B1B"/>
    <w:rsid w:val="00F43A37"/>
    <w:rsid w:val="00F43BB2"/>
    <w:rsid w:val="00F43D02"/>
    <w:rsid w:val="00F43E2E"/>
    <w:rsid w:val="00F440AA"/>
    <w:rsid w:val="00F455DF"/>
    <w:rsid w:val="00F4641B"/>
    <w:rsid w:val="00F46CF9"/>
    <w:rsid w:val="00F46EB8"/>
    <w:rsid w:val="00F47A98"/>
    <w:rsid w:val="00F47D3A"/>
    <w:rsid w:val="00F50334"/>
    <w:rsid w:val="00F505F2"/>
    <w:rsid w:val="00F5086F"/>
    <w:rsid w:val="00F50CD1"/>
    <w:rsid w:val="00F511E4"/>
    <w:rsid w:val="00F51432"/>
    <w:rsid w:val="00F51C12"/>
    <w:rsid w:val="00F51CB4"/>
    <w:rsid w:val="00F52C5A"/>
    <w:rsid w:val="00F52D09"/>
    <w:rsid w:val="00F52E08"/>
    <w:rsid w:val="00F5300E"/>
    <w:rsid w:val="00F53096"/>
    <w:rsid w:val="00F53165"/>
    <w:rsid w:val="00F53A66"/>
    <w:rsid w:val="00F53A90"/>
    <w:rsid w:val="00F5423F"/>
    <w:rsid w:val="00F5462D"/>
    <w:rsid w:val="00F54630"/>
    <w:rsid w:val="00F5494F"/>
    <w:rsid w:val="00F55B21"/>
    <w:rsid w:val="00F5615E"/>
    <w:rsid w:val="00F5628E"/>
    <w:rsid w:val="00F56533"/>
    <w:rsid w:val="00F56EF6"/>
    <w:rsid w:val="00F575E4"/>
    <w:rsid w:val="00F57F62"/>
    <w:rsid w:val="00F60082"/>
    <w:rsid w:val="00F60488"/>
    <w:rsid w:val="00F6051B"/>
    <w:rsid w:val="00F61A9F"/>
    <w:rsid w:val="00F61B5F"/>
    <w:rsid w:val="00F6264D"/>
    <w:rsid w:val="00F62F8A"/>
    <w:rsid w:val="00F63518"/>
    <w:rsid w:val="00F63699"/>
    <w:rsid w:val="00F6447D"/>
    <w:rsid w:val="00F64696"/>
    <w:rsid w:val="00F646BA"/>
    <w:rsid w:val="00F64B82"/>
    <w:rsid w:val="00F64BCC"/>
    <w:rsid w:val="00F64C5B"/>
    <w:rsid w:val="00F64DB0"/>
    <w:rsid w:val="00F65AA9"/>
    <w:rsid w:val="00F65DBE"/>
    <w:rsid w:val="00F66355"/>
    <w:rsid w:val="00F66C3B"/>
    <w:rsid w:val="00F6768F"/>
    <w:rsid w:val="00F70033"/>
    <w:rsid w:val="00F7016A"/>
    <w:rsid w:val="00F70987"/>
    <w:rsid w:val="00F70F7E"/>
    <w:rsid w:val="00F724B9"/>
    <w:rsid w:val="00F72960"/>
    <w:rsid w:val="00F72C2C"/>
    <w:rsid w:val="00F74041"/>
    <w:rsid w:val="00F741F2"/>
    <w:rsid w:val="00F7427D"/>
    <w:rsid w:val="00F74B1E"/>
    <w:rsid w:val="00F74C95"/>
    <w:rsid w:val="00F75577"/>
    <w:rsid w:val="00F75828"/>
    <w:rsid w:val="00F75CFA"/>
    <w:rsid w:val="00F75D5D"/>
    <w:rsid w:val="00F7620B"/>
    <w:rsid w:val="00F76C49"/>
    <w:rsid w:val="00F76CAB"/>
    <w:rsid w:val="00F7708F"/>
    <w:rsid w:val="00F772C6"/>
    <w:rsid w:val="00F77F9F"/>
    <w:rsid w:val="00F80642"/>
    <w:rsid w:val="00F80BF2"/>
    <w:rsid w:val="00F815B5"/>
    <w:rsid w:val="00F824C4"/>
    <w:rsid w:val="00F829BF"/>
    <w:rsid w:val="00F82B4E"/>
    <w:rsid w:val="00F830D4"/>
    <w:rsid w:val="00F83956"/>
    <w:rsid w:val="00F83BEA"/>
    <w:rsid w:val="00F8403F"/>
    <w:rsid w:val="00F840CE"/>
    <w:rsid w:val="00F84699"/>
    <w:rsid w:val="00F8472A"/>
    <w:rsid w:val="00F84965"/>
    <w:rsid w:val="00F849FC"/>
    <w:rsid w:val="00F84CC5"/>
    <w:rsid w:val="00F850D3"/>
    <w:rsid w:val="00F85195"/>
    <w:rsid w:val="00F858B4"/>
    <w:rsid w:val="00F858F1"/>
    <w:rsid w:val="00F85AE1"/>
    <w:rsid w:val="00F85D94"/>
    <w:rsid w:val="00F85F35"/>
    <w:rsid w:val="00F868E3"/>
    <w:rsid w:val="00F873B1"/>
    <w:rsid w:val="00F9081C"/>
    <w:rsid w:val="00F9092A"/>
    <w:rsid w:val="00F91CE6"/>
    <w:rsid w:val="00F922BF"/>
    <w:rsid w:val="00F929C6"/>
    <w:rsid w:val="00F9314F"/>
    <w:rsid w:val="00F933BD"/>
    <w:rsid w:val="00F934C1"/>
    <w:rsid w:val="00F938BA"/>
    <w:rsid w:val="00F94329"/>
    <w:rsid w:val="00F94499"/>
    <w:rsid w:val="00F95600"/>
    <w:rsid w:val="00F959A3"/>
    <w:rsid w:val="00F97919"/>
    <w:rsid w:val="00FA01F5"/>
    <w:rsid w:val="00FA0CD2"/>
    <w:rsid w:val="00FA0FF2"/>
    <w:rsid w:val="00FA1394"/>
    <w:rsid w:val="00FA1486"/>
    <w:rsid w:val="00FA1678"/>
    <w:rsid w:val="00FA25C7"/>
    <w:rsid w:val="00FA2C46"/>
    <w:rsid w:val="00FA3525"/>
    <w:rsid w:val="00FA3636"/>
    <w:rsid w:val="00FA3B82"/>
    <w:rsid w:val="00FA402D"/>
    <w:rsid w:val="00FA4037"/>
    <w:rsid w:val="00FA463A"/>
    <w:rsid w:val="00FA5697"/>
    <w:rsid w:val="00FA5A53"/>
    <w:rsid w:val="00FA5F93"/>
    <w:rsid w:val="00FA6FD6"/>
    <w:rsid w:val="00FA74B0"/>
    <w:rsid w:val="00FA7569"/>
    <w:rsid w:val="00FA7726"/>
    <w:rsid w:val="00FB0D8A"/>
    <w:rsid w:val="00FB1F6E"/>
    <w:rsid w:val="00FB285F"/>
    <w:rsid w:val="00FB3FF2"/>
    <w:rsid w:val="00FB40F9"/>
    <w:rsid w:val="00FB4769"/>
    <w:rsid w:val="00FB4945"/>
    <w:rsid w:val="00FB4C58"/>
    <w:rsid w:val="00FB4CDA"/>
    <w:rsid w:val="00FB50E7"/>
    <w:rsid w:val="00FB52C5"/>
    <w:rsid w:val="00FB5446"/>
    <w:rsid w:val="00FB5DB3"/>
    <w:rsid w:val="00FB5FC8"/>
    <w:rsid w:val="00FB6481"/>
    <w:rsid w:val="00FB678B"/>
    <w:rsid w:val="00FB67E5"/>
    <w:rsid w:val="00FB6BBD"/>
    <w:rsid w:val="00FB6C0C"/>
    <w:rsid w:val="00FB6C93"/>
    <w:rsid w:val="00FB6D36"/>
    <w:rsid w:val="00FB6FBD"/>
    <w:rsid w:val="00FB7073"/>
    <w:rsid w:val="00FB7AA1"/>
    <w:rsid w:val="00FB7C0F"/>
    <w:rsid w:val="00FC033C"/>
    <w:rsid w:val="00FC0965"/>
    <w:rsid w:val="00FC0F81"/>
    <w:rsid w:val="00FC1273"/>
    <w:rsid w:val="00FC1EA8"/>
    <w:rsid w:val="00FC1F26"/>
    <w:rsid w:val="00FC252F"/>
    <w:rsid w:val="00FC395C"/>
    <w:rsid w:val="00FC4064"/>
    <w:rsid w:val="00FC5028"/>
    <w:rsid w:val="00FC5B42"/>
    <w:rsid w:val="00FC5B54"/>
    <w:rsid w:val="00FC5E8E"/>
    <w:rsid w:val="00FC6282"/>
    <w:rsid w:val="00FC6BE5"/>
    <w:rsid w:val="00FC70F1"/>
    <w:rsid w:val="00FC7661"/>
    <w:rsid w:val="00FC77FE"/>
    <w:rsid w:val="00FC7BAA"/>
    <w:rsid w:val="00FC7E53"/>
    <w:rsid w:val="00FD023F"/>
    <w:rsid w:val="00FD0770"/>
    <w:rsid w:val="00FD0974"/>
    <w:rsid w:val="00FD140A"/>
    <w:rsid w:val="00FD1D78"/>
    <w:rsid w:val="00FD1F66"/>
    <w:rsid w:val="00FD287E"/>
    <w:rsid w:val="00FD2C0B"/>
    <w:rsid w:val="00FD2DDC"/>
    <w:rsid w:val="00FD3336"/>
    <w:rsid w:val="00FD34EB"/>
    <w:rsid w:val="00FD3766"/>
    <w:rsid w:val="00FD3D05"/>
    <w:rsid w:val="00FD3F65"/>
    <w:rsid w:val="00FD4084"/>
    <w:rsid w:val="00FD4158"/>
    <w:rsid w:val="00FD44F9"/>
    <w:rsid w:val="00FD475C"/>
    <w:rsid w:val="00FD47C4"/>
    <w:rsid w:val="00FD51D2"/>
    <w:rsid w:val="00FD6449"/>
    <w:rsid w:val="00FD646F"/>
    <w:rsid w:val="00FD6802"/>
    <w:rsid w:val="00FD6D79"/>
    <w:rsid w:val="00FD6E66"/>
    <w:rsid w:val="00FD74F1"/>
    <w:rsid w:val="00FD7F68"/>
    <w:rsid w:val="00FD7FB0"/>
    <w:rsid w:val="00FE0201"/>
    <w:rsid w:val="00FE15F9"/>
    <w:rsid w:val="00FE2DCF"/>
    <w:rsid w:val="00FE2DD6"/>
    <w:rsid w:val="00FE2DEA"/>
    <w:rsid w:val="00FE343F"/>
    <w:rsid w:val="00FE3FA7"/>
    <w:rsid w:val="00FE4081"/>
    <w:rsid w:val="00FE46D2"/>
    <w:rsid w:val="00FE484D"/>
    <w:rsid w:val="00FE4BB2"/>
    <w:rsid w:val="00FE4C3A"/>
    <w:rsid w:val="00FE4EBA"/>
    <w:rsid w:val="00FE4FF0"/>
    <w:rsid w:val="00FE50BE"/>
    <w:rsid w:val="00FE5F08"/>
    <w:rsid w:val="00FE6380"/>
    <w:rsid w:val="00FE72F6"/>
    <w:rsid w:val="00FE731B"/>
    <w:rsid w:val="00FF0435"/>
    <w:rsid w:val="00FF0558"/>
    <w:rsid w:val="00FF165F"/>
    <w:rsid w:val="00FF20ED"/>
    <w:rsid w:val="00FF27D2"/>
    <w:rsid w:val="00FF27FA"/>
    <w:rsid w:val="00FF2A4E"/>
    <w:rsid w:val="00FF2D3D"/>
    <w:rsid w:val="00FF2F3A"/>
    <w:rsid w:val="00FF2FCE"/>
    <w:rsid w:val="00FF32B0"/>
    <w:rsid w:val="00FF368D"/>
    <w:rsid w:val="00FF36E6"/>
    <w:rsid w:val="00FF4B43"/>
    <w:rsid w:val="00FF4DCB"/>
    <w:rsid w:val="00FF4F02"/>
    <w:rsid w:val="00FF4F7D"/>
    <w:rsid w:val="00FF5086"/>
    <w:rsid w:val="00FF5146"/>
    <w:rsid w:val="00FF5CD7"/>
    <w:rsid w:val="00FF6D9D"/>
    <w:rsid w:val="00FF7620"/>
    <w:rsid w:val="00FF7B56"/>
    <w:rsid w:val="00FF7DD5"/>
    <w:rsid w:val="026FDDB3"/>
    <w:rsid w:val="078F318D"/>
    <w:rsid w:val="0A158D94"/>
    <w:rsid w:val="0BB33C5F"/>
    <w:rsid w:val="0BEF3D81"/>
    <w:rsid w:val="0ED5EB45"/>
    <w:rsid w:val="1140B07A"/>
    <w:rsid w:val="129FD5AA"/>
    <w:rsid w:val="17B10257"/>
    <w:rsid w:val="188AB798"/>
    <w:rsid w:val="192E5383"/>
    <w:rsid w:val="1A0B25DC"/>
    <w:rsid w:val="1FD2FF50"/>
    <w:rsid w:val="201D5861"/>
    <w:rsid w:val="20946C8E"/>
    <w:rsid w:val="20C65E9D"/>
    <w:rsid w:val="21D90B81"/>
    <w:rsid w:val="26969552"/>
    <w:rsid w:val="275BD42A"/>
    <w:rsid w:val="2AE5DD6B"/>
    <w:rsid w:val="2C500840"/>
    <w:rsid w:val="2F64ADC0"/>
    <w:rsid w:val="323B9657"/>
    <w:rsid w:val="33C930C7"/>
    <w:rsid w:val="346279C3"/>
    <w:rsid w:val="35E66A79"/>
    <w:rsid w:val="3762A7B9"/>
    <w:rsid w:val="38287820"/>
    <w:rsid w:val="38580AE7"/>
    <w:rsid w:val="392CAC57"/>
    <w:rsid w:val="3CD836B3"/>
    <w:rsid w:val="3D90613A"/>
    <w:rsid w:val="3FA59AA2"/>
    <w:rsid w:val="3FA5EA17"/>
    <w:rsid w:val="4173B191"/>
    <w:rsid w:val="41BBEABD"/>
    <w:rsid w:val="427A17AB"/>
    <w:rsid w:val="48F9B74A"/>
    <w:rsid w:val="4B26B10E"/>
    <w:rsid w:val="4DC9A851"/>
    <w:rsid w:val="4F1211EE"/>
    <w:rsid w:val="4F69BFD5"/>
    <w:rsid w:val="4F7E4CF7"/>
    <w:rsid w:val="5044DCFB"/>
    <w:rsid w:val="544BB552"/>
    <w:rsid w:val="548F6C5C"/>
    <w:rsid w:val="5AB9E0D3"/>
    <w:rsid w:val="5BB87DE5"/>
    <w:rsid w:val="5D727CFD"/>
    <w:rsid w:val="5E60C625"/>
    <w:rsid w:val="5EF27E6B"/>
    <w:rsid w:val="5F48BCFC"/>
    <w:rsid w:val="6095C87A"/>
    <w:rsid w:val="613F8BD7"/>
    <w:rsid w:val="6208BF6C"/>
    <w:rsid w:val="62300E77"/>
    <w:rsid w:val="660E411A"/>
    <w:rsid w:val="665B4068"/>
    <w:rsid w:val="666EC9A8"/>
    <w:rsid w:val="68BFD8BE"/>
    <w:rsid w:val="6B24C245"/>
    <w:rsid w:val="6D9E1CD8"/>
    <w:rsid w:val="6E468FF9"/>
    <w:rsid w:val="6EE1DE83"/>
    <w:rsid w:val="6F923473"/>
    <w:rsid w:val="71BD1F64"/>
    <w:rsid w:val="7647CD58"/>
    <w:rsid w:val="7660B82A"/>
    <w:rsid w:val="79113AE9"/>
    <w:rsid w:val="7A752978"/>
    <w:rsid w:val="7B297E24"/>
    <w:rsid w:val="7C8987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BFE59"/>
  <w15:docId w15:val="{6792F51E-52E9-4309-922D-D9818CCE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35DD4"/>
    <w:pPr>
      <w:spacing w:after="120" w:line="280" w:lineRule="atLeast"/>
    </w:pPr>
    <w:rPr>
      <w:rFonts w:ascii="Arial" w:hAnsi="Arial"/>
      <w:sz w:val="21"/>
      <w:lang w:eastAsia="en-US"/>
    </w:rPr>
  </w:style>
  <w:style w:type="paragraph" w:styleId="Heading1">
    <w:name w:val="heading 1"/>
    <w:next w:val="Body"/>
    <w:link w:val="Heading1Char"/>
    <w:uiPriority w:val="1"/>
    <w:qFormat/>
    <w:rsid w:val="002B2AD8"/>
    <w:pPr>
      <w:keepNext/>
      <w:keepLines/>
      <w:pageBreakBefore/>
      <w:numPr>
        <w:numId w:val="8"/>
      </w:numPr>
      <w:spacing w:before="360" w:after="240" w:line="480" w:lineRule="atLeast"/>
      <w:ind w:left="1134" w:hanging="1134"/>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2B2AD8"/>
    <w:pPr>
      <w:keepNext/>
      <w:keepLines/>
      <w:numPr>
        <w:ilvl w:val="1"/>
        <w:numId w:val="8"/>
      </w:numPr>
      <w:spacing w:before="360" w:after="120" w:line="340" w:lineRule="atLeast"/>
      <w:ind w:left="1134" w:hanging="1134"/>
      <w:outlineLvl w:val="1"/>
    </w:pPr>
    <w:rPr>
      <w:rFonts w:ascii="Arial" w:hAnsi="Arial"/>
      <w:b/>
      <w:color w:val="53565A"/>
      <w:sz w:val="32"/>
      <w:szCs w:val="28"/>
      <w:lang w:eastAsia="en-US"/>
    </w:rPr>
  </w:style>
  <w:style w:type="paragraph" w:styleId="Heading3">
    <w:name w:val="heading 3"/>
    <w:next w:val="Body"/>
    <w:link w:val="Heading3Char"/>
    <w:uiPriority w:val="1"/>
    <w:qFormat/>
    <w:rsid w:val="00243043"/>
    <w:pPr>
      <w:keepNext/>
      <w:keepLines/>
      <w:numPr>
        <w:ilvl w:val="2"/>
        <w:numId w:val="8"/>
      </w:numPr>
      <w:spacing w:before="360" w:after="120" w:line="320" w:lineRule="atLeast"/>
      <w:ind w:left="1134" w:hanging="1134"/>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1D2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1D24BB"/>
    <w:pPr>
      <w:keepNext/>
      <w:keepLines/>
      <w:spacing w:before="240" w:after="0"/>
      <w:outlineLvl w:val="4"/>
    </w:pPr>
    <w:rPr>
      <w:rFonts w:eastAsia="MS Mincho"/>
      <w:b/>
      <w:bCs/>
      <w:iCs/>
      <w:color w:val="000000" w:themeColor="text1"/>
      <w:szCs w:val="26"/>
    </w:rPr>
  </w:style>
  <w:style w:type="paragraph" w:styleId="Heading6">
    <w:name w:val="heading 6"/>
    <w:next w:val="Normal"/>
    <w:link w:val="Heading6Char"/>
    <w:unhideWhenUsed/>
    <w:qFormat/>
    <w:rsid w:val="001D24BB"/>
    <w:pPr>
      <w:keepNext/>
      <w:keepLines/>
      <w:numPr>
        <w:ilvl w:val="5"/>
        <w:numId w:val="8"/>
      </w:numPr>
      <w:suppressAutoHyphens/>
      <w:spacing w:before="240" w:after="60"/>
      <w:outlineLvl w:val="5"/>
    </w:pPr>
    <w:rPr>
      <w:rFonts w:ascii="Arial" w:eastAsia="Meiryo" w:hAnsi="Arial" w:cs="Arial"/>
      <w:b/>
      <w:bCs/>
      <w:lang w:eastAsia="en-US"/>
    </w:rPr>
  </w:style>
  <w:style w:type="paragraph" w:styleId="Heading7">
    <w:name w:val="heading 7"/>
    <w:basedOn w:val="Normal"/>
    <w:next w:val="Normal"/>
    <w:link w:val="Heading7Char"/>
    <w:uiPriority w:val="98"/>
    <w:qFormat/>
    <w:rsid w:val="001D24BB"/>
    <w:pPr>
      <w:numPr>
        <w:ilvl w:val="6"/>
        <w:numId w:val="8"/>
      </w:numPr>
      <w:spacing w:before="240" w:after="60"/>
      <w:outlineLvl w:val="6"/>
    </w:pPr>
    <w:rPr>
      <w:rFonts w:ascii="Calibri" w:hAnsi="Calibri"/>
      <w:sz w:val="24"/>
      <w:szCs w:val="24"/>
    </w:rPr>
  </w:style>
  <w:style w:type="paragraph" w:styleId="Heading8">
    <w:name w:val="heading 8"/>
    <w:basedOn w:val="Normal"/>
    <w:next w:val="Normal"/>
    <w:link w:val="Heading8Char"/>
    <w:uiPriority w:val="98"/>
    <w:semiHidden/>
    <w:qFormat/>
    <w:rsid w:val="001D24BB"/>
    <w:pPr>
      <w:numPr>
        <w:ilvl w:val="7"/>
        <w:numId w:val="8"/>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8"/>
    <w:semiHidden/>
    <w:qFormat/>
    <w:rsid w:val="001D24BB"/>
    <w:pPr>
      <w:numPr>
        <w:ilvl w:val="8"/>
        <w:numId w:val="8"/>
      </w:num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B2AD8"/>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2B2AD8"/>
    <w:rPr>
      <w:rFonts w:ascii="Arial" w:hAnsi="Arial"/>
      <w:b/>
      <w:color w:val="53565A"/>
      <w:sz w:val="32"/>
      <w:szCs w:val="28"/>
      <w:lang w:eastAsia="en-US"/>
    </w:rPr>
  </w:style>
  <w:style w:type="character" w:customStyle="1" w:styleId="Heading3Char">
    <w:name w:val="Heading 3 Char"/>
    <w:link w:val="Heading3"/>
    <w:uiPriority w:val="1"/>
    <w:rsid w:val="00243043"/>
    <w:rPr>
      <w:rFonts w:ascii="Arial" w:eastAsia="MS Gothic" w:hAnsi="Arial"/>
      <w:bCs/>
      <w:color w:val="53565A"/>
      <w:sz w:val="30"/>
      <w:szCs w:val="26"/>
      <w:lang w:eastAsia="en-US"/>
    </w:rPr>
  </w:style>
  <w:style w:type="character" w:customStyle="1" w:styleId="Heading4Char">
    <w:name w:val="Heading 4 Char"/>
    <w:link w:val="Heading4"/>
    <w:uiPriority w:val="1"/>
    <w:rsid w:val="001D24BB"/>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A177AB"/>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1D24BB"/>
    <w:pPr>
      <w:keepNext/>
      <w:keepLines/>
      <w:tabs>
        <w:tab w:val="right" w:leader="dot" w:pos="9299"/>
      </w:tabs>
      <w:spacing w:before="160" w:after="60"/>
    </w:pPr>
    <w:rPr>
      <w:b/>
      <w:noProof/>
    </w:rPr>
  </w:style>
  <w:style w:type="character" w:customStyle="1" w:styleId="Heading5Char">
    <w:name w:val="Heading 5 Char"/>
    <w:link w:val="Heading5"/>
    <w:uiPriority w:val="98"/>
    <w:rsid w:val="001D24BB"/>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1D24BB"/>
    <w:pPr>
      <w:spacing w:before="0"/>
      <w:outlineLvl w:val="9"/>
    </w:pPr>
  </w:style>
  <w:style w:type="character" w:customStyle="1" w:styleId="TOCheadingreportChar">
    <w:name w:val="TOC heading report Char"/>
    <w:link w:val="TOCheadingreport"/>
    <w:uiPriority w:val="4"/>
    <w:rsid w:val="001D24BB"/>
    <w:rPr>
      <w:rFonts w:ascii="Arial" w:eastAsia="MS Gothic" w:hAnsi="Arial" w:cs="Arial"/>
      <w:bCs/>
      <w:color w:val="201547"/>
      <w:kern w:val="32"/>
      <w:sz w:val="40"/>
      <w:szCs w:val="40"/>
      <w:lang w:eastAsia="en-US"/>
    </w:rPr>
  </w:style>
  <w:style w:type="paragraph" w:styleId="TOC2">
    <w:name w:val="toc 2"/>
    <w:basedOn w:val="Normal"/>
    <w:next w:val="Normal"/>
    <w:uiPriority w:val="39"/>
    <w:rsid w:val="001D24BB"/>
    <w:pPr>
      <w:keepLines/>
      <w:tabs>
        <w:tab w:val="right" w:leader="dot" w:pos="9299"/>
      </w:tabs>
      <w:spacing w:after="60"/>
    </w:pPr>
    <w:rPr>
      <w:noProof/>
    </w:rPr>
  </w:style>
  <w:style w:type="paragraph" w:styleId="TOC3">
    <w:name w:val="toc 3"/>
    <w:basedOn w:val="Normal"/>
    <w:next w:val="Normal"/>
    <w:uiPriority w:val="39"/>
    <w:rsid w:val="001D24BB"/>
    <w:pPr>
      <w:keepLines/>
      <w:tabs>
        <w:tab w:val="right" w:leader="dot" w:pos="9299"/>
      </w:tabs>
      <w:spacing w:after="60"/>
      <w:ind w:left="284"/>
    </w:pPr>
    <w:rPr>
      <w:rFonts w:cs="Arial"/>
    </w:rPr>
  </w:style>
  <w:style w:type="paragraph" w:styleId="TOC4">
    <w:name w:val="toc 4"/>
    <w:basedOn w:val="TOC3"/>
    <w:uiPriority w:val="39"/>
    <w:rsid w:val="001D24BB"/>
    <w:pPr>
      <w:ind w:left="567"/>
    </w:pPr>
  </w:style>
  <w:style w:type="paragraph" w:styleId="TOC5">
    <w:name w:val="toc 5"/>
    <w:basedOn w:val="TOC4"/>
    <w:uiPriority w:val="39"/>
    <w:rsid w:val="001D24BB"/>
    <w:pPr>
      <w:ind w:left="851"/>
    </w:pPr>
  </w:style>
  <w:style w:type="paragraph" w:styleId="TOC6">
    <w:name w:val="toc 6"/>
    <w:basedOn w:val="Normal"/>
    <w:next w:val="Normal"/>
    <w:autoRedefine/>
    <w:uiPriority w:val="39"/>
    <w:rsid w:val="001D24BB"/>
    <w:pPr>
      <w:ind w:left="1000"/>
    </w:pPr>
  </w:style>
  <w:style w:type="paragraph" w:styleId="TOC7">
    <w:name w:val="toc 7"/>
    <w:basedOn w:val="Normal"/>
    <w:next w:val="Normal"/>
    <w:autoRedefine/>
    <w:uiPriority w:val="39"/>
    <w:rsid w:val="001D24BB"/>
    <w:pPr>
      <w:ind w:left="1200"/>
    </w:pPr>
  </w:style>
  <w:style w:type="paragraph" w:styleId="TOC8">
    <w:name w:val="toc 8"/>
    <w:basedOn w:val="Normal"/>
    <w:next w:val="Normal"/>
    <w:autoRedefine/>
    <w:uiPriority w:val="39"/>
    <w:rsid w:val="001D24BB"/>
    <w:pPr>
      <w:ind w:left="1400"/>
    </w:pPr>
  </w:style>
  <w:style w:type="paragraph" w:styleId="TOC9">
    <w:name w:val="toc 9"/>
    <w:basedOn w:val="Normal"/>
    <w:next w:val="Normal"/>
    <w:autoRedefine/>
    <w:uiPriority w:val="39"/>
    <w:rsid w:val="001D24BB"/>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5E3C7D"/>
    <w:pPr>
      <w:spacing w:before="80" w:after="60"/>
    </w:pPr>
    <w:rPr>
      <w:rFonts w:ascii="Arial" w:hAnsi="Arial"/>
      <w:sz w:val="18"/>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A177AB"/>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tabs>
        <w:tab w:val="num" w:pos="227"/>
      </w:tabs>
      <w:ind w:left="96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ind w:left="227" w:hanging="227"/>
    </w:pPr>
  </w:style>
  <w:style w:type="numbering" w:customStyle="1" w:styleId="ZZTablebullets">
    <w:name w:val="ZZ Table bullets"/>
    <w:basedOn w:val="NoList"/>
    <w:rsid w:val="00C60411"/>
    <w:pPr>
      <w:numPr>
        <w:numId w:val="3"/>
      </w:numPr>
    </w:pPr>
  </w:style>
  <w:style w:type="paragraph" w:customStyle="1" w:styleId="Tablecolhead">
    <w:name w:val="Table col head"/>
    <w:autoRedefine/>
    <w:uiPriority w:val="3"/>
    <w:qFormat/>
    <w:rsid w:val="00785A21"/>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0"/>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0"/>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numPr>
        <w:ilvl w:val="1"/>
        <w:numId w:val="10"/>
      </w:numPr>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tabs>
        <w:tab w:val="clear" w:pos="794"/>
      </w:tabs>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0"/>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link w:val="Heading6"/>
    <w:rsid w:val="001D24BB"/>
    <w:rPr>
      <w:rFonts w:ascii="Arial" w:eastAsia="Meiryo" w:hAnsi="Arial" w:cs="Arial"/>
      <w:b/>
      <w:bCs/>
      <w:lang w:eastAsia="en-US"/>
    </w:rPr>
  </w:style>
  <w:style w:type="character" w:customStyle="1" w:styleId="Heading7Char">
    <w:name w:val="Heading 7 Char"/>
    <w:link w:val="Heading7"/>
    <w:uiPriority w:val="98"/>
    <w:rsid w:val="001D24BB"/>
    <w:rPr>
      <w:rFonts w:ascii="Calibri" w:hAnsi="Calibri"/>
      <w:sz w:val="24"/>
      <w:szCs w:val="24"/>
      <w:lang w:eastAsia="en-US"/>
    </w:rPr>
  </w:style>
  <w:style w:type="character" w:customStyle="1" w:styleId="Heading8Char">
    <w:name w:val="Heading 8 Char"/>
    <w:link w:val="Heading8"/>
    <w:uiPriority w:val="98"/>
    <w:semiHidden/>
    <w:rsid w:val="001D24BB"/>
    <w:rPr>
      <w:rFonts w:ascii="Calibri" w:hAnsi="Calibri"/>
      <w:i/>
      <w:iCs/>
      <w:sz w:val="24"/>
      <w:szCs w:val="24"/>
      <w:lang w:eastAsia="en-US"/>
    </w:rPr>
  </w:style>
  <w:style w:type="character" w:customStyle="1" w:styleId="Heading9Char">
    <w:name w:val="Heading 9 Char"/>
    <w:link w:val="Heading9"/>
    <w:uiPriority w:val="98"/>
    <w:semiHidden/>
    <w:rsid w:val="001D24BB"/>
    <w:rPr>
      <w:rFonts w:ascii="Arial" w:hAnsi="Arial"/>
      <w:sz w:val="22"/>
      <w:szCs w:val="22"/>
      <w:lang w:eastAsia="en-US"/>
    </w:rPr>
  </w:style>
  <w:style w:type="paragraph" w:styleId="Caption">
    <w:name w:val="caption"/>
    <w:basedOn w:val="Normal"/>
    <w:next w:val="Normal"/>
    <w:uiPriority w:val="5"/>
    <w:unhideWhenUsed/>
    <w:qFormat/>
    <w:rsid w:val="00B80D42"/>
    <w:pPr>
      <w:spacing w:after="200" w:line="240" w:lineRule="auto"/>
    </w:pPr>
    <w:rPr>
      <w:i/>
      <w:iCs/>
      <w:color w:val="1F497D" w:themeColor="text2"/>
      <w:sz w:val="18"/>
      <w:szCs w:val="18"/>
    </w:rPr>
  </w:style>
  <w:style w:type="character" w:styleId="Emphasis">
    <w:name w:val="Emphasis"/>
    <w:uiPriority w:val="20"/>
    <w:qFormat/>
    <w:rsid w:val="00B80D42"/>
    <w:rPr>
      <w:i/>
      <w:iCs/>
    </w:rPr>
  </w:style>
  <w:style w:type="paragraph" w:styleId="TableofFigures">
    <w:name w:val="table of figures"/>
    <w:basedOn w:val="Body"/>
    <w:next w:val="Normal"/>
    <w:link w:val="TableofFiguresChar"/>
    <w:uiPriority w:val="99"/>
    <w:qFormat/>
    <w:rsid w:val="005E3C7D"/>
    <w:rPr>
      <w:szCs w:val="18"/>
    </w:rPr>
  </w:style>
  <w:style w:type="character" w:customStyle="1" w:styleId="TableofFiguresChar">
    <w:name w:val="Table of Figures Char"/>
    <w:link w:val="TableofFigures"/>
    <w:uiPriority w:val="99"/>
    <w:rsid w:val="005E3C7D"/>
    <w:rPr>
      <w:rFonts w:ascii="Arial" w:eastAsia="Times" w:hAnsi="Arial"/>
      <w:sz w:val="21"/>
      <w:szCs w:val="18"/>
      <w:lang w:eastAsia="en-US"/>
    </w:rPr>
  </w:style>
  <w:style w:type="character" w:customStyle="1" w:styleId="HeaderChar">
    <w:name w:val="Header Char"/>
    <w:link w:val="Header"/>
    <w:uiPriority w:val="10"/>
    <w:locked/>
    <w:rsid w:val="00B80D42"/>
    <w:rPr>
      <w:rFonts w:ascii="Arial" w:hAnsi="Arial" w:cs="Arial"/>
      <w:b/>
      <w:color w:val="53565A"/>
      <w:sz w:val="18"/>
      <w:szCs w:val="18"/>
      <w:lang w:eastAsia="en-US"/>
    </w:rPr>
  </w:style>
  <w:style w:type="character" w:customStyle="1" w:styleId="FooterChar">
    <w:name w:val="Footer Char"/>
    <w:link w:val="Footer"/>
    <w:uiPriority w:val="99"/>
    <w:locked/>
    <w:rsid w:val="00B80D42"/>
    <w:rPr>
      <w:rFonts w:ascii="Arial" w:hAnsi="Arial" w:cs="Arial"/>
      <w:szCs w:val="18"/>
      <w:lang w:eastAsia="en-US"/>
    </w:rPr>
  </w:style>
  <w:style w:type="paragraph" w:customStyle="1" w:styleId="ColorfulShading-Accent11">
    <w:name w:val="Colorful Shading - Accent 11"/>
    <w:hidden/>
    <w:uiPriority w:val="99"/>
    <w:rsid w:val="00B80D42"/>
    <w:rPr>
      <w:rFonts w:ascii="Cambria" w:hAnsi="Cambria"/>
      <w:lang w:eastAsia="en-US"/>
    </w:rPr>
  </w:style>
  <w:style w:type="paragraph" w:customStyle="1" w:styleId="LightList-Accent31">
    <w:name w:val="Light List - Accent 31"/>
    <w:hidden/>
    <w:uiPriority w:val="99"/>
    <w:semiHidden/>
    <w:rsid w:val="00B80D42"/>
    <w:rPr>
      <w:rFonts w:ascii="Cambria" w:hAnsi="Cambria"/>
      <w:lang w:eastAsia="en-US"/>
    </w:rPr>
  </w:style>
  <w:style w:type="paragraph" w:customStyle="1" w:styleId="ColorfulGrid-Accent61">
    <w:name w:val="Colorful Grid - Accent 61"/>
    <w:hidden/>
    <w:uiPriority w:val="99"/>
    <w:rsid w:val="00B80D42"/>
    <w:rPr>
      <w:rFonts w:ascii="Verdana" w:hAnsi="Verdana"/>
      <w:lang w:eastAsia="en-US"/>
    </w:rPr>
  </w:style>
  <w:style w:type="table" w:styleId="TableSimple1">
    <w:name w:val="Table Simple 1"/>
    <w:basedOn w:val="TableNormal"/>
    <w:uiPriority w:val="99"/>
    <w:rsid w:val="00B80D42"/>
    <w:pPr>
      <w:autoSpaceDE w:val="0"/>
      <w:autoSpaceDN w:val="0"/>
      <w:adjustRightInd w:val="0"/>
    </w:pPr>
    <w:rPr>
      <w:rFonts w:ascii="Calibri" w:hAnsi="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80D42"/>
    <w:pPr>
      <w:autoSpaceDE w:val="0"/>
      <w:autoSpaceDN w:val="0"/>
      <w:adjustRightInd w:val="0"/>
    </w:pPr>
    <w:rPr>
      <w:rFonts w:ascii="Calibri" w:hAnsi="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80D42"/>
    <w:pPr>
      <w:autoSpaceDE w:val="0"/>
      <w:autoSpaceDN w:val="0"/>
      <w:adjustRightInd w:val="0"/>
    </w:pPr>
    <w:rPr>
      <w:rFonts w:ascii="Calibri" w:hAnsi="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80D42"/>
    <w:pPr>
      <w:autoSpaceDE w:val="0"/>
      <w:autoSpaceDN w:val="0"/>
      <w:adjustRightInd w:val="0"/>
    </w:pPr>
    <w:rPr>
      <w:rFonts w:ascii="Calibri" w:hAnsi="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B80D42"/>
    <w:pPr>
      <w:autoSpaceDE w:val="0"/>
      <w:autoSpaceDN w:val="0"/>
      <w:adjustRightInd w:val="0"/>
    </w:pPr>
    <w:rPr>
      <w:rFonts w:ascii="Calibri" w:hAnsi="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MediumList2-Accent21">
    <w:name w:val="Medium List 2 - Accent 21"/>
    <w:hidden/>
    <w:uiPriority w:val="99"/>
    <w:rsid w:val="00B80D42"/>
    <w:rPr>
      <w:rFonts w:ascii="Cambria" w:hAnsi="Cambria"/>
      <w:lang w:eastAsia="en-US"/>
    </w:rPr>
  </w:style>
  <w:style w:type="paragraph" w:customStyle="1" w:styleId="ColorfulGrid-Accent62">
    <w:name w:val="Colorful Grid - Accent 62"/>
    <w:hidden/>
    <w:uiPriority w:val="99"/>
    <w:rsid w:val="00B80D42"/>
    <w:rPr>
      <w:rFonts w:ascii="Verdana" w:hAnsi="Verdana"/>
      <w:lang w:eastAsia="en-US"/>
    </w:rPr>
  </w:style>
  <w:style w:type="paragraph" w:customStyle="1" w:styleId="ColorfulShading-Accent110">
    <w:name w:val="Colorful Shading - Accent 110"/>
    <w:hidden/>
    <w:uiPriority w:val="99"/>
    <w:semiHidden/>
    <w:rsid w:val="00B80D42"/>
    <w:rPr>
      <w:rFonts w:ascii="Cambria" w:hAnsi="Cambria"/>
      <w:lang w:eastAsia="en-US"/>
    </w:rPr>
  </w:style>
  <w:style w:type="paragraph" w:customStyle="1" w:styleId="ColorfulShading-Accent12">
    <w:name w:val="Colorful Shading - Accent 12"/>
    <w:hidden/>
    <w:uiPriority w:val="71"/>
    <w:rsid w:val="00B80D42"/>
    <w:rPr>
      <w:rFonts w:ascii="Cambria" w:hAnsi="Cambria"/>
      <w:lang w:eastAsia="en-US"/>
    </w:rPr>
  </w:style>
  <w:style w:type="paragraph" w:customStyle="1" w:styleId="ColorfulShading-Accent111">
    <w:name w:val="Colorful Shading - Accent 111"/>
    <w:hidden/>
    <w:uiPriority w:val="99"/>
    <w:rsid w:val="00B80D42"/>
    <w:rPr>
      <w:rFonts w:ascii="Cambria" w:hAnsi="Cambria"/>
      <w:lang w:eastAsia="en-US"/>
    </w:rPr>
  </w:style>
  <w:style w:type="paragraph" w:customStyle="1" w:styleId="Heading2nonumber">
    <w:name w:val="Heading 2 no number"/>
    <w:next w:val="Normal"/>
    <w:rsid w:val="001D24BB"/>
    <w:pPr>
      <w:keepNext/>
      <w:keepLines/>
      <w:suppressAutoHyphens/>
      <w:spacing w:before="240" w:after="90" w:line="320" w:lineRule="atLeast"/>
      <w:outlineLvl w:val="1"/>
    </w:pPr>
    <w:rPr>
      <w:rFonts w:ascii="Arial" w:hAnsi="Arial" w:cs="Arial"/>
      <w:b/>
      <w:color w:val="201547"/>
      <w:sz w:val="28"/>
      <w:szCs w:val="28"/>
      <w:lang w:eastAsia="en-US"/>
    </w:rPr>
  </w:style>
  <w:style w:type="paragraph" w:customStyle="1" w:styleId="Heading3nonumber">
    <w:name w:val="Heading 3 no number"/>
    <w:rsid w:val="001D24BB"/>
    <w:pPr>
      <w:keepNext/>
      <w:keepLines/>
      <w:spacing w:before="240" w:after="120"/>
      <w:outlineLvl w:val="2"/>
    </w:pPr>
    <w:rPr>
      <w:rFonts w:ascii="Arial" w:eastAsia="MS Mincho" w:hAnsi="Arial" w:cs="Arial"/>
      <w:b/>
      <w:bCs/>
      <w:color w:val="201547"/>
      <w:sz w:val="22"/>
      <w:lang w:eastAsia="en-US"/>
    </w:rPr>
  </w:style>
  <w:style w:type="paragraph" w:customStyle="1" w:styleId="Heading1partopener">
    <w:name w:val="Heading 1 part opener"/>
    <w:basedOn w:val="Normal"/>
    <w:rsid w:val="001D24BB"/>
    <w:pPr>
      <w:keepNext/>
      <w:keepLines/>
      <w:pageBreakBefore/>
      <w:suppressAutoHyphens/>
      <w:spacing w:before="4500" w:after="440" w:line="440" w:lineRule="atLeast"/>
      <w:ind w:left="1701"/>
      <w:outlineLvl w:val="0"/>
    </w:pPr>
    <w:rPr>
      <w:bCs/>
      <w:color w:val="201547"/>
      <w:sz w:val="44"/>
      <w:szCs w:val="44"/>
    </w:rPr>
  </w:style>
  <w:style w:type="paragraph" w:styleId="TOCHeading">
    <w:name w:val="TOC Heading"/>
    <w:basedOn w:val="Heading1"/>
    <w:next w:val="Normal"/>
    <w:uiPriority w:val="39"/>
    <w:unhideWhenUsed/>
    <w:qFormat/>
    <w:rsid w:val="00B80D42"/>
    <w:pPr>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paragraph" w:customStyle="1" w:styleId="TableParagraph">
    <w:name w:val="Table Paragraph"/>
    <w:basedOn w:val="Normal"/>
    <w:uiPriority w:val="1"/>
    <w:qFormat/>
    <w:rsid w:val="00B80D42"/>
    <w:pPr>
      <w:widowControl w:val="0"/>
      <w:autoSpaceDE w:val="0"/>
      <w:autoSpaceDN w:val="0"/>
      <w:spacing w:before="99"/>
    </w:pPr>
    <w:rPr>
      <w:rFonts w:ascii="Calibri" w:eastAsia="Calibri" w:hAnsi="Calibri" w:cs="Calibri"/>
      <w:sz w:val="22"/>
      <w:szCs w:val="22"/>
    </w:rPr>
  </w:style>
  <w:style w:type="numbering" w:customStyle="1" w:styleId="Heading31">
    <w:name w:val="Heading 31"/>
    <w:uiPriority w:val="99"/>
    <w:rsid w:val="001D24BB"/>
    <w:pPr>
      <w:numPr>
        <w:numId w:val="7"/>
      </w:numPr>
    </w:pPr>
  </w:style>
  <w:style w:type="character" w:customStyle="1" w:styleId="DHHSbodyChar">
    <w:name w:val="DHHS body Char"/>
    <w:basedOn w:val="DefaultParagraphFont"/>
    <w:link w:val="DHHSbody"/>
    <w:locked/>
    <w:rsid w:val="00E623A6"/>
    <w:rPr>
      <w:rFonts w:ascii="Arial" w:hAnsi="Arial" w:cs="Arial"/>
    </w:rPr>
  </w:style>
  <w:style w:type="paragraph" w:customStyle="1" w:styleId="DHHSbody">
    <w:name w:val="DHHS body"/>
    <w:basedOn w:val="Normal"/>
    <w:link w:val="DHHSbodyChar"/>
    <w:rsid w:val="00E623A6"/>
    <w:pPr>
      <w:spacing w:line="270" w:lineRule="atLeast"/>
    </w:pPr>
    <w:rPr>
      <w:rFonts w:cs="Arial"/>
      <w:sz w:val="20"/>
      <w:lang w:eastAsia="en-AU"/>
    </w:rPr>
  </w:style>
  <w:style w:type="character" w:styleId="Mention">
    <w:name w:val="Mention"/>
    <w:basedOn w:val="DefaultParagraphFont"/>
    <w:uiPriority w:val="99"/>
    <w:unhideWhenUsed/>
    <w:rsid w:val="0079364E"/>
    <w:rPr>
      <w:color w:val="2B579A"/>
      <w:shd w:val="clear" w:color="auto" w:fill="E1DFDD"/>
    </w:rPr>
  </w:style>
  <w:style w:type="paragraph" w:customStyle="1" w:styleId="Default">
    <w:name w:val="Default"/>
    <w:basedOn w:val="Normal"/>
    <w:rsid w:val="0086340A"/>
    <w:pPr>
      <w:autoSpaceDE w:val="0"/>
      <w:autoSpaceDN w:val="0"/>
      <w:spacing w:after="0" w:line="240" w:lineRule="auto"/>
    </w:pPr>
    <w:rPr>
      <w:rFonts w:eastAsiaTheme="minorHAnsi" w:cs="Arial"/>
      <w:color w:val="000000"/>
      <w:sz w:val="24"/>
      <w:szCs w:val="24"/>
      <w:lang w:eastAsia="en-AU"/>
    </w:rPr>
  </w:style>
  <w:style w:type="character" w:styleId="FootnoteReference">
    <w:name w:val="footnote reference"/>
    <w:uiPriority w:val="99"/>
    <w:rsid w:val="000F5D9A"/>
    <w:rPr>
      <w:vertAlign w:val="superscript"/>
    </w:rPr>
  </w:style>
  <w:style w:type="paragraph" w:styleId="ListParagraph">
    <w:name w:val="List Paragraph"/>
    <w:basedOn w:val="Normal"/>
    <w:link w:val="ListParagraphChar"/>
    <w:uiPriority w:val="34"/>
    <w:qFormat/>
    <w:rsid w:val="006C5A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BodyText">
    <w:name w:val="Body Text"/>
    <w:basedOn w:val="Normal"/>
    <w:link w:val="BodyTextChar"/>
    <w:qFormat/>
    <w:rsid w:val="006F273F"/>
    <w:pPr>
      <w:widowControl w:val="0"/>
      <w:autoSpaceDE w:val="0"/>
      <w:autoSpaceDN w:val="0"/>
      <w:spacing w:before="120"/>
    </w:pPr>
    <w:rPr>
      <w:rFonts w:eastAsia="Arial" w:cs="Arial"/>
      <w:sz w:val="22"/>
      <w:szCs w:val="22"/>
      <w:lang w:val="en-US"/>
    </w:rPr>
  </w:style>
  <w:style w:type="character" w:customStyle="1" w:styleId="BodyTextChar">
    <w:name w:val="Body Text Char"/>
    <w:basedOn w:val="DefaultParagraphFont"/>
    <w:link w:val="BodyText"/>
    <w:rsid w:val="006F273F"/>
    <w:rPr>
      <w:rFonts w:ascii="Arial" w:eastAsia="Arial" w:hAnsi="Arial" w:cs="Arial"/>
      <w:sz w:val="22"/>
      <w:szCs w:val="22"/>
      <w:lang w:val="en-US" w:eastAsia="en-US"/>
    </w:rPr>
  </w:style>
  <w:style w:type="paragraph" w:customStyle="1" w:styleId="paragraph">
    <w:name w:val="paragraph"/>
    <w:basedOn w:val="Normal"/>
    <w:rsid w:val="00606C72"/>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606C72"/>
  </w:style>
  <w:style w:type="paragraph" w:customStyle="1" w:styleId="Tablecolheadlandscape">
    <w:name w:val="Table col head landscape"/>
    <w:basedOn w:val="Tablecolhead"/>
    <w:uiPriority w:val="11"/>
    <w:rsid w:val="003D1F96"/>
    <w:rPr>
      <w:sz w:val="16"/>
      <w:szCs w:val="16"/>
    </w:rPr>
  </w:style>
  <w:style w:type="table" w:customStyle="1" w:styleId="TableGrid1">
    <w:name w:val="Table Grid1"/>
    <w:basedOn w:val="TableNormal"/>
    <w:next w:val="TableGrid"/>
    <w:uiPriority w:val="59"/>
    <w:rsid w:val="003D1F96"/>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paragraph" w:customStyle="1" w:styleId="DHHSbullet2">
    <w:name w:val="DHHS bullet 2"/>
    <w:basedOn w:val="Normal"/>
    <w:uiPriority w:val="99"/>
    <w:qFormat/>
    <w:rsid w:val="003D1F96"/>
    <w:pPr>
      <w:spacing w:after="40"/>
    </w:pPr>
    <w:rPr>
      <w:rFonts w:eastAsia="Times"/>
    </w:rPr>
  </w:style>
  <w:style w:type="paragraph" w:customStyle="1" w:styleId="Tabletext9pt">
    <w:name w:val="Table text 9pt"/>
    <w:uiPriority w:val="3"/>
    <w:qFormat/>
    <w:rsid w:val="00B1687E"/>
    <w:pPr>
      <w:spacing w:before="80" w:after="60"/>
    </w:pPr>
    <w:rPr>
      <w:rFonts w:ascii="Arial" w:hAnsi="Arial"/>
      <w:sz w:val="18"/>
      <w:lang w:eastAsia="en-US"/>
    </w:rPr>
  </w:style>
  <w:style w:type="table" w:styleId="ListTable3-Accent1">
    <w:name w:val="List Table 3 Accent 1"/>
    <w:basedOn w:val="TableNormal"/>
    <w:uiPriority w:val="48"/>
    <w:rsid w:val="004815E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6Colorful-Accent1">
    <w:name w:val="List Table 6 Colorful Accent 1"/>
    <w:basedOn w:val="TableNormal"/>
    <w:uiPriority w:val="51"/>
    <w:rsid w:val="00366C0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C048AB"/>
    <w:pPr>
      <w:spacing w:before="80" w:after="60"/>
    </w:pPr>
    <w:rPr>
      <w:rFonts w:ascii="Arial" w:hAnsi="Arial"/>
      <w:sz w:val="18"/>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Tablecolhead12ptBackground1">
    <w:name w:val="Style Table col head + 12 pt Background 1"/>
    <w:basedOn w:val="Tablecolhead"/>
    <w:autoRedefine/>
    <w:rsid w:val="00C7131E"/>
    <w:rPr>
      <w:bCs/>
      <w:color w:val="FFFFFF" w:themeColor="background1"/>
      <w:sz w:val="24"/>
    </w:rPr>
  </w:style>
  <w:style w:type="paragraph" w:customStyle="1" w:styleId="StyleTablecolhead10ptBackground1">
    <w:name w:val="Style Table col head + 10 pt Background 1"/>
    <w:basedOn w:val="Tablecolhead"/>
    <w:autoRedefine/>
    <w:rsid w:val="00A27F1C"/>
    <w:rPr>
      <w:bCs/>
      <w:color w:val="FFFFFF" w:themeColor="background1"/>
      <w:sz w:val="20"/>
    </w:rPr>
  </w:style>
  <w:style w:type="paragraph" w:styleId="NormalWeb">
    <w:name w:val="Normal (Web)"/>
    <w:basedOn w:val="Normal"/>
    <w:uiPriority w:val="99"/>
    <w:semiHidden/>
    <w:unhideWhenUsed/>
    <w:rsid w:val="00817104"/>
    <w:rPr>
      <w:rFonts w:ascii="Times New Roman" w:hAnsi="Times New Roman"/>
      <w:sz w:val="24"/>
      <w:szCs w:val="24"/>
    </w:rPr>
  </w:style>
  <w:style w:type="character" w:customStyle="1" w:styleId="msoins0">
    <w:name w:val="msoins"/>
    <w:basedOn w:val="DefaultParagraphFont"/>
    <w:rsid w:val="00817104"/>
  </w:style>
  <w:style w:type="table" w:styleId="GridTable4">
    <w:name w:val="Grid Table 4"/>
    <w:basedOn w:val="TableNormal"/>
    <w:uiPriority w:val="49"/>
    <w:rsid w:val="008171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op">
    <w:name w:val="eop"/>
    <w:basedOn w:val="DefaultParagraphFont"/>
    <w:rsid w:val="00817104"/>
  </w:style>
  <w:style w:type="table" w:styleId="GridTable4-Accent5">
    <w:name w:val="Grid Table 4 Accent 5"/>
    <w:basedOn w:val="TableNormal"/>
    <w:uiPriority w:val="49"/>
    <w:rsid w:val="007A517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ZZTablebullets105pt">
    <w:name w:val="ZZ Table bullets 10.5pt"/>
    <w:basedOn w:val="NoList"/>
    <w:rsid w:val="005B5CB9"/>
    <w:pPr>
      <w:numPr>
        <w:numId w:val="18"/>
      </w:numPr>
    </w:pPr>
  </w:style>
  <w:style w:type="paragraph" w:customStyle="1" w:styleId="Tablefigurenote9pt">
    <w:name w:val="Table/figure note 9pt"/>
    <w:uiPriority w:val="4"/>
    <w:rsid w:val="005B5CB9"/>
    <w:pPr>
      <w:spacing w:before="60" w:after="60" w:line="240" w:lineRule="exact"/>
    </w:pPr>
    <w:rPr>
      <w:rFonts w:ascii="Arial" w:hAnsi="Arial"/>
      <w:sz w:val="18"/>
      <w:lang w:eastAsia="en-US"/>
    </w:rPr>
  </w:style>
  <w:style w:type="paragraph" w:customStyle="1" w:styleId="Acronym">
    <w:name w:val="Acronym"/>
    <w:basedOn w:val="Normal"/>
    <w:uiPriority w:val="8"/>
    <w:rsid w:val="005B5CB9"/>
    <w:pPr>
      <w:tabs>
        <w:tab w:val="left" w:pos="1418"/>
      </w:tabs>
      <w:spacing w:after="60" w:line="270" w:lineRule="atLeast"/>
    </w:pPr>
    <w:rPr>
      <w:rFonts w:eastAsia="Times"/>
      <w:sz w:val="20"/>
    </w:rPr>
  </w:style>
  <w:style w:type="paragraph" w:customStyle="1" w:styleId="Tablecolhead9pt">
    <w:name w:val="Table col head 9pt"/>
    <w:uiPriority w:val="99"/>
    <w:qFormat/>
    <w:rsid w:val="005B5CB9"/>
    <w:pPr>
      <w:spacing w:before="80" w:after="60"/>
    </w:pPr>
    <w:rPr>
      <w:rFonts w:ascii="Arial" w:hAnsi="Arial"/>
      <w:b/>
      <w:color w:val="FFFFFF"/>
      <w:sz w:val="18"/>
      <w:lang w:eastAsia="en-US"/>
    </w:rPr>
  </w:style>
  <w:style w:type="paragraph" w:customStyle="1" w:styleId="Tablebullet9pt">
    <w:name w:val="Table bullet 9pt"/>
    <w:basedOn w:val="Tabletext9pt"/>
    <w:uiPriority w:val="3"/>
    <w:qFormat/>
    <w:rsid w:val="005B5CB9"/>
    <w:pPr>
      <w:numPr>
        <w:numId w:val="16"/>
      </w:numPr>
      <w:ind w:left="0" w:firstLine="0"/>
    </w:pPr>
    <w:rPr>
      <w:rFonts w:eastAsiaTheme="minorHAnsi" w:cstheme="minorBidi"/>
      <w:bCs/>
      <w:color w:val="000000" w:themeColor="text1"/>
      <w:szCs w:val="15"/>
      <w:lang w:eastAsia="en-AU"/>
      <w14:ligatures w14:val="standardContextual"/>
    </w:rPr>
  </w:style>
  <w:style w:type="character" w:customStyle="1" w:styleId="ListParagraphChar">
    <w:name w:val="List Paragraph Char"/>
    <w:link w:val="ListParagraph"/>
    <w:uiPriority w:val="34"/>
    <w:qFormat/>
    <w:locked/>
    <w:rsid w:val="005B5CB9"/>
    <w:rPr>
      <w:rFonts w:asciiTheme="minorHAnsi" w:eastAsiaTheme="minorHAnsi" w:hAnsiTheme="minorHAnsi" w:cstheme="minorBidi"/>
      <w:kern w:val="2"/>
      <w:sz w:val="22"/>
      <w:szCs w:val="22"/>
      <w:lang w:eastAsia="en-US"/>
      <w14:ligatures w14:val="standardContextual"/>
    </w:rPr>
  </w:style>
  <w:style w:type="character" w:customStyle="1" w:styleId="Hyperlinkitalic">
    <w:name w:val="Hyperlink italic"/>
    <w:basedOn w:val="Hyperlink"/>
    <w:uiPriority w:val="1"/>
    <w:rsid w:val="005B5CB9"/>
    <w:rPr>
      <w:rFonts w:eastAsia="Times"/>
      <w:color w:val="auto"/>
      <w:sz w:val="21"/>
      <w:szCs w:val="21"/>
      <w:u w:val="dotted"/>
    </w:rPr>
  </w:style>
  <w:style w:type="paragraph" w:customStyle="1" w:styleId="Superscript">
    <w:name w:val="Superscript"/>
    <w:basedOn w:val="Normal"/>
    <w:link w:val="SuperscriptChar"/>
    <w:autoRedefine/>
    <w:uiPriority w:val="99"/>
    <w:semiHidden/>
    <w:rsid w:val="005B5CB9"/>
    <w:pPr>
      <w:spacing w:after="200" w:line="276" w:lineRule="auto"/>
      <w:ind w:left="-91"/>
    </w:pPr>
    <w:rPr>
      <w:rFonts w:ascii="CorporateSBQ-Regular" w:hAnsi="CorporateSBQ-Regular"/>
      <w:bCs/>
      <w:sz w:val="20"/>
      <w:szCs w:val="17"/>
      <w:vertAlign w:val="superscript"/>
      <w:lang w:val="en-US"/>
    </w:rPr>
  </w:style>
  <w:style w:type="character" w:customStyle="1" w:styleId="SuperscriptChar">
    <w:name w:val="Superscript Char"/>
    <w:link w:val="Superscript"/>
    <w:uiPriority w:val="99"/>
    <w:semiHidden/>
    <w:locked/>
    <w:rsid w:val="005B5CB9"/>
    <w:rPr>
      <w:rFonts w:ascii="CorporateSBQ-Regular" w:hAnsi="CorporateSBQ-Regular"/>
      <w:bCs/>
      <w:szCs w:val="17"/>
      <w:vertAlign w:val="superscript"/>
      <w:lang w:val="en-US" w:eastAsia="en-US"/>
    </w:rPr>
  </w:style>
  <w:style w:type="table" w:styleId="TableTheme">
    <w:name w:val="Table Theme"/>
    <w:basedOn w:val="TableNormal"/>
    <w:uiPriority w:val="99"/>
    <w:rsid w:val="005B5CB9"/>
    <w:pPr>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5B5CB9"/>
    <w:pPr>
      <w:autoSpaceDE w:val="0"/>
      <w:autoSpaceDN w:val="0"/>
      <w:adjustRightInd w:val="0"/>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5B5CB9"/>
    <w:pPr>
      <w:autoSpaceDE w:val="0"/>
      <w:autoSpaceDN w:val="0"/>
      <w:adjustRightInd w:val="0"/>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5B5CB9"/>
    <w:pPr>
      <w:autoSpaceDE w:val="0"/>
      <w:autoSpaceDN w:val="0"/>
      <w:adjustRightInd w:val="0"/>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text8pt">
    <w:name w:val="Table text 8pt"/>
    <w:basedOn w:val="Tablecolhead8pt"/>
    <w:qFormat/>
    <w:rsid w:val="005B5CB9"/>
    <w:rPr>
      <w:b w:val="0"/>
      <w:color w:val="000000" w:themeColor="text1"/>
      <w:szCs w:val="15"/>
    </w:rPr>
  </w:style>
  <w:style w:type="numbering" w:customStyle="1" w:styleId="ZZBoxbullets">
    <w:name w:val="ZZ Box bullets"/>
    <w:basedOn w:val="NoList"/>
    <w:uiPriority w:val="99"/>
    <w:rsid w:val="005B5CB9"/>
    <w:pPr>
      <w:numPr>
        <w:numId w:val="12"/>
      </w:numPr>
    </w:pPr>
  </w:style>
  <w:style w:type="numbering" w:customStyle="1" w:styleId="ZZTablenoteroman">
    <w:name w:val="ZZ Table note roman"/>
    <w:basedOn w:val="NoList"/>
    <w:rsid w:val="005B5CB9"/>
    <w:pPr>
      <w:numPr>
        <w:numId w:val="13"/>
      </w:numPr>
    </w:pPr>
  </w:style>
  <w:style w:type="paragraph" w:customStyle="1" w:styleId="Tablecolhead8pt">
    <w:name w:val="Table col head 8pt"/>
    <w:basedOn w:val="Tablecolhead"/>
    <w:uiPriority w:val="98"/>
    <w:qFormat/>
    <w:rsid w:val="005B5CB9"/>
    <w:rPr>
      <w:rFonts w:eastAsiaTheme="minorHAnsi" w:cstheme="minorBidi"/>
      <w:sz w:val="15"/>
      <w:szCs w:val="16"/>
      <w:lang w:eastAsia="en-AU"/>
      <w14:ligatures w14:val="standardContextual"/>
    </w:rPr>
  </w:style>
  <w:style w:type="paragraph" w:customStyle="1" w:styleId="Tablesubheadrownavy8pt">
    <w:name w:val="Table subhead row navy 8pt"/>
    <w:basedOn w:val="Tablecolhead9pt"/>
    <w:uiPriority w:val="98"/>
    <w:qFormat/>
    <w:rsid w:val="005B5CB9"/>
    <w:pPr>
      <w:keepNext/>
    </w:pPr>
    <w:rPr>
      <w:rFonts w:eastAsiaTheme="minorHAnsi" w:cstheme="minorBidi"/>
      <w:color w:val="201547"/>
      <w:sz w:val="16"/>
      <w:szCs w:val="16"/>
      <w:lang w:eastAsia="en-AU"/>
    </w:rPr>
  </w:style>
  <w:style w:type="numbering" w:customStyle="1" w:styleId="ZZNumberedheadingsaddendums">
    <w:name w:val="ZZ Numbered headings addendums"/>
    <w:basedOn w:val="NoList"/>
    <w:uiPriority w:val="99"/>
    <w:rsid w:val="005B5CB9"/>
  </w:style>
  <w:style w:type="numbering" w:customStyle="1" w:styleId="ZZBoxnumbersroman">
    <w:name w:val="ZZ Box numbers roman"/>
    <w:basedOn w:val="NoList"/>
    <w:uiPriority w:val="99"/>
    <w:rsid w:val="005B5CB9"/>
  </w:style>
  <w:style w:type="paragraph" w:customStyle="1" w:styleId="DHHSaccessibilitypara">
    <w:name w:val="DHHS accessibility para"/>
    <w:uiPriority w:val="8"/>
    <w:rsid w:val="005B5CB9"/>
    <w:pPr>
      <w:spacing w:after="300" w:line="300" w:lineRule="atLeast"/>
    </w:pPr>
    <w:rPr>
      <w:rFonts w:ascii="Arial" w:eastAsia="Times" w:hAnsi="Arial"/>
      <w:sz w:val="24"/>
      <w:szCs w:val="19"/>
      <w:lang w:eastAsia="en-US"/>
    </w:rPr>
  </w:style>
  <w:style w:type="paragraph" w:customStyle="1" w:styleId="Bodyafterfiguretable">
    <w:name w:val="Body after figure/table"/>
    <w:basedOn w:val="Body"/>
    <w:uiPriority w:val="11"/>
    <w:rsid w:val="005B5CB9"/>
    <w:pPr>
      <w:spacing w:before="240"/>
    </w:pPr>
  </w:style>
  <w:style w:type="table" w:customStyle="1" w:styleId="TableGrid12">
    <w:name w:val="Table Grid12"/>
    <w:basedOn w:val="TableNormal"/>
    <w:uiPriority w:val="59"/>
    <w:rsid w:val="005B5CB9"/>
    <w:rPr>
      <w:rFonts w:asciiTheme="minorHAnsi" w:eastAsiaTheme="minorHAnsi" w:hAnsiTheme="minorHAnsi" w:cstheme="minorBidi"/>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paragraph" w:customStyle="1" w:styleId="Tablenoteroman">
    <w:name w:val="Table note roman"/>
    <w:basedOn w:val="Tablefigurenote9pt"/>
    <w:uiPriority w:val="4"/>
    <w:qFormat/>
    <w:rsid w:val="005B5CB9"/>
    <w:pPr>
      <w:numPr>
        <w:numId w:val="17"/>
      </w:numPr>
      <w:ind w:left="0" w:firstLine="0"/>
    </w:pPr>
    <w:rPr>
      <w:rFonts w:eastAsia="Times"/>
      <w:lang w:eastAsia="en-AU"/>
    </w:rPr>
  </w:style>
  <w:style w:type="character" w:customStyle="1" w:styleId="ui-provider">
    <w:name w:val="ui-provider"/>
    <w:basedOn w:val="DefaultParagraphFont"/>
    <w:rsid w:val="005B5CB9"/>
  </w:style>
  <w:style w:type="numbering" w:customStyle="1" w:styleId="CurrentList1">
    <w:name w:val="Current List1"/>
    <w:uiPriority w:val="99"/>
    <w:rsid w:val="005B5CB9"/>
    <w:pPr>
      <w:numPr>
        <w:numId w:val="14"/>
      </w:numPr>
    </w:pPr>
  </w:style>
  <w:style w:type="numbering" w:styleId="111111">
    <w:name w:val="Outline List 2"/>
    <w:basedOn w:val="NoList"/>
    <w:uiPriority w:val="99"/>
    <w:semiHidden/>
    <w:unhideWhenUsed/>
    <w:rsid w:val="005B5CB9"/>
  </w:style>
  <w:style w:type="table" w:styleId="LightList-Accent1">
    <w:name w:val="Light List Accent 1"/>
    <w:basedOn w:val="TableNormal"/>
    <w:uiPriority w:val="61"/>
    <w:rsid w:val="005B5CB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Table4-Accent1">
    <w:name w:val="List Table 4 Accent 1"/>
    <w:basedOn w:val="TableNormal"/>
    <w:uiPriority w:val="49"/>
    <w:rsid w:val="005B5C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tyle1">
    <w:name w:val="Style1"/>
    <w:basedOn w:val="GridTable1Light-Accent1"/>
    <w:uiPriority w:val="99"/>
    <w:rsid w:val="005B5CB9"/>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B5CB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B5C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1">
    <w:name w:val="Grid Table 5 Dark Accent 1"/>
    <w:basedOn w:val="TableNormal"/>
    <w:uiPriority w:val="50"/>
    <w:rsid w:val="005B5C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SchA">
    <w:name w:val="Sch A"/>
    <w:uiPriority w:val="99"/>
    <w:rsid w:val="005B5CB9"/>
    <w:pPr>
      <w:numPr>
        <w:numId w:val="15"/>
      </w:numPr>
    </w:pPr>
  </w:style>
  <w:style w:type="table" w:customStyle="1" w:styleId="TableGrid2">
    <w:name w:val="Table Grid2"/>
    <w:basedOn w:val="TableNormal"/>
    <w:next w:val="TableGrid"/>
    <w:uiPriority w:val="39"/>
    <w:rsid w:val="005B5CB9"/>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B5CB9"/>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2">
    <w:name w:val="List Table 4 Accent 2"/>
    <w:basedOn w:val="TableNormal"/>
    <w:uiPriority w:val="49"/>
    <w:rsid w:val="005B5C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7206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7206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4304416">
      <w:bodyDiv w:val="1"/>
      <w:marLeft w:val="0"/>
      <w:marRight w:val="0"/>
      <w:marTop w:val="0"/>
      <w:marBottom w:val="0"/>
      <w:divBdr>
        <w:top w:val="none" w:sz="0" w:space="0" w:color="auto"/>
        <w:left w:val="none" w:sz="0" w:space="0" w:color="auto"/>
        <w:bottom w:val="none" w:sz="0" w:space="0" w:color="auto"/>
        <w:right w:val="none" w:sz="0" w:space="0" w:color="auto"/>
      </w:divBdr>
    </w:div>
    <w:div w:id="16509449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0714958">
      <w:bodyDiv w:val="1"/>
      <w:marLeft w:val="0"/>
      <w:marRight w:val="0"/>
      <w:marTop w:val="0"/>
      <w:marBottom w:val="0"/>
      <w:divBdr>
        <w:top w:val="none" w:sz="0" w:space="0" w:color="auto"/>
        <w:left w:val="none" w:sz="0" w:space="0" w:color="auto"/>
        <w:bottom w:val="none" w:sz="0" w:space="0" w:color="auto"/>
        <w:right w:val="none" w:sz="0" w:space="0" w:color="auto"/>
      </w:divBdr>
    </w:div>
    <w:div w:id="451829539">
      <w:bodyDiv w:val="1"/>
      <w:marLeft w:val="0"/>
      <w:marRight w:val="0"/>
      <w:marTop w:val="0"/>
      <w:marBottom w:val="0"/>
      <w:divBdr>
        <w:top w:val="none" w:sz="0" w:space="0" w:color="auto"/>
        <w:left w:val="none" w:sz="0" w:space="0" w:color="auto"/>
        <w:bottom w:val="none" w:sz="0" w:space="0" w:color="auto"/>
        <w:right w:val="none" w:sz="0" w:space="0" w:color="auto"/>
      </w:divBdr>
    </w:div>
    <w:div w:id="8380792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1021215">
      <w:bodyDiv w:val="1"/>
      <w:marLeft w:val="0"/>
      <w:marRight w:val="0"/>
      <w:marTop w:val="0"/>
      <w:marBottom w:val="0"/>
      <w:divBdr>
        <w:top w:val="none" w:sz="0" w:space="0" w:color="auto"/>
        <w:left w:val="none" w:sz="0" w:space="0" w:color="auto"/>
        <w:bottom w:val="none" w:sz="0" w:space="0" w:color="auto"/>
        <w:right w:val="none" w:sz="0" w:space="0" w:color="auto"/>
      </w:divBdr>
    </w:div>
    <w:div w:id="135642306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978367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429546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17811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policy-and-funding-guidelines-for-health-services" TargetMode="External"/><Relationship Id="rId26" Type="http://schemas.openxmlformats.org/officeDocument/2006/relationships/hyperlink" Target="https://www.ihacpa.gov.au/health-care/pricing/national-efficient-price-determination" TargetMode="External"/><Relationship Id="rId39" Type="http://schemas.openxmlformats.org/officeDocument/2006/relationships/hyperlink" Target="https://www.ihacpa.gov.au/resources/national-pricing-model-technical-specifications-2026-27" TargetMode="External"/><Relationship Id="rId21" Type="http://schemas.openxmlformats.org/officeDocument/2006/relationships/hyperlink" Target="https://fac.dffh.vic.gov.au/service-agreement" TargetMode="External"/><Relationship Id="rId34" Type="http://schemas.openxmlformats.org/officeDocument/2006/relationships/hyperlink" Target="https://www.ihacpa.gov.au/resources/national-efficient-price-determination-2026-27" TargetMode="External"/><Relationship Id="rId42" Type="http://schemas.openxmlformats.org/officeDocument/2006/relationships/hyperlink" Target="https://dhhsvicgovau.sharepoint.com/sites/HealthServicePerformanceOversight-DHHS-GRP/Shared%20Documents/Accountability%20and%20Guidelines/Policy%20and%20Funding%20Guidelines/PFG%202026-27/ihacpa.gov.au/health-care/classification" TargetMode="External"/><Relationship Id="rId47" Type="http://schemas.openxmlformats.org/officeDocument/2006/relationships/footer" Target="footer9.xml"/><Relationship Id="rId50" Type="http://schemas.openxmlformats.org/officeDocument/2006/relationships/footer" Target="footer10.xml"/><Relationship Id="rId55" Type="http://schemas.openxmlformats.org/officeDocument/2006/relationships/footer" Target="foot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4.xml"/><Relationship Id="rId11" Type="http://schemas.openxmlformats.org/officeDocument/2006/relationships/image" Target="media/image1.jpg"/><Relationship Id="rId24" Type="http://schemas.openxmlformats.org/officeDocument/2006/relationships/hyperlink" Target="https://ttps://www.health.gov.au/our-work/national-health-reform-agreement-nhra" TargetMode="External"/><Relationship Id="rId32" Type="http://schemas.openxmlformats.org/officeDocument/2006/relationships/footer" Target="footer6.xml"/><Relationship Id="rId37" Type="http://schemas.openxmlformats.org/officeDocument/2006/relationships/hyperlink" Target="https://www.health.vic.gov.au/hospitals-and-health-services/patient-fees-and-charges-for-public-health-services" TargetMode="External"/><Relationship Id="rId40" Type="http://schemas.openxmlformats.org/officeDocument/2006/relationships/hyperlink" Target="https://www.health.vic.gov.au/data-reporting/health-data-standards-and-systems" TargetMode="External"/><Relationship Id="rId45" Type="http://schemas.openxmlformats.org/officeDocument/2006/relationships/header" Target="header7.xml"/><Relationship Id="rId53" Type="http://schemas.openxmlformats.org/officeDocument/2006/relationships/header" Target="header12.xml"/><Relationship Id="rId58" Type="http://schemas.microsoft.com/office/2019/05/relationships/documenttasks" Target="documenttasks/documenttasks1.xml"/><Relationship Id="rId5"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roviders.dffh.vic.gov.au/families-fairness-housing-health-activity-search" TargetMode="External"/><Relationship Id="rId27" Type="http://schemas.openxmlformats.org/officeDocument/2006/relationships/hyperlink" Target="https://www.ihacpa.gov.au/health-care/pricing/national-efficient-cost-determination" TargetMode="External"/><Relationship Id="rId30" Type="http://schemas.openxmlformats.org/officeDocument/2006/relationships/header" Target="header6.xml"/><Relationship Id="rId35" Type="http://schemas.openxmlformats.org/officeDocument/2006/relationships/hyperlink" Target="https://www.health.vic.gov.au/end-of-life-care/palliative-care-program" TargetMode="External"/><Relationship Id="rId43" Type="http://schemas.openxmlformats.org/officeDocument/2006/relationships/hyperlink" Target="https://www.ihacpa.gov.au/health-care/pricing" TargetMode="External"/><Relationship Id="rId48" Type="http://schemas.openxmlformats.org/officeDocument/2006/relationships/header" Target="header8.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Accountability@health.vic.gov.au" TargetMode="External"/><Relationship Id="rId25" Type="http://schemas.openxmlformats.org/officeDocument/2006/relationships/hyperlink" Target="https://www.ihacpa.gov.au/health-care/pricing/national-efficient-price-determination" TargetMode="External"/><Relationship Id="rId33" Type="http://schemas.openxmlformats.org/officeDocument/2006/relationships/footer" Target="footer7.xml"/><Relationship Id="rId38" Type="http://schemas.openxmlformats.org/officeDocument/2006/relationships/hyperlink" Target="https://www.health.vic.gov.au/funding-performance-accountability/mbs-billing-policy-framework-victorian-public-hospitals" TargetMode="External"/><Relationship Id="rId46" Type="http://schemas.openxmlformats.org/officeDocument/2006/relationships/footer" Target="footer8.xml"/><Relationship Id="rId20" Type="http://schemas.openxmlformats.org/officeDocument/2006/relationships/hyperlink" Target="https://www.health.vic.gov.au/policy-and-funding-guidelines-for-health-services" TargetMode="External"/><Relationship Id="rId41" Type="http://schemas.openxmlformats.org/officeDocument/2006/relationships/hyperlink" Target="https://www.health.vic.gov.au/data-reporting/victorian-admitted-episodes-dataset" TargetMode="Externa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hyperlink" Target="https://www.dva.gov.au/what-we-help-with/care-at-home-and-aged-care-services/living-independently/getting-aids-equipment-and-home-modifications" TargetMode="External"/><Relationship Id="rId49" Type="http://schemas.openxmlformats.org/officeDocument/2006/relationships/header" Target="header9.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www.health.vic.gov.au/data-reporting/victorian-admitted-episodes-dataset" TargetMode="External"/><Relationship Id="rId52" Type="http://schemas.openxmlformats.org/officeDocument/2006/relationships/header" Target="header11.xml"/></Relationships>
</file>

<file path=word/documenttasks/documenttasks1.xml><?xml version="1.0" encoding="utf-8"?>
<t:Tasks xmlns:t="http://schemas.microsoft.com/office/tasks/2019/documenttasks" xmlns:oel="http://schemas.microsoft.com/office/2019/extlst">
  <t:Task id="{909F2843-0F28-4C18-92CE-7FA8A56AD0A8}">
    <t:Anchor>
      <t:Comment id="509466541"/>
    </t:Anchor>
    <t:History>
      <t:Event id="{48D4B962-4052-4366-A3F6-CE6A7801C1B9}" time="2026-06-11T07:30:33.224Z">
        <t:Attribution userId="S::gaya.stgeorge@health.vic.gov.au::5082d1f4-fa0a-4247-92b5-fbe04b7df2f1" userProvider="AD" userName="Gaya St George (Health)"/>
        <t:Anchor>
          <t:Comment id="509466541"/>
        </t:Anchor>
        <t:Create/>
      </t:Event>
      <t:Event id="{A4FE4828-1D03-4D8A-AAC0-5B8D1290297E}" time="2026-06-11T07:30:33.224Z">
        <t:Attribution userId="S::gaya.stgeorge@health.vic.gov.au::5082d1f4-fa0a-4247-92b5-fbe04b7df2f1" userProvider="AD" userName="Gaya St George (Health)"/>
        <t:Anchor>
          <t:Comment id="509466541"/>
        </t:Anchor>
        <t:Assign userId="S::Wendy.Yang@health.vic.gov.au::b66b5622-4733-4744-b621-66a205b42f93" userProvider="AD" userName="Wendy Yang (Health)"/>
      </t:Event>
      <t:Event id="{2D22D4BE-BE92-417C-9BAD-AFBF8497549C}" time="2026-06-11T07:30:33.224Z">
        <t:Attribution userId="S::gaya.stgeorge@health.vic.gov.au::5082d1f4-fa0a-4247-92b5-fbe04b7df2f1" userProvider="AD" userName="Gaya St George (Health)"/>
        <t:Anchor>
          <t:Comment id="509466541"/>
        </t:Anchor>
        <t:SetTitle title="@Wendy Yang (Health) @Jaclyn Vick (Health) @Rosa Rocca (Health) Please confirm if the changes need to be made for the funding model column."/>
      </t:Event>
      <t:Event id="{D4F9A61C-2092-4CFC-A8DB-E10A7A668C3C}" time="2026-06-15T02:40:39.664Z">
        <t:Attribution userId="S::caleb.stewart@health.vic.gov.au::b292f7e2-80eb-43b2-94fb-359c48446630" userProvider="AD" userName="Caleb Stewart (Health)"/>
        <t:Anchor>
          <t:Comment id="434927699"/>
        </t:Anchor>
        <t:UnassignAll/>
      </t:Event>
      <t:Event id="{242FFC95-7EB5-4653-B3BA-8BCB0506116F}" time="2026-06-15T02:40:39.664Z">
        <t:Attribution userId="S::caleb.stewart@health.vic.gov.au::b292f7e2-80eb-43b2-94fb-359c48446630" userProvider="AD" userName="Caleb Stewart (Health)"/>
        <t:Anchor>
          <t:Comment id="434927699"/>
        </t:Anchor>
        <t:Assign userId="S::Melissa.Arduca@health.vic.gov.au::063c7570-30a8-4fef-8733-24ce85aec63c" userProvider="AD" userName="Melissa Arduca (Heal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A2A465E3DFC4DB1F3B68D5D9514E6" ma:contentTypeVersion="10" ma:contentTypeDescription="Create a new document." ma:contentTypeScope="" ma:versionID="fac5ddc2829a1f2da8f9756be48ed99f">
  <xsd:schema xmlns:xsd="http://www.w3.org/2001/XMLSchema" xmlns:xs="http://www.w3.org/2001/XMLSchema" xmlns:p="http://schemas.microsoft.com/office/2006/metadata/properties" xmlns:ns2="cb2538fb-14b1-4231-8ee4-197a33b61cac" xmlns:ns3="84d22a55-5900-47ba-9388-52e4c0e101cd" targetNamespace="http://schemas.microsoft.com/office/2006/metadata/properties" ma:root="true" ma:fieldsID="544523462bc8cb1ae93b1e4cf1077f87" ns2:_="" ns3:_="">
    <xsd:import namespace="cb2538fb-14b1-4231-8ee4-197a33b61cac"/>
    <xsd:import namespace="84d22a55-5900-47ba-9388-52e4c0e10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538fb-14b1-4231-8ee4-197a33b61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22a55-5900-47ba-9388-52e4c0e101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f7624b-9898-4c0e-aec2-0f94ef50ef90}" ma:internalName="TaxCatchAll" ma:showField="CatchAllData" ma:web="84d22a55-5900-47ba-9388-52e4c0e10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d22a55-5900-47ba-9388-52e4c0e101cd"/>
    <lcf76f155ced4ddcb4097134ff3c332f xmlns="cb2538fb-14b1-4231-8ee4-197a33b61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96DB01-9856-4A29-AB28-972082F3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538fb-14b1-4231-8ee4-197a33b61cac"/>
    <ds:schemaRef ds:uri="84d22a55-5900-47ba-9388-52e4c0e10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4d22a55-5900-47ba-9388-52e4c0e101cd"/>
    <ds:schemaRef ds:uri="cb2538fb-14b1-4231-8ee4-197a33b61c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18681</Words>
  <Characters>112649</Characters>
  <Application>Microsoft Office Word</Application>
  <DocSecurity>0</DocSecurity>
  <Lines>4172</Lines>
  <Paragraphs>2680</Paragraphs>
  <ScaleCrop>false</ScaleCrop>
  <Company/>
  <LinksUpToDate>false</LinksUpToDate>
  <CharactersWithSpaces>128650</CharactersWithSpaces>
  <SharedDoc>false</SharedDoc>
  <HyperlinkBase/>
  <HLinks>
    <vt:vector size="1170" baseType="variant">
      <vt:variant>
        <vt:i4>8061016</vt:i4>
      </vt:variant>
      <vt:variant>
        <vt:i4>987</vt:i4>
      </vt:variant>
      <vt:variant>
        <vt:i4>0</vt:i4>
      </vt:variant>
      <vt:variant>
        <vt:i4>5</vt:i4>
      </vt:variant>
      <vt:variant>
        <vt:lpwstr/>
      </vt:variant>
      <vt:variant>
        <vt:lpwstr>_16_Budget_tables</vt:lpwstr>
      </vt:variant>
      <vt:variant>
        <vt:i4>5439506</vt:i4>
      </vt:variant>
      <vt:variant>
        <vt:i4>948</vt:i4>
      </vt:variant>
      <vt:variant>
        <vt:i4>0</vt:i4>
      </vt:variant>
      <vt:variant>
        <vt:i4>5</vt:i4>
      </vt:variant>
      <vt:variant>
        <vt:lpwstr>https://www.health.vic.gov.au/data-reporting/victorian-admitted-episodes-dataset</vt:lpwstr>
      </vt:variant>
      <vt:variant>
        <vt:lpwstr/>
      </vt:variant>
      <vt:variant>
        <vt:i4>5963880</vt:i4>
      </vt:variant>
      <vt:variant>
        <vt:i4>945</vt:i4>
      </vt:variant>
      <vt:variant>
        <vt:i4>0</vt:i4>
      </vt:variant>
      <vt:variant>
        <vt:i4>5</vt:i4>
      </vt:variant>
      <vt:variant>
        <vt:lpwstr/>
      </vt:variant>
      <vt:variant>
        <vt:lpwstr>_Funding_recall_policy</vt:lpwstr>
      </vt:variant>
      <vt:variant>
        <vt:i4>6094854</vt:i4>
      </vt:variant>
      <vt:variant>
        <vt:i4>939</vt:i4>
      </vt:variant>
      <vt:variant>
        <vt:i4>0</vt:i4>
      </vt:variant>
      <vt:variant>
        <vt:i4>5</vt:i4>
      </vt:variant>
      <vt:variant>
        <vt:lpwstr>https://www.ihacpa.gov.au/health-care/pricing</vt:lpwstr>
      </vt:variant>
      <vt:variant>
        <vt:lpwstr/>
      </vt:variant>
      <vt:variant>
        <vt:i4>1245273</vt:i4>
      </vt:variant>
      <vt:variant>
        <vt:i4>936</vt:i4>
      </vt:variant>
      <vt:variant>
        <vt:i4>0</vt:i4>
      </vt:variant>
      <vt:variant>
        <vt:i4>5</vt:i4>
      </vt:variant>
      <vt:variant>
        <vt:lpwstr>ihacpa.gov.au/health-care/classification</vt:lpwstr>
      </vt:variant>
      <vt:variant>
        <vt:lpwstr/>
      </vt:variant>
      <vt:variant>
        <vt:i4>5439506</vt:i4>
      </vt:variant>
      <vt:variant>
        <vt:i4>930</vt:i4>
      </vt:variant>
      <vt:variant>
        <vt:i4>0</vt:i4>
      </vt:variant>
      <vt:variant>
        <vt:i4>5</vt:i4>
      </vt:variant>
      <vt:variant>
        <vt:lpwstr>https://www.health.vic.gov.au/data-reporting/victorian-admitted-episodes-dataset</vt:lpwstr>
      </vt:variant>
      <vt:variant>
        <vt:lpwstr/>
      </vt:variant>
      <vt:variant>
        <vt:i4>2687023</vt:i4>
      </vt:variant>
      <vt:variant>
        <vt:i4>927</vt:i4>
      </vt:variant>
      <vt:variant>
        <vt:i4>0</vt:i4>
      </vt:variant>
      <vt:variant>
        <vt:i4>5</vt:i4>
      </vt:variant>
      <vt:variant>
        <vt:lpwstr>https://www.health.vic.gov.au/data-reporting/health-data-standards-and-systems</vt:lpwstr>
      </vt:variant>
      <vt:variant>
        <vt:lpwstr/>
      </vt:variant>
      <vt:variant>
        <vt:i4>2293833</vt:i4>
      </vt:variant>
      <vt:variant>
        <vt:i4>924</vt:i4>
      </vt:variant>
      <vt:variant>
        <vt:i4>0</vt:i4>
      </vt:variant>
      <vt:variant>
        <vt:i4>5</vt:i4>
      </vt:variant>
      <vt:variant>
        <vt:lpwstr/>
      </vt:variant>
      <vt:variant>
        <vt:lpwstr>_7.1_Sentinel_events</vt:lpwstr>
      </vt:variant>
      <vt:variant>
        <vt:i4>1638527</vt:i4>
      </vt:variant>
      <vt:variant>
        <vt:i4>921</vt:i4>
      </vt:variant>
      <vt:variant>
        <vt:i4>0</vt:i4>
      </vt:variant>
      <vt:variant>
        <vt:i4>5</vt:i4>
      </vt:variant>
      <vt:variant>
        <vt:lpwstr/>
      </vt:variant>
      <vt:variant>
        <vt:lpwstr>_17.2_Non-admitted_episode</vt:lpwstr>
      </vt:variant>
      <vt:variant>
        <vt:i4>7667777</vt:i4>
      </vt:variant>
      <vt:variant>
        <vt:i4>918</vt:i4>
      </vt:variant>
      <vt:variant>
        <vt:i4>0</vt:i4>
      </vt:variant>
      <vt:variant>
        <vt:i4>5</vt:i4>
      </vt:variant>
      <vt:variant>
        <vt:lpwstr/>
      </vt:variant>
      <vt:variant>
        <vt:lpwstr>_11.3_AHR_NWAU</vt:lpwstr>
      </vt:variant>
      <vt:variant>
        <vt:i4>2621553</vt:i4>
      </vt:variant>
      <vt:variant>
        <vt:i4>915</vt:i4>
      </vt:variant>
      <vt:variant>
        <vt:i4>0</vt:i4>
      </vt:variant>
      <vt:variant>
        <vt:i4>5</vt:i4>
      </vt:variant>
      <vt:variant>
        <vt:lpwstr>https://www.ihacpa.gov.au/resources/national-pricing-model-technical-specifications-2026-27</vt:lpwstr>
      </vt:variant>
      <vt:variant>
        <vt:lpwstr/>
      </vt:variant>
      <vt:variant>
        <vt:i4>8126552</vt:i4>
      </vt:variant>
      <vt:variant>
        <vt:i4>912</vt:i4>
      </vt:variant>
      <vt:variant>
        <vt:i4>0</vt:i4>
      </vt:variant>
      <vt:variant>
        <vt:i4>5</vt:i4>
      </vt:variant>
      <vt:variant>
        <vt:lpwstr/>
      </vt:variant>
      <vt:variant>
        <vt:lpwstr>_11.2_HAC_NWAU</vt:lpwstr>
      </vt:variant>
      <vt:variant>
        <vt:i4>1114161</vt:i4>
      </vt:variant>
      <vt:variant>
        <vt:i4>909</vt:i4>
      </vt:variant>
      <vt:variant>
        <vt:i4>0</vt:i4>
      </vt:variant>
      <vt:variant>
        <vt:i4>5</vt:i4>
      </vt:variant>
      <vt:variant>
        <vt:lpwstr/>
      </vt:variant>
      <vt:variant>
        <vt:lpwstr>_Toc167651270</vt:lpwstr>
      </vt:variant>
      <vt:variant>
        <vt:i4>8126552</vt:i4>
      </vt:variant>
      <vt:variant>
        <vt:i4>906</vt:i4>
      </vt:variant>
      <vt:variant>
        <vt:i4>0</vt:i4>
      </vt:variant>
      <vt:variant>
        <vt:i4>5</vt:i4>
      </vt:variant>
      <vt:variant>
        <vt:lpwstr/>
      </vt:variant>
      <vt:variant>
        <vt:lpwstr>_11.2_HAC_NWAU</vt:lpwstr>
      </vt:variant>
      <vt:variant>
        <vt:i4>5701639</vt:i4>
      </vt:variant>
      <vt:variant>
        <vt:i4>903</vt:i4>
      </vt:variant>
      <vt:variant>
        <vt:i4>0</vt:i4>
      </vt:variant>
      <vt:variant>
        <vt:i4>5</vt:i4>
      </vt:variant>
      <vt:variant>
        <vt:lpwstr>https://www.health.vic.gov.au/funding-performance-accountability/mbs-billing-policy-framework-victorian-public-hospitals</vt:lpwstr>
      </vt:variant>
      <vt:variant>
        <vt:lpwstr/>
      </vt:variant>
      <vt:variant>
        <vt:i4>2687076</vt:i4>
      </vt:variant>
      <vt:variant>
        <vt:i4>900</vt:i4>
      </vt:variant>
      <vt:variant>
        <vt:i4>0</vt:i4>
      </vt:variant>
      <vt:variant>
        <vt:i4>5</vt:i4>
      </vt:variant>
      <vt:variant>
        <vt:lpwstr>https://www.health.vic.gov.au/hospitals-and-health-services/patient-fees-and-charges-for-public-health-services</vt:lpwstr>
      </vt:variant>
      <vt:variant>
        <vt:lpwstr/>
      </vt:variant>
      <vt:variant>
        <vt:i4>543555641</vt:i4>
      </vt:variant>
      <vt:variant>
        <vt:i4>897</vt:i4>
      </vt:variant>
      <vt:variant>
        <vt:i4>0</vt:i4>
      </vt:variant>
      <vt:variant>
        <vt:i4>5</vt:i4>
      </vt:variant>
      <vt:variant>
        <vt:lpwstr/>
      </vt:variant>
      <vt:variant>
        <vt:lpwstr>_13.1_NWAU_2026–27</vt:lpwstr>
      </vt:variant>
      <vt:variant>
        <vt:i4>3014764</vt:i4>
      </vt:variant>
      <vt:variant>
        <vt:i4>891</vt:i4>
      </vt:variant>
      <vt:variant>
        <vt:i4>0</vt:i4>
      </vt:variant>
      <vt:variant>
        <vt:i4>5</vt:i4>
      </vt:variant>
      <vt:variant>
        <vt:lpwstr>https://www.dva.gov.au/what-we-help-with/care-at-home-and-aged-care-services/living-independently/getting-aids-equipment-and-home-modifications</vt:lpwstr>
      </vt:variant>
      <vt:variant>
        <vt:lpwstr/>
      </vt:variant>
      <vt:variant>
        <vt:i4>2293788</vt:i4>
      </vt:variant>
      <vt:variant>
        <vt:i4>888</vt:i4>
      </vt:variant>
      <vt:variant>
        <vt:i4>0</vt:i4>
      </vt:variant>
      <vt:variant>
        <vt:i4>5</vt:i4>
      </vt:variant>
      <vt:variant>
        <vt:lpwstr/>
      </vt:variant>
      <vt:variant>
        <vt:lpwstr>_13.3_Transition_Care</vt:lpwstr>
      </vt:variant>
      <vt:variant>
        <vt:i4>2031665</vt:i4>
      </vt:variant>
      <vt:variant>
        <vt:i4>885</vt:i4>
      </vt:variant>
      <vt:variant>
        <vt:i4>0</vt:i4>
      </vt:variant>
      <vt:variant>
        <vt:i4>5</vt:i4>
      </vt:variant>
      <vt:variant>
        <vt:lpwstr/>
      </vt:variant>
      <vt:variant>
        <vt:lpwstr>_Toc167651298</vt:lpwstr>
      </vt:variant>
      <vt:variant>
        <vt:i4>7667737</vt:i4>
      </vt:variant>
      <vt:variant>
        <vt:i4>882</vt:i4>
      </vt:variant>
      <vt:variant>
        <vt:i4>0</vt:i4>
      </vt:variant>
      <vt:variant>
        <vt:i4>5</vt:i4>
      </vt:variant>
      <vt:variant>
        <vt:lpwstr/>
      </vt:variant>
      <vt:variant>
        <vt:lpwstr>_13.7_Ageing,_aged</vt:lpwstr>
      </vt:variant>
      <vt:variant>
        <vt:i4>6160490</vt:i4>
      </vt:variant>
      <vt:variant>
        <vt:i4>879</vt:i4>
      </vt:variant>
      <vt:variant>
        <vt:i4>0</vt:i4>
      </vt:variant>
      <vt:variant>
        <vt:i4>5</vt:i4>
      </vt:variant>
      <vt:variant>
        <vt:lpwstr/>
      </vt:variant>
      <vt:variant>
        <vt:lpwstr>_Nationally_Funded_Centres</vt:lpwstr>
      </vt:variant>
      <vt:variant>
        <vt:i4>6684738</vt:i4>
      </vt:variant>
      <vt:variant>
        <vt:i4>873</vt:i4>
      </vt:variant>
      <vt:variant>
        <vt:i4>0</vt:i4>
      </vt:variant>
      <vt:variant>
        <vt:i4>5</vt:i4>
      </vt:variant>
      <vt:variant>
        <vt:lpwstr/>
      </vt:variant>
      <vt:variant>
        <vt:lpwstr>_13.8_Community_health</vt:lpwstr>
      </vt:variant>
      <vt:variant>
        <vt:i4>7733324</vt:i4>
      </vt:variant>
      <vt:variant>
        <vt:i4>870</vt:i4>
      </vt:variant>
      <vt:variant>
        <vt:i4>0</vt:i4>
      </vt:variant>
      <vt:variant>
        <vt:i4>5</vt:i4>
      </vt:variant>
      <vt:variant>
        <vt:lpwstr/>
      </vt:variant>
      <vt:variant>
        <vt:lpwstr>_Alcohol_and_other</vt:lpwstr>
      </vt:variant>
      <vt:variant>
        <vt:i4>1900605</vt:i4>
      </vt:variant>
      <vt:variant>
        <vt:i4>867</vt:i4>
      </vt:variant>
      <vt:variant>
        <vt:i4>0</vt:i4>
      </vt:variant>
      <vt:variant>
        <vt:i4>5</vt:i4>
      </vt:variant>
      <vt:variant>
        <vt:lpwstr/>
      </vt:variant>
      <vt:variant>
        <vt:lpwstr>_13.6_Alcohol_and</vt:lpwstr>
      </vt:variant>
      <vt:variant>
        <vt:i4>5242993</vt:i4>
      </vt:variant>
      <vt:variant>
        <vt:i4>864</vt:i4>
      </vt:variant>
      <vt:variant>
        <vt:i4>0</vt:i4>
      </vt:variant>
      <vt:variant>
        <vt:i4>5</vt:i4>
      </vt:variant>
      <vt:variant>
        <vt:lpwstr/>
      </vt:variant>
      <vt:variant>
        <vt:lpwstr>_13.9_Training_and</vt:lpwstr>
      </vt:variant>
      <vt:variant>
        <vt:i4>1441847</vt:i4>
      </vt:variant>
      <vt:variant>
        <vt:i4>861</vt:i4>
      </vt:variant>
      <vt:variant>
        <vt:i4>0</vt:i4>
      </vt:variant>
      <vt:variant>
        <vt:i4>5</vt:i4>
      </vt:variant>
      <vt:variant>
        <vt:lpwstr/>
      </vt:variant>
      <vt:variant>
        <vt:lpwstr>_Toc164262473</vt:lpwstr>
      </vt:variant>
      <vt:variant>
        <vt:i4>1703989</vt:i4>
      </vt:variant>
      <vt:variant>
        <vt:i4>858</vt:i4>
      </vt:variant>
      <vt:variant>
        <vt:i4>0</vt:i4>
      </vt:variant>
      <vt:variant>
        <vt:i4>5</vt:i4>
      </vt:variant>
      <vt:variant>
        <vt:lpwstr/>
      </vt:variant>
      <vt:variant>
        <vt:lpwstr>_15_Output_and</vt:lpwstr>
      </vt:variant>
      <vt:variant>
        <vt:i4>786483</vt:i4>
      </vt:variant>
      <vt:variant>
        <vt:i4>852</vt:i4>
      </vt:variant>
      <vt:variant>
        <vt:i4>0</vt:i4>
      </vt:variant>
      <vt:variant>
        <vt:i4>5</vt:i4>
      </vt:variant>
      <vt:variant>
        <vt:lpwstr/>
      </vt:variant>
      <vt:variant>
        <vt:lpwstr>_13.4_Early_Parenting</vt:lpwstr>
      </vt:variant>
      <vt:variant>
        <vt:i4>6946825</vt:i4>
      </vt:variant>
      <vt:variant>
        <vt:i4>849</vt:i4>
      </vt:variant>
      <vt:variant>
        <vt:i4>0</vt:i4>
      </vt:variant>
      <vt:variant>
        <vt:i4>5</vt:i4>
      </vt:variant>
      <vt:variant>
        <vt:lpwstr/>
      </vt:variant>
      <vt:variant>
        <vt:lpwstr>_8_Health_service</vt:lpwstr>
      </vt:variant>
      <vt:variant>
        <vt:i4>1441841</vt:i4>
      </vt:variant>
      <vt:variant>
        <vt:i4>846</vt:i4>
      </vt:variant>
      <vt:variant>
        <vt:i4>0</vt:i4>
      </vt:variant>
      <vt:variant>
        <vt:i4>5</vt:i4>
      </vt:variant>
      <vt:variant>
        <vt:lpwstr/>
      </vt:variant>
      <vt:variant>
        <vt:lpwstr>_Legacy_and_specified</vt:lpwstr>
      </vt:variant>
      <vt:variant>
        <vt:i4>3866681</vt:i4>
      </vt:variant>
      <vt:variant>
        <vt:i4>843</vt:i4>
      </vt:variant>
      <vt:variant>
        <vt:i4>0</vt:i4>
      </vt:variant>
      <vt:variant>
        <vt:i4>5</vt:i4>
      </vt:variant>
      <vt:variant>
        <vt:lpwstr>https://www.health.vic.gov.au/end-of-life-care/palliative-care-program</vt:lpwstr>
      </vt:variant>
      <vt:variant>
        <vt:lpwstr/>
      </vt:variant>
      <vt:variant>
        <vt:i4>3801163</vt:i4>
      </vt:variant>
      <vt:variant>
        <vt:i4>840</vt:i4>
      </vt:variant>
      <vt:variant>
        <vt:i4>0</vt:i4>
      </vt:variant>
      <vt:variant>
        <vt:i4>5</vt:i4>
      </vt:variant>
      <vt:variant>
        <vt:lpwstr/>
      </vt:variant>
      <vt:variant>
        <vt:lpwstr>_9.1_National_classifications</vt:lpwstr>
      </vt:variant>
      <vt:variant>
        <vt:i4>7995453</vt:i4>
      </vt:variant>
      <vt:variant>
        <vt:i4>837</vt:i4>
      </vt:variant>
      <vt:variant>
        <vt:i4>0</vt:i4>
      </vt:variant>
      <vt:variant>
        <vt:i4>5</vt:i4>
      </vt:variant>
      <vt:variant>
        <vt:lpwstr/>
      </vt:variant>
      <vt:variant>
        <vt:lpwstr>_2.1_Scope</vt:lpwstr>
      </vt:variant>
      <vt:variant>
        <vt:i4>1245238</vt:i4>
      </vt:variant>
      <vt:variant>
        <vt:i4>834</vt:i4>
      </vt:variant>
      <vt:variant>
        <vt:i4>0</vt:i4>
      </vt:variant>
      <vt:variant>
        <vt:i4>5</vt:i4>
      </vt:variant>
      <vt:variant>
        <vt:lpwstr/>
      </vt:variant>
      <vt:variant>
        <vt:lpwstr>_Toc164262523</vt:lpwstr>
      </vt:variant>
      <vt:variant>
        <vt:i4>5767214</vt:i4>
      </vt:variant>
      <vt:variant>
        <vt:i4>831</vt:i4>
      </vt:variant>
      <vt:variant>
        <vt:i4>0</vt:i4>
      </vt:variant>
      <vt:variant>
        <vt:i4>5</vt:i4>
      </vt:variant>
      <vt:variant>
        <vt:lpwstr/>
      </vt:variant>
      <vt:variant>
        <vt:lpwstr>_2_Victorian_pricing</vt:lpwstr>
      </vt:variant>
      <vt:variant>
        <vt:i4>327787</vt:i4>
      </vt:variant>
      <vt:variant>
        <vt:i4>828</vt:i4>
      </vt:variant>
      <vt:variant>
        <vt:i4>0</vt:i4>
      </vt:variant>
      <vt:variant>
        <vt:i4>5</vt:i4>
      </vt:variant>
      <vt:variant>
        <vt:lpwstr/>
      </vt:variant>
      <vt:variant>
        <vt:lpwstr>_1_National_funding</vt:lpwstr>
      </vt:variant>
      <vt:variant>
        <vt:i4>786484</vt:i4>
      </vt:variant>
      <vt:variant>
        <vt:i4>822</vt:i4>
      </vt:variant>
      <vt:variant>
        <vt:i4>0</vt:i4>
      </vt:variant>
      <vt:variant>
        <vt:i4>5</vt:i4>
      </vt:variant>
      <vt:variant>
        <vt:lpwstr/>
      </vt:variant>
      <vt:variant>
        <vt:lpwstr>_Victorian_pricing_framework</vt:lpwstr>
      </vt:variant>
      <vt:variant>
        <vt:i4>65584</vt:i4>
      </vt:variant>
      <vt:variant>
        <vt:i4>819</vt:i4>
      </vt:variant>
      <vt:variant>
        <vt:i4>0</vt:i4>
      </vt:variant>
      <vt:variant>
        <vt:i4>5</vt:i4>
      </vt:variant>
      <vt:variant>
        <vt:lpwstr/>
      </vt:variant>
      <vt:variant>
        <vt:lpwstr>_2.10_Application_of</vt:lpwstr>
      </vt:variant>
      <vt:variant>
        <vt:i4>852054</vt:i4>
      </vt:variant>
      <vt:variant>
        <vt:i4>816</vt:i4>
      </vt:variant>
      <vt:variant>
        <vt:i4>0</vt:i4>
      </vt:variant>
      <vt:variant>
        <vt:i4>5</vt:i4>
      </vt:variant>
      <vt:variant>
        <vt:lpwstr/>
      </vt:variant>
      <vt:variant>
        <vt:lpwstr>_2.9_Legacy_and_1</vt:lpwstr>
      </vt:variant>
      <vt:variant>
        <vt:i4>4128871</vt:i4>
      </vt:variant>
      <vt:variant>
        <vt:i4>813</vt:i4>
      </vt:variant>
      <vt:variant>
        <vt:i4>0</vt:i4>
      </vt:variant>
      <vt:variant>
        <vt:i4>5</vt:i4>
      </vt:variant>
      <vt:variant>
        <vt:lpwstr>https://www.ihacpa.gov.au/resources/national-efficient-price-determination-2026-27</vt:lpwstr>
      </vt:variant>
      <vt:variant>
        <vt:lpwstr/>
      </vt:variant>
      <vt:variant>
        <vt:i4>589872</vt:i4>
      </vt:variant>
      <vt:variant>
        <vt:i4>810</vt:i4>
      </vt:variant>
      <vt:variant>
        <vt:i4>0</vt:i4>
      </vt:variant>
      <vt:variant>
        <vt:i4>5</vt:i4>
      </vt:variant>
      <vt:variant>
        <vt:lpwstr/>
      </vt:variant>
      <vt:variant>
        <vt:lpwstr>_Victorian_alignment_with</vt:lpwstr>
      </vt:variant>
      <vt:variant>
        <vt:i4>720999</vt:i4>
      </vt:variant>
      <vt:variant>
        <vt:i4>807</vt:i4>
      </vt:variant>
      <vt:variant>
        <vt:i4>0</vt:i4>
      </vt:variant>
      <vt:variant>
        <vt:i4>5</vt:i4>
      </vt:variant>
      <vt:variant>
        <vt:lpwstr/>
      </vt:variant>
      <vt:variant>
        <vt:lpwstr>_5.6_Private_patients</vt:lpwstr>
      </vt:variant>
      <vt:variant>
        <vt:i4>720999</vt:i4>
      </vt:variant>
      <vt:variant>
        <vt:i4>804</vt:i4>
      </vt:variant>
      <vt:variant>
        <vt:i4>0</vt:i4>
      </vt:variant>
      <vt:variant>
        <vt:i4>5</vt:i4>
      </vt:variant>
      <vt:variant>
        <vt:lpwstr/>
      </vt:variant>
      <vt:variant>
        <vt:lpwstr>_5.6_Private_patients</vt:lpwstr>
      </vt:variant>
      <vt:variant>
        <vt:i4>4653166</vt:i4>
      </vt:variant>
      <vt:variant>
        <vt:i4>801</vt:i4>
      </vt:variant>
      <vt:variant>
        <vt:i4>0</vt:i4>
      </vt:variant>
      <vt:variant>
        <vt:i4>5</vt:i4>
      </vt:variant>
      <vt:variant>
        <vt:lpwstr/>
      </vt:variant>
      <vt:variant>
        <vt:lpwstr>_5.2_Cross-border_patients</vt:lpwstr>
      </vt:variant>
      <vt:variant>
        <vt:i4>3407960</vt:i4>
      </vt:variant>
      <vt:variant>
        <vt:i4>798</vt:i4>
      </vt:variant>
      <vt:variant>
        <vt:i4>0</vt:i4>
      </vt:variant>
      <vt:variant>
        <vt:i4>5</vt:i4>
      </vt:variant>
      <vt:variant>
        <vt:lpwstr/>
      </vt:variant>
      <vt:variant>
        <vt:lpwstr>_5.1.2_TAC_patients</vt:lpwstr>
      </vt:variant>
      <vt:variant>
        <vt:i4>1114165</vt:i4>
      </vt:variant>
      <vt:variant>
        <vt:i4>795</vt:i4>
      </vt:variant>
      <vt:variant>
        <vt:i4>0</vt:i4>
      </vt:variant>
      <vt:variant>
        <vt:i4>5</vt:i4>
      </vt:variant>
      <vt:variant>
        <vt:lpwstr/>
      </vt:variant>
      <vt:variant>
        <vt:lpwstr>_Toc197452697</vt:lpwstr>
      </vt:variant>
      <vt:variant>
        <vt:i4>6029428</vt:i4>
      </vt:variant>
      <vt:variant>
        <vt:i4>792</vt:i4>
      </vt:variant>
      <vt:variant>
        <vt:i4>0</vt:i4>
      </vt:variant>
      <vt:variant>
        <vt:i4>5</vt:i4>
      </vt:variant>
      <vt:variant>
        <vt:lpwstr/>
      </vt:variant>
      <vt:variant>
        <vt:lpwstr>_3.12_Subacute_and</vt:lpwstr>
      </vt:variant>
      <vt:variant>
        <vt:i4>6357043</vt:i4>
      </vt:variant>
      <vt:variant>
        <vt:i4>789</vt:i4>
      </vt:variant>
      <vt:variant>
        <vt:i4>0</vt:i4>
      </vt:variant>
      <vt:variant>
        <vt:i4>5</vt:i4>
      </vt:variant>
      <vt:variant>
        <vt:lpwstr/>
      </vt:variant>
      <vt:variant>
        <vt:lpwstr>_5.4_Prisoners</vt:lpwstr>
      </vt:variant>
      <vt:variant>
        <vt:i4>2490391</vt:i4>
      </vt:variant>
      <vt:variant>
        <vt:i4>786</vt:i4>
      </vt:variant>
      <vt:variant>
        <vt:i4>0</vt:i4>
      </vt:variant>
      <vt:variant>
        <vt:i4>5</vt:i4>
      </vt:variant>
      <vt:variant>
        <vt:lpwstr/>
      </vt:variant>
      <vt:variant>
        <vt:lpwstr>_Transition_Care_Program</vt:lpwstr>
      </vt:variant>
      <vt:variant>
        <vt:i4>4063310</vt:i4>
      </vt:variant>
      <vt:variant>
        <vt:i4>783</vt:i4>
      </vt:variant>
      <vt:variant>
        <vt:i4>0</vt:i4>
      </vt:variant>
      <vt:variant>
        <vt:i4>5</vt:i4>
      </vt:variant>
      <vt:variant>
        <vt:lpwstr/>
      </vt:variant>
      <vt:variant>
        <vt:lpwstr>_Community_(non-admitted)_mental</vt:lpwstr>
      </vt:variant>
      <vt:variant>
        <vt:i4>3604504</vt:i4>
      </vt:variant>
      <vt:variant>
        <vt:i4>780</vt:i4>
      </vt:variant>
      <vt:variant>
        <vt:i4>0</vt:i4>
      </vt:variant>
      <vt:variant>
        <vt:i4>5</vt:i4>
      </vt:variant>
      <vt:variant>
        <vt:lpwstr/>
      </vt:variant>
      <vt:variant>
        <vt:lpwstr>_Mental_Health_Community</vt:lpwstr>
      </vt:variant>
      <vt:variant>
        <vt:i4>2031718</vt:i4>
      </vt:variant>
      <vt:variant>
        <vt:i4>777</vt:i4>
      </vt:variant>
      <vt:variant>
        <vt:i4>0</vt:i4>
      </vt:variant>
      <vt:variant>
        <vt:i4>5</vt:i4>
      </vt:variant>
      <vt:variant>
        <vt:lpwstr/>
      </vt:variant>
      <vt:variant>
        <vt:lpwstr>_4.3_Local_public</vt:lpwstr>
      </vt:variant>
      <vt:variant>
        <vt:i4>1048672</vt:i4>
      </vt:variant>
      <vt:variant>
        <vt:i4>774</vt:i4>
      </vt:variant>
      <vt:variant>
        <vt:i4>0</vt:i4>
      </vt:variant>
      <vt:variant>
        <vt:i4>5</vt:i4>
      </vt:variant>
      <vt:variant>
        <vt:lpwstr/>
      </vt:variant>
      <vt:variant>
        <vt:lpwstr>_4.2_Community_health</vt:lpwstr>
      </vt:variant>
      <vt:variant>
        <vt:i4>393331</vt:i4>
      </vt:variant>
      <vt:variant>
        <vt:i4>771</vt:i4>
      </vt:variant>
      <vt:variant>
        <vt:i4>0</vt:i4>
      </vt:variant>
      <vt:variant>
        <vt:i4>5</vt:i4>
      </vt:variant>
      <vt:variant>
        <vt:lpwstr/>
      </vt:variant>
      <vt:variant>
        <vt:lpwstr>_4.1_Alcohol_and</vt:lpwstr>
      </vt:variant>
      <vt:variant>
        <vt:i4>7536651</vt:i4>
      </vt:variant>
      <vt:variant>
        <vt:i4>768</vt:i4>
      </vt:variant>
      <vt:variant>
        <vt:i4>0</vt:i4>
      </vt:variant>
      <vt:variant>
        <vt:i4>5</vt:i4>
      </vt:variant>
      <vt:variant>
        <vt:lpwstr/>
      </vt:variant>
      <vt:variant>
        <vt:lpwstr>_Ageing,_aged_and</vt:lpwstr>
      </vt:variant>
      <vt:variant>
        <vt:i4>2097172</vt:i4>
      </vt:variant>
      <vt:variant>
        <vt:i4>765</vt:i4>
      </vt:variant>
      <vt:variant>
        <vt:i4>0</vt:i4>
      </vt:variant>
      <vt:variant>
        <vt:i4>5</vt:i4>
      </vt:variant>
      <vt:variant>
        <vt:lpwstr/>
      </vt:variant>
      <vt:variant>
        <vt:lpwstr>_3.14__Victorian</vt:lpwstr>
      </vt:variant>
      <vt:variant>
        <vt:i4>5046374</vt:i4>
      </vt:variant>
      <vt:variant>
        <vt:i4>762</vt:i4>
      </vt:variant>
      <vt:variant>
        <vt:i4>0</vt:i4>
      </vt:variant>
      <vt:variant>
        <vt:i4>5</vt:i4>
      </vt:variant>
      <vt:variant>
        <vt:lpwstr/>
      </vt:variant>
      <vt:variant>
        <vt:lpwstr>_3.13_Training_and</vt:lpwstr>
      </vt:variant>
      <vt:variant>
        <vt:i4>720994</vt:i4>
      </vt:variant>
      <vt:variant>
        <vt:i4>759</vt:i4>
      </vt:variant>
      <vt:variant>
        <vt:i4>0</vt:i4>
      </vt:variant>
      <vt:variant>
        <vt:i4>5</vt:i4>
      </vt:variant>
      <vt:variant>
        <vt:lpwstr/>
      </vt:variant>
      <vt:variant>
        <vt:lpwstr>_3.4_Early_parenting</vt:lpwstr>
      </vt:variant>
      <vt:variant>
        <vt:i4>1507390</vt:i4>
      </vt:variant>
      <vt:variant>
        <vt:i4>756</vt:i4>
      </vt:variant>
      <vt:variant>
        <vt:i4>0</vt:i4>
      </vt:variant>
      <vt:variant>
        <vt:i4>5</vt:i4>
      </vt:variant>
      <vt:variant>
        <vt:lpwstr/>
      </vt:variant>
      <vt:variant>
        <vt:lpwstr>_3.11_Small_rural</vt:lpwstr>
      </vt:variant>
      <vt:variant>
        <vt:i4>5504956</vt:i4>
      </vt:variant>
      <vt:variant>
        <vt:i4>753</vt:i4>
      </vt:variant>
      <vt:variant>
        <vt:i4>0</vt:i4>
      </vt:variant>
      <vt:variant>
        <vt:i4>5</vt:i4>
      </vt:variant>
      <vt:variant>
        <vt:lpwstr/>
      </vt:variant>
      <vt:variant>
        <vt:lpwstr>_3.9￼Mental_health_and</vt:lpwstr>
      </vt:variant>
      <vt:variant>
        <vt:i4>1114165</vt:i4>
      </vt:variant>
      <vt:variant>
        <vt:i4>750</vt:i4>
      </vt:variant>
      <vt:variant>
        <vt:i4>0</vt:i4>
      </vt:variant>
      <vt:variant>
        <vt:i4>5</vt:i4>
      </vt:variant>
      <vt:variant>
        <vt:lpwstr/>
      </vt:variant>
      <vt:variant>
        <vt:lpwstr>_Toc197452693</vt:lpwstr>
      </vt:variant>
      <vt:variant>
        <vt:i4>2162707</vt:i4>
      </vt:variant>
      <vt:variant>
        <vt:i4>747</vt:i4>
      </vt:variant>
      <vt:variant>
        <vt:i4>0</vt:i4>
      </vt:variant>
      <vt:variant>
        <vt:i4>5</vt:i4>
      </vt:variant>
      <vt:variant>
        <vt:lpwstr/>
      </vt:variant>
      <vt:variant>
        <vt:lpwstr>_3.7_High-cost_HSTs</vt:lpwstr>
      </vt:variant>
      <vt:variant>
        <vt:i4>852054</vt:i4>
      </vt:variant>
      <vt:variant>
        <vt:i4>744</vt:i4>
      </vt:variant>
      <vt:variant>
        <vt:i4>0</vt:i4>
      </vt:variant>
      <vt:variant>
        <vt:i4>5</vt:i4>
      </vt:variant>
      <vt:variant>
        <vt:lpwstr/>
      </vt:variant>
      <vt:variant>
        <vt:lpwstr>_2.9_Legacy_and_1</vt:lpwstr>
      </vt:variant>
      <vt:variant>
        <vt:i4>6029394</vt:i4>
      </vt:variant>
      <vt:variant>
        <vt:i4>741</vt:i4>
      </vt:variant>
      <vt:variant>
        <vt:i4>0</vt:i4>
      </vt:variant>
      <vt:variant>
        <vt:i4>5</vt:i4>
      </vt:variant>
      <vt:variant>
        <vt:lpwstr/>
      </vt:variant>
      <vt:variant>
        <vt:lpwstr>_3.10_Radiotherapy</vt:lpwstr>
      </vt:variant>
      <vt:variant>
        <vt:i4>1638521</vt:i4>
      </vt:variant>
      <vt:variant>
        <vt:i4>738</vt:i4>
      </vt:variant>
      <vt:variant>
        <vt:i4>0</vt:i4>
      </vt:variant>
      <vt:variant>
        <vt:i4>5</vt:i4>
      </vt:variant>
      <vt:variant>
        <vt:lpwstr/>
      </vt:variant>
      <vt:variant>
        <vt:lpwstr>_3.6_Genetic_clinical</vt:lpwstr>
      </vt:variant>
      <vt:variant>
        <vt:i4>1114165</vt:i4>
      </vt:variant>
      <vt:variant>
        <vt:i4>735</vt:i4>
      </vt:variant>
      <vt:variant>
        <vt:i4>0</vt:i4>
      </vt:variant>
      <vt:variant>
        <vt:i4>5</vt:i4>
      </vt:variant>
      <vt:variant>
        <vt:lpwstr/>
      </vt:variant>
      <vt:variant>
        <vt:lpwstr>_Toc197452693</vt:lpwstr>
      </vt:variant>
      <vt:variant>
        <vt:i4>720994</vt:i4>
      </vt:variant>
      <vt:variant>
        <vt:i4>732</vt:i4>
      </vt:variant>
      <vt:variant>
        <vt:i4>0</vt:i4>
      </vt:variant>
      <vt:variant>
        <vt:i4>5</vt:i4>
      </vt:variant>
      <vt:variant>
        <vt:lpwstr/>
      </vt:variant>
      <vt:variant>
        <vt:lpwstr>_3.4_Early_parenting</vt:lpwstr>
      </vt:variant>
      <vt:variant>
        <vt:i4>721002</vt:i4>
      </vt:variant>
      <vt:variant>
        <vt:i4>729</vt:i4>
      </vt:variant>
      <vt:variant>
        <vt:i4>0</vt:i4>
      </vt:variant>
      <vt:variant>
        <vt:i4>5</vt:i4>
      </vt:variant>
      <vt:variant>
        <vt:lpwstr/>
      </vt:variant>
      <vt:variant>
        <vt:lpwstr>_3.3_Complex_care</vt:lpwstr>
      </vt:variant>
      <vt:variant>
        <vt:i4>5636142</vt:i4>
      </vt:variant>
      <vt:variant>
        <vt:i4>726</vt:i4>
      </vt:variant>
      <vt:variant>
        <vt:i4>0</vt:i4>
      </vt:variant>
      <vt:variant>
        <vt:i4>5</vt:i4>
      </vt:variant>
      <vt:variant>
        <vt:lpwstr/>
      </vt:variant>
      <vt:variant>
        <vt:lpwstr>_3.9_Mental_health</vt:lpwstr>
      </vt:variant>
      <vt:variant>
        <vt:i4>2949215</vt:i4>
      </vt:variant>
      <vt:variant>
        <vt:i4>723</vt:i4>
      </vt:variant>
      <vt:variant>
        <vt:i4>0</vt:i4>
      </vt:variant>
      <vt:variant>
        <vt:i4>5</vt:i4>
      </vt:variant>
      <vt:variant>
        <vt:lpwstr/>
      </vt:variant>
      <vt:variant>
        <vt:lpwstr>_3.2_Palliative_care</vt:lpwstr>
      </vt:variant>
      <vt:variant>
        <vt:i4>5767214</vt:i4>
      </vt:variant>
      <vt:variant>
        <vt:i4>720</vt:i4>
      </vt:variant>
      <vt:variant>
        <vt:i4>0</vt:i4>
      </vt:variant>
      <vt:variant>
        <vt:i4>5</vt:i4>
      </vt:variant>
      <vt:variant>
        <vt:lpwstr/>
      </vt:variant>
      <vt:variant>
        <vt:lpwstr>_2_Victorian_pricing</vt:lpwstr>
      </vt:variant>
      <vt:variant>
        <vt:i4>5767214</vt:i4>
      </vt:variant>
      <vt:variant>
        <vt:i4>717</vt:i4>
      </vt:variant>
      <vt:variant>
        <vt:i4>0</vt:i4>
      </vt:variant>
      <vt:variant>
        <vt:i4>5</vt:i4>
      </vt:variant>
      <vt:variant>
        <vt:lpwstr/>
      </vt:variant>
      <vt:variant>
        <vt:lpwstr>_2_Victorian_pricing</vt:lpwstr>
      </vt:variant>
      <vt:variant>
        <vt:i4>2883685</vt:i4>
      </vt:variant>
      <vt:variant>
        <vt:i4>711</vt:i4>
      </vt:variant>
      <vt:variant>
        <vt:i4>0</vt:i4>
      </vt:variant>
      <vt:variant>
        <vt:i4>5</vt:i4>
      </vt:variant>
      <vt:variant>
        <vt:lpwstr>https://www.ihacpa.gov.au/health-care/pricing/national-efficient-cost-determination</vt:lpwstr>
      </vt:variant>
      <vt:variant>
        <vt:lpwstr/>
      </vt:variant>
      <vt:variant>
        <vt:i4>1572953</vt:i4>
      </vt:variant>
      <vt:variant>
        <vt:i4>708</vt:i4>
      </vt:variant>
      <vt:variant>
        <vt:i4>0</vt:i4>
      </vt:variant>
      <vt:variant>
        <vt:i4>5</vt:i4>
      </vt:variant>
      <vt:variant>
        <vt:lpwstr>https://www.ihacpa.gov.au/health-care/pricing/national-efficient-price-determination</vt:lpwstr>
      </vt:variant>
      <vt:variant>
        <vt:lpwstr/>
      </vt:variant>
      <vt:variant>
        <vt:i4>1572953</vt:i4>
      </vt:variant>
      <vt:variant>
        <vt:i4>705</vt:i4>
      </vt:variant>
      <vt:variant>
        <vt:i4>0</vt:i4>
      </vt:variant>
      <vt:variant>
        <vt:i4>5</vt:i4>
      </vt:variant>
      <vt:variant>
        <vt:lpwstr>https://www.ihacpa.gov.au/health-care/pricing/national-efficient-price-determination</vt:lpwstr>
      </vt:variant>
      <vt:variant>
        <vt:lpwstr/>
      </vt:variant>
      <vt:variant>
        <vt:i4>3407997</vt:i4>
      </vt:variant>
      <vt:variant>
        <vt:i4>702</vt:i4>
      </vt:variant>
      <vt:variant>
        <vt:i4>0</vt:i4>
      </vt:variant>
      <vt:variant>
        <vt:i4>5</vt:i4>
      </vt:variant>
      <vt:variant>
        <vt:lpwstr>https://ttps//www.health.gov.au/our-work/national-health-reform-agreement-nhra</vt:lpwstr>
      </vt:variant>
      <vt:variant>
        <vt:lpwstr/>
      </vt:variant>
      <vt:variant>
        <vt:i4>4128893</vt:i4>
      </vt:variant>
      <vt:variant>
        <vt:i4>699</vt:i4>
      </vt:variant>
      <vt:variant>
        <vt:i4>0</vt:i4>
      </vt:variant>
      <vt:variant>
        <vt:i4>5</vt:i4>
      </vt:variant>
      <vt:variant>
        <vt:lpwstr>https://providers.dffh.vic.gov.au/families-fairness-housing-health-activity-search</vt:lpwstr>
      </vt:variant>
      <vt:variant>
        <vt:lpwstr/>
      </vt:variant>
      <vt:variant>
        <vt:i4>4587524</vt:i4>
      </vt:variant>
      <vt:variant>
        <vt:i4>696</vt:i4>
      </vt:variant>
      <vt:variant>
        <vt:i4>0</vt:i4>
      </vt:variant>
      <vt:variant>
        <vt:i4>5</vt:i4>
      </vt:variant>
      <vt:variant>
        <vt:lpwstr>https://fac.dffh.vic.gov.au/service-agreement</vt:lpwstr>
      </vt:variant>
      <vt:variant>
        <vt:lpwstr/>
      </vt:variant>
      <vt:variant>
        <vt:i4>8061047</vt:i4>
      </vt:variant>
      <vt:variant>
        <vt:i4>693</vt:i4>
      </vt:variant>
      <vt:variant>
        <vt:i4>0</vt:i4>
      </vt:variant>
      <vt:variant>
        <vt:i4>5</vt:i4>
      </vt:variant>
      <vt:variant>
        <vt:lpwstr>https://www.health.vic.gov.au/policy-and-funding-guidelines-for-health-services</vt:lpwstr>
      </vt:variant>
      <vt:variant>
        <vt:lpwstr/>
      </vt:variant>
      <vt:variant>
        <vt:i4>1441853</vt:i4>
      </vt:variant>
      <vt:variant>
        <vt:i4>683</vt:i4>
      </vt:variant>
      <vt:variant>
        <vt:i4>0</vt:i4>
      </vt:variant>
      <vt:variant>
        <vt:i4>5</vt:i4>
      </vt:variant>
      <vt:variant>
        <vt:lpwstr/>
      </vt:variant>
      <vt:variant>
        <vt:lpwstr>_Toc234580377</vt:lpwstr>
      </vt:variant>
      <vt:variant>
        <vt:i4>1441853</vt:i4>
      </vt:variant>
      <vt:variant>
        <vt:i4>677</vt:i4>
      </vt:variant>
      <vt:variant>
        <vt:i4>0</vt:i4>
      </vt:variant>
      <vt:variant>
        <vt:i4>5</vt:i4>
      </vt:variant>
      <vt:variant>
        <vt:lpwstr/>
      </vt:variant>
      <vt:variant>
        <vt:lpwstr>_Toc234580376</vt:lpwstr>
      </vt:variant>
      <vt:variant>
        <vt:i4>1441853</vt:i4>
      </vt:variant>
      <vt:variant>
        <vt:i4>671</vt:i4>
      </vt:variant>
      <vt:variant>
        <vt:i4>0</vt:i4>
      </vt:variant>
      <vt:variant>
        <vt:i4>5</vt:i4>
      </vt:variant>
      <vt:variant>
        <vt:lpwstr/>
      </vt:variant>
      <vt:variant>
        <vt:lpwstr>_Toc234580375</vt:lpwstr>
      </vt:variant>
      <vt:variant>
        <vt:i4>1441853</vt:i4>
      </vt:variant>
      <vt:variant>
        <vt:i4>665</vt:i4>
      </vt:variant>
      <vt:variant>
        <vt:i4>0</vt:i4>
      </vt:variant>
      <vt:variant>
        <vt:i4>5</vt:i4>
      </vt:variant>
      <vt:variant>
        <vt:lpwstr/>
      </vt:variant>
      <vt:variant>
        <vt:lpwstr>_Toc234580374</vt:lpwstr>
      </vt:variant>
      <vt:variant>
        <vt:i4>1441853</vt:i4>
      </vt:variant>
      <vt:variant>
        <vt:i4>659</vt:i4>
      </vt:variant>
      <vt:variant>
        <vt:i4>0</vt:i4>
      </vt:variant>
      <vt:variant>
        <vt:i4>5</vt:i4>
      </vt:variant>
      <vt:variant>
        <vt:lpwstr/>
      </vt:variant>
      <vt:variant>
        <vt:lpwstr>_Toc234580373</vt:lpwstr>
      </vt:variant>
      <vt:variant>
        <vt:i4>1441853</vt:i4>
      </vt:variant>
      <vt:variant>
        <vt:i4>653</vt:i4>
      </vt:variant>
      <vt:variant>
        <vt:i4>0</vt:i4>
      </vt:variant>
      <vt:variant>
        <vt:i4>5</vt:i4>
      </vt:variant>
      <vt:variant>
        <vt:lpwstr/>
      </vt:variant>
      <vt:variant>
        <vt:lpwstr>_Toc234580372</vt:lpwstr>
      </vt:variant>
      <vt:variant>
        <vt:i4>1441853</vt:i4>
      </vt:variant>
      <vt:variant>
        <vt:i4>647</vt:i4>
      </vt:variant>
      <vt:variant>
        <vt:i4>0</vt:i4>
      </vt:variant>
      <vt:variant>
        <vt:i4>5</vt:i4>
      </vt:variant>
      <vt:variant>
        <vt:lpwstr/>
      </vt:variant>
      <vt:variant>
        <vt:lpwstr>_Toc234580371</vt:lpwstr>
      </vt:variant>
      <vt:variant>
        <vt:i4>1441853</vt:i4>
      </vt:variant>
      <vt:variant>
        <vt:i4>641</vt:i4>
      </vt:variant>
      <vt:variant>
        <vt:i4>0</vt:i4>
      </vt:variant>
      <vt:variant>
        <vt:i4>5</vt:i4>
      </vt:variant>
      <vt:variant>
        <vt:lpwstr/>
      </vt:variant>
      <vt:variant>
        <vt:lpwstr>_Toc234580370</vt:lpwstr>
      </vt:variant>
      <vt:variant>
        <vt:i4>1507389</vt:i4>
      </vt:variant>
      <vt:variant>
        <vt:i4>635</vt:i4>
      </vt:variant>
      <vt:variant>
        <vt:i4>0</vt:i4>
      </vt:variant>
      <vt:variant>
        <vt:i4>5</vt:i4>
      </vt:variant>
      <vt:variant>
        <vt:lpwstr/>
      </vt:variant>
      <vt:variant>
        <vt:lpwstr>_Toc234580369</vt:lpwstr>
      </vt:variant>
      <vt:variant>
        <vt:i4>1507389</vt:i4>
      </vt:variant>
      <vt:variant>
        <vt:i4>629</vt:i4>
      </vt:variant>
      <vt:variant>
        <vt:i4>0</vt:i4>
      </vt:variant>
      <vt:variant>
        <vt:i4>5</vt:i4>
      </vt:variant>
      <vt:variant>
        <vt:lpwstr/>
      </vt:variant>
      <vt:variant>
        <vt:lpwstr>_Toc234580368</vt:lpwstr>
      </vt:variant>
      <vt:variant>
        <vt:i4>1507389</vt:i4>
      </vt:variant>
      <vt:variant>
        <vt:i4>623</vt:i4>
      </vt:variant>
      <vt:variant>
        <vt:i4>0</vt:i4>
      </vt:variant>
      <vt:variant>
        <vt:i4>5</vt:i4>
      </vt:variant>
      <vt:variant>
        <vt:lpwstr/>
      </vt:variant>
      <vt:variant>
        <vt:lpwstr>_Toc234580367</vt:lpwstr>
      </vt:variant>
      <vt:variant>
        <vt:i4>1507389</vt:i4>
      </vt:variant>
      <vt:variant>
        <vt:i4>617</vt:i4>
      </vt:variant>
      <vt:variant>
        <vt:i4>0</vt:i4>
      </vt:variant>
      <vt:variant>
        <vt:i4>5</vt:i4>
      </vt:variant>
      <vt:variant>
        <vt:lpwstr/>
      </vt:variant>
      <vt:variant>
        <vt:lpwstr>_Toc234580366</vt:lpwstr>
      </vt:variant>
      <vt:variant>
        <vt:i4>1507389</vt:i4>
      </vt:variant>
      <vt:variant>
        <vt:i4>611</vt:i4>
      </vt:variant>
      <vt:variant>
        <vt:i4>0</vt:i4>
      </vt:variant>
      <vt:variant>
        <vt:i4>5</vt:i4>
      </vt:variant>
      <vt:variant>
        <vt:lpwstr/>
      </vt:variant>
      <vt:variant>
        <vt:lpwstr>_Toc234580365</vt:lpwstr>
      </vt:variant>
      <vt:variant>
        <vt:i4>1507389</vt:i4>
      </vt:variant>
      <vt:variant>
        <vt:i4>605</vt:i4>
      </vt:variant>
      <vt:variant>
        <vt:i4>0</vt:i4>
      </vt:variant>
      <vt:variant>
        <vt:i4>5</vt:i4>
      </vt:variant>
      <vt:variant>
        <vt:lpwstr/>
      </vt:variant>
      <vt:variant>
        <vt:lpwstr>_Toc234580364</vt:lpwstr>
      </vt:variant>
      <vt:variant>
        <vt:i4>1507389</vt:i4>
      </vt:variant>
      <vt:variant>
        <vt:i4>599</vt:i4>
      </vt:variant>
      <vt:variant>
        <vt:i4>0</vt:i4>
      </vt:variant>
      <vt:variant>
        <vt:i4>5</vt:i4>
      </vt:variant>
      <vt:variant>
        <vt:lpwstr/>
      </vt:variant>
      <vt:variant>
        <vt:lpwstr>_Toc234580363</vt:lpwstr>
      </vt:variant>
      <vt:variant>
        <vt:i4>1507389</vt:i4>
      </vt:variant>
      <vt:variant>
        <vt:i4>593</vt:i4>
      </vt:variant>
      <vt:variant>
        <vt:i4>0</vt:i4>
      </vt:variant>
      <vt:variant>
        <vt:i4>5</vt:i4>
      </vt:variant>
      <vt:variant>
        <vt:lpwstr/>
      </vt:variant>
      <vt:variant>
        <vt:lpwstr>_Toc234580362</vt:lpwstr>
      </vt:variant>
      <vt:variant>
        <vt:i4>1507389</vt:i4>
      </vt:variant>
      <vt:variant>
        <vt:i4>587</vt:i4>
      </vt:variant>
      <vt:variant>
        <vt:i4>0</vt:i4>
      </vt:variant>
      <vt:variant>
        <vt:i4>5</vt:i4>
      </vt:variant>
      <vt:variant>
        <vt:lpwstr/>
      </vt:variant>
      <vt:variant>
        <vt:lpwstr>_Toc234580361</vt:lpwstr>
      </vt:variant>
      <vt:variant>
        <vt:i4>1507389</vt:i4>
      </vt:variant>
      <vt:variant>
        <vt:i4>581</vt:i4>
      </vt:variant>
      <vt:variant>
        <vt:i4>0</vt:i4>
      </vt:variant>
      <vt:variant>
        <vt:i4>5</vt:i4>
      </vt:variant>
      <vt:variant>
        <vt:lpwstr/>
      </vt:variant>
      <vt:variant>
        <vt:lpwstr>_Toc234580360</vt:lpwstr>
      </vt:variant>
      <vt:variant>
        <vt:i4>1310781</vt:i4>
      </vt:variant>
      <vt:variant>
        <vt:i4>575</vt:i4>
      </vt:variant>
      <vt:variant>
        <vt:i4>0</vt:i4>
      </vt:variant>
      <vt:variant>
        <vt:i4>5</vt:i4>
      </vt:variant>
      <vt:variant>
        <vt:lpwstr/>
      </vt:variant>
      <vt:variant>
        <vt:lpwstr>_Toc234580359</vt:lpwstr>
      </vt:variant>
      <vt:variant>
        <vt:i4>1310781</vt:i4>
      </vt:variant>
      <vt:variant>
        <vt:i4>569</vt:i4>
      </vt:variant>
      <vt:variant>
        <vt:i4>0</vt:i4>
      </vt:variant>
      <vt:variant>
        <vt:i4>5</vt:i4>
      </vt:variant>
      <vt:variant>
        <vt:lpwstr/>
      </vt:variant>
      <vt:variant>
        <vt:lpwstr>_Toc234580358</vt:lpwstr>
      </vt:variant>
      <vt:variant>
        <vt:i4>1310781</vt:i4>
      </vt:variant>
      <vt:variant>
        <vt:i4>563</vt:i4>
      </vt:variant>
      <vt:variant>
        <vt:i4>0</vt:i4>
      </vt:variant>
      <vt:variant>
        <vt:i4>5</vt:i4>
      </vt:variant>
      <vt:variant>
        <vt:lpwstr/>
      </vt:variant>
      <vt:variant>
        <vt:lpwstr>_Toc234580357</vt:lpwstr>
      </vt:variant>
      <vt:variant>
        <vt:i4>1310781</vt:i4>
      </vt:variant>
      <vt:variant>
        <vt:i4>557</vt:i4>
      </vt:variant>
      <vt:variant>
        <vt:i4>0</vt:i4>
      </vt:variant>
      <vt:variant>
        <vt:i4>5</vt:i4>
      </vt:variant>
      <vt:variant>
        <vt:lpwstr/>
      </vt:variant>
      <vt:variant>
        <vt:lpwstr>_Toc234580356</vt:lpwstr>
      </vt:variant>
      <vt:variant>
        <vt:i4>1310781</vt:i4>
      </vt:variant>
      <vt:variant>
        <vt:i4>551</vt:i4>
      </vt:variant>
      <vt:variant>
        <vt:i4>0</vt:i4>
      </vt:variant>
      <vt:variant>
        <vt:i4>5</vt:i4>
      </vt:variant>
      <vt:variant>
        <vt:lpwstr/>
      </vt:variant>
      <vt:variant>
        <vt:lpwstr>_Toc234580355</vt:lpwstr>
      </vt:variant>
      <vt:variant>
        <vt:i4>1310781</vt:i4>
      </vt:variant>
      <vt:variant>
        <vt:i4>545</vt:i4>
      </vt:variant>
      <vt:variant>
        <vt:i4>0</vt:i4>
      </vt:variant>
      <vt:variant>
        <vt:i4>5</vt:i4>
      </vt:variant>
      <vt:variant>
        <vt:lpwstr/>
      </vt:variant>
      <vt:variant>
        <vt:lpwstr>_Toc234580354</vt:lpwstr>
      </vt:variant>
      <vt:variant>
        <vt:i4>1310781</vt:i4>
      </vt:variant>
      <vt:variant>
        <vt:i4>539</vt:i4>
      </vt:variant>
      <vt:variant>
        <vt:i4>0</vt:i4>
      </vt:variant>
      <vt:variant>
        <vt:i4>5</vt:i4>
      </vt:variant>
      <vt:variant>
        <vt:lpwstr/>
      </vt:variant>
      <vt:variant>
        <vt:lpwstr>_Toc234580353</vt:lpwstr>
      </vt:variant>
      <vt:variant>
        <vt:i4>1310781</vt:i4>
      </vt:variant>
      <vt:variant>
        <vt:i4>533</vt:i4>
      </vt:variant>
      <vt:variant>
        <vt:i4>0</vt:i4>
      </vt:variant>
      <vt:variant>
        <vt:i4>5</vt:i4>
      </vt:variant>
      <vt:variant>
        <vt:lpwstr/>
      </vt:variant>
      <vt:variant>
        <vt:lpwstr>_Toc234580352</vt:lpwstr>
      </vt:variant>
      <vt:variant>
        <vt:i4>1310781</vt:i4>
      </vt:variant>
      <vt:variant>
        <vt:i4>527</vt:i4>
      </vt:variant>
      <vt:variant>
        <vt:i4>0</vt:i4>
      </vt:variant>
      <vt:variant>
        <vt:i4>5</vt:i4>
      </vt:variant>
      <vt:variant>
        <vt:lpwstr/>
      </vt:variant>
      <vt:variant>
        <vt:lpwstr>_Toc234580351</vt:lpwstr>
      </vt:variant>
      <vt:variant>
        <vt:i4>1310781</vt:i4>
      </vt:variant>
      <vt:variant>
        <vt:i4>521</vt:i4>
      </vt:variant>
      <vt:variant>
        <vt:i4>0</vt:i4>
      </vt:variant>
      <vt:variant>
        <vt:i4>5</vt:i4>
      </vt:variant>
      <vt:variant>
        <vt:lpwstr/>
      </vt:variant>
      <vt:variant>
        <vt:lpwstr>_Toc234580350</vt:lpwstr>
      </vt:variant>
      <vt:variant>
        <vt:i4>1376317</vt:i4>
      </vt:variant>
      <vt:variant>
        <vt:i4>515</vt:i4>
      </vt:variant>
      <vt:variant>
        <vt:i4>0</vt:i4>
      </vt:variant>
      <vt:variant>
        <vt:i4>5</vt:i4>
      </vt:variant>
      <vt:variant>
        <vt:lpwstr/>
      </vt:variant>
      <vt:variant>
        <vt:lpwstr>_Toc234580349</vt:lpwstr>
      </vt:variant>
      <vt:variant>
        <vt:i4>1376317</vt:i4>
      </vt:variant>
      <vt:variant>
        <vt:i4>509</vt:i4>
      </vt:variant>
      <vt:variant>
        <vt:i4>0</vt:i4>
      </vt:variant>
      <vt:variant>
        <vt:i4>5</vt:i4>
      </vt:variant>
      <vt:variant>
        <vt:lpwstr/>
      </vt:variant>
      <vt:variant>
        <vt:lpwstr>_Toc234580348</vt:lpwstr>
      </vt:variant>
      <vt:variant>
        <vt:i4>1376317</vt:i4>
      </vt:variant>
      <vt:variant>
        <vt:i4>503</vt:i4>
      </vt:variant>
      <vt:variant>
        <vt:i4>0</vt:i4>
      </vt:variant>
      <vt:variant>
        <vt:i4>5</vt:i4>
      </vt:variant>
      <vt:variant>
        <vt:lpwstr/>
      </vt:variant>
      <vt:variant>
        <vt:lpwstr>_Toc234580347</vt:lpwstr>
      </vt:variant>
      <vt:variant>
        <vt:i4>1376317</vt:i4>
      </vt:variant>
      <vt:variant>
        <vt:i4>497</vt:i4>
      </vt:variant>
      <vt:variant>
        <vt:i4>0</vt:i4>
      </vt:variant>
      <vt:variant>
        <vt:i4>5</vt:i4>
      </vt:variant>
      <vt:variant>
        <vt:lpwstr/>
      </vt:variant>
      <vt:variant>
        <vt:lpwstr>_Toc234580346</vt:lpwstr>
      </vt:variant>
      <vt:variant>
        <vt:i4>1376317</vt:i4>
      </vt:variant>
      <vt:variant>
        <vt:i4>491</vt:i4>
      </vt:variant>
      <vt:variant>
        <vt:i4>0</vt:i4>
      </vt:variant>
      <vt:variant>
        <vt:i4>5</vt:i4>
      </vt:variant>
      <vt:variant>
        <vt:lpwstr/>
      </vt:variant>
      <vt:variant>
        <vt:lpwstr>_Toc234580345</vt:lpwstr>
      </vt:variant>
      <vt:variant>
        <vt:i4>1376317</vt:i4>
      </vt:variant>
      <vt:variant>
        <vt:i4>485</vt:i4>
      </vt:variant>
      <vt:variant>
        <vt:i4>0</vt:i4>
      </vt:variant>
      <vt:variant>
        <vt:i4>5</vt:i4>
      </vt:variant>
      <vt:variant>
        <vt:lpwstr/>
      </vt:variant>
      <vt:variant>
        <vt:lpwstr>_Toc234580344</vt:lpwstr>
      </vt:variant>
      <vt:variant>
        <vt:i4>1376317</vt:i4>
      </vt:variant>
      <vt:variant>
        <vt:i4>479</vt:i4>
      </vt:variant>
      <vt:variant>
        <vt:i4>0</vt:i4>
      </vt:variant>
      <vt:variant>
        <vt:i4>5</vt:i4>
      </vt:variant>
      <vt:variant>
        <vt:lpwstr/>
      </vt:variant>
      <vt:variant>
        <vt:lpwstr>_Toc234580343</vt:lpwstr>
      </vt:variant>
      <vt:variant>
        <vt:i4>1376317</vt:i4>
      </vt:variant>
      <vt:variant>
        <vt:i4>473</vt:i4>
      </vt:variant>
      <vt:variant>
        <vt:i4>0</vt:i4>
      </vt:variant>
      <vt:variant>
        <vt:i4>5</vt:i4>
      </vt:variant>
      <vt:variant>
        <vt:lpwstr/>
      </vt:variant>
      <vt:variant>
        <vt:lpwstr>_Toc234580342</vt:lpwstr>
      </vt:variant>
      <vt:variant>
        <vt:i4>1376317</vt:i4>
      </vt:variant>
      <vt:variant>
        <vt:i4>467</vt:i4>
      </vt:variant>
      <vt:variant>
        <vt:i4>0</vt:i4>
      </vt:variant>
      <vt:variant>
        <vt:i4>5</vt:i4>
      </vt:variant>
      <vt:variant>
        <vt:lpwstr/>
      </vt:variant>
      <vt:variant>
        <vt:lpwstr>_Toc234580341</vt:lpwstr>
      </vt:variant>
      <vt:variant>
        <vt:i4>1376317</vt:i4>
      </vt:variant>
      <vt:variant>
        <vt:i4>461</vt:i4>
      </vt:variant>
      <vt:variant>
        <vt:i4>0</vt:i4>
      </vt:variant>
      <vt:variant>
        <vt:i4>5</vt:i4>
      </vt:variant>
      <vt:variant>
        <vt:lpwstr/>
      </vt:variant>
      <vt:variant>
        <vt:lpwstr>_Toc234580340</vt:lpwstr>
      </vt:variant>
      <vt:variant>
        <vt:i4>1179709</vt:i4>
      </vt:variant>
      <vt:variant>
        <vt:i4>455</vt:i4>
      </vt:variant>
      <vt:variant>
        <vt:i4>0</vt:i4>
      </vt:variant>
      <vt:variant>
        <vt:i4>5</vt:i4>
      </vt:variant>
      <vt:variant>
        <vt:lpwstr/>
      </vt:variant>
      <vt:variant>
        <vt:lpwstr>_Toc234580339</vt:lpwstr>
      </vt:variant>
      <vt:variant>
        <vt:i4>1179709</vt:i4>
      </vt:variant>
      <vt:variant>
        <vt:i4>449</vt:i4>
      </vt:variant>
      <vt:variant>
        <vt:i4>0</vt:i4>
      </vt:variant>
      <vt:variant>
        <vt:i4>5</vt:i4>
      </vt:variant>
      <vt:variant>
        <vt:lpwstr/>
      </vt:variant>
      <vt:variant>
        <vt:lpwstr>_Toc234580338</vt:lpwstr>
      </vt:variant>
      <vt:variant>
        <vt:i4>1179709</vt:i4>
      </vt:variant>
      <vt:variant>
        <vt:i4>443</vt:i4>
      </vt:variant>
      <vt:variant>
        <vt:i4>0</vt:i4>
      </vt:variant>
      <vt:variant>
        <vt:i4>5</vt:i4>
      </vt:variant>
      <vt:variant>
        <vt:lpwstr/>
      </vt:variant>
      <vt:variant>
        <vt:lpwstr>_Toc234580337</vt:lpwstr>
      </vt:variant>
      <vt:variant>
        <vt:i4>1179709</vt:i4>
      </vt:variant>
      <vt:variant>
        <vt:i4>437</vt:i4>
      </vt:variant>
      <vt:variant>
        <vt:i4>0</vt:i4>
      </vt:variant>
      <vt:variant>
        <vt:i4>5</vt:i4>
      </vt:variant>
      <vt:variant>
        <vt:lpwstr/>
      </vt:variant>
      <vt:variant>
        <vt:lpwstr>_Toc234580336</vt:lpwstr>
      </vt:variant>
      <vt:variant>
        <vt:i4>1179709</vt:i4>
      </vt:variant>
      <vt:variant>
        <vt:i4>431</vt:i4>
      </vt:variant>
      <vt:variant>
        <vt:i4>0</vt:i4>
      </vt:variant>
      <vt:variant>
        <vt:i4>5</vt:i4>
      </vt:variant>
      <vt:variant>
        <vt:lpwstr/>
      </vt:variant>
      <vt:variant>
        <vt:lpwstr>_Toc234580335</vt:lpwstr>
      </vt:variant>
      <vt:variant>
        <vt:i4>1179709</vt:i4>
      </vt:variant>
      <vt:variant>
        <vt:i4>425</vt:i4>
      </vt:variant>
      <vt:variant>
        <vt:i4>0</vt:i4>
      </vt:variant>
      <vt:variant>
        <vt:i4>5</vt:i4>
      </vt:variant>
      <vt:variant>
        <vt:lpwstr/>
      </vt:variant>
      <vt:variant>
        <vt:lpwstr>_Toc234580334</vt:lpwstr>
      </vt:variant>
      <vt:variant>
        <vt:i4>1245245</vt:i4>
      </vt:variant>
      <vt:variant>
        <vt:i4>419</vt:i4>
      </vt:variant>
      <vt:variant>
        <vt:i4>0</vt:i4>
      </vt:variant>
      <vt:variant>
        <vt:i4>5</vt:i4>
      </vt:variant>
      <vt:variant>
        <vt:lpwstr/>
      </vt:variant>
      <vt:variant>
        <vt:lpwstr>_Toc234580328</vt:lpwstr>
      </vt:variant>
      <vt:variant>
        <vt:i4>1245245</vt:i4>
      </vt:variant>
      <vt:variant>
        <vt:i4>413</vt:i4>
      </vt:variant>
      <vt:variant>
        <vt:i4>0</vt:i4>
      </vt:variant>
      <vt:variant>
        <vt:i4>5</vt:i4>
      </vt:variant>
      <vt:variant>
        <vt:lpwstr/>
      </vt:variant>
      <vt:variant>
        <vt:lpwstr>_Toc234580327</vt:lpwstr>
      </vt:variant>
      <vt:variant>
        <vt:i4>1245245</vt:i4>
      </vt:variant>
      <vt:variant>
        <vt:i4>407</vt:i4>
      </vt:variant>
      <vt:variant>
        <vt:i4>0</vt:i4>
      </vt:variant>
      <vt:variant>
        <vt:i4>5</vt:i4>
      </vt:variant>
      <vt:variant>
        <vt:lpwstr/>
      </vt:variant>
      <vt:variant>
        <vt:lpwstr>_Toc234580326</vt:lpwstr>
      </vt:variant>
      <vt:variant>
        <vt:i4>1245245</vt:i4>
      </vt:variant>
      <vt:variant>
        <vt:i4>401</vt:i4>
      </vt:variant>
      <vt:variant>
        <vt:i4>0</vt:i4>
      </vt:variant>
      <vt:variant>
        <vt:i4>5</vt:i4>
      </vt:variant>
      <vt:variant>
        <vt:lpwstr/>
      </vt:variant>
      <vt:variant>
        <vt:lpwstr>_Toc234580325</vt:lpwstr>
      </vt:variant>
      <vt:variant>
        <vt:i4>1245245</vt:i4>
      </vt:variant>
      <vt:variant>
        <vt:i4>395</vt:i4>
      </vt:variant>
      <vt:variant>
        <vt:i4>0</vt:i4>
      </vt:variant>
      <vt:variant>
        <vt:i4>5</vt:i4>
      </vt:variant>
      <vt:variant>
        <vt:lpwstr/>
      </vt:variant>
      <vt:variant>
        <vt:lpwstr>_Toc234580324</vt:lpwstr>
      </vt:variant>
      <vt:variant>
        <vt:i4>1245245</vt:i4>
      </vt:variant>
      <vt:variant>
        <vt:i4>389</vt:i4>
      </vt:variant>
      <vt:variant>
        <vt:i4>0</vt:i4>
      </vt:variant>
      <vt:variant>
        <vt:i4>5</vt:i4>
      </vt:variant>
      <vt:variant>
        <vt:lpwstr/>
      </vt:variant>
      <vt:variant>
        <vt:lpwstr>_Toc234580323</vt:lpwstr>
      </vt:variant>
      <vt:variant>
        <vt:i4>1245245</vt:i4>
      </vt:variant>
      <vt:variant>
        <vt:i4>383</vt:i4>
      </vt:variant>
      <vt:variant>
        <vt:i4>0</vt:i4>
      </vt:variant>
      <vt:variant>
        <vt:i4>5</vt:i4>
      </vt:variant>
      <vt:variant>
        <vt:lpwstr/>
      </vt:variant>
      <vt:variant>
        <vt:lpwstr>_Toc234580322</vt:lpwstr>
      </vt:variant>
      <vt:variant>
        <vt:i4>1245245</vt:i4>
      </vt:variant>
      <vt:variant>
        <vt:i4>377</vt:i4>
      </vt:variant>
      <vt:variant>
        <vt:i4>0</vt:i4>
      </vt:variant>
      <vt:variant>
        <vt:i4>5</vt:i4>
      </vt:variant>
      <vt:variant>
        <vt:lpwstr/>
      </vt:variant>
      <vt:variant>
        <vt:lpwstr>_Toc234580321</vt:lpwstr>
      </vt:variant>
      <vt:variant>
        <vt:i4>1245245</vt:i4>
      </vt:variant>
      <vt:variant>
        <vt:i4>371</vt:i4>
      </vt:variant>
      <vt:variant>
        <vt:i4>0</vt:i4>
      </vt:variant>
      <vt:variant>
        <vt:i4>5</vt:i4>
      </vt:variant>
      <vt:variant>
        <vt:lpwstr/>
      </vt:variant>
      <vt:variant>
        <vt:lpwstr>_Toc234580320</vt:lpwstr>
      </vt:variant>
      <vt:variant>
        <vt:i4>1048637</vt:i4>
      </vt:variant>
      <vt:variant>
        <vt:i4>365</vt:i4>
      </vt:variant>
      <vt:variant>
        <vt:i4>0</vt:i4>
      </vt:variant>
      <vt:variant>
        <vt:i4>5</vt:i4>
      </vt:variant>
      <vt:variant>
        <vt:lpwstr/>
      </vt:variant>
      <vt:variant>
        <vt:lpwstr>_Toc234580319</vt:lpwstr>
      </vt:variant>
      <vt:variant>
        <vt:i4>1048637</vt:i4>
      </vt:variant>
      <vt:variant>
        <vt:i4>359</vt:i4>
      </vt:variant>
      <vt:variant>
        <vt:i4>0</vt:i4>
      </vt:variant>
      <vt:variant>
        <vt:i4>5</vt:i4>
      </vt:variant>
      <vt:variant>
        <vt:lpwstr/>
      </vt:variant>
      <vt:variant>
        <vt:lpwstr>_Toc234580318</vt:lpwstr>
      </vt:variant>
      <vt:variant>
        <vt:i4>1048637</vt:i4>
      </vt:variant>
      <vt:variant>
        <vt:i4>353</vt:i4>
      </vt:variant>
      <vt:variant>
        <vt:i4>0</vt:i4>
      </vt:variant>
      <vt:variant>
        <vt:i4>5</vt:i4>
      </vt:variant>
      <vt:variant>
        <vt:lpwstr/>
      </vt:variant>
      <vt:variant>
        <vt:lpwstr>_Toc234580317</vt:lpwstr>
      </vt:variant>
      <vt:variant>
        <vt:i4>1048637</vt:i4>
      </vt:variant>
      <vt:variant>
        <vt:i4>347</vt:i4>
      </vt:variant>
      <vt:variant>
        <vt:i4>0</vt:i4>
      </vt:variant>
      <vt:variant>
        <vt:i4>5</vt:i4>
      </vt:variant>
      <vt:variant>
        <vt:lpwstr/>
      </vt:variant>
      <vt:variant>
        <vt:lpwstr>_Toc234580316</vt:lpwstr>
      </vt:variant>
      <vt:variant>
        <vt:i4>1048637</vt:i4>
      </vt:variant>
      <vt:variant>
        <vt:i4>341</vt:i4>
      </vt:variant>
      <vt:variant>
        <vt:i4>0</vt:i4>
      </vt:variant>
      <vt:variant>
        <vt:i4>5</vt:i4>
      </vt:variant>
      <vt:variant>
        <vt:lpwstr/>
      </vt:variant>
      <vt:variant>
        <vt:lpwstr>_Toc234580315</vt:lpwstr>
      </vt:variant>
      <vt:variant>
        <vt:i4>1048637</vt:i4>
      </vt:variant>
      <vt:variant>
        <vt:i4>335</vt:i4>
      </vt:variant>
      <vt:variant>
        <vt:i4>0</vt:i4>
      </vt:variant>
      <vt:variant>
        <vt:i4>5</vt:i4>
      </vt:variant>
      <vt:variant>
        <vt:lpwstr/>
      </vt:variant>
      <vt:variant>
        <vt:lpwstr>_Toc234580314</vt:lpwstr>
      </vt:variant>
      <vt:variant>
        <vt:i4>1048637</vt:i4>
      </vt:variant>
      <vt:variant>
        <vt:i4>329</vt:i4>
      </vt:variant>
      <vt:variant>
        <vt:i4>0</vt:i4>
      </vt:variant>
      <vt:variant>
        <vt:i4>5</vt:i4>
      </vt:variant>
      <vt:variant>
        <vt:lpwstr/>
      </vt:variant>
      <vt:variant>
        <vt:lpwstr>_Toc234580313</vt:lpwstr>
      </vt:variant>
      <vt:variant>
        <vt:i4>1048637</vt:i4>
      </vt:variant>
      <vt:variant>
        <vt:i4>323</vt:i4>
      </vt:variant>
      <vt:variant>
        <vt:i4>0</vt:i4>
      </vt:variant>
      <vt:variant>
        <vt:i4>5</vt:i4>
      </vt:variant>
      <vt:variant>
        <vt:lpwstr/>
      </vt:variant>
      <vt:variant>
        <vt:lpwstr>_Toc234580312</vt:lpwstr>
      </vt:variant>
      <vt:variant>
        <vt:i4>1048637</vt:i4>
      </vt:variant>
      <vt:variant>
        <vt:i4>317</vt:i4>
      </vt:variant>
      <vt:variant>
        <vt:i4>0</vt:i4>
      </vt:variant>
      <vt:variant>
        <vt:i4>5</vt:i4>
      </vt:variant>
      <vt:variant>
        <vt:lpwstr/>
      </vt:variant>
      <vt:variant>
        <vt:lpwstr>_Toc234580311</vt:lpwstr>
      </vt:variant>
      <vt:variant>
        <vt:i4>1114173</vt:i4>
      </vt:variant>
      <vt:variant>
        <vt:i4>311</vt:i4>
      </vt:variant>
      <vt:variant>
        <vt:i4>0</vt:i4>
      </vt:variant>
      <vt:variant>
        <vt:i4>5</vt:i4>
      </vt:variant>
      <vt:variant>
        <vt:lpwstr/>
      </vt:variant>
      <vt:variant>
        <vt:lpwstr>_Toc234580308</vt:lpwstr>
      </vt:variant>
      <vt:variant>
        <vt:i4>1114173</vt:i4>
      </vt:variant>
      <vt:variant>
        <vt:i4>305</vt:i4>
      </vt:variant>
      <vt:variant>
        <vt:i4>0</vt:i4>
      </vt:variant>
      <vt:variant>
        <vt:i4>5</vt:i4>
      </vt:variant>
      <vt:variant>
        <vt:lpwstr/>
      </vt:variant>
      <vt:variant>
        <vt:lpwstr>_Toc234580307</vt:lpwstr>
      </vt:variant>
      <vt:variant>
        <vt:i4>1114173</vt:i4>
      </vt:variant>
      <vt:variant>
        <vt:i4>299</vt:i4>
      </vt:variant>
      <vt:variant>
        <vt:i4>0</vt:i4>
      </vt:variant>
      <vt:variant>
        <vt:i4>5</vt:i4>
      </vt:variant>
      <vt:variant>
        <vt:lpwstr/>
      </vt:variant>
      <vt:variant>
        <vt:lpwstr>_Toc234580306</vt:lpwstr>
      </vt:variant>
      <vt:variant>
        <vt:i4>1114173</vt:i4>
      </vt:variant>
      <vt:variant>
        <vt:i4>293</vt:i4>
      </vt:variant>
      <vt:variant>
        <vt:i4>0</vt:i4>
      </vt:variant>
      <vt:variant>
        <vt:i4>5</vt:i4>
      </vt:variant>
      <vt:variant>
        <vt:lpwstr/>
      </vt:variant>
      <vt:variant>
        <vt:lpwstr>_Toc234580305</vt:lpwstr>
      </vt:variant>
      <vt:variant>
        <vt:i4>1114173</vt:i4>
      </vt:variant>
      <vt:variant>
        <vt:i4>287</vt:i4>
      </vt:variant>
      <vt:variant>
        <vt:i4>0</vt:i4>
      </vt:variant>
      <vt:variant>
        <vt:i4>5</vt:i4>
      </vt:variant>
      <vt:variant>
        <vt:lpwstr/>
      </vt:variant>
      <vt:variant>
        <vt:lpwstr>_Toc234580304</vt:lpwstr>
      </vt:variant>
      <vt:variant>
        <vt:i4>1114173</vt:i4>
      </vt:variant>
      <vt:variant>
        <vt:i4>281</vt:i4>
      </vt:variant>
      <vt:variant>
        <vt:i4>0</vt:i4>
      </vt:variant>
      <vt:variant>
        <vt:i4>5</vt:i4>
      </vt:variant>
      <vt:variant>
        <vt:lpwstr/>
      </vt:variant>
      <vt:variant>
        <vt:lpwstr>_Toc234580303</vt:lpwstr>
      </vt:variant>
      <vt:variant>
        <vt:i4>1114173</vt:i4>
      </vt:variant>
      <vt:variant>
        <vt:i4>275</vt:i4>
      </vt:variant>
      <vt:variant>
        <vt:i4>0</vt:i4>
      </vt:variant>
      <vt:variant>
        <vt:i4>5</vt:i4>
      </vt:variant>
      <vt:variant>
        <vt:lpwstr/>
      </vt:variant>
      <vt:variant>
        <vt:lpwstr>_Toc234580302</vt:lpwstr>
      </vt:variant>
      <vt:variant>
        <vt:i4>1114173</vt:i4>
      </vt:variant>
      <vt:variant>
        <vt:i4>269</vt:i4>
      </vt:variant>
      <vt:variant>
        <vt:i4>0</vt:i4>
      </vt:variant>
      <vt:variant>
        <vt:i4>5</vt:i4>
      </vt:variant>
      <vt:variant>
        <vt:lpwstr/>
      </vt:variant>
      <vt:variant>
        <vt:lpwstr>_Toc234580301</vt:lpwstr>
      </vt:variant>
      <vt:variant>
        <vt:i4>1114173</vt:i4>
      </vt:variant>
      <vt:variant>
        <vt:i4>263</vt:i4>
      </vt:variant>
      <vt:variant>
        <vt:i4>0</vt:i4>
      </vt:variant>
      <vt:variant>
        <vt:i4>5</vt:i4>
      </vt:variant>
      <vt:variant>
        <vt:lpwstr/>
      </vt:variant>
      <vt:variant>
        <vt:lpwstr>_Toc234580300</vt:lpwstr>
      </vt:variant>
      <vt:variant>
        <vt:i4>1572924</vt:i4>
      </vt:variant>
      <vt:variant>
        <vt:i4>257</vt:i4>
      </vt:variant>
      <vt:variant>
        <vt:i4>0</vt:i4>
      </vt:variant>
      <vt:variant>
        <vt:i4>5</vt:i4>
      </vt:variant>
      <vt:variant>
        <vt:lpwstr/>
      </vt:variant>
      <vt:variant>
        <vt:lpwstr>_Toc234580299</vt:lpwstr>
      </vt:variant>
      <vt:variant>
        <vt:i4>1572924</vt:i4>
      </vt:variant>
      <vt:variant>
        <vt:i4>251</vt:i4>
      </vt:variant>
      <vt:variant>
        <vt:i4>0</vt:i4>
      </vt:variant>
      <vt:variant>
        <vt:i4>5</vt:i4>
      </vt:variant>
      <vt:variant>
        <vt:lpwstr/>
      </vt:variant>
      <vt:variant>
        <vt:lpwstr>_Toc234580298</vt:lpwstr>
      </vt:variant>
      <vt:variant>
        <vt:i4>1572924</vt:i4>
      </vt:variant>
      <vt:variant>
        <vt:i4>245</vt:i4>
      </vt:variant>
      <vt:variant>
        <vt:i4>0</vt:i4>
      </vt:variant>
      <vt:variant>
        <vt:i4>5</vt:i4>
      </vt:variant>
      <vt:variant>
        <vt:lpwstr/>
      </vt:variant>
      <vt:variant>
        <vt:lpwstr>_Toc234580297</vt:lpwstr>
      </vt:variant>
      <vt:variant>
        <vt:i4>1572924</vt:i4>
      </vt:variant>
      <vt:variant>
        <vt:i4>239</vt:i4>
      </vt:variant>
      <vt:variant>
        <vt:i4>0</vt:i4>
      </vt:variant>
      <vt:variant>
        <vt:i4>5</vt:i4>
      </vt:variant>
      <vt:variant>
        <vt:lpwstr/>
      </vt:variant>
      <vt:variant>
        <vt:lpwstr>_Toc234580294</vt:lpwstr>
      </vt:variant>
      <vt:variant>
        <vt:i4>1572924</vt:i4>
      </vt:variant>
      <vt:variant>
        <vt:i4>233</vt:i4>
      </vt:variant>
      <vt:variant>
        <vt:i4>0</vt:i4>
      </vt:variant>
      <vt:variant>
        <vt:i4>5</vt:i4>
      </vt:variant>
      <vt:variant>
        <vt:lpwstr/>
      </vt:variant>
      <vt:variant>
        <vt:lpwstr>_Toc234580293</vt:lpwstr>
      </vt:variant>
      <vt:variant>
        <vt:i4>1572924</vt:i4>
      </vt:variant>
      <vt:variant>
        <vt:i4>227</vt:i4>
      </vt:variant>
      <vt:variant>
        <vt:i4>0</vt:i4>
      </vt:variant>
      <vt:variant>
        <vt:i4>5</vt:i4>
      </vt:variant>
      <vt:variant>
        <vt:lpwstr/>
      </vt:variant>
      <vt:variant>
        <vt:lpwstr>_Toc234580292</vt:lpwstr>
      </vt:variant>
      <vt:variant>
        <vt:i4>1572924</vt:i4>
      </vt:variant>
      <vt:variant>
        <vt:i4>221</vt:i4>
      </vt:variant>
      <vt:variant>
        <vt:i4>0</vt:i4>
      </vt:variant>
      <vt:variant>
        <vt:i4>5</vt:i4>
      </vt:variant>
      <vt:variant>
        <vt:lpwstr/>
      </vt:variant>
      <vt:variant>
        <vt:lpwstr>_Toc234580291</vt:lpwstr>
      </vt:variant>
      <vt:variant>
        <vt:i4>1572924</vt:i4>
      </vt:variant>
      <vt:variant>
        <vt:i4>215</vt:i4>
      </vt:variant>
      <vt:variant>
        <vt:i4>0</vt:i4>
      </vt:variant>
      <vt:variant>
        <vt:i4>5</vt:i4>
      </vt:variant>
      <vt:variant>
        <vt:lpwstr/>
      </vt:variant>
      <vt:variant>
        <vt:lpwstr>_Toc234580290</vt:lpwstr>
      </vt:variant>
      <vt:variant>
        <vt:i4>1638460</vt:i4>
      </vt:variant>
      <vt:variant>
        <vt:i4>209</vt:i4>
      </vt:variant>
      <vt:variant>
        <vt:i4>0</vt:i4>
      </vt:variant>
      <vt:variant>
        <vt:i4>5</vt:i4>
      </vt:variant>
      <vt:variant>
        <vt:lpwstr/>
      </vt:variant>
      <vt:variant>
        <vt:lpwstr>_Toc234580289</vt:lpwstr>
      </vt:variant>
      <vt:variant>
        <vt:i4>1638460</vt:i4>
      </vt:variant>
      <vt:variant>
        <vt:i4>203</vt:i4>
      </vt:variant>
      <vt:variant>
        <vt:i4>0</vt:i4>
      </vt:variant>
      <vt:variant>
        <vt:i4>5</vt:i4>
      </vt:variant>
      <vt:variant>
        <vt:lpwstr/>
      </vt:variant>
      <vt:variant>
        <vt:lpwstr>_Toc234580288</vt:lpwstr>
      </vt:variant>
      <vt:variant>
        <vt:i4>1638460</vt:i4>
      </vt:variant>
      <vt:variant>
        <vt:i4>197</vt:i4>
      </vt:variant>
      <vt:variant>
        <vt:i4>0</vt:i4>
      </vt:variant>
      <vt:variant>
        <vt:i4>5</vt:i4>
      </vt:variant>
      <vt:variant>
        <vt:lpwstr/>
      </vt:variant>
      <vt:variant>
        <vt:lpwstr>_Toc234580287</vt:lpwstr>
      </vt:variant>
      <vt:variant>
        <vt:i4>1638460</vt:i4>
      </vt:variant>
      <vt:variant>
        <vt:i4>191</vt:i4>
      </vt:variant>
      <vt:variant>
        <vt:i4>0</vt:i4>
      </vt:variant>
      <vt:variant>
        <vt:i4>5</vt:i4>
      </vt:variant>
      <vt:variant>
        <vt:lpwstr/>
      </vt:variant>
      <vt:variant>
        <vt:lpwstr>_Toc234580286</vt:lpwstr>
      </vt:variant>
      <vt:variant>
        <vt:i4>1638460</vt:i4>
      </vt:variant>
      <vt:variant>
        <vt:i4>185</vt:i4>
      </vt:variant>
      <vt:variant>
        <vt:i4>0</vt:i4>
      </vt:variant>
      <vt:variant>
        <vt:i4>5</vt:i4>
      </vt:variant>
      <vt:variant>
        <vt:lpwstr/>
      </vt:variant>
      <vt:variant>
        <vt:lpwstr>_Toc234580285</vt:lpwstr>
      </vt:variant>
      <vt:variant>
        <vt:i4>1638460</vt:i4>
      </vt:variant>
      <vt:variant>
        <vt:i4>179</vt:i4>
      </vt:variant>
      <vt:variant>
        <vt:i4>0</vt:i4>
      </vt:variant>
      <vt:variant>
        <vt:i4>5</vt:i4>
      </vt:variant>
      <vt:variant>
        <vt:lpwstr/>
      </vt:variant>
      <vt:variant>
        <vt:lpwstr>_Toc234580284</vt:lpwstr>
      </vt:variant>
      <vt:variant>
        <vt:i4>1441852</vt:i4>
      </vt:variant>
      <vt:variant>
        <vt:i4>173</vt:i4>
      </vt:variant>
      <vt:variant>
        <vt:i4>0</vt:i4>
      </vt:variant>
      <vt:variant>
        <vt:i4>5</vt:i4>
      </vt:variant>
      <vt:variant>
        <vt:lpwstr/>
      </vt:variant>
      <vt:variant>
        <vt:lpwstr>_Toc234580278</vt:lpwstr>
      </vt:variant>
      <vt:variant>
        <vt:i4>1441852</vt:i4>
      </vt:variant>
      <vt:variant>
        <vt:i4>167</vt:i4>
      </vt:variant>
      <vt:variant>
        <vt:i4>0</vt:i4>
      </vt:variant>
      <vt:variant>
        <vt:i4>5</vt:i4>
      </vt:variant>
      <vt:variant>
        <vt:lpwstr/>
      </vt:variant>
      <vt:variant>
        <vt:lpwstr>_Toc234580277</vt:lpwstr>
      </vt:variant>
      <vt:variant>
        <vt:i4>1441852</vt:i4>
      </vt:variant>
      <vt:variant>
        <vt:i4>161</vt:i4>
      </vt:variant>
      <vt:variant>
        <vt:i4>0</vt:i4>
      </vt:variant>
      <vt:variant>
        <vt:i4>5</vt:i4>
      </vt:variant>
      <vt:variant>
        <vt:lpwstr/>
      </vt:variant>
      <vt:variant>
        <vt:lpwstr>_Toc234580276</vt:lpwstr>
      </vt:variant>
      <vt:variant>
        <vt:i4>1441852</vt:i4>
      </vt:variant>
      <vt:variant>
        <vt:i4>155</vt:i4>
      </vt:variant>
      <vt:variant>
        <vt:i4>0</vt:i4>
      </vt:variant>
      <vt:variant>
        <vt:i4>5</vt:i4>
      </vt:variant>
      <vt:variant>
        <vt:lpwstr/>
      </vt:variant>
      <vt:variant>
        <vt:lpwstr>_Toc234580274</vt:lpwstr>
      </vt:variant>
      <vt:variant>
        <vt:i4>1441852</vt:i4>
      </vt:variant>
      <vt:variant>
        <vt:i4>149</vt:i4>
      </vt:variant>
      <vt:variant>
        <vt:i4>0</vt:i4>
      </vt:variant>
      <vt:variant>
        <vt:i4>5</vt:i4>
      </vt:variant>
      <vt:variant>
        <vt:lpwstr/>
      </vt:variant>
      <vt:variant>
        <vt:lpwstr>_Toc234580273</vt:lpwstr>
      </vt:variant>
      <vt:variant>
        <vt:i4>1441852</vt:i4>
      </vt:variant>
      <vt:variant>
        <vt:i4>143</vt:i4>
      </vt:variant>
      <vt:variant>
        <vt:i4>0</vt:i4>
      </vt:variant>
      <vt:variant>
        <vt:i4>5</vt:i4>
      </vt:variant>
      <vt:variant>
        <vt:lpwstr/>
      </vt:variant>
      <vt:variant>
        <vt:lpwstr>_Toc234580272</vt:lpwstr>
      </vt:variant>
      <vt:variant>
        <vt:i4>1441852</vt:i4>
      </vt:variant>
      <vt:variant>
        <vt:i4>137</vt:i4>
      </vt:variant>
      <vt:variant>
        <vt:i4>0</vt:i4>
      </vt:variant>
      <vt:variant>
        <vt:i4>5</vt:i4>
      </vt:variant>
      <vt:variant>
        <vt:lpwstr/>
      </vt:variant>
      <vt:variant>
        <vt:lpwstr>_Toc234580271</vt:lpwstr>
      </vt:variant>
      <vt:variant>
        <vt:i4>1441852</vt:i4>
      </vt:variant>
      <vt:variant>
        <vt:i4>131</vt:i4>
      </vt:variant>
      <vt:variant>
        <vt:i4>0</vt:i4>
      </vt:variant>
      <vt:variant>
        <vt:i4>5</vt:i4>
      </vt:variant>
      <vt:variant>
        <vt:lpwstr/>
      </vt:variant>
      <vt:variant>
        <vt:lpwstr>_Toc234580270</vt:lpwstr>
      </vt:variant>
      <vt:variant>
        <vt:i4>1507388</vt:i4>
      </vt:variant>
      <vt:variant>
        <vt:i4>125</vt:i4>
      </vt:variant>
      <vt:variant>
        <vt:i4>0</vt:i4>
      </vt:variant>
      <vt:variant>
        <vt:i4>5</vt:i4>
      </vt:variant>
      <vt:variant>
        <vt:lpwstr/>
      </vt:variant>
      <vt:variant>
        <vt:lpwstr>_Toc234580269</vt:lpwstr>
      </vt:variant>
      <vt:variant>
        <vt:i4>1507388</vt:i4>
      </vt:variant>
      <vt:variant>
        <vt:i4>119</vt:i4>
      </vt:variant>
      <vt:variant>
        <vt:i4>0</vt:i4>
      </vt:variant>
      <vt:variant>
        <vt:i4>5</vt:i4>
      </vt:variant>
      <vt:variant>
        <vt:lpwstr/>
      </vt:variant>
      <vt:variant>
        <vt:lpwstr>_Toc234580268</vt:lpwstr>
      </vt:variant>
      <vt:variant>
        <vt:i4>1507388</vt:i4>
      </vt:variant>
      <vt:variant>
        <vt:i4>113</vt:i4>
      </vt:variant>
      <vt:variant>
        <vt:i4>0</vt:i4>
      </vt:variant>
      <vt:variant>
        <vt:i4>5</vt:i4>
      </vt:variant>
      <vt:variant>
        <vt:lpwstr/>
      </vt:variant>
      <vt:variant>
        <vt:lpwstr>_Toc234580267</vt:lpwstr>
      </vt:variant>
      <vt:variant>
        <vt:i4>1507388</vt:i4>
      </vt:variant>
      <vt:variant>
        <vt:i4>107</vt:i4>
      </vt:variant>
      <vt:variant>
        <vt:i4>0</vt:i4>
      </vt:variant>
      <vt:variant>
        <vt:i4>5</vt:i4>
      </vt:variant>
      <vt:variant>
        <vt:lpwstr/>
      </vt:variant>
      <vt:variant>
        <vt:lpwstr>_Toc234580266</vt:lpwstr>
      </vt:variant>
      <vt:variant>
        <vt:i4>1507388</vt:i4>
      </vt:variant>
      <vt:variant>
        <vt:i4>101</vt:i4>
      </vt:variant>
      <vt:variant>
        <vt:i4>0</vt:i4>
      </vt:variant>
      <vt:variant>
        <vt:i4>5</vt:i4>
      </vt:variant>
      <vt:variant>
        <vt:lpwstr/>
      </vt:variant>
      <vt:variant>
        <vt:lpwstr>_Toc234580263</vt:lpwstr>
      </vt:variant>
      <vt:variant>
        <vt:i4>1507388</vt:i4>
      </vt:variant>
      <vt:variant>
        <vt:i4>95</vt:i4>
      </vt:variant>
      <vt:variant>
        <vt:i4>0</vt:i4>
      </vt:variant>
      <vt:variant>
        <vt:i4>5</vt:i4>
      </vt:variant>
      <vt:variant>
        <vt:lpwstr/>
      </vt:variant>
      <vt:variant>
        <vt:lpwstr>_Toc234580262</vt:lpwstr>
      </vt:variant>
      <vt:variant>
        <vt:i4>1507388</vt:i4>
      </vt:variant>
      <vt:variant>
        <vt:i4>89</vt:i4>
      </vt:variant>
      <vt:variant>
        <vt:i4>0</vt:i4>
      </vt:variant>
      <vt:variant>
        <vt:i4>5</vt:i4>
      </vt:variant>
      <vt:variant>
        <vt:lpwstr/>
      </vt:variant>
      <vt:variant>
        <vt:lpwstr>_Toc234580261</vt:lpwstr>
      </vt:variant>
      <vt:variant>
        <vt:i4>1507388</vt:i4>
      </vt:variant>
      <vt:variant>
        <vt:i4>83</vt:i4>
      </vt:variant>
      <vt:variant>
        <vt:i4>0</vt:i4>
      </vt:variant>
      <vt:variant>
        <vt:i4>5</vt:i4>
      </vt:variant>
      <vt:variant>
        <vt:lpwstr/>
      </vt:variant>
      <vt:variant>
        <vt:lpwstr>_Toc234580260</vt:lpwstr>
      </vt:variant>
      <vt:variant>
        <vt:i4>1310780</vt:i4>
      </vt:variant>
      <vt:variant>
        <vt:i4>77</vt:i4>
      </vt:variant>
      <vt:variant>
        <vt:i4>0</vt:i4>
      </vt:variant>
      <vt:variant>
        <vt:i4>5</vt:i4>
      </vt:variant>
      <vt:variant>
        <vt:lpwstr/>
      </vt:variant>
      <vt:variant>
        <vt:lpwstr>_Toc234580259</vt:lpwstr>
      </vt:variant>
      <vt:variant>
        <vt:i4>1310780</vt:i4>
      </vt:variant>
      <vt:variant>
        <vt:i4>71</vt:i4>
      </vt:variant>
      <vt:variant>
        <vt:i4>0</vt:i4>
      </vt:variant>
      <vt:variant>
        <vt:i4>5</vt:i4>
      </vt:variant>
      <vt:variant>
        <vt:lpwstr/>
      </vt:variant>
      <vt:variant>
        <vt:lpwstr>_Toc234580258</vt:lpwstr>
      </vt:variant>
      <vt:variant>
        <vt:i4>1310780</vt:i4>
      </vt:variant>
      <vt:variant>
        <vt:i4>65</vt:i4>
      </vt:variant>
      <vt:variant>
        <vt:i4>0</vt:i4>
      </vt:variant>
      <vt:variant>
        <vt:i4>5</vt:i4>
      </vt:variant>
      <vt:variant>
        <vt:lpwstr/>
      </vt:variant>
      <vt:variant>
        <vt:lpwstr>_Toc234580257</vt:lpwstr>
      </vt:variant>
      <vt:variant>
        <vt:i4>1310780</vt:i4>
      </vt:variant>
      <vt:variant>
        <vt:i4>59</vt:i4>
      </vt:variant>
      <vt:variant>
        <vt:i4>0</vt:i4>
      </vt:variant>
      <vt:variant>
        <vt:i4>5</vt:i4>
      </vt:variant>
      <vt:variant>
        <vt:lpwstr/>
      </vt:variant>
      <vt:variant>
        <vt:lpwstr>_Toc234580256</vt:lpwstr>
      </vt:variant>
      <vt:variant>
        <vt:i4>1310780</vt:i4>
      </vt:variant>
      <vt:variant>
        <vt:i4>53</vt:i4>
      </vt:variant>
      <vt:variant>
        <vt:i4>0</vt:i4>
      </vt:variant>
      <vt:variant>
        <vt:i4>5</vt:i4>
      </vt:variant>
      <vt:variant>
        <vt:lpwstr/>
      </vt:variant>
      <vt:variant>
        <vt:lpwstr>_Toc234580255</vt:lpwstr>
      </vt:variant>
      <vt:variant>
        <vt:i4>1310780</vt:i4>
      </vt:variant>
      <vt:variant>
        <vt:i4>47</vt:i4>
      </vt:variant>
      <vt:variant>
        <vt:i4>0</vt:i4>
      </vt:variant>
      <vt:variant>
        <vt:i4>5</vt:i4>
      </vt:variant>
      <vt:variant>
        <vt:lpwstr/>
      </vt:variant>
      <vt:variant>
        <vt:lpwstr>_Toc234580254</vt:lpwstr>
      </vt:variant>
      <vt:variant>
        <vt:i4>1310780</vt:i4>
      </vt:variant>
      <vt:variant>
        <vt:i4>41</vt:i4>
      </vt:variant>
      <vt:variant>
        <vt:i4>0</vt:i4>
      </vt:variant>
      <vt:variant>
        <vt:i4>5</vt:i4>
      </vt:variant>
      <vt:variant>
        <vt:lpwstr/>
      </vt:variant>
      <vt:variant>
        <vt:lpwstr>_Toc234580253</vt:lpwstr>
      </vt:variant>
      <vt:variant>
        <vt:i4>1310780</vt:i4>
      </vt:variant>
      <vt:variant>
        <vt:i4>35</vt:i4>
      </vt:variant>
      <vt:variant>
        <vt:i4>0</vt:i4>
      </vt:variant>
      <vt:variant>
        <vt:i4>5</vt:i4>
      </vt:variant>
      <vt:variant>
        <vt:lpwstr/>
      </vt:variant>
      <vt:variant>
        <vt:lpwstr>_Toc234580252</vt:lpwstr>
      </vt:variant>
      <vt:variant>
        <vt:i4>1310780</vt:i4>
      </vt:variant>
      <vt:variant>
        <vt:i4>29</vt:i4>
      </vt:variant>
      <vt:variant>
        <vt:i4>0</vt:i4>
      </vt:variant>
      <vt:variant>
        <vt:i4>5</vt:i4>
      </vt:variant>
      <vt:variant>
        <vt:lpwstr/>
      </vt:variant>
      <vt:variant>
        <vt:lpwstr>_Toc234580251</vt:lpwstr>
      </vt:variant>
      <vt:variant>
        <vt:i4>1310780</vt:i4>
      </vt:variant>
      <vt:variant>
        <vt:i4>23</vt:i4>
      </vt:variant>
      <vt:variant>
        <vt:i4>0</vt:i4>
      </vt:variant>
      <vt:variant>
        <vt:i4>5</vt:i4>
      </vt:variant>
      <vt:variant>
        <vt:lpwstr/>
      </vt:variant>
      <vt:variant>
        <vt:lpwstr>_Toc234580250</vt:lpwstr>
      </vt:variant>
      <vt:variant>
        <vt:i4>1376316</vt:i4>
      </vt:variant>
      <vt:variant>
        <vt:i4>17</vt:i4>
      </vt:variant>
      <vt:variant>
        <vt:i4>0</vt:i4>
      </vt:variant>
      <vt:variant>
        <vt:i4>5</vt:i4>
      </vt:variant>
      <vt:variant>
        <vt:lpwstr/>
      </vt:variant>
      <vt:variant>
        <vt:lpwstr>_Toc234580249</vt:lpwstr>
      </vt:variant>
      <vt:variant>
        <vt:i4>1376316</vt:i4>
      </vt:variant>
      <vt:variant>
        <vt:i4>11</vt:i4>
      </vt:variant>
      <vt:variant>
        <vt:i4>0</vt:i4>
      </vt:variant>
      <vt:variant>
        <vt:i4>5</vt:i4>
      </vt:variant>
      <vt:variant>
        <vt:lpwstr/>
      </vt:variant>
      <vt:variant>
        <vt:lpwstr>_Toc234580248</vt:lpwstr>
      </vt:variant>
      <vt:variant>
        <vt:i4>8061047</vt:i4>
      </vt:variant>
      <vt:variant>
        <vt:i4>6</vt:i4>
      </vt:variant>
      <vt:variant>
        <vt:i4>0</vt:i4>
      </vt:variant>
      <vt:variant>
        <vt:i4>5</vt:i4>
      </vt:variant>
      <vt:variant>
        <vt:lpwstr>https://www.health.vic.gov.au/policy-and-funding-guidelines-for-health-services</vt:lpwstr>
      </vt:variant>
      <vt:variant>
        <vt:lpwstr/>
      </vt:variant>
      <vt:variant>
        <vt:i4>6226021</vt:i4>
      </vt:variant>
      <vt:variant>
        <vt:i4>3</vt:i4>
      </vt:variant>
      <vt:variant>
        <vt:i4>0</vt:i4>
      </vt:variant>
      <vt:variant>
        <vt:i4>5</vt:i4>
      </vt:variant>
      <vt:variant>
        <vt:lpwstr>mailto:Accountability@health.vic.gov.au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Policy and Funding Guidelines 2026-27 - Policy Guide.docx</dc:title>
  <dc:subject/>
  <dc:creator>Alysha Murphy (Health)</dc:creator>
  <cp:keywords/>
  <dc:description/>
  <cp:lastModifiedBy>Alysha Murphy (Health)</cp:lastModifiedBy>
  <cp:revision>2</cp:revision>
  <cp:lastPrinted>2026-07-10T02:32:00Z</cp:lastPrinted>
  <dcterms:created xsi:type="dcterms:W3CDTF">2026-07-10T05:26:00Z</dcterms:created>
  <dcterms:modified xsi:type="dcterms:W3CDTF">2026-07-10T05:26:00Z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5e96d57f,37992d82,4d1965af,6bb83ef3,67b6b9a0,3a0acb7a,41e81b54,47b8c955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2026-06-10T01:41:30Z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35840644-6fcd-4f00-8f80-06290583f5f8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0x010100378A2A465E3DFC4DB1F3B68D5D9514E6</vt:lpwstr>
  </property>
  <property fmtid="{D5CDD505-2E9C-101B-9397-08002B2CF9AE}" pid="14" name="MediaServiceImageTags">
    <vt:lpwstr/>
  </property>
</Properties>
</file>