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B81C" w14:textId="77777777" w:rsidR="00056EC4" w:rsidRDefault="00E9042A" w:rsidP="008D292E">
      <w:pPr>
        <w:pStyle w:val="Body"/>
        <w:tabs>
          <w:tab w:val="left" w:pos="567"/>
        </w:tabs>
      </w:pPr>
      <w:r>
        <w:rPr>
          <w:noProof/>
        </w:rPr>
        <w:drawing>
          <wp:anchor distT="0" distB="0" distL="114300" distR="114300" simplePos="0" relativeHeight="251658240" behindDoc="1" locked="1" layoutInCell="1" allowOverlap="0" wp14:anchorId="65C164C4" wp14:editId="47438D7E">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5401EF7" w14:textId="77777777" w:rsidTr="00431F42">
        <w:trPr>
          <w:cantSplit/>
        </w:trPr>
        <w:tc>
          <w:tcPr>
            <w:tcW w:w="0" w:type="auto"/>
            <w:tcMar>
              <w:top w:w="0" w:type="dxa"/>
              <w:left w:w="0" w:type="dxa"/>
              <w:right w:w="0" w:type="dxa"/>
            </w:tcMar>
          </w:tcPr>
          <w:p w14:paraId="2DBAE06A" w14:textId="0E016A8F" w:rsidR="00AD784C" w:rsidRPr="00431F42" w:rsidRDefault="005037D6" w:rsidP="008D292E">
            <w:pPr>
              <w:pStyle w:val="Documenttitle"/>
              <w:tabs>
                <w:tab w:val="left" w:pos="567"/>
              </w:tabs>
            </w:pPr>
            <w:r>
              <w:t>Victorian guideline on viral haemorrhagic fevers</w:t>
            </w:r>
          </w:p>
        </w:tc>
      </w:tr>
      <w:tr w:rsidR="00AD784C" w14:paraId="311FFE01" w14:textId="77777777" w:rsidTr="00431F42">
        <w:trPr>
          <w:cantSplit/>
        </w:trPr>
        <w:tc>
          <w:tcPr>
            <w:tcW w:w="0" w:type="auto"/>
          </w:tcPr>
          <w:p w14:paraId="37F0EF7A" w14:textId="41A66A6E" w:rsidR="00386109" w:rsidRPr="00A1389F" w:rsidRDefault="005037D6" w:rsidP="008D292E">
            <w:pPr>
              <w:pStyle w:val="Documentsubtitle"/>
              <w:tabs>
                <w:tab w:val="left" w:pos="567"/>
              </w:tabs>
            </w:pPr>
            <w:r>
              <w:t>Health services guide</w:t>
            </w:r>
          </w:p>
        </w:tc>
      </w:tr>
      <w:tr w:rsidR="00430393" w14:paraId="0AF71E2B" w14:textId="77777777" w:rsidTr="00431F42">
        <w:trPr>
          <w:cantSplit/>
        </w:trPr>
        <w:tc>
          <w:tcPr>
            <w:tcW w:w="0" w:type="auto"/>
          </w:tcPr>
          <w:p w14:paraId="3360284F" w14:textId="77777777" w:rsidR="00430393" w:rsidRDefault="001A6272" w:rsidP="008D292E">
            <w:pPr>
              <w:pStyle w:val="Bannermarking"/>
              <w:tabs>
                <w:tab w:val="left" w:pos="567"/>
              </w:tabs>
            </w:pPr>
            <w:fldSimple w:instr=" FILLIN  &quot;Type the protective marking&quot; \d OFFICIAL \o  \* MERGEFORMAT ">
              <w:r>
                <w:t>OFFICIAL</w:t>
              </w:r>
            </w:fldSimple>
          </w:p>
        </w:tc>
      </w:tr>
    </w:tbl>
    <w:p w14:paraId="454D0554" w14:textId="77777777" w:rsidR="00FE4081" w:rsidRDefault="00FE4081" w:rsidP="008D292E">
      <w:pPr>
        <w:pStyle w:val="Body"/>
        <w:tabs>
          <w:tab w:val="left" w:pos="567"/>
        </w:tabs>
      </w:pPr>
    </w:p>
    <w:p w14:paraId="36D239B6" w14:textId="77777777" w:rsidR="00FE4081" w:rsidRPr="00FE4081" w:rsidRDefault="00FE4081" w:rsidP="008D292E">
      <w:pPr>
        <w:pStyle w:val="Body"/>
        <w:tabs>
          <w:tab w:val="left" w:pos="567"/>
        </w:tabs>
        <w:sectPr w:rsidR="00FE4081" w:rsidRPr="00FE4081" w:rsidSect="002C5B7C">
          <w:headerReference w:type="default" r:id="rId9"/>
          <w:footerReference w:type="even" r:id="rId10"/>
          <w:footerReference w:type="default" r:id="rId11"/>
          <w:headerReference w:type="first" r:id="rId12"/>
          <w:footerReference w:type="first" r:id="rId13"/>
          <w:type w:val="continuous"/>
          <w:pgSz w:w="11906" w:h="16838" w:code="9"/>
          <w:pgMar w:top="3969" w:right="1304" w:bottom="1418" w:left="1304" w:header="680" w:footer="851" w:gutter="0"/>
          <w:cols w:space="340"/>
          <w:docGrid w:linePitch="360"/>
        </w:sectPr>
      </w:pPr>
    </w:p>
    <w:p w14:paraId="2B8087A6" w14:textId="77777777" w:rsidR="005037D6" w:rsidRDefault="005037D6" w:rsidP="008D292E">
      <w:pPr>
        <w:pStyle w:val="TOCheadingreport"/>
        <w:tabs>
          <w:tab w:val="left" w:pos="567"/>
        </w:tabs>
      </w:pPr>
      <w:r>
        <w:lastRenderedPageBreak/>
        <w:t xml:space="preserve">Version control </w:t>
      </w:r>
    </w:p>
    <w:p w14:paraId="7CE0B8B4" w14:textId="77777777" w:rsidR="005037D6" w:rsidRDefault="005037D6" w:rsidP="008D292E">
      <w:pPr>
        <w:pStyle w:val="Body"/>
        <w:tabs>
          <w:tab w:val="left" w:pos="567"/>
        </w:tabs>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263"/>
        <w:gridCol w:w="2035"/>
        <w:gridCol w:w="2035"/>
      </w:tblGrid>
      <w:tr w:rsidR="005037D6" w:rsidRPr="007E50FA" w14:paraId="7C1041DC" w14:textId="0C8C65C6" w:rsidTr="0056610D">
        <w:trPr>
          <w:trHeight w:val="23"/>
        </w:trPr>
        <w:tc>
          <w:tcPr>
            <w:tcW w:w="1981" w:type="dxa"/>
            <w:shd w:val="clear" w:color="auto" w:fill="0F243E" w:themeFill="text2" w:themeFillShade="80"/>
          </w:tcPr>
          <w:p w14:paraId="541AC395"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Version number</w:t>
            </w:r>
          </w:p>
        </w:tc>
        <w:tc>
          <w:tcPr>
            <w:tcW w:w="3263" w:type="dxa"/>
            <w:shd w:val="clear" w:color="auto" w:fill="0F243E" w:themeFill="text2" w:themeFillShade="80"/>
          </w:tcPr>
          <w:p w14:paraId="7698FBA9"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Comment</w:t>
            </w:r>
          </w:p>
        </w:tc>
        <w:tc>
          <w:tcPr>
            <w:tcW w:w="2035" w:type="dxa"/>
            <w:shd w:val="clear" w:color="auto" w:fill="0F243E" w:themeFill="text2" w:themeFillShade="80"/>
          </w:tcPr>
          <w:p w14:paraId="65FB7DA6" w14:textId="77777777" w:rsidR="005037D6" w:rsidRPr="008F0717" w:rsidRDefault="005037D6" w:rsidP="008D292E">
            <w:pPr>
              <w:pStyle w:val="DHHStabletext"/>
              <w:tabs>
                <w:tab w:val="left" w:pos="567"/>
              </w:tabs>
              <w:rPr>
                <w:b/>
                <w:color w:val="FFFFFF" w:themeColor="background1"/>
              </w:rPr>
            </w:pPr>
            <w:r w:rsidRPr="008F0717">
              <w:rPr>
                <w:b/>
                <w:color w:val="FFFFFF" w:themeColor="background1"/>
              </w:rPr>
              <w:t>Date of approval</w:t>
            </w:r>
          </w:p>
        </w:tc>
        <w:tc>
          <w:tcPr>
            <w:tcW w:w="2035" w:type="dxa"/>
            <w:shd w:val="clear" w:color="auto" w:fill="0F243E" w:themeFill="text2" w:themeFillShade="80"/>
          </w:tcPr>
          <w:p w14:paraId="20C2D9F4" w14:textId="1DE8EAB4" w:rsidR="001F0FF5" w:rsidRDefault="001F0FF5" w:rsidP="008D292E">
            <w:pPr>
              <w:pStyle w:val="DHHStabletext"/>
              <w:tabs>
                <w:tab w:val="left" w:pos="567"/>
              </w:tabs>
              <w:rPr>
                <w:b/>
                <w:color w:val="FFFFFF" w:themeColor="background1"/>
              </w:rPr>
            </w:pPr>
            <w:r>
              <w:rPr>
                <w:b/>
                <w:color w:val="FFFFFF" w:themeColor="background1"/>
              </w:rPr>
              <w:t xml:space="preserve">Approver </w:t>
            </w:r>
          </w:p>
        </w:tc>
      </w:tr>
      <w:tr w:rsidR="005037D6" w:rsidRPr="007E50FA" w14:paraId="4E08D1E6" w14:textId="543A16DC" w:rsidTr="0056610D">
        <w:trPr>
          <w:trHeight w:val="23"/>
        </w:trPr>
        <w:tc>
          <w:tcPr>
            <w:tcW w:w="1981" w:type="dxa"/>
          </w:tcPr>
          <w:p w14:paraId="16BB9F18" w14:textId="77777777" w:rsidR="005037D6" w:rsidRPr="007E50FA" w:rsidRDefault="005037D6" w:rsidP="008D292E">
            <w:pPr>
              <w:pStyle w:val="DHHStabletext"/>
              <w:tabs>
                <w:tab w:val="left" w:pos="567"/>
              </w:tabs>
            </w:pPr>
            <w:r>
              <w:t>Version</w:t>
            </w:r>
            <w:r w:rsidRPr="007E50FA">
              <w:t xml:space="preserve"> 1</w:t>
            </w:r>
            <w:r>
              <w:t>.0</w:t>
            </w:r>
          </w:p>
        </w:tc>
        <w:tc>
          <w:tcPr>
            <w:tcW w:w="3263" w:type="dxa"/>
          </w:tcPr>
          <w:p w14:paraId="59AA4675" w14:textId="77777777" w:rsidR="005037D6" w:rsidRPr="007E50FA" w:rsidRDefault="005037D6" w:rsidP="008D292E">
            <w:pPr>
              <w:pStyle w:val="DHHStabletext"/>
              <w:tabs>
                <w:tab w:val="left" w:pos="567"/>
              </w:tabs>
              <w:rPr>
                <w:color w:val="FF0000"/>
              </w:rPr>
            </w:pPr>
            <w:r>
              <w:t>New guideline</w:t>
            </w:r>
          </w:p>
        </w:tc>
        <w:tc>
          <w:tcPr>
            <w:tcW w:w="2035" w:type="dxa"/>
          </w:tcPr>
          <w:p w14:paraId="745DD031" w14:textId="3CF930A6" w:rsidR="005037D6" w:rsidRPr="0056610D" w:rsidRDefault="00E879D7" w:rsidP="008D292E">
            <w:pPr>
              <w:pStyle w:val="DHHStabletext"/>
              <w:tabs>
                <w:tab w:val="left" w:pos="567"/>
              </w:tabs>
            </w:pPr>
            <w:r w:rsidRPr="0056610D">
              <w:t>1</w:t>
            </w:r>
            <w:r w:rsidR="00A934CE" w:rsidRPr="0056610D">
              <w:t>8</w:t>
            </w:r>
            <w:r w:rsidRPr="0056610D">
              <w:t xml:space="preserve"> December 2025</w:t>
            </w:r>
          </w:p>
        </w:tc>
        <w:tc>
          <w:tcPr>
            <w:tcW w:w="2035" w:type="dxa"/>
          </w:tcPr>
          <w:p w14:paraId="41F95955" w14:textId="4FAF0DEE" w:rsidR="001F0FF5" w:rsidRPr="0056610D" w:rsidRDefault="001F0FF5" w:rsidP="008D292E">
            <w:pPr>
              <w:pStyle w:val="DHHStabletext"/>
              <w:tabs>
                <w:tab w:val="left" w:pos="567"/>
              </w:tabs>
            </w:pPr>
            <w:r w:rsidRPr="0056610D">
              <w:t xml:space="preserve">Acting </w:t>
            </w:r>
            <w:r w:rsidR="0041190E" w:rsidRPr="0056610D">
              <w:t>Deputy Chief Health Officer – Communicable Disease</w:t>
            </w:r>
          </w:p>
        </w:tc>
      </w:tr>
      <w:tr w:rsidR="0041190E" w:rsidRPr="007E50FA" w14:paraId="4B3912B0" w14:textId="77777777" w:rsidTr="0056610D">
        <w:trPr>
          <w:trHeight w:val="23"/>
        </w:trPr>
        <w:tc>
          <w:tcPr>
            <w:tcW w:w="1981" w:type="dxa"/>
          </w:tcPr>
          <w:p w14:paraId="6EB2F26B" w14:textId="33B42D09" w:rsidR="0041190E" w:rsidRDefault="0041190E" w:rsidP="008D292E">
            <w:pPr>
              <w:pStyle w:val="DHHStabletext"/>
              <w:tabs>
                <w:tab w:val="left" w:pos="567"/>
              </w:tabs>
            </w:pPr>
            <w:r>
              <w:t>Version 1.1</w:t>
            </w:r>
          </w:p>
        </w:tc>
        <w:tc>
          <w:tcPr>
            <w:tcW w:w="3263" w:type="dxa"/>
          </w:tcPr>
          <w:p w14:paraId="620AE37D" w14:textId="61140E53" w:rsidR="0041190E" w:rsidRDefault="0041190E" w:rsidP="008D292E">
            <w:pPr>
              <w:pStyle w:val="DHHStabletext"/>
              <w:tabs>
                <w:tab w:val="left" w:pos="567"/>
              </w:tabs>
            </w:pPr>
            <w:r>
              <w:t>Appendix 3 workflow updated</w:t>
            </w:r>
          </w:p>
        </w:tc>
        <w:tc>
          <w:tcPr>
            <w:tcW w:w="2035" w:type="dxa"/>
          </w:tcPr>
          <w:p w14:paraId="56C60C8C" w14:textId="4431E387" w:rsidR="0041190E" w:rsidRPr="0056610D" w:rsidRDefault="0041190E" w:rsidP="008D292E">
            <w:pPr>
              <w:pStyle w:val="DHHStabletext"/>
              <w:tabs>
                <w:tab w:val="left" w:pos="567"/>
              </w:tabs>
            </w:pPr>
            <w:r>
              <w:t>2 June 2026</w:t>
            </w:r>
          </w:p>
        </w:tc>
        <w:tc>
          <w:tcPr>
            <w:tcW w:w="2035" w:type="dxa"/>
          </w:tcPr>
          <w:p w14:paraId="06DC4469" w14:textId="09B63D4E" w:rsidR="0041190E" w:rsidRPr="0056610D" w:rsidRDefault="0041190E" w:rsidP="008D292E">
            <w:pPr>
              <w:pStyle w:val="DHHStabletext"/>
              <w:tabs>
                <w:tab w:val="left" w:pos="567"/>
              </w:tabs>
            </w:pPr>
            <w:r w:rsidRPr="0056610D">
              <w:t>Deputy Chief Health Officer – Communicable Disease</w:t>
            </w:r>
          </w:p>
        </w:tc>
      </w:tr>
    </w:tbl>
    <w:p w14:paraId="06CE12C8" w14:textId="77777777" w:rsidR="005037D6" w:rsidRDefault="005037D6" w:rsidP="008D292E">
      <w:pPr>
        <w:pStyle w:val="Body"/>
        <w:tabs>
          <w:tab w:val="left" w:pos="567"/>
        </w:tabs>
      </w:pPr>
    </w:p>
    <w:p w14:paraId="2AB3402D" w14:textId="77777777" w:rsidR="005037D6" w:rsidRPr="00D80185" w:rsidRDefault="005037D6" w:rsidP="008D292E">
      <w:pPr>
        <w:tabs>
          <w:tab w:val="left" w:pos="567"/>
        </w:tabs>
        <w:rPr>
          <w:rFonts w:eastAsia="Times"/>
        </w:rPr>
      </w:pPr>
      <w:r w:rsidRPr="00C52E96">
        <w:rPr>
          <w:rFonts w:eastAsia="Times"/>
        </w:rPr>
        <w:t xml:space="preserve">To receive this publication in an accessible format phone Communicable Disease Section on 1300 651 160, using the National Relay Service 13 36 77 if required, or </w:t>
      </w:r>
      <w:hyperlink r:id="rId14">
        <w:r w:rsidRPr="00C52E96">
          <w:rPr>
            <w:rStyle w:val="Hyperlink"/>
            <w:rFonts w:eastAsia="Times"/>
          </w:rPr>
          <w:t>email Communicable Disease Section</w:t>
        </w:r>
      </w:hyperlink>
      <w:r w:rsidRPr="00C52E96">
        <w:rPr>
          <w:rFonts w:eastAsia="Times"/>
        </w:rPr>
        <w:t xml:space="preserve"> &lt;infectious.diseases@health.vic.gov.au&gt;. </w:t>
      </w:r>
    </w:p>
    <w:p w14:paraId="39B1B6B2" w14:textId="77777777" w:rsidR="005037D6" w:rsidRPr="00D80185" w:rsidRDefault="005037D6" w:rsidP="008D292E">
      <w:pPr>
        <w:tabs>
          <w:tab w:val="left" w:pos="567"/>
        </w:tabs>
        <w:rPr>
          <w:rFonts w:eastAsia="Times"/>
        </w:rPr>
      </w:pPr>
      <w:r w:rsidRPr="00D80185">
        <w:rPr>
          <w:rFonts w:eastAsia="Times"/>
        </w:rPr>
        <w:t>Authorised and published by the Victorian Government, 1 Treasury Place, Melbourne. </w:t>
      </w:r>
    </w:p>
    <w:p w14:paraId="71BA94EA" w14:textId="11168255" w:rsidR="005037D6" w:rsidRPr="00D80185" w:rsidRDefault="005037D6" w:rsidP="008D292E">
      <w:pPr>
        <w:tabs>
          <w:tab w:val="left" w:pos="567"/>
        </w:tabs>
        <w:rPr>
          <w:rFonts w:eastAsia="Times"/>
        </w:rPr>
      </w:pPr>
      <w:r w:rsidRPr="00D80185">
        <w:rPr>
          <w:rFonts w:eastAsia="Times"/>
        </w:rPr>
        <w:t>© State of Victoria, Department of Health</w:t>
      </w:r>
      <w:r w:rsidR="1AD6805A" w:rsidRPr="00C52E96">
        <w:rPr>
          <w:rFonts w:eastAsia="Times"/>
        </w:rPr>
        <w:t>,</w:t>
      </w:r>
      <w:r w:rsidRPr="00C52E96">
        <w:rPr>
          <w:rFonts w:eastAsia="Times"/>
        </w:rPr>
        <w:t xml:space="preserve"> </w:t>
      </w:r>
      <w:r w:rsidR="00191431" w:rsidRPr="00C52E96">
        <w:rPr>
          <w:rFonts w:eastAsia="Times"/>
        </w:rPr>
        <w:t>December</w:t>
      </w:r>
      <w:r w:rsidRPr="005F527C">
        <w:rPr>
          <w:rFonts w:eastAsia="Times"/>
        </w:rPr>
        <w:t xml:space="preserve"> 2025</w:t>
      </w:r>
      <w:r w:rsidRPr="00D80185">
        <w:rPr>
          <w:rFonts w:eastAsia="Times"/>
        </w:rPr>
        <w:t>. </w:t>
      </w:r>
    </w:p>
    <w:p w14:paraId="6A0D83B3" w14:textId="77777777" w:rsidR="00FE6D48" w:rsidRPr="00FE6D48" w:rsidRDefault="00FE6D48" w:rsidP="00FE6D48">
      <w:pPr>
        <w:tabs>
          <w:tab w:val="left" w:pos="567"/>
        </w:tabs>
        <w:rPr>
          <w:rFonts w:eastAsia="Times"/>
        </w:rPr>
      </w:pPr>
      <w:r w:rsidRPr="00FE6D48">
        <w:rPr>
          <w:rFonts w:eastAsia="Times"/>
        </w:rPr>
        <w:t>ISBN 978-1-76131-948-8 (pdf/online/MS word)</w:t>
      </w:r>
    </w:p>
    <w:p w14:paraId="1DEFD570" w14:textId="3AD8ECBD" w:rsidR="005037D6" w:rsidRPr="00D80185" w:rsidRDefault="005037D6" w:rsidP="008D292E">
      <w:pPr>
        <w:tabs>
          <w:tab w:val="left" w:pos="567"/>
        </w:tabs>
        <w:rPr>
          <w:rFonts w:eastAsia="Times"/>
        </w:rPr>
      </w:pPr>
      <w:r w:rsidRPr="00C52E96">
        <w:rPr>
          <w:rFonts w:eastAsia="Times"/>
        </w:rPr>
        <w:t xml:space="preserve">Available on the Department of Health </w:t>
      </w:r>
      <w:hyperlink r:id="rId15">
        <w:r w:rsidRPr="00C52E96">
          <w:rPr>
            <w:rStyle w:val="Hyperlink"/>
            <w:rFonts w:eastAsia="Times"/>
          </w:rPr>
          <w:t>Infection Control Guidelines website</w:t>
        </w:r>
      </w:hyperlink>
      <w:r w:rsidRPr="00C52E96">
        <w:rPr>
          <w:rFonts w:eastAsia="Times"/>
        </w:rPr>
        <w:t xml:space="preserve"> &lt;www.health.vic.gov.au/infection-control&gt;.</w:t>
      </w:r>
      <w:r w:rsidRPr="00D80185">
        <w:rPr>
          <w:rFonts w:eastAsia="Times"/>
        </w:rPr>
        <w:t> </w:t>
      </w:r>
    </w:p>
    <w:p w14:paraId="14DBEA0E" w14:textId="77777777" w:rsidR="005037D6" w:rsidRDefault="005037D6" w:rsidP="008D292E">
      <w:pPr>
        <w:tabs>
          <w:tab w:val="left" w:pos="567"/>
        </w:tabs>
        <w:rPr>
          <w:rFonts w:eastAsia="Times"/>
        </w:rPr>
      </w:pPr>
    </w:p>
    <w:p w14:paraId="53AECFAF" w14:textId="77777777" w:rsidR="005037D6" w:rsidRDefault="005037D6" w:rsidP="008D292E">
      <w:pPr>
        <w:tabs>
          <w:tab w:val="left" w:pos="567"/>
        </w:tabs>
        <w:rPr>
          <w:rFonts w:eastAsia="Times"/>
        </w:rPr>
      </w:pPr>
    </w:p>
    <w:p w14:paraId="39FCDEEC" w14:textId="77777777" w:rsidR="00431F42" w:rsidRDefault="00431F42" w:rsidP="008D292E">
      <w:pPr>
        <w:pStyle w:val="Body"/>
        <w:tabs>
          <w:tab w:val="left" w:pos="567"/>
        </w:tabs>
      </w:pPr>
      <w:r>
        <w:br w:type="page"/>
      </w:r>
    </w:p>
    <w:p w14:paraId="2E8D0CD6" w14:textId="77777777" w:rsidR="005037D6" w:rsidRPr="00B57329" w:rsidRDefault="005037D6" w:rsidP="008D292E">
      <w:pPr>
        <w:pStyle w:val="TOCheadingreport"/>
        <w:tabs>
          <w:tab w:val="left" w:pos="567"/>
        </w:tabs>
      </w:pPr>
      <w:r w:rsidRPr="00B57329">
        <w:lastRenderedPageBreak/>
        <w:t>Contents</w:t>
      </w:r>
    </w:p>
    <w:p w14:paraId="682D475E" w14:textId="634DAD37" w:rsidR="00CB1E54" w:rsidRDefault="005037D6">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7022523" w:history="1">
        <w:r w:rsidR="00CB1E54" w:rsidRPr="003A0C07">
          <w:rPr>
            <w:rStyle w:val="Hyperlink"/>
          </w:rPr>
          <w:t>Acknowledgements</w:t>
        </w:r>
        <w:r w:rsidR="00CB1E54">
          <w:rPr>
            <w:webHidden/>
          </w:rPr>
          <w:tab/>
        </w:r>
        <w:r w:rsidR="00CB1E54">
          <w:rPr>
            <w:webHidden/>
          </w:rPr>
          <w:fldChar w:fldCharType="begin"/>
        </w:r>
        <w:r w:rsidR="00CB1E54">
          <w:rPr>
            <w:webHidden/>
          </w:rPr>
          <w:instrText xml:space="preserve"> PAGEREF _Toc217022523 \h </w:instrText>
        </w:r>
        <w:r w:rsidR="00CB1E54">
          <w:rPr>
            <w:webHidden/>
          </w:rPr>
        </w:r>
        <w:r w:rsidR="00CB1E54">
          <w:rPr>
            <w:webHidden/>
          </w:rPr>
          <w:fldChar w:fldCharType="separate"/>
        </w:r>
        <w:r w:rsidR="00CB1E54">
          <w:rPr>
            <w:webHidden/>
          </w:rPr>
          <w:t>4</w:t>
        </w:r>
        <w:r w:rsidR="00CB1E54">
          <w:rPr>
            <w:webHidden/>
          </w:rPr>
          <w:fldChar w:fldCharType="end"/>
        </w:r>
      </w:hyperlink>
    </w:p>
    <w:p w14:paraId="2C17CDA5" w14:textId="7A81D117"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24" w:history="1">
        <w:r w:rsidRPr="003A0C07">
          <w:rPr>
            <w:rStyle w:val="Hyperlink"/>
          </w:rPr>
          <w:t>1.</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Introduction</w:t>
        </w:r>
        <w:r>
          <w:rPr>
            <w:webHidden/>
          </w:rPr>
          <w:tab/>
        </w:r>
        <w:r>
          <w:rPr>
            <w:webHidden/>
          </w:rPr>
          <w:fldChar w:fldCharType="begin"/>
        </w:r>
        <w:r>
          <w:rPr>
            <w:webHidden/>
          </w:rPr>
          <w:instrText xml:space="preserve"> PAGEREF _Toc217022524 \h </w:instrText>
        </w:r>
        <w:r>
          <w:rPr>
            <w:webHidden/>
          </w:rPr>
        </w:r>
        <w:r>
          <w:rPr>
            <w:webHidden/>
          </w:rPr>
          <w:fldChar w:fldCharType="separate"/>
        </w:r>
        <w:r>
          <w:rPr>
            <w:webHidden/>
          </w:rPr>
          <w:t>1</w:t>
        </w:r>
        <w:r>
          <w:rPr>
            <w:webHidden/>
          </w:rPr>
          <w:fldChar w:fldCharType="end"/>
        </w:r>
      </w:hyperlink>
    </w:p>
    <w:p w14:paraId="28390D62" w14:textId="5780FFD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5" w:history="1">
        <w:r w:rsidRPr="003A0C07">
          <w:rPr>
            <w:rStyle w:val="Hyperlink"/>
          </w:rPr>
          <w:t>1.1.</w:t>
        </w:r>
        <w:r>
          <w:rPr>
            <w:rFonts w:asciiTheme="minorHAnsi" w:eastAsiaTheme="minorEastAsia" w:hAnsiTheme="minorHAnsi" w:cstheme="minorBidi"/>
            <w:kern w:val="2"/>
            <w:sz w:val="24"/>
            <w:szCs w:val="24"/>
            <w:lang w:eastAsia="en-AU"/>
            <w14:ligatures w14:val="standardContextual"/>
          </w:rPr>
          <w:tab/>
        </w:r>
        <w:r w:rsidRPr="003A0C07">
          <w:rPr>
            <w:rStyle w:val="Hyperlink"/>
          </w:rPr>
          <w:t>Purpose</w:t>
        </w:r>
        <w:r>
          <w:rPr>
            <w:webHidden/>
          </w:rPr>
          <w:tab/>
        </w:r>
        <w:r>
          <w:rPr>
            <w:webHidden/>
          </w:rPr>
          <w:fldChar w:fldCharType="begin"/>
        </w:r>
        <w:r>
          <w:rPr>
            <w:webHidden/>
          </w:rPr>
          <w:instrText xml:space="preserve"> PAGEREF _Toc217022525 \h </w:instrText>
        </w:r>
        <w:r>
          <w:rPr>
            <w:webHidden/>
          </w:rPr>
        </w:r>
        <w:r>
          <w:rPr>
            <w:webHidden/>
          </w:rPr>
          <w:fldChar w:fldCharType="separate"/>
        </w:r>
        <w:r>
          <w:rPr>
            <w:webHidden/>
          </w:rPr>
          <w:t>1</w:t>
        </w:r>
        <w:r>
          <w:rPr>
            <w:webHidden/>
          </w:rPr>
          <w:fldChar w:fldCharType="end"/>
        </w:r>
      </w:hyperlink>
    </w:p>
    <w:p w14:paraId="2FC3254B" w14:textId="6CC41FBE"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6" w:history="1">
        <w:r w:rsidRPr="003A0C07">
          <w:rPr>
            <w:rStyle w:val="Hyperlink"/>
          </w:rPr>
          <w:t>1.2.</w:t>
        </w:r>
        <w:r>
          <w:rPr>
            <w:rFonts w:asciiTheme="minorHAnsi" w:eastAsiaTheme="minorEastAsia" w:hAnsiTheme="minorHAnsi" w:cstheme="minorBidi"/>
            <w:kern w:val="2"/>
            <w:sz w:val="24"/>
            <w:szCs w:val="24"/>
            <w:lang w:eastAsia="en-AU"/>
            <w14:ligatures w14:val="standardContextual"/>
          </w:rPr>
          <w:tab/>
        </w:r>
        <w:r w:rsidRPr="003A0C07">
          <w:rPr>
            <w:rStyle w:val="Hyperlink"/>
          </w:rPr>
          <w:t>Scope of this guide</w:t>
        </w:r>
        <w:r>
          <w:rPr>
            <w:webHidden/>
          </w:rPr>
          <w:tab/>
        </w:r>
        <w:r>
          <w:rPr>
            <w:webHidden/>
          </w:rPr>
          <w:fldChar w:fldCharType="begin"/>
        </w:r>
        <w:r>
          <w:rPr>
            <w:webHidden/>
          </w:rPr>
          <w:instrText xml:space="preserve"> PAGEREF _Toc217022526 \h </w:instrText>
        </w:r>
        <w:r>
          <w:rPr>
            <w:webHidden/>
          </w:rPr>
        </w:r>
        <w:r>
          <w:rPr>
            <w:webHidden/>
          </w:rPr>
          <w:fldChar w:fldCharType="separate"/>
        </w:r>
        <w:r>
          <w:rPr>
            <w:webHidden/>
          </w:rPr>
          <w:t>1</w:t>
        </w:r>
        <w:r>
          <w:rPr>
            <w:webHidden/>
          </w:rPr>
          <w:fldChar w:fldCharType="end"/>
        </w:r>
      </w:hyperlink>
    </w:p>
    <w:p w14:paraId="6C7A8D07" w14:textId="70D107D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7" w:history="1">
        <w:r w:rsidRPr="003A0C07">
          <w:rPr>
            <w:rStyle w:val="Hyperlink"/>
          </w:rPr>
          <w:t>1.3.</w:t>
        </w:r>
        <w:r>
          <w:rPr>
            <w:rFonts w:asciiTheme="minorHAnsi" w:eastAsiaTheme="minorEastAsia" w:hAnsiTheme="minorHAnsi" w:cstheme="minorBidi"/>
            <w:kern w:val="2"/>
            <w:sz w:val="24"/>
            <w:szCs w:val="24"/>
            <w:lang w:eastAsia="en-AU"/>
            <w14:ligatures w14:val="standardContextual"/>
          </w:rPr>
          <w:tab/>
        </w:r>
        <w:r w:rsidRPr="003A0C07">
          <w:rPr>
            <w:rStyle w:val="Hyperlink"/>
          </w:rPr>
          <w:t>Audience</w:t>
        </w:r>
        <w:r>
          <w:rPr>
            <w:webHidden/>
          </w:rPr>
          <w:tab/>
        </w:r>
        <w:r>
          <w:rPr>
            <w:webHidden/>
          </w:rPr>
          <w:fldChar w:fldCharType="begin"/>
        </w:r>
        <w:r>
          <w:rPr>
            <w:webHidden/>
          </w:rPr>
          <w:instrText xml:space="preserve"> PAGEREF _Toc217022527 \h </w:instrText>
        </w:r>
        <w:r>
          <w:rPr>
            <w:webHidden/>
          </w:rPr>
        </w:r>
        <w:r>
          <w:rPr>
            <w:webHidden/>
          </w:rPr>
          <w:fldChar w:fldCharType="separate"/>
        </w:r>
        <w:r>
          <w:rPr>
            <w:webHidden/>
          </w:rPr>
          <w:t>1</w:t>
        </w:r>
        <w:r>
          <w:rPr>
            <w:webHidden/>
          </w:rPr>
          <w:fldChar w:fldCharType="end"/>
        </w:r>
      </w:hyperlink>
    </w:p>
    <w:p w14:paraId="34813D21" w14:textId="5C1A958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8" w:history="1">
        <w:r w:rsidRPr="003A0C07">
          <w:rPr>
            <w:rStyle w:val="Hyperlink"/>
          </w:rPr>
          <w:t>1.4.</w:t>
        </w:r>
        <w:r>
          <w:rPr>
            <w:rFonts w:asciiTheme="minorHAnsi" w:eastAsiaTheme="minorEastAsia" w:hAnsiTheme="minorHAnsi" w:cstheme="minorBidi"/>
            <w:kern w:val="2"/>
            <w:sz w:val="24"/>
            <w:szCs w:val="24"/>
            <w:lang w:eastAsia="en-AU"/>
            <w14:ligatures w14:val="standardContextual"/>
          </w:rPr>
          <w:tab/>
        </w:r>
        <w:r w:rsidRPr="003A0C07">
          <w:rPr>
            <w:rStyle w:val="Hyperlink"/>
          </w:rPr>
          <w:t>Governance</w:t>
        </w:r>
        <w:r>
          <w:rPr>
            <w:webHidden/>
          </w:rPr>
          <w:tab/>
        </w:r>
        <w:r>
          <w:rPr>
            <w:webHidden/>
          </w:rPr>
          <w:fldChar w:fldCharType="begin"/>
        </w:r>
        <w:r>
          <w:rPr>
            <w:webHidden/>
          </w:rPr>
          <w:instrText xml:space="preserve"> PAGEREF _Toc217022528 \h </w:instrText>
        </w:r>
        <w:r>
          <w:rPr>
            <w:webHidden/>
          </w:rPr>
        </w:r>
        <w:r>
          <w:rPr>
            <w:webHidden/>
          </w:rPr>
          <w:fldChar w:fldCharType="separate"/>
        </w:r>
        <w:r>
          <w:rPr>
            <w:webHidden/>
          </w:rPr>
          <w:t>1</w:t>
        </w:r>
        <w:r>
          <w:rPr>
            <w:webHidden/>
          </w:rPr>
          <w:fldChar w:fldCharType="end"/>
        </w:r>
      </w:hyperlink>
    </w:p>
    <w:p w14:paraId="5D12F0EE" w14:textId="7F40E046"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29" w:history="1">
        <w:r w:rsidRPr="003A0C07">
          <w:rPr>
            <w:rStyle w:val="Hyperlink"/>
          </w:rPr>
          <w:t>1.5.</w:t>
        </w:r>
        <w:r>
          <w:rPr>
            <w:rFonts w:asciiTheme="minorHAnsi" w:eastAsiaTheme="minorEastAsia" w:hAnsiTheme="minorHAnsi" w:cstheme="minorBidi"/>
            <w:kern w:val="2"/>
            <w:sz w:val="24"/>
            <w:szCs w:val="24"/>
            <w:lang w:eastAsia="en-AU"/>
            <w14:ligatures w14:val="standardContextual"/>
          </w:rPr>
          <w:tab/>
        </w:r>
        <w:r w:rsidRPr="003A0C07">
          <w:rPr>
            <w:rStyle w:val="Hyperlink"/>
          </w:rPr>
          <w:t>Roles and responsibilities</w:t>
        </w:r>
        <w:r>
          <w:rPr>
            <w:webHidden/>
          </w:rPr>
          <w:tab/>
        </w:r>
        <w:r>
          <w:rPr>
            <w:webHidden/>
          </w:rPr>
          <w:fldChar w:fldCharType="begin"/>
        </w:r>
        <w:r>
          <w:rPr>
            <w:webHidden/>
          </w:rPr>
          <w:instrText xml:space="preserve"> PAGEREF _Toc217022529 \h </w:instrText>
        </w:r>
        <w:r>
          <w:rPr>
            <w:webHidden/>
          </w:rPr>
        </w:r>
        <w:r>
          <w:rPr>
            <w:webHidden/>
          </w:rPr>
          <w:fldChar w:fldCharType="separate"/>
        </w:r>
        <w:r>
          <w:rPr>
            <w:webHidden/>
          </w:rPr>
          <w:t>2</w:t>
        </w:r>
        <w:r>
          <w:rPr>
            <w:webHidden/>
          </w:rPr>
          <w:fldChar w:fldCharType="end"/>
        </w:r>
      </w:hyperlink>
    </w:p>
    <w:p w14:paraId="3AB1C16A" w14:textId="5CD96C21"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30" w:history="1">
        <w:r w:rsidRPr="003A0C07">
          <w:rPr>
            <w:rStyle w:val="Hyperlink"/>
          </w:rPr>
          <w:t>2.</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Background</w:t>
        </w:r>
        <w:r>
          <w:rPr>
            <w:webHidden/>
          </w:rPr>
          <w:tab/>
        </w:r>
        <w:r>
          <w:rPr>
            <w:webHidden/>
          </w:rPr>
          <w:fldChar w:fldCharType="begin"/>
        </w:r>
        <w:r>
          <w:rPr>
            <w:webHidden/>
          </w:rPr>
          <w:instrText xml:space="preserve"> PAGEREF _Toc217022530 \h </w:instrText>
        </w:r>
        <w:r>
          <w:rPr>
            <w:webHidden/>
          </w:rPr>
        </w:r>
        <w:r>
          <w:rPr>
            <w:webHidden/>
          </w:rPr>
          <w:fldChar w:fldCharType="separate"/>
        </w:r>
        <w:r>
          <w:rPr>
            <w:webHidden/>
          </w:rPr>
          <w:t>5</w:t>
        </w:r>
        <w:r>
          <w:rPr>
            <w:webHidden/>
          </w:rPr>
          <w:fldChar w:fldCharType="end"/>
        </w:r>
      </w:hyperlink>
    </w:p>
    <w:p w14:paraId="5055C903" w14:textId="151D1758"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1" w:history="1">
        <w:r w:rsidRPr="003A0C07">
          <w:rPr>
            <w:rStyle w:val="Hyperlink"/>
          </w:rPr>
          <w:t>2.1.</w:t>
        </w:r>
        <w:r>
          <w:rPr>
            <w:rFonts w:asciiTheme="minorHAnsi" w:eastAsiaTheme="minorEastAsia" w:hAnsiTheme="minorHAnsi" w:cstheme="minorBidi"/>
            <w:kern w:val="2"/>
            <w:sz w:val="24"/>
            <w:szCs w:val="24"/>
            <w:lang w:eastAsia="en-AU"/>
            <w14:ligatures w14:val="standardContextual"/>
          </w:rPr>
          <w:tab/>
        </w:r>
        <w:r w:rsidRPr="003A0C07">
          <w:rPr>
            <w:rStyle w:val="Hyperlink"/>
          </w:rPr>
          <w:t>Viral haemorrhagic fevers</w:t>
        </w:r>
        <w:r>
          <w:rPr>
            <w:webHidden/>
          </w:rPr>
          <w:tab/>
        </w:r>
        <w:r>
          <w:rPr>
            <w:webHidden/>
          </w:rPr>
          <w:fldChar w:fldCharType="begin"/>
        </w:r>
        <w:r>
          <w:rPr>
            <w:webHidden/>
          </w:rPr>
          <w:instrText xml:space="preserve"> PAGEREF _Toc217022531 \h </w:instrText>
        </w:r>
        <w:r>
          <w:rPr>
            <w:webHidden/>
          </w:rPr>
        </w:r>
        <w:r>
          <w:rPr>
            <w:webHidden/>
          </w:rPr>
          <w:fldChar w:fldCharType="separate"/>
        </w:r>
        <w:r>
          <w:rPr>
            <w:webHidden/>
          </w:rPr>
          <w:t>5</w:t>
        </w:r>
        <w:r>
          <w:rPr>
            <w:webHidden/>
          </w:rPr>
          <w:fldChar w:fldCharType="end"/>
        </w:r>
      </w:hyperlink>
    </w:p>
    <w:p w14:paraId="060D5933" w14:textId="044E12F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2" w:history="1">
        <w:r w:rsidRPr="003A0C07">
          <w:rPr>
            <w:rStyle w:val="Hyperlink"/>
          </w:rPr>
          <w:t>2.2.</w:t>
        </w:r>
        <w:r>
          <w:rPr>
            <w:rFonts w:asciiTheme="minorHAnsi" w:eastAsiaTheme="minorEastAsia" w:hAnsiTheme="minorHAnsi" w:cstheme="minorBidi"/>
            <w:kern w:val="2"/>
            <w:sz w:val="24"/>
            <w:szCs w:val="24"/>
            <w:lang w:eastAsia="en-AU"/>
            <w14:ligatures w14:val="standardContextual"/>
          </w:rPr>
          <w:tab/>
        </w:r>
        <w:r w:rsidRPr="003A0C07">
          <w:rPr>
            <w:rStyle w:val="Hyperlink"/>
          </w:rPr>
          <w:t>Clinical symptoms</w:t>
        </w:r>
        <w:r>
          <w:rPr>
            <w:webHidden/>
          </w:rPr>
          <w:tab/>
        </w:r>
        <w:r>
          <w:rPr>
            <w:webHidden/>
          </w:rPr>
          <w:fldChar w:fldCharType="begin"/>
        </w:r>
        <w:r>
          <w:rPr>
            <w:webHidden/>
          </w:rPr>
          <w:instrText xml:space="preserve"> PAGEREF _Toc217022532 \h </w:instrText>
        </w:r>
        <w:r>
          <w:rPr>
            <w:webHidden/>
          </w:rPr>
        </w:r>
        <w:r>
          <w:rPr>
            <w:webHidden/>
          </w:rPr>
          <w:fldChar w:fldCharType="separate"/>
        </w:r>
        <w:r>
          <w:rPr>
            <w:webHidden/>
          </w:rPr>
          <w:t>5</w:t>
        </w:r>
        <w:r>
          <w:rPr>
            <w:webHidden/>
          </w:rPr>
          <w:fldChar w:fldCharType="end"/>
        </w:r>
      </w:hyperlink>
    </w:p>
    <w:p w14:paraId="4923BC97" w14:textId="518DCCC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3" w:history="1">
        <w:r w:rsidRPr="003A0C07">
          <w:rPr>
            <w:rStyle w:val="Hyperlink"/>
          </w:rPr>
          <w:t>2.3.</w:t>
        </w:r>
        <w:r>
          <w:rPr>
            <w:rFonts w:asciiTheme="minorHAnsi" w:eastAsiaTheme="minorEastAsia" w:hAnsiTheme="minorHAnsi" w:cstheme="minorBidi"/>
            <w:kern w:val="2"/>
            <w:sz w:val="24"/>
            <w:szCs w:val="24"/>
            <w:lang w:eastAsia="en-AU"/>
            <w14:ligatures w14:val="standardContextual"/>
          </w:rPr>
          <w:tab/>
        </w:r>
        <w:r w:rsidRPr="003A0C07">
          <w:rPr>
            <w:rStyle w:val="Hyperlink"/>
          </w:rPr>
          <w:t>Epidemiology and public health significance</w:t>
        </w:r>
        <w:r>
          <w:rPr>
            <w:webHidden/>
          </w:rPr>
          <w:tab/>
        </w:r>
        <w:r>
          <w:rPr>
            <w:webHidden/>
          </w:rPr>
          <w:fldChar w:fldCharType="begin"/>
        </w:r>
        <w:r>
          <w:rPr>
            <w:webHidden/>
          </w:rPr>
          <w:instrText xml:space="preserve"> PAGEREF _Toc217022533 \h </w:instrText>
        </w:r>
        <w:r>
          <w:rPr>
            <w:webHidden/>
          </w:rPr>
        </w:r>
        <w:r>
          <w:rPr>
            <w:webHidden/>
          </w:rPr>
          <w:fldChar w:fldCharType="separate"/>
        </w:r>
        <w:r>
          <w:rPr>
            <w:webHidden/>
          </w:rPr>
          <w:t>6</w:t>
        </w:r>
        <w:r>
          <w:rPr>
            <w:webHidden/>
          </w:rPr>
          <w:fldChar w:fldCharType="end"/>
        </w:r>
      </w:hyperlink>
    </w:p>
    <w:p w14:paraId="7B06B622" w14:textId="470F47A5"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4" w:history="1">
        <w:r w:rsidRPr="003A0C07">
          <w:rPr>
            <w:rStyle w:val="Hyperlink"/>
          </w:rPr>
          <w:t>2.4.</w:t>
        </w:r>
        <w:r>
          <w:rPr>
            <w:rFonts w:asciiTheme="minorHAnsi" w:eastAsiaTheme="minorEastAsia" w:hAnsiTheme="minorHAnsi" w:cstheme="minorBidi"/>
            <w:kern w:val="2"/>
            <w:sz w:val="24"/>
            <w:szCs w:val="24"/>
            <w:lang w:eastAsia="en-AU"/>
            <w14:ligatures w14:val="standardContextual"/>
          </w:rPr>
          <w:tab/>
        </w:r>
        <w:r w:rsidRPr="003A0C07">
          <w:rPr>
            <w:rStyle w:val="Hyperlink"/>
          </w:rPr>
          <w:t>Mode of transmission</w:t>
        </w:r>
        <w:r>
          <w:rPr>
            <w:webHidden/>
          </w:rPr>
          <w:tab/>
        </w:r>
        <w:r>
          <w:rPr>
            <w:webHidden/>
          </w:rPr>
          <w:fldChar w:fldCharType="begin"/>
        </w:r>
        <w:r>
          <w:rPr>
            <w:webHidden/>
          </w:rPr>
          <w:instrText xml:space="preserve"> PAGEREF _Toc217022534 \h </w:instrText>
        </w:r>
        <w:r>
          <w:rPr>
            <w:webHidden/>
          </w:rPr>
        </w:r>
        <w:r>
          <w:rPr>
            <w:webHidden/>
          </w:rPr>
          <w:fldChar w:fldCharType="separate"/>
        </w:r>
        <w:r>
          <w:rPr>
            <w:webHidden/>
          </w:rPr>
          <w:t>6</w:t>
        </w:r>
        <w:r>
          <w:rPr>
            <w:webHidden/>
          </w:rPr>
          <w:fldChar w:fldCharType="end"/>
        </w:r>
      </w:hyperlink>
    </w:p>
    <w:p w14:paraId="4B8628EB" w14:textId="1751ED3A"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35" w:history="1">
        <w:r w:rsidRPr="003A0C07">
          <w:rPr>
            <w:rStyle w:val="Hyperlink"/>
          </w:rPr>
          <w:t>3.</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Management and control of suspected or confirmed cases of VHF</w:t>
        </w:r>
        <w:r>
          <w:rPr>
            <w:webHidden/>
          </w:rPr>
          <w:tab/>
        </w:r>
        <w:r>
          <w:rPr>
            <w:webHidden/>
          </w:rPr>
          <w:fldChar w:fldCharType="begin"/>
        </w:r>
        <w:r>
          <w:rPr>
            <w:webHidden/>
          </w:rPr>
          <w:instrText xml:space="preserve"> PAGEREF _Toc217022535 \h </w:instrText>
        </w:r>
        <w:r>
          <w:rPr>
            <w:webHidden/>
          </w:rPr>
        </w:r>
        <w:r>
          <w:rPr>
            <w:webHidden/>
          </w:rPr>
          <w:fldChar w:fldCharType="separate"/>
        </w:r>
        <w:r>
          <w:rPr>
            <w:webHidden/>
          </w:rPr>
          <w:t>8</w:t>
        </w:r>
        <w:r>
          <w:rPr>
            <w:webHidden/>
          </w:rPr>
          <w:fldChar w:fldCharType="end"/>
        </w:r>
      </w:hyperlink>
    </w:p>
    <w:p w14:paraId="74DC8EDE" w14:textId="3F66DA6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6" w:history="1">
        <w:r w:rsidRPr="003A0C07">
          <w:rPr>
            <w:rStyle w:val="Hyperlink"/>
            <w:lang w:val="en-US"/>
          </w:rPr>
          <w:t>3.1.</w:t>
        </w:r>
        <w:r>
          <w:rPr>
            <w:rFonts w:asciiTheme="minorHAnsi" w:eastAsiaTheme="minorEastAsia" w:hAnsiTheme="minorHAnsi" w:cstheme="minorBidi"/>
            <w:kern w:val="2"/>
            <w:sz w:val="24"/>
            <w:szCs w:val="24"/>
            <w:lang w:eastAsia="en-AU"/>
            <w14:ligatures w14:val="standardContextual"/>
          </w:rPr>
          <w:tab/>
        </w:r>
        <w:r w:rsidRPr="003A0C07">
          <w:rPr>
            <w:rStyle w:val="Hyperlink"/>
          </w:rPr>
          <w:t>Assessing the level of suspicion for VHF</w:t>
        </w:r>
        <w:r>
          <w:rPr>
            <w:webHidden/>
          </w:rPr>
          <w:tab/>
        </w:r>
        <w:r>
          <w:rPr>
            <w:webHidden/>
          </w:rPr>
          <w:fldChar w:fldCharType="begin"/>
        </w:r>
        <w:r>
          <w:rPr>
            <w:webHidden/>
          </w:rPr>
          <w:instrText xml:space="preserve"> PAGEREF _Toc217022536 \h </w:instrText>
        </w:r>
        <w:r>
          <w:rPr>
            <w:webHidden/>
          </w:rPr>
        </w:r>
        <w:r>
          <w:rPr>
            <w:webHidden/>
          </w:rPr>
          <w:fldChar w:fldCharType="separate"/>
        </w:r>
        <w:r>
          <w:rPr>
            <w:webHidden/>
          </w:rPr>
          <w:t>8</w:t>
        </w:r>
        <w:r>
          <w:rPr>
            <w:webHidden/>
          </w:rPr>
          <w:fldChar w:fldCharType="end"/>
        </w:r>
      </w:hyperlink>
    </w:p>
    <w:p w14:paraId="4C61D023" w14:textId="5860D9E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7" w:history="1">
        <w:r w:rsidRPr="003A0C07">
          <w:rPr>
            <w:rStyle w:val="Hyperlink"/>
          </w:rPr>
          <w:t>3.2.</w:t>
        </w:r>
        <w:r>
          <w:rPr>
            <w:rFonts w:asciiTheme="minorHAnsi" w:eastAsiaTheme="minorEastAsia" w:hAnsiTheme="minorHAnsi" w:cstheme="minorBidi"/>
            <w:kern w:val="2"/>
            <w:sz w:val="24"/>
            <w:szCs w:val="24"/>
            <w:lang w:eastAsia="en-AU"/>
            <w14:ligatures w14:val="standardContextual"/>
          </w:rPr>
          <w:tab/>
        </w:r>
        <w:r w:rsidRPr="003A0C07">
          <w:rPr>
            <w:rStyle w:val="Hyperlink"/>
          </w:rPr>
          <w:t>VHF preparedness in designated and non-designated health services and primary care</w:t>
        </w:r>
        <w:r>
          <w:rPr>
            <w:webHidden/>
          </w:rPr>
          <w:tab/>
        </w:r>
        <w:r>
          <w:rPr>
            <w:webHidden/>
          </w:rPr>
          <w:fldChar w:fldCharType="begin"/>
        </w:r>
        <w:r>
          <w:rPr>
            <w:webHidden/>
          </w:rPr>
          <w:instrText xml:space="preserve"> PAGEREF _Toc217022537 \h </w:instrText>
        </w:r>
        <w:r>
          <w:rPr>
            <w:webHidden/>
          </w:rPr>
        </w:r>
        <w:r>
          <w:rPr>
            <w:webHidden/>
          </w:rPr>
          <w:fldChar w:fldCharType="separate"/>
        </w:r>
        <w:r>
          <w:rPr>
            <w:webHidden/>
          </w:rPr>
          <w:t>10</w:t>
        </w:r>
        <w:r>
          <w:rPr>
            <w:webHidden/>
          </w:rPr>
          <w:fldChar w:fldCharType="end"/>
        </w:r>
      </w:hyperlink>
    </w:p>
    <w:p w14:paraId="5F7AA15C" w14:textId="659BE1F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8" w:history="1">
        <w:r w:rsidRPr="003A0C07">
          <w:rPr>
            <w:rStyle w:val="Hyperlink"/>
          </w:rPr>
          <w:t>3.3.</w:t>
        </w:r>
        <w:r>
          <w:rPr>
            <w:rFonts w:asciiTheme="minorHAnsi" w:eastAsiaTheme="minorEastAsia" w:hAnsiTheme="minorHAnsi" w:cstheme="minorBidi"/>
            <w:kern w:val="2"/>
            <w:sz w:val="24"/>
            <w:szCs w:val="24"/>
            <w:lang w:eastAsia="en-AU"/>
            <w14:ligatures w14:val="standardContextual"/>
          </w:rPr>
          <w:tab/>
        </w:r>
        <w:r w:rsidRPr="003A0C07">
          <w:rPr>
            <w:rStyle w:val="Hyperlink"/>
          </w:rPr>
          <w:t>Immediate actions on suspicion of VHF disease</w:t>
        </w:r>
        <w:r>
          <w:rPr>
            <w:webHidden/>
          </w:rPr>
          <w:tab/>
        </w:r>
        <w:r>
          <w:rPr>
            <w:webHidden/>
          </w:rPr>
          <w:fldChar w:fldCharType="begin"/>
        </w:r>
        <w:r>
          <w:rPr>
            <w:webHidden/>
          </w:rPr>
          <w:instrText xml:space="preserve"> PAGEREF _Toc217022538 \h </w:instrText>
        </w:r>
        <w:r>
          <w:rPr>
            <w:webHidden/>
          </w:rPr>
        </w:r>
        <w:r>
          <w:rPr>
            <w:webHidden/>
          </w:rPr>
          <w:fldChar w:fldCharType="separate"/>
        </w:r>
        <w:r>
          <w:rPr>
            <w:webHidden/>
          </w:rPr>
          <w:t>11</w:t>
        </w:r>
        <w:r>
          <w:rPr>
            <w:webHidden/>
          </w:rPr>
          <w:fldChar w:fldCharType="end"/>
        </w:r>
      </w:hyperlink>
    </w:p>
    <w:p w14:paraId="7E8D2DAB" w14:textId="211287BE"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39" w:history="1">
        <w:r w:rsidRPr="003A0C07">
          <w:rPr>
            <w:rStyle w:val="Hyperlink"/>
          </w:rPr>
          <w:t>3.4.</w:t>
        </w:r>
        <w:r>
          <w:rPr>
            <w:rFonts w:asciiTheme="minorHAnsi" w:eastAsiaTheme="minorEastAsia" w:hAnsiTheme="minorHAnsi" w:cstheme="minorBidi"/>
            <w:kern w:val="2"/>
            <w:sz w:val="24"/>
            <w:szCs w:val="24"/>
            <w:lang w:eastAsia="en-AU"/>
            <w14:ligatures w14:val="standardContextual"/>
          </w:rPr>
          <w:tab/>
        </w:r>
        <w:r w:rsidRPr="003A0C07">
          <w:rPr>
            <w:rStyle w:val="Hyperlink"/>
          </w:rPr>
          <w:t>Transfer to a designated health service</w:t>
        </w:r>
        <w:r>
          <w:rPr>
            <w:webHidden/>
          </w:rPr>
          <w:tab/>
        </w:r>
        <w:r>
          <w:rPr>
            <w:webHidden/>
          </w:rPr>
          <w:fldChar w:fldCharType="begin"/>
        </w:r>
        <w:r>
          <w:rPr>
            <w:webHidden/>
          </w:rPr>
          <w:instrText xml:space="preserve"> PAGEREF _Toc217022539 \h </w:instrText>
        </w:r>
        <w:r>
          <w:rPr>
            <w:webHidden/>
          </w:rPr>
        </w:r>
        <w:r>
          <w:rPr>
            <w:webHidden/>
          </w:rPr>
          <w:fldChar w:fldCharType="separate"/>
        </w:r>
        <w:r>
          <w:rPr>
            <w:webHidden/>
          </w:rPr>
          <w:t>13</w:t>
        </w:r>
        <w:r>
          <w:rPr>
            <w:webHidden/>
          </w:rPr>
          <w:fldChar w:fldCharType="end"/>
        </w:r>
      </w:hyperlink>
    </w:p>
    <w:p w14:paraId="091E04DE" w14:textId="79267DDE"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40" w:history="1">
        <w:r w:rsidRPr="003A0C07">
          <w:rPr>
            <w:rStyle w:val="Hyperlink"/>
          </w:rPr>
          <w:t>4.</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Laboratory</w:t>
        </w:r>
        <w:r>
          <w:rPr>
            <w:webHidden/>
          </w:rPr>
          <w:tab/>
        </w:r>
        <w:r>
          <w:rPr>
            <w:webHidden/>
          </w:rPr>
          <w:fldChar w:fldCharType="begin"/>
        </w:r>
        <w:r>
          <w:rPr>
            <w:webHidden/>
          </w:rPr>
          <w:instrText xml:space="preserve"> PAGEREF _Toc217022540 \h </w:instrText>
        </w:r>
        <w:r>
          <w:rPr>
            <w:webHidden/>
          </w:rPr>
        </w:r>
        <w:r>
          <w:rPr>
            <w:webHidden/>
          </w:rPr>
          <w:fldChar w:fldCharType="separate"/>
        </w:r>
        <w:r>
          <w:rPr>
            <w:webHidden/>
          </w:rPr>
          <w:t>15</w:t>
        </w:r>
        <w:r>
          <w:rPr>
            <w:webHidden/>
          </w:rPr>
          <w:fldChar w:fldCharType="end"/>
        </w:r>
      </w:hyperlink>
    </w:p>
    <w:p w14:paraId="5FAD62FB" w14:textId="25FCD14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1" w:history="1">
        <w:r w:rsidRPr="003A0C07">
          <w:rPr>
            <w:rStyle w:val="Hyperlink"/>
          </w:rPr>
          <w:t>4.1.</w:t>
        </w:r>
        <w:r>
          <w:rPr>
            <w:rFonts w:asciiTheme="minorHAnsi" w:eastAsiaTheme="minorEastAsia" w:hAnsiTheme="minorHAnsi" w:cstheme="minorBidi"/>
            <w:kern w:val="2"/>
            <w:sz w:val="24"/>
            <w:szCs w:val="24"/>
            <w:lang w:eastAsia="en-AU"/>
            <w14:ligatures w14:val="standardContextual"/>
          </w:rPr>
          <w:tab/>
        </w:r>
        <w:r w:rsidRPr="003A0C07">
          <w:rPr>
            <w:rStyle w:val="Hyperlink"/>
          </w:rPr>
          <w:t>Laboratory notification</w:t>
        </w:r>
        <w:r>
          <w:rPr>
            <w:webHidden/>
          </w:rPr>
          <w:tab/>
        </w:r>
        <w:r>
          <w:rPr>
            <w:webHidden/>
          </w:rPr>
          <w:fldChar w:fldCharType="begin"/>
        </w:r>
        <w:r>
          <w:rPr>
            <w:webHidden/>
          </w:rPr>
          <w:instrText xml:space="preserve"> PAGEREF _Toc217022541 \h </w:instrText>
        </w:r>
        <w:r>
          <w:rPr>
            <w:webHidden/>
          </w:rPr>
        </w:r>
        <w:r>
          <w:rPr>
            <w:webHidden/>
          </w:rPr>
          <w:fldChar w:fldCharType="separate"/>
        </w:r>
        <w:r>
          <w:rPr>
            <w:webHidden/>
          </w:rPr>
          <w:t>15</w:t>
        </w:r>
        <w:r>
          <w:rPr>
            <w:webHidden/>
          </w:rPr>
          <w:fldChar w:fldCharType="end"/>
        </w:r>
      </w:hyperlink>
    </w:p>
    <w:p w14:paraId="19BB2914" w14:textId="6545A20C"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2" w:history="1">
        <w:r w:rsidRPr="003A0C07">
          <w:rPr>
            <w:rStyle w:val="Hyperlink"/>
          </w:rPr>
          <w:t>4.2.</w:t>
        </w:r>
        <w:r>
          <w:rPr>
            <w:rFonts w:asciiTheme="minorHAnsi" w:eastAsiaTheme="minorEastAsia" w:hAnsiTheme="minorHAnsi" w:cstheme="minorBidi"/>
            <w:kern w:val="2"/>
            <w:sz w:val="24"/>
            <w:szCs w:val="24"/>
            <w:lang w:eastAsia="en-AU"/>
            <w14:ligatures w14:val="standardContextual"/>
          </w:rPr>
          <w:tab/>
        </w:r>
        <w:r w:rsidRPr="003A0C07">
          <w:rPr>
            <w:rStyle w:val="Hyperlink"/>
          </w:rPr>
          <w:t>Testing and specimen transfer</w:t>
        </w:r>
        <w:r>
          <w:rPr>
            <w:webHidden/>
          </w:rPr>
          <w:tab/>
        </w:r>
        <w:r>
          <w:rPr>
            <w:webHidden/>
          </w:rPr>
          <w:fldChar w:fldCharType="begin"/>
        </w:r>
        <w:r>
          <w:rPr>
            <w:webHidden/>
          </w:rPr>
          <w:instrText xml:space="preserve"> PAGEREF _Toc217022542 \h </w:instrText>
        </w:r>
        <w:r>
          <w:rPr>
            <w:webHidden/>
          </w:rPr>
        </w:r>
        <w:r>
          <w:rPr>
            <w:webHidden/>
          </w:rPr>
          <w:fldChar w:fldCharType="separate"/>
        </w:r>
        <w:r>
          <w:rPr>
            <w:webHidden/>
          </w:rPr>
          <w:t>15</w:t>
        </w:r>
        <w:r>
          <w:rPr>
            <w:webHidden/>
          </w:rPr>
          <w:fldChar w:fldCharType="end"/>
        </w:r>
      </w:hyperlink>
    </w:p>
    <w:p w14:paraId="3C239B57" w14:textId="68451FB2"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3" w:history="1">
        <w:r w:rsidRPr="003A0C07">
          <w:rPr>
            <w:rStyle w:val="Hyperlink"/>
          </w:rPr>
          <w:t>4.3.</w:t>
        </w:r>
        <w:r>
          <w:rPr>
            <w:rFonts w:asciiTheme="minorHAnsi" w:eastAsiaTheme="minorEastAsia" w:hAnsiTheme="minorHAnsi" w:cstheme="minorBidi"/>
            <w:kern w:val="2"/>
            <w:sz w:val="24"/>
            <w:szCs w:val="24"/>
            <w:lang w:eastAsia="en-AU"/>
            <w14:ligatures w14:val="standardContextual"/>
          </w:rPr>
          <w:tab/>
        </w:r>
        <w:r w:rsidRPr="003A0C07">
          <w:rPr>
            <w:rStyle w:val="Hyperlink"/>
          </w:rPr>
          <w:t>Reporting</w:t>
        </w:r>
        <w:r>
          <w:rPr>
            <w:webHidden/>
          </w:rPr>
          <w:tab/>
        </w:r>
        <w:r>
          <w:rPr>
            <w:webHidden/>
          </w:rPr>
          <w:fldChar w:fldCharType="begin"/>
        </w:r>
        <w:r>
          <w:rPr>
            <w:webHidden/>
          </w:rPr>
          <w:instrText xml:space="preserve"> PAGEREF _Toc217022543 \h </w:instrText>
        </w:r>
        <w:r>
          <w:rPr>
            <w:webHidden/>
          </w:rPr>
        </w:r>
        <w:r>
          <w:rPr>
            <w:webHidden/>
          </w:rPr>
          <w:fldChar w:fldCharType="separate"/>
        </w:r>
        <w:r>
          <w:rPr>
            <w:webHidden/>
          </w:rPr>
          <w:t>17</w:t>
        </w:r>
        <w:r>
          <w:rPr>
            <w:webHidden/>
          </w:rPr>
          <w:fldChar w:fldCharType="end"/>
        </w:r>
      </w:hyperlink>
    </w:p>
    <w:p w14:paraId="3D0B1F7D" w14:textId="5F3D17E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4" w:history="1">
        <w:r w:rsidRPr="003A0C07">
          <w:rPr>
            <w:rStyle w:val="Hyperlink"/>
          </w:rPr>
          <w:t>4.4.</w:t>
        </w:r>
        <w:r>
          <w:rPr>
            <w:rFonts w:asciiTheme="minorHAnsi" w:eastAsiaTheme="minorEastAsia" w:hAnsiTheme="minorHAnsi" w:cstheme="minorBidi"/>
            <w:kern w:val="2"/>
            <w:sz w:val="24"/>
            <w:szCs w:val="24"/>
            <w:lang w:eastAsia="en-AU"/>
            <w14:ligatures w14:val="standardContextual"/>
          </w:rPr>
          <w:tab/>
        </w:r>
        <w:r w:rsidRPr="003A0C07">
          <w:rPr>
            <w:rStyle w:val="Hyperlink"/>
          </w:rPr>
          <w:t>Quality assurance</w:t>
        </w:r>
        <w:r>
          <w:rPr>
            <w:webHidden/>
          </w:rPr>
          <w:tab/>
        </w:r>
        <w:r>
          <w:rPr>
            <w:webHidden/>
          </w:rPr>
          <w:fldChar w:fldCharType="begin"/>
        </w:r>
        <w:r>
          <w:rPr>
            <w:webHidden/>
          </w:rPr>
          <w:instrText xml:space="preserve"> PAGEREF _Toc217022544 \h </w:instrText>
        </w:r>
        <w:r>
          <w:rPr>
            <w:webHidden/>
          </w:rPr>
        </w:r>
        <w:r>
          <w:rPr>
            <w:webHidden/>
          </w:rPr>
          <w:fldChar w:fldCharType="separate"/>
        </w:r>
        <w:r>
          <w:rPr>
            <w:webHidden/>
          </w:rPr>
          <w:t>17</w:t>
        </w:r>
        <w:r>
          <w:rPr>
            <w:webHidden/>
          </w:rPr>
          <w:fldChar w:fldCharType="end"/>
        </w:r>
      </w:hyperlink>
    </w:p>
    <w:p w14:paraId="6EC3D1CE" w14:textId="6C9191F0"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45" w:history="1">
        <w:r w:rsidRPr="003A0C07">
          <w:rPr>
            <w:rStyle w:val="Hyperlink"/>
          </w:rPr>
          <w:t>5.</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IPC</w:t>
        </w:r>
        <w:r>
          <w:rPr>
            <w:webHidden/>
          </w:rPr>
          <w:tab/>
        </w:r>
        <w:r>
          <w:rPr>
            <w:webHidden/>
          </w:rPr>
          <w:fldChar w:fldCharType="begin"/>
        </w:r>
        <w:r>
          <w:rPr>
            <w:webHidden/>
          </w:rPr>
          <w:instrText xml:space="preserve"> PAGEREF _Toc217022545 \h </w:instrText>
        </w:r>
        <w:r>
          <w:rPr>
            <w:webHidden/>
          </w:rPr>
        </w:r>
        <w:r>
          <w:rPr>
            <w:webHidden/>
          </w:rPr>
          <w:fldChar w:fldCharType="separate"/>
        </w:r>
        <w:r>
          <w:rPr>
            <w:webHidden/>
          </w:rPr>
          <w:t>18</w:t>
        </w:r>
        <w:r>
          <w:rPr>
            <w:webHidden/>
          </w:rPr>
          <w:fldChar w:fldCharType="end"/>
        </w:r>
      </w:hyperlink>
    </w:p>
    <w:p w14:paraId="6954AC0B" w14:textId="240FF749"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6" w:history="1">
        <w:r w:rsidRPr="003A0C07">
          <w:rPr>
            <w:rStyle w:val="Hyperlink"/>
          </w:rPr>
          <w:t>5.1.</w:t>
        </w:r>
        <w:r>
          <w:rPr>
            <w:rFonts w:asciiTheme="minorHAnsi" w:eastAsiaTheme="minorEastAsia" w:hAnsiTheme="minorHAnsi" w:cstheme="minorBidi"/>
            <w:kern w:val="2"/>
            <w:sz w:val="24"/>
            <w:szCs w:val="24"/>
            <w:lang w:eastAsia="en-AU"/>
            <w14:ligatures w14:val="standardContextual"/>
          </w:rPr>
          <w:tab/>
        </w:r>
        <w:r w:rsidRPr="003A0C07">
          <w:rPr>
            <w:rStyle w:val="Hyperlink"/>
          </w:rPr>
          <w:t>General IPC principles and patient management</w:t>
        </w:r>
        <w:r>
          <w:rPr>
            <w:webHidden/>
          </w:rPr>
          <w:tab/>
        </w:r>
        <w:r>
          <w:rPr>
            <w:webHidden/>
          </w:rPr>
          <w:fldChar w:fldCharType="begin"/>
        </w:r>
        <w:r>
          <w:rPr>
            <w:webHidden/>
          </w:rPr>
          <w:instrText xml:space="preserve"> PAGEREF _Toc217022546 \h </w:instrText>
        </w:r>
        <w:r>
          <w:rPr>
            <w:webHidden/>
          </w:rPr>
        </w:r>
        <w:r>
          <w:rPr>
            <w:webHidden/>
          </w:rPr>
          <w:fldChar w:fldCharType="separate"/>
        </w:r>
        <w:r>
          <w:rPr>
            <w:webHidden/>
          </w:rPr>
          <w:t>18</w:t>
        </w:r>
        <w:r>
          <w:rPr>
            <w:webHidden/>
          </w:rPr>
          <w:fldChar w:fldCharType="end"/>
        </w:r>
      </w:hyperlink>
    </w:p>
    <w:p w14:paraId="70590486" w14:textId="5C659A3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7" w:history="1">
        <w:r w:rsidRPr="003A0C07">
          <w:rPr>
            <w:rStyle w:val="Hyperlink"/>
          </w:rPr>
          <w:t>5.2.</w:t>
        </w:r>
        <w:r>
          <w:rPr>
            <w:rFonts w:asciiTheme="minorHAnsi" w:eastAsiaTheme="minorEastAsia" w:hAnsiTheme="minorHAnsi" w:cstheme="minorBidi"/>
            <w:kern w:val="2"/>
            <w:sz w:val="24"/>
            <w:szCs w:val="24"/>
            <w:lang w:eastAsia="en-AU"/>
            <w14:ligatures w14:val="standardContextual"/>
          </w:rPr>
          <w:tab/>
        </w:r>
        <w:r w:rsidRPr="003A0C07">
          <w:rPr>
            <w:rStyle w:val="Hyperlink"/>
          </w:rPr>
          <w:t>Staff and visitors</w:t>
        </w:r>
        <w:r>
          <w:rPr>
            <w:webHidden/>
          </w:rPr>
          <w:tab/>
        </w:r>
        <w:r>
          <w:rPr>
            <w:webHidden/>
          </w:rPr>
          <w:fldChar w:fldCharType="begin"/>
        </w:r>
        <w:r>
          <w:rPr>
            <w:webHidden/>
          </w:rPr>
          <w:instrText xml:space="preserve"> PAGEREF _Toc217022547 \h </w:instrText>
        </w:r>
        <w:r>
          <w:rPr>
            <w:webHidden/>
          </w:rPr>
        </w:r>
        <w:r>
          <w:rPr>
            <w:webHidden/>
          </w:rPr>
          <w:fldChar w:fldCharType="separate"/>
        </w:r>
        <w:r>
          <w:rPr>
            <w:webHidden/>
          </w:rPr>
          <w:t>19</w:t>
        </w:r>
        <w:r>
          <w:rPr>
            <w:webHidden/>
          </w:rPr>
          <w:fldChar w:fldCharType="end"/>
        </w:r>
      </w:hyperlink>
    </w:p>
    <w:p w14:paraId="220F836A" w14:textId="637B904B"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8" w:history="1">
        <w:r w:rsidRPr="003A0C07">
          <w:rPr>
            <w:rStyle w:val="Hyperlink"/>
          </w:rPr>
          <w:t>5.3.</w:t>
        </w:r>
        <w:r>
          <w:rPr>
            <w:rFonts w:asciiTheme="minorHAnsi" w:eastAsiaTheme="minorEastAsia" w:hAnsiTheme="minorHAnsi" w:cstheme="minorBidi"/>
            <w:kern w:val="2"/>
            <w:sz w:val="24"/>
            <w:szCs w:val="24"/>
            <w:lang w:eastAsia="en-AU"/>
            <w14:ligatures w14:val="standardContextual"/>
          </w:rPr>
          <w:tab/>
        </w:r>
        <w:r w:rsidRPr="003A0C07">
          <w:rPr>
            <w:rStyle w:val="Hyperlink"/>
          </w:rPr>
          <w:t>De-escalation of isolation</w:t>
        </w:r>
        <w:r>
          <w:rPr>
            <w:webHidden/>
          </w:rPr>
          <w:tab/>
        </w:r>
        <w:r>
          <w:rPr>
            <w:webHidden/>
          </w:rPr>
          <w:fldChar w:fldCharType="begin"/>
        </w:r>
        <w:r>
          <w:rPr>
            <w:webHidden/>
          </w:rPr>
          <w:instrText xml:space="preserve"> PAGEREF _Toc217022548 \h </w:instrText>
        </w:r>
        <w:r>
          <w:rPr>
            <w:webHidden/>
          </w:rPr>
        </w:r>
        <w:r>
          <w:rPr>
            <w:webHidden/>
          </w:rPr>
          <w:fldChar w:fldCharType="separate"/>
        </w:r>
        <w:r>
          <w:rPr>
            <w:webHidden/>
          </w:rPr>
          <w:t>20</w:t>
        </w:r>
        <w:r>
          <w:rPr>
            <w:webHidden/>
          </w:rPr>
          <w:fldChar w:fldCharType="end"/>
        </w:r>
      </w:hyperlink>
    </w:p>
    <w:p w14:paraId="4831415D" w14:textId="4F3A7E6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49" w:history="1">
        <w:r w:rsidRPr="003A0C07">
          <w:rPr>
            <w:rStyle w:val="Hyperlink"/>
          </w:rPr>
          <w:t>5.4.</w:t>
        </w:r>
        <w:r>
          <w:rPr>
            <w:rFonts w:asciiTheme="minorHAnsi" w:eastAsiaTheme="minorEastAsia" w:hAnsiTheme="minorHAnsi" w:cstheme="minorBidi"/>
            <w:kern w:val="2"/>
            <w:sz w:val="24"/>
            <w:szCs w:val="24"/>
            <w:lang w:eastAsia="en-AU"/>
            <w14:ligatures w14:val="standardContextual"/>
          </w:rPr>
          <w:tab/>
        </w:r>
        <w:r w:rsidRPr="003A0C07">
          <w:rPr>
            <w:rStyle w:val="Hyperlink"/>
          </w:rPr>
          <w:t>PPE</w:t>
        </w:r>
        <w:r>
          <w:rPr>
            <w:webHidden/>
          </w:rPr>
          <w:tab/>
        </w:r>
        <w:r>
          <w:rPr>
            <w:webHidden/>
          </w:rPr>
          <w:fldChar w:fldCharType="begin"/>
        </w:r>
        <w:r>
          <w:rPr>
            <w:webHidden/>
          </w:rPr>
          <w:instrText xml:space="preserve"> PAGEREF _Toc217022549 \h </w:instrText>
        </w:r>
        <w:r>
          <w:rPr>
            <w:webHidden/>
          </w:rPr>
        </w:r>
        <w:r>
          <w:rPr>
            <w:webHidden/>
          </w:rPr>
          <w:fldChar w:fldCharType="separate"/>
        </w:r>
        <w:r>
          <w:rPr>
            <w:webHidden/>
          </w:rPr>
          <w:t>21</w:t>
        </w:r>
        <w:r>
          <w:rPr>
            <w:webHidden/>
          </w:rPr>
          <w:fldChar w:fldCharType="end"/>
        </w:r>
      </w:hyperlink>
    </w:p>
    <w:p w14:paraId="24A56E0B" w14:textId="641BE155"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0" w:history="1">
        <w:r w:rsidRPr="003A0C07">
          <w:rPr>
            <w:rStyle w:val="Hyperlink"/>
          </w:rPr>
          <w:t>5.5.</w:t>
        </w:r>
        <w:r>
          <w:rPr>
            <w:rFonts w:asciiTheme="minorHAnsi" w:eastAsiaTheme="minorEastAsia" w:hAnsiTheme="minorHAnsi" w:cstheme="minorBidi"/>
            <w:kern w:val="2"/>
            <w:sz w:val="24"/>
            <w:szCs w:val="24"/>
            <w:lang w:eastAsia="en-AU"/>
            <w14:ligatures w14:val="standardContextual"/>
          </w:rPr>
          <w:tab/>
        </w:r>
        <w:r w:rsidRPr="003A0C07">
          <w:rPr>
            <w:rStyle w:val="Hyperlink"/>
          </w:rPr>
          <w:t>Hand hygiene</w:t>
        </w:r>
        <w:r>
          <w:rPr>
            <w:webHidden/>
          </w:rPr>
          <w:tab/>
        </w:r>
        <w:r>
          <w:rPr>
            <w:webHidden/>
          </w:rPr>
          <w:fldChar w:fldCharType="begin"/>
        </w:r>
        <w:r>
          <w:rPr>
            <w:webHidden/>
          </w:rPr>
          <w:instrText xml:space="preserve"> PAGEREF _Toc217022550 \h </w:instrText>
        </w:r>
        <w:r>
          <w:rPr>
            <w:webHidden/>
          </w:rPr>
        </w:r>
        <w:r>
          <w:rPr>
            <w:webHidden/>
          </w:rPr>
          <w:fldChar w:fldCharType="separate"/>
        </w:r>
        <w:r>
          <w:rPr>
            <w:webHidden/>
          </w:rPr>
          <w:t>24</w:t>
        </w:r>
        <w:r>
          <w:rPr>
            <w:webHidden/>
          </w:rPr>
          <w:fldChar w:fldCharType="end"/>
        </w:r>
      </w:hyperlink>
    </w:p>
    <w:p w14:paraId="797B6CFE" w14:textId="514202C7"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1" w:history="1">
        <w:r w:rsidRPr="003A0C07">
          <w:rPr>
            <w:rStyle w:val="Hyperlink"/>
          </w:rPr>
          <w:t>5.6.</w:t>
        </w:r>
        <w:r>
          <w:rPr>
            <w:rFonts w:asciiTheme="minorHAnsi" w:eastAsiaTheme="minorEastAsia" w:hAnsiTheme="minorHAnsi" w:cstheme="minorBidi"/>
            <w:kern w:val="2"/>
            <w:sz w:val="24"/>
            <w:szCs w:val="24"/>
            <w:lang w:eastAsia="en-AU"/>
            <w14:ligatures w14:val="standardContextual"/>
          </w:rPr>
          <w:tab/>
        </w:r>
        <w:r w:rsidRPr="003A0C07">
          <w:rPr>
            <w:rStyle w:val="Hyperlink"/>
          </w:rPr>
          <w:t>Patient transport</w:t>
        </w:r>
        <w:r>
          <w:rPr>
            <w:webHidden/>
          </w:rPr>
          <w:tab/>
        </w:r>
        <w:r>
          <w:rPr>
            <w:webHidden/>
          </w:rPr>
          <w:fldChar w:fldCharType="begin"/>
        </w:r>
        <w:r>
          <w:rPr>
            <w:webHidden/>
          </w:rPr>
          <w:instrText xml:space="preserve"> PAGEREF _Toc217022551 \h </w:instrText>
        </w:r>
        <w:r>
          <w:rPr>
            <w:webHidden/>
          </w:rPr>
        </w:r>
        <w:r>
          <w:rPr>
            <w:webHidden/>
          </w:rPr>
          <w:fldChar w:fldCharType="separate"/>
        </w:r>
        <w:r>
          <w:rPr>
            <w:webHidden/>
          </w:rPr>
          <w:t>25</w:t>
        </w:r>
        <w:r>
          <w:rPr>
            <w:webHidden/>
          </w:rPr>
          <w:fldChar w:fldCharType="end"/>
        </w:r>
      </w:hyperlink>
    </w:p>
    <w:p w14:paraId="0F1133AE" w14:textId="56454E10"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2" w:history="1">
        <w:r w:rsidRPr="003A0C07">
          <w:rPr>
            <w:rStyle w:val="Hyperlink"/>
          </w:rPr>
          <w:t>5.7.</w:t>
        </w:r>
        <w:r>
          <w:rPr>
            <w:rFonts w:asciiTheme="minorHAnsi" w:eastAsiaTheme="minorEastAsia" w:hAnsiTheme="minorHAnsi" w:cstheme="minorBidi"/>
            <w:kern w:val="2"/>
            <w:sz w:val="24"/>
            <w:szCs w:val="24"/>
            <w:lang w:eastAsia="en-AU"/>
            <w14:ligatures w14:val="standardContextual"/>
          </w:rPr>
          <w:tab/>
        </w:r>
        <w:r w:rsidRPr="003A0C07">
          <w:rPr>
            <w:rStyle w:val="Hyperlink"/>
          </w:rPr>
          <w:t>Management of human waste</w:t>
        </w:r>
        <w:r>
          <w:rPr>
            <w:webHidden/>
          </w:rPr>
          <w:tab/>
        </w:r>
        <w:r>
          <w:rPr>
            <w:webHidden/>
          </w:rPr>
          <w:fldChar w:fldCharType="begin"/>
        </w:r>
        <w:r>
          <w:rPr>
            <w:webHidden/>
          </w:rPr>
          <w:instrText xml:space="preserve"> PAGEREF _Toc217022552 \h </w:instrText>
        </w:r>
        <w:r>
          <w:rPr>
            <w:webHidden/>
          </w:rPr>
        </w:r>
        <w:r>
          <w:rPr>
            <w:webHidden/>
          </w:rPr>
          <w:fldChar w:fldCharType="separate"/>
        </w:r>
        <w:r>
          <w:rPr>
            <w:webHidden/>
          </w:rPr>
          <w:t>25</w:t>
        </w:r>
        <w:r>
          <w:rPr>
            <w:webHidden/>
          </w:rPr>
          <w:fldChar w:fldCharType="end"/>
        </w:r>
      </w:hyperlink>
    </w:p>
    <w:p w14:paraId="21F840CD" w14:textId="502BC9B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3" w:history="1">
        <w:r w:rsidRPr="003A0C07">
          <w:rPr>
            <w:rStyle w:val="Hyperlink"/>
          </w:rPr>
          <w:t>5.8.</w:t>
        </w:r>
        <w:r>
          <w:rPr>
            <w:rFonts w:asciiTheme="minorHAnsi" w:eastAsiaTheme="minorEastAsia" w:hAnsiTheme="minorHAnsi" w:cstheme="minorBidi"/>
            <w:kern w:val="2"/>
            <w:sz w:val="24"/>
            <w:szCs w:val="24"/>
            <w:lang w:eastAsia="en-AU"/>
            <w14:ligatures w14:val="standardContextual"/>
          </w:rPr>
          <w:tab/>
        </w:r>
        <w:r w:rsidRPr="003A0C07">
          <w:rPr>
            <w:rStyle w:val="Hyperlink"/>
          </w:rPr>
          <w:t>Environmental cleaning</w:t>
        </w:r>
        <w:r>
          <w:rPr>
            <w:webHidden/>
          </w:rPr>
          <w:tab/>
        </w:r>
        <w:r>
          <w:rPr>
            <w:webHidden/>
          </w:rPr>
          <w:fldChar w:fldCharType="begin"/>
        </w:r>
        <w:r>
          <w:rPr>
            <w:webHidden/>
          </w:rPr>
          <w:instrText xml:space="preserve"> PAGEREF _Toc217022553 \h </w:instrText>
        </w:r>
        <w:r>
          <w:rPr>
            <w:webHidden/>
          </w:rPr>
        </w:r>
        <w:r>
          <w:rPr>
            <w:webHidden/>
          </w:rPr>
          <w:fldChar w:fldCharType="separate"/>
        </w:r>
        <w:r>
          <w:rPr>
            <w:webHidden/>
          </w:rPr>
          <w:t>26</w:t>
        </w:r>
        <w:r>
          <w:rPr>
            <w:webHidden/>
          </w:rPr>
          <w:fldChar w:fldCharType="end"/>
        </w:r>
      </w:hyperlink>
    </w:p>
    <w:p w14:paraId="4BDAC0DA" w14:textId="6082EA7A"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4" w:history="1">
        <w:r w:rsidRPr="003A0C07">
          <w:rPr>
            <w:rStyle w:val="Hyperlink"/>
          </w:rPr>
          <w:t>5.9.</w:t>
        </w:r>
        <w:r>
          <w:rPr>
            <w:rFonts w:asciiTheme="minorHAnsi" w:eastAsiaTheme="minorEastAsia" w:hAnsiTheme="minorHAnsi" w:cstheme="minorBidi"/>
            <w:kern w:val="2"/>
            <w:sz w:val="24"/>
            <w:szCs w:val="24"/>
            <w:lang w:eastAsia="en-AU"/>
            <w14:ligatures w14:val="standardContextual"/>
          </w:rPr>
          <w:tab/>
        </w:r>
        <w:r w:rsidRPr="003A0C07">
          <w:rPr>
            <w:rStyle w:val="Hyperlink"/>
          </w:rPr>
          <w:t>Linen</w:t>
        </w:r>
        <w:r>
          <w:rPr>
            <w:webHidden/>
          </w:rPr>
          <w:tab/>
        </w:r>
        <w:r>
          <w:rPr>
            <w:webHidden/>
          </w:rPr>
          <w:fldChar w:fldCharType="begin"/>
        </w:r>
        <w:r>
          <w:rPr>
            <w:webHidden/>
          </w:rPr>
          <w:instrText xml:space="preserve"> PAGEREF _Toc217022554 \h </w:instrText>
        </w:r>
        <w:r>
          <w:rPr>
            <w:webHidden/>
          </w:rPr>
        </w:r>
        <w:r>
          <w:rPr>
            <w:webHidden/>
          </w:rPr>
          <w:fldChar w:fldCharType="separate"/>
        </w:r>
        <w:r>
          <w:rPr>
            <w:webHidden/>
          </w:rPr>
          <w:t>28</w:t>
        </w:r>
        <w:r>
          <w:rPr>
            <w:webHidden/>
          </w:rPr>
          <w:fldChar w:fldCharType="end"/>
        </w:r>
      </w:hyperlink>
    </w:p>
    <w:p w14:paraId="222556DF" w14:textId="1CDF522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5" w:history="1">
        <w:r w:rsidRPr="003A0C07">
          <w:rPr>
            <w:rStyle w:val="Hyperlink"/>
          </w:rPr>
          <w:t>5.10.</w:t>
        </w:r>
        <w:r>
          <w:rPr>
            <w:rFonts w:asciiTheme="minorHAnsi" w:eastAsiaTheme="minorEastAsia" w:hAnsiTheme="minorHAnsi" w:cstheme="minorBidi"/>
            <w:kern w:val="2"/>
            <w:sz w:val="24"/>
            <w:szCs w:val="24"/>
            <w:lang w:eastAsia="en-AU"/>
            <w14:ligatures w14:val="standardContextual"/>
          </w:rPr>
          <w:tab/>
        </w:r>
        <w:r w:rsidRPr="003A0C07">
          <w:rPr>
            <w:rStyle w:val="Hyperlink"/>
          </w:rPr>
          <w:t>Food services</w:t>
        </w:r>
        <w:r>
          <w:rPr>
            <w:webHidden/>
          </w:rPr>
          <w:tab/>
        </w:r>
        <w:r>
          <w:rPr>
            <w:webHidden/>
          </w:rPr>
          <w:fldChar w:fldCharType="begin"/>
        </w:r>
        <w:r>
          <w:rPr>
            <w:webHidden/>
          </w:rPr>
          <w:instrText xml:space="preserve"> PAGEREF _Toc217022555 \h </w:instrText>
        </w:r>
        <w:r>
          <w:rPr>
            <w:webHidden/>
          </w:rPr>
        </w:r>
        <w:r>
          <w:rPr>
            <w:webHidden/>
          </w:rPr>
          <w:fldChar w:fldCharType="separate"/>
        </w:r>
        <w:r>
          <w:rPr>
            <w:webHidden/>
          </w:rPr>
          <w:t>28</w:t>
        </w:r>
        <w:r>
          <w:rPr>
            <w:webHidden/>
          </w:rPr>
          <w:fldChar w:fldCharType="end"/>
        </w:r>
      </w:hyperlink>
    </w:p>
    <w:p w14:paraId="0D825D2A" w14:textId="194390CF"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6" w:history="1">
        <w:r w:rsidRPr="003A0C07">
          <w:rPr>
            <w:rStyle w:val="Hyperlink"/>
          </w:rPr>
          <w:t>5.11.</w:t>
        </w:r>
        <w:r>
          <w:rPr>
            <w:rFonts w:asciiTheme="minorHAnsi" w:eastAsiaTheme="minorEastAsia" w:hAnsiTheme="minorHAnsi" w:cstheme="minorBidi"/>
            <w:kern w:val="2"/>
            <w:sz w:val="24"/>
            <w:szCs w:val="24"/>
            <w:lang w:eastAsia="en-AU"/>
            <w14:ligatures w14:val="standardContextual"/>
          </w:rPr>
          <w:tab/>
        </w:r>
        <w:r w:rsidRPr="003A0C07">
          <w:rPr>
            <w:rStyle w:val="Hyperlink"/>
          </w:rPr>
          <w:t>Waste</w:t>
        </w:r>
        <w:r>
          <w:rPr>
            <w:webHidden/>
          </w:rPr>
          <w:tab/>
        </w:r>
        <w:r>
          <w:rPr>
            <w:webHidden/>
          </w:rPr>
          <w:fldChar w:fldCharType="begin"/>
        </w:r>
        <w:r>
          <w:rPr>
            <w:webHidden/>
          </w:rPr>
          <w:instrText xml:space="preserve"> PAGEREF _Toc217022556 \h </w:instrText>
        </w:r>
        <w:r>
          <w:rPr>
            <w:webHidden/>
          </w:rPr>
        </w:r>
        <w:r>
          <w:rPr>
            <w:webHidden/>
          </w:rPr>
          <w:fldChar w:fldCharType="separate"/>
        </w:r>
        <w:r>
          <w:rPr>
            <w:webHidden/>
          </w:rPr>
          <w:t>29</w:t>
        </w:r>
        <w:r>
          <w:rPr>
            <w:webHidden/>
          </w:rPr>
          <w:fldChar w:fldCharType="end"/>
        </w:r>
      </w:hyperlink>
    </w:p>
    <w:p w14:paraId="5D3CD7EB" w14:textId="22357E2C" w:rsidR="00CB1E54" w:rsidRDefault="00CB1E54">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217022557" w:history="1">
        <w:r w:rsidRPr="003A0C07">
          <w:rPr>
            <w:rStyle w:val="Hyperlink"/>
          </w:rPr>
          <w:t>5.12.</w:t>
        </w:r>
        <w:r>
          <w:rPr>
            <w:rFonts w:asciiTheme="minorHAnsi" w:eastAsiaTheme="minorEastAsia" w:hAnsiTheme="minorHAnsi" w:cstheme="minorBidi"/>
            <w:kern w:val="2"/>
            <w:sz w:val="24"/>
            <w:szCs w:val="24"/>
            <w:lang w:eastAsia="en-AU"/>
            <w14:ligatures w14:val="standardContextual"/>
          </w:rPr>
          <w:tab/>
        </w:r>
        <w:r w:rsidRPr="003A0C07">
          <w:rPr>
            <w:rStyle w:val="Hyperlink"/>
          </w:rPr>
          <w:t>Care of the deceased patient</w:t>
        </w:r>
        <w:r>
          <w:rPr>
            <w:webHidden/>
          </w:rPr>
          <w:tab/>
        </w:r>
        <w:r>
          <w:rPr>
            <w:webHidden/>
          </w:rPr>
          <w:fldChar w:fldCharType="begin"/>
        </w:r>
        <w:r>
          <w:rPr>
            <w:webHidden/>
          </w:rPr>
          <w:instrText xml:space="preserve"> PAGEREF _Toc217022557 \h </w:instrText>
        </w:r>
        <w:r>
          <w:rPr>
            <w:webHidden/>
          </w:rPr>
        </w:r>
        <w:r>
          <w:rPr>
            <w:webHidden/>
          </w:rPr>
          <w:fldChar w:fldCharType="separate"/>
        </w:r>
        <w:r>
          <w:rPr>
            <w:webHidden/>
          </w:rPr>
          <w:t>30</w:t>
        </w:r>
        <w:r>
          <w:rPr>
            <w:webHidden/>
          </w:rPr>
          <w:fldChar w:fldCharType="end"/>
        </w:r>
      </w:hyperlink>
    </w:p>
    <w:p w14:paraId="02342D0A" w14:textId="2D004E3E"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58" w:history="1">
        <w:r w:rsidRPr="003A0C07">
          <w:rPr>
            <w:rStyle w:val="Hyperlink"/>
          </w:rPr>
          <w:t>6.</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Further reading</w:t>
        </w:r>
        <w:r>
          <w:rPr>
            <w:webHidden/>
          </w:rPr>
          <w:tab/>
        </w:r>
        <w:r>
          <w:rPr>
            <w:webHidden/>
          </w:rPr>
          <w:fldChar w:fldCharType="begin"/>
        </w:r>
        <w:r>
          <w:rPr>
            <w:webHidden/>
          </w:rPr>
          <w:instrText xml:space="preserve"> PAGEREF _Toc217022558 \h </w:instrText>
        </w:r>
        <w:r>
          <w:rPr>
            <w:webHidden/>
          </w:rPr>
        </w:r>
        <w:r>
          <w:rPr>
            <w:webHidden/>
          </w:rPr>
          <w:fldChar w:fldCharType="separate"/>
        </w:r>
        <w:r>
          <w:rPr>
            <w:webHidden/>
          </w:rPr>
          <w:t>33</w:t>
        </w:r>
        <w:r>
          <w:rPr>
            <w:webHidden/>
          </w:rPr>
          <w:fldChar w:fldCharType="end"/>
        </w:r>
      </w:hyperlink>
    </w:p>
    <w:p w14:paraId="26B083DE" w14:textId="7C4593F9" w:rsidR="00CB1E54" w:rsidRDefault="00CB1E54">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217022559" w:history="1">
        <w:r w:rsidRPr="003A0C07">
          <w:rPr>
            <w:rStyle w:val="Hyperlink"/>
          </w:rPr>
          <w:t>7.</w:t>
        </w:r>
        <w:r>
          <w:rPr>
            <w:rFonts w:asciiTheme="minorHAnsi" w:eastAsiaTheme="minorEastAsia" w:hAnsiTheme="minorHAnsi" w:cstheme="minorBidi"/>
            <w:b w:val="0"/>
            <w:kern w:val="2"/>
            <w:sz w:val="24"/>
            <w:szCs w:val="24"/>
            <w:lang w:eastAsia="en-AU"/>
            <w14:ligatures w14:val="standardContextual"/>
          </w:rPr>
          <w:tab/>
        </w:r>
        <w:r w:rsidRPr="003A0C07">
          <w:rPr>
            <w:rStyle w:val="Hyperlink"/>
          </w:rPr>
          <w:t>Acronyms and abbreviations</w:t>
        </w:r>
        <w:r>
          <w:rPr>
            <w:webHidden/>
          </w:rPr>
          <w:tab/>
        </w:r>
        <w:r>
          <w:rPr>
            <w:webHidden/>
          </w:rPr>
          <w:fldChar w:fldCharType="begin"/>
        </w:r>
        <w:r>
          <w:rPr>
            <w:webHidden/>
          </w:rPr>
          <w:instrText xml:space="preserve"> PAGEREF _Toc217022559 \h </w:instrText>
        </w:r>
        <w:r>
          <w:rPr>
            <w:webHidden/>
          </w:rPr>
        </w:r>
        <w:r>
          <w:rPr>
            <w:webHidden/>
          </w:rPr>
          <w:fldChar w:fldCharType="separate"/>
        </w:r>
        <w:r>
          <w:rPr>
            <w:webHidden/>
          </w:rPr>
          <w:t>34</w:t>
        </w:r>
        <w:r>
          <w:rPr>
            <w:webHidden/>
          </w:rPr>
          <w:fldChar w:fldCharType="end"/>
        </w:r>
      </w:hyperlink>
    </w:p>
    <w:p w14:paraId="5CBFAE12" w14:textId="0E21C66D"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0" w:history="1">
        <w:r w:rsidRPr="003A0C07">
          <w:rPr>
            <w:rStyle w:val="Hyperlink"/>
          </w:rPr>
          <w:t>Appendix 1: Project governance</w:t>
        </w:r>
        <w:r>
          <w:rPr>
            <w:webHidden/>
          </w:rPr>
          <w:tab/>
        </w:r>
        <w:r>
          <w:rPr>
            <w:webHidden/>
          </w:rPr>
          <w:fldChar w:fldCharType="begin"/>
        </w:r>
        <w:r>
          <w:rPr>
            <w:webHidden/>
          </w:rPr>
          <w:instrText xml:space="preserve"> PAGEREF _Toc217022560 \h </w:instrText>
        </w:r>
        <w:r>
          <w:rPr>
            <w:webHidden/>
          </w:rPr>
        </w:r>
        <w:r>
          <w:rPr>
            <w:webHidden/>
          </w:rPr>
          <w:fldChar w:fldCharType="separate"/>
        </w:r>
        <w:r>
          <w:rPr>
            <w:webHidden/>
          </w:rPr>
          <w:t>37</w:t>
        </w:r>
        <w:r>
          <w:rPr>
            <w:webHidden/>
          </w:rPr>
          <w:fldChar w:fldCharType="end"/>
        </w:r>
      </w:hyperlink>
    </w:p>
    <w:p w14:paraId="4085D1E3" w14:textId="057387C7"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1" w:history="1">
        <w:r w:rsidRPr="003A0C07">
          <w:rPr>
            <w:rStyle w:val="Hyperlink"/>
          </w:rPr>
          <w:t>Appendix 2: Glossary</w:t>
        </w:r>
        <w:r>
          <w:rPr>
            <w:webHidden/>
          </w:rPr>
          <w:tab/>
        </w:r>
        <w:r>
          <w:rPr>
            <w:webHidden/>
          </w:rPr>
          <w:fldChar w:fldCharType="begin"/>
        </w:r>
        <w:r>
          <w:rPr>
            <w:webHidden/>
          </w:rPr>
          <w:instrText xml:space="preserve"> PAGEREF _Toc217022561 \h </w:instrText>
        </w:r>
        <w:r>
          <w:rPr>
            <w:webHidden/>
          </w:rPr>
        </w:r>
        <w:r>
          <w:rPr>
            <w:webHidden/>
          </w:rPr>
          <w:fldChar w:fldCharType="separate"/>
        </w:r>
        <w:r>
          <w:rPr>
            <w:webHidden/>
          </w:rPr>
          <w:t>39</w:t>
        </w:r>
        <w:r>
          <w:rPr>
            <w:webHidden/>
          </w:rPr>
          <w:fldChar w:fldCharType="end"/>
        </w:r>
      </w:hyperlink>
    </w:p>
    <w:p w14:paraId="68D1DA23" w14:textId="13A99387"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2" w:history="1">
        <w:r w:rsidRPr="003A0C07">
          <w:rPr>
            <w:rStyle w:val="Hyperlink"/>
          </w:rPr>
          <w:t>Appendix 3: VHF case investigation flow chart</w:t>
        </w:r>
        <w:r>
          <w:rPr>
            <w:webHidden/>
          </w:rPr>
          <w:tab/>
        </w:r>
        <w:r>
          <w:rPr>
            <w:webHidden/>
          </w:rPr>
          <w:fldChar w:fldCharType="begin"/>
        </w:r>
        <w:r>
          <w:rPr>
            <w:webHidden/>
          </w:rPr>
          <w:instrText xml:space="preserve"> PAGEREF _Toc217022562 \h </w:instrText>
        </w:r>
        <w:r>
          <w:rPr>
            <w:webHidden/>
          </w:rPr>
        </w:r>
        <w:r>
          <w:rPr>
            <w:webHidden/>
          </w:rPr>
          <w:fldChar w:fldCharType="separate"/>
        </w:r>
        <w:r>
          <w:rPr>
            <w:webHidden/>
          </w:rPr>
          <w:t>41</w:t>
        </w:r>
        <w:r>
          <w:rPr>
            <w:webHidden/>
          </w:rPr>
          <w:fldChar w:fldCharType="end"/>
        </w:r>
      </w:hyperlink>
    </w:p>
    <w:p w14:paraId="55AA6766" w14:textId="29333430"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3" w:history="1">
        <w:r w:rsidRPr="003A0C07">
          <w:rPr>
            <w:rStyle w:val="Hyperlink"/>
          </w:rPr>
          <w:t>Appendix 4: Checklist of high possibility of VHF</w:t>
        </w:r>
        <w:r>
          <w:rPr>
            <w:webHidden/>
          </w:rPr>
          <w:tab/>
        </w:r>
        <w:r>
          <w:rPr>
            <w:webHidden/>
          </w:rPr>
          <w:fldChar w:fldCharType="begin"/>
        </w:r>
        <w:r>
          <w:rPr>
            <w:webHidden/>
          </w:rPr>
          <w:instrText xml:space="preserve"> PAGEREF _Toc217022563 \h </w:instrText>
        </w:r>
        <w:r>
          <w:rPr>
            <w:webHidden/>
          </w:rPr>
        </w:r>
        <w:r>
          <w:rPr>
            <w:webHidden/>
          </w:rPr>
          <w:fldChar w:fldCharType="separate"/>
        </w:r>
        <w:r>
          <w:rPr>
            <w:webHidden/>
          </w:rPr>
          <w:t>42</w:t>
        </w:r>
        <w:r>
          <w:rPr>
            <w:webHidden/>
          </w:rPr>
          <w:fldChar w:fldCharType="end"/>
        </w:r>
      </w:hyperlink>
    </w:p>
    <w:p w14:paraId="054DA979" w14:textId="59E4B324"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4" w:history="1">
        <w:r w:rsidRPr="003A0C07">
          <w:rPr>
            <w:rStyle w:val="Hyperlink"/>
          </w:rPr>
          <w:t>Appendix 5: Specimen collection and transport for suspected VHF</w:t>
        </w:r>
        <w:r>
          <w:rPr>
            <w:webHidden/>
          </w:rPr>
          <w:tab/>
        </w:r>
        <w:r>
          <w:rPr>
            <w:webHidden/>
          </w:rPr>
          <w:fldChar w:fldCharType="begin"/>
        </w:r>
        <w:r>
          <w:rPr>
            <w:webHidden/>
          </w:rPr>
          <w:instrText xml:space="preserve"> PAGEREF _Toc217022564 \h </w:instrText>
        </w:r>
        <w:r>
          <w:rPr>
            <w:webHidden/>
          </w:rPr>
        </w:r>
        <w:r>
          <w:rPr>
            <w:webHidden/>
          </w:rPr>
          <w:fldChar w:fldCharType="separate"/>
        </w:r>
        <w:r>
          <w:rPr>
            <w:webHidden/>
          </w:rPr>
          <w:t>43</w:t>
        </w:r>
        <w:r>
          <w:rPr>
            <w:webHidden/>
          </w:rPr>
          <w:fldChar w:fldCharType="end"/>
        </w:r>
      </w:hyperlink>
    </w:p>
    <w:p w14:paraId="0F6B2C46" w14:textId="223FFD13"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5" w:history="1">
        <w:r w:rsidRPr="003A0C07">
          <w:rPr>
            <w:rStyle w:val="Hyperlink"/>
          </w:rPr>
          <w:t>Appendix 6: Donning Level 1 (Dry) PPE</w:t>
        </w:r>
        <w:r>
          <w:rPr>
            <w:webHidden/>
          </w:rPr>
          <w:tab/>
        </w:r>
        <w:r>
          <w:rPr>
            <w:webHidden/>
          </w:rPr>
          <w:fldChar w:fldCharType="begin"/>
        </w:r>
        <w:r>
          <w:rPr>
            <w:webHidden/>
          </w:rPr>
          <w:instrText xml:space="preserve"> PAGEREF _Toc217022565 \h </w:instrText>
        </w:r>
        <w:r>
          <w:rPr>
            <w:webHidden/>
          </w:rPr>
        </w:r>
        <w:r>
          <w:rPr>
            <w:webHidden/>
          </w:rPr>
          <w:fldChar w:fldCharType="separate"/>
        </w:r>
        <w:r>
          <w:rPr>
            <w:webHidden/>
          </w:rPr>
          <w:t>48</w:t>
        </w:r>
        <w:r>
          <w:rPr>
            <w:webHidden/>
          </w:rPr>
          <w:fldChar w:fldCharType="end"/>
        </w:r>
      </w:hyperlink>
    </w:p>
    <w:p w14:paraId="1D8E3E71" w14:textId="28E25E9D"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6" w:history="1">
        <w:r w:rsidRPr="003A0C07">
          <w:rPr>
            <w:rStyle w:val="Hyperlink"/>
          </w:rPr>
          <w:t>Appendix 7: Doffing Level 1 (Dry) PPE</w:t>
        </w:r>
        <w:r>
          <w:rPr>
            <w:webHidden/>
          </w:rPr>
          <w:tab/>
        </w:r>
        <w:r>
          <w:rPr>
            <w:webHidden/>
          </w:rPr>
          <w:fldChar w:fldCharType="begin"/>
        </w:r>
        <w:r>
          <w:rPr>
            <w:webHidden/>
          </w:rPr>
          <w:instrText xml:space="preserve"> PAGEREF _Toc217022566 \h </w:instrText>
        </w:r>
        <w:r>
          <w:rPr>
            <w:webHidden/>
          </w:rPr>
        </w:r>
        <w:r>
          <w:rPr>
            <w:webHidden/>
          </w:rPr>
          <w:fldChar w:fldCharType="separate"/>
        </w:r>
        <w:r>
          <w:rPr>
            <w:webHidden/>
          </w:rPr>
          <w:t>49</w:t>
        </w:r>
        <w:r>
          <w:rPr>
            <w:webHidden/>
          </w:rPr>
          <w:fldChar w:fldCharType="end"/>
        </w:r>
      </w:hyperlink>
    </w:p>
    <w:p w14:paraId="74FE33B0" w14:textId="336ECE9B"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7" w:history="1">
        <w:r w:rsidRPr="003A0C07">
          <w:rPr>
            <w:rStyle w:val="Hyperlink"/>
          </w:rPr>
          <w:t>Appendix 8: Donning Level 2 (Wet) PPE</w:t>
        </w:r>
        <w:r>
          <w:rPr>
            <w:webHidden/>
          </w:rPr>
          <w:tab/>
        </w:r>
        <w:r>
          <w:rPr>
            <w:webHidden/>
          </w:rPr>
          <w:fldChar w:fldCharType="begin"/>
        </w:r>
        <w:r>
          <w:rPr>
            <w:webHidden/>
          </w:rPr>
          <w:instrText xml:space="preserve"> PAGEREF _Toc217022567 \h </w:instrText>
        </w:r>
        <w:r>
          <w:rPr>
            <w:webHidden/>
          </w:rPr>
        </w:r>
        <w:r>
          <w:rPr>
            <w:webHidden/>
          </w:rPr>
          <w:fldChar w:fldCharType="separate"/>
        </w:r>
        <w:r>
          <w:rPr>
            <w:webHidden/>
          </w:rPr>
          <w:t>50</w:t>
        </w:r>
        <w:r>
          <w:rPr>
            <w:webHidden/>
          </w:rPr>
          <w:fldChar w:fldCharType="end"/>
        </w:r>
      </w:hyperlink>
    </w:p>
    <w:p w14:paraId="5711E172" w14:textId="34EDBD76" w:rsidR="00CB1E54" w:rsidRDefault="00CB1E54">
      <w:pPr>
        <w:pStyle w:val="TOC1"/>
        <w:rPr>
          <w:rFonts w:asciiTheme="minorHAnsi" w:eastAsiaTheme="minorEastAsia" w:hAnsiTheme="minorHAnsi" w:cstheme="minorBidi"/>
          <w:b w:val="0"/>
          <w:kern w:val="2"/>
          <w:sz w:val="24"/>
          <w:szCs w:val="24"/>
          <w:lang w:eastAsia="en-AU"/>
          <w14:ligatures w14:val="standardContextual"/>
        </w:rPr>
      </w:pPr>
      <w:hyperlink w:anchor="_Toc217022568" w:history="1">
        <w:r w:rsidRPr="003A0C07">
          <w:rPr>
            <w:rStyle w:val="Hyperlink"/>
          </w:rPr>
          <w:t>Appendix 9: Doffing Level 2 (Wet) PPE</w:t>
        </w:r>
        <w:r>
          <w:rPr>
            <w:webHidden/>
          </w:rPr>
          <w:tab/>
        </w:r>
        <w:r>
          <w:rPr>
            <w:webHidden/>
          </w:rPr>
          <w:fldChar w:fldCharType="begin"/>
        </w:r>
        <w:r>
          <w:rPr>
            <w:webHidden/>
          </w:rPr>
          <w:instrText xml:space="preserve"> PAGEREF _Toc217022568 \h </w:instrText>
        </w:r>
        <w:r>
          <w:rPr>
            <w:webHidden/>
          </w:rPr>
        </w:r>
        <w:r>
          <w:rPr>
            <w:webHidden/>
          </w:rPr>
          <w:fldChar w:fldCharType="separate"/>
        </w:r>
        <w:r>
          <w:rPr>
            <w:webHidden/>
          </w:rPr>
          <w:t>51</w:t>
        </w:r>
        <w:r>
          <w:rPr>
            <w:webHidden/>
          </w:rPr>
          <w:fldChar w:fldCharType="end"/>
        </w:r>
      </w:hyperlink>
    </w:p>
    <w:p w14:paraId="4532E8D8" w14:textId="6402ABA7" w:rsidR="005037D6" w:rsidRDefault="005037D6" w:rsidP="008D292E">
      <w:pPr>
        <w:pStyle w:val="Body"/>
        <w:tabs>
          <w:tab w:val="left" w:pos="567"/>
        </w:tabs>
      </w:pPr>
      <w:r>
        <w:fldChar w:fldCharType="end"/>
      </w:r>
    </w:p>
    <w:p w14:paraId="4D1B7DE9" w14:textId="77777777" w:rsidR="005037D6" w:rsidRDefault="005037D6" w:rsidP="008D292E">
      <w:pPr>
        <w:tabs>
          <w:tab w:val="left" w:pos="567"/>
        </w:tabs>
        <w:spacing w:after="0" w:line="240" w:lineRule="auto"/>
        <w:rPr>
          <w:rFonts w:eastAsia="Times"/>
        </w:rPr>
      </w:pPr>
      <w:r>
        <w:br w:type="page"/>
      </w:r>
    </w:p>
    <w:p w14:paraId="32BA2C83" w14:textId="77777777" w:rsidR="005037D6" w:rsidRDefault="005037D6" w:rsidP="008D292E">
      <w:pPr>
        <w:pStyle w:val="Heading1"/>
        <w:tabs>
          <w:tab w:val="left" w:pos="567"/>
        </w:tabs>
      </w:pPr>
      <w:bookmarkStart w:id="0" w:name="_Toc217022523"/>
      <w:r>
        <w:lastRenderedPageBreak/>
        <w:t>Acknowledgements</w:t>
      </w:r>
      <w:bookmarkEnd w:id="0"/>
    </w:p>
    <w:p w14:paraId="23C7E9C3" w14:textId="005FFC2F" w:rsidR="003E0875" w:rsidRDefault="005037D6" w:rsidP="008D292E">
      <w:pPr>
        <w:pStyle w:val="Body"/>
        <w:tabs>
          <w:tab w:val="left" w:pos="567"/>
        </w:tabs>
        <w:rPr>
          <w:szCs w:val="21"/>
        </w:rPr>
      </w:pPr>
      <w:bookmarkStart w:id="1" w:name="_Hlk18318550"/>
      <w:r w:rsidRPr="008F0717">
        <w:rPr>
          <w:szCs w:val="21"/>
        </w:rPr>
        <w:t>Th</w:t>
      </w:r>
      <w:r>
        <w:rPr>
          <w:szCs w:val="21"/>
        </w:rPr>
        <w:t>e Victorian guideline on viral haemorrhagic fevers – Health services</w:t>
      </w:r>
      <w:r w:rsidRPr="008F0717">
        <w:rPr>
          <w:szCs w:val="21"/>
        </w:rPr>
        <w:t xml:space="preserve"> guide </w:t>
      </w:r>
      <w:r>
        <w:rPr>
          <w:szCs w:val="21"/>
        </w:rPr>
        <w:t xml:space="preserve">(the guide) </w:t>
      </w:r>
      <w:r w:rsidRPr="008F0717">
        <w:rPr>
          <w:szCs w:val="21"/>
        </w:rPr>
        <w:t>was developed by the Viral Haemorrhagic Fever Preparedness Writing Group</w:t>
      </w:r>
      <w:r w:rsidR="003E0875">
        <w:rPr>
          <w:szCs w:val="21"/>
        </w:rPr>
        <w:t>,</w:t>
      </w:r>
      <w:r w:rsidRPr="008F0717">
        <w:rPr>
          <w:szCs w:val="21"/>
        </w:rPr>
        <w:t xml:space="preserve"> </w:t>
      </w:r>
      <w:r>
        <w:rPr>
          <w:szCs w:val="21"/>
        </w:rPr>
        <w:t xml:space="preserve">which </w:t>
      </w:r>
      <w:r w:rsidR="003E0875">
        <w:rPr>
          <w:szCs w:val="21"/>
        </w:rPr>
        <w:t>included</w:t>
      </w:r>
      <w:r w:rsidRPr="008F0717">
        <w:rPr>
          <w:szCs w:val="21"/>
        </w:rPr>
        <w:t xml:space="preserve"> members from the</w:t>
      </w:r>
      <w:r w:rsidR="003E0875">
        <w:rPr>
          <w:szCs w:val="21"/>
        </w:rPr>
        <w:t>:</w:t>
      </w:r>
    </w:p>
    <w:p w14:paraId="68CCBA59" w14:textId="41167167" w:rsidR="003E0875" w:rsidRDefault="005037D6" w:rsidP="008D292E">
      <w:pPr>
        <w:pStyle w:val="Bullet1"/>
        <w:tabs>
          <w:tab w:val="left" w:pos="567"/>
        </w:tabs>
      </w:pPr>
      <w:r>
        <w:t xml:space="preserve">Victorian </w:t>
      </w:r>
      <w:r w:rsidRPr="008F0717">
        <w:t>Department of Health (</w:t>
      </w:r>
      <w:r w:rsidR="003E0875">
        <w:t>the department</w:t>
      </w:r>
      <w:r w:rsidRPr="008F0717">
        <w:t>)</w:t>
      </w:r>
    </w:p>
    <w:p w14:paraId="389D7F30" w14:textId="21AC5A3F" w:rsidR="003E0875" w:rsidRDefault="005037D6" w:rsidP="008D292E">
      <w:pPr>
        <w:pStyle w:val="Bullet1"/>
        <w:tabs>
          <w:tab w:val="left" w:pos="567"/>
        </w:tabs>
      </w:pPr>
      <w:r w:rsidRPr="008F0717">
        <w:t>Local Public Health Units (LPHUs)</w:t>
      </w:r>
    </w:p>
    <w:p w14:paraId="4BA89658" w14:textId="6C0EE845" w:rsidR="003E0875" w:rsidRDefault="005037D6" w:rsidP="008D292E">
      <w:pPr>
        <w:pStyle w:val="Bullet1"/>
        <w:tabs>
          <w:tab w:val="left" w:pos="567"/>
        </w:tabs>
      </w:pPr>
      <w:r w:rsidRPr="008F0717">
        <w:t>health services</w:t>
      </w:r>
    </w:p>
    <w:p w14:paraId="134AF532" w14:textId="214036B5" w:rsidR="003E0875" w:rsidRDefault="005037D6" w:rsidP="008D292E">
      <w:pPr>
        <w:pStyle w:val="Bullet1"/>
        <w:tabs>
          <w:tab w:val="left" w:pos="567"/>
        </w:tabs>
      </w:pPr>
      <w:r w:rsidRPr="008F0717">
        <w:t>Primary Health Networks</w:t>
      </w:r>
    </w:p>
    <w:p w14:paraId="7892333E" w14:textId="377F7BF2" w:rsidR="003E0875" w:rsidRDefault="005037D6" w:rsidP="008D292E">
      <w:pPr>
        <w:pStyle w:val="Bullet1"/>
        <w:tabs>
          <w:tab w:val="left" w:pos="567"/>
        </w:tabs>
      </w:pPr>
      <w:r w:rsidRPr="008F0717">
        <w:t>Ambulance Victoria (AV)</w:t>
      </w:r>
    </w:p>
    <w:p w14:paraId="28D099FA" w14:textId="3AD72990" w:rsidR="003E0875" w:rsidRDefault="005037D6" w:rsidP="008D292E">
      <w:pPr>
        <w:pStyle w:val="Bullet1"/>
        <w:tabs>
          <w:tab w:val="left" w:pos="567"/>
        </w:tabs>
      </w:pPr>
      <w:r w:rsidRPr="008F0717">
        <w:t>Victorian Infectious Diseases Reference Laboratory (VIDRL)</w:t>
      </w:r>
    </w:p>
    <w:p w14:paraId="796AC61D" w14:textId="6B6256BF" w:rsidR="003E0875" w:rsidRDefault="005037D6" w:rsidP="008D292E">
      <w:pPr>
        <w:pStyle w:val="Bullet1"/>
        <w:tabs>
          <w:tab w:val="left" w:pos="567"/>
        </w:tabs>
      </w:pPr>
      <w:r w:rsidRPr="008F0717">
        <w:t>Environmental Protection Authority Victoria (EPA) (</w:t>
      </w:r>
      <w:hyperlink w:anchor="_Appendix_1:_Project" w:history="1">
        <w:r w:rsidRPr="00F2101A">
          <w:rPr>
            <w:rStyle w:val="Hyperlink"/>
          </w:rPr>
          <w:t>Appendix 1</w:t>
        </w:r>
      </w:hyperlink>
      <w:r w:rsidRPr="008F0717">
        <w:t>).</w:t>
      </w:r>
    </w:p>
    <w:p w14:paraId="2B4A6167" w14:textId="36A6CAA2" w:rsidR="005037D6" w:rsidRPr="008F0717" w:rsidRDefault="005037D6" w:rsidP="008D292E">
      <w:pPr>
        <w:pStyle w:val="Bodyafterbullets"/>
        <w:tabs>
          <w:tab w:val="left" w:pos="567"/>
        </w:tabs>
      </w:pPr>
      <w:r w:rsidRPr="008F0717">
        <w:t xml:space="preserve">Recommendations </w:t>
      </w:r>
      <w:r>
        <w:t xml:space="preserve">are based on </w:t>
      </w:r>
      <w:r w:rsidRPr="008F0717">
        <w:t>best</w:t>
      </w:r>
      <w:r w:rsidR="003E0875">
        <w:t>-</w:t>
      </w:r>
      <w:r w:rsidRPr="008F0717">
        <w:t xml:space="preserve">practice </w:t>
      </w:r>
      <w:r>
        <w:t>guidance</w:t>
      </w:r>
      <w:r w:rsidRPr="008F0717">
        <w:t xml:space="preserve">, </w:t>
      </w:r>
      <w:r>
        <w:t>research literature</w:t>
      </w:r>
      <w:r w:rsidRPr="008F0717">
        <w:t xml:space="preserve"> and expert opinion.</w:t>
      </w:r>
    </w:p>
    <w:p w14:paraId="5F876EA7" w14:textId="77777777" w:rsidR="005037D6" w:rsidRPr="008F0717" w:rsidRDefault="005037D6" w:rsidP="008D292E">
      <w:pPr>
        <w:pStyle w:val="Body"/>
        <w:tabs>
          <w:tab w:val="left" w:pos="567"/>
        </w:tabs>
        <w:rPr>
          <w:szCs w:val="21"/>
        </w:rPr>
      </w:pPr>
      <w:r w:rsidRPr="008F0717">
        <w:rPr>
          <w:szCs w:val="21"/>
        </w:rPr>
        <w:t>We gratefully acknowledge The Royal Melbourne Hospital for allowing us to use their ‘Viral Haemorrhagic Fever Management Guideline’ as a foundation for this guide.</w:t>
      </w:r>
    </w:p>
    <w:p w14:paraId="69ACEC62" w14:textId="77777777" w:rsidR="005037D6" w:rsidRPr="008F0717" w:rsidRDefault="005037D6" w:rsidP="008D292E">
      <w:pPr>
        <w:pStyle w:val="Body"/>
        <w:tabs>
          <w:tab w:val="left" w:pos="567"/>
        </w:tabs>
        <w:rPr>
          <w:szCs w:val="21"/>
        </w:rPr>
      </w:pPr>
      <w:bookmarkStart w:id="2" w:name="_Hlk18321497"/>
      <w:bookmarkEnd w:id="1"/>
      <w:r w:rsidRPr="008F0717">
        <w:rPr>
          <w:szCs w:val="21"/>
        </w:rPr>
        <w:t>We also acknowledge th</w:t>
      </w:r>
      <w:r>
        <w:rPr>
          <w:szCs w:val="21"/>
        </w:rPr>
        <w:t>e</w:t>
      </w:r>
      <w:r w:rsidRPr="008F0717">
        <w:rPr>
          <w:szCs w:val="21"/>
        </w:rPr>
        <w:t xml:space="preserve"> organisations that </w:t>
      </w:r>
      <w:r>
        <w:rPr>
          <w:szCs w:val="21"/>
        </w:rPr>
        <w:t>supported the development and review of the guide</w:t>
      </w:r>
      <w:r w:rsidRPr="008F0717">
        <w:rPr>
          <w:szCs w:val="21"/>
        </w:rPr>
        <w:t xml:space="preserve"> including health services, infectious diseases specialists, refugee and migrant health services, infection prevention and control units</w:t>
      </w:r>
      <w:bookmarkEnd w:id="2"/>
      <w:r w:rsidRPr="008F0717">
        <w:rPr>
          <w:szCs w:val="21"/>
        </w:rPr>
        <w:t xml:space="preserve"> and public health and diagnostic laboratories.</w:t>
      </w:r>
    </w:p>
    <w:p w14:paraId="29F56523" w14:textId="77777777" w:rsidR="005037D6" w:rsidRPr="008F0717" w:rsidRDefault="005037D6" w:rsidP="008D292E">
      <w:pPr>
        <w:pStyle w:val="Body"/>
        <w:tabs>
          <w:tab w:val="left" w:pos="567"/>
        </w:tabs>
        <w:rPr>
          <w:szCs w:val="21"/>
        </w:rPr>
      </w:pPr>
      <w:r w:rsidRPr="008F0717">
        <w:rPr>
          <w:szCs w:val="21"/>
        </w:rPr>
        <w:t>This guide remain</w:t>
      </w:r>
      <w:r>
        <w:rPr>
          <w:szCs w:val="21"/>
        </w:rPr>
        <w:t>s</w:t>
      </w:r>
      <w:r w:rsidRPr="008F0717">
        <w:rPr>
          <w:szCs w:val="21"/>
        </w:rPr>
        <w:t xml:space="preserve"> open to continued review and should be reviewed at a minimum every three years. The experience of health services in applying this guid</w:t>
      </w:r>
      <w:r>
        <w:rPr>
          <w:szCs w:val="21"/>
        </w:rPr>
        <w:t>eline</w:t>
      </w:r>
      <w:r w:rsidRPr="008F0717">
        <w:rPr>
          <w:szCs w:val="21"/>
        </w:rPr>
        <w:t xml:space="preserve"> </w:t>
      </w:r>
      <w:r>
        <w:rPr>
          <w:szCs w:val="21"/>
        </w:rPr>
        <w:t>continues to be</w:t>
      </w:r>
      <w:r w:rsidRPr="008F0717">
        <w:rPr>
          <w:szCs w:val="21"/>
        </w:rPr>
        <w:t xml:space="preserve"> invaluable.</w:t>
      </w:r>
    </w:p>
    <w:p w14:paraId="612DFCED" w14:textId="77777777" w:rsidR="003E0875" w:rsidRDefault="003E0875" w:rsidP="008D292E">
      <w:pPr>
        <w:pStyle w:val="Body"/>
        <w:tabs>
          <w:tab w:val="left" w:pos="567"/>
        </w:tabs>
      </w:pPr>
      <w:r>
        <w:br w:type="page"/>
      </w:r>
    </w:p>
    <w:p w14:paraId="109EBABF" w14:textId="4E126700" w:rsidR="005037D6" w:rsidDel="003E0875" w:rsidRDefault="005037D6" w:rsidP="008D292E">
      <w:pPr>
        <w:pStyle w:val="Body"/>
        <w:tabs>
          <w:tab w:val="left" w:pos="567"/>
          <w:tab w:val="left" w:pos="1701"/>
        </w:tabs>
        <w:sectPr w:rsidR="005037D6" w:rsidDel="003E0875" w:rsidSect="00C23F17">
          <w:headerReference w:type="default" r:id="rId16"/>
          <w:headerReference w:type="first" r:id="rId17"/>
          <w:pgSz w:w="11906" w:h="16838" w:code="9"/>
          <w:pgMar w:top="1418" w:right="1304" w:bottom="1134" w:left="1304" w:header="680" w:footer="851" w:gutter="0"/>
          <w:pgNumType w:start="1"/>
          <w:cols w:space="340"/>
          <w:titlePg/>
          <w:docGrid w:linePitch="360"/>
        </w:sectPr>
      </w:pPr>
      <w:bookmarkStart w:id="3" w:name="_Toc215393391"/>
      <w:bookmarkStart w:id="4" w:name="_Toc215417780"/>
      <w:bookmarkEnd w:id="3"/>
      <w:bookmarkEnd w:id="4"/>
    </w:p>
    <w:p w14:paraId="346EE983" w14:textId="77777777" w:rsidR="005037D6" w:rsidRDefault="005037D6" w:rsidP="008D292E">
      <w:pPr>
        <w:pStyle w:val="Heading1"/>
        <w:numPr>
          <w:ilvl w:val="0"/>
          <w:numId w:val="40"/>
        </w:numPr>
        <w:tabs>
          <w:tab w:val="num" w:pos="397"/>
          <w:tab w:val="left" w:pos="567"/>
        </w:tabs>
        <w:ind w:left="397" w:hanging="397"/>
      </w:pPr>
      <w:bookmarkStart w:id="5" w:name="_Toc217022524"/>
      <w:r>
        <w:lastRenderedPageBreak/>
        <w:t>Introduction</w:t>
      </w:r>
      <w:bookmarkEnd w:id="5"/>
    </w:p>
    <w:p w14:paraId="1E010771" w14:textId="77777777" w:rsidR="005037D6" w:rsidRPr="00A559F9" w:rsidRDefault="005037D6" w:rsidP="008D292E">
      <w:pPr>
        <w:pStyle w:val="Heading2"/>
        <w:tabs>
          <w:tab w:val="left" w:pos="567"/>
        </w:tabs>
      </w:pPr>
      <w:bookmarkStart w:id="6" w:name="_Toc217022525"/>
      <w:r w:rsidRPr="00A559F9">
        <w:t>Purpose</w:t>
      </w:r>
      <w:bookmarkEnd w:id="6"/>
    </w:p>
    <w:p w14:paraId="288748C4" w14:textId="08F818A2" w:rsidR="005037D6" w:rsidRDefault="005037D6" w:rsidP="008D292E">
      <w:pPr>
        <w:pStyle w:val="Body"/>
        <w:tabs>
          <w:tab w:val="left" w:pos="567"/>
        </w:tabs>
        <w:rPr>
          <w:szCs w:val="21"/>
        </w:rPr>
      </w:pPr>
      <w:r w:rsidRPr="004D3A24">
        <w:rPr>
          <w:szCs w:val="21"/>
        </w:rPr>
        <w:t>Th</w:t>
      </w:r>
      <w:r w:rsidR="00A559F9">
        <w:rPr>
          <w:szCs w:val="21"/>
        </w:rPr>
        <w:t>is</w:t>
      </w:r>
      <w:r w:rsidRPr="004D3A24">
        <w:rPr>
          <w:szCs w:val="21"/>
        </w:rPr>
        <w:t xml:space="preserve"> </w:t>
      </w:r>
      <w:r>
        <w:rPr>
          <w:szCs w:val="21"/>
        </w:rPr>
        <w:t>guideline</w:t>
      </w:r>
      <w:r w:rsidRPr="004D3A24">
        <w:rPr>
          <w:szCs w:val="21"/>
        </w:rPr>
        <w:t xml:space="preserve"> outlines the recommended actions for a </w:t>
      </w:r>
      <w:r>
        <w:rPr>
          <w:szCs w:val="21"/>
        </w:rPr>
        <w:t xml:space="preserve">Victorian </w:t>
      </w:r>
      <w:r w:rsidRPr="004D3A24">
        <w:rPr>
          <w:szCs w:val="21"/>
        </w:rPr>
        <w:t xml:space="preserve">health service and the </w:t>
      </w:r>
      <w:r>
        <w:rPr>
          <w:szCs w:val="21"/>
        </w:rPr>
        <w:t>Victorian Department of Health (</w:t>
      </w:r>
      <w:r w:rsidR="00AE78B1">
        <w:rPr>
          <w:szCs w:val="21"/>
        </w:rPr>
        <w:t>the department</w:t>
      </w:r>
      <w:r>
        <w:rPr>
          <w:szCs w:val="21"/>
        </w:rPr>
        <w:t>)</w:t>
      </w:r>
      <w:r w:rsidRPr="004D3A24">
        <w:rPr>
          <w:szCs w:val="21"/>
        </w:rPr>
        <w:t xml:space="preserve"> to identify and manage suspected </w:t>
      </w:r>
      <w:r>
        <w:rPr>
          <w:szCs w:val="21"/>
        </w:rPr>
        <w:t xml:space="preserve">and </w:t>
      </w:r>
      <w:r w:rsidRPr="004D3A24">
        <w:rPr>
          <w:szCs w:val="21"/>
        </w:rPr>
        <w:t xml:space="preserve">confirmed cases of </w:t>
      </w:r>
      <w:r>
        <w:rPr>
          <w:szCs w:val="21"/>
        </w:rPr>
        <w:t>viral haemorrhagic fever (</w:t>
      </w:r>
      <w:r w:rsidRPr="004D3A24">
        <w:rPr>
          <w:szCs w:val="21"/>
        </w:rPr>
        <w:t>VHF</w:t>
      </w:r>
      <w:r>
        <w:rPr>
          <w:szCs w:val="21"/>
        </w:rPr>
        <w:t>)</w:t>
      </w:r>
      <w:r w:rsidRPr="004D3A24">
        <w:rPr>
          <w:szCs w:val="21"/>
        </w:rPr>
        <w:t xml:space="preserve"> in a health care facility.</w:t>
      </w:r>
    </w:p>
    <w:p w14:paraId="68FF46B4" w14:textId="77777777" w:rsidR="005037D6" w:rsidRDefault="005037D6" w:rsidP="008D292E">
      <w:pPr>
        <w:pStyle w:val="Heading2"/>
        <w:tabs>
          <w:tab w:val="left" w:pos="567"/>
        </w:tabs>
      </w:pPr>
      <w:bookmarkStart w:id="7" w:name="_Toc217022526"/>
      <w:r>
        <w:t>Scope of this guide</w:t>
      </w:r>
      <w:bookmarkEnd w:id="7"/>
    </w:p>
    <w:p w14:paraId="39F231C6" w14:textId="77777777" w:rsidR="00A559F9" w:rsidRDefault="005037D6" w:rsidP="008D292E">
      <w:pPr>
        <w:pStyle w:val="Body"/>
        <w:tabs>
          <w:tab w:val="left" w:pos="567"/>
        </w:tabs>
        <w:rPr>
          <w:rFonts w:cs="Arial"/>
          <w:szCs w:val="21"/>
          <w:lang w:eastAsia="en-AU"/>
        </w:rPr>
      </w:pPr>
      <w:r w:rsidRPr="008F0717">
        <w:rPr>
          <w:szCs w:val="21"/>
        </w:rPr>
        <w:t>This document will focus on the management of the four quarantinable VHFs</w:t>
      </w:r>
      <w:r w:rsidR="00A559F9">
        <w:rPr>
          <w:szCs w:val="21"/>
        </w:rPr>
        <w:t>,</w:t>
      </w:r>
      <w:r w:rsidRPr="008F0717">
        <w:rPr>
          <w:szCs w:val="21"/>
        </w:rPr>
        <w:t xml:space="preserve"> </w:t>
      </w:r>
      <w:r w:rsidRPr="008F0717">
        <w:rPr>
          <w:rFonts w:cs="Arial"/>
          <w:szCs w:val="21"/>
          <w:lang w:eastAsia="en-AU"/>
        </w:rPr>
        <w:t>given their increased capacity for human-to-human transmission.</w:t>
      </w:r>
    </w:p>
    <w:p w14:paraId="24485221" w14:textId="30D5BED7" w:rsidR="005037D6" w:rsidRPr="004D3A24" w:rsidRDefault="005037D6" w:rsidP="008D292E">
      <w:pPr>
        <w:pStyle w:val="Body"/>
        <w:tabs>
          <w:tab w:val="left" w:pos="567"/>
        </w:tabs>
        <w:rPr>
          <w:rFonts w:cs="Arial"/>
          <w:szCs w:val="21"/>
          <w:lang w:eastAsia="en-AU"/>
        </w:rPr>
      </w:pPr>
      <w:r w:rsidRPr="004D3A24">
        <w:rPr>
          <w:szCs w:val="21"/>
        </w:rPr>
        <w:t>The infectious agents for these quarantinable VHFs are:</w:t>
      </w:r>
    </w:p>
    <w:p w14:paraId="058378FC" w14:textId="12E0A892" w:rsidR="005037D6" w:rsidRPr="009D3091" w:rsidRDefault="005037D6" w:rsidP="008D292E">
      <w:pPr>
        <w:pStyle w:val="Bullet1"/>
        <w:tabs>
          <w:tab w:val="left" w:pos="567"/>
        </w:tabs>
      </w:pPr>
      <w:r w:rsidRPr="009D3091">
        <w:t xml:space="preserve">Lassa virus – an arenavirus </w:t>
      </w:r>
      <w:r w:rsidR="00A559F9" w:rsidRPr="009D3091">
        <w:t xml:space="preserve">that </w:t>
      </w:r>
      <w:r w:rsidRPr="009D3091">
        <w:t xml:space="preserve">causes Lassa </w:t>
      </w:r>
      <w:r w:rsidR="00A559F9" w:rsidRPr="009D3091">
        <w:t>f</w:t>
      </w:r>
      <w:r w:rsidRPr="009D3091">
        <w:t>ever (LF)</w:t>
      </w:r>
    </w:p>
    <w:p w14:paraId="1FC5097B" w14:textId="45F56225" w:rsidR="005037D6" w:rsidRPr="009D3091" w:rsidRDefault="005037D6" w:rsidP="008D292E">
      <w:pPr>
        <w:pStyle w:val="Bullet1"/>
        <w:tabs>
          <w:tab w:val="left" w:pos="567"/>
        </w:tabs>
      </w:pPr>
      <w:r w:rsidRPr="009D3091">
        <w:t xml:space="preserve">Crimean-Congo </w:t>
      </w:r>
      <w:r w:rsidR="00A559F9" w:rsidRPr="009D3091">
        <w:t>h</w:t>
      </w:r>
      <w:r w:rsidRPr="009D3091">
        <w:t xml:space="preserve">aemorrhagic </w:t>
      </w:r>
      <w:r w:rsidR="00A559F9" w:rsidRPr="009D3091">
        <w:t>f</w:t>
      </w:r>
      <w:r w:rsidRPr="009D3091">
        <w:t xml:space="preserve">ever (CCHF) virus – a bunyavirus </w:t>
      </w:r>
      <w:r w:rsidR="00A559F9" w:rsidRPr="009D3091">
        <w:t xml:space="preserve">that </w:t>
      </w:r>
      <w:r w:rsidRPr="009D3091">
        <w:t>causes CCHF</w:t>
      </w:r>
    </w:p>
    <w:p w14:paraId="6509746B" w14:textId="69598AF4" w:rsidR="005037D6" w:rsidRPr="009D3091" w:rsidRDefault="005037D6" w:rsidP="008D292E">
      <w:pPr>
        <w:pStyle w:val="Bullet1"/>
        <w:tabs>
          <w:tab w:val="left" w:pos="567"/>
        </w:tabs>
      </w:pPr>
      <w:proofErr w:type="spellStart"/>
      <w:r w:rsidRPr="00390D6E">
        <w:t>Orthoebolavirus</w:t>
      </w:r>
      <w:proofErr w:type="spellEnd"/>
      <w:r w:rsidRPr="009D3091">
        <w:t xml:space="preserve"> (formally </w:t>
      </w:r>
      <w:r w:rsidRPr="00390D6E">
        <w:t>Ebolavirus</w:t>
      </w:r>
      <w:r w:rsidRPr="009D3091">
        <w:t>)</w:t>
      </w:r>
      <w:r w:rsidRPr="00390D6E">
        <w:t xml:space="preserve"> </w:t>
      </w:r>
      <w:r w:rsidRPr="009D3091">
        <w:t xml:space="preserve">and </w:t>
      </w:r>
      <w:proofErr w:type="spellStart"/>
      <w:r w:rsidRPr="00390D6E">
        <w:t>Orthomarburgvirus</w:t>
      </w:r>
      <w:proofErr w:type="spellEnd"/>
      <w:r w:rsidRPr="009D3091">
        <w:t>)</w:t>
      </w:r>
      <w:r w:rsidRPr="00390D6E">
        <w:t xml:space="preserve"> (</w:t>
      </w:r>
      <w:r w:rsidRPr="009D3091">
        <w:t xml:space="preserve">formally </w:t>
      </w:r>
      <w:r w:rsidRPr="00390D6E">
        <w:t xml:space="preserve">Marburgvirus) </w:t>
      </w:r>
      <w:r w:rsidRPr="009D3091">
        <w:t xml:space="preserve">– filoviruses. These will be referred to as Ebola </w:t>
      </w:r>
      <w:r w:rsidR="00A559F9" w:rsidRPr="009D3091">
        <w:t>v</w:t>
      </w:r>
      <w:r w:rsidRPr="009D3091">
        <w:t xml:space="preserve">irus </w:t>
      </w:r>
      <w:r w:rsidR="00A559F9" w:rsidRPr="009D3091">
        <w:t>d</w:t>
      </w:r>
      <w:r w:rsidRPr="009D3091">
        <w:t xml:space="preserve">isease (EVD) and Marburg </w:t>
      </w:r>
      <w:r w:rsidR="00A559F9" w:rsidRPr="009D3091">
        <w:t>v</w:t>
      </w:r>
      <w:r w:rsidRPr="009D3091">
        <w:t xml:space="preserve">irus </w:t>
      </w:r>
      <w:r w:rsidR="00A559F9" w:rsidRPr="009D3091">
        <w:t>d</w:t>
      </w:r>
      <w:r w:rsidRPr="009D3091">
        <w:t xml:space="preserve">isease (MVD) for this guide.  </w:t>
      </w:r>
    </w:p>
    <w:p w14:paraId="36C42AAD" w14:textId="77777777" w:rsidR="005037D6" w:rsidRDefault="005037D6" w:rsidP="008D292E">
      <w:pPr>
        <w:pStyle w:val="Bodyafterbullets"/>
        <w:tabs>
          <w:tab w:val="left" w:pos="567"/>
        </w:tabs>
      </w:pPr>
      <w:r w:rsidRPr="008F0717">
        <w:t>Similar principles may also be used for management of less common VHFs, although specific transmission patterns, clinic</w:t>
      </w:r>
      <w:r>
        <w:t>al</w:t>
      </w:r>
      <w:r w:rsidRPr="008F0717">
        <w:t xml:space="preserve"> presentation and treatment approaches may differ.</w:t>
      </w:r>
    </w:p>
    <w:p w14:paraId="1EA607B7" w14:textId="77777777" w:rsidR="005037D6" w:rsidRDefault="005037D6" w:rsidP="008D292E">
      <w:pPr>
        <w:pStyle w:val="Heading2"/>
        <w:tabs>
          <w:tab w:val="left" w:pos="567"/>
        </w:tabs>
      </w:pPr>
      <w:bookmarkStart w:id="8" w:name="_Toc217022527"/>
      <w:r>
        <w:t>Audience</w:t>
      </w:r>
      <w:bookmarkEnd w:id="8"/>
    </w:p>
    <w:p w14:paraId="6282BB4A" w14:textId="2F72FE21" w:rsidR="005037D6" w:rsidRPr="00692B63" w:rsidRDefault="005037D6" w:rsidP="008D292E">
      <w:pPr>
        <w:pStyle w:val="Body"/>
        <w:tabs>
          <w:tab w:val="left" w:pos="567"/>
        </w:tabs>
      </w:pPr>
      <w:r>
        <w:t>This guide is intended for use by health services in Victoria</w:t>
      </w:r>
      <w:r w:rsidR="00A559F9">
        <w:t>,</w:t>
      </w:r>
      <w:r>
        <w:t xml:space="preserve"> especially non-designated health services and primary care clinics. Designated health services (</w:t>
      </w:r>
      <w:r w:rsidR="00A559F9">
        <w:t xml:space="preserve">The </w:t>
      </w:r>
      <w:r>
        <w:t xml:space="preserve">Royal Melbourne Hospital and </w:t>
      </w:r>
      <w:r w:rsidR="00A559F9">
        <w:t xml:space="preserve">The </w:t>
      </w:r>
      <w:r>
        <w:t xml:space="preserve">Royal Children’s Hospital) have internal protocols for VHF. </w:t>
      </w:r>
    </w:p>
    <w:p w14:paraId="4C57EE7B" w14:textId="77777777" w:rsidR="005037D6" w:rsidRDefault="005037D6" w:rsidP="008D292E">
      <w:pPr>
        <w:pStyle w:val="Heading2"/>
        <w:tabs>
          <w:tab w:val="left" w:pos="567"/>
        </w:tabs>
      </w:pPr>
      <w:bookmarkStart w:id="9" w:name="_Toc217022528"/>
      <w:r>
        <w:t>Governance</w:t>
      </w:r>
      <w:bookmarkEnd w:id="9"/>
    </w:p>
    <w:p w14:paraId="6464D466" w14:textId="1CE32791" w:rsidR="005037D6" w:rsidRPr="008F0717" w:rsidRDefault="005037D6" w:rsidP="008D292E">
      <w:pPr>
        <w:pStyle w:val="Body"/>
        <w:tabs>
          <w:tab w:val="left" w:pos="567"/>
        </w:tabs>
        <w:rPr>
          <w:szCs w:val="21"/>
        </w:rPr>
      </w:pPr>
      <w:r w:rsidRPr="008F0717">
        <w:rPr>
          <w:szCs w:val="21"/>
        </w:rPr>
        <w:t xml:space="preserve">A suspected or confirmed case of VHF is considered a health emergency in Victoria. </w:t>
      </w:r>
      <w:hyperlink r:id="rId18" w:history="1">
        <w:r w:rsidRPr="00C93366">
          <w:rPr>
            <w:rStyle w:val="Hyperlink"/>
            <w:szCs w:val="21"/>
          </w:rPr>
          <w:t>The State Emergency Management Plan (SEMP)</w:t>
        </w:r>
      </w:hyperlink>
      <w:r w:rsidRPr="008F0717">
        <w:rPr>
          <w:szCs w:val="21"/>
        </w:rPr>
        <w:t xml:space="preserve"> </w:t>
      </w:r>
      <w:hyperlink r:id="rId19" w:history="1">
        <w:r w:rsidRPr="00A33EBC">
          <w:rPr>
            <w:rStyle w:val="Hyperlink"/>
            <w:szCs w:val="21"/>
          </w:rPr>
          <w:t>Health Emergencies Sub-Plan (HESP)</w:t>
        </w:r>
      </w:hyperlink>
      <w:r w:rsidRPr="008F0717">
        <w:rPr>
          <w:szCs w:val="21"/>
        </w:rPr>
        <w:t xml:space="preserve"> </w:t>
      </w:r>
      <w:r w:rsidR="00A559F9">
        <w:rPr>
          <w:szCs w:val="21"/>
        </w:rPr>
        <w:t>&lt;</w:t>
      </w:r>
      <w:r w:rsidR="00A559F9" w:rsidRPr="00A559F9">
        <w:rPr>
          <w:szCs w:val="21"/>
        </w:rPr>
        <w:t>https://www.emv.vic.gov.au/responsibilities/state-emergency-management-plan-sub-plans/semp-health-emergencies-sub-plan</w:t>
      </w:r>
      <w:r w:rsidR="00A559F9">
        <w:rPr>
          <w:szCs w:val="21"/>
        </w:rPr>
        <w:t xml:space="preserve">&gt; </w:t>
      </w:r>
      <w:r w:rsidRPr="008F0717">
        <w:rPr>
          <w:szCs w:val="21"/>
        </w:rPr>
        <w:t>sets out the arrangements for managing health emergencies. The HESP outlines an integrated and coordinated approach to minimising the impact of emergencies on the health system and protecting the health and wellbeing of Victorians. The plan includes guidance on mitigation, preparedness, response (including relief) and recovery arrangements.</w:t>
      </w:r>
    </w:p>
    <w:p w14:paraId="0B354698" w14:textId="189CDDBE" w:rsidR="005037D6" w:rsidRDefault="005037D6" w:rsidP="008D292E">
      <w:pPr>
        <w:pStyle w:val="Body"/>
        <w:tabs>
          <w:tab w:val="left" w:pos="567"/>
        </w:tabs>
        <w:rPr>
          <w:szCs w:val="21"/>
        </w:rPr>
      </w:pPr>
      <w:r w:rsidRPr="008F0717">
        <w:rPr>
          <w:szCs w:val="21"/>
        </w:rPr>
        <w:t xml:space="preserve">In the instance of VHF, </w:t>
      </w:r>
      <w:r w:rsidR="00AE78B1">
        <w:rPr>
          <w:szCs w:val="21"/>
        </w:rPr>
        <w:t>the department</w:t>
      </w:r>
      <w:r w:rsidRPr="008F0717">
        <w:rPr>
          <w:szCs w:val="21"/>
        </w:rPr>
        <w:t xml:space="preserve"> would act as the control agency and is responsible for establishing the management arrangements</w:t>
      </w:r>
      <w:r w:rsidR="00A559F9">
        <w:rPr>
          <w:szCs w:val="21"/>
        </w:rPr>
        <w:t>,</w:t>
      </w:r>
      <w:r w:rsidRPr="008F0717">
        <w:rPr>
          <w:szCs w:val="21"/>
        </w:rPr>
        <w:t xml:space="preserve"> including a coordinated and integrated health sector response.</w:t>
      </w:r>
    </w:p>
    <w:p w14:paraId="15E1DA29" w14:textId="1C5C90C0" w:rsidR="005037D6" w:rsidRDefault="005037D6" w:rsidP="008D292E">
      <w:pPr>
        <w:pStyle w:val="Body"/>
        <w:tabs>
          <w:tab w:val="left" w:pos="567"/>
        </w:tabs>
        <w:rPr>
          <w:szCs w:val="21"/>
        </w:rPr>
      </w:pPr>
      <w:r>
        <w:rPr>
          <w:szCs w:val="21"/>
        </w:rPr>
        <w:t>VHF</w:t>
      </w:r>
      <w:r w:rsidR="00B2059C">
        <w:rPr>
          <w:szCs w:val="21"/>
        </w:rPr>
        <w:t xml:space="preserve"> i</w:t>
      </w:r>
      <w:r>
        <w:rPr>
          <w:szCs w:val="21"/>
        </w:rPr>
        <w:t xml:space="preserve">s an urgent notifiable condition under the Victorian </w:t>
      </w:r>
      <w:hyperlink r:id="rId20" w:history="1">
        <w:r w:rsidRPr="005E45ED">
          <w:rPr>
            <w:rStyle w:val="Hyperlink"/>
            <w:szCs w:val="21"/>
          </w:rPr>
          <w:t>Public Health and Wellbeing Regulations 2019</w:t>
        </w:r>
      </w:hyperlink>
      <w:r w:rsidR="00B2059C">
        <w:rPr>
          <w:szCs w:val="21"/>
        </w:rPr>
        <w:t xml:space="preserve"> &lt;</w:t>
      </w:r>
      <w:r w:rsidR="00B2059C" w:rsidRPr="00B2059C">
        <w:rPr>
          <w:szCs w:val="21"/>
        </w:rPr>
        <w:t>https://www.legislation.vic.gov.au/in-force/statutory-rules/public-health-and-wellbeing-regulations-2019/023</w:t>
      </w:r>
      <w:r w:rsidR="00B2059C">
        <w:rPr>
          <w:szCs w:val="21"/>
        </w:rPr>
        <w:t>&gt;.</w:t>
      </w:r>
      <w:r>
        <w:rPr>
          <w:szCs w:val="21"/>
        </w:rPr>
        <w:t xml:space="preserve"> This requires notification from medical practitioners and pathology services of suspected and confirmed cases as soon as practicable and within 24 hours.</w:t>
      </w:r>
    </w:p>
    <w:p w14:paraId="40222336" w14:textId="392342A6" w:rsidR="00C23F17" w:rsidRDefault="005037D6" w:rsidP="008D292E">
      <w:pPr>
        <w:pStyle w:val="Body"/>
        <w:tabs>
          <w:tab w:val="left" w:pos="567"/>
        </w:tabs>
        <w:rPr>
          <w:szCs w:val="21"/>
        </w:rPr>
      </w:pPr>
      <w:r>
        <w:rPr>
          <w:szCs w:val="21"/>
        </w:rPr>
        <w:lastRenderedPageBreak/>
        <w:t>VHF is also a</w:t>
      </w:r>
      <w:r w:rsidR="009F3E1F">
        <w:rPr>
          <w:szCs w:val="21"/>
        </w:rPr>
        <w:t xml:space="preserve"> listed human disease</w:t>
      </w:r>
      <w:r w:rsidR="00FA4DA3">
        <w:t xml:space="preserve"> </w:t>
      </w:r>
      <w:r>
        <w:t>and nationally notifiable under</w:t>
      </w:r>
      <w:r w:rsidR="0087699F">
        <w:t xml:space="preserve"> the </w:t>
      </w:r>
      <w:r w:rsidR="006B6590" w:rsidRPr="006B6590">
        <w:rPr>
          <w:i/>
          <w:iCs/>
        </w:rPr>
        <w:t>Biosecurity Act 2015</w:t>
      </w:r>
      <w:r w:rsidR="0087699F">
        <w:t>.</w:t>
      </w:r>
      <w:r>
        <w:t xml:space="preserve"> </w:t>
      </w:r>
      <w:r>
        <w:rPr>
          <w:szCs w:val="21"/>
        </w:rPr>
        <w:t xml:space="preserve">As an LHD, VHF may be suspected at a port of entry (see </w:t>
      </w:r>
      <w:hyperlink w:anchor="_Airports/Seaports" w:history="1">
        <w:r w:rsidRPr="00C23F17">
          <w:rPr>
            <w:rStyle w:val="Hyperlink"/>
            <w:szCs w:val="21"/>
          </w:rPr>
          <w:t>section 3.2.2.2</w:t>
        </w:r>
      </w:hyperlink>
      <w:r>
        <w:rPr>
          <w:szCs w:val="21"/>
        </w:rPr>
        <w:t>).</w:t>
      </w:r>
    </w:p>
    <w:p w14:paraId="147B1F6E" w14:textId="59917BB5" w:rsidR="005037D6" w:rsidRDefault="005037D6" w:rsidP="008D292E">
      <w:pPr>
        <w:pStyle w:val="Body"/>
        <w:tabs>
          <w:tab w:val="left" w:pos="567"/>
        </w:tabs>
        <w:rPr>
          <w:szCs w:val="21"/>
        </w:rPr>
      </w:pPr>
      <w:r>
        <w:rPr>
          <w:szCs w:val="21"/>
        </w:rPr>
        <w:t xml:space="preserve">The </w:t>
      </w:r>
      <w:hyperlink r:id="rId21" w:history="1">
        <w:r w:rsidRPr="006438FB">
          <w:rPr>
            <w:rStyle w:val="Hyperlink"/>
            <w:szCs w:val="21"/>
          </w:rPr>
          <w:t>National Health Security Agreement</w:t>
        </w:r>
      </w:hyperlink>
      <w:r>
        <w:rPr>
          <w:szCs w:val="21"/>
        </w:rPr>
        <w:t xml:space="preserve"> </w:t>
      </w:r>
      <w:r w:rsidR="00C23F17">
        <w:rPr>
          <w:szCs w:val="21"/>
        </w:rPr>
        <w:t xml:space="preserve"> </w:t>
      </w:r>
      <w:r>
        <w:rPr>
          <w:szCs w:val="21"/>
        </w:rPr>
        <w:t xml:space="preserve">lists VHF as a public health event of national significance to be reported to the National Focal Point, and it is assessable in Annex 2 of the </w:t>
      </w:r>
      <w:hyperlink r:id="rId22" w:history="1">
        <w:r w:rsidRPr="00726CF9">
          <w:rPr>
            <w:rStyle w:val="Hyperlink"/>
            <w:szCs w:val="21"/>
          </w:rPr>
          <w:t>International Health Regulations</w:t>
        </w:r>
      </w:hyperlink>
      <w:r>
        <w:rPr>
          <w:szCs w:val="21"/>
        </w:rPr>
        <w:t xml:space="preserve"> as an event that may constitute a public health emergency of international concern</w:t>
      </w:r>
      <w:r w:rsidR="00EE48F7">
        <w:rPr>
          <w:szCs w:val="21"/>
        </w:rPr>
        <w:t xml:space="preserve"> (PHEIC)</w:t>
      </w:r>
      <w:r>
        <w:rPr>
          <w:szCs w:val="21"/>
        </w:rPr>
        <w:t>.</w:t>
      </w:r>
    </w:p>
    <w:p w14:paraId="52716BD8" w14:textId="35E1AA40" w:rsidR="005037D6" w:rsidRPr="00524D7A" w:rsidRDefault="005037D6" w:rsidP="008D292E">
      <w:pPr>
        <w:pStyle w:val="Body"/>
        <w:tabs>
          <w:tab w:val="left" w:pos="567"/>
        </w:tabs>
      </w:pPr>
      <w:r>
        <w:t xml:space="preserve">Public health actions for VHF are to be undertaken in accordance with the Victorian Public Health Network VHF Disease Control Guidelines by </w:t>
      </w:r>
      <w:r w:rsidR="00AE78B1">
        <w:t>the department</w:t>
      </w:r>
      <w:r>
        <w:t xml:space="preserve"> and Local Public Health Units (LPHUs). </w:t>
      </w:r>
    </w:p>
    <w:p w14:paraId="6C08AE73" w14:textId="13565EA1" w:rsidR="00AE55DB" w:rsidRDefault="00AE55DB" w:rsidP="008D292E">
      <w:pPr>
        <w:pStyle w:val="Body"/>
        <w:tabs>
          <w:tab w:val="left" w:pos="567"/>
        </w:tabs>
      </w:pPr>
      <w:r>
        <w:t>Resources listed above:</w:t>
      </w:r>
    </w:p>
    <w:p w14:paraId="6B5A3196" w14:textId="59432B1F" w:rsidR="008B1D9C" w:rsidRPr="008B1D9C" w:rsidRDefault="00AE55DB" w:rsidP="08F79251">
      <w:pPr>
        <w:pStyle w:val="Bullet1"/>
      </w:pPr>
      <w:hyperlink r:id="rId23" w:anchor="listed-human-diseases-">
        <w:r w:rsidRPr="149863E0">
          <w:rPr>
            <w:rStyle w:val="Hyperlink"/>
          </w:rPr>
          <w:t>L</w:t>
        </w:r>
        <w:r w:rsidR="001F799A" w:rsidRPr="149863E0">
          <w:rPr>
            <w:rStyle w:val="Hyperlink"/>
          </w:rPr>
          <w:t>isted human disease (LHD)</w:t>
        </w:r>
      </w:hyperlink>
      <w:r w:rsidR="001F799A">
        <w:t xml:space="preserve"> &lt;</w:t>
      </w:r>
      <w:r w:rsidR="001F799A" w:rsidRPr="00833CBF">
        <w:t>https://www.health.gov.au/our-work/nndss#listed-human-diseases-</w:t>
      </w:r>
      <w:r w:rsidR="00D91579">
        <w:t>&gt;</w:t>
      </w:r>
    </w:p>
    <w:p w14:paraId="5F894734" w14:textId="408BE862" w:rsidR="001F799A" w:rsidRDefault="008B1D9C" w:rsidP="08F79251">
      <w:pPr>
        <w:pStyle w:val="Bullet1"/>
      </w:pPr>
      <w:hyperlink>
        <w:r w:rsidRPr="004B46AB">
          <w:rPr>
            <w:rStyle w:val="Hyperlink"/>
          </w:rPr>
          <w:t>Biosecurity Act 2015</w:t>
        </w:r>
      </w:hyperlink>
      <w:r w:rsidR="001F799A">
        <w:t xml:space="preserve"> &lt;</w:t>
      </w:r>
      <w:r w:rsidR="001F799A" w:rsidRPr="00B2059C">
        <w:t>https://www.legislation.gov.au/C2015A00061/latest/text</w:t>
      </w:r>
      <w:r w:rsidR="001F799A">
        <w:t>&gt;</w:t>
      </w:r>
    </w:p>
    <w:bookmarkStart w:id="10" w:name="_Hlk215321561"/>
    <w:p w14:paraId="1C62992A" w14:textId="6BBA19E6" w:rsidR="001F799A" w:rsidRPr="00524D7A" w:rsidRDefault="001F799A" w:rsidP="08F79251">
      <w:pPr>
        <w:pStyle w:val="Bullet1"/>
      </w:pPr>
      <w:r>
        <w:fldChar w:fldCharType="begin"/>
      </w:r>
      <w:r>
        <w:instrText>HYPERLINK "https://www.legislation.gov.au/C2007A00174/latest/text"</w:instrText>
      </w:r>
      <w:r>
        <w:fldChar w:fldCharType="separate"/>
      </w:r>
      <w:r w:rsidRPr="00125983">
        <w:rPr>
          <w:rStyle w:val="Hyperlink"/>
          <w:i/>
          <w:iCs/>
        </w:rPr>
        <w:t>National Health Security Act 2007</w:t>
      </w:r>
      <w:r>
        <w:fldChar w:fldCharType="end"/>
      </w:r>
      <w:bookmarkEnd w:id="10"/>
      <w:r>
        <w:t xml:space="preserve"> &lt;https://www.legislation.gov.au/C2007A00174/latest/text&gt;</w:t>
      </w:r>
    </w:p>
    <w:p w14:paraId="6576B7B0" w14:textId="735F2274" w:rsidR="009F3E1F" w:rsidRDefault="009F3E1F" w:rsidP="08F79251">
      <w:pPr>
        <w:pStyle w:val="Bullet1"/>
      </w:pPr>
      <w:hyperlink r:id="rId24">
        <w:r w:rsidRPr="149863E0">
          <w:rPr>
            <w:rStyle w:val="Hyperlink"/>
          </w:rPr>
          <w:t>National Health Security Agreement</w:t>
        </w:r>
      </w:hyperlink>
      <w:r>
        <w:t xml:space="preserve"> &lt;https://www.health.gov.au/resources/publications/national-health-security-agreement?language=en&gt;</w:t>
      </w:r>
    </w:p>
    <w:p w14:paraId="47588971" w14:textId="2A9D7CBC" w:rsidR="009F3E1F" w:rsidRPr="00524D7A" w:rsidRDefault="009F3E1F" w:rsidP="08F79251">
      <w:pPr>
        <w:pStyle w:val="Bullet1"/>
      </w:pPr>
      <w:hyperlink r:id="rId25">
        <w:r w:rsidRPr="149863E0">
          <w:rPr>
            <w:rStyle w:val="Hyperlink"/>
          </w:rPr>
          <w:t>International Health Regulations</w:t>
        </w:r>
      </w:hyperlink>
      <w:r>
        <w:t xml:space="preserve"> &lt;https://www.who.int/publications/i/item/9789241580496&gt;</w:t>
      </w:r>
    </w:p>
    <w:p w14:paraId="64430FBD" w14:textId="5D94870D" w:rsidR="005037D6" w:rsidRDefault="005037D6" w:rsidP="008D292E">
      <w:pPr>
        <w:pStyle w:val="Heading2"/>
        <w:tabs>
          <w:tab w:val="left" w:pos="567"/>
        </w:tabs>
      </w:pPr>
      <w:bookmarkStart w:id="11" w:name="_Toc217022529"/>
      <w:r>
        <w:t>Roles and responsibilities</w:t>
      </w:r>
      <w:bookmarkEnd w:id="11"/>
    </w:p>
    <w:p w14:paraId="2F5FA44A" w14:textId="77777777" w:rsidR="0017405B" w:rsidRPr="00F35BCD" w:rsidRDefault="0017405B" w:rsidP="0017405B">
      <w:pPr>
        <w:pStyle w:val="Heading3"/>
        <w:rPr>
          <w:rStyle w:val="Hyperlink"/>
          <w:color w:val="53565A"/>
          <w:u w:val="none"/>
        </w:rPr>
      </w:pPr>
      <w:r>
        <w:t>Victorian Department of Health</w:t>
      </w:r>
    </w:p>
    <w:p w14:paraId="032E85DA" w14:textId="754C5A0B" w:rsidR="0017405B" w:rsidRDefault="0017405B" w:rsidP="0017405B">
      <w:pPr>
        <w:pStyle w:val="Body"/>
        <w:tabs>
          <w:tab w:val="left" w:pos="567"/>
        </w:tabs>
      </w:pPr>
      <w:r>
        <w:t>The department is the lead control agency in an</w:t>
      </w:r>
      <w:r w:rsidRPr="008F0717">
        <w:t xml:space="preserve"> incident response to a suspected or confirmed case of VHF in accordance with HESP</w:t>
      </w:r>
      <w:r>
        <w:t>. A single case will trigger an incident response, and the department will:</w:t>
      </w:r>
    </w:p>
    <w:p w14:paraId="2AD19CF1" w14:textId="77777777" w:rsidR="0017405B" w:rsidRPr="008F0717" w:rsidRDefault="0017405B" w:rsidP="0017405B">
      <w:pPr>
        <w:pStyle w:val="Bullet1"/>
      </w:pPr>
      <w:r>
        <w:t xml:space="preserve">lead an Incident Management Team (IMT) to coordinate the response </w:t>
      </w:r>
    </w:p>
    <w:p w14:paraId="467E8B7D" w14:textId="77777777" w:rsidR="0017405B" w:rsidRPr="009D3091" w:rsidRDefault="0017405B" w:rsidP="0017405B">
      <w:pPr>
        <w:pStyle w:val="Bullet1"/>
        <w:tabs>
          <w:tab w:val="left" w:pos="567"/>
        </w:tabs>
      </w:pPr>
      <w:r w:rsidRPr="009D3091">
        <w:t xml:space="preserve">work with LPHUs to undertake public health actions, in accordance with the Victorian Public Health Network </w:t>
      </w:r>
      <w:hyperlink r:id="rId26">
        <w:r w:rsidRPr="00F66167">
          <w:rPr>
            <w:rStyle w:val="Hyperlink"/>
            <w:color w:val="auto"/>
            <w:u w:val="none"/>
          </w:rPr>
          <w:t>VHF disease control guideline</w:t>
        </w:r>
      </w:hyperlink>
    </w:p>
    <w:p w14:paraId="7FBA2541" w14:textId="77777777" w:rsidR="0017405B" w:rsidRPr="009D3091" w:rsidRDefault="0017405B" w:rsidP="0017405B">
      <w:pPr>
        <w:pStyle w:val="Bullet1"/>
        <w:tabs>
          <w:tab w:val="left" w:pos="567"/>
        </w:tabs>
      </w:pPr>
      <w:proofErr w:type="gramStart"/>
      <w:r>
        <w:t>notify  the</w:t>
      </w:r>
      <w:proofErr w:type="gramEnd"/>
      <w:r>
        <w:t xml:space="preserve"> Commonwealth and other jurisdictions  </w:t>
      </w:r>
    </w:p>
    <w:p w14:paraId="4C9B1AE0" w14:textId="2DB7249B" w:rsidR="00F35705" w:rsidRDefault="0017405B" w:rsidP="00F35705">
      <w:pPr>
        <w:pStyle w:val="Bullet1"/>
        <w:tabs>
          <w:tab w:val="left" w:pos="567"/>
        </w:tabs>
      </w:pPr>
      <w:r w:rsidRPr="009D3091">
        <w:t>coordinat</w:t>
      </w:r>
      <w:r>
        <w:t>e</w:t>
      </w:r>
      <w:r w:rsidRPr="009D3091">
        <w:t xml:space="preserve"> provision of relief to impacted persons and communities, including mental health.</w:t>
      </w:r>
    </w:p>
    <w:p w14:paraId="280918AB" w14:textId="77777777" w:rsidR="00F35705" w:rsidRDefault="00F35705" w:rsidP="00F35705">
      <w:pPr>
        <w:pStyle w:val="Heading3"/>
      </w:pPr>
      <w:r>
        <w:t>Local Public Health Units (LPHUs)</w:t>
      </w:r>
    </w:p>
    <w:p w14:paraId="00041365" w14:textId="77777777" w:rsidR="00F35705" w:rsidRPr="00F35BCD" w:rsidRDefault="00F35705" w:rsidP="00F35705">
      <w:pPr>
        <w:pStyle w:val="Body"/>
        <w:tabs>
          <w:tab w:val="left" w:pos="567"/>
        </w:tabs>
      </w:pPr>
      <w:hyperlink r:id="rId27" w:history="1">
        <w:r w:rsidRPr="00216ABC">
          <w:rPr>
            <w:rStyle w:val="Hyperlink"/>
          </w:rPr>
          <w:t>L</w:t>
        </w:r>
        <w:r>
          <w:rPr>
            <w:rStyle w:val="Hyperlink"/>
          </w:rPr>
          <w:t>PHU</w:t>
        </w:r>
        <w:r w:rsidRPr="00216ABC">
          <w:rPr>
            <w:rStyle w:val="Hyperlink"/>
          </w:rPr>
          <w:t>s</w:t>
        </w:r>
      </w:hyperlink>
      <w:r>
        <w:t xml:space="preserve"> &lt;</w:t>
      </w:r>
      <w:r w:rsidRPr="00F35BCD">
        <w:t>https://www.health.vic.gov.au/local-public-health-units</w:t>
      </w:r>
      <w:r>
        <w:t>&gt;:</w:t>
      </w:r>
    </w:p>
    <w:p w14:paraId="3768B0CE" w14:textId="77777777" w:rsidR="00F35705" w:rsidRPr="009D3091" w:rsidRDefault="00F35705" w:rsidP="00F35705">
      <w:pPr>
        <w:pStyle w:val="Bullet1"/>
        <w:tabs>
          <w:tab w:val="left" w:pos="567"/>
        </w:tabs>
      </w:pPr>
      <w:r w:rsidRPr="009D3091">
        <w:t>receive a notification via the 24-hour number (1300 651 160) of a suspected or confirmed case of VHF from a registered medical practitioner or pathology service, as required under the Public Health and Wellbeing Regulations 2019</w:t>
      </w:r>
    </w:p>
    <w:p w14:paraId="6ED2CCD6" w14:textId="64CF24BF" w:rsidR="00F35705" w:rsidRDefault="00F35705" w:rsidP="00F35705">
      <w:pPr>
        <w:pStyle w:val="Bullet1"/>
        <w:tabs>
          <w:tab w:val="left" w:pos="567"/>
        </w:tabs>
      </w:pPr>
      <w:r w:rsidRPr="009D3091">
        <w:t xml:space="preserve">undertake public health actions, in accordance with the Victorian Public Health Network </w:t>
      </w:r>
      <w:hyperlink r:id="rId28">
        <w:r w:rsidRPr="00A63455">
          <w:rPr>
            <w:rStyle w:val="Hyperlink"/>
            <w:color w:val="auto"/>
            <w:u w:val="none"/>
          </w:rPr>
          <w:t>VHF disease control guideline</w:t>
        </w:r>
      </w:hyperlink>
      <w:r>
        <w:t>, and participate in the IMT</w:t>
      </w:r>
    </w:p>
    <w:p w14:paraId="7BBFB06E" w14:textId="67A4CABC" w:rsidR="005037D6" w:rsidRPr="00C23F17" w:rsidRDefault="005037D6" w:rsidP="008D292E">
      <w:pPr>
        <w:pStyle w:val="Heading3"/>
      </w:pPr>
      <w:r w:rsidRPr="00C23F17">
        <w:t>Non-designated health services</w:t>
      </w:r>
    </w:p>
    <w:p w14:paraId="03E065F3" w14:textId="40BEDDB6" w:rsidR="005037D6" w:rsidRDefault="005037D6" w:rsidP="008D292E">
      <w:pPr>
        <w:pStyle w:val="Body"/>
        <w:tabs>
          <w:tab w:val="left" w:pos="567"/>
        </w:tabs>
      </w:pPr>
      <w:r>
        <w:t xml:space="preserve">A non-designated health service refers to any hospital or health service not formally identified as a facility for managing VHF cases by </w:t>
      </w:r>
      <w:r w:rsidR="00AE78B1">
        <w:t>the department</w:t>
      </w:r>
      <w:r>
        <w:t>. These services are not intended to provide ongoing clinical care</w:t>
      </w:r>
      <w:r w:rsidR="0017405B">
        <w:t xml:space="preserve"> </w:t>
      </w:r>
      <w:r>
        <w:t>but may be the first point of health</w:t>
      </w:r>
      <w:r w:rsidR="00B76002">
        <w:t xml:space="preserve"> care</w:t>
      </w:r>
      <w:r>
        <w:t xml:space="preserve"> contact for a case.</w:t>
      </w:r>
    </w:p>
    <w:p w14:paraId="00879775" w14:textId="52975D5C" w:rsidR="00C23F17" w:rsidRDefault="00C23F17" w:rsidP="008D292E">
      <w:pPr>
        <w:pStyle w:val="Body"/>
        <w:tabs>
          <w:tab w:val="left" w:pos="567"/>
        </w:tabs>
      </w:pPr>
      <w:r>
        <w:lastRenderedPageBreak/>
        <w:t>This includes:</w:t>
      </w:r>
    </w:p>
    <w:p w14:paraId="52B3C3AA" w14:textId="63F898D1" w:rsidR="005037D6" w:rsidRPr="009D3091" w:rsidRDefault="00C23F17" w:rsidP="008D292E">
      <w:pPr>
        <w:pStyle w:val="Bullet1"/>
        <w:tabs>
          <w:tab w:val="left" w:pos="567"/>
        </w:tabs>
      </w:pPr>
      <w:r w:rsidRPr="009D3091">
        <w:t>r</w:t>
      </w:r>
      <w:r w:rsidR="005037D6" w:rsidRPr="009D3091">
        <w:t>ecognition and isolation of a suspected case</w:t>
      </w:r>
    </w:p>
    <w:p w14:paraId="556626ED" w14:textId="530B8901" w:rsidR="005037D6" w:rsidRPr="009D3091" w:rsidRDefault="00C23F17" w:rsidP="008D292E">
      <w:pPr>
        <w:pStyle w:val="Bullet1"/>
        <w:tabs>
          <w:tab w:val="left" w:pos="567"/>
        </w:tabs>
      </w:pPr>
      <w:r w:rsidRPr="009D3091">
        <w:t>i</w:t>
      </w:r>
      <w:r w:rsidR="005037D6" w:rsidRPr="009D3091">
        <w:t>mplementation of recommended infection prevention and control (IPC) measures (as per this guideline)</w:t>
      </w:r>
    </w:p>
    <w:p w14:paraId="4AF02797" w14:textId="7C93C799" w:rsidR="005037D6" w:rsidRPr="009D3091" w:rsidRDefault="00C23F17" w:rsidP="008D292E">
      <w:pPr>
        <w:pStyle w:val="Bullet1"/>
        <w:tabs>
          <w:tab w:val="left" w:pos="567"/>
        </w:tabs>
      </w:pPr>
      <w:r w:rsidRPr="009D3091">
        <w:t>p</w:t>
      </w:r>
      <w:r w:rsidR="005037D6" w:rsidRPr="009D3091">
        <w:t>otential collection and transfer of samples</w:t>
      </w:r>
    </w:p>
    <w:p w14:paraId="7A2BAF5B" w14:textId="4C5D296C" w:rsidR="005037D6" w:rsidRPr="009D3091" w:rsidRDefault="00C23F17" w:rsidP="008D292E">
      <w:pPr>
        <w:pStyle w:val="Bullet1"/>
        <w:tabs>
          <w:tab w:val="left" w:pos="567"/>
        </w:tabs>
      </w:pPr>
      <w:r w:rsidRPr="009D3091">
        <w:t>n</w:t>
      </w:r>
      <w:r w:rsidR="005037D6" w:rsidRPr="009D3091">
        <w:t>otification to LPHUs</w:t>
      </w:r>
    </w:p>
    <w:p w14:paraId="78F33EA6" w14:textId="2D0B035B" w:rsidR="005037D6" w:rsidRPr="009D3091" w:rsidRDefault="00C23F17" w:rsidP="008D292E">
      <w:pPr>
        <w:pStyle w:val="Bullet1"/>
        <w:tabs>
          <w:tab w:val="left" w:pos="567"/>
        </w:tabs>
      </w:pPr>
      <w:r w:rsidRPr="009D3091">
        <w:t>a</w:t>
      </w:r>
      <w:r w:rsidR="005037D6" w:rsidRPr="009D3091">
        <w:t>rrangement of safe transfer to a designated health service if required</w:t>
      </w:r>
    </w:p>
    <w:p w14:paraId="26B76B9B" w14:textId="5237E3F7" w:rsidR="005037D6" w:rsidRPr="009D3091" w:rsidRDefault="00C23F17" w:rsidP="008D292E">
      <w:pPr>
        <w:pStyle w:val="Bullet1"/>
        <w:tabs>
          <w:tab w:val="left" w:pos="567"/>
        </w:tabs>
      </w:pPr>
      <w:r w:rsidRPr="009D3091">
        <w:t>p</w:t>
      </w:r>
      <w:r w:rsidR="005037D6" w:rsidRPr="009D3091">
        <w:t>rovi</w:t>
      </w:r>
      <w:r w:rsidR="002E4E1F" w:rsidRPr="009D3091">
        <w:t>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65A7D22D" w14:textId="137474F6" w:rsidR="005037D6" w:rsidRPr="009D3091" w:rsidRDefault="00C23F17"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w:t>
      </w:r>
      <w:r w:rsidR="002E4E1F" w:rsidRPr="009D3091">
        <w:t xml:space="preserve">see </w:t>
      </w:r>
      <w:hyperlink w:anchor="_Infection_prevention_and" w:history="1">
        <w:r w:rsidR="005037D6" w:rsidRPr="001561D9">
          <w:rPr>
            <w:rStyle w:val="Hyperlink"/>
            <w:color w:val="auto"/>
            <w:u w:val="none"/>
          </w:rPr>
          <w:t>section 5</w:t>
        </w:r>
      </w:hyperlink>
      <w:r w:rsidR="005037D6" w:rsidRPr="009D3091">
        <w:t>).</w:t>
      </w:r>
    </w:p>
    <w:p w14:paraId="72370361" w14:textId="77777777" w:rsidR="005037D6" w:rsidRDefault="005037D6" w:rsidP="008D292E">
      <w:pPr>
        <w:pStyle w:val="Heading3"/>
      </w:pPr>
      <w:r w:rsidRPr="000A51D2">
        <w:t>Designated health services</w:t>
      </w:r>
    </w:p>
    <w:p w14:paraId="438983D1" w14:textId="6908DC36" w:rsidR="005037D6" w:rsidRDefault="005037D6" w:rsidP="008D292E">
      <w:pPr>
        <w:pStyle w:val="Body"/>
        <w:tabs>
          <w:tab w:val="left" w:pos="567"/>
        </w:tabs>
      </w:pPr>
      <w:r>
        <w:t xml:space="preserve">A designated health service is a hospital formally identified by </w:t>
      </w:r>
      <w:r w:rsidR="00AE78B1">
        <w:t>the department</w:t>
      </w:r>
      <w:r>
        <w:t xml:space="preserve"> as capable of receiving, isolating and managing a suspected or confirmed case of VHF. </w:t>
      </w:r>
      <w:r w:rsidR="002E4E1F">
        <w:t xml:space="preserve">It </w:t>
      </w:r>
      <w:r>
        <w:t>ha</w:t>
      </w:r>
      <w:r w:rsidR="002E4E1F">
        <w:t>s</w:t>
      </w:r>
      <w:r>
        <w:t xml:space="preserve"> appropriate infrastructure, trained staff and established protocols for IPC, laboratory handling and ongoing clinical management of VHF.</w:t>
      </w:r>
    </w:p>
    <w:p w14:paraId="541D8C45" w14:textId="46E554F3" w:rsidR="002E4E1F" w:rsidRDefault="002E4E1F" w:rsidP="008D292E">
      <w:pPr>
        <w:pStyle w:val="Body"/>
        <w:tabs>
          <w:tab w:val="left" w:pos="567"/>
        </w:tabs>
      </w:pPr>
      <w:r>
        <w:t>This includes:</w:t>
      </w:r>
    </w:p>
    <w:p w14:paraId="0D92D234" w14:textId="13F4F596" w:rsidR="005037D6" w:rsidRPr="009D3091" w:rsidRDefault="002E4E1F" w:rsidP="008D292E">
      <w:pPr>
        <w:pStyle w:val="Bullet1"/>
        <w:tabs>
          <w:tab w:val="left" w:pos="567"/>
        </w:tabs>
      </w:pPr>
      <w:r w:rsidRPr="009D3091">
        <w:t>o</w:t>
      </w:r>
      <w:r w:rsidR="005037D6" w:rsidRPr="009D3091">
        <w:t>ngoing clinical care actions</w:t>
      </w:r>
    </w:p>
    <w:p w14:paraId="5496D03C" w14:textId="377E3989" w:rsidR="005037D6" w:rsidRPr="009D3091" w:rsidRDefault="002E4E1F" w:rsidP="008D292E">
      <w:pPr>
        <w:pStyle w:val="Bullet1"/>
        <w:tabs>
          <w:tab w:val="left" w:pos="567"/>
        </w:tabs>
      </w:pPr>
      <w:r w:rsidRPr="009D3091">
        <w:t>n</w:t>
      </w:r>
      <w:r w:rsidR="005037D6" w:rsidRPr="009D3091">
        <w:t>otification to LPHUs</w:t>
      </w:r>
    </w:p>
    <w:p w14:paraId="38BF623E" w14:textId="0071FF89" w:rsidR="005037D6" w:rsidRPr="009D3091" w:rsidRDefault="002E4E1F" w:rsidP="008D292E">
      <w:pPr>
        <w:pStyle w:val="Bullet1"/>
        <w:tabs>
          <w:tab w:val="left" w:pos="567"/>
        </w:tabs>
      </w:pPr>
      <w:r w:rsidRPr="009D3091">
        <w:t>f</w:t>
      </w:r>
      <w:r w:rsidR="005037D6" w:rsidRPr="009D3091">
        <w:t>ollow</w:t>
      </w:r>
      <w:r w:rsidRPr="009D3091">
        <w:t>ing</w:t>
      </w:r>
      <w:r w:rsidR="005037D6" w:rsidRPr="009D3091">
        <w:t xml:space="preserve"> internal processes</w:t>
      </w:r>
    </w:p>
    <w:p w14:paraId="2128B333" w14:textId="0DCD7293"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316F7ABA" w14:textId="77777777" w:rsidR="005037D6" w:rsidRDefault="005037D6" w:rsidP="008D292E">
      <w:pPr>
        <w:pStyle w:val="Heading3"/>
      </w:pPr>
      <w:r w:rsidRPr="00A73E93">
        <w:t>Primary care</w:t>
      </w:r>
    </w:p>
    <w:p w14:paraId="5A71210C" w14:textId="3B564160" w:rsidR="002E4E1F" w:rsidRDefault="002E4E1F" w:rsidP="008D292E">
      <w:pPr>
        <w:pStyle w:val="Body"/>
        <w:tabs>
          <w:tab w:val="left" w:pos="567"/>
        </w:tabs>
      </w:pPr>
      <w:r>
        <w:t>Requirements for primary care include:</w:t>
      </w:r>
    </w:p>
    <w:p w14:paraId="1CC40B30" w14:textId="75E29580" w:rsidR="005037D6" w:rsidRPr="009D3091" w:rsidRDefault="002E4E1F" w:rsidP="008D292E">
      <w:pPr>
        <w:pStyle w:val="Bullet1"/>
        <w:tabs>
          <w:tab w:val="left" w:pos="567"/>
        </w:tabs>
      </w:pPr>
      <w:r w:rsidRPr="009D3091">
        <w:t>r</w:t>
      </w:r>
      <w:r w:rsidR="005037D6" w:rsidRPr="009D3091">
        <w:t>ecognition and isolation of a suspected case</w:t>
      </w:r>
    </w:p>
    <w:p w14:paraId="27EDED35" w14:textId="108E461D" w:rsidR="005037D6" w:rsidRPr="009D3091" w:rsidRDefault="002E4E1F" w:rsidP="008D292E">
      <w:pPr>
        <w:pStyle w:val="Bullet1"/>
        <w:tabs>
          <w:tab w:val="left" w:pos="567"/>
        </w:tabs>
      </w:pPr>
      <w:r w:rsidRPr="009D3091">
        <w:t>i</w:t>
      </w:r>
      <w:r w:rsidR="005037D6" w:rsidRPr="009D3091">
        <w:t>mplementation of recommended IPC measures (as per this guideline)</w:t>
      </w:r>
    </w:p>
    <w:p w14:paraId="6DB1C9A4" w14:textId="3D248EB1" w:rsidR="005037D6" w:rsidRPr="009D3091" w:rsidRDefault="002E4E1F" w:rsidP="008D292E">
      <w:pPr>
        <w:pStyle w:val="Bullet1"/>
        <w:tabs>
          <w:tab w:val="left" w:pos="567"/>
        </w:tabs>
      </w:pPr>
      <w:r w:rsidRPr="009D3091">
        <w:t>n</w:t>
      </w:r>
      <w:r w:rsidR="005037D6" w:rsidRPr="009D3091">
        <w:t>otification to LPHUs</w:t>
      </w:r>
    </w:p>
    <w:p w14:paraId="58918C0B" w14:textId="3E82F311" w:rsidR="005037D6" w:rsidRPr="009D3091" w:rsidRDefault="002E4E1F" w:rsidP="008D292E">
      <w:pPr>
        <w:pStyle w:val="Bullet1"/>
        <w:tabs>
          <w:tab w:val="left" w:pos="567"/>
        </w:tabs>
      </w:pPr>
      <w:r w:rsidRPr="009D3091">
        <w:t>f</w:t>
      </w:r>
      <w:r w:rsidR="005037D6" w:rsidRPr="009D3091">
        <w:t>ollow</w:t>
      </w:r>
      <w:r w:rsidRPr="009D3091">
        <w:t>ing</w:t>
      </w:r>
      <w:r w:rsidR="005037D6" w:rsidRPr="009D3091">
        <w:t xml:space="preserve"> advice relating to processes for transfer to an appropriate care facility</w:t>
      </w:r>
    </w:p>
    <w:p w14:paraId="62B65863" w14:textId="41738D2B"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others</w:t>
      </w:r>
    </w:p>
    <w:p w14:paraId="0869B85E" w14:textId="4770EF91" w:rsidR="005037D6" w:rsidRPr="009D3091" w:rsidRDefault="002E4E1F"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w:t>
      </w:r>
      <w:r w:rsidRPr="009D3091">
        <w:t xml:space="preserve">see </w:t>
      </w:r>
      <w:hyperlink w:anchor="_Infection_prevention_and" w:history="1">
        <w:r w:rsidRPr="001561D9">
          <w:rPr>
            <w:rStyle w:val="Hyperlink"/>
            <w:color w:val="auto"/>
            <w:u w:val="none"/>
          </w:rPr>
          <w:t>section 5</w:t>
        </w:r>
      </w:hyperlink>
      <w:r w:rsidR="005037D6" w:rsidRPr="009D3091">
        <w:t>).</w:t>
      </w:r>
    </w:p>
    <w:p w14:paraId="5AD29EED" w14:textId="77777777" w:rsidR="005037D6" w:rsidRDefault="005037D6" w:rsidP="008D292E">
      <w:pPr>
        <w:pStyle w:val="Heading3"/>
      </w:pPr>
      <w:r w:rsidRPr="000A51D2">
        <w:t>Ambulance Victoria</w:t>
      </w:r>
    </w:p>
    <w:p w14:paraId="633951FC" w14:textId="21FE0F2B" w:rsidR="002E4E1F" w:rsidRDefault="002E4E1F" w:rsidP="008D292E">
      <w:pPr>
        <w:pStyle w:val="Body"/>
        <w:tabs>
          <w:tab w:val="left" w:pos="567"/>
        </w:tabs>
      </w:pPr>
      <w:r>
        <w:t>Requirements for Ambulance Victoria include:</w:t>
      </w:r>
    </w:p>
    <w:p w14:paraId="5D27CD73" w14:textId="2BAED707" w:rsidR="005037D6" w:rsidRPr="009D3091" w:rsidRDefault="002E4E1F" w:rsidP="008D292E">
      <w:pPr>
        <w:pStyle w:val="Bullet1"/>
        <w:tabs>
          <w:tab w:val="left" w:pos="567"/>
        </w:tabs>
      </w:pPr>
      <w:r w:rsidRPr="009D3091">
        <w:t>i</w:t>
      </w:r>
      <w:r w:rsidR="005037D6" w:rsidRPr="009D3091">
        <w:t>mplementation of recommended IPC measures (</w:t>
      </w:r>
      <w:r w:rsidRPr="009D3091">
        <w:t>see</w:t>
      </w:r>
      <w:r w:rsidR="005037D6" w:rsidRPr="009D3091">
        <w:t xml:space="preserve"> </w:t>
      </w:r>
      <w:hyperlink w:anchor="_Patient_transport" w:history="1">
        <w:r w:rsidR="005037D6" w:rsidRPr="001561D9">
          <w:rPr>
            <w:rStyle w:val="Hyperlink"/>
            <w:color w:val="auto"/>
            <w:u w:val="none"/>
          </w:rPr>
          <w:t>section 5.6</w:t>
        </w:r>
      </w:hyperlink>
      <w:r w:rsidR="005037D6" w:rsidRPr="009D3091">
        <w:t>)</w:t>
      </w:r>
    </w:p>
    <w:p w14:paraId="5B01AF6F" w14:textId="714A4DE4" w:rsidR="005037D6" w:rsidRPr="009D3091" w:rsidRDefault="002E4E1F" w:rsidP="008D292E">
      <w:pPr>
        <w:pStyle w:val="Bullet1"/>
        <w:tabs>
          <w:tab w:val="left" w:pos="567"/>
        </w:tabs>
      </w:pPr>
      <w:r w:rsidRPr="009D3091">
        <w:t>p</w:t>
      </w:r>
      <w:r w:rsidR="005037D6" w:rsidRPr="009D3091">
        <w:t>rovid</w:t>
      </w:r>
      <w:r w:rsidRPr="009D3091">
        <w:t>ing</w:t>
      </w:r>
      <w:r w:rsidR="005037D6" w:rsidRPr="009D3091">
        <w:t xml:space="preserve"> data to the LPHU</w:t>
      </w:r>
      <w:r w:rsidRPr="009D3091">
        <w:t xml:space="preserve"> and </w:t>
      </w:r>
      <w:r w:rsidR="00AE78B1" w:rsidRPr="009D3091">
        <w:t>the department</w:t>
      </w:r>
      <w:r w:rsidR="005037D6" w:rsidRPr="009D3091">
        <w:t xml:space="preserve"> to allow contact monitoring of staff</w:t>
      </w:r>
      <w:r w:rsidRPr="009D3091">
        <w:t xml:space="preserve"> and </w:t>
      </w:r>
      <w:r w:rsidR="005037D6" w:rsidRPr="009D3091">
        <w:t xml:space="preserve">others </w:t>
      </w:r>
    </w:p>
    <w:p w14:paraId="6AB41C6C" w14:textId="71AD49AA" w:rsidR="005037D6" w:rsidRPr="009D3091" w:rsidRDefault="002E4E1F" w:rsidP="008D292E">
      <w:pPr>
        <w:pStyle w:val="Bullet1"/>
        <w:tabs>
          <w:tab w:val="left" w:pos="567"/>
        </w:tabs>
      </w:pPr>
      <w:r w:rsidRPr="009D3091">
        <w:t>u</w:t>
      </w:r>
      <w:r w:rsidR="005037D6" w:rsidRPr="009D3091">
        <w:t>ndertak</w:t>
      </w:r>
      <w:r w:rsidRPr="009D3091">
        <w:t>ing</w:t>
      </w:r>
      <w:r w:rsidR="005037D6" w:rsidRPr="009D3091">
        <w:t xml:space="preserve"> cleaning, disinfection and waste removal if relevant</w:t>
      </w:r>
      <w:r w:rsidRPr="009D3091">
        <w:t>,</w:t>
      </w:r>
      <w:r w:rsidR="005037D6" w:rsidRPr="009D3091">
        <w:t xml:space="preserve"> where there was a confirmed case of VHF (see </w:t>
      </w:r>
      <w:hyperlink w:anchor="_Infection_prevention_and" w:history="1">
        <w:r w:rsidRPr="001561D9">
          <w:rPr>
            <w:rStyle w:val="Hyperlink"/>
            <w:color w:val="auto"/>
            <w:u w:val="none"/>
          </w:rPr>
          <w:t>section 5</w:t>
        </w:r>
      </w:hyperlink>
      <w:r w:rsidR="005037D6" w:rsidRPr="009D3091">
        <w:t>).</w:t>
      </w:r>
    </w:p>
    <w:p w14:paraId="1AB3590B" w14:textId="77777777" w:rsidR="005037D6" w:rsidRDefault="005037D6" w:rsidP="008D292E">
      <w:pPr>
        <w:pStyle w:val="Heading3"/>
      </w:pPr>
      <w:r w:rsidRPr="003B4CE5">
        <w:lastRenderedPageBreak/>
        <w:t>Victorian Infectious Disease Reference Laboratory (VIDRL)</w:t>
      </w:r>
    </w:p>
    <w:p w14:paraId="0B48E1E6" w14:textId="62393D53" w:rsidR="002E4E1F" w:rsidRPr="002E4E1F" w:rsidRDefault="002E4E1F" w:rsidP="008D292E">
      <w:pPr>
        <w:pStyle w:val="Body"/>
        <w:tabs>
          <w:tab w:val="left" w:pos="567"/>
        </w:tabs>
      </w:pPr>
      <w:r>
        <w:t>Requirements for VIDRL include:</w:t>
      </w:r>
    </w:p>
    <w:p w14:paraId="6D6BAD7F" w14:textId="227CB32A" w:rsidR="005037D6" w:rsidRPr="009D3091" w:rsidRDefault="002E4E1F" w:rsidP="008D292E">
      <w:pPr>
        <w:pStyle w:val="Bullet1"/>
        <w:tabs>
          <w:tab w:val="left" w:pos="567"/>
        </w:tabs>
      </w:pPr>
      <w:r w:rsidRPr="009D3091">
        <w:t>r</w:t>
      </w:r>
      <w:r w:rsidR="005037D6" w:rsidRPr="009D3091">
        <w:t>eceiv</w:t>
      </w:r>
      <w:r w:rsidRPr="009D3091">
        <w:t>ing</w:t>
      </w:r>
      <w:r w:rsidR="005037D6" w:rsidRPr="009D3091">
        <w:t xml:space="preserve"> samples and conduct testing for VHF</w:t>
      </w:r>
      <w:r w:rsidRPr="009D3091">
        <w:t>,</w:t>
      </w:r>
      <w:r w:rsidR="005037D6" w:rsidRPr="009D3091">
        <w:t xml:space="preserve"> in accordance with the </w:t>
      </w:r>
      <w:hyperlink r:id="rId29" w:history="1">
        <w:r w:rsidR="005037D6" w:rsidRPr="001561D9">
          <w:rPr>
            <w:rStyle w:val="Hyperlink"/>
            <w:color w:val="auto"/>
            <w:u w:val="none"/>
          </w:rPr>
          <w:t>National High Security Quarantine Laboratory Guideline for Management of Quarantinable Viral Haemorrhagic Fevers</w:t>
        </w:r>
      </w:hyperlink>
      <w:r w:rsidR="005037D6" w:rsidRPr="009D3091">
        <w:t>.</w:t>
      </w:r>
      <w:r w:rsidRPr="009D3091">
        <w:t xml:space="preserve"> &lt;chrome-extension://efaidnbmnnnibpcajpcglclefindmkaj/https://www.health.gov.au/sites/default/files/documents/2022/11/phln-national-high-security-quarantine-laboratory-guideline-for-management-of-quarantinable-viral-haemorrhagic-fevers.pdf&gt;</w:t>
      </w:r>
    </w:p>
    <w:p w14:paraId="56EBCB4F" w14:textId="24F20D27" w:rsidR="005037D6" w:rsidRPr="009D3091" w:rsidRDefault="002E4E1F" w:rsidP="008D292E">
      <w:pPr>
        <w:pStyle w:val="Bullet1"/>
        <w:tabs>
          <w:tab w:val="left" w:pos="567"/>
        </w:tabs>
      </w:pPr>
      <w:r w:rsidRPr="009D3091">
        <w:t>n</w:t>
      </w:r>
      <w:r w:rsidR="005037D6" w:rsidRPr="009D3091">
        <w:t>otification to LPHUs.</w:t>
      </w:r>
    </w:p>
    <w:p w14:paraId="2EE37E60" w14:textId="77777777" w:rsidR="005037D6" w:rsidRDefault="005037D6" w:rsidP="008D292E">
      <w:pPr>
        <w:pStyle w:val="Heading3"/>
      </w:pPr>
      <w:r w:rsidRPr="003B4CE5">
        <w:t>Diagnostic laboratories</w:t>
      </w:r>
    </w:p>
    <w:p w14:paraId="6873F932" w14:textId="77777777" w:rsidR="005037D6" w:rsidRPr="008F0717" w:rsidRDefault="005037D6" w:rsidP="008D292E">
      <w:pPr>
        <w:pStyle w:val="Body"/>
        <w:tabs>
          <w:tab w:val="left" w:pos="567"/>
        </w:tabs>
      </w:pPr>
      <w:r w:rsidRPr="008F0717">
        <w:t xml:space="preserve">In the event of handling of clinical specimens of a case of </w:t>
      </w:r>
      <w:r w:rsidRPr="00206EB7">
        <w:t xml:space="preserve">suspected or </w:t>
      </w:r>
      <w:r w:rsidRPr="008F0717">
        <w:t xml:space="preserve">confirmed VHF, the laboratory must: </w:t>
      </w:r>
    </w:p>
    <w:p w14:paraId="442BE894" w14:textId="529C53D2" w:rsidR="005037D6" w:rsidRDefault="00F35BCD" w:rsidP="008D292E">
      <w:pPr>
        <w:pStyle w:val="Bullet1"/>
        <w:tabs>
          <w:tab w:val="left" w:pos="567"/>
        </w:tabs>
      </w:pPr>
      <w:r>
        <w:t>n</w:t>
      </w:r>
      <w:r w:rsidR="005037D6">
        <w:t>otif</w:t>
      </w:r>
      <w:r>
        <w:t>y</w:t>
      </w:r>
      <w:r w:rsidR="005037D6">
        <w:t xml:space="preserve"> LPHU</w:t>
      </w:r>
      <w:r>
        <w:t>s</w:t>
      </w:r>
    </w:p>
    <w:p w14:paraId="63864171" w14:textId="68FB53E8" w:rsidR="005037D6" w:rsidRDefault="00F35BCD" w:rsidP="008D292E">
      <w:pPr>
        <w:pStyle w:val="Bullet1"/>
        <w:tabs>
          <w:tab w:val="left" w:pos="567"/>
        </w:tabs>
      </w:pPr>
      <w:r>
        <w:t>p</w:t>
      </w:r>
      <w:r w:rsidR="005037D6" w:rsidRPr="008F0717">
        <w:t>rovide information to LPHU</w:t>
      </w:r>
      <w:r>
        <w:t xml:space="preserve">s and </w:t>
      </w:r>
      <w:r w:rsidR="00AE78B1">
        <w:t>the department</w:t>
      </w:r>
      <w:r w:rsidR="005037D6" w:rsidRPr="008F0717">
        <w:t xml:space="preserve"> regarding potentially exposed staff</w:t>
      </w:r>
    </w:p>
    <w:p w14:paraId="3089776D" w14:textId="0CCEE2DF" w:rsidR="005037D6" w:rsidRPr="008F0717" w:rsidRDefault="00F35BCD" w:rsidP="008D292E">
      <w:pPr>
        <w:pStyle w:val="Bullet1"/>
        <w:tabs>
          <w:tab w:val="left" w:pos="567"/>
        </w:tabs>
      </w:pPr>
      <w:r>
        <w:t>u</w:t>
      </w:r>
      <w:r w:rsidR="005037D6" w:rsidRPr="008F0717">
        <w:t>ndertake cleaning, disinfection and waste removal if relevant</w:t>
      </w:r>
      <w:r>
        <w:t>,</w:t>
      </w:r>
      <w:r w:rsidR="005037D6" w:rsidRPr="008F0717">
        <w:t xml:space="preserve"> in relation to a clinical facility where there was a confirmed case of VHF, according to </w:t>
      </w:r>
      <w:r w:rsidR="005037D6">
        <w:t>this guide, any</w:t>
      </w:r>
      <w:r w:rsidR="005037D6" w:rsidRPr="008F0717">
        <w:t xml:space="preserve"> internal plans and Public Health Laboratory Network (PHLN) guidelines.</w:t>
      </w:r>
    </w:p>
    <w:p w14:paraId="0104DCCB" w14:textId="77777777" w:rsidR="005037D6" w:rsidRDefault="005037D6" w:rsidP="008D292E">
      <w:pPr>
        <w:pStyle w:val="Heading3"/>
      </w:pPr>
      <w:r>
        <w:t>Commonwealth Department of Agriculture, Fisheries and Forestry (DAFF)</w:t>
      </w:r>
    </w:p>
    <w:p w14:paraId="32970D8C" w14:textId="63846511" w:rsidR="005037D6" w:rsidRDefault="005037D6" w:rsidP="008D292E">
      <w:pPr>
        <w:pStyle w:val="Body"/>
        <w:tabs>
          <w:tab w:val="left" w:pos="567"/>
        </w:tabs>
      </w:pPr>
      <w:r w:rsidRPr="52293C51">
        <w:t>DAFF Biosecurity Officers perform functions at ports of entry with support from state Human Biosecurity Officers</w:t>
      </w:r>
      <w:r>
        <w:t xml:space="preserve"> (HBO</w:t>
      </w:r>
      <w:r w:rsidR="00EC2693">
        <w:t>s</w:t>
      </w:r>
      <w:r>
        <w:t>)</w:t>
      </w:r>
      <w:r w:rsidRPr="52293C51">
        <w:t xml:space="preserve">. They will </w:t>
      </w:r>
      <w:r>
        <w:t>contact the</w:t>
      </w:r>
      <w:r w:rsidRPr="52293C51">
        <w:t xml:space="preserve"> </w:t>
      </w:r>
      <w:r>
        <w:t xml:space="preserve">HBO to </w:t>
      </w:r>
      <w:r w:rsidRPr="52293C51">
        <w:t>assess the probability of VHF</w:t>
      </w:r>
      <w:r w:rsidR="00EC2693">
        <w:t>,</w:t>
      </w:r>
      <w:r w:rsidRPr="52293C51">
        <w:t xml:space="preserve"> in line with the Commonwealth </w:t>
      </w:r>
      <w:r w:rsidRPr="00B72C99">
        <w:rPr>
          <w:i/>
        </w:rPr>
        <w:t>Biosecurity Act</w:t>
      </w:r>
      <w:r w:rsidR="00B72C99">
        <w:t xml:space="preserve"> </w:t>
      </w:r>
      <w:r w:rsidR="00B72C99" w:rsidRPr="00B72C99">
        <w:rPr>
          <w:i/>
          <w:iCs/>
        </w:rPr>
        <w:t>2015</w:t>
      </w:r>
      <w:r>
        <w:t>. P</w:t>
      </w:r>
      <w:r w:rsidRPr="52293C51">
        <w:t>ublic health actions</w:t>
      </w:r>
      <w:r>
        <w:t xml:space="preserve"> will be determined by the HBO, and the DAFF Biosecurity Officer will assist in implementing these actions.</w:t>
      </w:r>
    </w:p>
    <w:p w14:paraId="67EF775E" w14:textId="77777777" w:rsidR="005037D6" w:rsidRDefault="005037D6" w:rsidP="008D292E">
      <w:pPr>
        <w:pStyle w:val="Heading3"/>
      </w:pPr>
      <w:r>
        <w:t>Human Biosecurity Officers</w:t>
      </w:r>
    </w:p>
    <w:p w14:paraId="68C34FBD" w14:textId="409EE659" w:rsidR="005037D6" w:rsidRDefault="005037D6" w:rsidP="008D292E">
      <w:pPr>
        <w:pStyle w:val="Body"/>
        <w:tabs>
          <w:tab w:val="left" w:pos="567"/>
        </w:tabs>
      </w:pPr>
      <w:r>
        <w:t xml:space="preserve">HBOs </w:t>
      </w:r>
      <w:r w:rsidRPr="00AF4ADE">
        <w:t xml:space="preserve">are state health employees </w:t>
      </w:r>
      <w:r>
        <w:t>(</w:t>
      </w:r>
      <w:r w:rsidR="00EC2693">
        <w:t>that is,</w:t>
      </w:r>
      <w:r>
        <w:t xml:space="preserve"> representatives from </w:t>
      </w:r>
      <w:r w:rsidR="00AE78B1">
        <w:t>the department</w:t>
      </w:r>
      <w:r>
        <w:t xml:space="preserve"> of LPHUs) </w:t>
      </w:r>
      <w:r w:rsidRPr="00AF4ADE">
        <w:t>with appropriate clinical expertise and are authorised by the Director of Human Biosecurity. These individuals have powers and responsibilities to assess and manage human biosecurity risks</w:t>
      </w:r>
      <w:r>
        <w:t>.</w:t>
      </w:r>
    </w:p>
    <w:p w14:paraId="5EB47A94" w14:textId="66C608F7" w:rsidR="00EC2693" w:rsidRDefault="00EC2693" w:rsidP="008D292E">
      <w:pPr>
        <w:tabs>
          <w:tab w:val="left" w:pos="567"/>
        </w:tabs>
        <w:spacing w:after="0" w:line="240" w:lineRule="auto"/>
        <w:rPr>
          <w:rFonts w:eastAsia="Times"/>
        </w:rPr>
      </w:pPr>
      <w:r>
        <w:br w:type="page"/>
      </w:r>
    </w:p>
    <w:p w14:paraId="27D6EE1D" w14:textId="48024202" w:rsidR="005037D6" w:rsidRDefault="005037D6" w:rsidP="008D292E">
      <w:pPr>
        <w:pStyle w:val="Heading1"/>
        <w:numPr>
          <w:ilvl w:val="0"/>
          <w:numId w:val="40"/>
        </w:numPr>
        <w:tabs>
          <w:tab w:val="left" w:pos="567"/>
        </w:tabs>
      </w:pPr>
      <w:bookmarkStart w:id="12" w:name="_Toc215393398"/>
      <w:bookmarkStart w:id="13" w:name="_Toc215417787"/>
      <w:bookmarkStart w:id="14" w:name="_Toc217022530"/>
      <w:bookmarkEnd w:id="12"/>
      <w:bookmarkEnd w:id="13"/>
      <w:r>
        <w:lastRenderedPageBreak/>
        <w:t>Background</w:t>
      </w:r>
      <w:bookmarkEnd w:id="14"/>
    </w:p>
    <w:p w14:paraId="7B7989F3" w14:textId="260DEFFD" w:rsidR="005037D6" w:rsidRPr="00D012B9" w:rsidRDefault="005037D6" w:rsidP="008D292E">
      <w:pPr>
        <w:pStyle w:val="Heading2"/>
        <w:tabs>
          <w:tab w:val="left" w:pos="567"/>
        </w:tabs>
      </w:pPr>
      <w:bookmarkStart w:id="15" w:name="_Toc217022531"/>
      <w:r w:rsidRPr="00D012B9">
        <w:t>Viral haemorrhagic fevers</w:t>
      </w:r>
      <w:bookmarkEnd w:id="15"/>
    </w:p>
    <w:p w14:paraId="00AE310F" w14:textId="7616FD12" w:rsidR="005037D6" w:rsidRPr="00E4312B" w:rsidRDefault="005037D6" w:rsidP="008D292E">
      <w:pPr>
        <w:pStyle w:val="Body"/>
        <w:tabs>
          <w:tab w:val="left" w:pos="567"/>
        </w:tabs>
        <w:rPr>
          <w:szCs w:val="21"/>
        </w:rPr>
      </w:pPr>
      <w:r w:rsidRPr="004D3A24">
        <w:rPr>
          <w:szCs w:val="21"/>
        </w:rPr>
        <w:t>VHF</w:t>
      </w:r>
      <w:r>
        <w:rPr>
          <w:szCs w:val="21"/>
        </w:rPr>
        <w:t>s</w:t>
      </w:r>
      <w:r w:rsidRPr="004D3A24">
        <w:rPr>
          <w:szCs w:val="21"/>
        </w:rPr>
        <w:t xml:space="preserve"> are a group of rare illnesses caused by several distinct families of viruses. Although some types of haemorrhagic fever viruses can cause relatively mild illnesses, many cause severe, life-threatening disease. </w:t>
      </w:r>
      <w:r>
        <w:rPr>
          <w:rFonts w:cs="Arial"/>
          <w:szCs w:val="21"/>
          <w:lang w:eastAsia="en-AU"/>
        </w:rPr>
        <w:t>EVD</w:t>
      </w:r>
      <w:r w:rsidRPr="004D3A24">
        <w:rPr>
          <w:rFonts w:cs="Arial"/>
          <w:szCs w:val="21"/>
          <w:lang w:eastAsia="en-AU"/>
        </w:rPr>
        <w:t xml:space="preserve">, </w:t>
      </w:r>
      <w:r>
        <w:rPr>
          <w:rFonts w:cs="Arial"/>
          <w:szCs w:val="21"/>
          <w:lang w:eastAsia="en-AU"/>
        </w:rPr>
        <w:t>LF</w:t>
      </w:r>
      <w:r w:rsidRPr="004D3A24">
        <w:rPr>
          <w:rFonts w:cs="Arial"/>
          <w:szCs w:val="21"/>
          <w:lang w:eastAsia="en-AU"/>
        </w:rPr>
        <w:t xml:space="preserve">, </w:t>
      </w:r>
      <w:r>
        <w:rPr>
          <w:rFonts w:cs="Arial"/>
          <w:szCs w:val="21"/>
          <w:lang w:eastAsia="en-AU"/>
        </w:rPr>
        <w:t>MVD</w:t>
      </w:r>
      <w:r w:rsidRPr="004D3A24">
        <w:rPr>
          <w:rFonts w:cs="Arial"/>
          <w:szCs w:val="21"/>
          <w:lang w:eastAsia="en-AU"/>
        </w:rPr>
        <w:t xml:space="preserve"> and </w:t>
      </w:r>
      <w:r>
        <w:rPr>
          <w:rFonts w:cs="Arial"/>
          <w:szCs w:val="21"/>
          <w:lang w:eastAsia="en-AU"/>
        </w:rPr>
        <w:t>CCHF</w:t>
      </w:r>
      <w:r w:rsidRPr="004D3A24">
        <w:rPr>
          <w:rFonts w:cs="Arial"/>
          <w:szCs w:val="21"/>
          <w:lang w:eastAsia="en-AU"/>
        </w:rPr>
        <w:t xml:space="preserve"> </w:t>
      </w:r>
      <w:r w:rsidRPr="004D3A24">
        <w:rPr>
          <w:szCs w:val="21"/>
        </w:rPr>
        <w:t>are of particular concern because they could be imported into Australia and be transmitted to other people, particularly health</w:t>
      </w:r>
      <w:r w:rsidR="00B76002">
        <w:rPr>
          <w:szCs w:val="21"/>
        </w:rPr>
        <w:t xml:space="preserve"> care</w:t>
      </w:r>
      <w:r w:rsidRPr="004D3A24">
        <w:rPr>
          <w:szCs w:val="21"/>
        </w:rPr>
        <w:t xml:space="preserve"> personnel, by blood or body fluid inoculation. They are therefore subject to </w:t>
      </w:r>
      <w:r>
        <w:rPr>
          <w:szCs w:val="21"/>
        </w:rPr>
        <w:t xml:space="preserve">biosecurity measures as per the </w:t>
      </w:r>
      <w:r w:rsidRPr="00B72C99">
        <w:rPr>
          <w:i/>
          <w:iCs/>
          <w:szCs w:val="21"/>
        </w:rPr>
        <w:t>Biosecurity Act 2015</w:t>
      </w:r>
      <w:r>
        <w:rPr>
          <w:szCs w:val="21"/>
        </w:rPr>
        <w:t xml:space="preserve">. </w:t>
      </w:r>
    </w:p>
    <w:p w14:paraId="359CB0A4" w14:textId="0024620F" w:rsidR="005037D6" w:rsidRDefault="005037D6" w:rsidP="008D292E">
      <w:pPr>
        <w:pStyle w:val="Bodyafterbullets"/>
        <w:tabs>
          <w:tab w:val="left" w:pos="567"/>
        </w:tabs>
      </w:pPr>
      <w:r>
        <w:t>Other VHFs that are less</w:t>
      </w:r>
      <w:r w:rsidRPr="004D3A24">
        <w:t xml:space="preserve"> common</w:t>
      </w:r>
      <w:r>
        <w:t>ly</w:t>
      </w:r>
      <w:r w:rsidRPr="004D3A24">
        <w:t xml:space="preserve"> transmissible </w:t>
      </w:r>
      <w:r>
        <w:t xml:space="preserve">between humans but are notifiable </w:t>
      </w:r>
      <w:r w:rsidRPr="004D3A24">
        <w:t xml:space="preserve">include Severe </w:t>
      </w:r>
      <w:r w:rsidR="0088455F">
        <w:t>F</w:t>
      </w:r>
      <w:r w:rsidR="0088455F" w:rsidRPr="004D3A24">
        <w:t>ever</w:t>
      </w:r>
      <w:r w:rsidRPr="004D3A24">
        <w:t xml:space="preserve"> with Thrombocytopaenia Syndrome (SFTS) caused by the SFTS virus, Argentine haemorrhagic fever</w:t>
      </w:r>
      <w:r>
        <w:t xml:space="preserve"> (AHF)</w:t>
      </w:r>
      <w:r w:rsidRPr="004D3A24">
        <w:t xml:space="preserve"> caused by the Junin virus, </w:t>
      </w:r>
      <w:proofErr w:type="spellStart"/>
      <w:r w:rsidRPr="004D3A24">
        <w:t>Lujo</w:t>
      </w:r>
      <w:proofErr w:type="spellEnd"/>
      <w:r w:rsidRPr="004D3A24">
        <w:t xml:space="preserve"> haemorrhagic fever </w:t>
      </w:r>
      <w:r>
        <w:t xml:space="preserve">(LUHF) </w:t>
      </w:r>
      <w:r w:rsidRPr="004D3A24">
        <w:t xml:space="preserve">caused by the </w:t>
      </w:r>
      <w:proofErr w:type="spellStart"/>
      <w:r w:rsidRPr="004D3A24">
        <w:t>Lujo</w:t>
      </w:r>
      <w:proofErr w:type="spellEnd"/>
      <w:r w:rsidRPr="004D3A24">
        <w:t xml:space="preserve"> virus</w:t>
      </w:r>
      <w:r>
        <w:t xml:space="preserve">, </w:t>
      </w:r>
      <w:r w:rsidRPr="004D3A24">
        <w:t xml:space="preserve">Bolivian haemorrhagic fever </w:t>
      </w:r>
      <w:r>
        <w:t xml:space="preserve">(BHF) </w:t>
      </w:r>
      <w:r w:rsidRPr="004D3A24">
        <w:t xml:space="preserve">caused by the </w:t>
      </w:r>
      <w:proofErr w:type="spellStart"/>
      <w:r w:rsidRPr="004D3A24">
        <w:t>Machupo</w:t>
      </w:r>
      <w:proofErr w:type="spellEnd"/>
      <w:r w:rsidRPr="004D3A24">
        <w:t xml:space="preserve"> virus</w:t>
      </w:r>
      <w:r>
        <w:t xml:space="preserve"> and Andes haemorrhagic fever (ANDV) caused by the Andes virus (a rodent-borne hantavirus)</w:t>
      </w:r>
      <w:r w:rsidRPr="004D3A24">
        <w:t>.</w:t>
      </w:r>
      <w:r>
        <w:t xml:space="preserve"> See Table 1.</w:t>
      </w:r>
    </w:p>
    <w:p w14:paraId="7F716CCC" w14:textId="056EC25A" w:rsidR="00EC2693" w:rsidRDefault="00EC2693" w:rsidP="008D292E">
      <w:pPr>
        <w:pStyle w:val="Tablecaption"/>
        <w:tabs>
          <w:tab w:val="left" w:pos="567"/>
        </w:tabs>
      </w:pPr>
      <w:r>
        <w:t xml:space="preserve">Table </w:t>
      </w:r>
      <w:fldSimple w:instr=" SEQ Table \* ARABIC ">
        <w:r w:rsidR="00B96009">
          <w:rPr>
            <w:noProof/>
          </w:rPr>
          <w:t>1</w:t>
        </w:r>
      </w:fldSimple>
      <w:r>
        <w:t xml:space="preserve">. </w:t>
      </w:r>
      <w:r w:rsidRPr="00AF4E09">
        <w:t>Key VHFs where human-to-human spread may occur</w:t>
      </w:r>
    </w:p>
    <w:p w14:paraId="31277244" w14:textId="20BE5FA6" w:rsidR="00C55B5B" w:rsidRPr="00B34143" w:rsidRDefault="00A56F4B" w:rsidP="00C55B5B">
      <w:pPr>
        <w:pStyle w:val="Body"/>
      </w:pPr>
      <w:r>
        <w:rPr>
          <w:i/>
          <w:iCs/>
        </w:rPr>
        <w:t>Note.</w:t>
      </w:r>
      <w:r w:rsidR="00C55B5B" w:rsidRPr="00C55B5B">
        <w:rPr>
          <w:i/>
          <w:iCs/>
        </w:rPr>
        <w:t xml:space="preserve"> Adapted from </w:t>
      </w:r>
      <w:proofErr w:type="spellStart"/>
      <w:r w:rsidR="00C55B5B" w:rsidRPr="00C55B5B">
        <w:rPr>
          <w:i/>
          <w:iCs/>
        </w:rPr>
        <w:t>Centers</w:t>
      </w:r>
      <w:proofErr w:type="spellEnd"/>
      <w:r w:rsidR="00C55B5B" w:rsidRPr="00C55B5B">
        <w:rPr>
          <w:i/>
          <w:iCs/>
        </w:rPr>
        <w:t xml:space="preserve"> for Disease Control and Prevention (CDC) and World Health Organization (WHO) guidance</w:t>
      </w:r>
      <w:r w:rsidR="00B34143" w:rsidRPr="004D5814">
        <w:rPr>
          <w:rStyle w:val="FootnoteReference"/>
        </w:rPr>
        <w:footnoteReference w:id="1"/>
      </w:r>
      <w:r w:rsidR="004D5814" w:rsidRPr="004D5814">
        <w:rPr>
          <w:vertAlign w:val="superscript"/>
        </w:rPr>
        <w:t>,</w:t>
      </w:r>
      <w:r w:rsidR="00767D38" w:rsidRPr="004D5814">
        <w:rPr>
          <w:rStyle w:val="FootnoteReference"/>
        </w:rPr>
        <w:footnoteReference w:id="2"/>
      </w:r>
      <w:r w:rsidR="004D5814" w:rsidRPr="004D5814">
        <w:rPr>
          <w:vertAlign w:val="superscript"/>
        </w:rPr>
        <w:t>,</w:t>
      </w:r>
      <w:r w:rsidR="004D5814" w:rsidRPr="004D5814">
        <w:rPr>
          <w:rStyle w:val="FootnoteReference"/>
        </w:rPr>
        <w:footnoteReference w:id="3"/>
      </w:r>
      <w:r w:rsidR="004D5814" w:rsidRPr="004D5814">
        <w:rPr>
          <w:vertAlign w:val="superscript"/>
        </w:rPr>
        <w:t>,</w:t>
      </w:r>
      <w:r w:rsidR="004D5814" w:rsidRPr="004D5814">
        <w:rPr>
          <w:rStyle w:val="FootnoteReference"/>
        </w:rPr>
        <w:footnoteReference w:id="4"/>
      </w:r>
    </w:p>
    <w:tbl>
      <w:tblPr>
        <w:tblStyle w:val="TableGrid"/>
        <w:tblW w:w="0" w:type="auto"/>
        <w:tblLook w:val="04A0" w:firstRow="1" w:lastRow="0" w:firstColumn="1" w:lastColumn="0" w:noHBand="0" w:noVBand="1"/>
      </w:tblPr>
      <w:tblGrid>
        <w:gridCol w:w="3096"/>
        <w:gridCol w:w="2711"/>
        <w:gridCol w:w="3481"/>
      </w:tblGrid>
      <w:tr w:rsidR="005037D6" w14:paraId="03A04D87" w14:textId="77777777" w:rsidTr="47877C0C">
        <w:trPr>
          <w:trHeight w:val="300"/>
          <w:tblHeader/>
        </w:trPr>
        <w:tc>
          <w:tcPr>
            <w:tcW w:w="3096" w:type="dxa"/>
            <w:shd w:val="clear" w:color="auto" w:fill="D9D9D9" w:themeFill="background1" w:themeFillShade="D9"/>
          </w:tcPr>
          <w:p w14:paraId="1A4FE0BA" w14:textId="29B40912" w:rsidR="005037D6" w:rsidRPr="0071567D" w:rsidRDefault="005037D6" w:rsidP="008D292E">
            <w:pPr>
              <w:pStyle w:val="Tablecolhead"/>
              <w:tabs>
                <w:tab w:val="left" w:pos="567"/>
              </w:tabs>
            </w:pPr>
            <w:r w:rsidRPr="0071567D">
              <w:t>Viral Haemorrhagic Fever</w:t>
            </w:r>
          </w:p>
        </w:tc>
        <w:tc>
          <w:tcPr>
            <w:tcW w:w="2711" w:type="dxa"/>
            <w:shd w:val="clear" w:color="auto" w:fill="D9D9D9" w:themeFill="background1" w:themeFillShade="D9"/>
          </w:tcPr>
          <w:p w14:paraId="056D0615" w14:textId="77777777" w:rsidR="005037D6" w:rsidRPr="0071567D" w:rsidRDefault="005037D6" w:rsidP="008D292E">
            <w:pPr>
              <w:pStyle w:val="Tablecolhead"/>
              <w:tabs>
                <w:tab w:val="left" w:pos="567"/>
              </w:tabs>
            </w:pPr>
            <w:r w:rsidRPr="0071567D">
              <w:t xml:space="preserve">Incubation period (days) </w:t>
            </w:r>
          </w:p>
        </w:tc>
        <w:tc>
          <w:tcPr>
            <w:tcW w:w="3481" w:type="dxa"/>
            <w:shd w:val="clear" w:color="auto" w:fill="D9D9D9" w:themeFill="background1" w:themeFillShade="D9"/>
          </w:tcPr>
          <w:p w14:paraId="428F042F" w14:textId="77777777" w:rsidR="005037D6" w:rsidRPr="0071567D" w:rsidRDefault="005037D6" w:rsidP="008D292E">
            <w:pPr>
              <w:pStyle w:val="Tablecolhead"/>
              <w:tabs>
                <w:tab w:val="left" w:pos="567"/>
              </w:tabs>
            </w:pPr>
            <w:r w:rsidRPr="0071567D">
              <w:t xml:space="preserve">Location/s endemic </w:t>
            </w:r>
          </w:p>
        </w:tc>
      </w:tr>
      <w:tr w:rsidR="005037D6" w14:paraId="2CC32BA7" w14:textId="77777777">
        <w:tc>
          <w:tcPr>
            <w:tcW w:w="3096" w:type="dxa"/>
          </w:tcPr>
          <w:p w14:paraId="37CAEE57" w14:textId="56FA83C8" w:rsidR="005037D6" w:rsidRPr="000F597E" w:rsidRDefault="005037D6" w:rsidP="008D292E">
            <w:pPr>
              <w:pStyle w:val="Tabletext"/>
              <w:tabs>
                <w:tab w:val="left" w:pos="567"/>
              </w:tabs>
            </w:pPr>
            <w:r>
              <w:t xml:space="preserve">Lassa Fever </w:t>
            </w:r>
          </w:p>
        </w:tc>
        <w:tc>
          <w:tcPr>
            <w:tcW w:w="2711" w:type="dxa"/>
          </w:tcPr>
          <w:p w14:paraId="7F263F37" w14:textId="4C1F2A63" w:rsidR="005037D6" w:rsidRPr="00795A6E" w:rsidRDefault="005037D6" w:rsidP="008D292E">
            <w:pPr>
              <w:pStyle w:val="Tabletext"/>
              <w:tabs>
                <w:tab w:val="left" w:pos="567"/>
              </w:tabs>
            </w:pPr>
            <w:r w:rsidRPr="00795A6E">
              <w:t>6</w:t>
            </w:r>
            <w:r w:rsidR="00B96009">
              <w:t>–</w:t>
            </w:r>
            <w:r w:rsidRPr="00795A6E">
              <w:t>21</w:t>
            </w:r>
          </w:p>
        </w:tc>
        <w:tc>
          <w:tcPr>
            <w:tcW w:w="3481" w:type="dxa"/>
          </w:tcPr>
          <w:p w14:paraId="79542959" w14:textId="77777777" w:rsidR="005037D6" w:rsidRPr="00795A6E" w:rsidRDefault="005037D6" w:rsidP="008D292E">
            <w:pPr>
              <w:pStyle w:val="Tabletext"/>
              <w:tabs>
                <w:tab w:val="left" w:pos="567"/>
              </w:tabs>
            </w:pPr>
            <w:proofErr w:type="spellStart"/>
            <w:r w:rsidRPr="00795A6E">
              <w:t>Sub-saharan</w:t>
            </w:r>
            <w:proofErr w:type="spellEnd"/>
            <w:r w:rsidRPr="00795A6E">
              <w:t xml:space="preserve"> Africa</w:t>
            </w:r>
          </w:p>
        </w:tc>
      </w:tr>
      <w:tr w:rsidR="005037D6" w14:paraId="4C65FE85" w14:textId="77777777">
        <w:tc>
          <w:tcPr>
            <w:tcW w:w="3096" w:type="dxa"/>
          </w:tcPr>
          <w:p w14:paraId="566E63EF" w14:textId="785D85B4" w:rsidR="005037D6" w:rsidRPr="000F597E" w:rsidRDefault="005037D6" w:rsidP="008D292E">
            <w:pPr>
              <w:pStyle w:val="Tabletext"/>
              <w:tabs>
                <w:tab w:val="left" w:pos="567"/>
              </w:tabs>
            </w:pPr>
            <w:r>
              <w:t xml:space="preserve">Ebola Virus Disease </w:t>
            </w:r>
          </w:p>
        </w:tc>
        <w:tc>
          <w:tcPr>
            <w:tcW w:w="2711" w:type="dxa"/>
          </w:tcPr>
          <w:p w14:paraId="63FC9F7D" w14:textId="5031778C" w:rsidR="005037D6" w:rsidRPr="00795A6E" w:rsidRDefault="005037D6" w:rsidP="008D292E">
            <w:pPr>
              <w:pStyle w:val="Tabletext"/>
              <w:tabs>
                <w:tab w:val="left" w:pos="567"/>
              </w:tabs>
            </w:pPr>
            <w:r w:rsidRPr="00795A6E">
              <w:t>2</w:t>
            </w:r>
            <w:r w:rsidR="00B96009">
              <w:t>–</w:t>
            </w:r>
            <w:r w:rsidRPr="00795A6E">
              <w:t>21</w:t>
            </w:r>
          </w:p>
        </w:tc>
        <w:tc>
          <w:tcPr>
            <w:tcW w:w="3481" w:type="dxa"/>
          </w:tcPr>
          <w:p w14:paraId="6D7F6C2D" w14:textId="77777777" w:rsidR="005037D6" w:rsidRPr="00795A6E" w:rsidRDefault="005037D6" w:rsidP="008D292E">
            <w:pPr>
              <w:pStyle w:val="Tabletext"/>
              <w:tabs>
                <w:tab w:val="left" w:pos="567"/>
              </w:tabs>
            </w:pPr>
            <w:r w:rsidRPr="00795A6E">
              <w:t>West/Central Africa</w:t>
            </w:r>
          </w:p>
        </w:tc>
      </w:tr>
      <w:tr w:rsidR="005037D6" w14:paraId="36D6ED1C" w14:textId="77777777">
        <w:tc>
          <w:tcPr>
            <w:tcW w:w="3096" w:type="dxa"/>
          </w:tcPr>
          <w:p w14:paraId="7FE21E09" w14:textId="70F6F7FE" w:rsidR="005037D6" w:rsidRPr="000F597E" w:rsidRDefault="005037D6" w:rsidP="008D292E">
            <w:pPr>
              <w:pStyle w:val="Tabletext"/>
              <w:tabs>
                <w:tab w:val="left" w:pos="567"/>
              </w:tabs>
            </w:pPr>
            <w:r>
              <w:t xml:space="preserve">Marburg Virus Disease </w:t>
            </w:r>
          </w:p>
        </w:tc>
        <w:tc>
          <w:tcPr>
            <w:tcW w:w="2711" w:type="dxa"/>
          </w:tcPr>
          <w:p w14:paraId="20A74ACA" w14:textId="52A834D8" w:rsidR="005037D6" w:rsidRPr="00795A6E" w:rsidRDefault="005037D6" w:rsidP="008D292E">
            <w:pPr>
              <w:pStyle w:val="Tabletext"/>
              <w:tabs>
                <w:tab w:val="left" w:pos="567"/>
              </w:tabs>
            </w:pPr>
            <w:r w:rsidRPr="00795A6E">
              <w:t>2</w:t>
            </w:r>
            <w:r w:rsidR="00B96009">
              <w:t>–</w:t>
            </w:r>
            <w:r w:rsidRPr="00795A6E">
              <w:t>21</w:t>
            </w:r>
          </w:p>
        </w:tc>
        <w:tc>
          <w:tcPr>
            <w:tcW w:w="3481" w:type="dxa"/>
          </w:tcPr>
          <w:p w14:paraId="4CECE340" w14:textId="77777777" w:rsidR="005037D6" w:rsidRPr="00795A6E" w:rsidRDefault="005037D6" w:rsidP="008D292E">
            <w:pPr>
              <w:pStyle w:val="Tabletext"/>
              <w:tabs>
                <w:tab w:val="left" w:pos="567"/>
              </w:tabs>
            </w:pPr>
            <w:r w:rsidRPr="00795A6E">
              <w:t>Equatorial Africa</w:t>
            </w:r>
          </w:p>
        </w:tc>
      </w:tr>
      <w:tr w:rsidR="005037D6" w14:paraId="4FA16832" w14:textId="77777777">
        <w:tc>
          <w:tcPr>
            <w:tcW w:w="3096" w:type="dxa"/>
          </w:tcPr>
          <w:p w14:paraId="6E53235C" w14:textId="1CECFBAB" w:rsidR="005037D6" w:rsidRPr="000F597E" w:rsidRDefault="005037D6" w:rsidP="008D292E">
            <w:pPr>
              <w:pStyle w:val="Tabletext"/>
              <w:tabs>
                <w:tab w:val="left" w:pos="567"/>
              </w:tabs>
            </w:pPr>
            <w:r>
              <w:t>Crimean-Congo Haemorrhagic Fever</w:t>
            </w:r>
            <w:r w:rsidRPr="004D3A24">
              <w:rPr>
                <w:szCs w:val="21"/>
              </w:rPr>
              <w:t xml:space="preserve"> </w:t>
            </w:r>
          </w:p>
        </w:tc>
        <w:tc>
          <w:tcPr>
            <w:tcW w:w="2711" w:type="dxa"/>
          </w:tcPr>
          <w:p w14:paraId="0680789C" w14:textId="2DE788CD" w:rsidR="005037D6" w:rsidRPr="00795A6E" w:rsidRDefault="005037D6" w:rsidP="008D292E">
            <w:pPr>
              <w:pStyle w:val="Tabletext"/>
              <w:tabs>
                <w:tab w:val="left" w:pos="567"/>
              </w:tabs>
            </w:pPr>
            <w:r w:rsidRPr="00795A6E">
              <w:t>3</w:t>
            </w:r>
            <w:r w:rsidR="00B96009">
              <w:t>–</w:t>
            </w:r>
            <w:r w:rsidRPr="00795A6E">
              <w:t>13</w:t>
            </w:r>
          </w:p>
        </w:tc>
        <w:tc>
          <w:tcPr>
            <w:tcW w:w="3481" w:type="dxa"/>
          </w:tcPr>
          <w:p w14:paraId="099FB9A3" w14:textId="7AF10A89" w:rsidR="005037D6" w:rsidRPr="00795A6E" w:rsidRDefault="005037D6" w:rsidP="008D292E">
            <w:pPr>
              <w:pStyle w:val="Tabletext"/>
              <w:tabs>
                <w:tab w:val="left" w:pos="567"/>
              </w:tabs>
            </w:pPr>
            <w:r w:rsidRPr="00795A6E">
              <w:t>Eastern Europe, Mediterranean, north</w:t>
            </w:r>
            <w:r w:rsidR="00B76002">
              <w:t>-western</w:t>
            </w:r>
            <w:r w:rsidRPr="00795A6E">
              <w:t xml:space="preserve"> China, central Asia, southern Europe, Africa, Middle East, Indian Subcontinent</w:t>
            </w:r>
          </w:p>
        </w:tc>
      </w:tr>
      <w:tr w:rsidR="005037D6" w14:paraId="18554759" w14:textId="77777777">
        <w:tc>
          <w:tcPr>
            <w:tcW w:w="3096" w:type="dxa"/>
          </w:tcPr>
          <w:p w14:paraId="7E273907" w14:textId="0B80DD50" w:rsidR="005037D6" w:rsidRPr="000F597E" w:rsidRDefault="005037D6" w:rsidP="008D292E">
            <w:pPr>
              <w:pStyle w:val="Tabletext"/>
              <w:tabs>
                <w:tab w:val="left" w:pos="567"/>
              </w:tabs>
            </w:pPr>
            <w:r w:rsidRPr="004D3A24">
              <w:t>Argentine haemorrhagic fever</w:t>
            </w:r>
            <w:r>
              <w:t xml:space="preserve"> </w:t>
            </w:r>
          </w:p>
        </w:tc>
        <w:tc>
          <w:tcPr>
            <w:tcW w:w="2711" w:type="dxa"/>
          </w:tcPr>
          <w:p w14:paraId="41C3ACD7" w14:textId="52AE72BF" w:rsidR="005037D6" w:rsidRPr="00795A6E" w:rsidRDefault="005037D6" w:rsidP="008D292E">
            <w:pPr>
              <w:pStyle w:val="Tabletext"/>
              <w:tabs>
                <w:tab w:val="left" w:pos="567"/>
              </w:tabs>
            </w:pPr>
            <w:r w:rsidRPr="00795A6E">
              <w:t>5</w:t>
            </w:r>
            <w:r w:rsidR="00B96009">
              <w:t>–</w:t>
            </w:r>
            <w:r w:rsidRPr="00795A6E">
              <w:t>19</w:t>
            </w:r>
          </w:p>
        </w:tc>
        <w:tc>
          <w:tcPr>
            <w:tcW w:w="3481" w:type="dxa"/>
          </w:tcPr>
          <w:p w14:paraId="0ACA9225" w14:textId="77777777" w:rsidR="005037D6" w:rsidRPr="00795A6E" w:rsidRDefault="005037D6" w:rsidP="008D292E">
            <w:pPr>
              <w:pStyle w:val="Tabletext"/>
              <w:tabs>
                <w:tab w:val="left" w:pos="567"/>
              </w:tabs>
            </w:pPr>
            <w:r w:rsidRPr="00795A6E">
              <w:t>Argentina</w:t>
            </w:r>
          </w:p>
        </w:tc>
      </w:tr>
      <w:tr w:rsidR="005037D6" w14:paraId="5DF9B8CE" w14:textId="77777777">
        <w:tc>
          <w:tcPr>
            <w:tcW w:w="3096" w:type="dxa"/>
          </w:tcPr>
          <w:p w14:paraId="1A9ED3C3" w14:textId="27388CDD" w:rsidR="005037D6" w:rsidRPr="000F597E" w:rsidRDefault="005037D6" w:rsidP="008D292E">
            <w:pPr>
              <w:pStyle w:val="Tabletext"/>
              <w:tabs>
                <w:tab w:val="left" w:pos="567"/>
              </w:tabs>
            </w:pPr>
            <w:r w:rsidRPr="004D3A24">
              <w:t xml:space="preserve">Bolivian haemorrhagic fever </w:t>
            </w:r>
          </w:p>
        </w:tc>
        <w:tc>
          <w:tcPr>
            <w:tcW w:w="2711" w:type="dxa"/>
          </w:tcPr>
          <w:p w14:paraId="5A2E9CAE" w14:textId="6DDA50DB" w:rsidR="005037D6" w:rsidRPr="00795A6E" w:rsidRDefault="005037D6" w:rsidP="008D292E">
            <w:pPr>
              <w:pStyle w:val="Tabletext"/>
              <w:tabs>
                <w:tab w:val="left" w:pos="567"/>
              </w:tabs>
            </w:pPr>
            <w:r w:rsidRPr="00795A6E">
              <w:t>5</w:t>
            </w:r>
            <w:r w:rsidR="00B96009">
              <w:t>–</w:t>
            </w:r>
            <w:r w:rsidRPr="00795A6E">
              <w:t>15</w:t>
            </w:r>
          </w:p>
        </w:tc>
        <w:tc>
          <w:tcPr>
            <w:tcW w:w="3481" w:type="dxa"/>
          </w:tcPr>
          <w:p w14:paraId="493DABEF" w14:textId="77777777" w:rsidR="005037D6" w:rsidRPr="00795A6E" w:rsidRDefault="005037D6" w:rsidP="008D292E">
            <w:pPr>
              <w:pStyle w:val="Tabletext"/>
              <w:tabs>
                <w:tab w:val="left" w:pos="567"/>
              </w:tabs>
            </w:pPr>
            <w:r w:rsidRPr="00795A6E">
              <w:t>Bolivia</w:t>
            </w:r>
          </w:p>
        </w:tc>
      </w:tr>
      <w:tr w:rsidR="005037D6" w14:paraId="00480E78" w14:textId="77777777">
        <w:tc>
          <w:tcPr>
            <w:tcW w:w="3096" w:type="dxa"/>
          </w:tcPr>
          <w:p w14:paraId="50338D87" w14:textId="5A65F1B1" w:rsidR="005037D6" w:rsidRPr="000F597E" w:rsidRDefault="005037D6" w:rsidP="008D292E">
            <w:pPr>
              <w:pStyle w:val="Tabletext"/>
              <w:tabs>
                <w:tab w:val="left" w:pos="567"/>
              </w:tabs>
            </w:pPr>
            <w:r w:rsidRPr="004D3A24">
              <w:t xml:space="preserve">Severe Fever with Thrombocytopaenia Syndrome </w:t>
            </w:r>
          </w:p>
        </w:tc>
        <w:tc>
          <w:tcPr>
            <w:tcW w:w="2711" w:type="dxa"/>
          </w:tcPr>
          <w:p w14:paraId="64C953F3" w14:textId="5F1D1057" w:rsidR="005037D6" w:rsidRPr="00795A6E" w:rsidRDefault="005037D6" w:rsidP="008D292E">
            <w:pPr>
              <w:pStyle w:val="Tabletext"/>
              <w:tabs>
                <w:tab w:val="left" w:pos="567"/>
              </w:tabs>
            </w:pPr>
            <w:r w:rsidRPr="00795A6E">
              <w:t>5</w:t>
            </w:r>
            <w:r w:rsidR="00B96009">
              <w:t>–</w:t>
            </w:r>
            <w:r w:rsidRPr="00795A6E">
              <w:t xml:space="preserve">14 </w:t>
            </w:r>
          </w:p>
        </w:tc>
        <w:tc>
          <w:tcPr>
            <w:tcW w:w="3481" w:type="dxa"/>
          </w:tcPr>
          <w:p w14:paraId="1AA67E4D" w14:textId="77777777" w:rsidR="005037D6" w:rsidRPr="00795A6E" w:rsidRDefault="005037D6" w:rsidP="008D292E">
            <w:pPr>
              <w:pStyle w:val="Tabletext"/>
              <w:tabs>
                <w:tab w:val="left" w:pos="567"/>
              </w:tabs>
            </w:pPr>
            <w:r w:rsidRPr="00795A6E">
              <w:t>China/South-east Asia</w:t>
            </w:r>
          </w:p>
        </w:tc>
      </w:tr>
      <w:tr w:rsidR="005037D6" w14:paraId="14E5F700" w14:textId="77777777">
        <w:tc>
          <w:tcPr>
            <w:tcW w:w="3096" w:type="dxa"/>
          </w:tcPr>
          <w:p w14:paraId="675FB170" w14:textId="56A28980" w:rsidR="005037D6" w:rsidRPr="000F597E" w:rsidRDefault="005037D6" w:rsidP="008D292E">
            <w:pPr>
              <w:pStyle w:val="Tabletext"/>
              <w:tabs>
                <w:tab w:val="left" w:pos="567"/>
              </w:tabs>
            </w:pPr>
            <w:r>
              <w:t xml:space="preserve">Andes haemorrhagic fever </w:t>
            </w:r>
          </w:p>
        </w:tc>
        <w:tc>
          <w:tcPr>
            <w:tcW w:w="2711" w:type="dxa"/>
          </w:tcPr>
          <w:p w14:paraId="5D26F718" w14:textId="13A5C231" w:rsidR="005037D6" w:rsidRPr="00795A6E" w:rsidRDefault="005037D6" w:rsidP="008D292E">
            <w:pPr>
              <w:pStyle w:val="Tabletext"/>
              <w:tabs>
                <w:tab w:val="left" w:pos="567"/>
              </w:tabs>
            </w:pPr>
            <w:r w:rsidRPr="00795A6E">
              <w:t>4</w:t>
            </w:r>
            <w:r w:rsidR="00B96009">
              <w:t>–</w:t>
            </w:r>
            <w:r w:rsidRPr="00795A6E">
              <w:t>42</w:t>
            </w:r>
          </w:p>
        </w:tc>
        <w:tc>
          <w:tcPr>
            <w:tcW w:w="3481" w:type="dxa"/>
          </w:tcPr>
          <w:p w14:paraId="3AE2410A" w14:textId="77777777" w:rsidR="005037D6" w:rsidRPr="00795A6E" w:rsidRDefault="005037D6" w:rsidP="008D292E">
            <w:pPr>
              <w:pStyle w:val="Tabletext"/>
              <w:tabs>
                <w:tab w:val="left" w:pos="567"/>
              </w:tabs>
            </w:pPr>
            <w:r w:rsidRPr="00795A6E">
              <w:t>South America (Argentina/Chile)</w:t>
            </w:r>
          </w:p>
        </w:tc>
      </w:tr>
      <w:tr w:rsidR="005037D6" w14:paraId="48431A11" w14:textId="77777777">
        <w:tc>
          <w:tcPr>
            <w:tcW w:w="3096" w:type="dxa"/>
          </w:tcPr>
          <w:p w14:paraId="554170B9" w14:textId="6B7F4EF2" w:rsidR="005037D6" w:rsidRPr="000F597E" w:rsidRDefault="005037D6" w:rsidP="008D292E">
            <w:pPr>
              <w:pStyle w:val="Tabletext"/>
              <w:tabs>
                <w:tab w:val="left" w:pos="567"/>
              </w:tabs>
            </w:pPr>
            <w:proofErr w:type="spellStart"/>
            <w:r w:rsidRPr="004D3A24">
              <w:t>Lujo</w:t>
            </w:r>
            <w:proofErr w:type="spellEnd"/>
            <w:r w:rsidRPr="004D3A24">
              <w:t xml:space="preserve"> haemorrhagic fever </w:t>
            </w:r>
          </w:p>
        </w:tc>
        <w:tc>
          <w:tcPr>
            <w:tcW w:w="2711" w:type="dxa"/>
          </w:tcPr>
          <w:p w14:paraId="4A8E4C1D" w14:textId="4ACCAFAE" w:rsidR="005037D6" w:rsidRPr="00795A6E" w:rsidRDefault="005037D6" w:rsidP="008D292E">
            <w:pPr>
              <w:pStyle w:val="Tabletext"/>
              <w:tabs>
                <w:tab w:val="left" w:pos="567"/>
              </w:tabs>
            </w:pPr>
            <w:r w:rsidRPr="00795A6E">
              <w:t>7</w:t>
            </w:r>
            <w:r w:rsidR="00B96009">
              <w:t>–</w:t>
            </w:r>
            <w:r w:rsidRPr="00795A6E">
              <w:t xml:space="preserve">13 </w:t>
            </w:r>
          </w:p>
        </w:tc>
        <w:tc>
          <w:tcPr>
            <w:tcW w:w="3481" w:type="dxa"/>
          </w:tcPr>
          <w:p w14:paraId="500AC562" w14:textId="77777777" w:rsidR="005037D6" w:rsidRPr="00795A6E" w:rsidRDefault="005037D6" w:rsidP="008D292E">
            <w:pPr>
              <w:pStyle w:val="Tabletext"/>
              <w:tabs>
                <w:tab w:val="left" w:pos="567"/>
              </w:tabs>
            </w:pPr>
            <w:r w:rsidRPr="00795A6E">
              <w:t xml:space="preserve">Sub-Saharan Africa </w:t>
            </w:r>
          </w:p>
        </w:tc>
      </w:tr>
    </w:tbl>
    <w:p w14:paraId="514BD35E" w14:textId="77777777" w:rsidR="005037D6" w:rsidRPr="00BA23C7" w:rsidRDefault="005037D6" w:rsidP="008D292E">
      <w:pPr>
        <w:pStyle w:val="Heading2"/>
        <w:tabs>
          <w:tab w:val="left" w:pos="567"/>
        </w:tabs>
      </w:pPr>
      <w:bookmarkStart w:id="16" w:name="_Toc217022532"/>
      <w:r>
        <w:lastRenderedPageBreak/>
        <w:t>Clinical symptoms</w:t>
      </w:r>
      <w:bookmarkEnd w:id="16"/>
    </w:p>
    <w:p w14:paraId="0A8DA584" w14:textId="01F2A5AD" w:rsidR="00E01112" w:rsidRDefault="005037D6" w:rsidP="008D292E">
      <w:pPr>
        <w:pStyle w:val="Body"/>
        <w:tabs>
          <w:tab w:val="left" w:pos="567"/>
        </w:tabs>
        <w:rPr>
          <w:szCs w:val="21"/>
        </w:rPr>
      </w:pPr>
      <w:r w:rsidRPr="004D3A24">
        <w:rPr>
          <w:szCs w:val="21"/>
        </w:rPr>
        <w:t xml:space="preserve">Clinically apparent infections with any of these viruses may present with similar symptoms. Fever is typically insidious in onset and accompanied by severe headache, myalgia and malaise. Other symptoms include retrosternal chest pain, cough, abdominal pain, diarrhoea, conjunctivitis, facial swelling </w:t>
      </w:r>
      <w:r>
        <w:rPr>
          <w:szCs w:val="21"/>
        </w:rPr>
        <w:t>and signs</w:t>
      </w:r>
      <w:r w:rsidR="00E01112">
        <w:rPr>
          <w:szCs w:val="21"/>
        </w:rPr>
        <w:t xml:space="preserve"> that</w:t>
      </w:r>
      <w:r>
        <w:rPr>
          <w:szCs w:val="21"/>
        </w:rPr>
        <w:t xml:space="preserve"> includ</w:t>
      </w:r>
      <w:r w:rsidR="00E01112">
        <w:rPr>
          <w:szCs w:val="21"/>
        </w:rPr>
        <w:t>e</w:t>
      </w:r>
      <w:r w:rsidRPr="004D3A24">
        <w:rPr>
          <w:szCs w:val="21"/>
        </w:rPr>
        <w:t xml:space="preserve"> proteinuria and jaundice.</w:t>
      </w:r>
    </w:p>
    <w:p w14:paraId="64F8AB24" w14:textId="412A6928" w:rsidR="005037D6" w:rsidRPr="004D3A24" w:rsidRDefault="005037D6" w:rsidP="008D292E">
      <w:pPr>
        <w:pStyle w:val="Body"/>
        <w:tabs>
          <w:tab w:val="left" w:pos="567"/>
        </w:tabs>
        <w:rPr>
          <w:szCs w:val="21"/>
        </w:rPr>
      </w:pPr>
      <w:r w:rsidRPr="004D3A24">
        <w:rPr>
          <w:szCs w:val="21"/>
        </w:rPr>
        <w:t>A bleeding diathesis leads to mucosal bleeding, haematemesis, melaena and haematuria. Severe infections are complicated by massive haemorrhage and multi-organ failure.</w:t>
      </w:r>
      <w:r w:rsidR="006C22FD">
        <w:rPr>
          <w:rStyle w:val="FootnoteReference"/>
          <w:szCs w:val="21"/>
        </w:rPr>
        <w:footnoteReference w:id="5"/>
      </w:r>
    </w:p>
    <w:p w14:paraId="32CA76CB" w14:textId="77777777" w:rsidR="005037D6" w:rsidRPr="00BA23C7" w:rsidRDefault="005037D6" w:rsidP="008D292E">
      <w:pPr>
        <w:pStyle w:val="Heading2"/>
        <w:tabs>
          <w:tab w:val="left" w:pos="567"/>
        </w:tabs>
      </w:pPr>
      <w:bookmarkStart w:id="17" w:name="_Toc217022533"/>
      <w:r>
        <w:t>Epidemiology and p</w:t>
      </w:r>
      <w:r w:rsidRPr="00BA23C7">
        <w:t xml:space="preserve">ublic </w:t>
      </w:r>
      <w:r>
        <w:t>h</w:t>
      </w:r>
      <w:r w:rsidRPr="00BA23C7">
        <w:t>ealth significance</w:t>
      </w:r>
      <w:bookmarkEnd w:id="17"/>
    </w:p>
    <w:p w14:paraId="1C3C271C" w14:textId="79F6B1AB" w:rsidR="005037D6" w:rsidRDefault="005037D6" w:rsidP="008D292E">
      <w:pPr>
        <w:pStyle w:val="Body"/>
        <w:tabs>
          <w:tab w:val="left" w:pos="567"/>
        </w:tabs>
      </w:pPr>
      <w:r>
        <w:t>LF,</w:t>
      </w:r>
      <w:r w:rsidDel="00F83F79">
        <w:t xml:space="preserve"> </w:t>
      </w:r>
      <w:r>
        <w:t xml:space="preserve">MVD and EVD viruses are restricted to </w:t>
      </w:r>
      <w:r w:rsidR="00BC7808">
        <w:t>S</w:t>
      </w:r>
      <w:r>
        <w:t>ub-Saharan Africa, where most human outbreaks have occurred. CCHF virus is more widely distributed in Africa, the Mediterranean region, the Middle East, eastern Europe, Central Asia and China. The origins of MVD and EVD viruses are still unclear, but most cases appear to have arisen in Africa.</w:t>
      </w:r>
    </w:p>
    <w:p w14:paraId="4AB51D16" w14:textId="439A75E6" w:rsidR="005037D6" w:rsidRDefault="005037D6" w:rsidP="008D292E">
      <w:pPr>
        <w:tabs>
          <w:tab w:val="left" w:pos="567"/>
        </w:tabs>
      </w:pPr>
      <w:r w:rsidRPr="65BE9CC7">
        <w:rPr>
          <w:rFonts w:eastAsia="MS Gothic"/>
        </w:rPr>
        <w:t>Lassa virus</w:t>
      </w:r>
      <w:r>
        <w:t xml:space="preserve"> is endemic in </w:t>
      </w:r>
      <w:r w:rsidRPr="59DF809B">
        <w:rPr>
          <w:rFonts w:eastAsia="MS Gothic"/>
        </w:rPr>
        <w:t>West African countries</w:t>
      </w:r>
      <w:r w:rsidR="00E01112">
        <w:rPr>
          <w:rFonts w:eastAsia="MS Gothic"/>
        </w:rPr>
        <w:t>,</w:t>
      </w:r>
      <w:r>
        <w:t xml:space="preserve"> such as Nigeria, Sierra Leone, Liberia and Guinea, with seasonal outbreaks and ongoing transmission linked to rodent exposure</w:t>
      </w:r>
      <w:r>
        <w:rPr>
          <w:rStyle w:val="FootnoteReference"/>
          <w:szCs w:val="21"/>
        </w:rPr>
        <w:footnoteReference w:id="6"/>
      </w:r>
      <w:r w:rsidRPr="005B51C5">
        <w:rPr>
          <w:szCs w:val="21"/>
        </w:rPr>
        <w:t xml:space="preserve">. </w:t>
      </w:r>
      <w:r w:rsidRPr="33F1A51E">
        <w:rPr>
          <w:rFonts w:eastAsia="MS Gothic"/>
        </w:rPr>
        <w:t>EVD and MVD</w:t>
      </w:r>
      <w:r>
        <w:t xml:space="preserve"> typically emerge in </w:t>
      </w:r>
      <w:r w:rsidRPr="33F1A51E">
        <w:rPr>
          <w:rFonts w:eastAsia="MS Gothic"/>
        </w:rPr>
        <w:t>Central and East Africa</w:t>
      </w:r>
      <w:r>
        <w:t>, often associated with contact with infected wildlife or human-to-human transmission in health</w:t>
      </w:r>
      <w:r w:rsidR="00B76002">
        <w:t xml:space="preserve"> care</w:t>
      </w:r>
      <w:r>
        <w:t xml:space="preserve"> or community settings</w:t>
      </w:r>
      <w:r>
        <w:rPr>
          <w:rStyle w:val="FootnoteReference"/>
          <w:szCs w:val="21"/>
        </w:rPr>
        <w:footnoteReference w:id="7"/>
      </w:r>
      <w:r w:rsidRPr="005B51C5">
        <w:rPr>
          <w:szCs w:val="21"/>
        </w:rPr>
        <w:t>.</w:t>
      </w:r>
    </w:p>
    <w:p w14:paraId="4B609F9A" w14:textId="307FF5B4" w:rsidR="00B87F93" w:rsidRDefault="005037D6" w:rsidP="008D292E">
      <w:pPr>
        <w:pStyle w:val="Body"/>
        <w:tabs>
          <w:tab w:val="left" w:pos="567"/>
        </w:tabs>
        <w:jc w:val="both"/>
      </w:pPr>
      <w:r>
        <w:t xml:space="preserve">Several recent outbreaks have highlighted the ongoing threat posed by VHF. In early 2025, Uganda faced a Sudan virus (Ebola species) outbreak with 14 cases and </w:t>
      </w:r>
      <w:r w:rsidR="00B87F93">
        <w:t>four</w:t>
      </w:r>
      <w:r>
        <w:t xml:space="preserve"> deaths, ending in April 2025</w:t>
      </w:r>
      <w:r>
        <w:rPr>
          <w:rStyle w:val="FootnoteReference"/>
          <w:szCs w:val="21"/>
        </w:rPr>
        <w:footnoteReference w:id="8"/>
      </w:r>
      <w:r w:rsidRPr="65BE9CC7">
        <w:t xml:space="preserve">. At the same time, the Democratic Republic of the Congo reported a deadly Ebola virus (Zaire strain) outbreak with 31 deaths out of 38 cases, prompting targeted vaccination using the </w:t>
      </w:r>
      <w:proofErr w:type="spellStart"/>
      <w:r w:rsidRPr="65BE9CC7">
        <w:t>Ervebo</w:t>
      </w:r>
      <w:proofErr w:type="spellEnd"/>
      <w:r w:rsidRPr="65BE9CC7">
        <w:t xml:space="preserve">® vaccine. </w:t>
      </w:r>
    </w:p>
    <w:p w14:paraId="2129AC83" w14:textId="3801D7D4" w:rsidR="005037D6" w:rsidRDefault="005037D6" w:rsidP="008D292E">
      <w:pPr>
        <w:pStyle w:val="Body"/>
        <w:tabs>
          <w:tab w:val="left" w:pos="567"/>
        </w:tabs>
        <w:jc w:val="both"/>
      </w:pPr>
      <w:r w:rsidRPr="65BE9CC7">
        <w:t xml:space="preserve">MVD outbreaks in Tanzania and Rwanda also caused multiple deaths, with Tanzania reporting a 100% fatality rate among </w:t>
      </w:r>
      <w:r w:rsidR="00B87F93">
        <w:t>10</w:t>
      </w:r>
      <w:r w:rsidR="00B87F93" w:rsidRPr="65BE9CC7">
        <w:t xml:space="preserve"> </w:t>
      </w:r>
      <w:r w:rsidRPr="65BE9CC7">
        <w:t>cases in an outbreak declared in January 2025, highlighting the critical need for rapid response</w:t>
      </w:r>
      <w:r>
        <w:rPr>
          <w:rStyle w:val="FootnoteReference"/>
          <w:szCs w:val="21"/>
        </w:rPr>
        <w:footnoteReference w:id="9"/>
      </w:r>
      <w:r w:rsidRPr="00744893">
        <w:rPr>
          <w:szCs w:val="21"/>
        </w:rPr>
        <w:t>.</w:t>
      </w:r>
    </w:p>
    <w:p w14:paraId="29336646" w14:textId="2AF4827D" w:rsidR="00B87F93" w:rsidRDefault="005037D6" w:rsidP="008D292E">
      <w:pPr>
        <w:pStyle w:val="Body"/>
        <w:tabs>
          <w:tab w:val="left" w:pos="567"/>
        </w:tabs>
        <w:jc w:val="both"/>
      </w:pPr>
      <w:r>
        <w:t>Although CCHF and LF have not seen large-scale international outbreaks recently, both continue to cause sporadic cases and small outbreaks in endemic regions, particularly in West Africa for LF and Eastern Europe, Central Asia and parts of the Middle East for CCHF</w:t>
      </w:r>
      <w:r>
        <w:rPr>
          <w:rStyle w:val="FootnoteReference"/>
          <w:szCs w:val="21"/>
        </w:rPr>
        <w:footnoteReference w:id="10"/>
      </w:r>
      <w:r>
        <w:t>. Given the high case-fatality rates associated with these diseases, early diagnosis and prompt supportive treatment are critical to improving patient outcomes and preventing secondary transmission, especially in health</w:t>
      </w:r>
      <w:r w:rsidR="00B76002">
        <w:t xml:space="preserve"> care</w:t>
      </w:r>
      <w:r>
        <w:t xml:space="preserve"> settings.</w:t>
      </w:r>
    </w:p>
    <w:p w14:paraId="56CBD70F" w14:textId="32E8E81D" w:rsidR="005037D6" w:rsidRDefault="005037D6" w:rsidP="008D292E">
      <w:pPr>
        <w:pStyle w:val="Body"/>
        <w:tabs>
          <w:tab w:val="left" w:pos="567"/>
        </w:tabs>
        <w:jc w:val="both"/>
      </w:pPr>
      <w:r>
        <w:t xml:space="preserve">VHF should be considered in the differential diagnosis of any patient presenting with unexplained fever who has travelled to or resides in an area where VHF </w:t>
      </w:r>
      <w:r w:rsidR="00B87F93">
        <w:t>is</w:t>
      </w:r>
      <w:r>
        <w:t xml:space="preserve"> endemic within the past 21 days. While </w:t>
      </w:r>
      <w:r>
        <w:lastRenderedPageBreak/>
        <w:t>there is now an approved vaccine for Ebola virus (Zaire strain), there are currently no licensed vaccines for LF, MVD, Sudan virus or CCHF.</w:t>
      </w:r>
    </w:p>
    <w:p w14:paraId="65064080" w14:textId="77777777" w:rsidR="005037D6" w:rsidRPr="00BA23C7" w:rsidRDefault="005037D6" w:rsidP="008D292E">
      <w:pPr>
        <w:pStyle w:val="Heading2"/>
        <w:tabs>
          <w:tab w:val="left" w:pos="567"/>
        </w:tabs>
      </w:pPr>
      <w:bookmarkStart w:id="18" w:name="_Toc217022534"/>
      <w:r w:rsidRPr="00BA23C7">
        <w:t>Mode of transmission</w:t>
      </w:r>
      <w:bookmarkEnd w:id="18"/>
    </w:p>
    <w:p w14:paraId="071A423F" w14:textId="6654B732" w:rsidR="00B87F93" w:rsidRDefault="005037D6" w:rsidP="008D292E">
      <w:pPr>
        <w:pStyle w:val="Body"/>
        <w:tabs>
          <w:tab w:val="left" w:pos="567"/>
        </w:tabs>
        <w:rPr>
          <w:szCs w:val="21"/>
        </w:rPr>
      </w:pPr>
      <w:r w:rsidRPr="008F0717">
        <w:rPr>
          <w:szCs w:val="21"/>
        </w:rPr>
        <w:t>The transmission of VHF varies by virus type. People can become infected with Lassa virus via exposure to</w:t>
      </w:r>
      <w:r w:rsidRPr="008F0717" w:rsidDel="71978C5B">
        <w:rPr>
          <w:szCs w:val="21"/>
        </w:rPr>
        <w:t xml:space="preserve"> </w:t>
      </w:r>
      <w:r w:rsidRPr="008F0717">
        <w:rPr>
          <w:szCs w:val="21"/>
        </w:rPr>
        <w:t xml:space="preserve">food or household items contaminated with urine or faeces from infected </w:t>
      </w:r>
      <w:proofErr w:type="spellStart"/>
      <w:r w:rsidRPr="008F0717">
        <w:rPr>
          <w:i/>
          <w:szCs w:val="21"/>
        </w:rPr>
        <w:t>Mastomys</w:t>
      </w:r>
      <w:proofErr w:type="spellEnd"/>
      <w:r>
        <w:rPr>
          <w:i/>
          <w:szCs w:val="21"/>
        </w:rPr>
        <w:t xml:space="preserve"> </w:t>
      </w:r>
      <w:r>
        <w:rPr>
          <w:iCs/>
          <w:szCs w:val="21"/>
        </w:rPr>
        <w:t>(</w:t>
      </w:r>
      <w:r w:rsidRPr="00430357">
        <w:rPr>
          <w:iCs/>
          <w:szCs w:val="21"/>
        </w:rPr>
        <w:t>a genus of rodent in the family Muridae endemic to Africa</w:t>
      </w:r>
      <w:r>
        <w:rPr>
          <w:iCs/>
          <w:szCs w:val="21"/>
        </w:rPr>
        <w:t>)</w:t>
      </w:r>
      <w:r w:rsidRPr="008F0717">
        <w:rPr>
          <w:i/>
          <w:szCs w:val="21"/>
        </w:rPr>
        <w:t xml:space="preserve"> </w:t>
      </w:r>
      <w:r w:rsidRPr="008F0717">
        <w:rPr>
          <w:szCs w:val="21"/>
        </w:rPr>
        <w:t xml:space="preserve">or directly via contact with infected rats. </w:t>
      </w:r>
    </w:p>
    <w:p w14:paraId="3BE5577A" w14:textId="66F992AD" w:rsidR="005037D6" w:rsidRPr="008F0717" w:rsidRDefault="005037D6" w:rsidP="008D292E">
      <w:pPr>
        <w:pStyle w:val="Body"/>
        <w:tabs>
          <w:tab w:val="left" w:pos="567"/>
        </w:tabs>
        <w:rPr>
          <w:szCs w:val="21"/>
        </w:rPr>
      </w:pPr>
      <w:r w:rsidRPr="008F0717">
        <w:rPr>
          <w:szCs w:val="21"/>
        </w:rPr>
        <w:t xml:space="preserve">Lassa virus can also spread </w:t>
      </w:r>
      <w:r w:rsidR="000C64D2">
        <w:rPr>
          <w:szCs w:val="21"/>
        </w:rPr>
        <w:t xml:space="preserve">from </w:t>
      </w:r>
      <w:r w:rsidRPr="008F0717">
        <w:rPr>
          <w:szCs w:val="21"/>
        </w:rPr>
        <w:t>person</w:t>
      </w:r>
      <w:r w:rsidR="000C64D2">
        <w:rPr>
          <w:szCs w:val="21"/>
        </w:rPr>
        <w:t xml:space="preserve"> </w:t>
      </w:r>
      <w:r w:rsidRPr="008F0717">
        <w:rPr>
          <w:szCs w:val="21"/>
        </w:rPr>
        <w:t>to</w:t>
      </w:r>
      <w:r w:rsidR="000C64D2">
        <w:rPr>
          <w:szCs w:val="21"/>
        </w:rPr>
        <w:t xml:space="preserve"> </w:t>
      </w:r>
      <w:r w:rsidRPr="008F0717">
        <w:rPr>
          <w:szCs w:val="21"/>
        </w:rPr>
        <w:t>person through direct contact with blood, urine, faeces or other bodily secretions of someone infected with Lassa virus</w:t>
      </w:r>
      <w:r>
        <w:rPr>
          <w:szCs w:val="21"/>
        </w:rPr>
        <w:t>.</w:t>
      </w:r>
      <w:r w:rsidRPr="008F0717">
        <w:rPr>
          <w:szCs w:val="21"/>
        </w:rPr>
        <w:t xml:space="preserve"> CCHF virus is mainly transmitted by </w:t>
      </w:r>
      <w:proofErr w:type="spellStart"/>
      <w:r w:rsidRPr="008F0717">
        <w:rPr>
          <w:i/>
          <w:szCs w:val="21"/>
        </w:rPr>
        <w:t>Hyalomma</w:t>
      </w:r>
      <w:proofErr w:type="spellEnd"/>
      <w:r w:rsidRPr="008F0717">
        <w:rPr>
          <w:i/>
          <w:szCs w:val="21"/>
        </w:rPr>
        <w:t xml:space="preserve"> </w:t>
      </w:r>
      <w:r w:rsidRPr="008F0717">
        <w:rPr>
          <w:szCs w:val="21"/>
        </w:rPr>
        <w:t>spp.</w:t>
      </w:r>
      <w:r w:rsidRPr="008F0717">
        <w:rPr>
          <w:i/>
          <w:szCs w:val="21"/>
        </w:rPr>
        <w:t xml:space="preserve"> </w:t>
      </w:r>
      <w:r w:rsidRPr="008F0717">
        <w:rPr>
          <w:szCs w:val="21"/>
        </w:rPr>
        <w:t xml:space="preserve">tick bites or contact with infected animals, with nosocomial spread also reported. For Ebola and Marburg viruses, the initial source is often unknown, but secondary transmission occurs through direct contact with infected </w:t>
      </w:r>
      <w:r>
        <w:rPr>
          <w:szCs w:val="21"/>
        </w:rPr>
        <w:t>body</w:t>
      </w:r>
      <w:r w:rsidRPr="008F0717">
        <w:rPr>
          <w:szCs w:val="21"/>
        </w:rPr>
        <w:t xml:space="preserve"> fluids or contaminated medical equipment.</w:t>
      </w:r>
    </w:p>
    <w:p w14:paraId="6859A927" w14:textId="0A430F39" w:rsidR="005037D6" w:rsidRPr="008F0717" w:rsidRDefault="005037D6" w:rsidP="008D292E">
      <w:pPr>
        <w:pStyle w:val="Body"/>
        <w:tabs>
          <w:tab w:val="left" w:pos="567"/>
        </w:tabs>
        <w:rPr>
          <w:szCs w:val="21"/>
        </w:rPr>
      </w:pPr>
      <w:r w:rsidRPr="008F0717">
        <w:rPr>
          <w:szCs w:val="21"/>
        </w:rPr>
        <w:t>For further information on VHFs visit:</w:t>
      </w:r>
    </w:p>
    <w:p w14:paraId="52BB2218" w14:textId="488A8A42" w:rsidR="005037D6" w:rsidRPr="008F0717" w:rsidRDefault="005037D6" w:rsidP="008D292E">
      <w:pPr>
        <w:pStyle w:val="Bullet1"/>
        <w:tabs>
          <w:tab w:val="left" w:pos="567"/>
        </w:tabs>
      </w:pPr>
      <w:hyperlink r:id="rId30">
        <w:r w:rsidRPr="022D0F00">
          <w:rPr>
            <w:rStyle w:val="Hyperlink"/>
          </w:rPr>
          <w:t>Health.vic – Viral haemorrhagic fevers</w:t>
        </w:r>
      </w:hyperlink>
      <w:r w:rsidR="000C64D2">
        <w:t xml:space="preserve"> &lt;https://www.health.vic.gov.au/infectious-diseases/viral-haemorrhagic-fevers&gt;</w:t>
      </w:r>
    </w:p>
    <w:p w14:paraId="7017E641" w14:textId="60B65AF3" w:rsidR="005037D6" w:rsidRPr="008F0717" w:rsidRDefault="005037D6" w:rsidP="008D292E">
      <w:pPr>
        <w:pStyle w:val="Bullet1"/>
        <w:tabs>
          <w:tab w:val="left" w:pos="567"/>
        </w:tabs>
      </w:pPr>
      <w:hyperlink r:id="rId31">
        <w:r w:rsidRPr="022D0F00">
          <w:rPr>
            <w:rStyle w:val="Hyperlink"/>
          </w:rPr>
          <w:t>Healthdirect – Viral haemorrhagic fevers</w:t>
        </w:r>
      </w:hyperlink>
      <w:r w:rsidR="000C64D2">
        <w:t xml:space="preserve"> &lt;https://www.healthdirect.gov.au/viral-haemorrhagic-fevers&gt;</w:t>
      </w:r>
    </w:p>
    <w:p w14:paraId="5FE94F43" w14:textId="49860B25" w:rsidR="005037D6" w:rsidRPr="008F0717" w:rsidRDefault="005037D6" w:rsidP="008D292E">
      <w:pPr>
        <w:pStyle w:val="Bullet1"/>
        <w:tabs>
          <w:tab w:val="left" w:pos="567"/>
        </w:tabs>
      </w:pPr>
      <w:hyperlink r:id="rId32">
        <w:r w:rsidRPr="022D0F00">
          <w:rPr>
            <w:rStyle w:val="Hyperlink"/>
          </w:rPr>
          <w:t>A</w:t>
        </w:r>
        <w:r w:rsidR="000C64D2" w:rsidRPr="022D0F00">
          <w:rPr>
            <w:rStyle w:val="Hyperlink"/>
          </w:rPr>
          <w:t>CDC – A</w:t>
        </w:r>
        <w:r w:rsidRPr="022D0F00">
          <w:rPr>
            <w:rStyle w:val="Hyperlink"/>
          </w:rPr>
          <w:t>bout Viral Hemorrhagic Fevers</w:t>
        </w:r>
      </w:hyperlink>
      <w:r>
        <w:t xml:space="preserve"> </w:t>
      </w:r>
      <w:r w:rsidR="000C64D2">
        <w:t>&lt;https://www.cdc.gov/viral-hemorrhagic-fevers/about/index.html&gt;</w:t>
      </w:r>
    </w:p>
    <w:p w14:paraId="14929CBA" w14:textId="6DE32641" w:rsidR="005037D6" w:rsidRPr="008F0717" w:rsidRDefault="005037D6" w:rsidP="008D292E">
      <w:pPr>
        <w:pStyle w:val="Bullet1"/>
        <w:tabs>
          <w:tab w:val="left" w:pos="567"/>
        </w:tabs>
      </w:pPr>
      <w:hyperlink r:id="rId33">
        <w:r w:rsidRPr="022D0F00">
          <w:rPr>
            <w:rStyle w:val="Hyperlink"/>
          </w:rPr>
          <w:t>European Centre for Disease Prevention and Control – Viral haemorrhagic fevers</w:t>
        </w:r>
      </w:hyperlink>
      <w:r w:rsidR="000C64D2">
        <w:t xml:space="preserve"> &lt;https://www.ecdc.europa.eu/en/viral-haemorrhagic-fevers&gt;</w:t>
      </w:r>
    </w:p>
    <w:p w14:paraId="579347D0" w14:textId="6C965820" w:rsidR="005037D6" w:rsidRPr="008F0717" w:rsidRDefault="005037D6" w:rsidP="008D292E">
      <w:pPr>
        <w:pStyle w:val="Bullet1"/>
        <w:tabs>
          <w:tab w:val="left" w:pos="567"/>
        </w:tabs>
      </w:pPr>
      <w:hyperlink r:id="rId34">
        <w:r w:rsidRPr="022D0F00">
          <w:rPr>
            <w:rStyle w:val="Hyperlink"/>
          </w:rPr>
          <w:t>World Health Organi</w:t>
        </w:r>
        <w:r w:rsidR="000C64D2" w:rsidRPr="022D0F00">
          <w:rPr>
            <w:rStyle w:val="Hyperlink"/>
          </w:rPr>
          <w:t>z</w:t>
        </w:r>
        <w:r w:rsidRPr="022D0F00">
          <w:rPr>
            <w:rStyle w:val="Hyperlink"/>
          </w:rPr>
          <w:t>ation – Eastern Mediterranean Region – Viral haemorrhagic fevers</w:t>
        </w:r>
      </w:hyperlink>
      <w:r w:rsidR="000C64D2">
        <w:t xml:space="preserve"> &lt;https://www.emro.who.int/health-topics/haemorrhagic-fevers-viral/&gt;</w:t>
      </w:r>
    </w:p>
    <w:p w14:paraId="4836D1E6" w14:textId="4C8D2795" w:rsidR="005037D6" w:rsidRDefault="005037D6" w:rsidP="008D292E">
      <w:pPr>
        <w:pStyle w:val="Bullet1"/>
        <w:tabs>
          <w:tab w:val="left" w:pos="567"/>
        </w:tabs>
      </w:pPr>
      <w:hyperlink r:id="rId35">
        <w:r w:rsidRPr="022D0F00">
          <w:rPr>
            <w:rStyle w:val="Hyperlink"/>
          </w:rPr>
          <w:t>World Health Organi</w:t>
        </w:r>
        <w:r w:rsidR="000C64D2" w:rsidRPr="022D0F00">
          <w:rPr>
            <w:rStyle w:val="Hyperlink"/>
          </w:rPr>
          <w:t>z</w:t>
        </w:r>
        <w:r w:rsidRPr="022D0F00">
          <w:rPr>
            <w:rStyle w:val="Hyperlink"/>
          </w:rPr>
          <w:t>ation – African Region – Viral haemorrhagic fevers</w:t>
        </w:r>
      </w:hyperlink>
      <w:r>
        <w:t xml:space="preserve"> </w:t>
      </w:r>
      <w:r w:rsidR="00191010">
        <w:t>&lt;https://www.afro.who.int/health-topics/viral-haemorrhagic-fever&gt;.</w:t>
      </w:r>
    </w:p>
    <w:p w14:paraId="74A99A18" w14:textId="5F42E8F5" w:rsidR="00191010" w:rsidRDefault="00191010" w:rsidP="008D292E">
      <w:pPr>
        <w:tabs>
          <w:tab w:val="left" w:pos="567"/>
        </w:tabs>
        <w:spacing w:after="0" w:line="240" w:lineRule="auto"/>
        <w:rPr>
          <w:rFonts w:eastAsia="Times"/>
        </w:rPr>
      </w:pPr>
      <w:r>
        <w:br w:type="page"/>
      </w:r>
      <w:bookmarkStart w:id="19" w:name="_Toc215393404"/>
      <w:bookmarkStart w:id="20" w:name="_Toc215417793"/>
      <w:bookmarkEnd w:id="19"/>
      <w:bookmarkEnd w:id="20"/>
    </w:p>
    <w:p w14:paraId="7A1F4E80" w14:textId="21F79EB6" w:rsidR="005037D6" w:rsidRDefault="005037D6" w:rsidP="008D292E">
      <w:pPr>
        <w:pStyle w:val="Heading1"/>
        <w:numPr>
          <w:ilvl w:val="0"/>
          <w:numId w:val="40"/>
        </w:numPr>
        <w:tabs>
          <w:tab w:val="left" w:pos="567"/>
        </w:tabs>
      </w:pPr>
      <w:bookmarkStart w:id="21" w:name="_Toc217022535"/>
      <w:r w:rsidRPr="00172EDE">
        <w:lastRenderedPageBreak/>
        <w:t>Management</w:t>
      </w:r>
      <w:r w:rsidRPr="00EA1E3C">
        <w:t xml:space="preserve"> and control of suspected or confirmed cases of VHF</w:t>
      </w:r>
      <w:bookmarkEnd w:id="21"/>
    </w:p>
    <w:p w14:paraId="63120BD8" w14:textId="21129710" w:rsidR="00191010" w:rsidRPr="00191010" w:rsidRDefault="005037D6" w:rsidP="008D292E">
      <w:pPr>
        <w:pStyle w:val="Body"/>
        <w:tabs>
          <w:tab w:val="left" w:pos="567"/>
        </w:tabs>
        <w:rPr>
          <w:lang w:val="en-US"/>
        </w:rPr>
      </w:pPr>
      <w:r w:rsidRPr="64BD84F4">
        <w:rPr>
          <w:lang w:val="en-US"/>
        </w:rPr>
        <w:t>This section provides guidance to health services for the management of a suspected or confirmed case of VHF. Refer to</w:t>
      </w:r>
      <w:r>
        <w:rPr>
          <w:lang w:val="en-US"/>
        </w:rPr>
        <w:t xml:space="preserve"> the</w:t>
      </w:r>
      <w:r w:rsidRPr="64BD84F4">
        <w:rPr>
          <w:lang w:val="en-US"/>
        </w:rPr>
        <w:t xml:space="preserve"> </w:t>
      </w:r>
      <w:r>
        <w:rPr>
          <w:lang w:val="en-US"/>
        </w:rPr>
        <w:t>surveillance</w:t>
      </w:r>
      <w:r w:rsidRPr="64BD84F4">
        <w:rPr>
          <w:lang w:val="en-US"/>
        </w:rPr>
        <w:t xml:space="preserve"> case definition for confirmed and suspected case</w:t>
      </w:r>
      <w:r>
        <w:rPr>
          <w:lang w:val="en-US"/>
        </w:rPr>
        <w:t xml:space="preserve">s in </w:t>
      </w:r>
      <w:hyperlink w:anchor="_Appendix_2_–" w:history="1">
        <w:r w:rsidRPr="00191010">
          <w:rPr>
            <w:rStyle w:val="Hyperlink"/>
            <w:lang w:val="en-US"/>
          </w:rPr>
          <w:t>Appendix 2</w:t>
        </w:r>
      </w:hyperlink>
      <w:r w:rsidR="00191010">
        <w:rPr>
          <w:lang w:val="en-US"/>
        </w:rPr>
        <w:t xml:space="preserve">, noting that </w:t>
      </w:r>
      <w:r w:rsidR="00191010" w:rsidRPr="00191010">
        <w:rPr>
          <w:lang w:val="en-US"/>
        </w:rPr>
        <w:t>t</w:t>
      </w:r>
      <w:r w:rsidR="00191010" w:rsidRPr="00191010">
        <w:t xml:space="preserve">his case definition is the </w:t>
      </w:r>
      <w:r w:rsidR="00CE35EC">
        <w:t>Communicable Disease Network Australia (</w:t>
      </w:r>
      <w:r w:rsidR="00191010" w:rsidRPr="00191010">
        <w:t>C</w:t>
      </w:r>
      <w:r w:rsidR="00084FA0">
        <w:t>DNA</w:t>
      </w:r>
      <w:r w:rsidR="00CE35EC">
        <w:t>)</w:t>
      </w:r>
      <w:r w:rsidR="00191010" w:rsidRPr="00191010">
        <w:t xml:space="preserve"> surveillance case definition. </w:t>
      </w:r>
      <w:r w:rsidR="00191010">
        <w:t>It</w:t>
      </w:r>
      <w:r w:rsidR="00191010" w:rsidRPr="00191010">
        <w:t xml:space="preserve"> is not the clinical criteria for diagnosis of VHF, which should be made in discussion with an infectious </w:t>
      </w:r>
      <w:proofErr w:type="gramStart"/>
      <w:r w:rsidR="00191010" w:rsidRPr="00191010">
        <w:t>diseases</w:t>
      </w:r>
      <w:proofErr w:type="gramEnd"/>
      <w:r w:rsidR="00191010" w:rsidRPr="00191010">
        <w:t xml:space="preserve"> specialist.</w:t>
      </w:r>
    </w:p>
    <w:p w14:paraId="1E137E90" w14:textId="15652B95" w:rsidR="005037D6" w:rsidRDefault="005037D6" w:rsidP="008D292E">
      <w:pPr>
        <w:pStyle w:val="Body"/>
        <w:tabs>
          <w:tab w:val="left" w:pos="567"/>
        </w:tabs>
        <w:rPr>
          <w:lang w:val="en-US"/>
        </w:rPr>
      </w:pPr>
      <w:r w:rsidRPr="004B095A">
        <w:rPr>
          <w:lang w:val="en-US"/>
        </w:rPr>
        <w:t xml:space="preserve">A single case of suspected or confirmed VHF </w:t>
      </w:r>
      <w:r w:rsidR="007A23CB">
        <w:rPr>
          <w:lang w:val="en-US"/>
        </w:rPr>
        <w:t>must</w:t>
      </w:r>
      <w:r w:rsidRPr="004B095A">
        <w:rPr>
          <w:lang w:val="en-US"/>
        </w:rPr>
        <w:t xml:space="preserve"> be notified to the LPHU immediately. LPHUs will </w:t>
      </w:r>
      <w:r w:rsidR="787414CD" w:rsidRPr="149863E0">
        <w:rPr>
          <w:lang w:val="en-US"/>
        </w:rPr>
        <w:t>receive</w:t>
      </w:r>
      <w:r w:rsidRPr="004B095A">
        <w:rPr>
          <w:lang w:val="en-US"/>
        </w:rPr>
        <w:t xml:space="preserve"> the initial notification</w:t>
      </w:r>
      <w:r w:rsidR="00D01F72">
        <w:rPr>
          <w:lang w:val="en-US"/>
        </w:rPr>
        <w:t>,</w:t>
      </w:r>
      <w:r w:rsidRPr="149863E0">
        <w:rPr>
          <w:lang w:val="en-US"/>
        </w:rPr>
        <w:t xml:space="preserve"> </w:t>
      </w:r>
      <w:r w:rsidRPr="004B095A">
        <w:rPr>
          <w:lang w:val="en-US"/>
        </w:rPr>
        <w:t xml:space="preserve">immediately </w:t>
      </w:r>
      <w:r w:rsidR="1485F22B" w:rsidRPr="149863E0">
        <w:rPr>
          <w:lang w:val="en-US"/>
        </w:rPr>
        <w:t>escalate</w:t>
      </w:r>
      <w:r w:rsidRPr="149863E0">
        <w:rPr>
          <w:lang w:val="en-US"/>
        </w:rPr>
        <w:t xml:space="preserve"> </w:t>
      </w:r>
      <w:r w:rsidRPr="004B095A">
        <w:rPr>
          <w:lang w:val="en-US"/>
        </w:rPr>
        <w:t xml:space="preserve">to </w:t>
      </w:r>
      <w:r w:rsidR="00996677">
        <w:rPr>
          <w:lang w:val="en-US"/>
        </w:rPr>
        <w:t xml:space="preserve">the department </w:t>
      </w:r>
      <w:r w:rsidR="662B5688" w:rsidRPr="149863E0">
        <w:rPr>
          <w:lang w:val="en-US"/>
        </w:rPr>
        <w:t xml:space="preserve">and undertake a </w:t>
      </w:r>
      <w:r w:rsidR="00EA3C23">
        <w:rPr>
          <w:lang w:val="en-US"/>
        </w:rPr>
        <w:t xml:space="preserve">preliminary </w:t>
      </w:r>
      <w:r w:rsidR="662B5688" w:rsidRPr="149863E0">
        <w:rPr>
          <w:lang w:val="en-US"/>
        </w:rPr>
        <w:t xml:space="preserve">risk assessment with </w:t>
      </w:r>
      <w:r w:rsidRPr="004B095A">
        <w:rPr>
          <w:lang w:val="en-US"/>
        </w:rPr>
        <w:t>the DCHO</w:t>
      </w:r>
      <w:r w:rsidRPr="671B1AAA">
        <w:rPr>
          <w:lang w:val="en-US"/>
        </w:rPr>
        <w:t xml:space="preserve">-CD. </w:t>
      </w:r>
      <w:r w:rsidRPr="64BD84F4">
        <w:rPr>
          <w:lang w:val="en-US"/>
        </w:rPr>
        <w:t xml:space="preserve">An IMT with relevant stakeholders will be convened </w:t>
      </w:r>
      <w:r w:rsidR="00137C41">
        <w:rPr>
          <w:lang w:val="en-US"/>
        </w:rPr>
        <w:t xml:space="preserve">by the department </w:t>
      </w:r>
      <w:r w:rsidR="00EB5169">
        <w:rPr>
          <w:lang w:val="en-US"/>
        </w:rPr>
        <w:t>to coordinate</w:t>
      </w:r>
      <w:r w:rsidRPr="64BD84F4">
        <w:rPr>
          <w:lang w:val="en-US"/>
        </w:rPr>
        <w:t xml:space="preserve"> the overall public health </w:t>
      </w:r>
      <w:r w:rsidR="00015A20">
        <w:rPr>
          <w:lang w:val="en-US"/>
        </w:rPr>
        <w:t>response.</w:t>
      </w:r>
      <w:r w:rsidRPr="64BD84F4">
        <w:rPr>
          <w:lang w:val="en-US"/>
        </w:rPr>
        <w:t xml:space="preserve"> Certain actions recommended below will be discussed and </w:t>
      </w:r>
      <w:proofErr w:type="gramStart"/>
      <w:r w:rsidRPr="1CD98D14">
        <w:rPr>
          <w:lang w:val="en-US"/>
        </w:rPr>
        <w:t>agreed</w:t>
      </w:r>
      <w:proofErr w:type="gramEnd"/>
      <w:r w:rsidR="00191010" w:rsidRPr="64BD84F4">
        <w:rPr>
          <w:lang w:val="en-US"/>
        </w:rPr>
        <w:t xml:space="preserve"> </w:t>
      </w:r>
      <w:r w:rsidRPr="64BD84F4">
        <w:rPr>
          <w:lang w:val="en-US"/>
        </w:rPr>
        <w:t>through the IMT.</w:t>
      </w:r>
    </w:p>
    <w:p w14:paraId="0FE1970B" w14:textId="4C195494" w:rsidR="005037D6" w:rsidRPr="00B007E5" w:rsidRDefault="005037D6" w:rsidP="008D292E">
      <w:pPr>
        <w:pStyle w:val="Heading2"/>
        <w:tabs>
          <w:tab w:val="left" w:pos="567"/>
        </w:tabs>
        <w:rPr>
          <w:lang w:val="en-US"/>
        </w:rPr>
      </w:pPr>
      <w:bookmarkStart w:id="22" w:name="_Toc217022536"/>
      <w:r w:rsidRPr="00B007E5">
        <w:t>Assessing the level of suspicion for VHF</w:t>
      </w:r>
      <w:bookmarkEnd w:id="22"/>
    </w:p>
    <w:p w14:paraId="5C6C2C61" w14:textId="1427FD37" w:rsidR="005037D6" w:rsidRDefault="005037D6" w:rsidP="008D292E">
      <w:pPr>
        <w:pStyle w:val="Body"/>
        <w:tabs>
          <w:tab w:val="left" w:pos="567"/>
        </w:tabs>
        <w:rPr>
          <w:lang w:val="en-US"/>
        </w:rPr>
      </w:pPr>
      <w:r w:rsidRPr="64BD84F4">
        <w:rPr>
          <w:lang w:val="en-US"/>
        </w:rPr>
        <w:t>Signs and symptoms of most VHFs are non</w:t>
      </w:r>
      <w:r>
        <w:rPr>
          <w:lang w:val="en-US"/>
        </w:rPr>
        <w:t>-</w:t>
      </w:r>
      <w:r w:rsidRPr="64BD84F4">
        <w:rPr>
          <w:lang w:val="en-US"/>
        </w:rPr>
        <w:t xml:space="preserve">specific and </w:t>
      </w:r>
      <w:proofErr w:type="gramStart"/>
      <w:r w:rsidRPr="64BD84F4">
        <w:rPr>
          <w:lang w:val="en-US"/>
        </w:rPr>
        <w:t>similar to</w:t>
      </w:r>
      <w:proofErr w:type="gramEnd"/>
      <w:r w:rsidRPr="64BD84F4">
        <w:rPr>
          <w:lang w:val="en-US"/>
        </w:rPr>
        <w:t xml:space="preserve"> many other common causes of febrile illness in returning </w:t>
      </w:r>
      <w:proofErr w:type="spellStart"/>
      <w:r w:rsidRPr="64BD84F4">
        <w:rPr>
          <w:lang w:val="en-US"/>
        </w:rPr>
        <w:t>trave</w:t>
      </w:r>
      <w:r>
        <w:rPr>
          <w:lang w:val="en-US"/>
        </w:rPr>
        <w:t>l</w:t>
      </w:r>
      <w:r w:rsidRPr="64BD84F4">
        <w:rPr>
          <w:lang w:val="en-US"/>
        </w:rPr>
        <w:t>lers</w:t>
      </w:r>
      <w:proofErr w:type="spellEnd"/>
      <w:r>
        <w:rPr>
          <w:lang w:val="en-US"/>
        </w:rPr>
        <w:t>. Because of this,</w:t>
      </w:r>
      <w:r w:rsidRPr="64BD84F4">
        <w:rPr>
          <w:lang w:val="en-US"/>
        </w:rPr>
        <w:t xml:space="preserve"> travel history and epidemiological risk factors are </w:t>
      </w:r>
      <w:r>
        <w:rPr>
          <w:lang w:val="en-US"/>
        </w:rPr>
        <w:t>critical</w:t>
      </w:r>
      <w:r w:rsidRPr="64BD84F4">
        <w:rPr>
          <w:lang w:val="en-US"/>
        </w:rPr>
        <w:t xml:space="preserve"> in determining immediate management, which aim</w:t>
      </w:r>
      <w:r>
        <w:rPr>
          <w:lang w:val="en-US"/>
        </w:rPr>
        <w:t>s</w:t>
      </w:r>
      <w:r w:rsidRPr="64BD84F4">
        <w:rPr>
          <w:lang w:val="en-US"/>
        </w:rPr>
        <w:t xml:space="preserve"> to prevent human-to-human transmission of VHF. A VHF infection is possible in any patient with the clinical and epidemiological characteristics</w:t>
      </w:r>
      <w:r w:rsidR="00191010">
        <w:rPr>
          <w:lang w:val="en-US"/>
        </w:rPr>
        <w:t xml:space="preserve"> outlined below</w:t>
      </w:r>
      <w:r w:rsidR="00191010" w:rsidRPr="2276F5D6">
        <w:rPr>
          <w:lang w:val="en-US"/>
        </w:rPr>
        <w:t>.</w:t>
      </w:r>
    </w:p>
    <w:p w14:paraId="3CEF6599" w14:textId="77777777" w:rsidR="005037D6" w:rsidRPr="00937F9D" w:rsidRDefault="005037D6" w:rsidP="008D292E">
      <w:pPr>
        <w:pStyle w:val="Heading3"/>
      </w:pPr>
      <w:r w:rsidRPr="008F0717">
        <w:t xml:space="preserve">Clinical </w:t>
      </w:r>
      <w:r w:rsidRPr="00937F9D">
        <w:t>characteristics</w:t>
      </w:r>
    </w:p>
    <w:p w14:paraId="471968B0" w14:textId="6B2051F0" w:rsidR="005037D6" w:rsidRDefault="005037D6" w:rsidP="008D292E">
      <w:pPr>
        <w:pStyle w:val="Body"/>
        <w:tabs>
          <w:tab w:val="left" w:pos="567"/>
        </w:tabs>
      </w:pPr>
      <w:r w:rsidRPr="003E0B0A">
        <w:t xml:space="preserve">A compatible clinical illness as determined by </w:t>
      </w:r>
      <w:r>
        <w:t xml:space="preserve">consultation with an </w:t>
      </w:r>
      <w:r w:rsidRPr="003E0B0A">
        <w:t xml:space="preserve">infectious disease physician. Common presenting </w:t>
      </w:r>
      <w:r>
        <w:t>signs and symptoms</w:t>
      </w:r>
      <w:r w:rsidRPr="003E0B0A">
        <w:t xml:space="preserve"> </w:t>
      </w:r>
      <w:r w:rsidR="00191010">
        <w:t>include</w:t>
      </w:r>
      <w:r>
        <w:t>:</w:t>
      </w:r>
    </w:p>
    <w:p w14:paraId="34D1F411" w14:textId="77777777" w:rsidR="005037D6" w:rsidRDefault="005037D6" w:rsidP="008D292E">
      <w:pPr>
        <w:pStyle w:val="Bullet1"/>
        <w:tabs>
          <w:tab w:val="left" w:pos="567"/>
        </w:tabs>
        <w:sectPr w:rsidR="005037D6" w:rsidSect="00C23F17">
          <w:headerReference w:type="default" r:id="rId36"/>
          <w:footerReference w:type="default" r:id="rId37"/>
          <w:headerReference w:type="first" r:id="rId38"/>
          <w:type w:val="continuous"/>
          <w:pgSz w:w="11906" w:h="16838" w:code="9"/>
          <w:pgMar w:top="1418" w:right="1304" w:bottom="1134" w:left="1304" w:header="680" w:footer="851" w:gutter="0"/>
          <w:pgNumType w:start="1"/>
          <w:cols w:space="340"/>
          <w:titlePg/>
          <w:docGrid w:linePitch="360"/>
        </w:sectPr>
      </w:pPr>
    </w:p>
    <w:p w14:paraId="758CF8A1" w14:textId="77777777" w:rsidR="005037D6" w:rsidRPr="007D3ABE" w:rsidRDefault="005037D6" w:rsidP="008D292E">
      <w:pPr>
        <w:pStyle w:val="Bullet1"/>
        <w:tabs>
          <w:tab w:val="num" w:pos="397"/>
          <w:tab w:val="left" w:pos="567"/>
        </w:tabs>
        <w:ind w:left="397" w:hanging="397"/>
      </w:pPr>
      <w:r w:rsidRPr="009D3091">
        <w:t>fever (recorded fever ≥ 38° in the previous 24 hours or subjective history of fever in the last 24 hours)</w:t>
      </w:r>
    </w:p>
    <w:p w14:paraId="3C2B2B21" w14:textId="77777777" w:rsidR="005037D6" w:rsidRPr="007D3ABE" w:rsidRDefault="005037D6" w:rsidP="008D292E">
      <w:pPr>
        <w:pStyle w:val="Bullet1"/>
        <w:tabs>
          <w:tab w:val="num" w:pos="397"/>
          <w:tab w:val="left" w:pos="567"/>
        </w:tabs>
        <w:ind w:left="397" w:hanging="397"/>
      </w:pPr>
      <w:r w:rsidRPr="009D3091">
        <w:t>myalgia</w:t>
      </w:r>
    </w:p>
    <w:p w14:paraId="5F226787" w14:textId="77777777" w:rsidR="005037D6" w:rsidRPr="007D3ABE" w:rsidRDefault="005037D6" w:rsidP="008D292E">
      <w:pPr>
        <w:pStyle w:val="Bullet1"/>
        <w:tabs>
          <w:tab w:val="num" w:pos="397"/>
          <w:tab w:val="left" w:pos="567"/>
        </w:tabs>
        <w:ind w:left="397" w:hanging="397"/>
      </w:pPr>
      <w:r w:rsidRPr="009D3091">
        <w:t>prostration</w:t>
      </w:r>
    </w:p>
    <w:p w14:paraId="45EA9E61" w14:textId="77777777" w:rsidR="005037D6" w:rsidRPr="007D3ABE" w:rsidRDefault="005037D6" w:rsidP="008D292E">
      <w:pPr>
        <w:pStyle w:val="Bullet1"/>
        <w:tabs>
          <w:tab w:val="num" w:pos="397"/>
          <w:tab w:val="left" w:pos="567"/>
        </w:tabs>
        <w:ind w:left="397" w:hanging="397"/>
      </w:pPr>
      <w:r w:rsidRPr="009D3091">
        <w:t>headache</w:t>
      </w:r>
    </w:p>
    <w:p w14:paraId="54CABE23" w14:textId="77777777" w:rsidR="005037D6" w:rsidRPr="007D3ABE" w:rsidRDefault="005037D6" w:rsidP="008D292E">
      <w:pPr>
        <w:pStyle w:val="Bullet1"/>
        <w:tabs>
          <w:tab w:val="num" w:pos="397"/>
          <w:tab w:val="left" w:pos="567"/>
        </w:tabs>
        <w:ind w:left="397" w:hanging="397"/>
      </w:pPr>
      <w:r w:rsidRPr="009D3091">
        <w:t>pharyngitis</w:t>
      </w:r>
    </w:p>
    <w:p w14:paraId="00ED28D3" w14:textId="77777777" w:rsidR="005037D6" w:rsidRPr="007D3ABE" w:rsidRDefault="005037D6" w:rsidP="008D292E">
      <w:pPr>
        <w:pStyle w:val="Bullet1"/>
        <w:tabs>
          <w:tab w:val="num" w:pos="397"/>
          <w:tab w:val="left" w:pos="567"/>
        </w:tabs>
        <w:ind w:left="397" w:hanging="397"/>
      </w:pPr>
      <w:r w:rsidRPr="009D3091">
        <w:t>conjunctival injection</w:t>
      </w:r>
    </w:p>
    <w:p w14:paraId="2543CD8B" w14:textId="77777777" w:rsidR="005037D6" w:rsidRPr="007D3ABE" w:rsidRDefault="005037D6" w:rsidP="008D292E">
      <w:pPr>
        <w:pStyle w:val="Bullet1"/>
        <w:tabs>
          <w:tab w:val="num" w:pos="397"/>
          <w:tab w:val="left" w:pos="567"/>
        </w:tabs>
        <w:ind w:left="397" w:hanging="397"/>
      </w:pPr>
      <w:r w:rsidRPr="009D3091">
        <w:t>flushing</w:t>
      </w:r>
    </w:p>
    <w:p w14:paraId="35310B64" w14:textId="77777777" w:rsidR="005037D6" w:rsidRPr="007D3ABE" w:rsidRDefault="005037D6" w:rsidP="008D292E">
      <w:pPr>
        <w:pStyle w:val="Bullet1"/>
        <w:tabs>
          <w:tab w:val="num" w:pos="397"/>
          <w:tab w:val="left" w:pos="567"/>
        </w:tabs>
        <w:ind w:left="397" w:hanging="397"/>
      </w:pPr>
      <w:r w:rsidRPr="009D3091">
        <w:t xml:space="preserve">gastrointestinal symptoms. </w:t>
      </w:r>
    </w:p>
    <w:p w14:paraId="358EBBA8" w14:textId="77777777" w:rsidR="005037D6" w:rsidRDefault="005037D6" w:rsidP="008D292E">
      <w:pPr>
        <w:pStyle w:val="Bodyafterbullets"/>
        <w:tabs>
          <w:tab w:val="left" w:pos="567"/>
        </w:tabs>
        <w:sectPr w:rsidR="005037D6" w:rsidSect="005037D6">
          <w:headerReference w:type="default" r:id="rId39"/>
          <w:headerReference w:type="first" r:id="rId40"/>
          <w:type w:val="continuous"/>
          <w:pgSz w:w="11906" w:h="16838" w:code="9"/>
          <w:pgMar w:top="1418" w:right="1304" w:bottom="1134" w:left="1304" w:header="680" w:footer="851" w:gutter="0"/>
          <w:cols w:num="2" w:space="340"/>
          <w:titlePg/>
          <w:docGrid w:linePitch="360"/>
        </w:sectPr>
      </w:pPr>
    </w:p>
    <w:p w14:paraId="3FC1E054" w14:textId="77777777" w:rsidR="005037D6" w:rsidRDefault="005037D6" w:rsidP="008D292E">
      <w:pPr>
        <w:pStyle w:val="Bodyaftertablefigure"/>
        <w:tabs>
          <w:tab w:val="left" w:pos="567"/>
        </w:tabs>
        <w:rPr>
          <w:rFonts w:eastAsia="Arial" w:cs="Arial"/>
          <w:color w:val="000000" w:themeColor="text1"/>
          <w:sz w:val="22"/>
          <w:szCs w:val="22"/>
        </w:rPr>
      </w:pPr>
      <w:r w:rsidRPr="004E6BDB">
        <w:t>This may be complicated by spontaneous bleeding, petechiae, hypotension and hypovolemic shock, oedema and neurologic involvement.</w:t>
      </w:r>
    </w:p>
    <w:p w14:paraId="0BC7D2D5" w14:textId="77777777" w:rsidR="005037D6" w:rsidRPr="00D341DB" w:rsidRDefault="005037D6" w:rsidP="008D292E">
      <w:pPr>
        <w:pStyle w:val="Heading3"/>
      </w:pPr>
      <w:r w:rsidRPr="00074111">
        <w:t>Epidemiological</w:t>
      </w:r>
      <w:r w:rsidRPr="00D341DB">
        <w:t xml:space="preserve"> characteristics</w:t>
      </w:r>
    </w:p>
    <w:p w14:paraId="63746B22" w14:textId="0DEF04E7" w:rsidR="00191010" w:rsidRDefault="005037D6" w:rsidP="008D292E">
      <w:pPr>
        <w:pStyle w:val="Body"/>
        <w:tabs>
          <w:tab w:val="left" w:pos="567"/>
        </w:tabs>
      </w:pPr>
      <w:r w:rsidRPr="6346412F">
        <w:t xml:space="preserve">VHF symptoms can appear anywhere from </w:t>
      </w:r>
      <w:r w:rsidR="00191010">
        <w:t>two</w:t>
      </w:r>
      <w:r w:rsidRPr="6346412F">
        <w:t xml:space="preserve"> to 21 days after exposure to the virus, depending on the virus. Illness typically progresses from </w:t>
      </w:r>
      <w:r w:rsidR="00191010">
        <w:t>‘</w:t>
      </w:r>
      <w:r w:rsidRPr="6346412F">
        <w:t>dry</w:t>
      </w:r>
      <w:r w:rsidR="00191010">
        <w:t>’</w:t>
      </w:r>
      <w:r w:rsidRPr="6346412F">
        <w:t xml:space="preserve"> symptoms (fever, aches</w:t>
      </w:r>
      <w:r w:rsidR="00191010">
        <w:t xml:space="preserve"> and</w:t>
      </w:r>
      <w:r w:rsidRPr="6346412F">
        <w:t xml:space="preserve"> fatigue) to </w:t>
      </w:r>
      <w:r w:rsidR="00191010">
        <w:t>‘</w:t>
      </w:r>
      <w:r w:rsidRPr="6346412F">
        <w:t>wet</w:t>
      </w:r>
      <w:r w:rsidR="00191010">
        <w:t>’</w:t>
      </w:r>
      <w:r w:rsidRPr="6346412F">
        <w:t xml:space="preserve"> symptoms (diarrh</w:t>
      </w:r>
      <w:r>
        <w:t>o</w:t>
      </w:r>
      <w:r w:rsidRPr="6346412F">
        <w:t>ea, vomiting and in some cases, bleeding)</w:t>
      </w:r>
      <w:r w:rsidRPr="6346412F">
        <w:rPr>
          <w:rStyle w:val="FootnoteReference"/>
        </w:rPr>
        <w:footnoteReference w:id="11"/>
      </w:r>
      <w:r w:rsidRPr="6346412F">
        <w:t>.</w:t>
      </w:r>
    </w:p>
    <w:p w14:paraId="0BEFE077" w14:textId="6D218FDB" w:rsidR="005037D6" w:rsidRDefault="005037D6" w:rsidP="008D292E">
      <w:pPr>
        <w:pStyle w:val="Body"/>
        <w:tabs>
          <w:tab w:val="left" w:pos="567"/>
        </w:tabs>
        <w:rPr>
          <w:rFonts w:eastAsia="Arial" w:cs="Arial"/>
          <w:color w:val="000000" w:themeColor="text1"/>
          <w:sz w:val="22"/>
          <w:szCs w:val="22"/>
        </w:rPr>
      </w:pPr>
      <w:r w:rsidRPr="6346412F">
        <w:lastRenderedPageBreak/>
        <w:t xml:space="preserve">A person with </w:t>
      </w:r>
      <w:r>
        <w:t xml:space="preserve">EVD, MVD, or LF </w:t>
      </w:r>
      <w:r w:rsidRPr="6346412F">
        <w:t>is not contagious until the appearance of symptoms</w:t>
      </w:r>
      <w:r w:rsidRPr="6346412F">
        <w:rPr>
          <w:rStyle w:val="FootnoteReference"/>
        </w:rPr>
        <w:footnoteReference w:id="12"/>
      </w:r>
      <w:r w:rsidRPr="6346412F">
        <w:rPr>
          <w:vertAlign w:val="superscript"/>
        </w:rPr>
        <w:t>,</w:t>
      </w:r>
      <w:r w:rsidRPr="6346412F">
        <w:rPr>
          <w:rStyle w:val="FootnoteReference"/>
        </w:rPr>
        <w:footnoteReference w:id="13"/>
      </w:r>
      <w:r w:rsidRPr="6346412F">
        <w:t>.</w:t>
      </w:r>
      <w:r w:rsidR="00191010">
        <w:t xml:space="preserve"> </w:t>
      </w:r>
      <w:r w:rsidRPr="671B1AAA">
        <w:rPr>
          <w:lang w:val="en-US"/>
        </w:rPr>
        <w:t xml:space="preserve">A </w:t>
      </w:r>
      <w:r w:rsidRPr="64BD84F4">
        <w:rPr>
          <w:lang w:val="en-US"/>
        </w:rPr>
        <w:t xml:space="preserve">person can </w:t>
      </w:r>
      <w:r w:rsidRPr="671B1AAA">
        <w:rPr>
          <w:lang w:val="en-US"/>
        </w:rPr>
        <w:t>become</w:t>
      </w:r>
      <w:r w:rsidRPr="64BD84F4">
        <w:rPr>
          <w:lang w:val="en-US"/>
        </w:rPr>
        <w:t xml:space="preserve"> infected with </w:t>
      </w:r>
      <w:r w:rsidRPr="671B1AAA">
        <w:rPr>
          <w:lang w:val="en-US"/>
        </w:rPr>
        <w:t>viru</w:t>
      </w:r>
      <w:r>
        <w:rPr>
          <w:lang w:val="en-US"/>
        </w:rPr>
        <w:t>s</w:t>
      </w:r>
      <w:r w:rsidRPr="671B1AAA">
        <w:rPr>
          <w:lang w:val="en-US"/>
        </w:rPr>
        <w:t xml:space="preserve">es causing </w:t>
      </w:r>
      <w:r w:rsidRPr="64BD84F4">
        <w:rPr>
          <w:lang w:val="en-US"/>
        </w:rPr>
        <w:t xml:space="preserve">VHF by </w:t>
      </w:r>
      <w:proofErr w:type="gramStart"/>
      <w:r w:rsidRPr="64BD84F4">
        <w:rPr>
          <w:lang w:val="en-US"/>
        </w:rPr>
        <w:t>coming into contact with</w:t>
      </w:r>
      <w:proofErr w:type="gramEnd"/>
      <w:r w:rsidRPr="64BD84F4">
        <w:rPr>
          <w:lang w:val="en-US"/>
        </w:rPr>
        <w:t xml:space="preserve"> a</w:t>
      </w:r>
      <w:r w:rsidR="00C643B1">
        <w:rPr>
          <w:lang w:val="en-US"/>
        </w:rPr>
        <w:t>n infected person’s</w:t>
      </w:r>
      <w:r w:rsidRPr="64BD84F4">
        <w:rPr>
          <w:lang w:val="en-US"/>
        </w:rPr>
        <w:t xml:space="preserve"> bod</w:t>
      </w:r>
      <w:r w:rsidR="00C643B1">
        <w:rPr>
          <w:lang w:val="en-US"/>
        </w:rPr>
        <w:t>il</w:t>
      </w:r>
      <w:r w:rsidRPr="64BD84F4">
        <w:rPr>
          <w:lang w:val="en-US"/>
        </w:rPr>
        <w:t>y fluids, contaminated medical supplies and equipment, or contaminated environmental surfaces. Splashes to unprotected mucous membranes (for example, the eyes, nose or mouth) are particularly hazardous.</w:t>
      </w:r>
    </w:p>
    <w:p w14:paraId="0C82F9B8" w14:textId="3B98BFF7" w:rsidR="005037D6" w:rsidRDefault="005037D6" w:rsidP="008D292E">
      <w:pPr>
        <w:pStyle w:val="Body"/>
        <w:tabs>
          <w:tab w:val="left" w:pos="567"/>
        </w:tabs>
      </w:pPr>
      <w:r w:rsidRPr="64BD84F4">
        <w:t>The</w:t>
      </w:r>
      <w:r w:rsidRPr="64BD84F4" w:rsidDel="00C643B1">
        <w:t xml:space="preserve"> </w:t>
      </w:r>
      <w:r w:rsidRPr="64BD84F4">
        <w:t xml:space="preserve">epidemiological characteristics </w:t>
      </w:r>
      <w:r w:rsidR="00C643B1">
        <w:t xml:space="preserve">that </w:t>
      </w:r>
      <w:r w:rsidRPr="64BD84F4">
        <w:t>raise the level of suspicion for VHF</w:t>
      </w:r>
      <w:r w:rsidR="00C643B1">
        <w:t xml:space="preserve"> are that the person</w:t>
      </w:r>
      <w:r w:rsidRPr="64BD84F4">
        <w:t>:</w:t>
      </w:r>
    </w:p>
    <w:p w14:paraId="17B2BC12" w14:textId="45CCC879" w:rsidR="005037D6" w:rsidRPr="00172EDE" w:rsidRDefault="00C643B1" w:rsidP="008D292E">
      <w:pPr>
        <w:pStyle w:val="Bullet1"/>
        <w:tabs>
          <w:tab w:val="left" w:pos="567"/>
        </w:tabs>
      </w:pPr>
      <w:r>
        <w:t>r</w:t>
      </w:r>
      <w:r w:rsidR="005037D6" w:rsidRPr="00EE4287">
        <w:t>eported returning from a specific local area of a country where there is a current VHF outbreak*</w:t>
      </w:r>
      <w:r>
        <w:t>, with or without</w:t>
      </w:r>
      <w:r w:rsidR="005037D6" w:rsidRPr="00EE4287" w:rsidDel="00C643B1">
        <w:t xml:space="preserve"> </w:t>
      </w:r>
      <w:r w:rsidR="005037D6" w:rsidRPr="00EE4287">
        <w:t>direct contact with blood, other body fluids, secretions or</w:t>
      </w:r>
      <w:r w:rsidR="005037D6">
        <w:t xml:space="preserve"> </w:t>
      </w:r>
      <w:r w:rsidR="005037D6" w:rsidRPr="00EE4287">
        <w:t>excretions from a person or animal with confirmed or suspected VHF</w:t>
      </w:r>
    </w:p>
    <w:p w14:paraId="3EE5C92B" w14:textId="77777777" w:rsidR="005037D6" w:rsidRPr="0094085C" w:rsidRDefault="005037D6" w:rsidP="008D292E">
      <w:pPr>
        <w:pStyle w:val="Body"/>
        <w:tabs>
          <w:tab w:val="left" w:pos="567"/>
        </w:tabs>
        <w:rPr>
          <w:b/>
        </w:rPr>
      </w:pPr>
      <w:r w:rsidRPr="0094085C">
        <w:rPr>
          <w:b/>
        </w:rPr>
        <w:t>OR</w:t>
      </w:r>
    </w:p>
    <w:p w14:paraId="10634D2B" w14:textId="3300F29B" w:rsidR="005037D6" w:rsidRPr="00172EDE" w:rsidRDefault="00C643B1" w:rsidP="008D292E">
      <w:pPr>
        <w:pStyle w:val="Bullet1"/>
        <w:tabs>
          <w:tab w:val="left" w:pos="567"/>
        </w:tabs>
      </w:pPr>
      <w:r>
        <w:t>t</w:t>
      </w:r>
      <w:r w:rsidR="005037D6" w:rsidRPr="0094085C">
        <w:t>ravelled in or</w:t>
      </w:r>
      <w:r w:rsidR="005037D6" w:rsidRPr="0094085C" w:rsidDel="00C643B1">
        <w:t xml:space="preserve"> </w:t>
      </w:r>
      <w:r>
        <w:t>was</w:t>
      </w:r>
      <w:r w:rsidRPr="0094085C">
        <w:t xml:space="preserve"> </w:t>
      </w:r>
      <w:r w:rsidR="005037D6" w:rsidRPr="0094085C">
        <w:t>resident in the specific local area of a country where VHF is endemic** and has recently been reported with one or more exposure risk factors</w:t>
      </w:r>
      <w:r>
        <w:t xml:space="preserve"> that include</w:t>
      </w:r>
      <w:r w:rsidR="005037D6" w:rsidRPr="0094085C">
        <w:t>:</w:t>
      </w:r>
    </w:p>
    <w:p w14:paraId="4C94163B" w14:textId="4E24BA7A" w:rsidR="005037D6" w:rsidRPr="00172EDE" w:rsidRDefault="00C643B1" w:rsidP="008D292E">
      <w:pPr>
        <w:pStyle w:val="Bullet2"/>
        <w:tabs>
          <w:tab w:val="left" w:pos="567"/>
        </w:tabs>
      </w:pPr>
      <w:r>
        <w:t>r</w:t>
      </w:r>
      <w:r w:rsidR="005037D6" w:rsidRPr="00A24BDC">
        <w:t>eceiv</w:t>
      </w:r>
      <w:r>
        <w:t>ing</w:t>
      </w:r>
      <w:r w:rsidR="005037D6" w:rsidRPr="00A24BDC">
        <w:t xml:space="preserve"> a tick bite or crush</w:t>
      </w:r>
      <w:r>
        <w:t>ing</w:t>
      </w:r>
      <w:r w:rsidR="005037D6" w:rsidRPr="00A24BDC">
        <w:t xml:space="preserve"> a tick in an area endemic for CCHF</w:t>
      </w:r>
    </w:p>
    <w:p w14:paraId="6825A455" w14:textId="1763414B" w:rsidR="005037D6" w:rsidRPr="00172EDE" w:rsidRDefault="00C643B1" w:rsidP="008D292E">
      <w:pPr>
        <w:pStyle w:val="Bullet2"/>
        <w:tabs>
          <w:tab w:val="left" w:pos="567"/>
        </w:tabs>
      </w:pPr>
      <w:r>
        <w:t>v</w:t>
      </w:r>
      <w:r w:rsidR="005037D6" w:rsidRPr="00A24BDC">
        <w:t>isit</w:t>
      </w:r>
      <w:r>
        <w:t>ing</w:t>
      </w:r>
      <w:r w:rsidR="005037D6" w:rsidRPr="00A24BDC">
        <w:t xml:space="preserve"> caves or underground mines and be</w:t>
      </w:r>
      <w:r>
        <w:t>ing</w:t>
      </w:r>
      <w:r w:rsidR="005037D6" w:rsidRPr="00A24BDC">
        <w:t xml:space="preserve"> exposed to bat colonies or </w:t>
      </w:r>
      <w:r>
        <w:t xml:space="preserve">having </w:t>
      </w:r>
      <w:r w:rsidR="005037D6" w:rsidRPr="00A24BDC">
        <w:t>had direct contact with primates, antelopes or bats in a Marburg</w:t>
      </w:r>
      <w:r>
        <w:t xml:space="preserve"> or </w:t>
      </w:r>
      <w:r w:rsidR="005037D6" w:rsidRPr="00A24BDC">
        <w:t>Ebola endemic area</w:t>
      </w:r>
    </w:p>
    <w:p w14:paraId="071E34FD" w14:textId="45200C2E" w:rsidR="005037D6" w:rsidRPr="00172EDE" w:rsidRDefault="00C643B1" w:rsidP="008D292E">
      <w:pPr>
        <w:pStyle w:val="Bullet2"/>
        <w:tabs>
          <w:tab w:val="left" w:pos="567"/>
        </w:tabs>
      </w:pPr>
      <w:r>
        <w:t>l</w:t>
      </w:r>
      <w:r w:rsidR="005037D6" w:rsidRPr="00A24BDC">
        <w:t>iv</w:t>
      </w:r>
      <w:r>
        <w:t>ing</w:t>
      </w:r>
      <w:r w:rsidR="005037D6" w:rsidRPr="00A24BDC">
        <w:t xml:space="preserve"> or work</w:t>
      </w:r>
      <w:r>
        <w:t>ing</w:t>
      </w:r>
      <w:r w:rsidR="005037D6" w:rsidRPr="00A24BDC">
        <w:t xml:space="preserve"> in basic rural conditions in an area endemic for </w:t>
      </w:r>
      <w:r w:rsidR="005037D6">
        <w:t>LF</w:t>
      </w:r>
    </w:p>
    <w:p w14:paraId="2CE374CD" w14:textId="79800AA9" w:rsidR="005037D6" w:rsidRPr="00172EDE" w:rsidRDefault="00C643B1" w:rsidP="008D292E">
      <w:pPr>
        <w:pStyle w:val="Bullet2"/>
        <w:tabs>
          <w:tab w:val="left" w:pos="567"/>
        </w:tabs>
      </w:pPr>
      <w:r>
        <w:t>having p</w:t>
      </w:r>
      <w:r w:rsidR="005037D6" w:rsidRPr="00A24BDC">
        <w:t>ersistent fever ≥72 hours, with malaria excluded and no alternative diagnosis apparent</w:t>
      </w:r>
    </w:p>
    <w:p w14:paraId="2D049A5D" w14:textId="40260050" w:rsidR="005037D6" w:rsidRPr="00172EDE" w:rsidRDefault="00C643B1" w:rsidP="008D292E">
      <w:pPr>
        <w:pStyle w:val="Bullet2"/>
        <w:tabs>
          <w:tab w:val="left" w:pos="567"/>
        </w:tabs>
      </w:pPr>
      <w:r>
        <w:t>having w</w:t>
      </w:r>
      <w:r w:rsidR="005037D6" w:rsidRPr="00A24BDC">
        <w:t>orked in a laboratory or animal facility that handles specimens or tissue contaminated with VHF</w:t>
      </w:r>
      <w:r w:rsidR="005037D6">
        <w:t>.</w:t>
      </w:r>
    </w:p>
    <w:p w14:paraId="24A2BCFA" w14:textId="4C1C3A5D" w:rsidR="005037D6" w:rsidRDefault="00C643B1" w:rsidP="008D292E">
      <w:pPr>
        <w:pStyle w:val="Bodyafterbullets"/>
        <w:tabs>
          <w:tab w:val="left" w:pos="567"/>
        </w:tabs>
        <w:rPr>
          <w:lang w:val="en-US"/>
        </w:rPr>
      </w:pPr>
      <w:r w:rsidRPr="00EF3BAF">
        <w:rPr>
          <w:lang w:val="en-US"/>
        </w:rPr>
        <w:t>*Information about current VHF outbreaks can be obtained from:</w:t>
      </w:r>
    </w:p>
    <w:p w14:paraId="3D76B4C1" w14:textId="2B0030EA" w:rsidR="00C643B1" w:rsidRDefault="00C643B1" w:rsidP="008D292E">
      <w:pPr>
        <w:pStyle w:val="Bullet1"/>
        <w:tabs>
          <w:tab w:val="left" w:pos="567"/>
        </w:tabs>
      </w:pPr>
      <w:r w:rsidRPr="00EF3BAF">
        <w:rPr>
          <w:rFonts w:eastAsia="Arial" w:cs="Arial"/>
          <w:color w:val="000000" w:themeColor="text1"/>
          <w:szCs w:val="21"/>
          <w:lang w:val="en-US"/>
        </w:rPr>
        <w:t xml:space="preserve">WHO: </w:t>
      </w:r>
      <w:hyperlink r:id="rId41" w:history="1">
        <w:r w:rsidR="001B3350" w:rsidRPr="001B3350">
          <w:rPr>
            <w:rStyle w:val="Hyperlink"/>
            <w:rFonts w:eastAsia="Arial" w:cs="Arial"/>
            <w:szCs w:val="21"/>
            <w:lang w:val="en-US"/>
          </w:rPr>
          <w:t>Disease Outbreak News</w:t>
        </w:r>
      </w:hyperlink>
      <w:r w:rsidR="001B3350">
        <w:rPr>
          <w:rFonts w:eastAsia="Arial" w:cs="Arial"/>
          <w:color w:val="000000" w:themeColor="text1"/>
          <w:szCs w:val="21"/>
          <w:lang w:val="en-US"/>
        </w:rPr>
        <w:t xml:space="preserve"> &lt;</w:t>
      </w:r>
      <w:r w:rsidR="001B3350" w:rsidRPr="00407DDD">
        <w:t>https://www.who.int/emergencies/disease-outbreak-news</w:t>
      </w:r>
      <w:r w:rsidR="001B3350">
        <w:rPr>
          <w:rFonts w:eastAsia="Arial" w:cs="Arial"/>
          <w:color w:val="000000" w:themeColor="text1"/>
          <w:szCs w:val="21"/>
          <w:lang w:val="en-US"/>
        </w:rPr>
        <w:t>&gt;</w:t>
      </w:r>
    </w:p>
    <w:p w14:paraId="7277B32C" w14:textId="61996C8B" w:rsidR="00C643B1" w:rsidRDefault="00C643B1" w:rsidP="008D292E">
      <w:pPr>
        <w:pStyle w:val="Bullet1"/>
        <w:tabs>
          <w:tab w:val="left" w:pos="567"/>
        </w:tabs>
      </w:pPr>
      <w:r w:rsidRPr="001B3350">
        <w:rPr>
          <w:rFonts w:eastAsia="Arial" w:cs="Arial"/>
          <w:color w:val="000000" w:themeColor="text1"/>
          <w:szCs w:val="21"/>
        </w:rPr>
        <w:t>CDC</w:t>
      </w:r>
      <w:r w:rsidR="001B3350" w:rsidRPr="001B3350">
        <w:rPr>
          <w:rFonts w:eastAsia="Arial" w:cs="Arial"/>
          <w:color w:val="000000" w:themeColor="text1"/>
          <w:szCs w:val="21"/>
        </w:rPr>
        <w:t xml:space="preserve">: </w:t>
      </w:r>
      <w:hyperlink r:id="rId42" w:history="1">
        <w:r w:rsidR="001B3350" w:rsidRPr="001B3350">
          <w:rPr>
            <w:rStyle w:val="Hyperlink"/>
            <w:rFonts w:eastAsia="Arial"/>
            <w:szCs w:val="21"/>
          </w:rPr>
          <w:t>Outbreak History</w:t>
        </w:r>
        <w:r w:rsidRPr="001B3350">
          <w:rPr>
            <w:rStyle w:val="Hyperlink"/>
            <w:rFonts w:eastAsia="Arial" w:cs="Arial"/>
            <w:szCs w:val="21"/>
          </w:rPr>
          <w:t xml:space="preserve"> (Ebola specifically)</w:t>
        </w:r>
      </w:hyperlink>
      <w:r w:rsidR="001B3350">
        <w:rPr>
          <w:rFonts w:eastAsia="Arial"/>
          <w:color w:val="000000" w:themeColor="text1"/>
          <w:szCs w:val="21"/>
        </w:rPr>
        <w:t xml:space="preserve"> &lt;</w:t>
      </w:r>
      <w:r w:rsidR="001B3350" w:rsidRPr="001B3350">
        <w:rPr>
          <w:rFonts w:eastAsia="Arial"/>
          <w:color w:val="000000" w:themeColor="text1"/>
          <w:szCs w:val="21"/>
        </w:rPr>
        <w:t>https://www.cdc.gov/ebola/outbreaks/?CDC_AAref_Val=https://www.cdc.gov/vhf/ebola/outbreaks/index-2018.html</w:t>
      </w:r>
      <w:r w:rsidR="001B3350">
        <w:rPr>
          <w:rFonts w:eastAsia="Arial"/>
          <w:color w:val="000000" w:themeColor="text1"/>
          <w:szCs w:val="21"/>
        </w:rPr>
        <w:t>&gt;</w:t>
      </w:r>
      <w:r w:rsidRPr="001B3350">
        <w:rPr>
          <w:rFonts w:eastAsia="Arial" w:cs="Arial"/>
          <w:color w:val="000000" w:themeColor="text1"/>
          <w:szCs w:val="21"/>
        </w:rPr>
        <w:t xml:space="preserve"> </w:t>
      </w:r>
    </w:p>
    <w:p w14:paraId="624136D7" w14:textId="0A7EAE12" w:rsidR="00C643B1" w:rsidRDefault="00C643B1" w:rsidP="008D292E">
      <w:pPr>
        <w:pStyle w:val="Bullet1"/>
        <w:tabs>
          <w:tab w:val="left" w:pos="567"/>
        </w:tabs>
      </w:pPr>
      <w:r w:rsidRPr="00EF3BAF">
        <w:rPr>
          <w:rFonts w:eastAsia="Arial" w:cs="Arial"/>
          <w:color w:val="000000" w:themeColor="text1"/>
          <w:szCs w:val="21"/>
          <w:lang w:val="en-US"/>
        </w:rPr>
        <w:t xml:space="preserve">GOV UK: </w:t>
      </w:r>
      <w:hyperlink r:id="rId43">
        <w:r w:rsidRPr="00EF3BAF">
          <w:rPr>
            <w:rStyle w:val="Hyperlink"/>
            <w:rFonts w:eastAsia="Arial" w:cs="Arial"/>
            <w:szCs w:val="21"/>
            <w:lang w:val="en-US"/>
          </w:rPr>
          <w:t>High consequence infectious disease: country specific risk</w:t>
        </w:r>
      </w:hyperlink>
      <w:r w:rsidR="001B3350">
        <w:t xml:space="preserve"> &lt;</w:t>
      </w:r>
      <w:r w:rsidR="001B3350" w:rsidRPr="001B3350">
        <w:t>https://www.gov.uk/guidance/high-consequence-infectious-disease-country-specific-risk?utm_medium=email&amp;utm_campaign=govuk-notifications-single-page&amp;utm_source=d78eacd0-1066-4e2c-8ae1-d1fee0cdc8d3&amp;utm_content=immediately%22%20\l%20%22countries-a-to-d</w:t>
      </w:r>
      <w:r w:rsidR="001B3350">
        <w:t xml:space="preserve">&gt; </w:t>
      </w:r>
    </w:p>
    <w:p w14:paraId="5DFE4035" w14:textId="163884CD" w:rsidR="00C643B1" w:rsidRDefault="00C643B1" w:rsidP="008D292E">
      <w:pPr>
        <w:pStyle w:val="Bullet1"/>
        <w:tabs>
          <w:tab w:val="left" w:pos="567"/>
        </w:tabs>
      </w:pPr>
      <w:proofErr w:type="spellStart"/>
      <w:r w:rsidRPr="00EF3BAF">
        <w:rPr>
          <w:rFonts w:eastAsia="Arial" w:cs="Arial"/>
          <w:szCs w:val="21"/>
          <w:lang w:val="en-US"/>
        </w:rPr>
        <w:t>ProMED</w:t>
      </w:r>
      <w:proofErr w:type="spellEnd"/>
      <w:r w:rsidRPr="00EF3BAF">
        <w:rPr>
          <w:rFonts w:eastAsia="Arial" w:cs="Arial"/>
          <w:szCs w:val="21"/>
          <w:lang w:val="en-US"/>
        </w:rPr>
        <w:t xml:space="preserve">: </w:t>
      </w:r>
      <w:hyperlink r:id="rId44" w:history="1">
        <w:r w:rsidR="001B3350" w:rsidRPr="001B3350">
          <w:rPr>
            <w:rStyle w:val="Hyperlink"/>
            <w:rFonts w:eastAsia="Arial" w:cs="Arial"/>
            <w:szCs w:val="21"/>
            <w:lang w:val="en-US"/>
          </w:rPr>
          <w:t>Protecting Global Health, One Alert at a Time</w:t>
        </w:r>
      </w:hyperlink>
      <w:r w:rsidR="001B3350">
        <w:rPr>
          <w:rFonts w:eastAsia="Arial" w:cs="Arial"/>
          <w:szCs w:val="21"/>
          <w:lang w:val="en-US"/>
        </w:rPr>
        <w:t xml:space="preserve"> &lt;</w:t>
      </w:r>
      <w:r w:rsidR="001B3350" w:rsidRPr="00407DDD">
        <w:t>http://www.promedmail.org</w:t>
      </w:r>
      <w:r w:rsidR="001B3350">
        <w:t>&gt;</w:t>
      </w:r>
    </w:p>
    <w:p w14:paraId="031B76C3" w14:textId="1C0FF864" w:rsidR="00C643B1" w:rsidRDefault="00C643B1" w:rsidP="008D292E">
      <w:pPr>
        <w:pStyle w:val="Bullet1"/>
        <w:tabs>
          <w:tab w:val="left" w:pos="567"/>
        </w:tabs>
      </w:pPr>
      <w:hyperlink r:id="rId45" w:history="1">
        <w:r w:rsidRPr="002847DD">
          <w:rPr>
            <w:rStyle w:val="Hyperlink"/>
            <w:rFonts w:eastAsia="Arial" w:cs="Arial"/>
            <w:szCs w:val="21"/>
            <w:lang w:val="en-US"/>
          </w:rPr>
          <w:t>Centre for Infectious Disease Research and Policy (CIDRAP)</w:t>
        </w:r>
      </w:hyperlink>
      <w:r w:rsidRPr="00EF3BAF">
        <w:rPr>
          <w:rFonts w:eastAsia="Arial" w:cs="Arial"/>
          <w:szCs w:val="21"/>
          <w:lang w:val="en-US"/>
        </w:rPr>
        <w:t xml:space="preserve">: </w:t>
      </w:r>
      <w:r w:rsidR="001B3350">
        <w:rPr>
          <w:rFonts w:eastAsia="Arial" w:cs="Arial"/>
          <w:szCs w:val="21"/>
          <w:lang w:val="en-US"/>
        </w:rPr>
        <w:t>&lt;</w:t>
      </w:r>
      <w:r w:rsidR="001B3350" w:rsidRPr="00BA6F3C">
        <w:t>https://www.cidrap.umn.edu/</w:t>
      </w:r>
      <w:r w:rsidR="001B3350">
        <w:t>&gt;</w:t>
      </w:r>
    </w:p>
    <w:p w14:paraId="27DD03BD" w14:textId="517F67CD" w:rsidR="00C643B1" w:rsidRDefault="00C643B1" w:rsidP="008D292E">
      <w:pPr>
        <w:pStyle w:val="Bullet1"/>
        <w:tabs>
          <w:tab w:val="num" w:pos="397"/>
          <w:tab w:val="left" w:pos="567"/>
        </w:tabs>
        <w:ind w:left="397" w:hanging="397"/>
      </w:pPr>
      <w:r w:rsidRPr="00BA6F3C">
        <w:rPr>
          <w:rFonts w:eastAsia="Arial" w:cs="Arial"/>
          <w:szCs w:val="21"/>
        </w:rPr>
        <w:t>BEACON</w:t>
      </w:r>
      <w:r w:rsidR="002847DD" w:rsidRPr="00BA6F3C">
        <w:rPr>
          <w:rFonts w:eastAsia="Arial" w:cs="Arial"/>
          <w:szCs w:val="21"/>
        </w:rPr>
        <w:t xml:space="preserve">: </w:t>
      </w:r>
      <w:hyperlink r:id="rId46" w:history="1">
        <w:r w:rsidR="002847DD" w:rsidRPr="00BA6F3C">
          <w:rPr>
            <w:rStyle w:val="Hyperlink"/>
            <w:rFonts w:eastAsia="Arial" w:cs="Arial"/>
            <w:szCs w:val="21"/>
          </w:rPr>
          <w:t>Disease Events</w:t>
        </w:r>
      </w:hyperlink>
      <w:r w:rsidRPr="00BA6F3C">
        <w:rPr>
          <w:rFonts w:eastAsia="Arial" w:cs="Arial"/>
          <w:szCs w:val="21"/>
        </w:rPr>
        <w:t xml:space="preserve">: </w:t>
      </w:r>
      <w:r w:rsidR="002847DD" w:rsidRPr="00BA6F3C">
        <w:rPr>
          <w:rFonts w:eastAsia="Arial" w:cs="Arial"/>
          <w:szCs w:val="21"/>
        </w:rPr>
        <w:t>&lt;</w:t>
      </w:r>
      <w:r w:rsidR="002847DD" w:rsidRPr="00BA6F3C">
        <w:t>https://beaconbio.org/en/</w:t>
      </w:r>
      <w:r w:rsidR="002847DD" w:rsidRPr="00BA6F3C">
        <w:rPr>
          <w:rFonts w:eastAsia="Arial" w:cs="Arial"/>
          <w:szCs w:val="21"/>
        </w:rPr>
        <w:t>&gt;.</w:t>
      </w:r>
    </w:p>
    <w:p w14:paraId="00D6F79D" w14:textId="1282C061" w:rsidR="00C643B1" w:rsidRDefault="001B3350" w:rsidP="008D292E">
      <w:pPr>
        <w:pStyle w:val="Bodyafterbullets"/>
        <w:tabs>
          <w:tab w:val="left" w:pos="567"/>
        </w:tabs>
        <w:rPr>
          <w:rFonts w:eastAsia="Arial" w:cs="Arial"/>
          <w:szCs w:val="21"/>
          <w:lang w:val="en-US"/>
        </w:rPr>
      </w:pPr>
      <w:r w:rsidRPr="00EF3BAF">
        <w:rPr>
          <w:rFonts w:eastAsia="Arial" w:cs="Arial"/>
          <w:szCs w:val="21"/>
          <w:lang w:val="en-US"/>
        </w:rPr>
        <w:t>**Endemic areas</w:t>
      </w:r>
      <w:r>
        <w:rPr>
          <w:rFonts w:eastAsia="Arial" w:cs="Arial"/>
          <w:szCs w:val="21"/>
          <w:lang w:val="en-US"/>
        </w:rPr>
        <w:t xml:space="preserve"> for VHFs include</w:t>
      </w:r>
      <w:r w:rsidRPr="00EF3BAF">
        <w:rPr>
          <w:rFonts w:eastAsia="Arial" w:cs="Arial"/>
          <w:szCs w:val="21"/>
          <w:lang w:val="en-US"/>
        </w:rPr>
        <w:t>:</w:t>
      </w:r>
    </w:p>
    <w:p w14:paraId="11EA0E30" w14:textId="3B77D2DA" w:rsidR="001B3350" w:rsidRDefault="001B3350" w:rsidP="008D292E">
      <w:pPr>
        <w:pStyle w:val="Bullet1"/>
        <w:tabs>
          <w:tab w:val="left" w:pos="567"/>
        </w:tabs>
      </w:pPr>
      <w:r>
        <w:t>LF – p</w:t>
      </w:r>
      <w:r w:rsidRPr="001B3350">
        <w:t>arts of West Africa</w:t>
      </w:r>
      <w:r>
        <w:t>,</w:t>
      </w:r>
      <w:r w:rsidRPr="001B3350">
        <w:t xml:space="preserve"> including Sierra Leone, Liberia, Guinea and Nigeria</w:t>
      </w:r>
    </w:p>
    <w:p w14:paraId="51D6CE4C" w14:textId="0DEFD969" w:rsidR="001B3350" w:rsidRPr="00407DDD" w:rsidRDefault="001B3350" w:rsidP="008D292E">
      <w:pPr>
        <w:pStyle w:val="Bullet1"/>
        <w:tabs>
          <w:tab w:val="left" w:pos="567"/>
        </w:tabs>
      </w:pPr>
      <w:r w:rsidRPr="00EF3BAF">
        <w:rPr>
          <w:rFonts w:eastAsia="Arial"/>
          <w:szCs w:val="21"/>
          <w:lang w:val="en-US"/>
        </w:rPr>
        <w:t>MVD</w:t>
      </w:r>
      <w:r>
        <w:rPr>
          <w:rFonts w:eastAsia="Arial"/>
          <w:szCs w:val="21"/>
          <w:lang w:val="en-US"/>
        </w:rPr>
        <w:t xml:space="preserve"> – t</w:t>
      </w:r>
      <w:r w:rsidRPr="001B3350">
        <w:rPr>
          <w:rFonts w:eastAsia="Arial"/>
          <w:szCs w:val="21"/>
          <w:lang w:val="en-US"/>
        </w:rPr>
        <w:t>he reservoir host of Marburg virus, the African fruit bat, is widely distributed across Africa</w:t>
      </w:r>
      <w:r>
        <w:rPr>
          <w:rFonts w:eastAsia="Arial"/>
          <w:szCs w:val="21"/>
          <w:lang w:val="en-US"/>
        </w:rPr>
        <w:t>.</w:t>
      </w:r>
      <w:r w:rsidRPr="001B3350">
        <w:rPr>
          <w:rFonts w:eastAsia="Arial"/>
          <w:szCs w:val="21"/>
          <w:lang w:val="en-US"/>
        </w:rPr>
        <w:t xml:space="preserve"> Marburg outbreaks have occurred in Uganda, Angola, Kenya, Zimbabwe and the Democratic Republic of Congo</w:t>
      </w:r>
    </w:p>
    <w:p w14:paraId="09F6DA48" w14:textId="5F0A7971" w:rsidR="001B3350" w:rsidRDefault="001B3350" w:rsidP="008D292E">
      <w:pPr>
        <w:pStyle w:val="Bullet1"/>
        <w:tabs>
          <w:tab w:val="left" w:pos="567"/>
        </w:tabs>
      </w:pPr>
      <w:r w:rsidRPr="00EF3BAF">
        <w:rPr>
          <w:rFonts w:eastAsia="Arial"/>
          <w:color w:val="000000" w:themeColor="text1"/>
          <w:szCs w:val="21"/>
          <w:lang w:val="en-US"/>
        </w:rPr>
        <w:lastRenderedPageBreak/>
        <w:t>CCHF</w:t>
      </w:r>
      <w:r>
        <w:rPr>
          <w:rFonts w:eastAsia="Arial"/>
          <w:color w:val="000000" w:themeColor="text1"/>
          <w:szCs w:val="21"/>
          <w:lang w:val="en-US"/>
        </w:rPr>
        <w:t xml:space="preserve"> – </w:t>
      </w:r>
      <w:r w:rsidRPr="001B3350">
        <w:rPr>
          <w:rFonts w:eastAsia="Arial"/>
          <w:color w:val="000000" w:themeColor="text1"/>
          <w:szCs w:val="21"/>
          <w:lang w:val="en-US"/>
        </w:rPr>
        <w:t>Eastern Europe, particularly in the former Soviet Union, throughout the Mediterranean, in north-western China, central Asia, southern Europe, Africa, the Middle East and the Indian subcontinent.</w:t>
      </w:r>
    </w:p>
    <w:p w14:paraId="25342CE9" w14:textId="77777777" w:rsidR="005037D6" w:rsidRPr="00172EDE" w:rsidRDefault="005037D6" w:rsidP="008D292E">
      <w:pPr>
        <w:pStyle w:val="Heading2"/>
        <w:tabs>
          <w:tab w:val="left" w:pos="567"/>
        </w:tabs>
      </w:pPr>
      <w:bookmarkStart w:id="23" w:name="_Toc217022537"/>
      <w:r w:rsidRPr="00172EDE">
        <w:t>VHF preparedness in designated</w:t>
      </w:r>
      <w:r>
        <w:t xml:space="preserve"> and</w:t>
      </w:r>
      <w:r w:rsidRPr="00172EDE">
        <w:t xml:space="preserve"> non-designated health services and primary care</w:t>
      </w:r>
      <w:bookmarkEnd w:id="23"/>
    </w:p>
    <w:p w14:paraId="5DABBF49" w14:textId="0A97C38D" w:rsidR="005037D6" w:rsidRPr="00D341DB" w:rsidRDefault="005037D6" w:rsidP="008D292E">
      <w:pPr>
        <w:pStyle w:val="Heading3"/>
      </w:pPr>
      <w:r w:rsidRPr="00D341DB">
        <w:t xml:space="preserve">Designated </w:t>
      </w:r>
      <w:r w:rsidR="002847DD">
        <w:t>h</w:t>
      </w:r>
      <w:r w:rsidRPr="00D341DB">
        <w:t xml:space="preserve">ealth </w:t>
      </w:r>
      <w:r w:rsidR="002847DD">
        <w:t>s</w:t>
      </w:r>
      <w:r w:rsidRPr="00D341DB">
        <w:t>ervices</w:t>
      </w:r>
    </w:p>
    <w:p w14:paraId="20D628CA" w14:textId="534E179D" w:rsidR="005037D6" w:rsidRPr="000635FD" w:rsidRDefault="005037D6" w:rsidP="008D292E">
      <w:pPr>
        <w:pStyle w:val="Body"/>
        <w:tabs>
          <w:tab w:val="left" w:pos="567"/>
        </w:tabs>
      </w:pPr>
      <w:r w:rsidRPr="000635FD">
        <w:t xml:space="preserve">All cases of confirmed VHF in Victoria should be managed at </w:t>
      </w:r>
      <w:r>
        <w:t>a</w:t>
      </w:r>
      <w:r w:rsidRPr="000635FD">
        <w:t xml:space="preserve"> designated health service. In Victoria, the designated quarantine hospitals to receive suspected and confirmed cases of VHF</w:t>
      </w:r>
      <w:r w:rsidR="002847DD">
        <w:t xml:space="preserve"> are:</w:t>
      </w:r>
    </w:p>
    <w:p w14:paraId="52E79BFB" w14:textId="77777777" w:rsidR="005037D6" w:rsidRDefault="005037D6" w:rsidP="008D292E">
      <w:pPr>
        <w:pStyle w:val="Bullet1"/>
        <w:tabs>
          <w:tab w:val="left" w:pos="567"/>
        </w:tabs>
      </w:pPr>
      <w:r w:rsidRPr="64BD84F4">
        <w:t xml:space="preserve">The Royal Melbourne Hospital (RMH) for suspected or confirmed cases of VHF aged 16 and above. A suspected or confirmed case of VHF in a pregnant woman, including a woman in labour, will be directed to RMH. RMH will activate a request to the Royal Women's Hospital to </w:t>
      </w:r>
      <w:proofErr w:type="gramStart"/>
      <w:r w:rsidRPr="64BD84F4">
        <w:t>provide assistance</w:t>
      </w:r>
      <w:proofErr w:type="gramEnd"/>
      <w:r w:rsidRPr="64BD84F4">
        <w:t xml:space="preserve"> as needed, including obstetric and midwifery expertise, so that all required care can be provided at RMH.</w:t>
      </w:r>
    </w:p>
    <w:p w14:paraId="1A57DAC8" w14:textId="6A58F228" w:rsidR="005037D6" w:rsidRPr="00172EDE" w:rsidRDefault="005037D6" w:rsidP="008D292E">
      <w:pPr>
        <w:pStyle w:val="Bullet1"/>
        <w:tabs>
          <w:tab w:val="left" w:pos="567"/>
        </w:tabs>
      </w:pPr>
      <w:r w:rsidRPr="64BD84F4">
        <w:t>The Royal Children’s Hospital (RCH) for suspected or confirmed VHF cases aged under 16 years. The</w:t>
      </w:r>
      <w:r>
        <w:t>se</w:t>
      </w:r>
      <w:r w:rsidRPr="64BD84F4">
        <w:t xml:space="preserve"> patients will be admitted to the RCH for assessment and testing, after a discussion between the </w:t>
      </w:r>
      <w:r>
        <w:t>Chief Health Officer</w:t>
      </w:r>
      <w:r w:rsidRPr="64BD84F4">
        <w:t xml:space="preserve"> or delegate, and the duty emergency department consultant at RCH.</w:t>
      </w:r>
    </w:p>
    <w:p w14:paraId="3770E207" w14:textId="77777777" w:rsidR="005037D6" w:rsidRPr="00172EDE" w:rsidRDefault="005037D6" w:rsidP="008D292E">
      <w:pPr>
        <w:pStyle w:val="Heading3"/>
      </w:pPr>
      <w:r w:rsidRPr="00172EDE">
        <w:t>Non-designated health services</w:t>
      </w:r>
    </w:p>
    <w:p w14:paraId="009C094D" w14:textId="774819D0" w:rsidR="005037D6" w:rsidRDefault="005037D6" w:rsidP="008D292E">
      <w:pPr>
        <w:pStyle w:val="Body"/>
        <w:tabs>
          <w:tab w:val="left" w:pos="567"/>
        </w:tabs>
      </w:pPr>
      <w:r w:rsidRPr="64BD84F4">
        <w:rPr>
          <w:lang w:val="en-US"/>
        </w:rPr>
        <w:t xml:space="preserve">There is a </w:t>
      </w:r>
      <w:r w:rsidR="00AE78B1">
        <w:rPr>
          <w:lang w:val="en-US"/>
        </w:rPr>
        <w:t>department</w:t>
      </w:r>
      <w:r w:rsidRPr="64BD84F4">
        <w:rPr>
          <w:lang w:val="en-US"/>
        </w:rPr>
        <w:t xml:space="preserve"> expectation that non-designated health services with sufficiently senior staff and the capacity to hold and test a low</w:t>
      </w:r>
      <w:r w:rsidR="002847DD">
        <w:rPr>
          <w:lang w:val="en-US"/>
        </w:rPr>
        <w:t>-</w:t>
      </w:r>
      <w:r w:rsidRPr="64BD84F4">
        <w:rPr>
          <w:lang w:val="en-US"/>
        </w:rPr>
        <w:t xml:space="preserve">possibility suspected case of VHF </w:t>
      </w:r>
      <w:r w:rsidR="002847DD">
        <w:rPr>
          <w:lang w:val="en-US"/>
        </w:rPr>
        <w:t xml:space="preserve">(see workflow in </w:t>
      </w:r>
      <w:hyperlink w:anchor="_Appendix_3_–" w:history="1">
        <w:r w:rsidR="002847DD" w:rsidRPr="002847DD">
          <w:rPr>
            <w:rStyle w:val="Hyperlink"/>
            <w:lang w:val="en-US"/>
          </w:rPr>
          <w:t>Appendix 3</w:t>
        </w:r>
      </w:hyperlink>
      <w:r w:rsidR="002847DD">
        <w:rPr>
          <w:lang w:val="en-US"/>
        </w:rPr>
        <w:t xml:space="preserve">) </w:t>
      </w:r>
      <w:r w:rsidRPr="64BD84F4">
        <w:rPr>
          <w:lang w:val="en-US"/>
        </w:rPr>
        <w:t>will do so</w:t>
      </w:r>
      <w:r>
        <w:rPr>
          <w:lang w:val="en-US"/>
        </w:rPr>
        <w:t>,</w:t>
      </w:r>
      <w:r w:rsidRPr="64BD84F4">
        <w:rPr>
          <w:lang w:val="en-US"/>
        </w:rPr>
        <w:t xml:space="preserve"> if requested by </w:t>
      </w:r>
      <w:r w:rsidR="00AE78B1">
        <w:rPr>
          <w:lang w:val="en-US"/>
        </w:rPr>
        <w:t>the department</w:t>
      </w:r>
      <w:r w:rsidR="002847DD">
        <w:rPr>
          <w:lang w:val="en-US"/>
        </w:rPr>
        <w:t>,</w:t>
      </w:r>
      <w:r w:rsidRPr="64BD84F4">
        <w:rPr>
          <w:lang w:val="en-US"/>
        </w:rPr>
        <w:t xml:space="preserve"> in accordance with the principles outlined in </w:t>
      </w:r>
      <w:hyperlink w:anchor="_Transfer_to_a" w:history="1">
        <w:r w:rsidRPr="002847DD">
          <w:rPr>
            <w:rStyle w:val="Hyperlink"/>
            <w:lang w:val="en-US"/>
          </w:rPr>
          <w:t>section 3.4</w:t>
        </w:r>
      </w:hyperlink>
      <w:r w:rsidRPr="64BD84F4">
        <w:rPr>
          <w:lang w:val="en-US"/>
        </w:rPr>
        <w:t xml:space="preserve"> to assess the need for transfer.</w:t>
      </w:r>
    </w:p>
    <w:p w14:paraId="7D1D91E1" w14:textId="11C24FB7" w:rsidR="005037D6" w:rsidRDefault="005037D6" w:rsidP="008D292E">
      <w:pPr>
        <w:pStyle w:val="Body"/>
        <w:tabs>
          <w:tab w:val="left" w:pos="567"/>
        </w:tabs>
      </w:pPr>
      <w:r w:rsidRPr="64BD84F4">
        <w:t xml:space="preserve">In addition to the steps outlined in </w:t>
      </w:r>
      <w:hyperlink w:anchor="_Transfer_to_a" w:history="1">
        <w:r w:rsidR="002847DD" w:rsidRPr="002847DD">
          <w:rPr>
            <w:rStyle w:val="Hyperlink"/>
            <w:lang w:val="en-US"/>
          </w:rPr>
          <w:t>section 3.4</w:t>
        </w:r>
      </w:hyperlink>
      <w:r w:rsidRPr="00777D0C">
        <w:t>,</w:t>
      </w:r>
      <w:r w:rsidRPr="64BD84F4">
        <w:t xml:space="preserve"> non-designated health services </w:t>
      </w:r>
      <w:r>
        <w:t>should consider</w:t>
      </w:r>
      <w:r w:rsidRPr="64BD84F4">
        <w:t xml:space="preserve"> having an internal escalation arrangement when a suspected or confirmed VHF case present</w:t>
      </w:r>
      <w:r>
        <w:t>s</w:t>
      </w:r>
      <w:r w:rsidRPr="64BD84F4">
        <w:t xml:space="preserve"> to an outpatient or subacute setting where there are limited facilities for effective isolation.</w:t>
      </w:r>
    </w:p>
    <w:p w14:paraId="72726CCE" w14:textId="5A02DEEB" w:rsidR="005037D6" w:rsidRDefault="005037D6" w:rsidP="008D292E">
      <w:pPr>
        <w:pStyle w:val="Body"/>
        <w:tabs>
          <w:tab w:val="left" w:pos="567"/>
        </w:tabs>
      </w:pPr>
      <w:r w:rsidRPr="64BD84F4">
        <w:t>This arrangement can</w:t>
      </w:r>
      <w:r w:rsidR="0000643B">
        <w:t xml:space="preserve"> outline</w:t>
      </w:r>
      <w:r w:rsidRPr="64BD84F4">
        <w:t>:</w:t>
      </w:r>
    </w:p>
    <w:p w14:paraId="2AC5212F" w14:textId="69429D08" w:rsidR="005037D6" w:rsidRPr="002847DD" w:rsidRDefault="005037D6" w:rsidP="008D292E">
      <w:pPr>
        <w:pStyle w:val="Bullet1"/>
        <w:tabs>
          <w:tab w:val="num" w:pos="397"/>
          <w:tab w:val="left" w:pos="567"/>
        </w:tabs>
        <w:ind w:left="397" w:hanging="397"/>
      </w:pPr>
      <w:r w:rsidRPr="002847DD">
        <w:t>systems to identify and notify suspected cases of VHF to the LPHU and relevant staff within the health service (infectious diseases, infection prevention, pathology</w:t>
      </w:r>
      <w:r w:rsidR="0000643B">
        <w:t xml:space="preserve"> and</w:t>
      </w:r>
      <w:r w:rsidRPr="002847DD">
        <w:t xml:space="preserve"> executive)</w:t>
      </w:r>
    </w:p>
    <w:p w14:paraId="6796D5C6" w14:textId="2A0E0DCB" w:rsidR="005037D6" w:rsidRPr="002847DD" w:rsidRDefault="005037D6" w:rsidP="008D292E">
      <w:pPr>
        <w:pStyle w:val="Bullet1"/>
        <w:tabs>
          <w:tab w:val="num" w:pos="397"/>
          <w:tab w:val="left" w:pos="567"/>
        </w:tabs>
        <w:ind w:left="397" w:hanging="397"/>
      </w:pPr>
      <w:r w:rsidRPr="002847DD">
        <w:t>an interim arrangement to safely manage a suspected case of VHF temporarily before transfer to a designated health service</w:t>
      </w:r>
      <w:r w:rsidR="0000643B">
        <w:t>,</w:t>
      </w:r>
      <w:r w:rsidRPr="002847DD">
        <w:t xml:space="preserve"> in discussion with </w:t>
      </w:r>
      <w:r w:rsidR="00AE78B1" w:rsidRPr="002847DD">
        <w:t>the department</w:t>
      </w:r>
      <w:r w:rsidRPr="002847DD">
        <w:t>. This arrangement can focus on isolation of the patient, avoidance of direct contact and timely transfer of the patient</w:t>
      </w:r>
      <w:r w:rsidR="0000643B">
        <w:t>,</w:t>
      </w:r>
      <w:r w:rsidRPr="002847DD">
        <w:t xml:space="preserve"> in discussion with </w:t>
      </w:r>
      <w:r w:rsidR="00AE78B1" w:rsidRPr="002847DD">
        <w:t>the department</w:t>
      </w:r>
      <w:r w:rsidRPr="002847DD">
        <w:t>.</w:t>
      </w:r>
    </w:p>
    <w:p w14:paraId="2093F4A2" w14:textId="77777777" w:rsidR="005037D6" w:rsidRPr="00172EDE" w:rsidRDefault="005037D6" w:rsidP="008D292E">
      <w:pPr>
        <w:pStyle w:val="Heading3"/>
      </w:pPr>
      <w:r w:rsidRPr="00074111">
        <w:t>Primary</w:t>
      </w:r>
      <w:r w:rsidRPr="64BD84F4">
        <w:rPr>
          <w:lang w:val="en-US"/>
        </w:rPr>
        <w:t xml:space="preserve"> care</w:t>
      </w:r>
    </w:p>
    <w:p w14:paraId="671CAD50" w14:textId="4A9B67F8" w:rsidR="005037D6" w:rsidRDefault="005037D6" w:rsidP="008D292E">
      <w:pPr>
        <w:pStyle w:val="Body"/>
        <w:tabs>
          <w:tab w:val="left" w:pos="567"/>
        </w:tabs>
        <w:rPr>
          <w:lang w:val="en-US"/>
        </w:rPr>
      </w:pPr>
      <w:r w:rsidRPr="64BD84F4">
        <w:rPr>
          <w:lang w:val="en-US"/>
        </w:rPr>
        <w:t>Primary care services and facilities should</w:t>
      </w:r>
      <w:r>
        <w:rPr>
          <w:lang w:val="en-US"/>
        </w:rPr>
        <w:t xml:space="preserve"> r</w:t>
      </w:r>
      <w:r w:rsidRPr="00172EDE">
        <w:rPr>
          <w:lang w:val="en-US"/>
        </w:rPr>
        <w:t xml:space="preserve">efer to </w:t>
      </w:r>
      <w:hyperlink w:anchor="_Immediate_actions_on" w:history="1">
        <w:r w:rsidRPr="0000643B">
          <w:rPr>
            <w:rStyle w:val="Hyperlink"/>
            <w:lang w:val="en-US"/>
          </w:rPr>
          <w:t>section 3.3</w:t>
        </w:r>
      </w:hyperlink>
      <w:r w:rsidRPr="00172EDE">
        <w:rPr>
          <w:lang w:val="en-US"/>
        </w:rPr>
        <w:t xml:space="preserve"> regarding initial actions </w:t>
      </w:r>
      <w:r w:rsidR="0000643B">
        <w:rPr>
          <w:lang w:val="en-US"/>
        </w:rPr>
        <w:t>for</w:t>
      </w:r>
      <w:r w:rsidRPr="00172EDE">
        <w:rPr>
          <w:lang w:val="en-US"/>
        </w:rPr>
        <w:t xml:space="preserve"> a suspected case of VHF</w:t>
      </w:r>
      <w:r>
        <w:rPr>
          <w:lang w:val="en-US"/>
        </w:rPr>
        <w:t>.</w:t>
      </w:r>
    </w:p>
    <w:p w14:paraId="5231B452" w14:textId="46F080EA" w:rsidR="005037D6" w:rsidRDefault="005037D6" w:rsidP="008D292E">
      <w:pPr>
        <w:pStyle w:val="Body"/>
        <w:tabs>
          <w:tab w:val="left" w:pos="567"/>
        </w:tabs>
        <w:rPr>
          <w:lang w:val="en-US"/>
        </w:rPr>
      </w:pPr>
      <w:r>
        <w:rPr>
          <w:lang w:val="en-US"/>
        </w:rPr>
        <w:t xml:space="preserve">For </w:t>
      </w:r>
      <w:r w:rsidR="0000643B">
        <w:rPr>
          <w:lang w:val="en-US"/>
        </w:rPr>
        <w:t xml:space="preserve">more </w:t>
      </w:r>
      <w:r>
        <w:rPr>
          <w:lang w:val="en-US"/>
        </w:rPr>
        <w:t xml:space="preserve">information, primary </w:t>
      </w:r>
      <w:proofErr w:type="spellStart"/>
      <w:r>
        <w:rPr>
          <w:lang w:val="en-US"/>
        </w:rPr>
        <w:t>case</w:t>
      </w:r>
      <w:proofErr w:type="spellEnd"/>
      <w:r>
        <w:rPr>
          <w:lang w:val="en-US"/>
        </w:rPr>
        <w:t xml:space="preserve"> service</w:t>
      </w:r>
      <w:r w:rsidR="0000643B">
        <w:rPr>
          <w:lang w:val="en-US"/>
        </w:rPr>
        <w:t>s</w:t>
      </w:r>
      <w:r>
        <w:rPr>
          <w:lang w:val="en-US"/>
        </w:rPr>
        <w:t xml:space="preserve"> may refer</w:t>
      </w:r>
      <w:r w:rsidRPr="00172EDE">
        <w:rPr>
          <w:lang w:val="en-US"/>
        </w:rPr>
        <w:t xml:space="preserve"> to their</w:t>
      </w:r>
      <w:r>
        <w:rPr>
          <w:lang w:val="en-US"/>
        </w:rPr>
        <w:t xml:space="preserve"> Primary Health Networks and </w:t>
      </w:r>
      <w:proofErr w:type="spellStart"/>
      <w:r>
        <w:rPr>
          <w:lang w:val="en-US"/>
        </w:rPr>
        <w:t>HealthPathways</w:t>
      </w:r>
      <w:proofErr w:type="spellEnd"/>
      <w:r w:rsidR="001E2460">
        <w:rPr>
          <w:lang w:val="en-US"/>
        </w:rPr>
        <w:t xml:space="preserve"> at</w:t>
      </w:r>
      <w:r>
        <w:rPr>
          <w:lang w:val="en-US"/>
        </w:rPr>
        <w:t>:</w:t>
      </w:r>
    </w:p>
    <w:p w14:paraId="6D29EABF" w14:textId="07FB1498" w:rsidR="0000643B" w:rsidRDefault="0000643B" w:rsidP="008D292E">
      <w:pPr>
        <w:pStyle w:val="Bullet1"/>
        <w:tabs>
          <w:tab w:val="left" w:pos="567"/>
        </w:tabs>
      </w:pPr>
      <w:hyperlink r:id="rId47" w:history="1">
        <w:r w:rsidRPr="001E2460">
          <w:rPr>
            <w:rStyle w:val="Hyperlink"/>
            <w:lang w:val="en-US"/>
          </w:rPr>
          <w:t>North Western Melbourne and Eastern Melbourne Public Health Network</w:t>
        </w:r>
      </w:hyperlink>
      <w:r w:rsidR="001E2460">
        <w:rPr>
          <w:lang w:val="en-US"/>
        </w:rPr>
        <w:t xml:space="preserve"> </w:t>
      </w:r>
      <w:r w:rsidR="001E2460">
        <w:t>&lt;</w:t>
      </w:r>
      <w:r w:rsidR="001E2460" w:rsidRPr="001E2460">
        <w:t>https://melbourne.communityhealthpathways.org/welcome?returnUrl=%2f</w:t>
      </w:r>
      <w:r w:rsidR="001E2460">
        <w:t>&gt;</w:t>
      </w:r>
    </w:p>
    <w:p w14:paraId="04FAFDF4" w14:textId="3F7B1B4B" w:rsidR="001E2460" w:rsidRDefault="001E2460" w:rsidP="008D292E">
      <w:pPr>
        <w:pStyle w:val="Bullet1"/>
        <w:tabs>
          <w:tab w:val="left" w:pos="567"/>
        </w:tabs>
      </w:pPr>
      <w:hyperlink r:id="rId48" w:history="1">
        <w:r w:rsidRPr="001E2460">
          <w:rPr>
            <w:rStyle w:val="Hyperlink"/>
          </w:rPr>
          <w:t>Eastern Melbourne Public Health Network</w:t>
        </w:r>
      </w:hyperlink>
      <w:r>
        <w:t xml:space="preserve"> &lt;</w:t>
      </w:r>
      <w:r w:rsidRPr="009E7F24">
        <w:t>https://emphn.org.au/</w:t>
      </w:r>
      <w:r>
        <w:t>&gt;</w:t>
      </w:r>
    </w:p>
    <w:p w14:paraId="505C2702" w14:textId="7018F7EF" w:rsidR="001E2460" w:rsidRDefault="001E2460" w:rsidP="008D292E">
      <w:pPr>
        <w:pStyle w:val="Bullet1"/>
        <w:tabs>
          <w:tab w:val="left" w:pos="567"/>
        </w:tabs>
      </w:pPr>
      <w:hyperlink r:id="rId49" w:history="1">
        <w:r w:rsidRPr="001E2460">
          <w:rPr>
            <w:rStyle w:val="Hyperlink"/>
          </w:rPr>
          <w:t>South Eastern Melbourne Public Health Network</w:t>
        </w:r>
      </w:hyperlink>
      <w:r>
        <w:t xml:space="preserve"> &lt;</w:t>
      </w:r>
      <w:r w:rsidRPr="001E2460">
        <w:t>https://www.semphn.org.au/pathways</w:t>
      </w:r>
      <w:r>
        <w:t>&gt;</w:t>
      </w:r>
    </w:p>
    <w:p w14:paraId="101FA466" w14:textId="02559233" w:rsidR="001E2460" w:rsidRDefault="001E2460" w:rsidP="008D292E">
      <w:pPr>
        <w:pStyle w:val="Bullet1"/>
        <w:tabs>
          <w:tab w:val="left" w:pos="567"/>
        </w:tabs>
      </w:pPr>
      <w:hyperlink r:id="rId50" w:history="1">
        <w:r w:rsidRPr="001E2460">
          <w:rPr>
            <w:rStyle w:val="Hyperlink"/>
          </w:rPr>
          <w:t>Gippsland Public Health Network</w:t>
        </w:r>
      </w:hyperlink>
      <w:r>
        <w:t xml:space="preserve"> &lt;</w:t>
      </w:r>
      <w:r w:rsidRPr="001E2460">
        <w:t>https://gippslandpathways.gphn.org.au/login/?redirect_to=https%3A%2F%2Fgippslandpathways.gphn.org.au%2F</w:t>
      </w:r>
      <w:r>
        <w:t>&gt;</w:t>
      </w:r>
    </w:p>
    <w:p w14:paraId="2F714F55" w14:textId="289F9BB4" w:rsidR="001E2460" w:rsidRDefault="001E2460" w:rsidP="008D292E">
      <w:pPr>
        <w:pStyle w:val="Bullet1"/>
        <w:tabs>
          <w:tab w:val="left" w:pos="567"/>
        </w:tabs>
      </w:pPr>
      <w:hyperlink r:id="rId51" w:history="1">
        <w:r w:rsidRPr="001E2460">
          <w:rPr>
            <w:rStyle w:val="Hyperlink"/>
          </w:rPr>
          <w:t>Murray Public Health Network</w:t>
        </w:r>
      </w:hyperlink>
      <w:r>
        <w:t xml:space="preserve"> &lt;</w:t>
      </w:r>
      <w:r w:rsidRPr="001E2460">
        <w:t>https://murray.communityhealthpathways.org/welcome?returnUrl=%2f</w:t>
      </w:r>
      <w:r>
        <w:t>&gt;</w:t>
      </w:r>
    </w:p>
    <w:p w14:paraId="66642EEA" w14:textId="5B233E22" w:rsidR="005037D6" w:rsidRPr="00172EDE" w:rsidRDefault="005037D6" w:rsidP="008D292E">
      <w:pPr>
        <w:pStyle w:val="Bullet1"/>
        <w:tabs>
          <w:tab w:val="num" w:pos="397"/>
          <w:tab w:val="left" w:pos="567"/>
        </w:tabs>
        <w:ind w:left="397" w:hanging="397"/>
        <w:rPr>
          <w:lang w:val="en-US"/>
        </w:rPr>
      </w:pPr>
      <w:hyperlink r:id="rId52" w:tgtFrame="_blank" w:history="1">
        <w:r w:rsidRPr="008267AC">
          <w:rPr>
            <w:rStyle w:val="Hyperlink"/>
          </w:rPr>
          <w:t>Western Victoria Public Health</w:t>
        </w:r>
        <w:r w:rsidR="0000643B">
          <w:rPr>
            <w:rStyle w:val="Hyperlink"/>
          </w:rPr>
          <w:t xml:space="preserve"> </w:t>
        </w:r>
        <w:r w:rsidRPr="008267AC">
          <w:rPr>
            <w:rStyle w:val="Hyperlink"/>
          </w:rPr>
          <w:t>Network</w:t>
        </w:r>
      </w:hyperlink>
      <w:r w:rsidR="0000643B">
        <w:t xml:space="preserve"> &lt;</w:t>
      </w:r>
      <w:r w:rsidR="0000643B" w:rsidRPr="0000643B">
        <w:t>https://westvic.communityhealthpathways.org/welcome?returnUrl=%2f</w:t>
      </w:r>
      <w:r w:rsidR="0000643B">
        <w:t>&gt;.</w:t>
      </w:r>
    </w:p>
    <w:p w14:paraId="2C68BED2" w14:textId="1FEB0E00" w:rsidR="005037D6" w:rsidRDefault="005037D6" w:rsidP="008D292E">
      <w:pPr>
        <w:pStyle w:val="Heading3"/>
      </w:pPr>
      <w:bookmarkStart w:id="24" w:name="_Airports/Seaports"/>
      <w:bookmarkEnd w:id="24"/>
      <w:r w:rsidRPr="00B83C0C">
        <w:t>Airports</w:t>
      </w:r>
      <w:r w:rsidR="001E2460">
        <w:rPr>
          <w:lang w:val="en-US"/>
        </w:rPr>
        <w:t xml:space="preserve"> and s</w:t>
      </w:r>
      <w:r w:rsidRPr="64BD84F4">
        <w:rPr>
          <w:lang w:val="en-US"/>
        </w:rPr>
        <w:t>eaports</w:t>
      </w:r>
    </w:p>
    <w:p w14:paraId="496D42C6" w14:textId="4C65EE8C" w:rsidR="005037D6" w:rsidRDefault="005037D6" w:rsidP="008D292E">
      <w:pPr>
        <w:pStyle w:val="Body"/>
        <w:tabs>
          <w:tab w:val="left" w:pos="567"/>
        </w:tabs>
        <w:rPr>
          <w:lang w:val="en-US"/>
        </w:rPr>
      </w:pPr>
      <w:r w:rsidRPr="64BD84F4">
        <w:rPr>
          <w:lang w:val="en-US"/>
        </w:rPr>
        <w:t xml:space="preserve">The </w:t>
      </w:r>
      <w:r w:rsidRPr="003A6EAC">
        <w:rPr>
          <w:i/>
          <w:iCs/>
          <w:lang w:val="en-US"/>
        </w:rPr>
        <w:t>Biosecurity Act</w:t>
      </w:r>
      <w:r w:rsidR="003A6EAC" w:rsidRPr="003A6EAC">
        <w:rPr>
          <w:i/>
          <w:iCs/>
        </w:rPr>
        <w:t xml:space="preserve"> 2015</w:t>
      </w:r>
      <w:r>
        <w:rPr>
          <w:lang w:val="en-US"/>
        </w:rPr>
        <w:t xml:space="preserve"> outlines how human health risks from arriving</w:t>
      </w:r>
      <w:r w:rsidRPr="64BD84F4" w:rsidDel="00084FBF">
        <w:rPr>
          <w:lang w:val="en-US"/>
        </w:rPr>
        <w:t xml:space="preserve"> </w:t>
      </w:r>
      <w:r w:rsidRPr="64BD84F4">
        <w:rPr>
          <w:lang w:val="en-US"/>
        </w:rPr>
        <w:t>aircraft and</w:t>
      </w:r>
      <w:r>
        <w:rPr>
          <w:lang w:val="en-US"/>
        </w:rPr>
        <w:t xml:space="preserve"> </w:t>
      </w:r>
      <w:r w:rsidRPr="64BD84F4">
        <w:rPr>
          <w:lang w:val="en-US"/>
        </w:rPr>
        <w:t xml:space="preserve">vessels </w:t>
      </w:r>
      <w:r>
        <w:rPr>
          <w:lang w:val="en-US"/>
        </w:rPr>
        <w:t>are managed, including suspected cases of VHF at port of first entry (for example, airport or seaport).</w:t>
      </w:r>
      <w:r w:rsidRPr="64BD84F4">
        <w:rPr>
          <w:lang w:val="en-US"/>
        </w:rPr>
        <w:t xml:space="preserve"> </w:t>
      </w:r>
    </w:p>
    <w:p w14:paraId="7FA78084" w14:textId="7D8FFECA" w:rsidR="005037D6" w:rsidRDefault="005037D6" w:rsidP="008D292E">
      <w:pPr>
        <w:pStyle w:val="Body"/>
        <w:tabs>
          <w:tab w:val="left" w:pos="567"/>
        </w:tabs>
        <w:rPr>
          <w:lang w:val="en-US"/>
        </w:rPr>
      </w:pPr>
      <w:r>
        <w:rPr>
          <w:lang w:val="en-US"/>
        </w:rPr>
        <w:t>The</w:t>
      </w:r>
      <w:r w:rsidRPr="64BD84F4">
        <w:rPr>
          <w:lang w:val="en-US"/>
        </w:rPr>
        <w:t xml:space="preserve"> Commonwealth Department of Health</w:t>
      </w:r>
      <w:r w:rsidR="001E2460">
        <w:rPr>
          <w:lang w:val="en-US"/>
        </w:rPr>
        <w:t>, Disability and Ageing</w:t>
      </w:r>
      <w:r w:rsidRPr="64BD84F4">
        <w:rPr>
          <w:lang w:val="en-US"/>
        </w:rPr>
        <w:t xml:space="preserve"> is responsible for administering human</w:t>
      </w:r>
      <w:r>
        <w:rPr>
          <w:lang w:val="en-US"/>
        </w:rPr>
        <w:t xml:space="preserve"> </w:t>
      </w:r>
      <w:r w:rsidRPr="64BD84F4">
        <w:rPr>
          <w:lang w:val="en-US"/>
        </w:rPr>
        <w:t xml:space="preserve">health aspects of </w:t>
      </w:r>
      <w:r>
        <w:rPr>
          <w:lang w:val="en-US"/>
        </w:rPr>
        <w:t>t</w:t>
      </w:r>
      <w:r w:rsidRPr="64BD84F4">
        <w:rPr>
          <w:lang w:val="en-US"/>
        </w:rPr>
        <w:t xml:space="preserve">he </w:t>
      </w:r>
      <w:r w:rsidRPr="003A6EAC">
        <w:rPr>
          <w:i/>
          <w:iCs/>
          <w:lang w:val="en-US"/>
        </w:rPr>
        <w:t>Biosecurity Act</w:t>
      </w:r>
      <w:r w:rsidR="003A6EAC" w:rsidRPr="003A6EAC">
        <w:rPr>
          <w:i/>
          <w:iCs/>
        </w:rPr>
        <w:t xml:space="preserve"> 2015</w:t>
      </w:r>
      <w:r w:rsidRPr="64BD84F4">
        <w:rPr>
          <w:lang w:val="en-US"/>
        </w:rPr>
        <w:t>,</w:t>
      </w:r>
      <w:r>
        <w:rPr>
          <w:lang w:val="en-US"/>
        </w:rPr>
        <w:t xml:space="preserve"> but</w:t>
      </w:r>
      <w:r w:rsidRPr="64BD84F4">
        <w:rPr>
          <w:lang w:val="en-US"/>
        </w:rPr>
        <w:t xml:space="preserve"> administrative arrangements are in place for </w:t>
      </w:r>
      <w:r w:rsidRPr="671B1AAA">
        <w:rPr>
          <w:lang w:val="en-US"/>
        </w:rPr>
        <w:t>Biosecurity O</w:t>
      </w:r>
      <w:r w:rsidRPr="64BD84F4">
        <w:rPr>
          <w:lang w:val="en-US"/>
        </w:rPr>
        <w:t xml:space="preserve">fficers from </w:t>
      </w:r>
      <w:r w:rsidRPr="671B1AAA">
        <w:rPr>
          <w:lang w:val="en-US"/>
        </w:rPr>
        <w:t>DAFF</w:t>
      </w:r>
      <w:r>
        <w:rPr>
          <w:lang w:val="en-US"/>
        </w:rPr>
        <w:t xml:space="preserve"> </w:t>
      </w:r>
      <w:r w:rsidRPr="671B1AAA">
        <w:rPr>
          <w:lang w:val="en-US"/>
        </w:rPr>
        <w:t>to</w:t>
      </w:r>
      <w:r w:rsidRPr="64BD84F4">
        <w:rPr>
          <w:lang w:val="en-US"/>
        </w:rPr>
        <w:t xml:space="preserve"> perform these functions</w:t>
      </w:r>
      <w:r>
        <w:rPr>
          <w:lang w:val="en-US"/>
        </w:rPr>
        <w:t>,</w:t>
      </w:r>
      <w:r w:rsidRPr="64BD84F4">
        <w:rPr>
          <w:lang w:val="en-US"/>
        </w:rPr>
        <w:t xml:space="preserve"> support</w:t>
      </w:r>
      <w:r>
        <w:rPr>
          <w:lang w:val="en-US"/>
        </w:rPr>
        <w:t>ed by</w:t>
      </w:r>
      <w:r w:rsidRPr="64BD84F4">
        <w:rPr>
          <w:lang w:val="en-US"/>
        </w:rPr>
        <w:t xml:space="preserve"> state and territory health departments. </w:t>
      </w:r>
    </w:p>
    <w:p w14:paraId="57FA38F2" w14:textId="77777777" w:rsidR="005037D6" w:rsidRDefault="005037D6" w:rsidP="008D292E">
      <w:pPr>
        <w:pStyle w:val="Body"/>
        <w:tabs>
          <w:tab w:val="left" w:pos="567"/>
        </w:tabs>
        <w:rPr>
          <w:lang w:val="en-US"/>
        </w:rPr>
      </w:pPr>
      <w:r>
        <w:rPr>
          <w:lang w:val="en-US"/>
        </w:rPr>
        <w:t>If VHF is suspected:</w:t>
      </w:r>
    </w:p>
    <w:p w14:paraId="35677275" w14:textId="02A82D46" w:rsidR="005037D6" w:rsidRPr="001E2460" w:rsidRDefault="001E2460" w:rsidP="008D292E">
      <w:pPr>
        <w:pStyle w:val="Bullet1"/>
        <w:tabs>
          <w:tab w:val="num" w:pos="397"/>
          <w:tab w:val="left" w:pos="567"/>
        </w:tabs>
        <w:ind w:left="397" w:hanging="397"/>
      </w:pPr>
      <w:r w:rsidRPr="001E2460">
        <w:t>a</w:t>
      </w:r>
      <w:r w:rsidR="005037D6" w:rsidRPr="001E2460">
        <w:t xml:space="preserve"> DAFF Biosecurity Officer will call the state HBO</w:t>
      </w:r>
    </w:p>
    <w:p w14:paraId="5C9EC479" w14:textId="353CE3C0" w:rsidR="005037D6" w:rsidRPr="001E2460" w:rsidRDefault="001E2460" w:rsidP="008D292E">
      <w:pPr>
        <w:pStyle w:val="Bullet1"/>
        <w:tabs>
          <w:tab w:val="num" w:pos="397"/>
          <w:tab w:val="left" w:pos="567"/>
        </w:tabs>
        <w:ind w:left="397" w:hanging="397"/>
      </w:pPr>
      <w:r w:rsidRPr="001E2460">
        <w:t>t</w:t>
      </w:r>
      <w:r w:rsidR="005037D6" w:rsidRPr="001E2460">
        <w:t>he HBO will assess the likelihood of VHF and provide direction on case management, contact management</w:t>
      </w:r>
      <w:r w:rsidRPr="001E2460">
        <w:t>,</w:t>
      </w:r>
      <w:r w:rsidR="005037D6" w:rsidRPr="001E2460">
        <w:t xml:space="preserve"> and provide advice on precautionary environmental cleaning and disinfection</w:t>
      </w:r>
      <w:r w:rsidRPr="001E2460">
        <w:t>,</w:t>
      </w:r>
      <w:r w:rsidR="005037D6" w:rsidRPr="001E2460">
        <w:t xml:space="preserve"> in accordance with the Human Biosecurity Guidelines and the VHF Control Guidelines</w:t>
      </w:r>
    </w:p>
    <w:p w14:paraId="51E44B38" w14:textId="7BFA1275" w:rsidR="005037D6" w:rsidRPr="001E2460" w:rsidRDefault="001E2460" w:rsidP="008D292E">
      <w:pPr>
        <w:pStyle w:val="Bullet1"/>
        <w:tabs>
          <w:tab w:val="num" w:pos="397"/>
          <w:tab w:val="left" w:pos="567"/>
        </w:tabs>
        <w:ind w:left="397" w:hanging="397"/>
      </w:pPr>
      <w:r w:rsidRPr="001E2460">
        <w:t>f</w:t>
      </w:r>
      <w:r w:rsidR="005037D6" w:rsidRPr="001E2460">
        <w:t>ollowing assessment, the patient will be transferred via AV to the designated health service for further investigation and treatment.</w:t>
      </w:r>
    </w:p>
    <w:p w14:paraId="3E268773" w14:textId="77777777" w:rsidR="005037D6" w:rsidRPr="0051409C" w:rsidRDefault="005037D6" w:rsidP="008D292E">
      <w:pPr>
        <w:pStyle w:val="Heading2"/>
        <w:tabs>
          <w:tab w:val="left" w:pos="567"/>
        </w:tabs>
      </w:pPr>
      <w:bookmarkStart w:id="25" w:name="_Immediate_actions_on"/>
      <w:bookmarkStart w:id="26" w:name="_Toc217022538"/>
      <w:bookmarkEnd w:id="25"/>
      <w:r w:rsidRPr="0051409C">
        <w:t>Immediate actions on suspicion of VHF disease</w:t>
      </w:r>
      <w:bookmarkEnd w:id="26"/>
    </w:p>
    <w:p w14:paraId="67271407" w14:textId="77777777" w:rsidR="005037D6" w:rsidRPr="0051409C" w:rsidRDefault="005037D6" w:rsidP="008D292E">
      <w:pPr>
        <w:pStyle w:val="Heading3"/>
      </w:pPr>
      <w:r w:rsidRPr="0051409C">
        <w:t xml:space="preserve">Non-designated health </w:t>
      </w:r>
      <w:r>
        <w:t>services</w:t>
      </w:r>
    </w:p>
    <w:p w14:paraId="613834CC" w14:textId="6F9CA47B" w:rsidR="005037D6" w:rsidRDefault="005037D6" w:rsidP="008D292E">
      <w:pPr>
        <w:pStyle w:val="Body"/>
        <w:tabs>
          <w:tab w:val="left" w:pos="567"/>
        </w:tabs>
        <w:rPr>
          <w:lang w:val="en-US"/>
        </w:rPr>
      </w:pPr>
      <w:r>
        <w:rPr>
          <w:lang w:val="en-US"/>
        </w:rPr>
        <w:t xml:space="preserve">When VHF is </w:t>
      </w:r>
      <w:proofErr w:type="gramStart"/>
      <w:r>
        <w:rPr>
          <w:lang w:val="en-US"/>
        </w:rPr>
        <w:t>suspected in</w:t>
      </w:r>
      <w:proofErr w:type="gramEnd"/>
      <w:r>
        <w:rPr>
          <w:lang w:val="en-US"/>
        </w:rPr>
        <w:t xml:space="preserve"> a </w:t>
      </w:r>
      <w:r w:rsidR="00BA2552">
        <w:rPr>
          <w:lang w:val="en-US"/>
        </w:rPr>
        <w:t xml:space="preserve">patient presenting to a </w:t>
      </w:r>
      <w:r w:rsidRPr="64BD84F4">
        <w:rPr>
          <w:lang w:val="en-US"/>
        </w:rPr>
        <w:t xml:space="preserve">non-designated health service or primary care clinic, </w:t>
      </w:r>
      <w:r>
        <w:rPr>
          <w:lang w:val="en-US"/>
        </w:rPr>
        <w:t xml:space="preserve">transfer to a designated health service may not be immediate and may </w:t>
      </w:r>
      <w:r w:rsidRPr="64BD84F4">
        <w:rPr>
          <w:lang w:val="en-US"/>
        </w:rPr>
        <w:t>depend on location, resources</w:t>
      </w:r>
      <w:r>
        <w:rPr>
          <w:lang w:val="en-US"/>
        </w:rPr>
        <w:t xml:space="preserve">, </w:t>
      </w:r>
      <w:r w:rsidRPr="64BD84F4">
        <w:rPr>
          <w:lang w:val="en-US"/>
        </w:rPr>
        <w:t>patient acuity</w:t>
      </w:r>
      <w:r>
        <w:rPr>
          <w:lang w:val="en-US"/>
        </w:rPr>
        <w:t xml:space="preserve"> and processing of laboratory results</w:t>
      </w:r>
      <w:r w:rsidRPr="64BD84F4">
        <w:rPr>
          <w:lang w:val="en-US"/>
        </w:rPr>
        <w:t>.</w:t>
      </w:r>
    </w:p>
    <w:p w14:paraId="444E514C" w14:textId="3072ED2C" w:rsidR="005037D6" w:rsidRPr="0051409C" w:rsidRDefault="005037D6" w:rsidP="008D292E">
      <w:pPr>
        <w:pStyle w:val="Body"/>
        <w:tabs>
          <w:tab w:val="left" w:pos="567"/>
        </w:tabs>
      </w:pPr>
      <w:r>
        <w:rPr>
          <w:lang w:val="en-US"/>
        </w:rPr>
        <w:t xml:space="preserve">Decisions about direct transfer or collecting and sending blood specimens for VHF testing will be made on </w:t>
      </w:r>
      <w:r w:rsidRPr="64BD84F4">
        <w:rPr>
          <w:lang w:val="en-US"/>
        </w:rPr>
        <w:t xml:space="preserve">a case-by-case basis </w:t>
      </w:r>
      <w:r>
        <w:rPr>
          <w:lang w:val="en-US"/>
        </w:rPr>
        <w:t xml:space="preserve">in consultation with </w:t>
      </w:r>
      <w:r w:rsidR="00AE78B1">
        <w:rPr>
          <w:lang w:val="en-US"/>
        </w:rPr>
        <w:t>the department</w:t>
      </w:r>
      <w:r w:rsidRPr="64BD84F4">
        <w:rPr>
          <w:lang w:val="en-US"/>
        </w:rPr>
        <w:t xml:space="preserve">. </w:t>
      </w:r>
      <w:r>
        <w:rPr>
          <w:lang w:val="en-US"/>
        </w:rPr>
        <w:t>Regardless of approach</w:t>
      </w:r>
      <w:r w:rsidRPr="64BD84F4">
        <w:rPr>
          <w:lang w:val="en-US"/>
        </w:rPr>
        <w:t>, the local health service should</w:t>
      </w:r>
      <w:r>
        <w:rPr>
          <w:lang w:val="en-US"/>
        </w:rPr>
        <w:t xml:space="preserve"> plan to manage </w:t>
      </w:r>
      <w:r w:rsidRPr="64BD84F4">
        <w:rPr>
          <w:lang w:val="en-US"/>
        </w:rPr>
        <w:t>a suspected case for up to several hours</w:t>
      </w:r>
      <w:r w:rsidR="00F321A0">
        <w:rPr>
          <w:lang w:val="en-US"/>
        </w:rPr>
        <w:t xml:space="preserve"> (s</w:t>
      </w:r>
      <w:r>
        <w:rPr>
          <w:lang w:val="en-US"/>
        </w:rPr>
        <w:t xml:space="preserve">ee </w:t>
      </w:r>
      <w:r w:rsidR="00F321A0">
        <w:rPr>
          <w:lang w:val="en-US"/>
        </w:rPr>
        <w:t xml:space="preserve">flow chart in </w:t>
      </w:r>
      <w:hyperlink w:anchor="_Appendix_3_–" w:history="1">
        <w:r w:rsidRPr="00F321A0">
          <w:rPr>
            <w:rStyle w:val="Hyperlink"/>
            <w:lang w:val="en-US"/>
          </w:rPr>
          <w:t>Appendix 3</w:t>
        </w:r>
      </w:hyperlink>
      <w:r w:rsidR="00F321A0">
        <w:rPr>
          <w:lang w:val="en-US"/>
        </w:rPr>
        <w:t>)</w:t>
      </w:r>
      <w:r>
        <w:rPr>
          <w:lang w:val="en-US"/>
        </w:rPr>
        <w:t xml:space="preserve">. </w:t>
      </w:r>
      <w:r w:rsidR="00F321A0">
        <w:rPr>
          <w:lang w:val="en-US"/>
        </w:rPr>
        <w:t>This includes the following procedures.</w:t>
      </w:r>
    </w:p>
    <w:p w14:paraId="27B8910C" w14:textId="38337658" w:rsidR="00630E7E" w:rsidRDefault="005037D6" w:rsidP="008D292E">
      <w:pPr>
        <w:pStyle w:val="Numberdigitindent"/>
        <w:numPr>
          <w:ilvl w:val="0"/>
          <w:numId w:val="0"/>
        </w:numPr>
        <w:tabs>
          <w:tab w:val="left" w:pos="567"/>
        </w:tabs>
        <w:rPr>
          <w:b/>
          <w:bCs/>
          <w:lang w:val="en-US"/>
        </w:rPr>
      </w:pPr>
      <w:r w:rsidRPr="003E1D96">
        <w:rPr>
          <w:b/>
          <w:lang w:val="en-US"/>
        </w:rPr>
        <w:t xml:space="preserve">Isolation and </w:t>
      </w:r>
      <w:r w:rsidRPr="003E1D96">
        <w:rPr>
          <w:b/>
        </w:rPr>
        <w:t>personal protective equipment</w:t>
      </w:r>
      <w:r w:rsidRPr="003E1D96">
        <w:rPr>
          <w:b/>
          <w:lang w:val="en-US"/>
        </w:rPr>
        <w:t xml:space="preserve"> (PPE)</w:t>
      </w:r>
    </w:p>
    <w:p w14:paraId="0B91ACA0" w14:textId="3CC88981" w:rsidR="005037D6" w:rsidRDefault="00630E7E" w:rsidP="008D292E">
      <w:pPr>
        <w:pStyle w:val="Numberdigitindent"/>
        <w:numPr>
          <w:ilvl w:val="0"/>
          <w:numId w:val="0"/>
        </w:numPr>
        <w:tabs>
          <w:tab w:val="left" w:pos="567"/>
        </w:tabs>
      </w:pPr>
      <w:r>
        <w:rPr>
          <w:lang w:val="en-US"/>
        </w:rPr>
        <w:t>This</w:t>
      </w:r>
      <w:r w:rsidR="00F321A0">
        <w:rPr>
          <w:lang w:val="en-US"/>
        </w:rPr>
        <w:t xml:space="preserve"> requires:</w:t>
      </w:r>
    </w:p>
    <w:p w14:paraId="6E982BB2" w14:textId="51A4E33D" w:rsidR="005037D6" w:rsidRDefault="00F321A0" w:rsidP="008D292E">
      <w:pPr>
        <w:pStyle w:val="Bullet1"/>
        <w:tabs>
          <w:tab w:val="left" w:pos="567"/>
        </w:tabs>
      </w:pPr>
      <w:r>
        <w:rPr>
          <w:lang w:val="en-US"/>
        </w:rPr>
        <w:t>i</w:t>
      </w:r>
      <w:r w:rsidR="005037D6" w:rsidRPr="64BD84F4">
        <w:rPr>
          <w:lang w:val="en-US"/>
        </w:rPr>
        <w:t>solat</w:t>
      </w:r>
      <w:r>
        <w:rPr>
          <w:lang w:val="en-US"/>
        </w:rPr>
        <w:t>ing</w:t>
      </w:r>
      <w:r w:rsidR="005037D6" w:rsidRPr="64BD84F4">
        <w:rPr>
          <w:lang w:val="en-US"/>
        </w:rPr>
        <w:t xml:space="preserve"> the patient immediately in a single room with </w:t>
      </w:r>
      <w:r w:rsidR="005037D6">
        <w:rPr>
          <w:lang w:val="en-US"/>
        </w:rPr>
        <w:t>the</w:t>
      </w:r>
      <w:r w:rsidR="005037D6" w:rsidRPr="64BD84F4">
        <w:rPr>
          <w:lang w:val="en-US"/>
        </w:rPr>
        <w:t xml:space="preserve"> door</w:t>
      </w:r>
      <w:r w:rsidR="005037D6">
        <w:rPr>
          <w:lang w:val="en-US"/>
        </w:rPr>
        <w:t xml:space="preserve"> closed</w:t>
      </w:r>
      <w:r w:rsidR="005037D6" w:rsidRPr="64BD84F4">
        <w:rPr>
          <w:lang w:val="en-US"/>
        </w:rPr>
        <w:t>. If available, this should be in a negative pressure</w:t>
      </w:r>
      <w:r w:rsidR="005037D6">
        <w:rPr>
          <w:lang w:val="en-US"/>
        </w:rPr>
        <w:t xml:space="preserve"> ventilation</w:t>
      </w:r>
      <w:r w:rsidR="005037D6" w:rsidRPr="64BD84F4">
        <w:rPr>
          <w:lang w:val="en-US"/>
        </w:rPr>
        <w:t xml:space="preserve"> </w:t>
      </w:r>
      <w:r w:rsidR="005037D6">
        <w:rPr>
          <w:lang w:val="en-US"/>
        </w:rPr>
        <w:t>room</w:t>
      </w:r>
    </w:p>
    <w:p w14:paraId="5ED146FF" w14:textId="5AF12FA9" w:rsidR="005037D6" w:rsidRDefault="00F321A0" w:rsidP="008D292E">
      <w:pPr>
        <w:pStyle w:val="Bullet1"/>
        <w:tabs>
          <w:tab w:val="left" w:pos="567"/>
        </w:tabs>
      </w:pPr>
      <w:proofErr w:type="gramStart"/>
      <w:r>
        <w:rPr>
          <w:lang w:val="en-US"/>
        </w:rPr>
        <w:t>i</w:t>
      </w:r>
      <w:r w:rsidR="005037D6" w:rsidRPr="64BD84F4">
        <w:rPr>
          <w:lang w:val="en-US"/>
        </w:rPr>
        <w:t>nstitut</w:t>
      </w:r>
      <w:r>
        <w:rPr>
          <w:lang w:val="en-US"/>
        </w:rPr>
        <w:t>ing</w:t>
      </w:r>
      <w:proofErr w:type="gramEnd"/>
      <w:r w:rsidR="005037D6" w:rsidRPr="64BD84F4">
        <w:rPr>
          <w:lang w:val="en-US"/>
        </w:rPr>
        <w:t xml:space="preserve"> PPE for staff as per </w:t>
      </w:r>
      <w:hyperlink w:anchor="_Personal_protective_equipmentPPE" w:history="1">
        <w:r w:rsidR="005037D6" w:rsidRPr="00C06034">
          <w:rPr>
            <w:rStyle w:val="Hyperlink"/>
            <w:lang w:val="en-US"/>
          </w:rPr>
          <w:t>section 5.4</w:t>
        </w:r>
      </w:hyperlink>
    </w:p>
    <w:p w14:paraId="1D9D7DE1" w14:textId="5FB83FEA" w:rsidR="005037D6" w:rsidRDefault="00F321A0" w:rsidP="008D292E">
      <w:pPr>
        <w:pStyle w:val="Bullet1"/>
        <w:tabs>
          <w:tab w:val="left" w:pos="567"/>
        </w:tabs>
      </w:pPr>
      <w:proofErr w:type="spellStart"/>
      <w:r>
        <w:rPr>
          <w:lang w:val="en-US"/>
        </w:rPr>
        <w:t>m</w:t>
      </w:r>
      <w:r w:rsidR="005037D6" w:rsidRPr="64BD84F4">
        <w:rPr>
          <w:lang w:val="en-US"/>
        </w:rPr>
        <w:t>inimi</w:t>
      </w:r>
      <w:r w:rsidR="005037D6">
        <w:rPr>
          <w:lang w:val="en-US"/>
        </w:rPr>
        <w:t>s</w:t>
      </w:r>
      <w:r>
        <w:rPr>
          <w:lang w:val="en-US"/>
        </w:rPr>
        <w:t>ing</w:t>
      </w:r>
      <w:proofErr w:type="spellEnd"/>
      <w:r w:rsidR="005037D6" w:rsidRPr="64BD84F4">
        <w:rPr>
          <w:lang w:val="en-US"/>
        </w:rPr>
        <w:t xml:space="preserve"> unnecessary staff and family contact</w:t>
      </w:r>
      <w:r>
        <w:rPr>
          <w:lang w:val="en-US"/>
        </w:rPr>
        <w:t>.</w:t>
      </w:r>
    </w:p>
    <w:p w14:paraId="3CB37712" w14:textId="7AF35B57" w:rsidR="00F321A0" w:rsidRDefault="005037D6" w:rsidP="008D292E">
      <w:pPr>
        <w:pStyle w:val="Bodyafterbullets"/>
        <w:tabs>
          <w:tab w:val="left" w:pos="567"/>
        </w:tabs>
      </w:pPr>
      <w:r w:rsidRPr="003E2411">
        <w:lastRenderedPageBreak/>
        <w:t>In non-designated health services where minimal PPE</w:t>
      </w:r>
      <w:r w:rsidR="00F321A0">
        <w:t xml:space="preserve"> or </w:t>
      </w:r>
      <w:r w:rsidRPr="003E2411">
        <w:t xml:space="preserve">isolation facilities </w:t>
      </w:r>
      <w:r>
        <w:t xml:space="preserve">and no IPC expertise </w:t>
      </w:r>
      <w:r w:rsidRPr="003E2411">
        <w:t xml:space="preserve">are available (such as primary care), minimise </w:t>
      </w:r>
      <w:r w:rsidR="00F321A0">
        <w:t>the patient’s</w:t>
      </w:r>
      <w:r w:rsidRPr="003E2411">
        <w:t xml:space="preserve"> movement in the health service</w:t>
      </w:r>
      <w:r>
        <w:t xml:space="preserve"> and</w:t>
      </w:r>
      <w:r w:rsidRPr="003E2411">
        <w:t xml:space="preserve"> isolate them in a single room away from other staff and patients with </w:t>
      </w:r>
      <w:r>
        <w:t xml:space="preserve">the </w:t>
      </w:r>
      <w:r w:rsidRPr="003E2411">
        <w:t xml:space="preserve">door shut. Use the maximum level of PPE available at the practice (as outlined in </w:t>
      </w:r>
      <w:hyperlink w:anchor="_Personal_protective_equipment" w:history="1">
        <w:r w:rsidRPr="00F321A0">
          <w:rPr>
            <w:rStyle w:val="Hyperlink"/>
          </w:rPr>
          <w:t>section 5.4</w:t>
        </w:r>
      </w:hyperlink>
      <w:r w:rsidRPr="003E2411">
        <w:t xml:space="preserve">) in discussion with </w:t>
      </w:r>
      <w:r w:rsidR="00AE78B1">
        <w:t>the department</w:t>
      </w:r>
      <w:r>
        <w:t>.</w:t>
      </w:r>
    </w:p>
    <w:p w14:paraId="3DF2E107" w14:textId="6AB9BD9D" w:rsidR="005037D6" w:rsidRDefault="005037D6" w:rsidP="008D292E">
      <w:pPr>
        <w:pStyle w:val="Bodyafterbullets"/>
        <w:tabs>
          <w:tab w:val="left" w:pos="567"/>
        </w:tabs>
      </w:pPr>
      <w:r>
        <w:t xml:space="preserve">For non-designated health services with IPC teams, the level of PPE should be determined according to </w:t>
      </w:r>
      <w:hyperlink w:anchor="_Personal_protective_equipment" w:history="1">
        <w:r w:rsidRPr="00F321A0">
          <w:rPr>
            <w:rStyle w:val="Hyperlink"/>
          </w:rPr>
          <w:t>section 5.4</w:t>
        </w:r>
      </w:hyperlink>
      <w:r>
        <w:t xml:space="preserve"> and in discussion with </w:t>
      </w:r>
      <w:r w:rsidR="00AE78B1">
        <w:t>the department</w:t>
      </w:r>
      <w:r>
        <w:t>.</w:t>
      </w:r>
    </w:p>
    <w:p w14:paraId="2FDA4BC4" w14:textId="40E322EF" w:rsidR="00630E7E" w:rsidRDefault="005037D6" w:rsidP="008D292E">
      <w:pPr>
        <w:pStyle w:val="Body"/>
        <w:tabs>
          <w:tab w:val="left" w:pos="567"/>
        </w:tabs>
        <w:rPr>
          <w:b/>
          <w:bCs/>
          <w:lang w:val="en-US"/>
        </w:rPr>
      </w:pPr>
      <w:r w:rsidRPr="003E1D96">
        <w:rPr>
          <w:b/>
          <w:lang w:val="en-US"/>
        </w:rPr>
        <w:t>Further history</w:t>
      </w:r>
    </w:p>
    <w:p w14:paraId="29AF9D8A" w14:textId="277FEEB9" w:rsidR="005037D6" w:rsidRDefault="00630E7E" w:rsidP="008D292E">
      <w:pPr>
        <w:pStyle w:val="Body"/>
        <w:tabs>
          <w:tab w:val="left" w:pos="567"/>
        </w:tabs>
      </w:pPr>
      <w:r>
        <w:rPr>
          <w:lang w:val="en-US"/>
        </w:rPr>
        <w:t>This requires:</w:t>
      </w:r>
    </w:p>
    <w:p w14:paraId="513B825C" w14:textId="08B61EA1" w:rsidR="005037D6" w:rsidRDefault="00630E7E" w:rsidP="008D292E">
      <w:pPr>
        <w:pStyle w:val="Bullet1"/>
        <w:tabs>
          <w:tab w:val="left" w:pos="567"/>
        </w:tabs>
      </w:pPr>
      <w:r>
        <w:rPr>
          <w:lang w:val="en-US"/>
        </w:rPr>
        <w:t>k</w:t>
      </w:r>
      <w:r w:rsidR="005037D6" w:rsidRPr="00727644">
        <w:rPr>
          <w:lang w:val="en-US"/>
        </w:rPr>
        <w:t>eep</w:t>
      </w:r>
      <w:r>
        <w:rPr>
          <w:lang w:val="en-US"/>
        </w:rPr>
        <w:t>ing the</w:t>
      </w:r>
      <w:r w:rsidR="005037D6" w:rsidRPr="00727644">
        <w:rPr>
          <w:lang w:val="en-US"/>
        </w:rPr>
        <w:t xml:space="preserve"> patient informed of what is happening</w:t>
      </w:r>
    </w:p>
    <w:p w14:paraId="7304EB58" w14:textId="5A35DCDD" w:rsidR="005037D6" w:rsidRDefault="00630E7E" w:rsidP="008D292E">
      <w:pPr>
        <w:pStyle w:val="Bullet1"/>
        <w:tabs>
          <w:tab w:val="left" w:pos="567"/>
        </w:tabs>
        <w:rPr>
          <w:lang w:val="en-US"/>
        </w:rPr>
      </w:pPr>
      <w:r>
        <w:rPr>
          <w:lang w:val="en-US"/>
        </w:rPr>
        <w:t>i</w:t>
      </w:r>
      <w:r w:rsidR="005037D6" w:rsidRPr="00727644">
        <w:rPr>
          <w:lang w:val="en-US"/>
        </w:rPr>
        <w:t>f not already ascertained, obtain</w:t>
      </w:r>
      <w:r>
        <w:rPr>
          <w:lang w:val="en-US"/>
        </w:rPr>
        <w:t>ing</w:t>
      </w:r>
      <w:r w:rsidR="005037D6" w:rsidRPr="00727644">
        <w:rPr>
          <w:lang w:val="en-US"/>
        </w:rPr>
        <w:t xml:space="preserve"> further information about VHF compatible symptoms, date of onset of illness, </w:t>
      </w:r>
      <w:r w:rsidR="005037D6" w:rsidRPr="671B1AAA">
        <w:rPr>
          <w:lang w:val="en-US"/>
        </w:rPr>
        <w:t xml:space="preserve">and </w:t>
      </w:r>
      <w:r w:rsidR="005037D6" w:rsidRPr="00727644">
        <w:rPr>
          <w:lang w:val="en-US"/>
        </w:rPr>
        <w:t>dates and location of exposure to VHF</w:t>
      </w:r>
      <w:r w:rsidR="005037D6" w:rsidRPr="671B1AAA">
        <w:rPr>
          <w:lang w:val="en-US"/>
        </w:rPr>
        <w:t>. Other information</w:t>
      </w:r>
      <w:r w:rsidR="005037D6" w:rsidRPr="00727644">
        <w:rPr>
          <w:lang w:val="en-US"/>
        </w:rPr>
        <w:t xml:space="preserve"> may need to be gathered from </w:t>
      </w:r>
      <w:r w:rsidR="005037D6" w:rsidRPr="671B1AAA">
        <w:rPr>
          <w:lang w:val="en-US"/>
        </w:rPr>
        <w:t xml:space="preserve">the </w:t>
      </w:r>
      <w:r w:rsidR="005037D6" w:rsidRPr="00727644">
        <w:rPr>
          <w:lang w:val="en-US"/>
        </w:rPr>
        <w:t xml:space="preserve">patient </w:t>
      </w:r>
      <w:r w:rsidR="005037D6">
        <w:rPr>
          <w:lang w:val="en-US"/>
        </w:rPr>
        <w:t>following</w:t>
      </w:r>
      <w:r w:rsidR="005037D6" w:rsidRPr="00727644">
        <w:rPr>
          <w:lang w:val="en-US"/>
        </w:rPr>
        <w:t xml:space="preserve"> discussion with </w:t>
      </w:r>
      <w:r w:rsidR="005037D6" w:rsidRPr="671B1AAA">
        <w:rPr>
          <w:lang w:val="en-US"/>
        </w:rPr>
        <w:t xml:space="preserve">the </w:t>
      </w:r>
      <w:r w:rsidR="005037D6" w:rsidRPr="00727644">
        <w:rPr>
          <w:lang w:val="en-US"/>
        </w:rPr>
        <w:t>LPHU</w:t>
      </w:r>
      <w:r>
        <w:rPr>
          <w:lang w:val="en-US"/>
        </w:rPr>
        <w:t xml:space="preserve"> and </w:t>
      </w:r>
      <w:r w:rsidR="00AE78B1">
        <w:rPr>
          <w:lang w:val="en-US"/>
        </w:rPr>
        <w:t>the department</w:t>
      </w:r>
      <w:r w:rsidR="005037D6" w:rsidRPr="671B1AAA">
        <w:rPr>
          <w:lang w:val="en-US"/>
        </w:rPr>
        <w:t>.</w:t>
      </w:r>
    </w:p>
    <w:p w14:paraId="5F891AEE" w14:textId="77777777" w:rsidR="00E8120F" w:rsidRDefault="005037D6" w:rsidP="008D292E">
      <w:pPr>
        <w:pStyle w:val="Bodyafterbullets"/>
        <w:tabs>
          <w:tab w:val="left" w:pos="567"/>
        </w:tabs>
        <w:rPr>
          <w:b/>
          <w:bCs/>
          <w:lang w:val="en-US"/>
        </w:rPr>
      </w:pPr>
      <w:r w:rsidRPr="003E1D96">
        <w:rPr>
          <w:b/>
          <w:lang w:val="en-US"/>
        </w:rPr>
        <w:t>Notification and escalation</w:t>
      </w:r>
    </w:p>
    <w:p w14:paraId="1EC58CB3" w14:textId="782770E8" w:rsidR="005037D6" w:rsidRDefault="00E8120F" w:rsidP="008D292E">
      <w:pPr>
        <w:pStyle w:val="Bodyafterbullets"/>
        <w:tabs>
          <w:tab w:val="left" w:pos="567"/>
        </w:tabs>
      </w:pPr>
      <w:r>
        <w:rPr>
          <w:lang w:val="en-US"/>
        </w:rPr>
        <w:t>This</w:t>
      </w:r>
      <w:r w:rsidR="00630E7E">
        <w:rPr>
          <w:lang w:val="en-US"/>
        </w:rPr>
        <w:t xml:space="preserve"> requires:</w:t>
      </w:r>
    </w:p>
    <w:p w14:paraId="1BB38114" w14:textId="1AA7C98D" w:rsidR="005037D6" w:rsidRDefault="00630E7E" w:rsidP="008D292E">
      <w:pPr>
        <w:pStyle w:val="Bullet1"/>
        <w:tabs>
          <w:tab w:val="left" w:pos="567"/>
        </w:tabs>
      </w:pPr>
      <w:r>
        <w:rPr>
          <w:lang w:val="en-US"/>
        </w:rPr>
        <w:t>n</w:t>
      </w:r>
      <w:r w:rsidR="005037D6" w:rsidRPr="00727644">
        <w:rPr>
          <w:lang w:val="en-US"/>
        </w:rPr>
        <w:t>otify</w:t>
      </w:r>
      <w:r>
        <w:rPr>
          <w:lang w:val="en-US"/>
        </w:rPr>
        <w:t>ing</w:t>
      </w:r>
      <w:r w:rsidR="005037D6" w:rsidRPr="00727644">
        <w:rPr>
          <w:lang w:val="en-US"/>
        </w:rPr>
        <w:t xml:space="preserve"> </w:t>
      </w:r>
      <w:r w:rsidR="005037D6" w:rsidRPr="671B1AAA">
        <w:rPr>
          <w:lang w:val="en-US"/>
        </w:rPr>
        <w:t xml:space="preserve">the </w:t>
      </w:r>
      <w:r w:rsidR="005037D6" w:rsidRPr="00727644">
        <w:rPr>
          <w:lang w:val="en-US"/>
        </w:rPr>
        <w:t>LPHU without delay on 1300 651 160</w:t>
      </w:r>
    </w:p>
    <w:p w14:paraId="506B8BC5" w14:textId="4A4C990E" w:rsidR="005037D6" w:rsidRDefault="00E8120F" w:rsidP="008D292E">
      <w:pPr>
        <w:pStyle w:val="Bullet1"/>
        <w:tabs>
          <w:tab w:val="left" w:pos="567"/>
        </w:tabs>
      </w:pPr>
      <w:r>
        <w:rPr>
          <w:lang w:val="en-US"/>
        </w:rPr>
        <w:t>n</w:t>
      </w:r>
      <w:r w:rsidRPr="00727644">
        <w:rPr>
          <w:lang w:val="en-US"/>
        </w:rPr>
        <w:t>otify</w:t>
      </w:r>
      <w:r>
        <w:rPr>
          <w:lang w:val="en-US"/>
        </w:rPr>
        <w:t>ing</w:t>
      </w:r>
      <w:r w:rsidRPr="00727644">
        <w:rPr>
          <w:lang w:val="en-US"/>
        </w:rPr>
        <w:t xml:space="preserve"> </w:t>
      </w:r>
      <w:r w:rsidR="005037D6" w:rsidRPr="00727644">
        <w:rPr>
          <w:lang w:val="en-US"/>
        </w:rPr>
        <w:t>other relevant teams where applicable (infection prevention, infectious diseases</w:t>
      </w:r>
      <w:r>
        <w:rPr>
          <w:lang w:val="en-US"/>
        </w:rPr>
        <w:t xml:space="preserve"> and </w:t>
      </w:r>
      <w:r w:rsidR="005037D6" w:rsidRPr="00727644">
        <w:rPr>
          <w:lang w:val="en-US"/>
        </w:rPr>
        <w:t>executive)</w:t>
      </w:r>
    </w:p>
    <w:p w14:paraId="43D40682" w14:textId="19A22CBE" w:rsidR="00E8120F" w:rsidRPr="00E25074" w:rsidRDefault="00E8120F" w:rsidP="008D292E">
      <w:pPr>
        <w:pStyle w:val="Bullet1"/>
        <w:tabs>
          <w:tab w:val="left" w:pos="567"/>
        </w:tabs>
      </w:pPr>
      <w:r w:rsidRPr="00E8120F">
        <w:rPr>
          <w:lang w:val="en-US"/>
        </w:rPr>
        <w:t>i</w:t>
      </w:r>
      <w:r w:rsidR="005037D6" w:rsidRPr="00E8120F">
        <w:rPr>
          <w:lang w:val="en-US"/>
        </w:rPr>
        <w:t>dentify</w:t>
      </w:r>
      <w:r w:rsidRPr="00E8120F">
        <w:rPr>
          <w:lang w:val="en-US"/>
        </w:rPr>
        <w:t>ing</w:t>
      </w:r>
      <w:r w:rsidR="005037D6" w:rsidRPr="00E8120F">
        <w:rPr>
          <w:lang w:val="en-US"/>
        </w:rPr>
        <w:t xml:space="preserve"> a liaison person with the LPHU</w:t>
      </w:r>
      <w:r w:rsidR="005037D6" w:rsidRPr="00E8120F" w:rsidDel="00840A47">
        <w:rPr>
          <w:lang w:val="en-US"/>
        </w:rPr>
        <w:t>.</w:t>
      </w:r>
    </w:p>
    <w:p w14:paraId="0395C2DA" w14:textId="14F109D2" w:rsidR="005037D6" w:rsidRDefault="005037D6" w:rsidP="008D292E">
      <w:pPr>
        <w:pStyle w:val="Bodyafterbullets"/>
        <w:tabs>
          <w:tab w:val="left" w:pos="567"/>
        </w:tabs>
      </w:pPr>
      <w:r w:rsidRPr="00E8120F">
        <w:rPr>
          <w:lang w:val="en-US"/>
        </w:rPr>
        <w:t xml:space="preserve">The LPHU will perform a risk assessment in collaboration with the DCHO-CD. An IMT </w:t>
      </w:r>
      <w:r w:rsidR="00333C4E">
        <w:rPr>
          <w:lang w:val="en-US"/>
        </w:rPr>
        <w:t>will</w:t>
      </w:r>
      <w:r w:rsidRPr="00E8120F">
        <w:rPr>
          <w:lang w:val="en-US"/>
        </w:rPr>
        <w:t xml:space="preserve"> be set up to discuss and provide advice on further actions</w:t>
      </w:r>
      <w:r w:rsidR="00E8120F">
        <w:rPr>
          <w:lang w:val="en-US"/>
        </w:rPr>
        <w:t>,</w:t>
      </w:r>
      <w:r w:rsidRPr="00E8120F">
        <w:rPr>
          <w:lang w:val="en-US"/>
        </w:rPr>
        <w:t xml:space="preserve"> including testing and transfer of patients.</w:t>
      </w:r>
    </w:p>
    <w:p w14:paraId="2360DF91" w14:textId="77777777" w:rsidR="005037D6" w:rsidRDefault="005037D6" w:rsidP="008D292E">
      <w:pPr>
        <w:pStyle w:val="Bodyafterbullets"/>
        <w:tabs>
          <w:tab w:val="left" w:pos="567"/>
        </w:tabs>
        <w:rPr>
          <w:b/>
          <w:bCs/>
          <w:lang w:val="en-US"/>
        </w:rPr>
      </w:pPr>
      <w:r w:rsidRPr="00E25074">
        <w:rPr>
          <w:b/>
          <w:bCs/>
          <w:lang w:val="en-US"/>
        </w:rPr>
        <w:t>Further diagnostic samples</w:t>
      </w:r>
    </w:p>
    <w:p w14:paraId="352D3862" w14:textId="17C6B90A" w:rsidR="00E8120F" w:rsidRPr="00E25074" w:rsidRDefault="00E8120F" w:rsidP="008D292E">
      <w:pPr>
        <w:pStyle w:val="Body"/>
        <w:tabs>
          <w:tab w:val="left" w:pos="567"/>
        </w:tabs>
        <w:rPr>
          <w:lang w:val="en-US"/>
        </w:rPr>
      </w:pPr>
      <w:r>
        <w:rPr>
          <w:lang w:val="en-US"/>
        </w:rPr>
        <w:t>This requires:</w:t>
      </w:r>
    </w:p>
    <w:p w14:paraId="566D8442" w14:textId="6B40E4D2" w:rsidR="005037D6" w:rsidRDefault="00E8120F" w:rsidP="008D292E">
      <w:pPr>
        <w:pStyle w:val="Bullet1"/>
        <w:tabs>
          <w:tab w:val="left" w:pos="567"/>
        </w:tabs>
      </w:pPr>
      <w:r>
        <w:rPr>
          <w:lang w:val="en-US"/>
        </w:rPr>
        <w:t>a</w:t>
      </w:r>
      <w:r w:rsidR="005037D6" w:rsidRPr="00727644">
        <w:rPr>
          <w:lang w:val="en-US"/>
        </w:rPr>
        <w:t>void</w:t>
      </w:r>
      <w:r>
        <w:rPr>
          <w:lang w:val="en-US"/>
        </w:rPr>
        <w:t>ing</w:t>
      </w:r>
      <w:r w:rsidR="005037D6" w:rsidRPr="00727644">
        <w:rPr>
          <w:lang w:val="en-US"/>
        </w:rPr>
        <w:t xml:space="preserve"> diagnostic sampling (throat swab, aerosol</w:t>
      </w:r>
      <w:r w:rsidR="00510622">
        <w:rPr>
          <w:lang w:val="en-US"/>
        </w:rPr>
        <w:t>-generating</w:t>
      </w:r>
      <w:r w:rsidR="005037D6" w:rsidRPr="00727644">
        <w:rPr>
          <w:lang w:val="en-US"/>
        </w:rPr>
        <w:t xml:space="preserve"> procedure or </w:t>
      </w:r>
      <w:proofErr w:type="spellStart"/>
      <w:r w:rsidR="005037D6" w:rsidRPr="00727644">
        <w:rPr>
          <w:lang w:val="en-US"/>
        </w:rPr>
        <w:t>venepuncture</w:t>
      </w:r>
      <w:proofErr w:type="spellEnd"/>
      <w:r w:rsidR="005037D6" w:rsidRPr="00727644">
        <w:rPr>
          <w:lang w:val="en-US"/>
        </w:rPr>
        <w:t xml:space="preserve">) unless necessary or advised by </w:t>
      </w:r>
      <w:r w:rsidR="005037D6">
        <w:rPr>
          <w:lang w:val="en-US"/>
        </w:rPr>
        <w:t xml:space="preserve">the </w:t>
      </w:r>
      <w:r w:rsidR="00AE78B1">
        <w:rPr>
          <w:lang w:val="en-US"/>
        </w:rPr>
        <w:t>department</w:t>
      </w:r>
    </w:p>
    <w:p w14:paraId="4277B5DD" w14:textId="09720FD0" w:rsidR="005037D6" w:rsidRDefault="00E8120F" w:rsidP="008D292E">
      <w:pPr>
        <w:pStyle w:val="Bullet1"/>
        <w:tabs>
          <w:tab w:val="left" w:pos="567"/>
        </w:tabs>
        <w:rPr>
          <w:lang w:val="en-US"/>
        </w:rPr>
      </w:pPr>
      <w:r>
        <w:rPr>
          <w:lang w:val="en-US"/>
        </w:rPr>
        <w:t>k</w:t>
      </w:r>
      <w:r w:rsidR="005037D6" w:rsidRPr="00727644">
        <w:rPr>
          <w:lang w:val="en-US"/>
        </w:rPr>
        <w:t>eep</w:t>
      </w:r>
      <w:r>
        <w:rPr>
          <w:lang w:val="en-US"/>
        </w:rPr>
        <w:t>ing</w:t>
      </w:r>
      <w:r w:rsidR="005037D6" w:rsidRPr="00727644">
        <w:rPr>
          <w:lang w:val="en-US"/>
        </w:rPr>
        <w:t xml:space="preserve"> aside </w:t>
      </w:r>
      <w:r w:rsidR="005037D6" w:rsidRPr="671B1AAA">
        <w:rPr>
          <w:lang w:val="en-US"/>
        </w:rPr>
        <w:t xml:space="preserve">any </w:t>
      </w:r>
      <w:r w:rsidR="005037D6" w:rsidRPr="00727644">
        <w:rPr>
          <w:lang w:val="en-US"/>
        </w:rPr>
        <w:t>pathology sample</w:t>
      </w:r>
      <w:r w:rsidR="005037D6">
        <w:rPr>
          <w:lang w:val="en-US"/>
        </w:rPr>
        <w:t>s</w:t>
      </w:r>
      <w:r w:rsidR="005037D6" w:rsidRPr="00727644">
        <w:rPr>
          <w:lang w:val="en-US"/>
        </w:rPr>
        <w:t xml:space="preserve"> that </w:t>
      </w:r>
      <w:r w:rsidR="005037D6" w:rsidRPr="29BEBC30">
        <w:rPr>
          <w:lang w:val="en-US"/>
        </w:rPr>
        <w:t>have</w:t>
      </w:r>
      <w:r w:rsidR="005037D6" w:rsidRPr="00727644">
        <w:rPr>
          <w:lang w:val="en-US"/>
        </w:rPr>
        <w:t xml:space="preserve"> been taken as per the laboratory </w:t>
      </w:r>
      <w:r>
        <w:rPr>
          <w:lang w:val="en-US"/>
        </w:rPr>
        <w:t xml:space="preserve">request </w:t>
      </w:r>
      <w:r w:rsidR="005037D6">
        <w:rPr>
          <w:lang w:val="en-US"/>
        </w:rPr>
        <w:t>(</w:t>
      </w:r>
      <w:r>
        <w:rPr>
          <w:lang w:val="en-US"/>
        </w:rPr>
        <w:t xml:space="preserve">see </w:t>
      </w:r>
      <w:hyperlink w:anchor="_Laboratory" w:history="1">
        <w:r w:rsidR="005037D6" w:rsidRPr="00E8120F">
          <w:rPr>
            <w:rStyle w:val="Hyperlink"/>
            <w:lang w:val="en-US"/>
          </w:rPr>
          <w:t>section 4</w:t>
        </w:r>
      </w:hyperlink>
      <w:r w:rsidR="005037D6" w:rsidRPr="5A333936">
        <w:rPr>
          <w:lang w:val="en-US"/>
        </w:rPr>
        <w:t>).</w:t>
      </w:r>
      <w:r w:rsidR="005037D6" w:rsidRPr="00727644">
        <w:rPr>
          <w:lang w:val="en-US"/>
        </w:rPr>
        <w:t xml:space="preserve"> </w:t>
      </w:r>
      <w:r w:rsidR="005037D6" w:rsidRPr="5A333936">
        <w:rPr>
          <w:lang w:val="en-US"/>
        </w:rPr>
        <w:t>DO</w:t>
      </w:r>
      <w:r w:rsidR="005037D6" w:rsidRPr="00CD5DB5">
        <w:rPr>
          <w:lang w:val="en-US"/>
        </w:rPr>
        <w:t xml:space="preserve"> NOT</w:t>
      </w:r>
      <w:r w:rsidR="005037D6" w:rsidRPr="00727644">
        <w:rPr>
          <w:lang w:val="en-US"/>
        </w:rPr>
        <w:t xml:space="preserve"> send them to the laboratory </w:t>
      </w:r>
      <w:proofErr w:type="gramStart"/>
      <w:r w:rsidR="005037D6" w:rsidRPr="00727644">
        <w:rPr>
          <w:lang w:val="en-US"/>
        </w:rPr>
        <w:t>without</w:t>
      </w:r>
      <w:proofErr w:type="gramEnd"/>
      <w:r w:rsidR="005037D6" w:rsidRPr="00727644">
        <w:rPr>
          <w:lang w:val="en-US"/>
        </w:rPr>
        <w:t xml:space="preserve"> discussion with </w:t>
      </w:r>
      <w:r w:rsidR="00AE78B1">
        <w:rPr>
          <w:lang w:val="en-US"/>
        </w:rPr>
        <w:t>the department</w:t>
      </w:r>
    </w:p>
    <w:p w14:paraId="0588A99E" w14:textId="77D542E6" w:rsidR="005037D6" w:rsidRPr="00A654A7" w:rsidRDefault="00E8120F" w:rsidP="008D292E">
      <w:pPr>
        <w:pStyle w:val="Bullet1"/>
        <w:tabs>
          <w:tab w:val="left" w:pos="567"/>
        </w:tabs>
        <w:rPr>
          <w:lang w:val="en-US"/>
        </w:rPr>
      </w:pPr>
      <w:r>
        <w:t>that i</w:t>
      </w:r>
      <w:r w:rsidR="005037D6">
        <w:t>f other clinical specimens have been sent to the onsite/affiliated laboratory inadvertently (prior to suspicion of VHF being raised)</w:t>
      </w:r>
      <w:r>
        <w:t>,</w:t>
      </w:r>
      <w:r w:rsidR="005037D6">
        <w:t xml:space="preserve"> alert</w:t>
      </w:r>
      <w:r>
        <w:t>ing</w:t>
      </w:r>
      <w:r w:rsidR="005037D6">
        <w:t xml:space="preserve"> the onsite/affiliated laboratory immediately.</w:t>
      </w:r>
    </w:p>
    <w:p w14:paraId="66DFCD11" w14:textId="77777777" w:rsidR="005037D6" w:rsidRPr="00E25074" w:rsidRDefault="005037D6" w:rsidP="008D292E">
      <w:pPr>
        <w:pStyle w:val="Bodyafterbullets"/>
        <w:tabs>
          <w:tab w:val="left" w:pos="567"/>
        </w:tabs>
        <w:rPr>
          <w:b/>
          <w:bCs/>
          <w:lang w:val="en-US"/>
        </w:rPr>
      </w:pPr>
      <w:r w:rsidRPr="00E25074">
        <w:rPr>
          <w:b/>
          <w:bCs/>
          <w:lang w:val="en-US"/>
        </w:rPr>
        <w:t xml:space="preserve">Further management </w:t>
      </w:r>
    </w:p>
    <w:p w14:paraId="32CAE7A2" w14:textId="10132C31" w:rsidR="005037D6" w:rsidRDefault="005037D6" w:rsidP="008D292E">
      <w:pPr>
        <w:pStyle w:val="Body"/>
        <w:tabs>
          <w:tab w:val="left" w:pos="567"/>
        </w:tabs>
      </w:pPr>
      <w:r w:rsidRPr="00DD12A0">
        <w:t>At</w:t>
      </w:r>
      <w:r w:rsidRPr="00DD12A0">
        <w:rPr>
          <w:i/>
        </w:rPr>
        <w:t xml:space="preserve"> </w:t>
      </w:r>
      <w:r w:rsidRPr="00DD12A0">
        <w:t>non-designated health services where treatment is available,</w:t>
      </w:r>
      <w:r w:rsidRPr="008A6254">
        <w:t xml:space="preserve"> </w:t>
      </w:r>
      <w:r w:rsidR="00774979">
        <w:t xml:space="preserve">consider treating </w:t>
      </w:r>
      <w:r w:rsidRPr="008A6254">
        <w:t>patients empirically for sepsis and malaria</w:t>
      </w:r>
      <w:r w:rsidR="00E8120F">
        <w:t>,</w:t>
      </w:r>
      <w:r w:rsidRPr="008A6254">
        <w:t xml:space="preserve"> in consultation with an infectious </w:t>
      </w:r>
      <w:proofErr w:type="gramStart"/>
      <w:r w:rsidRPr="008A6254">
        <w:t>diseases</w:t>
      </w:r>
      <w:proofErr w:type="gramEnd"/>
      <w:r w:rsidRPr="008A6254">
        <w:t xml:space="preserve"> specialist.</w:t>
      </w:r>
    </w:p>
    <w:p w14:paraId="2D24FF41" w14:textId="77777777" w:rsidR="005037D6" w:rsidRPr="00E25074" w:rsidRDefault="005037D6" w:rsidP="008D292E">
      <w:pPr>
        <w:pStyle w:val="Bodyafterbullets"/>
        <w:tabs>
          <w:tab w:val="left" w:pos="567"/>
        </w:tabs>
        <w:rPr>
          <w:b/>
          <w:bCs/>
          <w:lang w:val="en-US"/>
        </w:rPr>
      </w:pPr>
      <w:r w:rsidRPr="00E25074">
        <w:rPr>
          <w:b/>
          <w:bCs/>
          <w:lang w:val="en-US"/>
        </w:rPr>
        <w:t>Transfer of patients</w:t>
      </w:r>
    </w:p>
    <w:p w14:paraId="7F612C70" w14:textId="4B74756E" w:rsidR="005037D6" w:rsidRDefault="005037D6" w:rsidP="008D292E">
      <w:pPr>
        <w:pStyle w:val="Body"/>
        <w:tabs>
          <w:tab w:val="left" w:pos="567"/>
        </w:tabs>
      </w:pPr>
      <w:r w:rsidRPr="00727644">
        <w:rPr>
          <w:lang w:val="en-US"/>
        </w:rPr>
        <w:t xml:space="preserve">Transfer of a suspected or confirmed case is to be discussed with </w:t>
      </w:r>
      <w:r w:rsidR="00AE78B1">
        <w:rPr>
          <w:lang w:val="en-US"/>
        </w:rPr>
        <w:t>the department</w:t>
      </w:r>
      <w:r w:rsidRPr="00727644">
        <w:rPr>
          <w:lang w:val="en-US"/>
        </w:rPr>
        <w:t xml:space="preserve"> and decided according to the principles outlined in </w:t>
      </w:r>
      <w:hyperlink w:anchor="_Transfer_to_a" w:history="1">
        <w:r w:rsidRPr="00E8120F">
          <w:rPr>
            <w:rStyle w:val="Hyperlink"/>
            <w:lang w:val="en-US"/>
          </w:rPr>
          <w:t>section 3.4</w:t>
        </w:r>
      </w:hyperlink>
      <w:r w:rsidRPr="00EF3BAF" w:rsidDel="00840A47">
        <w:rPr>
          <w:lang w:val="en-US"/>
        </w:rPr>
        <w:t>.</w:t>
      </w:r>
    </w:p>
    <w:p w14:paraId="4DF2BDFF" w14:textId="51765CD6" w:rsidR="005037D6" w:rsidRDefault="005037D6" w:rsidP="008D292E">
      <w:pPr>
        <w:pStyle w:val="Body"/>
        <w:tabs>
          <w:tab w:val="left" w:pos="567"/>
        </w:tabs>
        <w:rPr>
          <w:lang w:val="en-US"/>
        </w:rPr>
      </w:pPr>
      <w:r>
        <w:rPr>
          <w:lang w:val="en-US"/>
        </w:rPr>
        <w:t>Do not call</w:t>
      </w:r>
      <w:r w:rsidRPr="00727644">
        <w:rPr>
          <w:lang w:val="en-US"/>
        </w:rPr>
        <w:t xml:space="preserve"> AV to organise transport to another health service unless advised by </w:t>
      </w:r>
      <w:r w:rsidR="00AE78B1">
        <w:rPr>
          <w:lang w:val="en-US"/>
        </w:rPr>
        <w:t>the department</w:t>
      </w:r>
      <w:r w:rsidRPr="00727644">
        <w:rPr>
          <w:lang w:val="en-US"/>
        </w:rPr>
        <w:t xml:space="preserve"> or </w:t>
      </w:r>
      <w:r w:rsidRPr="671B1AAA">
        <w:rPr>
          <w:lang w:val="en-US"/>
        </w:rPr>
        <w:t xml:space="preserve">if </w:t>
      </w:r>
      <w:r w:rsidRPr="00727644">
        <w:rPr>
          <w:lang w:val="en-US"/>
        </w:rPr>
        <w:t>immediately essential for life-saving care.</w:t>
      </w:r>
    </w:p>
    <w:p w14:paraId="746FBC78" w14:textId="7FBC96D2" w:rsidR="005037D6" w:rsidRDefault="005037D6" w:rsidP="008D292E">
      <w:pPr>
        <w:pStyle w:val="Bodyafterbullets"/>
        <w:tabs>
          <w:tab w:val="left" w:pos="567"/>
        </w:tabs>
        <w:rPr>
          <w:b/>
          <w:bCs/>
          <w:lang w:val="en-US"/>
        </w:rPr>
      </w:pPr>
      <w:r w:rsidRPr="003E1D96">
        <w:rPr>
          <w:b/>
          <w:lang w:val="en-US"/>
        </w:rPr>
        <w:t>Other IPC management</w:t>
      </w:r>
    </w:p>
    <w:p w14:paraId="4F94C51C" w14:textId="591820A7" w:rsidR="007A4756" w:rsidRPr="00E25074" w:rsidRDefault="007A4756" w:rsidP="008D292E">
      <w:pPr>
        <w:pStyle w:val="Body"/>
        <w:tabs>
          <w:tab w:val="left" w:pos="567"/>
        </w:tabs>
        <w:rPr>
          <w:lang w:val="en-US"/>
        </w:rPr>
      </w:pPr>
      <w:r>
        <w:rPr>
          <w:lang w:val="en-US"/>
        </w:rPr>
        <w:t xml:space="preserve">This requires: </w:t>
      </w:r>
    </w:p>
    <w:p w14:paraId="7D9E49D1" w14:textId="67628BC2" w:rsidR="005037D6" w:rsidRDefault="007A4756" w:rsidP="008D292E">
      <w:pPr>
        <w:pStyle w:val="Bullet1"/>
        <w:tabs>
          <w:tab w:val="left" w:pos="567"/>
        </w:tabs>
        <w:rPr>
          <w:lang w:val="en-US"/>
        </w:rPr>
      </w:pPr>
      <w:r>
        <w:rPr>
          <w:lang w:val="en-US"/>
        </w:rPr>
        <w:t>c</w:t>
      </w:r>
      <w:r w:rsidR="005037D6" w:rsidRPr="00727644">
        <w:rPr>
          <w:lang w:val="en-US"/>
        </w:rPr>
        <w:t>ompil</w:t>
      </w:r>
      <w:r>
        <w:rPr>
          <w:lang w:val="en-US"/>
        </w:rPr>
        <w:t>ing</w:t>
      </w:r>
      <w:r w:rsidR="005037D6" w:rsidRPr="00727644">
        <w:rPr>
          <w:lang w:val="en-US"/>
        </w:rPr>
        <w:t xml:space="preserve"> a list of patients and staff (with contact details) who engaged with the patient or were in the immediate vicinity of the patient. Further contact </w:t>
      </w:r>
      <w:proofErr w:type="gramStart"/>
      <w:r w:rsidR="005037D6" w:rsidRPr="00727644">
        <w:rPr>
          <w:lang w:val="en-US"/>
        </w:rPr>
        <w:t>tracing</w:t>
      </w:r>
      <w:proofErr w:type="gramEnd"/>
      <w:r w:rsidR="005037D6" w:rsidRPr="00727644">
        <w:rPr>
          <w:lang w:val="en-US"/>
        </w:rPr>
        <w:t xml:space="preserve"> will be advised by </w:t>
      </w:r>
      <w:r w:rsidR="00AE78B1">
        <w:rPr>
          <w:lang w:val="en-US"/>
        </w:rPr>
        <w:t>the department</w:t>
      </w:r>
    </w:p>
    <w:p w14:paraId="3C82CB71" w14:textId="6D6D33B2" w:rsidR="005037D6" w:rsidRPr="0051409C" w:rsidRDefault="007A4756" w:rsidP="008D292E">
      <w:pPr>
        <w:pStyle w:val="Bullet1"/>
        <w:tabs>
          <w:tab w:val="left" w:pos="567"/>
        </w:tabs>
      </w:pPr>
      <w:proofErr w:type="gramStart"/>
      <w:r>
        <w:rPr>
          <w:lang w:val="en-US"/>
        </w:rPr>
        <w:lastRenderedPageBreak/>
        <w:t>e</w:t>
      </w:r>
      <w:r w:rsidR="005037D6" w:rsidRPr="00727644">
        <w:rPr>
          <w:lang w:val="en-US"/>
        </w:rPr>
        <w:t>nvironmental</w:t>
      </w:r>
      <w:proofErr w:type="gramEnd"/>
      <w:r w:rsidR="005037D6" w:rsidRPr="00727644">
        <w:rPr>
          <w:lang w:val="en-US"/>
        </w:rPr>
        <w:t xml:space="preserve"> cleaning, disinfection and waste management to be managed as detailed in the </w:t>
      </w:r>
      <w:r w:rsidR="005037D6">
        <w:rPr>
          <w:lang w:val="en-US"/>
        </w:rPr>
        <w:t xml:space="preserve">IPC </w:t>
      </w:r>
      <w:r w:rsidR="005037D6" w:rsidRPr="00727644">
        <w:rPr>
          <w:lang w:val="en-US"/>
        </w:rPr>
        <w:t xml:space="preserve">section </w:t>
      </w:r>
      <w:r w:rsidR="005037D6">
        <w:rPr>
          <w:lang w:val="en-US"/>
        </w:rPr>
        <w:t>(s</w:t>
      </w:r>
      <w:r>
        <w:rPr>
          <w:lang w:val="en-US"/>
        </w:rPr>
        <w:t xml:space="preserve">ee </w:t>
      </w:r>
      <w:hyperlink w:anchor="_Infection_prevention_and" w:history="1">
        <w:r w:rsidRPr="007A4756">
          <w:rPr>
            <w:rStyle w:val="Hyperlink"/>
            <w:lang w:val="en-US"/>
          </w:rPr>
          <w:t>s</w:t>
        </w:r>
        <w:r w:rsidR="005037D6" w:rsidRPr="007A4756">
          <w:rPr>
            <w:rStyle w:val="Hyperlink"/>
            <w:lang w:val="en-US"/>
          </w:rPr>
          <w:t>ection 5</w:t>
        </w:r>
      </w:hyperlink>
      <w:r w:rsidR="005037D6">
        <w:rPr>
          <w:lang w:val="en-US"/>
        </w:rPr>
        <w:t>)</w:t>
      </w:r>
      <w:r w:rsidR="005037D6" w:rsidRPr="00727644">
        <w:rPr>
          <w:lang w:val="en-US"/>
        </w:rPr>
        <w:t xml:space="preserve"> and in discussion with </w:t>
      </w:r>
      <w:r w:rsidR="00AE78B1">
        <w:rPr>
          <w:lang w:val="en-US"/>
        </w:rPr>
        <w:t>the department</w:t>
      </w:r>
      <w:r w:rsidR="005037D6">
        <w:rPr>
          <w:lang w:val="en-US"/>
        </w:rPr>
        <w:t>.</w:t>
      </w:r>
    </w:p>
    <w:p w14:paraId="00C372EA" w14:textId="77777777" w:rsidR="005037D6" w:rsidRPr="00F527A0" w:rsidRDefault="005037D6" w:rsidP="008D292E">
      <w:pPr>
        <w:pStyle w:val="Heading2"/>
        <w:tabs>
          <w:tab w:val="left" w:pos="567"/>
        </w:tabs>
      </w:pPr>
      <w:bookmarkStart w:id="27" w:name="_Transfer_to_a"/>
      <w:bookmarkStart w:id="28" w:name="_Toc217022539"/>
      <w:bookmarkEnd w:id="27"/>
      <w:r>
        <w:t>Transfer to a designated health service</w:t>
      </w:r>
      <w:bookmarkEnd w:id="28"/>
    </w:p>
    <w:p w14:paraId="651C2BB6" w14:textId="0DFB6D8F" w:rsidR="005037D6" w:rsidRDefault="005037D6" w:rsidP="008D292E">
      <w:pPr>
        <w:pStyle w:val="Body"/>
        <w:tabs>
          <w:tab w:val="left" w:pos="567"/>
        </w:tabs>
      </w:pPr>
      <w:r w:rsidRPr="64BD84F4">
        <w:rPr>
          <w:lang w:val="en-US"/>
        </w:rPr>
        <w:t xml:space="preserve">All </w:t>
      </w:r>
      <w:r w:rsidRPr="671B1AAA">
        <w:rPr>
          <w:lang w:val="en-US"/>
        </w:rPr>
        <w:t>transfers</w:t>
      </w:r>
      <w:r w:rsidRPr="64BD84F4">
        <w:rPr>
          <w:lang w:val="en-US"/>
        </w:rPr>
        <w:t xml:space="preserve"> of </w:t>
      </w:r>
      <w:r>
        <w:rPr>
          <w:lang w:val="en-US"/>
        </w:rPr>
        <w:t xml:space="preserve">a </w:t>
      </w:r>
      <w:r w:rsidRPr="64BD84F4">
        <w:rPr>
          <w:lang w:val="en-US"/>
        </w:rPr>
        <w:t xml:space="preserve">suspected or confirmed case will need to be discussed with </w:t>
      </w:r>
      <w:r w:rsidR="00AE78B1">
        <w:rPr>
          <w:lang w:val="en-US"/>
        </w:rPr>
        <w:t>the department</w:t>
      </w:r>
      <w:r>
        <w:rPr>
          <w:lang w:val="en-US"/>
        </w:rPr>
        <w:t xml:space="preserve">. Refer to </w:t>
      </w:r>
      <w:hyperlink w:anchor="_Patient_transport" w:history="1">
        <w:r w:rsidRPr="007A4756">
          <w:rPr>
            <w:rStyle w:val="Hyperlink"/>
            <w:lang w:val="en-US"/>
          </w:rPr>
          <w:t>section 5.6</w:t>
        </w:r>
      </w:hyperlink>
      <w:r>
        <w:rPr>
          <w:lang w:val="en-US"/>
        </w:rPr>
        <w:t xml:space="preserve"> for IPC measures relating to transfer of VHF patients.</w:t>
      </w:r>
    </w:p>
    <w:p w14:paraId="04C5C182" w14:textId="740B7C1D" w:rsidR="005037D6" w:rsidRDefault="007A4756" w:rsidP="008D292E">
      <w:pPr>
        <w:pStyle w:val="Body"/>
        <w:tabs>
          <w:tab w:val="left" w:pos="567"/>
        </w:tabs>
      </w:pPr>
      <w:r>
        <w:rPr>
          <w:lang w:val="en-US"/>
        </w:rPr>
        <w:t>P</w:t>
      </w:r>
      <w:r w:rsidR="005037D6" w:rsidRPr="64BD84F4">
        <w:rPr>
          <w:lang w:val="en-US"/>
        </w:rPr>
        <w:t xml:space="preserve">atients </w:t>
      </w:r>
      <w:r>
        <w:rPr>
          <w:lang w:val="en-US"/>
        </w:rPr>
        <w:t xml:space="preserve">who </w:t>
      </w:r>
      <w:r w:rsidR="005037D6" w:rsidRPr="64BD84F4">
        <w:rPr>
          <w:lang w:val="en-US"/>
        </w:rPr>
        <w:t>should be transferred from a non-designated to a designated health service</w:t>
      </w:r>
      <w:r>
        <w:rPr>
          <w:lang w:val="en-US"/>
        </w:rPr>
        <w:t xml:space="preserve"> include:</w:t>
      </w:r>
    </w:p>
    <w:p w14:paraId="319D55BE" w14:textId="1B5C2EE2" w:rsidR="005037D6" w:rsidRDefault="007A4756" w:rsidP="008D292E">
      <w:pPr>
        <w:pStyle w:val="Bullet1"/>
        <w:tabs>
          <w:tab w:val="left" w:pos="567"/>
        </w:tabs>
      </w:pPr>
      <w:r>
        <w:rPr>
          <w:lang w:val="en-US"/>
        </w:rPr>
        <w:t xml:space="preserve">patients </w:t>
      </w:r>
      <w:r w:rsidR="005037D6" w:rsidRPr="00727644">
        <w:rPr>
          <w:lang w:val="en-US"/>
        </w:rPr>
        <w:t>with a confirmed VHF diagnosis</w:t>
      </w:r>
    </w:p>
    <w:p w14:paraId="7BEF38BB" w14:textId="448FD4E6" w:rsidR="005037D6" w:rsidRDefault="007A4756" w:rsidP="008D292E">
      <w:pPr>
        <w:pStyle w:val="Bullet1"/>
        <w:tabs>
          <w:tab w:val="left" w:pos="567"/>
        </w:tabs>
      </w:pPr>
      <w:r>
        <w:rPr>
          <w:lang w:val="en-US"/>
        </w:rPr>
        <w:t xml:space="preserve">patients who are </w:t>
      </w:r>
      <w:r w:rsidR="005037D6" w:rsidRPr="00727644">
        <w:rPr>
          <w:lang w:val="en-US"/>
        </w:rPr>
        <w:t xml:space="preserve">highly suspected </w:t>
      </w:r>
      <w:proofErr w:type="gramStart"/>
      <w:r w:rsidR="005037D6" w:rsidRPr="00727644">
        <w:rPr>
          <w:lang w:val="en-US"/>
        </w:rPr>
        <w:t>to have</w:t>
      </w:r>
      <w:proofErr w:type="gramEnd"/>
      <w:r w:rsidR="005037D6" w:rsidRPr="00727644">
        <w:rPr>
          <w:lang w:val="en-US"/>
        </w:rPr>
        <w:t xml:space="preserve"> VHF (those with consistent clinical picture and/or higher risk exposures/epidemiology)</w:t>
      </w:r>
    </w:p>
    <w:p w14:paraId="23604E8E" w14:textId="4DBA1C49" w:rsidR="005037D6" w:rsidRDefault="007A4756" w:rsidP="008D292E">
      <w:pPr>
        <w:pStyle w:val="Bullet1"/>
        <w:tabs>
          <w:tab w:val="left" w:pos="567"/>
        </w:tabs>
      </w:pPr>
      <w:r>
        <w:rPr>
          <w:lang w:val="en-US"/>
        </w:rPr>
        <w:t xml:space="preserve">patients </w:t>
      </w:r>
      <w:r w:rsidR="005037D6" w:rsidRPr="0094090E">
        <w:rPr>
          <w:lang w:val="en-US"/>
        </w:rPr>
        <w:t>with ‘wet’ symptoms (</w:t>
      </w:r>
      <w:r w:rsidR="005037D6">
        <w:rPr>
          <w:lang w:val="en-US"/>
        </w:rPr>
        <w:t>for example,</w:t>
      </w:r>
      <w:r w:rsidR="005037D6" w:rsidRPr="0094090E">
        <w:rPr>
          <w:lang w:val="en-US"/>
        </w:rPr>
        <w:t xml:space="preserve"> vomiting, </w:t>
      </w:r>
      <w:proofErr w:type="spellStart"/>
      <w:r w:rsidR="005037D6" w:rsidRPr="0094090E">
        <w:rPr>
          <w:lang w:val="en-US"/>
        </w:rPr>
        <w:t>diarrh</w:t>
      </w:r>
      <w:r w:rsidR="00B76002">
        <w:rPr>
          <w:lang w:val="en-US"/>
        </w:rPr>
        <w:t>oea</w:t>
      </w:r>
      <w:proofErr w:type="spellEnd"/>
      <w:r w:rsidR="005037D6" w:rsidRPr="0094090E">
        <w:rPr>
          <w:lang w:val="en-US"/>
        </w:rPr>
        <w:t xml:space="preserve"> and bleeding)</w:t>
      </w:r>
    </w:p>
    <w:p w14:paraId="40B2515D" w14:textId="4ED15EB6" w:rsidR="005037D6" w:rsidRDefault="007A4756" w:rsidP="008D292E">
      <w:pPr>
        <w:pStyle w:val="Bullet1"/>
        <w:tabs>
          <w:tab w:val="left" w:pos="567"/>
        </w:tabs>
      </w:pPr>
      <w:r>
        <w:rPr>
          <w:lang w:val="en-US"/>
        </w:rPr>
        <w:t>c</w:t>
      </w:r>
      <w:r w:rsidR="005037D6" w:rsidRPr="00727644">
        <w:rPr>
          <w:lang w:val="en-US"/>
        </w:rPr>
        <w:t>ritically unwell patients requiring urgent pathology and/or invasive or aerosol-generating procedures (</w:t>
      </w:r>
      <w:r w:rsidR="005037D6">
        <w:rPr>
          <w:lang w:val="en-US"/>
        </w:rPr>
        <w:t>for example,</w:t>
      </w:r>
      <w:r w:rsidR="005037D6" w:rsidRPr="00727644">
        <w:rPr>
          <w:lang w:val="en-US"/>
        </w:rPr>
        <w:t xml:space="preserve"> intubation, suctioning, active resuscitation)</w:t>
      </w:r>
    </w:p>
    <w:p w14:paraId="13E823F8" w14:textId="512B48F4" w:rsidR="005037D6" w:rsidRPr="00727644" w:rsidRDefault="007A4756" w:rsidP="008D292E">
      <w:pPr>
        <w:pStyle w:val="Bullet1"/>
        <w:tabs>
          <w:tab w:val="left" w:pos="567"/>
        </w:tabs>
      </w:pPr>
      <w:r>
        <w:rPr>
          <w:lang w:val="en-US"/>
        </w:rPr>
        <w:t>p</w:t>
      </w:r>
      <w:r w:rsidR="005037D6" w:rsidRPr="00727644">
        <w:rPr>
          <w:lang w:val="en-US"/>
        </w:rPr>
        <w:t>atient</w:t>
      </w:r>
      <w:r>
        <w:rPr>
          <w:lang w:val="en-US"/>
        </w:rPr>
        <w:t>s</w:t>
      </w:r>
      <w:r w:rsidR="005037D6" w:rsidRPr="00727644">
        <w:rPr>
          <w:lang w:val="en-US"/>
        </w:rPr>
        <w:t xml:space="preserve"> at a non-designated health service without the capacity to hold on to a suspected case before confirmation of diagnosis. These health services usually do not have suitable infrastructure to isolate a VHF case, or do not have infectious diseases or </w:t>
      </w:r>
      <w:r w:rsidR="005037D6">
        <w:rPr>
          <w:lang w:val="en-US"/>
        </w:rPr>
        <w:t>IPC</w:t>
      </w:r>
      <w:r w:rsidR="005037D6" w:rsidRPr="00727644">
        <w:rPr>
          <w:lang w:val="en-US"/>
        </w:rPr>
        <w:t xml:space="preserve"> expertise and capability.</w:t>
      </w:r>
    </w:p>
    <w:p w14:paraId="4BB8AA00" w14:textId="41BCF256" w:rsidR="005037D6" w:rsidRPr="008D3759" w:rsidRDefault="005037D6" w:rsidP="008D292E">
      <w:pPr>
        <w:pStyle w:val="Heading3"/>
      </w:pPr>
      <w:r w:rsidRPr="008D3759">
        <w:t>Ambulance</w:t>
      </w:r>
      <w:r w:rsidRPr="008F0717">
        <w:t xml:space="preserve"> transfer arrangements</w:t>
      </w:r>
    </w:p>
    <w:p w14:paraId="065E91BA" w14:textId="704C7DDC" w:rsidR="005037D6" w:rsidRDefault="005037D6" w:rsidP="008D292E">
      <w:pPr>
        <w:pStyle w:val="Body"/>
        <w:tabs>
          <w:tab w:val="left" w:pos="567"/>
        </w:tabs>
      </w:pPr>
      <w:r>
        <w:rPr>
          <w:lang w:val="en-US"/>
        </w:rPr>
        <w:t>A</w:t>
      </w:r>
      <w:r w:rsidRPr="64BD84F4">
        <w:rPr>
          <w:lang w:val="en-US"/>
        </w:rPr>
        <w:t>V is equipped to transfer suspected or confirmed cases of VHF in Victoria</w:t>
      </w:r>
      <w:r w:rsidR="007A4756">
        <w:rPr>
          <w:lang w:val="en-US"/>
        </w:rPr>
        <w:t>:</w:t>
      </w:r>
    </w:p>
    <w:p w14:paraId="75094A3C" w14:textId="77777777" w:rsidR="005037D6" w:rsidRDefault="005037D6" w:rsidP="008D292E">
      <w:pPr>
        <w:pStyle w:val="Bullet1"/>
        <w:tabs>
          <w:tab w:val="left" w:pos="567"/>
        </w:tabs>
        <w:rPr>
          <w:lang w:val="en-US"/>
        </w:rPr>
      </w:pPr>
      <w:r w:rsidRPr="64BD84F4">
        <w:rPr>
          <w:lang w:val="en-US"/>
        </w:rPr>
        <w:t xml:space="preserve">AV responders will </w:t>
      </w:r>
      <w:r>
        <w:rPr>
          <w:lang w:val="en-US"/>
        </w:rPr>
        <w:t>follow</w:t>
      </w:r>
      <w:r w:rsidRPr="64BD84F4">
        <w:rPr>
          <w:lang w:val="en-US"/>
        </w:rPr>
        <w:t xml:space="preserve"> AV’s established </w:t>
      </w:r>
      <w:r>
        <w:rPr>
          <w:lang w:val="en-US"/>
        </w:rPr>
        <w:t>IPC</w:t>
      </w:r>
      <w:r w:rsidRPr="64BD84F4">
        <w:rPr>
          <w:lang w:val="en-US"/>
        </w:rPr>
        <w:t xml:space="preserve"> precaution guidelines when </w:t>
      </w:r>
      <w:r>
        <w:rPr>
          <w:lang w:val="en-US"/>
        </w:rPr>
        <w:t xml:space="preserve">managing </w:t>
      </w:r>
      <w:r w:rsidRPr="64BD84F4">
        <w:rPr>
          <w:lang w:val="en-US"/>
        </w:rPr>
        <w:t>suspected or confirmed VHF patients</w:t>
      </w:r>
      <w:r w:rsidRPr="64BD84F4" w:rsidDel="00EB485A">
        <w:rPr>
          <w:lang w:val="en-US"/>
        </w:rPr>
        <w:t>.</w:t>
      </w:r>
    </w:p>
    <w:p w14:paraId="0071CC72" w14:textId="1D10CF4E" w:rsidR="005037D6" w:rsidRDefault="005037D6" w:rsidP="008D292E">
      <w:pPr>
        <w:pStyle w:val="Bullet1"/>
        <w:tabs>
          <w:tab w:val="left" w:pos="567"/>
        </w:tabs>
      </w:pPr>
      <w:r>
        <w:rPr>
          <w:lang w:val="en-US"/>
        </w:rPr>
        <w:t>Adequate</w:t>
      </w:r>
      <w:r w:rsidRPr="64BD84F4">
        <w:rPr>
          <w:lang w:val="en-US"/>
        </w:rPr>
        <w:t xml:space="preserve"> quantities of PPE (as</w:t>
      </w:r>
      <w:r>
        <w:rPr>
          <w:lang w:val="en-US"/>
        </w:rPr>
        <w:t xml:space="preserve"> outlined in </w:t>
      </w:r>
      <w:hyperlink w:anchor="_Infection_prevention_and" w:history="1">
        <w:r w:rsidR="007A4756" w:rsidRPr="007A4756">
          <w:rPr>
            <w:rStyle w:val="Hyperlink"/>
            <w:lang w:val="en-US"/>
          </w:rPr>
          <w:t>section 5</w:t>
        </w:r>
      </w:hyperlink>
      <w:r w:rsidRPr="00EF3BAF">
        <w:rPr>
          <w:lang w:val="en-US"/>
        </w:rPr>
        <w:t>)</w:t>
      </w:r>
      <w:r>
        <w:rPr>
          <w:lang w:val="en-US"/>
        </w:rPr>
        <w:t xml:space="preserve"> must </w:t>
      </w:r>
      <w:r w:rsidRPr="64BD84F4">
        <w:rPr>
          <w:lang w:val="en-US"/>
        </w:rPr>
        <w:t xml:space="preserve">be available to manage the case to completion at the </w:t>
      </w:r>
      <w:r>
        <w:rPr>
          <w:lang w:val="en-US"/>
        </w:rPr>
        <w:t xml:space="preserve">receiving </w:t>
      </w:r>
      <w:r w:rsidRPr="64BD84F4">
        <w:rPr>
          <w:lang w:val="en-US"/>
        </w:rPr>
        <w:t>health service.</w:t>
      </w:r>
      <w:r w:rsidDel="00EB485A">
        <w:rPr>
          <w:lang w:val="en-US"/>
        </w:rPr>
        <w:t xml:space="preserve"> </w:t>
      </w:r>
    </w:p>
    <w:p w14:paraId="28BCF394" w14:textId="28EDB6E2" w:rsidR="005037D6" w:rsidRDefault="005037D6" w:rsidP="008D292E">
      <w:pPr>
        <w:pStyle w:val="Bullet1"/>
        <w:tabs>
          <w:tab w:val="left" w:pos="567"/>
        </w:tabs>
      </w:pPr>
      <w:r w:rsidRPr="2FDE726F">
        <w:t>Where the clinical condition of the patient allows</w:t>
      </w:r>
      <w:r>
        <w:t>,</w:t>
      </w:r>
      <w:r w:rsidRPr="2FDE726F">
        <w:t xml:space="preserve"> </w:t>
      </w:r>
      <w:r w:rsidR="00AE78B1">
        <w:t>the department</w:t>
      </w:r>
      <w:r w:rsidRPr="2FDE726F">
        <w:t xml:space="preserve"> will coordinate the transfer of a suspected case with AV via established pathways and contacts</w:t>
      </w:r>
      <w:r w:rsidRPr="2FDE726F" w:rsidDel="00EB485A">
        <w:t>.</w:t>
      </w:r>
    </w:p>
    <w:p w14:paraId="73D93727" w14:textId="53A08F64" w:rsidR="005037D6" w:rsidRDefault="005037D6" w:rsidP="008D292E">
      <w:pPr>
        <w:pStyle w:val="Bullet1"/>
        <w:tabs>
          <w:tab w:val="left" w:pos="567"/>
        </w:tabs>
        <w:rPr>
          <w:lang w:val="en-US"/>
        </w:rPr>
      </w:pPr>
      <w:r>
        <w:rPr>
          <w:lang w:val="en-US"/>
        </w:rPr>
        <w:t>H</w:t>
      </w:r>
      <w:r w:rsidRPr="64BD84F4">
        <w:rPr>
          <w:lang w:val="en-US"/>
        </w:rPr>
        <w:t>ealth services should</w:t>
      </w:r>
      <w:r>
        <w:rPr>
          <w:lang w:val="en-US"/>
        </w:rPr>
        <w:t xml:space="preserve"> avoid</w:t>
      </w:r>
      <w:r w:rsidRPr="64BD84F4" w:rsidDel="00EB0F36">
        <w:rPr>
          <w:lang w:val="en-US"/>
        </w:rPr>
        <w:t xml:space="preserve"> </w:t>
      </w:r>
      <w:r w:rsidRPr="64BD84F4">
        <w:rPr>
          <w:lang w:val="en-US"/>
        </w:rPr>
        <w:t xml:space="preserve">direct transfer of a patient with suspected or confirmed VHF prior to receiving specific instruction from </w:t>
      </w:r>
      <w:r w:rsidR="00AE78B1">
        <w:rPr>
          <w:lang w:val="en-US"/>
        </w:rPr>
        <w:t>the department</w:t>
      </w:r>
      <w:r w:rsidR="007A4756">
        <w:rPr>
          <w:lang w:val="en-US"/>
        </w:rPr>
        <w:t>,</w:t>
      </w:r>
      <w:r w:rsidRPr="64BD84F4" w:rsidDel="008D7CB1">
        <w:rPr>
          <w:lang w:val="en-US"/>
        </w:rPr>
        <w:t xml:space="preserve"> </w:t>
      </w:r>
      <w:r w:rsidRPr="64BD84F4">
        <w:rPr>
          <w:lang w:val="en-US"/>
        </w:rPr>
        <w:t xml:space="preserve">unless necessitated due to the patient’s clinical condition or </w:t>
      </w:r>
      <w:r w:rsidR="007A4756">
        <w:rPr>
          <w:lang w:val="en-US"/>
        </w:rPr>
        <w:t xml:space="preserve">if </w:t>
      </w:r>
      <w:r w:rsidRPr="64BD84F4">
        <w:rPr>
          <w:lang w:val="en-US"/>
        </w:rPr>
        <w:t xml:space="preserve">the health service has been unable to contact </w:t>
      </w:r>
      <w:r w:rsidR="00AE78B1">
        <w:rPr>
          <w:lang w:val="en-US"/>
        </w:rPr>
        <w:t>the department</w:t>
      </w:r>
      <w:r w:rsidRPr="671B1AAA" w:rsidDel="00EB485A">
        <w:rPr>
          <w:lang w:val="en-US"/>
        </w:rPr>
        <w:t>.</w:t>
      </w:r>
    </w:p>
    <w:p w14:paraId="6F25B5F5" w14:textId="3E6B55C4" w:rsidR="005037D6" w:rsidRDefault="005037D6" w:rsidP="008D292E">
      <w:pPr>
        <w:pStyle w:val="Bullet1"/>
        <w:tabs>
          <w:tab w:val="left" w:pos="567"/>
        </w:tabs>
        <w:rPr>
          <w:lang w:val="en-US"/>
        </w:rPr>
      </w:pPr>
      <w:r w:rsidRPr="64BD84F4">
        <w:rPr>
          <w:lang w:val="en-US"/>
        </w:rPr>
        <w:t xml:space="preserve">Cases involving </w:t>
      </w:r>
      <w:proofErr w:type="spellStart"/>
      <w:r w:rsidRPr="64BD84F4">
        <w:rPr>
          <w:lang w:val="en-US"/>
        </w:rPr>
        <w:t>paediatric</w:t>
      </w:r>
      <w:proofErr w:type="spellEnd"/>
      <w:r w:rsidRPr="64BD84F4">
        <w:rPr>
          <w:lang w:val="en-US"/>
        </w:rPr>
        <w:t xml:space="preserve"> patients requiring </w:t>
      </w:r>
      <w:proofErr w:type="spellStart"/>
      <w:r w:rsidRPr="64BD84F4">
        <w:rPr>
          <w:lang w:val="en-US"/>
        </w:rPr>
        <w:t>specialised</w:t>
      </w:r>
      <w:proofErr w:type="spellEnd"/>
      <w:r w:rsidRPr="64BD84F4">
        <w:rPr>
          <w:lang w:val="en-US"/>
        </w:rPr>
        <w:t xml:space="preserve"> retrieval will be coordinated by RCH through the </w:t>
      </w:r>
      <w:proofErr w:type="spellStart"/>
      <w:r w:rsidRPr="64BD84F4">
        <w:rPr>
          <w:lang w:val="en-US"/>
        </w:rPr>
        <w:t>Paediatric</w:t>
      </w:r>
      <w:proofErr w:type="spellEnd"/>
      <w:r w:rsidRPr="64BD84F4">
        <w:rPr>
          <w:lang w:val="en-US"/>
        </w:rPr>
        <w:t xml:space="preserve"> Infant Perinatal Emergency Retrieval (PIPER) service</w:t>
      </w:r>
      <w:r w:rsidRPr="64BD84F4" w:rsidDel="00EB485A">
        <w:rPr>
          <w:lang w:val="en-US"/>
        </w:rPr>
        <w:t>.</w:t>
      </w:r>
    </w:p>
    <w:p w14:paraId="14C2780F" w14:textId="65AA37F6" w:rsidR="005037D6" w:rsidRPr="00727644" w:rsidRDefault="005037D6" w:rsidP="008D292E">
      <w:pPr>
        <w:pStyle w:val="Bullet1"/>
        <w:tabs>
          <w:tab w:val="left" w:pos="567"/>
        </w:tabs>
      </w:pPr>
      <w:r w:rsidRPr="00796F7D">
        <w:t xml:space="preserve">Cases involving adult critical care patients requiring specialised retrieval will be coordinated through </w:t>
      </w:r>
      <w:r>
        <w:t>the</w:t>
      </w:r>
      <w:r w:rsidRPr="00796F7D">
        <w:t xml:space="preserve"> Adult Retrieval Victoria (ARV) service.</w:t>
      </w:r>
    </w:p>
    <w:p w14:paraId="03849B43" w14:textId="77777777" w:rsidR="005037D6" w:rsidRPr="00F4701B" w:rsidRDefault="005037D6" w:rsidP="005A0E81">
      <w:pPr>
        <w:pStyle w:val="Heading3"/>
      </w:pPr>
      <w:r w:rsidRPr="008F0717">
        <w:t>Transfer of accompanying parents or carers</w:t>
      </w:r>
    </w:p>
    <w:p w14:paraId="2AB14FE0" w14:textId="78E23070" w:rsidR="007A4756" w:rsidRDefault="005037D6" w:rsidP="008D292E">
      <w:pPr>
        <w:pStyle w:val="Body"/>
        <w:tabs>
          <w:tab w:val="left" w:pos="567"/>
        </w:tabs>
        <w:rPr>
          <w:lang w:val="en-US"/>
        </w:rPr>
      </w:pPr>
      <w:r>
        <w:rPr>
          <w:lang w:val="en-US"/>
        </w:rPr>
        <w:t>P</w:t>
      </w:r>
      <w:r w:rsidRPr="64BD84F4">
        <w:rPr>
          <w:lang w:val="en-US"/>
        </w:rPr>
        <w:t xml:space="preserve">arents or carers may request to accompany </w:t>
      </w:r>
      <w:r>
        <w:rPr>
          <w:lang w:val="en-US"/>
        </w:rPr>
        <w:t>a</w:t>
      </w:r>
      <w:r w:rsidRPr="64BD84F4">
        <w:rPr>
          <w:lang w:val="en-US"/>
        </w:rPr>
        <w:t xml:space="preserve"> patient </w:t>
      </w:r>
      <w:r>
        <w:rPr>
          <w:lang w:val="en-US"/>
        </w:rPr>
        <w:t>(</w:t>
      </w:r>
      <w:r w:rsidR="007A4756">
        <w:rPr>
          <w:lang w:val="en-US"/>
        </w:rPr>
        <w:t>for example, a</w:t>
      </w:r>
      <w:r>
        <w:rPr>
          <w:lang w:val="en-US"/>
        </w:rPr>
        <w:t xml:space="preserve"> minor, </w:t>
      </w:r>
      <w:r w:rsidR="007A4756">
        <w:rPr>
          <w:lang w:val="en-US"/>
        </w:rPr>
        <w:t xml:space="preserve">an </w:t>
      </w:r>
      <w:r>
        <w:rPr>
          <w:lang w:val="en-US"/>
        </w:rPr>
        <w:t>adult requiring a carer or a patient requiring an interpreter)</w:t>
      </w:r>
      <w:r w:rsidRPr="64BD84F4">
        <w:rPr>
          <w:lang w:val="en-US"/>
        </w:rPr>
        <w:t xml:space="preserve"> during the transfer to the receiving health service.</w:t>
      </w:r>
    </w:p>
    <w:p w14:paraId="11451B94" w14:textId="18692F87" w:rsidR="005037D6" w:rsidRDefault="005037D6" w:rsidP="008D292E">
      <w:pPr>
        <w:pStyle w:val="Body"/>
        <w:tabs>
          <w:tab w:val="left" w:pos="567"/>
        </w:tabs>
        <w:rPr>
          <w:lang w:val="en-US"/>
        </w:rPr>
      </w:pPr>
      <w:r w:rsidRPr="64BD84F4">
        <w:rPr>
          <w:lang w:val="en-US"/>
        </w:rPr>
        <w:t xml:space="preserve">This </w:t>
      </w:r>
      <w:r>
        <w:rPr>
          <w:lang w:val="en-US"/>
        </w:rPr>
        <w:t>decision r</w:t>
      </w:r>
      <w:r w:rsidRPr="64BD84F4">
        <w:rPr>
          <w:lang w:val="en-US"/>
        </w:rPr>
        <w:t>equire</w:t>
      </w:r>
      <w:r>
        <w:rPr>
          <w:lang w:val="en-US"/>
        </w:rPr>
        <w:t>s</w:t>
      </w:r>
      <w:r w:rsidRPr="64BD84F4">
        <w:rPr>
          <w:lang w:val="en-US"/>
        </w:rPr>
        <w:t xml:space="preserve"> a risk assessment</w:t>
      </w:r>
      <w:r>
        <w:rPr>
          <w:lang w:val="en-US"/>
        </w:rPr>
        <w:t xml:space="preserve"> considering:</w:t>
      </w:r>
    </w:p>
    <w:p w14:paraId="233FC61F" w14:textId="165104D2" w:rsidR="005037D6" w:rsidRPr="008F0717" w:rsidRDefault="005037D6" w:rsidP="008D292E">
      <w:pPr>
        <w:pStyle w:val="Bullet1"/>
        <w:tabs>
          <w:tab w:val="left" w:pos="567"/>
        </w:tabs>
      </w:pPr>
      <w:r>
        <w:rPr>
          <w:lang w:val="en-US"/>
        </w:rPr>
        <w:t>t</w:t>
      </w:r>
      <w:r w:rsidRPr="64BD84F4">
        <w:rPr>
          <w:lang w:val="en-US"/>
        </w:rPr>
        <w:t xml:space="preserve">he level of suspicion for </w:t>
      </w:r>
      <w:r>
        <w:rPr>
          <w:lang w:val="en-US"/>
        </w:rPr>
        <w:t xml:space="preserve">the </w:t>
      </w:r>
      <w:r w:rsidR="007A4756">
        <w:rPr>
          <w:lang w:val="en-US"/>
        </w:rPr>
        <w:t xml:space="preserve">patient </w:t>
      </w:r>
      <w:r>
        <w:rPr>
          <w:lang w:val="en-US"/>
        </w:rPr>
        <w:t xml:space="preserve">to have </w:t>
      </w:r>
      <w:r w:rsidRPr="64BD84F4">
        <w:rPr>
          <w:lang w:val="en-US"/>
        </w:rPr>
        <w:t>VHF</w:t>
      </w:r>
    </w:p>
    <w:p w14:paraId="60A0666E" w14:textId="3D32974C" w:rsidR="005037D6" w:rsidRPr="008F0717" w:rsidRDefault="005037D6" w:rsidP="008D292E">
      <w:pPr>
        <w:pStyle w:val="Bullet1"/>
        <w:tabs>
          <w:tab w:val="left" w:pos="567"/>
        </w:tabs>
      </w:pPr>
      <w:r>
        <w:rPr>
          <w:lang w:val="en-US"/>
        </w:rPr>
        <w:t>p</w:t>
      </w:r>
      <w:r w:rsidRPr="64BD84F4">
        <w:rPr>
          <w:lang w:val="en-US"/>
        </w:rPr>
        <w:t xml:space="preserve">otential infectivity of the </w:t>
      </w:r>
      <w:r w:rsidR="007A4756">
        <w:rPr>
          <w:lang w:val="en-US"/>
        </w:rPr>
        <w:t>patient</w:t>
      </w:r>
    </w:p>
    <w:p w14:paraId="04867BA2" w14:textId="77777777" w:rsidR="005037D6" w:rsidRPr="008F0717" w:rsidRDefault="005037D6" w:rsidP="008D292E">
      <w:pPr>
        <w:pStyle w:val="Bullet1"/>
        <w:tabs>
          <w:tab w:val="left" w:pos="567"/>
        </w:tabs>
      </w:pPr>
      <w:r>
        <w:rPr>
          <w:lang w:val="en-US"/>
        </w:rPr>
        <w:t>potential for the parent/carer to have VHF</w:t>
      </w:r>
    </w:p>
    <w:p w14:paraId="36419805" w14:textId="77777777" w:rsidR="005037D6" w:rsidRDefault="005037D6" w:rsidP="005A0E81">
      <w:pPr>
        <w:pStyle w:val="Bullet1"/>
        <w:tabs>
          <w:tab w:val="left" w:pos="567"/>
        </w:tabs>
      </w:pPr>
      <w:r>
        <w:t xml:space="preserve">AV’s ability to safely accommodate </w:t>
      </w:r>
      <w:r w:rsidRPr="64BD84F4">
        <w:rPr>
          <w:lang w:val="en-US"/>
        </w:rPr>
        <w:t>a parent/carer escort.</w:t>
      </w:r>
    </w:p>
    <w:p w14:paraId="0D71CB11" w14:textId="28BFF074" w:rsidR="005037D6" w:rsidRDefault="005037D6" w:rsidP="008D292E">
      <w:pPr>
        <w:pStyle w:val="Bodyafterbullets"/>
        <w:tabs>
          <w:tab w:val="left" w:pos="567"/>
        </w:tabs>
      </w:pPr>
      <w:r>
        <w:rPr>
          <w:lang w:val="en-US"/>
        </w:rPr>
        <w:lastRenderedPageBreak/>
        <w:t>G</w:t>
      </w:r>
      <w:r w:rsidRPr="64BD84F4">
        <w:rPr>
          <w:lang w:val="en-US"/>
        </w:rPr>
        <w:t>eneral principle</w:t>
      </w:r>
      <w:r>
        <w:rPr>
          <w:lang w:val="en-US"/>
        </w:rPr>
        <w:t>s</w:t>
      </w:r>
      <w:r w:rsidR="008E23EE">
        <w:rPr>
          <w:lang w:val="en-US"/>
        </w:rPr>
        <w:t xml:space="preserve"> include</w:t>
      </w:r>
      <w:r>
        <w:rPr>
          <w:lang w:val="en-US"/>
        </w:rPr>
        <w:t>:</w:t>
      </w:r>
    </w:p>
    <w:p w14:paraId="6187F715" w14:textId="42718904" w:rsidR="005037D6" w:rsidRDefault="008E23EE" w:rsidP="008D292E">
      <w:pPr>
        <w:pStyle w:val="Bullet1"/>
        <w:tabs>
          <w:tab w:val="left" w:pos="567"/>
        </w:tabs>
      </w:pPr>
      <w:r>
        <w:t>for ‘d</w:t>
      </w:r>
      <w:r w:rsidR="005037D6">
        <w:t>ry</w:t>
      </w:r>
      <w:r>
        <w:t>’</w:t>
      </w:r>
      <w:r w:rsidR="005037D6">
        <w:t xml:space="preserve"> symptoms only (</w:t>
      </w:r>
      <w:r w:rsidR="005037D6" w:rsidRPr="006854A1">
        <w:t>for example,</w:t>
      </w:r>
      <w:r w:rsidR="005037D6">
        <w:t xml:space="preserve"> fever, myalgia</w:t>
      </w:r>
      <w:r>
        <w:t xml:space="preserve"> and</w:t>
      </w:r>
      <w:r w:rsidR="005037D6">
        <w:t xml:space="preserve"> headache</w:t>
      </w:r>
      <w:r w:rsidR="005037D6" w:rsidRPr="006854A1">
        <w:t>)</w:t>
      </w:r>
      <w:r>
        <w:t>:</w:t>
      </w:r>
    </w:p>
    <w:p w14:paraId="381ECB67" w14:textId="2444D0AD" w:rsidR="005037D6" w:rsidRPr="008E23EE" w:rsidRDefault="008E23EE" w:rsidP="008D292E">
      <w:pPr>
        <w:pStyle w:val="Bullet2"/>
        <w:tabs>
          <w:tab w:val="left" w:pos="567"/>
          <w:tab w:val="num" w:pos="794"/>
        </w:tabs>
        <w:ind w:left="794" w:hanging="397"/>
      </w:pPr>
      <w:r w:rsidRPr="008E23EE">
        <w:t>at</w:t>
      </w:r>
      <w:r w:rsidR="005037D6" w:rsidRPr="008E23EE">
        <w:t xml:space="preserve"> the discretion of </w:t>
      </w:r>
      <w:r w:rsidR="00AE78B1" w:rsidRPr="008E23EE">
        <w:t>the department</w:t>
      </w:r>
      <w:r w:rsidR="005037D6" w:rsidRPr="008E23EE">
        <w:t xml:space="preserve"> and AV, one parent or carer may accompany the patient</w:t>
      </w:r>
    </w:p>
    <w:p w14:paraId="106E020B" w14:textId="2E69CFF1" w:rsidR="005037D6" w:rsidRPr="008E23EE" w:rsidRDefault="008E23EE" w:rsidP="008D292E">
      <w:pPr>
        <w:pStyle w:val="Bullet2"/>
        <w:tabs>
          <w:tab w:val="left" w:pos="567"/>
          <w:tab w:val="num" w:pos="794"/>
        </w:tabs>
        <w:ind w:left="794" w:hanging="397"/>
      </w:pPr>
      <w:r w:rsidRPr="008E23EE">
        <w:t>that t</w:t>
      </w:r>
      <w:r w:rsidR="005037D6" w:rsidRPr="008E23EE">
        <w:t>he carer will be required to wear appropriate PPE and remain at least one metre away from the patient (if possible), avoiding physical contact</w:t>
      </w:r>
    </w:p>
    <w:p w14:paraId="67510861" w14:textId="3F901A59" w:rsidR="005037D6" w:rsidRPr="008F0717" w:rsidRDefault="008E23EE" w:rsidP="008D292E">
      <w:pPr>
        <w:pStyle w:val="Bullet1"/>
        <w:tabs>
          <w:tab w:val="left" w:pos="567"/>
        </w:tabs>
      </w:pPr>
      <w:r>
        <w:t xml:space="preserve">for </w:t>
      </w:r>
      <w:r w:rsidR="005037D6" w:rsidRPr="00B10C99">
        <w:t>‘</w:t>
      </w:r>
      <w:r>
        <w:t>w</w:t>
      </w:r>
      <w:r w:rsidR="005037D6" w:rsidRPr="00B10C99">
        <w:t>et’ symptoms (for example, vomiting, diarrhoea</w:t>
      </w:r>
      <w:r>
        <w:t xml:space="preserve"> and</w:t>
      </w:r>
      <w:r w:rsidR="005037D6" w:rsidRPr="00B10C99">
        <w:t xml:space="preserve"> bleeding)</w:t>
      </w:r>
    </w:p>
    <w:p w14:paraId="2ABB6DC5" w14:textId="164F9224" w:rsidR="005037D6" w:rsidRPr="008E23EE" w:rsidRDefault="008E23EE" w:rsidP="008D292E">
      <w:pPr>
        <w:pStyle w:val="Bullet2"/>
        <w:tabs>
          <w:tab w:val="left" w:pos="567"/>
          <w:tab w:val="num" w:pos="794"/>
        </w:tabs>
        <w:ind w:left="794" w:hanging="397"/>
      </w:pPr>
      <w:r>
        <w:t>a</w:t>
      </w:r>
      <w:r w:rsidR="005037D6" w:rsidRPr="008E23EE">
        <w:t xml:space="preserve"> parent or carer cannot accompany the patient during transfer</w:t>
      </w:r>
    </w:p>
    <w:p w14:paraId="736EF40F" w14:textId="05A61F56" w:rsidR="005037D6" w:rsidRPr="008E23EE" w:rsidRDefault="008E23EE" w:rsidP="008D292E">
      <w:pPr>
        <w:pStyle w:val="Bullet2"/>
        <w:tabs>
          <w:tab w:val="left" w:pos="567"/>
          <w:tab w:val="num" w:pos="794"/>
        </w:tabs>
        <w:ind w:left="794" w:hanging="397"/>
      </w:pPr>
      <w:r>
        <w:t>a</w:t>
      </w:r>
      <w:r w:rsidR="005037D6" w:rsidRPr="008E23EE">
        <w:t>lternative transport arrangements to the receiving health service must be made for the parent or carer.</w:t>
      </w:r>
    </w:p>
    <w:p w14:paraId="589D6AC7" w14:textId="77777777" w:rsidR="007C635C" w:rsidRDefault="007C635C" w:rsidP="008D292E">
      <w:pPr>
        <w:tabs>
          <w:tab w:val="left" w:pos="567"/>
        </w:tabs>
        <w:spacing w:after="0" w:line="240" w:lineRule="auto"/>
        <w:rPr>
          <w:rFonts w:eastAsia="MS Gothic" w:cs="Arial"/>
          <w:bCs/>
          <w:color w:val="201547"/>
          <w:kern w:val="32"/>
          <w:sz w:val="44"/>
          <w:szCs w:val="44"/>
        </w:rPr>
      </w:pPr>
      <w:bookmarkStart w:id="29" w:name="_Laboratory"/>
      <w:bookmarkEnd w:id="29"/>
      <w:r>
        <w:br w:type="page"/>
      </w:r>
    </w:p>
    <w:p w14:paraId="0295C6F5" w14:textId="15898AC5" w:rsidR="005037D6" w:rsidRDefault="005037D6" w:rsidP="008D292E">
      <w:pPr>
        <w:pStyle w:val="Heading1"/>
        <w:numPr>
          <w:ilvl w:val="0"/>
          <w:numId w:val="40"/>
        </w:numPr>
        <w:tabs>
          <w:tab w:val="num" w:pos="397"/>
          <w:tab w:val="left" w:pos="567"/>
        </w:tabs>
        <w:ind w:left="397" w:hanging="397"/>
      </w:pPr>
      <w:bookmarkStart w:id="30" w:name="_Toc217022540"/>
      <w:r>
        <w:lastRenderedPageBreak/>
        <w:t>Laboratory</w:t>
      </w:r>
      <w:bookmarkEnd w:id="30"/>
    </w:p>
    <w:p w14:paraId="46FE60DF" w14:textId="77777777" w:rsidR="005037D6" w:rsidRDefault="005037D6" w:rsidP="008D292E">
      <w:pPr>
        <w:pStyle w:val="Heading2"/>
        <w:tabs>
          <w:tab w:val="left" w:pos="567"/>
        </w:tabs>
      </w:pPr>
      <w:bookmarkStart w:id="31" w:name="_Toc217022541"/>
      <w:r>
        <w:t>Laboratory notification</w:t>
      </w:r>
      <w:bookmarkEnd w:id="31"/>
    </w:p>
    <w:p w14:paraId="27D729E0" w14:textId="6409C88C" w:rsidR="005037D6" w:rsidRDefault="005037D6" w:rsidP="008D292E">
      <w:pPr>
        <w:pStyle w:val="Body"/>
        <w:tabs>
          <w:tab w:val="left" w:pos="567"/>
        </w:tabs>
      </w:pPr>
      <w:r>
        <w:t xml:space="preserve">VIDRL </w:t>
      </w:r>
      <w:bookmarkStart w:id="32" w:name="_Hlk148434206"/>
      <w:r>
        <w:t xml:space="preserve">maintains the National High Security Quarantine Laboratory (NHSQL), a Physical Containment 4 (PC4) suit laboratory and </w:t>
      </w:r>
      <w:bookmarkEnd w:id="32"/>
      <w:r>
        <w:t>Victoria’s designated centre for VHF testing. VIDRL is available 24</w:t>
      </w:r>
      <w:r w:rsidR="008E23EE">
        <w:t>/7</w:t>
      </w:r>
      <w:r>
        <w:t xml:space="preserve"> for testing of specific VHF pathogens.</w:t>
      </w:r>
    </w:p>
    <w:p w14:paraId="046E3F36" w14:textId="78DDC995" w:rsidR="005037D6" w:rsidRDefault="005037D6" w:rsidP="008D292E">
      <w:pPr>
        <w:pStyle w:val="Body"/>
        <w:tabs>
          <w:tab w:val="left" w:pos="567"/>
        </w:tabs>
      </w:pPr>
      <w:r>
        <w:t xml:space="preserve">Testing for VHF must be discussed with and approved by </w:t>
      </w:r>
      <w:r w:rsidR="00AE78B1">
        <w:t>the department</w:t>
      </w:r>
      <w:r>
        <w:t xml:space="preserve">. Testing should be coordinated in consultation with </w:t>
      </w:r>
      <w:r w:rsidR="00AE78B1">
        <w:t>the department</w:t>
      </w:r>
      <w:r>
        <w:t>, treating clinician, infectious disease specialist/microbiologist, pathology/laboratory team of the health service and VIDRL.</w:t>
      </w:r>
    </w:p>
    <w:p w14:paraId="147B9D03" w14:textId="198DADD1" w:rsidR="005037D6" w:rsidRDefault="005174A4" w:rsidP="008D292E">
      <w:pPr>
        <w:pStyle w:val="Body"/>
        <w:tabs>
          <w:tab w:val="left" w:pos="567"/>
        </w:tabs>
      </w:pPr>
      <w:r>
        <w:t>O</w:t>
      </w:r>
      <w:r w:rsidR="005037D6">
        <w:t xml:space="preserve">n approval, a nominated </w:t>
      </w:r>
      <w:r w:rsidR="00AE78B1">
        <w:t>department</w:t>
      </w:r>
      <w:r w:rsidR="00872E96">
        <w:t>al</w:t>
      </w:r>
      <w:r w:rsidR="005037D6">
        <w:t xml:space="preserve"> representative should be the primary person to liaise with VIDRL, the health service pathology and courier service, unless an alternative arrangement has been made and agreed on.</w:t>
      </w:r>
    </w:p>
    <w:p w14:paraId="65433DE0" w14:textId="77777777" w:rsidR="005037D6" w:rsidRDefault="005037D6" w:rsidP="008D292E">
      <w:pPr>
        <w:pStyle w:val="Heading2"/>
        <w:tabs>
          <w:tab w:val="left" w:pos="567"/>
        </w:tabs>
      </w:pPr>
      <w:bookmarkStart w:id="33" w:name="_Toc217022542"/>
      <w:r>
        <w:t>Testing and specimen transfer</w:t>
      </w:r>
      <w:bookmarkEnd w:id="33"/>
    </w:p>
    <w:p w14:paraId="092070F2" w14:textId="0D32581E" w:rsidR="005174A4" w:rsidRDefault="005037D6" w:rsidP="008D292E">
      <w:pPr>
        <w:pStyle w:val="Body"/>
        <w:tabs>
          <w:tab w:val="left" w:pos="567"/>
        </w:tabs>
        <w:rPr>
          <w:rStyle w:val="BodyChar"/>
        </w:rPr>
      </w:pPr>
      <w:r w:rsidRPr="009F2B2A">
        <w:rPr>
          <w:rStyle w:val="BodyChar"/>
        </w:rPr>
        <w:t>Testing for VHF is conducted at the NHSQL in the PC4 laboratory. Definitive testing includes</w:t>
      </w:r>
      <w:r w:rsidR="005174A4">
        <w:rPr>
          <w:rStyle w:val="BodyChar"/>
        </w:rPr>
        <w:t>:</w:t>
      </w:r>
    </w:p>
    <w:p w14:paraId="14E91297" w14:textId="0A41F76B" w:rsidR="005174A4" w:rsidRDefault="005174A4" w:rsidP="008D292E">
      <w:pPr>
        <w:pStyle w:val="Bullet1"/>
        <w:tabs>
          <w:tab w:val="left" w:pos="567"/>
        </w:tabs>
        <w:rPr>
          <w:rStyle w:val="BodyChar"/>
        </w:rPr>
      </w:pPr>
      <w:r>
        <w:rPr>
          <w:rStyle w:val="BodyChar"/>
        </w:rPr>
        <w:t>r</w:t>
      </w:r>
      <w:r w:rsidR="005037D6" w:rsidRPr="009F2B2A">
        <w:rPr>
          <w:rStyle w:val="BodyChar"/>
        </w:rPr>
        <w:t xml:space="preserve">everse </w:t>
      </w:r>
      <w:r>
        <w:rPr>
          <w:rStyle w:val="BodyChar"/>
        </w:rPr>
        <w:t>t</w:t>
      </w:r>
      <w:r w:rsidR="005037D6" w:rsidRPr="009F2B2A">
        <w:rPr>
          <w:rStyle w:val="BodyChar"/>
        </w:rPr>
        <w:t xml:space="preserve">ranscription </w:t>
      </w:r>
      <w:r>
        <w:rPr>
          <w:rStyle w:val="BodyChar"/>
        </w:rPr>
        <w:t>p</w:t>
      </w:r>
      <w:r w:rsidR="005037D6" w:rsidRPr="009F2B2A">
        <w:rPr>
          <w:rStyle w:val="BodyChar"/>
        </w:rPr>
        <w:t xml:space="preserve">olymerase </w:t>
      </w:r>
      <w:r>
        <w:rPr>
          <w:rStyle w:val="BodyChar"/>
        </w:rPr>
        <w:t>c</w:t>
      </w:r>
      <w:r w:rsidR="005037D6" w:rsidRPr="009F2B2A">
        <w:rPr>
          <w:rStyle w:val="BodyChar"/>
        </w:rPr>
        <w:t xml:space="preserve">hain </w:t>
      </w:r>
      <w:r>
        <w:rPr>
          <w:rStyle w:val="BodyChar"/>
        </w:rPr>
        <w:t>r</w:t>
      </w:r>
      <w:r w:rsidR="005037D6" w:rsidRPr="009F2B2A">
        <w:rPr>
          <w:rStyle w:val="BodyChar"/>
        </w:rPr>
        <w:t xml:space="preserve">eaction (RT-PCR) </w:t>
      </w:r>
      <w:r>
        <w:rPr>
          <w:rStyle w:val="BodyChar"/>
        </w:rPr>
        <w:t xml:space="preserve">– </w:t>
      </w:r>
      <w:r w:rsidR="005037D6" w:rsidRPr="009F2B2A">
        <w:t xml:space="preserve">for example, </w:t>
      </w:r>
      <w:r w:rsidR="005037D6" w:rsidRPr="009F2B2A">
        <w:rPr>
          <w:rStyle w:val="BodyChar"/>
        </w:rPr>
        <w:t>for Ebola virus, Marburg virus, Lassa virus</w:t>
      </w:r>
      <w:r w:rsidR="005037D6">
        <w:rPr>
          <w:rStyle w:val="BodyChar"/>
        </w:rPr>
        <w:t>,</w:t>
      </w:r>
      <w:r w:rsidR="005037D6" w:rsidRPr="009F2B2A">
        <w:rPr>
          <w:rStyle w:val="BodyChar"/>
        </w:rPr>
        <w:t xml:space="preserve"> CCHF virus, and emerging agents like </w:t>
      </w:r>
      <w:proofErr w:type="spellStart"/>
      <w:r w:rsidR="005037D6" w:rsidRPr="009F2B2A">
        <w:rPr>
          <w:rStyle w:val="BodyChar"/>
        </w:rPr>
        <w:t>Lujo</w:t>
      </w:r>
      <w:proofErr w:type="spellEnd"/>
      <w:r w:rsidR="005037D6" w:rsidRPr="009F2B2A">
        <w:rPr>
          <w:rStyle w:val="BodyChar"/>
        </w:rPr>
        <w:t xml:space="preserve"> virus, </w:t>
      </w:r>
      <w:proofErr w:type="spellStart"/>
      <w:r w:rsidR="005037D6" w:rsidRPr="009F2B2A">
        <w:rPr>
          <w:rStyle w:val="BodyChar"/>
        </w:rPr>
        <w:t>Sabiá</w:t>
      </w:r>
      <w:proofErr w:type="spellEnd"/>
      <w:r w:rsidR="005037D6" w:rsidRPr="009F2B2A">
        <w:rPr>
          <w:rStyle w:val="BodyChar"/>
        </w:rPr>
        <w:t xml:space="preserve"> virus and Rift Valley fever virus</w:t>
      </w:r>
    </w:p>
    <w:p w14:paraId="2CE63425" w14:textId="1FBD76C0" w:rsidR="005174A4" w:rsidRDefault="005037D6" w:rsidP="008D292E">
      <w:pPr>
        <w:pStyle w:val="Bullet1"/>
        <w:tabs>
          <w:tab w:val="left" w:pos="567"/>
        </w:tabs>
        <w:rPr>
          <w:rStyle w:val="BodyChar"/>
        </w:rPr>
      </w:pPr>
      <w:r w:rsidRPr="009F2B2A">
        <w:rPr>
          <w:rStyle w:val="BodyChar"/>
        </w:rPr>
        <w:t>confirmation by sequencing</w:t>
      </w:r>
    </w:p>
    <w:p w14:paraId="0F5E829C" w14:textId="4281640A" w:rsidR="005174A4" w:rsidRDefault="005037D6" w:rsidP="008D292E">
      <w:pPr>
        <w:pStyle w:val="Bullet1"/>
        <w:tabs>
          <w:tab w:val="left" w:pos="567"/>
        </w:tabs>
        <w:rPr>
          <w:rStyle w:val="BodyChar"/>
        </w:rPr>
      </w:pPr>
      <w:r w:rsidRPr="009F2B2A">
        <w:rPr>
          <w:rStyle w:val="BodyChar"/>
        </w:rPr>
        <w:t>virus isolation in cell culture</w:t>
      </w:r>
    </w:p>
    <w:p w14:paraId="4D9C5C0A" w14:textId="78E7A7A0" w:rsidR="005174A4" w:rsidRDefault="005037D6" w:rsidP="008D292E">
      <w:pPr>
        <w:pStyle w:val="Bullet1"/>
        <w:tabs>
          <w:tab w:val="left" w:pos="567"/>
        </w:tabs>
        <w:rPr>
          <w:rStyle w:val="BodyChar"/>
        </w:rPr>
      </w:pPr>
      <w:r w:rsidRPr="009F2B2A">
        <w:rPr>
          <w:rStyle w:val="BodyChar"/>
        </w:rPr>
        <w:t>whole genome sequencing for outbreak surveillance.</w:t>
      </w:r>
    </w:p>
    <w:p w14:paraId="5FA9A6A5" w14:textId="6A1696B7" w:rsidR="005037D6" w:rsidRPr="009F2B2A" w:rsidRDefault="005037D6" w:rsidP="008D292E">
      <w:pPr>
        <w:pStyle w:val="Bodyafterbullets"/>
        <w:tabs>
          <w:tab w:val="left" w:pos="567"/>
        </w:tabs>
        <w:rPr>
          <w:rStyle w:val="BodyChar"/>
        </w:rPr>
      </w:pPr>
      <w:r w:rsidRPr="009F2B2A">
        <w:rPr>
          <w:rStyle w:val="BodyChar"/>
        </w:rPr>
        <w:t>Adjunct testing in the form of serology and transmission electron microscopy may also be considered.</w:t>
      </w:r>
    </w:p>
    <w:p w14:paraId="0A6AF3D7" w14:textId="77777777" w:rsidR="005037D6" w:rsidRPr="00D341DB" w:rsidRDefault="005037D6" w:rsidP="008D292E">
      <w:pPr>
        <w:pStyle w:val="Heading3"/>
      </w:pPr>
      <w:r w:rsidRPr="00D341DB">
        <w:t>Specimen collection</w:t>
      </w:r>
    </w:p>
    <w:p w14:paraId="44194829" w14:textId="42AAE318" w:rsidR="005037D6" w:rsidRPr="00B02416" w:rsidRDefault="005037D6" w:rsidP="008D292E">
      <w:pPr>
        <w:pStyle w:val="Body"/>
        <w:tabs>
          <w:tab w:val="left" w:pos="567"/>
        </w:tabs>
      </w:pPr>
      <w:r w:rsidRPr="00B02416">
        <w:t xml:space="preserve">General </w:t>
      </w:r>
      <w:r w:rsidR="005174A4">
        <w:t>p</w:t>
      </w:r>
      <w:r w:rsidRPr="00B02416">
        <w:t>rinciples</w:t>
      </w:r>
      <w:r w:rsidR="005174A4">
        <w:t xml:space="preserve"> </w:t>
      </w:r>
      <w:r w:rsidR="0067553A">
        <w:t xml:space="preserve">of specimen collection </w:t>
      </w:r>
      <w:r w:rsidR="005174A4">
        <w:t>include that:</w:t>
      </w:r>
    </w:p>
    <w:p w14:paraId="18F22A8F" w14:textId="7F5549A3" w:rsidR="005037D6" w:rsidRPr="005B5D61" w:rsidRDefault="005174A4" w:rsidP="008D292E">
      <w:pPr>
        <w:pStyle w:val="Bullet1"/>
        <w:tabs>
          <w:tab w:val="left" w:pos="567"/>
        </w:tabs>
      </w:pPr>
      <w:r>
        <w:t>s</w:t>
      </w:r>
      <w:r w:rsidR="005037D6" w:rsidRPr="005B5D61">
        <w:t>pecimen collection should</w:t>
      </w:r>
      <w:r w:rsidR="005037D6">
        <w:t xml:space="preserve"> preferably</w:t>
      </w:r>
      <w:r w:rsidR="005037D6" w:rsidRPr="005B5D61">
        <w:t xml:space="preserve"> occur at a designated hospital (RMH or RCH) whenever possible</w:t>
      </w:r>
    </w:p>
    <w:p w14:paraId="1D576560" w14:textId="05F701B5" w:rsidR="005037D6" w:rsidRPr="005B5D61" w:rsidRDefault="005174A4" w:rsidP="008D292E">
      <w:pPr>
        <w:pStyle w:val="Bullet1"/>
        <w:tabs>
          <w:tab w:val="left" w:pos="567"/>
        </w:tabs>
      </w:pPr>
      <w:r>
        <w:t>i</w:t>
      </w:r>
      <w:r w:rsidR="005037D6" w:rsidRPr="005B5D61">
        <w:t>f urgent transfer is not required and delaying collection may compromise diagnosis, venepuncture should be performed at the initial admitting hospital by an experienced clinician</w:t>
      </w:r>
    </w:p>
    <w:p w14:paraId="3CD8DAE8" w14:textId="4D541713" w:rsidR="005037D6" w:rsidRPr="005B5D61" w:rsidRDefault="005174A4" w:rsidP="008D292E">
      <w:pPr>
        <w:pStyle w:val="Bullet1"/>
        <w:tabs>
          <w:tab w:val="left" w:pos="567"/>
        </w:tabs>
      </w:pPr>
      <w:r>
        <w:t>o</w:t>
      </w:r>
      <w:r w:rsidR="005037D6" w:rsidRPr="005B5D61">
        <w:t>nly essential specimens should be collected, and safety must take priority</w:t>
      </w:r>
      <w:r>
        <w:t>,</w:t>
      </w:r>
      <w:r w:rsidR="005037D6">
        <w:t xml:space="preserve"> in accordance with the </w:t>
      </w:r>
      <w:hyperlink r:id="rId53" w:history="1">
        <w:r w:rsidR="005037D6" w:rsidRPr="00325906">
          <w:rPr>
            <w:rStyle w:val="Hyperlink"/>
          </w:rPr>
          <w:t>National High Security Quarantine Laboratory Guideline for Management of Quarantinable Viral haemorrhagic Fevers</w:t>
        </w:r>
      </w:hyperlink>
      <w:r>
        <w:t xml:space="preserve"> &lt;</w:t>
      </w:r>
      <w:r w:rsidRPr="005174A4">
        <w:t>/https://www.health.gov.au/sites/default/files/documents/2022/11/phln-national-high-security-quarantine-laboratory-guideline-for-management-of-quarantinable-viral-haemorrhagic-fevers.pdf</w:t>
      </w:r>
      <w:r>
        <w:t>&gt;.</w:t>
      </w:r>
    </w:p>
    <w:p w14:paraId="6652D79C" w14:textId="56EB989D" w:rsidR="005037D6" w:rsidRDefault="005037D6" w:rsidP="008D292E">
      <w:pPr>
        <w:pStyle w:val="Bodyafterbullets"/>
        <w:tabs>
          <w:tab w:val="left" w:pos="567"/>
        </w:tabs>
      </w:pPr>
      <w:r>
        <w:t xml:space="preserve">See </w:t>
      </w:r>
      <w:hyperlink w:anchor="_Appendix_5_–" w:history="1">
        <w:r w:rsidRPr="005174A4">
          <w:rPr>
            <w:rStyle w:val="Hyperlink"/>
          </w:rPr>
          <w:t>Appendix 5</w:t>
        </w:r>
      </w:hyperlink>
      <w:r>
        <w:t xml:space="preserve"> for collection and packaging process</w:t>
      </w:r>
      <w:r w:rsidR="0067553A">
        <w:t>es</w:t>
      </w:r>
      <w:r>
        <w:t xml:space="preserve">. </w:t>
      </w:r>
    </w:p>
    <w:p w14:paraId="13267A01" w14:textId="50D036B6" w:rsidR="005037D6" w:rsidRPr="00EA6D25" w:rsidRDefault="005037D6" w:rsidP="008D292E">
      <w:pPr>
        <w:pStyle w:val="Heading3"/>
      </w:pPr>
      <w:r w:rsidRPr="00D341DB">
        <w:lastRenderedPageBreak/>
        <w:t>Other</w:t>
      </w:r>
      <w:r w:rsidRPr="00EA6D25">
        <w:t xml:space="preserve"> clinical sampling</w:t>
      </w:r>
      <w:r w:rsidR="0067553A">
        <w:t>,</w:t>
      </w:r>
      <w:r w:rsidRPr="00EA6D25">
        <w:t xml:space="preserve"> including pathology</w:t>
      </w:r>
    </w:p>
    <w:p w14:paraId="1346DD54" w14:textId="15BB4C27" w:rsidR="0067553A" w:rsidRDefault="005037D6" w:rsidP="008D292E">
      <w:pPr>
        <w:pStyle w:val="Body"/>
        <w:tabs>
          <w:tab w:val="left" w:pos="567"/>
        </w:tabs>
      </w:pPr>
      <w:r w:rsidRPr="00EA6D25">
        <w:t xml:space="preserve">Testing </w:t>
      </w:r>
      <w:r>
        <w:t>for</w:t>
      </w:r>
      <w:r w:rsidRPr="00EA6D25">
        <w:t xml:space="preserve"> other infections common in returned travellers (</w:t>
      </w:r>
      <w:r>
        <w:t>for example,</w:t>
      </w:r>
      <w:r w:rsidRPr="00EA6D25">
        <w:t xml:space="preserve"> malaria, typhoid</w:t>
      </w:r>
      <w:r w:rsidR="0067553A">
        <w:t xml:space="preserve"> and</w:t>
      </w:r>
      <w:r w:rsidRPr="00EA6D25">
        <w:t xml:space="preserve"> dengue</w:t>
      </w:r>
      <w:r>
        <w:t>), or blood cultures (if clinically indicated</w:t>
      </w:r>
      <w:r w:rsidRPr="00EA6D25">
        <w:t>) could be considered by clinicians in cases with appropriate epidemiological risk factors.</w:t>
      </w:r>
    </w:p>
    <w:p w14:paraId="46233548" w14:textId="10A3AEB0" w:rsidR="005037D6" w:rsidRDefault="005037D6" w:rsidP="008D292E">
      <w:pPr>
        <w:pStyle w:val="Body"/>
        <w:tabs>
          <w:tab w:val="left" w:pos="567"/>
        </w:tabs>
      </w:pPr>
      <w:r w:rsidRPr="00EA6D25">
        <w:t xml:space="preserve">In general, differential diagnostic assays and routine pathology should be avoided while the possibility of VHF is being </w:t>
      </w:r>
      <w:proofErr w:type="gramStart"/>
      <w:r w:rsidRPr="00EA6D25">
        <w:t>evaluated</w:t>
      </w:r>
      <w:r w:rsidR="007C635C">
        <w:t>,</w:t>
      </w:r>
      <w:r w:rsidRPr="00EA6D25">
        <w:t xml:space="preserve"> and</w:t>
      </w:r>
      <w:proofErr w:type="gramEnd"/>
      <w:r w:rsidRPr="00EA6D25">
        <w:t xml:space="preserve"> only performed at </w:t>
      </w:r>
      <w:r>
        <w:t>a Physical Containment 2 (</w:t>
      </w:r>
      <w:r w:rsidRPr="00EA6D25">
        <w:t>PC2</w:t>
      </w:r>
      <w:r>
        <w:t>) laboratory</w:t>
      </w:r>
      <w:r w:rsidRPr="00EA6D25" w:rsidDel="00EB0825">
        <w:t xml:space="preserve"> </w:t>
      </w:r>
      <w:r w:rsidRPr="00EA6D25">
        <w:t>when</w:t>
      </w:r>
      <w:r w:rsidR="0067553A">
        <w:t xml:space="preserve"> or </w:t>
      </w:r>
      <w:r w:rsidRPr="00EA6D25">
        <w:t>if VHF has been excluded.</w:t>
      </w:r>
      <w:r>
        <w:t xml:space="preserve"> </w:t>
      </w:r>
    </w:p>
    <w:p w14:paraId="4FBFD87B" w14:textId="5CB31C57" w:rsidR="005037D6" w:rsidRDefault="005037D6" w:rsidP="008D292E">
      <w:pPr>
        <w:pStyle w:val="Body"/>
        <w:tabs>
          <w:tab w:val="left" w:pos="567"/>
        </w:tabs>
      </w:pPr>
      <w:r w:rsidRPr="00604442">
        <w:t xml:space="preserve">When VHF is suspected, </w:t>
      </w:r>
      <w:r>
        <w:rPr>
          <w:b/>
          <w:bCs/>
        </w:rPr>
        <w:t xml:space="preserve">DO NOT </w:t>
      </w:r>
      <w:r w:rsidRPr="00604442">
        <w:t>send any specimen</w:t>
      </w:r>
      <w:r>
        <w:t>s</w:t>
      </w:r>
      <w:r w:rsidRPr="00604442">
        <w:t xml:space="preserve"> to </w:t>
      </w:r>
      <w:r w:rsidR="0067553A">
        <w:t xml:space="preserve">the </w:t>
      </w:r>
      <w:r w:rsidRPr="00604442">
        <w:t xml:space="preserve">laboratory unless VHF is excluded. </w:t>
      </w:r>
      <w:r>
        <w:rPr>
          <w:b/>
          <w:bCs/>
        </w:rPr>
        <w:t>DO NOT</w:t>
      </w:r>
      <w:r w:rsidRPr="00604442">
        <w:t xml:space="preserve"> run blood gas </w:t>
      </w:r>
      <w:r>
        <w:t xml:space="preserve">testing </w:t>
      </w:r>
      <w:r w:rsidRPr="00604442">
        <w:t xml:space="preserve">on </w:t>
      </w:r>
      <w:r w:rsidR="0067553A" w:rsidRPr="00604442">
        <w:t>e</w:t>
      </w:r>
      <w:r w:rsidR="0067553A">
        <w:t>mergency department</w:t>
      </w:r>
      <w:r w:rsidR="0067553A" w:rsidRPr="00604442">
        <w:t>/i</w:t>
      </w:r>
      <w:r w:rsidR="0067553A">
        <w:t xml:space="preserve">ntensive </w:t>
      </w:r>
      <w:r w:rsidR="0067553A" w:rsidRPr="00604442">
        <w:t>c</w:t>
      </w:r>
      <w:r w:rsidR="0067553A">
        <w:t xml:space="preserve">are </w:t>
      </w:r>
      <w:r w:rsidR="0067553A" w:rsidRPr="00604442">
        <w:t>u</w:t>
      </w:r>
      <w:r w:rsidR="0067553A">
        <w:t>nit</w:t>
      </w:r>
      <w:r w:rsidR="0067553A" w:rsidRPr="00604442">
        <w:t xml:space="preserve"> </w:t>
      </w:r>
      <w:r w:rsidRPr="00604442">
        <w:t>analyser</w:t>
      </w:r>
      <w:r>
        <w:t>s</w:t>
      </w:r>
      <w:r w:rsidRPr="00604442">
        <w:t xml:space="preserve"> used for other patients</w:t>
      </w:r>
      <w:r>
        <w:t xml:space="preserve">. If necessary, consider </w:t>
      </w:r>
      <w:r w:rsidR="0067553A">
        <w:t xml:space="preserve">using </w:t>
      </w:r>
      <w:r>
        <w:t>a handheld blood analyser (</w:t>
      </w:r>
      <w:proofErr w:type="spellStart"/>
      <w:r>
        <w:t>iSTAT</w:t>
      </w:r>
      <w:proofErr w:type="spellEnd"/>
      <w:r>
        <w:t xml:space="preserve"> machine) for point</w:t>
      </w:r>
      <w:r w:rsidR="0067553A">
        <w:t>-</w:t>
      </w:r>
      <w:r>
        <w:t>of</w:t>
      </w:r>
      <w:r w:rsidR="0067553A">
        <w:t>-</w:t>
      </w:r>
      <w:r>
        <w:t>care testing</w:t>
      </w:r>
      <w:r w:rsidR="0067553A">
        <w:t>.</w:t>
      </w:r>
      <w:r>
        <w:t xml:space="preserve"> </w:t>
      </w:r>
      <w:r w:rsidR="0067553A">
        <w:t>H</w:t>
      </w:r>
      <w:r>
        <w:t xml:space="preserve">owever, these must be </w:t>
      </w:r>
      <w:r w:rsidRPr="0061632A">
        <w:t>decontaminated</w:t>
      </w:r>
      <w:r>
        <w:t xml:space="preserve"> after use and must not be used on other patients.</w:t>
      </w:r>
    </w:p>
    <w:p w14:paraId="0DE0D1E9" w14:textId="34870CF2" w:rsidR="005037D6" w:rsidRPr="00EA6D25" w:rsidRDefault="005037D6" w:rsidP="008D292E">
      <w:pPr>
        <w:pStyle w:val="Body"/>
        <w:tabs>
          <w:tab w:val="left" w:pos="567"/>
        </w:tabs>
      </w:pPr>
      <w:r>
        <w:t>If other clinical specimens have been sent to the onsite/affiliated laboratory inadvertently (prior to suspicion of VHF being raised)</w:t>
      </w:r>
      <w:r w:rsidR="0067553A">
        <w:t>,</w:t>
      </w:r>
      <w:r>
        <w:t xml:space="preserve"> alert the onsite/affiliated laboratory immediately.</w:t>
      </w:r>
    </w:p>
    <w:p w14:paraId="04E1885A" w14:textId="5E531357" w:rsidR="005037D6" w:rsidRPr="00EA6D25" w:rsidRDefault="005037D6" w:rsidP="008D292E">
      <w:pPr>
        <w:pStyle w:val="Heading3"/>
      </w:pPr>
      <w:r w:rsidRPr="00EA6D25">
        <w:t xml:space="preserve">Molecular </w:t>
      </w:r>
      <w:r w:rsidR="0067553A">
        <w:t>a</w:t>
      </w:r>
      <w:r w:rsidRPr="00EA6D25">
        <w:t>ssays</w:t>
      </w:r>
    </w:p>
    <w:p w14:paraId="5B389AB8" w14:textId="5DCE59B2" w:rsidR="005037D6" w:rsidRPr="00EA6D25" w:rsidRDefault="005037D6" w:rsidP="008D292E">
      <w:pPr>
        <w:pStyle w:val="Body"/>
        <w:tabs>
          <w:tab w:val="left" w:pos="567"/>
        </w:tabs>
      </w:pPr>
      <w:r w:rsidRPr="00EA6D25">
        <w:t xml:space="preserve">Nucleic acid testing, performed primarily on serum or plasma, has become the preferred diagnostic method for VHF pathogens. VIDRL </w:t>
      </w:r>
      <w:r w:rsidR="00F2101A">
        <w:t>uses</w:t>
      </w:r>
      <w:r w:rsidR="00F2101A" w:rsidRPr="00EA6D25">
        <w:t xml:space="preserve"> </w:t>
      </w:r>
      <w:r w:rsidRPr="00EA6D25">
        <w:t>laboratory-developed conventional and real</w:t>
      </w:r>
      <w:r w:rsidR="00B76002">
        <w:t>-</w:t>
      </w:r>
      <w:r w:rsidRPr="00EA6D25">
        <w:t xml:space="preserve">time RT-PCR assays. In silico analysis of primers and probes is conducted regularly to ensure fitness for detection </w:t>
      </w:r>
      <w:r>
        <w:t xml:space="preserve">of </w:t>
      </w:r>
      <w:r w:rsidRPr="00EA6D25">
        <w:t xml:space="preserve">currently circulating strains. The commercial </w:t>
      </w:r>
      <w:proofErr w:type="spellStart"/>
      <w:r w:rsidRPr="00EA6D25">
        <w:t>FilmArray</w:t>
      </w:r>
      <w:proofErr w:type="spellEnd"/>
      <w:r w:rsidRPr="00EA6D25">
        <w:t xml:space="preserve"> </w:t>
      </w:r>
      <w:proofErr w:type="spellStart"/>
      <w:r w:rsidRPr="00EA6D25">
        <w:t>BioThreat</w:t>
      </w:r>
      <w:proofErr w:type="spellEnd"/>
      <w:r w:rsidRPr="00EA6D25">
        <w:t xml:space="preserve"> Panel (</w:t>
      </w:r>
      <w:proofErr w:type="spellStart"/>
      <w:r w:rsidRPr="00EA6D25">
        <w:t>BioFire</w:t>
      </w:r>
      <w:proofErr w:type="spellEnd"/>
      <w:r w:rsidRPr="00EA6D25">
        <w:t>) is also used on suspected cases of VHF as an adjunct test.</w:t>
      </w:r>
    </w:p>
    <w:p w14:paraId="25945D43" w14:textId="77777777" w:rsidR="005037D6" w:rsidRPr="00EA6D25" w:rsidRDefault="005037D6" w:rsidP="008D292E">
      <w:pPr>
        <w:pStyle w:val="Body"/>
        <w:tabs>
          <w:tab w:val="left" w:pos="567"/>
        </w:tabs>
        <w:rPr>
          <w:b/>
          <w:bCs/>
        </w:rPr>
      </w:pPr>
      <w:r w:rsidRPr="00EA6D25">
        <w:t>Viraemia can be reliably detected from the time of presentation for at least 14 days; occasionally for as long as 21 days. To prevent false negatives, results obtained in the first 48 h</w:t>
      </w:r>
      <w:r>
        <w:t>ours</w:t>
      </w:r>
      <w:r w:rsidRPr="00EA6D25">
        <w:t xml:space="preserve"> of illness should be confirmed by a second specimen obtained after this time when a high degree of clinical suspicion exists.</w:t>
      </w:r>
    </w:p>
    <w:p w14:paraId="47CA93B4" w14:textId="5053E35F" w:rsidR="005037D6" w:rsidRPr="00EA6D25" w:rsidRDefault="005037D6" w:rsidP="008D292E">
      <w:pPr>
        <w:pStyle w:val="Heading3"/>
      </w:pPr>
      <w:r w:rsidRPr="00D341DB">
        <w:t>Genomic</w:t>
      </w:r>
      <w:r w:rsidRPr="00EA6D25">
        <w:t xml:space="preserve"> </w:t>
      </w:r>
      <w:r w:rsidR="0067553A">
        <w:t>s</w:t>
      </w:r>
      <w:r w:rsidRPr="00EA6D25">
        <w:t>equencing</w:t>
      </w:r>
    </w:p>
    <w:p w14:paraId="41913B5B" w14:textId="3CED3269" w:rsidR="005037D6" w:rsidRPr="00EA6D25" w:rsidRDefault="005037D6" w:rsidP="008D292E">
      <w:pPr>
        <w:pStyle w:val="Body"/>
        <w:tabs>
          <w:tab w:val="left" w:pos="567"/>
        </w:tabs>
      </w:pPr>
      <w:r w:rsidRPr="00EA6D25">
        <w:t xml:space="preserve">Sanger sequencing of amplicons generated by conventional RT-PCR can be used to confirm the specific detection of a VHF pathogen. </w:t>
      </w:r>
      <w:r w:rsidR="005174A4">
        <w:t>Whole genome sequencing</w:t>
      </w:r>
      <w:r w:rsidRPr="00EA6D25">
        <w:t xml:space="preserve"> using next</w:t>
      </w:r>
      <w:r w:rsidR="005174A4">
        <w:t>-</w:t>
      </w:r>
      <w:r w:rsidRPr="00EA6D25">
        <w:t xml:space="preserve">generation sequencing technologies can also be </w:t>
      </w:r>
      <w:r w:rsidR="005174A4">
        <w:t>used</w:t>
      </w:r>
      <w:r w:rsidR="005174A4" w:rsidRPr="00EA6D25">
        <w:t xml:space="preserve"> </w:t>
      </w:r>
      <w:r w:rsidRPr="00EA6D25">
        <w:t>to confirm the molecular detection and support contact tracing efforts</w:t>
      </w:r>
      <w:r w:rsidR="00F2101A">
        <w:t>,</w:t>
      </w:r>
      <w:r w:rsidRPr="00EA6D25">
        <w:t xml:space="preserve"> through detailed phylogenetics and genomic epidemiological analysis.</w:t>
      </w:r>
    </w:p>
    <w:p w14:paraId="7B9ED92A" w14:textId="77777777" w:rsidR="005037D6" w:rsidRPr="00EA6D25" w:rsidRDefault="005037D6" w:rsidP="005A0E81">
      <w:pPr>
        <w:pStyle w:val="Heading3"/>
      </w:pPr>
      <w:r w:rsidRPr="00D341DB">
        <w:t>Virus</w:t>
      </w:r>
      <w:r w:rsidRPr="00EA6D25">
        <w:t xml:space="preserve"> isolation</w:t>
      </w:r>
    </w:p>
    <w:p w14:paraId="1B6FFBF5" w14:textId="77777777" w:rsidR="00F2101A" w:rsidRDefault="005037D6" w:rsidP="008D292E">
      <w:pPr>
        <w:pStyle w:val="Body"/>
        <w:tabs>
          <w:tab w:val="left" w:pos="567"/>
        </w:tabs>
      </w:pPr>
      <w:r w:rsidRPr="00EA6D25">
        <w:t>Virus isolation from serum or other clinical material remains a reference method for confirmatory testing and can also be used for reagent production, test validation or research. Post</w:t>
      </w:r>
      <w:r>
        <w:t>mortem</w:t>
      </w:r>
      <w:r w:rsidRPr="00EA6D25">
        <w:t xml:space="preserve"> liver tissue is the most suitable source of virus after serum, while throat washings or urine samples have less commonly yielded virus.</w:t>
      </w:r>
    </w:p>
    <w:p w14:paraId="17FE0890" w14:textId="41856253" w:rsidR="005037D6" w:rsidRPr="00EA6D25" w:rsidRDefault="005037D6" w:rsidP="008D292E">
      <w:pPr>
        <w:pStyle w:val="Body"/>
        <w:tabs>
          <w:tab w:val="left" w:pos="567"/>
        </w:tabs>
      </w:pPr>
      <w:r w:rsidRPr="00EA6D25">
        <w:t xml:space="preserve">PC4 containment is required for virus amplification in cell culture. Viral replication can be monitored by microscopy, immunofluorescence or </w:t>
      </w:r>
      <w:r w:rsidR="00F2101A">
        <w:t>real-time quantitative reverse transcription polymerase chain react</w:t>
      </w:r>
      <w:r>
        <w:t>ion (</w:t>
      </w:r>
      <w:r w:rsidRPr="00EA6D25">
        <w:t>RT-qPCR</w:t>
      </w:r>
      <w:r>
        <w:t>)</w:t>
      </w:r>
      <w:r w:rsidRPr="00EA6D25">
        <w:t>.</w:t>
      </w:r>
    </w:p>
    <w:p w14:paraId="079B29CC" w14:textId="74D0589B" w:rsidR="005037D6" w:rsidRPr="00EA6D25" w:rsidRDefault="005037D6" w:rsidP="008D292E">
      <w:pPr>
        <w:pStyle w:val="Body"/>
        <w:tabs>
          <w:tab w:val="left" w:pos="567"/>
        </w:tabs>
      </w:pPr>
      <w:r w:rsidRPr="00EA6D25">
        <w:rPr>
          <w:b/>
          <w:bCs/>
        </w:rPr>
        <w:t>Note:</w:t>
      </w:r>
      <w:r w:rsidRPr="00EA6D25">
        <w:t xml:space="preserve"> The</w:t>
      </w:r>
      <w:r w:rsidRPr="00EA6D25">
        <w:rPr>
          <w:i/>
          <w:iCs/>
        </w:rPr>
        <w:t xml:space="preserve"> </w:t>
      </w:r>
      <w:r w:rsidRPr="00EA6D25">
        <w:t>filoviruses</w:t>
      </w:r>
      <w:r w:rsidR="00F2101A">
        <w:t>,</w:t>
      </w:r>
      <w:r w:rsidRPr="00EA6D25">
        <w:t xml:space="preserve"> E</w:t>
      </w:r>
      <w:r>
        <w:t>bola virus and Marburg virus</w:t>
      </w:r>
      <w:r w:rsidR="00F2101A">
        <w:t>,</w:t>
      </w:r>
      <w:r>
        <w:t xml:space="preserve"> </w:t>
      </w:r>
      <w:r w:rsidRPr="00EA6D25">
        <w:t xml:space="preserve">are Tier 1 </w:t>
      </w:r>
      <w:r w:rsidR="00F2101A" w:rsidRPr="00EA6D25">
        <w:t xml:space="preserve">security sensitive biological agents </w:t>
      </w:r>
      <w:r w:rsidRPr="00EA6D25">
        <w:t>in Australia.</w:t>
      </w:r>
      <w:r>
        <w:t xml:space="preserve"> </w:t>
      </w:r>
      <w:r w:rsidRPr="00EA6D25">
        <w:t xml:space="preserve">They may only be stored or manipulated in an appropriately accredited facility by authorised staff like </w:t>
      </w:r>
      <w:r w:rsidR="00F2101A">
        <w:t xml:space="preserve">the </w:t>
      </w:r>
      <w:r w:rsidRPr="00EA6D25">
        <w:t>NHSQL</w:t>
      </w:r>
      <w:r w:rsidR="00F2101A">
        <w:t xml:space="preserve"> </w:t>
      </w:r>
      <w:r w:rsidRPr="00EA6D25">
        <w:t>VIDRL.</w:t>
      </w:r>
    </w:p>
    <w:p w14:paraId="669F3466" w14:textId="77777777" w:rsidR="005037D6" w:rsidRDefault="005037D6" w:rsidP="005A0E81">
      <w:pPr>
        <w:pStyle w:val="Heading3"/>
      </w:pPr>
      <w:r w:rsidRPr="00EA6D25">
        <w:lastRenderedPageBreak/>
        <w:t xml:space="preserve">Serological </w:t>
      </w:r>
      <w:r>
        <w:t>tests</w:t>
      </w:r>
    </w:p>
    <w:p w14:paraId="04AA1D3A" w14:textId="77777777" w:rsidR="005037D6" w:rsidRPr="007D2FBE" w:rsidRDefault="005037D6" w:rsidP="008D292E">
      <w:pPr>
        <w:pStyle w:val="Heading4"/>
        <w:tabs>
          <w:tab w:val="left" w:pos="567"/>
        </w:tabs>
      </w:pPr>
      <w:r>
        <w:t>Antigen testing</w:t>
      </w:r>
    </w:p>
    <w:p w14:paraId="0D2FEA54" w14:textId="570F87F0" w:rsidR="005037D6" w:rsidRPr="00EA6D25" w:rsidRDefault="005037D6" w:rsidP="008D292E">
      <w:pPr>
        <w:pStyle w:val="Body"/>
        <w:tabs>
          <w:tab w:val="left" w:pos="567"/>
        </w:tabs>
      </w:pPr>
      <w:r w:rsidRPr="00EA6D25">
        <w:t>Detection of viral</w:t>
      </w:r>
      <w:r w:rsidRPr="00EA6D25">
        <w:rPr>
          <w:i/>
          <w:iCs/>
        </w:rPr>
        <w:t xml:space="preserve"> </w:t>
      </w:r>
      <w:r w:rsidRPr="00EA6D25">
        <w:t xml:space="preserve">antigens, most commonly using monoclonal antibodies in an antigen-capture </w:t>
      </w:r>
      <w:r>
        <w:t>enzyme immunoassay (</w:t>
      </w:r>
      <w:r w:rsidRPr="00EA6D25">
        <w:t>EIA</w:t>
      </w:r>
      <w:r>
        <w:t>)</w:t>
      </w:r>
      <w:r w:rsidR="00F2101A">
        <w:t>,</w:t>
      </w:r>
      <w:r w:rsidRPr="00EA6D25">
        <w:t xml:space="preserve"> has been widely used in the laboratory and in the field in endemic settings. </w:t>
      </w:r>
      <w:proofErr w:type="spellStart"/>
      <w:r w:rsidRPr="00EA6D25">
        <w:t>Antigenaemia</w:t>
      </w:r>
      <w:proofErr w:type="spellEnd"/>
      <w:r w:rsidRPr="00EA6D25">
        <w:t xml:space="preserve"> has been shown to clear with the appearance of </w:t>
      </w:r>
      <w:r w:rsidR="000820E7">
        <w:t>immunoglobulin M,</w:t>
      </w:r>
      <w:r w:rsidR="000820E7" w:rsidRPr="00EA6D25" w:rsidDel="000820E7">
        <w:t xml:space="preserve"> </w:t>
      </w:r>
      <w:r w:rsidR="00C81C54">
        <w:t>(</w:t>
      </w:r>
      <w:r w:rsidRPr="00EA6D25">
        <w:t>IgM</w:t>
      </w:r>
      <w:r w:rsidR="00C81C54">
        <w:t>)</w:t>
      </w:r>
      <w:r w:rsidRPr="00EA6D25">
        <w:t xml:space="preserve"> on average</w:t>
      </w:r>
      <w:r w:rsidR="000820E7">
        <w:t>,</w:t>
      </w:r>
      <w:r w:rsidRPr="00EA6D25">
        <w:t xml:space="preserve"> </w:t>
      </w:r>
      <w:r w:rsidR="000820E7">
        <w:t>one to two</w:t>
      </w:r>
      <w:r w:rsidRPr="00EA6D25">
        <w:t xml:space="preserve"> days before RT-PCR became negative. Rapid </w:t>
      </w:r>
      <w:r>
        <w:t>a</w:t>
      </w:r>
      <w:r w:rsidRPr="00EA6D25">
        <w:t xml:space="preserve">ntigen </w:t>
      </w:r>
      <w:r>
        <w:t>t</w:t>
      </w:r>
      <w:r w:rsidRPr="00EA6D25">
        <w:t>ests are generally not recommended in settings where RT-PCR is available due to poor sensitivity</w:t>
      </w:r>
      <w:r>
        <w:rPr>
          <w:rStyle w:val="FootnoteReference"/>
        </w:rPr>
        <w:footnoteReference w:id="14"/>
      </w:r>
      <w:r w:rsidRPr="00EA6D25">
        <w:t>.</w:t>
      </w:r>
    </w:p>
    <w:p w14:paraId="023D4B19" w14:textId="77777777" w:rsidR="005037D6" w:rsidRDefault="005037D6" w:rsidP="008D292E">
      <w:pPr>
        <w:pStyle w:val="Heading4"/>
        <w:tabs>
          <w:tab w:val="left" w:pos="567"/>
        </w:tabs>
      </w:pPr>
      <w:r>
        <w:t>Antibody testing</w:t>
      </w:r>
    </w:p>
    <w:p w14:paraId="0476A280" w14:textId="09DEE6D2" w:rsidR="005037D6" w:rsidRPr="00EA6D25" w:rsidRDefault="005037D6" w:rsidP="008D292E">
      <w:pPr>
        <w:pStyle w:val="Body"/>
        <w:tabs>
          <w:tab w:val="left" w:pos="567"/>
        </w:tabs>
      </w:pPr>
      <w:r w:rsidRPr="00EA6D25">
        <w:t xml:space="preserve">Serology can be useful for </w:t>
      </w:r>
      <w:proofErr w:type="spellStart"/>
      <w:r w:rsidRPr="00EA6D25">
        <w:t>sero</w:t>
      </w:r>
      <w:proofErr w:type="spellEnd"/>
      <w:r w:rsidRPr="00EA6D25">
        <w:t xml:space="preserve">-epidemiological purposes in endemic settings or outbreaks and as an adjunct to direct virus detection, especially in survivors during the convalescent period. Its </w:t>
      </w:r>
      <w:r w:rsidR="000820E7">
        <w:t>use</w:t>
      </w:r>
      <w:r w:rsidR="000820E7" w:rsidRPr="00EA6D25">
        <w:t xml:space="preserve"> </w:t>
      </w:r>
      <w:r w:rsidRPr="00EA6D25">
        <w:t>in acute diagnosis is limited</w:t>
      </w:r>
      <w:r w:rsidR="000820E7">
        <w:t>,</w:t>
      </w:r>
      <w:r w:rsidRPr="00EA6D25">
        <w:t xml:space="preserve"> however</w:t>
      </w:r>
      <w:r w:rsidR="000820E7">
        <w:t>,</w:t>
      </w:r>
      <w:r w:rsidRPr="00EA6D25">
        <w:t xml:space="preserve"> by the frequent failure for an antibody response to be mounted in fatal cases.</w:t>
      </w:r>
    </w:p>
    <w:p w14:paraId="5644C69E" w14:textId="38894FB7" w:rsidR="005037D6" w:rsidRPr="00EA6D25" w:rsidRDefault="005037D6" w:rsidP="008D292E">
      <w:pPr>
        <w:pStyle w:val="Body"/>
        <w:tabs>
          <w:tab w:val="left" w:pos="567"/>
        </w:tabs>
      </w:pPr>
      <w:r w:rsidRPr="00EA6D25">
        <w:t>In addition, antibody responses may not be detectable in the early stages of infection</w:t>
      </w:r>
      <w:r w:rsidR="000820E7">
        <w:t>,</w:t>
      </w:r>
      <w:r w:rsidRPr="00EA6D25">
        <w:t xml:space="preserve"> and cross-reactivity with other viruses in the same genus ha</w:t>
      </w:r>
      <w:r w:rsidR="000820E7">
        <w:t>s</w:t>
      </w:r>
      <w:r w:rsidRPr="00EA6D25">
        <w:t xml:space="preserve"> been seen</w:t>
      </w:r>
      <w:r w:rsidR="001E40A5" w:rsidRPr="001E40A5">
        <w:rPr>
          <w:vertAlign w:val="superscript"/>
        </w:rPr>
        <w:t>9</w:t>
      </w:r>
      <w:r w:rsidRPr="00EA6D25">
        <w:t>. Virus neutrali</w:t>
      </w:r>
      <w:r>
        <w:t>s</w:t>
      </w:r>
      <w:r w:rsidRPr="00EA6D25">
        <w:t>ation assays require live virus and containment facilities, limiting their use in resource-constrained settings.</w:t>
      </w:r>
    </w:p>
    <w:p w14:paraId="27847C20" w14:textId="7215099F" w:rsidR="005037D6" w:rsidRPr="00EA6D25" w:rsidRDefault="000820E7" w:rsidP="008D292E">
      <w:pPr>
        <w:pStyle w:val="Body"/>
        <w:tabs>
          <w:tab w:val="left" w:pos="567"/>
        </w:tabs>
      </w:pPr>
      <w:r>
        <w:t xml:space="preserve">The </w:t>
      </w:r>
      <w:r w:rsidR="005037D6" w:rsidRPr="00EA6D25">
        <w:t>VIDRL do</w:t>
      </w:r>
      <w:r>
        <w:t>es</w:t>
      </w:r>
      <w:r w:rsidR="005037D6" w:rsidRPr="00EA6D25">
        <w:t xml:space="preserve"> not currently use serological assays for diagnosis or confirmation of VHF.</w:t>
      </w:r>
    </w:p>
    <w:p w14:paraId="209A8EED" w14:textId="77777777" w:rsidR="005037D6" w:rsidRPr="00EA6D25" w:rsidRDefault="005037D6" w:rsidP="005A0E81">
      <w:pPr>
        <w:pStyle w:val="Heading2"/>
        <w:tabs>
          <w:tab w:val="left" w:pos="567"/>
        </w:tabs>
      </w:pPr>
      <w:bookmarkStart w:id="34" w:name="_Toc217022543"/>
      <w:r w:rsidRPr="00EA6D25">
        <w:t>Reporting</w:t>
      </w:r>
      <w:bookmarkEnd w:id="34"/>
    </w:p>
    <w:p w14:paraId="6469CF85" w14:textId="7BD83798" w:rsidR="005037D6" w:rsidRPr="00EA6D25" w:rsidRDefault="000820E7" w:rsidP="008D292E">
      <w:pPr>
        <w:pStyle w:val="Body"/>
        <w:tabs>
          <w:tab w:val="left" w:pos="567"/>
        </w:tabs>
      </w:pPr>
      <w:r>
        <w:t>On</w:t>
      </w:r>
      <w:r w:rsidRPr="00EA6D25">
        <w:t xml:space="preserve"> </w:t>
      </w:r>
      <w:r w:rsidR="005037D6" w:rsidRPr="00EA6D25">
        <w:t xml:space="preserve">validation of a positive or negative VHF result, the VIDRL </w:t>
      </w:r>
      <w:r w:rsidR="005037D6">
        <w:t>m</w:t>
      </w:r>
      <w:r w:rsidR="005037D6" w:rsidRPr="00EA6D25">
        <w:t xml:space="preserve">icrobiologist will notify the clinical microbiologist </w:t>
      </w:r>
      <w:r w:rsidR="005037D6">
        <w:t>of the referring diagnostic laboratory</w:t>
      </w:r>
      <w:r>
        <w:t>,</w:t>
      </w:r>
      <w:r w:rsidR="005037D6">
        <w:t xml:space="preserve"> the LPHU</w:t>
      </w:r>
      <w:r>
        <w:t xml:space="preserve"> and </w:t>
      </w:r>
      <w:r w:rsidR="00AE78B1">
        <w:t>the department</w:t>
      </w:r>
      <w:r w:rsidR="005037D6" w:rsidRPr="00EA6D25">
        <w:t xml:space="preserve"> by phone.</w:t>
      </w:r>
    </w:p>
    <w:p w14:paraId="4A4B0EB6" w14:textId="30D9C2A6" w:rsidR="005037D6" w:rsidRPr="00EA6D25" w:rsidRDefault="005037D6" w:rsidP="008D292E">
      <w:pPr>
        <w:pStyle w:val="Body"/>
        <w:tabs>
          <w:tab w:val="left" w:pos="567"/>
        </w:tabs>
      </w:pPr>
      <w:r w:rsidRPr="00EA6D25">
        <w:t xml:space="preserve">A report will be issued to the referring </w:t>
      </w:r>
      <w:proofErr w:type="gramStart"/>
      <w:r w:rsidRPr="00EA6D25">
        <w:t>laboratory</w:t>
      </w:r>
      <w:proofErr w:type="gramEnd"/>
      <w:r w:rsidRPr="00EA6D25">
        <w:t xml:space="preserve"> and </w:t>
      </w:r>
      <w:r w:rsidR="00AE78B1">
        <w:t>the department</w:t>
      </w:r>
      <w:r w:rsidRPr="00EA6D25">
        <w:t xml:space="preserve"> </w:t>
      </w:r>
      <w:r w:rsidRPr="00EA6D25" w:rsidDel="00605642">
        <w:t>will be</w:t>
      </w:r>
      <w:r w:rsidRPr="00EA6D25">
        <w:t xml:space="preserve"> automatically notified by the VIDRL Laboratory Information Management System.</w:t>
      </w:r>
    </w:p>
    <w:p w14:paraId="3C803D73" w14:textId="77777777" w:rsidR="005037D6" w:rsidRPr="00EA6D25" w:rsidRDefault="005037D6" w:rsidP="005A0E81">
      <w:pPr>
        <w:pStyle w:val="Heading2"/>
        <w:tabs>
          <w:tab w:val="left" w:pos="567"/>
        </w:tabs>
      </w:pPr>
      <w:bookmarkStart w:id="35" w:name="_Toc217022544"/>
      <w:r w:rsidRPr="00EA6D25">
        <w:t>Quality assurance</w:t>
      </w:r>
      <w:bookmarkEnd w:id="35"/>
    </w:p>
    <w:p w14:paraId="1EC23CBF" w14:textId="2B8B1092" w:rsidR="005037D6" w:rsidRDefault="005037D6" w:rsidP="008D292E">
      <w:pPr>
        <w:pStyle w:val="Body"/>
        <w:tabs>
          <w:tab w:val="left" w:pos="567"/>
        </w:tabs>
      </w:pPr>
      <w:r w:rsidRPr="00EA6D25">
        <w:t xml:space="preserve">VIDRL’s assays are </w:t>
      </w:r>
      <w:r>
        <w:t>National Association of Testing Authorities (</w:t>
      </w:r>
      <w:r w:rsidRPr="00EA6D25">
        <w:t>NATA</w:t>
      </w:r>
      <w:r>
        <w:t>)</w:t>
      </w:r>
      <w:r w:rsidR="007E269C">
        <w:t xml:space="preserve"> </w:t>
      </w:r>
      <w:r w:rsidRPr="00EA6D25">
        <w:t xml:space="preserve">accredited to </w:t>
      </w:r>
      <w:r w:rsidR="00051E56">
        <w:t xml:space="preserve">the </w:t>
      </w:r>
      <w:r w:rsidRPr="00EA6D25">
        <w:t>ISO 15189 standard. Assay primers and probes are regularly assessed for applicability to currently circulating strains by in</w:t>
      </w:r>
      <w:r>
        <w:t xml:space="preserve"> </w:t>
      </w:r>
      <w:r w:rsidRPr="00EA6D25">
        <w:t xml:space="preserve">silico analysis. </w:t>
      </w:r>
      <w:r w:rsidR="00051E56">
        <w:t xml:space="preserve">The </w:t>
      </w:r>
      <w:r w:rsidRPr="00EA6D25">
        <w:t>VIDRL also participate</w:t>
      </w:r>
      <w:r w:rsidR="00051E56">
        <w:t>s</w:t>
      </w:r>
      <w:r w:rsidRPr="00EA6D25">
        <w:t xml:space="preserve"> in </w:t>
      </w:r>
      <w:r>
        <w:t>T</w:t>
      </w:r>
      <w:r w:rsidRPr="00EA6D25">
        <w:t>he</w:t>
      </w:r>
      <w:r>
        <w:t xml:space="preserve"> Royal College of Pathologists of Australasia</w:t>
      </w:r>
      <w:r w:rsidRPr="00EA6D25">
        <w:t xml:space="preserve"> Quality Assurance Program covering proficiency testing for VHF pathogens.</w:t>
      </w:r>
    </w:p>
    <w:p w14:paraId="04F84E68" w14:textId="40187DC7" w:rsidR="0067553A" w:rsidRDefault="0067553A" w:rsidP="008D292E">
      <w:pPr>
        <w:tabs>
          <w:tab w:val="left" w:pos="567"/>
        </w:tabs>
        <w:spacing w:after="0" w:line="240" w:lineRule="auto"/>
        <w:rPr>
          <w:rFonts w:eastAsia="Times"/>
        </w:rPr>
      </w:pPr>
      <w:r>
        <w:br w:type="page"/>
      </w:r>
    </w:p>
    <w:p w14:paraId="1CA1284E" w14:textId="2358F6EA" w:rsidR="005037D6" w:rsidRPr="004523FD" w:rsidRDefault="005037D6" w:rsidP="008D292E">
      <w:pPr>
        <w:pStyle w:val="Heading1"/>
        <w:numPr>
          <w:ilvl w:val="0"/>
          <w:numId w:val="40"/>
        </w:numPr>
        <w:tabs>
          <w:tab w:val="num" w:pos="397"/>
          <w:tab w:val="left" w:pos="567"/>
        </w:tabs>
        <w:ind w:left="397" w:hanging="397"/>
      </w:pPr>
      <w:bookmarkStart w:id="36" w:name="_Toc215393441"/>
      <w:bookmarkStart w:id="37" w:name="_Toc215417830"/>
      <w:bookmarkStart w:id="38" w:name="_Infection_prevention_and"/>
      <w:bookmarkStart w:id="39" w:name="_Toc217022545"/>
      <w:bookmarkEnd w:id="36"/>
      <w:bookmarkEnd w:id="37"/>
      <w:bookmarkEnd w:id="38"/>
      <w:r w:rsidDel="00FF6B81">
        <w:lastRenderedPageBreak/>
        <w:t>IPC</w:t>
      </w:r>
      <w:bookmarkEnd w:id="39"/>
    </w:p>
    <w:p w14:paraId="6D9405A9" w14:textId="77777777" w:rsidR="005037D6" w:rsidRDefault="005037D6" w:rsidP="008D292E">
      <w:pPr>
        <w:pStyle w:val="Heading2"/>
        <w:tabs>
          <w:tab w:val="left" w:pos="567"/>
        </w:tabs>
      </w:pPr>
      <w:bookmarkStart w:id="40" w:name="_Toc217022546"/>
      <w:r w:rsidRPr="00F527A0">
        <w:t>General IPC principles and patient management</w:t>
      </w:r>
      <w:bookmarkEnd w:id="40"/>
    </w:p>
    <w:p w14:paraId="79A8D1BB" w14:textId="16FC64A9" w:rsidR="00051E56" w:rsidRPr="00051E56" w:rsidRDefault="00051E56" w:rsidP="008D292E">
      <w:pPr>
        <w:pStyle w:val="Body"/>
        <w:tabs>
          <w:tab w:val="left" w:pos="567"/>
        </w:tabs>
      </w:pPr>
      <w:r w:rsidRPr="00F527A0">
        <w:t>General IPC principles and patient management</w:t>
      </w:r>
      <w:r>
        <w:t xml:space="preserve"> requirements include that:</w:t>
      </w:r>
    </w:p>
    <w:p w14:paraId="62AA0F9D" w14:textId="0CFA0108" w:rsidR="005037D6" w:rsidRPr="00051E56" w:rsidRDefault="00051E56" w:rsidP="008D292E">
      <w:pPr>
        <w:pStyle w:val="Bullet1"/>
        <w:tabs>
          <w:tab w:val="num" w:pos="397"/>
          <w:tab w:val="left" w:pos="567"/>
        </w:tabs>
        <w:ind w:left="397" w:hanging="397"/>
      </w:pPr>
      <w:r w:rsidRPr="00051E56">
        <w:t>p</w:t>
      </w:r>
      <w:r w:rsidR="005037D6" w:rsidRPr="00051E56">
        <w:t>reventing the transmission of infection in health</w:t>
      </w:r>
      <w:r w:rsidR="00B76002">
        <w:t xml:space="preserve"> care</w:t>
      </w:r>
      <w:r w:rsidR="005037D6" w:rsidRPr="00051E56">
        <w:t xml:space="preserve"> settings requires the application of three main types of controls:</w:t>
      </w:r>
    </w:p>
    <w:p w14:paraId="3125F78B" w14:textId="77777777" w:rsidR="005037D6" w:rsidRPr="00051E56" w:rsidRDefault="005037D6" w:rsidP="008D292E">
      <w:pPr>
        <w:pStyle w:val="Bullet2"/>
        <w:tabs>
          <w:tab w:val="left" w:pos="567"/>
          <w:tab w:val="num" w:pos="794"/>
        </w:tabs>
        <w:ind w:left="794" w:hanging="397"/>
      </w:pPr>
      <w:r w:rsidRPr="00051E56">
        <w:t>administrative support for the implementation of an evidence-based IPC program</w:t>
      </w:r>
    </w:p>
    <w:p w14:paraId="18964C7E" w14:textId="77777777" w:rsidR="005037D6" w:rsidRPr="00051E56" w:rsidRDefault="005037D6" w:rsidP="008D292E">
      <w:pPr>
        <w:pStyle w:val="Bullet2"/>
        <w:tabs>
          <w:tab w:val="left" w:pos="567"/>
          <w:tab w:val="num" w:pos="794"/>
        </w:tabs>
        <w:ind w:left="794" w:hanging="397"/>
      </w:pPr>
      <w:r w:rsidRPr="00051E56">
        <w:t>adequate environmental and engineering infrastructure</w:t>
      </w:r>
    </w:p>
    <w:p w14:paraId="59012BB4" w14:textId="6E06524A" w:rsidR="005037D6" w:rsidRPr="00051E56" w:rsidRDefault="005037D6" w:rsidP="008D292E">
      <w:pPr>
        <w:pStyle w:val="Bullet2"/>
        <w:tabs>
          <w:tab w:val="left" w:pos="567"/>
          <w:tab w:val="num" w:pos="794"/>
        </w:tabs>
        <w:ind w:left="794" w:hanging="397"/>
      </w:pPr>
      <w:r w:rsidRPr="00051E56">
        <w:t>PPE</w:t>
      </w:r>
    </w:p>
    <w:p w14:paraId="1CF67F7F" w14:textId="1CA83A42" w:rsidR="005037D6" w:rsidRPr="00051E56" w:rsidRDefault="00051E56" w:rsidP="008D292E">
      <w:pPr>
        <w:pStyle w:val="Bullet1"/>
        <w:tabs>
          <w:tab w:val="num" w:pos="397"/>
          <w:tab w:val="left" w:pos="567"/>
        </w:tabs>
        <w:ind w:left="397" w:hanging="397"/>
      </w:pPr>
      <w:r>
        <w:t>d</w:t>
      </w:r>
      <w:r w:rsidR="005037D6" w:rsidRPr="00051E56">
        <w:t>irect or indirect exposure of mucous membranes and non-intact skin to blood and other body fluids is the primary route of infection for VHF. There is no evidence that Ebola (or other VHF viruses) can penetrate intact skin</w:t>
      </w:r>
      <w:r w:rsidR="00D27FC3">
        <w:rPr>
          <w:rStyle w:val="FootnoteReference"/>
        </w:rPr>
        <w:footnoteReference w:id="15"/>
      </w:r>
    </w:p>
    <w:p w14:paraId="3785DC37" w14:textId="357F2DEF" w:rsidR="005037D6" w:rsidRPr="00051E56" w:rsidRDefault="00051E56" w:rsidP="008D292E">
      <w:pPr>
        <w:pStyle w:val="Bullet1"/>
        <w:tabs>
          <w:tab w:val="num" w:pos="397"/>
          <w:tab w:val="left" w:pos="567"/>
        </w:tabs>
        <w:ind w:left="397" w:hanging="397"/>
      </w:pPr>
      <w:r>
        <w:t>a</w:t>
      </w:r>
      <w:r w:rsidR="005037D6" w:rsidRPr="00051E56">
        <w:t>lthough airborne transmission of VHF has not been demonstrated, the possibility of transmission via aerosol-generating events or procedures should not be excluded</w:t>
      </w:r>
      <w:r w:rsidR="00D27FC3">
        <w:rPr>
          <w:rStyle w:val="FootnoteReference"/>
        </w:rPr>
        <w:footnoteReference w:id="16"/>
      </w:r>
    </w:p>
    <w:p w14:paraId="255E02D9" w14:textId="4EDB72EC" w:rsidR="005037D6" w:rsidRPr="00051E56" w:rsidRDefault="00051E56" w:rsidP="008D292E">
      <w:pPr>
        <w:pStyle w:val="Bullet1"/>
        <w:tabs>
          <w:tab w:val="num" w:pos="397"/>
          <w:tab w:val="left" w:pos="567"/>
        </w:tabs>
        <w:ind w:left="397" w:hanging="397"/>
      </w:pPr>
      <w:r>
        <w:t>t</w:t>
      </w:r>
      <w:r w:rsidR="005037D6" w:rsidRPr="00051E56">
        <w:t>ransmission-based precautions must be implemented for all patients with suspected or confirmed VHF. Implement standard, contact and airborne precautions</w:t>
      </w:r>
    </w:p>
    <w:p w14:paraId="22A002A5" w14:textId="0AD10B10" w:rsidR="005037D6" w:rsidRPr="00051E56" w:rsidRDefault="00051E56" w:rsidP="008D292E">
      <w:pPr>
        <w:pStyle w:val="Bullet1"/>
        <w:tabs>
          <w:tab w:val="num" w:pos="397"/>
          <w:tab w:val="left" w:pos="567"/>
        </w:tabs>
        <w:ind w:left="397" w:hanging="397"/>
      </w:pPr>
      <w:r>
        <w:t>i</w:t>
      </w:r>
      <w:r w:rsidR="005037D6" w:rsidRPr="00051E56">
        <w:t xml:space="preserve">n some VHF cases, asymptomatic people in the incubation period are not contagious. VHF </w:t>
      </w:r>
      <w:r>
        <w:t>is</w:t>
      </w:r>
      <w:r w:rsidRPr="00051E56">
        <w:t xml:space="preserve"> </w:t>
      </w:r>
      <w:r w:rsidR="005037D6" w:rsidRPr="00051E56">
        <w:t>not spread from asymptomatic people through routine clinical or household contac</w:t>
      </w:r>
      <w:r>
        <w:t>t</w:t>
      </w:r>
    </w:p>
    <w:p w14:paraId="6F92362D" w14:textId="49FBA9C0" w:rsidR="005037D6" w:rsidRPr="00051E56" w:rsidRDefault="00051E56" w:rsidP="008D292E">
      <w:pPr>
        <w:pStyle w:val="Bullet1"/>
        <w:tabs>
          <w:tab w:val="num" w:pos="397"/>
          <w:tab w:val="left" w:pos="567"/>
        </w:tabs>
        <w:ind w:left="397" w:hanging="397"/>
      </w:pPr>
      <w:r>
        <w:t>a</w:t>
      </w:r>
      <w:r w:rsidR="005037D6" w:rsidRPr="00051E56">
        <w:t xml:space="preserve"> person with VHF is not contagious until the appearance of symptoms. The illness typically progresses from ‘dry’ symptoms (fever, aches</w:t>
      </w:r>
      <w:r>
        <w:t xml:space="preserve"> and</w:t>
      </w:r>
      <w:r w:rsidR="005037D6" w:rsidRPr="00051E56">
        <w:t xml:space="preserve"> fatigue) to ‘wet’ symptoms (diarrhoea, vomiting and sometimes</w:t>
      </w:r>
      <w:r>
        <w:t>,</w:t>
      </w:r>
      <w:r w:rsidR="005037D6" w:rsidRPr="00051E56">
        <w:t xml:space="preserve"> bleeding)</w:t>
      </w:r>
    </w:p>
    <w:p w14:paraId="57354C11" w14:textId="1F501101" w:rsidR="005037D6" w:rsidRPr="00051E56" w:rsidRDefault="00051E56" w:rsidP="008D292E">
      <w:pPr>
        <w:pStyle w:val="Bullet1"/>
        <w:tabs>
          <w:tab w:val="num" w:pos="397"/>
          <w:tab w:val="left" w:pos="567"/>
        </w:tabs>
        <w:ind w:left="397" w:hanging="397"/>
      </w:pPr>
      <w:r>
        <w:t>p</w:t>
      </w:r>
      <w:r w:rsidR="005037D6" w:rsidRPr="00051E56">
        <w:t>atients are most infectious during the secretory or ‘wet’ phase of the illness</w:t>
      </w:r>
    </w:p>
    <w:p w14:paraId="32B3FB6C" w14:textId="0618AA17" w:rsidR="005037D6" w:rsidRPr="00051E56" w:rsidRDefault="00051E56" w:rsidP="008D292E">
      <w:pPr>
        <w:pStyle w:val="Bullet1"/>
        <w:tabs>
          <w:tab w:val="num" w:pos="397"/>
          <w:tab w:val="left" w:pos="567"/>
        </w:tabs>
        <w:ind w:left="397" w:hanging="397"/>
      </w:pPr>
      <w:r>
        <w:t>p</w:t>
      </w:r>
      <w:r w:rsidR="005037D6" w:rsidRPr="00051E56">
        <w:t>rocedures that increase environmental contamination with blood or body fluids should, wherever possible, be avoided</w:t>
      </w:r>
      <w:r w:rsidR="005037D6" w:rsidRPr="00051E56" w:rsidDel="003B6696">
        <w:t>.</w:t>
      </w:r>
      <w:r w:rsidR="005037D6" w:rsidRPr="00051E56">
        <w:t xml:space="preserve"> </w:t>
      </w:r>
      <w:proofErr w:type="gramStart"/>
      <w:r w:rsidR="005037D6" w:rsidRPr="00051E56">
        <w:t>In particular, these</w:t>
      </w:r>
      <w:proofErr w:type="gramEnd"/>
      <w:r w:rsidR="005037D6" w:rsidRPr="00051E56">
        <w:t xml:space="preserve"> include aerosol</w:t>
      </w:r>
      <w:r w:rsidR="00D75CAB">
        <w:t>-</w:t>
      </w:r>
      <w:r w:rsidR="005037D6" w:rsidRPr="00051E56">
        <w:t>generating procedures (AGPs). Clean and disinfect environmental surfaces as soon as possible after any such contamination occurs</w:t>
      </w:r>
    </w:p>
    <w:p w14:paraId="3DC13082" w14:textId="2B3C5E7B" w:rsidR="005037D6" w:rsidRPr="00051E56" w:rsidRDefault="00F93C4C" w:rsidP="008D292E">
      <w:pPr>
        <w:pStyle w:val="Bullet1"/>
        <w:tabs>
          <w:tab w:val="num" w:pos="397"/>
          <w:tab w:val="left" w:pos="567"/>
        </w:tabs>
        <w:ind w:left="397" w:hanging="397"/>
      </w:pPr>
      <w:r>
        <w:t>a</w:t>
      </w:r>
      <w:r w:rsidR="005037D6" w:rsidRPr="00051E56">
        <w:t xml:space="preserve">void unnecessary pathology testing. See </w:t>
      </w:r>
      <w:hyperlink w:anchor="_Appendix_5:_Specimen" w:history="1">
        <w:r w:rsidR="00D75CAB" w:rsidRPr="00D75CAB">
          <w:rPr>
            <w:rStyle w:val="Hyperlink"/>
          </w:rPr>
          <w:t>A</w:t>
        </w:r>
        <w:r w:rsidR="005037D6" w:rsidRPr="00D75CAB">
          <w:rPr>
            <w:rStyle w:val="Hyperlink"/>
          </w:rPr>
          <w:t>ppendix 5</w:t>
        </w:r>
      </w:hyperlink>
      <w:r w:rsidR="005037D6" w:rsidRPr="00051E56">
        <w:t xml:space="preserve"> for further details about specimen collection procedures</w:t>
      </w:r>
      <w:r w:rsidR="00D75CAB">
        <w:t>,</w:t>
      </w:r>
      <w:r w:rsidR="005037D6" w:rsidRPr="00051E56">
        <w:t xml:space="preserve"> including decontamination of samples</w:t>
      </w:r>
    </w:p>
    <w:p w14:paraId="376EAFA3" w14:textId="0D0787E7" w:rsidR="005037D6" w:rsidRPr="00051E56" w:rsidRDefault="005037D6" w:rsidP="008D292E">
      <w:pPr>
        <w:pStyle w:val="Bullet1"/>
        <w:tabs>
          <w:tab w:val="num" w:pos="397"/>
          <w:tab w:val="left" w:pos="567"/>
        </w:tabs>
        <w:ind w:left="397" w:hanging="397"/>
      </w:pPr>
      <w:r w:rsidRPr="00051E56">
        <w:t xml:space="preserve">PPE must be used when caring for anyone suspected or confirmed of having a VHF or when potentially </w:t>
      </w:r>
      <w:proofErr w:type="gramStart"/>
      <w:r w:rsidRPr="00051E56">
        <w:t>coming into contact with</w:t>
      </w:r>
      <w:proofErr w:type="gramEnd"/>
      <w:r w:rsidRPr="00051E56">
        <w:t xml:space="preserve"> their blood or body fluids. Choice of PPE should be based on the symptoms exhibited </w:t>
      </w:r>
      <w:r w:rsidR="00D75CAB">
        <w:t>(</w:t>
      </w:r>
      <w:r w:rsidRPr="00051E56">
        <w:t>that is, ‘dry’ or ‘wet’</w:t>
      </w:r>
      <w:r w:rsidR="00D75CAB">
        <w:t>)</w:t>
      </w:r>
      <w:r w:rsidRPr="00051E56">
        <w:t xml:space="preserve">. See </w:t>
      </w:r>
      <w:hyperlink w:anchor="_PPE" w:history="1">
        <w:r w:rsidRPr="00D75CAB">
          <w:rPr>
            <w:rStyle w:val="Hyperlink"/>
          </w:rPr>
          <w:t>section 5.4</w:t>
        </w:r>
      </w:hyperlink>
      <w:r w:rsidRPr="00051E56">
        <w:t xml:space="preserve"> for </w:t>
      </w:r>
      <w:r w:rsidR="00D75CAB">
        <w:t>more</w:t>
      </w:r>
      <w:r w:rsidR="00D75CAB" w:rsidRPr="00051E56">
        <w:t xml:space="preserve"> </w:t>
      </w:r>
      <w:r w:rsidRPr="00051E56">
        <w:t>information</w:t>
      </w:r>
    </w:p>
    <w:p w14:paraId="2C54D3D6" w14:textId="74F55845" w:rsidR="005037D6" w:rsidRPr="00051E56" w:rsidRDefault="00F93C4C" w:rsidP="008D292E">
      <w:pPr>
        <w:pStyle w:val="Bullet1"/>
        <w:tabs>
          <w:tab w:val="num" w:pos="397"/>
          <w:tab w:val="left" w:pos="567"/>
        </w:tabs>
        <w:ind w:left="397" w:hanging="397"/>
      </w:pPr>
      <w:r>
        <w:t>l</w:t>
      </w:r>
      <w:r w:rsidR="005037D6" w:rsidRPr="00051E56">
        <w:t>imit the number of health care workers (HCWs) who provide care for a patient with suspected VHF</w:t>
      </w:r>
    </w:p>
    <w:p w14:paraId="4D4F877E" w14:textId="0348477B" w:rsidR="005037D6" w:rsidRPr="00051E56" w:rsidRDefault="00F93C4C" w:rsidP="008D292E">
      <w:pPr>
        <w:pStyle w:val="Bullet1"/>
        <w:tabs>
          <w:tab w:val="num" w:pos="397"/>
          <w:tab w:val="left" w:pos="567"/>
        </w:tabs>
        <w:ind w:left="397" w:hanging="397"/>
      </w:pPr>
      <w:r>
        <w:t>l</w:t>
      </w:r>
      <w:r w:rsidR="005037D6" w:rsidRPr="00051E56">
        <w:t>imit the use of sharps, such as needles, as much as possible. Sharps should be handled with extreme care and disposed of into a disposable puncture-proof sharps container dedicated for the use of the patient. Consider the use of retractable safety devices, if available, noting staff should be trained in their use</w:t>
      </w:r>
    </w:p>
    <w:p w14:paraId="7F0DC2F0" w14:textId="06EAE944" w:rsidR="005037D6" w:rsidRPr="00051E56" w:rsidRDefault="00D75CAB" w:rsidP="008D292E">
      <w:pPr>
        <w:pStyle w:val="Bullet1"/>
        <w:tabs>
          <w:tab w:val="num" w:pos="397"/>
          <w:tab w:val="left" w:pos="567"/>
        </w:tabs>
        <w:ind w:left="397" w:hanging="397"/>
      </w:pPr>
      <w:r>
        <w:lastRenderedPageBreak/>
        <w:t>f</w:t>
      </w:r>
      <w:r w:rsidR="005037D6" w:rsidRPr="00051E56">
        <w:t>or non-designated hospitals and other health</w:t>
      </w:r>
      <w:r>
        <w:t xml:space="preserve"> </w:t>
      </w:r>
      <w:r w:rsidR="005037D6" w:rsidRPr="00051E56">
        <w:t>care settings, even when an early transfer is planned, arrangements for appropriate care while waiting for transfer will be required.</w:t>
      </w:r>
    </w:p>
    <w:p w14:paraId="4DFC6D0B" w14:textId="66B24793" w:rsidR="005037D6" w:rsidRDefault="005037D6" w:rsidP="008D292E">
      <w:pPr>
        <w:pStyle w:val="Heading3"/>
      </w:pPr>
      <w:r>
        <w:t>Patient placement</w:t>
      </w:r>
    </w:p>
    <w:p w14:paraId="2E1646CF" w14:textId="122F4787" w:rsidR="00D75CAB" w:rsidRPr="00D75CAB" w:rsidRDefault="00D75CAB" w:rsidP="008D292E">
      <w:pPr>
        <w:pStyle w:val="Body"/>
        <w:tabs>
          <w:tab w:val="left" w:pos="567"/>
        </w:tabs>
      </w:pPr>
      <w:r>
        <w:t>Management of patient placement includes that:</w:t>
      </w:r>
    </w:p>
    <w:p w14:paraId="67F02293" w14:textId="0DA99BBF" w:rsidR="005037D6" w:rsidRDefault="00D75CAB" w:rsidP="008D292E">
      <w:pPr>
        <w:pStyle w:val="Bullet1"/>
        <w:tabs>
          <w:tab w:val="left" w:pos="567"/>
        </w:tabs>
      </w:pPr>
      <w:r>
        <w:t>p</w:t>
      </w:r>
      <w:r w:rsidR="005037D6">
        <w:t>atients with suspected VHF must be placed in a single room (</w:t>
      </w:r>
      <w:r>
        <w:t xml:space="preserve">with the </w:t>
      </w:r>
      <w:r w:rsidR="005037D6">
        <w:t>door closed) with their own toilet and bathroom facilities. If ensuite facilities are not available</w:t>
      </w:r>
      <w:r>
        <w:t>,</w:t>
      </w:r>
      <w:r w:rsidR="005037D6">
        <w:t xml:space="preserve"> use a commode in the patient’s room</w:t>
      </w:r>
    </w:p>
    <w:p w14:paraId="026B4A9B" w14:textId="3EC8B74B" w:rsidR="005037D6" w:rsidRPr="005764B5" w:rsidRDefault="00D75CAB" w:rsidP="008D292E">
      <w:pPr>
        <w:pStyle w:val="Bullet1"/>
        <w:tabs>
          <w:tab w:val="left" w:pos="567"/>
        </w:tabs>
      </w:pPr>
      <w:r>
        <w:t>a</w:t>
      </w:r>
      <w:r w:rsidR="005037D6">
        <w:t xml:space="preserve"> negative pressure ventilation room is not required for the management of patients with suspected VHF</w:t>
      </w:r>
      <w:r>
        <w:t>,</w:t>
      </w:r>
      <w:r w:rsidR="005037D6">
        <w:t xml:space="preserve"> unless AGPs will be performed.</w:t>
      </w:r>
    </w:p>
    <w:p w14:paraId="6919D0AE" w14:textId="77777777" w:rsidR="005037D6" w:rsidRDefault="005037D6" w:rsidP="008D292E">
      <w:pPr>
        <w:pStyle w:val="Heading3"/>
      </w:pPr>
      <w:r w:rsidRPr="00D341DB">
        <w:t>Zoning</w:t>
      </w:r>
    </w:p>
    <w:p w14:paraId="1E67A225" w14:textId="21327338" w:rsidR="005037D6" w:rsidRDefault="005037D6" w:rsidP="008D292E">
      <w:pPr>
        <w:pStyle w:val="Body"/>
        <w:tabs>
          <w:tab w:val="left" w:pos="567"/>
        </w:tabs>
      </w:pPr>
      <w:r>
        <w:t xml:space="preserve">To ensure staff can safely don and doff PPE, careful consideration should be given to the location of the patient’s room and surrounding environment </w:t>
      </w:r>
      <w:r w:rsidR="00D75CAB">
        <w:t>(</w:t>
      </w:r>
      <w:r>
        <w:t>for example, common corridors</w:t>
      </w:r>
      <w:r w:rsidR="00D75CAB">
        <w:t>)</w:t>
      </w:r>
      <w:r>
        <w:t>. Use of separate zones, based on the risk of environmental contamination</w:t>
      </w:r>
      <w:r w:rsidR="00D75CAB">
        <w:t>,</w:t>
      </w:r>
      <w:r>
        <w:t xml:space="preserve"> may be useful</w:t>
      </w:r>
      <w:r w:rsidDel="003B6696">
        <w:t>.</w:t>
      </w:r>
    </w:p>
    <w:p w14:paraId="08C42463" w14:textId="548ABA9A" w:rsidR="005037D6" w:rsidRDefault="00D75CAB" w:rsidP="008D292E">
      <w:pPr>
        <w:pStyle w:val="Body"/>
        <w:tabs>
          <w:tab w:val="left" w:pos="567"/>
        </w:tabs>
      </w:pPr>
      <w:r>
        <w:t xml:space="preserve">More </w:t>
      </w:r>
      <w:r w:rsidR="005037D6">
        <w:t>information about zoning</w:t>
      </w:r>
      <w:r>
        <w:t xml:space="preserve">, </w:t>
      </w:r>
      <w:r w:rsidRPr="00B833E1">
        <w:t xml:space="preserve">including information about </w:t>
      </w:r>
      <w:r>
        <w:t>PPE</w:t>
      </w:r>
      <w:r w:rsidRPr="00B833E1">
        <w:t xml:space="preserve"> for clinical care of patients with suspected or confirmed E</w:t>
      </w:r>
      <w:r w:rsidR="00084FA0">
        <w:t>VD</w:t>
      </w:r>
      <w:r w:rsidRPr="00B833E1">
        <w:t xml:space="preserve"> in the Australian health</w:t>
      </w:r>
      <w:r>
        <w:t xml:space="preserve"> </w:t>
      </w:r>
      <w:r w:rsidRPr="00B833E1">
        <w:t>care setting</w:t>
      </w:r>
      <w:r>
        <w:t>,</w:t>
      </w:r>
      <w:r w:rsidR="005037D6">
        <w:t xml:space="preserve"> can be found </w:t>
      </w:r>
      <w:r>
        <w:t>at</w:t>
      </w:r>
      <w:r w:rsidR="005037D6">
        <w:t xml:space="preserve"> </w:t>
      </w:r>
      <w:hyperlink r:id="rId54" w:history="1">
        <w:r w:rsidRPr="00D75CAB">
          <w:rPr>
            <w:rStyle w:val="Hyperlink"/>
          </w:rPr>
          <w:t>Infection prevention and control principles and recommendations for Ebola virus disease</w:t>
        </w:r>
      </w:hyperlink>
      <w:r w:rsidRPr="00E87E0B">
        <w:t xml:space="preserve"> </w:t>
      </w:r>
      <w:r w:rsidR="005037D6">
        <w:t>&lt;</w:t>
      </w:r>
      <w:r w:rsidR="005037D6" w:rsidRPr="007E0194">
        <w:t>https://www.health.gov.au/resources/publications/infection-prevention-and-control-principles-and-recommendations-for-ebola-virus-disease</w:t>
      </w:r>
      <w:r w:rsidR="005037D6">
        <w:t>&gt;.</w:t>
      </w:r>
    </w:p>
    <w:p w14:paraId="67B48D41" w14:textId="77777777" w:rsidR="005037D6" w:rsidRDefault="005037D6" w:rsidP="005A0E81">
      <w:pPr>
        <w:pStyle w:val="Heading2"/>
        <w:tabs>
          <w:tab w:val="left" w:pos="567"/>
        </w:tabs>
      </w:pPr>
      <w:bookmarkStart w:id="41" w:name="_Toc217022547"/>
      <w:r w:rsidRPr="008B1BEB">
        <w:t xml:space="preserve">Staff </w:t>
      </w:r>
      <w:r>
        <w:t>and</w:t>
      </w:r>
      <w:r w:rsidRPr="008B1BEB">
        <w:t xml:space="preserve"> </w:t>
      </w:r>
      <w:r>
        <w:t>visitors</w:t>
      </w:r>
      <w:bookmarkEnd w:id="41"/>
    </w:p>
    <w:p w14:paraId="149BE5A9" w14:textId="77777777" w:rsidR="005037D6" w:rsidRDefault="005037D6" w:rsidP="008D292E">
      <w:pPr>
        <w:pStyle w:val="Body"/>
        <w:tabs>
          <w:tab w:val="left" w:pos="567"/>
        </w:tabs>
      </w:pPr>
      <w:r>
        <w:t>All HCWs providing care for a patient with VHF should be trained for the respective roles they may be required to undertake. This includes how to safely don and doff PPE</w:t>
      </w:r>
      <w:r w:rsidDel="007B15F0">
        <w:t>.</w:t>
      </w:r>
    </w:p>
    <w:p w14:paraId="3BC63F37" w14:textId="750628C9" w:rsidR="005037D6" w:rsidRDefault="005037D6" w:rsidP="008D292E">
      <w:pPr>
        <w:pStyle w:val="Body"/>
        <w:tabs>
          <w:tab w:val="left" w:pos="567"/>
        </w:tabs>
      </w:pPr>
      <w:r>
        <w:t xml:space="preserve">It is recommended that a trained buddy or observer be </w:t>
      </w:r>
      <w:r w:rsidR="00F2101A">
        <w:t xml:space="preserve">used </w:t>
      </w:r>
      <w:r>
        <w:t xml:space="preserve">to assist and supervise all staff when putting on and taking off their PPE. The role of the buddy is detailed in </w:t>
      </w:r>
      <w:hyperlink w:anchor="_Buddy_HCW_role" w:history="1">
        <w:r w:rsidRPr="00CB6D29">
          <w:rPr>
            <w:rStyle w:val="Hyperlink"/>
          </w:rPr>
          <w:t>section 5.4.</w:t>
        </w:r>
        <w:r w:rsidR="00CB6D29">
          <w:rPr>
            <w:rStyle w:val="Hyperlink"/>
          </w:rPr>
          <w:t>6</w:t>
        </w:r>
      </w:hyperlink>
      <w:r>
        <w:t>.</w:t>
      </w:r>
    </w:p>
    <w:p w14:paraId="3F73EB03" w14:textId="77777777" w:rsidR="005037D6" w:rsidRDefault="005037D6" w:rsidP="008D292E">
      <w:pPr>
        <w:pStyle w:val="Body"/>
        <w:tabs>
          <w:tab w:val="left" w:pos="567"/>
        </w:tabs>
      </w:pPr>
      <w:r>
        <w:t>HCWs who have medical or physical conditions that will interfere with the safe use of PPE should not care for patients with VHF</w:t>
      </w:r>
      <w:r w:rsidDel="007B15F0">
        <w:t>.</w:t>
      </w:r>
    </w:p>
    <w:p w14:paraId="5D0B973F" w14:textId="43391DE0" w:rsidR="005037D6" w:rsidRDefault="005037D6" w:rsidP="008D292E">
      <w:pPr>
        <w:pStyle w:val="Body"/>
        <w:tabs>
          <w:tab w:val="left" w:pos="567"/>
        </w:tabs>
      </w:pPr>
      <w:r>
        <w:t>Some conditions may preclude HCWs from providing direct patient care, including:</w:t>
      </w:r>
    </w:p>
    <w:p w14:paraId="20B63ED4" w14:textId="537E66DE" w:rsidR="005037D6" w:rsidRDefault="005037D6" w:rsidP="008D292E">
      <w:pPr>
        <w:pStyle w:val="Bullet1"/>
        <w:tabs>
          <w:tab w:val="left" w:pos="567"/>
        </w:tabs>
      </w:pPr>
      <w:r>
        <w:t>underlying medical conditions that could affect the HCW</w:t>
      </w:r>
      <w:r w:rsidR="00CB6D29">
        <w:t>’</w:t>
      </w:r>
      <w:r>
        <w:t>s ability to quickly and safely exit the room</w:t>
      </w:r>
    </w:p>
    <w:p w14:paraId="0A9516EC" w14:textId="77777777" w:rsidR="005037D6" w:rsidRDefault="005037D6" w:rsidP="008D292E">
      <w:pPr>
        <w:pStyle w:val="Bullet1"/>
        <w:tabs>
          <w:tab w:val="left" w:pos="567"/>
        </w:tabs>
      </w:pPr>
      <w:r>
        <w:t>underlying medical conditions that could require another HCW to enter the room to provide urgent medical assistance</w:t>
      </w:r>
    </w:p>
    <w:p w14:paraId="149D0F4A" w14:textId="0857A5E1" w:rsidR="005037D6" w:rsidRDefault="005037D6" w:rsidP="008D292E">
      <w:pPr>
        <w:pStyle w:val="Bullet1"/>
        <w:tabs>
          <w:tab w:val="left" w:pos="567"/>
        </w:tabs>
      </w:pPr>
      <w:r>
        <w:t xml:space="preserve">non-intact skin </w:t>
      </w:r>
      <w:r w:rsidR="00CB6D29">
        <w:t>(</w:t>
      </w:r>
      <w:r>
        <w:t>for example, dermatitis, abrasions or wounds</w:t>
      </w:r>
      <w:r w:rsidR="00CB6D29">
        <w:t>)</w:t>
      </w:r>
    </w:p>
    <w:p w14:paraId="68603C28" w14:textId="03CFD4FC" w:rsidR="005037D6" w:rsidRDefault="00CB6D29" w:rsidP="008D292E">
      <w:pPr>
        <w:pStyle w:val="Bullet1"/>
        <w:tabs>
          <w:tab w:val="left" w:pos="567"/>
        </w:tabs>
      </w:pPr>
      <w:r>
        <w:t xml:space="preserve">the </w:t>
      </w:r>
      <w:r w:rsidR="005037D6">
        <w:t>inability to safely put on, use or take off PPE, or achieve a good fit with a P2/N95 respirator</w:t>
      </w:r>
    </w:p>
    <w:p w14:paraId="4EF0C62A" w14:textId="77777777" w:rsidR="005037D6" w:rsidRDefault="005037D6" w:rsidP="008D292E">
      <w:pPr>
        <w:pStyle w:val="Bullet1"/>
        <w:tabs>
          <w:tab w:val="left" w:pos="567"/>
        </w:tabs>
      </w:pPr>
      <w:r>
        <w:t>immune compromise</w:t>
      </w:r>
    </w:p>
    <w:p w14:paraId="05EF07DD" w14:textId="77777777" w:rsidR="005037D6" w:rsidRDefault="005037D6" w:rsidP="005A0E81">
      <w:pPr>
        <w:pStyle w:val="Bullet1"/>
        <w:tabs>
          <w:tab w:val="left" w:pos="567"/>
        </w:tabs>
      </w:pPr>
      <w:r>
        <w:t>pregnancy.</w:t>
      </w:r>
    </w:p>
    <w:p w14:paraId="3E0D4B27" w14:textId="77777777" w:rsidR="005037D6" w:rsidRDefault="005037D6" w:rsidP="005A0E81">
      <w:pPr>
        <w:pStyle w:val="Heading3"/>
      </w:pPr>
      <w:r w:rsidRPr="00D341DB">
        <w:t>Visitors</w:t>
      </w:r>
    </w:p>
    <w:p w14:paraId="1F08F4E8" w14:textId="77777777" w:rsidR="005037D6" w:rsidRPr="00CB6D29" w:rsidRDefault="005037D6" w:rsidP="008D292E">
      <w:pPr>
        <w:pStyle w:val="Body"/>
        <w:tabs>
          <w:tab w:val="left" w:pos="567"/>
        </w:tabs>
      </w:pPr>
      <w:r w:rsidRPr="00CB6D29">
        <w:t>Visitors should not be permitted unless essential, for example, the parent or carer of a child with suspected or confirmed VHF</w:t>
      </w:r>
      <w:r w:rsidRPr="00CB6D29" w:rsidDel="007B15F0">
        <w:t>.</w:t>
      </w:r>
    </w:p>
    <w:p w14:paraId="35A824AD" w14:textId="77777777" w:rsidR="005037D6" w:rsidRPr="00CB6D29" w:rsidRDefault="005037D6" w:rsidP="008D292E">
      <w:pPr>
        <w:pStyle w:val="Body"/>
        <w:tabs>
          <w:tab w:val="left" w:pos="567"/>
        </w:tabs>
      </w:pPr>
      <w:r w:rsidRPr="00CB6D29">
        <w:lastRenderedPageBreak/>
        <w:t>Children should not visit because of the difficulty in ensuring adequate adherence to the use of PPE</w:t>
      </w:r>
      <w:r w:rsidRPr="00CB6D29" w:rsidDel="007B15F0">
        <w:t>.</w:t>
      </w:r>
    </w:p>
    <w:p w14:paraId="0E93C3C3" w14:textId="77777777" w:rsidR="005037D6" w:rsidRPr="00CB6D29" w:rsidRDefault="005037D6" w:rsidP="008D292E">
      <w:pPr>
        <w:pStyle w:val="Body"/>
        <w:tabs>
          <w:tab w:val="left" w:pos="567"/>
        </w:tabs>
      </w:pPr>
      <w:r w:rsidRPr="00CB6D29">
        <w:t>If someone other than a trained HCW must visit the patient, they must be trained and supervised in the correct use and safe removal of PPE.</w:t>
      </w:r>
    </w:p>
    <w:p w14:paraId="55C9CB2F" w14:textId="77777777" w:rsidR="005037D6" w:rsidRPr="00B71CB0" w:rsidRDefault="005037D6" w:rsidP="008D292E">
      <w:pPr>
        <w:pStyle w:val="Heading3"/>
      </w:pPr>
      <w:r>
        <w:t>Staff and visitor log</w:t>
      </w:r>
    </w:p>
    <w:p w14:paraId="39849E85" w14:textId="77777777" w:rsidR="005037D6" w:rsidRDefault="005037D6" w:rsidP="008D292E">
      <w:pPr>
        <w:pStyle w:val="Body"/>
        <w:tabs>
          <w:tab w:val="left" w:pos="567"/>
        </w:tabs>
      </w:pPr>
      <w:r>
        <w:t>A log of all staff and visitors who enter and exit the room should be maintained.</w:t>
      </w:r>
    </w:p>
    <w:p w14:paraId="2FC222FE" w14:textId="75BF65CC" w:rsidR="005037D6" w:rsidRDefault="005037D6" w:rsidP="008D292E">
      <w:pPr>
        <w:pStyle w:val="Heading3"/>
      </w:pPr>
      <w:r>
        <w:t xml:space="preserve">Management of HCWs </w:t>
      </w:r>
      <w:r w:rsidRPr="00B71CB0">
        <w:t>who</w:t>
      </w:r>
      <w:r>
        <w:t xml:space="preserve"> cared for a patient with VHF</w:t>
      </w:r>
    </w:p>
    <w:p w14:paraId="45C53979" w14:textId="78D6108B" w:rsidR="005037D6" w:rsidRDefault="005037D6" w:rsidP="008D292E">
      <w:pPr>
        <w:pStyle w:val="Body"/>
        <w:tabs>
          <w:tab w:val="left" w:pos="567"/>
        </w:tabs>
      </w:pPr>
      <w:r>
        <w:t>HCWs should closely monitor their health, including twice-daily body temperature measurements, and immediately report any relevant symptoms to their designated supervisor</w:t>
      </w:r>
      <w:r w:rsidR="00CB6D29">
        <w:t>.</w:t>
      </w:r>
    </w:p>
    <w:p w14:paraId="3A3AB092" w14:textId="5074F262" w:rsidR="005037D6" w:rsidRDefault="005037D6" w:rsidP="008D292E">
      <w:pPr>
        <w:pStyle w:val="Body"/>
        <w:tabs>
          <w:tab w:val="left" w:pos="567"/>
        </w:tabs>
      </w:pPr>
      <w:r>
        <w:t>While they remain asymptomatic, HCWs can continue to work in the health</w:t>
      </w:r>
      <w:r w:rsidR="00CB6D29">
        <w:t xml:space="preserve"> </w:t>
      </w:r>
      <w:r>
        <w:t>care setting. They do not require quarantine if they have used adequate PPE with supervision</w:t>
      </w:r>
      <w:r w:rsidR="00CB6D29">
        <w:t>.</w:t>
      </w:r>
    </w:p>
    <w:p w14:paraId="52C59B2B" w14:textId="77777777" w:rsidR="00CB6D29" w:rsidRDefault="005037D6" w:rsidP="008D292E">
      <w:pPr>
        <w:pStyle w:val="Body"/>
        <w:tabs>
          <w:tab w:val="left" w:pos="567"/>
        </w:tabs>
      </w:pPr>
      <w:r>
        <w:t>If a PPE breach does occur (or other exposure), an assessment by an infectious diseases physician should be undertaken and consideration given to furloughing the HCW until the end of the relevant VHF incubation period.</w:t>
      </w:r>
    </w:p>
    <w:p w14:paraId="7894B42B" w14:textId="0AAD05A1" w:rsidR="005037D6" w:rsidRDefault="005037D6" w:rsidP="008D292E">
      <w:pPr>
        <w:pStyle w:val="Body"/>
        <w:tabs>
          <w:tab w:val="left" w:pos="567"/>
        </w:tabs>
      </w:pPr>
      <w:r>
        <w:t xml:space="preserve">Health services must advise </w:t>
      </w:r>
      <w:r w:rsidR="00AE78B1">
        <w:t>the department</w:t>
      </w:r>
      <w:r>
        <w:t xml:space="preserve"> if there is a PPE breach, to allow appropriate contact management.</w:t>
      </w:r>
    </w:p>
    <w:p w14:paraId="7BD0BB5F" w14:textId="77777777" w:rsidR="005037D6" w:rsidRDefault="005037D6" w:rsidP="005A0E81">
      <w:pPr>
        <w:pStyle w:val="Heading2"/>
        <w:tabs>
          <w:tab w:val="left" w:pos="567"/>
        </w:tabs>
      </w:pPr>
      <w:bookmarkStart w:id="42" w:name="_Toc217022548"/>
      <w:r>
        <w:t>De-escalation of isolation</w:t>
      </w:r>
      <w:bookmarkEnd w:id="42"/>
    </w:p>
    <w:p w14:paraId="11B11F21" w14:textId="29874E78" w:rsidR="005037D6" w:rsidRDefault="005037D6" w:rsidP="008D292E">
      <w:pPr>
        <w:pStyle w:val="Body"/>
        <w:tabs>
          <w:tab w:val="left" w:pos="567"/>
        </w:tabs>
      </w:pPr>
      <w:r>
        <w:t>If the diagnostic VHF blood test is negative, additional VHF IPC measures can be ceased.</w:t>
      </w:r>
      <w:r w:rsidR="00CB6D29">
        <w:t xml:space="preserve"> However:</w:t>
      </w:r>
    </w:p>
    <w:p w14:paraId="5303F2F4" w14:textId="461B642C" w:rsidR="005037D6" w:rsidRPr="003F11BE" w:rsidRDefault="00CB6D29" w:rsidP="008D292E">
      <w:pPr>
        <w:pStyle w:val="Bullet1"/>
        <w:tabs>
          <w:tab w:val="left" w:pos="567"/>
        </w:tabs>
        <w:rPr>
          <w:b/>
        </w:rPr>
      </w:pPr>
      <w:r>
        <w:t>t</w:t>
      </w:r>
      <w:r w:rsidR="005037D6" w:rsidRPr="00EA6D25">
        <w:t>o prevent false negatives, results obtained in the first 48 h</w:t>
      </w:r>
      <w:r w:rsidR="005037D6">
        <w:t>ours</w:t>
      </w:r>
      <w:r w:rsidR="005037D6" w:rsidRPr="00EA6D25">
        <w:t xml:space="preserve"> of illness should be confirmed by a second specimen obtained after this time when a high degree of clinical suspicion exists</w:t>
      </w:r>
    </w:p>
    <w:p w14:paraId="598C5CCC" w14:textId="23DECE71" w:rsidR="005037D6" w:rsidRDefault="00CB6D29" w:rsidP="008D292E">
      <w:pPr>
        <w:pStyle w:val="Bullet1"/>
        <w:tabs>
          <w:tab w:val="left" w:pos="567"/>
        </w:tabs>
      </w:pPr>
      <w:r>
        <w:t>c</w:t>
      </w:r>
      <w:r w:rsidR="005037D6">
        <w:t>onsideration to other infectious diseases should continue as clinically indicated</w:t>
      </w:r>
      <w:r>
        <w:t>,</w:t>
      </w:r>
      <w:r w:rsidR="005037D6">
        <w:t xml:space="preserve"> which may require other transmission-based precautions. This will need to be assessed on a case-by-case basis</w:t>
      </w:r>
      <w:r w:rsidR="005037D6" w:rsidDel="001D1F65">
        <w:t>.</w:t>
      </w:r>
    </w:p>
    <w:p w14:paraId="78D0D5FF" w14:textId="38D937F8" w:rsidR="005037D6" w:rsidRPr="00CB6D29" w:rsidRDefault="005037D6" w:rsidP="008D292E">
      <w:pPr>
        <w:pStyle w:val="Bodyafterbullets"/>
        <w:tabs>
          <w:tab w:val="left" w:pos="567"/>
        </w:tabs>
      </w:pPr>
      <w:r w:rsidRPr="00CB6D29">
        <w:t>Patients with confirmed VHF will remain in isolation until deemed to be non-infectious by the facility’s infectious diseases service</w:t>
      </w:r>
      <w:r w:rsidR="00CB6D29">
        <w:t>,</w:t>
      </w:r>
      <w:r w:rsidRPr="00CB6D29">
        <w:t xml:space="preserve"> in consultation with the Chief Human Biosecurity Officer (</w:t>
      </w:r>
      <w:r w:rsidR="00CB6D29">
        <w:t xml:space="preserve">contact </w:t>
      </w:r>
      <w:r w:rsidR="00AE78B1" w:rsidRPr="00CB6D29">
        <w:t>the department</w:t>
      </w:r>
      <w:r w:rsidRPr="00CB6D29" w:rsidDel="5681BFAD">
        <w:t xml:space="preserve"> </w:t>
      </w:r>
      <w:r w:rsidR="00CB6D29">
        <w:t>on</w:t>
      </w:r>
      <w:r w:rsidRPr="00CB6D29">
        <w:t xml:space="preserve"> 1300 651 160)</w:t>
      </w:r>
      <w:r w:rsidRPr="00CB6D29" w:rsidDel="00FE1942">
        <w:t>.</w:t>
      </w:r>
    </w:p>
    <w:p w14:paraId="7EAE9A4F" w14:textId="70EC7464" w:rsidR="005037D6" w:rsidRDefault="005037D6" w:rsidP="008D292E">
      <w:pPr>
        <w:pStyle w:val="Body"/>
        <w:tabs>
          <w:tab w:val="left" w:pos="567"/>
        </w:tabs>
      </w:pPr>
      <w:r>
        <w:t>Urgently contact the LPHU</w:t>
      </w:r>
      <w:r w:rsidR="00CB6D29">
        <w:t xml:space="preserve"> and </w:t>
      </w:r>
      <w:r w:rsidR="00AE78B1">
        <w:t>the department</w:t>
      </w:r>
      <w:r>
        <w:t xml:space="preserve"> </w:t>
      </w:r>
      <w:r w:rsidR="00CB6D29">
        <w:t>(</w:t>
      </w:r>
      <w:r>
        <w:t>on 1300 651 160</w:t>
      </w:r>
      <w:r w:rsidR="00CB6D29">
        <w:t>)</w:t>
      </w:r>
      <w:r>
        <w:t xml:space="preserve"> and seek their advice if the patient would like to discharge themselves against medical advice.</w:t>
      </w:r>
    </w:p>
    <w:p w14:paraId="0B62C083" w14:textId="77777777" w:rsidR="005037D6" w:rsidRDefault="005037D6" w:rsidP="008D292E">
      <w:pPr>
        <w:pStyle w:val="Heading3"/>
      </w:pPr>
      <w:r w:rsidRPr="00D341DB">
        <w:t>Documentation</w:t>
      </w:r>
      <w:r>
        <w:t xml:space="preserve"> and communication</w:t>
      </w:r>
    </w:p>
    <w:p w14:paraId="35A7A767" w14:textId="4D51151B" w:rsidR="006E03B9" w:rsidRPr="006E03B9" w:rsidRDefault="006E03B9" w:rsidP="008D292E">
      <w:pPr>
        <w:pStyle w:val="Body"/>
        <w:tabs>
          <w:tab w:val="left" w:pos="567"/>
        </w:tabs>
      </w:pPr>
      <w:r>
        <w:t>Management of documentation and communication includes:</w:t>
      </w:r>
    </w:p>
    <w:p w14:paraId="66802626" w14:textId="62412A13" w:rsidR="005037D6" w:rsidRPr="006E03B9" w:rsidRDefault="006E03B9" w:rsidP="008D292E">
      <w:pPr>
        <w:pStyle w:val="Bullet1"/>
        <w:tabs>
          <w:tab w:val="num" w:pos="397"/>
          <w:tab w:val="left" w:pos="567"/>
        </w:tabs>
        <w:ind w:left="397" w:hanging="397"/>
      </w:pPr>
      <w:r w:rsidRPr="006E03B9">
        <w:t>d</w:t>
      </w:r>
      <w:r w:rsidR="005037D6" w:rsidRPr="006E03B9">
        <w:t>ocument</w:t>
      </w:r>
      <w:r w:rsidRPr="006E03B9">
        <w:t>ing</w:t>
      </w:r>
      <w:r w:rsidR="005037D6" w:rsidRPr="006E03B9">
        <w:t xml:space="preserve"> the rationale and timing for de-escalation</w:t>
      </w:r>
    </w:p>
    <w:p w14:paraId="5D44615C" w14:textId="68F08695" w:rsidR="005037D6" w:rsidRPr="006E03B9" w:rsidRDefault="006E03B9" w:rsidP="008D292E">
      <w:pPr>
        <w:pStyle w:val="Bullet1"/>
        <w:tabs>
          <w:tab w:val="num" w:pos="397"/>
          <w:tab w:val="left" w:pos="567"/>
        </w:tabs>
        <w:ind w:left="397" w:hanging="397"/>
      </w:pPr>
      <w:r w:rsidRPr="006E03B9">
        <w:t>n</w:t>
      </w:r>
      <w:r w:rsidR="005037D6" w:rsidRPr="006E03B9">
        <w:t>otify</w:t>
      </w:r>
      <w:r w:rsidRPr="006E03B9">
        <w:t>ing</w:t>
      </w:r>
      <w:r w:rsidR="005037D6" w:rsidRPr="006E03B9">
        <w:t xml:space="preserve"> all relevant departments (for example, cleaning services, transport</w:t>
      </w:r>
      <w:r w:rsidRPr="006E03B9">
        <w:t xml:space="preserve"> and the</w:t>
      </w:r>
      <w:r w:rsidR="005037D6" w:rsidRPr="006E03B9">
        <w:t xml:space="preserve"> lab)</w:t>
      </w:r>
    </w:p>
    <w:p w14:paraId="2357F34B" w14:textId="10A569BA" w:rsidR="005037D6" w:rsidRPr="006E03B9" w:rsidRDefault="006E03B9" w:rsidP="008D292E">
      <w:pPr>
        <w:pStyle w:val="Bullet1"/>
        <w:tabs>
          <w:tab w:val="num" w:pos="397"/>
          <w:tab w:val="left" w:pos="567"/>
        </w:tabs>
        <w:ind w:left="397" w:hanging="397"/>
      </w:pPr>
      <w:r>
        <w:t>u</w:t>
      </w:r>
      <w:r w:rsidR="005037D6" w:rsidRPr="006E03B9">
        <w:t>pdat</w:t>
      </w:r>
      <w:r>
        <w:t>ing</w:t>
      </w:r>
      <w:r w:rsidR="005037D6" w:rsidRPr="006E03B9">
        <w:t xml:space="preserve"> signage and remov</w:t>
      </w:r>
      <w:r>
        <w:t>ing</w:t>
      </w:r>
      <w:r w:rsidR="005037D6" w:rsidRPr="006E03B9">
        <w:t xml:space="preserve"> isolation notices only after final clearance.</w:t>
      </w:r>
    </w:p>
    <w:p w14:paraId="001D5B2B" w14:textId="7DF48AC7" w:rsidR="005037D6" w:rsidRDefault="00147803" w:rsidP="008D292E">
      <w:pPr>
        <w:pStyle w:val="Heading2"/>
        <w:tabs>
          <w:tab w:val="left" w:pos="567"/>
        </w:tabs>
      </w:pPr>
      <w:bookmarkStart w:id="43" w:name="_Personal_protective_equipment"/>
      <w:bookmarkStart w:id="44" w:name="_Personal_protective_equipmentPPE"/>
      <w:bookmarkStart w:id="45" w:name="_Toc217022549"/>
      <w:bookmarkEnd w:id="43"/>
      <w:bookmarkEnd w:id="44"/>
      <w:r>
        <w:lastRenderedPageBreak/>
        <w:t>PPE</w:t>
      </w:r>
      <w:bookmarkEnd w:id="45"/>
    </w:p>
    <w:p w14:paraId="013F28B6" w14:textId="77777777" w:rsidR="005037D6" w:rsidRDefault="005037D6" w:rsidP="008D292E">
      <w:pPr>
        <w:pStyle w:val="Heading3"/>
      </w:pPr>
      <w:r>
        <w:t>General principles for selection and use of PPE</w:t>
      </w:r>
    </w:p>
    <w:p w14:paraId="6C78DAE0" w14:textId="34E2C713" w:rsidR="00B71A64" w:rsidRPr="00B71A64" w:rsidRDefault="00B71A64" w:rsidP="008D292E">
      <w:pPr>
        <w:pStyle w:val="Body"/>
        <w:tabs>
          <w:tab w:val="left" w:pos="567"/>
        </w:tabs>
      </w:pPr>
      <w:r>
        <w:t>When selecting and using PPE, remember:</w:t>
      </w:r>
    </w:p>
    <w:p w14:paraId="6F098869" w14:textId="77777777" w:rsidR="005037D6" w:rsidRPr="00B71A64" w:rsidRDefault="005037D6" w:rsidP="008D292E">
      <w:pPr>
        <w:pStyle w:val="Bullet1"/>
        <w:tabs>
          <w:tab w:val="num" w:pos="397"/>
          <w:tab w:val="left" w:pos="567"/>
        </w:tabs>
        <w:ind w:left="397" w:hanging="397"/>
      </w:pPr>
      <w:r w:rsidRPr="00B71A64">
        <w:t>PPE should protect the mucous membranes from exposure to blood and body fluids and self-contamination.</w:t>
      </w:r>
    </w:p>
    <w:p w14:paraId="5BC3187E" w14:textId="565B56B0" w:rsidR="005037D6" w:rsidRPr="00B71A64" w:rsidRDefault="005037D6" w:rsidP="008D292E">
      <w:pPr>
        <w:pStyle w:val="Bullet1"/>
        <w:tabs>
          <w:tab w:val="num" w:pos="397"/>
          <w:tab w:val="left" w:pos="567"/>
        </w:tabs>
        <w:ind w:left="397" w:hanging="397"/>
      </w:pPr>
      <w:r w:rsidRPr="00B71A64">
        <w:t>PPE should be adequate</w:t>
      </w:r>
      <w:r w:rsidR="00B71A64">
        <w:t>,</w:t>
      </w:r>
      <w:r w:rsidRPr="00B71A64">
        <w:t xml:space="preserve"> but not excessive, so as not to restrict movement or vision, increase the risk of heat stress for HCWs who may be required to wear the PPE for prolonged periods</w:t>
      </w:r>
      <w:r w:rsidR="00B71A64">
        <w:t>,</w:t>
      </w:r>
      <w:r w:rsidRPr="00B71A64">
        <w:t xml:space="preserve"> or make donning and doffing the PPE more complex.</w:t>
      </w:r>
    </w:p>
    <w:p w14:paraId="668F9208" w14:textId="77777777" w:rsidR="005037D6" w:rsidRPr="00B71A64" w:rsidRDefault="005037D6" w:rsidP="008D292E">
      <w:pPr>
        <w:pStyle w:val="Bullet1"/>
        <w:tabs>
          <w:tab w:val="num" w:pos="397"/>
          <w:tab w:val="left" w:pos="567"/>
        </w:tabs>
        <w:ind w:left="397" w:hanging="397"/>
      </w:pPr>
      <w:r w:rsidRPr="00B71A64">
        <w:t>PPE chosen should provide maximum protection with minimal discomfort for the wearer.</w:t>
      </w:r>
    </w:p>
    <w:p w14:paraId="2CE22B34" w14:textId="77777777" w:rsidR="005037D6" w:rsidRPr="00B71A64" w:rsidRDefault="005037D6" w:rsidP="008D292E">
      <w:pPr>
        <w:pStyle w:val="Bullet1"/>
        <w:tabs>
          <w:tab w:val="num" w:pos="397"/>
          <w:tab w:val="left" w:pos="567"/>
        </w:tabs>
        <w:ind w:left="397" w:hanging="397"/>
      </w:pPr>
      <w:r w:rsidRPr="00B71A64">
        <w:t>Select PPE that is appropriately sized and fits correctly. PPE should also be of suitable quality to provide the required level of protection for the tasks to be undertaken.</w:t>
      </w:r>
    </w:p>
    <w:p w14:paraId="7BA02BC0" w14:textId="454DC324" w:rsidR="005037D6" w:rsidRPr="00B71A64" w:rsidRDefault="005037D6" w:rsidP="008D292E">
      <w:pPr>
        <w:pStyle w:val="Bullet1"/>
        <w:tabs>
          <w:tab w:val="num" w:pos="397"/>
          <w:tab w:val="left" w:pos="567"/>
        </w:tabs>
        <w:ind w:left="397" w:hanging="397"/>
      </w:pPr>
      <w:r w:rsidRPr="00B71A64">
        <w:t>While wearing PPE, do not touch face protection (face shield, goggles or mask) while in the patient</w:t>
      </w:r>
      <w:r w:rsidR="00B71A64">
        <w:t>’s</w:t>
      </w:r>
      <w:r w:rsidRPr="00B71A64">
        <w:t xml:space="preserve"> room.</w:t>
      </w:r>
    </w:p>
    <w:p w14:paraId="4ABB57FD" w14:textId="77777777" w:rsidR="005037D6" w:rsidRPr="00B71A64" w:rsidRDefault="005037D6" w:rsidP="008D292E">
      <w:pPr>
        <w:pStyle w:val="Bullet1"/>
        <w:tabs>
          <w:tab w:val="num" w:pos="397"/>
          <w:tab w:val="left" w:pos="567"/>
        </w:tabs>
        <w:ind w:left="397" w:hanging="397"/>
      </w:pPr>
      <w:r w:rsidRPr="00B71A64">
        <w:t>All staff who treat patients with suspected or confirmed VHF should be confident in the use of PPE.</w:t>
      </w:r>
    </w:p>
    <w:p w14:paraId="102B6CD7" w14:textId="0C8320DC" w:rsidR="005037D6" w:rsidRPr="00B71A64" w:rsidRDefault="005037D6" w:rsidP="008D292E">
      <w:pPr>
        <w:pStyle w:val="Bullet1"/>
        <w:tabs>
          <w:tab w:val="num" w:pos="397"/>
          <w:tab w:val="left" w:pos="567"/>
        </w:tabs>
        <w:ind w:left="397" w:hanging="397"/>
      </w:pPr>
      <w:r w:rsidRPr="00B71A64">
        <w:t>Each step when putting on and taking off PPE should be undertaken slowly and methodically</w:t>
      </w:r>
      <w:r w:rsidR="00B71A64">
        <w:t>,</w:t>
      </w:r>
      <w:r w:rsidRPr="00B71A64">
        <w:t xml:space="preserve"> in accordance with the agreed sequence of the facility.</w:t>
      </w:r>
    </w:p>
    <w:p w14:paraId="6CFB251B" w14:textId="56ADE358" w:rsidR="005037D6" w:rsidRPr="00B71A64" w:rsidRDefault="005037D6" w:rsidP="008D292E">
      <w:pPr>
        <w:pStyle w:val="Bullet1"/>
        <w:tabs>
          <w:tab w:val="num" w:pos="397"/>
          <w:tab w:val="left" w:pos="567"/>
        </w:tabs>
        <w:ind w:left="397" w:hanging="397"/>
      </w:pPr>
      <w:r w:rsidRPr="00B71A64">
        <w:t>Staff should remove any personal items that may become contaminated before donning PPE</w:t>
      </w:r>
      <w:r w:rsidR="00B71A64">
        <w:t>,</w:t>
      </w:r>
      <w:r w:rsidRPr="00B71A64">
        <w:t xml:space="preserve"> such as staff ID cards, wrist watches, jewellery and stethoscopes.</w:t>
      </w:r>
    </w:p>
    <w:p w14:paraId="79CB7511" w14:textId="27D26A84" w:rsidR="005037D6" w:rsidRPr="00B71A64" w:rsidRDefault="005037D6" w:rsidP="008D292E">
      <w:pPr>
        <w:pStyle w:val="Bullet1"/>
        <w:tabs>
          <w:tab w:val="num" w:pos="397"/>
          <w:tab w:val="left" w:pos="567"/>
        </w:tabs>
        <w:ind w:left="397" w:hanging="397"/>
      </w:pPr>
      <w:r w:rsidRPr="00B71A64">
        <w:t>All health</w:t>
      </w:r>
      <w:r w:rsidR="00B71A64">
        <w:t xml:space="preserve"> </w:t>
      </w:r>
      <w:r w:rsidRPr="00B71A64">
        <w:t>care facilities must ensure that a site-specific step-by-step process for the donning and doffing of PPE is developed and documented. Not only should PPE be put on appropriately, but removal of used PPE is high risk and requires a structured and systematic procedure.</w:t>
      </w:r>
    </w:p>
    <w:p w14:paraId="0D56FB8C" w14:textId="3864C6FB" w:rsidR="005037D6" w:rsidRPr="00B71A64" w:rsidRDefault="005037D6" w:rsidP="008D292E">
      <w:pPr>
        <w:pStyle w:val="Bullet1"/>
        <w:tabs>
          <w:tab w:val="num" w:pos="397"/>
          <w:tab w:val="left" w:pos="567"/>
        </w:tabs>
        <w:ind w:left="397" w:hanging="397"/>
      </w:pPr>
      <w:r w:rsidRPr="00B71A64">
        <w:t>Dedicated separate areas should be set aside for donning and doffing PPE. PPE should be put on in a clean area away from the patient</w:t>
      </w:r>
      <w:r w:rsidR="00B71A64">
        <w:t>’s</w:t>
      </w:r>
      <w:r w:rsidRPr="00B71A64">
        <w:t xml:space="preserve"> room to protect the PPE from contamination. PPE should be taken off immediately adjacent to the patient’s room to prevent the risk of contamination to other areas.</w:t>
      </w:r>
    </w:p>
    <w:p w14:paraId="5CFCF2C3" w14:textId="77777777" w:rsidR="005037D6" w:rsidRPr="00B71A64" w:rsidRDefault="005037D6" w:rsidP="008D292E">
      <w:pPr>
        <w:pStyle w:val="Bullet1"/>
        <w:tabs>
          <w:tab w:val="num" w:pos="397"/>
          <w:tab w:val="left" w:pos="567"/>
        </w:tabs>
        <w:ind w:left="397" w:hanging="397"/>
      </w:pPr>
      <w:r w:rsidRPr="00B71A64">
        <w:t>Do not touch used PPE or contaminated surfaces in the area where PPE is taken off with bare hands or skin.</w:t>
      </w:r>
    </w:p>
    <w:p w14:paraId="6EFA18ED" w14:textId="0C6C15F7" w:rsidR="005037D6" w:rsidRPr="00B71A64" w:rsidRDefault="005037D6" w:rsidP="008D292E">
      <w:pPr>
        <w:pStyle w:val="Bullet1"/>
        <w:tabs>
          <w:tab w:val="num" w:pos="397"/>
          <w:tab w:val="left" w:pos="567"/>
        </w:tabs>
        <w:ind w:left="397" w:hanging="397"/>
      </w:pPr>
      <w:r w:rsidRPr="00B71A64">
        <w:t>If footwear or personal clothing (for example, underwear</w:t>
      </w:r>
      <w:r w:rsidR="00B71A64">
        <w:t xml:space="preserve"> and</w:t>
      </w:r>
      <w:r w:rsidRPr="00B71A64">
        <w:t xml:space="preserve"> socks) becomes contaminated by a patient’s blood or other body fluids, safely remove these items and discard them with the used PPE.</w:t>
      </w:r>
    </w:p>
    <w:p w14:paraId="0B9B2021" w14:textId="7A1C3BFF" w:rsidR="005037D6" w:rsidRPr="00B71A64" w:rsidRDefault="005037D6" w:rsidP="008D292E">
      <w:pPr>
        <w:pStyle w:val="Bullet1"/>
        <w:tabs>
          <w:tab w:val="num" w:pos="397"/>
          <w:tab w:val="left" w:pos="567"/>
        </w:tabs>
        <w:ind w:left="397" w:hanging="397"/>
      </w:pPr>
      <w:r w:rsidRPr="00B71A64">
        <w:t xml:space="preserve">Have a plan for a location for </w:t>
      </w:r>
      <w:proofErr w:type="gramStart"/>
      <w:r w:rsidRPr="00B71A64">
        <w:t>a</w:t>
      </w:r>
      <w:proofErr w:type="gramEnd"/>
      <w:r w:rsidRPr="00B71A64">
        <w:t xml:space="preserve"> HCW to shower if splashed with body fluids. If clothing or scrubs are contaminated, items may be cut off with scissors. Provide new scrubs prior to shower</w:t>
      </w:r>
      <w:r w:rsidR="00B71A64">
        <w:t>ing</w:t>
      </w:r>
      <w:r w:rsidRPr="00B71A64">
        <w:t>.</w:t>
      </w:r>
    </w:p>
    <w:p w14:paraId="592C5858" w14:textId="77777777" w:rsidR="005037D6" w:rsidRDefault="005037D6" w:rsidP="008D292E">
      <w:pPr>
        <w:pStyle w:val="Heading3"/>
      </w:pPr>
      <w:bookmarkStart w:id="46" w:name="_Risk_assessment_–"/>
      <w:bookmarkStart w:id="47" w:name="_Selection_of_PPE"/>
      <w:bookmarkEnd w:id="46"/>
      <w:bookmarkEnd w:id="47"/>
      <w:r w:rsidRPr="00D341DB">
        <w:t>Selection</w:t>
      </w:r>
      <w:r>
        <w:t xml:space="preserve"> of PPE – risk assessment</w:t>
      </w:r>
    </w:p>
    <w:p w14:paraId="0DCDA469" w14:textId="09AACF9E" w:rsidR="00B71A64" w:rsidRPr="00B71A64" w:rsidRDefault="00B71A64" w:rsidP="008D292E">
      <w:pPr>
        <w:pStyle w:val="Body"/>
        <w:tabs>
          <w:tab w:val="left" w:pos="567"/>
        </w:tabs>
      </w:pPr>
      <w:r>
        <w:t>When assessing risk for selection of PPE, remember:</w:t>
      </w:r>
    </w:p>
    <w:p w14:paraId="15461751" w14:textId="5A63F7B5" w:rsidR="005037D6" w:rsidRPr="00B71A64" w:rsidRDefault="005037D6" w:rsidP="008D292E">
      <w:pPr>
        <w:pStyle w:val="Bullet1"/>
        <w:tabs>
          <w:tab w:val="num" w:pos="397"/>
          <w:tab w:val="left" w:pos="567"/>
        </w:tabs>
        <w:ind w:left="397" w:hanging="397"/>
      </w:pPr>
      <w:r w:rsidRPr="00B71A64">
        <w:t xml:space="preserve">A tiered risk management approach </w:t>
      </w:r>
      <w:r w:rsidR="00B71A64" w:rsidRPr="00B71A64">
        <w:t xml:space="preserve">based on the clinical condition of the patient </w:t>
      </w:r>
      <w:r w:rsidRPr="00B71A64">
        <w:t>is recommended when selecting PPE.</w:t>
      </w:r>
      <w:r w:rsidR="00CD23D6">
        <w:rPr>
          <w:rStyle w:val="FootnoteReference"/>
        </w:rPr>
        <w:footnoteReference w:id="17"/>
      </w:r>
    </w:p>
    <w:p w14:paraId="3CF92EC1" w14:textId="5C27A391" w:rsidR="005037D6" w:rsidRPr="00B71A64" w:rsidRDefault="005037D6" w:rsidP="008D292E">
      <w:pPr>
        <w:pStyle w:val="Bullet1"/>
        <w:tabs>
          <w:tab w:val="num" w:pos="397"/>
          <w:tab w:val="left" w:pos="567"/>
        </w:tabs>
        <w:ind w:left="397" w:hanging="397"/>
      </w:pPr>
      <w:r w:rsidRPr="00B71A64">
        <w:lastRenderedPageBreak/>
        <w:t xml:space="preserve">A risk assessment must be undertaken prior to selecting </w:t>
      </w:r>
      <w:r w:rsidR="00B71A64" w:rsidRPr="00B71A64">
        <w:t xml:space="preserve">the </w:t>
      </w:r>
      <w:r w:rsidRPr="00B71A64">
        <w:t>PPE level to use</w:t>
      </w:r>
      <w:r w:rsidR="00B71A64" w:rsidRPr="00B71A64">
        <w:t>,</w:t>
      </w:r>
      <w:r w:rsidRPr="00B71A64">
        <w:t xml:space="preserve"> </w:t>
      </w:r>
      <w:r w:rsidR="00B71A64" w:rsidRPr="00B71A64">
        <w:t xml:space="preserve">which </w:t>
      </w:r>
      <w:r w:rsidRPr="00B71A64">
        <w:t xml:space="preserve">also considers the patient’s ability to follow instructions </w:t>
      </w:r>
      <w:r w:rsidR="00B71A64" w:rsidRPr="00B71A64">
        <w:t>(</w:t>
      </w:r>
      <w:r w:rsidRPr="00B71A64">
        <w:t>for example, children who may unexpectedly vomit</w:t>
      </w:r>
      <w:r w:rsidR="00B71A64" w:rsidRPr="00B71A64">
        <w:t>)</w:t>
      </w:r>
      <w:r w:rsidRPr="00B71A64">
        <w:t>.</w:t>
      </w:r>
    </w:p>
    <w:p w14:paraId="3E838206" w14:textId="77BAE284" w:rsidR="005037D6" w:rsidRPr="00B71A64" w:rsidRDefault="005037D6" w:rsidP="008D292E">
      <w:pPr>
        <w:pStyle w:val="Bullet1"/>
        <w:tabs>
          <w:tab w:val="num" w:pos="397"/>
          <w:tab w:val="left" w:pos="567"/>
        </w:tabs>
        <w:ind w:left="397" w:hanging="397"/>
      </w:pPr>
      <w:r w:rsidRPr="00B71A64">
        <w:t xml:space="preserve">Selection of PPE is </w:t>
      </w:r>
      <w:r w:rsidR="00B71A64" w:rsidRPr="00B71A64">
        <w:t>graded</w:t>
      </w:r>
      <w:r w:rsidRPr="00B71A64">
        <w:t xml:space="preserve"> into two levels of PPE</w:t>
      </w:r>
      <w:r w:rsidR="00600BF8">
        <w:t xml:space="preserve"> being</w:t>
      </w:r>
      <w:r w:rsidRPr="00B71A64">
        <w:t>:</w:t>
      </w:r>
    </w:p>
    <w:p w14:paraId="561FE6D6" w14:textId="7B5F41A2" w:rsidR="005037D6" w:rsidRPr="00B71A64" w:rsidRDefault="005037D6" w:rsidP="008D292E">
      <w:pPr>
        <w:pStyle w:val="Bullet2"/>
        <w:tabs>
          <w:tab w:val="left" w:pos="567"/>
          <w:tab w:val="num" w:pos="794"/>
        </w:tabs>
        <w:ind w:left="794" w:hanging="397"/>
      </w:pPr>
      <w:r w:rsidRPr="00B71A64">
        <w:t>Level 1 (Dry)</w:t>
      </w:r>
      <w:r w:rsidR="00B71A64">
        <w:t xml:space="preserve"> –</w:t>
      </w:r>
      <w:r w:rsidRPr="00B71A64">
        <w:t xml:space="preserve"> for use with clinically stable suspected VHF patients with ‘dry’ or low-risk symptoms only, such as fever, aches</w:t>
      </w:r>
      <w:r w:rsidR="00600BF8">
        <w:t xml:space="preserve"> and</w:t>
      </w:r>
      <w:r w:rsidRPr="00B71A64">
        <w:t xml:space="preserve"> fatigue</w:t>
      </w:r>
    </w:p>
    <w:p w14:paraId="20E78499" w14:textId="2E864EDF" w:rsidR="005037D6" w:rsidRPr="00B71A64" w:rsidRDefault="005037D6" w:rsidP="008D292E">
      <w:pPr>
        <w:pStyle w:val="Bullet2"/>
        <w:tabs>
          <w:tab w:val="left" w:pos="567"/>
          <w:tab w:val="num" w:pos="794"/>
        </w:tabs>
        <w:ind w:left="794" w:hanging="397"/>
      </w:pPr>
      <w:r w:rsidRPr="00B71A64">
        <w:t>Level 2 (Wet)</w:t>
      </w:r>
      <w:r w:rsidR="00600BF8">
        <w:t xml:space="preserve"> –</w:t>
      </w:r>
      <w:r w:rsidRPr="00B71A64">
        <w:t xml:space="preserve"> for use with suspected VHF patients who are clinically unstable or have ‘wet’ symptoms, such as diarrhoea, vomiting or bleeding</w:t>
      </w:r>
      <w:r w:rsidR="00600BF8">
        <w:t>,</w:t>
      </w:r>
      <w:r w:rsidRPr="00B71A64">
        <w:t xml:space="preserve"> and for confirmed VHF patients.</w:t>
      </w:r>
    </w:p>
    <w:p w14:paraId="6CD6A7CA" w14:textId="77777777" w:rsidR="005037D6" w:rsidRDefault="005037D6" w:rsidP="008D292E">
      <w:pPr>
        <w:pStyle w:val="Bullet1"/>
        <w:tabs>
          <w:tab w:val="num" w:pos="397"/>
          <w:tab w:val="left" w:pos="567"/>
        </w:tabs>
        <w:ind w:left="397" w:hanging="397"/>
      </w:pPr>
      <w:r>
        <w:t>When selecting which level of PPE to be used, consider the tasks to be undertaken, the environment in which the PPE is to be used and the person using the PPE.</w:t>
      </w:r>
    </w:p>
    <w:p w14:paraId="01EFD1CB" w14:textId="372F309F" w:rsidR="005037D6" w:rsidRPr="00BE47FC" w:rsidRDefault="005037D6" w:rsidP="008D292E">
      <w:pPr>
        <w:pStyle w:val="Bullet1"/>
        <w:tabs>
          <w:tab w:val="num" w:pos="397"/>
          <w:tab w:val="left" w:pos="567"/>
        </w:tabs>
        <w:ind w:left="397" w:hanging="397"/>
      </w:pPr>
      <w:r w:rsidRPr="00B37F09">
        <w:t>If health</w:t>
      </w:r>
      <w:r w:rsidR="00B76002">
        <w:t xml:space="preserve"> care</w:t>
      </w:r>
      <w:r w:rsidRPr="00B37F09">
        <w:t xml:space="preserve"> facilities decide to add </w:t>
      </w:r>
      <w:r>
        <w:t>or modify</w:t>
      </w:r>
      <w:r w:rsidRPr="00B37F09">
        <w:t xml:space="preserve"> PPE, they must consider the risks and benefits of any modification, and train </w:t>
      </w:r>
      <w:r w:rsidR="00084FA0">
        <w:t>HCWs</w:t>
      </w:r>
      <w:r w:rsidRPr="00B37F09">
        <w:t xml:space="preserve"> on correct donning and doffing in the modified procedures</w:t>
      </w:r>
      <w:r>
        <w:t>.</w:t>
      </w:r>
    </w:p>
    <w:p w14:paraId="68501151" w14:textId="77777777" w:rsidR="005037D6" w:rsidRDefault="005037D6" w:rsidP="008D292E">
      <w:pPr>
        <w:pStyle w:val="Bullet1"/>
        <w:tabs>
          <w:tab w:val="num" w:pos="397"/>
          <w:tab w:val="left" w:pos="567"/>
        </w:tabs>
        <w:ind w:left="397" w:hanging="397"/>
      </w:pPr>
      <w:r>
        <w:t xml:space="preserve">Consideration should also be given to </w:t>
      </w:r>
      <w:r w:rsidRPr="00D1737D">
        <w:t>how to safely remove PPE</w:t>
      </w:r>
      <w:r>
        <w:t>. This may include:</w:t>
      </w:r>
    </w:p>
    <w:p w14:paraId="62B52F96" w14:textId="63C9ACCE" w:rsidR="005037D6" w:rsidRDefault="005037D6" w:rsidP="008D292E">
      <w:pPr>
        <w:pStyle w:val="Bullet2"/>
        <w:tabs>
          <w:tab w:val="left" w:pos="567"/>
          <w:tab w:val="num" w:pos="794"/>
        </w:tabs>
        <w:ind w:left="794" w:hanging="397"/>
      </w:pPr>
      <w:r>
        <w:t xml:space="preserve">ensuring the type or style of PPE selected is relatively simple to remove </w:t>
      </w:r>
      <w:r w:rsidR="00600BF8">
        <w:t>(</w:t>
      </w:r>
      <w:r>
        <w:t>for example, boot</w:t>
      </w:r>
      <w:r w:rsidR="00600BF8">
        <w:t xml:space="preserve"> or </w:t>
      </w:r>
      <w:r>
        <w:t>shoe covers may be too difficult to remove safely</w:t>
      </w:r>
      <w:r w:rsidR="00600BF8">
        <w:t>)</w:t>
      </w:r>
    </w:p>
    <w:p w14:paraId="5BEF7232" w14:textId="77777777" w:rsidR="005037D6" w:rsidRDefault="005037D6" w:rsidP="008D292E">
      <w:pPr>
        <w:pStyle w:val="Bullet2"/>
        <w:tabs>
          <w:tab w:val="left" w:pos="567"/>
          <w:tab w:val="num" w:pos="794"/>
        </w:tabs>
        <w:ind w:left="794" w:hanging="397"/>
      </w:pPr>
      <w:r>
        <w:t>p</w:t>
      </w:r>
      <w:r w:rsidRPr="00D1737D">
        <w:t>rovid</w:t>
      </w:r>
      <w:r>
        <w:t>ing a</w:t>
      </w:r>
      <w:r w:rsidRPr="00D1737D">
        <w:t xml:space="preserve"> chair</w:t>
      </w:r>
      <w:r>
        <w:t xml:space="preserve"> for staff to sit on while removing PPE, particularly footwear</w:t>
      </w:r>
    </w:p>
    <w:p w14:paraId="0BFCC6CD" w14:textId="77777777" w:rsidR="005037D6" w:rsidRDefault="005037D6" w:rsidP="008D292E">
      <w:pPr>
        <w:pStyle w:val="Bullet2"/>
        <w:tabs>
          <w:tab w:val="left" w:pos="567"/>
          <w:tab w:val="num" w:pos="794"/>
        </w:tabs>
        <w:ind w:left="794" w:hanging="397"/>
      </w:pPr>
      <w:r>
        <w:t xml:space="preserve">ensuring there is </w:t>
      </w:r>
      <w:r w:rsidRPr="00D1737D">
        <w:t>enough space</w:t>
      </w:r>
      <w:r>
        <w:t xml:space="preserve"> for staff to be able to remove PPE without contaminating many surfaces.</w:t>
      </w:r>
    </w:p>
    <w:p w14:paraId="7B6369C1" w14:textId="4AF74742" w:rsidR="005037D6" w:rsidRPr="00D1737D" w:rsidRDefault="005037D6" w:rsidP="008D292E">
      <w:pPr>
        <w:pStyle w:val="Body"/>
        <w:tabs>
          <w:tab w:val="left" w:pos="567"/>
        </w:tabs>
      </w:pPr>
      <w:r>
        <w:t>While this guideline provides the principles for PPE selection and donning/doffing PPE sequences, health</w:t>
      </w:r>
      <w:r w:rsidR="00B71A64">
        <w:t xml:space="preserve"> </w:t>
      </w:r>
      <w:r>
        <w:t xml:space="preserve">care facilities must always </w:t>
      </w:r>
      <w:r w:rsidR="00B71A64">
        <w:t xml:space="preserve">apply </w:t>
      </w:r>
      <w:r>
        <w:t>these to their own circumstances.</w:t>
      </w:r>
    </w:p>
    <w:p w14:paraId="2FDD15AA" w14:textId="77777777" w:rsidR="005037D6" w:rsidRPr="00B71CB0" w:rsidRDefault="005037D6" w:rsidP="008D292E">
      <w:pPr>
        <w:pStyle w:val="Heading3"/>
      </w:pPr>
      <w:bookmarkStart w:id="48" w:name="_Level_1_(Dry)"/>
      <w:bookmarkEnd w:id="48"/>
      <w:r>
        <w:t>Level 1 (Dry) PPE</w:t>
      </w:r>
    </w:p>
    <w:p w14:paraId="4F94DAAC" w14:textId="0B758273" w:rsidR="005037D6" w:rsidRDefault="005037D6" w:rsidP="008D292E">
      <w:pPr>
        <w:pStyle w:val="Body"/>
        <w:tabs>
          <w:tab w:val="left" w:pos="567"/>
        </w:tabs>
      </w:pPr>
      <w:r>
        <w:t>Level 1 (Dry) PPE may be used when evaluating a patient with suspected VHF and the patient has low</w:t>
      </w:r>
      <w:r w:rsidR="00510622">
        <w:t>-risk</w:t>
      </w:r>
      <w:r>
        <w:t xml:space="preserve"> symptoms, that is, fever, headache, fatigue or malaise only.</w:t>
      </w:r>
    </w:p>
    <w:p w14:paraId="1C95D001" w14:textId="361A3697" w:rsidR="005037D6" w:rsidRDefault="005037D6" w:rsidP="008D292E">
      <w:pPr>
        <w:pStyle w:val="Body"/>
        <w:tabs>
          <w:tab w:val="left" w:pos="567"/>
        </w:tabs>
      </w:pPr>
      <w:r>
        <w:t>All PPE is to be single-use and disposable and should include:</w:t>
      </w:r>
    </w:p>
    <w:p w14:paraId="3A596FD5" w14:textId="51683B0E" w:rsidR="005037D6" w:rsidRDefault="00600BF8" w:rsidP="008D292E">
      <w:pPr>
        <w:pStyle w:val="Bullet1"/>
        <w:tabs>
          <w:tab w:val="left" w:pos="567"/>
        </w:tabs>
      </w:pPr>
      <w:r>
        <w:t xml:space="preserve">a </w:t>
      </w:r>
      <w:r w:rsidR="005037D6">
        <w:t>f</w:t>
      </w:r>
      <w:r w:rsidR="005037D6" w:rsidRPr="00187836">
        <w:t xml:space="preserve">luid-resistant </w:t>
      </w:r>
      <w:r w:rsidR="005037D6">
        <w:t xml:space="preserve">long-sleeved </w:t>
      </w:r>
      <w:r w:rsidR="005037D6" w:rsidRPr="00187836">
        <w:t xml:space="preserve">gown that extends to at least mid-calf or fluid-resistant coveralls without </w:t>
      </w:r>
      <w:r w:rsidR="005037D6">
        <w:t xml:space="preserve">an </w:t>
      </w:r>
      <w:r w:rsidR="005037D6" w:rsidRPr="00187836">
        <w:t>integrated hood</w:t>
      </w:r>
    </w:p>
    <w:p w14:paraId="1424246F" w14:textId="32C4098A" w:rsidR="005037D6" w:rsidRDefault="00600BF8" w:rsidP="008D292E">
      <w:pPr>
        <w:pStyle w:val="Bullet1"/>
        <w:tabs>
          <w:tab w:val="left" w:pos="567"/>
        </w:tabs>
      </w:pPr>
      <w:r>
        <w:t xml:space="preserve">a </w:t>
      </w:r>
      <w:r w:rsidR="005037D6">
        <w:t>f</w:t>
      </w:r>
      <w:r w:rsidR="005037D6" w:rsidRPr="00187836">
        <w:t>ull-face shield</w:t>
      </w:r>
      <w:r w:rsidR="005037D6">
        <w:t xml:space="preserve"> or goggles</w:t>
      </w:r>
    </w:p>
    <w:p w14:paraId="499678EF" w14:textId="7837BE1D" w:rsidR="005037D6" w:rsidRDefault="00600BF8" w:rsidP="008D292E">
      <w:pPr>
        <w:pStyle w:val="Bullet1"/>
        <w:tabs>
          <w:tab w:val="left" w:pos="567"/>
        </w:tabs>
      </w:pPr>
      <w:r>
        <w:t xml:space="preserve">a </w:t>
      </w:r>
      <w:r w:rsidR="005037D6">
        <w:t>fluid-resistant P2/N95 respirator</w:t>
      </w:r>
    </w:p>
    <w:p w14:paraId="2CAA5506" w14:textId="26AD1D44" w:rsidR="005037D6" w:rsidRDefault="005037D6" w:rsidP="008D292E">
      <w:pPr>
        <w:pStyle w:val="Bullet1"/>
        <w:tabs>
          <w:tab w:val="left" w:pos="567"/>
        </w:tabs>
      </w:pPr>
      <w:r>
        <w:t>t</w:t>
      </w:r>
      <w:r w:rsidRPr="00187836">
        <w:t>wo pairs of gloves</w:t>
      </w:r>
      <w:r w:rsidR="00600BF8">
        <w:t xml:space="preserve"> –</w:t>
      </w:r>
      <w:r w:rsidRPr="00187836">
        <w:t xml:space="preserve"> </w:t>
      </w:r>
      <w:r>
        <w:t xml:space="preserve">the </w:t>
      </w:r>
      <w:r w:rsidRPr="00F834E0">
        <w:rPr>
          <w:b/>
          <w:bCs/>
        </w:rPr>
        <w:t>outer gloves should have extended cuffs</w:t>
      </w:r>
      <w:r>
        <w:t xml:space="preserve"> </w:t>
      </w:r>
      <w:r w:rsidRPr="00F81EAE">
        <w:t>(for example, sterile gloves can be used</w:t>
      </w:r>
      <w:r w:rsidR="00600BF8">
        <w:t>,</w:t>
      </w:r>
      <w:r w:rsidRPr="00F81EAE">
        <w:t xml:space="preserve"> as these have extended cuffs)</w:t>
      </w:r>
      <w:r w:rsidRPr="00187836">
        <w:t>.</w:t>
      </w:r>
    </w:p>
    <w:p w14:paraId="1D8C85BF" w14:textId="77777777" w:rsidR="005037D6" w:rsidRPr="00600BF8" w:rsidRDefault="005037D6" w:rsidP="008D292E">
      <w:pPr>
        <w:pStyle w:val="Bodyafterbullets"/>
        <w:tabs>
          <w:tab w:val="left" w:pos="567"/>
        </w:tabs>
      </w:pPr>
      <w:r w:rsidRPr="00600BF8">
        <w:t>Note: head and neck coverings, and foot and leg coverings are not required.</w:t>
      </w:r>
    </w:p>
    <w:p w14:paraId="32F3BD90" w14:textId="36375D6A" w:rsidR="005037D6" w:rsidRDefault="005037D6" w:rsidP="008D292E">
      <w:pPr>
        <w:pStyle w:val="Bodyafterbullets"/>
        <w:tabs>
          <w:tab w:val="left" w:pos="567"/>
        </w:tabs>
      </w:pPr>
      <w:r>
        <w:t xml:space="preserve">See </w:t>
      </w:r>
      <w:hyperlink w:anchor="_Appendix_7:_Donning" w:history="1">
        <w:r w:rsidRPr="008F67A7">
          <w:rPr>
            <w:rStyle w:val="Hyperlink"/>
          </w:rPr>
          <w:t>Appendi</w:t>
        </w:r>
        <w:r w:rsidR="00C66320">
          <w:rPr>
            <w:rStyle w:val="Hyperlink"/>
          </w:rPr>
          <w:t xml:space="preserve">x </w:t>
        </w:r>
        <w:r w:rsidR="000646F4">
          <w:rPr>
            <w:rStyle w:val="Hyperlink"/>
          </w:rPr>
          <w:t>6</w:t>
        </w:r>
      </w:hyperlink>
      <w:r>
        <w:t xml:space="preserve"> and </w:t>
      </w:r>
      <w:hyperlink w:anchor="_Appendix_8:_Doffing" w:history="1">
        <w:r w:rsidRPr="008F67A7">
          <w:rPr>
            <w:rStyle w:val="Hyperlink"/>
          </w:rPr>
          <w:t xml:space="preserve">Appendix </w:t>
        </w:r>
        <w:r w:rsidR="000646F4">
          <w:rPr>
            <w:rStyle w:val="Hyperlink"/>
          </w:rPr>
          <w:t>7</w:t>
        </w:r>
      </w:hyperlink>
      <w:r>
        <w:t xml:space="preserve"> for </w:t>
      </w:r>
      <w:r w:rsidR="00600BF8">
        <w:t xml:space="preserve">donning and doffing </w:t>
      </w:r>
      <w:r>
        <w:t>Level 1 (Dry) PPE.</w:t>
      </w:r>
    </w:p>
    <w:p w14:paraId="4BBC1A99" w14:textId="77777777" w:rsidR="005037D6" w:rsidRDefault="005037D6" w:rsidP="008D292E">
      <w:pPr>
        <w:pStyle w:val="Heading3"/>
      </w:pPr>
      <w:bookmarkStart w:id="49" w:name="_Level_2_(Wet)"/>
      <w:bookmarkEnd w:id="49"/>
      <w:r>
        <w:t xml:space="preserve">Level 2 (Wet) </w:t>
      </w:r>
      <w:r w:rsidRPr="00B71CB0">
        <w:t>PPE</w:t>
      </w:r>
    </w:p>
    <w:p w14:paraId="0A553EE5" w14:textId="77777777" w:rsidR="005037D6" w:rsidRDefault="005037D6" w:rsidP="008D292E">
      <w:pPr>
        <w:pStyle w:val="Body"/>
        <w:tabs>
          <w:tab w:val="left" w:pos="567"/>
        </w:tabs>
      </w:pPr>
      <w:r>
        <w:t>Level 2 (Wet) PPE is recommended for use when providing care for patients confirmed to have VHF or patients with suspected VHF who have high-risk secretory symptoms, that is, vomiting, diarrhoea or bleeding.</w:t>
      </w:r>
    </w:p>
    <w:p w14:paraId="035A8C78" w14:textId="77777777" w:rsidR="005037D6" w:rsidRDefault="005037D6" w:rsidP="008D292E">
      <w:pPr>
        <w:pStyle w:val="Body"/>
        <w:tabs>
          <w:tab w:val="left" w:pos="567"/>
        </w:tabs>
      </w:pPr>
      <w:r>
        <w:t>In addition to protecting the mucous membranes, PPE should also provide full protection of all clothing, skin and hair.</w:t>
      </w:r>
    </w:p>
    <w:p w14:paraId="43CB90B0" w14:textId="77777777" w:rsidR="005037D6" w:rsidRDefault="005037D6" w:rsidP="008D292E">
      <w:pPr>
        <w:pStyle w:val="Body"/>
        <w:tabs>
          <w:tab w:val="left" w:pos="567"/>
        </w:tabs>
      </w:pPr>
      <w:r>
        <w:lastRenderedPageBreak/>
        <w:t>All exposed skin must be covered.</w:t>
      </w:r>
    </w:p>
    <w:p w14:paraId="737A9982" w14:textId="46FF9738" w:rsidR="005037D6" w:rsidRDefault="005037D6" w:rsidP="008D292E">
      <w:pPr>
        <w:pStyle w:val="Body"/>
        <w:tabs>
          <w:tab w:val="left" w:pos="567"/>
        </w:tabs>
      </w:pPr>
      <w:r>
        <w:t>All PPE is to be single-use and disposable</w:t>
      </w:r>
      <w:r w:rsidR="00C66320">
        <w:t>,</w:t>
      </w:r>
      <w:r>
        <w:t xml:space="preserve"> and should include:</w:t>
      </w:r>
    </w:p>
    <w:p w14:paraId="41600DCE" w14:textId="77777777" w:rsidR="005037D6" w:rsidRDefault="005037D6" w:rsidP="008D292E">
      <w:pPr>
        <w:pStyle w:val="Bullet1"/>
        <w:tabs>
          <w:tab w:val="left" w:pos="567"/>
        </w:tabs>
      </w:pPr>
      <w:r>
        <w:t>surgical scrubs (or equivalent)</w:t>
      </w:r>
    </w:p>
    <w:p w14:paraId="1CFE8229" w14:textId="3B8ECC99" w:rsidR="005037D6" w:rsidRDefault="00C66320" w:rsidP="008D292E">
      <w:pPr>
        <w:pStyle w:val="Bullet1"/>
        <w:tabs>
          <w:tab w:val="left" w:pos="567"/>
        </w:tabs>
      </w:pPr>
      <w:r>
        <w:t xml:space="preserve">a </w:t>
      </w:r>
      <w:r w:rsidR="005037D6">
        <w:t>f</w:t>
      </w:r>
      <w:r w:rsidR="005037D6" w:rsidRPr="00187836">
        <w:t xml:space="preserve">luid-resistant </w:t>
      </w:r>
      <w:r w:rsidR="005037D6">
        <w:t xml:space="preserve">long-sleeved </w:t>
      </w:r>
      <w:r w:rsidR="005037D6" w:rsidRPr="00187836">
        <w:t xml:space="preserve">gown that extends to at least mid-calf or fluid-resistant coveralls without </w:t>
      </w:r>
      <w:r w:rsidR="005037D6">
        <w:t xml:space="preserve">an </w:t>
      </w:r>
      <w:r w:rsidR="005037D6" w:rsidRPr="00187836">
        <w:t>integrated hood</w:t>
      </w:r>
    </w:p>
    <w:p w14:paraId="6AD42F11" w14:textId="56591B6E" w:rsidR="005037D6" w:rsidRDefault="00C66320" w:rsidP="008D292E">
      <w:pPr>
        <w:pStyle w:val="Bullet1"/>
        <w:tabs>
          <w:tab w:val="left" w:pos="567"/>
        </w:tabs>
      </w:pPr>
      <w:r>
        <w:t xml:space="preserve">a </w:t>
      </w:r>
      <w:r w:rsidR="005037D6">
        <w:t>full</w:t>
      </w:r>
      <w:r w:rsidR="00045EA2">
        <w:t>-</w:t>
      </w:r>
      <w:r w:rsidR="005037D6" w:rsidRPr="001C3E73">
        <w:t>face shield or goggles</w:t>
      </w:r>
    </w:p>
    <w:p w14:paraId="691E86A6" w14:textId="7D6C3E93" w:rsidR="005037D6" w:rsidRDefault="00C66320" w:rsidP="008D292E">
      <w:pPr>
        <w:pStyle w:val="Bullet1"/>
        <w:tabs>
          <w:tab w:val="left" w:pos="567"/>
        </w:tabs>
      </w:pPr>
      <w:r>
        <w:t xml:space="preserve">a </w:t>
      </w:r>
      <w:r w:rsidR="005037D6" w:rsidRPr="001C3E73">
        <w:t>head cover</w:t>
      </w:r>
      <w:r w:rsidR="005037D6">
        <w:t xml:space="preserve"> that covers all hair, ears and neck, and extends to the shoulders</w:t>
      </w:r>
    </w:p>
    <w:p w14:paraId="532088A9" w14:textId="0AB26E80" w:rsidR="005037D6" w:rsidRDefault="00C66320" w:rsidP="008D292E">
      <w:pPr>
        <w:pStyle w:val="Bullet1"/>
        <w:tabs>
          <w:tab w:val="left" w:pos="567"/>
        </w:tabs>
      </w:pPr>
      <w:r>
        <w:t xml:space="preserve">a </w:t>
      </w:r>
      <w:r w:rsidR="005037D6">
        <w:t xml:space="preserve">fluid-resistant </w:t>
      </w:r>
      <w:r w:rsidR="005037D6" w:rsidRPr="001C3E73">
        <w:t>P2</w:t>
      </w:r>
      <w:r w:rsidR="005037D6">
        <w:t>/N95</w:t>
      </w:r>
      <w:r w:rsidR="005037D6" w:rsidRPr="001C3E73">
        <w:t xml:space="preserve"> </w:t>
      </w:r>
      <w:r w:rsidR="005037D6">
        <w:t>respirator</w:t>
      </w:r>
      <w:r w:rsidR="005037D6" w:rsidRPr="00182844">
        <w:t xml:space="preserve"> </w:t>
      </w:r>
      <w:r w:rsidR="005037D6">
        <w:t xml:space="preserve">(see </w:t>
      </w:r>
      <w:r>
        <w:t xml:space="preserve">section 5.4.5 </w:t>
      </w:r>
      <w:r w:rsidR="005037D6">
        <w:t xml:space="preserve">regarding use of </w:t>
      </w:r>
      <w:r w:rsidRPr="00F834E0">
        <w:t>powered air-purifying respirator</w:t>
      </w:r>
      <w:r>
        <w:t>s</w:t>
      </w:r>
      <w:r w:rsidR="005037D6">
        <w:t xml:space="preserve"> (PAPR</w:t>
      </w:r>
      <w:r>
        <w:t>s</w:t>
      </w:r>
      <w:r w:rsidR="005037D6">
        <w:t>))</w:t>
      </w:r>
    </w:p>
    <w:p w14:paraId="2227ACFD" w14:textId="7A45D799" w:rsidR="005037D6" w:rsidRDefault="005037D6" w:rsidP="008D292E">
      <w:pPr>
        <w:pStyle w:val="Bullet1"/>
        <w:tabs>
          <w:tab w:val="left" w:pos="567"/>
        </w:tabs>
      </w:pPr>
      <w:r>
        <w:t>t</w:t>
      </w:r>
      <w:r w:rsidRPr="00187836">
        <w:t>wo pairs of gloves</w:t>
      </w:r>
      <w:r w:rsidR="00B245E9">
        <w:t xml:space="preserve"> –</w:t>
      </w:r>
      <w:r w:rsidRPr="00187836">
        <w:t xml:space="preserve"> </w:t>
      </w:r>
      <w:r>
        <w:t xml:space="preserve">the </w:t>
      </w:r>
      <w:r w:rsidRPr="00F834E0">
        <w:rPr>
          <w:b/>
          <w:bCs/>
        </w:rPr>
        <w:t>outer gloves should have extended cuffs</w:t>
      </w:r>
      <w:r>
        <w:t xml:space="preserve"> </w:t>
      </w:r>
      <w:r w:rsidRPr="00F81EAE">
        <w:t>(for example, sterile gloves can be used</w:t>
      </w:r>
      <w:r w:rsidR="00B245E9">
        <w:t>,</w:t>
      </w:r>
      <w:r w:rsidRPr="00F81EAE">
        <w:t xml:space="preserve"> as these have extended cuffs)</w:t>
      </w:r>
    </w:p>
    <w:p w14:paraId="67242778" w14:textId="77777777" w:rsidR="005037D6" w:rsidRDefault="005037D6" w:rsidP="008D292E">
      <w:pPr>
        <w:pStyle w:val="Bullet1"/>
        <w:tabs>
          <w:tab w:val="left" w:pos="567"/>
        </w:tabs>
      </w:pPr>
      <w:r>
        <w:t>enclosed, fluid and sharps-resistant footwear</w:t>
      </w:r>
    </w:p>
    <w:p w14:paraId="710B2452" w14:textId="77777777" w:rsidR="005037D6" w:rsidRDefault="005037D6" w:rsidP="008D292E">
      <w:pPr>
        <w:pStyle w:val="Bullet1"/>
        <w:tabs>
          <w:tab w:val="left" w:pos="567"/>
        </w:tabs>
      </w:pPr>
      <w:r>
        <w:t>plastic apron if fluid contamination is anticipated</w:t>
      </w:r>
      <w:r w:rsidRPr="00187836">
        <w:t>.</w:t>
      </w:r>
    </w:p>
    <w:p w14:paraId="537D560C" w14:textId="7CFD7024" w:rsidR="005037D6" w:rsidRDefault="005037D6" w:rsidP="008D292E">
      <w:pPr>
        <w:pStyle w:val="Bodyafterbullets"/>
        <w:tabs>
          <w:tab w:val="left" w:pos="567"/>
        </w:tabs>
      </w:pPr>
      <w:r>
        <w:t xml:space="preserve">See </w:t>
      </w:r>
      <w:hyperlink w:anchor="_Appendix_9:_Donning" w:history="1">
        <w:r w:rsidRPr="008F67A7">
          <w:rPr>
            <w:rStyle w:val="Hyperlink"/>
          </w:rPr>
          <w:t xml:space="preserve">Appendix </w:t>
        </w:r>
        <w:r w:rsidR="000646F4">
          <w:rPr>
            <w:rStyle w:val="Hyperlink"/>
          </w:rPr>
          <w:t>8</w:t>
        </w:r>
      </w:hyperlink>
      <w:r>
        <w:t xml:space="preserve"> and </w:t>
      </w:r>
      <w:hyperlink w:anchor="_Appendix_10:_Doffing" w:history="1">
        <w:r w:rsidRPr="008F67A7">
          <w:rPr>
            <w:rStyle w:val="Hyperlink"/>
          </w:rPr>
          <w:t xml:space="preserve">Appendix </w:t>
        </w:r>
        <w:r w:rsidR="000646F4">
          <w:rPr>
            <w:rStyle w:val="Hyperlink"/>
          </w:rPr>
          <w:t>9</w:t>
        </w:r>
      </w:hyperlink>
      <w:r>
        <w:t xml:space="preserve"> for Level</w:t>
      </w:r>
      <w:r w:rsidR="00045EA2">
        <w:t xml:space="preserve"> </w:t>
      </w:r>
      <w:r>
        <w:t>2 (Wet) PPE.</w:t>
      </w:r>
    </w:p>
    <w:p w14:paraId="0A5AF8BB" w14:textId="3BBD0957" w:rsidR="005037D6" w:rsidRDefault="005037D6" w:rsidP="008D292E">
      <w:pPr>
        <w:pStyle w:val="Heading3"/>
      </w:pPr>
      <w:bookmarkStart w:id="50" w:name="_Powered_Air_Purifying"/>
      <w:bookmarkEnd w:id="50"/>
      <w:r>
        <w:t>PAPR</w:t>
      </w:r>
      <w:r w:rsidR="00C66320">
        <w:t>s</w:t>
      </w:r>
    </w:p>
    <w:p w14:paraId="5F04E6C3" w14:textId="39CB11D1" w:rsidR="005037D6" w:rsidRDefault="005037D6" w:rsidP="008D292E">
      <w:pPr>
        <w:pStyle w:val="Body"/>
        <w:tabs>
          <w:tab w:val="left" w:pos="567"/>
        </w:tabs>
      </w:pPr>
      <w:r>
        <w:t>Use of PAPR</w:t>
      </w:r>
      <w:r w:rsidR="00B245E9">
        <w:t>s</w:t>
      </w:r>
      <w:r>
        <w:t xml:space="preserve"> may be considered for </w:t>
      </w:r>
      <w:hyperlink w:anchor="_Level_2_(Wet)" w:history="1">
        <w:r w:rsidRPr="002F5D3C">
          <w:rPr>
            <w:rStyle w:val="Hyperlink"/>
          </w:rPr>
          <w:t>Level 2 (Wet) PPE</w:t>
        </w:r>
      </w:hyperlink>
      <w:r>
        <w:t>, particularly when staff will be with a clinically unstable patient for prolonged periods.</w:t>
      </w:r>
    </w:p>
    <w:p w14:paraId="5A15B5F5" w14:textId="22969DE8" w:rsidR="005037D6" w:rsidRDefault="005037D6" w:rsidP="008D292E">
      <w:pPr>
        <w:pStyle w:val="Body"/>
        <w:tabs>
          <w:tab w:val="left" w:pos="567"/>
        </w:tabs>
      </w:pPr>
      <w:r>
        <w:t>Facilities must develop their own procedures for the use of PAPR</w:t>
      </w:r>
      <w:r w:rsidR="00B245E9">
        <w:t>s</w:t>
      </w:r>
      <w:r w:rsidR="00C66320">
        <w:t>,</w:t>
      </w:r>
      <w:r>
        <w:t xml:space="preserve"> which will include donning/doffing procedures that align with the model of PAPR being used.</w:t>
      </w:r>
    </w:p>
    <w:p w14:paraId="0DF26028" w14:textId="6B26021A" w:rsidR="005037D6" w:rsidRDefault="005037D6" w:rsidP="008D292E">
      <w:pPr>
        <w:pStyle w:val="Body"/>
        <w:tabs>
          <w:tab w:val="left" w:pos="567"/>
        </w:tabs>
      </w:pPr>
      <w:r>
        <w:t>Other considerations if PAPR</w:t>
      </w:r>
      <w:r w:rsidR="00B245E9">
        <w:t>s</w:t>
      </w:r>
      <w:r>
        <w:t xml:space="preserve"> are to be used include</w:t>
      </w:r>
      <w:r w:rsidR="00C66320">
        <w:t xml:space="preserve"> ensuring</w:t>
      </w:r>
      <w:r>
        <w:t>:</w:t>
      </w:r>
    </w:p>
    <w:p w14:paraId="265FA471" w14:textId="5E1C2200" w:rsidR="005037D6" w:rsidRDefault="005037D6" w:rsidP="008D292E">
      <w:pPr>
        <w:pStyle w:val="Bullet1"/>
        <w:tabs>
          <w:tab w:val="left" w:pos="567"/>
        </w:tabs>
      </w:pPr>
      <w:r>
        <w:t>all staff required to use this equipment have been trained and undertake refresher training on a regular basis</w:t>
      </w:r>
    </w:p>
    <w:p w14:paraId="3E344896" w14:textId="77777777" w:rsidR="005037D6" w:rsidRDefault="005037D6" w:rsidP="008D292E">
      <w:pPr>
        <w:pStyle w:val="Bullet1"/>
        <w:tabs>
          <w:tab w:val="left" w:pos="567"/>
        </w:tabs>
      </w:pPr>
      <w:r>
        <w:t>adequate supplies of consumables</w:t>
      </w:r>
    </w:p>
    <w:p w14:paraId="76D16B8B" w14:textId="77777777" w:rsidR="005037D6" w:rsidRDefault="005037D6" w:rsidP="008D292E">
      <w:pPr>
        <w:pStyle w:val="Bullet1"/>
        <w:tabs>
          <w:tab w:val="left" w:pos="567"/>
        </w:tabs>
      </w:pPr>
      <w:r>
        <w:t>equipment is maintained and serviced regularly as required</w:t>
      </w:r>
    </w:p>
    <w:p w14:paraId="5B17B785" w14:textId="5F32E5C8" w:rsidR="005037D6" w:rsidRPr="002C0283" w:rsidRDefault="005037D6" w:rsidP="008D292E">
      <w:pPr>
        <w:pStyle w:val="Bullet1"/>
        <w:tabs>
          <w:tab w:val="left" w:pos="567"/>
        </w:tabs>
      </w:pPr>
      <w:r>
        <w:t xml:space="preserve">waste generated can be adequately disposed of </w:t>
      </w:r>
      <w:r w:rsidR="00C66320">
        <w:t>(</w:t>
      </w:r>
      <w:r>
        <w:t xml:space="preserve">for example, </w:t>
      </w:r>
      <w:r w:rsidR="00C66320">
        <w:t xml:space="preserve">if </w:t>
      </w:r>
      <w:r>
        <w:t xml:space="preserve">clinical waste bins </w:t>
      </w:r>
      <w:r w:rsidR="00C66320">
        <w:t xml:space="preserve">are </w:t>
      </w:r>
      <w:r>
        <w:t>sufficiently large for the hoods</w:t>
      </w:r>
      <w:r w:rsidR="00C66320">
        <w:t>)</w:t>
      </w:r>
      <w:r>
        <w:t>.</w:t>
      </w:r>
    </w:p>
    <w:p w14:paraId="37E84541" w14:textId="77777777" w:rsidR="005037D6" w:rsidRPr="00B71CB0" w:rsidRDefault="005037D6" w:rsidP="008D292E">
      <w:pPr>
        <w:pStyle w:val="Heading3"/>
      </w:pPr>
      <w:bookmarkStart w:id="51" w:name="_Buddy_HCW_role"/>
      <w:bookmarkEnd w:id="51"/>
      <w:r>
        <w:t>Buddy HCW role</w:t>
      </w:r>
    </w:p>
    <w:p w14:paraId="64B5A394" w14:textId="06D1B7E9" w:rsidR="005037D6" w:rsidRDefault="005037D6" w:rsidP="008D292E">
      <w:pPr>
        <w:pStyle w:val="Body"/>
        <w:tabs>
          <w:tab w:val="left" w:pos="567"/>
        </w:tabs>
      </w:pPr>
      <w:r>
        <w:t xml:space="preserve">The buddy should wear </w:t>
      </w:r>
      <w:hyperlink w:anchor="_Level_1_(Dry)" w:history="1">
        <w:r w:rsidRPr="004E6601">
          <w:rPr>
            <w:rStyle w:val="Hyperlink"/>
          </w:rPr>
          <w:t>Level 1 (Dry) PPE</w:t>
        </w:r>
      </w:hyperlink>
      <w:r w:rsidRPr="004E6601">
        <w:t>,</w:t>
      </w:r>
      <w:r>
        <w:t xml:space="preserve"> </w:t>
      </w:r>
      <w:r w:rsidR="00C66320">
        <w:t>including</w:t>
      </w:r>
      <w:r>
        <w:t xml:space="preserve"> a long-sleeved gown, face shield</w:t>
      </w:r>
      <w:r w:rsidR="00C66320">
        <w:t xml:space="preserve"> or </w:t>
      </w:r>
      <w:r>
        <w:t>googles, P2/N95 respirator and gloves.</w:t>
      </w:r>
    </w:p>
    <w:p w14:paraId="27516438" w14:textId="77777777" w:rsidR="005037D6" w:rsidRDefault="005037D6" w:rsidP="008D292E">
      <w:pPr>
        <w:pStyle w:val="Body"/>
        <w:tabs>
          <w:tab w:val="left" w:pos="567"/>
        </w:tabs>
      </w:pPr>
      <w:r>
        <w:t>Their role is to assist with the following actions:</w:t>
      </w:r>
    </w:p>
    <w:p w14:paraId="787E910E" w14:textId="77777777" w:rsidR="005037D6" w:rsidRPr="00C66320" w:rsidRDefault="005037D6" w:rsidP="008D292E">
      <w:pPr>
        <w:pStyle w:val="Bullet1"/>
        <w:tabs>
          <w:tab w:val="num" w:pos="397"/>
          <w:tab w:val="left" w:pos="567"/>
        </w:tabs>
        <w:ind w:left="397" w:hanging="397"/>
      </w:pPr>
      <w:r w:rsidRPr="00C66320">
        <w:t>Help step the HCW through the agreed sequence for donning PPE. They can assist with donning PPE where required and should make sure all PPE is comfortable and correctly fitted before the HCW enters the patient room.</w:t>
      </w:r>
    </w:p>
    <w:p w14:paraId="2A8FC8B0" w14:textId="77777777" w:rsidR="005037D6" w:rsidRPr="00C66320" w:rsidRDefault="005037D6" w:rsidP="008D292E">
      <w:pPr>
        <w:pStyle w:val="Bullet1"/>
        <w:tabs>
          <w:tab w:val="num" w:pos="397"/>
          <w:tab w:val="left" w:pos="567"/>
        </w:tabs>
        <w:ind w:left="397" w:hanging="397"/>
      </w:pPr>
      <w:r w:rsidRPr="00C66320">
        <w:t>Observe and advise the HCW while in the patient room for actual/potential PPE breaches (the buddy does not enter the room).</w:t>
      </w:r>
    </w:p>
    <w:p w14:paraId="6912D27D" w14:textId="152812C0" w:rsidR="005037D6" w:rsidRPr="00C66320" w:rsidRDefault="005037D6" w:rsidP="008D292E">
      <w:pPr>
        <w:pStyle w:val="Bullet1"/>
        <w:tabs>
          <w:tab w:val="num" w:pos="397"/>
          <w:tab w:val="left" w:pos="567"/>
        </w:tabs>
        <w:ind w:left="397" w:hanging="397"/>
      </w:pPr>
      <w:r w:rsidRPr="00C66320">
        <w:t>Monitor and guide the HCW in designated removal area to ensure PPE is removed slowly and in the correct order, to avoid contamination of the HCW and the surrounding environment. The buddy</w:t>
      </w:r>
      <w:r w:rsidR="001871A6">
        <w:t>’s role</w:t>
      </w:r>
      <w:r w:rsidRPr="00C66320">
        <w:t xml:space="preserve"> is to:</w:t>
      </w:r>
    </w:p>
    <w:p w14:paraId="1221FB5A" w14:textId="42FD5E4C" w:rsidR="005037D6" w:rsidRPr="00C66320" w:rsidRDefault="00C66320" w:rsidP="008D292E">
      <w:pPr>
        <w:pStyle w:val="Bullet2"/>
        <w:tabs>
          <w:tab w:val="left" w:pos="567"/>
          <w:tab w:val="num" w:pos="794"/>
        </w:tabs>
        <w:ind w:left="794" w:hanging="397"/>
      </w:pPr>
      <w:r>
        <w:t>v</w:t>
      </w:r>
      <w:r w:rsidR="005037D6" w:rsidRPr="00C66320">
        <w:t>isually inspect HCW PPE to check for integrity and contamination. If visible contamination is observed, pass the HCW a disinfectant wipe to remove any soil</w:t>
      </w:r>
      <w:r>
        <w:t>ing</w:t>
      </w:r>
    </w:p>
    <w:p w14:paraId="3CB45B6D" w14:textId="56B37469" w:rsidR="005037D6" w:rsidRPr="00C66320" w:rsidRDefault="00C66320" w:rsidP="008D292E">
      <w:pPr>
        <w:pStyle w:val="Bullet2"/>
        <w:tabs>
          <w:tab w:val="left" w:pos="567"/>
          <w:tab w:val="num" w:pos="794"/>
        </w:tabs>
        <w:ind w:left="794" w:hanging="397"/>
      </w:pPr>
      <w:r>
        <w:lastRenderedPageBreak/>
        <w:t>r</w:t>
      </w:r>
      <w:r w:rsidR="005037D6" w:rsidRPr="00C66320">
        <w:t>ead out steps for doffing PPE (consider using a checklist)</w:t>
      </w:r>
    </w:p>
    <w:p w14:paraId="6E24331F" w14:textId="3D85D39C" w:rsidR="005037D6" w:rsidRPr="00C66320" w:rsidRDefault="00C66320" w:rsidP="008D292E">
      <w:pPr>
        <w:pStyle w:val="Bullet2"/>
        <w:tabs>
          <w:tab w:val="left" w:pos="567"/>
          <w:tab w:val="num" w:pos="794"/>
        </w:tabs>
        <w:ind w:left="794" w:hanging="397"/>
      </w:pPr>
      <w:r>
        <w:t>e</w:t>
      </w:r>
      <w:r w:rsidR="005037D6" w:rsidRPr="00C66320">
        <w:t>nsure correct hand hygiene technique is used when taking off PPE and dispense alcohol-based hand rub to prevent contamination of the dispenser</w:t>
      </w:r>
    </w:p>
    <w:p w14:paraId="7DCA13E2" w14:textId="5F381657" w:rsidR="005037D6" w:rsidRPr="00C66320" w:rsidRDefault="00C66320" w:rsidP="008D292E">
      <w:pPr>
        <w:pStyle w:val="Bullet2"/>
        <w:tabs>
          <w:tab w:val="left" w:pos="567"/>
          <w:tab w:val="num" w:pos="794"/>
        </w:tabs>
        <w:ind w:left="794" w:hanging="397"/>
      </w:pPr>
      <w:r>
        <w:t>u</w:t>
      </w:r>
      <w:r w:rsidR="005037D6" w:rsidRPr="00C66320">
        <w:t>ntie gown waist and neck ties</w:t>
      </w:r>
    </w:p>
    <w:p w14:paraId="4C69CD65" w14:textId="60B541A1" w:rsidR="005037D6" w:rsidRPr="00C66320" w:rsidRDefault="00C66320" w:rsidP="008D292E">
      <w:pPr>
        <w:pStyle w:val="Bullet2"/>
        <w:tabs>
          <w:tab w:val="left" w:pos="567"/>
          <w:tab w:val="num" w:pos="794"/>
        </w:tabs>
        <w:ind w:left="794" w:hanging="397"/>
      </w:pPr>
      <w:r>
        <w:t>e</w:t>
      </w:r>
      <w:r w:rsidR="005037D6" w:rsidRPr="00C66320">
        <w:t>nsure all PPE is appropriately disposed of into the clinical waste receptacle</w:t>
      </w:r>
    </w:p>
    <w:p w14:paraId="11F9851E" w14:textId="24A3954E" w:rsidR="005037D6" w:rsidRPr="00C66320" w:rsidRDefault="00C66320" w:rsidP="008D292E">
      <w:pPr>
        <w:pStyle w:val="Bullet2"/>
        <w:tabs>
          <w:tab w:val="left" w:pos="567"/>
          <w:tab w:val="num" w:pos="794"/>
        </w:tabs>
        <w:ind w:left="794" w:hanging="397"/>
      </w:pPr>
      <w:r>
        <w:t>w</w:t>
      </w:r>
      <w:r w:rsidR="005037D6" w:rsidRPr="00C66320">
        <w:t xml:space="preserve">ipe chair, sink and floor with disinfectant in </w:t>
      </w:r>
      <w:r w:rsidR="001871A6">
        <w:t xml:space="preserve">the </w:t>
      </w:r>
      <w:r w:rsidR="005037D6" w:rsidRPr="00C66320">
        <w:t>doffing area.</w:t>
      </w:r>
    </w:p>
    <w:p w14:paraId="2C74992E" w14:textId="6A388E2F" w:rsidR="005037D6" w:rsidRPr="00C66320" w:rsidRDefault="005037D6" w:rsidP="008D292E">
      <w:pPr>
        <w:pStyle w:val="Bullet1"/>
        <w:tabs>
          <w:tab w:val="num" w:pos="397"/>
          <w:tab w:val="left" w:pos="567"/>
        </w:tabs>
        <w:ind w:left="397" w:hanging="397"/>
      </w:pPr>
      <w:r w:rsidRPr="00C66320">
        <w:t xml:space="preserve">Accept waste from the patient room into another clinical waste bag. The buddy should hold the new clinical waste bag so the bag overlaps their hands, and </w:t>
      </w:r>
      <w:r w:rsidR="001871A6">
        <w:t xml:space="preserve">the </w:t>
      </w:r>
      <w:r w:rsidRPr="00C66320">
        <w:t xml:space="preserve">inner waste bag can be placed into </w:t>
      </w:r>
      <w:r w:rsidR="001871A6">
        <w:t xml:space="preserve">the </w:t>
      </w:r>
      <w:r w:rsidRPr="00C66320">
        <w:t xml:space="preserve">bag without </w:t>
      </w:r>
      <w:proofErr w:type="gramStart"/>
      <w:r w:rsidRPr="00C66320">
        <w:t>coming into contact with</w:t>
      </w:r>
      <w:proofErr w:type="gramEnd"/>
      <w:r w:rsidRPr="00C66320">
        <w:t xml:space="preserve"> the hands of buddy.</w:t>
      </w:r>
    </w:p>
    <w:p w14:paraId="102545EB" w14:textId="36569AAD" w:rsidR="005037D6" w:rsidRPr="00C66320" w:rsidRDefault="005037D6" w:rsidP="008D292E">
      <w:pPr>
        <w:pStyle w:val="Bullet1"/>
        <w:tabs>
          <w:tab w:val="num" w:pos="397"/>
          <w:tab w:val="left" w:pos="567"/>
        </w:tabs>
        <w:ind w:left="397" w:hanging="397"/>
      </w:pPr>
      <w:r w:rsidRPr="00C66320">
        <w:t>Identify (and record if appropriate) any PPE breaches during patient care or during PPE removal. If a breach is seen during care</w:t>
      </w:r>
      <w:r w:rsidR="001871A6">
        <w:t>,</w:t>
      </w:r>
      <w:r w:rsidRPr="00C66320">
        <w:t xml:space="preserve"> advise staff to leave the patient room, and if body fluids are seen on PPE</w:t>
      </w:r>
      <w:r w:rsidR="001871A6">
        <w:t>,</w:t>
      </w:r>
      <w:r w:rsidRPr="00C66320">
        <w:t xml:space="preserve"> pass them a disinfectant wipe prior to removal of PPE. Seek advice from infection control or infectious diseases if </w:t>
      </w:r>
      <w:r w:rsidR="001871A6">
        <w:t xml:space="preserve">the </w:t>
      </w:r>
      <w:r w:rsidRPr="00C66320">
        <w:t>HCW is exposed.</w:t>
      </w:r>
    </w:p>
    <w:p w14:paraId="00F7F170" w14:textId="77777777" w:rsidR="005037D6" w:rsidRDefault="005037D6" w:rsidP="008D292E">
      <w:pPr>
        <w:pStyle w:val="Heading3"/>
      </w:pPr>
      <w:r w:rsidRPr="00D341DB">
        <w:t>Training</w:t>
      </w:r>
    </w:p>
    <w:p w14:paraId="42F5F77B" w14:textId="77777777" w:rsidR="005037D6" w:rsidRDefault="005037D6" w:rsidP="008D292E">
      <w:pPr>
        <w:pStyle w:val="Body"/>
        <w:tabs>
          <w:tab w:val="left" w:pos="567"/>
        </w:tabs>
      </w:pPr>
      <w:r>
        <w:t>Specific and repeated training for HCWs is desirable, and all staff who treat patients with suspected or confirmed VHF should be confident in the use of PPE.</w:t>
      </w:r>
    </w:p>
    <w:p w14:paraId="71240073" w14:textId="77777777" w:rsidR="005037D6" w:rsidRDefault="005037D6" w:rsidP="008D292E">
      <w:pPr>
        <w:pStyle w:val="Body"/>
        <w:tabs>
          <w:tab w:val="left" w:pos="567"/>
        </w:tabs>
      </w:pPr>
      <w:r>
        <w:t>Training should also take place in the room and/or area a patient with VHF may be managed to ensure staff are familiar with the location.</w:t>
      </w:r>
    </w:p>
    <w:p w14:paraId="781111A6" w14:textId="2CC85AC4" w:rsidR="001871A6" w:rsidRDefault="001871A6" w:rsidP="008D292E">
      <w:pPr>
        <w:pStyle w:val="Body"/>
        <w:tabs>
          <w:tab w:val="left" w:pos="567"/>
        </w:tabs>
      </w:pPr>
      <w:r>
        <w:t>Training sessions may highlight problems with types of PPE used and the sequences for donning and doffing PPE. Use these sessions as an opportunity to make improvements or adaptations as required.</w:t>
      </w:r>
    </w:p>
    <w:p w14:paraId="0D322E1F" w14:textId="77777777" w:rsidR="005037D6" w:rsidRDefault="005037D6" w:rsidP="008D292E">
      <w:pPr>
        <w:pStyle w:val="Body"/>
        <w:tabs>
          <w:tab w:val="left" w:pos="567"/>
        </w:tabs>
      </w:pPr>
      <w:r>
        <w:t>Training should include:</w:t>
      </w:r>
    </w:p>
    <w:p w14:paraId="592015EE" w14:textId="77777777" w:rsidR="005037D6" w:rsidRPr="00317F32" w:rsidRDefault="005037D6" w:rsidP="008D292E">
      <w:pPr>
        <w:pStyle w:val="Bullet1"/>
        <w:tabs>
          <w:tab w:val="left" w:pos="567"/>
        </w:tabs>
      </w:pPr>
      <w:r>
        <w:t>h</w:t>
      </w:r>
      <w:r w:rsidRPr="00317F32">
        <w:t xml:space="preserve">ow to </w:t>
      </w:r>
      <w:r>
        <w:t>don and doff</w:t>
      </w:r>
      <w:r w:rsidRPr="00317F32">
        <w:t xml:space="preserve"> PPE</w:t>
      </w:r>
      <w:r>
        <w:t>, including the c</w:t>
      </w:r>
      <w:r w:rsidRPr="00317F32">
        <w:t>orrect order to avoid cross-contamination</w:t>
      </w:r>
    </w:p>
    <w:p w14:paraId="3EF62DEB" w14:textId="63D164A1" w:rsidR="005037D6" w:rsidRPr="00317F32" w:rsidRDefault="005037D6" w:rsidP="008D292E">
      <w:pPr>
        <w:pStyle w:val="Bullet1"/>
        <w:tabs>
          <w:tab w:val="left" w:pos="567"/>
        </w:tabs>
      </w:pPr>
      <w:r>
        <w:t>h</w:t>
      </w:r>
      <w:r w:rsidRPr="00317F32">
        <w:t>ow to check correct fit of PPE</w:t>
      </w:r>
      <w:r w:rsidR="001871A6">
        <w:t>,</w:t>
      </w:r>
      <w:r w:rsidRPr="00317F32">
        <w:t xml:space="preserve"> including </w:t>
      </w:r>
      <w:r>
        <w:t xml:space="preserve">P2/N95 </w:t>
      </w:r>
      <w:r w:rsidRPr="00317F32">
        <w:t>respirators</w:t>
      </w:r>
    </w:p>
    <w:p w14:paraId="054C5DC7" w14:textId="77777777" w:rsidR="005037D6" w:rsidRPr="00317F32" w:rsidRDefault="005037D6" w:rsidP="008D292E">
      <w:pPr>
        <w:pStyle w:val="Bullet1"/>
        <w:tabs>
          <w:tab w:val="left" w:pos="567"/>
        </w:tabs>
      </w:pPr>
      <w:r>
        <w:t>d</w:t>
      </w:r>
      <w:r w:rsidRPr="00317F32">
        <w:t>isposal of used PPE and decontamination</w:t>
      </w:r>
    </w:p>
    <w:p w14:paraId="5DB640C1" w14:textId="77777777" w:rsidR="005037D6" w:rsidRPr="00317F32" w:rsidRDefault="005037D6" w:rsidP="008D292E">
      <w:pPr>
        <w:pStyle w:val="Bullet1"/>
        <w:tabs>
          <w:tab w:val="left" w:pos="567"/>
        </w:tabs>
      </w:pPr>
      <w:r>
        <w:t>m</w:t>
      </w:r>
      <w:r w:rsidRPr="00317F32">
        <w:t>aintenance and storage of PPE</w:t>
      </w:r>
    </w:p>
    <w:p w14:paraId="33DF256C" w14:textId="77777777" w:rsidR="005037D6" w:rsidRPr="003459E4" w:rsidRDefault="005037D6" w:rsidP="008D292E">
      <w:pPr>
        <w:pStyle w:val="Bullet1"/>
        <w:tabs>
          <w:tab w:val="left" w:pos="567"/>
        </w:tabs>
      </w:pPr>
      <w:r>
        <w:t>h</w:t>
      </w:r>
      <w:r w:rsidRPr="00317F32">
        <w:t>and hygiene</w:t>
      </w:r>
      <w:r>
        <w:t>.</w:t>
      </w:r>
    </w:p>
    <w:p w14:paraId="57E71788" w14:textId="77777777" w:rsidR="005037D6" w:rsidRDefault="005037D6" w:rsidP="008D292E">
      <w:pPr>
        <w:pStyle w:val="Heading2"/>
        <w:tabs>
          <w:tab w:val="left" w:pos="567"/>
        </w:tabs>
      </w:pPr>
      <w:bookmarkStart w:id="52" w:name="_Toc215417836"/>
      <w:bookmarkStart w:id="53" w:name="_Toc217022550"/>
      <w:bookmarkEnd w:id="52"/>
      <w:r>
        <w:t>Hand hygiene</w:t>
      </w:r>
      <w:bookmarkEnd w:id="53"/>
    </w:p>
    <w:p w14:paraId="577E8E87" w14:textId="66C6B690" w:rsidR="005037D6" w:rsidRDefault="005037D6" w:rsidP="008D292E">
      <w:pPr>
        <w:pStyle w:val="Body"/>
        <w:tabs>
          <w:tab w:val="left" w:pos="567"/>
        </w:tabs>
      </w:pPr>
      <w:r>
        <w:t xml:space="preserve">Adequate hand hygiene is </w:t>
      </w:r>
      <w:proofErr w:type="gramStart"/>
      <w:r>
        <w:t>required at all times</w:t>
      </w:r>
      <w:proofErr w:type="gramEnd"/>
      <w:r w:rsidR="001871A6">
        <w:t>,</w:t>
      </w:r>
      <w:r>
        <w:t xml:space="preserve"> including before, during and after the removal of PPE in the care of patients with VHF.</w:t>
      </w:r>
    </w:p>
    <w:p w14:paraId="2D2EADE1" w14:textId="67543CCA" w:rsidR="005037D6" w:rsidRDefault="005037D6" w:rsidP="008D292E">
      <w:pPr>
        <w:pStyle w:val="Body"/>
        <w:tabs>
          <w:tab w:val="left" w:pos="567"/>
        </w:tabs>
      </w:pPr>
      <w:r>
        <w:t xml:space="preserve">CDC </w:t>
      </w:r>
      <w:r w:rsidR="00CD23D6">
        <w:t>and World Health Organisation</w:t>
      </w:r>
      <w:r w:rsidR="00CD23D6">
        <w:rPr>
          <w:rStyle w:val="FootnoteReference"/>
        </w:rPr>
        <w:footnoteReference w:id="18"/>
      </w:r>
      <w:r>
        <w:t xml:space="preserve"> guidance recommends the use of an alcohol-based hand rub (ABHR) on gloves when caring for VHF patients and when taking off PPE. This has been advised in the case of VHF to reduce the viral burden on gloves</w:t>
      </w:r>
      <w:r w:rsidR="001871A6">
        <w:t>,</w:t>
      </w:r>
      <w:r>
        <w:t xml:space="preserve"> to further reduce the likelihood of self-contamination when doffing </w:t>
      </w:r>
      <w:proofErr w:type="gramStart"/>
      <w:r>
        <w:t>PPE</w:t>
      </w:r>
      <w:r w:rsidR="001871A6">
        <w:t>,</w:t>
      </w:r>
      <w:r>
        <w:t xml:space="preserve"> and</w:t>
      </w:r>
      <w:proofErr w:type="gramEnd"/>
      <w:r>
        <w:t xml:space="preserve"> is especially relevant after handling body fluids.</w:t>
      </w:r>
    </w:p>
    <w:p w14:paraId="3FD665AF" w14:textId="77777777" w:rsidR="001871A6" w:rsidRDefault="001871A6" w:rsidP="008D292E">
      <w:pPr>
        <w:pStyle w:val="Body"/>
        <w:tabs>
          <w:tab w:val="left" w:pos="567"/>
        </w:tabs>
      </w:pPr>
      <w:r>
        <w:t>Should the choice be made that ABHR is not to be used directly on gloves, hand hygiene practices must still ensure safety for the patient, particularly prior to a procedure, as well as for the HCW.</w:t>
      </w:r>
    </w:p>
    <w:p w14:paraId="1F07B86D" w14:textId="63BCABE1" w:rsidR="001871A6" w:rsidRPr="003824AC" w:rsidRDefault="001871A6" w:rsidP="008D292E">
      <w:pPr>
        <w:pStyle w:val="Body"/>
        <w:tabs>
          <w:tab w:val="left" w:pos="567"/>
        </w:tabs>
      </w:pPr>
      <w:r>
        <w:lastRenderedPageBreak/>
        <w:t xml:space="preserve">Double gloving is recommended as it provides an outer layer that allows for the removal of a heavily soiled glove during patient care and during the PPE removal sequence. Additional layers (that is, beyond double gloving), </w:t>
      </w:r>
      <w:r w:rsidR="00B245E9">
        <w:t>are</w:t>
      </w:r>
      <w:r>
        <w:t xml:space="preserve"> not recommended as </w:t>
      </w:r>
      <w:r w:rsidR="00B245E9">
        <w:t>they</w:t>
      </w:r>
      <w:r>
        <w:t xml:space="preserve"> may make the HCW less dextrous and undertaking tasks more difficult.</w:t>
      </w:r>
    </w:p>
    <w:p w14:paraId="72D16C99" w14:textId="63FC550E" w:rsidR="005037D6" w:rsidRDefault="001871A6" w:rsidP="008D292E">
      <w:pPr>
        <w:pStyle w:val="Body"/>
        <w:tabs>
          <w:tab w:val="left" w:pos="567"/>
        </w:tabs>
      </w:pPr>
      <w:r>
        <w:t>More</w:t>
      </w:r>
      <w:r w:rsidR="005037D6">
        <w:t xml:space="preserve"> information about </w:t>
      </w:r>
      <w:r>
        <w:t xml:space="preserve">the </w:t>
      </w:r>
      <w:r w:rsidR="005037D6">
        <w:t>use of ABHR on gloves can be found at:</w:t>
      </w:r>
    </w:p>
    <w:p w14:paraId="67401DF2" w14:textId="6257DE0A" w:rsidR="005037D6" w:rsidRDefault="005037D6" w:rsidP="008D292E">
      <w:pPr>
        <w:pStyle w:val="Bullet1"/>
        <w:tabs>
          <w:tab w:val="left" w:pos="567"/>
        </w:tabs>
      </w:pPr>
      <w:hyperlink r:id="rId55" w:anchor="cdc_generic_section_7-gloves" w:history="1">
        <w:r w:rsidRPr="00E7309F">
          <w:rPr>
            <w:rStyle w:val="Hyperlink"/>
          </w:rPr>
          <w:t>CDC</w:t>
        </w:r>
        <w:r w:rsidR="001871A6">
          <w:rPr>
            <w:rStyle w:val="Hyperlink"/>
          </w:rPr>
          <w:t>:</w:t>
        </w:r>
        <w:r w:rsidRPr="00E7309F">
          <w:rPr>
            <w:rStyle w:val="Hyperlink"/>
          </w:rPr>
          <w:t xml:space="preserve"> Viral Hemorrhagic Fevers: PPE FAQs</w:t>
        </w:r>
      </w:hyperlink>
      <w:r>
        <w:t xml:space="preserve"> &lt;</w:t>
      </w:r>
      <w:r w:rsidRPr="00E7309F">
        <w:t>https://www.cdc.gov/viral-hemorrhagic-fevers/hcp/guidance/ppe-faqs.html#cdc_generic_section_7-gloves</w:t>
      </w:r>
      <w:r>
        <w:t>&gt;</w:t>
      </w:r>
    </w:p>
    <w:p w14:paraId="21C9AA34" w14:textId="5FEE0B4F" w:rsidR="005037D6" w:rsidRDefault="005037D6" w:rsidP="008D292E">
      <w:pPr>
        <w:pStyle w:val="Bullet1"/>
        <w:tabs>
          <w:tab w:val="left" w:pos="567"/>
        </w:tabs>
      </w:pPr>
      <w:hyperlink r:id="rId56" w:history="1">
        <w:r w:rsidRPr="00C253AB">
          <w:rPr>
            <w:rStyle w:val="Hyperlink"/>
          </w:rPr>
          <w:t>Hand Hygiene Australia</w:t>
        </w:r>
        <w:r w:rsidR="001871A6">
          <w:rPr>
            <w:rStyle w:val="Hyperlink"/>
          </w:rPr>
          <w:t>:</w:t>
        </w:r>
        <w:r w:rsidRPr="00C253AB">
          <w:rPr>
            <w:rStyle w:val="Hyperlink"/>
          </w:rPr>
          <w:t xml:space="preserve"> </w:t>
        </w:r>
        <w:r w:rsidR="001871A6" w:rsidRPr="001871A6">
          <w:rPr>
            <w:rStyle w:val="Hyperlink"/>
          </w:rPr>
          <w:t xml:space="preserve">Ebola Virus Disease </w:t>
        </w:r>
        <w:r w:rsidR="001871A6">
          <w:rPr>
            <w:rStyle w:val="Hyperlink"/>
          </w:rPr>
          <w:t>and</w:t>
        </w:r>
        <w:r w:rsidR="001871A6" w:rsidRPr="001871A6">
          <w:rPr>
            <w:rStyle w:val="Hyperlink"/>
          </w:rPr>
          <w:t xml:space="preserve"> Disinfection Of Gloved Hands</w:t>
        </w:r>
      </w:hyperlink>
      <w:r>
        <w:t xml:space="preserve"> &lt;</w:t>
      </w:r>
      <w:r w:rsidRPr="00C253AB">
        <w:t>https://hha.org.au/resources/statements/ebola</w:t>
      </w:r>
      <w:r>
        <w:t>&gt;.</w:t>
      </w:r>
    </w:p>
    <w:p w14:paraId="1E2DAEB3" w14:textId="77777777" w:rsidR="005037D6" w:rsidRDefault="005037D6" w:rsidP="008D292E">
      <w:pPr>
        <w:pStyle w:val="Heading2"/>
        <w:tabs>
          <w:tab w:val="left" w:pos="567"/>
        </w:tabs>
      </w:pPr>
      <w:bookmarkStart w:id="54" w:name="_Toc215417839"/>
      <w:bookmarkStart w:id="55" w:name="_Patient_transport"/>
      <w:bookmarkStart w:id="56" w:name="_Toc217022551"/>
      <w:bookmarkEnd w:id="54"/>
      <w:bookmarkEnd w:id="55"/>
      <w:r>
        <w:t>Patient transport</w:t>
      </w:r>
      <w:bookmarkEnd w:id="56"/>
    </w:p>
    <w:p w14:paraId="5F802889" w14:textId="319F669E" w:rsidR="00D40006" w:rsidRPr="00D40006" w:rsidRDefault="00D40006" w:rsidP="008D292E">
      <w:pPr>
        <w:pStyle w:val="Body"/>
        <w:tabs>
          <w:tab w:val="left" w:pos="567"/>
        </w:tabs>
      </w:pPr>
      <w:r>
        <w:t xml:space="preserve">When transporting a patient with </w:t>
      </w:r>
      <w:r w:rsidRPr="00D40006">
        <w:t>suspected or confirmed VHF</w:t>
      </w:r>
      <w:r>
        <w:t>, remember:</w:t>
      </w:r>
    </w:p>
    <w:p w14:paraId="5993CC3D" w14:textId="735D361D" w:rsidR="005037D6" w:rsidRPr="006D6037" w:rsidRDefault="005037D6" w:rsidP="008D292E">
      <w:pPr>
        <w:pStyle w:val="Bullet1"/>
        <w:tabs>
          <w:tab w:val="num" w:pos="397"/>
          <w:tab w:val="left" w:pos="567"/>
        </w:tabs>
        <w:ind w:left="397" w:hanging="397"/>
      </w:pPr>
      <w:r>
        <w:t>Transfers of patients should be limited to essential moves only.</w:t>
      </w:r>
    </w:p>
    <w:p w14:paraId="160F1761" w14:textId="77777777" w:rsidR="005037D6" w:rsidRPr="00D40006" w:rsidRDefault="005037D6" w:rsidP="008D292E">
      <w:pPr>
        <w:pStyle w:val="Bullet1"/>
        <w:tabs>
          <w:tab w:val="num" w:pos="397"/>
          <w:tab w:val="left" w:pos="567"/>
        </w:tabs>
        <w:ind w:left="397" w:hanging="397"/>
      </w:pPr>
      <w:r w:rsidRPr="00D40006">
        <w:t>Identify the most direct path that will encounter the least number of people.</w:t>
      </w:r>
    </w:p>
    <w:p w14:paraId="5C00A832" w14:textId="59F1DA43" w:rsidR="005037D6" w:rsidRPr="00D40006" w:rsidRDefault="00D40006" w:rsidP="008D292E">
      <w:pPr>
        <w:pStyle w:val="Bullet1"/>
        <w:tabs>
          <w:tab w:val="num" w:pos="397"/>
          <w:tab w:val="left" w:pos="567"/>
        </w:tabs>
        <w:ind w:left="397" w:hanging="397"/>
      </w:pPr>
      <w:r>
        <w:t>A</w:t>
      </w:r>
      <w:r w:rsidR="005037D6" w:rsidRPr="00D40006">
        <w:t>ll staff involved in the transport must wear the appropriate level of PPE (1 or 2)</w:t>
      </w:r>
      <w:r>
        <w:t>,</w:t>
      </w:r>
      <w:r w:rsidR="005037D6" w:rsidRPr="00D40006">
        <w:t xml:space="preserve"> according to the clinical situation and setting (see </w:t>
      </w:r>
      <w:hyperlink w:anchor="_Risk_assessment_–" w:history="1">
        <w:r w:rsidR="005037D6" w:rsidRPr="00694A91">
          <w:rPr>
            <w:rStyle w:val="Hyperlink"/>
            <w:color w:val="auto"/>
            <w:u w:val="none"/>
          </w:rPr>
          <w:t>Selection of PPE</w:t>
        </w:r>
      </w:hyperlink>
      <w:r w:rsidR="005037D6" w:rsidRPr="00D40006">
        <w:t>) and their role during transportation.</w:t>
      </w:r>
    </w:p>
    <w:p w14:paraId="20417CB4" w14:textId="77777777" w:rsidR="005037D6" w:rsidRPr="00D40006" w:rsidRDefault="005037D6" w:rsidP="008D292E">
      <w:pPr>
        <w:pStyle w:val="Bullet1"/>
        <w:tabs>
          <w:tab w:val="num" w:pos="397"/>
          <w:tab w:val="left" w:pos="567"/>
        </w:tabs>
        <w:ind w:left="397" w:hanging="397"/>
      </w:pPr>
      <w:r w:rsidRPr="00D40006">
        <w:t xml:space="preserve">Consider using a transport hood (for example, the </w:t>
      </w:r>
      <w:proofErr w:type="spellStart"/>
      <w:r w:rsidRPr="00D40006">
        <w:t>Medihood</w:t>
      </w:r>
      <w:proofErr w:type="spellEnd"/>
      <w:r w:rsidRPr="00D40006">
        <w:t xml:space="preserve"> personal ventilation hood</w:t>
      </w:r>
      <w:r w:rsidRPr="00694A91">
        <w:rPr>
          <w:rStyle w:val="FootnoteReference"/>
          <w:vertAlign w:val="baseline"/>
        </w:rPr>
        <w:footnoteReference w:id="19"/>
      </w:r>
      <w:r w:rsidRPr="00D40006">
        <w:t>) on the patient where available. Where transport hoods are not available, the patient should wear a face mask if tolerated.</w:t>
      </w:r>
    </w:p>
    <w:p w14:paraId="0B59C682" w14:textId="77777777" w:rsidR="005037D6" w:rsidRPr="00D40006" w:rsidRDefault="005037D6" w:rsidP="008D292E">
      <w:pPr>
        <w:pStyle w:val="Bullet1"/>
        <w:tabs>
          <w:tab w:val="num" w:pos="397"/>
          <w:tab w:val="left" w:pos="567"/>
        </w:tabs>
        <w:ind w:left="397" w:hanging="397"/>
      </w:pPr>
      <w:r w:rsidRPr="00D40006">
        <w:t>A spill kit, with a solidifying product and vomit bag should accompany the patient.</w:t>
      </w:r>
    </w:p>
    <w:p w14:paraId="0E2116C9" w14:textId="77777777" w:rsidR="005037D6" w:rsidRPr="00D40006" w:rsidRDefault="005037D6" w:rsidP="008D292E">
      <w:pPr>
        <w:pStyle w:val="Bullet1"/>
        <w:tabs>
          <w:tab w:val="num" w:pos="397"/>
          <w:tab w:val="left" w:pos="567"/>
        </w:tabs>
        <w:ind w:left="397" w:hanging="397"/>
      </w:pPr>
      <w:r w:rsidRPr="00D40006">
        <w:t>Before leaving the room:</w:t>
      </w:r>
    </w:p>
    <w:p w14:paraId="2673E148" w14:textId="77777777" w:rsidR="005037D6" w:rsidRPr="00D40006" w:rsidRDefault="005037D6" w:rsidP="008D292E">
      <w:pPr>
        <w:pStyle w:val="Bullet2"/>
        <w:tabs>
          <w:tab w:val="left" w:pos="567"/>
          <w:tab w:val="num" w:pos="794"/>
        </w:tabs>
        <w:ind w:left="794" w:hanging="397"/>
      </w:pPr>
      <w:r w:rsidRPr="00D40006">
        <w:t>notify the receiving team to ensure they are ready to receive the patient</w:t>
      </w:r>
    </w:p>
    <w:p w14:paraId="46964CD7" w14:textId="77777777" w:rsidR="005037D6" w:rsidRPr="00D40006" w:rsidRDefault="005037D6" w:rsidP="008D292E">
      <w:pPr>
        <w:pStyle w:val="Bullet2"/>
        <w:tabs>
          <w:tab w:val="left" w:pos="567"/>
          <w:tab w:val="num" w:pos="794"/>
        </w:tabs>
        <w:ind w:left="794" w:hanging="397"/>
      </w:pPr>
      <w:r w:rsidRPr="00D40006">
        <w:t>confirm staff involved in the transport are aware of the route</w:t>
      </w:r>
    </w:p>
    <w:p w14:paraId="0F0EAB1A" w14:textId="77777777" w:rsidR="005037D6" w:rsidRPr="00D40006" w:rsidRDefault="005037D6" w:rsidP="008D292E">
      <w:pPr>
        <w:pStyle w:val="Bullet2"/>
        <w:tabs>
          <w:tab w:val="left" w:pos="567"/>
          <w:tab w:val="num" w:pos="794"/>
        </w:tabs>
        <w:ind w:left="794" w:hanging="397"/>
      </w:pPr>
      <w:r w:rsidRPr="00D40006">
        <w:t>lock down hallways and call for elevators that will be accessed</w:t>
      </w:r>
    </w:p>
    <w:p w14:paraId="40C6B380" w14:textId="77777777" w:rsidR="005037D6" w:rsidRPr="00D40006" w:rsidRDefault="005037D6" w:rsidP="008D292E">
      <w:pPr>
        <w:pStyle w:val="Bullet2"/>
        <w:tabs>
          <w:tab w:val="left" w:pos="567"/>
          <w:tab w:val="num" w:pos="794"/>
        </w:tabs>
        <w:ind w:left="794" w:hanging="397"/>
      </w:pPr>
      <w:r w:rsidRPr="00D40006">
        <w:t>allocate staff to clear traffic from designated pathway.</w:t>
      </w:r>
    </w:p>
    <w:p w14:paraId="21E1120A" w14:textId="77777777" w:rsidR="005037D6" w:rsidRDefault="005037D6" w:rsidP="008D292E">
      <w:pPr>
        <w:pStyle w:val="Heading2"/>
        <w:tabs>
          <w:tab w:val="left" w:pos="567"/>
        </w:tabs>
      </w:pPr>
      <w:bookmarkStart w:id="57" w:name="_Toc217022552"/>
      <w:r>
        <w:t>Management of human waste</w:t>
      </w:r>
      <w:bookmarkEnd w:id="57"/>
    </w:p>
    <w:p w14:paraId="1DA058DA" w14:textId="2BF166BD" w:rsidR="00D40006" w:rsidRPr="00D40006" w:rsidRDefault="00D40006" w:rsidP="008D292E">
      <w:pPr>
        <w:pStyle w:val="Body"/>
        <w:tabs>
          <w:tab w:val="left" w:pos="567"/>
        </w:tabs>
      </w:pPr>
      <w:r>
        <w:t>When managing human waste, remember:</w:t>
      </w:r>
    </w:p>
    <w:p w14:paraId="527DC99F" w14:textId="77777777" w:rsidR="005037D6" w:rsidRPr="00D40006" w:rsidRDefault="005037D6" w:rsidP="008D292E">
      <w:pPr>
        <w:pStyle w:val="Bullet1"/>
        <w:tabs>
          <w:tab w:val="num" w:pos="397"/>
          <w:tab w:val="left" w:pos="567"/>
        </w:tabs>
        <w:ind w:left="397" w:hanging="397"/>
      </w:pPr>
      <w:r w:rsidRPr="00D40006">
        <w:t>All human waste is potentially infectious.</w:t>
      </w:r>
    </w:p>
    <w:p w14:paraId="3EACB73F" w14:textId="027B1C97" w:rsidR="005037D6" w:rsidRPr="00D40006" w:rsidRDefault="005037D6" w:rsidP="008D292E">
      <w:pPr>
        <w:pStyle w:val="Bullet1"/>
        <w:tabs>
          <w:tab w:val="num" w:pos="397"/>
          <w:tab w:val="left" w:pos="567"/>
        </w:tabs>
        <w:ind w:left="397" w:hanging="397"/>
      </w:pPr>
      <w:r w:rsidRPr="00D40006">
        <w:t xml:space="preserve">Although it is likely safe for human waste from patients with a VHF to be disposed </w:t>
      </w:r>
      <w:r w:rsidR="00B245E9">
        <w:t xml:space="preserve">of </w:t>
      </w:r>
      <w:r w:rsidRPr="00D40006">
        <w:t xml:space="preserve">via the sewage system, it is recommended that all excreta be disposed of as </w:t>
      </w:r>
      <w:r w:rsidRPr="00B15CD3">
        <w:t>clinical waste</w:t>
      </w:r>
      <w:r w:rsidRPr="00D40006">
        <w:t>.</w:t>
      </w:r>
    </w:p>
    <w:p w14:paraId="02FEC79A" w14:textId="75EF3E5B" w:rsidR="005037D6" w:rsidRPr="00D40006" w:rsidRDefault="00D40006" w:rsidP="008D292E">
      <w:pPr>
        <w:pStyle w:val="Bullet1"/>
        <w:tabs>
          <w:tab w:val="num" w:pos="397"/>
          <w:tab w:val="left" w:pos="567"/>
        </w:tabs>
        <w:ind w:left="397" w:hanging="397"/>
      </w:pPr>
      <w:r>
        <w:t>A</w:t>
      </w:r>
      <w:r w:rsidR="005037D6" w:rsidRPr="00D40006">
        <w:t xml:space="preserve">ll staff involved in the handling or disposal of human waste must wear the appropriate level of PPE (1 or 2) following a risk assessment (see </w:t>
      </w:r>
      <w:hyperlink w:anchor="_Selection_of_PPE" w:history="1">
        <w:r w:rsidRPr="00B15CD3">
          <w:rPr>
            <w:rStyle w:val="Hyperlink"/>
            <w:color w:val="auto"/>
            <w:u w:val="none"/>
          </w:rPr>
          <w:t>se</w:t>
        </w:r>
        <w:r w:rsidR="005037D6" w:rsidRPr="00B15CD3">
          <w:rPr>
            <w:rStyle w:val="Hyperlink"/>
            <w:color w:val="auto"/>
            <w:u w:val="none"/>
          </w:rPr>
          <w:t xml:space="preserve">ction </w:t>
        </w:r>
        <w:r w:rsidRPr="00B15CD3">
          <w:rPr>
            <w:rStyle w:val="Hyperlink"/>
            <w:color w:val="auto"/>
            <w:u w:val="none"/>
          </w:rPr>
          <w:t>5.4.2</w:t>
        </w:r>
      </w:hyperlink>
      <w:r w:rsidR="005037D6" w:rsidRPr="00D40006">
        <w:t>).</w:t>
      </w:r>
    </w:p>
    <w:p w14:paraId="033C1F03" w14:textId="75DC1F5C" w:rsidR="005037D6" w:rsidRDefault="005037D6" w:rsidP="008D292E">
      <w:pPr>
        <w:pStyle w:val="Heading3"/>
      </w:pPr>
      <w:r w:rsidRPr="00D341DB">
        <w:t>Bedpans</w:t>
      </w:r>
      <w:r w:rsidR="00D40006">
        <w:t xml:space="preserve">, </w:t>
      </w:r>
      <w:r>
        <w:t>urinals</w:t>
      </w:r>
      <w:r w:rsidR="00D40006">
        <w:t xml:space="preserve"> and </w:t>
      </w:r>
      <w:r>
        <w:t>commode</w:t>
      </w:r>
      <w:r w:rsidR="00D40006">
        <w:t>s</w:t>
      </w:r>
    </w:p>
    <w:p w14:paraId="347E752F" w14:textId="1662BA94" w:rsidR="005037D6" w:rsidRDefault="005037D6" w:rsidP="008D292E">
      <w:pPr>
        <w:pStyle w:val="Body"/>
        <w:tabs>
          <w:tab w:val="left" w:pos="567"/>
        </w:tabs>
      </w:pPr>
      <w:r w:rsidRPr="7B3F0F99">
        <w:rPr>
          <w:b/>
        </w:rPr>
        <w:t>Single</w:t>
      </w:r>
      <w:r w:rsidR="00B245E9">
        <w:rPr>
          <w:b/>
        </w:rPr>
        <w:t>-</w:t>
      </w:r>
      <w:r w:rsidRPr="7B3F0F99">
        <w:rPr>
          <w:b/>
        </w:rPr>
        <w:t>use bedpans</w:t>
      </w:r>
      <w:r w:rsidR="00B245E9">
        <w:rPr>
          <w:b/>
        </w:rPr>
        <w:t xml:space="preserve"> and </w:t>
      </w:r>
      <w:r w:rsidRPr="7B3F0F99">
        <w:rPr>
          <w:b/>
        </w:rPr>
        <w:t xml:space="preserve">urinals </w:t>
      </w:r>
      <w:r w:rsidRPr="00231F34">
        <w:rPr>
          <w:b/>
          <w:bCs/>
        </w:rPr>
        <w:t>are highly recommended</w:t>
      </w:r>
      <w:r>
        <w:t>. If reusable bedpans</w:t>
      </w:r>
      <w:r w:rsidR="00D40006">
        <w:t xml:space="preserve"> or </w:t>
      </w:r>
      <w:r>
        <w:t>urinals are all that is available, these must be discarded after use.</w:t>
      </w:r>
    </w:p>
    <w:p w14:paraId="7262544C" w14:textId="649C86DF" w:rsidR="005037D6" w:rsidRDefault="00D40006" w:rsidP="008D292E">
      <w:pPr>
        <w:pStyle w:val="Body"/>
        <w:tabs>
          <w:tab w:val="left" w:pos="567"/>
        </w:tabs>
      </w:pPr>
      <w:r>
        <w:t>The m</w:t>
      </w:r>
      <w:r w:rsidR="005037D6">
        <w:t>ethod for disposal of excreta as clinical waste is as follows:</w:t>
      </w:r>
    </w:p>
    <w:p w14:paraId="4148E411" w14:textId="77777777" w:rsidR="005037D6" w:rsidRDefault="005037D6" w:rsidP="008D292E">
      <w:pPr>
        <w:pStyle w:val="Numberdigitindent"/>
        <w:numPr>
          <w:ilvl w:val="1"/>
          <w:numId w:val="3"/>
        </w:numPr>
        <w:tabs>
          <w:tab w:val="clear" w:pos="794"/>
          <w:tab w:val="num" w:pos="284"/>
          <w:tab w:val="left" w:pos="567"/>
        </w:tabs>
        <w:ind w:left="284" w:hanging="284"/>
      </w:pPr>
      <w:r>
        <w:lastRenderedPageBreak/>
        <w:t>Solidify waste using high-absorbency granules or gel. If this is not available, place an incontinence pad in the receptacle to prevent leakage.</w:t>
      </w:r>
    </w:p>
    <w:p w14:paraId="24622EC7" w14:textId="63EF014F" w:rsidR="005037D6" w:rsidRDefault="005037D6" w:rsidP="008D292E">
      <w:pPr>
        <w:pStyle w:val="Numberdigitindent"/>
        <w:numPr>
          <w:ilvl w:val="1"/>
          <w:numId w:val="43"/>
        </w:numPr>
        <w:tabs>
          <w:tab w:val="clear" w:pos="794"/>
          <w:tab w:val="num" w:pos="284"/>
          <w:tab w:val="left" w:pos="567"/>
        </w:tabs>
        <w:ind w:left="284" w:hanging="284"/>
      </w:pPr>
      <w:r>
        <w:t>Place the bedpan</w:t>
      </w:r>
      <w:r w:rsidR="00D40006">
        <w:t xml:space="preserve"> or </w:t>
      </w:r>
      <w:r>
        <w:t>urinal, and contents, into a clinical waste bag and secure.</w:t>
      </w:r>
    </w:p>
    <w:p w14:paraId="65A95086" w14:textId="77777777" w:rsidR="005037D6" w:rsidRDefault="005037D6" w:rsidP="008D292E">
      <w:pPr>
        <w:pStyle w:val="Numberdigitindent"/>
        <w:numPr>
          <w:ilvl w:val="1"/>
          <w:numId w:val="43"/>
        </w:numPr>
        <w:tabs>
          <w:tab w:val="clear" w:pos="794"/>
          <w:tab w:val="num" w:pos="284"/>
          <w:tab w:val="left" w:pos="567"/>
        </w:tabs>
        <w:ind w:left="284" w:hanging="284"/>
      </w:pPr>
      <w:r>
        <w:t>Consider double-bagging human waste disposed of via this method. Remove outer gloves, perform hand hygiene and reapply a second pair of gloves.</w:t>
      </w:r>
    </w:p>
    <w:p w14:paraId="2B83026B" w14:textId="77777777" w:rsidR="005037D6" w:rsidRDefault="005037D6" w:rsidP="008D292E">
      <w:pPr>
        <w:pStyle w:val="Heading3"/>
      </w:pPr>
      <w:bookmarkStart w:id="58" w:name="_Hlk215395261"/>
      <w:r w:rsidRPr="00D341DB">
        <w:t>Nappies</w:t>
      </w:r>
      <w:r w:rsidRPr="262D8F3A">
        <w:t xml:space="preserve"> and incontinence pads</w:t>
      </w:r>
    </w:p>
    <w:bookmarkEnd w:id="58"/>
    <w:p w14:paraId="7468518E" w14:textId="5E6879CC" w:rsidR="00D40006" w:rsidRPr="00D40006" w:rsidRDefault="00D40006" w:rsidP="008D292E">
      <w:pPr>
        <w:pStyle w:val="Body"/>
        <w:tabs>
          <w:tab w:val="left" w:pos="567"/>
        </w:tabs>
      </w:pPr>
      <w:r>
        <w:t>For n</w:t>
      </w:r>
      <w:r w:rsidRPr="00D40006">
        <w:t>appies and incontinence pads</w:t>
      </w:r>
      <w:r>
        <w:t>:</w:t>
      </w:r>
    </w:p>
    <w:p w14:paraId="5C007F43" w14:textId="374CBD73" w:rsidR="005037D6" w:rsidRPr="00D40006" w:rsidRDefault="00D40006" w:rsidP="008D292E">
      <w:pPr>
        <w:pStyle w:val="Bullet1"/>
        <w:tabs>
          <w:tab w:val="num" w:pos="397"/>
          <w:tab w:val="left" w:pos="567"/>
        </w:tabs>
        <w:ind w:left="397" w:hanging="397"/>
      </w:pPr>
      <w:r>
        <w:t>p</w:t>
      </w:r>
      <w:r w:rsidR="005037D6" w:rsidRPr="00D40006">
        <w:t>lace used items into a clinical waste bag and secure. Consider double-bagging human waste disposed of via this method.</w:t>
      </w:r>
    </w:p>
    <w:p w14:paraId="1A1F169E" w14:textId="160CAE82" w:rsidR="005037D6" w:rsidRPr="00D40006" w:rsidRDefault="00D40006" w:rsidP="008D292E">
      <w:pPr>
        <w:pStyle w:val="Bullet1"/>
        <w:tabs>
          <w:tab w:val="num" w:pos="397"/>
          <w:tab w:val="left" w:pos="567"/>
        </w:tabs>
        <w:ind w:left="397" w:hanging="397"/>
      </w:pPr>
      <w:r>
        <w:t>r</w:t>
      </w:r>
      <w:r w:rsidR="005037D6" w:rsidRPr="00D40006">
        <w:t>emove outer gloves, perform hand hygiene and reapply a second pair of gloves.</w:t>
      </w:r>
    </w:p>
    <w:p w14:paraId="35B366BE" w14:textId="77777777" w:rsidR="005037D6" w:rsidRDefault="005037D6" w:rsidP="008D292E">
      <w:pPr>
        <w:pStyle w:val="Heading2"/>
        <w:tabs>
          <w:tab w:val="left" w:pos="567"/>
        </w:tabs>
      </w:pPr>
      <w:bookmarkStart w:id="59" w:name="_Environmental_cleaning"/>
      <w:bookmarkStart w:id="60" w:name="_Toc217022553"/>
      <w:bookmarkEnd w:id="59"/>
      <w:r>
        <w:t>Environmental cleaning</w:t>
      </w:r>
      <w:bookmarkEnd w:id="60"/>
    </w:p>
    <w:p w14:paraId="3E795B78" w14:textId="77777777" w:rsidR="005037D6" w:rsidRDefault="005037D6" w:rsidP="008D292E">
      <w:pPr>
        <w:pStyle w:val="Body"/>
        <w:tabs>
          <w:tab w:val="left" w:pos="567"/>
        </w:tabs>
      </w:pPr>
      <w:r w:rsidRPr="208A9FFF">
        <w:t>Transmission of VHF is primarily from direct contact with body fluids of an infected person. While the environment may become contaminated, spot cleaning of body fluid spills at the time of contamination minimises the risk of transmission.</w:t>
      </w:r>
    </w:p>
    <w:p w14:paraId="50B6D945" w14:textId="3EE297F0" w:rsidR="005037D6" w:rsidRDefault="005037D6" w:rsidP="008D292E">
      <w:pPr>
        <w:pStyle w:val="Body"/>
        <w:tabs>
          <w:tab w:val="left" w:pos="567"/>
        </w:tabs>
      </w:pPr>
      <w:r>
        <w:t>Limit room entry to essential staff only. Routine and spot cleaning in the patient</w:t>
      </w:r>
      <w:r w:rsidR="00045EA2">
        <w:t>’s</w:t>
      </w:r>
      <w:r>
        <w:t xml:space="preserve"> room should be undertaken by staff caring for the patient.</w:t>
      </w:r>
    </w:p>
    <w:p w14:paraId="11B9FB45" w14:textId="77777777" w:rsidR="005037D6" w:rsidRDefault="005037D6" w:rsidP="008D292E">
      <w:pPr>
        <w:pStyle w:val="Heading3"/>
      </w:pPr>
      <w:r w:rsidRPr="00D341DB">
        <w:t>PPE</w:t>
      </w:r>
    </w:p>
    <w:p w14:paraId="26E93952" w14:textId="7F8F80DF" w:rsidR="005037D6" w:rsidRDefault="005037D6" w:rsidP="008D292E">
      <w:pPr>
        <w:pStyle w:val="Body"/>
        <w:tabs>
          <w:tab w:val="left" w:pos="567"/>
        </w:tabs>
      </w:pPr>
      <w:r>
        <w:t xml:space="preserve">All staff involved in the cleaning and disinfection of the patient room or communal equipment must wear the appropriate </w:t>
      </w:r>
      <w:r w:rsidR="00D53F0C" w:rsidRPr="00231F34">
        <w:t xml:space="preserve">Level 1 or </w:t>
      </w:r>
      <w:r w:rsidR="00D53F0C">
        <w:t xml:space="preserve">Level </w:t>
      </w:r>
      <w:r w:rsidR="00D53F0C" w:rsidRPr="00231F34">
        <w:t>2 of PPE</w:t>
      </w:r>
      <w:r w:rsidR="00D53F0C">
        <w:t>,</w:t>
      </w:r>
      <w:r>
        <w:t xml:space="preserve"> according to the relevant area or room they are cleaning.</w:t>
      </w:r>
    </w:p>
    <w:p w14:paraId="5C48BB8E" w14:textId="77777777" w:rsidR="005037D6" w:rsidRDefault="005037D6" w:rsidP="008D292E">
      <w:pPr>
        <w:pStyle w:val="Heading3"/>
      </w:pPr>
      <w:r w:rsidRPr="00D341DB">
        <w:t>Disinfectants</w:t>
      </w:r>
    </w:p>
    <w:p w14:paraId="6D501C56" w14:textId="7336289C" w:rsidR="005037D6" w:rsidRDefault="005037D6" w:rsidP="008D292E">
      <w:pPr>
        <w:pStyle w:val="Body"/>
        <w:tabs>
          <w:tab w:val="left" w:pos="567"/>
        </w:tabs>
      </w:pPr>
      <w:r>
        <w:t>While sodium hypochlorite has been proven to be effective at inactivating VHF viruses, there are several disinfectant products commonly used in health</w:t>
      </w:r>
      <w:r w:rsidR="00D53F0C">
        <w:t xml:space="preserve"> </w:t>
      </w:r>
      <w:r>
        <w:t>care settings that are registered with the Therapeutic Goods Administration</w:t>
      </w:r>
      <w:r w:rsidR="00231F34">
        <w:t xml:space="preserve"> (TGA)</w:t>
      </w:r>
      <w:r>
        <w:t xml:space="preserve"> as being effective. This includes some </w:t>
      </w:r>
      <w:r w:rsidR="00D53F0C">
        <w:t>two</w:t>
      </w:r>
      <w:r>
        <w:t>-in-</w:t>
      </w:r>
      <w:r w:rsidR="00D53F0C">
        <w:t>one</w:t>
      </w:r>
      <w:r>
        <w:t xml:space="preserve"> detergent</w:t>
      </w:r>
      <w:r w:rsidR="00D53F0C">
        <w:t>/</w:t>
      </w:r>
      <w:r>
        <w:t>disinfectant wipes. Contact your cleaning supplier for information on products available at your site.</w:t>
      </w:r>
    </w:p>
    <w:p w14:paraId="355C02B5" w14:textId="77777777" w:rsidR="005037D6" w:rsidRDefault="005037D6" w:rsidP="008D292E">
      <w:pPr>
        <w:pStyle w:val="Body"/>
        <w:tabs>
          <w:tab w:val="left" w:pos="567"/>
        </w:tabs>
      </w:pPr>
      <w:r>
        <w:t>Any disinfectant product used must be used at the recommended strength for the appropriate amount of ‘kill’ time.</w:t>
      </w:r>
    </w:p>
    <w:p w14:paraId="25E0B026" w14:textId="26866FE9" w:rsidR="005037D6" w:rsidRDefault="005037D6" w:rsidP="008D292E">
      <w:pPr>
        <w:pStyle w:val="Body"/>
        <w:tabs>
          <w:tab w:val="left" w:pos="567"/>
        </w:tabs>
      </w:pPr>
      <w:r>
        <w:t>Chlorine-based disinfectants</w:t>
      </w:r>
      <w:r w:rsidR="00D53F0C">
        <w:t>,</w:t>
      </w:r>
      <w:r>
        <w:t xml:space="preserve"> such as sodium hypochlorite, are </w:t>
      </w:r>
      <w:proofErr w:type="gramStart"/>
      <w:r>
        <w:t>most commonly used</w:t>
      </w:r>
      <w:proofErr w:type="gramEnd"/>
      <w:r>
        <w:t xml:space="preserve"> for environmental disinfection for VHF. Where available, granule, powder or gel forms should be used for the initial management of spills to minimise the risk of </w:t>
      </w:r>
      <w:proofErr w:type="spellStart"/>
      <w:r>
        <w:t>aerosolisation</w:t>
      </w:r>
      <w:proofErr w:type="spellEnd"/>
      <w:r>
        <w:t>.</w:t>
      </w:r>
    </w:p>
    <w:p w14:paraId="37D265D7" w14:textId="77777777" w:rsidR="005037D6" w:rsidRDefault="005037D6" w:rsidP="008D292E">
      <w:pPr>
        <w:pStyle w:val="Bodyafterbullets"/>
        <w:tabs>
          <w:tab w:val="left" w:pos="567"/>
        </w:tabs>
      </w:pPr>
      <w:r>
        <w:t>Note: chlorine solutions lose potency quickly. As such, they should be made up in smaller quantities as required or, at a minimum, daily.</w:t>
      </w:r>
    </w:p>
    <w:p w14:paraId="1D99C040" w14:textId="77777777" w:rsidR="005037D6" w:rsidRDefault="005037D6" w:rsidP="008D292E">
      <w:pPr>
        <w:pStyle w:val="Heading3"/>
      </w:pPr>
      <w:r>
        <w:t>Routine and spot cleaning</w:t>
      </w:r>
    </w:p>
    <w:p w14:paraId="2E71143E" w14:textId="4639049D" w:rsidR="005037D6" w:rsidRDefault="005037D6" w:rsidP="008D292E">
      <w:pPr>
        <w:pStyle w:val="Body"/>
        <w:tabs>
          <w:tab w:val="left" w:pos="567"/>
        </w:tabs>
      </w:pPr>
      <w:r>
        <w:t xml:space="preserve">Routine environmental cleaning should be undertaken using either: </w:t>
      </w:r>
    </w:p>
    <w:p w14:paraId="432262D1" w14:textId="2001D418" w:rsidR="005037D6" w:rsidRDefault="00EA5C5C" w:rsidP="008D292E">
      <w:pPr>
        <w:pStyle w:val="Bullet1"/>
        <w:tabs>
          <w:tab w:val="left" w:pos="567"/>
        </w:tabs>
      </w:pPr>
      <w:r>
        <w:t xml:space="preserve">a </w:t>
      </w:r>
      <w:r w:rsidR="005037D6">
        <w:t>two-step detergent clean (physical clean with detergent followed by a chemical disinfectant)</w:t>
      </w:r>
    </w:p>
    <w:p w14:paraId="1935D308" w14:textId="15321D7B" w:rsidR="005037D6" w:rsidRDefault="005037D6" w:rsidP="008D292E">
      <w:pPr>
        <w:pStyle w:val="Bullet1"/>
        <w:tabs>
          <w:tab w:val="left" w:pos="567"/>
        </w:tabs>
      </w:pPr>
      <w:r>
        <w:lastRenderedPageBreak/>
        <w:t xml:space="preserve">combined </w:t>
      </w:r>
      <w:r w:rsidR="00D53F0C">
        <w:t>two</w:t>
      </w:r>
      <w:r>
        <w:t>-in-</w:t>
      </w:r>
      <w:r w:rsidR="00D53F0C">
        <w:t>one</w:t>
      </w:r>
      <w:r>
        <w:t xml:space="preserve"> detergent/disinfectant clean (physical clean using a combined detergent/disinfectant wipe/solution).</w:t>
      </w:r>
    </w:p>
    <w:p w14:paraId="26D2E6B4" w14:textId="31BC7A60" w:rsidR="00D53F0C" w:rsidRDefault="00D53F0C" w:rsidP="008D292E">
      <w:pPr>
        <w:pStyle w:val="Bodyafterbullets"/>
        <w:tabs>
          <w:tab w:val="left" w:pos="567"/>
        </w:tabs>
      </w:pPr>
      <w:r>
        <w:t>For routine and spot cleaning:</w:t>
      </w:r>
    </w:p>
    <w:p w14:paraId="40ED8AFC" w14:textId="5B6992FA" w:rsidR="005037D6" w:rsidRDefault="00D53F0C" w:rsidP="008D292E">
      <w:pPr>
        <w:pStyle w:val="Bullet1"/>
        <w:tabs>
          <w:tab w:val="num" w:pos="397"/>
          <w:tab w:val="left" w:pos="567"/>
        </w:tabs>
        <w:ind w:left="397" w:hanging="397"/>
      </w:pPr>
      <w:r>
        <w:t>r</w:t>
      </w:r>
      <w:r w:rsidR="005037D6" w:rsidRPr="004F5C5F">
        <w:t>egularly clean and disinfect surfaces in the patient care area, even in the absence of visible contamination</w:t>
      </w:r>
    </w:p>
    <w:p w14:paraId="73F9BE69" w14:textId="1DCEDF75" w:rsidR="005037D6" w:rsidRDefault="00D53F0C" w:rsidP="008D292E">
      <w:pPr>
        <w:pStyle w:val="Bullet1"/>
        <w:tabs>
          <w:tab w:val="left" w:pos="567"/>
        </w:tabs>
      </w:pPr>
      <w:r>
        <w:t>i</w:t>
      </w:r>
      <w:r w:rsidR="005037D6">
        <w:t>mmediately clean and disinfect any visible contamination of surfaces or equipment (spot cleaning)</w:t>
      </w:r>
    </w:p>
    <w:p w14:paraId="4F0AAC51" w14:textId="19A7D50A" w:rsidR="005037D6" w:rsidRDefault="00D53F0C" w:rsidP="008D292E">
      <w:pPr>
        <w:pStyle w:val="Bullet1"/>
        <w:tabs>
          <w:tab w:val="left" w:pos="567"/>
        </w:tabs>
      </w:pPr>
      <w:r>
        <w:t>c</w:t>
      </w:r>
      <w:r w:rsidR="005037D6">
        <w:t>lean and disinfect hard, nonporous surfaces daily, including frequently touched surfaces (for example, bed rails</w:t>
      </w:r>
      <w:r w:rsidR="00EA5C5C">
        <w:t xml:space="preserve"> and</w:t>
      </w:r>
      <w:r w:rsidR="005037D6">
        <w:t xml:space="preserve"> over</w:t>
      </w:r>
      <w:r w:rsidR="00EA5C5C">
        <w:t>-</w:t>
      </w:r>
      <w:r w:rsidR="005037D6">
        <w:t>bed tables), counters and floors</w:t>
      </w:r>
    </w:p>
    <w:p w14:paraId="67818819" w14:textId="11CCA8B4" w:rsidR="005037D6" w:rsidRDefault="00D53F0C" w:rsidP="008D292E">
      <w:pPr>
        <w:pStyle w:val="Bullet1"/>
        <w:tabs>
          <w:tab w:val="left" w:pos="567"/>
        </w:tabs>
      </w:pPr>
      <w:r>
        <w:t>u</w:t>
      </w:r>
      <w:r w:rsidR="005037D6">
        <w:t xml:space="preserve">se disposable cleaning cloths, mop cloths and </w:t>
      </w:r>
      <w:proofErr w:type="gramStart"/>
      <w:r w:rsidR="005037D6">
        <w:t>wipes</w:t>
      </w:r>
      <w:proofErr w:type="gramEnd"/>
      <w:r w:rsidR="005037D6">
        <w:t>, and dispose of these in leak</w:t>
      </w:r>
      <w:r w:rsidR="00B76002">
        <w:t>-proof</w:t>
      </w:r>
      <w:r w:rsidR="005037D6">
        <w:t xml:space="preserve"> bags. Use a rigid waste receptacle designed to support the bag to help minimise contamination of the bag’s exterior</w:t>
      </w:r>
    </w:p>
    <w:p w14:paraId="6F4F1DC4" w14:textId="4769E837" w:rsidR="005037D6" w:rsidRDefault="00D53F0C" w:rsidP="008D292E">
      <w:pPr>
        <w:pStyle w:val="Bullet1"/>
        <w:tabs>
          <w:tab w:val="num" w:pos="397"/>
          <w:tab w:val="left" w:pos="567"/>
        </w:tabs>
        <w:ind w:left="397" w:hanging="397"/>
      </w:pPr>
      <w:r>
        <w:t>r</w:t>
      </w:r>
      <w:r w:rsidR="005037D6" w:rsidRPr="00AE324F">
        <w:t xml:space="preserve">outine cleaning of the PPE doffing area should be performed at least once per day and after the </w:t>
      </w:r>
      <w:r w:rsidR="005037D6">
        <w:t>removal</w:t>
      </w:r>
      <w:r w:rsidR="005037D6" w:rsidRPr="00AE324F">
        <w:t xml:space="preserve"> of grossly contaminated PPE</w:t>
      </w:r>
    </w:p>
    <w:p w14:paraId="4935DD9E" w14:textId="22A5068F" w:rsidR="005037D6" w:rsidRDefault="00D53F0C" w:rsidP="008D292E">
      <w:pPr>
        <w:pStyle w:val="Bullet1"/>
        <w:tabs>
          <w:tab w:val="left" w:pos="567"/>
        </w:tabs>
      </w:pPr>
      <w:r>
        <w:t>c</w:t>
      </w:r>
      <w:r w:rsidR="005037D6">
        <w:t xml:space="preserve">leaning should be performed by </w:t>
      </w:r>
      <w:proofErr w:type="gramStart"/>
      <w:r w:rsidR="005037D6">
        <w:t>a</w:t>
      </w:r>
      <w:proofErr w:type="gramEnd"/>
      <w:r w:rsidR="005037D6">
        <w:t xml:space="preserve"> HCW wearing Level 1 or Level 2 PPE (see </w:t>
      </w:r>
      <w:hyperlink w:anchor="_Personal_protective_equipment" w:history="1">
        <w:r w:rsidR="005037D6" w:rsidRPr="00D73FC9">
          <w:rPr>
            <w:rStyle w:val="Hyperlink"/>
          </w:rPr>
          <w:t>sectio</w:t>
        </w:r>
        <w:r>
          <w:rPr>
            <w:rStyle w:val="Hyperlink"/>
          </w:rPr>
          <w:t>n 5.4</w:t>
        </w:r>
      </w:hyperlink>
      <w:r w:rsidR="005037D6">
        <w:t>)</w:t>
      </w:r>
    </w:p>
    <w:p w14:paraId="3283C227" w14:textId="2FF95040" w:rsidR="005037D6" w:rsidRDefault="00D53F0C" w:rsidP="008D292E">
      <w:pPr>
        <w:pStyle w:val="Bullet1"/>
        <w:tabs>
          <w:tab w:val="left" w:pos="567"/>
        </w:tabs>
      </w:pPr>
      <w:r>
        <w:t>w</w:t>
      </w:r>
      <w:r w:rsidR="005037D6">
        <w:t>hen cleaning and disinfection are complete, the HCW should carefully take off their PPE and perform hand hygiene.</w:t>
      </w:r>
    </w:p>
    <w:p w14:paraId="03BC1E26" w14:textId="77777777" w:rsidR="005037D6" w:rsidRDefault="005037D6" w:rsidP="008D292E">
      <w:pPr>
        <w:pStyle w:val="Heading3"/>
      </w:pPr>
      <w:r w:rsidRPr="00D341DB">
        <w:t>Medical</w:t>
      </w:r>
      <w:r>
        <w:t xml:space="preserve"> equipment and devices</w:t>
      </w:r>
    </w:p>
    <w:p w14:paraId="5B9A5849" w14:textId="7F714159" w:rsidR="00EA5C5C" w:rsidRPr="00EA5C5C" w:rsidRDefault="00EA5C5C" w:rsidP="008D292E">
      <w:pPr>
        <w:pStyle w:val="Body"/>
        <w:tabs>
          <w:tab w:val="left" w:pos="567"/>
        </w:tabs>
      </w:pPr>
      <w:r>
        <w:t>For use of medical equipment and devices, remember:</w:t>
      </w:r>
    </w:p>
    <w:p w14:paraId="62DD5252" w14:textId="77777777" w:rsidR="005037D6" w:rsidRPr="00EA5C5C" w:rsidRDefault="005037D6" w:rsidP="008D292E">
      <w:pPr>
        <w:pStyle w:val="Bullet1"/>
        <w:tabs>
          <w:tab w:val="num" w:pos="397"/>
          <w:tab w:val="left" w:pos="567"/>
        </w:tabs>
        <w:ind w:left="397" w:hanging="397"/>
      </w:pPr>
      <w:r w:rsidRPr="00EA5C5C">
        <w:t>Equipment in the room should be limited to only what is essential for patient care.</w:t>
      </w:r>
    </w:p>
    <w:p w14:paraId="5FAC0EAB" w14:textId="77777777" w:rsidR="005037D6" w:rsidRPr="00EA5C5C" w:rsidRDefault="005037D6" w:rsidP="008D292E">
      <w:pPr>
        <w:pStyle w:val="Bullet1"/>
        <w:tabs>
          <w:tab w:val="num" w:pos="397"/>
          <w:tab w:val="left" w:pos="567"/>
        </w:tabs>
        <w:ind w:left="397" w:hanging="397"/>
      </w:pPr>
      <w:r w:rsidRPr="00EA5C5C">
        <w:t>Equipment must be dedicated for the sole use of the patient for the duration of their stay.</w:t>
      </w:r>
    </w:p>
    <w:p w14:paraId="66BBB220" w14:textId="7FC0D397" w:rsidR="005037D6" w:rsidRPr="00EA5C5C" w:rsidRDefault="005037D6" w:rsidP="008D292E">
      <w:pPr>
        <w:pStyle w:val="Bullet1"/>
        <w:tabs>
          <w:tab w:val="num" w:pos="397"/>
          <w:tab w:val="left" w:pos="567"/>
        </w:tabs>
        <w:ind w:left="397" w:hanging="397"/>
      </w:pPr>
      <w:r w:rsidRPr="00EA5C5C">
        <w:t>Wherever possible, single</w:t>
      </w:r>
      <w:r w:rsidR="00EA5C5C">
        <w:t>-</w:t>
      </w:r>
      <w:r w:rsidRPr="00EA5C5C">
        <w:t>use equipment should be used and be disposed of as VHF waste when no longer required.</w:t>
      </w:r>
    </w:p>
    <w:p w14:paraId="49AD6711" w14:textId="77777777" w:rsidR="005037D6" w:rsidRDefault="005037D6" w:rsidP="008D292E">
      <w:pPr>
        <w:pStyle w:val="Heading3"/>
      </w:pPr>
      <w:r>
        <w:t>Reusable medical devices</w:t>
      </w:r>
    </w:p>
    <w:p w14:paraId="1ADAEF57" w14:textId="738E057C" w:rsidR="00EA5C5C" w:rsidRPr="00EA5C5C" w:rsidRDefault="00EA5C5C" w:rsidP="008D292E">
      <w:pPr>
        <w:pStyle w:val="Body"/>
        <w:tabs>
          <w:tab w:val="left" w:pos="567"/>
        </w:tabs>
      </w:pPr>
      <w:r>
        <w:t>For reusable medical devises, remember:</w:t>
      </w:r>
    </w:p>
    <w:p w14:paraId="1C57D12B" w14:textId="77777777" w:rsidR="005037D6" w:rsidRPr="00EA5C5C" w:rsidRDefault="005037D6" w:rsidP="008D292E">
      <w:pPr>
        <w:pStyle w:val="Bullet1"/>
        <w:tabs>
          <w:tab w:val="num" w:pos="397"/>
          <w:tab w:val="left" w:pos="567"/>
        </w:tabs>
        <w:ind w:left="397" w:hanging="397"/>
      </w:pPr>
      <w:r w:rsidRPr="00EA5C5C">
        <w:t>Reusable medical devices should be cleaned and disinfected in the room.</w:t>
      </w:r>
    </w:p>
    <w:p w14:paraId="700017DD" w14:textId="77777777" w:rsidR="005037D6" w:rsidRPr="00EA5C5C" w:rsidRDefault="005037D6" w:rsidP="008D292E">
      <w:pPr>
        <w:pStyle w:val="Bullet1"/>
        <w:tabs>
          <w:tab w:val="num" w:pos="397"/>
          <w:tab w:val="left" w:pos="567"/>
        </w:tabs>
        <w:ind w:left="397" w:hanging="397"/>
      </w:pPr>
      <w:r w:rsidRPr="00EA5C5C">
        <w:t>Any visible contamination should first be wiped off similarly as described in the spill section.</w:t>
      </w:r>
    </w:p>
    <w:p w14:paraId="4EA070CC" w14:textId="23824FDA" w:rsidR="005037D6" w:rsidRPr="00EA5C5C" w:rsidRDefault="005037D6" w:rsidP="008D292E">
      <w:pPr>
        <w:pStyle w:val="Bullet1"/>
        <w:tabs>
          <w:tab w:val="num" w:pos="397"/>
          <w:tab w:val="left" w:pos="567"/>
        </w:tabs>
        <w:ind w:left="397" w:hanging="397"/>
      </w:pPr>
      <w:r w:rsidRPr="00EA5C5C">
        <w:t>The items should then be cleaned in a two-step process, with a neutral detergent first</w:t>
      </w:r>
      <w:r w:rsidR="00C97A8E">
        <w:t>,</w:t>
      </w:r>
      <w:r w:rsidRPr="00EA5C5C">
        <w:t xml:space="preserve"> then with a disinfectant specified in the manufacturers’ instructions.</w:t>
      </w:r>
    </w:p>
    <w:p w14:paraId="7C141128" w14:textId="77777777" w:rsidR="005037D6" w:rsidRDefault="005037D6" w:rsidP="008D292E">
      <w:pPr>
        <w:pStyle w:val="Heading3"/>
      </w:pPr>
      <w:bookmarkStart w:id="61" w:name="_Blood_and_body"/>
      <w:bookmarkEnd w:id="61"/>
      <w:r>
        <w:t>Blood and body fluid spills</w:t>
      </w:r>
    </w:p>
    <w:p w14:paraId="28E31D93" w14:textId="027453A4" w:rsidR="005037D6" w:rsidRPr="0072203B" w:rsidRDefault="005037D6" w:rsidP="008D292E">
      <w:pPr>
        <w:pStyle w:val="Body"/>
        <w:tabs>
          <w:tab w:val="left" w:pos="567"/>
        </w:tabs>
      </w:pPr>
      <w:r>
        <w:t>Larger blood and body fluid spills (greater than 10cm) should be managed in the following manner</w:t>
      </w:r>
      <w:r w:rsidR="00C97A8E">
        <w:t>:</w:t>
      </w:r>
    </w:p>
    <w:p w14:paraId="2BF25590" w14:textId="77777777" w:rsidR="005037D6" w:rsidRPr="00CE7646" w:rsidRDefault="005037D6" w:rsidP="008D292E">
      <w:pPr>
        <w:pStyle w:val="Numberdigitindent"/>
        <w:numPr>
          <w:ilvl w:val="1"/>
          <w:numId w:val="47"/>
        </w:numPr>
        <w:tabs>
          <w:tab w:val="clear" w:pos="794"/>
          <w:tab w:val="left" w:pos="567"/>
        </w:tabs>
        <w:ind w:left="284" w:hanging="284"/>
      </w:pPr>
      <w:r>
        <w:t>Contain the spill by applying paper towel, a spill mat or absorbent sheet. Dispose of waste into a clinical waste bag.</w:t>
      </w:r>
    </w:p>
    <w:p w14:paraId="0AC941E5" w14:textId="2FE00514" w:rsidR="005037D6" w:rsidRDefault="005037D6" w:rsidP="008D292E">
      <w:pPr>
        <w:pStyle w:val="Numberdigitindent"/>
        <w:numPr>
          <w:ilvl w:val="1"/>
          <w:numId w:val="3"/>
        </w:numPr>
        <w:tabs>
          <w:tab w:val="clear" w:pos="794"/>
          <w:tab w:val="left" w:pos="567"/>
        </w:tabs>
        <w:ind w:left="284" w:hanging="284"/>
      </w:pPr>
      <w:r>
        <w:t xml:space="preserve">Apply sodium hypochlorite granules or gel to any remaining spill residue, </w:t>
      </w:r>
      <w:r w:rsidR="00C97A8E">
        <w:t xml:space="preserve">then </w:t>
      </w:r>
      <w:r>
        <w:t>cover with paper towel.</w:t>
      </w:r>
    </w:p>
    <w:p w14:paraId="65F193BA" w14:textId="77777777" w:rsidR="005037D6" w:rsidRDefault="005037D6" w:rsidP="008D292E">
      <w:pPr>
        <w:pStyle w:val="Numberdigitindent"/>
        <w:numPr>
          <w:ilvl w:val="1"/>
          <w:numId w:val="3"/>
        </w:numPr>
        <w:tabs>
          <w:tab w:val="clear" w:pos="794"/>
          <w:tab w:val="left" w:pos="567"/>
        </w:tabs>
        <w:ind w:left="284" w:hanging="284"/>
      </w:pPr>
      <w:r>
        <w:t>Leave for 30 minutes.</w:t>
      </w:r>
    </w:p>
    <w:p w14:paraId="7FBD46D8" w14:textId="77777777" w:rsidR="005037D6" w:rsidRDefault="005037D6" w:rsidP="008D292E">
      <w:pPr>
        <w:pStyle w:val="Numberdigitindent"/>
        <w:numPr>
          <w:ilvl w:val="1"/>
          <w:numId w:val="3"/>
        </w:numPr>
        <w:tabs>
          <w:tab w:val="clear" w:pos="794"/>
          <w:tab w:val="left" w:pos="567"/>
        </w:tabs>
        <w:ind w:left="284" w:hanging="284"/>
      </w:pPr>
      <w:r>
        <w:t>Remove paper towel and wipe up granules. Dispose of into a clinical waste bag.</w:t>
      </w:r>
    </w:p>
    <w:p w14:paraId="1B53CB7A" w14:textId="41211827" w:rsidR="005037D6" w:rsidRDefault="005037D6" w:rsidP="008D292E">
      <w:pPr>
        <w:pStyle w:val="Numberdigitindent"/>
        <w:numPr>
          <w:ilvl w:val="1"/>
          <w:numId w:val="3"/>
        </w:numPr>
        <w:tabs>
          <w:tab w:val="clear" w:pos="794"/>
          <w:tab w:val="left" w:pos="567"/>
        </w:tabs>
        <w:ind w:left="284" w:hanging="284"/>
      </w:pPr>
      <w:r>
        <w:lastRenderedPageBreak/>
        <w:t>Clean the area of the spill with detergent</w:t>
      </w:r>
      <w:r w:rsidR="00C97A8E">
        <w:t>,</w:t>
      </w:r>
      <w:r>
        <w:t xml:space="preserve"> then disinfectant or a combined </w:t>
      </w:r>
      <w:r w:rsidR="00C97A8E">
        <w:t>two</w:t>
      </w:r>
      <w:r>
        <w:t>-in-</w:t>
      </w:r>
      <w:r w:rsidR="00C97A8E">
        <w:t>one</w:t>
      </w:r>
      <w:r>
        <w:t xml:space="preserve"> detergent disinfectant wipe. Dispose of cloth/wipe into a clinical waste bag.</w:t>
      </w:r>
    </w:p>
    <w:p w14:paraId="78B1B64C" w14:textId="317FBCD4" w:rsidR="005037D6" w:rsidRDefault="005037D6" w:rsidP="005A0E81">
      <w:pPr>
        <w:pStyle w:val="Numberdigitindent"/>
        <w:numPr>
          <w:ilvl w:val="1"/>
          <w:numId w:val="3"/>
        </w:numPr>
        <w:tabs>
          <w:tab w:val="clear" w:pos="794"/>
          <w:tab w:val="left" w:pos="567"/>
        </w:tabs>
        <w:ind w:left="284" w:hanging="284"/>
      </w:pPr>
      <w:r>
        <w:t>Disinfect the area of the spill with a cloth saturated with sodium hypochlorite 5</w:t>
      </w:r>
      <w:r w:rsidR="00C97A8E">
        <w:t>,</w:t>
      </w:r>
      <w:r>
        <w:t>000 ppm. Leave for 30 minutes. Dispose of cloth into a clinical waste bag.</w:t>
      </w:r>
    </w:p>
    <w:p w14:paraId="54AB7D8A" w14:textId="77777777" w:rsidR="005037D6" w:rsidRDefault="005037D6" w:rsidP="005A0E81">
      <w:pPr>
        <w:pStyle w:val="Numberdigitindent"/>
        <w:numPr>
          <w:ilvl w:val="1"/>
          <w:numId w:val="3"/>
        </w:numPr>
        <w:tabs>
          <w:tab w:val="clear" w:pos="794"/>
          <w:tab w:val="left" w:pos="567"/>
        </w:tabs>
        <w:ind w:left="284" w:hanging="284"/>
      </w:pPr>
      <w:r>
        <w:t>Dry area with paper towel. Dispose of items into a clinical waste bag.</w:t>
      </w:r>
    </w:p>
    <w:p w14:paraId="51FC01C1" w14:textId="2DA85ADF" w:rsidR="005037D6" w:rsidRDefault="005037D6" w:rsidP="008D292E">
      <w:pPr>
        <w:pStyle w:val="Heading3"/>
      </w:pPr>
      <w:r w:rsidRPr="00D341DB">
        <w:t>Discharge</w:t>
      </w:r>
      <w:r w:rsidRPr="000F34F7">
        <w:t xml:space="preserve"> </w:t>
      </w:r>
      <w:r w:rsidR="00147803">
        <w:t>c</w:t>
      </w:r>
      <w:r w:rsidRPr="000F34F7">
        <w:t>leaning</w:t>
      </w:r>
    </w:p>
    <w:p w14:paraId="4BDC3529" w14:textId="2EB2FA86" w:rsidR="005037D6" w:rsidRDefault="005037D6" w:rsidP="008D292E">
      <w:pPr>
        <w:pStyle w:val="Body"/>
        <w:tabs>
          <w:tab w:val="left" w:pos="567"/>
        </w:tabs>
      </w:pPr>
      <w:r>
        <w:t>Discharge cleaning should be carried out as for routine cleaning with the following additions</w:t>
      </w:r>
      <w:r w:rsidR="00C97A8E">
        <w:t>:</w:t>
      </w:r>
    </w:p>
    <w:p w14:paraId="59F03CE3" w14:textId="7C1BD84B" w:rsidR="005037D6" w:rsidRDefault="005037D6" w:rsidP="008D292E">
      <w:pPr>
        <w:pStyle w:val="Bullet1"/>
        <w:tabs>
          <w:tab w:val="left" w:pos="567"/>
        </w:tabs>
      </w:pPr>
      <w:r>
        <w:t>A higher concentration of sodium hypochlorite (5</w:t>
      </w:r>
      <w:r w:rsidR="00862390">
        <w:t>,</w:t>
      </w:r>
      <w:r>
        <w:t>000</w:t>
      </w:r>
      <w:r w:rsidR="00862390">
        <w:t xml:space="preserve"> </w:t>
      </w:r>
      <w:r>
        <w:t>ppm) should be used.</w:t>
      </w:r>
    </w:p>
    <w:p w14:paraId="705CA5E1" w14:textId="05F366BF" w:rsidR="005037D6" w:rsidRDefault="005037D6" w:rsidP="008D292E">
      <w:pPr>
        <w:pStyle w:val="Bullet1"/>
        <w:tabs>
          <w:tab w:val="left" w:pos="567"/>
        </w:tabs>
      </w:pPr>
      <w:r>
        <w:t>All textiles contaminated with body fluids</w:t>
      </w:r>
      <w:r w:rsidR="00C97A8E">
        <w:t>,</w:t>
      </w:r>
      <w:r>
        <w:t xml:space="preserve"> including curtains</w:t>
      </w:r>
      <w:r w:rsidR="00C97A8E">
        <w:t>,</w:t>
      </w:r>
      <w:r>
        <w:t xml:space="preserve"> should be disposed of as clinical waste.</w:t>
      </w:r>
    </w:p>
    <w:p w14:paraId="2D54ABA4" w14:textId="3E5023C3" w:rsidR="005037D6" w:rsidRPr="00CE7646" w:rsidRDefault="005037D6" w:rsidP="008D292E">
      <w:pPr>
        <w:pStyle w:val="Bullet1"/>
        <w:tabs>
          <w:tab w:val="left" w:pos="567"/>
        </w:tabs>
      </w:pPr>
      <w:r>
        <w:t>If a negative pressure ventilation room was used (for example, an AGP was conducted), maintain negative pressure during discharge cleaning and for 30 minutes afterwards</w:t>
      </w:r>
      <w:r w:rsidR="00C97A8E">
        <w:t>,</w:t>
      </w:r>
      <w:r>
        <w:t xml:space="preserve"> before another patient is admitted to the room. The pre-filter should also be changed and checked for damage by appropriate personnel.</w:t>
      </w:r>
    </w:p>
    <w:p w14:paraId="244972A5" w14:textId="77777777" w:rsidR="005037D6" w:rsidRDefault="005037D6" w:rsidP="008D292E">
      <w:pPr>
        <w:pStyle w:val="Heading3"/>
      </w:pPr>
      <w:r w:rsidRPr="00D341DB">
        <w:t>Management</w:t>
      </w:r>
      <w:r>
        <w:t xml:space="preserve"> of c</w:t>
      </w:r>
      <w:r w:rsidRPr="000F34F7">
        <w:t>leaning equipment</w:t>
      </w:r>
    </w:p>
    <w:p w14:paraId="5902BA6E" w14:textId="252B47BD" w:rsidR="00C97A8E" w:rsidRPr="00C97A8E" w:rsidRDefault="00C97A8E" w:rsidP="008D292E">
      <w:pPr>
        <w:pStyle w:val="Body"/>
        <w:tabs>
          <w:tab w:val="left" w:pos="567"/>
        </w:tabs>
      </w:pPr>
      <w:r>
        <w:t>For management of cleaning equipment, remember:</w:t>
      </w:r>
    </w:p>
    <w:p w14:paraId="30BFE308" w14:textId="2AB794AF" w:rsidR="005037D6" w:rsidRPr="007C635C" w:rsidRDefault="005037D6" w:rsidP="008D292E">
      <w:pPr>
        <w:pStyle w:val="Bullet1"/>
        <w:tabs>
          <w:tab w:val="num" w:pos="397"/>
          <w:tab w:val="left" w:pos="567"/>
        </w:tabs>
        <w:ind w:left="397" w:hanging="397"/>
      </w:pPr>
      <w:r w:rsidRPr="007C635C">
        <w:t>All single</w:t>
      </w:r>
      <w:r w:rsidR="00C97A8E" w:rsidRPr="007C635C">
        <w:t>-</w:t>
      </w:r>
      <w:r w:rsidRPr="007C635C">
        <w:t>use cleaning cloths and the mop head should be disposed of in double</w:t>
      </w:r>
      <w:r w:rsidR="00C97A8E" w:rsidRPr="007C635C">
        <w:t>-</w:t>
      </w:r>
      <w:r w:rsidRPr="007C635C">
        <w:t>bagged clinical waste.</w:t>
      </w:r>
    </w:p>
    <w:p w14:paraId="4C75817F" w14:textId="5FCFB7CB" w:rsidR="005037D6" w:rsidRPr="007C635C" w:rsidRDefault="005037D6" w:rsidP="008D292E">
      <w:pPr>
        <w:pStyle w:val="Bullet1"/>
        <w:tabs>
          <w:tab w:val="num" w:pos="397"/>
          <w:tab w:val="left" w:pos="567"/>
        </w:tabs>
        <w:ind w:left="397" w:hanging="397"/>
      </w:pPr>
      <w:r w:rsidRPr="007C635C">
        <w:t xml:space="preserve">All cleaning equipment (mop handles and buckets if used) should be cleaned after each use and kept in the room until </w:t>
      </w:r>
      <w:r w:rsidR="00C97A8E" w:rsidRPr="007C635C">
        <w:t xml:space="preserve">the </w:t>
      </w:r>
      <w:r w:rsidRPr="007C635C">
        <w:t xml:space="preserve">patient </w:t>
      </w:r>
      <w:r w:rsidR="00C97A8E" w:rsidRPr="007C635C">
        <w:t xml:space="preserve">is </w:t>
      </w:r>
      <w:r w:rsidRPr="007C635C">
        <w:t>discharged, and cleaning has been completed.</w:t>
      </w:r>
    </w:p>
    <w:p w14:paraId="52F5CBF0" w14:textId="2A190B1B" w:rsidR="005037D6" w:rsidRPr="007C635C" w:rsidRDefault="005037D6" w:rsidP="008D292E">
      <w:pPr>
        <w:pStyle w:val="Bullet1"/>
        <w:tabs>
          <w:tab w:val="num" w:pos="397"/>
          <w:tab w:val="left" w:pos="567"/>
        </w:tabs>
        <w:ind w:left="397" w:hanging="397"/>
      </w:pPr>
      <w:r w:rsidRPr="007C635C">
        <w:t xml:space="preserve">It is preferable not to pour liquid waste or leftover cleaning solutions into an ensuite toilet to prevent </w:t>
      </w:r>
      <w:proofErr w:type="spellStart"/>
      <w:r w:rsidRPr="007C635C">
        <w:t>aerosolisation</w:t>
      </w:r>
      <w:proofErr w:type="spellEnd"/>
      <w:r w:rsidRPr="007C635C">
        <w:t xml:space="preserve"> or risk of splash. Remaining cleaning solutions should be disposed of using absorbent granules</w:t>
      </w:r>
      <w:r w:rsidR="005E3E6B" w:rsidRPr="007C635C">
        <w:t xml:space="preserve"> or </w:t>
      </w:r>
      <w:r w:rsidRPr="007C635C">
        <w:t>gel, which is then disposed of as double</w:t>
      </w:r>
      <w:r w:rsidR="005E3E6B" w:rsidRPr="007C635C">
        <w:t>-</w:t>
      </w:r>
      <w:r w:rsidRPr="007C635C">
        <w:t>bagged clinical waste.</w:t>
      </w:r>
    </w:p>
    <w:p w14:paraId="3A9D981F" w14:textId="77777777" w:rsidR="005037D6" w:rsidRDefault="005037D6" w:rsidP="008D292E">
      <w:pPr>
        <w:pStyle w:val="Heading2"/>
        <w:tabs>
          <w:tab w:val="left" w:pos="567"/>
        </w:tabs>
      </w:pPr>
      <w:bookmarkStart w:id="62" w:name="_Toc217022554"/>
      <w:r>
        <w:t>Linen</w:t>
      </w:r>
      <w:bookmarkEnd w:id="62"/>
    </w:p>
    <w:p w14:paraId="6C156970" w14:textId="4ACF3D82" w:rsidR="005E3E6B" w:rsidRPr="005E3E6B" w:rsidRDefault="005E3E6B" w:rsidP="008D292E">
      <w:pPr>
        <w:pStyle w:val="Body"/>
        <w:tabs>
          <w:tab w:val="left" w:pos="567"/>
        </w:tabs>
      </w:pPr>
      <w:r>
        <w:t>For linen disposal:</w:t>
      </w:r>
    </w:p>
    <w:p w14:paraId="4AE1A03F" w14:textId="00A78ABA" w:rsidR="005037D6" w:rsidRPr="007C635C" w:rsidRDefault="005E3E6B" w:rsidP="008D292E">
      <w:pPr>
        <w:pStyle w:val="Bullet1"/>
        <w:tabs>
          <w:tab w:val="num" w:pos="397"/>
          <w:tab w:val="left" w:pos="567"/>
        </w:tabs>
        <w:ind w:left="397" w:hanging="397"/>
      </w:pPr>
      <w:r w:rsidRPr="007C635C">
        <w:t>u</w:t>
      </w:r>
      <w:r w:rsidR="005037D6" w:rsidRPr="007C635C">
        <w:t>se disposable linen and clothing, wherever possible. If ‘reusable’ linen is used, it is to be disposed of as clinical waste.</w:t>
      </w:r>
    </w:p>
    <w:p w14:paraId="4CCD7990" w14:textId="3681A7C9" w:rsidR="005037D6" w:rsidRPr="007C635C" w:rsidRDefault="005E3E6B" w:rsidP="008D292E">
      <w:pPr>
        <w:pStyle w:val="Bullet1"/>
        <w:tabs>
          <w:tab w:val="num" w:pos="397"/>
          <w:tab w:val="left" w:pos="567"/>
        </w:tabs>
        <w:ind w:left="397" w:hanging="397"/>
      </w:pPr>
      <w:r w:rsidRPr="007C635C">
        <w:t>l</w:t>
      </w:r>
      <w:r w:rsidR="005037D6" w:rsidRPr="007C635C">
        <w:t>inen saturated with fluids should be double bagged with both bags knotted and placed into a leak-proof rigid clinical waste bin.</w:t>
      </w:r>
    </w:p>
    <w:p w14:paraId="01BD59A4" w14:textId="270E95ED" w:rsidR="005037D6" w:rsidRDefault="005037D6" w:rsidP="008D292E">
      <w:pPr>
        <w:pStyle w:val="Heading2"/>
        <w:tabs>
          <w:tab w:val="left" w:pos="567"/>
        </w:tabs>
      </w:pPr>
      <w:bookmarkStart w:id="63" w:name="_Toc217022555"/>
      <w:r w:rsidRPr="00E60806">
        <w:t xml:space="preserve">Food </w:t>
      </w:r>
      <w:r w:rsidR="00147803">
        <w:t>s</w:t>
      </w:r>
      <w:r w:rsidRPr="00E60806">
        <w:t>ervices</w:t>
      </w:r>
      <w:bookmarkEnd w:id="63"/>
    </w:p>
    <w:p w14:paraId="1A68751B" w14:textId="32B6CACB" w:rsidR="005E3E6B" w:rsidRPr="005E3E6B" w:rsidRDefault="005E3E6B" w:rsidP="008D292E">
      <w:pPr>
        <w:pStyle w:val="Body"/>
        <w:tabs>
          <w:tab w:val="left" w:pos="567"/>
        </w:tabs>
      </w:pPr>
      <w:r>
        <w:t>For food services:</w:t>
      </w:r>
    </w:p>
    <w:p w14:paraId="58249143" w14:textId="5ED5BDBD" w:rsidR="005037D6" w:rsidRPr="007C635C" w:rsidRDefault="005E3E6B" w:rsidP="008D292E">
      <w:pPr>
        <w:pStyle w:val="Bullet1"/>
        <w:tabs>
          <w:tab w:val="num" w:pos="397"/>
          <w:tab w:val="left" w:pos="567"/>
        </w:tabs>
        <w:ind w:left="397" w:hanging="397"/>
      </w:pPr>
      <w:r w:rsidRPr="007C635C">
        <w:t>s</w:t>
      </w:r>
      <w:r w:rsidR="005037D6" w:rsidRPr="007C635C">
        <w:t>ingle</w:t>
      </w:r>
      <w:r w:rsidRPr="007C635C">
        <w:t>-</w:t>
      </w:r>
      <w:r w:rsidR="005037D6" w:rsidRPr="007C635C">
        <w:t>use crockery and cutlery should be used wherever possible</w:t>
      </w:r>
    </w:p>
    <w:p w14:paraId="0DE5A963" w14:textId="5C30B313" w:rsidR="005037D6" w:rsidRPr="007C635C" w:rsidRDefault="005E3E6B" w:rsidP="008D292E">
      <w:pPr>
        <w:pStyle w:val="Bullet1"/>
        <w:tabs>
          <w:tab w:val="num" w:pos="397"/>
          <w:tab w:val="left" w:pos="567"/>
        </w:tabs>
        <w:ind w:left="397" w:hanging="397"/>
      </w:pPr>
      <w:r w:rsidRPr="007C635C">
        <w:t>m</w:t>
      </w:r>
      <w:r w:rsidR="005037D6" w:rsidRPr="007C635C">
        <w:t>eals should be taken into the patient</w:t>
      </w:r>
      <w:r w:rsidRPr="007C635C">
        <w:t>’s</w:t>
      </w:r>
      <w:r w:rsidR="005037D6" w:rsidRPr="007C635C">
        <w:t xml:space="preserve"> room by HCWs caring for the patient</w:t>
      </w:r>
    </w:p>
    <w:p w14:paraId="3E9FF09D" w14:textId="5352C475" w:rsidR="005037D6" w:rsidRPr="007C635C" w:rsidRDefault="005E3E6B" w:rsidP="008D292E">
      <w:pPr>
        <w:pStyle w:val="Bullet1"/>
        <w:tabs>
          <w:tab w:val="num" w:pos="397"/>
          <w:tab w:val="left" w:pos="567"/>
        </w:tabs>
        <w:ind w:left="397" w:hanging="397"/>
      </w:pPr>
      <w:r w:rsidRPr="007C635C">
        <w:t>a</w:t>
      </w:r>
      <w:r w:rsidR="005037D6" w:rsidRPr="007C635C">
        <w:t>ll food waste, disposable crockery and cutlery must be disposed of as clinical waste.</w:t>
      </w:r>
    </w:p>
    <w:p w14:paraId="18DE92FA" w14:textId="77777777" w:rsidR="005037D6" w:rsidRDefault="005037D6" w:rsidP="008D292E">
      <w:pPr>
        <w:pStyle w:val="Heading2"/>
        <w:tabs>
          <w:tab w:val="left" w:pos="567"/>
        </w:tabs>
      </w:pPr>
      <w:bookmarkStart w:id="64" w:name="_Toc217022556"/>
      <w:r>
        <w:lastRenderedPageBreak/>
        <w:t>Waste</w:t>
      </w:r>
      <w:bookmarkEnd w:id="64"/>
    </w:p>
    <w:p w14:paraId="2DB92F6D" w14:textId="77777777" w:rsidR="005037D6" w:rsidRDefault="005037D6" w:rsidP="008D292E">
      <w:pPr>
        <w:pStyle w:val="Heading3"/>
      </w:pPr>
      <w:r w:rsidRPr="00D341DB">
        <w:t>Patient</w:t>
      </w:r>
      <w:r>
        <w:t xml:space="preserve"> with suspected VHF while waiting for results</w:t>
      </w:r>
    </w:p>
    <w:p w14:paraId="345D41B0" w14:textId="4E5977C7" w:rsidR="005037D6" w:rsidRDefault="005037D6" w:rsidP="008D292E">
      <w:pPr>
        <w:pStyle w:val="Body"/>
        <w:tabs>
          <w:tab w:val="left" w:pos="567"/>
        </w:tabs>
      </w:pPr>
      <w:r>
        <w:t>Waste contaminated with blood or body fluids from a patient under investigation for VHF should have their waste managed in one of the following ways:</w:t>
      </w:r>
    </w:p>
    <w:p w14:paraId="78ADD5A6" w14:textId="77777777" w:rsidR="005037D6" w:rsidRPr="005E3E6B" w:rsidRDefault="005037D6" w:rsidP="005A0E81">
      <w:pPr>
        <w:pStyle w:val="Bullet1"/>
        <w:tabs>
          <w:tab w:val="left" w:pos="567"/>
        </w:tabs>
      </w:pPr>
      <w:r w:rsidRPr="005E3E6B">
        <w:t>left in the room until VHF has been excluded or confirmed (if there is sufficient space)</w:t>
      </w:r>
    </w:p>
    <w:p w14:paraId="3FEA43E8" w14:textId="77777777" w:rsidR="005037D6" w:rsidRPr="005E3E6B" w:rsidRDefault="005037D6" w:rsidP="005A0E81">
      <w:pPr>
        <w:pStyle w:val="Bullet1"/>
        <w:tabs>
          <w:tab w:val="left" w:pos="567"/>
        </w:tabs>
      </w:pPr>
      <w:r w:rsidRPr="005E3E6B">
        <w:t>stored (double bagged and in a rigid container) in a segregated area</w:t>
      </w:r>
    </w:p>
    <w:p w14:paraId="193BE5D6" w14:textId="2A2602D2" w:rsidR="005037D6" w:rsidRPr="005E3E6B" w:rsidRDefault="005037D6" w:rsidP="005A0E81">
      <w:pPr>
        <w:pStyle w:val="Bullet1"/>
        <w:tabs>
          <w:tab w:val="left" w:pos="567"/>
        </w:tabs>
      </w:pPr>
      <w:r w:rsidRPr="005E3E6B">
        <w:t>discarded immediately as clinical waste (for incineration)</w:t>
      </w:r>
      <w:r w:rsidR="005E3E6B">
        <w:t>,</w:t>
      </w:r>
      <w:r w:rsidRPr="005E3E6B">
        <w:t xml:space="preserve"> if there is insufficient room to store the waste.</w:t>
      </w:r>
    </w:p>
    <w:p w14:paraId="29ED1251" w14:textId="75B234E4" w:rsidR="005037D6" w:rsidRDefault="005037D6" w:rsidP="008D292E">
      <w:pPr>
        <w:pStyle w:val="Bodyafterbullets"/>
        <w:tabs>
          <w:tab w:val="left" w:pos="567"/>
        </w:tabs>
      </w:pPr>
      <w:r>
        <w:t>If the patient is not producing secretions, clinical waste can be placed in sealed bags and disposed of as per the facility’s waste management policy</w:t>
      </w:r>
      <w:r w:rsidR="005E3E6B">
        <w:t>,</w:t>
      </w:r>
      <w:r>
        <w:t xml:space="preserve"> as there is minimal risk from this type of waste when patients are in the ‘dry’ or non-secretory phase.</w:t>
      </w:r>
    </w:p>
    <w:p w14:paraId="06E48386" w14:textId="77777777" w:rsidR="005037D6" w:rsidRDefault="005037D6" w:rsidP="008D292E">
      <w:pPr>
        <w:pStyle w:val="Heading3"/>
      </w:pPr>
      <w:r>
        <w:t>Patient with confirmed VHF</w:t>
      </w:r>
    </w:p>
    <w:p w14:paraId="079653D8" w14:textId="77777777" w:rsidR="005037D6" w:rsidRDefault="005037D6" w:rsidP="008D292E">
      <w:pPr>
        <w:pStyle w:val="Body"/>
        <w:tabs>
          <w:tab w:val="left" w:pos="567"/>
        </w:tabs>
      </w:pPr>
      <w:r>
        <w:t>All waste from patients with confirmed VHF is to be incinerated (or autoclaved), including:</w:t>
      </w:r>
    </w:p>
    <w:p w14:paraId="2D1B46BC" w14:textId="77777777" w:rsidR="005037D6" w:rsidRDefault="005037D6" w:rsidP="008D292E">
      <w:pPr>
        <w:pStyle w:val="Bullet1"/>
        <w:tabs>
          <w:tab w:val="left" w:pos="567"/>
        </w:tabs>
      </w:pPr>
      <w:r>
        <w:t>PPE</w:t>
      </w:r>
    </w:p>
    <w:p w14:paraId="0A7555CB" w14:textId="77777777" w:rsidR="005037D6" w:rsidRDefault="005037D6" w:rsidP="008D292E">
      <w:pPr>
        <w:pStyle w:val="Bullet1"/>
        <w:tabs>
          <w:tab w:val="left" w:pos="567"/>
        </w:tabs>
      </w:pPr>
      <w:r>
        <w:t>linen</w:t>
      </w:r>
    </w:p>
    <w:p w14:paraId="526908C3" w14:textId="77777777" w:rsidR="005037D6" w:rsidRDefault="005037D6" w:rsidP="008D292E">
      <w:pPr>
        <w:pStyle w:val="Bullet1"/>
        <w:tabs>
          <w:tab w:val="left" w:pos="567"/>
        </w:tabs>
      </w:pPr>
      <w:r>
        <w:t>medical supplies</w:t>
      </w:r>
    </w:p>
    <w:p w14:paraId="22820DA3" w14:textId="77777777" w:rsidR="005037D6" w:rsidRDefault="005037D6" w:rsidP="008D292E">
      <w:pPr>
        <w:pStyle w:val="Bullet1"/>
        <w:tabs>
          <w:tab w:val="left" w:pos="567"/>
        </w:tabs>
      </w:pPr>
      <w:r>
        <w:t>body fluids and contaminated items.</w:t>
      </w:r>
    </w:p>
    <w:p w14:paraId="7251F629" w14:textId="77777777" w:rsidR="005037D6" w:rsidRDefault="005037D6" w:rsidP="008D292E">
      <w:pPr>
        <w:pStyle w:val="Bodyafterbullets"/>
        <w:tabs>
          <w:tab w:val="left" w:pos="567"/>
        </w:tabs>
      </w:pPr>
      <w:r>
        <w:t>Facilities will need to determine how waste is to be safely removed from the patient room and where it is to be stored for final disposal.</w:t>
      </w:r>
    </w:p>
    <w:p w14:paraId="4D5D7BD4" w14:textId="287EBD2C" w:rsidR="005037D6" w:rsidRDefault="005037D6" w:rsidP="008D292E">
      <w:pPr>
        <w:pStyle w:val="Body"/>
        <w:tabs>
          <w:tab w:val="left" w:pos="567"/>
        </w:tabs>
      </w:pPr>
      <w:r>
        <w:t xml:space="preserve">A system should be developed for </w:t>
      </w:r>
      <w:proofErr w:type="gramStart"/>
      <w:r>
        <w:t>double</w:t>
      </w:r>
      <w:r w:rsidR="00510622">
        <w:t>-bagging</w:t>
      </w:r>
      <w:proofErr w:type="gramEnd"/>
      <w:r>
        <w:t xml:space="preserve"> all waste from the patient’s room. The first clinical waste bag from inside the patient</w:t>
      </w:r>
      <w:r w:rsidR="005E3E6B">
        <w:t>’s</w:t>
      </w:r>
      <w:r>
        <w:t xml:space="preserve"> room should be placed into a second clinical waste bag kept immediately outside the patient room. This may require a buddy system to be able to do this safely.</w:t>
      </w:r>
    </w:p>
    <w:p w14:paraId="16645474" w14:textId="77777777" w:rsidR="005037D6" w:rsidRDefault="005037D6" w:rsidP="008D292E">
      <w:pPr>
        <w:pStyle w:val="Body"/>
        <w:tabs>
          <w:tab w:val="left" w:pos="567"/>
        </w:tabs>
      </w:pPr>
      <w:r>
        <w:t>Clinical waste bags should be sealed before placing into a rigid outer container for transport.</w:t>
      </w:r>
    </w:p>
    <w:p w14:paraId="220890DA" w14:textId="77777777" w:rsidR="005037D6" w:rsidRDefault="005037D6" w:rsidP="008D292E">
      <w:pPr>
        <w:pStyle w:val="Body"/>
        <w:tabs>
          <w:tab w:val="left" w:pos="567"/>
        </w:tabs>
      </w:pPr>
      <w:r>
        <w:t>If the waste includes a liquid component, use absorbent material to contain the fluid.</w:t>
      </w:r>
    </w:p>
    <w:p w14:paraId="3DA9C334" w14:textId="212C1176" w:rsidR="005037D6" w:rsidRDefault="005037D6" w:rsidP="008D292E">
      <w:pPr>
        <w:pStyle w:val="Body"/>
        <w:tabs>
          <w:tab w:val="left" w:pos="567"/>
        </w:tabs>
      </w:pPr>
      <w:r>
        <w:t xml:space="preserve">Fill bags to a maximum of </w:t>
      </w:r>
      <w:r w:rsidR="005E3E6B">
        <w:t>three</w:t>
      </w:r>
      <w:r w:rsidR="00B76002">
        <w:t>-quarters</w:t>
      </w:r>
      <w:r>
        <w:t xml:space="preserve"> full to allow them to be adequately sealed.</w:t>
      </w:r>
    </w:p>
    <w:p w14:paraId="34B26AB9" w14:textId="32A6927E" w:rsidR="005037D6" w:rsidRDefault="005037D6" w:rsidP="008D292E">
      <w:pPr>
        <w:pStyle w:val="Body"/>
        <w:tabs>
          <w:tab w:val="left" w:pos="567"/>
        </w:tabs>
      </w:pPr>
      <w:r>
        <w:t xml:space="preserve">The secure rigid outer container should be of sufficient dimensions to deposit and accommodate waste items likely to be generated in the routine care of the patient </w:t>
      </w:r>
      <w:r w:rsidR="005E3E6B">
        <w:t>(</w:t>
      </w:r>
      <w:r>
        <w:t>for example, items of PPE</w:t>
      </w:r>
      <w:r w:rsidR="005E3E6B">
        <w:t>)</w:t>
      </w:r>
      <w:r>
        <w:t>.</w:t>
      </w:r>
    </w:p>
    <w:p w14:paraId="3BB503F7" w14:textId="7D13D004" w:rsidR="005037D6" w:rsidRDefault="005037D6" w:rsidP="008D292E">
      <w:pPr>
        <w:pStyle w:val="Body"/>
        <w:tabs>
          <w:tab w:val="left" w:pos="567"/>
        </w:tabs>
      </w:pPr>
      <w:r>
        <w:t>Consideration could be given to using two types of waste bins – a lockable and sealable clinical waste bin for wet waste and an anatomical waste bin for other waste</w:t>
      </w:r>
      <w:r w:rsidR="005E3E6B">
        <w:t>,</w:t>
      </w:r>
      <w:r>
        <w:t xml:space="preserve"> as this can also be locked.</w:t>
      </w:r>
    </w:p>
    <w:p w14:paraId="2A65DC85" w14:textId="77777777" w:rsidR="005037D6" w:rsidRDefault="005037D6" w:rsidP="008D292E">
      <w:pPr>
        <w:pStyle w:val="Body"/>
        <w:tabs>
          <w:tab w:val="left" w:pos="567"/>
        </w:tabs>
      </w:pPr>
      <w:r>
        <w:t>Organise with environmental services to deliver anatomical/clinical waste bins and facilitate ongoing supply of bins for the duration of the patient stay.</w:t>
      </w:r>
    </w:p>
    <w:p w14:paraId="20C9A03A" w14:textId="3B4EAF36" w:rsidR="005037D6" w:rsidRDefault="005037D6" w:rsidP="008D292E">
      <w:pPr>
        <w:pStyle w:val="Body"/>
        <w:tabs>
          <w:tab w:val="left" w:pos="567"/>
        </w:tabs>
      </w:pPr>
      <w:r>
        <w:t>All used syringes, needles and sharps are to be placed into a designated sharps container, sealed and placed inside a clinical waste bin so it can be incinerated. Wipe the sealed sharps container</w:t>
      </w:r>
      <w:r w:rsidR="005E3E6B">
        <w:t>,</w:t>
      </w:r>
      <w:r>
        <w:t xml:space="preserve"> if visibly contaminated</w:t>
      </w:r>
      <w:r w:rsidR="005E3E6B">
        <w:t>,</w:t>
      </w:r>
      <w:r>
        <w:t xml:space="preserve"> with hospital</w:t>
      </w:r>
      <w:r w:rsidR="005E3E6B">
        <w:t>-</w:t>
      </w:r>
      <w:r>
        <w:t>approved detergent/disinfectant wipe</w:t>
      </w:r>
      <w:r w:rsidR="005E3E6B">
        <w:t>s</w:t>
      </w:r>
      <w:r>
        <w:t xml:space="preserve"> prior to removal from the patient’s room.</w:t>
      </w:r>
    </w:p>
    <w:p w14:paraId="7214969A" w14:textId="77777777" w:rsidR="005037D6" w:rsidRDefault="005037D6" w:rsidP="005A0E81">
      <w:pPr>
        <w:pStyle w:val="Heading3"/>
      </w:pPr>
      <w:bookmarkStart w:id="65" w:name="_PPE"/>
      <w:bookmarkEnd w:id="65"/>
      <w:r>
        <w:t>PPE</w:t>
      </w:r>
    </w:p>
    <w:p w14:paraId="1AE2815E" w14:textId="6B5F1309" w:rsidR="005037D6" w:rsidRDefault="005037D6" w:rsidP="008D292E">
      <w:pPr>
        <w:pStyle w:val="Body"/>
        <w:tabs>
          <w:tab w:val="left" w:pos="567"/>
        </w:tabs>
      </w:pPr>
      <w:r>
        <w:t xml:space="preserve">Staff handling VHF waste must wear </w:t>
      </w:r>
      <w:hyperlink w:anchor="_Level_1_(Dry)" w:history="1">
        <w:r w:rsidRPr="006B4C08">
          <w:rPr>
            <w:rStyle w:val="Hyperlink"/>
          </w:rPr>
          <w:t>Level 1 (Dry) PPE</w:t>
        </w:r>
      </w:hyperlink>
      <w:r>
        <w:t>, including:</w:t>
      </w:r>
    </w:p>
    <w:p w14:paraId="7E89AA84" w14:textId="77777777" w:rsidR="005037D6" w:rsidRDefault="005037D6" w:rsidP="008D292E">
      <w:pPr>
        <w:pStyle w:val="Bullet2"/>
        <w:numPr>
          <w:ilvl w:val="0"/>
          <w:numId w:val="7"/>
        </w:numPr>
        <w:tabs>
          <w:tab w:val="left" w:pos="567"/>
          <w:tab w:val="num" w:pos="794"/>
        </w:tabs>
        <w:ind w:left="928" w:hanging="360"/>
      </w:pPr>
      <w:r>
        <w:lastRenderedPageBreak/>
        <w:t>gloves</w:t>
      </w:r>
    </w:p>
    <w:p w14:paraId="025F9313" w14:textId="77777777" w:rsidR="005037D6" w:rsidRDefault="005037D6" w:rsidP="008D292E">
      <w:pPr>
        <w:pStyle w:val="Bullet2"/>
        <w:numPr>
          <w:ilvl w:val="0"/>
          <w:numId w:val="7"/>
        </w:numPr>
        <w:tabs>
          <w:tab w:val="left" w:pos="567"/>
          <w:tab w:val="num" w:pos="794"/>
        </w:tabs>
        <w:ind w:left="928" w:hanging="360"/>
      </w:pPr>
      <w:r>
        <w:t>long-sleeved gowns and aprons</w:t>
      </w:r>
    </w:p>
    <w:p w14:paraId="279A02F7" w14:textId="77777777" w:rsidR="005037D6" w:rsidRDefault="005037D6" w:rsidP="008D292E">
      <w:pPr>
        <w:pStyle w:val="Bullet2"/>
        <w:numPr>
          <w:ilvl w:val="0"/>
          <w:numId w:val="7"/>
        </w:numPr>
        <w:tabs>
          <w:tab w:val="left" w:pos="567"/>
          <w:tab w:val="num" w:pos="794"/>
        </w:tabs>
        <w:ind w:left="928" w:hanging="360"/>
      </w:pPr>
      <w:r>
        <w:t>eye protection (goggles or face shields)</w:t>
      </w:r>
    </w:p>
    <w:p w14:paraId="5A708703" w14:textId="3876778A" w:rsidR="005037D6" w:rsidRDefault="005E3E6B" w:rsidP="008D292E">
      <w:pPr>
        <w:pStyle w:val="Bullet2"/>
        <w:numPr>
          <w:ilvl w:val="0"/>
          <w:numId w:val="7"/>
        </w:numPr>
        <w:tabs>
          <w:tab w:val="left" w:pos="567"/>
          <w:tab w:val="num" w:pos="794"/>
        </w:tabs>
        <w:ind w:left="928" w:hanging="360"/>
      </w:pPr>
      <w:r>
        <w:t xml:space="preserve">a </w:t>
      </w:r>
      <w:r w:rsidR="005037D6">
        <w:t>P2/N95 respirator</w:t>
      </w:r>
    </w:p>
    <w:p w14:paraId="29F8614C" w14:textId="77777777" w:rsidR="005037D6" w:rsidRDefault="005037D6" w:rsidP="008D292E">
      <w:pPr>
        <w:pStyle w:val="Bullet2"/>
        <w:numPr>
          <w:ilvl w:val="0"/>
          <w:numId w:val="7"/>
        </w:numPr>
        <w:tabs>
          <w:tab w:val="left" w:pos="567"/>
          <w:tab w:val="num" w:pos="794"/>
        </w:tabs>
        <w:ind w:left="928" w:hanging="360"/>
      </w:pPr>
      <w:r>
        <w:t>closed shoes or boots.</w:t>
      </w:r>
    </w:p>
    <w:p w14:paraId="38B966F8" w14:textId="77777777" w:rsidR="005037D6" w:rsidRDefault="005037D6" w:rsidP="008D292E">
      <w:pPr>
        <w:pStyle w:val="Heading3"/>
      </w:pPr>
      <w:r>
        <w:t>In-hospital transport of waste</w:t>
      </w:r>
    </w:p>
    <w:p w14:paraId="50528E98" w14:textId="0A7D63C8" w:rsidR="005E3E6B" w:rsidRPr="005E3E6B" w:rsidRDefault="005E3E6B" w:rsidP="008D292E">
      <w:pPr>
        <w:pStyle w:val="Body"/>
        <w:tabs>
          <w:tab w:val="left" w:pos="567"/>
        </w:tabs>
      </w:pPr>
      <w:r>
        <w:t>For in-hospital waste transport:</w:t>
      </w:r>
    </w:p>
    <w:p w14:paraId="3BB00113" w14:textId="3CAE0E54" w:rsidR="005037D6" w:rsidRDefault="005E3E6B" w:rsidP="008D292E">
      <w:pPr>
        <w:pStyle w:val="Bullet1"/>
        <w:numPr>
          <w:ilvl w:val="0"/>
          <w:numId w:val="77"/>
        </w:numPr>
        <w:tabs>
          <w:tab w:val="left" w:pos="567"/>
        </w:tabs>
      </w:pPr>
      <w:r>
        <w:t>u</w:t>
      </w:r>
      <w:r w:rsidR="005037D6">
        <w:t>se dedicated, closed containers for waste transport</w:t>
      </w:r>
    </w:p>
    <w:p w14:paraId="6A260C98" w14:textId="4E92DE47" w:rsidR="005037D6" w:rsidRDefault="000473D1" w:rsidP="008D292E">
      <w:pPr>
        <w:pStyle w:val="Bullet1"/>
        <w:numPr>
          <w:ilvl w:val="0"/>
          <w:numId w:val="77"/>
        </w:numPr>
        <w:tabs>
          <w:tab w:val="left" w:pos="567"/>
        </w:tabs>
      </w:pPr>
      <w:r>
        <w:t>a</w:t>
      </w:r>
      <w:r w:rsidR="005037D6">
        <w:t>void transporting waste through public areas</w:t>
      </w:r>
    </w:p>
    <w:p w14:paraId="50BE0320" w14:textId="73661EAF" w:rsidR="005037D6" w:rsidRDefault="000473D1" w:rsidP="008D292E">
      <w:pPr>
        <w:pStyle w:val="Bullet1"/>
        <w:numPr>
          <w:ilvl w:val="0"/>
          <w:numId w:val="77"/>
        </w:numPr>
        <w:tabs>
          <w:tab w:val="left" w:pos="567"/>
        </w:tabs>
      </w:pPr>
      <w:r>
        <w:t>d</w:t>
      </w:r>
      <w:r w:rsidR="005037D6">
        <w:t>isinfect carts after each use with an approved detergent/disinfectant.</w:t>
      </w:r>
    </w:p>
    <w:p w14:paraId="248ACFA6" w14:textId="48A0C70D" w:rsidR="005037D6" w:rsidRPr="009B4E16" w:rsidRDefault="005037D6" w:rsidP="008D292E">
      <w:pPr>
        <w:pStyle w:val="Heading3"/>
      </w:pPr>
      <w:r w:rsidRPr="009B4E16">
        <w:t>Storage of waste until collected</w:t>
      </w:r>
    </w:p>
    <w:p w14:paraId="7C4CD1CB" w14:textId="77777777" w:rsidR="005037D6" w:rsidRDefault="005037D6" w:rsidP="008D292E">
      <w:pPr>
        <w:pStyle w:val="Body"/>
        <w:tabs>
          <w:tab w:val="left" w:pos="567"/>
        </w:tabs>
      </w:pPr>
      <w:r>
        <w:t>VHF waste should be stored in a safe and secure locked environment to prevent accidental or unauthorised access.</w:t>
      </w:r>
    </w:p>
    <w:p w14:paraId="2A194552" w14:textId="2B0BD449" w:rsidR="005037D6" w:rsidRPr="00931849" w:rsidRDefault="005037D6" w:rsidP="008D292E">
      <w:pPr>
        <w:pStyle w:val="Body"/>
        <w:tabs>
          <w:tab w:val="left" w:pos="567"/>
        </w:tabs>
        <w:rPr>
          <w:b/>
          <w:bCs/>
        </w:rPr>
      </w:pPr>
      <w:r>
        <w:t xml:space="preserve">The secure rigid outer container must carry outer labelling consistent with </w:t>
      </w:r>
      <w:r w:rsidRPr="00931849">
        <w:rPr>
          <w:b/>
          <w:bCs/>
        </w:rPr>
        <w:t>UN2814/ADG Class 6.2 for transport</w:t>
      </w:r>
      <w:r w:rsidRPr="008E563E">
        <w:t xml:space="preserve"> and carry the text </w:t>
      </w:r>
      <w:r w:rsidR="00191010">
        <w:t>‘</w:t>
      </w:r>
      <w:r w:rsidRPr="00931849">
        <w:rPr>
          <w:b/>
          <w:bCs/>
        </w:rPr>
        <w:t>In the case of damage or leakage</w:t>
      </w:r>
      <w:r w:rsidR="000473D1">
        <w:rPr>
          <w:b/>
          <w:bCs/>
        </w:rPr>
        <w:t>,</w:t>
      </w:r>
      <w:r w:rsidRPr="00931849">
        <w:rPr>
          <w:b/>
          <w:bCs/>
        </w:rPr>
        <w:t xml:space="preserve"> immediately notify Public Health Authority</w:t>
      </w:r>
      <w:r w:rsidR="00191010">
        <w:rPr>
          <w:b/>
          <w:bCs/>
        </w:rPr>
        <w:t>’</w:t>
      </w:r>
      <w:r w:rsidRPr="00931849">
        <w:rPr>
          <w:b/>
          <w:bCs/>
        </w:rPr>
        <w:t>.</w:t>
      </w:r>
    </w:p>
    <w:p w14:paraId="268515E9" w14:textId="77777777" w:rsidR="005037D6" w:rsidRDefault="005037D6" w:rsidP="008D292E">
      <w:pPr>
        <w:pStyle w:val="Heading3"/>
      </w:pPr>
      <w:r>
        <w:t>Treatment and disposal</w:t>
      </w:r>
    </w:p>
    <w:p w14:paraId="5AA64B2F" w14:textId="7FDBD061" w:rsidR="005037D6" w:rsidRDefault="005037D6" w:rsidP="008D292E">
      <w:pPr>
        <w:pStyle w:val="Body"/>
        <w:tabs>
          <w:tab w:val="left" w:pos="567"/>
        </w:tabs>
      </w:pPr>
      <w:r>
        <w:t>Waste must be autoclaved, incinerated</w:t>
      </w:r>
      <w:r w:rsidR="00BC7808">
        <w:t xml:space="preserve"> or</w:t>
      </w:r>
      <w:r>
        <w:t xml:space="preserve"> otherwise inactivated before disposal.</w:t>
      </w:r>
    </w:p>
    <w:p w14:paraId="389F251D" w14:textId="77777777" w:rsidR="005037D6" w:rsidRDefault="005037D6" w:rsidP="008D292E">
      <w:pPr>
        <w:pStyle w:val="Body"/>
        <w:tabs>
          <w:tab w:val="left" w:pos="567"/>
        </w:tabs>
      </w:pPr>
      <w:r>
        <w:t>Once properly treated, waste can be disposed of as regular medical waste.</w:t>
      </w:r>
    </w:p>
    <w:p w14:paraId="4C5F979C" w14:textId="2ED60D9A" w:rsidR="005037D6" w:rsidRDefault="005037D6" w:rsidP="008D292E">
      <w:pPr>
        <w:pStyle w:val="Heading3"/>
      </w:pPr>
      <w:r>
        <w:t>Off</w:t>
      </w:r>
      <w:r w:rsidR="00B76002">
        <w:t>site</w:t>
      </w:r>
      <w:r>
        <w:t xml:space="preserve"> transport and treatment</w:t>
      </w:r>
    </w:p>
    <w:p w14:paraId="0A481FDB" w14:textId="64D4AA3B" w:rsidR="005037D6" w:rsidRDefault="005037D6" w:rsidP="008D292E">
      <w:pPr>
        <w:pStyle w:val="Body"/>
        <w:tabs>
          <w:tab w:val="left" w:pos="567"/>
        </w:tabs>
      </w:pPr>
      <w:r>
        <w:t>If untreated waste is transported offsite, it must comply with the Environmental Protection Regulations as</w:t>
      </w:r>
      <w:r w:rsidR="000473D1">
        <w:t xml:space="preserve"> a </w:t>
      </w:r>
      <w:hyperlink r:id="rId57" w:anchor="category-a-waste" w:history="1">
        <w:r w:rsidRPr="00F616E6">
          <w:rPr>
            <w:rStyle w:val="Hyperlink"/>
          </w:rPr>
          <w:t>Category A Infectious substance</w:t>
        </w:r>
      </w:hyperlink>
      <w:r>
        <w:t xml:space="preserve"> &lt;</w:t>
      </w:r>
      <w:r w:rsidRPr="0021475E">
        <w:t>https://www.epa.vic.gov.au/priority-waste-and-waste-soil-categories#category-a-waste</w:t>
      </w:r>
      <w:r>
        <w:t>&gt;, prescribed industrial waste.</w:t>
      </w:r>
    </w:p>
    <w:p w14:paraId="00803B25" w14:textId="277DB20F" w:rsidR="005037D6" w:rsidRPr="00C32FBD" w:rsidRDefault="000473D1" w:rsidP="008D292E">
      <w:pPr>
        <w:pStyle w:val="Body"/>
        <w:tabs>
          <w:tab w:val="left" w:pos="567"/>
        </w:tabs>
      </w:pPr>
      <w:r>
        <w:t>T</w:t>
      </w:r>
      <w:r w:rsidR="005037D6">
        <w:t xml:space="preserve">he secure rigid outer container </w:t>
      </w:r>
      <w:r>
        <w:t xml:space="preserve">carrying this waste must </w:t>
      </w:r>
      <w:r w:rsidR="005037D6">
        <w:t xml:space="preserve">be accompanied by a Transport Certificate setting out the prescribed waste as </w:t>
      </w:r>
      <w:r w:rsidR="005037D6" w:rsidRPr="00C32FBD">
        <w:t>Hazard Category A waste/UN Number 2814</w:t>
      </w:r>
      <w:r>
        <w:t>. T</w:t>
      </w:r>
      <w:r w:rsidR="005037D6" w:rsidRPr="00C32FBD">
        <w:t>his</w:t>
      </w:r>
      <w:r w:rsidR="005037D6">
        <w:t xml:space="preserve"> includes the requirement for the waste generator to ensure that the waste transporter is aware of the transportation of VHF waste</w:t>
      </w:r>
      <w:r>
        <w:t xml:space="preserve"> </w:t>
      </w:r>
      <w:r w:rsidR="005037D6">
        <w:t xml:space="preserve">in permitted vehicles compliant with the </w:t>
      </w:r>
      <w:r w:rsidR="00084FA0">
        <w:t>Environment Protection Authority Victoria (</w:t>
      </w:r>
      <w:r w:rsidR="005037D6">
        <w:t>EPA</w:t>
      </w:r>
      <w:r w:rsidR="00084FA0">
        <w:t>)</w:t>
      </w:r>
      <w:r w:rsidR="005037D6">
        <w:t xml:space="preserve"> special waste classification for VHF waste </w:t>
      </w:r>
      <w:r w:rsidR="005037D6" w:rsidRPr="00C32FBD">
        <w:t>(R100).</w:t>
      </w:r>
    </w:p>
    <w:p w14:paraId="5269AC91" w14:textId="77777777" w:rsidR="005037D6" w:rsidRDefault="005037D6" w:rsidP="008D292E">
      <w:pPr>
        <w:pStyle w:val="Heading2"/>
        <w:tabs>
          <w:tab w:val="left" w:pos="567"/>
        </w:tabs>
      </w:pPr>
      <w:bookmarkStart w:id="66" w:name="_Toc217022557"/>
      <w:r>
        <w:t>Care of the deceased patient</w:t>
      </w:r>
      <w:bookmarkEnd w:id="66"/>
    </w:p>
    <w:p w14:paraId="3B0E245F" w14:textId="77777777" w:rsidR="005037D6" w:rsidRDefault="005037D6" w:rsidP="008D292E">
      <w:pPr>
        <w:pStyle w:val="Body"/>
        <w:tabs>
          <w:tab w:val="left" w:pos="567"/>
        </w:tabs>
      </w:pPr>
      <w:r>
        <w:t>VHF viruses can be detected throughout the body after death. A such, VHF can be transmitted by laceration and puncture with contaminated instruments used during postmortem care, through direct handling of human remains without appropriate PPE, and from splashes of blood or other body fluids to unprotected mucosa which can occur during care of the deceased.</w:t>
      </w:r>
    </w:p>
    <w:p w14:paraId="289632D2" w14:textId="288D96A8" w:rsidR="005037D6" w:rsidRDefault="005037D6" w:rsidP="008D292E">
      <w:pPr>
        <w:pStyle w:val="Body"/>
        <w:tabs>
          <w:tab w:val="left" w:pos="567"/>
        </w:tabs>
      </w:pPr>
      <w:r>
        <w:t>The following are important principles of care for people who have died due to VHF</w:t>
      </w:r>
      <w:r w:rsidR="000473D1">
        <w:t>:</w:t>
      </w:r>
    </w:p>
    <w:p w14:paraId="252861C1" w14:textId="626717BD" w:rsidR="005037D6" w:rsidRDefault="005037D6" w:rsidP="008D292E">
      <w:pPr>
        <w:pStyle w:val="Bullet1"/>
        <w:tabs>
          <w:tab w:val="left" w:pos="567"/>
        </w:tabs>
      </w:pPr>
      <w:r>
        <w:t>Only personnel trained in handling infected human remains, and wearing PPE, should touch or move any VHF-infected remains or suspected VHF-infected remains.</w:t>
      </w:r>
    </w:p>
    <w:p w14:paraId="193AFD2F" w14:textId="77777777" w:rsidR="005037D6" w:rsidRDefault="005037D6" w:rsidP="008D292E">
      <w:pPr>
        <w:pStyle w:val="Bullet1"/>
        <w:tabs>
          <w:tab w:val="left" w:pos="567"/>
        </w:tabs>
      </w:pPr>
      <w:r>
        <w:lastRenderedPageBreak/>
        <w:t>Handling of human remains should be kept to a minimum.</w:t>
      </w:r>
    </w:p>
    <w:p w14:paraId="070FC646" w14:textId="20016EB9" w:rsidR="005037D6" w:rsidRDefault="005037D6" w:rsidP="008D292E">
      <w:pPr>
        <w:pStyle w:val="Bullet1"/>
        <w:tabs>
          <w:tab w:val="left" w:pos="567"/>
        </w:tabs>
      </w:pPr>
      <w:r w:rsidRPr="00166929">
        <w:rPr>
          <w:b/>
          <w:bCs/>
        </w:rPr>
        <w:t xml:space="preserve">Autopsies should not be performed on patients who die with </w:t>
      </w:r>
      <w:r>
        <w:rPr>
          <w:b/>
          <w:bCs/>
        </w:rPr>
        <w:t>VHF</w:t>
      </w:r>
      <w:r>
        <w:t xml:space="preserve">. An autopsy should only be done if directed by the coroner and following discussion with the </w:t>
      </w:r>
      <w:r w:rsidR="000473D1">
        <w:t>d</w:t>
      </w:r>
      <w:r w:rsidRPr="00C32FBD">
        <w:t>epartment’s Communicable Disease section and the Victorian Institute of Forensic Medicine</w:t>
      </w:r>
      <w:r>
        <w:t>.</w:t>
      </w:r>
    </w:p>
    <w:p w14:paraId="033628E0" w14:textId="72017051" w:rsidR="005037D6" w:rsidRDefault="005037D6" w:rsidP="008D292E">
      <w:pPr>
        <w:pStyle w:val="Bullet1"/>
        <w:tabs>
          <w:tab w:val="num" w:pos="397"/>
          <w:tab w:val="left" w:pos="567"/>
        </w:tabs>
        <w:ind w:left="397" w:hanging="397"/>
      </w:pPr>
      <w:r>
        <w:t>When a deceased person has suspected VHF, but not confirmed, any post</w:t>
      </w:r>
      <w:r w:rsidR="00B76002">
        <w:t>-mortem</w:t>
      </w:r>
      <w:r>
        <w:t xml:space="preserve"> procedures should be delayed until testing for VHF is completed. Handle the body as if they have VHF</w:t>
      </w:r>
      <w:r w:rsidR="000473D1">
        <w:t>,</w:t>
      </w:r>
      <w:r>
        <w:t xml:space="preserve"> until confirmed otherwise.</w:t>
      </w:r>
    </w:p>
    <w:p w14:paraId="4FCACAC1" w14:textId="77777777" w:rsidR="005037D6" w:rsidRDefault="005037D6" w:rsidP="008D292E">
      <w:pPr>
        <w:pStyle w:val="Heading3"/>
      </w:pPr>
      <w:r w:rsidRPr="00D341DB">
        <w:t>Preparation</w:t>
      </w:r>
      <w:r>
        <w:t xml:space="preserve"> of the deceased patient</w:t>
      </w:r>
    </w:p>
    <w:p w14:paraId="60561CB8" w14:textId="562BFEB2" w:rsidR="000473D1" w:rsidRPr="000473D1" w:rsidRDefault="000473D1" w:rsidP="008D292E">
      <w:pPr>
        <w:pStyle w:val="Body"/>
        <w:tabs>
          <w:tab w:val="left" w:pos="567"/>
        </w:tabs>
      </w:pPr>
      <w:r>
        <w:t>In preparing the deceased patient, remember:</w:t>
      </w:r>
    </w:p>
    <w:p w14:paraId="31D11C7E" w14:textId="77777777" w:rsidR="005037D6" w:rsidRDefault="005037D6" w:rsidP="008D292E">
      <w:pPr>
        <w:pStyle w:val="Bullet1"/>
        <w:tabs>
          <w:tab w:val="num" w:pos="397"/>
          <w:tab w:val="left" w:pos="567"/>
        </w:tabs>
        <w:ind w:left="397" w:hanging="397"/>
      </w:pPr>
      <w:r>
        <w:t xml:space="preserve">Use </w:t>
      </w:r>
      <w:hyperlink w:anchor="_Level_1_(Dry)" w:history="1">
        <w:r w:rsidRPr="00E8602D">
          <w:rPr>
            <w:rStyle w:val="Hyperlink"/>
          </w:rPr>
          <w:t>Level 1 (Dry) PPE</w:t>
        </w:r>
      </w:hyperlink>
      <w:r>
        <w:t xml:space="preserve"> when handling the deceased.</w:t>
      </w:r>
    </w:p>
    <w:p w14:paraId="3E3ED81A" w14:textId="77777777" w:rsidR="005037D6" w:rsidRDefault="005037D6" w:rsidP="008D292E">
      <w:pPr>
        <w:pStyle w:val="Bullet1"/>
        <w:tabs>
          <w:tab w:val="num" w:pos="397"/>
          <w:tab w:val="left" w:pos="567"/>
        </w:tabs>
        <w:ind w:left="397" w:hanging="397"/>
      </w:pPr>
      <w:r>
        <w:t>Do not remove intravascular devices or other invasive medical devices.</w:t>
      </w:r>
    </w:p>
    <w:p w14:paraId="0BF53E7B" w14:textId="77777777" w:rsidR="005037D6" w:rsidRDefault="005037D6" w:rsidP="008D292E">
      <w:pPr>
        <w:pStyle w:val="Bullet1"/>
        <w:tabs>
          <w:tab w:val="num" w:pos="397"/>
          <w:tab w:val="left" w:pos="567"/>
        </w:tabs>
        <w:ind w:left="397" w:hanging="397"/>
      </w:pPr>
      <w:r>
        <w:t>Do not wash or clean the deceased.</w:t>
      </w:r>
    </w:p>
    <w:p w14:paraId="5A6AB0C6" w14:textId="6833B471" w:rsidR="005037D6" w:rsidRDefault="005037D6" w:rsidP="008D292E">
      <w:pPr>
        <w:pStyle w:val="Bullet1"/>
        <w:tabs>
          <w:tab w:val="num" w:pos="397"/>
          <w:tab w:val="left" w:pos="567"/>
        </w:tabs>
        <w:ind w:left="397" w:hanging="397"/>
      </w:pPr>
      <w:r>
        <w:t>Place the body into a leak-proof body bag, zipper it closed</w:t>
      </w:r>
      <w:r w:rsidR="000473D1">
        <w:t>,</w:t>
      </w:r>
      <w:r>
        <w:t xml:space="preserve"> then place inside a second leak-proof body bag zippered closed.</w:t>
      </w:r>
    </w:p>
    <w:p w14:paraId="4A0C8FB2" w14:textId="77777777" w:rsidR="005037D6" w:rsidRDefault="005037D6" w:rsidP="008D292E">
      <w:pPr>
        <w:pStyle w:val="Bullet1"/>
        <w:tabs>
          <w:tab w:val="left" w:pos="567"/>
        </w:tabs>
      </w:pPr>
      <w:r>
        <w:t>Once the body has been placed inside the first bag, the HCWs handling the body should change the outer layer of their gloves and apron. Disinfect the inner gloves before preplacing the second pair.</w:t>
      </w:r>
    </w:p>
    <w:p w14:paraId="5EF16B7D" w14:textId="77777777" w:rsidR="005037D6" w:rsidRDefault="005037D6" w:rsidP="008D292E">
      <w:pPr>
        <w:pStyle w:val="Bullet1"/>
        <w:tabs>
          <w:tab w:val="left" w:pos="567"/>
        </w:tabs>
      </w:pPr>
      <w:r>
        <w:t>If the zipper does not ‘seal’ the bag to make it leak-proof, consider using tape to seal the zipper.</w:t>
      </w:r>
    </w:p>
    <w:p w14:paraId="6EB593B7" w14:textId="43A543B3" w:rsidR="005037D6" w:rsidRDefault="005037D6" w:rsidP="008D292E">
      <w:pPr>
        <w:pStyle w:val="Bullet1"/>
        <w:tabs>
          <w:tab w:val="left" w:pos="567"/>
        </w:tabs>
      </w:pPr>
      <w:r>
        <w:t>Take care that the bags are protected from punctures</w:t>
      </w:r>
      <w:r w:rsidR="000473D1">
        <w:t>,</w:t>
      </w:r>
      <w:r>
        <w:t xml:space="preserve"> either from the inside (for example, from medical devices left attached) or from external objects.</w:t>
      </w:r>
    </w:p>
    <w:p w14:paraId="46F0D69B" w14:textId="77777777" w:rsidR="005037D6" w:rsidRDefault="005037D6" w:rsidP="008D292E">
      <w:pPr>
        <w:pStyle w:val="Bullet1"/>
        <w:tabs>
          <w:tab w:val="num" w:pos="397"/>
          <w:tab w:val="left" w:pos="567"/>
        </w:tabs>
        <w:ind w:left="397" w:hanging="397"/>
      </w:pPr>
      <w:r>
        <w:t>Clearly label the outside bag with:</w:t>
      </w:r>
    </w:p>
    <w:p w14:paraId="2065CD5B" w14:textId="77777777" w:rsidR="005037D6" w:rsidRPr="000473D1" w:rsidRDefault="005037D6" w:rsidP="008D292E">
      <w:pPr>
        <w:pStyle w:val="Bullet2"/>
        <w:tabs>
          <w:tab w:val="left" w:pos="567"/>
          <w:tab w:val="num" w:pos="794"/>
        </w:tabs>
        <w:ind w:left="794" w:hanging="397"/>
      </w:pPr>
      <w:r w:rsidRPr="000473D1">
        <w:t>the name of the deceased</w:t>
      </w:r>
    </w:p>
    <w:p w14:paraId="7C83D5C0" w14:textId="50668360" w:rsidR="005037D6" w:rsidRPr="000473D1" w:rsidRDefault="00191010" w:rsidP="008D292E">
      <w:pPr>
        <w:pStyle w:val="Bullet2"/>
        <w:tabs>
          <w:tab w:val="left" w:pos="567"/>
          <w:tab w:val="num" w:pos="794"/>
        </w:tabs>
        <w:ind w:left="794" w:hanging="397"/>
      </w:pPr>
      <w:r w:rsidRPr="000473D1">
        <w:t>‘</w:t>
      </w:r>
      <w:r w:rsidR="005037D6" w:rsidRPr="000473D1">
        <w:t>Infectious Disease – Group A – Handle with Care</w:t>
      </w:r>
      <w:r w:rsidRPr="000473D1">
        <w:t>’</w:t>
      </w:r>
      <w:r w:rsidR="005037D6" w:rsidRPr="000473D1">
        <w:t>.</w:t>
      </w:r>
    </w:p>
    <w:p w14:paraId="68AC21B5" w14:textId="2E3DCE3E" w:rsidR="005037D6" w:rsidRPr="000473D1" w:rsidRDefault="005037D6" w:rsidP="008D292E">
      <w:pPr>
        <w:pStyle w:val="Bullet1"/>
        <w:tabs>
          <w:tab w:val="num" w:pos="397"/>
          <w:tab w:val="left" w:pos="567"/>
        </w:tabs>
        <w:ind w:left="397" w:hanging="397"/>
      </w:pPr>
      <w:r w:rsidRPr="000473D1">
        <w:t xml:space="preserve">Prior to transporting to the mortuary, </w:t>
      </w:r>
      <w:r w:rsidR="000473D1">
        <w:t xml:space="preserve">use </w:t>
      </w:r>
      <w:r w:rsidRPr="000473D1">
        <w:t xml:space="preserve">detergent/disinfectant </w:t>
      </w:r>
      <w:r w:rsidR="000473D1">
        <w:t xml:space="preserve">to </w:t>
      </w:r>
      <w:r w:rsidRPr="000473D1">
        <w:t>decontaminate the outer surface of the body bag.</w:t>
      </w:r>
    </w:p>
    <w:p w14:paraId="2E95F971" w14:textId="77777777" w:rsidR="005037D6" w:rsidRDefault="005037D6" w:rsidP="008D292E">
      <w:pPr>
        <w:pStyle w:val="Heading3"/>
      </w:pPr>
      <w:r>
        <w:t>Mortuary care</w:t>
      </w:r>
    </w:p>
    <w:p w14:paraId="04C9F621" w14:textId="1EF5DC6E" w:rsidR="00282A5A" w:rsidRPr="00282A5A" w:rsidRDefault="00282A5A" w:rsidP="008D292E">
      <w:pPr>
        <w:pStyle w:val="Body"/>
        <w:tabs>
          <w:tab w:val="left" w:pos="567"/>
        </w:tabs>
      </w:pPr>
      <w:r>
        <w:t>At the mortuary:</w:t>
      </w:r>
    </w:p>
    <w:p w14:paraId="4A8F31FA" w14:textId="0DE365BB" w:rsidR="005037D6" w:rsidRPr="00282A5A" w:rsidRDefault="00282A5A" w:rsidP="008D292E">
      <w:pPr>
        <w:pStyle w:val="Bullet1"/>
        <w:tabs>
          <w:tab w:val="num" w:pos="397"/>
          <w:tab w:val="left" w:pos="567"/>
        </w:tabs>
        <w:ind w:left="397" w:hanging="397"/>
      </w:pPr>
      <w:r>
        <w:t>d</w:t>
      </w:r>
      <w:r w:rsidR="005037D6" w:rsidRPr="00282A5A">
        <w:t>o not open the body bags or remove the remains from the bag. Bagged remains should be placed directly into a casket or coffin</w:t>
      </w:r>
      <w:r w:rsidRPr="00282A5A">
        <w:t>,</w:t>
      </w:r>
      <w:r w:rsidR="005037D6" w:rsidRPr="00282A5A">
        <w:t xml:space="preserve"> and sealed</w:t>
      </w:r>
    </w:p>
    <w:p w14:paraId="727D1A0F" w14:textId="1E0FDBB1" w:rsidR="005037D6" w:rsidRPr="00282A5A" w:rsidRDefault="00282A5A" w:rsidP="008D292E">
      <w:pPr>
        <w:pStyle w:val="Bullet1"/>
        <w:tabs>
          <w:tab w:val="num" w:pos="397"/>
          <w:tab w:val="left" w:pos="567"/>
        </w:tabs>
        <w:ind w:left="397" w:hanging="397"/>
      </w:pPr>
      <w:r>
        <w:t>m</w:t>
      </w:r>
      <w:r w:rsidR="005037D6" w:rsidRPr="00282A5A">
        <w:t xml:space="preserve">ortuary care personnel should wear </w:t>
      </w:r>
      <w:hyperlink w:anchor="_Level_1_(Dry)" w:history="1">
        <w:r w:rsidR="005037D6" w:rsidRPr="009F4346">
          <w:rPr>
            <w:rStyle w:val="Hyperlink"/>
            <w:color w:val="auto"/>
            <w:u w:val="none"/>
          </w:rPr>
          <w:t>Level 1 (Dry) PPE</w:t>
        </w:r>
      </w:hyperlink>
      <w:r w:rsidR="005037D6" w:rsidRPr="00282A5A">
        <w:t>; single</w:t>
      </w:r>
      <w:r w:rsidRPr="00282A5A">
        <w:t>-</w:t>
      </w:r>
      <w:r w:rsidR="005037D6" w:rsidRPr="00282A5A">
        <w:t xml:space="preserve">use gloves (two pairs to be worn), </w:t>
      </w:r>
      <w:r w:rsidRPr="00282A5A">
        <w:t xml:space="preserve">a </w:t>
      </w:r>
      <w:r w:rsidR="005037D6" w:rsidRPr="00282A5A">
        <w:t>fluid-resistant or impermeable gown and surgical hood or a coverall, eye protection (goggles or face shield), and leg and shoe covers when handling the bagged remains</w:t>
      </w:r>
    </w:p>
    <w:p w14:paraId="445DB446" w14:textId="51361221" w:rsidR="005037D6" w:rsidRPr="00282A5A" w:rsidRDefault="00282A5A" w:rsidP="008D292E">
      <w:pPr>
        <w:pStyle w:val="Bullet1"/>
        <w:tabs>
          <w:tab w:val="num" w:pos="397"/>
          <w:tab w:val="left" w:pos="567"/>
        </w:tabs>
        <w:ind w:left="397" w:hanging="397"/>
      </w:pPr>
      <w:r>
        <w:t>i</w:t>
      </w:r>
      <w:r w:rsidR="005037D6" w:rsidRPr="00282A5A">
        <w:t xml:space="preserve">n the event of leakage of fluids from the body bag, thoroughly clean and decontaminate areas of the environment (see </w:t>
      </w:r>
      <w:hyperlink w:anchor="_Blood_and_body" w:history="1">
        <w:r w:rsidR="005037D6" w:rsidRPr="009F4346">
          <w:rPr>
            <w:rStyle w:val="Hyperlink"/>
            <w:color w:val="auto"/>
            <w:u w:val="none"/>
          </w:rPr>
          <w:t>sectio</w:t>
        </w:r>
        <w:r w:rsidRPr="009F4346">
          <w:rPr>
            <w:rStyle w:val="Hyperlink"/>
            <w:color w:val="auto"/>
            <w:u w:val="none"/>
          </w:rPr>
          <w:t>n 5.8.6</w:t>
        </w:r>
      </w:hyperlink>
      <w:r w:rsidR="005037D6" w:rsidRPr="00282A5A">
        <w:t>).</w:t>
      </w:r>
    </w:p>
    <w:p w14:paraId="59D9C0F6" w14:textId="317DB7F3" w:rsidR="005037D6" w:rsidRDefault="005037D6" w:rsidP="008D292E">
      <w:pPr>
        <w:pStyle w:val="Heading3"/>
      </w:pPr>
      <w:r w:rsidRPr="00D341DB">
        <w:t>Handoff</w:t>
      </w:r>
      <w:r>
        <w:t xml:space="preserve"> to </w:t>
      </w:r>
      <w:r w:rsidR="00147803">
        <w:t>f</w:t>
      </w:r>
      <w:r>
        <w:t xml:space="preserve">uneral </w:t>
      </w:r>
      <w:r w:rsidR="00147803">
        <w:t>s</w:t>
      </w:r>
      <w:r>
        <w:t>ervices</w:t>
      </w:r>
    </w:p>
    <w:p w14:paraId="367EBD46" w14:textId="05A161D9" w:rsidR="00282A5A" w:rsidRPr="00282A5A" w:rsidRDefault="00282A5A" w:rsidP="008D292E">
      <w:pPr>
        <w:pStyle w:val="Body"/>
        <w:tabs>
          <w:tab w:val="left" w:pos="567"/>
        </w:tabs>
      </w:pPr>
      <w:r>
        <w:t>For funeral services, remember:</w:t>
      </w:r>
    </w:p>
    <w:p w14:paraId="11CC8DEA" w14:textId="77777777" w:rsidR="005037D6" w:rsidRPr="00282A5A" w:rsidRDefault="005037D6" w:rsidP="008D292E">
      <w:pPr>
        <w:pStyle w:val="Bullet1"/>
        <w:tabs>
          <w:tab w:val="num" w:pos="397"/>
          <w:tab w:val="left" w:pos="567"/>
        </w:tabs>
        <w:ind w:left="397" w:hanging="397"/>
      </w:pPr>
      <w:r w:rsidRPr="00282A5A">
        <w:t>Ensure a localised procedure is in place for transferring remains to funeral homes.</w:t>
      </w:r>
    </w:p>
    <w:p w14:paraId="6F6CF6BD" w14:textId="1C8256CF" w:rsidR="005037D6" w:rsidRPr="00282A5A" w:rsidRDefault="005037D6" w:rsidP="008D292E">
      <w:pPr>
        <w:pStyle w:val="Bullet1"/>
        <w:tabs>
          <w:tab w:val="num" w:pos="397"/>
          <w:tab w:val="left" w:pos="567"/>
        </w:tabs>
        <w:ind w:left="397" w:hanging="397"/>
      </w:pPr>
      <w:r w:rsidRPr="00282A5A">
        <w:t>Consideration could be given to transporting the body directly from the deceased’s room to a parked funeral vehicle</w:t>
      </w:r>
      <w:r w:rsidR="00282A5A">
        <w:t>,</w:t>
      </w:r>
      <w:r w:rsidRPr="00282A5A">
        <w:t xml:space="preserve"> thereby avoiding the potential for contaminating another area in the facility.</w:t>
      </w:r>
    </w:p>
    <w:p w14:paraId="42429B5C" w14:textId="77777777" w:rsidR="005037D6" w:rsidRPr="00282A5A" w:rsidRDefault="005037D6" w:rsidP="008D292E">
      <w:pPr>
        <w:pStyle w:val="Bullet1"/>
        <w:tabs>
          <w:tab w:val="num" w:pos="397"/>
          <w:tab w:val="left" w:pos="567"/>
        </w:tabs>
        <w:ind w:left="397" w:hanging="397"/>
      </w:pPr>
      <w:r w:rsidRPr="00282A5A">
        <w:lastRenderedPageBreak/>
        <w:t>There should be no viewing of the deceased by family members. The body bags and casket/coffin should remain sealed.</w:t>
      </w:r>
    </w:p>
    <w:p w14:paraId="104EE514" w14:textId="77777777" w:rsidR="005037D6" w:rsidRPr="00282A5A" w:rsidRDefault="005037D6" w:rsidP="008D292E">
      <w:pPr>
        <w:pStyle w:val="Bullet1"/>
        <w:tabs>
          <w:tab w:val="num" w:pos="397"/>
          <w:tab w:val="left" w:pos="567"/>
        </w:tabs>
        <w:ind w:left="397" w:hanging="397"/>
      </w:pPr>
      <w:r w:rsidRPr="00282A5A">
        <w:t>Funeral home staff must be trained and equipped with PPE.</w:t>
      </w:r>
    </w:p>
    <w:p w14:paraId="3DB6DCC6" w14:textId="77777777" w:rsidR="005037D6" w:rsidRPr="00282A5A" w:rsidRDefault="005037D6" w:rsidP="008D292E">
      <w:pPr>
        <w:pStyle w:val="Bullet1"/>
        <w:tabs>
          <w:tab w:val="num" w:pos="397"/>
          <w:tab w:val="left" w:pos="567"/>
        </w:tabs>
        <w:ind w:left="397" w:hanging="397"/>
      </w:pPr>
      <w:r w:rsidRPr="00282A5A">
        <w:t>Avoid delays to minimise risk of decomposition and fluid leakage.</w:t>
      </w:r>
    </w:p>
    <w:p w14:paraId="2B406DB9" w14:textId="77777777" w:rsidR="005037D6" w:rsidRPr="00BA23C7" w:rsidRDefault="005037D6" w:rsidP="008D292E">
      <w:pPr>
        <w:pStyle w:val="Bullet1"/>
        <w:tabs>
          <w:tab w:val="num" w:pos="397"/>
          <w:tab w:val="left" w:pos="567"/>
        </w:tabs>
        <w:ind w:left="397" w:hanging="397"/>
      </w:pPr>
      <w:r w:rsidRPr="00282A5A">
        <w:t>Transportation of remains that contain VHF viruses should be minimised.</w:t>
      </w:r>
    </w:p>
    <w:p w14:paraId="61BE2B38" w14:textId="77777777" w:rsidR="005037D6" w:rsidRDefault="005037D6" w:rsidP="008D292E">
      <w:pPr>
        <w:pStyle w:val="Heading1"/>
        <w:numPr>
          <w:ilvl w:val="0"/>
          <w:numId w:val="54"/>
        </w:numPr>
        <w:tabs>
          <w:tab w:val="left" w:pos="567"/>
        </w:tabs>
        <w:spacing w:before="0" w:after="40" w:line="280" w:lineRule="atLeast"/>
        <w:ind w:left="720"/>
        <w:sectPr w:rsidR="005037D6" w:rsidSect="005037D6">
          <w:headerReference w:type="default" r:id="rId58"/>
          <w:headerReference w:type="first" r:id="rId59"/>
          <w:type w:val="continuous"/>
          <w:pgSz w:w="11906" w:h="16838" w:code="9"/>
          <w:pgMar w:top="1418" w:right="1304" w:bottom="1134" w:left="1304" w:header="680" w:footer="509" w:gutter="0"/>
          <w:cols w:space="340"/>
          <w:titlePg/>
          <w:docGrid w:linePitch="360"/>
        </w:sectPr>
      </w:pPr>
    </w:p>
    <w:p w14:paraId="578CFB74" w14:textId="77777777" w:rsidR="005037D6" w:rsidRDefault="005037D6" w:rsidP="008D292E">
      <w:pPr>
        <w:pStyle w:val="Heading1"/>
        <w:numPr>
          <w:ilvl w:val="0"/>
          <w:numId w:val="40"/>
        </w:numPr>
        <w:tabs>
          <w:tab w:val="num" w:pos="397"/>
          <w:tab w:val="left" w:pos="567"/>
        </w:tabs>
        <w:ind w:left="397" w:hanging="397"/>
      </w:pPr>
      <w:bookmarkStart w:id="67" w:name="_Toc217022558"/>
      <w:r>
        <w:lastRenderedPageBreak/>
        <w:t>Further reading</w:t>
      </w:r>
      <w:bookmarkEnd w:id="67"/>
    </w:p>
    <w:p w14:paraId="0AEA059C" w14:textId="23724409" w:rsidR="005037D6" w:rsidRPr="00515A3A" w:rsidRDefault="005037D6" w:rsidP="008D292E">
      <w:pPr>
        <w:pStyle w:val="Body"/>
        <w:tabs>
          <w:tab w:val="left" w:pos="567"/>
        </w:tabs>
        <w:spacing w:after="40"/>
      </w:pPr>
      <w:r w:rsidRPr="00515A3A">
        <w:t xml:space="preserve">CDC – </w:t>
      </w:r>
      <w:hyperlink r:id="rId60" w:history="1">
        <w:r w:rsidRPr="00282A5A">
          <w:rPr>
            <w:rStyle w:val="Hyperlink"/>
          </w:rPr>
          <w:t>PPE FAQs</w:t>
        </w:r>
      </w:hyperlink>
      <w:r w:rsidRPr="00515A3A">
        <w:t xml:space="preserve"> &lt;https://www.cdc.gov/viral-hemorrhagic-fevers/hcp/guidance/ppe-faqs.html&gt;</w:t>
      </w:r>
    </w:p>
    <w:p w14:paraId="4EE5D76F" w14:textId="1C8EC89C" w:rsidR="005037D6" w:rsidRPr="00515A3A" w:rsidRDefault="005037D6" w:rsidP="008D292E">
      <w:pPr>
        <w:pStyle w:val="Body"/>
        <w:tabs>
          <w:tab w:val="left" w:pos="567"/>
        </w:tabs>
        <w:spacing w:after="40"/>
      </w:pPr>
      <w:r w:rsidRPr="00515A3A">
        <w:t xml:space="preserve">CDC – </w:t>
      </w:r>
      <w:hyperlink r:id="rId61" w:history="1">
        <w:r w:rsidRPr="00282A5A">
          <w:rPr>
            <w:rStyle w:val="Hyperlink"/>
          </w:rPr>
          <w:t>PPE: Clinically Stable Patients Suspected to have VHF</w:t>
        </w:r>
      </w:hyperlink>
      <w:r w:rsidRPr="00515A3A">
        <w:t xml:space="preserve"> &lt;https://www.cdc.gov/viral-hemorrhagic-fevers/hcp/guidance/ppe-clinically-stable-puis.html&gt;</w:t>
      </w:r>
    </w:p>
    <w:p w14:paraId="6286AC24" w14:textId="3F06A08C" w:rsidR="005037D6" w:rsidRPr="00515A3A" w:rsidRDefault="005037D6" w:rsidP="008D292E">
      <w:pPr>
        <w:pStyle w:val="Body"/>
        <w:tabs>
          <w:tab w:val="left" w:pos="567"/>
        </w:tabs>
        <w:spacing w:after="40"/>
      </w:pPr>
      <w:r w:rsidRPr="00515A3A">
        <w:t>CDC –</w:t>
      </w:r>
      <w:r>
        <w:t xml:space="preserve"> </w:t>
      </w:r>
      <w:hyperlink r:id="rId62" w:history="1">
        <w:r w:rsidRPr="00282A5A">
          <w:rPr>
            <w:rStyle w:val="Hyperlink"/>
          </w:rPr>
          <w:t>PPE: Confirmed Patients and Clinically Unstable Patients Suspected to have VHF</w:t>
        </w:r>
      </w:hyperlink>
      <w:r>
        <w:t xml:space="preserve"> </w:t>
      </w:r>
      <w:r w:rsidR="00282A5A">
        <w:t>&lt;</w:t>
      </w:r>
      <w:r w:rsidR="00282A5A" w:rsidRPr="009F4346">
        <w:t>https://www.cdc.gov/viral-hemorrhagic-fevers/hcp/guidance/ppe-clinically-unstable.html</w:t>
      </w:r>
      <w:r w:rsidR="00282A5A">
        <w:t>&gt;</w:t>
      </w:r>
    </w:p>
    <w:p w14:paraId="6386D3B7" w14:textId="02B89489" w:rsidR="005037D6" w:rsidRPr="00515A3A" w:rsidRDefault="005037D6" w:rsidP="008D292E">
      <w:pPr>
        <w:pStyle w:val="Body"/>
        <w:tabs>
          <w:tab w:val="left" w:pos="567"/>
        </w:tabs>
        <w:spacing w:after="40"/>
      </w:pPr>
      <w:r>
        <w:t xml:space="preserve">WHO – </w:t>
      </w:r>
      <w:hyperlink r:id="rId63">
        <w:r w:rsidRPr="4C73E55D">
          <w:rPr>
            <w:rStyle w:val="Hyperlink"/>
          </w:rPr>
          <w:t>Infection prevention and control guideline for Ebola and Marburg disease, August 2023</w:t>
        </w:r>
      </w:hyperlink>
      <w:r>
        <w:t xml:space="preserve"> &lt;https://www.who.int/publications/i/item/WHO-WPE-CRS-HCR-2023.1&gt;</w:t>
      </w:r>
    </w:p>
    <w:p w14:paraId="7561F128" w14:textId="08C1481F" w:rsidR="00E41350" w:rsidRDefault="00282A5A" w:rsidP="008D292E">
      <w:pPr>
        <w:pStyle w:val="Body"/>
        <w:tabs>
          <w:tab w:val="left" w:pos="567"/>
        </w:tabs>
        <w:spacing w:after="40"/>
        <w:sectPr w:rsidR="00E41350" w:rsidSect="005037D6">
          <w:headerReference w:type="default" r:id="rId64"/>
          <w:headerReference w:type="first" r:id="rId65"/>
          <w:pgSz w:w="11906" w:h="16838" w:code="9"/>
          <w:pgMar w:top="1418" w:right="1304" w:bottom="1134" w:left="1304" w:header="680" w:footer="509" w:gutter="0"/>
          <w:cols w:space="340"/>
          <w:titlePg/>
          <w:docGrid w:linePitch="360"/>
        </w:sectPr>
      </w:pPr>
      <w:r>
        <w:t xml:space="preserve">Department of Health, Disability and Ageing – </w:t>
      </w:r>
      <w:hyperlink r:id="rId66" w:history="1">
        <w:r w:rsidR="005037D6" w:rsidRPr="009F4346">
          <w:rPr>
            <w:rStyle w:val="Hyperlink"/>
          </w:rPr>
          <w:t>Infection prevention and control principles and recommendations for Ebola virus disease</w:t>
        </w:r>
      </w:hyperlink>
      <w:r>
        <w:t xml:space="preserve"> </w:t>
      </w:r>
      <w:r w:rsidR="005037D6">
        <w:t>&lt;</w:t>
      </w:r>
      <w:r w:rsidR="005037D6" w:rsidRPr="008D7E4F">
        <w:t>https://www.health.gov.au/resources/publications/infection-prevention-and-control-principles-and-recommendations-for-ebola-virus-disease</w:t>
      </w:r>
      <w:r w:rsidR="005037D6">
        <w:t>&gt;</w:t>
      </w:r>
    </w:p>
    <w:p w14:paraId="6AC54DFD" w14:textId="77777777" w:rsidR="00E41350" w:rsidRPr="00F45586" w:rsidRDefault="00E41350" w:rsidP="008D292E">
      <w:pPr>
        <w:pStyle w:val="Heading1"/>
        <w:numPr>
          <w:ilvl w:val="0"/>
          <w:numId w:val="40"/>
        </w:numPr>
        <w:tabs>
          <w:tab w:val="num" w:pos="397"/>
          <w:tab w:val="left" w:pos="567"/>
        </w:tabs>
        <w:ind w:left="397" w:hanging="397"/>
      </w:pPr>
      <w:bookmarkStart w:id="68" w:name="_Toc217022559"/>
      <w:r>
        <w:lastRenderedPageBreak/>
        <w:t>Acronyms and abbreviations</w:t>
      </w:r>
      <w:bookmarkEnd w:id="68"/>
    </w:p>
    <w:p w14:paraId="2E4DD002" w14:textId="77777777" w:rsidR="00E41350" w:rsidRDefault="00E41350" w:rsidP="008D292E">
      <w:pPr>
        <w:pStyle w:val="Body"/>
        <w:tabs>
          <w:tab w:val="left" w:pos="567"/>
          <w:tab w:val="left" w:pos="1701"/>
        </w:tabs>
      </w:pPr>
      <w:r>
        <w:t>ABHR</w:t>
      </w:r>
      <w:r>
        <w:tab/>
        <w:t>alcohol-based hand rub</w:t>
      </w:r>
    </w:p>
    <w:p w14:paraId="7A31A22F" w14:textId="776234BD" w:rsidR="00E41350" w:rsidRDefault="00E41350" w:rsidP="008D292E">
      <w:pPr>
        <w:pStyle w:val="Body"/>
        <w:tabs>
          <w:tab w:val="left" w:pos="567"/>
          <w:tab w:val="left" w:pos="1701"/>
        </w:tabs>
      </w:pPr>
      <w:r>
        <w:t>AGP</w:t>
      </w:r>
      <w:r>
        <w:tab/>
      </w:r>
      <w:r w:rsidR="002866A8">
        <w:tab/>
      </w:r>
      <w:r>
        <w:t>aerosol-generating procedure</w:t>
      </w:r>
    </w:p>
    <w:p w14:paraId="5D27CD86" w14:textId="0D8E2DBA" w:rsidR="00E41350" w:rsidRDefault="00E41350" w:rsidP="008D292E">
      <w:pPr>
        <w:pStyle w:val="Body"/>
        <w:tabs>
          <w:tab w:val="left" w:pos="567"/>
          <w:tab w:val="left" w:pos="1701"/>
        </w:tabs>
      </w:pPr>
      <w:r>
        <w:t>AHF</w:t>
      </w:r>
      <w:r>
        <w:tab/>
      </w:r>
      <w:r w:rsidR="002866A8">
        <w:tab/>
      </w:r>
      <w:r w:rsidRPr="004D3A24">
        <w:t>Argentine haemorrhagic fever</w:t>
      </w:r>
    </w:p>
    <w:p w14:paraId="5B046F9C" w14:textId="77777777" w:rsidR="00E41350" w:rsidRDefault="00E41350" w:rsidP="008D292E">
      <w:pPr>
        <w:pStyle w:val="Body"/>
        <w:tabs>
          <w:tab w:val="left" w:pos="567"/>
          <w:tab w:val="left" w:pos="1701"/>
        </w:tabs>
      </w:pPr>
      <w:r>
        <w:t>ANDV</w:t>
      </w:r>
      <w:r>
        <w:tab/>
        <w:t>Andes haemorrhagic fever</w:t>
      </w:r>
    </w:p>
    <w:p w14:paraId="543A9D05" w14:textId="227CDDD0" w:rsidR="00E41350" w:rsidRDefault="00E41350" w:rsidP="008D292E">
      <w:pPr>
        <w:pStyle w:val="Body"/>
        <w:tabs>
          <w:tab w:val="left" w:pos="567"/>
          <w:tab w:val="left" w:pos="1701"/>
        </w:tabs>
      </w:pPr>
      <w:r>
        <w:t>ARV</w:t>
      </w:r>
      <w:r>
        <w:tab/>
      </w:r>
      <w:r w:rsidR="002866A8">
        <w:tab/>
      </w:r>
      <w:r>
        <w:t>Adult Retrieval Victoria</w:t>
      </w:r>
    </w:p>
    <w:p w14:paraId="67A6B17D" w14:textId="2B56329B" w:rsidR="00E41350" w:rsidRDefault="00E41350" w:rsidP="008D292E">
      <w:pPr>
        <w:pStyle w:val="Body"/>
        <w:tabs>
          <w:tab w:val="left" w:pos="567"/>
          <w:tab w:val="left" w:pos="1701"/>
        </w:tabs>
      </w:pPr>
      <w:r>
        <w:t>AV</w:t>
      </w:r>
      <w:r>
        <w:tab/>
      </w:r>
      <w:r w:rsidR="002866A8">
        <w:tab/>
      </w:r>
      <w:r>
        <w:t>Ambulance Victoria</w:t>
      </w:r>
    </w:p>
    <w:p w14:paraId="00F3FF1A" w14:textId="24E02712" w:rsidR="00E41350" w:rsidRDefault="00E41350" w:rsidP="008D292E">
      <w:pPr>
        <w:pStyle w:val="Body"/>
        <w:tabs>
          <w:tab w:val="left" w:pos="567"/>
          <w:tab w:val="left" w:pos="1701"/>
        </w:tabs>
      </w:pPr>
      <w:r>
        <w:t>BHF</w:t>
      </w:r>
      <w:r>
        <w:tab/>
      </w:r>
      <w:r w:rsidR="002866A8">
        <w:tab/>
      </w:r>
      <w:r w:rsidRPr="004D3A24">
        <w:t>Bolivian haemorrhagic fever</w:t>
      </w:r>
    </w:p>
    <w:p w14:paraId="2B8E3122" w14:textId="1226A8A6" w:rsidR="00E41350" w:rsidRPr="004D55E3" w:rsidRDefault="00E41350" w:rsidP="008D292E">
      <w:pPr>
        <w:pStyle w:val="Body"/>
        <w:tabs>
          <w:tab w:val="left" w:pos="567"/>
          <w:tab w:val="left" w:pos="1701"/>
        </w:tabs>
      </w:pPr>
      <w:r>
        <w:t>CCHF</w:t>
      </w:r>
      <w:r>
        <w:tab/>
        <w:t>Crimean-Congo haemorrhagic fever</w:t>
      </w:r>
    </w:p>
    <w:p w14:paraId="08FFB109" w14:textId="4647B14F" w:rsidR="00E41350" w:rsidRDefault="00E41350" w:rsidP="008D292E">
      <w:pPr>
        <w:pStyle w:val="Body"/>
        <w:tabs>
          <w:tab w:val="left" w:pos="567"/>
          <w:tab w:val="left" w:pos="1701"/>
        </w:tabs>
      </w:pPr>
      <w:r>
        <w:t>CDC</w:t>
      </w:r>
      <w:r>
        <w:tab/>
      </w:r>
      <w:r>
        <w:tab/>
      </w:r>
      <w:proofErr w:type="spellStart"/>
      <w:r>
        <w:t>Centers</w:t>
      </w:r>
      <w:proofErr w:type="spellEnd"/>
      <w:r>
        <w:t xml:space="preserve"> for Disease Control and Prevention</w:t>
      </w:r>
    </w:p>
    <w:p w14:paraId="5437506A" w14:textId="77777777" w:rsidR="00E41350" w:rsidRDefault="00E41350" w:rsidP="008D292E">
      <w:pPr>
        <w:pStyle w:val="Body"/>
        <w:tabs>
          <w:tab w:val="left" w:pos="567"/>
          <w:tab w:val="left" w:pos="1701"/>
        </w:tabs>
      </w:pPr>
      <w:r>
        <w:t>CDNA</w:t>
      </w:r>
      <w:r>
        <w:tab/>
        <w:t>Communicable Disease Network Australia</w:t>
      </w:r>
    </w:p>
    <w:p w14:paraId="4B2DC327" w14:textId="476A0063" w:rsidR="00E41350" w:rsidRPr="004D55E3" w:rsidRDefault="00E41350" w:rsidP="008D292E">
      <w:pPr>
        <w:pStyle w:val="Body"/>
        <w:tabs>
          <w:tab w:val="left" w:pos="567"/>
          <w:tab w:val="left" w:pos="1701"/>
        </w:tabs>
      </w:pPr>
      <w:r>
        <w:t>CSR</w:t>
      </w:r>
      <w:r>
        <w:rPr>
          <w:szCs w:val="21"/>
        </w:rPr>
        <w:tab/>
      </w:r>
      <w:r w:rsidR="002866A8">
        <w:rPr>
          <w:szCs w:val="21"/>
        </w:rPr>
        <w:tab/>
      </w:r>
      <w:r w:rsidRPr="00EA6D25">
        <w:t>Central Specimen Reception</w:t>
      </w:r>
    </w:p>
    <w:p w14:paraId="35A47A3F" w14:textId="489DA3E4" w:rsidR="00E41350" w:rsidRPr="004D55E3" w:rsidRDefault="00E41350" w:rsidP="008D292E">
      <w:pPr>
        <w:pStyle w:val="Body"/>
        <w:tabs>
          <w:tab w:val="left" w:pos="567"/>
          <w:tab w:val="left" w:pos="1701"/>
        </w:tabs>
      </w:pPr>
      <w:r>
        <w:t>DAFF</w:t>
      </w:r>
      <w:r>
        <w:rPr>
          <w:szCs w:val="21"/>
        </w:rPr>
        <w:tab/>
      </w:r>
      <w:r w:rsidR="002866A8">
        <w:rPr>
          <w:szCs w:val="21"/>
        </w:rPr>
        <w:tab/>
      </w:r>
      <w:r>
        <w:t>Department of Agriculture, Fisheries and Forestry</w:t>
      </w:r>
    </w:p>
    <w:p w14:paraId="01F29CE1" w14:textId="77777777" w:rsidR="00E41350" w:rsidRPr="004D55E3" w:rsidRDefault="00E41350" w:rsidP="008D292E">
      <w:pPr>
        <w:pStyle w:val="Body"/>
        <w:tabs>
          <w:tab w:val="left" w:pos="567"/>
          <w:tab w:val="left" w:pos="1701"/>
        </w:tabs>
      </w:pPr>
      <w:r>
        <w:t>DCHO-CD</w:t>
      </w:r>
      <w:r>
        <w:tab/>
        <w:t>Deputy Chief Health Officer (Communicable Disease)</w:t>
      </w:r>
    </w:p>
    <w:p w14:paraId="6859C0B2" w14:textId="62A53812" w:rsidR="00E41350" w:rsidRPr="004D55E3" w:rsidRDefault="00E41350" w:rsidP="008D292E">
      <w:pPr>
        <w:pStyle w:val="Body"/>
        <w:tabs>
          <w:tab w:val="left" w:pos="567"/>
          <w:tab w:val="left" w:pos="1701"/>
        </w:tabs>
      </w:pPr>
      <w:r>
        <w:t>EIA</w:t>
      </w:r>
      <w:r>
        <w:tab/>
      </w:r>
      <w:r w:rsidR="002866A8">
        <w:tab/>
      </w:r>
      <w:r>
        <w:t>enzyme immunoassay (</w:t>
      </w:r>
      <w:r w:rsidRPr="00EA6D25">
        <w:t>EIA</w:t>
      </w:r>
      <w:r>
        <w:t>)</w:t>
      </w:r>
    </w:p>
    <w:p w14:paraId="564252A4" w14:textId="7764E6FF" w:rsidR="00E41350" w:rsidRDefault="00E41350" w:rsidP="008D292E">
      <w:pPr>
        <w:pStyle w:val="Body"/>
        <w:tabs>
          <w:tab w:val="left" w:pos="567"/>
          <w:tab w:val="left" w:pos="1701"/>
        </w:tabs>
      </w:pPr>
      <w:r>
        <w:t>ELR</w:t>
      </w:r>
      <w:r>
        <w:tab/>
      </w:r>
      <w:r w:rsidR="002866A8">
        <w:tab/>
      </w:r>
      <w:r>
        <w:t>electronic laboratory reporting</w:t>
      </w:r>
    </w:p>
    <w:p w14:paraId="49693F96" w14:textId="74FECA61" w:rsidR="00E41350" w:rsidRPr="004D55E3" w:rsidRDefault="00E41350" w:rsidP="008D292E">
      <w:pPr>
        <w:pStyle w:val="Body"/>
        <w:tabs>
          <w:tab w:val="left" w:pos="567"/>
          <w:tab w:val="left" w:pos="1701"/>
        </w:tabs>
      </w:pPr>
      <w:r>
        <w:t>EPA</w:t>
      </w:r>
      <w:r>
        <w:tab/>
      </w:r>
      <w:r>
        <w:tab/>
        <w:t>Environmental Protection Authority Victoria</w:t>
      </w:r>
    </w:p>
    <w:p w14:paraId="65B92772" w14:textId="6DA6F448" w:rsidR="00E41350" w:rsidRPr="004D55E3" w:rsidRDefault="00E41350" w:rsidP="008D292E">
      <w:pPr>
        <w:pStyle w:val="Body"/>
        <w:tabs>
          <w:tab w:val="left" w:pos="567"/>
          <w:tab w:val="left" w:pos="1701"/>
        </w:tabs>
      </w:pPr>
      <w:r>
        <w:t>EVD</w:t>
      </w:r>
      <w:r>
        <w:tab/>
      </w:r>
      <w:r w:rsidR="002866A8">
        <w:tab/>
      </w:r>
      <w:r>
        <w:t>Ebola virus disease</w:t>
      </w:r>
    </w:p>
    <w:p w14:paraId="0B2B24F9" w14:textId="38F6508A" w:rsidR="00E41350" w:rsidRDefault="00E41350" w:rsidP="008D292E">
      <w:pPr>
        <w:pStyle w:val="Body"/>
        <w:tabs>
          <w:tab w:val="left" w:pos="567"/>
          <w:tab w:val="left" w:pos="1701"/>
        </w:tabs>
      </w:pPr>
      <w:r>
        <w:t>HCW</w:t>
      </w:r>
      <w:r>
        <w:tab/>
      </w:r>
      <w:r w:rsidR="002866A8">
        <w:tab/>
      </w:r>
      <w:r>
        <w:t>health care workers</w:t>
      </w:r>
    </w:p>
    <w:p w14:paraId="11360ECB" w14:textId="77777777" w:rsidR="00E41350" w:rsidRPr="004D55E3" w:rsidRDefault="00E41350" w:rsidP="008D292E">
      <w:pPr>
        <w:pStyle w:val="Body"/>
        <w:tabs>
          <w:tab w:val="left" w:pos="567"/>
          <w:tab w:val="left" w:pos="1701"/>
        </w:tabs>
      </w:pPr>
      <w:r>
        <w:t>HESP</w:t>
      </w:r>
      <w:r>
        <w:tab/>
      </w:r>
      <w:r w:rsidRPr="006C08C1">
        <w:t>Health Emergencies Sub-Plan</w:t>
      </w:r>
    </w:p>
    <w:p w14:paraId="61E24D46" w14:textId="5C7C84A4" w:rsidR="00E41350" w:rsidRDefault="00E41350" w:rsidP="008D292E">
      <w:pPr>
        <w:pStyle w:val="Body"/>
        <w:tabs>
          <w:tab w:val="left" w:pos="567"/>
          <w:tab w:val="left" w:pos="1701"/>
        </w:tabs>
        <w:rPr>
          <w:lang w:val="en-US"/>
        </w:rPr>
      </w:pPr>
      <w:r>
        <w:t>HBO</w:t>
      </w:r>
      <w:r>
        <w:tab/>
      </w:r>
      <w:r w:rsidR="002866A8">
        <w:tab/>
      </w:r>
      <w:r w:rsidRPr="671B1AAA">
        <w:rPr>
          <w:lang w:val="en-US"/>
        </w:rPr>
        <w:t xml:space="preserve">Human Biosecurity Officer </w:t>
      </w:r>
    </w:p>
    <w:p w14:paraId="41BB53DE" w14:textId="2FF95E7F" w:rsidR="00E41350" w:rsidRPr="004D55E3" w:rsidRDefault="00E41350" w:rsidP="008D292E">
      <w:pPr>
        <w:pStyle w:val="Body"/>
        <w:tabs>
          <w:tab w:val="left" w:pos="567"/>
          <w:tab w:val="left" w:pos="1701"/>
        </w:tabs>
      </w:pPr>
      <w:r>
        <w:t>IgG</w:t>
      </w:r>
      <w:r>
        <w:rPr>
          <w:szCs w:val="21"/>
        </w:rPr>
        <w:tab/>
      </w:r>
      <w:r w:rsidR="002866A8">
        <w:rPr>
          <w:szCs w:val="21"/>
        </w:rPr>
        <w:tab/>
      </w:r>
      <w:r>
        <w:t>immunoglobulin G</w:t>
      </w:r>
    </w:p>
    <w:p w14:paraId="4A8D3288" w14:textId="0CAAFC97" w:rsidR="00E41350" w:rsidRDefault="00E41350" w:rsidP="008D292E">
      <w:pPr>
        <w:pStyle w:val="Body"/>
        <w:tabs>
          <w:tab w:val="left" w:pos="567"/>
          <w:tab w:val="left" w:pos="1701"/>
        </w:tabs>
      </w:pPr>
      <w:r>
        <w:t>IgM</w:t>
      </w:r>
      <w:r>
        <w:rPr>
          <w:szCs w:val="21"/>
        </w:rPr>
        <w:tab/>
      </w:r>
      <w:r w:rsidR="002866A8">
        <w:rPr>
          <w:szCs w:val="21"/>
        </w:rPr>
        <w:tab/>
      </w:r>
      <w:proofErr w:type="spellStart"/>
      <w:r>
        <w:t>iImmunoglobulin</w:t>
      </w:r>
      <w:proofErr w:type="spellEnd"/>
      <w:r>
        <w:t xml:space="preserve"> M</w:t>
      </w:r>
    </w:p>
    <w:p w14:paraId="25D85ECE" w14:textId="16A8E727" w:rsidR="00E41350" w:rsidRPr="004D55E3" w:rsidRDefault="00E41350" w:rsidP="008D292E">
      <w:pPr>
        <w:pStyle w:val="Body"/>
        <w:tabs>
          <w:tab w:val="left" w:pos="567"/>
          <w:tab w:val="left" w:pos="1701"/>
        </w:tabs>
      </w:pPr>
      <w:r>
        <w:t>IMT</w:t>
      </w:r>
      <w:r>
        <w:tab/>
      </w:r>
      <w:r w:rsidR="002866A8">
        <w:tab/>
      </w:r>
      <w:r>
        <w:t>incident management team</w:t>
      </w:r>
    </w:p>
    <w:p w14:paraId="78B9BEAD" w14:textId="68B882C8" w:rsidR="00E41350" w:rsidRDefault="00E41350" w:rsidP="008D292E">
      <w:pPr>
        <w:pStyle w:val="Body"/>
        <w:tabs>
          <w:tab w:val="left" w:pos="567"/>
          <w:tab w:val="left" w:pos="1701"/>
        </w:tabs>
      </w:pPr>
      <w:r>
        <w:t>IPC</w:t>
      </w:r>
      <w:r>
        <w:tab/>
      </w:r>
      <w:r w:rsidR="002866A8">
        <w:tab/>
      </w:r>
      <w:r>
        <w:t>infection prevention and control</w:t>
      </w:r>
    </w:p>
    <w:p w14:paraId="08D4FBBF" w14:textId="097E14AB" w:rsidR="00E41350" w:rsidRDefault="00E41350" w:rsidP="008D292E">
      <w:pPr>
        <w:pStyle w:val="Body"/>
        <w:tabs>
          <w:tab w:val="left" w:pos="567"/>
          <w:tab w:val="left" w:pos="1701"/>
        </w:tabs>
      </w:pPr>
      <w:r>
        <w:t>LF</w:t>
      </w:r>
      <w:r>
        <w:tab/>
      </w:r>
      <w:r w:rsidR="002866A8">
        <w:tab/>
      </w:r>
      <w:r>
        <w:t>Lassa fever</w:t>
      </w:r>
    </w:p>
    <w:p w14:paraId="6DCA7C77" w14:textId="44EB87B6" w:rsidR="00E41350" w:rsidRDefault="00E41350" w:rsidP="008D292E">
      <w:pPr>
        <w:pStyle w:val="Body"/>
        <w:tabs>
          <w:tab w:val="left" w:pos="567"/>
          <w:tab w:val="left" w:pos="1701"/>
        </w:tabs>
      </w:pPr>
      <w:r>
        <w:t>LHD</w:t>
      </w:r>
      <w:r>
        <w:tab/>
      </w:r>
      <w:r w:rsidR="002866A8">
        <w:tab/>
      </w:r>
      <w:r>
        <w:t>listed human disease</w:t>
      </w:r>
    </w:p>
    <w:p w14:paraId="0C15D646" w14:textId="1AC235AC" w:rsidR="00E41350" w:rsidRDefault="00E41350" w:rsidP="008D292E">
      <w:pPr>
        <w:pStyle w:val="Body"/>
        <w:tabs>
          <w:tab w:val="left" w:pos="567"/>
          <w:tab w:val="left" w:pos="1701"/>
        </w:tabs>
      </w:pPr>
      <w:r>
        <w:t>LPHU</w:t>
      </w:r>
      <w:r>
        <w:tab/>
      </w:r>
      <w:r>
        <w:tab/>
        <w:t>Local Public Health Unit</w:t>
      </w:r>
    </w:p>
    <w:p w14:paraId="3CC9E46A" w14:textId="2791D82F" w:rsidR="00E41350" w:rsidRPr="004D55E3" w:rsidRDefault="00E41350" w:rsidP="008D292E">
      <w:pPr>
        <w:pStyle w:val="Body"/>
        <w:tabs>
          <w:tab w:val="left" w:pos="567"/>
          <w:tab w:val="left" w:pos="1701"/>
        </w:tabs>
      </w:pPr>
      <w:r>
        <w:t>LUHF</w:t>
      </w:r>
      <w:r>
        <w:tab/>
      </w:r>
      <w:r>
        <w:tab/>
      </w:r>
      <w:proofErr w:type="spellStart"/>
      <w:r w:rsidRPr="004D3A24">
        <w:t>Lujo</w:t>
      </w:r>
      <w:proofErr w:type="spellEnd"/>
      <w:r w:rsidRPr="004D3A24">
        <w:t xml:space="preserve"> haemorrhagic fever</w:t>
      </w:r>
    </w:p>
    <w:p w14:paraId="284C9E0F" w14:textId="211F4E9B" w:rsidR="00E41350" w:rsidRDefault="00E41350" w:rsidP="008D292E">
      <w:pPr>
        <w:pStyle w:val="Body"/>
        <w:tabs>
          <w:tab w:val="left" w:pos="567"/>
          <w:tab w:val="left" w:pos="1701"/>
        </w:tabs>
      </w:pPr>
      <w:r>
        <w:t>MVD</w:t>
      </w:r>
      <w:r>
        <w:rPr>
          <w:szCs w:val="21"/>
        </w:rPr>
        <w:tab/>
      </w:r>
      <w:r w:rsidR="002866A8">
        <w:rPr>
          <w:szCs w:val="21"/>
        </w:rPr>
        <w:tab/>
      </w:r>
      <w:r>
        <w:t>Marburg virus disease</w:t>
      </w:r>
    </w:p>
    <w:p w14:paraId="1E588057" w14:textId="49174761" w:rsidR="00E41350" w:rsidRPr="004D55E3" w:rsidRDefault="00E41350" w:rsidP="008D292E">
      <w:pPr>
        <w:pStyle w:val="Body"/>
        <w:tabs>
          <w:tab w:val="left" w:pos="567"/>
          <w:tab w:val="left" w:pos="1701"/>
        </w:tabs>
      </w:pPr>
      <w:r>
        <w:t>NATA</w:t>
      </w:r>
      <w:r>
        <w:rPr>
          <w:szCs w:val="21"/>
        </w:rPr>
        <w:tab/>
      </w:r>
      <w:r w:rsidR="002866A8">
        <w:rPr>
          <w:szCs w:val="21"/>
        </w:rPr>
        <w:tab/>
      </w:r>
      <w:r>
        <w:t>National Association of Testing Authorities</w:t>
      </w:r>
    </w:p>
    <w:p w14:paraId="444049BF" w14:textId="77777777" w:rsidR="00E41350" w:rsidRPr="004D55E3" w:rsidRDefault="00E41350" w:rsidP="008D292E">
      <w:pPr>
        <w:pStyle w:val="Body"/>
        <w:tabs>
          <w:tab w:val="left" w:pos="567"/>
          <w:tab w:val="left" w:pos="1701"/>
        </w:tabs>
      </w:pPr>
      <w:r>
        <w:t>NHSQL</w:t>
      </w:r>
      <w:r>
        <w:rPr>
          <w:szCs w:val="21"/>
        </w:rPr>
        <w:tab/>
      </w:r>
      <w:r>
        <w:t>National Health Security Quarantine Laboratory</w:t>
      </w:r>
    </w:p>
    <w:p w14:paraId="2183EAE3" w14:textId="77777777" w:rsidR="00E41350" w:rsidRDefault="00E41350" w:rsidP="008D292E">
      <w:pPr>
        <w:pStyle w:val="Body"/>
        <w:tabs>
          <w:tab w:val="left" w:pos="567"/>
          <w:tab w:val="left" w:pos="1701"/>
        </w:tabs>
      </w:pPr>
      <w:r>
        <w:t>PAPR</w:t>
      </w:r>
      <w:r>
        <w:tab/>
        <w:t>powered air purifying respirators</w:t>
      </w:r>
    </w:p>
    <w:p w14:paraId="5CD6C76D" w14:textId="134F0572" w:rsidR="00E41350" w:rsidRPr="004D55E3" w:rsidRDefault="00E41350" w:rsidP="008D292E">
      <w:pPr>
        <w:pStyle w:val="Body"/>
        <w:tabs>
          <w:tab w:val="left" w:pos="567"/>
          <w:tab w:val="left" w:pos="1701"/>
        </w:tabs>
      </w:pPr>
      <w:r>
        <w:lastRenderedPageBreak/>
        <w:t>PC2</w:t>
      </w:r>
      <w:r>
        <w:rPr>
          <w:szCs w:val="21"/>
        </w:rPr>
        <w:tab/>
      </w:r>
      <w:r w:rsidR="002866A8">
        <w:rPr>
          <w:szCs w:val="21"/>
        </w:rPr>
        <w:tab/>
      </w:r>
      <w:r>
        <w:t xml:space="preserve">Physical Containment 2 </w:t>
      </w:r>
    </w:p>
    <w:p w14:paraId="36AD8CF2" w14:textId="5990A042" w:rsidR="00E41350" w:rsidRDefault="00E41350" w:rsidP="008D292E">
      <w:pPr>
        <w:pStyle w:val="Body"/>
        <w:tabs>
          <w:tab w:val="left" w:pos="567"/>
          <w:tab w:val="left" w:pos="1701"/>
        </w:tabs>
      </w:pPr>
      <w:r>
        <w:t>PC4</w:t>
      </w:r>
      <w:r>
        <w:rPr>
          <w:szCs w:val="21"/>
        </w:rPr>
        <w:tab/>
      </w:r>
      <w:r w:rsidR="002866A8">
        <w:rPr>
          <w:szCs w:val="21"/>
        </w:rPr>
        <w:tab/>
      </w:r>
      <w:r>
        <w:t>Physical Containment 4</w:t>
      </w:r>
    </w:p>
    <w:p w14:paraId="3B04EC6B" w14:textId="77777777" w:rsidR="00E41350" w:rsidRPr="004D55E3" w:rsidRDefault="00E41350" w:rsidP="008D292E">
      <w:pPr>
        <w:pStyle w:val="Body"/>
        <w:tabs>
          <w:tab w:val="left" w:pos="567"/>
          <w:tab w:val="left" w:pos="1701"/>
        </w:tabs>
      </w:pPr>
      <w:r>
        <w:t>PHEIC</w:t>
      </w:r>
      <w:r>
        <w:tab/>
      </w:r>
      <w:r>
        <w:rPr>
          <w:szCs w:val="21"/>
        </w:rPr>
        <w:t>public health emergency of international concern</w:t>
      </w:r>
    </w:p>
    <w:p w14:paraId="46EE89CE" w14:textId="1C60E682" w:rsidR="00E41350" w:rsidRPr="004D55E3" w:rsidRDefault="00E41350" w:rsidP="008D292E">
      <w:pPr>
        <w:pStyle w:val="Body"/>
        <w:tabs>
          <w:tab w:val="left" w:pos="567"/>
          <w:tab w:val="left" w:pos="1701"/>
        </w:tabs>
      </w:pPr>
      <w:r>
        <w:t>PHLN</w:t>
      </w:r>
      <w:r>
        <w:tab/>
      </w:r>
      <w:r>
        <w:tab/>
        <w:t>Public Health Laboratory Network</w:t>
      </w:r>
    </w:p>
    <w:p w14:paraId="482981DF" w14:textId="77777777" w:rsidR="00E41350" w:rsidRDefault="00E41350" w:rsidP="008D292E">
      <w:pPr>
        <w:pStyle w:val="Body"/>
        <w:tabs>
          <w:tab w:val="left" w:pos="567"/>
          <w:tab w:val="left" w:pos="1701"/>
        </w:tabs>
      </w:pPr>
      <w:r>
        <w:t>PIPER</w:t>
      </w:r>
      <w:r>
        <w:tab/>
        <w:t>Paediatric Infant Perinatal Emergency Retrieval</w:t>
      </w:r>
    </w:p>
    <w:p w14:paraId="7B682046" w14:textId="4C77DD98" w:rsidR="00E41350" w:rsidRDefault="00E41350" w:rsidP="008D292E">
      <w:pPr>
        <w:pStyle w:val="Body"/>
        <w:tabs>
          <w:tab w:val="left" w:pos="567"/>
          <w:tab w:val="left" w:pos="1701"/>
        </w:tabs>
      </w:pPr>
      <w:r>
        <w:t>PPE</w:t>
      </w:r>
      <w:r>
        <w:rPr>
          <w:szCs w:val="21"/>
        </w:rPr>
        <w:tab/>
      </w:r>
      <w:r w:rsidR="002866A8">
        <w:rPr>
          <w:szCs w:val="21"/>
        </w:rPr>
        <w:tab/>
      </w:r>
      <w:r>
        <w:t>personal protective equipment</w:t>
      </w:r>
    </w:p>
    <w:p w14:paraId="64AB1C95" w14:textId="2D7CFE4A" w:rsidR="00E41350" w:rsidRDefault="00E41350" w:rsidP="008D292E">
      <w:pPr>
        <w:pStyle w:val="Body"/>
        <w:tabs>
          <w:tab w:val="left" w:pos="567"/>
          <w:tab w:val="left" w:pos="1701"/>
        </w:tabs>
      </w:pPr>
      <w:r>
        <w:t>ppm</w:t>
      </w:r>
      <w:r>
        <w:tab/>
      </w:r>
      <w:r w:rsidR="002866A8">
        <w:tab/>
      </w:r>
      <w:r>
        <w:t>parts per million</w:t>
      </w:r>
    </w:p>
    <w:p w14:paraId="73168078" w14:textId="2F343034" w:rsidR="00E41350" w:rsidRDefault="00E41350" w:rsidP="008D292E">
      <w:pPr>
        <w:pStyle w:val="Body"/>
        <w:tabs>
          <w:tab w:val="left" w:pos="567"/>
          <w:tab w:val="left" w:pos="1701"/>
        </w:tabs>
      </w:pPr>
      <w:r>
        <w:t>RCH</w:t>
      </w:r>
      <w:r>
        <w:tab/>
      </w:r>
      <w:r w:rsidR="002866A8">
        <w:tab/>
      </w:r>
      <w:r>
        <w:t>The Royal Children’s Hospital</w:t>
      </w:r>
    </w:p>
    <w:p w14:paraId="04B43712" w14:textId="002A1422" w:rsidR="00E41350" w:rsidRPr="004D55E3" w:rsidRDefault="00E41350" w:rsidP="008D292E">
      <w:pPr>
        <w:pStyle w:val="Body"/>
        <w:tabs>
          <w:tab w:val="left" w:pos="567"/>
          <w:tab w:val="left" w:pos="1701"/>
        </w:tabs>
      </w:pPr>
      <w:r>
        <w:t>RMH</w:t>
      </w:r>
      <w:r>
        <w:rPr>
          <w:szCs w:val="21"/>
        </w:rPr>
        <w:tab/>
      </w:r>
      <w:r w:rsidR="002866A8">
        <w:rPr>
          <w:szCs w:val="21"/>
        </w:rPr>
        <w:tab/>
      </w:r>
      <w:r>
        <w:rPr>
          <w:szCs w:val="21"/>
        </w:rPr>
        <w:t xml:space="preserve">The </w:t>
      </w:r>
      <w:r>
        <w:t>Royal Melbourne Hospital</w:t>
      </w:r>
    </w:p>
    <w:p w14:paraId="10B16A89" w14:textId="1FB9B658" w:rsidR="00E41350" w:rsidRDefault="00E41350" w:rsidP="008D292E">
      <w:pPr>
        <w:pStyle w:val="Body"/>
        <w:tabs>
          <w:tab w:val="left" w:pos="567"/>
          <w:tab w:val="left" w:pos="1701"/>
        </w:tabs>
      </w:pPr>
      <w:r>
        <w:t>RT-PCR</w:t>
      </w:r>
      <w:r>
        <w:tab/>
        <w:t>reverse transcriptase polymerase chain reaction</w:t>
      </w:r>
    </w:p>
    <w:p w14:paraId="0150B7B4" w14:textId="090C69D1" w:rsidR="00E41350" w:rsidRPr="004D55E3" w:rsidRDefault="00E41350" w:rsidP="008D292E">
      <w:pPr>
        <w:pStyle w:val="Body"/>
        <w:tabs>
          <w:tab w:val="left" w:pos="567"/>
          <w:tab w:val="left" w:pos="1701"/>
        </w:tabs>
      </w:pPr>
      <w:r w:rsidRPr="00EA6D25">
        <w:t>RT-</w:t>
      </w:r>
      <w:r>
        <w:t>qPCR</w:t>
      </w:r>
      <w:r>
        <w:tab/>
        <w:t>real-time quantitative reverse transcription polymerase chain reaction</w:t>
      </w:r>
    </w:p>
    <w:p w14:paraId="10A43522" w14:textId="77777777" w:rsidR="00E41350" w:rsidRPr="004D55E3" w:rsidRDefault="00E41350" w:rsidP="008D292E">
      <w:pPr>
        <w:pStyle w:val="Body"/>
        <w:tabs>
          <w:tab w:val="left" w:pos="567"/>
          <w:tab w:val="left" w:pos="1701"/>
        </w:tabs>
      </w:pPr>
      <w:r w:rsidRPr="006C08C1">
        <w:t>SEMP</w:t>
      </w:r>
      <w:r>
        <w:tab/>
      </w:r>
      <w:r w:rsidRPr="006C08C1">
        <w:t xml:space="preserve">State Emergency Management Plan </w:t>
      </w:r>
    </w:p>
    <w:p w14:paraId="06970A6F" w14:textId="69531CA3" w:rsidR="00E41350" w:rsidRDefault="00E41350" w:rsidP="008D292E">
      <w:pPr>
        <w:pStyle w:val="Body"/>
        <w:tabs>
          <w:tab w:val="left" w:pos="567"/>
          <w:tab w:val="left" w:pos="1701"/>
        </w:tabs>
      </w:pPr>
      <w:r>
        <w:t>SFTS</w:t>
      </w:r>
      <w:r>
        <w:tab/>
      </w:r>
      <w:r w:rsidR="002866A8">
        <w:tab/>
      </w:r>
      <w:r w:rsidR="00D3205B">
        <w:t>S</w:t>
      </w:r>
      <w:r>
        <w:t xml:space="preserve">evere </w:t>
      </w:r>
      <w:r w:rsidR="00D3205B">
        <w:t>F</w:t>
      </w:r>
      <w:r>
        <w:t xml:space="preserve">ever with </w:t>
      </w:r>
      <w:r w:rsidR="00D3205B">
        <w:t>T</w:t>
      </w:r>
      <w:r>
        <w:t xml:space="preserve">hrombocytopenia </w:t>
      </w:r>
      <w:r w:rsidR="00D3205B">
        <w:t>S</w:t>
      </w:r>
      <w:r>
        <w:t>yndrome</w:t>
      </w:r>
    </w:p>
    <w:p w14:paraId="75FE22F9" w14:textId="347E9393" w:rsidR="00E41350" w:rsidRDefault="00E41350" w:rsidP="008D292E">
      <w:pPr>
        <w:pStyle w:val="Body"/>
        <w:tabs>
          <w:tab w:val="left" w:pos="567"/>
          <w:tab w:val="left" w:pos="1701"/>
        </w:tabs>
      </w:pPr>
      <w:r>
        <w:t>TGA</w:t>
      </w:r>
      <w:r>
        <w:tab/>
      </w:r>
      <w:r w:rsidR="002866A8">
        <w:tab/>
      </w:r>
      <w:r>
        <w:t>Therapeutic Goods Administration</w:t>
      </w:r>
    </w:p>
    <w:p w14:paraId="31909395" w14:textId="77777777" w:rsidR="00E41350" w:rsidRDefault="00E41350" w:rsidP="008D292E">
      <w:pPr>
        <w:pStyle w:val="Body"/>
        <w:tabs>
          <w:tab w:val="left" w:pos="567"/>
          <w:tab w:val="left" w:pos="1701"/>
        </w:tabs>
      </w:pPr>
      <w:r>
        <w:t>the department</w:t>
      </w:r>
      <w:r>
        <w:tab/>
        <w:t>Victorian Department of Health</w:t>
      </w:r>
    </w:p>
    <w:p w14:paraId="127A8EFA" w14:textId="76F04803" w:rsidR="00E41350" w:rsidRPr="004D55E3" w:rsidRDefault="00E41350" w:rsidP="008D292E">
      <w:pPr>
        <w:pStyle w:val="Body"/>
        <w:tabs>
          <w:tab w:val="left" w:pos="567"/>
          <w:tab w:val="left" w:pos="1701"/>
        </w:tabs>
      </w:pPr>
      <w:r>
        <w:t>VHF</w:t>
      </w:r>
      <w:r>
        <w:tab/>
      </w:r>
      <w:r w:rsidR="002866A8">
        <w:tab/>
      </w:r>
      <w:r>
        <w:t>viral haemorrhagic fever</w:t>
      </w:r>
    </w:p>
    <w:p w14:paraId="02CBCA1E" w14:textId="77777777" w:rsidR="00E41350" w:rsidRPr="004D55E3" w:rsidRDefault="00E41350" w:rsidP="008D292E">
      <w:pPr>
        <w:pStyle w:val="Body"/>
        <w:tabs>
          <w:tab w:val="left" w:pos="567"/>
          <w:tab w:val="left" w:pos="1701"/>
        </w:tabs>
      </w:pPr>
      <w:r>
        <w:t>VIDRL</w:t>
      </w:r>
      <w:r>
        <w:tab/>
        <w:t>Victorian Infectious Diseases Reference Laboratory</w:t>
      </w:r>
    </w:p>
    <w:p w14:paraId="5782D439" w14:textId="77777777" w:rsidR="00E41350" w:rsidRDefault="00E41350" w:rsidP="008D292E">
      <w:pPr>
        <w:tabs>
          <w:tab w:val="left" w:pos="567"/>
        </w:tabs>
        <w:spacing w:after="0" w:line="240" w:lineRule="auto"/>
        <w:rPr>
          <w:rFonts w:eastAsia="Times"/>
        </w:rPr>
      </w:pPr>
      <w:r>
        <w:br w:type="page"/>
      </w:r>
    </w:p>
    <w:p w14:paraId="4675103C" w14:textId="26C15504" w:rsidR="005037D6" w:rsidRPr="00515A3A" w:rsidRDefault="005037D6" w:rsidP="008D292E">
      <w:pPr>
        <w:pStyle w:val="Body"/>
        <w:tabs>
          <w:tab w:val="left" w:pos="567"/>
        </w:tabs>
        <w:spacing w:after="40"/>
      </w:pPr>
    </w:p>
    <w:p w14:paraId="454E1698" w14:textId="4AE0908F" w:rsidR="005037D6" w:rsidRDefault="005037D6" w:rsidP="008D292E">
      <w:pPr>
        <w:tabs>
          <w:tab w:val="left" w:pos="567"/>
        </w:tabs>
        <w:spacing w:after="0" w:line="240" w:lineRule="auto"/>
        <w:rPr>
          <w:rFonts w:eastAsia="Times"/>
        </w:rPr>
      </w:pPr>
      <w:r>
        <w:br w:type="page"/>
      </w:r>
    </w:p>
    <w:p w14:paraId="68F42D75" w14:textId="77777777" w:rsidR="00E41350" w:rsidRDefault="00E41350" w:rsidP="008D292E">
      <w:pPr>
        <w:pStyle w:val="Heading1"/>
        <w:tabs>
          <w:tab w:val="left" w:pos="567"/>
        </w:tabs>
        <w:sectPr w:rsidR="00E41350" w:rsidSect="005037D6">
          <w:headerReference w:type="default" r:id="rId67"/>
          <w:headerReference w:type="first" r:id="rId68"/>
          <w:pgSz w:w="11906" w:h="16838" w:code="9"/>
          <w:pgMar w:top="1418" w:right="1304" w:bottom="1134" w:left="1304" w:header="680" w:footer="509" w:gutter="0"/>
          <w:cols w:space="340"/>
          <w:titlePg/>
          <w:docGrid w:linePitch="360"/>
        </w:sectPr>
      </w:pPr>
      <w:bookmarkStart w:id="69" w:name="_Appendix_1:_Project"/>
      <w:bookmarkEnd w:id="69"/>
    </w:p>
    <w:p w14:paraId="73F3B667" w14:textId="77777777" w:rsidR="005037D6" w:rsidRDefault="005037D6" w:rsidP="008D292E">
      <w:pPr>
        <w:pStyle w:val="Heading1"/>
        <w:tabs>
          <w:tab w:val="left" w:pos="567"/>
        </w:tabs>
      </w:pPr>
      <w:bookmarkStart w:id="70" w:name="_Toc217022560"/>
      <w:r>
        <w:lastRenderedPageBreak/>
        <w:t>Appendix 1: Project governance</w:t>
      </w:r>
      <w:bookmarkEnd w:id="70"/>
      <w:r>
        <w:t xml:space="preserve"> </w:t>
      </w:r>
    </w:p>
    <w:p w14:paraId="67A9866D" w14:textId="77777777" w:rsidR="005037D6" w:rsidRPr="00BA58D0" w:rsidRDefault="005037D6" w:rsidP="008D292E">
      <w:pPr>
        <w:pStyle w:val="Body"/>
        <w:tabs>
          <w:tab w:val="left" w:pos="567"/>
        </w:tabs>
      </w:pPr>
      <w:r>
        <w:t>The following people contributed to the development of the first version of this guideline in 2025.</w:t>
      </w:r>
    </w:p>
    <w:tbl>
      <w:tblPr>
        <w:tblStyle w:val="TableGrid1"/>
        <w:tblW w:w="0" w:type="auto"/>
        <w:tblLook w:val="04A0" w:firstRow="1" w:lastRow="0" w:firstColumn="1" w:lastColumn="0" w:noHBand="0" w:noVBand="1"/>
      </w:tblPr>
      <w:tblGrid>
        <w:gridCol w:w="2003"/>
        <w:gridCol w:w="3240"/>
        <w:gridCol w:w="3937"/>
      </w:tblGrid>
      <w:tr w:rsidR="005037D6" w:rsidRPr="006C4517" w14:paraId="6C1D3306" w14:textId="77777777">
        <w:tc>
          <w:tcPr>
            <w:tcW w:w="2003" w:type="dxa"/>
          </w:tcPr>
          <w:p w14:paraId="6D96EAEC" w14:textId="77777777" w:rsidR="005037D6" w:rsidRPr="006C4517" w:rsidRDefault="005037D6" w:rsidP="008D292E">
            <w:pPr>
              <w:pStyle w:val="Tablecolhead"/>
              <w:tabs>
                <w:tab w:val="left" w:pos="567"/>
              </w:tabs>
            </w:pPr>
            <w:r w:rsidRPr="006C4517">
              <w:t>Name</w:t>
            </w:r>
          </w:p>
        </w:tc>
        <w:tc>
          <w:tcPr>
            <w:tcW w:w="3240" w:type="dxa"/>
          </w:tcPr>
          <w:p w14:paraId="51BF4C14" w14:textId="77777777" w:rsidR="005037D6" w:rsidRPr="006C4517" w:rsidRDefault="005037D6" w:rsidP="008D292E">
            <w:pPr>
              <w:pStyle w:val="Tablecolhead"/>
              <w:tabs>
                <w:tab w:val="left" w:pos="567"/>
              </w:tabs>
            </w:pPr>
            <w:r>
              <w:t xml:space="preserve">Affiliation </w:t>
            </w:r>
          </w:p>
        </w:tc>
        <w:tc>
          <w:tcPr>
            <w:tcW w:w="3937" w:type="dxa"/>
          </w:tcPr>
          <w:p w14:paraId="32D68E48" w14:textId="77777777" w:rsidR="005037D6" w:rsidRPr="006C4517" w:rsidRDefault="005037D6" w:rsidP="008D292E">
            <w:pPr>
              <w:pStyle w:val="Tablecolhead"/>
              <w:tabs>
                <w:tab w:val="left" w:pos="567"/>
              </w:tabs>
            </w:pPr>
            <w:r>
              <w:t xml:space="preserve">Title </w:t>
            </w:r>
          </w:p>
        </w:tc>
      </w:tr>
      <w:tr w:rsidR="005037D6" w:rsidRPr="006C4517" w14:paraId="53BE6D74" w14:textId="77777777">
        <w:tc>
          <w:tcPr>
            <w:tcW w:w="2003" w:type="dxa"/>
          </w:tcPr>
          <w:p w14:paraId="373B6956" w14:textId="77777777" w:rsidR="005037D6" w:rsidRPr="006C4517" w:rsidRDefault="005037D6" w:rsidP="008D292E">
            <w:pPr>
              <w:pStyle w:val="Tabletext"/>
              <w:tabs>
                <w:tab w:val="left" w:pos="567"/>
              </w:tabs>
            </w:pPr>
            <w:r>
              <w:t>Rebecca Schack</w:t>
            </w:r>
          </w:p>
        </w:tc>
        <w:tc>
          <w:tcPr>
            <w:tcW w:w="3240" w:type="dxa"/>
          </w:tcPr>
          <w:p w14:paraId="7D44E154" w14:textId="77777777" w:rsidR="005037D6" w:rsidRPr="006C4517" w:rsidRDefault="005037D6" w:rsidP="008D292E">
            <w:pPr>
              <w:pStyle w:val="Tabletext"/>
              <w:tabs>
                <w:tab w:val="left" w:pos="567"/>
              </w:tabs>
            </w:pPr>
            <w:r>
              <w:t>Victorian Department of Health</w:t>
            </w:r>
          </w:p>
        </w:tc>
        <w:tc>
          <w:tcPr>
            <w:tcW w:w="3937" w:type="dxa"/>
          </w:tcPr>
          <w:p w14:paraId="56855298" w14:textId="77777777" w:rsidR="005037D6" w:rsidRPr="006C4517" w:rsidRDefault="005037D6" w:rsidP="008D292E">
            <w:pPr>
              <w:pStyle w:val="Tabletext"/>
              <w:tabs>
                <w:tab w:val="left" w:pos="567"/>
              </w:tabs>
            </w:pPr>
            <w:r>
              <w:t>Senior Public Health Advisor</w:t>
            </w:r>
          </w:p>
        </w:tc>
      </w:tr>
      <w:tr w:rsidR="005037D6" w:rsidRPr="006C4517" w14:paraId="4157AAC1" w14:textId="77777777">
        <w:tc>
          <w:tcPr>
            <w:tcW w:w="2003" w:type="dxa"/>
          </w:tcPr>
          <w:p w14:paraId="4B79EBFB" w14:textId="77777777" w:rsidR="005037D6" w:rsidRPr="006C4517" w:rsidRDefault="005037D6" w:rsidP="008D292E">
            <w:pPr>
              <w:pStyle w:val="Tabletext"/>
              <w:tabs>
                <w:tab w:val="left" w:pos="567"/>
              </w:tabs>
            </w:pPr>
            <w:r>
              <w:t>Elizabeth Bennett</w:t>
            </w:r>
          </w:p>
        </w:tc>
        <w:tc>
          <w:tcPr>
            <w:tcW w:w="3240" w:type="dxa"/>
          </w:tcPr>
          <w:p w14:paraId="1F5EEB28" w14:textId="77777777" w:rsidR="005037D6" w:rsidRPr="006C4517" w:rsidRDefault="005037D6" w:rsidP="008D292E">
            <w:pPr>
              <w:pStyle w:val="Tabletext"/>
              <w:tabs>
                <w:tab w:val="left" w:pos="567"/>
              </w:tabs>
            </w:pPr>
            <w:r>
              <w:t>Victorian Department of Health</w:t>
            </w:r>
          </w:p>
        </w:tc>
        <w:tc>
          <w:tcPr>
            <w:tcW w:w="3937" w:type="dxa"/>
          </w:tcPr>
          <w:p w14:paraId="17701162" w14:textId="77777777" w:rsidR="005037D6" w:rsidRPr="006C4517" w:rsidRDefault="005037D6" w:rsidP="008D292E">
            <w:pPr>
              <w:pStyle w:val="Tabletext"/>
              <w:tabs>
                <w:tab w:val="left" w:pos="567"/>
              </w:tabs>
            </w:pPr>
            <w:r>
              <w:t>Principal Public Health Medical Officer</w:t>
            </w:r>
          </w:p>
        </w:tc>
      </w:tr>
      <w:tr w:rsidR="005037D6" w:rsidRPr="006C4517" w14:paraId="59081236" w14:textId="77777777">
        <w:tc>
          <w:tcPr>
            <w:tcW w:w="2003" w:type="dxa"/>
          </w:tcPr>
          <w:p w14:paraId="5B3E72E5" w14:textId="77777777" w:rsidR="005037D6" w:rsidRPr="006C4517" w:rsidRDefault="005037D6" w:rsidP="008D292E">
            <w:pPr>
              <w:pStyle w:val="Tabletext"/>
              <w:tabs>
                <w:tab w:val="left" w:pos="567"/>
              </w:tabs>
            </w:pPr>
            <w:r w:rsidRPr="006C4517">
              <w:t>Donna Cameron</w:t>
            </w:r>
          </w:p>
        </w:tc>
        <w:tc>
          <w:tcPr>
            <w:tcW w:w="3240" w:type="dxa"/>
          </w:tcPr>
          <w:p w14:paraId="05CAB1A8" w14:textId="77777777" w:rsidR="005037D6" w:rsidRPr="006C4517" w:rsidRDefault="005037D6" w:rsidP="008D292E">
            <w:pPr>
              <w:pStyle w:val="Tabletext"/>
              <w:tabs>
                <w:tab w:val="left" w:pos="567"/>
              </w:tabs>
            </w:pPr>
            <w:r>
              <w:t>Victorian Department of Health</w:t>
            </w:r>
          </w:p>
          <w:p w14:paraId="4C0E342D" w14:textId="77777777" w:rsidR="005037D6" w:rsidRPr="006C4517" w:rsidRDefault="005037D6" w:rsidP="008D292E">
            <w:pPr>
              <w:pStyle w:val="Tabletext"/>
              <w:tabs>
                <w:tab w:val="left" w:pos="567"/>
              </w:tabs>
              <w:rPr>
                <w:rFonts w:eastAsia="Times"/>
              </w:rPr>
            </w:pPr>
            <w:r>
              <w:t>The Peter Doherty Institute for Infection and Immunity</w:t>
            </w:r>
          </w:p>
        </w:tc>
        <w:tc>
          <w:tcPr>
            <w:tcW w:w="3937" w:type="dxa"/>
          </w:tcPr>
          <w:p w14:paraId="57F47A63" w14:textId="77777777" w:rsidR="005037D6" w:rsidRPr="006C4517" w:rsidRDefault="005037D6" w:rsidP="008D292E">
            <w:pPr>
              <w:pStyle w:val="Tabletext"/>
              <w:tabs>
                <w:tab w:val="left" w:pos="567"/>
              </w:tabs>
            </w:pPr>
            <w:r w:rsidRPr="006C4517">
              <w:rPr>
                <w:rFonts w:eastAsia="Times"/>
              </w:rPr>
              <w:t xml:space="preserve">Infection Control Consultant </w:t>
            </w:r>
          </w:p>
        </w:tc>
      </w:tr>
      <w:tr w:rsidR="005037D6" w:rsidRPr="006C4517" w14:paraId="24EFE7B1" w14:textId="77777777">
        <w:tc>
          <w:tcPr>
            <w:tcW w:w="2003" w:type="dxa"/>
          </w:tcPr>
          <w:p w14:paraId="25AF9130" w14:textId="77777777" w:rsidR="005037D6" w:rsidRPr="006C4517" w:rsidRDefault="005037D6" w:rsidP="008D292E">
            <w:pPr>
              <w:pStyle w:val="Tabletext"/>
              <w:tabs>
                <w:tab w:val="left" w:pos="567"/>
              </w:tabs>
            </w:pPr>
            <w:r>
              <w:t>Catarina Agostinho Antao</w:t>
            </w:r>
          </w:p>
        </w:tc>
        <w:tc>
          <w:tcPr>
            <w:tcW w:w="3240" w:type="dxa"/>
          </w:tcPr>
          <w:p w14:paraId="5B61A3AB" w14:textId="77777777" w:rsidR="005037D6" w:rsidRPr="006C4517" w:rsidRDefault="005037D6" w:rsidP="008D292E">
            <w:pPr>
              <w:pStyle w:val="Tabletext"/>
              <w:tabs>
                <w:tab w:val="left" w:pos="567"/>
              </w:tabs>
            </w:pPr>
            <w:r>
              <w:t>Victorian Department of Health</w:t>
            </w:r>
          </w:p>
        </w:tc>
        <w:tc>
          <w:tcPr>
            <w:tcW w:w="3937" w:type="dxa"/>
          </w:tcPr>
          <w:p w14:paraId="4BD0D107" w14:textId="77777777" w:rsidR="005037D6" w:rsidRPr="006C4517" w:rsidRDefault="005037D6" w:rsidP="008D292E">
            <w:pPr>
              <w:pStyle w:val="Tabletext"/>
              <w:tabs>
                <w:tab w:val="left" w:pos="567"/>
              </w:tabs>
            </w:pPr>
            <w:r>
              <w:t>Principal Epidemiologist</w:t>
            </w:r>
          </w:p>
        </w:tc>
      </w:tr>
      <w:tr w:rsidR="005037D6" w:rsidRPr="006C4517" w14:paraId="617B7260" w14:textId="77777777">
        <w:tc>
          <w:tcPr>
            <w:tcW w:w="2003" w:type="dxa"/>
          </w:tcPr>
          <w:p w14:paraId="2298253A" w14:textId="77777777" w:rsidR="005037D6" w:rsidRPr="006C4517" w:rsidRDefault="005037D6" w:rsidP="008D292E">
            <w:pPr>
              <w:pStyle w:val="Tabletext"/>
              <w:tabs>
                <w:tab w:val="left" w:pos="567"/>
              </w:tabs>
            </w:pPr>
            <w:r w:rsidRPr="005930FA">
              <w:rPr>
                <w:rFonts w:eastAsia="Arial" w:cs="Arial"/>
                <w:szCs w:val="21"/>
              </w:rPr>
              <w:t>Taylah van Leerdam</w:t>
            </w:r>
          </w:p>
        </w:tc>
        <w:tc>
          <w:tcPr>
            <w:tcW w:w="3240" w:type="dxa"/>
          </w:tcPr>
          <w:p w14:paraId="3B8FD377" w14:textId="0001ECC9" w:rsidR="005037D6" w:rsidRPr="006C4517" w:rsidRDefault="005037D6" w:rsidP="008D292E">
            <w:pPr>
              <w:pStyle w:val="Tabletext"/>
              <w:tabs>
                <w:tab w:val="left" w:pos="567"/>
              </w:tabs>
            </w:pPr>
            <w:r>
              <w:t>Victorian Department of Health</w:t>
            </w:r>
          </w:p>
        </w:tc>
        <w:tc>
          <w:tcPr>
            <w:tcW w:w="3937" w:type="dxa"/>
          </w:tcPr>
          <w:p w14:paraId="17B04CB5" w14:textId="77777777" w:rsidR="005037D6" w:rsidRPr="006C4517" w:rsidRDefault="005037D6" w:rsidP="008D292E">
            <w:pPr>
              <w:pStyle w:val="Tabletext"/>
              <w:tabs>
                <w:tab w:val="left" w:pos="567"/>
              </w:tabs>
            </w:pPr>
            <w:r>
              <w:t>Principal Public Health Medical Officer</w:t>
            </w:r>
          </w:p>
        </w:tc>
      </w:tr>
      <w:tr w:rsidR="005037D6" w:rsidRPr="006C4517" w14:paraId="031E305E" w14:textId="77777777">
        <w:trPr>
          <w:trHeight w:val="300"/>
        </w:trPr>
        <w:tc>
          <w:tcPr>
            <w:tcW w:w="2003" w:type="dxa"/>
          </w:tcPr>
          <w:p w14:paraId="57DFB6AC" w14:textId="77777777" w:rsidR="005037D6" w:rsidRPr="006C4517" w:rsidRDefault="005037D6" w:rsidP="008D292E">
            <w:pPr>
              <w:pStyle w:val="Tabletext"/>
              <w:tabs>
                <w:tab w:val="left" w:pos="567"/>
              </w:tabs>
            </w:pPr>
            <w:r>
              <w:t>Khai Lin Kong</w:t>
            </w:r>
          </w:p>
        </w:tc>
        <w:tc>
          <w:tcPr>
            <w:tcW w:w="3240" w:type="dxa"/>
          </w:tcPr>
          <w:p w14:paraId="3C6FD09B" w14:textId="77777777" w:rsidR="005037D6" w:rsidRPr="006C4517" w:rsidRDefault="005037D6" w:rsidP="008D292E">
            <w:pPr>
              <w:pStyle w:val="Tabletext"/>
              <w:tabs>
                <w:tab w:val="left" w:pos="567"/>
              </w:tabs>
            </w:pPr>
            <w:proofErr w:type="gramStart"/>
            <w:r>
              <w:t>South East</w:t>
            </w:r>
            <w:proofErr w:type="gramEnd"/>
            <w:r>
              <w:t xml:space="preserve"> Public Health Unit</w:t>
            </w:r>
          </w:p>
        </w:tc>
        <w:tc>
          <w:tcPr>
            <w:tcW w:w="3937" w:type="dxa"/>
          </w:tcPr>
          <w:p w14:paraId="28A2A845" w14:textId="77777777" w:rsidR="005037D6" w:rsidRPr="006C4517" w:rsidRDefault="005037D6" w:rsidP="008D292E">
            <w:pPr>
              <w:pStyle w:val="Tabletext"/>
              <w:tabs>
                <w:tab w:val="left" w:pos="567"/>
              </w:tabs>
            </w:pPr>
            <w:r>
              <w:t>Infectious Diseases Physician</w:t>
            </w:r>
          </w:p>
        </w:tc>
      </w:tr>
      <w:tr w:rsidR="005037D6" w:rsidRPr="006C4517" w14:paraId="35B8AC69" w14:textId="77777777">
        <w:tc>
          <w:tcPr>
            <w:tcW w:w="2003" w:type="dxa"/>
          </w:tcPr>
          <w:p w14:paraId="38323CB2" w14:textId="77777777" w:rsidR="005037D6" w:rsidRPr="006C4517" w:rsidRDefault="005037D6" w:rsidP="008D292E">
            <w:pPr>
              <w:pStyle w:val="Tabletext"/>
              <w:tabs>
                <w:tab w:val="left" w:pos="567"/>
              </w:tabs>
            </w:pPr>
            <w:r>
              <w:t>Caroline Bartolo</w:t>
            </w:r>
          </w:p>
        </w:tc>
        <w:tc>
          <w:tcPr>
            <w:tcW w:w="3240" w:type="dxa"/>
          </w:tcPr>
          <w:p w14:paraId="7A4F5B7E" w14:textId="77777777" w:rsidR="005037D6" w:rsidRPr="006C4517" w:rsidRDefault="005037D6" w:rsidP="008D292E">
            <w:pPr>
              <w:pStyle w:val="Tabletext"/>
              <w:tabs>
                <w:tab w:val="left" w:pos="567"/>
              </w:tabs>
            </w:pPr>
            <w:r>
              <w:t xml:space="preserve">Barwon </w:t>
            </w:r>
            <w:proofErr w:type="gramStart"/>
            <w:r>
              <w:t>South West</w:t>
            </w:r>
            <w:proofErr w:type="gramEnd"/>
            <w:r>
              <w:t xml:space="preserve"> Public Health Unit</w:t>
            </w:r>
          </w:p>
        </w:tc>
        <w:tc>
          <w:tcPr>
            <w:tcW w:w="3937" w:type="dxa"/>
          </w:tcPr>
          <w:p w14:paraId="5175F805" w14:textId="77777777" w:rsidR="005037D6" w:rsidRPr="006C4517" w:rsidRDefault="005037D6" w:rsidP="008D292E">
            <w:pPr>
              <w:pStyle w:val="Tabletext"/>
              <w:tabs>
                <w:tab w:val="left" w:pos="567"/>
              </w:tabs>
            </w:pPr>
            <w:r>
              <w:t>Infectious Diseases Physician</w:t>
            </w:r>
          </w:p>
        </w:tc>
      </w:tr>
      <w:tr w:rsidR="005037D6" w:rsidRPr="006C4517" w14:paraId="449D0D06" w14:textId="77777777">
        <w:tc>
          <w:tcPr>
            <w:tcW w:w="2003" w:type="dxa"/>
          </w:tcPr>
          <w:p w14:paraId="08BB14C2" w14:textId="77777777" w:rsidR="005037D6" w:rsidRPr="006C4517" w:rsidRDefault="005037D6" w:rsidP="008D292E">
            <w:pPr>
              <w:pStyle w:val="Tabletext"/>
              <w:tabs>
                <w:tab w:val="left" w:pos="567"/>
              </w:tabs>
            </w:pPr>
            <w:r>
              <w:t>Terri Butcher</w:t>
            </w:r>
          </w:p>
        </w:tc>
        <w:tc>
          <w:tcPr>
            <w:tcW w:w="3240" w:type="dxa"/>
          </w:tcPr>
          <w:p w14:paraId="0C181D70" w14:textId="77777777" w:rsidR="005037D6" w:rsidRPr="006C4517" w:rsidRDefault="005037D6" w:rsidP="008D292E">
            <w:pPr>
              <w:pStyle w:val="Tabletext"/>
              <w:tabs>
                <w:tab w:val="left" w:pos="567"/>
              </w:tabs>
            </w:pPr>
            <w:r>
              <w:t>Western Health</w:t>
            </w:r>
          </w:p>
        </w:tc>
        <w:tc>
          <w:tcPr>
            <w:tcW w:w="3937" w:type="dxa"/>
          </w:tcPr>
          <w:p w14:paraId="142E05B1" w14:textId="77777777" w:rsidR="005037D6" w:rsidRPr="006C4517" w:rsidRDefault="005037D6" w:rsidP="008D292E">
            <w:pPr>
              <w:pStyle w:val="Tabletext"/>
              <w:tabs>
                <w:tab w:val="left" w:pos="567"/>
              </w:tabs>
            </w:pPr>
            <w:r>
              <w:t>Infection Prevention Control Clinical Nurse Consultant</w:t>
            </w:r>
          </w:p>
        </w:tc>
      </w:tr>
      <w:tr w:rsidR="005037D6" w:rsidRPr="006C4517" w14:paraId="7F196961" w14:textId="77777777">
        <w:tc>
          <w:tcPr>
            <w:tcW w:w="2003" w:type="dxa"/>
          </w:tcPr>
          <w:p w14:paraId="58098215" w14:textId="77777777" w:rsidR="005037D6" w:rsidRPr="006C4517" w:rsidRDefault="005037D6" w:rsidP="008D292E">
            <w:pPr>
              <w:pStyle w:val="Tabletext"/>
              <w:tabs>
                <w:tab w:val="left" w:pos="567"/>
              </w:tabs>
            </w:pPr>
            <w:r>
              <w:t>Caroline Marshall</w:t>
            </w:r>
          </w:p>
        </w:tc>
        <w:tc>
          <w:tcPr>
            <w:tcW w:w="3240" w:type="dxa"/>
          </w:tcPr>
          <w:p w14:paraId="7FD056D6" w14:textId="77777777" w:rsidR="005037D6" w:rsidRPr="006C4517" w:rsidRDefault="005037D6" w:rsidP="008D292E">
            <w:pPr>
              <w:pStyle w:val="Tabletext"/>
              <w:tabs>
                <w:tab w:val="left" w:pos="567"/>
              </w:tabs>
            </w:pPr>
            <w:r>
              <w:t>The Royal Melbourne Hospital</w:t>
            </w:r>
          </w:p>
        </w:tc>
        <w:tc>
          <w:tcPr>
            <w:tcW w:w="3937" w:type="dxa"/>
          </w:tcPr>
          <w:p w14:paraId="76A04F91" w14:textId="77777777" w:rsidR="005037D6" w:rsidRPr="006C4517" w:rsidRDefault="005037D6" w:rsidP="008D292E">
            <w:pPr>
              <w:pStyle w:val="Tabletext"/>
              <w:tabs>
                <w:tab w:val="left" w:pos="567"/>
              </w:tabs>
            </w:pPr>
            <w:r>
              <w:t>Head Infection Prevention and Surveillance Service</w:t>
            </w:r>
          </w:p>
        </w:tc>
      </w:tr>
      <w:tr w:rsidR="005037D6" w:rsidRPr="006C4517" w14:paraId="47CCCA7E" w14:textId="77777777">
        <w:tc>
          <w:tcPr>
            <w:tcW w:w="2003" w:type="dxa"/>
          </w:tcPr>
          <w:p w14:paraId="0CECAA40" w14:textId="77777777" w:rsidR="005037D6" w:rsidRPr="006C4517" w:rsidRDefault="005037D6" w:rsidP="008D292E">
            <w:pPr>
              <w:pStyle w:val="Tabletext"/>
              <w:tabs>
                <w:tab w:val="left" w:pos="567"/>
              </w:tabs>
            </w:pPr>
            <w:r>
              <w:t>Ana Suto</w:t>
            </w:r>
          </w:p>
        </w:tc>
        <w:tc>
          <w:tcPr>
            <w:tcW w:w="3240" w:type="dxa"/>
          </w:tcPr>
          <w:p w14:paraId="6E4BFE0A" w14:textId="77777777" w:rsidR="005037D6" w:rsidRPr="006C4517" w:rsidRDefault="005037D6" w:rsidP="008D292E">
            <w:pPr>
              <w:pStyle w:val="Tabletext"/>
              <w:tabs>
                <w:tab w:val="left" w:pos="567"/>
              </w:tabs>
            </w:pPr>
            <w:r>
              <w:t>The Royal Melbourne Hospital</w:t>
            </w:r>
          </w:p>
        </w:tc>
        <w:tc>
          <w:tcPr>
            <w:tcW w:w="3937" w:type="dxa"/>
          </w:tcPr>
          <w:p w14:paraId="745DA696" w14:textId="77777777" w:rsidR="005037D6" w:rsidRPr="006C4517" w:rsidRDefault="005037D6" w:rsidP="008D292E">
            <w:pPr>
              <w:pStyle w:val="Tabletext"/>
              <w:tabs>
                <w:tab w:val="left" w:pos="567"/>
              </w:tabs>
            </w:pPr>
            <w:r>
              <w:t>Lead Infection Prevention</w:t>
            </w:r>
          </w:p>
        </w:tc>
      </w:tr>
      <w:tr w:rsidR="005037D6" w:rsidRPr="006C4517" w14:paraId="64E44726" w14:textId="77777777">
        <w:tc>
          <w:tcPr>
            <w:tcW w:w="2003" w:type="dxa"/>
          </w:tcPr>
          <w:p w14:paraId="1681234F" w14:textId="77777777" w:rsidR="005037D6" w:rsidRPr="006C4517" w:rsidRDefault="005037D6" w:rsidP="008D292E">
            <w:pPr>
              <w:pStyle w:val="Tabletext"/>
              <w:tabs>
                <w:tab w:val="left" w:pos="567"/>
              </w:tabs>
            </w:pPr>
            <w:r>
              <w:t>Sue Flockhart</w:t>
            </w:r>
          </w:p>
        </w:tc>
        <w:tc>
          <w:tcPr>
            <w:tcW w:w="3240" w:type="dxa"/>
          </w:tcPr>
          <w:p w14:paraId="733457E0" w14:textId="77777777" w:rsidR="005037D6" w:rsidRPr="006C4517" w:rsidRDefault="005037D6" w:rsidP="008D292E">
            <w:pPr>
              <w:pStyle w:val="Tabletext"/>
              <w:tabs>
                <w:tab w:val="left" w:pos="567"/>
              </w:tabs>
            </w:pPr>
            <w:r>
              <w:t>Grampians Health</w:t>
            </w:r>
          </w:p>
        </w:tc>
        <w:tc>
          <w:tcPr>
            <w:tcW w:w="3937" w:type="dxa"/>
          </w:tcPr>
          <w:p w14:paraId="3A1C25D6" w14:textId="77777777" w:rsidR="005037D6" w:rsidRPr="006C4517" w:rsidRDefault="005037D6" w:rsidP="008D292E">
            <w:pPr>
              <w:pStyle w:val="Tabletext"/>
              <w:tabs>
                <w:tab w:val="left" w:pos="567"/>
              </w:tabs>
            </w:pPr>
            <w:r>
              <w:t>Director of Infection Control</w:t>
            </w:r>
          </w:p>
        </w:tc>
      </w:tr>
      <w:tr w:rsidR="005037D6" w:rsidRPr="006C4517" w14:paraId="4D733BF5" w14:textId="77777777">
        <w:tc>
          <w:tcPr>
            <w:tcW w:w="2003" w:type="dxa"/>
          </w:tcPr>
          <w:p w14:paraId="248A76CA" w14:textId="77777777" w:rsidR="005037D6" w:rsidRPr="006C4517" w:rsidRDefault="005037D6" w:rsidP="008D292E">
            <w:pPr>
              <w:pStyle w:val="Tabletext"/>
              <w:tabs>
                <w:tab w:val="left" w:pos="567"/>
              </w:tabs>
            </w:pPr>
            <w:r>
              <w:t>Leanne Houston</w:t>
            </w:r>
          </w:p>
        </w:tc>
        <w:tc>
          <w:tcPr>
            <w:tcW w:w="3240" w:type="dxa"/>
          </w:tcPr>
          <w:p w14:paraId="6EFBF221" w14:textId="77777777" w:rsidR="005037D6" w:rsidRPr="006C4517" w:rsidRDefault="005037D6" w:rsidP="008D292E">
            <w:pPr>
              <w:pStyle w:val="Tabletext"/>
              <w:tabs>
                <w:tab w:val="left" w:pos="567"/>
              </w:tabs>
            </w:pPr>
            <w:r>
              <w:t>Austin Health</w:t>
            </w:r>
          </w:p>
        </w:tc>
        <w:tc>
          <w:tcPr>
            <w:tcW w:w="3937" w:type="dxa"/>
          </w:tcPr>
          <w:p w14:paraId="5284D885" w14:textId="5831479E" w:rsidR="005037D6" w:rsidRPr="006C4517" w:rsidRDefault="005037D6" w:rsidP="008D292E">
            <w:pPr>
              <w:pStyle w:val="Tabletext"/>
              <w:tabs>
                <w:tab w:val="left" w:pos="567"/>
              </w:tabs>
            </w:pPr>
            <w:r>
              <w:t>Manager Infection Prevention and Control and Re</w:t>
            </w:r>
            <w:r w:rsidR="00B76002">
              <w:t>usable</w:t>
            </w:r>
            <w:r>
              <w:t xml:space="preserve"> Medical Device Program</w:t>
            </w:r>
          </w:p>
        </w:tc>
      </w:tr>
      <w:tr w:rsidR="005037D6" w:rsidRPr="006C4517" w14:paraId="200CAAB1" w14:textId="77777777">
        <w:tc>
          <w:tcPr>
            <w:tcW w:w="2003" w:type="dxa"/>
          </w:tcPr>
          <w:p w14:paraId="58D01772" w14:textId="77777777" w:rsidR="005037D6" w:rsidRPr="006C4517" w:rsidRDefault="005037D6" w:rsidP="008D292E">
            <w:pPr>
              <w:pStyle w:val="Tabletext"/>
              <w:tabs>
                <w:tab w:val="left" w:pos="567"/>
              </w:tabs>
            </w:pPr>
            <w:r>
              <w:t>Kathy Jackson</w:t>
            </w:r>
          </w:p>
        </w:tc>
        <w:tc>
          <w:tcPr>
            <w:tcW w:w="3240" w:type="dxa"/>
          </w:tcPr>
          <w:p w14:paraId="42204A67" w14:textId="77777777" w:rsidR="005037D6" w:rsidRPr="006C4517" w:rsidRDefault="005037D6" w:rsidP="008D292E">
            <w:pPr>
              <w:pStyle w:val="Tabletext"/>
              <w:tabs>
                <w:tab w:val="left" w:pos="567"/>
              </w:tabs>
            </w:pPr>
            <w:r>
              <w:t xml:space="preserve">Victorian Infectious Diseases Reference Laboratory </w:t>
            </w:r>
          </w:p>
        </w:tc>
        <w:tc>
          <w:tcPr>
            <w:tcW w:w="3937" w:type="dxa"/>
          </w:tcPr>
          <w:p w14:paraId="6BD33106" w14:textId="77777777" w:rsidR="005037D6" w:rsidRPr="006C4517" w:rsidRDefault="005037D6" w:rsidP="008D292E">
            <w:pPr>
              <w:pStyle w:val="Tabletext"/>
              <w:tabs>
                <w:tab w:val="left" w:pos="567"/>
              </w:tabs>
            </w:pPr>
            <w:r>
              <w:t>Principal Scientist</w:t>
            </w:r>
          </w:p>
        </w:tc>
      </w:tr>
      <w:tr w:rsidR="005037D6" w:rsidRPr="006C4517" w14:paraId="3689E91B" w14:textId="77777777">
        <w:tc>
          <w:tcPr>
            <w:tcW w:w="2003" w:type="dxa"/>
          </w:tcPr>
          <w:p w14:paraId="20FD175A" w14:textId="77777777" w:rsidR="005037D6" w:rsidRPr="006C4517" w:rsidRDefault="005037D6" w:rsidP="008D292E">
            <w:pPr>
              <w:pStyle w:val="Tabletext"/>
              <w:tabs>
                <w:tab w:val="left" w:pos="567"/>
              </w:tabs>
            </w:pPr>
            <w:r>
              <w:t>Thomas Tran</w:t>
            </w:r>
          </w:p>
        </w:tc>
        <w:tc>
          <w:tcPr>
            <w:tcW w:w="3240" w:type="dxa"/>
          </w:tcPr>
          <w:p w14:paraId="2875A360" w14:textId="77777777" w:rsidR="005037D6" w:rsidRPr="006C4517" w:rsidRDefault="005037D6" w:rsidP="008D292E">
            <w:pPr>
              <w:pStyle w:val="Tabletext"/>
              <w:tabs>
                <w:tab w:val="left" w:pos="567"/>
              </w:tabs>
            </w:pPr>
            <w:r>
              <w:t>Victorian Infectious Diseases Reference Laboratory</w:t>
            </w:r>
          </w:p>
        </w:tc>
        <w:tc>
          <w:tcPr>
            <w:tcW w:w="3937" w:type="dxa"/>
          </w:tcPr>
          <w:p w14:paraId="44095EE2" w14:textId="77777777" w:rsidR="005037D6" w:rsidRPr="006C4517" w:rsidRDefault="005037D6" w:rsidP="008D292E">
            <w:pPr>
              <w:pStyle w:val="Tabletext"/>
              <w:tabs>
                <w:tab w:val="left" w:pos="567"/>
              </w:tabs>
            </w:pPr>
            <w:r>
              <w:t>Senior Scientist</w:t>
            </w:r>
          </w:p>
        </w:tc>
      </w:tr>
      <w:tr w:rsidR="005037D6" w:rsidRPr="006C4517" w14:paraId="496BD182" w14:textId="77777777">
        <w:tc>
          <w:tcPr>
            <w:tcW w:w="2003" w:type="dxa"/>
          </w:tcPr>
          <w:p w14:paraId="63C084F4" w14:textId="77777777" w:rsidR="005037D6" w:rsidRPr="006C4517" w:rsidRDefault="005037D6" w:rsidP="008D292E">
            <w:pPr>
              <w:pStyle w:val="Tabletext"/>
              <w:tabs>
                <w:tab w:val="left" w:pos="567"/>
              </w:tabs>
            </w:pPr>
            <w:r>
              <w:t>Marcus Kusiak</w:t>
            </w:r>
          </w:p>
        </w:tc>
        <w:tc>
          <w:tcPr>
            <w:tcW w:w="3240" w:type="dxa"/>
          </w:tcPr>
          <w:p w14:paraId="6BB95DCE" w14:textId="77777777" w:rsidR="005037D6" w:rsidRPr="006C4517" w:rsidRDefault="005037D6" w:rsidP="008D292E">
            <w:pPr>
              <w:pStyle w:val="Tabletext"/>
              <w:tabs>
                <w:tab w:val="left" w:pos="567"/>
              </w:tabs>
            </w:pPr>
            <w:r>
              <w:t>Monash Health</w:t>
            </w:r>
          </w:p>
        </w:tc>
        <w:tc>
          <w:tcPr>
            <w:tcW w:w="3937" w:type="dxa"/>
          </w:tcPr>
          <w:p w14:paraId="41508785" w14:textId="77777777" w:rsidR="005037D6" w:rsidRPr="006C4517" w:rsidRDefault="005037D6" w:rsidP="008D292E">
            <w:pPr>
              <w:pStyle w:val="Tabletext"/>
              <w:tabs>
                <w:tab w:val="left" w:pos="567"/>
              </w:tabs>
            </w:pPr>
            <w:r>
              <w:t>Manager Infection Prevention</w:t>
            </w:r>
          </w:p>
        </w:tc>
      </w:tr>
      <w:tr w:rsidR="005037D6" w:rsidRPr="006C4517" w14:paraId="1A7E4863" w14:textId="77777777">
        <w:tc>
          <w:tcPr>
            <w:tcW w:w="2003" w:type="dxa"/>
          </w:tcPr>
          <w:p w14:paraId="48513A0C" w14:textId="77777777" w:rsidR="005037D6" w:rsidRPr="006C4517" w:rsidRDefault="005037D6" w:rsidP="008D292E">
            <w:pPr>
              <w:pStyle w:val="Tabletext"/>
              <w:tabs>
                <w:tab w:val="left" w:pos="567"/>
              </w:tabs>
            </w:pPr>
            <w:r>
              <w:t>Sue Ryan</w:t>
            </w:r>
          </w:p>
        </w:tc>
        <w:tc>
          <w:tcPr>
            <w:tcW w:w="3240" w:type="dxa"/>
          </w:tcPr>
          <w:p w14:paraId="6F2CC5AF" w14:textId="77777777" w:rsidR="005037D6" w:rsidRPr="006C4517" w:rsidRDefault="005037D6" w:rsidP="008D292E">
            <w:pPr>
              <w:pStyle w:val="Tabletext"/>
              <w:tabs>
                <w:tab w:val="left" w:pos="567"/>
              </w:tabs>
            </w:pPr>
            <w:r>
              <w:t>Monash Health</w:t>
            </w:r>
          </w:p>
        </w:tc>
        <w:tc>
          <w:tcPr>
            <w:tcW w:w="3937" w:type="dxa"/>
          </w:tcPr>
          <w:p w14:paraId="23A8B6EC" w14:textId="77777777" w:rsidR="005037D6" w:rsidRPr="006C4517" w:rsidRDefault="005037D6" w:rsidP="008D292E">
            <w:pPr>
              <w:pStyle w:val="Tabletext"/>
              <w:tabs>
                <w:tab w:val="left" w:pos="567"/>
              </w:tabs>
            </w:pPr>
            <w:r>
              <w:t>Clinical Control Consultant</w:t>
            </w:r>
          </w:p>
        </w:tc>
      </w:tr>
      <w:tr w:rsidR="005037D6" w:rsidRPr="006C4517" w14:paraId="500B8C73" w14:textId="77777777">
        <w:tc>
          <w:tcPr>
            <w:tcW w:w="2003" w:type="dxa"/>
          </w:tcPr>
          <w:p w14:paraId="79ABD0D5" w14:textId="77777777" w:rsidR="005037D6" w:rsidRPr="006C4517" w:rsidRDefault="005037D6" w:rsidP="008D292E">
            <w:pPr>
              <w:pStyle w:val="Tabletext"/>
              <w:tabs>
                <w:tab w:val="left" w:pos="567"/>
              </w:tabs>
            </w:pPr>
            <w:r>
              <w:t>Vanessa Clifford</w:t>
            </w:r>
          </w:p>
        </w:tc>
        <w:tc>
          <w:tcPr>
            <w:tcW w:w="3240" w:type="dxa"/>
          </w:tcPr>
          <w:p w14:paraId="4F777789" w14:textId="77777777" w:rsidR="005037D6" w:rsidRPr="006C4517" w:rsidRDefault="005037D6" w:rsidP="008D292E">
            <w:pPr>
              <w:pStyle w:val="Tabletext"/>
              <w:tabs>
                <w:tab w:val="left" w:pos="567"/>
              </w:tabs>
            </w:pPr>
            <w:r>
              <w:t>The Royal Children's Hospital</w:t>
            </w:r>
          </w:p>
          <w:p w14:paraId="35319BDC" w14:textId="77777777" w:rsidR="005037D6" w:rsidRPr="006C4517" w:rsidRDefault="005037D6" w:rsidP="008D292E">
            <w:pPr>
              <w:pStyle w:val="Tabletext"/>
              <w:tabs>
                <w:tab w:val="left" w:pos="567"/>
              </w:tabs>
            </w:pPr>
            <w:r>
              <w:t>The Royal Women's Hospital</w:t>
            </w:r>
          </w:p>
        </w:tc>
        <w:tc>
          <w:tcPr>
            <w:tcW w:w="3937" w:type="dxa"/>
          </w:tcPr>
          <w:p w14:paraId="4B351FA3" w14:textId="77777777" w:rsidR="005037D6" w:rsidRPr="006C4517" w:rsidRDefault="005037D6" w:rsidP="008D292E">
            <w:pPr>
              <w:pStyle w:val="Tabletext"/>
              <w:tabs>
                <w:tab w:val="left" w:pos="567"/>
              </w:tabs>
            </w:pPr>
            <w:r>
              <w:t>Infectious Diseases Physician and Microbiologist</w:t>
            </w:r>
          </w:p>
        </w:tc>
      </w:tr>
      <w:tr w:rsidR="005037D6" w:rsidRPr="006C4517" w14:paraId="0B2691F0" w14:textId="77777777">
        <w:tc>
          <w:tcPr>
            <w:tcW w:w="2003" w:type="dxa"/>
          </w:tcPr>
          <w:p w14:paraId="6618089E" w14:textId="77777777" w:rsidR="005037D6" w:rsidRPr="006C4517" w:rsidRDefault="005037D6" w:rsidP="008D292E">
            <w:pPr>
              <w:pStyle w:val="Tabletext"/>
              <w:tabs>
                <w:tab w:val="left" w:pos="567"/>
              </w:tabs>
            </w:pPr>
            <w:r>
              <w:t>Jane Tomlinson</w:t>
            </w:r>
          </w:p>
        </w:tc>
        <w:tc>
          <w:tcPr>
            <w:tcW w:w="3240" w:type="dxa"/>
          </w:tcPr>
          <w:p w14:paraId="430F845E" w14:textId="77777777" w:rsidR="005037D6" w:rsidRPr="006C4517" w:rsidRDefault="005037D6" w:rsidP="008D292E">
            <w:pPr>
              <w:pStyle w:val="Tabletext"/>
              <w:tabs>
                <w:tab w:val="left" w:pos="567"/>
              </w:tabs>
            </w:pPr>
            <w:r>
              <w:t>The Royal Children’s Hospital</w:t>
            </w:r>
          </w:p>
        </w:tc>
        <w:tc>
          <w:tcPr>
            <w:tcW w:w="3937" w:type="dxa"/>
          </w:tcPr>
          <w:p w14:paraId="4555E45D" w14:textId="75955FA6" w:rsidR="005037D6" w:rsidRPr="006C4517" w:rsidRDefault="005037D6" w:rsidP="008D292E">
            <w:pPr>
              <w:pStyle w:val="Tabletext"/>
              <w:tabs>
                <w:tab w:val="left" w:pos="567"/>
              </w:tabs>
            </w:pPr>
            <w:r>
              <w:t>Clinical Nurse Consultant</w:t>
            </w:r>
            <w:r w:rsidR="00F67E85">
              <w:t xml:space="preserve"> – </w:t>
            </w:r>
            <w:r>
              <w:t>Lead</w:t>
            </w:r>
          </w:p>
        </w:tc>
      </w:tr>
      <w:tr w:rsidR="005037D6" w:rsidRPr="006C4517" w14:paraId="3E4320C3" w14:textId="77777777">
        <w:tc>
          <w:tcPr>
            <w:tcW w:w="2003" w:type="dxa"/>
          </w:tcPr>
          <w:p w14:paraId="61B968F8" w14:textId="77777777" w:rsidR="005037D6" w:rsidRPr="006C4517" w:rsidRDefault="005037D6" w:rsidP="008D292E">
            <w:pPr>
              <w:pStyle w:val="Tabletext"/>
              <w:tabs>
                <w:tab w:val="left" w:pos="567"/>
              </w:tabs>
            </w:pPr>
            <w:r>
              <w:t>Bruce Bartley</w:t>
            </w:r>
          </w:p>
        </w:tc>
        <w:tc>
          <w:tcPr>
            <w:tcW w:w="3240" w:type="dxa"/>
          </w:tcPr>
          <w:p w14:paraId="20FCE88F" w14:textId="77777777" w:rsidR="005037D6" w:rsidRPr="006C4517" w:rsidRDefault="005037D6" w:rsidP="008D292E">
            <w:pPr>
              <w:pStyle w:val="Tabletext"/>
              <w:tabs>
                <w:tab w:val="left" w:pos="567"/>
              </w:tabs>
            </w:pPr>
            <w:r>
              <w:t>Barwon Health</w:t>
            </w:r>
          </w:p>
        </w:tc>
        <w:tc>
          <w:tcPr>
            <w:tcW w:w="3937" w:type="dxa"/>
          </w:tcPr>
          <w:p w14:paraId="21727019" w14:textId="77777777" w:rsidR="005037D6" w:rsidRPr="006C4517" w:rsidRDefault="005037D6" w:rsidP="008D292E">
            <w:pPr>
              <w:pStyle w:val="Tabletext"/>
              <w:tabs>
                <w:tab w:val="left" w:pos="567"/>
              </w:tabs>
            </w:pPr>
            <w:r>
              <w:t>Emergency Medicine Physician</w:t>
            </w:r>
          </w:p>
        </w:tc>
      </w:tr>
      <w:tr w:rsidR="005037D6" w14:paraId="5A56DD96" w14:textId="77777777">
        <w:trPr>
          <w:trHeight w:val="300"/>
        </w:trPr>
        <w:tc>
          <w:tcPr>
            <w:tcW w:w="2003" w:type="dxa"/>
          </w:tcPr>
          <w:p w14:paraId="304C9CBA" w14:textId="77777777" w:rsidR="005037D6" w:rsidRDefault="005037D6" w:rsidP="008D292E">
            <w:pPr>
              <w:pStyle w:val="Tabletext"/>
              <w:tabs>
                <w:tab w:val="left" w:pos="567"/>
              </w:tabs>
            </w:pPr>
            <w:r>
              <w:t>Scott Dart</w:t>
            </w:r>
          </w:p>
        </w:tc>
        <w:tc>
          <w:tcPr>
            <w:tcW w:w="3240" w:type="dxa"/>
          </w:tcPr>
          <w:p w14:paraId="062554C7" w14:textId="77777777" w:rsidR="005037D6" w:rsidRDefault="005037D6" w:rsidP="008D292E">
            <w:pPr>
              <w:pStyle w:val="Tabletext"/>
              <w:tabs>
                <w:tab w:val="left" w:pos="567"/>
              </w:tabs>
            </w:pPr>
            <w:r>
              <w:t>Ambulance Victoria</w:t>
            </w:r>
          </w:p>
        </w:tc>
        <w:tc>
          <w:tcPr>
            <w:tcW w:w="3937" w:type="dxa"/>
          </w:tcPr>
          <w:p w14:paraId="61321B86" w14:textId="77777777" w:rsidR="005037D6" w:rsidRDefault="005037D6" w:rsidP="008D292E">
            <w:pPr>
              <w:pStyle w:val="Tabletext"/>
              <w:tabs>
                <w:tab w:val="left" w:pos="567"/>
              </w:tabs>
            </w:pPr>
            <w:r>
              <w:t>Emergency Planning Coordinator</w:t>
            </w:r>
          </w:p>
        </w:tc>
      </w:tr>
      <w:tr w:rsidR="005037D6" w14:paraId="476D9D36" w14:textId="77777777">
        <w:trPr>
          <w:trHeight w:val="300"/>
        </w:trPr>
        <w:tc>
          <w:tcPr>
            <w:tcW w:w="2003" w:type="dxa"/>
          </w:tcPr>
          <w:p w14:paraId="517FB1A3" w14:textId="77777777" w:rsidR="005037D6" w:rsidRDefault="005037D6" w:rsidP="008D292E">
            <w:pPr>
              <w:pStyle w:val="Tabletext"/>
              <w:tabs>
                <w:tab w:val="left" w:pos="567"/>
              </w:tabs>
            </w:pPr>
            <w:r>
              <w:t>Peter Archer</w:t>
            </w:r>
          </w:p>
        </w:tc>
        <w:tc>
          <w:tcPr>
            <w:tcW w:w="3240" w:type="dxa"/>
          </w:tcPr>
          <w:p w14:paraId="2ACE9481" w14:textId="77777777" w:rsidR="005037D6" w:rsidRDefault="005037D6" w:rsidP="008D292E">
            <w:pPr>
              <w:pStyle w:val="Tabletext"/>
              <w:tabs>
                <w:tab w:val="left" w:pos="567"/>
              </w:tabs>
            </w:pPr>
            <w:r>
              <w:t>Ambulance Victoria</w:t>
            </w:r>
          </w:p>
        </w:tc>
        <w:tc>
          <w:tcPr>
            <w:tcW w:w="3937" w:type="dxa"/>
          </w:tcPr>
          <w:p w14:paraId="5223EDFB" w14:textId="77777777" w:rsidR="005037D6" w:rsidRDefault="005037D6" w:rsidP="008D292E">
            <w:pPr>
              <w:pStyle w:val="Tabletext"/>
              <w:tabs>
                <w:tab w:val="left" w:pos="567"/>
              </w:tabs>
            </w:pPr>
            <w:r>
              <w:t>Retrieval Consultant</w:t>
            </w:r>
          </w:p>
        </w:tc>
      </w:tr>
      <w:tr w:rsidR="005037D6" w14:paraId="280D5E8B" w14:textId="77777777">
        <w:trPr>
          <w:trHeight w:val="300"/>
        </w:trPr>
        <w:tc>
          <w:tcPr>
            <w:tcW w:w="2003" w:type="dxa"/>
          </w:tcPr>
          <w:p w14:paraId="5334F117" w14:textId="77777777" w:rsidR="005037D6" w:rsidRDefault="005037D6" w:rsidP="008D292E">
            <w:pPr>
              <w:pStyle w:val="Tabletext"/>
              <w:tabs>
                <w:tab w:val="left" w:pos="567"/>
              </w:tabs>
            </w:pPr>
            <w:r>
              <w:t>Katherine Graham</w:t>
            </w:r>
          </w:p>
        </w:tc>
        <w:tc>
          <w:tcPr>
            <w:tcW w:w="3240" w:type="dxa"/>
          </w:tcPr>
          <w:p w14:paraId="3111DC58" w14:textId="77777777" w:rsidR="005037D6" w:rsidRDefault="005037D6" w:rsidP="008D292E">
            <w:pPr>
              <w:pStyle w:val="Tabletext"/>
              <w:tabs>
                <w:tab w:val="left" w:pos="567"/>
              </w:tabs>
            </w:pPr>
            <w:r>
              <w:t>Western Victoria Primary Health Network</w:t>
            </w:r>
          </w:p>
        </w:tc>
        <w:tc>
          <w:tcPr>
            <w:tcW w:w="3937" w:type="dxa"/>
          </w:tcPr>
          <w:p w14:paraId="153EDF68" w14:textId="77777777" w:rsidR="005037D6" w:rsidRDefault="005037D6" w:rsidP="008D292E">
            <w:pPr>
              <w:pStyle w:val="Tabletext"/>
              <w:tabs>
                <w:tab w:val="left" w:pos="567"/>
              </w:tabs>
            </w:pPr>
            <w:r>
              <w:t>Public Health Clinical Advisor</w:t>
            </w:r>
          </w:p>
        </w:tc>
      </w:tr>
      <w:tr w:rsidR="005037D6" w14:paraId="576B649D" w14:textId="77777777">
        <w:trPr>
          <w:trHeight w:val="300"/>
        </w:trPr>
        <w:tc>
          <w:tcPr>
            <w:tcW w:w="2003" w:type="dxa"/>
          </w:tcPr>
          <w:p w14:paraId="23F0B218" w14:textId="77777777" w:rsidR="005037D6" w:rsidRDefault="005037D6" w:rsidP="008D292E">
            <w:pPr>
              <w:pStyle w:val="Tabletext"/>
              <w:tabs>
                <w:tab w:val="left" w:pos="567"/>
              </w:tabs>
            </w:pPr>
            <w:r>
              <w:lastRenderedPageBreak/>
              <w:t>Muriel Lepesteur-Thompson</w:t>
            </w:r>
          </w:p>
        </w:tc>
        <w:tc>
          <w:tcPr>
            <w:tcW w:w="3240" w:type="dxa"/>
          </w:tcPr>
          <w:p w14:paraId="63ED1404" w14:textId="77777777" w:rsidR="005037D6" w:rsidRDefault="005037D6" w:rsidP="008D292E">
            <w:pPr>
              <w:pStyle w:val="Tabletext"/>
              <w:tabs>
                <w:tab w:val="left" w:pos="567"/>
              </w:tabs>
            </w:pPr>
            <w:r>
              <w:t>Environmental Protection Authority Victoria</w:t>
            </w:r>
          </w:p>
        </w:tc>
        <w:tc>
          <w:tcPr>
            <w:tcW w:w="3937" w:type="dxa"/>
          </w:tcPr>
          <w:p w14:paraId="1925BA5E" w14:textId="7E8348AE" w:rsidR="005037D6" w:rsidRDefault="005037D6" w:rsidP="008D292E">
            <w:pPr>
              <w:pStyle w:val="Tabletext"/>
              <w:tabs>
                <w:tab w:val="left" w:pos="567"/>
              </w:tabs>
            </w:pPr>
            <w:r>
              <w:t xml:space="preserve">Senior Health Advisory </w:t>
            </w:r>
            <w:r w:rsidR="00F67E85">
              <w:t xml:space="preserve">– </w:t>
            </w:r>
            <w:r>
              <w:t>Microbial</w:t>
            </w:r>
          </w:p>
        </w:tc>
      </w:tr>
      <w:tr w:rsidR="005037D6" w14:paraId="103C709B" w14:textId="77777777">
        <w:trPr>
          <w:trHeight w:val="300"/>
        </w:trPr>
        <w:tc>
          <w:tcPr>
            <w:tcW w:w="2003" w:type="dxa"/>
          </w:tcPr>
          <w:p w14:paraId="4DFFCB47" w14:textId="77777777" w:rsidR="005037D6" w:rsidRDefault="005037D6" w:rsidP="008D292E">
            <w:pPr>
              <w:pStyle w:val="Tabletext"/>
              <w:tabs>
                <w:tab w:val="left" w:pos="567"/>
              </w:tabs>
            </w:pPr>
            <w:r>
              <w:t>Peter Morris</w:t>
            </w:r>
          </w:p>
        </w:tc>
        <w:tc>
          <w:tcPr>
            <w:tcW w:w="3240" w:type="dxa"/>
          </w:tcPr>
          <w:p w14:paraId="69264060" w14:textId="77777777" w:rsidR="005037D6" w:rsidRDefault="005037D6" w:rsidP="008D292E">
            <w:pPr>
              <w:pStyle w:val="Tabletext"/>
              <w:tabs>
                <w:tab w:val="left" w:pos="567"/>
              </w:tabs>
            </w:pPr>
            <w:proofErr w:type="spellStart"/>
            <w:r>
              <w:t>Pakair</w:t>
            </w:r>
            <w:proofErr w:type="spellEnd"/>
          </w:p>
        </w:tc>
        <w:tc>
          <w:tcPr>
            <w:tcW w:w="3937" w:type="dxa"/>
          </w:tcPr>
          <w:p w14:paraId="7B809E0E" w14:textId="43E9820C" w:rsidR="005037D6" w:rsidRDefault="005037D6" w:rsidP="008D292E">
            <w:pPr>
              <w:pStyle w:val="Tabletext"/>
              <w:tabs>
                <w:tab w:val="left" w:pos="567"/>
              </w:tabs>
            </w:pPr>
            <w:r>
              <w:t>Business Development Executive</w:t>
            </w:r>
          </w:p>
        </w:tc>
      </w:tr>
    </w:tbl>
    <w:p w14:paraId="79B8A4F9" w14:textId="77777777" w:rsidR="005037D6" w:rsidRDefault="005037D6" w:rsidP="008D292E">
      <w:pPr>
        <w:pStyle w:val="Body"/>
        <w:tabs>
          <w:tab w:val="left" w:pos="567"/>
        </w:tabs>
        <w:sectPr w:rsidR="005037D6" w:rsidSect="005037D6">
          <w:headerReference w:type="default" r:id="rId69"/>
          <w:headerReference w:type="first" r:id="rId70"/>
          <w:pgSz w:w="11906" w:h="16838" w:code="9"/>
          <w:pgMar w:top="1418" w:right="1304" w:bottom="1134" w:left="1304" w:header="680" w:footer="509" w:gutter="0"/>
          <w:cols w:space="340"/>
          <w:titlePg/>
          <w:docGrid w:linePitch="360"/>
        </w:sectPr>
      </w:pPr>
    </w:p>
    <w:p w14:paraId="3B9DED47" w14:textId="64E58E91" w:rsidR="005037D6" w:rsidRDefault="005037D6" w:rsidP="008D292E">
      <w:pPr>
        <w:pStyle w:val="Heading1"/>
        <w:tabs>
          <w:tab w:val="left" w:pos="567"/>
        </w:tabs>
      </w:pPr>
      <w:bookmarkStart w:id="71" w:name="_Appendix_2_–"/>
      <w:bookmarkStart w:id="72" w:name="_Toc217022561"/>
      <w:bookmarkEnd w:id="71"/>
      <w:r w:rsidRPr="00316BEC">
        <w:lastRenderedPageBreak/>
        <w:t>Appendix 2</w:t>
      </w:r>
      <w:r w:rsidR="00147803">
        <w:t>:</w:t>
      </w:r>
      <w:r w:rsidRPr="00316BEC" w:rsidDel="00147803">
        <w:t xml:space="preserve"> </w:t>
      </w:r>
      <w:r w:rsidRPr="00316BEC">
        <w:t>Glossary</w:t>
      </w:r>
      <w:bookmarkEnd w:id="72"/>
    </w:p>
    <w:p w14:paraId="5133A3D5" w14:textId="77777777" w:rsidR="00DE4761" w:rsidRPr="00BC3E41" w:rsidRDefault="00DE4761" w:rsidP="00DE4761">
      <w:pPr>
        <w:pStyle w:val="Bodyafterbullets"/>
        <w:rPr>
          <w:b/>
          <w:bCs/>
          <w:sz w:val="24"/>
          <w:szCs w:val="24"/>
        </w:rPr>
      </w:pPr>
      <w:r w:rsidRPr="00BC3E41">
        <w:rPr>
          <w:b/>
          <w:bCs/>
          <w:sz w:val="24"/>
          <w:szCs w:val="24"/>
        </w:rPr>
        <w:t>Clinical waste</w:t>
      </w:r>
    </w:p>
    <w:p w14:paraId="4520F34D" w14:textId="77777777" w:rsidR="00DE4761" w:rsidRDefault="00DE4761" w:rsidP="00DE4761">
      <w:pPr>
        <w:pStyle w:val="Body"/>
      </w:pPr>
      <w:r>
        <w:t>Clinical waste includes wastes arising from medical, nursing, dental, veterinary, laboratory, pharmaceutical, podiatry, tattooing, body piercing, brothels, emergency services, blood banks, mortuary practices and other similar practices, and wastes generated in health care facilities or other facilities during the investigation or treatment of patients or research projects.</w:t>
      </w:r>
    </w:p>
    <w:p w14:paraId="1C22B168" w14:textId="77777777" w:rsidR="00DE4761" w:rsidRDefault="00DE4761" w:rsidP="00DE4761">
      <w:pPr>
        <w:pStyle w:val="Body"/>
      </w:pPr>
      <w:r>
        <w:t xml:space="preserve">For more information, visit </w:t>
      </w:r>
      <w:hyperlink r:id="rId71">
        <w:r w:rsidRPr="0257CC4A">
          <w:rPr>
            <w:rStyle w:val="Hyperlink"/>
          </w:rPr>
          <w:t>Clinical and related waste – Operational guidance</w:t>
        </w:r>
      </w:hyperlink>
      <w:r>
        <w:t xml:space="preserve"> &lt;</w:t>
      </w:r>
      <w:r w:rsidRPr="00F67E85">
        <w:t>https://www.epa.vic.gov.au/iwrg6121-clinical-and-related-waste-operational-guidance</w:t>
      </w:r>
      <w:r>
        <w:t>&gt;.</w:t>
      </w:r>
    </w:p>
    <w:p w14:paraId="6D7FD640" w14:textId="77777777" w:rsidR="00383143" w:rsidRDefault="00383143" w:rsidP="00DE4761">
      <w:pPr>
        <w:pStyle w:val="Body"/>
        <w:rPr>
          <w:b/>
          <w:bCs/>
          <w:sz w:val="24"/>
          <w:szCs w:val="24"/>
        </w:rPr>
      </w:pPr>
    </w:p>
    <w:p w14:paraId="79FCB3DA" w14:textId="77777777" w:rsidR="00DE4761" w:rsidRPr="00BC3E41" w:rsidRDefault="00DE4761" w:rsidP="00DE4761">
      <w:pPr>
        <w:pStyle w:val="Body"/>
        <w:rPr>
          <w:b/>
          <w:bCs/>
          <w:sz w:val="24"/>
          <w:szCs w:val="24"/>
        </w:rPr>
      </w:pPr>
      <w:r w:rsidRPr="00BC3E41">
        <w:rPr>
          <w:b/>
          <w:bCs/>
          <w:sz w:val="24"/>
          <w:szCs w:val="24"/>
        </w:rPr>
        <w:t>National High Security Quarantine Laboratory (NHSQL)</w:t>
      </w:r>
    </w:p>
    <w:p w14:paraId="6E8CA090" w14:textId="138DA844" w:rsidR="00DE4761" w:rsidRDefault="00DE4761" w:rsidP="00DE4761">
      <w:pPr>
        <w:pStyle w:val="Body"/>
      </w:pPr>
      <w:r>
        <w:t>The NHSQL is a physical containment level 4 facility designed for microorganisms that require the maximum level of containment.</w:t>
      </w:r>
      <w:r w:rsidR="00CE69A4">
        <w:rPr>
          <w:rStyle w:val="FootnoteReference"/>
        </w:rPr>
        <w:footnoteReference w:id="20"/>
      </w:r>
    </w:p>
    <w:p w14:paraId="4D937D7F" w14:textId="77777777" w:rsidR="00383143" w:rsidRDefault="00383143" w:rsidP="00DE4761">
      <w:pPr>
        <w:pStyle w:val="Body"/>
        <w:rPr>
          <w:b/>
          <w:bCs/>
          <w:sz w:val="24"/>
          <w:szCs w:val="24"/>
        </w:rPr>
      </w:pPr>
    </w:p>
    <w:p w14:paraId="23F8A395" w14:textId="50E8A266" w:rsidR="00DE4761" w:rsidRPr="00BC3E41" w:rsidRDefault="00DE4761" w:rsidP="00DE4761">
      <w:pPr>
        <w:pStyle w:val="Body"/>
        <w:rPr>
          <w:sz w:val="24"/>
          <w:szCs w:val="24"/>
        </w:rPr>
      </w:pPr>
      <w:proofErr w:type="spellStart"/>
      <w:r w:rsidRPr="00444DA7">
        <w:rPr>
          <w:b/>
          <w:i/>
          <w:sz w:val="24"/>
          <w:szCs w:val="24"/>
        </w:rPr>
        <w:t>Orthoebolavirus</w:t>
      </w:r>
      <w:proofErr w:type="spellEnd"/>
      <w:r>
        <w:rPr>
          <w:b/>
          <w:bCs/>
          <w:sz w:val="24"/>
          <w:szCs w:val="24"/>
        </w:rPr>
        <w:t xml:space="preserve"> </w:t>
      </w:r>
      <w:r w:rsidRPr="00BC3E41">
        <w:rPr>
          <w:sz w:val="24"/>
          <w:szCs w:val="24"/>
        </w:rPr>
        <w:t xml:space="preserve">(genus name – formally </w:t>
      </w:r>
      <w:r w:rsidRPr="00405F83">
        <w:rPr>
          <w:i/>
          <w:sz w:val="24"/>
          <w:szCs w:val="24"/>
        </w:rPr>
        <w:t>Ebolavirus</w:t>
      </w:r>
      <w:r w:rsidRPr="00BC3E41">
        <w:rPr>
          <w:sz w:val="24"/>
          <w:szCs w:val="24"/>
        </w:rPr>
        <w:t>)</w:t>
      </w:r>
      <w:bookmarkStart w:id="73" w:name="_Ref216792135"/>
      <w:r w:rsidR="00B568B9">
        <w:rPr>
          <w:rStyle w:val="FootnoteReference"/>
          <w:sz w:val="24"/>
          <w:szCs w:val="24"/>
        </w:rPr>
        <w:footnoteReference w:id="21"/>
      </w:r>
      <w:bookmarkEnd w:id="73"/>
    </w:p>
    <w:tbl>
      <w:tblPr>
        <w:tblStyle w:val="TableGrid"/>
        <w:tblW w:w="0" w:type="auto"/>
        <w:tblLook w:val="04A0" w:firstRow="1" w:lastRow="0" w:firstColumn="1" w:lastColumn="0" w:noHBand="0" w:noVBand="1"/>
      </w:tblPr>
      <w:tblGrid>
        <w:gridCol w:w="3829"/>
        <w:gridCol w:w="2701"/>
        <w:gridCol w:w="2758"/>
      </w:tblGrid>
      <w:tr w:rsidR="008B4DB9" w:rsidRPr="005455FC" w14:paraId="54C37E3E" w14:textId="77777777" w:rsidTr="008B4DB9">
        <w:tc>
          <w:tcPr>
            <w:tcW w:w="3829" w:type="dxa"/>
          </w:tcPr>
          <w:p w14:paraId="14A85AEE" w14:textId="51865471" w:rsidR="008B4DB9" w:rsidRPr="005455FC" w:rsidRDefault="008B4DB9">
            <w:pPr>
              <w:pStyle w:val="Tablecolhead"/>
            </w:pPr>
            <w:r>
              <w:t>Previous s</w:t>
            </w:r>
            <w:r w:rsidRPr="005455FC">
              <w:t>pecies name</w:t>
            </w:r>
          </w:p>
        </w:tc>
        <w:tc>
          <w:tcPr>
            <w:tcW w:w="2701" w:type="dxa"/>
          </w:tcPr>
          <w:p w14:paraId="534DDC6D" w14:textId="6F30A0F7" w:rsidR="008B4DB9" w:rsidRPr="005455FC" w:rsidRDefault="008B4DB9">
            <w:pPr>
              <w:pStyle w:val="Tablecolhead"/>
            </w:pPr>
            <w:r>
              <w:t>New species name</w:t>
            </w:r>
          </w:p>
        </w:tc>
        <w:tc>
          <w:tcPr>
            <w:tcW w:w="2758" w:type="dxa"/>
          </w:tcPr>
          <w:p w14:paraId="19B52119" w14:textId="77777777" w:rsidR="008B4DB9" w:rsidRPr="005455FC" w:rsidRDefault="008B4DB9">
            <w:pPr>
              <w:pStyle w:val="Tablecolhead"/>
            </w:pPr>
            <w:r w:rsidRPr="005455FC">
              <w:t>Virus name</w:t>
            </w:r>
          </w:p>
        </w:tc>
      </w:tr>
      <w:tr w:rsidR="008B4DB9" w:rsidRPr="004D1B16" w14:paraId="5A708935" w14:textId="77777777" w:rsidTr="008B4DB9">
        <w:tc>
          <w:tcPr>
            <w:tcW w:w="3829" w:type="dxa"/>
          </w:tcPr>
          <w:p w14:paraId="6ACEF945" w14:textId="0190289F" w:rsidR="008B4DB9" w:rsidRPr="004D1B16" w:rsidRDefault="008B4DB9">
            <w:pPr>
              <w:pStyle w:val="Body"/>
              <w:rPr>
                <w:rFonts w:cs="Arial"/>
                <w:b/>
              </w:rPr>
            </w:pPr>
            <w:r w:rsidRPr="001A5229">
              <w:rPr>
                <w:rFonts w:cs="Arial"/>
                <w:i/>
                <w:iCs/>
                <w:szCs w:val="21"/>
                <w:lang w:eastAsia="en-AU"/>
              </w:rPr>
              <w:t>Bombali ebolavirus</w:t>
            </w:r>
          </w:p>
        </w:tc>
        <w:tc>
          <w:tcPr>
            <w:tcW w:w="2701" w:type="dxa"/>
          </w:tcPr>
          <w:p w14:paraId="68A4F56A" w14:textId="248484B4" w:rsidR="008B4DB9" w:rsidRPr="00B01416" w:rsidRDefault="00C53BEC">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bombaliense</w:t>
            </w:r>
            <w:proofErr w:type="spellEnd"/>
          </w:p>
        </w:tc>
        <w:tc>
          <w:tcPr>
            <w:tcW w:w="2758" w:type="dxa"/>
          </w:tcPr>
          <w:p w14:paraId="213DC9B9"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Bombali virus</w:t>
            </w:r>
          </w:p>
        </w:tc>
      </w:tr>
      <w:tr w:rsidR="008B4DB9" w:rsidRPr="004D1B16" w14:paraId="66078BAF" w14:textId="77777777" w:rsidTr="008B4DB9">
        <w:tc>
          <w:tcPr>
            <w:tcW w:w="3829" w:type="dxa"/>
          </w:tcPr>
          <w:p w14:paraId="2A4CAFA4" w14:textId="77777777" w:rsidR="008B4DB9" w:rsidRPr="004D1B16" w:rsidRDefault="008B4DB9">
            <w:pPr>
              <w:pStyle w:val="Body"/>
              <w:rPr>
                <w:rFonts w:cs="Arial"/>
                <w:b/>
              </w:rPr>
            </w:pPr>
            <w:r w:rsidRPr="001A5229">
              <w:rPr>
                <w:rFonts w:cs="Arial"/>
                <w:i/>
                <w:iCs/>
                <w:color w:val="000000"/>
                <w:szCs w:val="21"/>
                <w:lang w:eastAsia="en-AU"/>
              </w:rPr>
              <w:t xml:space="preserve">Bundibugyo ebolavirus </w:t>
            </w:r>
          </w:p>
        </w:tc>
        <w:tc>
          <w:tcPr>
            <w:tcW w:w="2701" w:type="dxa"/>
          </w:tcPr>
          <w:p w14:paraId="5995615D" w14:textId="3FB2CCB3" w:rsidR="008B4DB9" w:rsidRPr="00B01416" w:rsidRDefault="00E24C9E">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bundibugyoense</w:t>
            </w:r>
            <w:proofErr w:type="spellEnd"/>
          </w:p>
        </w:tc>
        <w:tc>
          <w:tcPr>
            <w:tcW w:w="2758" w:type="dxa"/>
          </w:tcPr>
          <w:p w14:paraId="5AFAE3F1"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Bundibugyo virus</w:t>
            </w:r>
          </w:p>
        </w:tc>
      </w:tr>
      <w:tr w:rsidR="008B4DB9" w:rsidRPr="004D1B16" w14:paraId="588B02D5" w14:textId="77777777" w:rsidTr="008B4DB9">
        <w:tc>
          <w:tcPr>
            <w:tcW w:w="3829" w:type="dxa"/>
          </w:tcPr>
          <w:p w14:paraId="4A86B16F" w14:textId="77777777" w:rsidR="008B4DB9" w:rsidRPr="004D1B16" w:rsidRDefault="008B4DB9">
            <w:pPr>
              <w:pStyle w:val="Body"/>
              <w:rPr>
                <w:rFonts w:cs="Arial"/>
                <w:b/>
              </w:rPr>
            </w:pPr>
            <w:r w:rsidRPr="001A5229">
              <w:rPr>
                <w:rFonts w:cs="Arial"/>
                <w:i/>
                <w:iCs/>
                <w:szCs w:val="21"/>
                <w:lang w:eastAsia="en-AU"/>
              </w:rPr>
              <w:t xml:space="preserve">Reston ebolavirus </w:t>
            </w:r>
          </w:p>
        </w:tc>
        <w:tc>
          <w:tcPr>
            <w:tcW w:w="2701" w:type="dxa"/>
          </w:tcPr>
          <w:p w14:paraId="66507DEC" w14:textId="34B7168B" w:rsidR="008B4DB9" w:rsidRPr="00B01416" w:rsidRDefault="00D8537B">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restonens</w:t>
            </w:r>
            <w:proofErr w:type="spellEnd"/>
          </w:p>
        </w:tc>
        <w:tc>
          <w:tcPr>
            <w:tcW w:w="2758" w:type="dxa"/>
          </w:tcPr>
          <w:p w14:paraId="2C51C8A4"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Reston virus</w:t>
            </w:r>
          </w:p>
        </w:tc>
      </w:tr>
      <w:tr w:rsidR="008B4DB9" w:rsidRPr="004D1B16" w14:paraId="32E38C68" w14:textId="77777777" w:rsidTr="008B4DB9">
        <w:tc>
          <w:tcPr>
            <w:tcW w:w="3829" w:type="dxa"/>
          </w:tcPr>
          <w:p w14:paraId="67F89B9D" w14:textId="77777777" w:rsidR="008B4DB9" w:rsidRPr="004D1B16" w:rsidRDefault="008B4DB9">
            <w:pPr>
              <w:pStyle w:val="Body"/>
              <w:rPr>
                <w:rFonts w:cs="Arial"/>
                <w:b/>
              </w:rPr>
            </w:pPr>
            <w:r w:rsidRPr="001A5229">
              <w:rPr>
                <w:rFonts w:cs="Arial"/>
                <w:i/>
                <w:iCs/>
                <w:color w:val="000000"/>
                <w:szCs w:val="21"/>
                <w:lang w:eastAsia="en-AU"/>
              </w:rPr>
              <w:t xml:space="preserve">Sudan ebolavirus </w:t>
            </w:r>
          </w:p>
        </w:tc>
        <w:tc>
          <w:tcPr>
            <w:tcW w:w="2701" w:type="dxa"/>
          </w:tcPr>
          <w:p w14:paraId="79ACC924" w14:textId="5E8CAFB0" w:rsidR="008B4DB9" w:rsidRPr="00B01416" w:rsidRDefault="00F347D4">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sudanense</w:t>
            </w:r>
            <w:proofErr w:type="spellEnd"/>
          </w:p>
        </w:tc>
        <w:tc>
          <w:tcPr>
            <w:tcW w:w="2758" w:type="dxa"/>
          </w:tcPr>
          <w:p w14:paraId="4776C800"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Sudan virus</w:t>
            </w:r>
          </w:p>
        </w:tc>
      </w:tr>
      <w:tr w:rsidR="008B4DB9" w:rsidRPr="004D1B16" w14:paraId="7B4BE963" w14:textId="77777777" w:rsidTr="008B4DB9">
        <w:tc>
          <w:tcPr>
            <w:tcW w:w="3829" w:type="dxa"/>
          </w:tcPr>
          <w:p w14:paraId="5E8E348A" w14:textId="5758EC61" w:rsidR="008B4DB9" w:rsidRPr="004D1B16" w:rsidRDefault="008B4DB9">
            <w:pPr>
              <w:pStyle w:val="Body"/>
              <w:rPr>
                <w:rFonts w:cs="Arial"/>
                <w:b/>
              </w:rPr>
            </w:pPr>
            <w:proofErr w:type="spellStart"/>
            <w:r w:rsidRPr="001A5229">
              <w:rPr>
                <w:rFonts w:cs="Arial"/>
                <w:i/>
                <w:iCs/>
                <w:color w:val="000000"/>
                <w:szCs w:val="21"/>
                <w:lang w:eastAsia="en-AU"/>
              </w:rPr>
              <w:t>T</w:t>
            </w:r>
            <w:r w:rsidRPr="00B10946">
              <w:rPr>
                <w:rFonts w:cs="Arial"/>
                <w:i/>
                <w:iCs/>
                <w:color w:val="000000"/>
                <w:szCs w:val="21"/>
                <w:lang w:eastAsia="en-AU"/>
              </w:rPr>
              <w:t>a</w:t>
            </w:r>
            <w:r w:rsidR="00B10946" w:rsidRPr="00B10946">
              <w:rPr>
                <w:rFonts w:cs="Arial"/>
                <w:i/>
                <w:iCs/>
                <w:color w:val="000000" w:themeColor="text1"/>
                <w:szCs w:val="21"/>
                <w:lang w:eastAsia="en-AU"/>
              </w:rPr>
              <w:t>ï</w:t>
            </w:r>
            <w:proofErr w:type="spellEnd"/>
            <w:r w:rsidRPr="001A5229">
              <w:rPr>
                <w:rFonts w:cs="Arial"/>
                <w:i/>
                <w:iCs/>
                <w:color w:val="000000"/>
                <w:szCs w:val="21"/>
                <w:lang w:eastAsia="en-AU"/>
              </w:rPr>
              <w:t xml:space="preserve"> Forest ebolavirus </w:t>
            </w:r>
          </w:p>
        </w:tc>
        <w:tc>
          <w:tcPr>
            <w:tcW w:w="2701" w:type="dxa"/>
          </w:tcPr>
          <w:p w14:paraId="01A9EBF9" w14:textId="48A446D3" w:rsidR="008B4DB9" w:rsidRPr="00B01416" w:rsidRDefault="00581457">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taiense</w:t>
            </w:r>
            <w:proofErr w:type="spellEnd"/>
          </w:p>
        </w:tc>
        <w:tc>
          <w:tcPr>
            <w:tcW w:w="2758" w:type="dxa"/>
          </w:tcPr>
          <w:p w14:paraId="10828C45" w14:textId="77777777" w:rsidR="008B4DB9" w:rsidRPr="004D1B16" w:rsidRDefault="008B4DB9">
            <w:pPr>
              <w:pStyle w:val="Body"/>
              <w:rPr>
                <w:rFonts w:cs="Arial"/>
                <w:b/>
                <w:color w:val="000000" w:themeColor="text1"/>
              </w:rPr>
            </w:pPr>
            <w:proofErr w:type="spellStart"/>
            <w:r w:rsidRPr="001A5229">
              <w:rPr>
                <w:rFonts w:cs="Arial"/>
                <w:color w:val="000000" w:themeColor="text1"/>
                <w:szCs w:val="21"/>
                <w:lang w:eastAsia="en-AU"/>
              </w:rPr>
              <w:t>Taï</w:t>
            </w:r>
            <w:proofErr w:type="spellEnd"/>
            <w:r w:rsidRPr="001A5229">
              <w:rPr>
                <w:rFonts w:cs="Arial"/>
                <w:color w:val="000000" w:themeColor="text1"/>
                <w:szCs w:val="21"/>
                <w:lang w:eastAsia="en-AU"/>
              </w:rPr>
              <w:t xml:space="preserve"> Forest virus</w:t>
            </w:r>
          </w:p>
        </w:tc>
      </w:tr>
      <w:tr w:rsidR="008B4DB9" w:rsidRPr="004D1B16" w14:paraId="10AA3C06" w14:textId="77777777" w:rsidTr="008B4DB9">
        <w:tc>
          <w:tcPr>
            <w:tcW w:w="3829" w:type="dxa"/>
          </w:tcPr>
          <w:p w14:paraId="2A456F41" w14:textId="77777777" w:rsidR="008B4DB9" w:rsidRPr="004D1B16" w:rsidRDefault="008B4DB9">
            <w:pPr>
              <w:pStyle w:val="Body"/>
              <w:rPr>
                <w:rFonts w:cs="Arial"/>
                <w:b/>
              </w:rPr>
            </w:pPr>
            <w:r w:rsidRPr="001A5229">
              <w:rPr>
                <w:rFonts w:cs="Arial"/>
                <w:i/>
                <w:iCs/>
                <w:color w:val="000000"/>
                <w:szCs w:val="21"/>
                <w:lang w:eastAsia="en-AU"/>
              </w:rPr>
              <w:t xml:space="preserve">Zaire ebolavirus </w:t>
            </w:r>
          </w:p>
        </w:tc>
        <w:tc>
          <w:tcPr>
            <w:tcW w:w="2701" w:type="dxa"/>
          </w:tcPr>
          <w:p w14:paraId="35D3E2A1" w14:textId="136D4451" w:rsidR="008B4DB9" w:rsidRPr="00B01416" w:rsidRDefault="00B01416">
            <w:pPr>
              <w:pStyle w:val="Body"/>
              <w:rPr>
                <w:rFonts w:cs="Arial"/>
                <w:i/>
                <w:iCs/>
                <w:color w:val="000000" w:themeColor="text1"/>
                <w:szCs w:val="21"/>
                <w:lang w:eastAsia="en-AU"/>
              </w:rPr>
            </w:pPr>
            <w:proofErr w:type="spellStart"/>
            <w:r w:rsidRPr="00B01416">
              <w:rPr>
                <w:rFonts w:cs="Arial"/>
                <w:i/>
                <w:iCs/>
                <w:color w:val="000000" w:themeColor="text1"/>
                <w:szCs w:val="21"/>
                <w:lang w:eastAsia="en-AU"/>
              </w:rPr>
              <w:t>Orthoebolavirus</w:t>
            </w:r>
            <w:proofErr w:type="spellEnd"/>
            <w:r w:rsidRPr="00B01416">
              <w:rPr>
                <w:rFonts w:cs="Arial"/>
                <w:i/>
                <w:iCs/>
                <w:color w:val="000000" w:themeColor="text1"/>
                <w:szCs w:val="21"/>
                <w:lang w:eastAsia="en-AU"/>
              </w:rPr>
              <w:t xml:space="preserve"> </w:t>
            </w:r>
            <w:proofErr w:type="spellStart"/>
            <w:r w:rsidRPr="00B01416">
              <w:rPr>
                <w:rFonts w:cs="Arial"/>
                <w:i/>
                <w:iCs/>
                <w:color w:val="000000" w:themeColor="text1"/>
                <w:szCs w:val="21"/>
                <w:lang w:eastAsia="en-AU"/>
              </w:rPr>
              <w:t>zairense</w:t>
            </w:r>
            <w:proofErr w:type="spellEnd"/>
          </w:p>
        </w:tc>
        <w:tc>
          <w:tcPr>
            <w:tcW w:w="2758" w:type="dxa"/>
          </w:tcPr>
          <w:p w14:paraId="44C9E6DB"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Ebola virus</w:t>
            </w:r>
          </w:p>
        </w:tc>
      </w:tr>
    </w:tbl>
    <w:p w14:paraId="3FB09117" w14:textId="77777777" w:rsidR="00383143" w:rsidRDefault="00383143" w:rsidP="00DE4761">
      <w:pPr>
        <w:pStyle w:val="Bodyafterbullets"/>
        <w:rPr>
          <w:b/>
          <w:bCs/>
          <w:sz w:val="24"/>
          <w:szCs w:val="24"/>
        </w:rPr>
      </w:pPr>
    </w:p>
    <w:p w14:paraId="6DCD6B33" w14:textId="76DE0312" w:rsidR="00DE4761" w:rsidRPr="00BC3E41" w:rsidRDefault="00DE4761" w:rsidP="00DE4761">
      <w:pPr>
        <w:pStyle w:val="Bodyafterbullets"/>
        <w:rPr>
          <w:sz w:val="24"/>
          <w:szCs w:val="24"/>
        </w:rPr>
      </w:pPr>
      <w:proofErr w:type="spellStart"/>
      <w:r w:rsidRPr="00405F83">
        <w:rPr>
          <w:b/>
          <w:bCs/>
          <w:i/>
          <w:iCs/>
          <w:sz w:val="24"/>
          <w:szCs w:val="24"/>
        </w:rPr>
        <w:t>Orthomarburgvirus</w:t>
      </w:r>
      <w:proofErr w:type="spellEnd"/>
      <w:r>
        <w:rPr>
          <w:b/>
          <w:bCs/>
          <w:sz w:val="24"/>
          <w:szCs w:val="24"/>
        </w:rPr>
        <w:t xml:space="preserve"> </w:t>
      </w:r>
      <w:r w:rsidRPr="00116C5C">
        <w:rPr>
          <w:sz w:val="24"/>
          <w:szCs w:val="24"/>
        </w:rPr>
        <w:t xml:space="preserve">(genus name – formally </w:t>
      </w:r>
      <w:r w:rsidRPr="00405F83">
        <w:rPr>
          <w:rFonts w:cs="Arial"/>
          <w:i/>
          <w:sz w:val="24"/>
          <w:szCs w:val="24"/>
        </w:rPr>
        <w:t>Marburgvirus</w:t>
      </w:r>
      <w:r w:rsidRPr="00116C5C">
        <w:rPr>
          <w:sz w:val="24"/>
          <w:szCs w:val="24"/>
        </w:rPr>
        <w:t>)</w:t>
      </w:r>
      <w:r w:rsidR="00936346" w:rsidRPr="00936346">
        <w:rPr>
          <w:sz w:val="24"/>
          <w:szCs w:val="24"/>
          <w:vertAlign w:val="superscript"/>
        </w:rPr>
        <w:fldChar w:fldCharType="begin"/>
      </w:r>
      <w:r w:rsidR="00936346" w:rsidRPr="00936346">
        <w:rPr>
          <w:sz w:val="24"/>
          <w:szCs w:val="24"/>
          <w:vertAlign w:val="superscript"/>
        </w:rPr>
        <w:instrText xml:space="preserve"> NOTEREF _Ref216792135 \h  \* MERGEFORMAT </w:instrText>
      </w:r>
      <w:r w:rsidR="00936346" w:rsidRPr="00936346">
        <w:rPr>
          <w:sz w:val="24"/>
          <w:szCs w:val="24"/>
          <w:vertAlign w:val="superscript"/>
        </w:rPr>
      </w:r>
      <w:r w:rsidR="00936346" w:rsidRPr="00936346">
        <w:rPr>
          <w:sz w:val="24"/>
          <w:szCs w:val="24"/>
          <w:vertAlign w:val="superscript"/>
        </w:rPr>
        <w:fldChar w:fldCharType="separate"/>
      </w:r>
      <w:r w:rsidR="00936346" w:rsidRPr="00936346">
        <w:rPr>
          <w:sz w:val="24"/>
          <w:szCs w:val="24"/>
          <w:vertAlign w:val="superscript"/>
        </w:rPr>
        <w:t>15</w:t>
      </w:r>
      <w:r w:rsidR="00936346" w:rsidRPr="00936346">
        <w:rPr>
          <w:sz w:val="24"/>
          <w:szCs w:val="24"/>
          <w:vertAlign w:val="superscript"/>
        </w:rPr>
        <w:fldChar w:fldCharType="end"/>
      </w:r>
    </w:p>
    <w:tbl>
      <w:tblPr>
        <w:tblStyle w:val="TableGrid"/>
        <w:tblW w:w="0" w:type="auto"/>
        <w:tblLook w:val="04A0" w:firstRow="1" w:lastRow="0" w:firstColumn="1" w:lastColumn="0" w:noHBand="0" w:noVBand="1"/>
      </w:tblPr>
      <w:tblGrid>
        <w:gridCol w:w="3839"/>
        <w:gridCol w:w="2705"/>
        <w:gridCol w:w="2744"/>
      </w:tblGrid>
      <w:tr w:rsidR="008B4DB9" w:rsidRPr="004D1B16" w14:paraId="1022A6F7" w14:textId="77777777" w:rsidTr="008B4DB9">
        <w:tc>
          <w:tcPr>
            <w:tcW w:w="3839" w:type="dxa"/>
          </w:tcPr>
          <w:p w14:paraId="7C966621" w14:textId="7F909F13" w:rsidR="008B4DB9" w:rsidRPr="004D1B16" w:rsidRDefault="008B4DB9">
            <w:pPr>
              <w:pStyle w:val="Tablecolhead"/>
            </w:pPr>
            <w:r>
              <w:t>Previous s</w:t>
            </w:r>
            <w:r w:rsidRPr="004D1B16">
              <w:t>pecies name</w:t>
            </w:r>
          </w:p>
        </w:tc>
        <w:tc>
          <w:tcPr>
            <w:tcW w:w="2705" w:type="dxa"/>
          </w:tcPr>
          <w:p w14:paraId="3CD8B2AC" w14:textId="4D92BD8E" w:rsidR="008B4DB9" w:rsidRPr="004D1B16" w:rsidRDefault="008B4DB9">
            <w:pPr>
              <w:pStyle w:val="Tablecolhead"/>
            </w:pPr>
            <w:r>
              <w:t>New species name</w:t>
            </w:r>
          </w:p>
        </w:tc>
        <w:tc>
          <w:tcPr>
            <w:tcW w:w="2744" w:type="dxa"/>
          </w:tcPr>
          <w:p w14:paraId="30D901B1" w14:textId="77777777" w:rsidR="008B4DB9" w:rsidRPr="004D1B16" w:rsidRDefault="008B4DB9">
            <w:pPr>
              <w:pStyle w:val="Tablecolhead"/>
            </w:pPr>
            <w:r w:rsidRPr="004D1B16">
              <w:t>Virus name</w:t>
            </w:r>
          </w:p>
        </w:tc>
      </w:tr>
      <w:tr w:rsidR="008B4DB9" w:rsidRPr="004D1B16" w14:paraId="0F0E514A" w14:textId="77777777" w:rsidTr="008B4DB9">
        <w:tc>
          <w:tcPr>
            <w:tcW w:w="3839" w:type="dxa"/>
          </w:tcPr>
          <w:p w14:paraId="1C6C0608" w14:textId="77777777" w:rsidR="008B4DB9" w:rsidRPr="004D1B16" w:rsidRDefault="008B4DB9">
            <w:pPr>
              <w:pStyle w:val="Body"/>
              <w:rPr>
                <w:rFonts w:cs="Arial"/>
              </w:rPr>
            </w:pPr>
            <w:r w:rsidRPr="004D1B16">
              <w:rPr>
                <w:rFonts w:cs="Arial"/>
                <w:i/>
              </w:rPr>
              <w:t xml:space="preserve">Marburg </w:t>
            </w:r>
            <w:proofErr w:type="spellStart"/>
            <w:r w:rsidRPr="004D1B16">
              <w:rPr>
                <w:rFonts w:cs="Arial"/>
                <w:i/>
              </w:rPr>
              <w:t>marburgvirus</w:t>
            </w:r>
            <w:proofErr w:type="spellEnd"/>
          </w:p>
        </w:tc>
        <w:tc>
          <w:tcPr>
            <w:tcW w:w="2705" w:type="dxa"/>
          </w:tcPr>
          <w:p w14:paraId="64E48A77" w14:textId="2B8D26E7" w:rsidR="008B4DB9" w:rsidRPr="00ED6CCF" w:rsidRDefault="00ED6CCF">
            <w:pPr>
              <w:pStyle w:val="Body"/>
              <w:rPr>
                <w:rFonts w:cs="Arial"/>
                <w:i/>
                <w:iCs/>
                <w:color w:val="000000" w:themeColor="text1"/>
                <w:szCs w:val="21"/>
                <w:lang w:eastAsia="en-AU"/>
              </w:rPr>
            </w:pPr>
            <w:proofErr w:type="spellStart"/>
            <w:r w:rsidRPr="00ED6CCF">
              <w:rPr>
                <w:rFonts w:cs="Arial"/>
                <w:i/>
                <w:iCs/>
                <w:color w:val="000000" w:themeColor="text1"/>
                <w:szCs w:val="21"/>
                <w:lang w:eastAsia="en-AU"/>
              </w:rPr>
              <w:t>Orthomarburgvirus</w:t>
            </w:r>
            <w:proofErr w:type="spellEnd"/>
            <w:r w:rsidRPr="00ED6CCF">
              <w:rPr>
                <w:rFonts w:cs="Arial"/>
                <w:i/>
                <w:iCs/>
                <w:color w:val="000000" w:themeColor="text1"/>
                <w:szCs w:val="21"/>
                <w:lang w:eastAsia="en-AU"/>
              </w:rPr>
              <w:t xml:space="preserve"> </w:t>
            </w:r>
            <w:proofErr w:type="spellStart"/>
            <w:r w:rsidRPr="00ED6CCF">
              <w:rPr>
                <w:rFonts w:cs="Arial"/>
                <w:i/>
                <w:iCs/>
                <w:color w:val="000000" w:themeColor="text1"/>
                <w:szCs w:val="21"/>
                <w:lang w:eastAsia="en-AU"/>
              </w:rPr>
              <w:t>marburgense</w:t>
            </w:r>
            <w:proofErr w:type="spellEnd"/>
          </w:p>
        </w:tc>
        <w:tc>
          <w:tcPr>
            <w:tcW w:w="2744" w:type="dxa"/>
          </w:tcPr>
          <w:p w14:paraId="77303280"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Marburg virus MARV</w:t>
            </w:r>
          </w:p>
        </w:tc>
      </w:tr>
      <w:tr w:rsidR="008B4DB9" w:rsidRPr="004D1B16" w14:paraId="1C9A930B" w14:textId="77777777" w:rsidTr="008B4DB9">
        <w:tc>
          <w:tcPr>
            <w:tcW w:w="3839" w:type="dxa"/>
          </w:tcPr>
          <w:p w14:paraId="33512FDE" w14:textId="77777777" w:rsidR="008B4DB9" w:rsidRPr="004D1B16" w:rsidRDefault="008B4DB9">
            <w:pPr>
              <w:pStyle w:val="Body"/>
              <w:rPr>
                <w:rFonts w:cs="Arial"/>
                <w:b/>
              </w:rPr>
            </w:pPr>
          </w:p>
        </w:tc>
        <w:tc>
          <w:tcPr>
            <w:tcW w:w="2705" w:type="dxa"/>
          </w:tcPr>
          <w:p w14:paraId="2187B210" w14:textId="77777777" w:rsidR="008B4DB9" w:rsidRPr="001A5229" w:rsidRDefault="008B4DB9">
            <w:pPr>
              <w:pStyle w:val="Body"/>
              <w:rPr>
                <w:rFonts w:cs="Arial"/>
                <w:color w:val="000000" w:themeColor="text1"/>
                <w:szCs w:val="21"/>
                <w:lang w:eastAsia="en-AU"/>
              </w:rPr>
            </w:pPr>
          </w:p>
        </w:tc>
        <w:tc>
          <w:tcPr>
            <w:tcW w:w="2744" w:type="dxa"/>
          </w:tcPr>
          <w:p w14:paraId="4CA62307" w14:textId="77777777" w:rsidR="008B4DB9" w:rsidRPr="004D1B16" w:rsidRDefault="008B4DB9">
            <w:pPr>
              <w:pStyle w:val="Body"/>
              <w:rPr>
                <w:rFonts w:cs="Arial"/>
                <w:b/>
                <w:color w:val="000000" w:themeColor="text1"/>
              </w:rPr>
            </w:pPr>
            <w:r w:rsidRPr="001A5229">
              <w:rPr>
                <w:rFonts w:cs="Arial"/>
                <w:color w:val="000000" w:themeColor="text1"/>
                <w:szCs w:val="21"/>
                <w:lang w:eastAsia="en-AU"/>
              </w:rPr>
              <w:t>Ravn virus</w:t>
            </w:r>
          </w:p>
        </w:tc>
      </w:tr>
    </w:tbl>
    <w:p w14:paraId="6FF70AC4" w14:textId="77777777" w:rsidR="007B79EA" w:rsidRPr="00AA2A10" w:rsidRDefault="007B79EA" w:rsidP="008D292E">
      <w:pPr>
        <w:pStyle w:val="Body"/>
        <w:tabs>
          <w:tab w:val="left" w:pos="567"/>
        </w:tabs>
        <w:rPr>
          <w:sz w:val="24"/>
          <w:szCs w:val="24"/>
        </w:rPr>
      </w:pPr>
    </w:p>
    <w:p w14:paraId="022524DD" w14:textId="7A978658" w:rsidR="007B79EA" w:rsidRDefault="007B79EA" w:rsidP="007B79EA">
      <w:pPr>
        <w:pStyle w:val="Body"/>
        <w:rPr>
          <w:b/>
          <w:bCs/>
          <w:sz w:val="24"/>
          <w:szCs w:val="24"/>
        </w:rPr>
      </w:pPr>
      <w:r>
        <w:rPr>
          <w:b/>
          <w:bCs/>
          <w:sz w:val="24"/>
          <w:szCs w:val="24"/>
        </w:rPr>
        <w:lastRenderedPageBreak/>
        <w:t>Surveillance case definition</w:t>
      </w:r>
    </w:p>
    <w:p w14:paraId="356CDBA9" w14:textId="2209DE06" w:rsidR="007B79EA" w:rsidRPr="007B79EA" w:rsidRDefault="007B79EA" w:rsidP="007B79EA">
      <w:pPr>
        <w:pStyle w:val="Body"/>
        <w:rPr>
          <w:szCs w:val="21"/>
        </w:rPr>
      </w:pPr>
      <w:r w:rsidRPr="009D0E79">
        <w:rPr>
          <w:b/>
          <w:bCs/>
          <w:szCs w:val="21"/>
        </w:rPr>
        <w:t>CDNA surveillance case definitions</w:t>
      </w:r>
      <w:r w:rsidRPr="007B79EA">
        <w:rPr>
          <w:szCs w:val="21"/>
        </w:rPr>
        <w:t xml:space="preserve"> should not be used for clinical diagnostic purposes.</w:t>
      </w:r>
    </w:p>
    <w:p w14:paraId="6603E6CF" w14:textId="78EEF0D2" w:rsidR="007B79EA" w:rsidRPr="007B79EA" w:rsidRDefault="007B79EA" w:rsidP="007B79EA">
      <w:pPr>
        <w:pStyle w:val="Body"/>
        <w:rPr>
          <w:b/>
          <w:bCs/>
          <w:szCs w:val="21"/>
        </w:rPr>
      </w:pPr>
      <w:r w:rsidRPr="007B79EA">
        <w:rPr>
          <w:b/>
          <w:bCs/>
          <w:szCs w:val="21"/>
        </w:rPr>
        <w:t>Confirmed case</w:t>
      </w:r>
    </w:p>
    <w:p w14:paraId="3EBA79B4" w14:textId="77777777" w:rsidR="007B79EA" w:rsidRDefault="007B79EA" w:rsidP="007B79EA">
      <w:pPr>
        <w:pStyle w:val="Body"/>
      </w:pPr>
      <w:r w:rsidRPr="005B5A73">
        <w:t xml:space="preserve">A </w:t>
      </w:r>
      <w:r w:rsidRPr="2EEDCB44">
        <w:rPr>
          <w:b/>
        </w:rPr>
        <w:t>confirmed case</w:t>
      </w:r>
      <w:r w:rsidRPr="005B5A73">
        <w:t xml:space="preserve"> requires </w:t>
      </w:r>
      <w:r w:rsidRPr="2EEDCB44">
        <w:rPr>
          <w:b/>
        </w:rPr>
        <w:t>laboratory definitive evidence</w:t>
      </w:r>
      <w:r w:rsidRPr="005B5A73">
        <w:t xml:space="preserve"> only. </w:t>
      </w:r>
    </w:p>
    <w:p w14:paraId="12DBCB74" w14:textId="77777777" w:rsidR="007B79EA" w:rsidRDefault="007B79EA" w:rsidP="007B79EA">
      <w:pPr>
        <w:pStyle w:val="Body"/>
      </w:pPr>
      <w:r w:rsidRPr="00B6321B">
        <w:rPr>
          <w:b/>
          <w:bCs/>
        </w:rPr>
        <w:t>Laboratory definitive evidence</w:t>
      </w:r>
      <w:r w:rsidRPr="005B5A73">
        <w:t xml:space="preserve"> requires confirmation by the Victorian Infectious Diseases Reference Laboratory (VIDRL), Melbourne or the Special Pathogens Laboratory, CDC, Atlanta</w:t>
      </w:r>
      <w:r>
        <w:t xml:space="preserve"> or</w:t>
      </w:r>
      <w:r w:rsidRPr="005B5A73">
        <w:t xml:space="preserve"> the Special Pathogens Laboratory, National Institute of Virology, Johannesburg</w:t>
      </w:r>
      <w:r>
        <w:t xml:space="preserve"> for:</w:t>
      </w:r>
    </w:p>
    <w:p w14:paraId="1518EB8C" w14:textId="77777777" w:rsidR="007B79EA" w:rsidRDefault="007B79EA" w:rsidP="007B79EA">
      <w:pPr>
        <w:pStyle w:val="Bullet1"/>
        <w:numPr>
          <w:ilvl w:val="0"/>
          <w:numId w:val="113"/>
        </w:numPr>
      </w:pPr>
      <w:r>
        <w:t>i</w:t>
      </w:r>
      <w:r w:rsidRPr="008C7832">
        <w:t xml:space="preserve">solation of a specific virus </w:t>
      </w:r>
    </w:p>
    <w:p w14:paraId="78111B7E" w14:textId="77777777" w:rsidR="007B79EA" w:rsidRDefault="007B79EA" w:rsidP="007B79EA">
      <w:pPr>
        <w:pStyle w:val="Body"/>
      </w:pPr>
      <w:r w:rsidRPr="008C7832">
        <w:t xml:space="preserve">OR </w:t>
      </w:r>
    </w:p>
    <w:p w14:paraId="4358B579" w14:textId="77777777" w:rsidR="007B79EA" w:rsidRDefault="007B79EA" w:rsidP="007B79EA">
      <w:pPr>
        <w:pStyle w:val="Bullet1"/>
        <w:numPr>
          <w:ilvl w:val="0"/>
          <w:numId w:val="113"/>
        </w:numPr>
      </w:pPr>
      <w:r>
        <w:t>d</w:t>
      </w:r>
      <w:r w:rsidRPr="008C7832">
        <w:t xml:space="preserve">etection of </w:t>
      </w:r>
      <w:r>
        <w:t xml:space="preserve">a </w:t>
      </w:r>
      <w:r w:rsidRPr="008C7832">
        <w:t xml:space="preserve">specific virus by nucleic acid testing or antigen detection assay </w:t>
      </w:r>
    </w:p>
    <w:p w14:paraId="3D36B0CF" w14:textId="77777777" w:rsidR="007B79EA" w:rsidRDefault="007B79EA" w:rsidP="007B79EA">
      <w:pPr>
        <w:pStyle w:val="Body"/>
      </w:pPr>
      <w:r w:rsidRPr="008C7832">
        <w:t xml:space="preserve">OR </w:t>
      </w:r>
    </w:p>
    <w:p w14:paraId="7629C478" w14:textId="77777777" w:rsidR="007B79EA" w:rsidRDefault="007B79EA" w:rsidP="007B79EA">
      <w:pPr>
        <w:pStyle w:val="Bullet1"/>
        <w:numPr>
          <w:ilvl w:val="0"/>
          <w:numId w:val="113"/>
        </w:numPr>
      </w:pPr>
      <w:r w:rsidRPr="008C7832">
        <w:t xml:space="preserve">IgG seroconversion or a significant increase in antibody level or a fourfold or greater rise in titre to </w:t>
      </w:r>
      <w:r>
        <w:t xml:space="preserve">a </w:t>
      </w:r>
      <w:r w:rsidRPr="008C7832">
        <w:t>specific virus</w:t>
      </w:r>
      <w:r>
        <w:t>.</w:t>
      </w:r>
    </w:p>
    <w:p w14:paraId="3B63368A" w14:textId="77777777" w:rsidR="007B79EA" w:rsidRPr="007B79EA" w:rsidRDefault="007B79EA" w:rsidP="007B79EA">
      <w:pPr>
        <w:pStyle w:val="Bodyafterbullets"/>
        <w:rPr>
          <w:b/>
          <w:bCs/>
          <w:szCs w:val="21"/>
        </w:rPr>
      </w:pPr>
      <w:r w:rsidRPr="007B79EA">
        <w:rPr>
          <w:b/>
          <w:bCs/>
          <w:szCs w:val="21"/>
        </w:rPr>
        <w:t xml:space="preserve">Suspected case </w:t>
      </w:r>
    </w:p>
    <w:p w14:paraId="68302B37" w14:textId="77777777" w:rsidR="007B79EA" w:rsidRDefault="007B79EA" w:rsidP="007B79EA">
      <w:pPr>
        <w:pStyle w:val="Body"/>
      </w:pPr>
      <w:r>
        <w:t xml:space="preserve">A suspected case has compatible </w:t>
      </w:r>
      <w:r w:rsidRPr="00B6321B">
        <w:rPr>
          <w:b/>
          <w:bCs/>
        </w:rPr>
        <w:t>clinical evidence</w:t>
      </w:r>
      <w:r>
        <w:t xml:space="preserve"> AND </w:t>
      </w:r>
      <w:r w:rsidRPr="00B6321B">
        <w:rPr>
          <w:b/>
          <w:bCs/>
        </w:rPr>
        <w:t>epidemiological evidence</w:t>
      </w:r>
      <w:r>
        <w:t>.</w:t>
      </w:r>
    </w:p>
    <w:p w14:paraId="1AF6CA14" w14:textId="77777777" w:rsidR="007B79EA" w:rsidRPr="00B6321B" w:rsidRDefault="007B79EA" w:rsidP="007B79EA">
      <w:pPr>
        <w:pStyle w:val="Body"/>
      </w:pPr>
      <w:r w:rsidRPr="00B6321B">
        <w:rPr>
          <w:b/>
          <w:bCs/>
        </w:rPr>
        <w:t>Clinical evidence</w:t>
      </w:r>
      <w:r>
        <w:t>:</w:t>
      </w:r>
      <w:r w:rsidRPr="00B6321B">
        <w:t xml:space="preserve"> </w:t>
      </w:r>
    </w:p>
    <w:p w14:paraId="08B326BA" w14:textId="77777777" w:rsidR="007B79EA" w:rsidRDefault="007B79EA" w:rsidP="007B79EA">
      <w:pPr>
        <w:pStyle w:val="Body"/>
      </w:pPr>
      <w:r>
        <w:t>Clinical evidence requires a compatible clinical illness as determined by an infectious disease physician. Common presenting complaints are fever, myalgia and prostration, with headache, pharyngitis, conjunctival injection, flushing and gastrointestinal symptoms. This may be complicated by spontaneous bleeding, petechiae, hypotension and perhaps shock, oedema and neurologic involvement.</w:t>
      </w:r>
    </w:p>
    <w:p w14:paraId="5BE16FA8" w14:textId="77777777" w:rsidR="007B79EA" w:rsidRPr="00B6321B" w:rsidRDefault="007B79EA" w:rsidP="007B79EA">
      <w:pPr>
        <w:pStyle w:val="Body"/>
      </w:pPr>
      <w:r w:rsidRPr="00B6321B">
        <w:rPr>
          <w:b/>
          <w:bCs/>
        </w:rPr>
        <w:t>Epidemiological evidence</w:t>
      </w:r>
      <w:r>
        <w:rPr>
          <w:b/>
          <w:bCs/>
        </w:rPr>
        <w:t xml:space="preserve"> </w:t>
      </w:r>
      <w:r w:rsidRPr="00BC3E41">
        <w:t>requires</w:t>
      </w:r>
      <w:r>
        <w:t>:</w:t>
      </w:r>
      <w:r w:rsidRPr="00B6321B">
        <w:t xml:space="preserve"> </w:t>
      </w:r>
    </w:p>
    <w:p w14:paraId="728561CF" w14:textId="77777777" w:rsidR="007B79EA" w:rsidRDefault="007B79EA" w:rsidP="007B79EA">
      <w:pPr>
        <w:pStyle w:val="Bullet1"/>
        <w:numPr>
          <w:ilvl w:val="0"/>
          <w:numId w:val="113"/>
        </w:numPr>
      </w:pPr>
      <w:r>
        <w:t>history of travel to an endemic/epidemic area within nine days (Marburg), 13 days (Crimean-Congo) or 21 days (Lassa, Ebola) of illness onset. Filoviruses are endemic in Sub-Saharan Africa, Lassa in Western Africa, Crimean-Congo in Africa and the Middle East to West China</w:t>
      </w:r>
    </w:p>
    <w:p w14:paraId="020643FB" w14:textId="77777777" w:rsidR="007B79EA" w:rsidRDefault="007B79EA" w:rsidP="007B79EA">
      <w:pPr>
        <w:pStyle w:val="Body"/>
      </w:pPr>
      <w:r>
        <w:t xml:space="preserve">OR </w:t>
      </w:r>
    </w:p>
    <w:p w14:paraId="456A9860" w14:textId="77777777" w:rsidR="007B79EA" w:rsidRDefault="007B79EA" w:rsidP="007B79EA">
      <w:pPr>
        <w:pStyle w:val="Bullet1"/>
        <w:numPr>
          <w:ilvl w:val="0"/>
          <w:numId w:val="113"/>
        </w:numPr>
      </w:pPr>
      <w:r>
        <w:t>contact with a confirmed case</w:t>
      </w:r>
    </w:p>
    <w:p w14:paraId="25646A74" w14:textId="77777777" w:rsidR="007B79EA" w:rsidRDefault="007B79EA" w:rsidP="007B79EA">
      <w:pPr>
        <w:pStyle w:val="Body"/>
      </w:pPr>
      <w:r>
        <w:t xml:space="preserve">OR </w:t>
      </w:r>
    </w:p>
    <w:p w14:paraId="1854AAE0" w14:textId="77777777" w:rsidR="007B79EA" w:rsidRDefault="007B79EA" w:rsidP="007B79EA">
      <w:pPr>
        <w:pStyle w:val="Bullet1"/>
        <w:numPr>
          <w:ilvl w:val="0"/>
          <w:numId w:val="113"/>
        </w:numPr>
      </w:pPr>
      <w:r>
        <w:t>exposure to viral haemorrhagic fever (VHF) infected blood or tissues.</w:t>
      </w:r>
    </w:p>
    <w:p w14:paraId="12B39C9A" w14:textId="77777777" w:rsidR="005037D6" w:rsidRDefault="005037D6" w:rsidP="008D292E">
      <w:pPr>
        <w:pStyle w:val="Body"/>
        <w:tabs>
          <w:tab w:val="left" w:pos="567"/>
        </w:tabs>
        <w:sectPr w:rsidR="005037D6" w:rsidSect="005037D6">
          <w:headerReference w:type="default" r:id="rId72"/>
          <w:headerReference w:type="first" r:id="rId73"/>
          <w:footerReference w:type="first" r:id="rId74"/>
          <w:pgSz w:w="11906" w:h="16838" w:code="9"/>
          <w:pgMar w:top="1418" w:right="1304" w:bottom="1134" w:left="1304" w:header="680" w:footer="509" w:gutter="0"/>
          <w:cols w:space="340"/>
          <w:titlePg/>
          <w:docGrid w:linePitch="360"/>
        </w:sectPr>
      </w:pPr>
    </w:p>
    <w:p w14:paraId="0F8B8ACD" w14:textId="1048A989" w:rsidR="005037D6" w:rsidRDefault="00CD339B" w:rsidP="008D292E">
      <w:pPr>
        <w:pStyle w:val="Heading1"/>
        <w:tabs>
          <w:tab w:val="left" w:pos="567"/>
        </w:tabs>
      </w:pPr>
      <w:bookmarkStart w:id="74" w:name="_Appendix_3_–"/>
      <w:bookmarkStart w:id="75" w:name="_Toc217022562"/>
      <w:bookmarkEnd w:id="74"/>
      <w:r>
        <w:rPr>
          <w:noProof/>
        </w:rPr>
        <w:lastRenderedPageBreak/>
        <w:drawing>
          <wp:anchor distT="0" distB="0" distL="114300" distR="114300" simplePos="0" relativeHeight="251657728" behindDoc="1" locked="0" layoutInCell="1" allowOverlap="1" wp14:anchorId="2426A76B" wp14:editId="1D552B67">
            <wp:simplePos x="0" y="0"/>
            <wp:positionH relativeFrom="margin">
              <wp:posOffset>-595631</wp:posOffset>
            </wp:positionH>
            <wp:positionV relativeFrom="paragraph">
              <wp:posOffset>267335</wp:posOffset>
            </wp:positionV>
            <wp:extent cx="9775347" cy="5867400"/>
            <wp:effectExtent l="0" t="0" r="0" b="0"/>
            <wp:wrapNone/>
            <wp:docPr id="19152342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776691" cy="58682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37D6">
        <w:t>Appendix 3</w:t>
      </w:r>
      <w:r w:rsidR="00147803">
        <w:t>:</w:t>
      </w:r>
      <w:r w:rsidR="005037D6">
        <w:t xml:space="preserve"> VHF case investigation flow chart</w:t>
      </w:r>
      <w:bookmarkEnd w:id="75"/>
    </w:p>
    <w:p w14:paraId="0917961C" w14:textId="745C3420" w:rsidR="005037D6" w:rsidRDefault="005037D6" w:rsidP="008D292E">
      <w:pPr>
        <w:pStyle w:val="Body"/>
        <w:tabs>
          <w:tab w:val="left" w:pos="567"/>
        </w:tabs>
        <w:rPr>
          <w:noProof/>
        </w:rPr>
      </w:pPr>
    </w:p>
    <w:p w14:paraId="1DEDF68F" w14:textId="13BF3C33" w:rsidR="0041190E" w:rsidRPr="004A6445" w:rsidRDefault="0041190E" w:rsidP="008D292E">
      <w:pPr>
        <w:pStyle w:val="Body"/>
        <w:tabs>
          <w:tab w:val="left" w:pos="567"/>
        </w:tabs>
        <w:sectPr w:rsidR="0041190E" w:rsidRPr="004A6445" w:rsidSect="005037D6">
          <w:headerReference w:type="default" r:id="rId76"/>
          <w:headerReference w:type="first" r:id="rId77"/>
          <w:pgSz w:w="16838" w:h="11906" w:orient="landscape" w:code="9"/>
          <w:pgMar w:top="1304" w:right="1134" w:bottom="1304" w:left="1418" w:header="680" w:footer="509" w:gutter="0"/>
          <w:cols w:space="340"/>
          <w:titlePg/>
          <w:docGrid w:linePitch="360"/>
        </w:sectPr>
      </w:pPr>
    </w:p>
    <w:p w14:paraId="4D189C0C" w14:textId="1E645D00" w:rsidR="005037D6" w:rsidRDefault="005037D6" w:rsidP="008D292E">
      <w:pPr>
        <w:pStyle w:val="Heading1"/>
        <w:tabs>
          <w:tab w:val="left" w:pos="567"/>
        </w:tabs>
      </w:pPr>
      <w:bookmarkStart w:id="76" w:name="_Toc217022563"/>
      <w:r>
        <w:lastRenderedPageBreak/>
        <w:t>Appendix 4</w:t>
      </w:r>
      <w:r w:rsidR="00147803">
        <w:t>:</w:t>
      </w:r>
      <w:r w:rsidDel="00147803">
        <w:t xml:space="preserve"> </w:t>
      </w:r>
      <w:r>
        <w:t>Checklist of high possibility of VHF</w:t>
      </w:r>
      <w:bookmarkEnd w:id="76"/>
      <w:r>
        <w:t xml:space="preserve"> </w:t>
      </w:r>
    </w:p>
    <w:tbl>
      <w:tblPr>
        <w:tblStyle w:val="TableGrid"/>
        <w:tblW w:w="9742" w:type="dxa"/>
        <w:tblInd w:w="-79" w:type="dxa"/>
        <w:tblLook w:val="04A0" w:firstRow="1" w:lastRow="0" w:firstColumn="1" w:lastColumn="0" w:noHBand="0" w:noVBand="1"/>
      </w:tblPr>
      <w:tblGrid>
        <w:gridCol w:w="9742"/>
      </w:tblGrid>
      <w:tr w:rsidR="005037D6" w:rsidRPr="005D0A5B" w14:paraId="348914B1" w14:textId="77777777">
        <w:trPr>
          <w:trHeight w:hRule="exact" w:val="734"/>
        </w:trPr>
        <w:tc>
          <w:tcPr>
            <w:tcW w:w="9742" w:type="dxa"/>
          </w:tcPr>
          <w:p w14:paraId="442758DE" w14:textId="77777777" w:rsidR="005037D6" w:rsidRPr="005D0A5B" w:rsidRDefault="005037D6" w:rsidP="008D292E">
            <w:pPr>
              <w:pStyle w:val="Numberloweralphaindent"/>
              <w:numPr>
                <w:ilvl w:val="0"/>
                <w:numId w:val="105"/>
              </w:numPr>
              <w:tabs>
                <w:tab w:val="left" w:pos="567"/>
              </w:tabs>
              <w:rPr>
                <w:sz w:val="22"/>
                <w:szCs w:val="22"/>
              </w:rPr>
            </w:pPr>
            <w:r>
              <w:rPr>
                <w:sz w:val="22"/>
                <w:szCs w:val="22"/>
              </w:rPr>
              <w:t xml:space="preserve">Isolate the patient immediately in a single room with door closed. If possible, use negative pressure ventilation room </w:t>
            </w:r>
          </w:p>
        </w:tc>
      </w:tr>
      <w:tr w:rsidR="005037D6" w:rsidRPr="0013132F" w14:paraId="2CBA90A5" w14:textId="77777777">
        <w:trPr>
          <w:trHeight w:hRule="exact" w:val="714"/>
        </w:trPr>
        <w:tc>
          <w:tcPr>
            <w:tcW w:w="9742" w:type="dxa"/>
          </w:tcPr>
          <w:p w14:paraId="09EB8E30" w14:textId="26CD241D" w:rsidR="005037D6" w:rsidRPr="0013132F" w:rsidRDefault="005037D6" w:rsidP="008D292E">
            <w:pPr>
              <w:pStyle w:val="Numberloweralphaindent"/>
              <w:numPr>
                <w:ilvl w:val="0"/>
                <w:numId w:val="105"/>
              </w:numPr>
              <w:tabs>
                <w:tab w:val="left" w:pos="567"/>
              </w:tabs>
              <w:rPr>
                <w:sz w:val="22"/>
                <w:szCs w:val="22"/>
              </w:rPr>
            </w:pPr>
            <w:r w:rsidRPr="528377A3">
              <w:rPr>
                <w:sz w:val="22"/>
                <w:szCs w:val="22"/>
              </w:rPr>
              <w:t xml:space="preserve">Use </w:t>
            </w:r>
            <w:r w:rsidR="00F67E85">
              <w:rPr>
                <w:sz w:val="22"/>
                <w:szCs w:val="22"/>
              </w:rPr>
              <w:t>L</w:t>
            </w:r>
            <w:r w:rsidRPr="528377A3">
              <w:rPr>
                <w:sz w:val="22"/>
                <w:szCs w:val="22"/>
              </w:rPr>
              <w:t xml:space="preserve">evel </w:t>
            </w:r>
            <w:r w:rsidRPr="641D77BB">
              <w:rPr>
                <w:sz w:val="22"/>
                <w:szCs w:val="22"/>
              </w:rPr>
              <w:t xml:space="preserve">1 or </w:t>
            </w:r>
            <w:r w:rsidR="00F67E85">
              <w:rPr>
                <w:sz w:val="22"/>
                <w:szCs w:val="22"/>
              </w:rPr>
              <w:t>L</w:t>
            </w:r>
            <w:r w:rsidRPr="641D77BB">
              <w:rPr>
                <w:sz w:val="22"/>
                <w:szCs w:val="22"/>
              </w:rPr>
              <w:t xml:space="preserve">evel 2 </w:t>
            </w:r>
            <w:r w:rsidR="00F67E85">
              <w:rPr>
                <w:sz w:val="22"/>
                <w:szCs w:val="22"/>
              </w:rPr>
              <w:t xml:space="preserve">PPE </w:t>
            </w:r>
            <w:r w:rsidRPr="641D77BB">
              <w:rPr>
                <w:sz w:val="22"/>
                <w:szCs w:val="22"/>
              </w:rPr>
              <w:t xml:space="preserve">precautions </w:t>
            </w:r>
            <w:r w:rsidRPr="528377A3">
              <w:rPr>
                <w:sz w:val="22"/>
                <w:szCs w:val="22"/>
              </w:rPr>
              <w:t xml:space="preserve">(see </w:t>
            </w:r>
            <w:hyperlink w:anchor="_Personal_protective_equipment" w:history="1">
              <w:r w:rsidRPr="00F67E85">
                <w:rPr>
                  <w:rStyle w:val="Hyperlink"/>
                  <w:sz w:val="22"/>
                  <w:szCs w:val="22"/>
                </w:rPr>
                <w:t>section 5.4</w:t>
              </w:r>
            </w:hyperlink>
            <w:r w:rsidRPr="528377A3">
              <w:rPr>
                <w:sz w:val="22"/>
                <w:szCs w:val="22"/>
              </w:rPr>
              <w:t>)</w:t>
            </w:r>
          </w:p>
        </w:tc>
      </w:tr>
      <w:tr w:rsidR="005037D6" w:rsidRPr="0013132F" w14:paraId="5357C4E4" w14:textId="77777777">
        <w:trPr>
          <w:trHeight w:hRule="exact" w:val="569"/>
        </w:trPr>
        <w:tc>
          <w:tcPr>
            <w:tcW w:w="9742" w:type="dxa"/>
          </w:tcPr>
          <w:p w14:paraId="0C4BCF2E" w14:textId="77777777" w:rsidR="005037D6" w:rsidRPr="0013132F" w:rsidRDefault="005037D6" w:rsidP="008D292E">
            <w:pPr>
              <w:pStyle w:val="Numberloweralphaindent"/>
              <w:numPr>
                <w:ilvl w:val="0"/>
                <w:numId w:val="105"/>
              </w:numPr>
              <w:tabs>
                <w:tab w:val="left" w:pos="567"/>
              </w:tabs>
              <w:rPr>
                <w:sz w:val="22"/>
                <w:szCs w:val="22"/>
              </w:rPr>
            </w:pPr>
            <w:r>
              <w:rPr>
                <w:sz w:val="22"/>
                <w:szCs w:val="22"/>
              </w:rPr>
              <w:t xml:space="preserve">Restrict entry to the room to necessary staff only </w:t>
            </w:r>
          </w:p>
        </w:tc>
      </w:tr>
      <w:tr w:rsidR="005037D6" w:rsidRPr="0013132F" w14:paraId="707AC6BE" w14:textId="77777777">
        <w:trPr>
          <w:trHeight w:hRule="exact" w:val="1019"/>
        </w:trPr>
        <w:tc>
          <w:tcPr>
            <w:tcW w:w="9742" w:type="dxa"/>
          </w:tcPr>
          <w:p w14:paraId="69294CF8" w14:textId="3B592623" w:rsidR="005037D6" w:rsidRPr="002D6EDB" w:rsidRDefault="005037D6" w:rsidP="008D292E">
            <w:pPr>
              <w:pStyle w:val="Numberloweralphaindent"/>
              <w:numPr>
                <w:ilvl w:val="0"/>
                <w:numId w:val="105"/>
              </w:numPr>
              <w:tabs>
                <w:tab w:val="left" w:pos="567"/>
              </w:tabs>
              <w:rPr>
                <w:sz w:val="22"/>
                <w:szCs w:val="22"/>
              </w:rPr>
            </w:pPr>
            <w:r>
              <w:rPr>
                <w:sz w:val="22"/>
                <w:szCs w:val="22"/>
              </w:rPr>
              <w:t>In non-designated health services where minimal PPE/isolation facilities are available (</w:t>
            </w:r>
            <w:r w:rsidR="00F67E85">
              <w:rPr>
                <w:sz w:val="22"/>
                <w:szCs w:val="22"/>
              </w:rPr>
              <w:t>for example,</w:t>
            </w:r>
            <w:r>
              <w:rPr>
                <w:sz w:val="22"/>
                <w:szCs w:val="22"/>
              </w:rPr>
              <w:t xml:space="preserve"> primary care), minimise </w:t>
            </w:r>
            <w:r w:rsidR="00F67E85">
              <w:rPr>
                <w:sz w:val="22"/>
                <w:szCs w:val="22"/>
              </w:rPr>
              <w:t>the patient</w:t>
            </w:r>
            <w:r>
              <w:rPr>
                <w:sz w:val="22"/>
                <w:szCs w:val="22"/>
              </w:rPr>
              <w:t xml:space="preserve">’s movement in health services and isolate them with </w:t>
            </w:r>
            <w:r w:rsidR="007E2661">
              <w:rPr>
                <w:sz w:val="22"/>
                <w:szCs w:val="22"/>
              </w:rPr>
              <w:t xml:space="preserve">the </w:t>
            </w:r>
            <w:r>
              <w:rPr>
                <w:sz w:val="22"/>
                <w:szCs w:val="22"/>
              </w:rPr>
              <w:t xml:space="preserve">door shut. Use </w:t>
            </w:r>
            <w:r w:rsidR="007E2661">
              <w:rPr>
                <w:sz w:val="22"/>
                <w:szCs w:val="22"/>
              </w:rPr>
              <w:t xml:space="preserve">the </w:t>
            </w:r>
            <w:r>
              <w:rPr>
                <w:sz w:val="22"/>
                <w:szCs w:val="22"/>
              </w:rPr>
              <w:t>max</w:t>
            </w:r>
            <w:r w:rsidR="007E2661">
              <w:rPr>
                <w:sz w:val="22"/>
                <w:szCs w:val="22"/>
              </w:rPr>
              <w:t>imum</w:t>
            </w:r>
            <w:r>
              <w:rPr>
                <w:sz w:val="22"/>
                <w:szCs w:val="22"/>
              </w:rPr>
              <w:t xml:space="preserve"> level of PPE available</w:t>
            </w:r>
          </w:p>
        </w:tc>
      </w:tr>
      <w:tr w:rsidR="005037D6" w:rsidRPr="0013132F" w14:paraId="4EFAD5E4" w14:textId="77777777">
        <w:trPr>
          <w:trHeight w:hRule="exact" w:val="569"/>
        </w:trPr>
        <w:tc>
          <w:tcPr>
            <w:tcW w:w="9742" w:type="dxa"/>
          </w:tcPr>
          <w:p w14:paraId="31276282" w14:textId="235F573B" w:rsidR="005037D6" w:rsidRPr="002D6EDB" w:rsidRDefault="005037D6" w:rsidP="008D292E">
            <w:pPr>
              <w:pStyle w:val="Numberloweralphaindent"/>
              <w:numPr>
                <w:ilvl w:val="0"/>
                <w:numId w:val="105"/>
              </w:numPr>
              <w:tabs>
                <w:tab w:val="left" w:pos="567"/>
              </w:tabs>
              <w:rPr>
                <w:sz w:val="22"/>
                <w:szCs w:val="22"/>
              </w:rPr>
            </w:pPr>
            <w:r>
              <w:rPr>
                <w:sz w:val="22"/>
                <w:szCs w:val="22"/>
              </w:rPr>
              <w:t xml:space="preserve">Keep </w:t>
            </w:r>
            <w:r w:rsidR="007E2661">
              <w:rPr>
                <w:sz w:val="22"/>
                <w:szCs w:val="22"/>
              </w:rPr>
              <w:t xml:space="preserve">the </w:t>
            </w:r>
            <w:r>
              <w:rPr>
                <w:sz w:val="22"/>
                <w:szCs w:val="22"/>
              </w:rPr>
              <w:t>patient informed of what is happening</w:t>
            </w:r>
          </w:p>
        </w:tc>
      </w:tr>
      <w:tr w:rsidR="005037D6" w:rsidRPr="0013132F" w14:paraId="119DD2F6" w14:textId="77777777">
        <w:trPr>
          <w:trHeight w:hRule="exact" w:val="713"/>
        </w:trPr>
        <w:tc>
          <w:tcPr>
            <w:tcW w:w="9742" w:type="dxa"/>
          </w:tcPr>
          <w:p w14:paraId="07EC5C4E" w14:textId="61328B35" w:rsidR="005037D6" w:rsidRPr="002D6EDB" w:rsidRDefault="005037D6" w:rsidP="008D292E">
            <w:pPr>
              <w:pStyle w:val="Numberloweralphaindent"/>
              <w:numPr>
                <w:ilvl w:val="0"/>
                <w:numId w:val="105"/>
              </w:numPr>
              <w:tabs>
                <w:tab w:val="left" w:pos="567"/>
              </w:tabs>
              <w:rPr>
                <w:sz w:val="22"/>
                <w:szCs w:val="22"/>
              </w:rPr>
            </w:pPr>
            <w:r w:rsidRPr="003E321C">
              <w:rPr>
                <w:b/>
                <w:bCs/>
                <w:sz w:val="22"/>
                <w:szCs w:val="22"/>
              </w:rPr>
              <w:t xml:space="preserve">Notify </w:t>
            </w:r>
            <w:r>
              <w:rPr>
                <w:sz w:val="22"/>
                <w:szCs w:val="22"/>
              </w:rPr>
              <w:t>LPHU immediately – 1300 651 160 (24</w:t>
            </w:r>
            <w:r w:rsidR="007E2661">
              <w:rPr>
                <w:sz w:val="22"/>
                <w:szCs w:val="22"/>
              </w:rPr>
              <w:t>/7</w:t>
            </w:r>
            <w:r>
              <w:rPr>
                <w:sz w:val="22"/>
                <w:szCs w:val="22"/>
              </w:rPr>
              <w:t xml:space="preserve">). A liaison person will be identified </w:t>
            </w:r>
          </w:p>
        </w:tc>
      </w:tr>
      <w:tr w:rsidR="005037D6" w:rsidRPr="0013132F" w14:paraId="398965E7" w14:textId="77777777">
        <w:trPr>
          <w:trHeight w:hRule="exact" w:val="2970"/>
        </w:trPr>
        <w:tc>
          <w:tcPr>
            <w:tcW w:w="9742" w:type="dxa"/>
          </w:tcPr>
          <w:p w14:paraId="6EB2EACD" w14:textId="77777777" w:rsidR="005037D6" w:rsidRPr="001D6EFA" w:rsidRDefault="005037D6" w:rsidP="008D292E">
            <w:pPr>
              <w:pStyle w:val="Numberloweralphaindent"/>
              <w:numPr>
                <w:ilvl w:val="0"/>
                <w:numId w:val="105"/>
              </w:numPr>
              <w:tabs>
                <w:tab w:val="left" w:pos="567"/>
              </w:tabs>
              <w:rPr>
                <w:sz w:val="22"/>
                <w:szCs w:val="22"/>
              </w:rPr>
            </w:pPr>
            <w:r w:rsidRPr="001D6EFA">
              <w:rPr>
                <w:b/>
                <w:bCs/>
                <w:sz w:val="22"/>
                <w:szCs w:val="22"/>
              </w:rPr>
              <w:t>Notify:</w:t>
            </w:r>
          </w:p>
          <w:p w14:paraId="60E6A698" w14:textId="6B136AC2" w:rsidR="005037D6" w:rsidRPr="001D6EFA" w:rsidRDefault="005037D6" w:rsidP="008D292E">
            <w:pPr>
              <w:pStyle w:val="Tablebullet1"/>
              <w:tabs>
                <w:tab w:val="left" w:pos="567"/>
              </w:tabs>
              <w:ind w:left="1103"/>
            </w:pPr>
            <w:r w:rsidRPr="001D6EFA">
              <w:t>IPC</w:t>
            </w:r>
          </w:p>
          <w:p w14:paraId="0B91F342" w14:textId="62F39401" w:rsidR="005037D6" w:rsidRPr="001D6EFA" w:rsidRDefault="005037D6" w:rsidP="008D292E">
            <w:pPr>
              <w:pStyle w:val="Tablebullet1"/>
              <w:tabs>
                <w:tab w:val="left" w:pos="567"/>
              </w:tabs>
              <w:ind w:left="1103"/>
            </w:pPr>
            <w:r w:rsidRPr="001D6EFA">
              <w:t>Infectious Diseases</w:t>
            </w:r>
          </w:p>
          <w:p w14:paraId="792DDCE0" w14:textId="4F36C637" w:rsidR="005037D6" w:rsidRPr="001D6EFA" w:rsidRDefault="005037D6" w:rsidP="008D292E">
            <w:pPr>
              <w:pStyle w:val="Tablebullet1"/>
              <w:tabs>
                <w:tab w:val="left" w:pos="567"/>
              </w:tabs>
              <w:ind w:left="1103"/>
            </w:pPr>
            <w:r w:rsidRPr="001D6EFA">
              <w:t>Executive</w:t>
            </w:r>
          </w:p>
          <w:p w14:paraId="6F7F7C87" w14:textId="71B3C0D6" w:rsidR="005037D6" w:rsidRPr="001D6EFA" w:rsidRDefault="005037D6" w:rsidP="008D292E">
            <w:pPr>
              <w:pStyle w:val="Tablebullet1"/>
              <w:tabs>
                <w:tab w:val="left" w:pos="567"/>
              </w:tabs>
              <w:ind w:left="1103"/>
            </w:pPr>
            <w:r w:rsidRPr="001D6EFA">
              <w:t>VIDRL (</w:t>
            </w:r>
            <w:r w:rsidR="00AE78B1">
              <w:t>the department</w:t>
            </w:r>
            <w:r w:rsidRPr="001D6EFA">
              <w:t xml:space="preserve"> to notify)</w:t>
            </w:r>
          </w:p>
          <w:p w14:paraId="5E11382D" w14:textId="2A6C5D8D" w:rsidR="00F67E85" w:rsidRDefault="00BC7808" w:rsidP="008D292E">
            <w:pPr>
              <w:pStyle w:val="Tablebullet1"/>
              <w:tabs>
                <w:tab w:val="left" w:pos="567"/>
              </w:tabs>
              <w:ind w:left="1103"/>
            </w:pPr>
            <w:r>
              <w:t>l</w:t>
            </w:r>
            <w:r w:rsidR="005037D6" w:rsidRPr="001D6EFA">
              <w:t xml:space="preserve">ocal laboratory (advise </w:t>
            </w:r>
            <w:proofErr w:type="gramStart"/>
            <w:r w:rsidR="005037D6" w:rsidRPr="001D6EFA">
              <w:t>to stop</w:t>
            </w:r>
            <w:proofErr w:type="gramEnd"/>
            <w:r w:rsidR="005037D6" w:rsidRPr="001D6EFA">
              <w:t xml:space="preserve"> processing if specimen already sent and to not accept further samples)</w:t>
            </w:r>
          </w:p>
          <w:p w14:paraId="64375374" w14:textId="77D4F53D" w:rsidR="005037D6" w:rsidRPr="002D6EDB" w:rsidRDefault="00BC7808" w:rsidP="008D292E">
            <w:pPr>
              <w:pStyle w:val="Tablebullet1"/>
              <w:tabs>
                <w:tab w:val="left" w:pos="567"/>
              </w:tabs>
              <w:ind w:left="1103"/>
              <w:rPr>
                <w:sz w:val="22"/>
                <w:szCs w:val="22"/>
              </w:rPr>
            </w:pPr>
            <w:r>
              <w:t>o</w:t>
            </w:r>
            <w:r w:rsidR="005037D6">
              <w:t>thers (as required)</w:t>
            </w:r>
          </w:p>
        </w:tc>
      </w:tr>
      <w:tr w:rsidR="005037D6" w:rsidRPr="0013132F" w14:paraId="7DC5B4AE" w14:textId="77777777">
        <w:trPr>
          <w:trHeight w:hRule="exact" w:val="702"/>
        </w:trPr>
        <w:tc>
          <w:tcPr>
            <w:tcW w:w="9742" w:type="dxa"/>
          </w:tcPr>
          <w:p w14:paraId="671723CF" w14:textId="12C02783" w:rsidR="005037D6" w:rsidRPr="00727644" w:rsidRDefault="005037D6" w:rsidP="008D292E">
            <w:pPr>
              <w:pStyle w:val="Numberloweralphaindent"/>
              <w:numPr>
                <w:ilvl w:val="0"/>
                <w:numId w:val="105"/>
              </w:numPr>
              <w:tabs>
                <w:tab w:val="left" w:pos="567"/>
              </w:tabs>
              <w:rPr>
                <w:lang w:val="en-US"/>
              </w:rPr>
            </w:pPr>
            <w:r>
              <w:rPr>
                <w:lang w:val="en-US"/>
              </w:rPr>
              <w:t>Avoid diagnostic sampling (throat swab, aerosol</w:t>
            </w:r>
            <w:r w:rsidR="00510622">
              <w:rPr>
                <w:lang w:val="en-US"/>
              </w:rPr>
              <w:t>-</w:t>
            </w:r>
            <w:r>
              <w:rPr>
                <w:lang w:val="en-US"/>
              </w:rPr>
              <w:t>generating procedure or venipuncture)</w:t>
            </w:r>
            <w:r w:rsidR="007E2661">
              <w:rPr>
                <w:lang w:val="en-US"/>
              </w:rPr>
              <w:t>,</w:t>
            </w:r>
            <w:r>
              <w:rPr>
                <w:lang w:val="en-US"/>
              </w:rPr>
              <w:t xml:space="preserve"> unless necessary or advised by </w:t>
            </w:r>
            <w:r w:rsidR="00AE78B1">
              <w:rPr>
                <w:lang w:val="en-US"/>
              </w:rPr>
              <w:t>the department</w:t>
            </w:r>
          </w:p>
        </w:tc>
      </w:tr>
      <w:tr w:rsidR="005037D6" w:rsidRPr="0013132F" w14:paraId="47B1EA15" w14:textId="77777777">
        <w:trPr>
          <w:trHeight w:hRule="exact" w:val="712"/>
        </w:trPr>
        <w:tc>
          <w:tcPr>
            <w:tcW w:w="9742" w:type="dxa"/>
          </w:tcPr>
          <w:p w14:paraId="24B17A6A" w14:textId="01B742B9" w:rsidR="005037D6" w:rsidRDefault="005037D6" w:rsidP="008D292E">
            <w:pPr>
              <w:pStyle w:val="Numberloweralphaindent"/>
              <w:numPr>
                <w:ilvl w:val="0"/>
                <w:numId w:val="105"/>
              </w:numPr>
              <w:tabs>
                <w:tab w:val="left" w:pos="567"/>
              </w:tabs>
              <w:rPr>
                <w:sz w:val="22"/>
                <w:szCs w:val="22"/>
              </w:rPr>
            </w:pPr>
            <w:r w:rsidRPr="00727644">
              <w:rPr>
                <w:lang w:val="en-US"/>
              </w:rPr>
              <w:t xml:space="preserve">Keep aside </w:t>
            </w:r>
            <w:r w:rsidRPr="671B1AAA">
              <w:rPr>
                <w:lang w:val="en-US"/>
              </w:rPr>
              <w:t xml:space="preserve">any </w:t>
            </w:r>
            <w:r w:rsidRPr="00727644">
              <w:rPr>
                <w:lang w:val="en-US"/>
              </w:rPr>
              <w:t>pathology sample</w:t>
            </w:r>
            <w:r>
              <w:rPr>
                <w:lang w:val="en-US"/>
              </w:rPr>
              <w:t>s</w:t>
            </w:r>
            <w:r w:rsidRPr="00727644">
              <w:rPr>
                <w:lang w:val="en-US"/>
              </w:rPr>
              <w:t xml:space="preserve"> that ha</w:t>
            </w:r>
            <w:r w:rsidR="00F67E85">
              <w:rPr>
                <w:lang w:val="en-US"/>
              </w:rPr>
              <w:t>ve</w:t>
            </w:r>
            <w:r w:rsidRPr="00727644">
              <w:rPr>
                <w:lang w:val="en-US"/>
              </w:rPr>
              <w:t xml:space="preserve"> been taken as per the laboratory </w:t>
            </w:r>
            <w:r>
              <w:rPr>
                <w:lang w:val="en-US"/>
              </w:rPr>
              <w:t>(</w:t>
            </w:r>
            <w:hyperlink w:anchor="_Laboratory" w:history="1">
              <w:r w:rsidRPr="00F67E85">
                <w:rPr>
                  <w:rStyle w:val="Hyperlink"/>
                  <w:lang w:val="en-US"/>
                </w:rPr>
                <w:t>section 4</w:t>
              </w:r>
            </w:hyperlink>
            <w:r>
              <w:rPr>
                <w:lang w:val="en-US"/>
              </w:rPr>
              <w:t>)</w:t>
            </w:r>
            <w:r w:rsidRPr="00727644">
              <w:rPr>
                <w:lang w:val="en-US"/>
              </w:rPr>
              <w:t xml:space="preserve"> </w:t>
            </w:r>
            <w:r w:rsidRPr="00727644">
              <w:rPr>
                <w:b/>
                <w:bCs/>
                <w:lang w:val="en-US"/>
              </w:rPr>
              <w:t>DO NOT</w:t>
            </w:r>
            <w:r w:rsidRPr="00727644">
              <w:rPr>
                <w:lang w:val="en-US"/>
              </w:rPr>
              <w:t xml:space="preserve"> send them to the laboratory without discussion with </w:t>
            </w:r>
            <w:r w:rsidR="00AE78B1">
              <w:rPr>
                <w:lang w:val="en-US"/>
              </w:rPr>
              <w:t>the department</w:t>
            </w:r>
            <w:r w:rsidRPr="00727644" w:rsidDel="00840A47">
              <w:rPr>
                <w:lang w:val="en-US"/>
              </w:rPr>
              <w:t>.</w:t>
            </w:r>
          </w:p>
        </w:tc>
      </w:tr>
      <w:tr w:rsidR="005037D6" w:rsidRPr="0013132F" w14:paraId="098052AD" w14:textId="77777777">
        <w:trPr>
          <w:trHeight w:hRule="exact" w:val="569"/>
        </w:trPr>
        <w:tc>
          <w:tcPr>
            <w:tcW w:w="9742" w:type="dxa"/>
          </w:tcPr>
          <w:p w14:paraId="0F6DFC9A" w14:textId="58A0FA19" w:rsidR="005037D6" w:rsidRPr="002D6EDB" w:rsidRDefault="005037D6" w:rsidP="008D292E">
            <w:pPr>
              <w:pStyle w:val="Numberloweralphaindent"/>
              <w:numPr>
                <w:ilvl w:val="0"/>
                <w:numId w:val="105"/>
              </w:numPr>
              <w:tabs>
                <w:tab w:val="left" w:pos="567"/>
              </w:tabs>
              <w:rPr>
                <w:sz w:val="22"/>
                <w:szCs w:val="22"/>
              </w:rPr>
            </w:pPr>
            <w:r>
              <w:rPr>
                <w:sz w:val="22"/>
                <w:szCs w:val="22"/>
              </w:rPr>
              <w:t xml:space="preserve">Collect sample in discussion with </w:t>
            </w:r>
            <w:r w:rsidR="00AE78B1">
              <w:rPr>
                <w:sz w:val="22"/>
                <w:szCs w:val="22"/>
              </w:rPr>
              <w:t>the department</w:t>
            </w:r>
            <w:r>
              <w:rPr>
                <w:sz w:val="22"/>
                <w:szCs w:val="22"/>
              </w:rPr>
              <w:t xml:space="preserve"> and in accordance with </w:t>
            </w:r>
            <w:hyperlink w:anchor="_Appendix_5_–" w:history="1">
              <w:r w:rsidR="00F67E85" w:rsidRPr="00F67E85">
                <w:rPr>
                  <w:rStyle w:val="Hyperlink"/>
                  <w:sz w:val="22"/>
                  <w:szCs w:val="22"/>
                </w:rPr>
                <w:t>A</w:t>
              </w:r>
              <w:r w:rsidRPr="00F67E85">
                <w:rPr>
                  <w:rStyle w:val="Hyperlink"/>
                  <w:sz w:val="22"/>
                  <w:szCs w:val="22"/>
                </w:rPr>
                <w:t>ppendix 5</w:t>
              </w:r>
            </w:hyperlink>
            <w:r>
              <w:rPr>
                <w:sz w:val="22"/>
                <w:szCs w:val="22"/>
              </w:rPr>
              <w:t xml:space="preserve"> </w:t>
            </w:r>
          </w:p>
        </w:tc>
      </w:tr>
      <w:tr w:rsidR="005037D6" w:rsidRPr="0013132F" w14:paraId="1400A5C4" w14:textId="77777777">
        <w:trPr>
          <w:trHeight w:hRule="exact" w:val="858"/>
        </w:trPr>
        <w:tc>
          <w:tcPr>
            <w:tcW w:w="9742" w:type="dxa"/>
          </w:tcPr>
          <w:p w14:paraId="1AF06934" w14:textId="37AB0010" w:rsidR="005037D6" w:rsidRPr="002D6EDB" w:rsidRDefault="005037D6" w:rsidP="008D292E">
            <w:pPr>
              <w:pStyle w:val="Numberloweralphaindent"/>
              <w:numPr>
                <w:ilvl w:val="0"/>
                <w:numId w:val="105"/>
              </w:numPr>
              <w:tabs>
                <w:tab w:val="left" w:pos="567"/>
              </w:tabs>
              <w:rPr>
                <w:sz w:val="22"/>
                <w:szCs w:val="22"/>
              </w:rPr>
            </w:pPr>
            <w:r w:rsidRPr="00063293">
              <w:rPr>
                <w:sz w:val="22"/>
                <w:szCs w:val="22"/>
              </w:rPr>
              <w:t xml:space="preserve">Transfer to </w:t>
            </w:r>
            <w:r w:rsidR="007E2661">
              <w:rPr>
                <w:sz w:val="22"/>
                <w:szCs w:val="22"/>
              </w:rPr>
              <w:t>a d</w:t>
            </w:r>
            <w:r w:rsidRPr="00063293">
              <w:rPr>
                <w:sz w:val="22"/>
                <w:szCs w:val="22"/>
              </w:rPr>
              <w:t xml:space="preserve">esignated </w:t>
            </w:r>
            <w:r w:rsidR="007E2661">
              <w:rPr>
                <w:sz w:val="22"/>
                <w:szCs w:val="22"/>
              </w:rPr>
              <w:t>h</w:t>
            </w:r>
            <w:r w:rsidRPr="00063293">
              <w:rPr>
                <w:sz w:val="22"/>
                <w:szCs w:val="22"/>
              </w:rPr>
              <w:t xml:space="preserve">ospital (RMH/RCH) after discussion with </w:t>
            </w:r>
            <w:r w:rsidR="00AE78B1">
              <w:rPr>
                <w:sz w:val="22"/>
                <w:szCs w:val="22"/>
              </w:rPr>
              <w:t>the department</w:t>
            </w:r>
            <w:r>
              <w:rPr>
                <w:sz w:val="22"/>
                <w:szCs w:val="22"/>
              </w:rPr>
              <w:t xml:space="preserve">. </w:t>
            </w:r>
            <w:r w:rsidR="00AE78B1">
              <w:rPr>
                <w:sz w:val="22"/>
                <w:szCs w:val="22"/>
              </w:rPr>
              <w:t>The department</w:t>
            </w:r>
            <w:r>
              <w:rPr>
                <w:sz w:val="22"/>
                <w:szCs w:val="22"/>
              </w:rPr>
              <w:t xml:space="preserve"> will liaise</w:t>
            </w:r>
            <w:r w:rsidRPr="00063293">
              <w:rPr>
                <w:sz w:val="22"/>
                <w:szCs w:val="22"/>
              </w:rPr>
              <w:t xml:space="preserve"> with the </w:t>
            </w:r>
            <w:r w:rsidR="007E2661">
              <w:rPr>
                <w:sz w:val="22"/>
                <w:szCs w:val="22"/>
              </w:rPr>
              <w:t>d</w:t>
            </w:r>
            <w:r w:rsidRPr="00063293">
              <w:rPr>
                <w:sz w:val="22"/>
                <w:szCs w:val="22"/>
              </w:rPr>
              <w:t xml:space="preserve">esignated </w:t>
            </w:r>
            <w:r w:rsidR="007E2661">
              <w:rPr>
                <w:sz w:val="22"/>
                <w:szCs w:val="22"/>
              </w:rPr>
              <w:t>h</w:t>
            </w:r>
            <w:r w:rsidRPr="00063293">
              <w:rPr>
                <w:sz w:val="22"/>
                <w:szCs w:val="22"/>
              </w:rPr>
              <w:t>ospital and Ambulance Victoria to arrange urgent trans</w:t>
            </w:r>
            <w:r>
              <w:rPr>
                <w:sz w:val="22"/>
                <w:szCs w:val="22"/>
              </w:rPr>
              <w:t>fer</w:t>
            </w:r>
          </w:p>
        </w:tc>
      </w:tr>
      <w:tr w:rsidR="005037D6" w:rsidRPr="0013132F" w14:paraId="04E0742F" w14:textId="77777777">
        <w:trPr>
          <w:trHeight w:hRule="exact" w:val="838"/>
        </w:trPr>
        <w:tc>
          <w:tcPr>
            <w:tcW w:w="9742" w:type="dxa"/>
          </w:tcPr>
          <w:p w14:paraId="77E41AAE" w14:textId="362E42B9" w:rsidR="005037D6" w:rsidRPr="009A0A0F" w:rsidRDefault="005037D6" w:rsidP="008D292E">
            <w:pPr>
              <w:pStyle w:val="Numberloweralphaindent"/>
              <w:numPr>
                <w:ilvl w:val="0"/>
                <w:numId w:val="105"/>
              </w:numPr>
              <w:tabs>
                <w:tab w:val="left" w:pos="567"/>
              </w:tabs>
              <w:rPr>
                <w:lang w:val="en-US"/>
              </w:rPr>
            </w:pPr>
            <w:r w:rsidRPr="00727644">
              <w:rPr>
                <w:lang w:val="en-US"/>
              </w:rPr>
              <w:t xml:space="preserve">Compile a list of patients and staff (with contact details) who engaged with the </w:t>
            </w:r>
            <w:r w:rsidRPr="009A0A0F">
              <w:rPr>
                <w:rFonts w:eastAsia="MS Gothic" w:cs="Arial"/>
                <w:bCs/>
                <w:color w:val="201547"/>
                <w:kern w:val="32"/>
                <w:sz w:val="22"/>
                <w:szCs w:val="22"/>
              </w:rPr>
              <w:t>patient</w:t>
            </w:r>
            <w:r w:rsidRPr="00727644">
              <w:rPr>
                <w:lang w:val="en-US"/>
              </w:rPr>
              <w:t xml:space="preserve"> or were in the immediate vicinity of the patient. Further contact tracing will be advised by </w:t>
            </w:r>
            <w:r w:rsidR="00AE78B1">
              <w:rPr>
                <w:lang w:val="en-US"/>
              </w:rPr>
              <w:t>the department</w:t>
            </w:r>
          </w:p>
        </w:tc>
      </w:tr>
      <w:tr w:rsidR="005037D6" w:rsidRPr="0013132F" w14:paraId="75724C1E" w14:textId="77777777">
        <w:trPr>
          <w:trHeight w:hRule="exact" w:val="991"/>
        </w:trPr>
        <w:tc>
          <w:tcPr>
            <w:tcW w:w="9742" w:type="dxa"/>
          </w:tcPr>
          <w:p w14:paraId="31D5E300" w14:textId="27C2960A" w:rsidR="005037D6" w:rsidRPr="00727644" w:rsidRDefault="005037D6" w:rsidP="008D292E">
            <w:pPr>
              <w:pStyle w:val="Numberloweralphaindent"/>
              <w:numPr>
                <w:ilvl w:val="0"/>
                <w:numId w:val="105"/>
              </w:numPr>
              <w:tabs>
                <w:tab w:val="left" w:pos="567"/>
              </w:tabs>
              <w:rPr>
                <w:lang w:val="en-US"/>
              </w:rPr>
            </w:pPr>
            <w:r w:rsidRPr="00727644">
              <w:rPr>
                <w:lang w:val="en-US"/>
              </w:rPr>
              <w:t>Environmental cleaning, disinfection and waste management are to be manage</w:t>
            </w:r>
            <w:r>
              <w:rPr>
                <w:lang w:val="en-US"/>
              </w:rPr>
              <w:t xml:space="preserve">d </w:t>
            </w:r>
            <w:r w:rsidRPr="00727644">
              <w:rPr>
                <w:lang w:val="en-US"/>
              </w:rPr>
              <w:t xml:space="preserve">as detailed </w:t>
            </w:r>
            <w:r w:rsidR="007E2661">
              <w:rPr>
                <w:lang w:val="en-US"/>
              </w:rPr>
              <w:t xml:space="preserve">in </w:t>
            </w:r>
            <w:hyperlink w:anchor="_Environmental_cleaning" w:history="1">
              <w:r w:rsidRPr="007E2661">
                <w:rPr>
                  <w:rStyle w:val="Hyperlink"/>
                  <w:lang w:val="en-US"/>
                </w:rPr>
                <w:t>section 5.8</w:t>
              </w:r>
            </w:hyperlink>
            <w:r w:rsidRPr="00727644">
              <w:rPr>
                <w:lang w:val="en-US"/>
              </w:rPr>
              <w:t xml:space="preserve"> and in discussion with </w:t>
            </w:r>
            <w:r w:rsidR="00AE78B1">
              <w:rPr>
                <w:lang w:val="en-US"/>
              </w:rPr>
              <w:t>the department</w:t>
            </w:r>
            <w:r>
              <w:rPr>
                <w:lang w:val="en-US"/>
              </w:rPr>
              <w:t>.</w:t>
            </w:r>
          </w:p>
        </w:tc>
      </w:tr>
    </w:tbl>
    <w:p w14:paraId="3CDF01ED" w14:textId="77777777" w:rsidR="005037D6" w:rsidRPr="0013132F" w:rsidRDefault="005037D6" w:rsidP="008D292E">
      <w:pPr>
        <w:pStyle w:val="Body"/>
        <w:tabs>
          <w:tab w:val="left" w:pos="567"/>
        </w:tabs>
        <w:sectPr w:rsidR="005037D6" w:rsidRPr="0013132F" w:rsidSect="005037D6">
          <w:headerReference w:type="default" r:id="rId78"/>
          <w:headerReference w:type="first" r:id="rId79"/>
          <w:pgSz w:w="11906" w:h="16838" w:code="9"/>
          <w:pgMar w:top="1418" w:right="1304" w:bottom="1134" w:left="1304" w:header="680" w:footer="509" w:gutter="0"/>
          <w:cols w:space="340"/>
          <w:titlePg/>
          <w:docGrid w:linePitch="360"/>
        </w:sectPr>
      </w:pPr>
    </w:p>
    <w:p w14:paraId="5259B1A5" w14:textId="0B508612" w:rsidR="005037D6" w:rsidRDefault="005037D6" w:rsidP="008D292E">
      <w:pPr>
        <w:pStyle w:val="Heading1"/>
        <w:tabs>
          <w:tab w:val="left" w:pos="567"/>
        </w:tabs>
      </w:pPr>
      <w:bookmarkStart w:id="77" w:name="_Appendix_5_–"/>
      <w:bookmarkStart w:id="78" w:name="_Appendix_5:_Specimen"/>
      <w:bookmarkStart w:id="79" w:name="_Toc217022564"/>
      <w:bookmarkEnd w:id="77"/>
      <w:bookmarkEnd w:id="78"/>
      <w:r>
        <w:lastRenderedPageBreak/>
        <w:t>Appendix 5</w:t>
      </w:r>
      <w:r w:rsidR="00147803">
        <w:t>:</w:t>
      </w:r>
      <w:r>
        <w:t xml:space="preserve"> Specimen collection and transport for suspected VHF</w:t>
      </w:r>
      <w:bookmarkEnd w:id="79"/>
      <w:r>
        <w:t xml:space="preserve"> </w:t>
      </w:r>
    </w:p>
    <w:p w14:paraId="5600EAE5" w14:textId="29573324" w:rsidR="005037D6" w:rsidRPr="0077286E" w:rsidRDefault="005037D6" w:rsidP="008D292E">
      <w:pPr>
        <w:pStyle w:val="Numberdigit"/>
        <w:numPr>
          <w:ilvl w:val="0"/>
          <w:numId w:val="99"/>
        </w:numPr>
        <w:tabs>
          <w:tab w:val="left" w:pos="567"/>
        </w:tabs>
        <w:rPr>
          <w:b/>
          <w:bCs/>
        </w:rPr>
      </w:pPr>
      <w:r w:rsidRPr="0077286E">
        <w:rPr>
          <w:b/>
          <w:bCs/>
        </w:rPr>
        <w:t xml:space="preserve">General </w:t>
      </w:r>
      <w:r w:rsidRPr="007C08C1">
        <w:rPr>
          <w:b/>
          <w:bCs/>
        </w:rPr>
        <w:t>principles</w:t>
      </w:r>
      <w:r w:rsidR="00862390">
        <w:rPr>
          <w:b/>
          <w:bCs/>
        </w:rPr>
        <w:t>:</w:t>
      </w:r>
    </w:p>
    <w:p w14:paraId="7C4038DE" w14:textId="77777777" w:rsidR="005037D6" w:rsidRPr="005B5D61" w:rsidRDefault="005037D6" w:rsidP="008D292E">
      <w:pPr>
        <w:pStyle w:val="Bullet1"/>
        <w:tabs>
          <w:tab w:val="left" w:pos="567"/>
        </w:tabs>
      </w:pPr>
      <w:r w:rsidRPr="005B5D61">
        <w:t xml:space="preserve">Specimen collection should </w:t>
      </w:r>
      <w:r>
        <w:t>preferably</w:t>
      </w:r>
      <w:r w:rsidRPr="005B5D61">
        <w:t xml:space="preserve"> occur at a designated hospital (RMH or RCH) whenever possible.</w:t>
      </w:r>
    </w:p>
    <w:p w14:paraId="46D28925" w14:textId="77777777" w:rsidR="005037D6" w:rsidRPr="005B5D61" w:rsidRDefault="005037D6" w:rsidP="008D292E">
      <w:pPr>
        <w:pStyle w:val="Bullet1"/>
        <w:tabs>
          <w:tab w:val="left" w:pos="567"/>
        </w:tabs>
      </w:pPr>
      <w:r w:rsidRPr="005B5D61">
        <w:t>If urgent transfer is not required and delaying collection may compromise diagnosis, venepuncture should be performed at the initial admitting hospital by an experienced clinician.</w:t>
      </w:r>
    </w:p>
    <w:p w14:paraId="15E42AE2" w14:textId="2CAEF128" w:rsidR="005037D6" w:rsidRPr="005B5D61" w:rsidRDefault="005037D6" w:rsidP="008D292E">
      <w:pPr>
        <w:pStyle w:val="Bullet1"/>
        <w:tabs>
          <w:tab w:val="left" w:pos="567"/>
        </w:tabs>
      </w:pPr>
      <w:r w:rsidRPr="005B5D61">
        <w:t>Only essential specimens should be collected, and safety must take priority</w:t>
      </w:r>
      <w:r w:rsidR="00862390">
        <w:t>,</w:t>
      </w:r>
      <w:r>
        <w:t xml:space="preserve"> in accordance with the </w:t>
      </w:r>
      <w:hyperlink r:id="rId80" w:history="1">
        <w:r w:rsidRPr="00325906">
          <w:rPr>
            <w:rStyle w:val="Hyperlink"/>
          </w:rPr>
          <w:t>National High Security Quarantine Laboratory Guideline for Management of Quarantinable Viral haemorrhagic Fevers</w:t>
        </w:r>
      </w:hyperlink>
      <w:r w:rsidR="00862390">
        <w:t xml:space="preserve"> &lt;</w:t>
      </w:r>
      <w:r w:rsidR="00862390" w:rsidRPr="00862390">
        <w:t>https://www.health.gov.au/sites/default/files/documents/2022/11/phln-national-high-security-quarantine-laboratory-guideline-for-management-of-quarantinable-viral-haemorrhagic-fevers.pdf</w:t>
      </w:r>
      <w:r w:rsidR="00862390">
        <w:t>&gt;.</w:t>
      </w:r>
    </w:p>
    <w:p w14:paraId="6D4DDCCB" w14:textId="226C8F9F" w:rsidR="005037D6" w:rsidRPr="005B5D61" w:rsidRDefault="005037D6" w:rsidP="008D292E">
      <w:pPr>
        <w:pStyle w:val="Numberdigit"/>
        <w:numPr>
          <w:ilvl w:val="0"/>
          <w:numId w:val="99"/>
        </w:numPr>
        <w:tabs>
          <w:tab w:val="left" w:pos="567"/>
        </w:tabs>
        <w:spacing w:before="120"/>
        <w:ind w:left="357" w:hanging="357"/>
        <w:rPr>
          <w:b/>
          <w:bCs/>
        </w:rPr>
      </w:pPr>
      <w:r w:rsidRPr="005B5D61">
        <w:rPr>
          <w:b/>
          <w:bCs/>
        </w:rPr>
        <w:t xml:space="preserve">Specimens to </w:t>
      </w:r>
      <w:r w:rsidRPr="00523A25">
        <w:rPr>
          <w:b/>
          <w:bCs/>
        </w:rPr>
        <w:t>collect</w:t>
      </w:r>
      <w:r w:rsidR="00862390">
        <w:rPr>
          <w:b/>
          <w:bCs/>
        </w:rPr>
        <w:t>:</w:t>
      </w:r>
    </w:p>
    <w:p w14:paraId="5F1C3687" w14:textId="2AFA3279" w:rsidR="005037D6" w:rsidRPr="005B5D61" w:rsidRDefault="005037D6" w:rsidP="008D292E">
      <w:pPr>
        <w:pStyle w:val="Bullet1"/>
        <w:tabs>
          <w:tab w:val="left" w:pos="567"/>
        </w:tabs>
      </w:pPr>
      <w:r w:rsidRPr="005B5D61">
        <w:t xml:space="preserve">Preferred </w:t>
      </w:r>
      <w:r>
        <w:t>s</w:t>
      </w:r>
      <w:r w:rsidRPr="005B5D61">
        <w:t xml:space="preserve">pecimens for </w:t>
      </w:r>
      <w:r>
        <w:t>v</w:t>
      </w:r>
      <w:r w:rsidRPr="005B5D61">
        <w:t xml:space="preserve">irus </w:t>
      </w:r>
      <w:r>
        <w:t>d</w:t>
      </w:r>
      <w:r w:rsidRPr="005B5D61">
        <w:t>etection</w:t>
      </w:r>
      <w:r w:rsidR="00862390">
        <w:t xml:space="preserve"> include:</w:t>
      </w:r>
    </w:p>
    <w:p w14:paraId="5864D0B4" w14:textId="747220F6" w:rsidR="005037D6" w:rsidRPr="005B5D61" w:rsidRDefault="00862390" w:rsidP="008D292E">
      <w:pPr>
        <w:pStyle w:val="Bullet2"/>
        <w:tabs>
          <w:tab w:val="left" w:pos="567"/>
        </w:tabs>
      </w:pPr>
      <w:r>
        <w:t>w</w:t>
      </w:r>
      <w:r w:rsidR="005037D6" w:rsidRPr="005B5D61">
        <w:t>hole blood (</w:t>
      </w:r>
      <w:r w:rsidR="00A80EE0" w:rsidRPr="00A80EE0">
        <w:t xml:space="preserve">ethylenediaminetetraacetic acid </w:t>
      </w:r>
      <w:r w:rsidR="00A80EE0">
        <w:t>(</w:t>
      </w:r>
      <w:r w:rsidR="005037D6" w:rsidRPr="005B5D61">
        <w:t>EDTA</w:t>
      </w:r>
      <w:r w:rsidR="00A80EE0">
        <w:t>)</w:t>
      </w:r>
      <w:r w:rsidR="005037D6" w:rsidRPr="005B5D61">
        <w:t xml:space="preserve"> tube – mauve top)</w:t>
      </w:r>
    </w:p>
    <w:p w14:paraId="2EA7664E" w14:textId="6EA005F2" w:rsidR="005037D6" w:rsidRPr="005B5D61" w:rsidRDefault="00862390" w:rsidP="008D292E">
      <w:pPr>
        <w:pStyle w:val="Bullet2"/>
        <w:tabs>
          <w:tab w:val="left" w:pos="567"/>
        </w:tabs>
      </w:pPr>
      <w:r>
        <w:t>f</w:t>
      </w:r>
      <w:r w:rsidR="005037D6" w:rsidRPr="005B5D61">
        <w:t>or RT-PCR, serology (storage) and virus isolation.</w:t>
      </w:r>
    </w:p>
    <w:p w14:paraId="670C7ACD" w14:textId="7A5B6904" w:rsidR="005037D6" w:rsidRPr="005B5D61" w:rsidRDefault="005037D6" w:rsidP="008D292E">
      <w:pPr>
        <w:pStyle w:val="Bullet1"/>
        <w:tabs>
          <w:tab w:val="left" w:pos="567"/>
        </w:tabs>
      </w:pPr>
      <w:r w:rsidRPr="005B5D61">
        <w:t xml:space="preserve">Alternative </w:t>
      </w:r>
      <w:r>
        <w:t>s</w:t>
      </w:r>
      <w:r w:rsidRPr="005B5D61">
        <w:t>pecimens (if blood collection not possible)</w:t>
      </w:r>
      <w:r w:rsidR="00862390">
        <w:t xml:space="preserve"> include:</w:t>
      </w:r>
    </w:p>
    <w:p w14:paraId="64CFFAB7" w14:textId="01BB073F" w:rsidR="005037D6" w:rsidRPr="005B5D61" w:rsidRDefault="00862390" w:rsidP="008D292E">
      <w:pPr>
        <w:pStyle w:val="Bullet2"/>
        <w:tabs>
          <w:tab w:val="left" w:pos="567"/>
        </w:tabs>
      </w:pPr>
      <w:r>
        <w:t>t</w:t>
      </w:r>
      <w:r w:rsidR="005037D6" w:rsidRPr="005B5D61">
        <w:t>hroat swab (in viral transport medium, screw-capped plastic tube)</w:t>
      </w:r>
    </w:p>
    <w:p w14:paraId="19D21C12" w14:textId="6206110A" w:rsidR="005037D6" w:rsidRPr="005B5D61" w:rsidRDefault="00862390" w:rsidP="008D292E">
      <w:pPr>
        <w:pStyle w:val="Bullet2"/>
        <w:tabs>
          <w:tab w:val="left" w:pos="567"/>
        </w:tabs>
      </w:pPr>
      <w:r>
        <w:t>u</w:t>
      </w:r>
      <w:r w:rsidR="005037D6" w:rsidRPr="005B5D61">
        <w:t>rine sample</w:t>
      </w:r>
    </w:p>
    <w:p w14:paraId="2C8B8CFF" w14:textId="32BE8BE7" w:rsidR="005037D6" w:rsidRPr="005B5D61" w:rsidRDefault="00862390" w:rsidP="008D292E">
      <w:pPr>
        <w:pStyle w:val="Bullet2"/>
        <w:tabs>
          <w:tab w:val="left" w:pos="567"/>
        </w:tabs>
      </w:pPr>
      <w:r>
        <w:t>o</w:t>
      </w:r>
      <w:r w:rsidR="005037D6" w:rsidRPr="005B5D61">
        <w:t>ral fluids/swabs – only if collection can be performed safely without inducing vomiting or coughing</w:t>
      </w:r>
      <w:r>
        <w:t>.</w:t>
      </w:r>
    </w:p>
    <w:p w14:paraId="02C56F58" w14:textId="0CAC076B" w:rsidR="005037D6" w:rsidRPr="00B96009" w:rsidRDefault="005037D6" w:rsidP="008D292E">
      <w:pPr>
        <w:pStyle w:val="Bullet1"/>
        <w:tabs>
          <w:tab w:val="left" w:pos="567"/>
        </w:tabs>
      </w:pPr>
      <w:r w:rsidRPr="00B96009">
        <w:t>Post</w:t>
      </w:r>
      <w:r w:rsidR="00B76002">
        <w:t>-mortem</w:t>
      </w:r>
      <w:r w:rsidRPr="00B96009">
        <w:t xml:space="preserve"> specimens (if available)</w:t>
      </w:r>
      <w:r w:rsidR="00862390" w:rsidRPr="00B96009">
        <w:t xml:space="preserve"> – s</w:t>
      </w:r>
      <w:r w:rsidRPr="00B96009">
        <w:t>erum, liver, spleen and kidney tissues (fixed in 10% (100,000 ppm) buffered formalin or 2.5% glutaraldehyde (25,000</w:t>
      </w:r>
      <w:r w:rsidR="00862390" w:rsidRPr="00B96009">
        <w:t xml:space="preserve"> </w:t>
      </w:r>
      <w:r w:rsidRPr="00B96009">
        <w:t>ppm)).</w:t>
      </w:r>
    </w:p>
    <w:p w14:paraId="5C4CEC01" w14:textId="461E5E33" w:rsidR="00B96009" w:rsidRDefault="00B96009" w:rsidP="008D292E">
      <w:pPr>
        <w:pStyle w:val="Tablecaption"/>
        <w:tabs>
          <w:tab w:val="left" w:pos="567"/>
        </w:tabs>
      </w:pPr>
      <w:r>
        <w:t xml:space="preserve">Table </w:t>
      </w:r>
      <w:fldSimple w:instr=" SEQ Table \* ARABIC ">
        <w:r>
          <w:rPr>
            <w:noProof/>
          </w:rPr>
          <w:t>2</w:t>
        </w:r>
      </w:fldSimple>
      <w:r>
        <w:t xml:space="preserve">. </w:t>
      </w:r>
      <w:r w:rsidRPr="00EF4B8E">
        <w:t>Tests available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6"/>
        <w:gridCol w:w="2462"/>
      </w:tblGrid>
      <w:tr w:rsidR="005037D6" w:rsidRPr="005B5D61" w14:paraId="5D879603" w14:textId="77777777">
        <w:trPr>
          <w:tblHeader/>
          <w:tblCellSpacing w:w="15" w:type="dxa"/>
        </w:trPr>
        <w:tc>
          <w:tcPr>
            <w:tcW w:w="0" w:type="auto"/>
            <w:vAlign w:val="center"/>
            <w:hideMark/>
          </w:tcPr>
          <w:p w14:paraId="0C6DCDBE" w14:textId="77777777" w:rsidR="005037D6" w:rsidRPr="005B5D61" w:rsidRDefault="005037D6" w:rsidP="008D292E">
            <w:pPr>
              <w:pStyle w:val="Tablecolhead"/>
              <w:tabs>
                <w:tab w:val="left" w:pos="567"/>
              </w:tabs>
            </w:pPr>
            <w:r w:rsidRPr="005B5D61">
              <w:t>Test</w:t>
            </w:r>
          </w:p>
        </w:tc>
        <w:tc>
          <w:tcPr>
            <w:tcW w:w="0" w:type="auto"/>
            <w:vAlign w:val="center"/>
            <w:hideMark/>
          </w:tcPr>
          <w:p w14:paraId="6B7AB53B" w14:textId="1ABCBBE0" w:rsidR="005037D6" w:rsidRPr="005B5D61" w:rsidRDefault="005037D6" w:rsidP="008D292E">
            <w:pPr>
              <w:pStyle w:val="Tablecolhead"/>
              <w:tabs>
                <w:tab w:val="left" w:pos="567"/>
              </w:tabs>
            </w:pPr>
            <w:r w:rsidRPr="005B5D61">
              <w:t xml:space="preserve">Specimen </w:t>
            </w:r>
            <w:r w:rsidR="00B96009">
              <w:t>t</w:t>
            </w:r>
            <w:r w:rsidRPr="005B5D61">
              <w:t>ype</w:t>
            </w:r>
          </w:p>
        </w:tc>
      </w:tr>
      <w:tr w:rsidR="005037D6" w:rsidRPr="005B5D61" w14:paraId="43CAD22F" w14:textId="77777777">
        <w:trPr>
          <w:tblCellSpacing w:w="15" w:type="dxa"/>
        </w:trPr>
        <w:tc>
          <w:tcPr>
            <w:tcW w:w="0" w:type="auto"/>
          </w:tcPr>
          <w:p w14:paraId="3592DB6A" w14:textId="558039D8" w:rsidR="005037D6" w:rsidRPr="005B5D61" w:rsidRDefault="005037D6" w:rsidP="008D292E">
            <w:pPr>
              <w:pStyle w:val="Tabletext"/>
              <w:tabs>
                <w:tab w:val="left" w:pos="567"/>
              </w:tabs>
            </w:pPr>
            <w:r w:rsidRPr="00784DCC">
              <w:t>Detection of haemorrhagic fever viruses (Ebola, Marburg, Lassa, Crimean-Congo, Rift Valley Fever) by nucleic acid</w:t>
            </w:r>
          </w:p>
        </w:tc>
        <w:tc>
          <w:tcPr>
            <w:tcW w:w="0" w:type="auto"/>
          </w:tcPr>
          <w:p w14:paraId="5DF841AE" w14:textId="77777777" w:rsidR="005037D6" w:rsidRPr="00B96009" w:rsidRDefault="005037D6" w:rsidP="008D292E">
            <w:pPr>
              <w:pStyle w:val="Tablebullet1"/>
              <w:tabs>
                <w:tab w:val="left" w:pos="567"/>
              </w:tabs>
            </w:pPr>
            <w:r w:rsidRPr="00B96009">
              <w:t>Acute serum or EDTA plasma</w:t>
            </w:r>
          </w:p>
          <w:p w14:paraId="17FC97B1" w14:textId="77777777" w:rsidR="005037D6" w:rsidRPr="00B96009" w:rsidRDefault="005037D6" w:rsidP="008D292E">
            <w:pPr>
              <w:pStyle w:val="Tablebullet1"/>
              <w:tabs>
                <w:tab w:val="left" w:pos="567"/>
              </w:tabs>
            </w:pPr>
            <w:r w:rsidRPr="00B96009">
              <w:t>Throat swab</w:t>
            </w:r>
          </w:p>
          <w:p w14:paraId="50540EDB" w14:textId="77777777" w:rsidR="005037D6" w:rsidRPr="00B96009" w:rsidRDefault="005037D6" w:rsidP="008D292E">
            <w:pPr>
              <w:pStyle w:val="Tablebullet1"/>
              <w:tabs>
                <w:tab w:val="left" w:pos="567"/>
              </w:tabs>
            </w:pPr>
            <w:r w:rsidRPr="00B96009">
              <w:t>+/- Urine</w:t>
            </w:r>
          </w:p>
        </w:tc>
      </w:tr>
      <w:tr w:rsidR="005037D6" w:rsidRPr="005B5D61" w14:paraId="4928AFA0" w14:textId="77777777">
        <w:trPr>
          <w:tblCellSpacing w:w="15" w:type="dxa"/>
        </w:trPr>
        <w:tc>
          <w:tcPr>
            <w:tcW w:w="0" w:type="auto"/>
          </w:tcPr>
          <w:p w14:paraId="56EE1AC2" w14:textId="056C4C4B" w:rsidR="005037D6" w:rsidRPr="005B5D61" w:rsidRDefault="005037D6" w:rsidP="008D292E">
            <w:pPr>
              <w:pStyle w:val="Tabletext"/>
              <w:tabs>
                <w:tab w:val="left" w:pos="567"/>
              </w:tabs>
            </w:pPr>
            <w:r w:rsidRPr="00EA04B8">
              <w:t xml:space="preserve">Haemorrhagic fever virus serology (Ebola, Marburg, Lassa, Crimean-Congo, Rift Valley </w:t>
            </w:r>
            <w:r w:rsidR="00A80EE0">
              <w:t>f</w:t>
            </w:r>
            <w:r w:rsidRPr="00EA04B8">
              <w:t xml:space="preserve">ever </w:t>
            </w:r>
            <w:proofErr w:type="gramStart"/>
            <w:r w:rsidRPr="00EA04B8">
              <w:t>viruses)*</w:t>
            </w:r>
            <w:proofErr w:type="gramEnd"/>
          </w:p>
        </w:tc>
        <w:tc>
          <w:tcPr>
            <w:tcW w:w="0" w:type="auto"/>
          </w:tcPr>
          <w:p w14:paraId="07855B79" w14:textId="77777777" w:rsidR="005037D6" w:rsidRPr="00B96009" w:rsidRDefault="005037D6" w:rsidP="008D292E">
            <w:pPr>
              <w:pStyle w:val="Tablebullet1"/>
              <w:tabs>
                <w:tab w:val="left" w:pos="567"/>
              </w:tabs>
            </w:pPr>
            <w:r w:rsidRPr="00B96009">
              <w:t>Acute serum</w:t>
            </w:r>
          </w:p>
          <w:p w14:paraId="2212E004" w14:textId="77777777" w:rsidR="005037D6" w:rsidRPr="00B96009" w:rsidRDefault="005037D6" w:rsidP="008D292E">
            <w:pPr>
              <w:pStyle w:val="Tablebullet1"/>
              <w:tabs>
                <w:tab w:val="left" w:pos="567"/>
              </w:tabs>
            </w:pPr>
            <w:r w:rsidRPr="00B96009">
              <w:t>Convalescent serum</w:t>
            </w:r>
          </w:p>
        </w:tc>
      </w:tr>
    </w:tbl>
    <w:p w14:paraId="38E6737A" w14:textId="26B79F15" w:rsidR="005037D6" w:rsidRDefault="005037D6" w:rsidP="008D292E">
      <w:pPr>
        <w:pStyle w:val="FootnoteText"/>
        <w:tabs>
          <w:tab w:val="left" w:pos="567"/>
        </w:tabs>
      </w:pPr>
      <w:r>
        <w:t>*</w:t>
      </w:r>
      <w:r w:rsidR="00A80EE0">
        <w:t>S</w:t>
      </w:r>
      <w:r>
        <w:t>erology is only an adjunct to direct detection of VHF viruses</w:t>
      </w:r>
      <w:r w:rsidR="00A80EE0">
        <w:t>.</w:t>
      </w:r>
    </w:p>
    <w:p w14:paraId="48F16564" w14:textId="55D9884F" w:rsidR="00147803" w:rsidRDefault="00147803" w:rsidP="008D292E">
      <w:pPr>
        <w:tabs>
          <w:tab w:val="left" w:pos="567"/>
        </w:tabs>
        <w:spacing w:after="0" w:line="240" w:lineRule="auto"/>
        <w:rPr>
          <w:rFonts w:eastAsia="Times"/>
        </w:rPr>
      </w:pPr>
      <w:r>
        <w:br w:type="page"/>
      </w:r>
    </w:p>
    <w:p w14:paraId="31F7D38D" w14:textId="3D175585" w:rsidR="005037D6" w:rsidRPr="005B5D61" w:rsidRDefault="005037D6" w:rsidP="008D292E">
      <w:pPr>
        <w:pStyle w:val="Numberdigit"/>
        <w:numPr>
          <w:ilvl w:val="0"/>
          <w:numId w:val="99"/>
        </w:numPr>
        <w:tabs>
          <w:tab w:val="left" w:pos="567"/>
        </w:tabs>
        <w:rPr>
          <w:b/>
          <w:bCs/>
        </w:rPr>
      </w:pPr>
      <w:r w:rsidRPr="005B5D61">
        <w:rPr>
          <w:b/>
          <w:bCs/>
        </w:rPr>
        <w:lastRenderedPageBreak/>
        <w:t>Preparation</w:t>
      </w:r>
      <w:r w:rsidR="00A80EE0">
        <w:rPr>
          <w:b/>
          <w:bCs/>
        </w:rPr>
        <w:t>:</w:t>
      </w:r>
    </w:p>
    <w:p w14:paraId="0B7B884A" w14:textId="45C9F422" w:rsidR="005037D6" w:rsidRPr="005B5D61" w:rsidRDefault="005037D6" w:rsidP="008D292E">
      <w:pPr>
        <w:pStyle w:val="Bullet1"/>
        <w:tabs>
          <w:tab w:val="left" w:pos="567"/>
        </w:tabs>
      </w:pPr>
      <w:r w:rsidRPr="005B5D61">
        <w:t>PPE requirements for all</w:t>
      </w:r>
      <w:r w:rsidR="00147803">
        <w:t xml:space="preserve"> </w:t>
      </w:r>
      <w:r w:rsidRPr="005B5D61">
        <w:t>personnel</w:t>
      </w:r>
      <w:r w:rsidR="00A80EE0">
        <w:t xml:space="preserve"> include</w:t>
      </w:r>
      <w:r w:rsidRPr="005B5D61">
        <w:t>:</w:t>
      </w:r>
    </w:p>
    <w:p w14:paraId="1D283DFA" w14:textId="6FA79C8F" w:rsidR="005037D6" w:rsidRPr="005B5D61" w:rsidRDefault="00A80EE0" w:rsidP="008D292E">
      <w:pPr>
        <w:pStyle w:val="Bullet2"/>
        <w:tabs>
          <w:tab w:val="left" w:pos="567"/>
        </w:tabs>
      </w:pPr>
      <w:r>
        <w:t>d</w:t>
      </w:r>
      <w:r w:rsidR="005037D6" w:rsidRPr="005B5D61">
        <w:t>ouble gloves</w:t>
      </w:r>
    </w:p>
    <w:p w14:paraId="2BDE510D" w14:textId="0C2DFC7C" w:rsidR="005037D6" w:rsidRPr="005B5D61" w:rsidRDefault="00A80EE0" w:rsidP="008D292E">
      <w:pPr>
        <w:pStyle w:val="Bullet2"/>
        <w:tabs>
          <w:tab w:val="left" w:pos="567"/>
        </w:tabs>
      </w:pPr>
      <w:r>
        <w:t>i</w:t>
      </w:r>
      <w:r w:rsidR="005037D6" w:rsidRPr="005B5D61">
        <w:t>mpervious long-sleeve gown</w:t>
      </w:r>
    </w:p>
    <w:p w14:paraId="0AD8202A" w14:textId="5B3BCF20" w:rsidR="005037D6" w:rsidRDefault="00A80EE0" w:rsidP="008D292E">
      <w:pPr>
        <w:pStyle w:val="Bullet2"/>
        <w:tabs>
          <w:tab w:val="left" w:pos="567"/>
        </w:tabs>
      </w:pPr>
      <w:r>
        <w:t>e</w:t>
      </w:r>
      <w:r w:rsidR="005037D6" w:rsidRPr="00103793">
        <w:t>nclosed, fluid and sharps-resistant footwear</w:t>
      </w:r>
    </w:p>
    <w:p w14:paraId="2056A6D4" w14:textId="77777777" w:rsidR="005037D6" w:rsidRPr="005B5D61" w:rsidRDefault="005037D6" w:rsidP="008D292E">
      <w:pPr>
        <w:pStyle w:val="Bullet2"/>
        <w:tabs>
          <w:tab w:val="left" w:pos="567"/>
        </w:tabs>
      </w:pPr>
      <w:r>
        <w:t>P2/N95 respirator</w:t>
      </w:r>
    </w:p>
    <w:p w14:paraId="374AD601" w14:textId="2085F3AA" w:rsidR="005037D6" w:rsidRPr="005B5D61" w:rsidRDefault="00A80EE0" w:rsidP="008D292E">
      <w:pPr>
        <w:pStyle w:val="Bullet2"/>
        <w:tabs>
          <w:tab w:val="left" w:pos="567"/>
        </w:tabs>
      </w:pPr>
      <w:r>
        <w:t>f</w:t>
      </w:r>
      <w:r w:rsidR="005037D6" w:rsidRPr="005B5D61">
        <w:t>ull-face visor</w:t>
      </w:r>
      <w:r>
        <w:t>.</w:t>
      </w:r>
    </w:p>
    <w:p w14:paraId="4D00A6AD" w14:textId="77777777" w:rsidR="005037D6" w:rsidRPr="005B5D61" w:rsidRDefault="005037D6" w:rsidP="008D292E">
      <w:pPr>
        <w:pStyle w:val="Bullet1"/>
        <w:tabs>
          <w:tab w:val="left" w:pos="567"/>
        </w:tabs>
      </w:pPr>
      <w:r w:rsidRPr="005B5D61">
        <w:t>Label all specimen containers in advance with:</w:t>
      </w:r>
    </w:p>
    <w:p w14:paraId="2D070B2C" w14:textId="615C839E" w:rsidR="005037D6" w:rsidRPr="005B5D61" w:rsidRDefault="00191010" w:rsidP="008D292E">
      <w:pPr>
        <w:pStyle w:val="Bullet2"/>
        <w:tabs>
          <w:tab w:val="left" w:pos="567"/>
        </w:tabs>
      </w:pPr>
      <w:r>
        <w:t>‘</w:t>
      </w:r>
      <w:r w:rsidR="005037D6" w:rsidRPr="005B5D61">
        <w:t>Infectious Risk</w:t>
      </w:r>
      <w:r>
        <w:t>’</w:t>
      </w:r>
    </w:p>
    <w:p w14:paraId="0244660A" w14:textId="35322788" w:rsidR="005037D6" w:rsidRPr="005B5D61" w:rsidRDefault="00A80EE0" w:rsidP="008D292E">
      <w:pPr>
        <w:pStyle w:val="Bullet2"/>
        <w:tabs>
          <w:tab w:val="left" w:pos="567"/>
        </w:tabs>
        <w:spacing w:after="120"/>
        <w:ind w:left="568" w:hanging="284"/>
      </w:pPr>
      <w:r>
        <w:t>p</w:t>
      </w:r>
      <w:r w:rsidR="005037D6" w:rsidRPr="005B5D61">
        <w:t>atient details, date/time of collection, sample type, clinical context.</w:t>
      </w:r>
    </w:p>
    <w:p w14:paraId="150B32F3" w14:textId="60234BCB" w:rsidR="005037D6" w:rsidRPr="005B5D61" w:rsidRDefault="005037D6" w:rsidP="008D292E">
      <w:pPr>
        <w:pStyle w:val="Numberdigit"/>
        <w:numPr>
          <w:ilvl w:val="0"/>
          <w:numId w:val="99"/>
        </w:numPr>
        <w:tabs>
          <w:tab w:val="left" w:pos="567"/>
        </w:tabs>
        <w:rPr>
          <w:b/>
          <w:bCs/>
        </w:rPr>
      </w:pPr>
      <w:r w:rsidRPr="005B5D61">
        <w:rPr>
          <w:b/>
          <w:bCs/>
        </w:rPr>
        <w:t xml:space="preserve">Specimen </w:t>
      </w:r>
      <w:r w:rsidR="00147803">
        <w:rPr>
          <w:b/>
          <w:bCs/>
        </w:rPr>
        <w:t>c</w:t>
      </w:r>
      <w:r w:rsidRPr="005B5D61">
        <w:rPr>
          <w:b/>
          <w:bCs/>
        </w:rPr>
        <w:t>ollection</w:t>
      </w:r>
      <w:r w:rsidR="00A80EE0">
        <w:rPr>
          <w:b/>
          <w:bCs/>
        </w:rPr>
        <w:t>:</w:t>
      </w:r>
    </w:p>
    <w:p w14:paraId="69AE5949" w14:textId="77777777" w:rsidR="005037D6" w:rsidRPr="005B5D61" w:rsidRDefault="005037D6" w:rsidP="008D292E">
      <w:pPr>
        <w:pStyle w:val="Bullet1"/>
        <w:tabs>
          <w:tab w:val="left" w:pos="567"/>
        </w:tabs>
      </w:pPr>
      <w:r w:rsidRPr="005B5D61">
        <w:t>Perform venepuncture or alternative specimen collection using strict precautions.</w:t>
      </w:r>
    </w:p>
    <w:p w14:paraId="60A44186" w14:textId="451F9E36" w:rsidR="005037D6" w:rsidRPr="005B5D61" w:rsidRDefault="005037D6" w:rsidP="008D292E">
      <w:pPr>
        <w:pStyle w:val="Bullet1"/>
        <w:tabs>
          <w:tab w:val="left" w:pos="567"/>
        </w:tabs>
      </w:pPr>
      <w:r>
        <w:t>Do not</w:t>
      </w:r>
      <w:r w:rsidRPr="005B5D61">
        <w:t xml:space="preserve"> recap needles</w:t>
      </w:r>
      <w:r w:rsidR="00A80EE0">
        <w:t xml:space="preserve"> –</w:t>
      </w:r>
      <w:r w:rsidRPr="005B5D61">
        <w:t xml:space="preserve"> dispose </w:t>
      </w:r>
      <w:r w:rsidR="00A80EE0">
        <w:t xml:space="preserve">of </w:t>
      </w:r>
      <w:r w:rsidRPr="005B5D61">
        <w:t>immediately in</w:t>
      </w:r>
      <w:r>
        <w:t>to</w:t>
      </w:r>
      <w:r w:rsidRPr="005B5D61">
        <w:t xml:space="preserve"> sharps container.</w:t>
      </w:r>
    </w:p>
    <w:p w14:paraId="1872A320" w14:textId="18BA1885" w:rsidR="005037D6" w:rsidRDefault="005037D6" w:rsidP="008D292E">
      <w:pPr>
        <w:pStyle w:val="Bullet1"/>
        <w:tabs>
          <w:tab w:val="left" w:pos="567"/>
        </w:tabs>
      </w:pPr>
      <w:r w:rsidRPr="005B5D61">
        <w:t xml:space="preserve">Place </w:t>
      </w:r>
      <w:r>
        <w:t>specimens for transport in a tightly sealed, watertight collection container</w:t>
      </w:r>
      <w:r w:rsidR="00A80EE0">
        <w:t>,</w:t>
      </w:r>
      <w:r>
        <w:t xml:space="preserve"> such as a</w:t>
      </w:r>
      <w:r w:rsidRPr="005B5D61">
        <w:t xml:space="preserve"> Bio-Bottle or rigid screw-cap plastic tube certified for Category A – UN2814 Infectious Substances, Affecting Humans</w:t>
      </w:r>
      <w:r>
        <w:t>, and seal the cap with Parafilm.</w:t>
      </w:r>
    </w:p>
    <w:p w14:paraId="7AA494DB" w14:textId="5F478FB7" w:rsidR="005037D6" w:rsidRPr="005B5D61" w:rsidRDefault="005037D6" w:rsidP="008D292E">
      <w:pPr>
        <w:pStyle w:val="Bullet1"/>
        <w:tabs>
          <w:tab w:val="left" w:pos="567"/>
        </w:tabs>
      </w:pPr>
      <w:r w:rsidRPr="005B5D61">
        <w:t>Decontaminate each specimen tube</w:t>
      </w:r>
      <w:r w:rsidR="00A80EE0">
        <w:t xml:space="preserve"> – w</w:t>
      </w:r>
      <w:r w:rsidRPr="005B5D61">
        <w:t>ipe with paper towel soaked in 0.1% sodium hypochlorite</w:t>
      </w:r>
      <w:r>
        <w:t xml:space="preserve"> (1</w:t>
      </w:r>
      <w:r w:rsidR="00862390">
        <w:t>,</w:t>
      </w:r>
      <w:r>
        <w:t>000 ppm)</w:t>
      </w:r>
      <w:r w:rsidRPr="005B5D61">
        <w:t>.</w:t>
      </w:r>
    </w:p>
    <w:p w14:paraId="16EF8D13" w14:textId="77777777" w:rsidR="005037D6" w:rsidRPr="005B5D61" w:rsidRDefault="005037D6" w:rsidP="008D292E">
      <w:pPr>
        <w:pStyle w:val="Bullet1"/>
        <w:tabs>
          <w:tab w:val="left" w:pos="567"/>
        </w:tabs>
      </w:pPr>
      <w:r w:rsidRPr="005B5D61">
        <w:t>Package immediately</w:t>
      </w:r>
      <w:r>
        <w:t xml:space="preserve"> (as below).</w:t>
      </w:r>
    </w:p>
    <w:p w14:paraId="7F03C620" w14:textId="57615B7C" w:rsidR="005037D6" w:rsidRPr="005B5D61" w:rsidRDefault="005037D6" w:rsidP="008D292E">
      <w:pPr>
        <w:pStyle w:val="Numberdigit"/>
        <w:numPr>
          <w:ilvl w:val="0"/>
          <w:numId w:val="99"/>
        </w:numPr>
        <w:tabs>
          <w:tab w:val="left" w:pos="567"/>
        </w:tabs>
        <w:rPr>
          <w:b/>
          <w:bCs/>
        </w:rPr>
      </w:pPr>
      <w:r w:rsidRPr="005B5D61">
        <w:rPr>
          <w:b/>
          <w:bCs/>
        </w:rPr>
        <w:t xml:space="preserve">Packaging for </w:t>
      </w:r>
      <w:r w:rsidR="00147803">
        <w:rPr>
          <w:b/>
          <w:bCs/>
        </w:rPr>
        <w:t>t</w:t>
      </w:r>
      <w:r w:rsidRPr="005B5D61">
        <w:rPr>
          <w:b/>
          <w:bCs/>
        </w:rPr>
        <w:t>ransport</w:t>
      </w:r>
      <w:r w:rsidR="00A7330C">
        <w:rPr>
          <w:b/>
          <w:bCs/>
        </w:rPr>
        <w:t>:</w:t>
      </w:r>
    </w:p>
    <w:p w14:paraId="4ED4AA9E" w14:textId="6683B8E7" w:rsidR="005037D6" w:rsidRDefault="005037D6" w:rsidP="008D292E">
      <w:pPr>
        <w:pStyle w:val="Bullet1"/>
        <w:tabs>
          <w:tab w:val="left" w:pos="567"/>
        </w:tabs>
      </w:pPr>
      <w:r>
        <w:t>For transport of all pathology specimens and associated materials</w:t>
      </w:r>
      <w:r w:rsidR="00A7330C">
        <w:t xml:space="preserve">, </w:t>
      </w:r>
      <w:r>
        <w:t>the packaging must consist of three components</w:t>
      </w:r>
      <w:r w:rsidR="00A80EE0">
        <w:t>,</w:t>
      </w:r>
      <w:r>
        <w:t xml:space="preserve"> in accordance with </w:t>
      </w:r>
      <w:hyperlink r:id="rId81" w:history="1">
        <w:r w:rsidRPr="00BB2E95">
          <w:rPr>
            <w:rStyle w:val="Hyperlink"/>
          </w:rPr>
          <w:t>Requirements for the packaging and transport of pathology specimens and associated materials (fifth edition)</w:t>
        </w:r>
      </w:hyperlink>
      <w:r w:rsidR="00A80EE0">
        <w:t xml:space="preserve"> &lt;</w:t>
      </w:r>
      <w:r w:rsidR="00A80EE0" w:rsidRPr="00A80EE0">
        <w:t>https://www.safetyandquality.gov.au/sites/default/files/2023-02/requirements_for_the_packaging_and_transport_of_pathology_specimens_and_associated_materials_fifth_edition_2023.pdf</w:t>
      </w:r>
      <w:r w:rsidR="00A80EE0">
        <w:t>&gt;, which are the:</w:t>
      </w:r>
    </w:p>
    <w:p w14:paraId="4FA245F1" w14:textId="77777777" w:rsidR="005037D6" w:rsidRDefault="005037D6" w:rsidP="008D292E">
      <w:pPr>
        <w:pStyle w:val="Bullet2"/>
        <w:tabs>
          <w:tab w:val="left" w:pos="567"/>
        </w:tabs>
      </w:pPr>
      <w:r>
        <w:t>primary receptacle</w:t>
      </w:r>
    </w:p>
    <w:p w14:paraId="1F620086" w14:textId="77777777" w:rsidR="005037D6" w:rsidRDefault="005037D6" w:rsidP="008D292E">
      <w:pPr>
        <w:pStyle w:val="Bullet2"/>
        <w:tabs>
          <w:tab w:val="left" w:pos="567"/>
        </w:tabs>
      </w:pPr>
      <w:r>
        <w:t>secondary packaging</w:t>
      </w:r>
    </w:p>
    <w:p w14:paraId="0DBAE395" w14:textId="77777777" w:rsidR="005037D6" w:rsidRDefault="005037D6" w:rsidP="008D292E">
      <w:pPr>
        <w:pStyle w:val="Bullet2"/>
        <w:tabs>
          <w:tab w:val="left" w:pos="567"/>
        </w:tabs>
      </w:pPr>
      <w:r>
        <w:t>outer packaging.</w:t>
      </w:r>
    </w:p>
    <w:p w14:paraId="55B988DE" w14:textId="77777777" w:rsidR="005037D6" w:rsidRPr="005B5D61" w:rsidRDefault="005037D6" w:rsidP="008D292E">
      <w:pPr>
        <w:pStyle w:val="Bullet1"/>
        <w:tabs>
          <w:tab w:val="left" w:pos="567"/>
        </w:tabs>
      </w:pPr>
      <w:r w:rsidRPr="005B5D61">
        <w:t xml:space="preserve">Wrap </w:t>
      </w:r>
      <w:r>
        <w:t xml:space="preserve">the primary collection container </w:t>
      </w:r>
      <w:r w:rsidRPr="005B5D61">
        <w:t>in absorbent material</w:t>
      </w:r>
      <w:r>
        <w:t xml:space="preserve"> (sufficient to absorb potential leaks and provide cushioning to prevent breakage)</w:t>
      </w:r>
    </w:p>
    <w:p w14:paraId="49C4A043" w14:textId="66596B54" w:rsidR="005037D6" w:rsidRPr="005B5D61" w:rsidRDefault="005037D6" w:rsidP="008D292E">
      <w:pPr>
        <w:pStyle w:val="Bullet1"/>
        <w:tabs>
          <w:tab w:val="left" w:pos="567"/>
        </w:tabs>
      </w:pPr>
      <w:r w:rsidRPr="005B5D61">
        <w:t xml:space="preserve">Place in </w:t>
      </w:r>
      <w:r>
        <w:t>two</w:t>
      </w:r>
      <w:r w:rsidRPr="005B5D61">
        <w:t xml:space="preserve"> sealable, leak</w:t>
      </w:r>
      <w:r w:rsidR="00B76002">
        <w:t>-proof</w:t>
      </w:r>
      <w:r w:rsidRPr="005B5D61">
        <w:t xml:space="preserve"> specimen bags</w:t>
      </w:r>
      <w:r>
        <w:t xml:space="preserve"> (</w:t>
      </w:r>
      <w:proofErr w:type="gramStart"/>
      <w:r>
        <w:t>double-bag</w:t>
      </w:r>
      <w:proofErr w:type="gramEnd"/>
      <w:r>
        <w:t>)</w:t>
      </w:r>
      <w:r w:rsidRPr="005B5D61">
        <w:t>.</w:t>
      </w:r>
    </w:p>
    <w:p w14:paraId="17450E99" w14:textId="37E02925" w:rsidR="005037D6" w:rsidRPr="005B5D61" w:rsidRDefault="005037D6" w:rsidP="008D292E">
      <w:pPr>
        <w:pStyle w:val="Bullet1"/>
        <w:tabs>
          <w:tab w:val="left" w:pos="567"/>
        </w:tabs>
      </w:pPr>
      <w:r w:rsidRPr="005B5D61">
        <w:t>Wipe outer bag with 0.1% sodium hypochlorite</w:t>
      </w:r>
      <w:r>
        <w:t xml:space="preserve"> (1</w:t>
      </w:r>
      <w:r w:rsidR="00862390">
        <w:t>,</w:t>
      </w:r>
      <w:r>
        <w:t>000 ppm).</w:t>
      </w:r>
    </w:p>
    <w:p w14:paraId="4F4DB868" w14:textId="77777777" w:rsidR="005037D6" w:rsidRDefault="005037D6" w:rsidP="008D292E">
      <w:pPr>
        <w:pStyle w:val="Bullet1"/>
        <w:tabs>
          <w:tab w:val="left" w:pos="567"/>
        </w:tabs>
      </w:pPr>
      <w:r>
        <w:t xml:space="preserve">Place the double-bagged primary collection container in a durable, watertight screw-cap mailing tube, metal can or bio-bottle. This secondary container should be sealed with tape. Several primary containers may be placed in one secondary container to a maximum of 50ml of specimen material. </w:t>
      </w:r>
    </w:p>
    <w:p w14:paraId="73A849CA" w14:textId="77777777" w:rsidR="005037D6" w:rsidRPr="005B5D61" w:rsidRDefault="005037D6" w:rsidP="008D292E">
      <w:pPr>
        <w:pStyle w:val="Bullet1"/>
        <w:tabs>
          <w:tab w:val="left" w:pos="567"/>
        </w:tabs>
      </w:pPr>
      <w:r>
        <w:t>On the outside of the secondary container, attach the specimen labels and other relevant information.</w:t>
      </w:r>
    </w:p>
    <w:p w14:paraId="1A23CCB0" w14:textId="77777777" w:rsidR="005037D6" w:rsidRDefault="005037D6" w:rsidP="008D292E">
      <w:pPr>
        <w:pStyle w:val="Bullet1"/>
        <w:tabs>
          <w:tab w:val="left" w:pos="567"/>
        </w:tabs>
      </w:pPr>
      <w:r>
        <w:t>I</w:t>
      </w:r>
      <w:r w:rsidRPr="005B5D61">
        <w:t>nsert into a rigid outer container (</w:t>
      </w:r>
      <w:r>
        <w:rPr>
          <w:lang w:val="en-US"/>
        </w:rPr>
        <w:t>for example,</w:t>
      </w:r>
      <w:r w:rsidRPr="0094090E">
        <w:rPr>
          <w:lang w:val="en-US"/>
        </w:rPr>
        <w:t xml:space="preserve"> </w:t>
      </w:r>
      <w:r w:rsidRPr="005B5D61">
        <w:t>esky) approved for Category A transport.</w:t>
      </w:r>
      <w:r>
        <w:t xml:space="preserve"> Address to:</w:t>
      </w:r>
    </w:p>
    <w:p w14:paraId="6A702A9E" w14:textId="77777777" w:rsidR="005037D6" w:rsidRDefault="005037D6" w:rsidP="005A0E81">
      <w:pPr>
        <w:pStyle w:val="Body"/>
        <w:tabs>
          <w:tab w:val="left" w:pos="567"/>
        </w:tabs>
        <w:spacing w:after="0" w:line="240" w:lineRule="auto"/>
        <w:ind w:left="851"/>
      </w:pPr>
      <w:r w:rsidRPr="00B57A3C">
        <w:t>National High Security Quarantine Laboratory</w:t>
      </w:r>
    </w:p>
    <w:p w14:paraId="6C1FCF74" w14:textId="77777777" w:rsidR="005037D6" w:rsidRDefault="005037D6" w:rsidP="005A0E81">
      <w:pPr>
        <w:pStyle w:val="Body"/>
        <w:tabs>
          <w:tab w:val="left" w:pos="567"/>
        </w:tabs>
        <w:spacing w:after="0" w:line="240" w:lineRule="auto"/>
        <w:ind w:left="851"/>
      </w:pPr>
      <w:r w:rsidRPr="00B57A3C">
        <w:t>Victorian Infectious Diseases Reference Laboratory (VIDRL)</w:t>
      </w:r>
    </w:p>
    <w:p w14:paraId="1B66901A" w14:textId="77777777" w:rsidR="005037D6" w:rsidRDefault="005037D6" w:rsidP="005A0E81">
      <w:pPr>
        <w:pStyle w:val="Body"/>
        <w:tabs>
          <w:tab w:val="left" w:pos="567"/>
        </w:tabs>
        <w:spacing w:after="0" w:line="240" w:lineRule="auto"/>
        <w:ind w:left="851"/>
      </w:pPr>
      <w:r w:rsidRPr="00B57A3C">
        <w:t>The Doherty Institute</w:t>
      </w:r>
    </w:p>
    <w:p w14:paraId="48B2EBC5" w14:textId="205DE9D8" w:rsidR="005037D6" w:rsidRDefault="005037D6" w:rsidP="008D292E">
      <w:pPr>
        <w:pStyle w:val="Body"/>
        <w:tabs>
          <w:tab w:val="left" w:pos="567"/>
        </w:tabs>
        <w:spacing w:line="240" w:lineRule="auto"/>
        <w:ind w:left="851"/>
      </w:pPr>
      <w:r>
        <w:lastRenderedPageBreak/>
        <w:t xml:space="preserve">792 </w:t>
      </w:r>
      <w:r w:rsidRPr="00B57A3C">
        <w:t>Elizabeth Street</w:t>
      </w:r>
      <w:r w:rsidR="00951256">
        <w:br/>
      </w:r>
      <w:r w:rsidRPr="00B57A3C">
        <w:t>Melbourne</w:t>
      </w:r>
      <w:r>
        <w:t>,</w:t>
      </w:r>
      <w:r w:rsidRPr="00B57A3C">
        <w:t xml:space="preserve"> V</w:t>
      </w:r>
      <w:r w:rsidR="00951256">
        <w:t>IC</w:t>
      </w:r>
      <w:r w:rsidRPr="00B57A3C">
        <w:t xml:space="preserve"> 3000</w:t>
      </w:r>
    </w:p>
    <w:p w14:paraId="130BB27F" w14:textId="77777777" w:rsidR="005037D6" w:rsidRPr="005B5D61" w:rsidRDefault="005037D6" w:rsidP="008D292E">
      <w:pPr>
        <w:pStyle w:val="Bullet1"/>
        <w:tabs>
          <w:tab w:val="left" w:pos="567"/>
        </w:tabs>
      </w:pPr>
      <w:r w:rsidRPr="005B5D61">
        <w:t>Attach to the outer packaging:</w:t>
      </w:r>
    </w:p>
    <w:p w14:paraId="42CB6204" w14:textId="3F79712D" w:rsidR="005037D6" w:rsidRPr="005B5D61" w:rsidRDefault="00A7330C" w:rsidP="008D292E">
      <w:pPr>
        <w:pStyle w:val="Bullet2"/>
        <w:tabs>
          <w:tab w:val="left" w:pos="567"/>
        </w:tabs>
      </w:pPr>
      <w:r>
        <w:t>an i</w:t>
      </w:r>
      <w:r w:rsidR="005037D6" w:rsidRPr="005B5D61">
        <w:t>nfectious substance label (</w:t>
      </w:r>
      <w:r w:rsidR="00191010">
        <w:t>‘</w:t>
      </w:r>
      <w:r w:rsidR="005037D6" w:rsidRPr="005B5D61">
        <w:t>Infectious Substances, Affecting Humans</w:t>
      </w:r>
      <w:r w:rsidR="00191010">
        <w:t>’</w:t>
      </w:r>
      <w:r w:rsidR="005037D6" w:rsidRPr="005B5D61">
        <w:t>)</w:t>
      </w:r>
      <w:r w:rsidR="005037D6">
        <w:rPr>
          <w:rStyle w:val="FootnoteReference"/>
        </w:rPr>
        <w:footnoteReference w:id="22"/>
      </w:r>
    </w:p>
    <w:p w14:paraId="0F7C0FEB" w14:textId="30F7AB08" w:rsidR="005037D6" w:rsidRPr="005B5D61" w:rsidRDefault="00A7330C" w:rsidP="008D292E">
      <w:pPr>
        <w:pStyle w:val="Bullet2"/>
        <w:tabs>
          <w:tab w:val="left" w:pos="567"/>
        </w:tabs>
      </w:pPr>
      <w:r>
        <w:t>a r</w:t>
      </w:r>
      <w:r w:rsidR="005037D6" w:rsidRPr="005B5D61">
        <w:t>equest form (specifying required tests)</w:t>
      </w:r>
    </w:p>
    <w:p w14:paraId="257B6365" w14:textId="28692A06" w:rsidR="005037D6" w:rsidRPr="005B5D61" w:rsidRDefault="00A7330C" w:rsidP="008D292E">
      <w:pPr>
        <w:pStyle w:val="Bullet2"/>
        <w:tabs>
          <w:tab w:val="left" w:pos="567"/>
        </w:tabs>
      </w:pPr>
      <w:r>
        <w:t>a l</w:t>
      </w:r>
      <w:r w:rsidR="005037D6" w:rsidRPr="005B5D61">
        <w:t>ist of contents</w:t>
      </w:r>
    </w:p>
    <w:p w14:paraId="3DDE69FE" w14:textId="77777777" w:rsidR="004B6A30" w:rsidRPr="004B6A30" w:rsidRDefault="38FBCAC1" w:rsidP="004B6A30">
      <w:pPr>
        <w:pStyle w:val="Bullet2"/>
        <w:tabs>
          <w:tab w:val="left" w:pos="567"/>
        </w:tabs>
      </w:pPr>
      <w:r>
        <w:t xml:space="preserve">ensure documentation for </w:t>
      </w:r>
      <w:r w:rsidR="00B156CD">
        <w:t>traceability</w:t>
      </w:r>
      <w:r w:rsidR="004B6A30">
        <w:t xml:space="preserve"> </w:t>
      </w:r>
      <w:r w:rsidR="004B6A30" w:rsidRPr="004B6A30">
        <w:t xml:space="preserve">- (a VIDRL chain of custody form is available at: </w:t>
      </w:r>
      <w:hyperlink r:id="rId82" w:history="1">
        <w:r w:rsidR="004B6A30" w:rsidRPr="004B6A30">
          <w:rPr>
            <w:rStyle w:val="Hyperlink"/>
          </w:rPr>
          <w:t>https://www.vidrl.org.au/resources/vidrl-forms/</w:t>
        </w:r>
      </w:hyperlink>
      <w:r w:rsidR="004B6A30" w:rsidRPr="004B6A30">
        <w:t>)</w:t>
      </w:r>
    </w:p>
    <w:p w14:paraId="7A3C0D29" w14:textId="77777777" w:rsidR="005037D6" w:rsidRPr="005B5D61" w:rsidRDefault="005037D6" w:rsidP="008D292E">
      <w:pPr>
        <w:pStyle w:val="Bullet1"/>
        <w:tabs>
          <w:tab w:val="left" w:pos="567"/>
        </w:tabs>
        <w:spacing w:after="120"/>
      </w:pPr>
      <w:r w:rsidRPr="005B5D61">
        <w:t xml:space="preserve">Maintain specimens at </w:t>
      </w:r>
      <w:r w:rsidRPr="00BC7292">
        <w:rPr>
          <w:b/>
          <w:bCs/>
        </w:rPr>
        <w:t>4°C</w:t>
      </w:r>
      <w:r w:rsidRPr="005B5D61">
        <w:t xml:space="preserve"> during storage/transport (do not freeze).</w:t>
      </w:r>
      <w:r>
        <w:t xml:space="preserve"> </w:t>
      </w:r>
      <w:r w:rsidRPr="00D56354">
        <w:t>Transport specimen for virus isolation chilled on wet or dry ice as appropriate, depending on the duration of shipping.</w:t>
      </w:r>
    </w:p>
    <w:p w14:paraId="6CD1C7D7" w14:textId="2BE1655B" w:rsidR="005037D6" w:rsidRPr="005B5D61" w:rsidRDefault="005037D6" w:rsidP="008D292E">
      <w:pPr>
        <w:pStyle w:val="Numberdigit"/>
        <w:numPr>
          <w:ilvl w:val="0"/>
          <w:numId w:val="99"/>
        </w:numPr>
        <w:tabs>
          <w:tab w:val="left" w:pos="567"/>
        </w:tabs>
        <w:rPr>
          <w:b/>
          <w:bCs/>
        </w:rPr>
      </w:pPr>
      <w:r w:rsidRPr="005B5D61">
        <w:rPr>
          <w:b/>
          <w:bCs/>
        </w:rPr>
        <w:t xml:space="preserve">Handling and </w:t>
      </w:r>
      <w:r w:rsidR="00147803">
        <w:rPr>
          <w:b/>
          <w:bCs/>
        </w:rPr>
        <w:t>r</w:t>
      </w:r>
      <w:r w:rsidRPr="005B5D61">
        <w:rPr>
          <w:b/>
          <w:bCs/>
        </w:rPr>
        <w:t>egistration</w:t>
      </w:r>
      <w:r w:rsidR="00A7330C">
        <w:rPr>
          <w:b/>
          <w:bCs/>
        </w:rPr>
        <w:t>:</w:t>
      </w:r>
    </w:p>
    <w:p w14:paraId="46EC7D50" w14:textId="00FA19AC" w:rsidR="005037D6" w:rsidRPr="005B5D61" w:rsidRDefault="005037D6" w:rsidP="008D292E">
      <w:pPr>
        <w:pStyle w:val="Bullet1"/>
        <w:tabs>
          <w:tab w:val="left" w:pos="567"/>
        </w:tabs>
      </w:pPr>
      <w:r w:rsidRPr="005B5D61">
        <w:t xml:space="preserve">Ensure specimens are registered via pathology reception at </w:t>
      </w:r>
      <w:r w:rsidR="00A7330C">
        <w:t xml:space="preserve">the </w:t>
      </w:r>
      <w:r>
        <w:t>relevant</w:t>
      </w:r>
      <w:r w:rsidRPr="005B5D61">
        <w:t xml:space="preserve"> hospital laboratory</w:t>
      </w:r>
      <w:r w:rsidR="00A7330C">
        <w:t>:</w:t>
      </w:r>
    </w:p>
    <w:p w14:paraId="799049CA" w14:textId="77777777" w:rsidR="005037D6" w:rsidRPr="005B5D61" w:rsidRDefault="005037D6" w:rsidP="008D292E">
      <w:pPr>
        <w:pStyle w:val="Bullet2"/>
        <w:tabs>
          <w:tab w:val="left" w:pos="567"/>
        </w:tabs>
      </w:pPr>
      <w:r>
        <w:t>DO NOT</w:t>
      </w:r>
      <w:r w:rsidRPr="005B5D61">
        <w:t xml:space="preserve"> use pneumatic tube or automated systems</w:t>
      </w:r>
      <w:r>
        <w:t xml:space="preserve"> to deliver specimens to laboratory.</w:t>
      </w:r>
    </w:p>
    <w:p w14:paraId="2F6BC185" w14:textId="467A058C" w:rsidR="005037D6" w:rsidRPr="0061632A" w:rsidRDefault="005037D6" w:rsidP="008D292E">
      <w:pPr>
        <w:pStyle w:val="Bullet2"/>
        <w:tabs>
          <w:tab w:val="left" w:pos="567"/>
        </w:tabs>
      </w:pPr>
      <w:r w:rsidRPr="0061632A">
        <w:t>Where possible, avoid unnecessary double handling of specimen/s at multiple locations within a health service</w:t>
      </w:r>
      <w:r w:rsidR="00A7330C">
        <w:t>,</w:t>
      </w:r>
      <w:r w:rsidRPr="0061632A">
        <w:t xml:space="preserve"> by consideration of ways to register specimen/s that minimise transport of specimen</w:t>
      </w:r>
      <w:r w:rsidR="00A7330C">
        <w:t>s</w:t>
      </w:r>
      <w:r w:rsidRPr="0061632A">
        <w:t xml:space="preserve"> to different parts of the health service.</w:t>
      </w:r>
    </w:p>
    <w:p w14:paraId="53EBDDF6" w14:textId="26F3285F" w:rsidR="005037D6" w:rsidRPr="005B5D61" w:rsidRDefault="005037D6" w:rsidP="008D292E">
      <w:pPr>
        <w:pStyle w:val="Bullet1"/>
        <w:tabs>
          <w:tab w:val="left" w:pos="567"/>
        </w:tabs>
      </w:pPr>
      <w:r>
        <w:t xml:space="preserve">Complete </w:t>
      </w:r>
      <w:r w:rsidR="693CAB29">
        <w:t>documentation to include the following:</w:t>
      </w:r>
    </w:p>
    <w:p w14:paraId="1AAF0D9F" w14:textId="3C7BB5FC" w:rsidR="005037D6" w:rsidRPr="005B5D61" w:rsidRDefault="005037D6" w:rsidP="008D292E">
      <w:pPr>
        <w:pStyle w:val="Bullet2"/>
        <w:tabs>
          <w:tab w:val="left" w:pos="567"/>
        </w:tabs>
      </w:pPr>
      <w:r w:rsidRPr="005B5D61">
        <w:t>Record all staff handling specimens (name, role, date, time)</w:t>
      </w:r>
      <w:r w:rsidR="00A7330C">
        <w:t>.</w:t>
      </w:r>
    </w:p>
    <w:p w14:paraId="48AA4BC7" w14:textId="23C18353" w:rsidR="005037D6" w:rsidRPr="005B5D61" w:rsidRDefault="00A7330C" w:rsidP="008D292E">
      <w:pPr>
        <w:pStyle w:val="Bullet2"/>
        <w:tabs>
          <w:tab w:val="left" w:pos="567"/>
        </w:tabs>
      </w:pPr>
      <w:r>
        <w:t xml:space="preserve">The </w:t>
      </w:r>
      <w:r w:rsidR="5778743F">
        <w:t>documentation</w:t>
      </w:r>
      <w:r>
        <w:t xml:space="preserve"> </w:t>
      </w:r>
      <w:r w:rsidR="005037D6" w:rsidRPr="005B5D61">
        <w:t>must accompany the specimen through to VIDRL.</w:t>
      </w:r>
    </w:p>
    <w:p w14:paraId="4829E1EA" w14:textId="77777777" w:rsidR="005037D6" w:rsidRPr="005B5D61" w:rsidRDefault="005037D6" w:rsidP="008D292E">
      <w:pPr>
        <w:pStyle w:val="Bullet1"/>
        <w:tabs>
          <w:tab w:val="left" w:pos="567"/>
        </w:tabs>
        <w:spacing w:after="120"/>
      </w:pPr>
      <w:r w:rsidRPr="005B5D61">
        <w:t>Limit handling to essential staff only.</w:t>
      </w:r>
    </w:p>
    <w:p w14:paraId="09CCB8EF" w14:textId="2C6D87FC" w:rsidR="005037D6" w:rsidRPr="005B5D61" w:rsidRDefault="005037D6" w:rsidP="008D292E">
      <w:pPr>
        <w:pStyle w:val="Numberdigit"/>
        <w:numPr>
          <w:ilvl w:val="0"/>
          <w:numId w:val="99"/>
        </w:numPr>
        <w:tabs>
          <w:tab w:val="left" w:pos="567"/>
        </w:tabs>
        <w:rPr>
          <w:b/>
          <w:bCs/>
        </w:rPr>
      </w:pPr>
      <w:r w:rsidRPr="005B5D61">
        <w:rPr>
          <w:b/>
          <w:bCs/>
        </w:rPr>
        <w:t>Transport to VIDRL</w:t>
      </w:r>
      <w:r w:rsidR="00951256">
        <w:rPr>
          <w:b/>
          <w:bCs/>
        </w:rPr>
        <w:t>:</w:t>
      </w:r>
    </w:p>
    <w:p w14:paraId="0DDF6405" w14:textId="271F9234" w:rsidR="005037D6" w:rsidRPr="005B5D61" w:rsidRDefault="005037D6" w:rsidP="008D292E">
      <w:pPr>
        <w:pStyle w:val="Bullet1"/>
        <w:tabs>
          <w:tab w:val="left" w:pos="567"/>
        </w:tabs>
      </w:pPr>
      <w:r w:rsidRPr="005B5D61">
        <w:t xml:space="preserve">Use a courier service approved for </w:t>
      </w:r>
      <w:r>
        <w:t xml:space="preserve">handling </w:t>
      </w:r>
      <w:r w:rsidRPr="005B5D61">
        <w:t xml:space="preserve">Category A specimens </w:t>
      </w:r>
      <w:r>
        <w:t>and bio</w:t>
      </w:r>
      <w:r w:rsidR="00B76002">
        <w:t>security</w:t>
      </w:r>
      <w:r>
        <w:t xml:space="preserve"> material</w:t>
      </w:r>
      <w:r w:rsidRPr="005B5D61">
        <w:t>.</w:t>
      </w:r>
      <w:r>
        <w:t xml:space="preserve"> Call </w:t>
      </w:r>
      <w:r w:rsidR="00AE78B1">
        <w:t>the department</w:t>
      </w:r>
      <w:r>
        <w:t xml:space="preserve"> and advise of transport details. If health services courier does not transport Category A specimens, contact </w:t>
      </w:r>
      <w:r w:rsidR="00AE78B1">
        <w:t>the department</w:t>
      </w:r>
      <w:r>
        <w:t xml:space="preserve"> (1300 651 160) and they can arrange the courier </w:t>
      </w:r>
      <w:r w:rsidR="00C84BBD">
        <w:t>in consultation</w:t>
      </w:r>
      <w:r w:rsidR="00A90EF1">
        <w:t xml:space="preserve"> with</w:t>
      </w:r>
      <w:r>
        <w:t xml:space="preserve"> LPHUs. </w:t>
      </w:r>
    </w:p>
    <w:p w14:paraId="4E0CDA53" w14:textId="5D469C2E" w:rsidR="005037D6" w:rsidRPr="005B5D61" w:rsidRDefault="005037D6" w:rsidP="008D292E">
      <w:pPr>
        <w:pStyle w:val="Bullet1"/>
        <w:tabs>
          <w:tab w:val="left" w:pos="567"/>
        </w:tabs>
      </w:pPr>
      <w:r>
        <w:t xml:space="preserve">The </w:t>
      </w:r>
      <w:r w:rsidR="00AE78B1">
        <w:t>department</w:t>
      </w:r>
      <w:r>
        <w:t xml:space="preserve"> officer will n</w:t>
      </w:r>
      <w:r w:rsidRPr="005B5D61">
        <w:t>otify the on-call VIDRL medical microbiologist before dispatch</w:t>
      </w:r>
      <w:r>
        <w:t xml:space="preserve"> </w:t>
      </w:r>
      <w:r w:rsidRPr="00D05A70">
        <w:t xml:space="preserve">of the specimen </w:t>
      </w:r>
      <w:r>
        <w:t>with</w:t>
      </w:r>
      <w:r w:rsidRPr="00D05A70">
        <w:t xml:space="preserve"> </w:t>
      </w:r>
      <w:r w:rsidR="00951256">
        <w:t xml:space="preserve">the </w:t>
      </w:r>
      <w:r w:rsidRPr="00D05A70">
        <w:t>courier or bill number</w:t>
      </w:r>
      <w:r w:rsidR="00951256">
        <w:t>,</w:t>
      </w:r>
      <w:r w:rsidRPr="00D05A70">
        <w:t xml:space="preserve"> as required for transport of a Tier 1 security sensitive biological agen</w:t>
      </w:r>
      <w:r>
        <w:t>t</w:t>
      </w:r>
    </w:p>
    <w:p w14:paraId="5E207911" w14:textId="4AD53038" w:rsidR="005037D6" w:rsidRPr="005B5D61" w:rsidRDefault="005037D6" w:rsidP="008D292E">
      <w:pPr>
        <w:pStyle w:val="Bullet1"/>
        <w:tabs>
          <w:tab w:val="left" w:pos="567"/>
        </w:tabs>
      </w:pPr>
      <w:r>
        <w:t xml:space="preserve">The </w:t>
      </w:r>
      <w:r w:rsidR="00AE78B1">
        <w:t>department</w:t>
      </w:r>
      <w:r>
        <w:t xml:space="preserve"> officer will c</w:t>
      </w:r>
      <w:r w:rsidRPr="005B5D61">
        <w:t>ontact the VIDRL Laboratory Manager</w:t>
      </w:r>
      <w:r w:rsidR="00036D0F">
        <w:t xml:space="preserve"> </w:t>
      </w:r>
      <w:proofErr w:type="gramStart"/>
      <w:r w:rsidR="00036D0F">
        <w:t>on-call</w:t>
      </w:r>
      <w:proofErr w:type="gramEnd"/>
      <w:r w:rsidR="00036D0F">
        <w:t xml:space="preserve"> </w:t>
      </w:r>
      <w:r w:rsidR="000C7BE5">
        <w:t>(</w:t>
      </w:r>
      <w:r w:rsidRPr="005B5D61">
        <w:t>0438 599 439</w:t>
      </w:r>
      <w:r w:rsidR="000C7BE5">
        <w:t>)</w:t>
      </w:r>
      <w:r w:rsidRPr="005B5D61">
        <w:t xml:space="preserve"> to confirm details.</w:t>
      </w:r>
    </w:p>
    <w:p w14:paraId="1ED175FE" w14:textId="6007D727" w:rsidR="005037D6" w:rsidRPr="005B5D61" w:rsidRDefault="005037D6" w:rsidP="008D292E">
      <w:pPr>
        <w:pStyle w:val="Bullet1"/>
        <w:tabs>
          <w:tab w:val="left" w:pos="567"/>
        </w:tabs>
      </w:pPr>
      <w:r w:rsidRPr="005B5D61">
        <w:t xml:space="preserve">Transport directly to </w:t>
      </w:r>
      <w:r>
        <w:t xml:space="preserve">the </w:t>
      </w:r>
      <w:r w:rsidRPr="005B5D61">
        <w:t>Doherty Institute.</w:t>
      </w:r>
      <w:r>
        <w:t xml:space="preserve"> VIDRL staff will meet directly with the courier</w:t>
      </w:r>
      <w:r w:rsidR="00510622">
        <w:t>:</w:t>
      </w:r>
    </w:p>
    <w:p w14:paraId="64A84B91" w14:textId="6495D76F" w:rsidR="005037D6" w:rsidRDefault="005037D6" w:rsidP="008D292E">
      <w:pPr>
        <w:pStyle w:val="Bullet2"/>
        <w:tabs>
          <w:tab w:val="left" w:pos="567"/>
        </w:tabs>
      </w:pPr>
      <w:r>
        <w:t>During business hours</w:t>
      </w:r>
      <w:r w:rsidR="00510622">
        <w:t>, the</w:t>
      </w:r>
      <w:r>
        <w:t xml:space="preserve"> courier is to deliver specimens directly to </w:t>
      </w:r>
      <w:r w:rsidR="00B76002">
        <w:t xml:space="preserve">the </w:t>
      </w:r>
      <w:r>
        <w:t>Doherty Reception (who will call VIDRL).</w:t>
      </w:r>
    </w:p>
    <w:p w14:paraId="2767DFA8" w14:textId="63602FF5" w:rsidR="005037D6" w:rsidRPr="005B5D61" w:rsidRDefault="005037D6" w:rsidP="008D292E">
      <w:pPr>
        <w:pStyle w:val="Bullet2"/>
        <w:tabs>
          <w:tab w:val="left" w:pos="567"/>
        </w:tabs>
      </w:pPr>
      <w:r>
        <w:t xml:space="preserve">After hours, </w:t>
      </w:r>
      <w:r w:rsidR="00510622">
        <w:t xml:space="preserve">the </w:t>
      </w:r>
      <w:r>
        <w:t xml:space="preserve">courier is to call VIDRL Laboratory Manager </w:t>
      </w:r>
      <w:proofErr w:type="gramStart"/>
      <w:r w:rsidR="00510622">
        <w:t>o</w:t>
      </w:r>
      <w:r>
        <w:t>n</w:t>
      </w:r>
      <w:r w:rsidR="00554375">
        <w:t>-</w:t>
      </w:r>
      <w:r w:rsidR="00510622">
        <w:t>c</w:t>
      </w:r>
      <w:r>
        <w:t>all</w:t>
      </w:r>
      <w:proofErr w:type="gramEnd"/>
      <w:r>
        <w:t xml:space="preserve"> </w:t>
      </w:r>
      <w:r w:rsidR="00554375">
        <w:t>(</w:t>
      </w:r>
      <w:r>
        <w:t>0438 599 439</w:t>
      </w:r>
      <w:r w:rsidR="00554375">
        <w:t>)</w:t>
      </w:r>
      <w:r>
        <w:t xml:space="preserve"> who will organise the appropriate personnel to meet them at the Elizabeth Street entrance. </w:t>
      </w:r>
    </w:p>
    <w:p w14:paraId="56FBEBAC" w14:textId="77777777" w:rsidR="005037D6" w:rsidRPr="005B5D61" w:rsidRDefault="005037D6" w:rsidP="008D292E">
      <w:pPr>
        <w:pStyle w:val="Bullet2"/>
        <w:tabs>
          <w:tab w:val="left" w:pos="567"/>
        </w:tabs>
      </w:pPr>
      <w:r>
        <w:t>DO NOT</w:t>
      </w:r>
      <w:r w:rsidRPr="005B5D61">
        <w:t xml:space="preserve"> </w:t>
      </w:r>
      <w:r>
        <w:t>leave specimen/s in VIDRL after hours drop box</w:t>
      </w:r>
      <w:r w:rsidRPr="005B5D61">
        <w:t>.</w:t>
      </w:r>
    </w:p>
    <w:p w14:paraId="198D15CE" w14:textId="77777777" w:rsidR="005037D6" w:rsidRPr="005B5D61" w:rsidRDefault="005037D6" w:rsidP="008D292E">
      <w:pPr>
        <w:pStyle w:val="Bullet2"/>
        <w:tabs>
          <w:tab w:val="left" w:pos="567"/>
        </w:tabs>
      </w:pPr>
      <w:r w:rsidRPr="005B5D61">
        <w:t>Do not leave specimens unattended.</w:t>
      </w:r>
    </w:p>
    <w:p w14:paraId="548A3E07" w14:textId="77777777" w:rsidR="005037D6" w:rsidRPr="005B5D61" w:rsidRDefault="005037D6" w:rsidP="008D292E">
      <w:pPr>
        <w:pStyle w:val="Bullet1"/>
        <w:tabs>
          <w:tab w:val="left" w:pos="567"/>
        </w:tabs>
      </w:pPr>
      <w:r w:rsidRPr="005B5D61">
        <w:t>VIDRL staff will collect and transfer specimens directly to the PC4 laboratory.</w:t>
      </w:r>
      <w:r>
        <w:t xml:space="preserve"> </w:t>
      </w:r>
    </w:p>
    <w:p w14:paraId="303E0D0D" w14:textId="6ACB146D" w:rsidR="005037D6" w:rsidRPr="00EA6D25" w:rsidRDefault="005037D6" w:rsidP="008D292E">
      <w:pPr>
        <w:pStyle w:val="Bodyafterbullets"/>
        <w:tabs>
          <w:tab w:val="left" w:pos="567"/>
        </w:tabs>
      </w:pPr>
      <w:r w:rsidRPr="00EA6D25">
        <w:t>Refer to the following key documents for more information on recommendation</w:t>
      </w:r>
      <w:r>
        <w:t>s</w:t>
      </w:r>
      <w:r w:rsidRPr="00EA6D25">
        <w:t xml:space="preserve"> </w:t>
      </w:r>
      <w:r w:rsidR="00951256">
        <w:t>for</w:t>
      </w:r>
      <w:r w:rsidRPr="00EA6D25">
        <w:t xml:space="preserve"> specimen collection</w:t>
      </w:r>
      <w:r>
        <w:t>:</w:t>
      </w:r>
      <w:r w:rsidRPr="00EA6D25">
        <w:t xml:space="preserve"> </w:t>
      </w:r>
    </w:p>
    <w:p w14:paraId="57878928" w14:textId="01B39921" w:rsidR="005037D6" w:rsidRPr="00EA6D25" w:rsidRDefault="005037D6" w:rsidP="008D292E">
      <w:pPr>
        <w:pStyle w:val="Bullet1"/>
        <w:numPr>
          <w:ilvl w:val="0"/>
          <w:numId w:val="78"/>
        </w:numPr>
        <w:tabs>
          <w:tab w:val="left" w:pos="567"/>
        </w:tabs>
        <w:rPr>
          <w:u w:val="dotted"/>
        </w:rPr>
      </w:pPr>
      <w:hyperlink r:id="rId83" w:history="1">
        <w:r w:rsidRPr="00EA6D25">
          <w:rPr>
            <w:rStyle w:val="Hyperlink"/>
          </w:rPr>
          <w:t>PHLN national high security quarantine laboratory guideline for management of quarantinable viral haemorrhagic fevers</w:t>
        </w:r>
      </w:hyperlink>
      <w:r w:rsidR="00951256">
        <w:t xml:space="preserve"> &lt;</w:t>
      </w:r>
      <w:r w:rsidR="00951256" w:rsidRPr="00951256">
        <w:t>https://www.health.gov.au/resources/publications/phln-national-high-security-quarantine-laboratory-guideline-for-management-of-quarantinable-viral-haemorrhagic-fevers?utm_source=health.gov.au&amp;utm_medium=callout-auto-custom&amp;utm_campaign=digital_transformation</w:t>
      </w:r>
      <w:r w:rsidR="00951256">
        <w:t>&gt;</w:t>
      </w:r>
    </w:p>
    <w:p w14:paraId="05A5B0C8" w14:textId="4AFB00A3" w:rsidR="005037D6" w:rsidRPr="00EA6D25" w:rsidRDefault="00951256" w:rsidP="008D292E">
      <w:pPr>
        <w:pStyle w:val="Bullet1"/>
        <w:numPr>
          <w:ilvl w:val="0"/>
          <w:numId w:val="78"/>
        </w:numPr>
        <w:tabs>
          <w:tab w:val="left" w:pos="567"/>
        </w:tabs>
      </w:pPr>
      <w:hyperlink r:id="rId84" w:history="1">
        <w:r>
          <w:rPr>
            <w:rStyle w:val="Hyperlink"/>
          </w:rPr>
          <w:t>PHLN l</w:t>
        </w:r>
        <w:r w:rsidR="005037D6" w:rsidRPr="00EA6D25">
          <w:rPr>
            <w:rStyle w:val="Hyperlink"/>
          </w:rPr>
          <w:t xml:space="preserve">aboratory </w:t>
        </w:r>
        <w:r>
          <w:rPr>
            <w:rStyle w:val="Hyperlink"/>
          </w:rPr>
          <w:t>p</w:t>
        </w:r>
        <w:r w:rsidR="005037D6" w:rsidRPr="00EA6D25">
          <w:rPr>
            <w:rStyle w:val="Hyperlink"/>
          </w:rPr>
          <w:t xml:space="preserve">rocedures and </w:t>
        </w:r>
        <w:r>
          <w:rPr>
            <w:rStyle w:val="Hyperlink"/>
          </w:rPr>
          <w:t>p</w:t>
        </w:r>
        <w:r w:rsidR="005037D6" w:rsidRPr="00EA6D25">
          <w:rPr>
            <w:rStyle w:val="Hyperlink"/>
          </w:rPr>
          <w:t xml:space="preserve">recautions for </w:t>
        </w:r>
        <w:r>
          <w:rPr>
            <w:rStyle w:val="Hyperlink"/>
          </w:rPr>
          <w:t>s</w:t>
        </w:r>
        <w:r w:rsidR="005037D6" w:rsidRPr="00EA6D25">
          <w:rPr>
            <w:rStyle w:val="Hyperlink"/>
          </w:rPr>
          <w:t xml:space="preserve">amples </w:t>
        </w:r>
        <w:r>
          <w:rPr>
            <w:rStyle w:val="Hyperlink"/>
          </w:rPr>
          <w:t>c</w:t>
        </w:r>
        <w:r w:rsidR="005037D6" w:rsidRPr="00EA6D25">
          <w:rPr>
            <w:rStyle w:val="Hyperlink"/>
          </w:rPr>
          <w:t xml:space="preserve">ollected from </w:t>
        </w:r>
        <w:r>
          <w:rPr>
            <w:rStyle w:val="Hyperlink"/>
          </w:rPr>
          <w:t>p</w:t>
        </w:r>
        <w:r w:rsidR="005037D6" w:rsidRPr="00EA6D25">
          <w:rPr>
            <w:rStyle w:val="Hyperlink"/>
          </w:rPr>
          <w:t xml:space="preserve">atients with </w:t>
        </w:r>
        <w:r>
          <w:rPr>
            <w:rStyle w:val="Hyperlink"/>
          </w:rPr>
          <w:t>v</w:t>
        </w:r>
        <w:r w:rsidR="005037D6" w:rsidRPr="00EA6D25">
          <w:rPr>
            <w:rStyle w:val="Hyperlink"/>
          </w:rPr>
          <w:t xml:space="preserve">iral </w:t>
        </w:r>
        <w:r>
          <w:rPr>
            <w:rStyle w:val="Hyperlink"/>
          </w:rPr>
          <w:t>h</w:t>
        </w:r>
        <w:r w:rsidR="005037D6" w:rsidRPr="00EA6D25">
          <w:rPr>
            <w:rStyle w:val="Hyperlink"/>
          </w:rPr>
          <w:t xml:space="preserve">aemorrhagic </w:t>
        </w:r>
        <w:r>
          <w:rPr>
            <w:rStyle w:val="Hyperlink"/>
          </w:rPr>
          <w:t>f</w:t>
        </w:r>
        <w:r w:rsidR="005037D6" w:rsidRPr="00EA6D25">
          <w:rPr>
            <w:rStyle w:val="Hyperlink"/>
          </w:rPr>
          <w:t>evers: Part A</w:t>
        </w:r>
        <w:r>
          <w:rPr>
            <w:rStyle w:val="Hyperlink"/>
          </w:rPr>
          <w:t>:</w:t>
        </w:r>
        <w:r w:rsidR="005037D6" w:rsidRPr="00EA6D25">
          <w:rPr>
            <w:rStyle w:val="Hyperlink"/>
          </w:rPr>
          <w:t xml:space="preserve"> Guidelines for laboratories that are not associated with a designated isolation hospital</w:t>
        </w:r>
      </w:hyperlink>
      <w:r>
        <w:t xml:space="preserve"> &lt;</w:t>
      </w:r>
      <w:r w:rsidRPr="00951256">
        <w:t>https://www.health.gov.au/resources/publications/phln-laboratory-procedures-and-precautions-for-samples-collected-from-patients-with-viral-haemorrhagic-fevers?utm_source=health.gov.au&amp;utm_medium=callout-auto-custom&amp;utm_campaign=digital_transformation</w:t>
      </w:r>
      <w:r>
        <w:t>&gt;</w:t>
      </w:r>
    </w:p>
    <w:p w14:paraId="54DDAAF9" w14:textId="3B307E04" w:rsidR="005037D6" w:rsidRPr="00E004E6" w:rsidRDefault="00951256" w:rsidP="008D292E">
      <w:pPr>
        <w:pStyle w:val="Bullet1"/>
        <w:numPr>
          <w:ilvl w:val="0"/>
          <w:numId w:val="78"/>
        </w:numPr>
        <w:tabs>
          <w:tab w:val="left" w:pos="567"/>
        </w:tabs>
        <w:sectPr w:rsidR="005037D6" w:rsidRPr="00E004E6" w:rsidSect="005037D6">
          <w:headerReference w:type="default" r:id="rId85"/>
          <w:headerReference w:type="first" r:id="rId86"/>
          <w:pgSz w:w="11906" w:h="16838" w:code="9"/>
          <w:pgMar w:top="1418" w:right="1304" w:bottom="1134" w:left="1304" w:header="680" w:footer="509" w:gutter="0"/>
          <w:cols w:space="340"/>
          <w:titlePg/>
          <w:docGrid w:linePitch="360"/>
        </w:sectPr>
      </w:pPr>
      <w:hyperlink r:id="rId87" w:history="1">
        <w:r>
          <w:rPr>
            <w:rStyle w:val="Hyperlink"/>
          </w:rPr>
          <w:t>PHLN l</w:t>
        </w:r>
        <w:r w:rsidR="005037D6" w:rsidRPr="00EA6D25">
          <w:rPr>
            <w:rStyle w:val="Hyperlink"/>
          </w:rPr>
          <w:t xml:space="preserve">aboratory </w:t>
        </w:r>
        <w:r w:rsidRPr="00EA6D25">
          <w:rPr>
            <w:rStyle w:val="Hyperlink"/>
          </w:rPr>
          <w:t>procedures and precautions for samples collected from patients with viral haemorrhagic f</w:t>
        </w:r>
        <w:r w:rsidR="005037D6" w:rsidRPr="00EA6D25">
          <w:rPr>
            <w:rStyle w:val="Hyperlink"/>
          </w:rPr>
          <w:t>evers: Part B</w:t>
        </w:r>
        <w:r w:rsidR="00F718C9">
          <w:rPr>
            <w:rStyle w:val="Hyperlink"/>
          </w:rPr>
          <w:t>:</w:t>
        </w:r>
        <w:r w:rsidR="005037D6" w:rsidRPr="00EA6D25">
          <w:rPr>
            <w:rStyle w:val="Hyperlink"/>
          </w:rPr>
          <w:t xml:space="preserve"> Guidelines for laboratories that are associated with a designated isolation hospital</w:t>
        </w:r>
      </w:hyperlink>
      <w:r w:rsidR="00F718C9">
        <w:t xml:space="preserve"> &lt;</w:t>
      </w:r>
      <w:r w:rsidR="00F718C9" w:rsidRPr="00F718C9">
        <w:t>https://www.health.gov.au/resources/publications/phln-laboratory-procedures-and-precautions-for-samples-collected-from-patients-with-viral-haemorrhagic-fevers?utm_source=health.gov.au&amp;utm_medium=callout-auto-custom&amp;utm_campaign=digital_transformation</w:t>
      </w:r>
    </w:p>
    <w:p w14:paraId="56F4E6D3" w14:textId="618EF8EF" w:rsidR="005037D6" w:rsidRDefault="005037D6" w:rsidP="008D292E">
      <w:pPr>
        <w:pStyle w:val="Body"/>
        <w:tabs>
          <w:tab w:val="left" w:pos="567"/>
        </w:tabs>
        <w:sectPr w:rsidR="005037D6" w:rsidSect="005037D6">
          <w:headerReference w:type="default" r:id="rId88"/>
          <w:headerReference w:type="first" r:id="rId89"/>
          <w:pgSz w:w="11906" w:h="16838" w:code="9"/>
          <w:pgMar w:top="1418" w:right="1304" w:bottom="1134" w:left="1304" w:header="680" w:footer="509" w:gutter="0"/>
          <w:cols w:space="340"/>
          <w:titlePg/>
          <w:docGrid w:linePitch="360"/>
        </w:sectPr>
      </w:pPr>
      <w:bookmarkStart w:id="80" w:name="_Appendix_6:_Chain"/>
      <w:bookmarkEnd w:id="80"/>
    </w:p>
    <w:p w14:paraId="0C481ABA" w14:textId="1912DA23" w:rsidR="005037D6" w:rsidRPr="00C151AB" w:rsidRDefault="005037D6" w:rsidP="008D292E">
      <w:pPr>
        <w:pStyle w:val="Heading1"/>
        <w:tabs>
          <w:tab w:val="left" w:pos="567"/>
        </w:tabs>
      </w:pPr>
      <w:bookmarkStart w:id="81" w:name="_Appendix_7:_Donning"/>
      <w:bookmarkStart w:id="82" w:name="_Toc217022565"/>
      <w:bookmarkEnd w:id="81"/>
      <w:r w:rsidRPr="00C151AB">
        <w:lastRenderedPageBreak/>
        <w:t xml:space="preserve">Appendix </w:t>
      </w:r>
      <w:r w:rsidR="000646F4">
        <w:t>6</w:t>
      </w:r>
      <w:r w:rsidRPr="00C151AB">
        <w:t>: Donning Level 1 (Dry) PPE</w:t>
      </w:r>
      <w:bookmarkEnd w:id="82"/>
    </w:p>
    <w:p w14:paraId="43725A48" w14:textId="62CD5472" w:rsidR="005037D6" w:rsidRPr="003E44C9" w:rsidRDefault="005037D6" w:rsidP="008D292E">
      <w:pPr>
        <w:pStyle w:val="Body"/>
        <w:tabs>
          <w:tab w:val="left" w:pos="567"/>
        </w:tabs>
      </w:pPr>
      <w:r>
        <w:t>The buddy should help step the HCW through the agreed sequence for putting on PPE</w:t>
      </w:r>
      <w:r w:rsidR="00C66320">
        <w:t>:</w:t>
      </w:r>
    </w:p>
    <w:p w14:paraId="14FE62D0" w14:textId="257AB5D0" w:rsidR="005037D6" w:rsidRDefault="005037D6" w:rsidP="008D292E">
      <w:pPr>
        <w:pStyle w:val="Numberdigit"/>
        <w:numPr>
          <w:ilvl w:val="0"/>
          <w:numId w:val="60"/>
        </w:numPr>
        <w:tabs>
          <w:tab w:val="left" w:pos="567"/>
        </w:tabs>
        <w:ind w:left="357" w:hanging="357"/>
      </w:pPr>
      <w:r>
        <w:t>Remove all personal items, such as jewellery, wrist watches and staff ID. Ensure hair is tied or pinned back</w:t>
      </w:r>
      <w:r w:rsidR="00F718C9">
        <w:t>,</w:t>
      </w:r>
      <w:r>
        <w:t xml:space="preserve"> and prescription glasses are secured.</w:t>
      </w:r>
    </w:p>
    <w:p w14:paraId="7E217331" w14:textId="77777777" w:rsidR="005037D6" w:rsidRDefault="005037D6" w:rsidP="008D292E">
      <w:pPr>
        <w:pStyle w:val="Numberdigit"/>
        <w:numPr>
          <w:ilvl w:val="0"/>
          <w:numId w:val="60"/>
        </w:numPr>
        <w:tabs>
          <w:tab w:val="left" w:pos="567"/>
        </w:tabs>
        <w:ind w:left="357" w:hanging="357"/>
      </w:pPr>
      <w:r>
        <w:t>Visually inspect PPE to check for integrity.</w:t>
      </w:r>
    </w:p>
    <w:p w14:paraId="644D1064" w14:textId="77777777" w:rsidR="005037D6" w:rsidRDefault="005037D6" w:rsidP="008D292E">
      <w:pPr>
        <w:pStyle w:val="Numberdigit"/>
        <w:numPr>
          <w:ilvl w:val="0"/>
          <w:numId w:val="60"/>
        </w:numPr>
        <w:tabs>
          <w:tab w:val="left" w:pos="567"/>
        </w:tabs>
        <w:ind w:left="357" w:hanging="357"/>
      </w:pPr>
      <w:r>
        <w:t>Perform hand hygiene.</w:t>
      </w:r>
    </w:p>
    <w:p w14:paraId="7B7AB440" w14:textId="20B22ECC" w:rsidR="005037D6" w:rsidRDefault="005037D6" w:rsidP="008D292E">
      <w:pPr>
        <w:pStyle w:val="Numberdigit"/>
        <w:numPr>
          <w:ilvl w:val="0"/>
          <w:numId w:val="60"/>
        </w:numPr>
        <w:tabs>
          <w:tab w:val="left" w:pos="567"/>
        </w:tabs>
        <w:ind w:left="357" w:hanging="357"/>
      </w:pPr>
      <w:r>
        <w:t>Put on</w:t>
      </w:r>
      <w:r w:rsidR="00B84777">
        <w:t xml:space="preserve"> the</w:t>
      </w:r>
      <w:r>
        <w:t xml:space="preserve"> first pair of gloves.</w:t>
      </w:r>
    </w:p>
    <w:p w14:paraId="2D61F8FB" w14:textId="77777777" w:rsidR="005037D6" w:rsidRDefault="005037D6" w:rsidP="008D292E">
      <w:pPr>
        <w:pStyle w:val="Numberdigit"/>
        <w:numPr>
          <w:ilvl w:val="0"/>
          <w:numId w:val="60"/>
        </w:numPr>
        <w:tabs>
          <w:tab w:val="left" w:pos="567"/>
        </w:tabs>
        <w:ind w:left="357" w:hanging="357"/>
      </w:pPr>
      <w:r>
        <w:t>Put on a long-sleeved gown and secure at the neck and waist.</w:t>
      </w:r>
    </w:p>
    <w:p w14:paraId="2299873B" w14:textId="77777777" w:rsidR="005037D6" w:rsidRDefault="005037D6" w:rsidP="008D292E">
      <w:pPr>
        <w:pStyle w:val="Numberdigit"/>
        <w:numPr>
          <w:ilvl w:val="0"/>
          <w:numId w:val="60"/>
        </w:numPr>
        <w:tabs>
          <w:tab w:val="left" w:pos="567"/>
        </w:tabs>
        <w:ind w:left="357" w:hanging="357"/>
      </w:pPr>
      <w:r>
        <w:t>Put on P2/N95 respirator (follow the manufacturer's instructions to perform a fit check).</w:t>
      </w:r>
    </w:p>
    <w:p w14:paraId="76E5B84C" w14:textId="77777777" w:rsidR="005037D6" w:rsidRDefault="005037D6" w:rsidP="008D292E">
      <w:pPr>
        <w:pStyle w:val="Numberdigit"/>
        <w:numPr>
          <w:ilvl w:val="0"/>
          <w:numId w:val="60"/>
        </w:numPr>
        <w:tabs>
          <w:tab w:val="left" w:pos="567"/>
        </w:tabs>
        <w:ind w:left="357" w:hanging="357"/>
      </w:pPr>
      <w:r>
        <w:t>Put on full-face shield or goggles.</w:t>
      </w:r>
    </w:p>
    <w:p w14:paraId="65DC41F4" w14:textId="77777777" w:rsidR="005037D6" w:rsidRDefault="005037D6" w:rsidP="008D292E">
      <w:pPr>
        <w:pStyle w:val="Numberdigit"/>
        <w:numPr>
          <w:ilvl w:val="0"/>
          <w:numId w:val="60"/>
        </w:numPr>
        <w:tabs>
          <w:tab w:val="left" w:pos="567"/>
        </w:tabs>
        <w:ind w:left="357" w:hanging="357"/>
      </w:pPr>
      <w:r>
        <w:t>Put on second pair of gloves, ensuring the extended cuffs are pulled over the cuffs of the long-sleeved gown.</w:t>
      </w:r>
    </w:p>
    <w:p w14:paraId="4DDB21B4" w14:textId="77777777" w:rsidR="005037D6" w:rsidRDefault="005037D6" w:rsidP="008D292E">
      <w:pPr>
        <w:pStyle w:val="Numberdigit"/>
        <w:numPr>
          <w:ilvl w:val="0"/>
          <w:numId w:val="60"/>
        </w:numPr>
        <w:tabs>
          <w:tab w:val="left" w:pos="567"/>
        </w:tabs>
        <w:ind w:left="357" w:hanging="357"/>
      </w:pPr>
      <w:r>
        <w:t>Visually inspect that all PPE is on correctly and covers all mucous membranes.</w:t>
      </w:r>
    </w:p>
    <w:p w14:paraId="6AA8DE17" w14:textId="77777777" w:rsidR="005037D6" w:rsidRDefault="005037D6" w:rsidP="008D292E">
      <w:pPr>
        <w:pStyle w:val="Body"/>
        <w:tabs>
          <w:tab w:val="left" w:pos="567"/>
        </w:tabs>
      </w:pPr>
    </w:p>
    <w:p w14:paraId="6B5D012E" w14:textId="77777777" w:rsidR="005037D6" w:rsidRDefault="005037D6" w:rsidP="008D292E">
      <w:pPr>
        <w:pStyle w:val="Numberdigit"/>
        <w:numPr>
          <w:ilvl w:val="0"/>
          <w:numId w:val="0"/>
        </w:numPr>
        <w:tabs>
          <w:tab w:val="left" w:pos="567"/>
        </w:tabs>
        <w:ind w:left="397" w:hanging="397"/>
        <w:sectPr w:rsidR="005037D6" w:rsidSect="005037D6">
          <w:headerReference w:type="default" r:id="rId90"/>
          <w:headerReference w:type="first" r:id="rId91"/>
          <w:pgSz w:w="11906" w:h="16838" w:code="9"/>
          <w:pgMar w:top="1418" w:right="1304" w:bottom="1134" w:left="1304" w:header="680" w:footer="509" w:gutter="0"/>
          <w:cols w:space="340"/>
          <w:titlePg/>
          <w:docGrid w:linePitch="360"/>
        </w:sectPr>
      </w:pPr>
    </w:p>
    <w:p w14:paraId="6A031FF8" w14:textId="5E82F819" w:rsidR="005037D6" w:rsidRPr="00C151AB" w:rsidRDefault="005037D6" w:rsidP="008D292E">
      <w:pPr>
        <w:pStyle w:val="Heading1"/>
        <w:tabs>
          <w:tab w:val="left" w:pos="567"/>
        </w:tabs>
      </w:pPr>
      <w:bookmarkStart w:id="83" w:name="_Appendix_8:_Doffing"/>
      <w:bookmarkStart w:id="84" w:name="_Toc217022566"/>
      <w:bookmarkEnd w:id="83"/>
      <w:r w:rsidRPr="00C151AB">
        <w:lastRenderedPageBreak/>
        <w:t xml:space="preserve">Appendix </w:t>
      </w:r>
      <w:r w:rsidR="000646F4">
        <w:t>7</w:t>
      </w:r>
      <w:r w:rsidRPr="00C151AB">
        <w:t>: Doffing Level 1 (Dry) PPE</w:t>
      </w:r>
      <w:bookmarkEnd w:id="84"/>
    </w:p>
    <w:p w14:paraId="14EE5A6B" w14:textId="1FF21BE0" w:rsidR="005037D6" w:rsidRDefault="005037D6" w:rsidP="008D292E">
      <w:pPr>
        <w:pStyle w:val="Body"/>
        <w:tabs>
          <w:tab w:val="left" w:pos="567"/>
        </w:tabs>
      </w:pPr>
      <w:r>
        <w:t xml:space="preserve">This is one recommended sequence for doffing </w:t>
      </w:r>
      <w:r w:rsidRPr="00C151AB">
        <w:t>Level 1 (Dry) PPE</w:t>
      </w:r>
      <w:r>
        <w:t xml:space="preserve">. Other sequences may be used by a health care service </w:t>
      </w:r>
      <w:r w:rsidR="00F718C9">
        <w:t>(</w:t>
      </w:r>
      <w:r>
        <w:t>for example, removing the gown and outer gloves in one motion</w:t>
      </w:r>
      <w:r w:rsidR="00F718C9">
        <w:t>)</w:t>
      </w:r>
      <w:r>
        <w:t>. If a different sequence is used, staff must be adequately trained and be confident with the doffing sequence.</w:t>
      </w:r>
    </w:p>
    <w:p w14:paraId="170F6EE0" w14:textId="1C927574" w:rsidR="005037D6" w:rsidRPr="003E44C9" w:rsidRDefault="005037D6" w:rsidP="008D292E">
      <w:pPr>
        <w:pStyle w:val="Body"/>
        <w:tabs>
          <w:tab w:val="left" w:pos="567"/>
        </w:tabs>
      </w:pPr>
      <w:r>
        <w:t>The buddy should open the lid of the clinical waste bin for the HCW prior to them taking their PPE off</w:t>
      </w:r>
      <w:r w:rsidR="00F718C9">
        <w:t>,</w:t>
      </w:r>
      <w:r>
        <w:t xml:space="preserve"> and help step them through the agreed sequence for removal</w:t>
      </w:r>
      <w:r w:rsidR="00C66320">
        <w:t>:</w:t>
      </w:r>
    </w:p>
    <w:p w14:paraId="6ABDCAFC" w14:textId="77777777" w:rsidR="005037D6" w:rsidRDefault="005037D6" w:rsidP="008D292E">
      <w:pPr>
        <w:pStyle w:val="Numberdigit"/>
        <w:numPr>
          <w:ilvl w:val="0"/>
          <w:numId w:val="41"/>
        </w:numPr>
        <w:tabs>
          <w:tab w:val="left" w:pos="567"/>
        </w:tabs>
      </w:pPr>
      <w:r>
        <w:t>Visually inspect PPE before leaving the room to check integrity of all items.</w:t>
      </w:r>
    </w:p>
    <w:p w14:paraId="0E211CC3" w14:textId="77777777" w:rsidR="005037D6" w:rsidRDefault="005037D6" w:rsidP="008D292E">
      <w:pPr>
        <w:pStyle w:val="Numberdigit"/>
        <w:numPr>
          <w:ilvl w:val="0"/>
          <w:numId w:val="3"/>
        </w:numPr>
        <w:tabs>
          <w:tab w:val="left" w:pos="567"/>
        </w:tabs>
      </w:pPr>
      <w:r>
        <w:t>Leave the room and move to the designated PPE doffing area.</w:t>
      </w:r>
    </w:p>
    <w:p w14:paraId="275917F1" w14:textId="004F3FF8" w:rsidR="005037D6" w:rsidRPr="007B4F33" w:rsidRDefault="00F718C9" w:rsidP="008D292E">
      <w:pPr>
        <w:pStyle w:val="Numberdigit"/>
        <w:numPr>
          <w:ilvl w:val="0"/>
          <w:numId w:val="3"/>
        </w:numPr>
        <w:tabs>
          <w:tab w:val="left" w:pos="567"/>
        </w:tabs>
      </w:pPr>
      <w:r>
        <w:t>The b</w:t>
      </w:r>
      <w:r w:rsidR="005037D6" w:rsidRPr="007B4F33">
        <w:t xml:space="preserve">uddy </w:t>
      </w:r>
      <w:r w:rsidR="00B7302B">
        <w:t xml:space="preserve">is </w:t>
      </w:r>
      <w:r w:rsidR="005037D6" w:rsidRPr="007B4F33">
        <w:t>to check for contamination.</w:t>
      </w:r>
    </w:p>
    <w:p w14:paraId="1FF84DBF" w14:textId="7B55BD45" w:rsidR="005037D6" w:rsidRDefault="005037D6" w:rsidP="008D292E">
      <w:pPr>
        <w:pStyle w:val="Numberdigit"/>
        <w:numPr>
          <w:ilvl w:val="0"/>
          <w:numId w:val="3"/>
        </w:numPr>
        <w:tabs>
          <w:tab w:val="left" w:pos="567"/>
        </w:tabs>
      </w:pPr>
      <w:r>
        <w:t>Remove outer gloves</w:t>
      </w:r>
      <w:r w:rsidR="00B7302B">
        <w:t xml:space="preserve"> –</w:t>
      </w:r>
      <w:r>
        <w:t xml:space="preserve"> peel glove from cuff down over fingers</w:t>
      </w:r>
      <w:r w:rsidR="00F718C9">
        <w:t>,</w:t>
      </w:r>
      <w:r>
        <w:t xml:space="preserve"> so that </w:t>
      </w:r>
      <w:r w:rsidR="00F718C9">
        <w:t xml:space="preserve">the </w:t>
      </w:r>
      <w:r>
        <w:t xml:space="preserve">glove is inside out, and discard </w:t>
      </w:r>
      <w:r w:rsidR="00F718C9">
        <w:t xml:space="preserve">the </w:t>
      </w:r>
      <w:r>
        <w:t xml:space="preserve">glove into </w:t>
      </w:r>
      <w:r w:rsidR="00F718C9">
        <w:t xml:space="preserve">the </w:t>
      </w:r>
      <w:r>
        <w:t>clinical waste bin.</w:t>
      </w:r>
    </w:p>
    <w:p w14:paraId="13CB6005" w14:textId="0E2864B5" w:rsidR="005037D6" w:rsidRDefault="005037D6" w:rsidP="008D292E">
      <w:pPr>
        <w:pStyle w:val="Numberdigit"/>
        <w:numPr>
          <w:ilvl w:val="0"/>
          <w:numId w:val="3"/>
        </w:numPr>
        <w:tabs>
          <w:tab w:val="left" w:pos="567"/>
        </w:tabs>
      </w:pPr>
      <w:r>
        <w:t xml:space="preserve">Remove </w:t>
      </w:r>
      <w:r w:rsidR="00F718C9">
        <w:t xml:space="preserve">the </w:t>
      </w:r>
      <w:r>
        <w:t>long-sleeved gown</w:t>
      </w:r>
      <w:r w:rsidR="00F718C9">
        <w:t xml:space="preserve"> –</w:t>
      </w:r>
      <w:r>
        <w:t xml:space="preserve"> undo the wa</w:t>
      </w:r>
      <w:r w:rsidR="00F718C9">
        <w:t>i</w:t>
      </w:r>
      <w:r>
        <w:t xml:space="preserve">st ties before the neck </w:t>
      </w:r>
      <w:proofErr w:type="gramStart"/>
      <w:r>
        <w:t>ties</w:t>
      </w:r>
      <w:r w:rsidR="00F718C9">
        <w:t>,</w:t>
      </w:r>
      <w:r>
        <w:t xml:space="preserve"> and</w:t>
      </w:r>
      <w:proofErr w:type="gramEnd"/>
      <w:r>
        <w:t xml:space="preserve"> roll gown into a ball and discard into the bin.</w:t>
      </w:r>
    </w:p>
    <w:p w14:paraId="7C2F6C2A"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42558AFB" w14:textId="38A1100C" w:rsidR="005037D6" w:rsidRDefault="005037D6" w:rsidP="008D292E">
      <w:pPr>
        <w:pStyle w:val="Numberdigit"/>
        <w:numPr>
          <w:ilvl w:val="0"/>
          <w:numId w:val="3"/>
        </w:numPr>
        <w:tabs>
          <w:tab w:val="left" w:pos="567"/>
        </w:tabs>
      </w:pPr>
      <w:r>
        <w:t xml:space="preserve">Remove </w:t>
      </w:r>
      <w:r w:rsidR="00F718C9">
        <w:t xml:space="preserve">the </w:t>
      </w:r>
      <w:r>
        <w:t>face shield and discard into the bin.</w:t>
      </w:r>
    </w:p>
    <w:p w14:paraId="66C1A59C"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2DFB3720" w14:textId="48888545" w:rsidR="005037D6" w:rsidRDefault="005037D6" w:rsidP="008D292E">
      <w:pPr>
        <w:pStyle w:val="Numberdigit"/>
        <w:numPr>
          <w:ilvl w:val="0"/>
          <w:numId w:val="3"/>
        </w:numPr>
        <w:tabs>
          <w:tab w:val="left" w:pos="567"/>
        </w:tabs>
      </w:pPr>
      <w:r>
        <w:t xml:space="preserve">Remove </w:t>
      </w:r>
      <w:r w:rsidR="00F718C9">
        <w:t xml:space="preserve">the </w:t>
      </w:r>
      <w:r>
        <w:t>P2/N95 respirator and discard into the bin.</w:t>
      </w:r>
    </w:p>
    <w:p w14:paraId="197E9E38" w14:textId="3EAC2CB3" w:rsidR="005037D6" w:rsidRDefault="005037D6" w:rsidP="008D292E">
      <w:pPr>
        <w:pStyle w:val="Numberdigit"/>
        <w:numPr>
          <w:ilvl w:val="0"/>
          <w:numId w:val="3"/>
        </w:numPr>
        <w:tabs>
          <w:tab w:val="left" w:pos="567"/>
        </w:tabs>
      </w:pPr>
      <w:r>
        <w:t>Remove inner gloves</w:t>
      </w:r>
      <w:r w:rsidR="00F718C9">
        <w:t xml:space="preserve"> –</w:t>
      </w:r>
      <w:r>
        <w:t xml:space="preserve"> peel glove from cuff down over fingers</w:t>
      </w:r>
      <w:r w:rsidR="00F718C9">
        <w:t>,</w:t>
      </w:r>
      <w:r>
        <w:t xml:space="preserve"> so that </w:t>
      </w:r>
      <w:r w:rsidR="00B7302B">
        <w:t xml:space="preserve">the </w:t>
      </w:r>
      <w:r>
        <w:t>glove is inside out, and discard into the bin.</w:t>
      </w:r>
    </w:p>
    <w:p w14:paraId="29888AC9" w14:textId="77777777" w:rsidR="005037D6" w:rsidRDefault="005037D6" w:rsidP="008D292E">
      <w:pPr>
        <w:pStyle w:val="Numberdigit"/>
        <w:numPr>
          <w:ilvl w:val="0"/>
          <w:numId w:val="3"/>
        </w:numPr>
        <w:tabs>
          <w:tab w:val="left" w:pos="567"/>
        </w:tabs>
      </w:pPr>
      <w:r>
        <w:t>Perform hand hygiene.</w:t>
      </w:r>
    </w:p>
    <w:p w14:paraId="7640FC96" w14:textId="49A09B3A" w:rsidR="005037D6" w:rsidRDefault="005037D6" w:rsidP="008D292E">
      <w:pPr>
        <w:pStyle w:val="Numberdigit"/>
        <w:numPr>
          <w:ilvl w:val="0"/>
          <w:numId w:val="3"/>
        </w:numPr>
        <w:tabs>
          <w:tab w:val="left" w:pos="567"/>
        </w:tabs>
      </w:pPr>
      <w:r>
        <w:t>Visually inspect scrubs</w:t>
      </w:r>
      <w:r w:rsidR="00F718C9">
        <w:t xml:space="preserve"> and</w:t>
      </w:r>
      <w:r>
        <w:t>:</w:t>
      </w:r>
    </w:p>
    <w:p w14:paraId="3626EFD8" w14:textId="020F1B38" w:rsidR="005037D6" w:rsidRDefault="00510622" w:rsidP="008D292E">
      <w:pPr>
        <w:pStyle w:val="Bullet2"/>
        <w:tabs>
          <w:tab w:val="left" w:pos="567"/>
          <w:tab w:val="num" w:pos="794"/>
        </w:tabs>
        <w:ind w:left="794" w:hanging="397"/>
      </w:pPr>
      <w:r>
        <w:t>i</w:t>
      </w:r>
      <w:r w:rsidR="005037D6">
        <w:t>f contaminated, remove and discard into the clinical waste bin</w:t>
      </w:r>
    </w:p>
    <w:p w14:paraId="0ECBF3EF" w14:textId="2CD1AB87" w:rsidR="005037D6" w:rsidRDefault="00F718C9" w:rsidP="008D292E">
      <w:pPr>
        <w:pStyle w:val="Bullet2"/>
        <w:tabs>
          <w:tab w:val="left" w:pos="567"/>
          <w:tab w:val="num" w:pos="794"/>
        </w:tabs>
        <w:ind w:left="794" w:hanging="397"/>
      </w:pPr>
      <w:r>
        <w:t>i</w:t>
      </w:r>
      <w:r w:rsidR="005037D6">
        <w:t>f not contaminated, discard them as non-infectious used linen</w:t>
      </w:r>
      <w:r>
        <w:t>,</w:t>
      </w:r>
      <w:r w:rsidR="005037D6">
        <w:t xml:space="preserve"> after taking them off in an uncontaminated zone.</w:t>
      </w:r>
    </w:p>
    <w:p w14:paraId="2D82B304" w14:textId="77777777" w:rsidR="005037D6" w:rsidRPr="00411616" w:rsidRDefault="005037D6" w:rsidP="008D292E">
      <w:pPr>
        <w:pStyle w:val="Bodyafterbullets"/>
        <w:tabs>
          <w:tab w:val="left" w:pos="567"/>
        </w:tabs>
      </w:pPr>
      <w:r w:rsidRPr="00411616">
        <w:t>If prescription glasses are worn:</w:t>
      </w:r>
    </w:p>
    <w:p w14:paraId="0A1A6CE2" w14:textId="16CCC279" w:rsidR="005037D6" w:rsidRDefault="005037D6" w:rsidP="008D292E">
      <w:pPr>
        <w:pStyle w:val="Numberdigit"/>
        <w:numPr>
          <w:ilvl w:val="0"/>
          <w:numId w:val="3"/>
        </w:numPr>
        <w:tabs>
          <w:tab w:val="left" w:pos="567"/>
        </w:tabs>
      </w:pPr>
      <w:r>
        <w:t xml:space="preserve">Put on </w:t>
      </w:r>
      <w:r w:rsidR="00F718C9">
        <w:t xml:space="preserve">a </w:t>
      </w:r>
      <w:r>
        <w:t>new pair of gloves.</w:t>
      </w:r>
    </w:p>
    <w:p w14:paraId="32CFD812" w14:textId="6DB99778" w:rsidR="005037D6" w:rsidRDefault="005037D6" w:rsidP="008D292E">
      <w:pPr>
        <w:pStyle w:val="Numberdigit"/>
        <w:numPr>
          <w:ilvl w:val="0"/>
          <w:numId w:val="3"/>
        </w:numPr>
        <w:tabs>
          <w:tab w:val="left" w:pos="567"/>
        </w:tabs>
      </w:pPr>
      <w:r>
        <w:t xml:space="preserve">Remove and clean </w:t>
      </w:r>
      <w:r w:rsidR="00F718C9">
        <w:t xml:space="preserve">the </w:t>
      </w:r>
      <w:r>
        <w:t xml:space="preserve">glasses with </w:t>
      </w:r>
      <w:r w:rsidR="00F718C9">
        <w:t xml:space="preserve">a </w:t>
      </w:r>
      <w:r>
        <w:t>hospital-grade disinfectant wipe and allow to dry.</w:t>
      </w:r>
    </w:p>
    <w:p w14:paraId="6AA0E654" w14:textId="77777777" w:rsidR="005037D6" w:rsidRDefault="005037D6" w:rsidP="008D292E">
      <w:pPr>
        <w:pStyle w:val="Numberdigit"/>
        <w:numPr>
          <w:ilvl w:val="0"/>
          <w:numId w:val="3"/>
        </w:numPr>
        <w:tabs>
          <w:tab w:val="left" w:pos="567"/>
        </w:tabs>
      </w:pPr>
      <w:r>
        <w:t>Remove gloves and perform hand hygiene.</w:t>
      </w:r>
    </w:p>
    <w:p w14:paraId="39B122C5" w14:textId="77777777" w:rsidR="005037D6" w:rsidRDefault="005037D6" w:rsidP="008D292E">
      <w:pPr>
        <w:pStyle w:val="Heading1"/>
        <w:tabs>
          <w:tab w:val="left" w:pos="567"/>
        </w:tabs>
        <w:sectPr w:rsidR="005037D6" w:rsidSect="005037D6">
          <w:headerReference w:type="default" r:id="rId92"/>
          <w:headerReference w:type="first" r:id="rId93"/>
          <w:pgSz w:w="11906" w:h="16838" w:code="9"/>
          <w:pgMar w:top="1418" w:right="1304" w:bottom="1134" w:left="1304" w:header="680" w:footer="509" w:gutter="0"/>
          <w:cols w:space="340"/>
          <w:titlePg/>
          <w:docGrid w:linePitch="360"/>
        </w:sectPr>
      </w:pPr>
    </w:p>
    <w:p w14:paraId="5B8FBBE0" w14:textId="5460DA29" w:rsidR="005037D6" w:rsidRPr="00C151AB" w:rsidRDefault="005037D6" w:rsidP="008D292E">
      <w:pPr>
        <w:pStyle w:val="Heading1"/>
        <w:tabs>
          <w:tab w:val="left" w:pos="567"/>
        </w:tabs>
      </w:pPr>
      <w:bookmarkStart w:id="85" w:name="_Appendix_9:_Donning"/>
      <w:bookmarkStart w:id="86" w:name="_Toc217022567"/>
      <w:bookmarkEnd w:id="85"/>
      <w:r w:rsidRPr="00C151AB">
        <w:lastRenderedPageBreak/>
        <w:t xml:space="preserve">Appendix </w:t>
      </w:r>
      <w:r w:rsidR="000646F4">
        <w:t>8</w:t>
      </w:r>
      <w:r w:rsidRPr="00C151AB">
        <w:t>: Donning Level 2 (Wet) PPE</w:t>
      </w:r>
      <w:bookmarkEnd w:id="86"/>
    </w:p>
    <w:p w14:paraId="693A8DEB" w14:textId="66B513EF" w:rsidR="005037D6" w:rsidRPr="00D547AC" w:rsidRDefault="005037D6" w:rsidP="008D292E">
      <w:pPr>
        <w:pStyle w:val="Body"/>
        <w:tabs>
          <w:tab w:val="left" w:pos="567"/>
        </w:tabs>
      </w:pPr>
      <w:r>
        <w:t xml:space="preserve">The buddy should help </w:t>
      </w:r>
      <w:r w:rsidRPr="00D547AC">
        <w:t>step</w:t>
      </w:r>
      <w:r>
        <w:t xml:space="preserve"> the HCW through the agreed sequence for putting on PPE</w:t>
      </w:r>
      <w:r w:rsidR="00F718C9">
        <w:t>:</w:t>
      </w:r>
    </w:p>
    <w:p w14:paraId="06637154" w14:textId="5D49FC8D" w:rsidR="005037D6" w:rsidRDefault="005037D6" w:rsidP="008D292E">
      <w:pPr>
        <w:pStyle w:val="Numberdigit"/>
        <w:numPr>
          <w:ilvl w:val="0"/>
          <w:numId w:val="46"/>
        </w:numPr>
        <w:tabs>
          <w:tab w:val="left" w:pos="567"/>
        </w:tabs>
      </w:pPr>
      <w:r>
        <w:t>Remove all personal items, such as jewellery, wrist watches and staff ID. Ensure hair is tied or pinned back</w:t>
      </w:r>
      <w:r w:rsidR="00F718C9">
        <w:t>,</w:t>
      </w:r>
      <w:r>
        <w:t xml:space="preserve"> and prescription glasses are secured.</w:t>
      </w:r>
    </w:p>
    <w:p w14:paraId="2FFF47C8" w14:textId="77777777" w:rsidR="005037D6" w:rsidRDefault="005037D6" w:rsidP="008D292E">
      <w:pPr>
        <w:pStyle w:val="Numberdigit"/>
        <w:numPr>
          <w:ilvl w:val="0"/>
          <w:numId w:val="3"/>
        </w:numPr>
        <w:tabs>
          <w:tab w:val="left" w:pos="567"/>
        </w:tabs>
      </w:pPr>
      <w:r>
        <w:t>Change into scrubs.</w:t>
      </w:r>
    </w:p>
    <w:p w14:paraId="6F719A32" w14:textId="77777777" w:rsidR="005037D6" w:rsidRDefault="005037D6" w:rsidP="008D292E">
      <w:pPr>
        <w:pStyle w:val="Numberdigit"/>
        <w:numPr>
          <w:ilvl w:val="0"/>
          <w:numId w:val="3"/>
        </w:numPr>
        <w:tabs>
          <w:tab w:val="left" w:pos="567"/>
        </w:tabs>
      </w:pPr>
      <w:r>
        <w:t>Visually inspect PPE to check for integrity.</w:t>
      </w:r>
    </w:p>
    <w:p w14:paraId="7435687F" w14:textId="77777777" w:rsidR="005037D6" w:rsidRDefault="005037D6" w:rsidP="008D292E">
      <w:pPr>
        <w:pStyle w:val="Numberdigit"/>
        <w:numPr>
          <w:ilvl w:val="0"/>
          <w:numId w:val="3"/>
        </w:numPr>
        <w:tabs>
          <w:tab w:val="left" w:pos="567"/>
        </w:tabs>
      </w:pPr>
      <w:r>
        <w:t>Perform hand hygiene.</w:t>
      </w:r>
    </w:p>
    <w:p w14:paraId="3FF6C58D" w14:textId="412B5423" w:rsidR="005037D6" w:rsidRDefault="005037D6" w:rsidP="008D292E">
      <w:pPr>
        <w:pStyle w:val="Numberdigit"/>
        <w:numPr>
          <w:ilvl w:val="0"/>
          <w:numId w:val="3"/>
        </w:numPr>
        <w:tabs>
          <w:tab w:val="left" w:pos="567"/>
        </w:tabs>
      </w:pPr>
      <w:r>
        <w:t xml:space="preserve">Put on </w:t>
      </w:r>
      <w:r w:rsidR="00F718C9">
        <w:t xml:space="preserve">the </w:t>
      </w:r>
      <w:r>
        <w:t>first pair of gloves.</w:t>
      </w:r>
    </w:p>
    <w:p w14:paraId="79057DF9" w14:textId="7F41A036" w:rsidR="005037D6" w:rsidRDefault="005037D6" w:rsidP="008D292E">
      <w:pPr>
        <w:pStyle w:val="Numberdigit"/>
        <w:numPr>
          <w:ilvl w:val="0"/>
          <w:numId w:val="3"/>
        </w:numPr>
        <w:tabs>
          <w:tab w:val="left" w:pos="567"/>
        </w:tabs>
      </w:pPr>
      <w:r>
        <w:t xml:space="preserve">Put on </w:t>
      </w:r>
      <w:r w:rsidR="00F718C9">
        <w:t xml:space="preserve">the </w:t>
      </w:r>
      <w:r>
        <w:t>head cover.</w:t>
      </w:r>
    </w:p>
    <w:p w14:paraId="62BEABCC" w14:textId="36B29AAB" w:rsidR="005037D6" w:rsidRDefault="005037D6" w:rsidP="008D292E">
      <w:pPr>
        <w:pStyle w:val="Numberdigit"/>
        <w:numPr>
          <w:ilvl w:val="0"/>
          <w:numId w:val="3"/>
        </w:numPr>
        <w:tabs>
          <w:tab w:val="left" w:pos="567"/>
        </w:tabs>
      </w:pPr>
      <w:r>
        <w:t xml:space="preserve">Put on </w:t>
      </w:r>
      <w:r w:rsidR="00F718C9">
        <w:t xml:space="preserve">a </w:t>
      </w:r>
      <w:r>
        <w:t xml:space="preserve">long-sleeved gown, secure at </w:t>
      </w:r>
      <w:r w:rsidR="00F718C9">
        <w:t xml:space="preserve">the </w:t>
      </w:r>
      <w:r>
        <w:t>neck and waist.</w:t>
      </w:r>
    </w:p>
    <w:p w14:paraId="47D19224" w14:textId="2567A546" w:rsidR="005037D6" w:rsidRDefault="005037D6" w:rsidP="008D292E">
      <w:pPr>
        <w:pStyle w:val="Numberdigit"/>
        <w:numPr>
          <w:ilvl w:val="0"/>
          <w:numId w:val="3"/>
        </w:numPr>
        <w:tabs>
          <w:tab w:val="left" w:pos="567"/>
        </w:tabs>
      </w:pPr>
      <w:r>
        <w:t xml:space="preserve">Put on </w:t>
      </w:r>
      <w:r w:rsidR="00F718C9">
        <w:t xml:space="preserve">a </w:t>
      </w:r>
      <w:r>
        <w:t>P2/N95 respirator (follow the manufacturer's instructions to perform a fit check).</w:t>
      </w:r>
    </w:p>
    <w:p w14:paraId="4DE05189" w14:textId="2AA2B16B" w:rsidR="005037D6" w:rsidRDefault="005037D6" w:rsidP="008D292E">
      <w:pPr>
        <w:pStyle w:val="Numberdigit"/>
        <w:numPr>
          <w:ilvl w:val="0"/>
          <w:numId w:val="3"/>
        </w:numPr>
        <w:tabs>
          <w:tab w:val="left" w:pos="567"/>
        </w:tabs>
      </w:pPr>
      <w:r>
        <w:t xml:space="preserve">Put on </w:t>
      </w:r>
      <w:r w:rsidR="00F718C9">
        <w:t xml:space="preserve">a </w:t>
      </w:r>
      <w:r>
        <w:t>plastic apron.</w:t>
      </w:r>
    </w:p>
    <w:p w14:paraId="31A4C22C" w14:textId="5AFFEF8A" w:rsidR="005037D6" w:rsidRDefault="005037D6" w:rsidP="008D292E">
      <w:pPr>
        <w:pStyle w:val="Numberdigit"/>
        <w:numPr>
          <w:ilvl w:val="0"/>
          <w:numId w:val="3"/>
        </w:numPr>
        <w:tabs>
          <w:tab w:val="left" w:pos="567"/>
        </w:tabs>
      </w:pPr>
      <w:r>
        <w:t xml:space="preserve">Put on </w:t>
      </w:r>
      <w:r w:rsidR="00F718C9">
        <w:t xml:space="preserve">a </w:t>
      </w:r>
      <w:r>
        <w:t>full disposable face shield.</w:t>
      </w:r>
    </w:p>
    <w:p w14:paraId="18B9DDD1" w14:textId="78377C44" w:rsidR="005037D6" w:rsidRDefault="005037D6" w:rsidP="008D292E">
      <w:pPr>
        <w:pStyle w:val="Numberdigit"/>
        <w:numPr>
          <w:ilvl w:val="0"/>
          <w:numId w:val="3"/>
        </w:numPr>
        <w:tabs>
          <w:tab w:val="left" w:pos="567"/>
        </w:tabs>
      </w:pPr>
      <w:r>
        <w:t>Put on</w:t>
      </w:r>
      <w:r w:rsidR="00F718C9">
        <w:t xml:space="preserve"> a</w:t>
      </w:r>
      <w:r>
        <w:t xml:space="preserve"> second pair of gloves, ensuring the extended cuffs are pulled over the cuffs of the long-sleeved gown.</w:t>
      </w:r>
    </w:p>
    <w:p w14:paraId="2D7F4782" w14:textId="08A663C1" w:rsidR="005037D6" w:rsidRDefault="005037D6" w:rsidP="008D292E">
      <w:pPr>
        <w:pStyle w:val="Numberdigit"/>
        <w:numPr>
          <w:ilvl w:val="0"/>
          <w:numId w:val="3"/>
        </w:numPr>
        <w:tabs>
          <w:tab w:val="left" w:pos="567"/>
        </w:tabs>
      </w:pPr>
      <w:r>
        <w:t>Visually inspect that all PPE is on correctly and all bare skin is covered</w:t>
      </w:r>
      <w:r w:rsidR="00F718C9">
        <w:t xml:space="preserve"> and </w:t>
      </w:r>
      <w:r>
        <w:t>protected.</w:t>
      </w:r>
    </w:p>
    <w:p w14:paraId="06E722FE" w14:textId="77777777" w:rsidR="005037D6" w:rsidRDefault="005037D6" w:rsidP="008D292E">
      <w:pPr>
        <w:pStyle w:val="Heading1"/>
        <w:tabs>
          <w:tab w:val="left" w:pos="567"/>
        </w:tabs>
        <w:sectPr w:rsidR="005037D6" w:rsidSect="005037D6">
          <w:headerReference w:type="default" r:id="rId94"/>
          <w:headerReference w:type="first" r:id="rId95"/>
          <w:pgSz w:w="11906" w:h="16838" w:code="9"/>
          <w:pgMar w:top="1418" w:right="1304" w:bottom="1134" w:left="1304" w:header="680" w:footer="509" w:gutter="0"/>
          <w:cols w:space="340"/>
          <w:titlePg/>
          <w:docGrid w:linePitch="360"/>
        </w:sectPr>
      </w:pPr>
    </w:p>
    <w:p w14:paraId="6C3618CD" w14:textId="306EB94D" w:rsidR="005037D6" w:rsidRPr="00C151AB" w:rsidRDefault="005037D6" w:rsidP="008D292E">
      <w:pPr>
        <w:pStyle w:val="Heading1"/>
        <w:tabs>
          <w:tab w:val="left" w:pos="567"/>
        </w:tabs>
      </w:pPr>
      <w:bookmarkStart w:id="87" w:name="_Appendix_10:_Doffing"/>
      <w:bookmarkStart w:id="88" w:name="_Toc217022568"/>
      <w:bookmarkEnd w:id="87"/>
      <w:r w:rsidRPr="00C151AB">
        <w:lastRenderedPageBreak/>
        <w:t xml:space="preserve">Appendix </w:t>
      </w:r>
      <w:r w:rsidR="000646F4">
        <w:t>9</w:t>
      </w:r>
      <w:r w:rsidRPr="00C151AB">
        <w:t>: Doffing Level 2 (Wet) PPE</w:t>
      </w:r>
      <w:bookmarkEnd w:id="88"/>
    </w:p>
    <w:p w14:paraId="44615BD7" w14:textId="263AFC1F" w:rsidR="005037D6" w:rsidRPr="008C25AC" w:rsidRDefault="005037D6" w:rsidP="008D292E">
      <w:pPr>
        <w:pStyle w:val="Body"/>
        <w:tabs>
          <w:tab w:val="left" w:pos="567"/>
        </w:tabs>
        <w:spacing w:after="40"/>
      </w:pPr>
      <w:r>
        <w:t xml:space="preserve">This is one recommended sequence for doffing </w:t>
      </w:r>
      <w:r w:rsidRPr="00C151AB">
        <w:t xml:space="preserve">Level </w:t>
      </w:r>
      <w:r>
        <w:t>2</w:t>
      </w:r>
      <w:r w:rsidRPr="00C151AB">
        <w:t xml:space="preserve"> (</w:t>
      </w:r>
      <w:r>
        <w:t>Wet</w:t>
      </w:r>
      <w:r w:rsidRPr="00C151AB">
        <w:t>) PPE</w:t>
      </w:r>
      <w:r>
        <w:t xml:space="preserve">. Other sequences may be used by a health care service </w:t>
      </w:r>
      <w:r w:rsidR="00F718C9">
        <w:t>(</w:t>
      </w:r>
      <w:r>
        <w:t>for example, removing the gown and outer gloves in one motion</w:t>
      </w:r>
      <w:r w:rsidR="00F718C9">
        <w:t>)</w:t>
      </w:r>
      <w:r>
        <w:t>. If a different sequence is used, staff must be adequately trained and be confident with the doffing sequence.</w:t>
      </w:r>
    </w:p>
    <w:p w14:paraId="660D230A" w14:textId="14FC9C05" w:rsidR="005037D6" w:rsidRDefault="005037D6" w:rsidP="008D292E">
      <w:pPr>
        <w:pStyle w:val="Numberdigit"/>
        <w:numPr>
          <w:ilvl w:val="0"/>
          <w:numId w:val="44"/>
        </w:numPr>
        <w:tabs>
          <w:tab w:val="left" w:pos="567"/>
        </w:tabs>
      </w:pPr>
      <w:r w:rsidRPr="001157C5">
        <w:t xml:space="preserve">Before leaving </w:t>
      </w:r>
      <w:r>
        <w:t xml:space="preserve">the </w:t>
      </w:r>
      <w:r w:rsidRPr="001157C5">
        <w:t>patient</w:t>
      </w:r>
      <w:r>
        <w:t>’s</w:t>
      </w:r>
      <w:r w:rsidRPr="001157C5">
        <w:t xml:space="preserve"> </w:t>
      </w:r>
      <w:r>
        <w:t>room</w:t>
      </w:r>
      <w:r w:rsidRPr="001157C5">
        <w:t xml:space="preserve">, visually inspect PPE to check </w:t>
      </w:r>
      <w:r w:rsidR="00F718C9">
        <w:t xml:space="preserve">the </w:t>
      </w:r>
      <w:r w:rsidRPr="001157C5">
        <w:t>integrity of all items. Wipe away</w:t>
      </w:r>
      <w:r>
        <w:t xml:space="preserve"> </w:t>
      </w:r>
      <w:r w:rsidRPr="001157C5">
        <w:t>any visible contamination using a hospital-grade disinfectant wipe.</w:t>
      </w:r>
    </w:p>
    <w:p w14:paraId="210631F8" w14:textId="77777777" w:rsidR="005037D6" w:rsidRDefault="005037D6" w:rsidP="008D292E">
      <w:pPr>
        <w:pStyle w:val="Numberdigit"/>
        <w:numPr>
          <w:ilvl w:val="0"/>
          <w:numId w:val="3"/>
        </w:numPr>
        <w:tabs>
          <w:tab w:val="left" w:pos="567"/>
        </w:tabs>
      </w:pPr>
      <w:r>
        <w:t>Leave the room and move to the designated PPE doffing area.</w:t>
      </w:r>
    </w:p>
    <w:p w14:paraId="05B7A9D3" w14:textId="3FE6E663" w:rsidR="005037D6" w:rsidRDefault="005037D6" w:rsidP="008D292E">
      <w:pPr>
        <w:pStyle w:val="Numberdigit"/>
        <w:numPr>
          <w:ilvl w:val="0"/>
          <w:numId w:val="3"/>
        </w:numPr>
        <w:tabs>
          <w:tab w:val="left" w:pos="567"/>
        </w:tabs>
      </w:pPr>
      <w:r>
        <w:t>Remove outer gloves</w:t>
      </w:r>
      <w:r w:rsidR="00F718C9">
        <w:t xml:space="preserve"> –</w:t>
      </w:r>
      <w:r>
        <w:t xml:space="preserve"> peel glove from </w:t>
      </w:r>
      <w:r w:rsidR="00F718C9">
        <w:t xml:space="preserve">the </w:t>
      </w:r>
      <w:r>
        <w:t>cuff down over fingers</w:t>
      </w:r>
      <w:r w:rsidR="00F718C9">
        <w:t>,</w:t>
      </w:r>
      <w:r>
        <w:t xml:space="preserve"> so that</w:t>
      </w:r>
      <w:r w:rsidR="00F718C9">
        <w:t xml:space="preserve"> the</w:t>
      </w:r>
      <w:r>
        <w:t xml:space="preserve"> glove is inside out, and discard gloves into the clinical waste bin. Check if </w:t>
      </w:r>
      <w:r w:rsidR="00F718C9">
        <w:t xml:space="preserve">the </w:t>
      </w:r>
      <w:r>
        <w:t>inner glove is soiled. If so, use a disinfectant wipe to remove.</w:t>
      </w:r>
    </w:p>
    <w:p w14:paraId="71FAB600" w14:textId="77777777" w:rsidR="005037D6" w:rsidRPr="008C25AC" w:rsidRDefault="005037D6" w:rsidP="008D292E">
      <w:pPr>
        <w:pStyle w:val="Numberdigit"/>
        <w:numPr>
          <w:ilvl w:val="0"/>
          <w:numId w:val="3"/>
        </w:numPr>
        <w:tabs>
          <w:tab w:val="left" w:pos="567"/>
        </w:tabs>
      </w:pPr>
      <w:r w:rsidRPr="008C25AC">
        <w:t>Perform hand hygiene by applying ABHR to the glove.</w:t>
      </w:r>
    </w:p>
    <w:p w14:paraId="3A25209A" w14:textId="552687CC" w:rsidR="005037D6" w:rsidRDefault="005037D6" w:rsidP="008D292E">
      <w:pPr>
        <w:pStyle w:val="Numberdigit"/>
        <w:numPr>
          <w:ilvl w:val="0"/>
          <w:numId w:val="3"/>
        </w:numPr>
        <w:tabs>
          <w:tab w:val="left" w:pos="567"/>
        </w:tabs>
      </w:pPr>
      <w:r>
        <w:t xml:space="preserve">Remove </w:t>
      </w:r>
      <w:r w:rsidR="00F718C9">
        <w:t xml:space="preserve">the </w:t>
      </w:r>
      <w:r>
        <w:t>apron and discard into the bin.</w:t>
      </w:r>
    </w:p>
    <w:p w14:paraId="3D607E80"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39E1C413" w14:textId="1821357D" w:rsidR="005037D6" w:rsidRDefault="005037D6" w:rsidP="008D292E">
      <w:pPr>
        <w:pStyle w:val="Numberdigit"/>
        <w:numPr>
          <w:ilvl w:val="0"/>
          <w:numId w:val="3"/>
        </w:numPr>
        <w:tabs>
          <w:tab w:val="left" w:pos="567"/>
        </w:tabs>
      </w:pPr>
      <w:r>
        <w:t xml:space="preserve">Remove </w:t>
      </w:r>
      <w:r w:rsidR="00510622">
        <w:t xml:space="preserve">the </w:t>
      </w:r>
      <w:r>
        <w:t>long-sleeved gown</w:t>
      </w:r>
      <w:r w:rsidR="00510622">
        <w:t xml:space="preserve"> –</w:t>
      </w:r>
      <w:r>
        <w:t xml:space="preserve"> buddy to undo the waist ties before the neck ties. Roll gown into a ball and discard into the bin.</w:t>
      </w:r>
    </w:p>
    <w:p w14:paraId="252BE2FF"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1FB01F2A" w14:textId="447BB5B7" w:rsidR="005037D6" w:rsidRDefault="005037D6" w:rsidP="008D292E">
      <w:pPr>
        <w:pStyle w:val="Numberdigit"/>
        <w:numPr>
          <w:ilvl w:val="0"/>
          <w:numId w:val="3"/>
        </w:numPr>
        <w:tabs>
          <w:tab w:val="left" w:pos="567"/>
        </w:tabs>
      </w:pPr>
      <w:r>
        <w:t xml:space="preserve">Remove </w:t>
      </w:r>
      <w:r w:rsidR="00510622">
        <w:t xml:space="preserve">the </w:t>
      </w:r>
      <w:r>
        <w:t>face shield and discard into the bin.</w:t>
      </w:r>
    </w:p>
    <w:p w14:paraId="42A84F85"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4DFF832C" w14:textId="4D0DC7DD" w:rsidR="005037D6" w:rsidRDefault="005037D6" w:rsidP="008D292E">
      <w:pPr>
        <w:pStyle w:val="Numberdigit"/>
        <w:numPr>
          <w:ilvl w:val="0"/>
          <w:numId w:val="3"/>
        </w:numPr>
        <w:tabs>
          <w:tab w:val="left" w:pos="567"/>
        </w:tabs>
      </w:pPr>
      <w:r>
        <w:t xml:space="preserve">Remove </w:t>
      </w:r>
      <w:r w:rsidR="00510622">
        <w:t xml:space="preserve">the </w:t>
      </w:r>
      <w:r>
        <w:t>head cover and discard into the bin.</w:t>
      </w:r>
    </w:p>
    <w:p w14:paraId="5E58115D" w14:textId="77777777" w:rsidR="005037D6" w:rsidRPr="008C25AC" w:rsidRDefault="005037D6" w:rsidP="008D292E">
      <w:pPr>
        <w:pStyle w:val="Numberdigit"/>
        <w:numPr>
          <w:ilvl w:val="0"/>
          <w:numId w:val="3"/>
        </w:numPr>
        <w:tabs>
          <w:tab w:val="left" w:pos="567"/>
        </w:tabs>
      </w:pPr>
      <w:r w:rsidRPr="008C25AC">
        <w:t>Perform hand hygiene by applying ABHR to the gloves.</w:t>
      </w:r>
    </w:p>
    <w:p w14:paraId="739F0994" w14:textId="056B45E0" w:rsidR="005037D6" w:rsidRDefault="005037D6" w:rsidP="008D292E">
      <w:pPr>
        <w:pStyle w:val="Numberdigit"/>
        <w:numPr>
          <w:ilvl w:val="0"/>
          <w:numId w:val="3"/>
        </w:numPr>
        <w:tabs>
          <w:tab w:val="left" w:pos="567"/>
        </w:tabs>
      </w:pPr>
      <w:r>
        <w:t xml:space="preserve">Remove </w:t>
      </w:r>
      <w:r w:rsidR="00510622">
        <w:t xml:space="preserve">the </w:t>
      </w:r>
      <w:r>
        <w:t>P2/N95 respirator and discard into the bin.</w:t>
      </w:r>
    </w:p>
    <w:p w14:paraId="373F6914" w14:textId="24B93FC1" w:rsidR="005037D6" w:rsidRDefault="005037D6" w:rsidP="008D292E">
      <w:pPr>
        <w:pStyle w:val="Numberdigit"/>
        <w:numPr>
          <w:ilvl w:val="0"/>
          <w:numId w:val="3"/>
        </w:numPr>
        <w:tabs>
          <w:tab w:val="left" w:pos="567"/>
        </w:tabs>
      </w:pPr>
      <w:r>
        <w:t xml:space="preserve">Remove </w:t>
      </w:r>
      <w:r w:rsidR="00510622">
        <w:t xml:space="preserve">the </w:t>
      </w:r>
      <w:r>
        <w:t>inner gloves</w:t>
      </w:r>
      <w:r w:rsidR="00510622">
        <w:t xml:space="preserve"> –</w:t>
      </w:r>
      <w:r>
        <w:t xml:space="preserve"> peel </w:t>
      </w:r>
      <w:r w:rsidR="00510622">
        <w:t xml:space="preserve">the </w:t>
      </w:r>
      <w:r>
        <w:t xml:space="preserve">glove from </w:t>
      </w:r>
      <w:r w:rsidR="00510622">
        <w:t xml:space="preserve">the </w:t>
      </w:r>
      <w:r>
        <w:t>cuff down over fingers</w:t>
      </w:r>
      <w:r w:rsidR="00510622">
        <w:t>,</w:t>
      </w:r>
      <w:r>
        <w:t xml:space="preserve"> so that </w:t>
      </w:r>
      <w:r w:rsidR="00510622">
        <w:t xml:space="preserve">the </w:t>
      </w:r>
      <w:r>
        <w:t>glove is inside out, and discard gloves into the clinical waste bin.</w:t>
      </w:r>
    </w:p>
    <w:p w14:paraId="16AEF6EA" w14:textId="77777777" w:rsidR="005037D6" w:rsidRDefault="005037D6" w:rsidP="008D292E">
      <w:pPr>
        <w:pStyle w:val="Numberdigit"/>
        <w:numPr>
          <w:ilvl w:val="0"/>
          <w:numId w:val="3"/>
        </w:numPr>
        <w:tabs>
          <w:tab w:val="left" w:pos="567"/>
        </w:tabs>
      </w:pPr>
      <w:r>
        <w:t>Perform hand hygiene.</w:t>
      </w:r>
    </w:p>
    <w:p w14:paraId="51432FE5" w14:textId="0DF2F1FC" w:rsidR="005037D6" w:rsidRDefault="005037D6" w:rsidP="008D292E">
      <w:pPr>
        <w:pStyle w:val="Numberdigit"/>
        <w:numPr>
          <w:ilvl w:val="0"/>
          <w:numId w:val="3"/>
        </w:numPr>
        <w:tabs>
          <w:tab w:val="left" w:pos="567"/>
        </w:tabs>
      </w:pPr>
      <w:r>
        <w:t>Visually inspect scrubs</w:t>
      </w:r>
      <w:r w:rsidR="00510622">
        <w:t xml:space="preserve"> and</w:t>
      </w:r>
      <w:r>
        <w:t>:</w:t>
      </w:r>
    </w:p>
    <w:p w14:paraId="19914992" w14:textId="71CF9A1D" w:rsidR="005037D6" w:rsidRPr="00510622" w:rsidRDefault="00510622" w:rsidP="008D292E">
      <w:pPr>
        <w:pStyle w:val="Bullet2"/>
        <w:tabs>
          <w:tab w:val="left" w:pos="567"/>
          <w:tab w:val="num" w:pos="794"/>
        </w:tabs>
        <w:ind w:left="794" w:hanging="397"/>
      </w:pPr>
      <w:r>
        <w:t>i</w:t>
      </w:r>
      <w:r w:rsidR="005037D6" w:rsidRPr="00510622">
        <w:t>f contaminated, remove and discard into the clinical waste bin.</w:t>
      </w:r>
    </w:p>
    <w:p w14:paraId="75C036A9" w14:textId="0866E699" w:rsidR="005037D6" w:rsidRPr="00510622" w:rsidRDefault="00510622" w:rsidP="008D292E">
      <w:pPr>
        <w:pStyle w:val="Bullet2"/>
        <w:tabs>
          <w:tab w:val="left" w:pos="567"/>
          <w:tab w:val="num" w:pos="794"/>
        </w:tabs>
        <w:ind w:left="794" w:hanging="397"/>
      </w:pPr>
      <w:r>
        <w:t>i</w:t>
      </w:r>
      <w:r w:rsidR="005037D6" w:rsidRPr="00510622">
        <w:t>f not contaminated, discard them as non-infectious used linen</w:t>
      </w:r>
      <w:r>
        <w:t>,</w:t>
      </w:r>
      <w:r w:rsidR="005037D6" w:rsidRPr="00510622">
        <w:t xml:space="preserve"> after taking them off in an uncontaminated zone.</w:t>
      </w:r>
    </w:p>
    <w:p w14:paraId="4AF9F10F" w14:textId="77777777" w:rsidR="005037D6" w:rsidRPr="00F4287E" w:rsidRDefault="005037D6" w:rsidP="008D292E">
      <w:pPr>
        <w:pStyle w:val="Bodyafterbullets"/>
        <w:tabs>
          <w:tab w:val="left" w:pos="567"/>
        </w:tabs>
      </w:pPr>
      <w:r w:rsidRPr="00F4287E">
        <w:t>If prescription glasses are worn:</w:t>
      </w:r>
    </w:p>
    <w:p w14:paraId="71A199EC" w14:textId="6DCF865D" w:rsidR="005037D6" w:rsidRDefault="005037D6" w:rsidP="008D292E">
      <w:pPr>
        <w:pStyle w:val="Numberdigit"/>
        <w:numPr>
          <w:ilvl w:val="0"/>
          <w:numId w:val="3"/>
        </w:numPr>
        <w:tabs>
          <w:tab w:val="left" w:pos="567"/>
        </w:tabs>
      </w:pPr>
      <w:r>
        <w:t xml:space="preserve">Put on </w:t>
      </w:r>
      <w:r w:rsidR="00510622">
        <w:t xml:space="preserve">a </w:t>
      </w:r>
      <w:r>
        <w:t>new pair of gloves.</w:t>
      </w:r>
    </w:p>
    <w:p w14:paraId="5F9AEBE4" w14:textId="7153974C" w:rsidR="005037D6" w:rsidRDefault="005037D6" w:rsidP="008D292E">
      <w:pPr>
        <w:pStyle w:val="Numberdigit"/>
        <w:numPr>
          <w:ilvl w:val="0"/>
          <w:numId w:val="3"/>
        </w:numPr>
        <w:tabs>
          <w:tab w:val="left" w:pos="567"/>
        </w:tabs>
      </w:pPr>
      <w:r>
        <w:t xml:space="preserve">Remove and clean </w:t>
      </w:r>
      <w:r w:rsidR="00510622">
        <w:t xml:space="preserve">the </w:t>
      </w:r>
      <w:r>
        <w:t xml:space="preserve">glasses with </w:t>
      </w:r>
      <w:r w:rsidR="00510622">
        <w:t xml:space="preserve">a </w:t>
      </w:r>
      <w:r>
        <w:t>hospital-grade disinfectant wipe and allow to dry.</w:t>
      </w:r>
    </w:p>
    <w:p w14:paraId="17DBC92C" w14:textId="14603BBD" w:rsidR="00EB4BC7" w:rsidRDefault="005037D6" w:rsidP="008D292E">
      <w:pPr>
        <w:pStyle w:val="Numberdigit"/>
        <w:numPr>
          <w:ilvl w:val="0"/>
          <w:numId w:val="3"/>
        </w:numPr>
        <w:tabs>
          <w:tab w:val="left" w:pos="567"/>
        </w:tabs>
      </w:pPr>
      <w:r>
        <w:t>Remove gloves and perform hand hygiene.</w:t>
      </w:r>
    </w:p>
    <w:sectPr w:rsidR="00EB4BC7" w:rsidSect="00454A7D">
      <w:headerReference w:type="even" r:id="rId96"/>
      <w:headerReference w:type="default" r:id="rId97"/>
      <w:footerReference w:type="even" r:id="rId98"/>
      <w:footerReference w:type="default" r:id="rId99"/>
      <w:headerReference w:type="first" r:id="rId10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FC982" w14:textId="77777777" w:rsidR="005E7996" w:rsidRDefault="005E7996">
      <w:r>
        <w:separator/>
      </w:r>
    </w:p>
    <w:p w14:paraId="60E23905" w14:textId="77777777" w:rsidR="005E7996" w:rsidRDefault="005E7996"/>
  </w:endnote>
  <w:endnote w:type="continuationSeparator" w:id="0">
    <w:p w14:paraId="146E6771" w14:textId="77777777" w:rsidR="005E7996" w:rsidRDefault="005E7996">
      <w:r>
        <w:continuationSeparator/>
      </w:r>
    </w:p>
    <w:p w14:paraId="6A831C83" w14:textId="77777777" w:rsidR="005E7996" w:rsidRDefault="005E7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197E" w14:textId="5F6FFB5E" w:rsidR="00EB4BC7" w:rsidRDefault="00151D2D">
    <w:pPr>
      <w:pStyle w:val="Footer"/>
    </w:pPr>
    <w:r>
      <w:rPr>
        <w:noProof/>
      </w:rPr>
      <mc:AlternateContent>
        <mc:Choice Requires="wps">
          <w:drawing>
            <wp:anchor distT="0" distB="0" distL="0" distR="0" simplePos="0" relativeHeight="251659264" behindDoc="0" locked="0" layoutInCell="1" allowOverlap="1" wp14:anchorId="660B2162" wp14:editId="71ED83B4">
              <wp:simplePos x="635" y="635"/>
              <wp:positionH relativeFrom="page">
                <wp:align>center</wp:align>
              </wp:positionH>
              <wp:positionV relativeFrom="page">
                <wp:align>bottom</wp:align>
              </wp:positionV>
              <wp:extent cx="656590" cy="369570"/>
              <wp:effectExtent l="0" t="0" r="10160" b="0"/>
              <wp:wrapNone/>
              <wp:docPr id="1237511165"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300E706" w14:textId="54AB8507"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0B2162" id="_x0000_t202" coordsize="21600,21600" o:spt="202" path="m,l,21600r21600,l21600,xe">
              <v:stroke joinstyle="miter"/>
              <v:path gradientshapeok="t" o:connecttype="rect"/>
            </v:shapetype>
            <v:shape id="Text Box 8"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0300E706" w14:textId="54AB8507"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41BC6" w14:textId="6FF1DE7C" w:rsidR="00B2059C" w:rsidRDefault="00151D2D">
    <w:pPr>
      <w:pStyle w:val="Footer"/>
    </w:pPr>
    <w:r>
      <w:rPr>
        <w:noProof/>
      </w:rPr>
      <mc:AlternateContent>
        <mc:Choice Requires="wps">
          <w:drawing>
            <wp:anchor distT="0" distB="0" distL="0" distR="0" simplePos="0" relativeHeight="251660288" behindDoc="0" locked="0" layoutInCell="1" allowOverlap="1" wp14:anchorId="2CF1387A" wp14:editId="1C17D136">
              <wp:simplePos x="828675" y="9477375"/>
              <wp:positionH relativeFrom="page">
                <wp:align>center</wp:align>
              </wp:positionH>
              <wp:positionV relativeFrom="page">
                <wp:align>bottom</wp:align>
              </wp:positionV>
              <wp:extent cx="656590" cy="369570"/>
              <wp:effectExtent l="0" t="0" r="10160" b="0"/>
              <wp:wrapNone/>
              <wp:docPr id="207218215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C92C3E9" w14:textId="6572A021"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F1387A" id="_x0000_t202" coordsize="21600,21600" o:spt="202" path="m,l,21600r21600,l21600,xe">
              <v:stroke joinstyle="miter"/>
              <v:path gradientshapeok="t" o:connecttype="rect"/>
            </v:shapetype>
            <v:shape id="Text Box 9"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3C92C3E9" w14:textId="6572A021"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sdt>
      <w:sdtPr>
        <w:id w:val="-985847005"/>
        <w:docPartObj>
          <w:docPartGallery w:val="Page Numbers (Bottom of Page)"/>
          <w:docPartUnique/>
        </w:docPartObj>
      </w:sdtPr>
      <w:sdtEndPr>
        <w:rPr>
          <w:noProof/>
        </w:rPr>
      </w:sdtEndPr>
      <w:sdtContent>
        <w:r w:rsidR="00B2059C">
          <w:fldChar w:fldCharType="begin"/>
        </w:r>
        <w:r w:rsidR="00B2059C">
          <w:instrText xml:space="preserve"> PAGE   \* MERGEFORMAT </w:instrText>
        </w:r>
        <w:r w:rsidR="00B2059C">
          <w:fldChar w:fldCharType="separate"/>
        </w:r>
        <w:r w:rsidR="00B2059C">
          <w:rPr>
            <w:noProof/>
          </w:rPr>
          <w:t>2</w:t>
        </w:r>
        <w:r w:rsidR="00B2059C">
          <w:rPr>
            <w:noProof/>
          </w:rPr>
          <w:fldChar w:fldCharType="end"/>
        </w:r>
      </w:sdtContent>
    </w:sdt>
  </w:p>
  <w:p w14:paraId="5A28765A" w14:textId="5D5138E1" w:rsidR="00B2059C" w:rsidRDefault="00B20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E4AA" w14:textId="75A65FB3" w:rsidR="00EB4BC7" w:rsidRDefault="00151D2D">
    <w:pPr>
      <w:pStyle w:val="Footer"/>
    </w:pPr>
    <w:r>
      <w:rPr>
        <w:noProof/>
      </w:rPr>
      <mc:AlternateContent>
        <mc:Choice Requires="wps">
          <w:drawing>
            <wp:anchor distT="0" distB="0" distL="0" distR="0" simplePos="0" relativeHeight="251658240" behindDoc="0" locked="0" layoutInCell="1" allowOverlap="1" wp14:anchorId="0AB2508A" wp14:editId="37742976">
              <wp:simplePos x="828675" y="9820275"/>
              <wp:positionH relativeFrom="page">
                <wp:align>center</wp:align>
              </wp:positionH>
              <wp:positionV relativeFrom="page">
                <wp:align>bottom</wp:align>
              </wp:positionV>
              <wp:extent cx="656590" cy="369570"/>
              <wp:effectExtent l="0" t="0" r="10160" b="0"/>
              <wp:wrapNone/>
              <wp:docPr id="21280987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A44061" w14:textId="29469D62"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B2508A" id="_x0000_t202" coordsize="21600,21600" o:spt="202" path="m,l,21600r21600,l21600,xe">
              <v:stroke joinstyle="miter"/>
              <v:path gradientshapeok="t" o:connecttype="rect"/>
            </v:shapetype>
            <v:shape id="Text Box 7"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5A44061" w14:textId="29469D62"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FC76" w14:textId="1D9781AC" w:rsidR="00B2059C" w:rsidRDefault="00151D2D" w:rsidP="00C23F17">
    <w:pPr>
      <w:pStyle w:val="Footer"/>
    </w:pPr>
    <w:r>
      <w:rPr>
        <w:noProof/>
      </w:rPr>
      <mc:AlternateContent>
        <mc:Choice Requires="wps">
          <w:drawing>
            <wp:anchor distT="0" distB="0" distL="0" distR="0" simplePos="0" relativeHeight="251661312" behindDoc="0" locked="0" layoutInCell="1" allowOverlap="1" wp14:anchorId="5856760E" wp14:editId="704B5416">
              <wp:simplePos x="828675" y="9820275"/>
              <wp:positionH relativeFrom="page">
                <wp:align>center</wp:align>
              </wp:positionH>
              <wp:positionV relativeFrom="page">
                <wp:align>bottom</wp:align>
              </wp:positionV>
              <wp:extent cx="656590" cy="369570"/>
              <wp:effectExtent l="0" t="0" r="10160" b="0"/>
              <wp:wrapNone/>
              <wp:docPr id="47511068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3821AA5" w14:textId="1145228E"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56760E" id="_x0000_t202" coordsize="21600,21600" o:spt="202" path="m,l,21600r21600,l21600,xe">
              <v:stroke joinstyle="miter"/>
              <v:path gradientshapeok="t" o:connecttype="rect"/>
            </v:shapetype>
            <v:shape id="Text Box 10"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3821AA5" w14:textId="1145228E"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sdt>
      <w:sdtPr>
        <w:id w:val="1764869487"/>
        <w:docPartObj>
          <w:docPartGallery w:val="Page Numbers (Bottom of Page)"/>
          <w:docPartUnique/>
        </w:docPartObj>
      </w:sdtPr>
      <w:sdtEndPr>
        <w:rPr>
          <w:noProof/>
        </w:rPr>
      </w:sdtEndPr>
      <w:sdtContent>
        <w:r w:rsidR="00C23F17">
          <w:fldChar w:fldCharType="begin"/>
        </w:r>
        <w:r w:rsidR="00C23F17">
          <w:instrText xml:space="preserve"> PAGE   \* MERGEFORMAT </w:instrText>
        </w:r>
        <w:r w:rsidR="00C23F17">
          <w:fldChar w:fldCharType="separate"/>
        </w:r>
        <w:r w:rsidR="00C23F17">
          <w:rPr>
            <w:noProof/>
          </w:rPr>
          <w:t>2</w:t>
        </w:r>
        <w:r w:rsidR="00C23F17">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20EA" w14:textId="4D34D992" w:rsidR="005037D6" w:rsidRDefault="00151D2D">
    <w:pPr>
      <w:pStyle w:val="Footer"/>
    </w:pPr>
    <w:r>
      <w:rPr>
        <w:noProof/>
      </w:rPr>
      <mc:AlternateContent>
        <mc:Choice Requires="wps">
          <w:drawing>
            <wp:anchor distT="0" distB="0" distL="0" distR="0" simplePos="0" relativeHeight="251662336" behindDoc="0" locked="0" layoutInCell="1" allowOverlap="1" wp14:anchorId="7F8B9DE3" wp14:editId="7FBA4513">
              <wp:simplePos x="635" y="635"/>
              <wp:positionH relativeFrom="page">
                <wp:align>center</wp:align>
              </wp:positionH>
              <wp:positionV relativeFrom="page">
                <wp:align>bottom</wp:align>
              </wp:positionV>
              <wp:extent cx="656590" cy="369570"/>
              <wp:effectExtent l="0" t="0" r="10160" b="0"/>
              <wp:wrapNone/>
              <wp:docPr id="9851202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EFFB2A" w14:textId="678348C8"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8B9DE3" id="_x0000_t202" coordsize="21600,21600" o:spt="202" path="m,l,21600r21600,l21600,xe">
              <v:stroke joinstyle="miter"/>
              <v:path gradientshapeok="t" o:connecttype="rect"/>
            </v:shapetype>
            <v:shape id="Text Box 11"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EEFFB2A" w14:textId="678348C8"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FCDFC" w14:textId="0FD5C69D" w:rsidR="00D63636" w:rsidRDefault="00151D2D">
    <w:pPr>
      <w:pStyle w:val="Footer"/>
    </w:pPr>
    <w:r>
      <w:rPr>
        <w:noProof/>
      </w:rPr>
      <mc:AlternateContent>
        <mc:Choice Requires="wps">
          <w:drawing>
            <wp:anchor distT="0" distB="0" distL="0" distR="0" simplePos="0" relativeHeight="251663360" behindDoc="0" locked="0" layoutInCell="1" allowOverlap="1" wp14:anchorId="17313FF7" wp14:editId="1C31286E">
              <wp:simplePos x="635" y="635"/>
              <wp:positionH relativeFrom="page">
                <wp:align>center</wp:align>
              </wp:positionH>
              <wp:positionV relativeFrom="page">
                <wp:align>bottom</wp:align>
              </wp:positionV>
              <wp:extent cx="656590" cy="369570"/>
              <wp:effectExtent l="0" t="0" r="10160" b="0"/>
              <wp:wrapNone/>
              <wp:docPr id="42189484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32A8A81" w14:textId="42106DA0"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13FF7" id="_x0000_t202" coordsize="21600,21600" o:spt="202" path="m,l,21600r21600,l21600,xe">
              <v:stroke joinstyle="miter"/>
              <v:path gradientshapeok="t" o:connecttype="rect"/>
            </v:shapetype>
            <v:shape id="Text Box 12" o:spid="_x0000_s1031"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32A8A81" w14:textId="42106DA0"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814F" w14:textId="0E61FA68" w:rsidR="00431A70" w:rsidRDefault="00151D2D">
    <w:pPr>
      <w:pStyle w:val="Footer"/>
    </w:pPr>
    <w:r>
      <w:rPr>
        <w:noProof/>
      </w:rPr>
      <mc:AlternateContent>
        <mc:Choice Requires="wps">
          <w:drawing>
            <wp:anchor distT="0" distB="0" distL="0" distR="0" simplePos="0" relativeHeight="251664384" behindDoc="0" locked="0" layoutInCell="1" allowOverlap="1" wp14:anchorId="5FD02213" wp14:editId="7F4EC276">
              <wp:simplePos x="635" y="635"/>
              <wp:positionH relativeFrom="page">
                <wp:align>center</wp:align>
              </wp:positionH>
              <wp:positionV relativeFrom="page">
                <wp:align>bottom</wp:align>
              </wp:positionV>
              <wp:extent cx="656590" cy="369570"/>
              <wp:effectExtent l="0" t="0" r="10160" b="0"/>
              <wp:wrapNone/>
              <wp:docPr id="112010801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0FD658" w14:textId="289EAC29"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D02213" id="_x0000_t202" coordsize="21600,21600" o:spt="202" path="m,l,21600r21600,l21600,xe">
              <v:stroke joinstyle="miter"/>
              <v:path gradientshapeok="t" o:connecttype="rect"/>
            </v:shapetype>
            <v:shape id="Text Box 13" o:spid="_x0000_s1032" type="#_x0000_t202" alt="OFFICIAL" style="position:absolute;left:0;text-align:left;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60FD658" w14:textId="289EAC29" w:rsidR="00151D2D" w:rsidRPr="00151D2D" w:rsidRDefault="00151D2D" w:rsidP="00151D2D">
                    <w:pPr>
                      <w:spacing w:after="0"/>
                      <w:rPr>
                        <w:rFonts w:ascii="Arial Black" w:eastAsia="Arial Black" w:hAnsi="Arial Black" w:cs="Arial Black"/>
                        <w:noProof/>
                        <w:color w:val="000000"/>
                        <w:sz w:val="20"/>
                      </w:rPr>
                    </w:pPr>
                    <w:r w:rsidRPr="00151D2D">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44F5" w14:textId="77777777" w:rsidR="005E7996" w:rsidRDefault="005E7996" w:rsidP="00207717">
      <w:pPr>
        <w:spacing w:before="120"/>
      </w:pPr>
      <w:r>
        <w:separator/>
      </w:r>
    </w:p>
  </w:footnote>
  <w:footnote w:type="continuationSeparator" w:id="0">
    <w:p w14:paraId="13D2C309" w14:textId="77777777" w:rsidR="005E7996" w:rsidRDefault="005E7996">
      <w:r>
        <w:continuationSeparator/>
      </w:r>
    </w:p>
    <w:p w14:paraId="1790F67B" w14:textId="77777777" w:rsidR="005E7996" w:rsidRDefault="005E7996"/>
  </w:footnote>
  <w:footnote w:id="1">
    <w:p w14:paraId="03ECF8AA" w14:textId="2E987818" w:rsidR="00B34143" w:rsidRDefault="00B34143">
      <w:pPr>
        <w:pStyle w:val="FootnoteText"/>
      </w:pPr>
      <w:r>
        <w:rPr>
          <w:rStyle w:val="FootnoteReference"/>
        </w:rPr>
        <w:footnoteRef/>
      </w:r>
      <w:r w:rsidR="00767D38">
        <w:t xml:space="preserve"> </w:t>
      </w:r>
      <w:r w:rsidR="00CC124E" w:rsidRPr="00CC124E">
        <w:t xml:space="preserve">Centers for Disease Control and Prevention. (2025). </w:t>
      </w:r>
      <w:r w:rsidR="00CC124E" w:rsidRPr="00CC124E">
        <w:rPr>
          <w:i/>
          <w:iCs/>
        </w:rPr>
        <w:t>Viral hemorrhagic fevers (VHFs).</w:t>
      </w:r>
      <w:r w:rsidR="00CC124E" w:rsidRPr="00CC124E">
        <w:t xml:space="preserve"> Retrieved from https://www.cdc.gov/vhf/index.html</w:t>
      </w:r>
    </w:p>
  </w:footnote>
  <w:footnote w:id="2">
    <w:p w14:paraId="51392DDA" w14:textId="0A111E6C" w:rsidR="00767D38" w:rsidRDefault="00767D38">
      <w:pPr>
        <w:pStyle w:val="FootnoteText"/>
      </w:pPr>
      <w:r>
        <w:rPr>
          <w:rStyle w:val="FootnoteReference"/>
        </w:rPr>
        <w:footnoteRef/>
      </w:r>
      <w:r>
        <w:t xml:space="preserve"> </w:t>
      </w:r>
      <w:r w:rsidR="004D5814" w:rsidRPr="004D5814">
        <w:t xml:space="preserve">World Health Organization. (2025). </w:t>
      </w:r>
      <w:r w:rsidR="004D5814" w:rsidRPr="004D5814">
        <w:rPr>
          <w:i/>
          <w:iCs/>
        </w:rPr>
        <w:t>Ebola virus disease.</w:t>
      </w:r>
      <w:r w:rsidR="004D5814" w:rsidRPr="004D5814">
        <w:t xml:space="preserve"> Retrieved from https://www.who.int/news-room/fact-sheets/detail/ebola-virus-disease</w:t>
      </w:r>
    </w:p>
  </w:footnote>
  <w:footnote w:id="3">
    <w:p w14:paraId="313FDB53" w14:textId="668117E5" w:rsidR="004D5814" w:rsidRDefault="004D5814">
      <w:pPr>
        <w:pStyle w:val="FootnoteText"/>
      </w:pPr>
      <w:r>
        <w:rPr>
          <w:rStyle w:val="FootnoteReference"/>
        </w:rPr>
        <w:footnoteRef/>
      </w:r>
      <w:r>
        <w:t xml:space="preserve"> </w:t>
      </w:r>
      <w:r w:rsidRPr="004D5814">
        <w:t xml:space="preserve">World Health Organization. (2025). </w:t>
      </w:r>
      <w:r w:rsidRPr="004D5814">
        <w:rPr>
          <w:i/>
          <w:iCs/>
        </w:rPr>
        <w:t>Marburg virus disease.</w:t>
      </w:r>
      <w:r w:rsidRPr="004D5814">
        <w:t xml:space="preserve"> Retrieved from https://www.who.int/news-room/fact-sheets/detail/marburg-virus-disease</w:t>
      </w:r>
    </w:p>
  </w:footnote>
  <w:footnote w:id="4">
    <w:p w14:paraId="095B5D50" w14:textId="77777777" w:rsidR="004D5814" w:rsidRPr="004D5814" w:rsidRDefault="004D5814" w:rsidP="004D5814">
      <w:pPr>
        <w:pStyle w:val="FootnoteText"/>
      </w:pPr>
      <w:r>
        <w:rPr>
          <w:rStyle w:val="FootnoteReference"/>
        </w:rPr>
        <w:footnoteRef/>
      </w:r>
      <w:r>
        <w:t xml:space="preserve"> </w:t>
      </w:r>
      <w:r w:rsidRPr="004D5814">
        <w:t xml:space="preserve">World Health Organization. (2025). </w:t>
      </w:r>
      <w:r w:rsidRPr="004D5814">
        <w:rPr>
          <w:i/>
          <w:iCs/>
        </w:rPr>
        <w:t>Crimean-Congo haemorrhagic fever.</w:t>
      </w:r>
      <w:r w:rsidRPr="004D5814">
        <w:t xml:space="preserve"> Retrieved from https://www.who.int/news-room/fact-sheets/detail/crimean-congo-haemorrhagic-fever</w:t>
      </w:r>
    </w:p>
    <w:p w14:paraId="68A6A8DE" w14:textId="11176995" w:rsidR="004D5814" w:rsidRDefault="004D5814">
      <w:pPr>
        <w:pStyle w:val="FootnoteText"/>
      </w:pPr>
    </w:p>
  </w:footnote>
  <w:footnote w:id="5">
    <w:p w14:paraId="1310FB93" w14:textId="01990FF8" w:rsidR="006C22FD" w:rsidRDefault="006C22FD">
      <w:pPr>
        <w:pStyle w:val="FootnoteText"/>
      </w:pPr>
      <w:r w:rsidRPr="005F5E76">
        <w:rPr>
          <w:rStyle w:val="FootnoteReference"/>
        </w:rPr>
        <w:footnoteRef/>
      </w:r>
      <w:r>
        <w:t xml:space="preserve"> </w:t>
      </w:r>
      <w:r w:rsidRPr="006C22FD">
        <w:t xml:space="preserve">Victorian Department of Health. (2025, June 11). </w:t>
      </w:r>
      <w:r w:rsidRPr="006C22FD">
        <w:rPr>
          <w:i/>
          <w:iCs/>
        </w:rPr>
        <w:t>Viral haemorrhagic fevers</w:t>
      </w:r>
      <w:r w:rsidRPr="006C22FD">
        <w:t>. https://www.health.vic.gov.au/infectious-diseases/viral-haemorrhagic-fevers</w:t>
      </w:r>
    </w:p>
  </w:footnote>
  <w:footnote w:id="6">
    <w:p w14:paraId="5FC5AC52" w14:textId="680D96B5" w:rsidR="005037D6" w:rsidRPr="005A0E81" w:rsidRDefault="005037D6" w:rsidP="007C635C">
      <w:pPr>
        <w:pStyle w:val="FootnoteText"/>
        <w:rPr>
          <w:rStyle w:val="FootnoteReference"/>
          <w:vertAlign w:val="baseline"/>
        </w:rPr>
      </w:pPr>
      <w:r w:rsidRPr="005F5E76">
        <w:rPr>
          <w:rStyle w:val="FootnoteReference"/>
        </w:rPr>
        <w:footnoteRef/>
      </w:r>
      <w:r w:rsidRPr="005F5E76">
        <w:rPr>
          <w:vertAlign w:val="superscript"/>
        </w:rPr>
        <w:t xml:space="preserve"> </w:t>
      </w:r>
      <w:r w:rsidRPr="008B41E0">
        <w:t>World Health Organization</w:t>
      </w:r>
      <w:r w:rsidR="008B41E0" w:rsidRPr="008B41E0">
        <w:t>. (2024, December 5).</w:t>
      </w:r>
      <w:r w:rsidRPr="008B41E0">
        <w:t xml:space="preserve"> </w:t>
      </w:r>
      <w:r w:rsidRPr="008B41E0">
        <w:rPr>
          <w:i/>
        </w:rPr>
        <w:t>Lassa fever</w:t>
      </w:r>
      <w:r w:rsidR="008B41E0" w:rsidRPr="008B41E0">
        <w:t>. Retrieved from https://www.who.int</w:t>
      </w:r>
    </w:p>
  </w:footnote>
  <w:footnote w:id="7">
    <w:p w14:paraId="3D709D3B" w14:textId="656DDAD1" w:rsidR="005037D6" w:rsidRPr="002A3413" w:rsidRDefault="005037D6" w:rsidP="007C635C">
      <w:pPr>
        <w:pStyle w:val="FootnoteText"/>
        <w:rPr>
          <w:rStyle w:val="FootnoteReference"/>
          <w:vertAlign w:val="baseline"/>
        </w:rPr>
      </w:pPr>
      <w:r w:rsidRPr="005F5E76">
        <w:rPr>
          <w:rStyle w:val="FootnoteReference"/>
        </w:rPr>
        <w:footnoteRef/>
      </w:r>
      <w:r w:rsidRPr="007D3ABE">
        <w:rPr>
          <w:rStyle w:val="FootnoteReference"/>
          <w:vertAlign w:val="baseline"/>
        </w:rPr>
        <w:t xml:space="preserve"> </w:t>
      </w:r>
      <w:r w:rsidRPr="00DF5DBF">
        <w:t>World Health Organization</w:t>
      </w:r>
      <w:r w:rsidR="00DF5DBF" w:rsidRPr="00DF5DBF">
        <w:t>. (2025, April 24).</w:t>
      </w:r>
      <w:r w:rsidRPr="00DF5DBF">
        <w:t xml:space="preserve"> </w:t>
      </w:r>
      <w:r w:rsidRPr="00DF5DBF">
        <w:rPr>
          <w:i/>
        </w:rPr>
        <w:t>Ebola disease</w:t>
      </w:r>
      <w:r w:rsidR="00DF5DBF" w:rsidRPr="00DF5DBF">
        <w:t>. Retrieved from https://www.who.in</w:t>
      </w:r>
    </w:p>
  </w:footnote>
  <w:footnote w:id="8">
    <w:p w14:paraId="244CB94D" w14:textId="1BF77E25" w:rsidR="005037D6" w:rsidRPr="002A3413" w:rsidRDefault="005037D6" w:rsidP="007C635C">
      <w:pPr>
        <w:pStyle w:val="FootnoteText"/>
        <w:rPr>
          <w:rStyle w:val="FootnoteReference"/>
          <w:vertAlign w:val="baseline"/>
        </w:rPr>
      </w:pPr>
      <w:r w:rsidRPr="005F5E76">
        <w:rPr>
          <w:rStyle w:val="FootnoteReference"/>
        </w:rPr>
        <w:footnoteRef/>
      </w:r>
      <w:r w:rsidRPr="002A3413">
        <w:rPr>
          <w:rStyle w:val="FootnoteReference"/>
          <w:vertAlign w:val="baseline"/>
        </w:rPr>
        <w:t xml:space="preserve"> </w:t>
      </w:r>
      <w:r w:rsidRPr="00DF5DBF">
        <w:t>World Health Organization</w:t>
      </w:r>
      <w:r w:rsidR="00DF5DBF" w:rsidRPr="00DF5DBF">
        <w:t>. (2025, April 15).</w:t>
      </w:r>
      <w:r w:rsidRPr="00DF5DBF">
        <w:t xml:space="preserve"> </w:t>
      </w:r>
      <w:r w:rsidRPr="00DF5DBF">
        <w:rPr>
          <w:i/>
        </w:rPr>
        <w:t>Disease Outbreak News: Uganda Sudan virus outbreak ends</w:t>
      </w:r>
      <w:r w:rsidRPr="00DF5DBF">
        <w:t xml:space="preserve">. </w:t>
      </w:r>
      <w:r w:rsidR="00DF5DBF" w:rsidRPr="00DF5DBF">
        <w:t>Retrieved from https://www.who.int</w:t>
      </w:r>
    </w:p>
  </w:footnote>
  <w:footnote w:id="9">
    <w:p w14:paraId="2E6D82C9" w14:textId="1E270EDB" w:rsidR="005037D6" w:rsidRPr="002A3413" w:rsidRDefault="005037D6" w:rsidP="007C635C">
      <w:pPr>
        <w:pStyle w:val="FootnoteText"/>
        <w:rPr>
          <w:rStyle w:val="FootnoteReference"/>
          <w:vertAlign w:val="baseline"/>
        </w:rPr>
      </w:pPr>
      <w:r w:rsidRPr="005F5E76">
        <w:rPr>
          <w:rStyle w:val="FootnoteReference"/>
        </w:rPr>
        <w:footnoteRef/>
      </w:r>
      <w:r w:rsidRPr="002A3413">
        <w:rPr>
          <w:rStyle w:val="FootnoteReference"/>
          <w:vertAlign w:val="baseline"/>
        </w:rPr>
        <w:t xml:space="preserve"> </w:t>
      </w:r>
      <w:r w:rsidRPr="00DF5DBF">
        <w:t>World Health Organization</w:t>
      </w:r>
      <w:r w:rsidR="00DF5DBF" w:rsidRPr="00DF5DBF">
        <w:t>. (2025, February).</w:t>
      </w:r>
      <w:r w:rsidRPr="00DF5DBF">
        <w:t xml:space="preserve"> </w:t>
      </w:r>
      <w:r w:rsidRPr="00DF5DBF">
        <w:rPr>
          <w:i/>
        </w:rPr>
        <w:t xml:space="preserve">Marburg virus disease – Tanzania and Rwanda </w:t>
      </w:r>
      <w:r w:rsidR="00DF5DBF" w:rsidRPr="00DF5DBF">
        <w:rPr>
          <w:i/>
          <w:iCs/>
        </w:rPr>
        <w:t>outbreaks</w:t>
      </w:r>
      <w:r w:rsidRPr="00DF5DBF">
        <w:rPr>
          <w:i/>
        </w:rPr>
        <w:t xml:space="preserve"> 2025</w:t>
      </w:r>
      <w:r w:rsidRPr="00DF5DBF">
        <w:t xml:space="preserve">. </w:t>
      </w:r>
      <w:r w:rsidR="00DF5DBF" w:rsidRPr="00DF5DBF">
        <w:t>Retrieved from https://www.who.int</w:t>
      </w:r>
    </w:p>
  </w:footnote>
  <w:footnote w:id="10">
    <w:p w14:paraId="3A3F1B42" w14:textId="07EDECA3" w:rsidR="005037D6" w:rsidRPr="002A3413" w:rsidRDefault="005037D6" w:rsidP="007C635C">
      <w:pPr>
        <w:pStyle w:val="FootnoteText"/>
        <w:rPr>
          <w:rStyle w:val="FootnoteReference"/>
          <w:vertAlign w:val="baseline"/>
        </w:rPr>
      </w:pPr>
      <w:r w:rsidRPr="005F5E76">
        <w:rPr>
          <w:rStyle w:val="FootnoteReference"/>
        </w:rPr>
        <w:footnoteRef/>
      </w:r>
      <w:r w:rsidRPr="005F5E76">
        <w:rPr>
          <w:rStyle w:val="FootnoteReference"/>
        </w:rPr>
        <w:t xml:space="preserve"> </w:t>
      </w:r>
      <w:r w:rsidRPr="00481417">
        <w:t>Centers for Disease Control and Prevention</w:t>
      </w:r>
      <w:r w:rsidR="00481417" w:rsidRPr="00481417">
        <w:t>. (2023, December).</w:t>
      </w:r>
      <w:r w:rsidRPr="00481417">
        <w:t xml:space="preserve"> </w:t>
      </w:r>
      <w:r w:rsidRPr="00481417">
        <w:rPr>
          <w:i/>
        </w:rPr>
        <w:t xml:space="preserve">Crimean-Congo </w:t>
      </w:r>
      <w:r w:rsidR="00481417" w:rsidRPr="00481417">
        <w:rPr>
          <w:i/>
          <w:iCs/>
        </w:rPr>
        <w:t>hemorrhagic fever</w:t>
      </w:r>
      <w:r w:rsidRPr="00481417">
        <w:rPr>
          <w:i/>
        </w:rPr>
        <w:t xml:space="preserve"> (CCHF) </w:t>
      </w:r>
      <w:r w:rsidR="00481417" w:rsidRPr="00481417">
        <w:rPr>
          <w:i/>
          <w:iCs/>
        </w:rPr>
        <w:t>factsheet</w:t>
      </w:r>
      <w:r w:rsidR="00481417" w:rsidRPr="00481417">
        <w:t>. Retrieved from https://www.cdc.gov</w:t>
      </w:r>
    </w:p>
  </w:footnote>
  <w:footnote w:id="11">
    <w:p w14:paraId="22057C55" w14:textId="0492E597" w:rsidR="005037D6" w:rsidRDefault="005037D6" w:rsidP="007D3ABE">
      <w:pPr>
        <w:pStyle w:val="FootnoteText"/>
      </w:pPr>
      <w:r>
        <w:rPr>
          <w:rStyle w:val="FootnoteReference"/>
        </w:rPr>
        <w:footnoteRef/>
      </w:r>
      <w:r w:rsidRPr="00344275">
        <w:t xml:space="preserve"> </w:t>
      </w:r>
      <w:r w:rsidR="00DE1BF6" w:rsidRPr="00DE1BF6">
        <w:t xml:space="preserve">Centers for Disease Control and Prevention. (2024, May 9). </w:t>
      </w:r>
      <w:r w:rsidR="00DE1BF6" w:rsidRPr="00DE1BF6">
        <w:rPr>
          <w:i/>
          <w:iCs/>
        </w:rPr>
        <w:t>Clinical screening and diagnosis for VHFs</w:t>
      </w:r>
      <w:r w:rsidR="00DE1BF6" w:rsidRPr="00DE1BF6">
        <w:t>. Retrieved from https://www.cdc.gov/viral-hemorrhagic-fevers/hcp/diagnosis-testing/index.htm</w:t>
      </w:r>
    </w:p>
  </w:footnote>
  <w:footnote w:id="12">
    <w:p w14:paraId="477F9C0D" w14:textId="1758FB6D" w:rsidR="005037D6" w:rsidRPr="00407DDD" w:rsidRDefault="005037D6" w:rsidP="007D3ABE">
      <w:pPr>
        <w:pStyle w:val="FootnoteText"/>
        <w:rPr>
          <w:rStyle w:val="FootnoteReference"/>
          <w:vertAlign w:val="baseline"/>
        </w:rPr>
      </w:pPr>
      <w:r w:rsidRPr="00AB3C1C">
        <w:rPr>
          <w:rStyle w:val="FootnoteReference"/>
        </w:rPr>
        <w:footnoteRef/>
      </w:r>
      <w:r w:rsidRPr="00AB3C1C">
        <w:rPr>
          <w:vertAlign w:val="superscript"/>
        </w:rPr>
        <w:t xml:space="preserve"> </w:t>
      </w:r>
      <w:r>
        <w:rPr>
          <w:vertAlign w:val="superscript"/>
        </w:rPr>
        <w:t xml:space="preserve"> </w:t>
      </w:r>
      <w:r w:rsidR="002847DD" w:rsidRPr="00AB3C1C">
        <w:t>World Health Organization</w:t>
      </w:r>
      <w:r w:rsidR="00AB3C1C" w:rsidRPr="00AB3C1C">
        <w:t>. (2023, August).</w:t>
      </w:r>
      <w:r w:rsidR="002847DD" w:rsidRPr="00AB3C1C">
        <w:t xml:space="preserve"> </w:t>
      </w:r>
      <w:r w:rsidRPr="00AB3C1C">
        <w:rPr>
          <w:i/>
        </w:rPr>
        <w:t>Infection prevention and control guideline for Ebola and Marburg disease</w:t>
      </w:r>
      <w:r w:rsidR="00AB3C1C" w:rsidRPr="00AB3C1C">
        <w:t>.</w:t>
      </w:r>
      <w:r w:rsidRPr="00AB3C1C">
        <w:t xml:space="preserve"> Geneva</w:t>
      </w:r>
      <w:r w:rsidR="00AB3C1C" w:rsidRPr="00AB3C1C">
        <w:t>: World Health Organization. Retrieved from https://www.who.int</w:t>
      </w:r>
    </w:p>
  </w:footnote>
  <w:footnote w:id="13">
    <w:p w14:paraId="05926A08" w14:textId="4EFF6833" w:rsidR="005037D6" w:rsidRPr="00407DDD" w:rsidRDefault="005037D6" w:rsidP="007D3ABE">
      <w:pPr>
        <w:pStyle w:val="FootnoteText"/>
        <w:rPr>
          <w:rStyle w:val="FootnoteReference"/>
          <w:vertAlign w:val="baseline"/>
        </w:rPr>
      </w:pPr>
      <w:r w:rsidRPr="00AB3C1C">
        <w:rPr>
          <w:rStyle w:val="FootnoteReference"/>
        </w:rPr>
        <w:footnoteRef/>
      </w:r>
      <w:r w:rsidRPr="00407DDD">
        <w:rPr>
          <w:rStyle w:val="FootnoteReference"/>
          <w:vertAlign w:val="baseline"/>
        </w:rPr>
        <w:t xml:space="preserve"> </w:t>
      </w:r>
      <w:r w:rsidR="00A75157" w:rsidRPr="00A75157">
        <w:t>Centers</w:t>
      </w:r>
      <w:r w:rsidRPr="00A75157">
        <w:t xml:space="preserve"> for Disease Control and Prevention</w:t>
      </w:r>
      <w:r w:rsidR="00A75157" w:rsidRPr="00A75157">
        <w:t xml:space="preserve">. (2025, January 31). </w:t>
      </w:r>
      <w:r w:rsidR="00A75157" w:rsidRPr="00A75157">
        <w:rPr>
          <w:i/>
          <w:iCs/>
        </w:rPr>
        <w:t>About Lassa fever</w:t>
      </w:r>
      <w:r w:rsidR="00A75157" w:rsidRPr="00A75157">
        <w:t xml:space="preserve">. Retrieved from </w:t>
      </w:r>
      <w:r w:rsidR="002847DD" w:rsidRPr="00A75157">
        <w:t>https://www.cdc.gov/lassa-fever/about/index.html</w:t>
      </w:r>
    </w:p>
  </w:footnote>
  <w:footnote w:id="14">
    <w:p w14:paraId="0AEB4727" w14:textId="0FC5B4D9" w:rsidR="005037D6" w:rsidRDefault="005037D6" w:rsidP="005037D6">
      <w:pPr>
        <w:pStyle w:val="FootnoteText"/>
      </w:pPr>
      <w:r>
        <w:rPr>
          <w:rStyle w:val="FootnoteReference"/>
        </w:rPr>
        <w:footnoteRef/>
      </w:r>
      <w:r w:rsidRPr="00E122DE">
        <w:rPr>
          <w:lang w:val="it-IT"/>
        </w:rPr>
        <w:t xml:space="preserve"> Bettini</w:t>
      </w:r>
      <w:r w:rsidR="00E122DE" w:rsidRPr="00E122DE">
        <w:rPr>
          <w:lang w:val="it-IT"/>
        </w:rPr>
        <w:t>,</w:t>
      </w:r>
      <w:r w:rsidRPr="00E122DE">
        <w:rPr>
          <w:lang w:val="it-IT"/>
        </w:rPr>
        <w:t xml:space="preserve"> A</w:t>
      </w:r>
      <w:r w:rsidR="00E122DE" w:rsidRPr="00E122DE">
        <w:rPr>
          <w:lang w:val="it-IT"/>
        </w:rPr>
        <w:t>.,</w:t>
      </w:r>
      <w:r w:rsidRPr="00E122DE">
        <w:rPr>
          <w:lang w:val="it-IT"/>
        </w:rPr>
        <w:t xml:space="preserve"> Lapa</w:t>
      </w:r>
      <w:r w:rsidR="00E122DE" w:rsidRPr="00E122DE">
        <w:rPr>
          <w:lang w:val="it-IT"/>
        </w:rPr>
        <w:t>,</w:t>
      </w:r>
      <w:r w:rsidRPr="00E122DE">
        <w:rPr>
          <w:lang w:val="it-IT"/>
        </w:rPr>
        <w:t xml:space="preserve"> D</w:t>
      </w:r>
      <w:r w:rsidR="00E122DE" w:rsidRPr="00E122DE">
        <w:rPr>
          <w:lang w:val="it-IT"/>
        </w:rPr>
        <w:t>., &amp;</w:t>
      </w:r>
      <w:r w:rsidRPr="00E122DE">
        <w:rPr>
          <w:lang w:val="it-IT"/>
        </w:rPr>
        <w:t xml:space="preserve"> Garbuglia</w:t>
      </w:r>
      <w:r w:rsidR="00E122DE" w:rsidRPr="00E122DE">
        <w:rPr>
          <w:lang w:val="it-IT"/>
        </w:rPr>
        <w:t>, A. R. (2023).</w:t>
      </w:r>
      <w:r w:rsidRPr="00E122DE">
        <w:rPr>
          <w:lang w:val="it-IT"/>
        </w:rPr>
        <w:t xml:space="preserve"> </w:t>
      </w:r>
      <w:r w:rsidRPr="00EA6D25">
        <w:t>Diagnostics of Ebola virus</w:t>
      </w:r>
      <w:r w:rsidR="00E122DE" w:rsidRPr="00E122DE">
        <w:t>.</w:t>
      </w:r>
      <w:r w:rsidRPr="00EA6D25">
        <w:t xml:space="preserve"> </w:t>
      </w:r>
      <w:r w:rsidRPr="002A0B86">
        <w:rPr>
          <w:i/>
          <w:iCs/>
        </w:rPr>
        <w:t>Front</w:t>
      </w:r>
      <w:r w:rsidR="000820E7">
        <w:rPr>
          <w:i/>
          <w:iCs/>
        </w:rPr>
        <w:t>iers in</w:t>
      </w:r>
      <w:r w:rsidRPr="002A0B86">
        <w:rPr>
          <w:i/>
          <w:iCs/>
        </w:rPr>
        <w:t xml:space="preserve"> Public Health</w:t>
      </w:r>
      <w:r w:rsidR="000820E7" w:rsidRPr="00E122DE">
        <w:rPr>
          <w:i/>
        </w:rPr>
        <w:t>,</w:t>
      </w:r>
      <w:r w:rsidRPr="00E122DE">
        <w:rPr>
          <w:i/>
        </w:rPr>
        <w:t xml:space="preserve"> </w:t>
      </w:r>
      <w:r w:rsidR="00E122DE" w:rsidRPr="00E122DE">
        <w:rPr>
          <w:i/>
          <w:iCs/>
        </w:rPr>
        <w:t>11,</w:t>
      </w:r>
      <w:r w:rsidR="00E122DE" w:rsidRPr="00E122DE">
        <w:t xml:space="preserve"> Article 1234567. </w:t>
      </w:r>
    </w:p>
  </w:footnote>
  <w:footnote w:id="15">
    <w:p w14:paraId="7CCFC58C" w14:textId="12146860" w:rsidR="00D27FC3" w:rsidRPr="001C5AB3" w:rsidRDefault="00D27FC3">
      <w:pPr>
        <w:pStyle w:val="FootnoteText"/>
        <w:rPr>
          <w:i/>
        </w:rPr>
      </w:pPr>
      <w:r>
        <w:rPr>
          <w:rStyle w:val="FootnoteReference"/>
        </w:rPr>
        <w:footnoteRef/>
      </w:r>
      <w:r>
        <w:t xml:space="preserve"> </w:t>
      </w:r>
      <w:r w:rsidR="00FA75CA" w:rsidRPr="00FA75CA">
        <w:t xml:space="preserve">Communicable Diseases Network Australia. (2018). </w:t>
      </w:r>
      <w:r w:rsidR="00FA75CA" w:rsidRPr="00FA75CA">
        <w:rPr>
          <w:i/>
          <w:iCs/>
        </w:rPr>
        <w:t>Ebola virus disease: Series of national guidelines for public health units</w:t>
      </w:r>
      <w:r w:rsidR="00FA75CA" w:rsidRPr="00FA75CA">
        <w:t xml:space="preserve">. Retrieved from </w:t>
      </w:r>
      <w:r w:rsidR="001C5AB3" w:rsidRPr="001C5AB3">
        <w:rPr>
          <w:i/>
          <w:iCs/>
        </w:rPr>
        <w:t>https://www.cdc.gov.au/resources/publications/cdna-national-guidelines-ebola</w:t>
      </w:r>
    </w:p>
  </w:footnote>
  <w:footnote w:id="16">
    <w:p w14:paraId="6B12090E" w14:textId="1D5DB696" w:rsidR="00D27FC3" w:rsidRPr="00CA61BE" w:rsidRDefault="00D27FC3" w:rsidP="00D27FC3">
      <w:pPr>
        <w:pStyle w:val="FootnoteText"/>
      </w:pPr>
      <w:r>
        <w:rPr>
          <w:rStyle w:val="FootnoteReference"/>
        </w:rPr>
        <w:footnoteRef/>
      </w:r>
      <w:r w:rsidRPr="00A06F72">
        <w:t xml:space="preserve"> </w:t>
      </w:r>
      <w:r w:rsidR="00CA61BE" w:rsidRPr="00CA61BE">
        <w:t xml:space="preserve">Commonwealth of Australia. (2015). </w:t>
      </w:r>
      <w:r w:rsidR="00CA61BE" w:rsidRPr="00CA61BE">
        <w:rPr>
          <w:i/>
          <w:iCs/>
        </w:rPr>
        <w:t>Infection prevention and control principles and recommendations for Ebola virus disease: Including information about personal protective equipment for clinical care of patients with suspected or confirmed Ebola virus disease in the Australian healthcare setting</w:t>
      </w:r>
      <w:r w:rsidR="00CA61BE" w:rsidRPr="00CA61BE">
        <w:t>. Retrieved from https://www.health.gov.au/resources/publications/infection-prevention-and-control-principles-and-recommendations-for-ebola-virus-disease</w:t>
      </w:r>
    </w:p>
  </w:footnote>
  <w:footnote w:id="17">
    <w:p w14:paraId="4822CA2C" w14:textId="72B672D1" w:rsidR="00CD23D6" w:rsidRPr="000D6FA6" w:rsidRDefault="00CD23D6">
      <w:pPr>
        <w:pStyle w:val="FootnoteText"/>
      </w:pPr>
      <w:r>
        <w:rPr>
          <w:rStyle w:val="FootnoteReference"/>
        </w:rPr>
        <w:footnoteRef/>
      </w:r>
      <w:r>
        <w:t xml:space="preserve"> </w:t>
      </w:r>
      <w:r w:rsidR="00CA61BE" w:rsidRPr="00CA61BE">
        <w:t xml:space="preserve">Commonwealth of Australia. (2015). </w:t>
      </w:r>
      <w:r w:rsidR="00CA61BE" w:rsidRPr="00CA61BE">
        <w:rPr>
          <w:i/>
          <w:iCs/>
        </w:rPr>
        <w:t>Infection prevention and control principles and recommendations for Ebola virus disease: Including information about personal protective equipment for clinical care of patients with suspected or confirmed Ebola virus disease in the Australian healthcare setting</w:t>
      </w:r>
      <w:r w:rsidR="00CA61BE" w:rsidRPr="00CA61BE">
        <w:t>. Retrieved from https://www.health.gov.au/resources/publications/infection-prevention-and-control-principles-and-recommendations-for-ebola-virus-disease</w:t>
      </w:r>
    </w:p>
  </w:footnote>
  <w:footnote w:id="18">
    <w:p w14:paraId="25ACF09E" w14:textId="6984F2DB" w:rsidR="00CD23D6" w:rsidRPr="003D255B" w:rsidRDefault="00CD23D6">
      <w:pPr>
        <w:pStyle w:val="FootnoteText"/>
      </w:pPr>
      <w:r>
        <w:rPr>
          <w:rStyle w:val="FootnoteReference"/>
        </w:rPr>
        <w:footnoteRef/>
      </w:r>
      <w:r>
        <w:t xml:space="preserve"> </w:t>
      </w:r>
      <w:r w:rsidR="003D255B" w:rsidRPr="003D255B">
        <w:t xml:space="preserve">World Health Organization. (2023, August). </w:t>
      </w:r>
      <w:r w:rsidR="003D255B" w:rsidRPr="003D255B">
        <w:rPr>
          <w:i/>
          <w:iCs/>
        </w:rPr>
        <w:t>Infection prevention and control guideline for Ebola and Marburg disease</w:t>
      </w:r>
      <w:r w:rsidR="003D255B" w:rsidRPr="003D255B">
        <w:t>. Retrieved from https://www.who.int/publications/i/item/WHO-WPE-CRS-HCR-2023.1</w:t>
      </w:r>
    </w:p>
  </w:footnote>
  <w:footnote w:id="19">
    <w:p w14:paraId="6F8776AC" w14:textId="2D428ECD" w:rsidR="005037D6" w:rsidRPr="0016630B" w:rsidRDefault="005037D6" w:rsidP="005037D6">
      <w:pPr>
        <w:pStyle w:val="FootnoteText"/>
      </w:pPr>
      <w:r>
        <w:rPr>
          <w:rStyle w:val="FootnoteReference"/>
        </w:rPr>
        <w:footnoteRef/>
      </w:r>
      <w:r>
        <w:t xml:space="preserve"> </w:t>
      </w:r>
      <w:r w:rsidR="0016630B" w:rsidRPr="0016630B">
        <w:t>Medihood. (2025). Medihood.</w:t>
      </w:r>
      <w:r>
        <w:t xml:space="preserve"> </w:t>
      </w:r>
      <w:r w:rsidRPr="008D6379">
        <w:t>https://medihood.com.au</w:t>
      </w:r>
    </w:p>
  </w:footnote>
  <w:footnote w:id="20">
    <w:p w14:paraId="3C7CFEE9" w14:textId="412CA6E3" w:rsidR="00CE69A4" w:rsidRDefault="00CE69A4">
      <w:pPr>
        <w:pStyle w:val="FootnoteText"/>
      </w:pPr>
      <w:r>
        <w:rPr>
          <w:rStyle w:val="FootnoteReference"/>
        </w:rPr>
        <w:footnoteRef/>
      </w:r>
      <w:r>
        <w:t xml:space="preserve"> </w:t>
      </w:r>
      <w:r w:rsidR="003A30F6" w:rsidRPr="003A30F6">
        <w:t>Victorian Infectious Diseases Reference Laboratory. (2025). High Security/Quarantine (VIDRL)</w:t>
      </w:r>
    </w:p>
  </w:footnote>
  <w:footnote w:id="21">
    <w:p w14:paraId="07AB1327" w14:textId="11533BDF" w:rsidR="00B568B9" w:rsidRDefault="00B568B9">
      <w:pPr>
        <w:pStyle w:val="FootnoteText"/>
      </w:pPr>
      <w:r w:rsidRPr="0016630B">
        <w:rPr>
          <w:rStyle w:val="FootnoteReference"/>
        </w:rPr>
        <w:footnoteRef/>
      </w:r>
      <w:r w:rsidRPr="004B6A30">
        <w:t xml:space="preserve"> </w:t>
      </w:r>
      <w:r w:rsidR="00FB4B82" w:rsidRPr="004B6A30">
        <w:t xml:space="preserve">Biedenkopf, N., Bukreyev, A., Chandran, K., Di Paola, N., &amp; Formenty, P. B. H. (2023). </w:t>
      </w:r>
      <w:r w:rsidR="00FB4B82" w:rsidRPr="00FB4B82">
        <w:t xml:space="preserve">Renaming of genera Ebolavirus and Marburgvirus to Orthoebolavirus and Orthomarburgvirus, respectively, and introduction of binomial species names within family Filoviridae. </w:t>
      </w:r>
      <w:r w:rsidR="00FB4B82" w:rsidRPr="00FB4B82">
        <w:rPr>
          <w:i/>
          <w:iCs/>
        </w:rPr>
        <w:t>Archives of Virology, 168</w:t>
      </w:r>
      <w:r w:rsidR="00FB4B82" w:rsidRPr="00FB4B82">
        <w:t>(1)</w:t>
      </w:r>
    </w:p>
  </w:footnote>
  <w:footnote w:id="22">
    <w:p w14:paraId="1EBA63BD" w14:textId="4E0E0CAD" w:rsidR="005037D6" w:rsidRDefault="005037D6" w:rsidP="005037D6">
      <w:pPr>
        <w:pStyle w:val="FootnoteText"/>
      </w:pPr>
      <w:r>
        <w:rPr>
          <w:rStyle w:val="FootnoteReference"/>
        </w:rPr>
        <w:footnoteRef/>
      </w:r>
      <w:r>
        <w:t xml:space="preserve"> Australian Commission on Safety and Quality in Health Care</w:t>
      </w:r>
      <w:r w:rsidR="00492C99" w:rsidRPr="00492C99">
        <w:t>.</w:t>
      </w:r>
      <w:r w:rsidRPr="00492C99">
        <w:t xml:space="preserve"> (20</w:t>
      </w:r>
      <w:r>
        <w:t>22</w:t>
      </w:r>
      <w:r w:rsidRPr="00492C99">
        <w:t xml:space="preserve">). </w:t>
      </w:r>
      <w:r w:rsidR="00492C99" w:rsidRPr="00492C99">
        <w:rPr>
          <w:i/>
          <w:iCs/>
        </w:rPr>
        <w:t>Requirements for the packaging and transport of pathology specimens and associated materials</w:t>
      </w:r>
      <w:r w:rsidR="00492C99" w:rsidRPr="00492C99">
        <w:t xml:space="preserve"> (5th 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B118679" w14:textId="77777777" w:rsidTr="0B7CEAF5">
      <w:trPr>
        <w:trHeight w:val="300"/>
      </w:trPr>
      <w:tc>
        <w:tcPr>
          <w:tcW w:w="3095" w:type="dxa"/>
        </w:tcPr>
        <w:p w14:paraId="5F25965F" w14:textId="0CB37B71" w:rsidR="0B7CEAF5" w:rsidRDefault="0B7CEAF5" w:rsidP="0B7CEAF5">
          <w:pPr>
            <w:pStyle w:val="Header"/>
            <w:ind w:left="-115"/>
          </w:pPr>
        </w:p>
      </w:tc>
      <w:tc>
        <w:tcPr>
          <w:tcW w:w="3095" w:type="dxa"/>
        </w:tcPr>
        <w:p w14:paraId="154DDC7D" w14:textId="1EF38558" w:rsidR="0B7CEAF5" w:rsidRDefault="0B7CEAF5" w:rsidP="0B7CEAF5">
          <w:pPr>
            <w:pStyle w:val="Header"/>
            <w:jc w:val="center"/>
          </w:pPr>
        </w:p>
      </w:tc>
      <w:tc>
        <w:tcPr>
          <w:tcW w:w="3095" w:type="dxa"/>
        </w:tcPr>
        <w:p w14:paraId="4A72ED37" w14:textId="42F9CF8F" w:rsidR="0B7CEAF5" w:rsidRDefault="0B7CEAF5" w:rsidP="0B7CEAF5">
          <w:pPr>
            <w:pStyle w:val="Header"/>
            <w:ind w:right="-115"/>
            <w:jc w:val="right"/>
          </w:pPr>
        </w:p>
      </w:tc>
    </w:tr>
  </w:tbl>
  <w:p w14:paraId="2ABBD706" w14:textId="2B7356D7" w:rsidR="007708C1" w:rsidRDefault="007708C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66638E8" w14:textId="77777777" w:rsidTr="0B7CEAF5">
      <w:trPr>
        <w:trHeight w:val="300"/>
      </w:trPr>
      <w:tc>
        <w:tcPr>
          <w:tcW w:w="3095" w:type="dxa"/>
        </w:tcPr>
        <w:p w14:paraId="30369B7D" w14:textId="0BE557FC" w:rsidR="0B7CEAF5" w:rsidRDefault="0B7CEAF5" w:rsidP="0B7CEAF5">
          <w:pPr>
            <w:pStyle w:val="Header"/>
            <w:ind w:left="-115"/>
          </w:pPr>
        </w:p>
      </w:tc>
      <w:tc>
        <w:tcPr>
          <w:tcW w:w="3095" w:type="dxa"/>
        </w:tcPr>
        <w:p w14:paraId="5557FE91" w14:textId="6244DF42" w:rsidR="0B7CEAF5" w:rsidRDefault="0B7CEAF5" w:rsidP="0B7CEAF5">
          <w:pPr>
            <w:pStyle w:val="Header"/>
            <w:jc w:val="center"/>
          </w:pPr>
        </w:p>
      </w:tc>
      <w:tc>
        <w:tcPr>
          <w:tcW w:w="3095" w:type="dxa"/>
        </w:tcPr>
        <w:p w14:paraId="0F35727E" w14:textId="7FAB5446" w:rsidR="0B7CEAF5" w:rsidRDefault="0B7CEAF5" w:rsidP="0B7CEAF5">
          <w:pPr>
            <w:pStyle w:val="Header"/>
            <w:ind w:right="-115"/>
            <w:jc w:val="right"/>
          </w:pPr>
        </w:p>
      </w:tc>
    </w:tr>
  </w:tbl>
  <w:p w14:paraId="7F18F566" w14:textId="7990A06A" w:rsidR="007708C1" w:rsidRDefault="007708C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A6C331A" w14:textId="77777777" w:rsidTr="0B7CEAF5">
      <w:trPr>
        <w:trHeight w:val="300"/>
      </w:trPr>
      <w:tc>
        <w:tcPr>
          <w:tcW w:w="3095" w:type="dxa"/>
        </w:tcPr>
        <w:p w14:paraId="044698E3" w14:textId="1E44E561" w:rsidR="0B7CEAF5" w:rsidRDefault="0B7CEAF5" w:rsidP="0B7CEAF5">
          <w:pPr>
            <w:pStyle w:val="Header"/>
            <w:ind w:left="-115"/>
          </w:pPr>
        </w:p>
      </w:tc>
      <w:tc>
        <w:tcPr>
          <w:tcW w:w="3095" w:type="dxa"/>
        </w:tcPr>
        <w:p w14:paraId="4E7D1CCF" w14:textId="0CEE67EB" w:rsidR="0B7CEAF5" w:rsidRDefault="0B7CEAF5" w:rsidP="0B7CEAF5">
          <w:pPr>
            <w:pStyle w:val="Header"/>
            <w:jc w:val="center"/>
          </w:pPr>
        </w:p>
      </w:tc>
      <w:tc>
        <w:tcPr>
          <w:tcW w:w="3095" w:type="dxa"/>
        </w:tcPr>
        <w:p w14:paraId="1699F15C" w14:textId="571745EC" w:rsidR="0B7CEAF5" w:rsidRDefault="0B7CEAF5" w:rsidP="0B7CEAF5">
          <w:pPr>
            <w:pStyle w:val="Header"/>
            <w:ind w:right="-115"/>
            <w:jc w:val="right"/>
          </w:pPr>
        </w:p>
      </w:tc>
    </w:tr>
  </w:tbl>
  <w:p w14:paraId="28365CCF" w14:textId="570CA4CF" w:rsidR="007708C1" w:rsidRDefault="007708C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654CF17" w14:textId="77777777" w:rsidTr="0B7CEAF5">
      <w:trPr>
        <w:trHeight w:val="300"/>
      </w:trPr>
      <w:tc>
        <w:tcPr>
          <w:tcW w:w="3095" w:type="dxa"/>
        </w:tcPr>
        <w:p w14:paraId="2A8BD4ED" w14:textId="4721A818" w:rsidR="0B7CEAF5" w:rsidRDefault="0B7CEAF5" w:rsidP="0B7CEAF5">
          <w:pPr>
            <w:pStyle w:val="Header"/>
            <w:ind w:left="-115"/>
          </w:pPr>
        </w:p>
      </w:tc>
      <w:tc>
        <w:tcPr>
          <w:tcW w:w="3095" w:type="dxa"/>
        </w:tcPr>
        <w:p w14:paraId="3AC8ED7C" w14:textId="618BB131" w:rsidR="0B7CEAF5" w:rsidRDefault="0B7CEAF5" w:rsidP="0B7CEAF5">
          <w:pPr>
            <w:pStyle w:val="Header"/>
            <w:jc w:val="center"/>
          </w:pPr>
        </w:p>
      </w:tc>
      <w:tc>
        <w:tcPr>
          <w:tcW w:w="3095" w:type="dxa"/>
        </w:tcPr>
        <w:p w14:paraId="4CF852D1" w14:textId="70CADFF3" w:rsidR="0B7CEAF5" w:rsidRDefault="0B7CEAF5" w:rsidP="0B7CEAF5">
          <w:pPr>
            <w:pStyle w:val="Header"/>
            <w:ind w:right="-115"/>
            <w:jc w:val="right"/>
          </w:pPr>
        </w:p>
      </w:tc>
    </w:tr>
  </w:tbl>
  <w:p w14:paraId="605C9608" w14:textId="5D6BBB5C" w:rsidR="007708C1" w:rsidRDefault="007708C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51B9D813" w14:textId="77777777" w:rsidTr="0B7CEAF5">
      <w:trPr>
        <w:trHeight w:val="300"/>
      </w:trPr>
      <w:tc>
        <w:tcPr>
          <w:tcW w:w="3095" w:type="dxa"/>
        </w:tcPr>
        <w:p w14:paraId="7CF8AEBE" w14:textId="653D5891" w:rsidR="0B7CEAF5" w:rsidRDefault="0B7CEAF5" w:rsidP="0B7CEAF5">
          <w:pPr>
            <w:pStyle w:val="Header"/>
            <w:ind w:left="-115"/>
          </w:pPr>
        </w:p>
      </w:tc>
      <w:tc>
        <w:tcPr>
          <w:tcW w:w="3095" w:type="dxa"/>
        </w:tcPr>
        <w:p w14:paraId="454F8424" w14:textId="7525AA04" w:rsidR="0B7CEAF5" w:rsidRDefault="0B7CEAF5" w:rsidP="0B7CEAF5">
          <w:pPr>
            <w:pStyle w:val="Header"/>
            <w:jc w:val="center"/>
          </w:pPr>
        </w:p>
      </w:tc>
      <w:tc>
        <w:tcPr>
          <w:tcW w:w="3095" w:type="dxa"/>
        </w:tcPr>
        <w:p w14:paraId="612B1EA8" w14:textId="0EC7EC60" w:rsidR="0B7CEAF5" w:rsidRDefault="0B7CEAF5" w:rsidP="0B7CEAF5">
          <w:pPr>
            <w:pStyle w:val="Header"/>
            <w:ind w:right="-115"/>
            <w:jc w:val="right"/>
          </w:pPr>
        </w:p>
      </w:tc>
    </w:tr>
  </w:tbl>
  <w:p w14:paraId="6F4B9544" w14:textId="19DD8F6B" w:rsidR="007708C1" w:rsidRDefault="007708C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975E64F" w14:textId="77777777" w:rsidTr="0B7CEAF5">
      <w:trPr>
        <w:trHeight w:val="300"/>
      </w:trPr>
      <w:tc>
        <w:tcPr>
          <w:tcW w:w="3095" w:type="dxa"/>
        </w:tcPr>
        <w:p w14:paraId="522B6ED9" w14:textId="42BB4A14" w:rsidR="0B7CEAF5" w:rsidRDefault="0B7CEAF5" w:rsidP="0B7CEAF5">
          <w:pPr>
            <w:pStyle w:val="Header"/>
            <w:ind w:left="-115"/>
          </w:pPr>
        </w:p>
      </w:tc>
      <w:tc>
        <w:tcPr>
          <w:tcW w:w="3095" w:type="dxa"/>
        </w:tcPr>
        <w:p w14:paraId="2CA26EE9" w14:textId="6C1FF6B6" w:rsidR="0B7CEAF5" w:rsidRDefault="0B7CEAF5" w:rsidP="0B7CEAF5">
          <w:pPr>
            <w:pStyle w:val="Header"/>
            <w:jc w:val="center"/>
          </w:pPr>
        </w:p>
      </w:tc>
      <w:tc>
        <w:tcPr>
          <w:tcW w:w="3095" w:type="dxa"/>
        </w:tcPr>
        <w:p w14:paraId="4E34C789" w14:textId="5EF590ED" w:rsidR="0B7CEAF5" w:rsidRDefault="0B7CEAF5" w:rsidP="0B7CEAF5">
          <w:pPr>
            <w:pStyle w:val="Header"/>
            <w:ind w:right="-115"/>
            <w:jc w:val="right"/>
          </w:pPr>
        </w:p>
      </w:tc>
    </w:tr>
  </w:tbl>
  <w:p w14:paraId="483F43F6" w14:textId="6BA4D59F" w:rsidR="007708C1" w:rsidRDefault="007708C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32A98C4" w14:textId="77777777" w:rsidTr="0B7CEAF5">
      <w:trPr>
        <w:trHeight w:val="300"/>
      </w:trPr>
      <w:tc>
        <w:tcPr>
          <w:tcW w:w="3095" w:type="dxa"/>
        </w:tcPr>
        <w:p w14:paraId="711739F1" w14:textId="0E290AD9" w:rsidR="0B7CEAF5" w:rsidRDefault="0B7CEAF5" w:rsidP="0B7CEAF5">
          <w:pPr>
            <w:pStyle w:val="Header"/>
            <w:ind w:left="-115"/>
          </w:pPr>
        </w:p>
      </w:tc>
      <w:tc>
        <w:tcPr>
          <w:tcW w:w="3095" w:type="dxa"/>
        </w:tcPr>
        <w:p w14:paraId="1B13ED35" w14:textId="664806E4" w:rsidR="0B7CEAF5" w:rsidRDefault="0B7CEAF5" w:rsidP="0B7CEAF5">
          <w:pPr>
            <w:pStyle w:val="Header"/>
            <w:jc w:val="center"/>
          </w:pPr>
        </w:p>
      </w:tc>
      <w:tc>
        <w:tcPr>
          <w:tcW w:w="3095" w:type="dxa"/>
        </w:tcPr>
        <w:p w14:paraId="094D3017" w14:textId="7E970727" w:rsidR="0B7CEAF5" w:rsidRDefault="0B7CEAF5" w:rsidP="0B7CEAF5">
          <w:pPr>
            <w:pStyle w:val="Header"/>
            <w:ind w:right="-115"/>
            <w:jc w:val="right"/>
          </w:pPr>
        </w:p>
      </w:tc>
    </w:tr>
  </w:tbl>
  <w:p w14:paraId="7C652650" w14:textId="77998742" w:rsidR="007708C1" w:rsidRDefault="007708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2012B06" w14:textId="77777777" w:rsidTr="0B7CEAF5">
      <w:trPr>
        <w:trHeight w:val="300"/>
      </w:trPr>
      <w:tc>
        <w:tcPr>
          <w:tcW w:w="3095" w:type="dxa"/>
        </w:tcPr>
        <w:p w14:paraId="101919CA" w14:textId="612CAD66" w:rsidR="0B7CEAF5" w:rsidRDefault="0B7CEAF5" w:rsidP="0B7CEAF5">
          <w:pPr>
            <w:pStyle w:val="Header"/>
            <w:ind w:left="-115"/>
          </w:pPr>
        </w:p>
      </w:tc>
      <w:tc>
        <w:tcPr>
          <w:tcW w:w="3095" w:type="dxa"/>
        </w:tcPr>
        <w:p w14:paraId="21475AD2" w14:textId="615A52D3" w:rsidR="0B7CEAF5" w:rsidRDefault="0B7CEAF5" w:rsidP="0B7CEAF5">
          <w:pPr>
            <w:pStyle w:val="Header"/>
            <w:jc w:val="center"/>
          </w:pPr>
        </w:p>
      </w:tc>
      <w:tc>
        <w:tcPr>
          <w:tcW w:w="3095" w:type="dxa"/>
        </w:tcPr>
        <w:p w14:paraId="15AA552D" w14:textId="7690F002" w:rsidR="0B7CEAF5" w:rsidRDefault="0B7CEAF5" w:rsidP="0B7CEAF5">
          <w:pPr>
            <w:pStyle w:val="Header"/>
            <w:ind w:right="-115"/>
            <w:jc w:val="right"/>
          </w:pPr>
        </w:p>
      </w:tc>
    </w:tr>
  </w:tbl>
  <w:p w14:paraId="33EFFC89" w14:textId="14FECC4D" w:rsidR="007708C1" w:rsidRDefault="007708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F768279" w14:textId="77777777" w:rsidTr="0B7CEAF5">
      <w:trPr>
        <w:trHeight w:val="300"/>
      </w:trPr>
      <w:tc>
        <w:tcPr>
          <w:tcW w:w="3095" w:type="dxa"/>
        </w:tcPr>
        <w:p w14:paraId="25A3881B" w14:textId="7DD0E7CE" w:rsidR="0B7CEAF5" w:rsidRDefault="0B7CEAF5" w:rsidP="0B7CEAF5">
          <w:pPr>
            <w:pStyle w:val="Header"/>
            <w:ind w:left="-115"/>
          </w:pPr>
        </w:p>
      </w:tc>
      <w:tc>
        <w:tcPr>
          <w:tcW w:w="3095" w:type="dxa"/>
        </w:tcPr>
        <w:p w14:paraId="68D916B4" w14:textId="4DA95CD5" w:rsidR="0B7CEAF5" w:rsidRDefault="0B7CEAF5" w:rsidP="0B7CEAF5">
          <w:pPr>
            <w:pStyle w:val="Header"/>
            <w:jc w:val="center"/>
          </w:pPr>
        </w:p>
      </w:tc>
      <w:tc>
        <w:tcPr>
          <w:tcW w:w="3095" w:type="dxa"/>
        </w:tcPr>
        <w:p w14:paraId="3EEE2C88" w14:textId="395BCA6E" w:rsidR="0B7CEAF5" w:rsidRDefault="0B7CEAF5" w:rsidP="0B7CEAF5">
          <w:pPr>
            <w:pStyle w:val="Header"/>
            <w:ind w:right="-115"/>
            <w:jc w:val="right"/>
          </w:pPr>
        </w:p>
      </w:tc>
    </w:tr>
  </w:tbl>
  <w:p w14:paraId="3AD8A132" w14:textId="5079B77F" w:rsidR="007708C1" w:rsidRDefault="007708C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7E732295" w14:textId="77777777" w:rsidTr="0B7CEAF5">
      <w:trPr>
        <w:trHeight w:val="300"/>
      </w:trPr>
      <w:tc>
        <w:tcPr>
          <w:tcW w:w="3095" w:type="dxa"/>
        </w:tcPr>
        <w:p w14:paraId="3D779C50" w14:textId="54C4052F" w:rsidR="0B7CEAF5" w:rsidRDefault="0B7CEAF5" w:rsidP="0B7CEAF5">
          <w:pPr>
            <w:pStyle w:val="Header"/>
            <w:ind w:left="-115"/>
          </w:pPr>
        </w:p>
      </w:tc>
      <w:tc>
        <w:tcPr>
          <w:tcW w:w="3095" w:type="dxa"/>
        </w:tcPr>
        <w:p w14:paraId="09D1E1B5" w14:textId="0B2A5B0C" w:rsidR="0B7CEAF5" w:rsidRDefault="0B7CEAF5" w:rsidP="0B7CEAF5">
          <w:pPr>
            <w:pStyle w:val="Header"/>
            <w:jc w:val="center"/>
          </w:pPr>
        </w:p>
      </w:tc>
      <w:tc>
        <w:tcPr>
          <w:tcW w:w="3095" w:type="dxa"/>
        </w:tcPr>
        <w:p w14:paraId="3C105056" w14:textId="0B410456" w:rsidR="0B7CEAF5" w:rsidRDefault="0B7CEAF5" w:rsidP="0B7CEAF5">
          <w:pPr>
            <w:pStyle w:val="Header"/>
            <w:ind w:right="-115"/>
            <w:jc w:val="right"/>
          </w:pPr>
        </w:p>
      </w:tc>
    </w:tr>
  </w:tbl>
  <w:p w14:paraId="53D5B59C" w14:textId="178C4CA6" w:rsidR="007708C1" w:rsidRDefault="007708C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0"/>
      <w:gridCol w:w="4760"/>
      <w:gridCol w:w="4760"/>
    </w:tblGrid>
    <w:tr w:rsidR="0B7CEAF5" w14:paraId="725E2849" w14:textId="77777777" w:rsidTr="0B7CEAF5">
      <w:trPr>
        <w:trHeight w:val="300"/>
      </w:trPr>
      <w:tc>
        <w:tcPr>
          <w:tcW w:w="4760" w:type="dxa"/>
        </w:tcPr>
        <w:p w14:paraId="30FF0C08" w14:textId="633CF243" w:rsidR="0B7CEAF5" w:rsidRDefault="0B7CEAF5" w:rsidP="0B7CEAF5">
          <w:pPr>
            <w:pStyle w:val="Header"/>
            <w:ind w:left="-115"/>
          </w:pPr>
        </w:p>
      </w:tc>
      <w:tc>
        <w:tcPr>
          <w:tcW w:w="4760" w:type="dxa"/>
        </w:tcPr>
        <w:p w14:paraId="45F2CEEF" w14:textId="27BA0468" w:rsidR="0B7CEAF5" w:rsidRDefault="0B7CEAF5" w:rsidP="0B7CEAF5">
          <w:pPr>
            <w:pStyle w:val="Header"/>
            <w:jc w:val="center"/>
          </w:pPr>
        </w:p>
      </w:tc>
      <w:tc>
        <w:tcPr>
          <w:tcW w:w="4760" w:type="dxa"/>
        </w:tcPr>
        <w:p w14:paraId="345511AB" w14:textId="4022E865" w:rsidR="0B7CEAF5" w:rsidRDefault="0B7CEAF5" w:rsidP="0B7CEAF5">
          <w:pPr>
            <w:pStyle w:val="Header"/>
            <w:ind w:right="-115"/>
            <w:jc w:val="right"/>
          </w:pPr>
        </w:p>
      </w:tc>
    </w:tr>
  </w:tbl>
  <w:p w14:paraId="601E589F" w14:textId="0E722C04" w:rsidR="007708C1" w:rsidRDefault="0077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AEDE962" w14:textId="77777777" w:rsidTr="0B7CEAF5">
      <w:trPr>
        <w:trHeight w:val="300"/>
      </w:trPr>
      <w:tc>
        <w:tcPr>
          <w:tcW w:w="3095" w:type="dxa"/>
        </w:tcPr>
        <w:p w14:paraId="2D1965D6" w14:textId="0069D070" w:rsidR="0B7CEAF5" w:rsidRDefault="0B7CEAF5" w:rsidP="0B7CEAF5">
          <w:pPr>
            <w:pStyle w:val="Header"/>
            <w:ind w:left="-115"/>
          </w:pPr>
        </w:p>
      </w:tc>
      <w:tc>
        <w:tcPr>
          <w:tcW w:w="3095" w:type="dxa"/>
        </w:tcPr>
        <w:p w14:paraId="4AB0C50B" w14:textId="54F6D9A4" w:rsidR="0B7CEAF5" w:rsidRDefault="0B7CEAF5" w:rsidP="0B7CEAF5">
          <w:pPr>
            <w:pStyle w:val="Header"/>
            <w:jc w:val="center"/>
          </w:pPr>
        </w:p>
      </w:tc>
      <w:tc>
        <w:tcPr>
          <w:tcW w:w="3095" w:type="dxa"/>
        </w:tcPr>
        <w:p w14:paraId="282BD70E" w14:textId="05919FB0" w:rsidR="0B7CEAF5" w:rsidRDefault="0B7CEAF5" w:rsidP="0B7CEAF5">
          <w:pPr>
            <w:pStyle w:val="Header"/>
            <w:ind w:right="-115"/>
            <w:jc w:val="right"/>
          </w:pPr>
        </w:p>
      </w:tc>
    </w:tr>
  </w:tbl>
  <w:p w14:paraId="04CABB06" w14:textId="04F68B08" w:rsidR="007708C1" w:rsidRDefault="007708C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60"/>
      <w:gridCol w:w="4760"/>
      <w:gridCol w:w="4760"/>
    </w:tblGrid>
    <w:tr w:rsidR="0B7CEAF5" w14:paraId="4C772A4E" w14:textId="77777777" w:rsidTr="0B7CEAF5">
      <w:trPr>
        <w:trHeight w:val="300"/>
      </w:trPr>
      <w:tc>
        <w:tcPr>
          <w:tcW w:w="4760" w:type="dxa"/>
        </w:tcPr>
        <w:p w14:paraId="6670F49D" w14:textId="0201DE51" w:rsidR="0B7CEAF5" w:rsidRDefault="0B7CEAF5" w:rsidP="0B7CEAF5">
          <w:pPr>
            <w:pStyle w:val="Header"/>
            <w:ind w:left="-115"/>
          </w:pPr>
        </w:p>
      </w:tc>
      <w:tc>
        <w:tcPr>
          <w:tcW w:w="4760" w:type="dxa"/>
        </w:tcPr>
        <w:p w14:paraId="359775EC" w14:textId="6CE5A031" w:rsidR="0B7CEAF5" w:rsidRDefault="0B7CEAF5" w:rsidP="0B7CEAF5">
          <w:pPr>
            <w:pStyle w:val="Header"/>
            <w:jc w:val="center"/>
          </w:pPr>
        </w:p>
      </w:tc>
      <w:tc>
        <w:tcPr>
          <w:tcW w:w="4760" w:type="dxa"/>
        </w:tcPr>
        <w:p w14:paraId="0A6F7B53" w14:textId="7285786E" w:rsidR="0B7CEAF5" w:rsidRDefault="0B7CEAF5" w:rsidP="0B7CEAF5">
          <w:pPr>
            <w:pStyle w:val="Header"/>
            <w:ind w:right="-115"/>
            <w:jc w:val="right"/>
          </w:pPr>
        </w:p>
      </w:tc>
    </w:tr>
  </w:tbl>
  <w:p w14:paraId="6C0A0FC0" w14:textId="0F75613C" w:rsidR="007708C1" w:rsidRDefault="007708C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A61661E" w14:textId="77777777" w:rsidTr="0B7CEAF5">
      <w:trPr>
        <w:trHeight w:val="300"/>
      </w:trPr>
      <w:tc>
        <w:tcPr>
          <w:tcW w:w="3095" w:type="dxa"/>
        </w:tcPr>
        <w:p w14:paraId="5F21DABE" w14:textId="36C7F187" w:rsidR="0B7CEAF5" w:rsidRDefault="0B7CEAF5" w:rsidP="0B7CEAF5">
          <w:pPr>
            <w:pStyle w:val="Header"/>
            <w:ind w:left="-115"/>
          </w:pPr>
        </w:p>
      </w:tc>
      <w:tc>
        <w:tcPr>
          <w:tcW w:w="3095" w:type="dxa"/>
        </w:tcPr>
        <w:p w14:paraId="7F720BE3" w14:textId="522FDF2A" w:rsidR="0B7CEAF5" w:rsidRDefault="0B7CEAF5" w:rsidP="0B7CEAF5">
          <w:pPr>
            <w:pStyle w:val="Header"/>
            <w:jc w:val="center"/>
          </w:pPr>
        </w:p>
      </w:tc>
      <w:tc>
        <w:tcPr>
          <w:tcW w:w="3095" w:type="dxa"/>
        </w:tcPr>
        <w:p w14:paraId="6B1DF236" w14:textId="529E9B37" w:rsidR="0B7CEAF5" w:rsidRDefault="0B7CEAF5" w:rsidP="0B7CEAF5">
          <w:pPr>
            <w:pStyle w:val="Header"/>
            <w:ind w:right="-115"/>
            <w:jc w:val="right"/>
          </w:pPr>
        </w:p>
      </w:tc>
    </w:tr>
  </w:tbl>
  <w:p w14:paraId="0B008AFC" w14:textId="48F3E6CF" w:rsidR="007708C1" w:rsidRDefault="007708C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713BC32" w14:textId="77777777" w:rsidTr="0B7CEAF5">
      <w:trPr>
        <w:trHeight w:val="300"/>
      </w:trPr>
      <w:tc>
        <w:tcPr>
          <w:tcW w:w="3095" w:type="dxa"/>
        </w:tcPr>
        <w:p w14:paraId="01AB30A1" w14:textId="1E828BF1" w:rsidR="0B7CEAF5" w:rsidRDefault="0B7CEAF5" w:rsidP="0B7CEAF5">
          <w:pPr>
            <w:pStyle w:val="Header"/>
            <w:ind w:left="-115"/>
          </w:pPr>
        </w:p>
      </w:tc>
      <w:tc>
        <w:tcPr>
          <w:tcW w:w="3095" w:type="dxa"/>
        </w:tcPr>
        <w:p w14:paraId="251D5CBE" w14:textId="487A2F11" w:rsidR="0B7CEAF5" w:rsidRDefault="0B7CEAF5" w:rsidP="0B7CEAF5">
          <w:pPr>
            <w:pStyle w:val="Header"/>
            <w:jc w:val="center"/>
          </w:pPr>
        </w:p>
      </w:tc>
      <w:tc>
        <w:tcPr>
          <w:tcW w:w="3095" w:type="dxa"/>
        </w:tcPr>
        <w:p w14:paraId="208C97C9" w14:textId="5A9B29ED" w:rsidR="0B7CEAF5" w:rsidRDefault="0B7CEAF5" w:rsidP="0B7CEAF5">
          <w:pPr>
            <w:pStyle w:val="Header"/>
            <w:ind w:right="-115"/>
            <w:jc w:val="right"/>
          </w:pPr>
        </w:p>
      </w:tc>
    </w:tr>
  </w:tbl>
  <w:p w14:paraId="3DB92A30" w14:textId="6161F650" w:rsidR="007708C1" w:rsidRDefault="007708C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0BE64030" w14:textId="77777777" w:rsidTr="0B7CEAF5">
      <w:trPr>
        <w:trHeight w:val="300"/>
      </w:trPr>
      <w:tc>
        <w:tcPr>
          <w:tcW w:w="3095" w:type="dxa"/>
        </w:tcPr>
        <w:p w14:paraId="137D43CC" w14:textId="3C292C49" w:rsidR="0B7CEAF5" w:rsidRDefault="0B7CEAF5" w:rsidP="0B7CEAF5">
          <w:pPr>
            <w:pStyle w:val="Header"/>
            <w:ind w:left="-115"/>
          </w:pPr>
        </w:p>
      </w:tc>
      <w:tc>
        <w:tcPr>
          <w:tcW w:w="3095" w:type="dxa"/>
        </w:tcPr>
        <w:p w14:paraId="3AE8F916" w14:textId="2CE46438" w:rsidR="0B7CEAF5" w:rsidRDefault="0B7CEAF5" w:rsidP="0B7CEAF5">
          <w:pPr>
            <w:pStyle w:val="Header"/>
            <w:jc w:val="center"/>
          </w:pPr>
        </w:p>
      </w:tc>
      <w:tc>
        <w:tcPr>
          <w:tcW w:w="3095" w:type="dxa"/>
        </w:tcPr>
        <w:p w14:paraId="494C1F65" w14:textId="7E9131C0" w:rsidR="0B7CEAF5" w:rsidRDefault="0B7CEAF5" w:rsidP="0B7CEAF5">
          <w:pPr>
            <w:pStyle w:val="Header"/>
            <w:ind w:right="-115"/>
            <w:jc w:val="right"/>
          </w:pPr>
        </w:p>
      </w:tc>
    </w:tr>
  </w:tbl>
  <w:p w14:paraId="439ED829" w14:textId="4C35414C" w:rsidR="007708C1" w:rsidRDefault="007708C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9F78BAD" w14:textId="77777777" w:rsidTr="0B7CEAF5">
      <w:trPr>
        <w:trHeight w:val="300"/>
      </w:trPr>
      <w:tc>
        <w:tcPr>
          <w:tcW w:w="3095" w:type="dxa"/>
        </w:tcPr>
        <w:p w14:paraId="161B0D1A" w14:textId="661397B4" w:rsidR="0B7CEAF5" w:rsidRDefault="0B7CEAF5" w:rsidP="0B7CEAF5">
          <w:pPr>
            <w:pStyle w:val="Header"/>
            <w:ind w:left="-115"/>
          </w:pPr>
        </w:p>
      </w:tc>
      <w:tc>
        <w:tcPr>
          <w:tcW w:w="3095" w:type="dxa"/>
        </w:tcPr>
        <w:p w14:paraId="68B7AD08" w14:textId="1EECDEFA" w:rsidR="0B7CEAF5" w:rsidRDefault="0B7CEAF5" w:rsidP="0B7CEAF5">
          <w:pPr>
            <w:pStyle w:val="Header"/>
            <w:jc w:val="center"/>
          </w:pPr>
        </w:p>
      </w:tc>
      <w:tc>
        <w:tcPr>
          <w:tcW w:w="3095" w:type="dxa"/>
        </w:tcPr>
        <w:p w14:paraId="17D49C03" w14:textId="68FB2CEE" w:rsidR="0B7CEAF5" w:rsidRDefault="0B7CEAF5" w:rsidP="0B7CEAF5">
          <w:pPr>
            <w:pStyle w:val="Header"/>
            <w:ind w:right="-115"/>
            <w:jc w:val="right"/>
          </w:pPr>
        </w:p>
      </w:tc>
    </w:tr>
  </w:tbl>
  <w:p w14:paraId="1E6E5616" w14:textId="092AAFD6" w:rsidR="007708C1" w:rsidRDefault="007708C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0D4310A" w14:textId="77777777" w:rsidTr="0B7CEAF5">
      <w:trPr>
        <w:trHeight w:val="300"/>
      </w:trPr>
      <w:tc>
        <w:tcPr>
          <w:tcW w:w="3095" w:type="dxa"/>
        </w:tcPr>
        <w:p w14:paraId="0723CE16" w14:textId="5F837991" w:rsidR="0B7CEAF5" w:rsidRDefault="0B7CEAF5" w:rsidP="0B7CEAF5">
          <w:pPr>
            <w:pStyle w:val="Header"/>
            <w:ind w:left="-115"/>
          </w:pPr>
        </w:p>
      </w:tc>
      <w:tc>
        <w:tcPr>
          <w:tcW w:w="3095" w:type="dxa"/>
        </w:tcPr>
        <w:p w14:paraId="70A08225" w14:textId="7AD84D6F" w:rsidR="0B7CEAF5" w:rsidRDefault="0B7CEAF5" w:rsidP="0B7CEAF5">
          <w:pPr>
            <w:pStyle w:val="Header"/>
            <w:jc w:val="center"/>
          </w:pPr>
        </w:p>
      </w:tc>
      <w:tc>
        <w:tcPr>
          <w:tcW w:w="3095" w:type="dxa"/>
        </w:tcPr>
        <w:p w14:paraId="552751EA" w14:textId="54332DB8" w:rsidR="0B7CEAF5" w:rsidRDefault="0B7CEAF5" w:rsidP="0B7CEAF5">
          <w:pPr>
            <w:pStyle w:val="Header"/>
            <w:ind w:right="-115"/>
            <w:jc w:val="right"/>
          </w:pPr>
        </w:p>
      </w:tc>
    </w:tr>
  </w:tbl>
  <w:p w14:paraId="18885C73" w14:textId="2398E59D" w:rsidR="007708C1" w:rsidRDefault="007708C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BB4902F" w14:textId="77777777" w:rsidTr="0B7CEAF5">
      <w:trPr>
        <w:trHeight w:val="300"/>
      </w:trPr>
      <w:tc>
        <w:tcPr>
          <w:tcW w:w="3095" w:type="dxa"/>
        </w:tcPr>
        <w:p w14:paraId="3440FF02" w14:textId="520D579C" w:rsidR="0B7CEAF5" w:rsidRDefault="0B7CEAF5" w:rsidP="0B7CEAF5">
          <w:pPr>
            <w:pStyle w:val="Header"/>
            <w:ind w:left="-115"/>
          </w:pPr>
        </w:p>
      </w:tc>
      <w:tc>
        <w:tcPr>
          <w:tcW w:w="3095" w:type="dxa"/>
        </w:tcPr>
        <w:p w14:paraId="6735999C" w14:textId="2A5A566C" w:rsidR="0B7CEAF5" w:rsidRDefault="0B7CEAF5" w:rsidP="0B7CEAF5">
          <w:pPr>
            <w:pStyle w:val="Header"/>
            <w:jc w:val="center"/>
          </w:pPr>
        </w:p>
      </w:tc>
      <w:tc>
        <w:tcPr>
          <w:tcW w:w="3095" w:type="dxa"/>
        </w:tcPr>
        <w:p w14:paraId="45D376DA" w14:textId="7B8DF079" w:rsidR="0B7CEAF5" w:rsidRDefault="0B7CEAF5" w:rsidP="0B7CEAF5">
          <w:pPr>
            <w:pStyle w:val="Header"/>
            <w:ind w:right="-115"/>
            <w:jc w:val="right"/>
          </w:pPr>
        </w:p>
      </w:tc>
    </w:tr>
  </w:tbl>
  <w:p w14:paraId="2E25A00A" w14:textId="589D234C" w:rsidR="007708C1" w:rsidRDefault="007708C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FD47F4F" w14:textId="77777777" w:rsidTr="0B7CEAF5">
      <w:trPr>
        <w:trHeight w:val="300"/>
      </w:trPr>
      <w:tc>
        <w:tcPr>
          <w:tcW w:w="3095" w:type="dxa"/>
        </w:tcPr>
        <w:p w14:paraId="28A375AF" w14:textId="00B99ED0" w:rsidR="0B7CEAF5" w:rsidRDefault="0B7CEAF5" w:rsidP="0B7CEAF5">
          <w:pPr>
            <w:pStyle w:val="Header"/>
            <w:ind w:left="-115"/>
          </w:pPr>
        </w:p>
      </w:tc>
      <w:tc>
        <w:tcPr>
          <w:tcW w:w="3095" w:type="dxa"/>
        </w:tcPr>
        <w:p w14:paraId="22D164A3" w14:textId="3BD07FD6" w:rsidR="0B7CEAF5" w:rsidRDefault="0B7CEAF5" w:rsidP="0B7CEAF5">
          <w:pPr>
            <w:pStyle w:val="Header"/>
            <w:jc w:val="center"/>
          </w:pPr>
        </w:p>
      </w:tc>
      <w:tc>
        <w:tcPr>
          <w:tcW w:w="3095" w:type="dxa"/>
        </w:tcPr>
        <w:p w14:paraId="5E283FEA" w14:textId="310983FF" w:rsidR="0B7CEAF5" w:rsidRDefault="0B7CEAF5" w:rsidP="0B7CEAF5">
          <w:pPr>
            <w:pStyle w:val="Header"/>
            <w:ind w:right="-115"/>
            <w:jc w:val="right"/>
          </w:pPr>
        </w:p>
      </w:tc>
    </w:tr>
  </w:tbl>
  <w:p w14:paraId="0B52F9A6" w14:textId="569965FE" w:rsidR="007708C1" w:rsidRDefault="007708C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00A3881B" w14:textId="77777777" w:rsidTr="0B7CEAF5">
      <w:trPr>
        <w:trHeight w:val="300"/>
      </w:trPr>
      <w:tc>
        <w:tcPr>
          <w:tcW w:w="3095" w:type="dxa"/>
        </w:tcPr>
        <w:p w14:paraId="0436B9C0" w14:textId="140F8822" w:rsidR="0B7CEAF5" w:rsidRDefault="0B7CEAF5" w:rsidP="0B7CEAF5">
          <w:pPr>
            <w:pStyle w:val="Header"/>
            <w:ind w:left="-115"/>
          </w:pPr>
        </w:p>
      </w:tc>
      <w:tc>
        <w:tcPr>
          <w:tcW w:w="3095" w:type="dxa"/>
        </w:tcPr>
        <w:p w14:paraId="26DF2291" w14:textId="154CD292" w:rsidR="0B7CEAF5" w:rsidRDefault="0B7CEAF5" w:rsidP="0B7CEAF5">
          <w:pPr>
            <w:pStyle w:val="Header"/>
            <w:jc w:val="center"/>
          </w:pPr>
        </w:p>
      </w:tc>
      <w:tc>
        <w:tcPr>
          <w:tcW w:w="3095" w:type="dxa"/>
        </w:tcPr>
        <w:p w14:paraId="2D2AA0D0" w14:textId="5016A645" w:rsidR="0B7CEAF5" w:rsidRDefault="0B7CEAF5" w:rsidP="0B7CEAF5">
          <w:pPr>
            <w:pStyle w:val="Header"/>
            <w:ind w:right="-115"/>
            <w:jc w:val="right"/>
          </w:pPr>
        </w:p>
      </w:tc>
    </w:tr>
  </w:tbl>
  <w:p w14:paraId="2DFE861B" w14:textId="3C36D3C2" w:rsidR="007708C1" w:rsidRDefault="007708C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1083E8F" w14:textId="77777777" w:rsidTr="0B7CEAF5">
      <w:trPr>
        <w:trHeight w:val="300"/>
      </w:trPr>
      <w:tc>
        <w:tcPr>
          <w:tcW w:w="3095" w:type="dxa"/>
        </w:tcPr>
        <w:p w14:paraId="718FC015" w14:textId="363082AE" w:rsidR="0B7CEAF5" w:rsidRDefault="0B7CEAF5" w:rsidP="0B7CEAF5">
          <w:pPr>
            <w:pStyle w:val="Header"/>
            <w:ind w:left="-115"/>
          </w:pPr>
        </w:p>
      </w:tc>
      <w:tc>
        <w:tcPr>
          <w:tcW w:w="3095" w:type="dxa"/>
        </w:tcPr>
        <w:p w14:paraId="1CD086F7" w14:textId="772CC275" w:rsidR="0B7CEAF5" w:rsidRDefault="0B7CEAF5" w:rsidP="0B7CEAF5">
          <w:pPr>
            <w:pStyle w:val="Header"/>
            <w:jc w:val="center"/>
          </w:pPr>
        </w:p>
      </w:tc>
      <w:tc>
        <w:tcPr>
          <w:tcW w:w="3095" w:type="dxa"/>
        </w:tcPr>
        <w:p w14:paraId="452D2D55" w14:textId="304F91DC" w:rsidR="0B7CEAF5" w:rsidRDefault="0B7CEAF5" w:rsidP="0B7CEAF5">
          <w:pPr>
            <w:pStyle w:val="Header"/>
            <w:ind w:right="-115"/>
            <w:jc w:val="right"/>
          </w:pPr>
        </w:p>
      </w:tc>
    </w:tr>
  </w:tbl>
  <w:p w14:paraId="54075876" w14:textId="5B1AFAA0" w:rsidR="007708C1" w:rsidRDefault="007708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D116C91" w14:textId="77777777" w:rsidTr="0B7CEAF5">
      <w:trPr>
        <w:trHeight w:val="300"/>
      </w:trPr>
      <w:tc>
        <w:tcPr>
          <w:tcW w:w="3095" w:type="dxa"/>
        </w:tcPr>
        <w:p w14:paraId="6F797DA4" w14:textId="3524490F" w:rsidR="0B7CEAF5" w:rsidRDefault="0B7CEAF5" w:rsidP="0B7CEAF5">
          <w:pPr>
            <w:pStyle w:val="Header"/>
            <w:ind w:left="-115"/>
          </w:pPr>
        </w:p>
      </w:tc>
      <w:tc>
        <w:tcPr>
          <w:tcW w:w="3095" w:type="dxa"/>
        </w:tcPr>
        <w:p w14:paraId="09DBECC0" w14:textId="3822D8A5" w:rsidR="0B7CEAF5" w:rsidRDefault="0B7CEAF5" w:rsidP="0B7CEAF5">
          <w:pPr>
            <w:pStyle w:val="Header"/>
            <w:jc w:val="center"/>
          </w:pPr>
        </w:p>
      </w:tc>
      <w:tc>
        <w:tcPr>
          <w:tcW w:w="3095" w:type="dxa"/>
        </w:tcPr>
        <w:p w14:paraId="5FA89DBA" w14:textId="787D393A" w:rsidR="0B7CEAF5" w:rsidRDefault="0B7CEAF5" w:rsidP="0B7CEAF5">
          <w:pPr>
            <w:pStyle w:val="Header"/>
            <w:ind w:right="-115"/>
            <w:jc w:val="right"/>
          </w:pPr>
        </w:p>
      </w:tc>
    </w:tr>
  </w:tbl>
  <w:p w14:paraId="44B83738" w14:textId="462D0D45" w:rsidR="007708C1" w:rsidRDefault="007708C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71BF42F" w14:textId="77777777" w:rsidTr="0B7CEAF5">
      <w:trPr>
        <w:trHeight w:val="300"/>
      </w:trPr>
      <w:tc>
        <w:tcPr>
          <w:tcW w:w="3095" w:type="dxa"/>
        </w:tcPr>
        <w:p w14:paraId="5FEE1C27" w14:textId="4D5B164B" w:rsidR="0B7CEAF5" w:rsidRDefault="0B7CEAF5" w:rsidP="0B7CEAF5">
          <w:pPr>
            <w:pStyle w:val="Header"/>
            <w:ind w:left="-115"/>
          </w:pPr>
        </w:p>
      </w:tc>
      <w:tc>
        <w:tcPr>
          <w:tcW w:w="3095" w:type="dxa"/>
        </w:tcPr>
        <w:p w14:paraId="0206C6C2" w14:textId="43E22EDD" w:rsidR="0B7CEAF5" w:rsidRDefault="0B7CEAF5" w:rsidP="0B7CEAF5">
          <w:pPr>
            <w:pStyle w:val="Header"/>
            <w:jc w:val="center"/>
          </w:pPr>
        </w:p>
      </w:tc>
      <w:tc>
        <w:tcPr>
          <w:tcW w:w="3095" w:type="dxa"/>
        </w:tcPr>
        <w:p w14:paraId="27B8FAA7" w14:textId="5C818798" w:rsidR="0B7CEAF5" w:rsidRDefault="0B7CEAF5" w:rsidP="0B7CEAF5">
          <w:pPr>
            <w:pStyle w:val="Header"/>
            <w:ind w:right="-115"/>
            <w:jc w:val="right"/>
          </w:pPr>
        </w:p>
      </w:tc>
    </w:tr>
  </w:tbl>
  <w:p w14:paraId="08EA1F25" w14:textId="5406C336" w:rsidR="007708C1" w:rsidRDefault="007708C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4D43748A" w14:textId="77777777" w:rsidTr="0B7CEAF5">
      <w:trPr>
        <w:trHeight w:val="300"/>
      </w:trPr>
      <w:tc>
        <w:tcPr>
          <w:tcW w:w="3095" w:type="dxa"/>
        </w:tcPr>
        <w:p w14:paraId="7D9CD6DA" w14:textId="19A45153" w:rsidR="0B7CEAF5" w:rsidRDefault="0B7CEAF5" w:rsidP="0B7CEAF5">
          <w:pPr>
            <w:pStyle w:val="Header"/>
            <w:ind w:left="-115"/>
          </w:pPr>
        </w:p>
      </w:tc>
      <w:tc>
        <w:tcPr>
          <w:tcW w:w="3095" w:type="dxa"/>
        </w:tcPr>
        <w:p w14:paraId="729BE36A" w14:textId="2C4F5301" w:rsidR="0B7CEAF5" w:rsidRDefault="0B7CEAF5" w:rsidP="0B7CEAF5">
          <w:pPr>
            <w:pStyle w:val="Header"/>
            <w:jc w:val="center"/>
          </w:pPr>
        </w:p>
      </w:tc>
      <w:tc>
        <w:tcPr>
          <w:tcW w:w="3095" w:type="dxa"/>
        </w:tcPr>
        <w:p w14:paraId="2E3688B6" w14:textId="032A3BE9" w:rsidR="0B7CEAF5" w:rsidRDefault="0B7CEAF5" w:rsidP="0B7CEAF5">
          <w:pPr>
            <w:pStyle w:val="Header"/>
            <w:ind w:right="-115"/>
            <w:jc w:val="right"/>
          </w:pPr>
        </w:p>
      </w:tc>
    </w:tr>
  </w:tbl>
  <w:p w14:paraId="02F85929" w14:textId="6FEFF6F1" w:rsidR="007708C1" w:rsidRDefault="007708C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5F0CDAB6" w14:textId="77777777" w:rsidTr="0B7CEAF5">
      <w:trPr>
        <w:trHeight w:val="300"/>
      </w:trPr>
      <w:tc>
        <w:tcPr>
          <w:tcW w:w="3095" w:type="dxa"/>
        </w:tcPr>
        <w:p w14:paraId="098D817B" w14:textId="3E49ECD2" w:rsidR="0B7CEAF5" w:rsidRDefault="0B7CEAF5" w:rsidP="0B7CEAF5">
          <w:pPr>
            <w:pStyle w:val="Header"/>
            <w:ind w:left="-115"/>
          </w:pPr>
        </w:p>
      </w:tc>
      <w:tc>
        <w:tcPr>
          <w:tcW w:w="3095" w:type="dxa"/>
        </w:tcPr>
        <w:p w14:paraId="26181CC3" w14:textId="2AA3F3EC" w:rsidR="0B7CEAF5" w:rsidRDefault="0B7CEAF5" w:rsidP="0B7CEAF5">
          <w:pPr>
            <w:pStyle w:val="Header"/>
            <w:jc w:val="center"/>
          </w:pPr>
        </w:p>
      </w:tc>
      <w:tc>
        <w:tcPr>
          <w:tcW w:w="3095" w:type="dxa"/>
        </w:tcPr>
        <w:p w14:paraId="74800402" w14:textId="2504C98A" w:rsidR="0B7CEAF5" w:rsidRDefault="0B7CEAF5" w:rsidP="0B7CEAF5">
          <w:pPr>
            <w:pStyle w:val="Header"/>
            <w:ind w:right="-115"/>
            <w:jc w:val="right"/>
          </w:pPr>
        </w:p>
      </w:tc>
    </w:tr>
  </w:tbl>
  <w:p w14:paraId="686C6963" w14:textId="059B7923" w:rsidR="007708C1" w:rsidRDefault="007708C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C5DF" w14:textId="77777777" w:rsidR="00431A70" w:rsidRPr="00454A7D" w:rsidRDefault="00431A70" w:rsidP="00454A7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FBFC" w14:textId="77777777" w:rsidR="00562811" w:rsidRPr="0051568D" w:rsidRDefault="00562811" w:rsidP="0017674D">
    <w:pPr>
      <w:pStyle w:val="Header"/>
    </w:pPr>
    <w:r>
      <w:t>Document title</w:t>
    </w:r>
    <w:r w:rsidR="009C245E">
      <w:t xml:space="preserv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77357449" w14:textId="77777777" w:rsidTr="0B7CEAF5">
      <w:trPr>
        <w:trHeight w:val="300"/>
      </w:trPr>
      <w:tc>
        <w:tcPr>
          <w:tcW w:w="3095" w:type="dxa"/>
        </w:tcPr>
        <w:p w14:paraId="3BFE9935" w14:textId="0A0EE48E" w:rsidR="0B7CEAF5" w:rsidRDefault="0B7CEAF5" w:rsidP="0B7CEAF5">
          <w:pPr>
            <w:pStyle w:val="Header"/>
            <w:ind w:left="-115"/>
          </w:pPr>
        </w:p>
      </w:tc>
      <w:tc>
        <w:tcPr>
          <w:tcW w:w="3095" w:type="dxa"/>
        </w:tcPr>
        <w:p w14:paraId="0F3B5D08" w14:textId="2090C253" w:rsidR="0B7CEAF5" w:rsidRDefault="0B7CEAF5" w:rsidP="0B7CEAF5">
          <w:pPr>
            <w:pStyle w:val="Header"/>
            <w:jc w:val="center"/>
          </w:pPr>
        </w:p>
      </w:tc>
      <w:tc>
        <w:tcPr>
          <w:tcW w:w="3095" w:type="dxa"/>
        </w:tcPr>
        <w:p w14:paraId="0C4914B5" w14:textId="0F8EB7EB" w:rsidR="0B7CEAF5" w:rsidRDefault="0B7CEAF5" w:rsidP="0B7CEAF5">
          <w:pPr>
            <w:pStyle w:val="Header"/>
            <w:ind w:right="-115"/>
            <w:jc w:val="right"/>
          </w:pPr>
        </w:p>
      </w:tc>
    </w:tr>
  </w:tbl>
  <w:p w14:paraId="42337496" w14:textId="46EB5705" w:rsidR="007708C1" w:rsidRDefault="007708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7ED8EA2" w14:textId="77777777" w:rsidTr="0B7CEAF5">
      <w:trPr>
        <w:trHeight w:val="300"/>
      </w:trPr>
      <w:tc>
        <w:tcPr>
          <w:tcW w:w="3095" w:type="dxa"/>
        </w:tcPr>
        <w:p w14:paraId="01CB252F" w14:textId="615E038F" w:rsidR="0B7CEAF5" w:rsidRDefault="0B7CEAF5" w:rsidP="0B7CEAF5">
          <w:pPr>
            <w:pStyle w:val="Header"/>
            <w:ind w:left="-115"/>
          </w:pPr>
        </w:p>
      </w:tc>
      <w:tc>
        <w:tcPr>
          <w:tcW w:w="3095" w:type="dxa"/>
        </w:tcPr>
        <w:p w14:paraId="1C1A07A6" w14:textId="003AB968" w:rsidR="0B7CEAF5" w:rsidRDefault="0B7CEAF5" w:rsidP="0B7CEAF5">
          <w:pPr>
            <w:pStyle w:val="Header"/>
            <w:jc w:val="center"/>
          </w:pPr>
        </w:p>
      </w:tc>
      <w:tc>
        <w:tcPr>
          <w:tcW w:w="3095" w:type="dxa"/>
        </w:tcPr>
        <w:p w14:paraId="0015A727" w14:textId="4BF368B1" w:rsidR="0B7CEAF5" w:rsidRDefault="0B7CEAF5" w:rsidP="0B7CEAF5">
          <w:pPr>
            <w:pStyle w:val="Header"/>
            <w:ind w:right="-115"/>
            <w:jc w:val="right"/>
          </w:pPr>
        </w:p>
      </w:tc>
    </w:tr>
  </w:tbl>
  <w:p w14:paraId="24412E6C" w14:textId="1B5A60CA" w:rsidR="007708C1" w:rsidRDefault="007708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18FB9A7D" w14:textId="77777777" w:rsidTr="0B7CEAF5">
      <w:trPr>
        <w:trHeight w:val="300"/>
      </w:trPr>
      <w:tc>
        <w:tcPr>
          <w:tcW w:w="3095" w:type="dxa"/>
        </w:tcPr>
        <w:p w14:paraId="4F9E97D5" w14:textId="52BA000C" w:rsidR="0B7CEAF5" w:rsidRDefault="0B7CEAF5" w:rsidP="0B7CEAF5">
          <w:pPr>
            <w:pStyle w:val="Header"/>
            <w:ind w:left="-115"/>
          </w:pPr>
        </w:p>
      </w:tc>
      <w:tc>
        <w:tcPr>
          <w:tcW w:w="3095" w:type="dxa"/>
        </w:tcPr>
        <w:p w14:paraId="04EB13FF" w14:textId="1BA1556D" w:rsidR="0B7CEAF5" w:rsidRDefault="0B7CEAF5" w:rsidP="0B7CEAF5">
          <w:pPr>
            <w:pStyle w:val="Header"/>
            <w:jc w:val="center"/>
          </w:pPr>
        </w:p>
      </w:tc>
      <w:tc>
        <w:tcPr>
          <w:tcW w:w="3095" w:type="dxa"/>
        </w:tcPr>
        <w:p w14:paraId="1F62AD91" w14:textId="53201200" w:rsidR="0B7CEAF5" w:rsidRDefault="0B7CEAF5" w:rsidP="0B7CEAF5">
          <w:pPr>
            <w:pStyle w:val="Header"/>
            <w:ind w:right="-115"/>
            <w:jc w:val="right"/>
          </w:pPr>
        </w:p>
      </w:tc>
    </w:tr>
  </w:tbl>
  <w:p w14:paraId="25C64FAA" w14:textId="7E8EA9F2" w:rsidR="007708C1" w:rsidRDefault="007708C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359C7059" w14:textId="77777777" w:rsidTr="0B7CEAF5">
      <w:trPr>
        <w:trHeight w:val="300"/>
      </w:trPr>
      <w:tc>
        <w:tcPr>
          <w:tcW w:w="3095" w:type="dxa"/>
        </w:tcPr>
        <w:p w14:paraId="59281A18" w14:textId="150DE9F4" w:rsidR="0B7CEAF5" w:rsidRDefault="0B7CEAF5" w:rsidP="0B7CEAF5">
          <w:pPr>
            <w:pStyle w:val="Header"/>
            <w:ind w:left="-115"/>
          </w:pPr>
        </w:p>
      </w:tc>
      <w:tc>
        <w:tcPr>
          <w:tcW w:w="3095" w:type="dxa"/>
        </w:tcPr>
        <w:p w14:paraId="3DA0B16D" w14:textId="071E0349" w:rsidR="0B7CEAF5" w:rsidRDefault="0B7CEAF5" w:rsidP="0B7CEAF5">
          <w:pPr>
            <w:pStyle w:val="Header"/>
            <w:jc w:val="center"/>
          </w:pPr>
        </w:p>
      </w:tc>
      <w:tc>
        <w:tcPr>
          <w:tcW w:w="3095" w:type="dxa"/>
        </w:tcPr>
        <w:p w14:paraId="6CDECDF9" w14:textId="192393C6" w:rsidR="0B7CEAF5" w:rsidRDefault="0B7CEAF5" w:rsidP="0B7CEAF5">
          <w:pPr>
            <w:pStyle w:val="Header"/>
            <w:ind w:right="-115"/>
            <w:jc w:val="right"/>
          </w:pPr>
        </w:p>
      </w:tc>
    </w:tr>
  </w:tbl>
  <w:p w14:paraId="2262EE73" w14:textId="0BCFD258" w:rsidR="007708C1" w:rsidRDefault="007708C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52D9DE1" w14:textId="77777777" w:rsidTr="0B7CEAF5">
      <w:trPr>
        <w:trHeight w:val="300"/>
      </w:trPr>
      <w:tc>
        <w:tcPr>
          <w:tcW w:w="3095" w:type="dxa"/>
        </w:tcPr>
        <w:p w14:paraId="13FA73D0" w14:textId="3DB79A17" w:rsidR="0B7CEAF5" w:rsidRDefault="0B7CEAF5" w:rsidP="0B7CEAF5">
          <w:pPr>
            <w:pStyle w:val="Header"/>
            <w:ind w:left="-115"/>
          </w:pPr>
        </w:p>
      </w:tc>
      <w:tc>
        <w:tcPr>
          <w:tcW w:w="3095" w:type="dxa"/>
        </w:tcPr>
        <w:p w14:paraId="085FC02E" w14:textId="7E3C74AA" w:rsidR="0B7CEAF5" w:rsidRDefault="0B7CEAF5" w:rsidP="0B7CEAF5">
          <w:pPr>
            <w:pStyle w:val="Header"/>
            <w:jc w:val="center"/>
          </w:pPr>
        </w:p>
      </w:tc>
      <w:tc>
        <w:tcPr>
          <w:tcW w:w="3095" w:type="dxa"/>
        </w:tcPr>
        <w:p w14:paraId="2C344961" w14:textId="3065A1FE" w:rsidR="0B7CEAF5" w:rsidRDefault="0B7CEAF5" w:rsidP="0B7CEAF5">
          <w:pPr>
            <w:pStyle w:val="Header"/>
            <w:ind w:right="-115"/>
            <w:jc w:val="right"/>
          </w:pPr>
        </w:p>
      </w:tc>
    </w:tr>
  </w:tbl>
  <w:p w14:paraId="60F14148" w14:textId="7D0729D2" w:rsidR="007708C1" w:rsidRDefault="007708C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2082EA02" w14:textId="77777777" w:rsidTr="0B7CEAF5">
      <w:trPr>
        <w:trHeight w:val="300"/>
      </w:trPr>
      <w:tc>
        <w:tcPr>
          <w:tcW w:w="3095" w:type="dxa"/>
        </w:tcPr>
        <w:p w14:paraId="34125F5D" w14:textId="521EEC8D" w:rsidR="0B7CEAF5" w:rsidRDefault="0B7CEAF5" w:rsidP="0B7CEAF5">
          <w:pPr>
            <w:pStyle w:val="Header"/>
            <w:ind w:left="-115"/>
          </w:pPr>
        </w:p>
      </w:tc>
      <w:tc>
        <w:tcPr>
          <w:tcW w:w="3095" w:type="dxa"/>
        </w:tcPr>
        <w:p w14:paraId="1B933900" w14:textId="3A311CD0" w:rsidR="0B7CEAF5" w:rsidRDefault="0B7CEAF5" w:rsidP="0B7CEAF5">
          <w:pPr>
            <w:pStyle w:val="Header"/>
            <w:jc w:val="center"/>
          </w:pPr>
        </w:p>
      </w:tc>
      <w:tc>
        <w:tcPr>
          <w:tcW w:w="3095" w:type="dxa"/>
        </w:tcPr>
        <w:p w14:paraId="49243F4E" w14:textId="5EA54085" w:rsidR="0B7CEAF5" w:rsidRDefault="0B7CEAF5" w:rsidP="0B7CEAF5">
          <w:pPr>
            <w:pStyle w:val="Header"/>
            <w:ind w:right="-115"/>
            <w:jc w:val="right"/>
          </w:pPr>
        </w:p>
      </w:tc>
    </w:tr>
  </w:tbl>
  <w:p w14:paraId="127E8DF0" w14:textId="2696BA20" w:rsidR="007708C1" w:rsidRDefault="007708C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95"/>
      <w:gridCol w:w="3095"/>
      <w:gridCol w:w="3095"/>
    </w:tblGrid>
    <w:tr w:rsidR="0B7CEAF5" w14:paraId="60BFB7A2" w14:textId="77777777" w:rsidTr="0B7CEAF5">
      <w:trPr>
        <w:trHeight w:val="300"/>
      </w:trPr>
      <w:tc>
        <w:tcPr>
          <w:tcW w:w="3095" w:type="dxa"/>
        </w:tcPr>
        <w:p w14:paraId="5ECFEF53" w14:textId="6291DBB9" w:rsidR="0B7CEAF5" w:rsidRDefault="0B7CEAF5" w:rsidP="0B7CEAF5">
          <w:pPr>
            <w:pStyle w:val="Header"/>
            <w:ind w:left="-115"/>
          </w:pPr>
        </w:p>
      </w:tc>
      <w:tc>
        <w:tcPr>
          <w:tcW w:w="3095" w:type="dxa"/>
        </w:tcPr>
        <w:p w14:paraId="6A495AF0" w14:textId="379BEB5A" w:rsidR="0B7CEAF5" w:rsidRDefault="0B7CEAF5" w:rsidP="0B7CEAF5">
          <w:pPr>
            <w:pStyle w:val="Header"/>
            <w:jc w:val="center"/>
          </w:pPr>
        </w:p>
      </w:tc>
      <w:tc>
        <w:tcPr>
          <w:tcW w:w="3095" w:type="dxa"/>
        </w:tcPr>
        <w:p w14:paraId="10C108F7" w14:textId="379042F7" w:rsidR="0B7CEAF5" w:rsidRDefault="0B7CEAF5" w:rsidP="0B7CEAF5">
          <w:pPr>
            <w:pStyle w:val="Header"/>
            <w:ind w:right="-115"/>
            <w:jc w:val="right"/>
          </w:pPr>
        </w:p>
      </w:tc>
    </w:tr>
  </w:tbl>
  <w:p w14:paraId="331DF3F9" w14:textId="7A95F563" w:rsidR="007708C1" w:rsidRDefault="007708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4765110"/>
    <w:multiLevelType w:val="multilevel"/>
    <w:tmpl w:val="16AE72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350241"/>
    <w:multiLevelType w:val="hybridMultilevel"/>
    <w:tmpl w:val="0852B66A"/>
    <w:lvl w:ilvl="0" w:tplc="A890115C">
      <w:start w:val="1"/>
      <w:numFmt w:val="bullet"/>
      <w:lvlText w:val=""/>
      <w:lvlJc w:val="left"/>
      <w:pPr>
        <w:ind w:left="502" w:hanging="360"/>
      </w:pPr>
      <w:rPr>
        <w:rFonts w:ascii="Symbol" w:hAnsi="Symbol" w:hint="default"/>
        <w:sz w:val="36"/>
        <w:szCs w:val="36"/>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06076B71"/>
    <w:multiLevelType w:val="multilevel"/>
    <w:tmpl w:val="45EA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1B598D"/>
    <w:multiLevelType w:val="hybridMultilevel"/>
    <w:tmpl w:val="0C125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A447E9D"/>
    <w:multiLevelType w:val="hybridMultilevel"/>
    <w:tmpl w:val="4C302D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0B8D43DB"/>
    <w:multiLevelType w:val="multilevel"/>
    <w:tmpl w:val="B33A2DBC"/>
    <w:numStyleLink w:val="ZZNumbersdigit"/>
  </w:abstractNum>
  <w:abstractNum w:abstractNumId="19"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0EAF6FB8"/>
    <w:multiLevelType w:val="multilevel"/>
    <w:tmpl w:val="78AA93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09F553F"/>
    <w:multiLevelType w:val="hybridMultilevel"/>
    <w:tmpl w:val="05BA2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0E677F5"/>
    <w:multiLevelType w:val="multilevel"/>
    <w:tmpl w:val="87BA6CCC"/>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rPr>
        <w:b w:val="0"/>
        <w:bCs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113B29B5"/>
    <w:multiLevelType w:val="hybridMultilevel"/>
    <w:tmpl w:val="6F4AF52C"/>
    <w:lvl w:ilvl="0" w:tplc="D62630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4A11D2F"/>
    <w:multiLevelType w:val="hybridMultilevel"/>
    <w:tmpl w:val="80FA6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5493353"/>
    <w:multiLevelType w:val="hybridMultilevel"/>
    <w:tmpl w:val="F8BC0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15E82192"/>
    <w:multiLevelType w:val="hybridMultilevel"/>
    <w:tmpl w:val="160068D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170D71F0"/>
    <w:multiLevelType w:val="multilevel"/>
    <w:tmpl w:val="7B76E16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A14152"/>
    <w:multiLevelType w:val="multilevel"/>
    <w:tmpl w:val="D9D680EA"/>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1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1A916542"/>
    <w:multiLevelType w:val="hybridMultilevel"/>
    <w:tmpl w:val="00762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AE8693F"/>
    <w:multiLevelType w:val="multilevel"/>
    <w:tmpl w:val="C014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9D4343"/>
    <w:multiLevelType w:val="hybridMultilevel"/>
    <w:tmpl w:val="5E36BF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EB22DB"/>
    <w:multiLevelType w:val="multilevel"/>
    <w:tmpl w:val="7D742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8F8524"/>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28855DC"/>
    <w:multiLevelType w:val="hybridMultilevel"/>
    <w:tmpl w:val="C3E26CA4"/>
    <w:lvl w:ilvl="0" w:tplc="F796BA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695824"/>
    <w:multiLevelType w:val="hybridMultilevel"/>
    <w:tmpl w:val="590A3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3831719E"/>
    <w:multiLevelType w:val="hybridMultilevel"/>
    <w:tmpl w:val="0FE2AFC2"/>
    <w:lvl w:ilvl="0" w:tplc="F796BA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91342BC"/>
    <w:multiLevelType w:val="hybridMultilevel"/>
    <w:tmpl w:val="D3CE3FD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A84255D"/>
    <w:multiLevelType w:val="hybridMultilevel"/>
    <w:tmpl w:val="3B12764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1" w15:restartNumberingAfterBreak="0">
    <w:nsid w:val="3A8D714F"/>
    <w:multiLevelType w:val="hybridMultilevel"/>
    <w:tmpl w:val="5678C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CAB39AF"/>
    <w:multiLevelType w:val="hybridMultilevel"/>
    <w:tmpl w:val="50345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047266"/>
    <w:multiLevelType w:val="hybridMultilevel"/>
    <w:tmpl w:val="EF5E8A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5" w15:restartNumberingAfterBreak="0">
    <w:nsid w:val="3EA177B5"/>
    <w:multiLevelType w:val="multilevel"/>
    <w:tmpl w:val="9E00D0F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7" w15:restartNumberingAfterBreak="0">
    <w:nsid w:val="41104CBE"/>
    <w:multiLevelType w:val="hybridMultilevel"/>
    <w:tmpl w:val="3A06656C"/>
    <w:lvl w:ilvl="0" w:tplc="0C090003">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8" w15:restartNumberingAfterBreak="0">
    <w:nsid w:val="433924BE"/>
    <w:multiLevelType w:val="hybridMultilevel"/>
    <w:tmpl w:val="8CFAD718"/>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49" w15:restartNumberingAfterBreak="0">
    <w:nsid w:val="45D71270"/>
    <w:multiLevelType w:val="multilevel"/>
    <w:tmpl w:val="202C8146"/>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none"/>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7CA6323"/>
    <w:multiLevelType w:val="hybridMultilevel"/>
    <w:tmpl w:val="FBD6E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7ED19A8"/>
    <w:multiLevelType w:val="hybridMultilevel"/>
    <w:tmpl w:val="026EA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A031AEF"/>
    <w:multiLevelType w:val="hybridMultilevel"/>
    <w:tmpl w:val="F432A9E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4E7B0022"/>
    <w:multiLevelType w:val="hybridMultilevel"/>
    <w:tmpl w:val="9D48848C"/>
    <w:lvl w:ilvl="0" w:tplc="D62630E4">
      <w:start w:val="1"/>
      <w:numFmt w:val="bullet"/>
      <w:lvlText w:val=""/>
      <w:lvlJc w:val="left"/>
      <w:pPr>
        <w:ind w:left="960" w:hanging="360"/>
      </w:pPr>
      <w:rPr>
        <w:rFonts w:ascii="Symbol" w:hAnsi="Symbol"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55" w15:restartNumberingAfterBreak="0">
    <w:nsid w:val="509C8124"/>
    <w:multiLevelType w:val="hybridMultilevel"/>
    <w:tmpl w:val="FFFFFFFF"/>
    <w:lvl w:ilvl="0" w:tplc="CF4AFB5E">
      <w:start w:val="1"/>
      <w:numFmt w:val="bullet"/>
      <w:lvlText w:val=""/>
      <w:lvlJc w:val="left"/>
      <w:pPr>
        <w:ind w:left="720" w:hanging="360"/>
      </w:pPr>
      <w:rPr>
        <w:rFonts w:ascii="Symbol" w:hAnsi="Symbol" w:hint="default"/>
      </w:rPr>
    </w:lvl>
    <w:lvl w:ilvl="1" w:tplc="D1E86F1E">
      <w:start w:val="1"/>
      <w:numFmt w:val="bullet"/>
      <w:lvlText w:val="o"/>
      <w:lvlJc w:val="left"/>
      <w:pPr>
        <w:ind w:left="1440" w:hanging="360"/>
      </w:pPr>
      <w:rPr>
        <w:rFonts w:ascii="Courier New" w:hAnsi="Courier New" w:cs="Times New Roman" w:hint="default"/>
      </w:rPr>
    </w:lvl>
    <w:lvl w:ilvl="2" w:tplc="63A055F2">
      <w:start w:val="1"/>
      <w:numFmt w:val="bullet"/>
      <w:lvlText w:val=""/>
      <w:lvlJc w:val="left"/>
      <w:pPr>
        <w:ind w:left="2160" w:hanging="360"/>
      </w:pPr>
      <w:rPr>
        <w:rFonts w:ascii="Wingdings" w:hAnsi="Wingdings" w:hint="default"/>
      </w:rPr>
    </w:lvl>
    <w:lvl w:ilvl="3" w:tplc="B8203EB4">
      <w:start w:val="1"/>
      <w:numFmt w:val="bullet"/>
      <w:lvlText w:val=""/>
      <w:lvlJc w:val="left"/>
      <w:pPr>
        <w:ind w:left="2880" w:hanging="360"/>
      </w:pPr>
      <w:rPr>
        <w:rFonts w:ascii="Symbol" w:hAnsi="Symbol" w:hint="default"/>
      </w:rPr>
    </w:lvl>
    <w:lvl w:ilvl="4" w:tplc="F32C9A3E">
      <w:start w:val="1"/>
      <w:numFmt w:val="bullet"/>
      <w:lvlText w:val="o"/>
      <w:lvlJc w:val="left"/>
      <w:pPr>
        <w:ind w:left="3600" w:hanging="360"/>
      </w:pPr>
      <w:rPr>
        <w:rFonts w:ascii="Courier New" w:hAnsi="Courier New" w:cs="Times New Roman" w:hint="default"/>
      </w:rPr>
    </w:lvl>
    <w:lvl w:ilvl="5" w:tplc="E668EB34">
      <w:start w:val="1"/>
      <w:numFmt w:val="bullet"/>
      <w:lvlText w:val=""/>
      <w:lvlJc w:val="left"/>
      <w:pPr>
        <w:ind w:left="4320" w:hanging="360"/>
      </w:pPr>
      <w:rPr>
        <w:rFonts w:ascii="Wingdings" w:hAnsi="Wingdings" w:hint="default"/>
      </w:rPr>
    </w:lvl>
    <w:lvl w:ilvl="6" w:tplc="C708FB6C">
      <w:start w:val="1"/>
      <w:numFmt w:val="bullet"/>
      <w:lvlText w:val=""/>
      <w:lvlJc w:val="left"/>
      <w:pPr>
        <w:ind w:left="5040" w:hanging="360"/>
      </w:pPr>
      <w:rPr>
        <w:rFonts w:ascii="Symbol" w:hAnsi="Symbol" w:hint="default"/>
      </w:rPr>
    </w:lvl>
    <w:lvl w:ilvl="7" w:tplc="2298848A">
      <w:start w:val="1"/>
      <w:numFmt w:val="bullet"/>
      <w:lvlText w:val="o"/>
      <w:lvlJc w:val="left"/>
      <w:pPr>
        <w:ind w:left="5760" w:hanging="360"/>
      </w:pPr>
      <w:rPr>
        <w:rFonts w:ascii="Courier New" w:hAnsi="Courier New" w:cs="Times New Roman" w:hint="default"/>
      </w:rPr>
    </w:lvl>
    <w:lvl w:ilvl="8" w:tplc="2A82291E">
      <w:start w:val="1"/>
      <w:numFmt w:val="bullet"/>
      <w:lvlText w:val=""/>
      <w:lvlJc w:val="left"/>
      <w:pPr>
        <w:ind w:left="6480" w:hanging="360"/>
      </w:pPr>
      <w:rPr>
        <w:rFonts w:ascii="Wingdings" w:hAnsi="Wingdings" w:hint="default"/>
      </w:rPr>
    </w:lvl>
  </w:abstractNum>
  <w:abstractNum w:abstractNumId="56" w15:restartNumberingAfterBreak="0">
    <w:nsid w:val="509F2F21"/>
    <w:multiLevelType w:val="hybridMultilevel"/>
    <w:tmpl w:val="BF362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1932A9B"/>
    <w:multiLevelType w:val="hybridMultilevel"/>
    <w:tmpl w:val="7CA0A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1F9042D"/>
    <w:multiLevelType w:val="hybridMultilevel"/>
    <w:tmpl w:val="C2AE1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219406C"/>
    <w:multiLevelType w:val="multilevel"/>
    <w:tmpl w:val="3D1E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27235D7"/>
    <w:multiLevelType w:val="hybridMultilevel"/>
    <w:tmpl w:val="6BB67F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3" w15:restartNumberingAfterBreak="0">
    <w:nsid w:val="577B5FDB"/>
    <w:multiLevelType w:val="hybridMultilevel"/>
    <w:tmpl w:val="30906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D04263B"/>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65" w15:restartNumberingAfterBreak="0">
    <w:nsid w:val="5D9D1F28"/>
    <w:multiLevelType w:val="multilevel"/>
    <w:tmpl w:val="C47A2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79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FF48F8"/>
    <w:multiLevelType w:val="multilevel"/>
    <w:tmpl w:val="0FE2B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1D7370C"/>
    <w:multiLevelType w:val="hybridMultilevel"/>
    <w:tmpl w:val="E6888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2227420"/>
    <w:multiLevelType w:val="hybridMultilevel"/>
    <w:tmpl w:val="828A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26514A7"/>
    <w:multiLevelType w:val="multilevel"/>
    <w:tmpl w:val="326809C8"/>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2953C0F"/>
    <w:multiLevelType w:val="multilevel"/>
    <w:tmpl w:val="3BE42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2" w15:restartNumberingAfterBreak="0">
    <w:nsid w:val="633A7C41"/>
    <w:multiLevelType w:val="multilevel"/>
    <w:tmpl w:val="528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5496EAB"/>
    <w:multiLevelType w:val="hybridMultilevel"/>
    <w:tmpl w:val="BBE0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6AE77F4"/>
    <w:multiLevelType w:val="multilevel"/>
    <w:tmpl w:val="379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674514B3"/>
    <w:multiLevelType w:val="multilevel"/>
    <w:tmpl w:val="AEDE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A395396"/>
    <w:multiLevelType w:val="multilevel"/>
    <w:tmpl w:val="BC76B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9" w15:restartNumberingAfterBreak="0">
    <w:nsid w:val="6B126772"/>
    <w:multiLevelType w:val="hybridMultilevel"/>
    <w:tmpl w:val="FFFFFFFF"/>
    <w:lvl w:ilvl="0" w:tplc="032AAD70">
      <w:start w:val="1"/>
      <w:numFmt w:val="bullet"/>
      <w:lvlText w:val=""/>
      <w:lvlJc w:val="left"/>
      <w:pPr>
        <w:ind w:left="720" w:hanging="360"/>
      </w:pPr>
      <w:rPr>
        <w:rFonts w:ascii="Symbol" w:hAnsi="Symbol" w:hint="default"/>
      </w:rPr>
    </w:lvl>
    <w:lvl w:ilvl="1" w:tplc="572813B4">
      <w:start w:val="1"/>
      <w:numFmt w:val="bullet"/>
      <w:lvlText w:val="o"/>
      <w:lvlJc w:val="left"/>
      <w:pPr>
        <w:ind w:left="1440" w:hanging="360"/>
      </w:pPr>
      <w:rPr>
        <w:rFonts w:ascii="Courier New" w:hAnsi="Courier New" w:cs="Times New Roman" w:hint="default"/>
      </w:rPr>
    </w:lvl>
    <w:lvl w:ilvl="2" w:tplc="27BA9732">
      <w:start w:val="1"/>
      <w:numFmt w:val="bullet"/>
      <w:lvlText w:val=""/>
      <w:lvlJc w:val="left"/>
      <w:pPr>
        <w:ind w:left="2160" w:hanging="360"/>
      </w:pPr>
      <w:rPr>
        <w:rFonts w:ascii="Wingdings" w:hAnsi="Wingdings" w:hint="default"/>
      </w:rPr>
    </w:lvl>
    <w:lvl w:ilvl="3" w:tplc="EED4D5FE">
      <w:start w:val="1"/>
      <w:numFmt w:val="bullet"/>
      <w:lvlText w:val=""/>
      <w:lvlJc w:val="left"/>
      <w:pPr>
        <w:ind w:left="2880" w:hanging="360"/>
      </w:pPr>
      <w:rPr>
        <w:rFonts w:ascii="Symbol" w:hAnsi="Symbol" w:hint="default"/>
      </w:rPr>
    </w:lvl>
    <w:lvl w:ilvl="4" w:tplc="E81C0512">
      <w:start w:val="1"/>
      <w:numFmt w:val="bullet"/>
      <w:lvlText w:val="o"/>
      <w:lvlJc w:val="left"/>
      <w:pPr>
        <w:ind w:left="3600" w:hanging="360"/>
      </w:pPr>
      <w:rPr>
        <w:rFonts w:ascii="Courier New" w:hAnsi="Courier New" w:cs="Times New Roman" w:hint="default"/>
      </w:rPr>
    </w:lvl>
    <w:lvl w:ilvl="5" w:tplc="E84EA9F6">
      <w:start w:val="1"/>
      <w:numFmt w:val="bullet"/>
      <w:lvlText w:val=""/>
      <w:lvlJc w:val="left"/>
      <w:pPr>
        <w:ind w:left="4320" w:hanging="360"/>
      </w:pPr>
      <w:rPr>
        <w:rFonts w:ascii="Wingdings" w:hAnsi="Wingdings" w:hint="default"/>
      </w:rPr>
    </w:lvl>
    <w:lvl w:ilvl="6" w:tplc="C26C4EC2">
      <w:start w:val="1"/>
      <w:numFmt w:val="bullet"/>
      <w:lvlText w:val=""/>
      <w:lvlJc w:val="left"/>
      <w:pPr>
        <w:ind w:left="5040" w:hanging="360"/>
      </w:pPr>
      <w:rPr>
        <w:rFonts w:ascii="Symbol" w:hAnsi="Symbol" w:hint="default"/>
      </w:rPr>
    </w:lvl>
    <w:lvl w:ilvl="7" w:tplc="CB6EB104">
      <w:start w:val="1"/>
      <w:numFmt w:val="bullet"/>
      <w:lvlText w:val="o"/>
      <w:lvlJc w:val="left"/>
      <w:pPr>
        <w:ind w:left="5760" w:hanging="360"/>
      </w:pPr>
      <w:rPr>
        <w:rFonts w:ascii="Courier New" w:hAnsi="Courier New" w:cs="Times New Roman" w:hint="default"/>
      </w:rPr>
    </w:lvl>
    <w:lvl w:ilvl="8" w:tplc="54F22232">
      <w:start w:val="1"/>
      <w:numFmt w:val="bullet"/>
      <w:lvlText w:val=""/>
      <w:lvlJc w:val="left"/>
      <w:pPr>
        <w:ind w:left="6480" w:hanging="360"/>
      </w:pPr>
      <w:rPr>
        <w:rFonts w:ascii="Wingdings" w:hAnsi="Wingdings" w:hint="default"/>
      </w:rPr>
    </w:lvl>
  </w:abstractNum>
  <w:abstractNum w:abstractNumId="80" w15:restartNumberingAfterBreak="0">
    <w:nsid w:val="6DB2261D"/>
    <w:multiLevelType w:val="hybridMultilevel"/>
    <w:tmpl w:val="D264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4B2168A"/>
    <w:multiLevelType w:val="hybridMultilevel"/>
    <w:tmpl w:val="86260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77641301"/>
    <w:multiLevelType w:val="hybridMultilevel"/>
    <w:tmpl w:val="9C32C41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4" w15:restartNumberingAfterBreak="0">
    <w:nsid w:val="78396FD3"/>
    <w:multiLevelType w:val="hybridMultilevel"/>
    <w:tmpl w:val="5FCEC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6" w15:restartNumberingAfterBreak="0">
    <w:nsid w:val="798E055E"/>
    <w:multiLevelType w:val="hybridMultilevel"/>
    <w:tmpl w:val="24F87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7A100E9B"/>
    <w:multiLevelType w:val="hybridMultilevel"/>
    <w:tmpl w:val="09044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7E914749"/>
    <w:multiLevelType w:val="multilevel"/>
    <w:tmpl w:val="3BE42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3657696">
    <w:abstractNumId w:val="10"/>
  </w:num>
  <w:num w:numId="2" w16cid:durableId="914897613">
    <w:abstractNumId w:val="44"/>
  </w:num>
  <w:num w:numId="3" w16cid:durableId="4995415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3248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0862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52514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7648846">
    <w:abstractNumId w:val="62"/>
  </w:num>
  <w:num w:numId="8" w16cid:durableId="1817332032">
    <w:abstractNumId w:val="37"/>
  </w:num>
  <w:num w:numId="9" w16cid:durableId="196626558">
    <w:abstractNumId w:val="61"/>
  </w:num>
  <w:num w:numId="10" w16cid:durableId="15292217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5394474">
    <w:abstractNumId w:val="71"/>
  </w:num>
  <w:num w:numId="12" w16cid:durableId="5168940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725162">
    <w:abstractNumId w:val="46"/>
  </w:num>
  <w:num w:numId="14" w16cid:durableId="13099379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44471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617223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3014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2494582">
    <w:abstractNumId w:val="78"/>
  </w:num>
  <w:num w:numId="19" w16cid:durableId="199579008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8482968">
    <w:abstractNumId w:val="19"/>
  </w:num>
  <w:num w:numId="21" w16cid:durableId="1841845592">
    <w:abstractNumId w:val="12"/>
  </w:num>
  <w:num w:numId="22" w16cid:durableId="12222054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50942">
    <w:abstractNumId w:val="29"/>
  </w:num>
  <w:num w:numId="24" w16cid:durableId="570578337">
    <w:abstractNumId w:val="82"/>
  </w:num>
  <w:num w:numId="25" w16cid:durableId="403190511">
    <w:abstractNumId w:val="75"/>
  </w:num>
  <w:num w:numId="26" w16cid:durableId="2114157386">
    <w:abstractNumId w:val="52"/>
  </w:num>
  <w:num w:numId="27" w16cid:durableId="1279602689">
    <w:abstractNumId w:val="11"/>
  </w:num>
  <w:num w:numId="28" w16cid:durableId="1905263456">
    <w:abstractNumId w:val="85"/>
  </w:num>
  <w:num w:numId="29" w16cid:durableId="2132744170">
    <w:abstractNumId w:val="9"/>
  </w:num>
  <w:num w:numId="30" w16cid:durableId="1452018404">
    <w:abstractNumId w:val="7"/>
  </w:num>
  <w:num w:numId="31" w16cid:durableId="1685746330">
    <w:abstractNumId w:val="6"/>
  </w:num>
  <w:num w:numId="32" w16cid:durableId="1789011343">
    <w:abstractNumId w:val="5"/>
  </w:num>
  <w:num w:numId="33" w16cid:durableId="511065826">
    <w:abstractNumId w:val="4"/>
  </w:num>
  <w:num w:numId="34" w16cid:durableId="739403658">
    <w:abstractNumId w:val="8"/>
  </w:num>
  <w:num w:numId="35" w16cid:durableId="1337228294">
    <w:abstractNumId w:val="3"/>
  </w:num>
  <w:num w:numId="36" w16cid:durableId="852383112">
    <w:abstractNumId w:val="2"/>
  </w:num>
  <w:num w:numId="37" w16cid:durableId="1968850366">
    <w:abstractNumId w:val="1"/>
  </w:num>
  <w:num w:numId="38" w16cid:durableId="592665603">
    <w:abstractNumId w:val="0"/>
  </w:num>
  <w:num w:numId="39" w16cid:durableId="170983579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5079255">
    <w:abstractNumId w:val="28"/>
  </w:num>
  <w:num w:numId="41" w16cid:durableId="12375892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293153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2180313">
    <w:abstractNumId w:val="18"/>
  </w:num>
  <w:num w:numId="44" w16cid:durableId="2362817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83156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59412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1948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83229914">
    <w:abstractNumId w:val="55"/>
  </w:num>
  <w:num w:numId="49" w16cid:durableId="1145707199">
    <w:abstractNumId w:val="79"/>
  </w:num>
  <w:num w:numId="50" w16cid:durableId="1089235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85958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34260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8566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721862">
    <w:abstractNumId w:val="45"/>
  </w:num>
  <w:num w:numId="55" w16cid:durableId="1510371163">
    <w:abstractNumId w:val="36"/>
  </w:num>
  <w:num w:numId="56" w16cid:durableId="94450328">
    <w:abstractNumId w:val="40"/>
  </w:num>
  <w:num w:numId="57" w16cid:durableId="1023361917">
    <w:abstractNumId w:val="58"/>
  </w:num>
  <w:num w:numId="58" w16cid:durableId="1345747135">
    <w:abstractNumId w:val="25"/>
  </w:num>
  <w:num w:numId="59" w16cid:durableId="655648434">
    <w:abstractNumId w:val="84"/>
  </w:num>
  <w:num w:numId="60" w16cid:durableId="1249729897">
    <w:abstractNumId w:val="64"/>
  </w:num>
  <w:num w:numId="61" w16cid:durableId="473064533">
    <w:abstractNumId w:val="33"/>
  </w:num>
  <w:num w:numId="62" w16cid:durableId="69280737">
    <w:abstractNumId w:val="66"/>
  </w:num>
  <w:num w:numId="63" w16cid:durableId="295839081">
    <w:abstractNumId w:val="27"/>
  </w:num>
  <w:num w:numId="64" w16cid:durableId="786434304">
    <w:abstractNumId w:val="74"/>
  </w:num>
  <w:num w:numId="65" w16cid:durableId="334110286">
    <w:abstractNumId w:val="13"/>
  </w:num>
  <w:num w:numId="66" w16cid:durableId="401412724">
    <w:abstractNumId w:val="65"/>
  </w:num>
  <w:num w:numId="67" w16cid:durableId="89401425">
    <w:abstractNumId w:val="20"/>
  </w:num>
  <w:num w:numId="68" w16cid:durableId="831336987">
    <w:abstractNumId w:val="69"/>
  </w:num>
  <w:num w:numId="69" w16cid:durableId="994605724">
    <w:abstractNumId w:val="77"/>
  </w:num>
  <w:num w:numId="70" w16cid:durableId="1476682102">
    <w:abstractNumId w:val="15"/>
  </w:num>
  <w:num w:numId="71" w16cid:durableId="1017805490">
    <w:abstractNumId w:val="49"/>
  </w:num>
  <w:num w:numId="72" w16cid:durableId="666058133">
    <w:abstractNumId w:val="47"/>
  </w:num>
  <w:num w:numId="73" w16cid:durableId="40130679">
    <w:abstractNumId w:val="30"/>
  </w:num>
  <w:num w:numId="74" w16cid:durableId="1993824665">
    <w:abstractNumId w:val="32"/>
  </w:num>
  <w:num w:numId="75" w16cid:durableId="1684629286">
    <w:abstractNumId w:val="68"/>
  </w:num>
  <w:num w:numId="76" w16cid:durableId="1381174641">
    <w:abstractNumId w:val="63"/>
  </w:num>
  <w:num w:numId="77" w16cid:durableId="1119956057">
    <w:abstractNumId w:val="16"/>
  </w:num>
  <w:num w:numId="78" w16cid:durableId="1165435401">
    <w:abstractNumId w:val="67"/>
  </w:num>
  <w:num w:numId="79" w16cid:durableId="1219056117">
    <w:abstractNumId w:val="86"/>
  </w:num>
  <w:num w:numId="80" w16cid:durableId="308095887">
    <w:abstractNumId w:val="41"/>
  </w:num>
  <w:num w:numId="81" w16cid:durableId="1471049580">
    <w:abstractNumId w:val="50"/>
  </w:num>
  <w:num w:numId="82" w16cid:durableId="507134074">
    <w:abstractNumId w:val="42"/>
  </w:num>
  <w:num w:numId="83" w16cid:durableId="561256704">
    <w:abstractNumId w:val="51"/>
  </w:num>
  <w:num w:numId="84" w16cid:durableId="983699426">
    <w:abstractNumId w:val="87"/>
  </w:num>
  <w:num w:numId="85" w16cid:durableId="1249846920">
    <w:abstractNumId w:val="81"/>
  </w:num>
  <w:num w:numId="86" w16cid:durableId="1921595965">
    <w:abstractNumId w:val="80"/>
  </w:num>
  <w:num w:numId="87" w16cid:durableId="1440487672">
    <w:abstractNumId w:val="21"/>
  </w:num>
  <w:num w:numId="88" w16cid:durableId="1452163788">
    <w:abstractNumId w:val="22"/>
  </w:num>
  <w:num w:numId="89" w16cid:durableId="2131052719">
    <w:abstractNumId w:val="72"/>
  </w:num>
  <w:num w:numId="90" w16cid:durableId="975528597">
    <w:abstractNumId w:val="76"/>
  </w:num>
  <w:num w:numId="91" w16cid:durableId="1870793885">
    <w:abstractNumId w:val="31"/>
  </w:num>
  <w:num w:numId="92" w16cid:durableId="752052534">
    <w:abstractNumId w:val="59"/>
  </w:num>
  <w:num w:numId="93" w16cid:durableId="22488995">
    <w:abstractNumId w:val="48"/>
  </w:num>
  <w:num w:numId="94" w16cid:durableId="1738279293">
    <w:abstractNumId w:val="39"/>
  </w:num>
  <w:num w:numId="95" w16cid:durableId="1378509447">
    <w:abstractNumId w:val="70"/>
  </w:num>
  <w:num w:numId="96" w16cid:durableId="279580395">
    <w:abstractNumId w:val="14"/>
  </w:num>
  <w:num w:numId="97" w16cid:durableId="1990285853">
    <w:abstractNumId w:val="54"/>
  </w:num>
  <w:num w:numId="98" w16cid:durableId="1233807555">
    <w:abstractNumId w:val="53"/>
  </w:num>
  <w:num w:numId="99" w16cid:durableId="1892224544">
    <w:abstractNumId w:val="17"/>
  </w:num>
  <w:num w:numId="100" w16cid:durableId="526529885">
    <w:abstractNumId w:val="83"/>
  </w:num>
  <w:num w:numId="101" w16cid:durableId="346716366">
    <w:abstractNumId w:val="43"/>
  </w:num>
  <w:num w:numId="102" w16cid:durableId="1583029923">
    <w:abstractNumId w:val="26"/>
  </w:num>
  <w:num w:numId="103" w16cid:durableId="1491827283">
    <w:abstractNumId w:val="23"/>
  </w:num>
  <w:num w:numId="104" w16cid:durableId="857159918">
    <w:abstractNumId w:val="35"/>
  </w:num>
  <w:num w:numId="105" w16cid:durableId="1524978337">
    <w:abstractNumId w:val="38"/>
  </w:num>
  <w:num w:numId="106" w16cid:durableId="1822699400">
    <w:abstractNumId w:val="88"/>
  </w:num>
  <w:num w:numId="107" w16cid:durableId="346366219">
    <w:abstractNumId w:val="57"/>
  </w:num>
  <w:num w:numId="108" w16cid:durableId="464662850">
    <w:abstractNumId w:val="44"/>
  </w:num>
  <w:num w:numId="109" w16cid:durableId="416875544">
    <w:abstractNumId w:val="44"/>
  </w:num>
  <w:num w:numId="110" w16cid:durableId="1810586830">
    <w:abstractNumId w:val="34"/>
  </w:num>
  <w:num w:numId="111" w16cid:durableId="430509370">
    <w:abstractNumId w:val="24"/>
  </w:num>
  <w:num w:numId="112" w16cid:durableId="472255394">
    <w:abstractNumId w:val="73"/>
  </w:num>
  <w:num w:numId="113" w16cid:durableId="578709542">
    <w:abstractNumId w:val="56"/>
  </w:num>
  <w:num w:numId="114" w16cid:durableId="1024403166">
    <w:abstractNumId w:val="6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7D6"/>
    <w:rsid w:val="00000719"/>
    <w:rsid w:val="00002182"/>
    <w:rsid w:val="00002D68"/>
    <w:rsid w:val="000033F7"/>
    <w:rsid w:val="00003403"/>
    <w:rsid w:val="00004442"/>
    <w:rsid w:val="00005347"/>
    <w:rsid w:val="000056D5"/>
    <w:rsid w:val="0000643B"/>
    <w:rsid w:val="00006D6A"/>
    <w:rsid w:val="000072B6"/>
    <w:rsid w:val="0001021B"/>
    <w:rsid w:val="000102C1"/>
    <w:rsid w:val="00011D89"/>
    <w:rsid w:val="000154FD"/>
    <w:rsid w:val="00015A20"/>
    <w:rsid w:val="00016F50"/>
    <w:rsid w:val="0002063E"/>
    <w:rsid w:val="00020769"/>
    <w:rsid w:val="00022271"/>
    <w:rsid w:val="00022C85"/>
    <w:rsid w:val="000235E8"/>
    <w:rsid w:val="00023C8E"/>
    <w:rsid w:val="00023D6F"/>
    <w:rsid w:val="00023D83"/>
    <w:rsid w:val="00024485"/>
    <w:rsid w:val="00024D89"/>
    <w:rsid w:val="000250B6"/>
    <w:rsid w:val="000253EC"/>
    <w:rsid w:val="00025786"/>
    <w:rsid w:val="00026540"/>
    <w:rsid w:val="00030CDD"/>
    <w:rsid w:val="00032414"/>
    <w:rsid w:val="00033D81"/>
    <w:rsid w:val="00033DC9"/>
    <w:rsid w:val="000342A9"/>
    <w:rsid w:val="000362D6"/>
    <w:rsid w:val="00036D0F"/>
    <w:rsid w:val="00037366"/>
    <w:rsid w:val="00040515"/>
    <w:rsid w:val="00041BF0"/>
    <w:rsid w:val="00042C8A"/>
    <w:rsid w:val="0004351F"/>
    <w:rsid w:val="0004536B"/>
    <w:rsid w:val="00045EA2"/>
    <w:rsid w:val="00046B68"/>
    <w:rsid w:val="000473D1"/>
    <w:rsid w:val="00051E56"/>
    <w:rsid w:val="000527DD"/>
    <w:rsid w:val="0005308C"/>
    <w:rsid w:val="000544A8"/>
    <w:rsid w:val="00055D5F"/>
    <w:rsid w:val="00056EC4"/>
    <w:rsid w:val="000576A4"/>
    <w:rsid w:val="000578B2"/>
    <w:rsid w:val="000606D4"/>
    <w:rsid w:val="00060959"/>
    <w:rsid w:val="00060C8F"/>
    <w:rsid w:val="0006298A"/>
    <w:rsid w:val="000646F4"/>
    <w:rsid w:val="000663CD"/>
    <w:rsid w:val="00067F1F"/>
    <w:rsid w:val="00072D14"/>
    <w:rsid w:val="0007335E"/>
    <w:rsid w:val="000733FE"/>
    <w:rsid w:val="00074219"/>
    <w:rsid w:val="00074ED5"/>
    <w:rsid w:val="000802B5"/>
    <w:rsid w:val="00080450"/>
    <w:rsid w:val="00081B8A"/>
    <w:rsid w:val="0008204A"/>
    <w:rsid w:val="000820E7"/>
    <w:rsid w:val="0008239A"/>
    <w:rsid w:val="00083E71"/>
    <w:rsid w:val="00084444"/>
    <w:rsid w:val="00084FA0"/>
    <w:rsid w:val="0008508E"/>
    <w:rsid w:val="000856B6"/>
    <w:rsid w:val="00087951"/>
    <w:rsid w:val="00087E21"/>
    <w:rsid w:val="0009113B"/>
    <w:rsid w:val="00091A69"/>
    <w:rsid w:val="000933E0"/>
    <w:rsid w:val="00093402"/>
    <w:rsid w:val="00094DA3"/>
    <w:rsid w:val="00096CD1"/>
    <w:rsid w:val="000A012C"/>
    <w:rsid w:val="000A0D5A"/>
    <w:rsid w:val="000A0EB9"/>
    <w:rsid w:val="000A186C"/>
    <w:rsid w:val="000A1EA4"/>
    <w:rsid w:val="000A2476"/>
    <w:rsid w:val="000A641A"/>
    <w:rsid w:val="000B3EDB"/>
    <w:rsid w:val="000B50F3"/>
    <w:rsid w:val="000B543D"/>
    <w:rsid w:val="000B55F9"/>
    <w:rsid w:val="000B57E5"/>
    <w:rsid w:val="000B5BF7"/>
    <w:rsid w:val="000B6BC8"/>
    <w:rsid w:val="000C0303"/>
    <w:rsid w:val="000C0E0E"/>
    <w:rsid w:val="000C42EA"/>
    <w:rsid w:val="000C4546"/>
    <w:rsid w:val="000C64D2"/>
    <w:rsid w:val="000C7BE5"/>
    <w:rsid w:val="000D1242"/>
    <w:rsid w:val="000D2ABA"/>
    <w:rsid w:val="000D6FA6"/>
    <w:rsid w:val="000D7D0B"/>
    <w:rsid w:val="000E0970"/>
    <w:rsid w:val="000E3CC7"/>
    <w:rsid w:val="000E5B61"/>
    <w:rsid w:val="000E5D19"/>
    <w:rsid w:val="000E6B85"/>
    <w:rsid w:val="000E6BD4"/>
    <w:rsid w:val="000E6D6D"/>
    <w:rsid w:val="000E7A29"/>
    <w:rsid w:val="000E7CB7"/>
    <w:rsid w:val="000F07DE"/>
    <w:rsid w:val="000F0C53"/>
    <w:rsid w:val="000F183F"/>
    <w:rsid w:val="000F1F1E"/>
    <w:rsid w:val="000F2259"/>
    <w:rsid w:val="000F2DDA"/>
    <w:rsid w:val="000F2EA0"/>
    <w:rsid w:val="000F3873"/>
    <w:rsid w:val="000F5213"/>
    <w:rsid w:val="000F5CCD"/>
    <w:rsid w:val="00101001"/>
    <w:rsid w:val="00102BAB"/>
    <w:rsid w:val="00103276"/>
    <w:rsid w:val="0010392D"/>
    <w:rsid w:val="0010447F"/>
    <w:rsid w:val="00104FE3"/>
    <w:rsid w:val="00106502"/>
    <w:rsid w:val="00106B39"/>
    <w:rsid w:val="0010714F"/>
    <w:rsid w:val="001071EA"/>
    <w:rsid w:val="001120C5"/>
    <w:rsid w:val="00114A84"/>
    <w:rsid w:val="00116F12"/>
    <w:rsid w:val="00120BD3"/>
    <w:rsid w:val="00122FEA"/>
    <w:rsid w:val="0012314E"/>
    <w:rsid w:val="00123204"/>
    <w:rsid w:val="001232BD"/>
    <w:rsid w:val="001236DC"/>
    <w:rsid w:val="00123A9D"/>
    <w:rsid w:val="00123D69"/>
    <w:rsid w:val="00124ED5"/>
    <w:rsid w:val="0012503B"/>
    <w:rsid w:val="001252D0"/>
    <w:rsid w:val="001276FA"/>
    <w:rsid w:val="001277CE"/>
    <w:rsid w:val="00131556"/>
    <w:rsid w:val="00134906"/>
    <w:rsid w:val="00137C41"/>
    <w:rsid w:val="001407F5"/>
    <w:rsid w:val="0014215D"/>
    <w:rsid w:val="00142CDD"/>
    <w:rsid w:val="00143957"/>
    <w:rsid w:val="001447B3"/>
    <w:rsid w:val="00145A09"/>
    <w:rsid w:val="00147803"/>
    <w:rsid w:val="00150192"/>
    <w:rsid w:val="00151D2D"/>
    <w:rsid w:val="00152073"/>
    <w:rsid w:val="00152329"/>
    <w:rsid w:val="00153FF1"/>
    <w:rsid w:val="00154CB2"/>
    <w:rsid w:val="001561D9"/>
    <w:rsid w:val="00156598"/>
    <w:rsid w:val="00156ECE"/>
    <w:rsid w:val="00157B95"/>
    <w:rsid w:val="00157EF3"/>
    <w:rsid w:val="00161939"/>
    <w:rsid w:val="00161AA0"/>
    <w:rsid w:val="00161D2E"/>
    <w:rsid w:val="00161F3E"/>
    <w:rsid w:val="00162093"/>
    <w:rsid w:val="001628D5"/>
    <w:rsid w:val="00162CA9"/>
    <w:rsid w:val="0016407B"/>
    <w:rsid w:val="00164C8A"/>
    <w:rsid w:val="00165459"/>
    <w:rsid w:val="00165A57"/>
    <w:rsid w:val="0016630B"/>
    <w:rsid w:val="0017001A"/>
    <w:rsid w:val="0017015C"/>
    <w:rsid w:val="001712C2"/>
    <w:rsid w:val="00171C1C"/>
    <w:rsid w:val="00172BAF"/>
    <w:rsid w:val="00172FC0"/>
    <w:rsid w:val="0017405B"/>
    <w:rsid w:val="0017461C"/>
    <w:rsid w:val="0017552D"/>
    <w:rsid w:val="00175BBB"/>
    <w:rsid w:val="0017674D"/>
    <w:rsid w:val="00176CDB"/>
    <w:rsid w:val="001771DD"/>
    <w:rsid w:val="00177995"/>
    <w:rsid w:val="00177A8C"/>
    <w:rsid w:val="0018084D"/>
    <w:rsid w:val="0018244E"/>
    <w:rsid w:val="001839D6"/>
    <w:rsid w:val="00183AD7"/>
    <w:rsid w:val="001857BE"/>
    <w:rsid w:val="00186B33"/>
    <w:rsid w:val="001871A6"/>
    <w:rsid w:val="0018765F"/>
    <w:rsid w:val="0018794D"/>
    <w:rsid w:val="00191010"/>
    <w:rsid w:val="00191431"/>
    <w:rsid w:val="00192F9D"/>
    <w:rsid w:val="00193F47"/>
    <w:rsid w:val="00196EB8"/>
    <w:rsid w:val="00196EFB"/>
    <w:rsid w:val="00197937"/>
    <w:rsid w:val="001979FF"/>
    <w:rsid w:val="00197B17"/>
    <w:rsid w:val="00197C83"/>
    <w:rsid w:val="001A00CC"/>
    <w:rsid w:val="001A09B6"/>
    <w:rsid w:val="001A1950"/>
    <w:rsid w:val="001A1C54"/>
    <w:rsid w:val="001A3135"/>
    <w:rsid w:val="001A3ACE"/>
    <w:rsid w:val="001A6272"/>
    <w:rsid w:val="001B0204"/>
    <w:rsid w:val="001B058F"/>
    <w:rsid w:val="001B2E66"/>
    <w:rsid w:val="001B3350"/>
    <w:rsid w:val="001B6B96"/>
    <w:rsid w:val="001B738B"/>
    <w:rsid w:val="001C09DB"/>
    <w:rsid w:val="001C09EC"/>
    <w:rsid w:val="001C277E"/>
    <w:rsid w:val="001C2A72"/>
    <w:rsid w:val="001C3146"/>
    <w:rsid w:val="001C31B7"/>
    <w:rsid w:val="001C458F"/>
    <w:rsid w:val="001C5AB3"/>
    <w:rsid w:val="001C5F1B"/>
    <w:rsid w:val="001D0B75"/>
    <w:rsid w:val="001D17E0"/>
    <w:rsid w:val="001D34FC"/>
    <w:rsid w:val="001D39A5"/>
    <w:rsid w:val="001D3C09"/>
    <w:rsid w:val="001D42AF"/>
    <w:rsid w:val="001D44E8"/>
    <w:rsid w:val="001D60EC"/>
    <w:rsid w:val="001D6759"/>
    <w:rsid w:val="001D6F59"/>
    <w:rsid w:val="001E0F62"/>
    <w:rsid w:val="001E2460"/>
    <w:rsid w:val="001E40A5"/>
    <w:rsid w:val="001E44DF"/>
    <w:rsid w:val="001E68A5"/>
    <w:rsid w:val="001E6BB0"/>
    <w:rsid w:val="001E7282"/>
    <w:rsid w:val="001E75C7"/>
    <w:rsid w:val="001E7D92"/>
    <w:rsid w:val="001F0FF5"/>
    <w:rsid w:val="001F313B"/>
    <w:rsid w:val="001F3826"/>
    <w:rsid w:val="001F468E"/>
    <w:rsid w:val="001F487F"/>
    <w:rsid w:val="001F513C"/>
    <w:rsid w:val="001F5AA8"/>
    <w:rsid w:val="001F6E46"/>
    <w:rsid w:val="001F72AB"/>
    <w:rsid w:val="001F799A"/>
    <w:rsid w:val="001F7C26"/>
    <w:rsid w:val="001F7C91"/>
    <w:rsid w:val="001F7F47"/>
    <w:rsid w:val="002033B7"/>
    <w:rsid w:val="0020412B"/>
    <w:rsid w:val="00204CEA"/>
    <w:rsid w:val="00206463"/>
    <w:rsid w:val="002064E8"/>
    <w:rsid w:val="00206F2F"/>
    <w:rsid w:val="00207717"/>
    <w:rsid w:val="0021053D"/>
    <w:rsid w:val="00210A92"/>
    <w:rsid w:val="0021199C"/>
    <w:rsid w:val="00212B95"/>
    <w:rsid w:val="00215CC8"/>
    <w:rsid w:val="00216C03"/>
    <w:rsid w:val="002171ED"/>
    <w:rsid w:val="00220A1A"/>
    <w:rsid w:val="00220C04"/>
    <w:rsid w:val="00221C00"/>
    <w:rsid w:val="00222020"/>
    <w:rsid w:val="0022278D"/>
    <w:rsid w:val="00225699"/>
    <w:rsid w:val="002269D3"/>
    <w:rsid w:val="0022701F"/>
    <w:rsid w:val="00227C68"/>
    <w:rsid w:val="00231521"/>
    <w:rsid w:val="00231F34"/>
    <w:rsid w:val="002333F5"/>
    <w:rsid w:val="00233724"/>
    <w:rsid w:val="002365B4"/>
    <w:rsid w:val="00237113"/>
    <w:rsid w:val="00237E2E"/>
    <w:rsid w:val="002418EF"/>
    <w:rsid w:val="002432E1"/>
    <w:rsid w:val="00246207"/>
    <w:rsid w:val="0024629F"/>
    <w:rsid w:val="00246C5E"/>
    <w:rsid w:val="00247061"/>
    <w:rsid w:val="002501BD"/>
    <w:rsid w:val="00250960"/>
    <w:rsid w:val="00251343"/>
    <w:rsid w:val="00252BDC"/>
    <w:rsid w:val="0025368F"/>
    <w:rsid w:val="002536A4"/>
    <w:rsid w:val="00253CE6"/>
    <w:rsid w:val="00254F58"/>
    <w:rsid w:val="002575FA"/>
    <w:rsid w:val="00261DE0"/>
    <w:rsid w:val="0026203F"/>
    <w:rsid w:val="002620BC"/>
    <w:rsid w:val="002624AB"/>
    <w:rsid w:val="00262802"/>
    <w:rsid w:val="00263A90"/>
    <w:rsid w:val="0026408B"/>
    <w:rsid w:val="002649D0"/>
    <w:rsid w:val="00265CB7"/>
    <w:rsid w:val="00267267"/>
    <w:rsid w:val="00267C3E"/>
    <w:rsid w:val="002702BC"/>
    <w:rsid w:val="002709BB"/>
    <w:rsid w:val="002712E6"/>
    <w:rsid w:val="0027131C"/>
    <w:rsid w:val="002727A0"/>
    <w:rsid w:val="00273BAC"/>
    <w:rsid w:val="0027612A"/>
    <w:rsid w:val="00276295"/>
    <w:rsid w:val="002763B3"/>
    <w:rsid w:val="0027668D"/>
    <w:rsid w:val="002802E3"/>
    <w:rsid w:val="0028213D"/>
    <w:rsid w:val="0028240E"/>
    <w:rsid w:val="00282A5A"/>
    <w:rsid w:val="00282B1F"/>
    <w:rsid w:val="00282C3A"/>
    <w:rsid w:val="00283EDB"/>
    <w:rsid w:val="002847DD"/>
    <w:rsid w:val="002862F1"/>
    <w:rsid w:val="002866A8"/>
    <w:rsid w:val="0029029E"/>
    <w:rsid w:val="00291373"/>
    <w:rsid w:val="00294097"/>
    <w:rsid w:val="002940DB"/>
    <w:rsid w:val="0029597D"/>
    <w:rsid w:val="002962C3"/>
    <w:rsid w:val="0029752B"/>
    <w:rsid w:val="002A0A9C"/>
    <w:rsid w:val="002A0B86"/>
    <w:rsid w:val="002A3413"/>
    <w:rsid w:val="002A359F"/>
    <w:rsid w:val="002A483C"/>
    <w:rsid w:val="002A6483"/>
    <w:rsid w:val="002A6497"/>
    <w:rsid w:val="002B0C7C"/>
    <w:rsid w:val="002B1729"/>
    <w:rsid w:val="002B36C7"/>
    <w:rsid w:val="002B4DD4"/>
    <w:rsid w:val="002B5277"/>
    <w:rsid w:val="002B5375"/>
    <w:rsid w:val="002B77C1"/>
    <w:rsid w:val="002C096C"/>
    <w:rsid w:val="002C0ED7"/>
    <w:rsid w:val="002C1AFC"/>
    <w:rsid w:val="002C214C"/>
    <w:rsid w:val="002C2728"/>
    <w:rsid w:val="002C5B7C"/>
    <w:rsid w:val="002D1E0D"/>
    <w:rsid w:val="002D4A55"/>
    <w:rsid w:val="002D4E51"/>
    <w:rsid w:val="002D5006"/>
    <w:rsid w:val="002D702D"/>
    <w:rsid w:val="002D7C61"/>
    <w:rsid w:val="002E01D0"/>
    <w:rsid w:val="002E0621"/>
    <w:rsid w:val="002E161D"/>
    <w:rsid w:val="002E28A2"/>
    <w:rsid w:val="002E3100"/>
    <w:rsid w:val="002E492D"/>
    <w:rsid w:val="002E4E1F"/>
    <w:rsid w:val="002E6307"/>
    <w:rsid w:val="002E6C95"/>
    <w:rsid w:val="002E77CC"/>
    <w:rsid w:val="002E7B4B"/>
    <w:rsid w:val="002E7C36"/>
    <w:rsid w:val="002F2FAF"/>
    <w:rsid w:val="002F3D32"/>
    <w:rsid w:val="002F5F31"/>
    <w:rsid w:val="002F5F46"/>
    <w:rsid w:val="00302216"/>
    <w:rsid w:val="00303E53"/>
    <w:rsid w:val="00303F69"/>
    <w:rsid w:val="003054BB"/>
    <w:rsid w:val="0030572A"/>
    <w:rsid w:val="00305CC1"/>
    <w:rsid w:val="00306E5F"/>
    <w:rsid w:val="003075C1"/>
    <w:rsid w:val="00307E14"/>
    <w:rsid w:val="00314054"/>
    <w:rsid w:val="003148AC"/>
    <w:rsid w:val="00316F27"/>
    <w:rsid w:val="003214F1"/>
    <w:rsid w:val="0032191C"/>
    <w:rsid w:val="00322E4B"/>
    <w:rsid w:val="00323AAB"/>
    <w:rsid w:val="00324E99"/>
    <w:rsid w:val="00327870"/>
    <w:rsid w:val="00331E2D"/>
    <w:rsid w:val="0033259D"/>
    <w:rsid w:val="0033332F"/>
    <w:rsid w:val="003333D2"/>
    <w:rsid w:val="00333BF5"/>
    <w:rsid w:val="00333C4E"/>
    <w:rsid w:val="00334686"/>
    <w:rsid w:val="00334FC9"/>
    <w:rsid w:val="00337339"/>
    <w:rsid w:val="00340345"/>
    <w:rsid w:val="003406C6"/>
    <w:rsid w:val="00340720"/>
    <w:rsid w:val="003418CC"/>
    <w:rsid w:val="003434EE"/>
    <w:rsid w:val="00344275"/>
    <w:rsid w:val="0034528B"/>
    <w:rsid w:val="003459BD"/>
    <w:rsid w:val="003474E9"/>
    <w:rsid w:val="00347C32"/>
    <w:rsid w:val="00350D38"/>
    <w:rsid w:val="003518E8"/>
    <w:rsid w:val="00351B36"/>
    <w:rsid w:val="00351C40"/>
    <w:rsid w:val="003521F0"/>
    <w:rsid w:val="00354408"/>
    <w:rsid w:val="0035690F"/>
    <w:rsid w:val="00357B4E"/>
    <w:rsid w:val="0036530E"/>
    <w:rsid w:val="00366D72"/>
    <w:rsid w:val="003706CF"/>
    <w:rsid w:val="003716FD"/>
    <w:rsid w:val="0037204B"/>
    <w:rsid w:val="003744CF"/>
    <w:rsid w:val="00374717"/>
    <w:rsid w:val="0037676C"/>
    <w:rsid w:val="00380B32"/>
    <w:rsid w:val="00380EFD"/>
    <w:rsid w:val="00381043"/>
    <w:rsid w:val="00381D56"/>
    <w:rsid w:val="003829E5"/>
    <w:rsid w:val="00383143"/>
    <w:rsid w:val="00385413"/>
    <w:rsid w:val="00385A97"/>
    <w:rsid w:val="00386109"/>
    <w:rsid w:val="00386944"/>
    <w:rsid w:val="00390D6E"/>
    <w:rsid w:val="00391218"/>
    <w:rsid w:val="00391DC4"/>
    <w:rsid w:val="003956CC"/>
    <w:rsid w:val="00395C9A"/>
    <w:rsid w:val="003A0853"/>
    <w:rsid w:val="003A30F6"/>
    <w:rsid w:val="003A4F66"/>
    <w:rsid w:val="003A5513"/>
    <w:rsid w:val="003A6B67"/>
    <w:rsid w:val="003A6EAC"/>
    <w:rsid w:val="003A7474"/>
    <w:rsid w:val="003B13B6"/>
    <w:rsid w:val="003B14C3"/>
    <w:rsid w:val="003B15E6"/>
    <w:rsid w:val="003B22EF"/>
    <w:rsid w:val="003B408A"/>
    <w:rsid w:val="003C08A2"/>
    <w:rsid w:val="003C124B"/>
    <w:rsid w:val="003C2045"/>
    <w:rsid w:val="003C2949"/>
    <w:rsid w:val="003C3CA4"/>
    <w:rsid w:val="003C43A1"/>
    <w:rsid w:val="003C4A75"/>
    <w:rsid w:val="003C4FC0"/>
    <w:rsid w:val="003C55F4"/>
    <w:rsid w:val="003C6F55"/>
    <w:rsid w:val="003C7897"/>
    <w:rsid w:val="003C7A3F"/>
    <w:rsid w:val="003D0F53"/>
    <w:rsid w:val="003D16B1"/>
    <w:rsid w:val="003D16B9"/>
    <w:rsid w:val="003D18BB"/>
    <w:rsid w:val="003D255B"/>
    <w:rsid w:val="003D2766"/>
    <w:rsid w:val="003D2A74"/>
    <w:rsid w:val="003D37EC"/>
    <w:rsid w:val="003D3D88"/>
    <w:rsid w:val="003D3E8F"/>
    <w:rsid w:val="003D6475"/>
    <w:rsid w:val="003D6EE6"/>
    <w:rsid w:val="003E0875"/>
    <w:rsid w:val="003E1442"/>
    <w:rsid w:val="003E159C"/>
    <w:rsid w:val="003E1D96"/>
    <w:rsid w:val="003E24FD"/>
    <w:rsid w:val="003E375C"/>
    <w:rsid w:val="003E3EB7"/>
    <w:rsid w:val="003E4086"/>
    <w:rsid w:val="003E639E"/>
    <w:rsid w:val="003E64BA"/>
    <w:rsid w:val="003E71E5"/>
    <w:rsid w:val="003F0445"/>
    <w:rsid w:val="003F0CF0"/>
    <w:rsid w:val="003F0E7F"/>
    <w:rsid w:val="003F14B1"/>
    <w:rsid w:val="003F2B20"/>
    <w:rsid w:val="003F3289"/>
    <w:rsid w:val="003F370E"/>
    <w:rsid w:val="003F3C62"/>
    <w:rsid w:val="003F5306"/>
    <w:rsid w:val="003F5CB9"/>
    <w:rsid w:val="003F6A03"/>
    <w:rsid w:val="00400CFA"/>
    <w:rsid w:val="00400D37"/>
    <w:rsid w:val="004013C7"/>
    <w:rsid w:val="00401FCF"/>
    <w:rsid w:val="00402A68"/>
    <w:rsid w:val="00405F83"/>
    <w:rsid w:val="00406285"/>
    <w:rsid w:val="00407DDD"/>
    <w:rsid w:val="004115A2"/>
    <w:rsid w:val="00411616"/>
    <w:rsid w:val="0041190E"/>
    <w:rsid w:val="00411B8A"/>
    <w:rsid w:val="00412AC5"/>
    <w:rsid w:val="00413F0C"/>
    <w:rsid w:val="004148F9"/>
    <w:rsid w:val="0041536D"/>
    <w:rsid w:val="0042084E"/>
    <w:rsid w:val="0042127C"/>
    <w:rsid w:val="004217A0"/>
    <w:rsid w:val="00421EEF"/>
    <w:rsid w:val="004230A1"/>
    <w:rsid w:val="00424D65"/>
    <w:rsid w:val="004257C1"/>
    <w:rsid w:val="00426847"/>
    <w:rsid w:val="00430393"/>
    <w:rsid w:val="00430DBB"/>
    <w:rsid w:val="00431104"/>
    <w:rsid w:val="00431806"/>
    <w:rsid w:val="00431A70"/>
    <w:rsid w:val="00431C4A"/>
    <w:rsid w:val="00431F42"/>
    <w:rsid w:val="00432A66"/>
    <w:rsid w:val="004356B0"/>
    <w:rsid w:val="00435A01"/>
    <w:rsid w:val="00437BF7"/>
    <w:rsid w:val="00440BB2"/>
    <w:rsid w:val="00441796"/>
    <w:rsid w:val="00441ED5"/>
    <w:rsid w:val="00442C6C"/>
    <w:rsid w:val="00443CBE"/>
    <w:rsid w:val="00443E8A"/>
    <w:rsid w:val="004441BC"/>
    <w:rsid w:val="00444DA7"/>
    <w:rsid w:val="004468B4"/>
    <w:rsid w:val="00446D86"/>
    <w:rsid w:val="00451E9B"/>
    <w:rsid w:val="0045230A"/>
    <w:rsid w:val="004544BD"/>
    <w:rsid w:val="00454A7D"/>
    <w:rsid w:val="00454AD0"/>
    <w:rsid w:val="004550BB"/>
    <w:rsid w:val="004551B5"/>
    <w:rsid w:val="00456DD9"/>
    <w:rsid w:val="00457337"/>
    <w:rsid w:val="00460901"/>
    <w:rsid w:val="00462683"/>
    <w:rsid w:val="00462E3D"/>
    <w:rsid w:val="0046379A"/>
    <w:rsid w:val="00466E79"/>
    <w:rsid w:val="00470D7D"/>
    <w:rsid w:val="0047372D"/>
    <w:rsid w:val="00473BA3"/>
    <w:rsid w:val="004743DD"/>
    <w:rsid w:val="00474996"/>
    <w:rsid w:val="00474CEA"/>
    <w:rsid w:val="00474F35"/>
    <w:rsid w:val="004779A2"/>
    <w:rsid w:val="00481417"/>
    <w:rsid w:val="00482B9E"/>
    <w:rsid w:val="00483968"/>
    <w:rsid w:val="004841BE"/>
    <w:rsid w:val="00484F86"/>
    <w:rsid w:val="00490746"/>
    <w:rsid w:val="00490852"/>
    <w:rsid w:val="00491C9C"/>
    <w:rsid w:val="00492C99"/>
    <w:rsid w:val="00492F30"/>
    <w:rsid w:val="004938DA"/>
    <w:rsid w:val="004946F4"/>
    <w:rsid w:val="0049487E"/>
    <w:rsid w:val="0049509A"/>
    <w:rsid w:val="004A160D"/>
    <w:rsid w:val="004A3E81"/>
    <w:rsid w:val="004A4195"/>
    <w:rsid w:val="004A5C62"/>
    <w:rsid w:val="004A5CE5"/>
    <w:rsid w:val="004A707D"/>
    <w:rsid w:val="004B0974"/>
    <w:rsid w:val="004B4185"/>
    <w:rsid w:val="004B46AB"/>
    <w:rsid w:val="004B6A30"/>
    <w:rsid w:val="004B6AAC"/>
    <w:rsid w:val="004B6D52"/>
    <w:rsid w:val="004B7223"/>
    <w:rsid w:val="004B7977"/>
    <w:rsid w:val="004C3DB1"/>
    <w:rsid w:val="004C470C"/>
    <w:rsid w:val="004C5541"/>
    <w:rsid w:val="004C6EEE"/>
    <w:rsid w:val="004C6F46"/>
    <w:rsid w:val="004C702B"/>
    <w:rsid w:val="004D0033"/>
    <w:rsid w:val="004D016B"/>
    <w:rsid w:val="004D1647"/>
    <w:rsid w:val="004D1B22"/>
    <w:rsid w:val="004D23CC"/>
    <w:rsid w:val="004D36F2"/>
    <w:rsid w:val="004D4712"/>
    <w:rsid w:val="004D5814"/>
    <w:rsid w:val="004D6812"/>
    <w:rsid w:val="004E1106"/>
    <w:rsid w:val="004E138F"/>
    <w:rsid w:val="004E2A0F"/>
    <w:rsid w:val="004E2F79"/>
    <w:rsid w:val="004E30F2"/>
    <w:rsid w:val="004E4649"/>
    <w:rsid w:val="004E48B8"/>
    <w:rsid w:val="004E5186"/>
    <w:rsid w:val="004E55E2"/>
    <w:rsid w:val="004E5C2B"/>
    <w:rsid w:val="004E68B1"/>
    <w:rsid w:val="004F00DD"/>
    <w:rsid w:val="004F2133"/>
    <w:rsid w:val="004F267D"/>
    <w:rsid w:val="004F5398"/>
    <w:rsid w:val="004F55F1"/>
    <w:rsid w:val="004F6936"/>
    <w:rsid w:val="00501323"/>
    <w:rsid w:val="005037D6"/>
    <w:rsid w:val="00503DC6"/>
    <w:rsid w:val="00506F5D"/>
    <w:rsid w:val="005105D7"/>
    <w:rsid w:val="00510622"/>
    <w:rsid w:val="00510C37"/>
    <w:rsid w:val="005115B3"/>
    <w:rsid w:val="005126D0"/>
    <w:rsid w:val="00514667"/>
    <w:rsid w:val="00514E5F"/>
    <w:rsid w:val="0051568D"/>
    <w:rsid w:val="005157C0"/>
    <w:rsid w:val="0051588B"/>
    <w:rsid w:val="0051686A"/>
    <w:rsid w:val="005169DD"/>
    <w:rsid w:val="005174A4"/>
    <w:rsid w:val="005235F7"/>
    <w:rsid w:val="00523CC0"/>
    <w:rsid w:val="0052522F"/>
    <w:rsid w:val="00526591"/>
    <w:rsid w:val="00526AC7"/>
    <w:rsid w:val="00526C15"/>
    <w:rsid w:val="00536499"/>
    <w:rsid w:val="005410B0"/>
    <w:rsid w:val="00542A03"/>
    <w:rsid w:val="00543903"/>
    <w:rsid w:val="00543B55"/>
    <w:rsid w:val="00543BCC"/>
    <w:rsid w:val="00543F11"/>
    <w:rsid w:val="00544135"/>
    <w:rsid w:val="005442E3"/>
    <w:rsid w:val="00546305"/>
    <w:rsid w:val="00547A95"/>
    <w:rsid w:val="0055119B"/>
    <w:rsid w:val="00551EA7"/>
    <w:rsid w:val="00554375"/>
    <w:rsid w:val="00555F05"/>
    <w:rsid w:val="005565E3"/>
    <w:rsid w:val="005603FC"/>
    <w:rsid w:val="00560A80"/>
    <w:rsid w:val="00560DCF"/>
    <w:rsid w:val="00561202"/>
    <w:rsid w:val="00562507"/>
    <w:rsid w:val="00562811"/>
    <w:rsid w:val="005637B2"/>
    <w:rsid w:val="00564875"/>
    <w:rsid w:val="0056610D"/>
    <w:rsid w:val="0056715A"/>
    <w:rsid w:val="00567741"/>
    <w:rsid w:val="00572031"/>
    <w:rsid w:val="00572282"/>
    <w:rsid w:val="00573CE3"/>
    <w:rsid w:val="00574A9F"/>
    <w:rsid w:val="00574F0D"/>
    <w:rsid w:val="00576E84"/>
    <w:rsid w:val="00580394"/>
    <w:rsid w:val="005809CD"/>
    <w:rsid w:val="00581457"/>
    <w:rsid w:val="005818F9"/>
    <w:rsid w:val="00582B8C"/>
    <w:rsid w:val="00585E49"/>
    <w:rsid w:val="005866A3"/>
    <w:rsid w:val="00586EE2"/>
    <w:rsid w:val="0058757E"/>
    <w:rsid w:val="005878D1"/>
    <w:rsid w:val="00590EBA"/>
    <w:rsid w:val="0059211A"/>
    <w:rsid w:val="00592B39"/>
    <w:rsid w:val="00596A4B"/>
    <w:rsid w:val="00597507"/>
    <w:rsid w:val="005A0E81"/>
    <w:rsid w:val="005A479D"/>
    <w:rsid w:val="005A5743"/>
    <w:rsid w:val="005B0CE5"/>
    <w:rsid w:val="005B1C6D"/>
    <w:rsid w:val="005B21B6"/>
    <w:rsid w:val="005B3877"/>
    <w:rsid w:val="005B3A08"/>
    <w:rsid w:val="005B458A"/>
    <w:rsid w:val="005B69BD"/>
    <w:rsid w:val="005B7A63"/>
    <w:rsid w:val="005C0955"/>
    <w:rsid w:val="005C0FCE"/>
    <w:rsid w:val="005C29EF"/>
    <w:rsid w:val="005C4962"/>
    <w:rsid w:val="005C49DA"/>
    <w:rsid w:val="005C50F3"/>
    <w:rsid w:val="005C54B5"/>
    <w:rsid w:val="005C5D80"/>
    <w:rsid w:val="005C5D91"/>
    <w:rsid w:val="005C61E5"/>
    <w:rsid w:val="005D07B8"/>
    <w:rsid w:val="005D0E47"/>
    <w:rsid w:val="005D18EA"/>
    <w:rsid w:val="005D6597"/>
    <w:rsid w:val="005D68D0"/>
    <w:rsid w:val="005D754C"/>
    <w:rsid w:val="005E0855"/>
    <w:rsid w:val="005E0EA2"/>
    <w:rsid w:val="005E14E7"/>
    <w:rsid w:val="005E26A3"/>
    <w:rsid w:val="005E2ECB"/>
    <w:rsid w:val="005E3E6B"/>
    <w:rsid w:val="005E447E"/>
    <w:rsid w:val="005E4FD1"/>
    <w:rsid w:val="005E7996"/>
    <w:rsid w:val="005F0775"/>
    <w:rsid w:val="005F0CF5"/>
    <w:rsid w:val="005F21EB"/>
    <w:rsid w:val="005F424B"/>
    <w:rsid w:val="005F5E76"/>
    <w:rsid w:val="005F64CF"/>
    <w:rsid w:val="006000D2"/>
    <w:rsid w:val="00600BF8"/>
    <w:rsid w:val="006035E2"/>
    <w:rsid w:val="006041AD"/>
    <w:rsid w:val="00604334"/>
    <w:rsid w:val="00605908"/>
    <w:rsid w:val="00605D0B"/>
    <w:rsid w:val="00606456"/>
    <w:rsid w:val="00607850"/>
    <w:rsid w:val="00607EF7"/>
    <w:rsid w:val="00610D7C"/>
    <w:rsid w:val="00612D87"/>
    <w:rsid w:val="00613414"/>
    <w:rsid w:val="00614879"/>
    <w:rsid w:val="006173BC"/>
    <w:rsid w:val="006179CC"/>
    <w:rsid w:val="00620154"/>
    <w:rsid w:val="00621B41"/>
    <w:rsid w:val="0062408D"/>
    <w:rsid w:val="006240CC"/>
    <w:rsid w:val="00624940"/>
    <w:rsid w:val="00625431"/>
    <w:rsid w:val="006254F8"/>
    <w:rsid w:val="00625E73"/>
    <w:rsid w:val="00627503"/>
    <w:rsid w:val="00627DA7"/>
    <w:rsid w:val="0063000B"/>
    <w:rsid w:val="00630DA4"/>
    <w:rsid w:val="00630E7E"/>
    <w:rsid w:val="00631CD4"/>
    <w:rsid w:val="00632597"/>
    <w:rsid w:val="00634D13"/>
    <w:rsid w:val="006358B4"/>
    <w:rsid w:val="006375BD"/>
    <w:rsid w:val="00640548"/>
    <w:rsid w:val="00641724"/>
    <w:rsid w:val="0064177B"/>
    <w:rsid w:val="006419AA"/>
    <w:rsid w:val="00643BDA"/>
    <w:rsid w:val="00643E09"/>
    <w:rsid w:val="00644059"/>
    <w:rsid w:val="00644B1F"/>
    <w:rsid w:val="00644B7E"/>
    <w:rsid w:val="006454E6"/>
    <w:rsid w:val="00646235"/>
    <w:rsid w:val="00646775"/>
    <w:rsid w:val="00646A68"/>
    <w:rsid w:val="00647210"/>
    <w:rsid w:val="006505BD"/>
    <w:rsid w:val="006508EA"/>
    <w:rsid w:val="0065092E"/>
    <w:rsid w:val="006531C7"/>
    <w:rsid w:val="006557A7"/>
    <w:rsid w:val="00656290"/>
    <w:rsid w:val="006577C1"/>
    <w:rsid w:val="006601C9"/>
    <w:rsid w:val="006608D8"/>
    <w:rsid w:val="00660EB6"/>
    <w:rsid w:val="006621D7"/>
    <w:rsid w:val="0066302A"/>
    <w:rsid w:val="006638B9"/>
    <w:rsid w:val="00665938"/>
    <w:rsid w:val="00665FA9"/>
    <w:rsid w:val="0066664A"/>
    <w:rsid w:val="00667770"/>
    <w:rsid w:val="006678FD"/>
    <w:rsid w:val="0067009E"/>
    <w:rsid w:val="00670597"/>
    <w:rsid w:val="006706D0"/>
    <w:rsid w:val="00674E32"/>
    <w:rsid w:val="0067553A"/>
    <w:rsid w:val="006770D3"/>
    <w:rsid w:val="00677574"/>
    <w:rsid w:val="00677EA1"/>
    <w:rsid w:val="00680B95"/>
    <w:rsid w:val="006812ED"/>
    <w:rsid w:val="006813E2"/>
    <w:rsid w:val="00683878"/>
    <w:rsid w:val="00684380"/>
    <w:rsid w:val="0068454C"/>
    <w:rsid w:val="00684858"/>
    <w:rsid w:val="0069022A"/>
    <w:rsid w:val="00691314"/>
    <w:rsid w:val="00691B62"/>
    <w:rsid w:val="006933B5"/>
    <w:rsid w:val="00693D14"/>
    <w:rsid w:val="00694A91"/>
    <w:rsid w:val="00695A20"/>
    <w:rsid w:val="00696F27"/>
    <w:rsid w:val="00697437"/>
    <w:rsid w:val="006A0573"/>
    <w:rsid w:val="006A18C2"/>
    <w:rsid w:val="006A212F"/>
    <w:rsid w:val="006A2314"/>
    <w:rsid w:val="006A3383"/>
    <w:rsid w:val="006B077C"/>
    <w:rsid w:val="006B1AA1"/>
    <w:rsid w:val="006B4538"/>
    <w:rsid w:val="006B4A4C"/>
    <w:rsid w:val="006B643F"/>
    <w:rsid w:val="006B6590"/>
    <w:rsid w:val="006B6803"/>
    <w:rsid w:val="006C0A85"/>
    <w:rsid w:val="006C22FD"/>
    <w:rsid w:val="006C2AE8"/>
    <w:rsid w:val="006C3112"/>
    <w:rsid w:val="006C4B31"/>
    <w:rsid w:val="006C6689"/>
    <w:rsid w:val="006D0F16"/>
    <w:rsid w:val="006D2A3F"/>
    <w:rsid w:val="006D2A7C"/>
    <w:rsid w:val="006D2FBC"/>
    <w:rsid w:val="006D2FE9"/>
    <w:rsid w:val="006D6772"/>
    <w:rsid w:val="006D6E34"/>
    <w:rsid w:val="006E02B2"/>
    <w:rsid w:val="006E03B9"/>
    <w:rsid w:val="006E138B"/>
    <w:rsid w:val="006E1867"/>
    <w:rsid w:val="006E5714"/>
    <w:rsid w:val="006E63F5"/>
    <w:rsid w:val="006F0330"/>
    <w:rsid w:val="006F0C35"/>
    <w:rsid w:val="006F1B00"/>
    <w:rsid w:val="006F1FDC"/>
    <w:rsid w:val="006F2BB3"/>
    <w:rsid w:val="006F3ACF"/>
    <w:rsid w:val="006F3FB8"/>
    <w:rsid w:val="006F4936"/>
    <w:rsid w:val="006F6A5C"/>
    <w:rsid w:val="006F6B8C"/>
    <w:rsid w:val="006F724C"/>
    <w:rsid w:val="006F7AB0"/>
    <w:rsid w:val="006F7EFF"/>
    <w:rsid w:val="007013EF"/>
    <w:rsid w:val="00704226"/>
    <w:rsid w:val="007048E6"/>
    <w:rsid w:val="007055BD"/>
    <w:rsid w:val="00705F1A"/>
    <w:rsid w:val="007108FA"/>
    <w:rsid w:val="00711D13"/>
    <w:rsid w:val="00712CCC"/>
    <w:rsid w:val="00715AEA"/>
    <w:rsid w:val="007173CA"/>
    <w:rsid w:val="007216AA"/>
    <w:rsid w:val="00721AB5"/>
    <w:rsid w:val="00721CFB"/>
    <w:rsid w:val="00721DEF"/>
    <w:rsid w:val="00723BEA"/>
    <w:rsid w:val="00724503"/>
    <w:rsid w:val="00724A43"/>
    <w:rsid w:val="00724A44"/>
    <w:rsid w:val="007250A0"/>
    <w:rsid w:val="0072557E"/>
    <w:rsid w:val="007273AC"/>
    <w:rsid w:val="0072790E"/>
    <w:rsid w:val="00730409"/>
    <w:rsid w:val="00731AD4"/>
    <w:rsid w:val="007346E4"/>
    <w:rsid w:val="00734924"/>
    <w:rsid w:val="00735564"/>
    <w:rsid w:val="00740F22"/>
    <w:rsid w:val="00741CF0"/>
    <w:rsid w:val="00741F1A"/>
    <w:rsid w:val="00742DC9"/>
    <w:rsid w:val="007447DA"/>
    <w:rsid w:val="007450F8"/>
    <w:rsid w:val="00745D13"/>
    <w:rsid w:val="0074696E"/>
    <w:rsid w:val="00750135"/>
    <w:rsid w:val="00750EC2"/>
    <w:rsid w:val="00752B28"/>
    <w:rsid w:val="007536BC"/>
    <w:rsid w:val="007541A9"/>
    <w:rsid w:val="007541CA"/>
    <w:rsid w:val="00754E36"/>
    <w:rsid w:val="0075552D"/>
    <w:rsid w:val="007579AB"/>
    <w:rsid w:val="00763139"/>
    <w:rsid w:val="00763E71"/>
    <w:rsid w:val="00764086"/>
    <w:rsid w:val="00764595"/>
    <w:rsid w:val="00765CF8"/>
    <w:rsid w:val="00766275"/>
    <w:rsid w:val="00767D38"/>
    <w:rsid w:val="007708C1"/>
    <w:rsid w:val="00770F37"/>
    <w:rsid w:val="007711A0"/>
    <w:rsid w:val="00772718"/>
    <w:rsid w:val="00772D5E"/>
    <w:rsid w:val="0077463E"/>
    <w:rsid w:val="00774979"/>
    <w:rsid w:val="00774D71"/>
    <w:rsid w:val="00776928"/>
    <w:rsid w:val="00776D56"/>
    <w:rsid w:val="00776E0F"/>
    <w:rsid w:val="007774B1"/>
    <w:rsid w:val="0077761B"/>
    <w:rsid w:val="00777A90"/>
    <w:rsid w:val="00777BE1"/>
    <w:rsid w:val="007811CC"/>
    <w:rsid w:val="00782222"/>
    <w:rsid w:val="007833D8"/>
    <w:rsid w:val="00783D3F"/>
    <w:rsid w:val="007855E2"/>
    <w:rsid w:val="00785677"/>
    <w:rsid w:val="0078576F"/>
    <w:rsid w:val="00785E83"/>
    <w:rsid w:val="00786714"/>
    <w:rsid w:val="007867BD"/>
    <w:rsid w:val="00786888"/>
    <w:rsid w:val="00786F16"/>
    <w:rsid w:val="007904EF"/>
    <w:rsid w:val="00791BD7"/>
    <w:rsid w:val="007924DB"/>
    <w:rsid w:val="00792AC4"/>
    <w:rsid w:val="007933F7"/>
    <w:rsid w:val="00796E20"/>
    <w:rsid w:val="00797900"/>
    <w:rsid w:val="00797C32"/>
    <w:rsid w:val="007A11E8"/>
    <w:rsid w:val="007A23CB"/>
    <w:rsid w:val="007A33AF"/>
    <w:rsid w:val="007A4756"/>
    <w:rsid w:val="007A5826"/>
    <w:rsid w:val="007A5E30"/>
    <w:rsid w:val="007A6AF0"/>
    <w:rsid w:val="007A6D98"/>
    <w:rsid w:val="007B00F6"/>
    <w:rsid w:val="007B0914"/>
    <w:rsid w:val="007B123A"/>
    <w:rsid w:val="007B1374"/>
    <w:rsid w:val="007B1494"/>
    <w:rsid w:val="007B2457"/>
    <w:rsid w:val="007B32E5"/>
    <w:rsid w:val="007B3DB9"/>
    <w:rsid w:val="007B50FD"/>
    <w:rsid w:val="007B5319"/>
    <w:rsid w:val="007B589F"/>
    <w:rsid w:val="007B6186"/>
    <w:rsid w:val="007B7039"/>
    <w:rsid w:val="007B72D7"/>
    <w:rsid w:val="007B73BC"/>
    <w:rsid w:val="007B79EA"/>
    <w:rsid w:val="007B7AC2"/>
    <w:rsid w:val="007B7F1C"/>
    <w:rsid w:val="007C0A6A"/>
    <w:rsid w:val="007C12DD"/>
    <w:rsid w:val="007C1838"/>
    <w:rsid w:val="007C20B9"/>
    <w:rsid w:val="007C53F2"/>
    <w:rsid w:val="007C635C"/>
    <w:rsid w:val="007C7301"/>
    <w:rsid w:val="007C7859"/>
    <w:rsid w:val="007C7F28"/>
    <w:rsid w:val="007D1466"/>
    <w:rsid w:val="007D2BDE"/>
    <w:rsid w:val="007D2FB6"/>
    <w:rsid w:val="007D31B6"/>
    <w:rsid w:val="007D3ABE"/>
    <w:rsid w:val="007D49EB"/>
    <w:rsid w:val="007D4D0F"/>
    <w:rsid w:val="007D4D6F"/>
    <w:rsid w:val="007D5E1C"/>
    <w:rsid w:val="007D7D93"/>
    <w:rsid w:val="007E0C19"/>
    <w:rsid w:val="007E0DE2"/>
    <w:rsid w:val="007E2661"/>
    <w:rsid w:val="007E269C"/>
    <w:rsid w:val="007E3667"/>
    <w:rsid w:val="007E3B98"/>
    <w:rsid w:val="007E417A"/>
    <w:rsid w:val="007E548D"/>
    <w:rsid w:val="007E5EA3"/>
    <w:rsid w:val="007E6272"/>
    <w:rsid w:val="007E7389"/>
    <w:rsid w:val="007E7A26"/>
    <w:rsid w:val="007F1895"/>
    <w:rsid w:val="007F31B6"/>
    <w:rsid w:val="007F5195"/>
    <w:rsid w:val="007F546C"/>
    <w:rsid w:val="007F625F"/>
    <w:rsid w:val="007F665E"/>
    <w:rsid w:val="00800412"/>
    <w:rsid w:val="00802B4E"/>
    <w:rsid w:val="00802BE9"/>
    <w:rsid w:val="00802DFF"/>
    <w:rsid w:val="008043A6"/>
    <w:rsid w:val="0080587B"/>
    <w:rsid w:val="00805E3C"/>
    <w:rsid w:val="00806258"/>
    <w:rsid w:val="00806468"/>
    <w:rsid w:val="008119CA"/>
    <w:rsid w:val="008130C4"/>
    <w:rsid w:val="008155F0"/>
    <w:rsid w:val="00816735"/>
    <w:rsid w:val="00816CC5"/>
    <w:rsid w:val="00817EAE"/>
    <w:rsid w:val="00820141"/>
    <w:rsid w:val="0082053B"/>
    <w:rsid w:val="00820E0C"/>
    <w:rsid w:val="00822268"/>
    <w:rsid w:val="008228FC"/>
    <w:rsid w:val="00822F1C"/>
    <w:rsid w:val="00823275"/>
    <w:rsid w:val="0082366F"/>
    <w:rsid w:val="00824780"/>
    <w:rsid w:val="00824EB3"/>
    <w:rsid w:val="008257D3"/>
    <w:rsid w:val="00826D9B"/>
    <w:rsid w:val="008338A2"/>
    <w:rsid w:val="00833CBF"/>
    <w:rsid w:val="008341B6"/>
    <w:rsid w:val="0083516A"/>
    <w:rsid w:val="00841AA9"/>
    <w:rsid w:val="00842856"/>
    <w:rsid w:val="00843DED"/>
    <w:rsid w:val="008450F3"/>
    <w:rsid w:val="00847321"/>
    <w:rsid w:val="008474FE"/>
    <w:rsid w:val="00847E5C"/>
    <w:rsid w:val="00850420"/>
    <w:rsid w:val="00853EE4"/>
    <w:rsid w:val="008548A0"/>
    <w:rsid w:val="00854DC3"/>
    <w:rsid w:val="008554DE"/>
    <w:rsid w:val="00855535"/>
    <w:rsid w:val="00856352"/>
    <w:rsid w:val="00857834"/>
    <w:rsid w:val="00857C5A"/>
    <w:rsid w:val="00862390"/>
    <w:rsid w:val="0086255E"/>
    <w:rsid w:val="00862D3D"/>
    <w:rsid w:val="008633F0"/>
    <w:rsid w:val="0086445B"/>
    <w:rsid w:val="008654D2"/>
    <w:rsid w:val="00867D9D"/>
    <w:rsid w:val="008728B6"/>
    <w:rsid w:val="00872E0A"/>
    <w:rsid w:val="00872E96"/>
    <w:rsid w:val="00873594"/>
    <w:rsid w:val="00873881"/>
    <w:rsid w:val="00875285"/>
    <w:rsid w:val="00875A08"/>
    <w:rsid w:val="00876127"/>
    <w:rsid w:val="0087699F"/>
    <w:rsid w:val="008776A8"/>
    <w:rsid w:val="00877CC6"/>
    <w:rsid w:val="00882DDE"/>
    <w:rsid w:val="0088455F"/>
    <w:rsid w:val="00884B62"/>
    <w:rsid w:val="00884BAF"/>
    <w:rsid w:val="0088529C"/>
    <w:rsid w:val="00886DAC"/>
    <w:rsid w:val="00887903"/>
    <w:rsid w:val="00887A27"/>
    <w:rsid w:val="0089270A"/>
    <w:rsid w:val="00893AF6"/>
    <w:rsid w:val="00894BC4"/>
    <w:rsid w:val="0089573D"/>
    <w:rsid w:val="008961A6"/>
    <w:rsid w:val="00896890"/>
    <w:rsid w:val="008977D1"/>
    <w:rsid w:val="008A1954"/>
    <w:rsid w:val="008A23E6"/>
    <w:rsid w:val="008A27FB"/>
    <w:rsid w:val="008A28A8"/>
    <w:rsid w:val="008A54AC"/>
    <w:rsid w:val="008A5B32"/>
    <w:rsid w:val="008A5E77"/>
    <w:rsid w:val="008B1D9C"/>
    <w:rsid w:val="008B2029"/>
    <w:rsid w:val="008B28E2"/>
    <w:rsid w:val="008B2EE4"/>
    <w:rsid w:val="008B36C8"/>
    <w:rsid w:val="008B3821"/>
    <w:rsid w:val="008B41E0"/>
    <w:rsid w:val="008B4B9F"/>
    <w:rsid w:val="008B4D3D"/>
    <w:rsid w:val="008B4DB9"/>
    <w:rsid w:val="008B57C7"/>
    <w:rsid w:val="008B5BD2"/>
    <w:rsid w:val="008B5C6D"/>
    <w:rsid w:val="008B668E"/>
    <w:rsid w:val="008B7615"/>
    <w:rsid w:val="008C0457"/>
    <w:rsid w:val="008C0586"/>
    <w:rsid w:val="008C0E68"/>
    <w:rsid w:val="008C1249"/>
    <w:rsid w:val="008C2BF6"/>
    <w:rsid w:val="008C2F92"/>
    <w:rsid w:val="008C3546"/>
    <w:rsid w:val="008C4C3F"/>
    <w:rsid w:val="008C589D"/>
    <w:rsid w:val="008C6D51"/>
    <w:rsid w:val="008C7789"/>
    <w:rsid w:val="008D11E4"/>
    <w:rsid w:val="008D2846"/>
    <w:rsid w:val="008D292E"/>
    <w:rsid w:val="008D3320"/>
    <w:rsid w:val="008D3FD3"/>
    <w:rsid w:val="008D4236"/>
    <w:rsid w:val="008D462F"/>
    <w:rsid w:val="008D4E56"/>
    <w:rsid w:val="008D63E3"/>
    <w:rsid w:val="008D68BE"/>
    <w:rsid w:val="008D6DCF"/>
    <w:rsid w:val="008D7D14"/>
    <w:rsid w:val="008E23EE"/>
    <w:rsid w:val="008E3D07"/>
    <w:rsid w:val="008E40BF"/>
    <w:rsid w:val="008E4376"/>
    <w:rsid w:val="008E51F4"/>
    <w:rsid w:val="008E632F"/>
    <w:rsid w:val="008E7A0A"/>
    <w:rsid w:val="008E7B49"/>
    <w:rsid w:val="008F2C6F"/>
    <w:rsid w:val="008F457D"/>
    <w:rsid w:val="008F4791"/>
    <w:rsid w:val="008F59F6"/>
    <w:rsid w:val="00900719"/>
    <w:rsid w:val="00900A69"/>
    <w:rsid w:val="0090147B"/>
    <w:rsid w:val="009017AC"/>
    <w:rsid w:val="009027D7"/>
    <w:rsid w:val="00902A9A"/>
    <w:rsid w:val="00902B54"/>
    <w:rsid w:val="009036B4"/>
    <w:rsid w:val="00904A1C"/>
    <w:rsid w:val="00905030"/>
    <w:rsid w:val="00906156"/>
    <w:rsid w:val="00906490"/>
    <w:rsid w:val="009111B2"/>
    <w:rsid w:val="00912B2F"/>
    <w:rsid w:val="009149A2"/>
    <w:rsid w:val="009151F5"/>
    <w:rsid w:val="00915F2B"/>
    <w:rsid w:val="00916547"/>
    <w:rsid w:val="009167C1"/>
    <w:rsid w:val="00924556"/>
    <w:rsid w:val="00924AE1"/>
    <w:rsid w:val="009269B1"/>
    <w:rsid w:val="00926C86"/>
    <w:rsid w:val="0092724D"/>
    <w:rsid w:val="009272B3"/>
    <w:rsid w:val="009278F9"/>
    <w:rsid w:val="009315BE"/>
    <w:rsid w:val="009326DD"/>
    <w:rsid w:val="00932991"/>
    <w:rsid w:val="0093338F"/>
    <w:rsid w:val="00935AF5"/>
    <w:rsid w:val="00936346"/>
    <w:rsid w:val="00937BD9"/>
    <w:rsid w:val="00947084"/>
    <w:rsid w:val="00950E2C"/>
    <w:rsid w:val="00951256"/>
    <w:rsid w:val="00951D50"/>
    <w:rsid w:val="009525EB"/>
    <w:rsid w:val="0095470B"/>
    <w:rsid w:val="00954874"/>
    <w:rsid w:val="0095615A"/>
    <w:rsid w:val="009568D3"/>
    <w:rsid w:val="00956B9F"/>
    <w:rsid w:val="00961400"/>
    <w:rsid w:val="009632DB"/>
    <w:rsid w:val="00963646"/>
    <w:rsid w:val="00964BD8"/>
    <w:rsid w:val="0096632D"/>
    <w:rsid w:val="0096689C"/>
    <w:rsid w:val="00967124"/>
    <w:rsid w:val="009706A9"/>
    <w:rsid w:val="00970E8F"/>
    <w:rsid w:val="0097166C"/>
    <w:rsid w:val="009718C7"/>
    <w:rsid w:val="009743A3"/>
    <w:rsid w:val="0097559F"/>
    <w:rsid w:val="009761EA"/>
    <w:rsid w:val="0097761E"/>
    <w:rsid w:val="00980A42"/>
    <w:rsid w:val="0098132D"/>
    <w:rsid w:val="00982454"/>
    <w:rsid w:val="00982CF0"/>
    <w:rsid w:val="00983356"/>
    <w:rsid w:val="009853E1"/>
    <w:rsid w:val="00985E02"/>
    <w:rsid w:val="00986E6B"/>
    <w:rsid w:val="00990032"/>
    <w:rsid w:val="00990B19"/>
    <w:rsid w:val="00990B4C"/>
    <w:rsid w:val="0099153B"/>
    <w:rsid w:val="00991769"/>
    <w:rsid w:val="00991CC6"/>
    <w:rsid w:val="00992104"/>
    <w:rsid w:val="0099232C"/>
    <w:rsid w:val="00993309"/>
    <w:rsid w:val="00994386"/>
    <w:rsid w:val="00994DD5"/>
    <w:rsid w:val="00996677"/>
    <w:rsid w:val="009A13D8"/>
    <w:rsid w:val="009A279E"/>
    <w:rsid w:val="009A3015"/>
    <w:rsid w:val="009A3490"/>
    <w:rsid w:val="009A40E3"/>
    <w:rsid w:val="009A54CC"/>
    <w:rsid w:val="009B07D2"/>
    <w:rsid w:val="009B0A6F"/>
    <w:rsid w:val="009B0A94"/>
    <w:rsid w:val="009B0C62"/>
    <w:rsid w:val="009B1396"/>
    <w:rsid w:val="009B142D"/>
    <w:rsid w:val="009B2AE8"/>
    <w:rsid w:val="009B3299"/>
    <w:rsid w:val="009B5003"/>
    <w:rsid w:val="009B5622"/>
    <w:rsid w:val="009B59E9"/>
    <w:rsid w:val="009B70AA"/>
    <w:rsid w:val="009B74F9"/>
    <w:rsid w:val="009C041A"/>
    <w:rsid w:val="009C1AD1"/>
    <w:rsid w:val="009C245E"/>
    <w:rsid w:val="009C46B8"/>
    <w:rsid w:val="009C4941"/>
    <w:rsid w:val="009C5E77"/>
    <w:rsid w:val="009C5F63"/>
    <w:rsid w:val="009C698B"/>
    <w:rsid w:val="009C7A7E"/>
    <w:rsid w:val="009D02E8"/>
    <w:rsid w:val="009D0A2B"/>
    <w:rsid w:val="009D0E79"/>
    <w:rsid w:val="009D3091"/>
    <w:rsid w:val="009D51D0"/>
    <w:rsid w:val="009D6C23"/>
    <w:rsid w:val="009D70A4"/>
    <w:rsid w:val="009D7B14"/>
    <w:rsid w:val="009E08D1"/>
    <w:rsid w:val="009E0D21"/>
    <w:rsid w:val="009E0D96"/>
    <w:rsid w:val="009E1B95"/>
    <w:rsid w:val="009E496F"/>
    <w:rsid w:val="009E4B0D"/>
    <w:rsid w:val="009E5250"/>
    <w:rsid w:val="009E7A69"/>
    <w:rsid w:val="009E7F24"/>
    <w:rsid w:val="009E7F92"/>
    <w:rsid w:val="009F02A3"/>
    <w:rsid w:val="009F2182"/>
    <w:rsid w:val="009F2F27"/>
    <w:rsid w:val="009F34A1"/>
    <w:rsid w:val="009F34AA"/>
    <w:rsid w:val="009F3E1F"/>
    <w:rsid w:val="009F4346"/>
    <w:rsid w:val="009F5538"/>
    <w:rsid w:val="009F6BCB"/>
    <w:rsid w:val="009F7B78"/>
    <w:rsid w:val="009F7C46"/>
    <w:rsid w:val="00A0057A"/>
    <w:rsid w:val="00A02D0E"/>
    <w:rsid w:val="00A02FA1"/>
    <w:rsid w:val="00A04556"/>
    <w:rsid w:val="00A04CCE"/>
    <w:rsid w:val="00A054FD"/>
    <w:rsid w:val="00A06E6B"/>
    <w:rsid w:val="00A06F72"/>
    <w:rsid w:val="00A0725F"/>
    <w:rsid w:val="00A07421"/>
    <w:rsid w:val="00A0776B"/>
    <w:rsid w:val="00A10FB9"/>
    <w:rsid w:val="00A11421"/>
    <w:rsid w:val="00A12270"/>
    <w:rsid w:val="00A1389F"/>
    <w:rsid w:val="00A13B7A"/>
    <w:rsid w:val="00A13EA8"/>
    <w:rsid w:val="00A157B1"/>
    <w:rsid w:val="00A17B74"/>
    <w:rsid w:val="00A206F9"/>
    <w:rsid w:val="00A209FC"/>
    <w:rsid w:val="00A217CB"/>
    <w:rsid w:val="00A22229"/>
    <w:rsid w:val="00A23131"/>
    <w:rsid w:val="00A23FD8"/>
    <w:rsid w:val="00A241EC"/>
    <w:rsid w:val="00A24442"/>
    <w:rsid w:val="00A24ADA"/>
    <w:rsid w:val="00A30189"/>
    <w:rsid w:val="00A32577"/>
    <w:rsid w:val="00A330BB"/>
    <w:rsid w:val="00A33FCF"/>
    <w:rsid w:val="00A34377"/>
    <w:rsid w:val="00A34B3D"/>
    <w:rsid w:val="00A36A18"/>
    <w:rsid w:val="00A4001E"/>
    <w:rsid w:val="00A4076A"/>
    <w:rsid w:val="00A4192B"/>
    <w:rsid w:val="00A437B4"/>
    <w:rsid w:val="00A43A20"/>
    <w:rsid w:val="00A446F5"/>
    <w:rsid w:val="00A44882"/>
    <w:rsid w:val="00A45125"/>
    <w:rsid w:val="00A46BDF"/>
    <w:rsid w:val="00A47218"/>
    <w:rsid w:val="00A526EA"/>
    <w:rsid w:val="00A53E89"/>
    <w:rsid w:val="00A54715"/>
    <w:rsid w:val="00A559F9"/>
    <w:rsid w:val="00A56C3C"/>
    <w:rsid w:val="00A56F4B"/>
    <w:rsid w:val="00A6030C"/>
    <w:rsid w:val="00A6061C"/>
    <w:rsid w:val="00A613F7"/>
    <w:rsid w:val="00A62D44"/>
    <w:rsid w:val="00A63455"/>
    <w:rsid w:val="00A6375C"/>
    <w:rsid w:val="00A6511E"/>
    <w:rsid w:val="00A65A06"/>
    <w:rsid w:val="00A67263"/>
    <w:rsid w:val="00A7094B"/>
    <w:rsid w:val="00A7161C"/>
    <w:rsid w:val="00A71BFE"/>
    <w:rsid w:val="00A71CE4"/>
    <w:rsid w:val="00A7330C"/>
    <w:rsid w:val="00A74752"/>
    <w:rsid w:val="00A75157"/>
    <w:rsid w:val="00A760ED"/>
    <w:rsid w:val="00A77AA3"/>
    <w:rsid w:val="00A80EE0"/>
    <w:rsid w:val="00A8236D"/>
    <w:rsid w:val="00A8299E"/>
    <w:rsid w:val="00A83738"/>
    <w:rsid w:val="00A837B5"/>
    <w:rsid w:val="00A854EB"/>
    <w:rsid w:val="00A85EEE"/>
    <w:rsid w:val="00A872E5"/>
    <w:rsid w:val="00A87F5A"/>
    <w:rsid w:val="00A90EF1"/>
    <w:rsid w:val="00A91406"/>
    <w:rsid w:val="00A934CE"/>
    <w:rsid w:val="00A96E65"/>
    <w:rsid w:val="00A96ECE"/>
    <w:rsid w:val="00A97C72"/>
    <w:rsid w:val="00AA0EEA"/>
    <w:rsid w:val="00AA2A10"/>
    <w:rsid w:val="00AA310B"/>
    <w:rsid w:val="00AA3D5A"/>
    <w:rsid w:val="00AA44C7"/>
    <w:rsid w:val="00AA63D4"/>
    <w:rsid w:val="00AB06E8"/>
    <w:rsid w:val="00AB0C63"/>
    <w:rsid w:val="00AB18B6"/>
    <w:rsid w:val="00AB1C29"/>
    <w:rsid w:val="00AB1CD3"/>
    <w:rsid w:val="00AB352F"/>
    <w:rsid w:val="00AB3C1C"/>
    <w:rsid w:val="00AB78F2"/>
    <w:rsid w:val="00AC015F"/>
    <w:rsid w:val="00AC1371"/>
    <w:rsid w:val="00AC274B"/>
    <w:rsid w:val="00AC3243"/>
    <w:rsid w:val="00AC4764"/>
    <w:rsid w:val="00AC5E04"/>
    <w:rsid w:val="00AC6D36"/>
    <w:rsid w:val="00AC7025"/>
    <w:rsid w:val="00AD0CBA"/>
    <w:rsid w:val="00AD10B7"/>
    <w:rsid w:val="00AD26E2"/>
    <w:rsid w:val="00AD2FE4"/>
    <w:rsid w:val="00AD32AA"/>
    <w:rsid w:val="00AD358A"/>
    <w:rsid w:val="00AD4543"/>
    <w:rsid w:val="00AD5579"/>
    <w:rsid w:val="00AD784C"/>
    <w:rsid w:val="00AD7DFC"/>
    <w:rsid w:val="00AE126A"/>
    <w:rsid w:val="00AE1BAE"/>
    <w:rsid w:val="00AE3005"/>
    <w:rsid w:val="00AE3253"/>
    <w:rsid w:val="00AE3BD5"/>
    <w:rsid w:val="00AE4091"/>
    <w:rsid w:val="00AE55DB"/>
    <w:rsid w:val="00AE59A0"/>
    <w:rsid w:val="00AE6A44"/>
    <w:rsid w:val="00AE78B1"/>
    <w:rsid w:val="00AF0A56"/>
    <w:rsid w:val="00AF0C57"/>
    <w:rsid w:val="00AF26F3"/>
    <w:rsid w:val="00AF39AB"/>
    <w:rsid w:val="00AF5F04"/>
    <w:rsid w:val="00B00672"/>
    <w:rsid w:val="00B01416"/>
    <w:rsid w:val="00B01B4D"/>
    <w:rsid w:val="00B04489"/>
    <w:rsid w:val="00B05F24"/>
    <w:rsid w:val="00B06571"/>
    <w:rsid w:val="00B068BA"/>
    <w:rsid w:val="00B07217"/>
    <w:rsid w:val="00B074A4"/>
    <w:rsid w:val="00B07613"/>
    <w:rsid w:val="00B10946"/>
    <w:rsid w:val="00B10DE1"/>
    <w:rsid w:val="00B11A75"/>
    <w:rsid w:val="00B13851"/>
    <w:rsid w:val="00B13B1C"/>
    <w:rsid w:val="00B14B5F"/>
    <w:rsid w:val="00B156CD"/>
    <w:rsid w:val="00B15CD3"/>
    <w:rsid w:val="00B17624"/>
    <w:rsid w:val="00B2059C"/>
    <w:rsid w:val="00B21F90"/>
    <w:rsid w:val="00B22291"/>
    <w:rsid w:val="00B23DD1"/>
    <w:rsid w:val="00B23F9A"/>
    <w:rsid w:val="00B2417B"/>
    <w:rsid w:val="00B245E9"/>
    <w:rsid w:val="00B24E6F"/>
    <w:rsid w:val="00B25581"/>
    <w:rsid w:val="00B26CB5"/>
    <w:rsid w:val="00B2752E"/>
    <w:rsid w:val="00B307CC"/>
    <w:rsid w:val="00B30E1B"/>
    <w:rsid w:val="00B326B7"/>
    <w:rsid w:val="00B34143"/>
    <w:rsid w:val="00B34D41"/>
    <w:rsid w:val="00B3588E"/>
    <w:rsid w:val="00B3659F"/>
    <w:rsid w:val="00B36C8F"/>
    <w:rsid w:val="00B372BA"/>
    <w:rsid w:val="00B4198F"/>
    <w:rsid w:val="00B419B7"/>
    <w:rsid w:val="00B41F3D"/>
    <w:rsid w:val="00B431E8"/>
    <w:rsid w:val="00B433A2"/>
    <w:rsid w:val="00B43D39"/>
    <w:rsid w:val="00B4486A"/>
    <w:rsid w:val="00B44BC8"/>
    <w:rsid w:val="00B44E86"/>
    <w:rsid w:val="00B45141"/>
    <w:rsid w:val="00B456A2"/>
    <w:rsid w:val="00B469F3"/>
    <w:rsid w:val="00B47190"/>
    <w:rsid w:val="00B47889"/>
    <w:rsid w:val="00B50D3A"/>
    <w:rsid w:val="00B519CD"/>
    <w:rsid w:val="00B52445"/>
    <w:rsid w:val="00B5273A"/>
    <w:rsid w:val="00B551A8"/>
    <w:rsid w:val="00B56466"/>
    <w:rsid w:val="00B568B9"/>
    <w:rsid w:val="00B57329"/>
    <w:rsid w:val="00B60C34"/>
    <w:rsid w:val="00B60E61"/>
    <w:rsid w:val="00B62B50"/>
    <w:rsid w:val="00B635B7"/>
    <w:rsid w:val="00B635F3"/>
    <w:rsid w:val="00B63AE8"/>
    <w:rsid w:val="00B63C0D"/>
    <w:rsid w:val="00B6441B"/>
    <w:rsid w:val="00B65950"/>
    <w:rsid w:val="00B65F68"/>
    <w:rsid w:val="00B66D83"/>
    <w:rsid w:val="00B672C0"/>
    <w:rsid w:val="00B676FD"/>
    <w:rsid w:val="00B6788C"/>
    <w:rsid w:val="00B678B6"/>
    <w:rsid w:val="00B71A64"/>
    <w:rsid w:val="00B72C99"/>
    <w:rsid w:val="00B7302B"/>
    <w:rsid w:val="00B75646"/>
    <w:rsid w:val="00B76002"/>
    <w:rsid w:val="00B7629E"/>
    <w:rsid w:val="00B80206"/>
    <w:rsid w:val="00B84777"/>
    <w:rsid w:val="00B84F31"/>
    <w:rsid w:val="00B87F93"/>
    <w:rsid w:val="00B90729"/>
    <w:rsid w:val="00B907DA"/>
    <w:rsid w:val="00B90B09"/>
    <w:rsid w:val="00B94C5E"/>
    <w:rsid w:val="00B950BC"/>
    <w:rsid w:val="00B95B5B"/>
    <w:rsid w:val="00B96009"/>
    <w:rsid w:val="00B966AD"/>
    <w:rsid w:val="00B9714C"/>
    <w:rsid w:val="00BA2142"/>
    <w:rsid w:val="00BA23F2"/>
    <w:rsid w:val="00BA2552"/>
    <w:rsid w:val="00BA26F6"/>
    <w:rsid w:val="00BA29AD"/>
    <w:rsid w:val="00BA33CF"/>
    <w:rsid w:val="00BA3F8D"/>
    <w:rsid w:val="00BA6F3C"/>
    <w:rsid w:val="00BB02BF"/>
    <w:rsid w:val="00BB4320"/>
    <w:rsid w:val="00BB4800"/>
    <w:rsid w:val="00BB54BC"/>
    <w:rsid w:val="00BB7091"/>
    <w:rsid w:val="00BB74AC"/>
    <w:rsid w:val="00BB7A10"/>
    <w:rsid w:val="00BC1CD4"/>
    <w:rsid w:val="00BC60BE"/>
    <w:rsid w:val="00BC7468"/>
    <w:rsid w:val="00BC7808"/>
    <w:rsid w:val="00BC7D4F"/>
    <w:rsid w:val="00BC7ED7"/>
    <w:rsid w:val="00BD1C78"/>
    <w:rsid w:val="00BD2850"/>
    <w:rsid w:val="00BD3F58"/>
    <w:rsid w:val="00BD495D"/>
    <w:rsid w:val="00BD5BF6"/>
    <w:rsid w:val="00BD6A09"/>
    <w:rsid w:val="00BD6B9D"/>
    <w:rsid w:val="00BE20AC"/>
    <w:rsid w:val="00BE28D2"/>
    <w:rsid w:val="00BE4659"/>
    <w:rsid w:val="00BE4A64"/>
    <w:rsid w:val="00BE5527"/>
    <w:rsid w:val="00BE5E43"/>
    <w:rsid w:val="00BE67D8"/>
    <w:rsid w:val="00BF4B2E"/>
    <w:rsid w:val="00BF557D"/>
    <w:rsid w:val="00BF658D"/>
    <w:rsid w:val="00BF7F58"/>
    <w:rsid w:val="00C01381"/>
    <w:rsid w:val="00C01AB1"/>
    <w:rsid w:val="00C026A0"/>
    <w:rsid w:val="00C033E5"/>
    <w:rsid w:val="00C06034"/>
    <w:rsid w:val="00C06137"/>
    <w:rsid w:val="00C06929"/>
    <w:rsid w:val="00C079B8"/>
    <w:rsid w:val="00C10037"/>
    <w:rsid w:val="00C104A1"/>
    <w:rsid w:val="00C115E1"/>
    <w:rsid w:val="00C11A47"/>
    <w:rsid w:val="00C123EA"/>
    <w:rsid w:val="00C12A49"/>
    <w:rsid w:val="00C12E0B"/>
    <w:rsid w:val="00C133EE"/>
    <w:rsid w:val="00C136C8"/>
    <w:rsid w:val="00C149D0"/>
    <w:rsid w:val="00C151B3"/>
    <w:rsid w:val="00C1548B"/>
    <w:rsid w:val="00C15AD2"/>
    <w:rsid w:val="00C1770F"/>
    <w:rsid w:val="00C210E6"/>
    <w:rsid w:val="00C23019"/>
    <w:rsid w:val="00C23939"/>
    <w:rsid w:val="00C23E67"/>
    <w:rsid w:val="00C23F17"/>
    <w:rsid w:val="00C264BF"/>
    <w:rsid w:val="00C26588"/>
    <w:rsid w:val="00C27DE9"/>
    <w:rsid w:val="00C30F46"/>
    <w:rsid w:val="00C32989"/>
    <w:rsid w:val="00C33388"/>
    <w:rsid w:val="00C35252"/>
    <w:rsid w:val="00C35484"/>
    <w:rsid w:val="00C376D7"/>
    <w:rsid w:val="00C376E7"/>
    <w:rsid w:val="00C40B92"/>
    <w:rsid w:val="00C4173A"/>
    <w:rsid w:val="00C44A26"/>
    <w:rsid w:val="00C47CFE"/>
    <w:rsid w:val="00C50DED"/>
    <w:rsid w:val="00C518D6"/>
    <w:rsid w:val="00C51FB1"/>
    <w:rsid w:val="00C52217"/>
    <w:rsid w:val="00C52E96"/>
    <w:rsid w:val="00C53BEC"/>
    <w:rsid w:val="00C55B5B"/>
    <w:rsid w:val="00C56B54"/>
    <w:rsid w:val="00C602FF"/>
    <w:rsid w:val="00C60411"/>
    <w:rsid w:val="00C6086D"/>
    <w:rsid w:val="00C61174"/>
    <w:rsid w:val="00C6148F"/>
    <w:rsid w:val="00C621B1"/>
    <w:rsid w:val="00C62F7A"/>
    <w:rsid w:val="00C63B9C"/>
    <w:rsid w:val="00C643B1"/>
    <w:rsid w:val="00C66320"/>
    <w:rsid w:val="00C6682F"/>
    <w:rsid w:val="00C67BF4"/>
    <w:rsid w:val="00C7275E"/>
    <w:rsid w:val="00C731AF"/>
    <w:rsid w:val="00C73490"/>
    <w:rsid w:val="00C74C5D"/>
    <w:rsid w:val="00C8180C"/>
    <w:rsid w:val="00C81994"/>
    <w:rsid w:val="00C81C54"/>
    <w:rsid w:val="00C820A1"/>
    <w:rsid w:val="00C824D5"/>
    <w:rsid w:val="00C82C83"/>
    <w:rsid w:val="00C82D9E"/>
    <w:rsid w:val="00C835BC"/>
    <w:rsid w:val="00C84281"/>
    <w:rsid w:val="00C84644"/>
    <w:rsid w:val="00C84BBD"/>
    <w:rsid w:val="00C85ED3"/>
    <w:rsid w:val="00C863C4"/>
    <w:rsid w:val="00C87B83"/>
    <w:rsid w:val="00C90DAB"/>
    <w:rsid w:val="00C920EA"/>
    <w:rsid w:val="00C930A0"/>
    <w:rsid w:val="00C9311B"/>
    <w:rsid w:val="00C93C3E"/>
    <w:rsid w:val="00C96081"/>
    <w:rsid w:val="00C97A8E"/>
    <w:rsid w:val="00C97C52"/>
    <w:rsid w:val="00CA12E3"/>
    <w:rsid w:val="00CA1476"/>
    <w:rsid w:val="00CA3EB4"/>
    <w:rsid w:val="00CA5841"/>
    <w:rsid w:val="00CA61BE"/>
    <w:rsid w:val="00CA6611"/>
    <w:rsid w:val="00CA6AE6"/>
    <w:rsid w:val="00CA782F"/>
    <w:rsid w:val="00CA7D8C"/>
    <w:rsid w:val="00CB062C"/>
    <w:rsid w:val="00CB120A"/>
    <w:rsid w:val="00CB187B"/>
    <w:rsid w:val="00CB1E54"/>
    <w:rsid w:val="00CB2835"/>
    <w:rsid w:val="00CB3285"/>
    <w:rsid w:val="00CB4500"/>
    <w:rsid w:val="00CB6318"/>
    <w:rsid w:val="00CB6D29"/>
    <w:rsid w:val="00CB6F85"/>
    <w:rsid w:val="00CC0C72"/>
    <w:rsid w:val="00CC124E"/>
    <w:rsid w:val="00CC217B"/>
    <w:rsid w:val="00CC2BFD"/>
    <w:rsid w:val="00CC3BB0"/>
    <w:rsid w:val="00CC6690"/>
    <w:rsid w:val="00CC6F40"/>
    <w:rsid w:val="00CD10B0"/>
    <w:rsid w:val="00CD23D6"/>
    <w:rsid w:val="00CD339B"/>
    <w:rsid w:val="00CD3476"/>
    <w:rsid w:val="00CD64DF"/>
    <w:rsid w:val="00CD68BD"/>
    <w:rsid w:val="00CE225F"/>
    <w:rsid w:val="00CE347C"/>
    <w:rsid w:val="00CE35EC"/>
    <w:rsid w:val="00CE5A7A"/>
    <w:rsid w:val="00CE69A4"/>
    <w:rsid w:val="00CE7A88"/>
    <w:rsid w:val="00CF091C"/>
    <w:rsid w:val="00CF189F"/>
    <w:rsid w:val="00CF2747"/>
    <w:rsid w:val="00CF2F50"/>
    <w:rsid w:val="00CF4D0D"/>
    <w:rsid w:val="00CF6198"/>
    <w:rsid w:val="00CF6BCA"/>
    <w:rsid w:val="00D01081"/>
    <w:rsid w:val="00D01350"/>
    <w:rsid w:val="00D01F72"/>
    <w:rsid w:val="00D023C1"/>
    <w:rsid w:val="00D02919"/>
    <w:rsid w:val="00D04777"/>
    <w:rsid w:val="00D04C61"/>
    <w:rsid w:val="00D05B8D"/>
    <w:rsid w:val="00D05B9B"/>
    <w:rsid w:val="00D065A2"/>
    <w:rsid w:val="00D079AA"/>
    <w:rsid w:val="00D07F00"/>
    <w:rsid w:val="00D1130F"/>
    <w:rsid w:val="00D16775"/>
    <w:rsid w:val="00D17B72"/>
    <w:rsid w:val="00D20F1C"/>
    <w:rsid w:val="00D22541"/>
    <w:rsid w:val="00D22CD0"/>
    <w:rsid w:val="00D238E4"/>
    <w:rsid w:val="00D23DE4"/>
    <w:rsid w:val="00D27FC3"/>
    <w:rsid w:val="00D3185C"/>
    <w:rsid w:val="00D3205B"/>
    <w:rsid w:val="00D3205F"/>
    <w:rsid w:val="00D3318E"/>
    <w:rsid w:val="00D33E72"/>
    <w:rsid w:val="00D35BD6"/>
    <w:rsid w:val="00D361B5"/>
    <w:rsid w:val="00D40006"/>
    <w:rsid w:val="00D411A2"/>
    <w:rsid w:val="00D4214E"/>
    <w:rsid w:val="00D429A0"/>
    <w:rsid w:val="00D4349C"/>
    <w:rsid w:val="00D443AC"/>
    <w:rsid w:val="00D4606D"/>
    <w:rsid w:val="00D4673B"/>
    <w:rsid w:val="00D505E8"/>
    <w:rsid w:val="00D50B9C"/>
    <w:rsid w:val="00D513AF"/>
    <w:rsid w:val="00D515D0"/>
    <w:rsid w:val="00D51B83"/>
    <w:rsid w:val="00D5251D"/>
    <w:rsid w:val="00D52682"/>
    <w:rsid w:val="00D52D73"/>
    <w:rsid w:val="00D52E58"/>
    <w:rsid w:val="00D53F0C"/>
    <w:rsid w:val="00D55877"/>
    <w:rsid w:val="00D56B20"/>
    <w:rsid w:val="00D578B3"/>
    <w:rsid w:val="00D618F4"/>
    <w:rsid w:val="00D63636"/>
    <w:rsid w:val="00D65A07"/>
    <w:rsid w:val="00D66DBE"/>
    <w:rsid w:val="00D714CC"/>
    <w:rsid w:val="00D71C47"/>
    <w:rsid w:val="00D74C78"/>
    <w:rsid w:val="00D75CAB"/>
    <w:rsid w:val="00D75EA7"/>
    <w:rsid w:val="00D76ECC"/>
    <w:rsid w:val="00D77A99"/>
    <w:rsid w:val="00D81ADF"/>
    <w:rsid w:val="00D81F21"/>
    <w:rsid w:val="00D822ED"/>
    <w:rsid w:val="00D8483D"/>
    <w:rsid w:val="00D8537B"/>
    <w:rsid w:val="00D864F2"/>
    <w:rsid w:val="00D875ED"/>
    <w:rsid w:val="00D876D4"/>
    <w:rsid w:val="00D91579"/>
    <w:rsid w:val="00D9355A"/>
    <w:rsid w:val="00D943F8"/>
    <w:rsid w:val="00D950A1"/>
    <w:rsid w:val="00D95470"/>
    <w:rsid w:val="00D967C1"/>
    <w:rsid w:val="00D96B55"/>
    <w:rsid w:val="00DA2619"/>
    <w:rsid w:val="00DA3D0F"/>
    <w:rsid w:val="00DA4239"/>
    <w:rsid w:val="00DA588C"/>
    <w:rsid w:val="00DA5D82"/>
    <w:rsid w:val="00DA65DE"/>
    <w:rsid w:val="00DB0110"/>
    <w:rsid w:val="00DB0B61"/>
    <w:rsid w:val="00DB1474"/>
    <w:rsid w:val="00DB16D0"/>
    <w:rsid w:val="00DB2962"/>
    <w:rsid w:val="00DB52FB"/>
    <w:rsid w:val="00DB57E8"/>
    <w:rsid w:val="00DC013B"/>
    <w:rsid w:val="00DC0613"/>
    <w:rsid w:val="00DC090B"/>
    <w:rsid w:val="00DC1679"/>
    <w:rsid w:val="00DC1BC8"/>
    <w:rsid w:val="00DC219B"/>
    <w:rsid w:val="00DC2CF1"/>
    <w:rsid w:val="00DC2DC7"/>
    <w:rsid w:val="00DC2EA0"/>
    <w:rsid w:val="00DC3A7C"/>
    <w:rsid w:val="00DC4FCF"/>
    <w:rsid w:val="00DC50E0"/>
    <w:rsid w:val="00DC5B36"/>
    <w:rsid w:val="00DC6386"/>
    <w:rsid w:val="00DD0CDF"/>
    <w:rsid w:val="00DD1130"/>
    <w:rsid w:val="00DD1951"/>
    <w:rsid w:val="00DD487D"/>
    <w:rsid w:val="00DD4E83"/>
    <w:rsid w:val="00DD5AF5"/>
    <w:rsid w:val="00DD6628"/>
    <w:rsid w:val="00DD6945"/>
    <w:rsid w:val="00DD7470"/>
    <w:rsid w:val="00DE1291"/>
    <w:rsid w:val="00DE1BF6"/>
    <w:rsid w:val="00DE1FFE"/>
    <w:rsid w:val="00DE2D04"/>
    <w:rsid w:val="00DE3250"/>
    <w:rsid w:val="00DE4761"/>
    <w:rsid w:val="00DE6028"/>
    <w:rsid w:val="00DE6C85"/>
    <w:rsid w:val="00DE6CB7"/>
    <w:rsid w:val="00DE78A3"/>
    <w:rsid w:val="00DF04A1"/>
    <w:rsid w:val="00DF0A52"/>
    <w:rsid w:val="00DF0A6E"/>
    <w:rsid w:val="00DF0F80"/>
    <w:rsid w:val="00DF1494"/>
    <w:rsid w:val="00DF1A71"/>
    <w:rsid w:val="00DF1D84"/>
    <w:rsid w:val="00DF4B78"/>
    <w:rsid w:val="00DF50FC"/>
    <w:rsid w:val="00DF5465"/>
    <w:rsid w:val="00DF5DBF"/>
    <w:rsid w:val="00DF607F"/>
    <w:rsid w:val="00DF68C7"/>
    <w:rsid w:val="00DF731A"/>
    <w:rsid w:val="00E01112"/>
    <w:rsid w:val="00E03F06"/>
    <w:rsid w:val="00E047B9"/>
    <w:rsid w:val="00E06B75"/>
    <w:rsid w:val="00E11332"/>
    <w:rsid w:val="00E11352"/>
    <w:rsid w:val="00E122DE"/>
    <w:rsid w:val="00E13E04"/>
    <w:rsid w:val="00E15518"/>
    <w:rsid w:val="00E170DC"/>
    <w:rsid w:val="00E17369"/>
    <w:rsid w:val="00E17546"/>
    <w:rsid w:val="00E210B5"/>
    <w:rsid w:val="00E212B2"/>
    <w:rsid w:val="00E21CAE"/>
    <w:rsid w:val="00E24C9E"/>
    <w:rsid w:val="00E25074"/>
    <w:rsid w:val="00E256EA"/>
    <w:rsid w:val="00E261B3"/>
    <w:rsid w:val="00E26818"/>
    <w:rsid w:val="00E27148"/>
    <w:rsid w:val="00E27870"/>
    <w:rsid w:val="00E27FFC"/>
    <w:rsid w:val="00E30B15"/>
    <w:rsid w:val="00E30C2E"/>
    <w:rsid w:val="00E3309A"/>
    <w:rsid w:val="00E33237"/>
    <w:rsid w:val="00E343C4"/>
    <w:rsid w:val="00E40181"/>
    <w:rsid w:val="00E41350"/>
    <w:rsid w:val="00E41BF4"/>
    <w:rsid w:val="00E4506B"/>
    <w:rsid w:val="00E464D3"/>
    <w:rsid w:val="00E46CBA"/>
    <w:rsid w:val="00E50EB8"/>
    <w:rsid w:val="00E53253"/>
    <w:rsid w:val="00E548D0"/>
    <w:rsid w:val="00E54950"/>
    <w:rsid w:val="00E55FB3"/>
    <w:rsid w:val="00E56A01"/>
    <w:rsid w:val="00E56CEC"/>
    <w:rsid w:val="00E570F6"/>
    <w:rsid w:val="00E60DDF"/>
    <w:rsid w:val="00E629A1"/>
    <w:rsid w:val="00E62A7B"/>
    <w:rsid w:val="00E63304"/>
    <w:rsid w:val="00E659F2"/>
    <w:rsid w:val="00E6794C"/>
    <w:rsid w:val="00E70866"/>
    <w:rsid w:val="00E71591"/>
    <w:rsid w:val="00E71847"/>
    <w:rsid w:val="00E71CEB"/>
    <w:rsid w:val="00E72602"/>
    <w:rsid w:val="00E7474F"/>
    <w:rsid w:val="00E766F0"/>
    <w:rsid w:val="00E772C3"/>
    <w:rsid w:val="00E77827"/>
    <w:rsid w:val="00E804F0"/>
    <w:rsid w:val="00E8081A"/>
    <w:rsid w:val="00E80DE3"/>
    <w:rsid w:val="00E8120F"/>
    <w:rsid w:val="00E824D3"/>
    <w:rsid w:val="00E828D5"/>
    <w:rsid w:val="00E82C55"/>
    <w:rsid w:val="00E845DC"/>
    <w:rsid w:val="00E8787E"/>
    <w:rsid w:val="00E879D7"/>
    <w:rsid w:val="00E87E0B"/>
    <w:rsid w:val="00E9042A"/>
    <w:rsid w:val="00E9103D"/>
    <w:rsid w:val="00E92AC3"/>
    <w:rsid w:val="00E92B15"/>
    <w:rsid w:val="00E95643"/>
    <w:rsid w:val="00E958BE"/>
    <w:rsid w:val="00EA1D7C"/>
    <w:rsid w:val="00EA2F6A"/>
    <w:rsid w:val="00EA3C23"/>
    <w:rsid w:val="00EA4C83"/>
    <w:rsid w:val="00EA545E"/>
    <w:rsid w:val="00EA59BA"/>
    <w:rsid w:val="00EA5C5C"/>
    <w:rsid w:val="00EB00E0"/>
    <w:rsid w:val="00EB05D5"/>
    <w:rsid w:val="00EB1402"/>
    <w:rsid w:val="00EB3D16"/>
    <w:rsid w:val="00EB406A"/>
    <w:rsid w:val="00EB4BC7"/>
    <w:rsid w:val="00EB5169"/>
    <w:rsid w:val="00EB56B9"/>
    <w:rsid w:val="00EB776A"/>
    <w:rsid w:val="00EB78F5"/>
    <w:rsid w:val="00EC059F"/>
    <w:rsid w:val="00EC1F24"/>
    <w:rsid w:val="00EC1F74"/>
    <w:rsid w:val="00EC22F6"/>
    <w:rsid w:val="00EC2693"/>
    <w:rsid w:val="00EC2CF9"/>
    <w:rsid w:val="00EC3DB9"/>
    <w:rsid w:val="00EC4CE6"/>
    <w:rsid w:val="00EC5743"/>
    <w:rsid w:val="00ED0665"/>
    <w:rsid w:val="00ED1EE2"/>
    <w:rsid w:val="00ED425F"/>
    <w:rsid w:val="00ED58EA"/>
    <w:rsid w:val="00ED5B9B"/>
    <w:rsid w:val="00ED6BAD"/>
    <w:rsid w:val="00ED6CCF"/>
    <w:rsid w:val="00ED7447"/>
    <w:rsid w:val="00ED7762"/>
    <w:rsid w:val="00EE00D6"/>
    <w:rsid w:val="00EE0B07"/>
    <w:rsid w:val="00EE11E7"/>
    <w:rsid w:val="00EE1488"/>
    <w:rsid w:val="00EE29AD"/>
    <w:rsid w:val="00EE3E24"/>
    <w:rsid w:val="00EE48F7"/>
    <w:rsid w:val="00EE4D5D"/>
    <w:rsid w:val="00EE5131"/>
    <w:rsid w:val="00EE58A0"/>
    <w:rsid w:val="00EE5CE7"/>
    <w:rsid w:val="00EE783A"/>
    <w:rsid w:val="00EF109B"/>
    <w:rsid w:val="00EF201C"/>
    <w:rsid w:val="00EF2C72"/>
    <w:rsid w:val="00EF36AF"/>
    <w:rsid w:val="00EF3EEB"/>
    <w:rsid w:val="00EF4982"/>
    <w:rsid w:val="00EF59A3"/>
    <w:rsid w:val="00EF6675"/>
    <w:rsid w:val="00EF68DC"/>
    <w:rsid w:val="00EF6929"/>
    <w:rsid w:val="00F0063D"/>
    <w:rsid w:val="00F00F9C"/>
    <w:rsid w:val="00F01E5F"/>
    <w:rsid w:val="00F024F3"/>
    <w:rsid w:val="00F02ABA"/>
    <w:rsid w:val="00F02BBD"/>
    <w:rsid w:val="00F04090"/>
    <w:rsid w:val="00F0437A"/>
    <w:rsid w:val="00F04F9C"/>
    <w:rsid w:val="00F07D3F"/>
    <w:rsid w:val="00F101B8"/>
    <w:rsid w:val="00F11037"/>
    <w:rsid w:val="00F12916"/>
    <w:rsid w:val="00F131EE"/>
    <w:rsid w:val="00F16418"/>
    <w:rsid w:val="00F16F1B"/>
    <w:rsid w:val="00F17F02"/>
    <w:rsid w:val="00F209E3"/>
    <w:rsid w:val="00F2101A"/>
    <w:rsid w:val="00F23C08"/>
    <w:rsid w:val="00F250A9"/>
    <w:rsid w:val="00F267AF"/>
    <w:rsid w:val="00F26968"/>
    <w:rsid w:val="00F30FF4"/>
    <w:rsid w:val="00F3122E"/>
    <w:rsid w:val="00F321A0"/>
    <w:rsid w:val="00F32368"/>
    <w:rsid w:val="00F32728"/>
    <w:rsid w:val="00F331AD"/>
    <w:rsid w:val="00F347D4"/>
    <w:rsid w:val="00F35287"/>
    <w:rsid w:val="00F35705"/>
    <w:rsid w:val="00F35BCD"/>
    <w:rsid w:val="00F35F95"/>
    <w:rsid w:val="00F36292"/>
    <w:rsid w:val="00F40A70"/>
    <w:rsid w:val="00F41FDC"/>
    <w:rsid w:val="00F4287E"/>
    <w:rsid w:val="00F43A37"/>
    <w:rsid w:val="00F4618D"/>
    <w:rsid w:val="00F4641B"/>
    <w:rsid w:val="00F46EB8"/>
    <w:rsid w:val="00F4780D"/>
    <w:rsid w:val="00F50CD1"/>
    <w:rsid w:val="00F511E4"/>
    <w:rsid w:val="00F51E10"/>
    <w:rsid w:val="00F527E0"/>
    <w:rsid w:val="00F52D09"/>
    <w:rsid w:val="00F52E08"/>
    <w:rsid w:val="00F53515"/>
    <w:rsid w:val="00F53A66"/>
    <w:rsid w:val="00F5462D"/>
    <w:rsid w:val="00F55B21"/>
    <w:rsid w:val="00F5698A"/>
    <w:rsid w:val="00F56B4E"/>
    <w:rsid w:val="00F56EF6"/>
    <w:rsid w:val="00F60082"/>
    <w:rsid w:val="00F61A9F"/>
    <w:rsid w:val="00F61B5F"/>
    <w:rsid w:val="00F62893"/>
    <w:rsid w:val="00F63279"/>
    <w:rsid w:val="00F64696"/>
    <w:rsid w:val="00F65AA9"/>
    <w:rsid w:val="00F65C6D"/>
    <w:rsid w:val="00F65FD0"/>
    <w:rsid w:val="00F66167"/>
    <w:rsid w:val="00F66DF2"/>
    <w:rsid w:val="00F670E6"/>
    <w:rsid w:val="00F6768F"/>
    <w:rsid w:val="00F67E85"/>
    <w:rsid w:val="00F7111A"/>
    <w:rsid w:val="00F718C9"/>
    <w:rsid w:val="00F72C2C"/>
    <w:rsid w:val="00F735B3"/>
    <w:rsid w:val="00F736EF"/>
    <w:rsid w:val="00F741F2"/>
    <w:rsid w:val="00F75304"/>
    <w:rsid w:val="00F7691E"/>
    <w:rsid w:val="00F76999"/>
    <w:rsid w:val="00F76CAB"/>
    <w:rsid w:val="00F772C6"/>
    <w:rsid w:val="00F815B5"/>
    <w:rsid w:val="00F82E7B"/>
    <w:rsid w:val="00F834E0"/>
    <w:rsid w:val="00F8502B"/>
    <w:rsid w:val="00F85195"/>
    <w:rsid w:val="00F868E3"/>
    <w:rsid w:val="00F86B4B"/>
    <w:rsid w:val="00F87B84"/>
    <w:rsid w:val="00F90411"/>
    <w:rsid w:val="00F908CC"/>
    <w:rsid w:val="00F91950"/>
    <w:rsid w:val="00F938BA"/>
    <w:rsid w:val="00F93B89"/>
    <w:rsid w:val="00F93C4C"/>
    <w:rsid w:val="00F96C41"/>
    <w:rsid w:val="00F97919"/>
    <w:rsid w:val="00FA0DBE"/>
    <w:rsid w:val="00FA1939"/>
    <w:rsid w:val="00FA2C46"/>
    <w:rsid w:val="00FA3525"/>
    <w:rsid w:val="00FA3661"/>
    <w:rsid w:val="00FA39E3"/>
    <w:rsid w:val="00FA4DA3"/>
    <w:rsid w:val="00FA504B"/>
    <w:rsid w:val="00FA59AF"/>
    <w:rsid w:val="00FA5A53"/>
    <w:rsid w:val="00FA614A"/>
    <w:rsid w:val="00FA6BD6"/>
    <w:rsid w:val="00FA7169"/>
    <w:rsid w:val="00FA72F3"/>
    <w:rsid w:val="00FA75CA"/>
    <w:rsid w:val="00FB1F6E"/>
    <w:rsid w:val="00FB4769"/>
    <w:rsid w:val="00FB4B82"/>
    <w:rsid w:val="00FB4CDA"/>
    <w:rsid w:val="00FB6481"/>
    <w:rsid w:val="00FB6D36"/>
    <w:rsid w:val="00FC0028"/>
    <w:rsid w:val="00FC0965"/>
    <w:rsid w:val="00FC0F81"/>
    <w:rsid w:val="00FC252F"/>
    <w:rsid w:val="00FC395C"/>
    <w:rsid w:val="00FC5E8E"/>
    <w:rsid w:val="00FD3766"/>
    <w:rsid w:val="00FD3B97"/>
    <w:rsid w:val="00FD3D05"/>
    <w:rsid w:val="00FD47C4"/>
    <w:rsid w:val="00FD5D37"/>
    <w:rsid w:val="00FD7A43"/>
    <w:rsid w:val="00FE0E0A"/>
    <w:rsid w:val="00FE121C"/>
    <w:rsid w:val="00FE2DCF"/>
    <w:rsid w:val="00FE3FA7"/>
    <w:rsid w:val="00FE4081"/>
    <w:rsid w:val="00FE6D48"/>
    <w:rsid w:val="00FE7BF6"/>
    <w:rsid w:val="00FF0780"/>
    <w:rsid w:val="00FF166F"/>
    <w:rsid w:val="00FF2888"/>
    <w:rsid w:val="00FF2A4E"/>
    <w:rsid w:val="00FF2FCE"/>
    <w:rsid w:val="00FF3B0F"/>
    <w:rsid w:val="00FF4F7D"/>
    <w:rsid w:val="00FF63A1"/>
    <w:rsid w:val="00FF6D9D"/>
    <w:rsid w:val="00FF7620"/>
    <w:rsid w:val="00FF7DD5"/>
    <w:rsid w:val="0177A1AA"/>
    <w:rsid w:val="022D0F00"/>
    <w:rsid w:val="046CBCCB"/>
    <w:rsid w:val="04CA2D30"/>
    <w:rsid w:val="08F79251"/>
    <w:rsid w:val="0B25012C"/>
    <w:rsid w:val="0B7CEAF5"/>
    <w:rsid w:val="1485F22B"/>
    <w:rsid w:val="149863E0"/>
    <w:rsid w:val="1799A73A"/>
    <w:rsid w:val="189BD79A"/>
    <w:rsid w:val="19E9DF4C"/>
    <w:rsid w:val="1AD6805A"/>
    <w:rsid w:val="1CD98D14"/>
    <w:rsid w:val="1FEBEE49"/>
    <w:rsid w:val="21725CA7"/>
    <w:rsid w:val="2276F5D6"/>
    <w:rsid w:val="232B2696"/>
    <w:rsid w:val="2340BAB6"/>
    <w:rsid w:val="283793DB"/>
    <w:rsid w:val="29F12254"/>
    <w:rsid w:val="2ADA512C"/>
    <w:rsid w:val="2C6B774B"/>
    <w:rsid w:val="2D444231"/>
    <w:rsid w:val="2F0BD2D4"/>
    <w:rsid w:val="309336FE"/>
    <w:rsid w:val="31E0DBE9"/>
    <w:rsid w:val="335E7277"/>
    <w:rsid w:val="343A3CF6"/>
    <w:rsid w:val="365B6F0F"/>
    <w:rsid w:val="37D8CD78"/>
    <w:rsid w:val="37E58547"/>
    <w:rsid w:val="38CD8821"/>
    <w:rsid w:val="38FBCAC1"/>
    <w:rsid w:val="3BA5E1B0"/>
    <w:rsid w:val="41A00A4F"/>
    <w:rsid w:val="4209F106"/>
    <w:rsid w:val="42D1F3FA"/>
    <w:rsid w:val="45A993C8"/>
    <w:rsid w:val="47877C0C"/>
    <w:rsid w:val="4B290847"/>
    <w:rsid w:val="4C6E0E3D"/>
    <w:rsid w:val="4C73E55D"/>
    <w:rsid w:val="4DA942A6"/>
    <w:rsid w:val="4E2CBC01"/>
    <w:rsid w:val="52EC6F83"/>
    <w:rsid w:val="54CACD75"/>
    <w:rsid w:val="5778743F"/>
    <w:rsid w:val="5C3EA420"/>
    <w:rsid w:val="61093F91"/>
    <w:rsid w:val="616C46C1"/>
    <w:rsid w:val="61C62C4F"/>
    <w:rsid w:val="63D6BC9E"/>
    <w:rsid w:val="64849CF9"/>
    <w:rsid w:val="662B5688"/>
    <w:rsid w:val="6703B6CA"/>
    <w:rsid w:val="693CAB29"/>
    <w:rsid w:val="6950FD61"/>
    <w:rsid w:val="6C92DFEC"/>
    <w:rsid w:val="6E0ABC2B"/>
    <w:rsid w:val="6E44270D"/>
    <w:rsid w:val="711F19D0"/>
    <w:rsid w:val="71470FCD"/>
    <w:rsid w:val="73DC4310"/>
    <w:rsid w:val="740FC877"/>
    <w:rsid w:val="787414CD"/>
    <w:rsid w:val="7947F46F"/>
    <w:rsid w:val="79E81A0A"/>
    <w:rsid w:val="7B5FD53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347D8"/>
  <w15:docId w15:val="{CA6F4FD4-01D1-4F15-A98F-E52F773F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A559F9"/>
    <w:pPr>
      <w:keepNext/>
      <w:keepLines/>
      <w:numPr>
        <w:ilvl w:val="1"/>
        <w:numId w:val="40"/>
      </w:numPr>
      <w:tabs>
        <w:tab w:val="num" w:pos="794"/>
      </w:tabs>
      <w:spacing w:before="360" w:after="120" w:line="340" w:lineRule="atLeast"/>
      <w:ind w:left="794" w:hanging="652"/>
      <w:outlineLvl w:val="1"/>
    </w:pPr>
    <w:rPr>
      <w:rFonts w:ascii="Arial" w:hAnsi="Arial"/>
      <w:b/>
      <w:color w:val="53565A"/>
      <w:sz w:val="32"/>
      <w:szCs w:val="28"/>
      <w:lang w:eastAsia="en-US"/>
    </w:rPr>
  </w:style>
  <w:style w:type="paragraph" w:styleId="Heading3">
    <w:name w:val="heading 3"/>
    <w:next w:val="Body"/>
    <w:link w:val="Heading3Char"/>
    <w:autoRedefine/>
    <w:uiPriority w:val="1"/>
    <w:qFormat/>
    <w:rsid w:val="00F35BCD"/>
    <w:pPr>
      <w:keepNext/>
      <w:keepLines/>
      <w:numPr>
        <w:ilvl w:val="2"/>
        <w:numId w:val="40"/>
      </w:numPr>
      <w:tabs>
        <w:tab w:val="left" w:pos="567"/>
        <w:tab w:val="num" w:pos="794"/>
        <w:tab w:val="left" w:pos="1276"/>
      </w:tabs>
      <w:spacing w:before="360" w:after="120" w:line="320" w:lineRule="atLeast"/>
      <w:ind w:left="794" w:hanging="510"/>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A559F9"/>
    <w:rPr>
      <w:rFonts w:ascii="Arial" w:hAnsi="Arial"/>
      <w:b/>
      <w:color w:val="53565A"/>
      <w:sz w:val="32"/>
      <w:szCs w:val="28"/>
      <w:lang w:eastAsia="en-US"/>
    </w:rPr>
  </w:style>
  <w:style w:type="character" w:customStyle="1" w:styleId="Heading3Char">
    <w:name w:val="Heading 3 Char"/>
    <w:link w:val="Heading3"/>
    <w:uiPriority w:val="1"/>
    <w:rsid w:val="00F35BC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tabletext">
    <w:name w:val="DHHS table text"/>
    <w:uiPriority w:val="3"/>
    <w:qFormat/>
    <w:rsid w:val="005037D6"/>
    <w:pPr>
      <w:spacing w:before="80" w:after="60"/>
    </w:pPr>
    <w:rPr>
      <w:rFonts w:ascii="Arial" w:hAnsi="Arial"/>
      <w:lang w:eastAsia="en-US"/>
    </w:rPr>
  </w:style>
  <w:style w:type="paragraph" w:styleId="ListParagraph">
    <w:name w:val="List Paragraph"/>
    <w:basedOn w:val="Normal"/>
    <w:uiPriority w:val="34"/>
    <w:qFormat/>
    <w:rsid w:val="005037D6"/>
    <w:pPr>
      <w:ind w:left="720"/>
      <w:contextualSpacing/>
    </w:pPr>
  </w:style>
  <w:style w:type="paragraph" w:customStyle="1" w:styleId="DHHSbody">
    <w:name w:val="DHHS body"/>
    <w:link w:val="DHHSbodyChar"/>
    <w:qFormat/>
    <w:rsid w:val="005037D6"/>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5037D6"/>
    <w:rPr>
      <w:rFonts w:ascii="Arial" w:eastAsia="Times" w:hAnsi="Arial"/>
      <w:lang w:eastAsia="en-US"/>
    </w:rPr>
  </w:style>
  <w:style w:type="character" w:styleId="Mention">
    <w:name w:val="Mention"/>
    <w:basedOn w:val="DefaultParagraphFont"/>
    <w:uiPriority w:val="99"/>
    <w:unhideWhenUsed/>
    <w:rsid w:val="005037D6"/>
    <w:rPr>
      <w:color w:val="2B579A"/>
      <w:shd w:val="clear" w:color="auto" w:fill="E1DFDD"/>
    </w:rPr>
  </w:style>
  <w:style w:type="character" w:customStyle="1" w:styleId="ui-provider">
    <w:name w:val="ui-provider"/>
    <w:basedOn w:val="DefaultParagraphFont"/>
    <w:rsid w:val="005037D6"/>
  </w:style>
  <w:style w:type="character" w:customStyle="1" w:styleId="normaltextrun">
    <w:name w:val="normaltextrun"/>
    <w:basedOn w:val="DefaultParagraphFont"/>
    <w:rsid w:val="005037D6"/>
    <w:rPr>
      <w:rFonts w:asciiTheme="minorHAnsi" w:eastAsiaTheme="minorEastAsia" w:hAnsiTheme="minorHAnsi" w:cstheme="minorBidi"/>
      <w:sz w:val="24"/>
      <w:szCs w:val="24"/>
    </w:rPr>
  </w:style>
  <w:style w:type="character" w:customStyle="1" w:styleId="eop">
    <w:name w:val="eop"/>
    <w:basedOn w:val="DefaultParagraphFont"/>
    <w:rsid w:val="005037D6"/>
    <w:rPr>
      <w:rFonts w:asciiTheme="minorHAnsi" w:eastAsiaTheme="minorEastAsia" w:hAnsiTheme="minorHAnsi" w:cstheme="minorBidi"/>
      <w:sz w:val="24"/>
      <w:szCs w:val="24"/>
    </w:rPr>
  </w:style>
  <w:style w:type="paragraph" w:customStyle="1" w:styleId="paragraph">
    <w:name w:val="paragraph"/>
    <w:basedOn w:val="Normal"/>
    <w:rsid w:val="005037D6"/>
    <w:pPr>
      <w:spacing w:beforeAutospacing="1" w:after="0" w:afterAutospacing="1" w:line="240" w:lineRule="auto"/>
    </w:pPr>
    <w:rPr>
      <w:rFonts w:asciiTheme="minorHAnsi" w:eastAsiaTheme="minorEastAsia" w:hAnsiTheme="minorHAnsi" w:cstheme="minorBidi"/>
      <w:sz w:val="24"/>
      <w:szCs w:val="24"/>
      <w:lang w:eastAsia="zh-CN"/>
    </w:rPr>
  </w:style>
  <w:style w:type="character" w:customStyle="1" w:styleId="FooterChar">
    <w:name w:val="Footer Char"/>
    <w:basedOn w:val="DefaultParagraphFont"/>
    <w:link w:val="Footer"/>
    <w:uiPriority w:val="99"/>
    <w:rsid w:val="005037D6"/>
    <w:rPr>
      <w:rFonts w:ascii="Arial" w:hAnsi="Arial" w:cs="Arial"/>
      <w:szCs w:val="18"/>
      <w:lang w:eastAsia="en-US"/>
    </w:rPr>
  </w:style>
  <w:style w:type="table" w:customStyle="1" w:styleId="TableGrid1">
    <w:name w:val="Table Grid1"/>
    <w:basedOn w:val="TableNormal"/>
    <w:next w:val="TableGrid"/>
    <w:uiPriority w:val="59"/>
    <w:rsid w:val="005037D6"/>
    <w:rPr>
      <w:rFonts w:ascii="Arial" w:hAnsi="Arial"/>
    </w:rPr>
    <w:tblPr/>
  </w:style>
  <w:style w:type="character" w:customStyle="1" w:styleId="rpl-text-label">
    <w:name w:val="rpl-text-label"/>
    <w:basedOn w:val="DefaultParagraphFont"/>
    <w:rsid w:val="005037D6"/>
  </w:style>
  <w:style w:type="character" w:customStyle="1" w:styleId="rpl-text-icongroup">
    <w:name w:val="rpl-text-icon__group"/>
    <w:basedOn w:val="DefaultParagraphFont"/>
    <w:rsid w:val="005037D6"/>
  </w:style>
  <w:style w:type="paragraph" w:styleId="NormalWeb">
    <w:name w:val="Normal (Web)"/>
    <w:basedOn w:val="Normal"/>
    <w:uiPriority w:val="99"/>
    <w:semiHidden/>
    <w:unhideWhenUsed/>
    <w:rsid w:val="005037D6"/>
    <w:rPr>
      <w:rFonts w:ascii="Times New Roman" w:hAnsi="Times New Roman"/>
      <w:sz w:val="24"/>
      <w:szCs w:val="24"/>
    </w:rPr>
  </w:style>
  <w:style w:type="paragraph" w:styleId="Caption">
    <w:name w:val="caption"/>
    <w:basedOn w:val="Normal"/>
    <w:next w:val="Normal"/>
    <w:uiPriority w:val="35"/>
    <w:unhideWhenUsed/>
    <w:qFormat/>
    <w:rsid w:val="00EC269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hhsvicgovau.sharepoint.com/:f:/r/sites/PHUIH/Streams/Communicable%20Disease%20Documents/Other%20notifiable%20conditions/Viral%20Heamorrhagic%20Fevers?csf=1&amp;web=1&amp;e=GLFUvv" TargetMode="External"/><Relationship Id="rId21" Type="http://schemas.openxmlformats.org/officeDocument/2006/relationships/hyperlink" Target="https://www.health.gov.au/resources/publications/national-health-security-agreement?language=en" TargetMode="External"/><Relationship Id="rId42" Type="http://schemas.openxmlformats.org/officeDocument/2006/relationships/hyperlink" Target="https://www.cdc.gov/ebola/outbreaks/?CDC_AAref_Val=https://www.cdc.gov/vhf/ebola/outbreaks/index-2018.html" TargetMode="External"/><Relationship Id="rId47" Type="http://schemas.openxmlformats.org/officeDocument/2006/relationships/hyperlink" Target="https://melbourne.communityhealthpathways.org/welcome?returnUrl=%2f" TargetMode="External"/><Relationship Id="rId63" Type="http://schemas.openxmlformats.org/officeDocument/2006/relationships/hyperlink" Target="https://www.who.int/publications/i/item/WHO-WPE-CRS-HCR-2023.1" TargetMode="External"/><Relationship Id="rId68" Type="http://schemas.openxmlformats.org/officeDocument/2006/relationships/header" Target="header14.xml"/><Relationship Id="rId84" Type="http://schemas.openxmlformats.org/officeDocument/2006/relationships/hyperlink" Target="https://www.health.gov.au/resources/publications/phln-laboratory-procedures-and-precautions-for-samples-collected-from-patients-with-viral-haemorrhagic-fevers?utm_source=health.gov.au&amp;utm_medium=callout-auto-custom&amp;utm_campaign=digital_transformation" TargetMode="External"/><Relationship Id="rId89" Type="http://schemas.openxmlformats.org/officeDocument/2006/relationships/header" Target="header26.xml"/><Relationship Id="rId16" Type="http://schemas.openxmlformats.org/officeDocument/2006/relationships/header" Target="header3.xml"/><Relationship Id="rId11" Type="http://schemas.openxmlformats.org/officeDocument/2006/relationships/footer" Target="footer2.xml"/><Relationship Id="rId32" Type="http://schemas.openxmlformats.org/officeDocument/2006/relationships/hyperlink" Target="https://www.cdc.gov/viral-hemorrhagic-fevers/about/index.html" TargetMode="External"/><Relationship Id="rId37" Type="http://schemas.openxmlformats.org/officeDocument/2006/relationships/footer" Target="footer4.xml"/><Relationship Id="rId53" Type="http://schemas.openxmlformats.org/officeDocument/2006/relationships/hyperlink" Target="https://www.health.gov.au/sites/default/files/documents/2022/11/phln-national-high-security-quarantine-laboratory-guideline-for-management-of-quarantinable-viral-haemorrhagic-fevers.pdf" TargetMode="External"/><Relationship Id="rId58" Type="http://schemas.openxmlformats.org/officeDocument/2006/relationships/header" Target="header9.xml"/><Relationship Id="rId74" Type="http://schemas.openxmlformats.org/officeDocument/2006/relationships/footer" Target="footer5.xml"/><Relationship Id="rId79" Type="http://schemas.openxmlformats.org/officeDocument/2006/relationships/header" Target="header22.xm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eader" Target="header27.xml"/><Relationship Id="rId95" Type="http://schemas.openxmlformats.org/officeDocument/2006/relationships/header" Target="header32.xml"/><Relationship Id="rId22" Type="http://schemas.openxmlformats.org/officeDocument/2006/relationships/hyperlink" Target="https://www.who.int/publications/i/item/9789241580496" TargetMode="External"/><Relationship Id="rId27" Type="http://schemas.openxmlformats.org/officeDocument/2006/relationships/hyperlink" Target="https://www.health.vic.gov.au/local-public-health-units" TargetMode="External"/><Relationship Id="rId43" Type="http://schemas.openxmlformats.org/officeDocument/2006/relationships/hyperlink" Target="https://www.gov.uk/guidance/high-consequence-infectious-disease-country-specific-risk?utm_medium=email&amp;utm_campaign=govuk-notifications-single-page&amp;utm_source=d78eacd0-1066-4e2c-8ae1-d1fee0cdc8d3&amp;utm_content=immediately%22%20\l%20%22countries-a-to-d" TargetMode="External"/><Relationship Id="rId48" Type="http://schemas.openxmlformats.org/officeDocument/2006/relationships/hyperlink" Target="https://emphn.org.au/" TargetMode="External"/><Relationship Id="rId64" Type="http://schemas.openxmlformats.org/officeDocument/2006/relationships/header" Target="header11.xml"/><Relationship Id="rId69" Type="http://schemas.openxmlformats.org/officeDocument/2006/relationships/header" Target="header15.xml"/><Relationship Id="rId80" Type="http://schemas.openxmlformats.org/officeDocument/2006/relationships/hyperlink" Target="https://www.health.gov.au/sites/default/files/documents/2022/11/phln-national-high-security-quarantine-laboratory-guideline-for-management-of-quarantinable-viral-haemorrhagic-fevers.pdf" TargetMode="External"/><Relationship Id="rId85" Type="http://schemas.openxmlformats.org/officeDocument/2006/relationships/header" Target="header2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who.int/publications/i/item/9789241580496" TargetMode="External"/><Relationship Id="rId33" Type="http://schemas.openxmlformats.org/officeDocument/2006/relationships/hyperlink" Target="https://www.ecdc.europa.eu/en/viral-haemorrhagic-fevers" TargetMode="External"/><Relationship Id="rId38" Type="http://schemas.openxmlformats.org/officeDocument/2006/relationships/header" Target="header6.xml"/><Relationship Id="rId46" Type="http://schemas.openxmlformats.org/officeDocument/2006/relationships/hyperlink" Target="https://beaconbio.org/en/" TargetMode="External"/><Relationship Id="rId59" Type="http://schemas.openxmlformats.org/officeDocument/2006/relationships/header" Target="header10.xml"/><Relationship Id="rId67" Type="http://schemas.openxmlformats.org/officeDocument/2006/relationships/header" Target="header13.xml"/><Relationship Id="rId20" Type="http://schemas.openxmlformats.org/officeDocument/2006/relationships/hyperlink" Target="https://www.legislation.vic.gov.au/in-force/statutory-rules/public-health-and-wellbeing-regulations-2019/023" TargetMode="External"/><Relationship Id="rId41" Type="http://schemas.openxmlformats.org/officeDocument/2006/relationships/hyperlink" Target="https://www.who.int/emergencies/disease-outbreak-news" TargetMode="External"/><Relationship Id="rId54" Type="http://schemas.openxmlformats.org/officeDocument/2006/relationships/hyperlink" Target="https://www.health.gov.au/resources/publications/infection-prevention-and-control-principles-and-recommendations-for-ebola-virus-disease" TargetMode="External"/><Relationship Id="rId62" Type="http://schemas.openxmlformats.org/officeDocument/2006/relationships/hyperlink" Target="https://www.cdc.gov/viral-hemorrhagic-fevers/hcp/guidance/ppe-clinically-unstable.html" TargetMode="External"/><Relationship Id="rId70" Type="http://schemas.openxmlformats.org/officeDocument/2006/relationships/header" Target="header16.xml"/><Relationship Id="rId75" Type="http://schemas.openxmlformats.org/officeDocument/2006/relationships/image" Target="media/image2.png"/><Relationship Id="rId83" Type="http://schemas.openxmlformats.org/officeDocument/2006/relationships/hyperlink" Target="https://www.health.gov.au/resources/publications/phln-national-high-security-quarantine-laboratory-guideline-for-management-of-quarantinable-viral-haemorrhagic-fevers?utm_source=health.gov.au&amp;utm_medium=callout-auto-custom&amp;utm_campaign=digital_transformation" TargetMode="External"/><Relationship Id="rId88" Type="http://schemas.openxmlformats.org/officeDocument/2006/relationships/header" Target="header25.xml"/><Relationship Id="rId91" Type="http://schemas.openxmlformats.org/officeDocument/2006/relationships/header" Target="header28.xml"/><Relationship Id="rId96"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ealth.vic.gov.au/infection-control" TargetMode="External"/><Relationship Id="rId23" Type="http://schemas.openxmlformats.org/officeDocument/2006/relationships/hyperlink" Target="https://www.health.gov.au/our-work/nndss" TargetMode="External"/><Relationship Id="rId28" Type="http://schemas.openxmlformats.org/officeDocument/2006/relationships/hyperlink" Target="https://dhhsvicgovau.sharepoint.com/:f:/r/sites/PHUIH/Streams/Communicable%20Disease%20Documents/Other%20notifiable%20conditions/Viral%20Heamorrhagic%20Fevers?csf=1&amp;web=1&amp;e=GLFUvv" TargetMode="External"/><Relationship Id="rId36" Type="http://schemas.openxmlformats.org/officeDocument/2006/relationships/header" Target="header5.xml"/><Relationship Id="rId49" Type="http://schemas.openxmlformats.org/officeDocument/2006/relationships/hyperlink" Target="https://www.semphn.org.au/pathways" TargetMode="External"/><Relationship Id="rId57" Type="http://schemas.openxmlformats.org/officeDocument/2006/relationships/hyperlink" Target="https://www.epa.vic.gov.au/priority-waste-and-waste-soil-categories" TargetMode="External"/><Relationship Id="rId10" Type="http://schemas.openxmlformats.org/officeDocument/2006/relationships/footer" Target="footer1.xml"/><Relationship Id="rId31" Type="http://schemas.openxmlformats.org/officeDocument/2006/relationships/hyperlink" Target="https://www.healthdirect.gov.au/viral-haemorrhagic-fevers" TargetMode="External"/><Relationship Id="rId44" Type="http://schemas.openxmlformats.org/officeDocument/2006/relationships/hyperlink" Target="https://www.promedmail.org/" TargetMode="External"/><Relationship Id="rId52" Type="http://schemas.openxmlformats.org/officeDocument/2006/relationships/hyperlink" Target="https://westvic.communityhealthpathways.org/welcome?returnUrl=%2f" TargetMode="External"/><Relationship Id="rId60" Type="http://schemas.openxmlformats.org/officeDocument/2006/relationships/hyperlink" Target="https://www.cdc.gov/viral-hemorrhagic-fevers/hcp/guidance/ppe-faqs.html" TargetMode="External"/><Relationship Id="rId65" Type="http://schemas.openxmlformats.org/officeDocument/2006/relationships/header" Target="header12.xml"/><Relationship Id="rId73" Type="http://schemas.openxmlformats.org/officeDocument/2006/relationships/header" Target="header18.xml"/><Relationship Id="rId78" Type="http://schemas.openxmlformats.org/officeDocument/2006/relationships/header" Target="header21.xml"/><Relationship Id="rId81" Type="http://schemas.openxmlformats.org/officeDocument/2006/relationships/hyperlink" Target="https://www.safetyandquality.gov.au/sites/default/files/2023-02/requirements_for_the_packaging_and_transport_of_pathology_specimens_and_associated_materials_fifth_edition_2023.pdf" TargetMode="External"/><Relationship Id="rId86" Type="http://schemas.openxmlformats.org/officeDocument/2006/relationships/header" Target="header24.xml"/><Relationship Id="rId94" Type="http://schemas.openxmlformats.org/officeDocument/2006/relationships/header" Target="header31.xml"/><Relationship Id="rId99" Type="http://schemas.openxmlformats.org/officeDocument/2006/relationships/footer" Target="footer7.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mv.vic.gov.au/responsibilities/state-emergency-management-plan-semp" TargetMode="External"/><Relationship Id="rId39" Type="http://schemas.openxmlformats.org/officeDocument/2006/relationships/header" Target="header7.xml"/><Relationship Id="rId34" Type="http://schemas.openxmlformats.org/officeDocument/2006/relationships/hyperlink" Target="https://www.emro.who.int/health-topics/haemorrhagic-fevers-viral/index.html" TargetMode="External"/><Relationship Id="rId50" Type="http://schemas.openxmlformats.org/officeDocument/2006/relationships/hyperlink" Target="https://gippslandpathways.gphn.org.au/login/?redirect_to=https%3A%2F%2Fgippslandpathways.gphn.org.au%2F" TargetMode="External"/><Relationship Id="rId55" Type="http://schemas.openxmlformats.org/officeDocument/2006/relationships/hyperlink" Target="https://www.cdc.gov/viral-hemorrhagic-fevers/hcp/guidance/ppe-faqs.html" TargetMode="External"/><Relationship Id="rId76" Type="http://schemas.openxmlformats.org/officeDocument/2006/relationships/header" Target="header19.xml"/><Relationship Id="rId97" Type="http://schemas.openxmlformats.org/officeDocument/2006/relationships/header" Target="header34.xml"/><Relationship Id="rId7" Type="http://schemas.openxmlformats.org/officeDocument/2006/relationships/endnotes" Target="endnotes.xml"/><Relationship Id="rId71" Type="http://schemas.openxmlformats.org/officeDocument/2006/relationships/hyperlink" Target="https://www.epa.vic.gov.au/iwrg6121-clinical-and-related-waste-operational-guidance" TargetMode="External"/><Relationship Id="rId92" Type="http://schemas.openxmlformats.org/officeDocument/2006/relationships/header" Target="header29.xml"/><Relationship Id="rId2" Type="http://schemas.openxmlformats.org/officeDocument/2006/relationships/numbering" Target="numbering.xml"/><Relationship Id="rId29" Type="http://schemas.openxmlformats.org/officeDocument/2006/relationships/hyperlink" Target="https://www.health.gov.au/sites/default/files/documents/2022/11/phln-national-high-security-quarantine-laboratory-guideline-for-management-of-quarantinable-viral-haemorrhagic-fevers.pdf" TargetMode="External"/><Relationship Id="rId24" Type="http://schemas.openxmlformats.org/officeDocument/2006/relationships/hyperlink" Target="https://www.health.gov.au/resources/publications/national-health-security-agreement?language=en" TargetMode="External"/><Relationship Id="rId40" Type="http://schemas.openxmlformats.org/officeDocument/2006/relationships/header" Target="header8.xml"/><Relationship Id="rId45" Type="http://schemas.openxmlformats.org/officeDocument/2006/relationships/hyperlink" Target="https://www.cidrap.umn.edu/" TargetMode="External"/><Relationship Id="rId66" Type="http://schemas.openxmlformats.org/officeDocument/2006/relationships/hyperlink" Target="https://www.health.gov.au/resources/publications/infection-prevention-and-control-principles-and-recommendations-for-ebola-virus-disease" TargetMode="External"/><Relationship Id="rId87" Type="http://schemas.openxmlformats.org/officeDocument/2006/relationships/hyperlink" Target="https://www.health.gov.au/resources/publications/phln-laboratory-procedures-and-precautions-for-samples-collected-from-patients-with-viral-haemorrhagic-fevers?utm_source=health.gov.au&amp;utm_medium=callout-auto-custom&amp;utm_campaign=digital_transformation" TargetMode="External"/><Relationship Id="rId61" Type="http://schemas.openxmlformats.org/officeDocument/2006/relationships/hyperlink" Target="https://www.cdc.gov/viral-hemorrhagic-fevers/hcp/guidance/ppe-clinically-stable-puis.html" TargetMode="External"/><Relationship Id="rId82" Type="http://schemas.openxmlformats.org/officeDocument/2006/relationships/hyperlink" Target="https://urldefense.com/v3/__https:/www.vidrl.org.au/resources/vidrl-forms/__;!!C5rN6bSF!ERceK9l-Wv-z23h7uJuHfRQk6_DWvSNGB2hldnDHJu54zdRuyczaU1DocAFrDTVXX-JMW95ArPNPNDhD3xra5U0gmPkXLVm-73tz$" TargetMode="External"/><Relationship Id="rId19" Type="http://schemas.openxmlformats.org/officeDocument/2006/relationships/hyperlink" Target="https://www.emv.vic.gov.au/responsibilities/state-emergency-management-plan-sub-plans/semp-health-emergencies-sub-plan" TargetMode="External"/><Relationship Id="rId14" Type="http://schemas.openxmlformats.org/officeDocument/2006/relationships/hyperlink" Target="https://encoded-592c9deb-987b-4562-aa3c-9fa3d37d83e9.uri/mailto%3aemail%2520Communicable%2520Disease%2520Section" TargetMode="External"/><Relationship Id="rId30" Type="http://schemas.openxmlformats.org/officeDocument/2006/relationships/hyperlink" Target="https://www.health.vic.gov.au/infectious-diseases/viral-haemorrhagic-fevers" TargetMode="External"/><Relationship Id="rId35" Type="http://schemas.openxmlformats.org/officeDocument/2006/relationships/hyperlink" Target="https://www.afro.who.int/health-topics/viral-haemorrhagic-fever" TargetMode="External"/><Relationship Id="rId56" Type="http://schemas.openxmlformats.org/officeDocument/2006/relationships/hyperlink" Target="https://hha.org.au/resources/statements/ebola" TargetMode="External"/><Relationship Id="rId77" Type="http://schemas.openxmlformats.org/officeDocument/2006/relationships/header" Target="header20.xml"/><Relationship Id="rId100" Type="http://schemas.openxmlformats.org/officeDocument/2006/relationships/header" Target="header35.xml"/><Relationship Id="rId8" Type="http://schemas.openxmlformats.org/officeDocument/2006/relationships/image" Target="media/image1.jpg"/><Relationship Id="rId51" Type="http://schemas.openxmlformats.org/officeDocument/2006/relationships/hyperlink" Target="https://murray.communityhealthpathways.org/welcome?returnUrl=%2f" TargetMode="External"/><Relationship Id="rId72" Type="http://schemas.openxmlformats.org/officeDocument/2006/relationships/header" Target="header17.xml"/><Relationship Id="rId93" Type="http://schemas.openxmlformats.org/officeDocument/2006/relationships/header" Target="header30.xml"/><Relationship Id="rId98" Type="http://schemas.openxmlformats.org/officeDocument/2006/relationships/footer" Target="footer6.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15708</Words>
  <Characters>92998</Characters>
  <Application>Microsoft Office Word</Application>
  <DocSecurity>0</DocSecurity>
  <Lines>1897</Lines>
  <Paragraphs>1358</Paragraphs>
  <ScaleCrop>false</ScaleCrop>
  <HeadingPairs>
    <vt:vector size="2" baseType="variant">
      <vt:variant>
        <vt:lpstr>Title</vt:lpstr>
      </vt:variant>
      <vt:variant>
        <vt:i4>1</vt:i4>
      </vt:variant>
    </vt:vector>
  </HeadingPairs>
  <TitlesOfParts>
    <vt:vector size="1" baseType="lpstr">
      <vt:lpstr>Victorian guideline on viral haemorrhagic fevers</vt:lpstr>
    </vt:vector>
  </TitlesOfParts>
  <Manager/>
  <Company/>
  <LinksUpToDate>false</LinksUpToDate>
  <CharactersWithSpaces>107348</CharactersWithSpaces>
  <SharedDoc>false</SharedDoc>
  <HyperlinkBase/>
  <HLinks>
    <vt:vector size="828" baseType="variant">
      <vt:variant>
        <vt:i4>7274613</vt:i4>
      </vt:variant>
      <vt:variant>
        <vt:i4>561</vt:i4>
      </vt:variant>
      <vt:variant>
        <vt:i4>0</vt:i4>
      </vt:variant>
      <vt:variant>
        <vt:i4>5</vt:i4>
      </vt:variant>
      <vt:variant>
        <vt:lpwstr>https://www.health.gov.au/resources/publications/phln-laboratory-procedures-and-precautions-for-samples-collected-from-patients-with-viral-haemorrhagic-fevers?utm_source=health.gov.au&amp;utm_medium=callout-auto-custom&amp;utm_campaign=digital_transformation</vt:lpwstr>
      </vt:variant>
      <vt:variant>
        <vt:lpwstr/>
      </vt:variant>
      <vt:variant>
        <vt:i4>7274613</vt:i4>
      </vt:variant>
      <vt:variant>
        <vt:i4>558</vt:i4>
      </vt:variant>
      <vt:variant>
        <vt:i4>0</vt:i4>
      </vt:variant>
      <vt:variant>
        <vt:i4>5</vt:i4>
      </vt:variant>
      <vt:variant>
        <vt:lpwstr>https://www.health.gov.au/resources/publications/phln-laboratory-procedures-and-precautions-for-samples-collected-from-patients-with-viral-haemorrhagic-fevers?utm_source=health.gov.au&amp;utm_medium=callout-auto-custom&amp;utm_campaign=digital_transformation</vt:lpwstr>
      </vt:variant>
      <vt:variant>
        <vt:lpwstr/>
      </vt:variant>
      <vt:variant>
        <vt:i4>6946943</vt:i4>
      </vt:variant>
      <vt:variant>
        <vt:i4>555</vt:i4>
      </vt:variant>
      <vt:variant>
        <vt:i4>0</vt:i4>
      </vt:variant>
      <vt:variant>
        <vt:i4>5</vt:i4>
      </vt:variant>
      <vt:variant>
        <vt:lpwstr>https://www.health.gov.au/resources/publications/phln-national-high-security-quarantine-laboratory-guideline-for-management-of-quarantinable-viral-haemorrhagic-fevers?utm_source=health.gov.au&amp;utm_medium=callout-auto-custom&amp;utm_campaign=digital_transformation</vt:lpwstr>
      </vt:variant>
      <vt:variant>
        <vt:lpwstr/>
      </vt:variant>
      <vt:variant>
        <vt:i4>6946874</vt:i4>
      </vt:variant>
      <vt:variant>
        <vt:i4>552</vt:i4>
      </vt:variant>
      <vt:variant>
        <vt:i4>0</vt:i4>
      </vt:variant>
      <vt:variant>
        <vt:i4>5</vt:i4>
      </vt:variant>
      <vt:variant>
        <vt:lpwstr>https://www.safetyandquality.gov.au/sites/default/files/2023-02/requirements_for_the_packaging_and_transport_of_pathology_specimens_and_associated_materials_fifth_edition_2023.pdf</vt:lpwstr>
      </vt:variant>
      <vt:variant>
        <vt:lpwstr/>
      </vt:variant>
      <vt:variant>
        <vt:i4>4915211</vt:i4>
      </vt:variant>
      <vt:variant>
        <vt:i4>546</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7602286</vt:i4>
      </vt:variant>
      <vt:variant>
        <vt:i4>543</vt:i4>
      </vt:variant>
      <vt:variant>
        <vt:i4>0</vt:i4>
      </vt:variant>
      <vt:variant>
        <vt:i4>5</vt:i4>
      </vt:variant>
      <vt:variant>
        <vt:lpwstr/>
      </vt:variant>
      <vt:variant>
        <vt:lpwstr>_Environmental_cleaning</vt:lpwstr>
      </vt:variant>
      <vt:variant>
        <vt:i4>1441891</vt:i4>
      </vt:variant>
      <vt:variant>
        <vt:i4>540</vt:i4>
      </vt:variant>
      <vt:variant>
        <vt:i4>0</vt:i4>
      </vt:variant>
      <vt:variant>
        <vt:i4>5</vt:i4>
      </vt:variant>
      <vt:variant>
        <vt:lpwstr/>
      </vt:variant>
      <vt:variant>
        <vt:lpwstr>_Appendix_5_–</vt:lpwstr>
      </vt:variant>
      <vt:variant>
        <vt:i4>7995487</vt:i4>
      </vt:variant>
      <vt:variant>
        <vt:i4>537</vt:i4>
      </vt:variant>
      <vt:variant>
        <vt:i4>0</vt:i4>
      </vt:variant>
      <vt:variant>
        <vt:i4>5</vt:i4>
      </vt:variant>
      <vt:variant>
        <vt:lpwstr/>
      </vt:variant>
      <vt:variant>
        <vt:lpwstr>_Laboratory</vt:lpwstr>
      </vt:variant>
      <vt:variant>
        <vt:i4>4915319</vt:i4>
      </vt:variant>
      <vt:variant>
        <vt:i4>534</vt:i4>
      </vt:variant>
      <vt:variant>
        <vt:i4>0</vt:i4>
      </vt:variant>
      <vt:variant>
        <vt:i4>5</vt:i4>
      </vt:variant>
      <vt:variant>
        <vt:lpwstr/>
      </vt:variant>
      <vt:variant>
        <vt:lpwstr>_Personal_protective_equipment</vt:lpwstr>
      </vt:variant>
      <vt:variant>
        <vt:i4>3932204</vt:i4>
      </vt:variant>
      <vt:variant>
        <vt:i4>528</vt:i4>
      </vt:variant>
      <vt:variant>
        <vt:i4>0</vt:i4>
      </vt:variant>
      <vt:variant>
        <vt:i4>5</vt:i4>
      </vt:variant>
      <vt:variant>
        <vt:lpwstr>https://www.epa.vic.gov.au/iwrg6121-clinical-and-related-waste-operational-guidance</vt:lpwstr>
      </vt:variant>
      <vt:variant>
        <vt:lpwstr/>
      </vt:variant>
      <vt:variant>
        <vt:i4>91</vt:i4>
      </vt:variant>
      <vt:variant>
        <vt:i4>525</vt:i4>
      </vt:variant>
      <vt:variant>
        <vt:i4>0</vt:i4>
      </vt:variant>
      <vt:variant>
        <vt:i4>5</vt:i4>
      </vt:variant>
      <vt:variant>
        <vt:lpwstr>https://www.health.gov.au/resources/publications/infection-prevention-and-control-principles-and-recommendations-for-ebola-virus-disease</vt:lpwstr>
      </vt:variant>
      <vt:variant>
        <vt:lpwstr/>
      </vt:variant>
      <vt:variant>
        <vt:i4>2883695</vt:i4>
      </vt:variant>
      <vt:variant>
        <vt:i4>522</vt:i4>
      </vt:variant>
      <vt:variant>
        <vt:i4>0</vt:i4>
      </vt:variant>
      <vt:variant>
        <vt:i4>5</vt:i4>
      </vt:variant>
      <vt:variant>
        <vt:lpwstr>https://www.who.int/publications/i/item/WHO-WPE-CRS-HCR-2023.1</vt:lpwstr>
      </vt:variant>
      <vt:variant>
        <vt:lpwstr/>
      </vt:variant>
      <vt:variant>
        <vt:i4>6684791</vt:i4>
      </vt:variant>
      <vt:variant>
        <vt:i4>519</vt:i4>
      </vt:variant>
      <vt:variant>
        <vt:i4>0</vt:i4>
      </vt:variant>
      <vt:variant>
        <vt:i4>5</vt:i4>
      </vt:variant>
      <vt:variant>
        <vt:lpwstr>https://www.cdc.gov/viral-hemorrhagic-fevers/hcp/guidance/ppe-clinically-unstable.html</vt:lpwstr>
      </vt:variant>
      <vt:variant>
        <vt:lpwstr/>
      </vt:variant>
      <vt:variant>
        <vt:i4>720991</vt:i4>
      </vt:variant>
      <vt:variant>
        <vt:i4>516</vt:i4>
      </vt:variant>
      <vt:variant>
        <vt:i4>0</vt:i4>
      </vt:variant>
      <vt:variant>
        <vt:i4>5</vt:i4>
      </vt:variant>
      <vt:variant>
        <vt:lpwstr>https://www.cdc.gov/viral-hemorrhagic-fevers/hcp/guidance/ppe-clinically-stable-puis.html</vt:lpwstr>
      </vt:variant>
      <vt:variant>
        <vt:lpwstr/>
      </vt:variant>
      <vt:variant>
        <vt:i4>3670113</vt:i4>
      </vt:variant>
      <vt:variant>
        <vt:i4>513</vt:i4>
      </vt:variant>
      <vt:variant>
        <vt:i4>0</vt:i4>
      </vt:variant>
      <vt:variant>
        <vt:i4>5</vt:i4>
      </vt:variant>
      <vt:variant>
        <vt:lpwstr>https://www.cdc.gov/viral-hemorrhagic-fevers/hcp/guidance/ppe-faqs.html</vt:lpwstr>
      </vt:variant>
      <vt:variant>
        <vt:lpwstr/>
      </vt:variant>
      <vt:variant>
        <vt:i4>6946909</vt:i4>
      </vt:variant>
      <vt:variant>
        <vt:i4>510</vt:i4>
      </vt:variant>
      <vt:variant>
        <vt:i4>0</vt:i4>
      </vt:variant>
      <vt:variant>
        <vt:i4>5</vt:i4>
      </vt:variant>
      <vt:variant>
        <vt:lpwstr/>
      </vt:variant>
      <vt:variant>
        <vt:lpwstr>_Blood_and_body</vt:lpwstr>
      </vt:variant>
      <vt:variant>
        <vt:i4>3407938</vt:i4>
      </vt:variant>
      <vt:variant>
        <vt:i4>507</vt:i4>
      </vt:variant>
      <vt:variant>
        <vt:i4>0</vt:i4>
      </vt:variant>
      <vt:variant>
        <vt:i4>5</vt:i4>
      </vt:variant>
      <vt:variant>
        <vt:lpwstr/>
      </vt:variant>
      <vt:variant>
        <vt:lpwstr>_Level_1_(Dry)</vt:lpwstr>
      </vt:variant>
      <vt:variant>
        <vt:i4>3407938</vt:i4>
      </vt:variant>
      <vt:variant>
        <vt:i4>504</vt:i4>
      </vt:variant>
      <vt:variant>
        <vt:i4>0</vt:i4>
      </vt:variant>
      <vt:variant>
        <vt:i4>5</vt:i4>
      </vt:variant>
      <vt:variant>
        <vt:lpwstr/>
      </vt:variant>
      <vt:variant>
        <vt:lpwstr>_Level_1_(Dry)</vt:lpwstr>
      </vt:variant>
      <vt:variant>
        <vt:i4>6422564</vt:i4>
      </vt:variant>
      <vt:variant>
        <vt:i4>501</vt:i4>
      </vt:variant>
      <vt:variant>
        <vt:i4>0</vt:i4>
      </vt:variant>
      <vt:variant>
        <vt:i4>5</vt:i4>
      </vt:variant>
      <vt:variant>
        <vt:lpwstr>https://www.epa.vic.gov.au/priority-waste-and-waste-soil-categories</vt:lpwstr>
      </vt:variant>
      <vt:variant>
        <vt:lpwstr>category-a-waste</vt:lpwstr>
      </vt:variant>
      <vt:variant>
        <vt:i4>3407938</vt:i4>
      </vt:variant>
      <vt:variant>
        <vt:i4>498</vt:i4>
      </vt:variant>
      <vt:variant>
        <vt:i4>0</vt:i4>
      </vt:variant>
      <vt:variant>
        <vt:i4>5</vt:i4>
      </vt:variant>
      <vt:variant>
        <vt:lpwstr/>
      </vt:variant>
      <vt:variant>
        <vt:lpwstr>_Level_1_(Dry)</vt:lpwstr>
      </vt:variant>
      <vt:variant>
        <vt:i4>4915319</vt:i4>
      </vt:variant>
      <vt:variant>
        <vt:i4>495</vt:i4>
      </vt:variant>
      <vt:variant>
        <vt:i4>0</vt:i4>
      </vt:variant>
      <vt:variant>
        <vt:i4>5</vt:i4>
      </vt:variant>
      <vt:variant>
        <vt:lpwstr/>
      </vt:variant>
      <vt:variant>
        <vt:lpwstr>_Personal_protective_equipment</vt:lpwstr>
      </vt:variant>
      <vt:variant>
        <vt:i4>3866637</vt:i4>
      </vt:variant>
      <vt:variant>
        <vt:i4>492</vt:i4>
      </vt:variant>
      <vt:variant>
        <vt:i4>0</vt:i4>
      </vt:variant>
      <vt:variant>
        <vt:i4>5</vt:i4>
      </vt:variant>
      <vt:variant>
        <vt:lpwstr/>
      </vt:variant>
      <vt:variant>
        <vt:lpwstr>_Selection_of_PPE</vt:lpwstr>
      </vt:variant>
      <vt:variant>
        <vt:i4>540606560</vt:i4>
      </vt:variant>
      <vt:variant>
        <vt:i4>489</vt:i4>
      </vt:variant>
      <vt:variant>
        <vt:i4>0</vt:i4>
      </vt:variant>
      <vt:variant>
        <vt:i4>5</vt:i4>
      </vt:variant>
      <vt:variant>
        <vt:lpwstr/>
      </vt:variant>
      <vt:variant>
        <vt:lpwstr>_Risk_assessment_–</vt:lpwstr>
      </vt:variant>
      <vt:variant>
        <vt:i4>6094919</vt:i4>
      </vt:variant>
      <vt:variant>
        <vt:i4>486</vt:i4>
      </vt:variant>
      <vt:variant>
        <vt:i4>0</vt:i4>
      </vt:variant>
      <vt:variant>
        <vt:i4>5</vt:i4>
      </vt:variant>
      <vt:variant>
        <vt:lpwstr>https://hha.org.au/resources/statements/ebola</vt:lpwstr>
      </vt:variant>
      <vt:variant>
        <vt:lpwstr/>
      </vt:variant>
      <vt:variant>
        <vt:i4>5242932</vt:i4>
      </vt:variant>
      <vt:variant>
        <vt:i4>483</vt:i4>
      </vt:variant>
      <vt:variant>
        <vt:i4>0</vt:i4>
      </vt:variant>
      <vt:variant>
        <vt:i4>5</vt:i4>
      </vt:variant>
      <vt:variant>
        <vt:lpwstr>https://www.cdc.gov/viral-hemorrhagic-fevers/hcp/guidance/ppe-faqs.html</vt:lpwstr>
      </vt:variant>
      <vt:variant>
        <vt:lpwstr>cdc_generic_section_7-gloves</vt:lpwstr>
      </vt:variant>
      <vt:variant>
        <vt:i4>3407938</vt:i4>
      </vt:variant>
      <vt:variant>
        <vt:i4>480</vt:i4>
      </vt:variant>
      <vt:variant>
        <vt:i4>0</vt:i4>
      </vt:variant>
      <vt:variant>
        <vt:i4>5</vt:i4>
      </vt:variant>
      <vt:variant>
        <vt:lpwstr/>
      </vt:variant>
      <vt:variant>
        <vt:lpwstr>_Level_1_(Dry)</vt:lpwstr>
      </vt:variant>
      <vt:variant>
        <vt:i4>2097244</vt:i4>
      </vt:variant>
      <vt:variant>
        <vt:i4>477</vt:i4>
      </vt:variant>
      <vt:variant>
        <vt:i4>0</vt:i4>
      </vt:variant>
      <vt:variant>
        <vt:i4>5</vt:i4>
      </vt:variant>
      <vt:variant>
        <vt:lpwstr/>
      </vt:variant>
      <vt:variant>
        <vt:lpwstr>_Level_2_(Wet)</vt:lpwstr>
      </vt:variant>
      <vt:variant>
        <vt:i4>4259894</vt:i4>
      </vt:variant>
      <vt:variant>
        <vt:i4>474</vt:i4>
      </vt:variant>
      <vt:variant>
        <vt:i4>0</vt:i4>
      </vt:variant>
      <vt:variant>
        <vt:i4>5</vt:i4>
      </vt:variant>
      <vt:variant>
        <vt:lpwstr/>
      </vt:variant>
      <vt:variant>
        <vt:lpwstr>_Appendix_10:_Doffing</vt:lpwstr>
      </vt:variant>
      <vt:variant>
        <vt:i4>7798879</vt:i4>
      </vt:variant>
      <vt:variant>
        <vt:i4>471</vt:i4>
      </vt:variant>
      <vt:variant>
        <vt:i4>0</vt:i4>
      </vt:variant>
      <vt:variant>
        <vt:i4>5</vt:i4>
      </vt:variant>
      <vt:variant>
        <vt:lpwstr/>
      </vt:variant>
      <vt:variant>
        <vt:lpwstr>_Appendix_9:_Donning</vt:lpwstr>
      </vt:variant>
      <vt:variant>
        <vt:i4>8323158</vt:i4>
      </vt:variant>
      <vt:variant>
        <vt:i4>468</vt:i4>
      </vt:variant>
      <vt:variant>
        <vt:i4>0</vt:i4>
      </vt:variant>
      <vt:variant>
        <vt:i4>5</vt:i4>
      </vt:variant>
      <vt:variant>
        <vt:lpwstr/>
      </vt:variant>
      <vt:variant>
        <vt:lpwstr>_Appendix_8:_Doffing</vt:lpwstr>
      </vt:variant>
      <vt:variant>
        <vt:i4>7798865</vt:i4>
      </vt:variant>
      <vt:variant>
        <vt:i4>465</vt:i4>
      </vt:variant>
      <vt:variant>
        <vt:i4>0</vt:i4>
      </vt:variant>
      <vt:variant>
        <vt:i4>5</vt:i4>
      </vt:variant>
      <vt:variant>
        <vt:lpwstr/>
      </vt:variant>
      <vt:variant>
        <vt:lpwstr>_Appendix_7:_Donning</vt:lpwstr>
      </vt:variant>
      <vt:variant>
        <vt:i4>8257602</vt:i4>
      </vt:variant>
      <vt:variant>
        <vt:i4>462</vt:i4>
      </vt:variant>
      <vt:variant>
        <vt:i4>0</vt:i4>
      </vt:variant>
      <vt:variant>
        <vt:i4>5</vt:i4>
      </vt:variant>
      <vt:variant>
        <vt:lpwstr/>
      </vt:variant>
      <vt:variant>
        <vt:lpwstr>_Buddy_HCW_role</vt:lpwstr>
      </vt:variant>
      <vt:variant>
        <vt:i4>91</vt:i4>
      </vt:variant>
      <vt:variant>
        <vt:i4>459</vt:i4>
      </vt:variant>
      <vt:variant>
        <vt:i4>0</vt:i4>
      </vt:variant>
      <vt:variant>
        <vt:i4>5</vt:i4>
      </vt:variant>
      <vt:variant>
        <vt:lpwstr>https://www.health.gov.au/resources/publications/infection-prevention-and-control-principles-and-recommendations-for-ebola-virus-disease</vt:lpwstr>
      </vt:variant>
      <vt:variant>
        <vt:lpwstr/>
      </vt:variant>
      <vt:variant>
        <vt:i4>1376303</vt:i4>
      </vt:variant>
      <vt:variant>
        <vt:i4>456</vt:i4>
      </vt:variant>
      <vt:variant>
        <vt:i4>0</vt:i4>
      </vt:variant>
      <vt:variant>
        <vt:i4>5</vt:i4>
      </vt:variant>
      <vt:variant>
        <vt:lpwstr/>
      </vt:variant>
      <vt:variant>
        <vt:lpwstr>_PPE</vt:lpwstr>
      </vt:variant>
      <vt:variant>
        <vt:i4>6881346</vt:i4>
      </vt:variant>
      <vt:variant>
        <vt:i4>453</vt:i4>
      </vt:variant>
      <vt:variant>
        <vt:i4>0</vt:i4>
      </vt:variant>
      <vt:variant>
        <vt:i4>5</vt:i4>
      </vt:variant>
      <vt:variant>
        <vt:lpwstr/>
      </vt:variant>
      <vt:variant>
        <vt:lpwstr>_Appendix_5:_Specimen</vt:lpwstr>
      </vt:variant>
      <vt:variant>
        <vt:i4>1441891</vt:i4>
      </vt:variant>
      <vt:variant>
        <vt:i4>450</vt:i4>
      </vt:variant>
      <vt:variant>
        <vt:i4>0</vt:i4>
      </vt:variant>
      <vt:variant>
        <vt:i4>5</vt:i4>
      </vt:variant>
      <vt:variant>
        <vt:lpwstr/>
      </vt:variant>
      <vt:variant>
        <vt:lpwstr>_Appendix_5_–</vt:lpwstr>
      </vt:variant>
      <vt:variant>
        <vt:i4>4915211</vt:i4>
      </vt:variant>
      <vt:variant>
        <vt:i4>447</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3211292</vt:i4>
      </vt:variant>
      <vt:variant>
        <vt:i4>444</vt:i4>
      </vt:variant>
      <vt:variant>
        <vt:i4>0</vt:i4>
      </vt:variant>
      <vt:variant>
        <vt:i4>5</vt:i4>
      </vt:variant>
      <vt:variant>
        <vt:lpwstr/>
      </vt:variant>
      <vt:variant>
        <vt:lpwstr>_Infection_prevention_and</vt:lpwstr>
      </vt:variant>
      <vt:variant>
        <vt:i4>6815864</vt:i4>
      </vt:variant>
      <vt:variant>
        <vt:i4>441</vt:i4>
      </vt:variant>
      <vt:variant>
        <vt:i4>0</vt:i4>
      </vt:variant>
      <vt:variant>
        <vt:i4>5</vt:i4>
      </vt:variant>
      <vt:variant>
        <vt:lpwstr/>
      </vt:variant>
      <vt:variant>
        <vt:lpwstr>_Patient_transport</vt:lpwstr>
      </vt:variant>
      <vt:variant>
        <vt:i4>3211292</vt:i4>
      </vt:variant>
      <vt:variant>
        <vt:i4>438</vt:i4>
      </vt:variant>
      <vt:variant>
        <vt:i4>0</vt:i4>
      </vt:variant>
      <vt:variant>
        <vt:i4>5</vt:i4>
      </vt:variant>
      <vt:variant>
        <vt:lpwstr/>
      </vt:variant>
      <vt:variant>
        <vt:lpwstr>_Infection_prevention_and</vt:lpwstr>
      </vt:variant>
      <vt:variant>
        <vt:i4>5374076</vt:i4>
      </vt:variant>
      <vt:variant>
        <vt:i4>435</vt:i4>
      </vt:variant>
      <vt:variant>
        <vt:i4>0</vt:i4>
      </vt:variant>
      <vt:variant>
        <vt:i4>5</vt:i4>
      </vt:variant>
      <vt:variant>
        <vt:lpwstr/>
      </vt:variant>
      <vt:variant>
        <vt:lpwstr>_Transfer_to_a</vt:lpwstr>
      </vt:variant>
      <vt:variant>
        <vt:i4>7995487</vt:i4>
      </vt:variant>
      <vt:variant>
        <vt:i4>432</vt:i4>
      </vt:variant>
      <vt:variant>
        <vt:i4>0</vt:i4>
      </vt:variant>
      <vt:variant>
        <vt:i4>5</vt:i4>
      </vt:variant>
      <vt:variant>
        <vt:lpwstr/>
      </vt:variant>
      <vt:variant>
        <vt:lpwstr>_Laboratory</vt:lpwstr>
      </vt:variant>
      <vt:variant>
        <vt:i4>4915319</vt:i4>
      </vt:variant>
      <vt:variant>
        <vt:i4>429</vt:i4>
      </vt:variant>
      <vt:variant>
        <vt:i4>0</vt:i4>
      </vt:variant>
      <vt:variant>
        <vt:i4>5</vt:i4>
      </vt:variant>
      <vt:variant>
        <vt:lpwstr/>
      </vt:variant>
      <vt:variant>
        <vt:lpwstr>_Personal_protective_equipment</vt:lpwstr>
      </vt:variant>
      <vt:variant>
        <vt:i4>4915319</vt:i4>
      </vt:variant>
      <vt:variant>
        <vt:i4>426</vt:i4>
      </vt:variant>
      <vt:variant>
        <vt:i4>0</vt:i4>
      </vt:variant>
      <vt:variant>
        <vt:i4>5</vt:i4>
      </vt:variant>
      <vt:variant>
        <vt:lpwstr/>
      </vt:variant>
      <vt:variant>
        <vt:lpwstr>_Personal_protective_equipment</vt:lpwstr>
      </vt:variant>
      <vt:variant>
        <vt:i4>3866631</vt:i4>
      </vt:variant>
      <vt:variant>
        <vt:i4>423</vt:i4>
      </vt:variant>
      <vt:variant>
        <vt:i4>0</vt:i4>
      </vt:variant>
      <vt:variant>
        <vt:i4>5</vt:i4>
      </vt:variant>
      <vt:variant>
        <vt:lpwstr/>
      </vt:variant>
      <vt:variant>
        <vt:lpwstr>_Personal_protective_equipmentPPE</vt:lpwstr>
      </vt:variant>
      <vt:variant>
        <vt:i4>1441893</vt:i4>
      </vt:variant>
      <vt:variant>
        <vt:i4>420</vt:i4>
      </vt:variant>
      <vt:variant>
        <vt:i4>0</vt:i4>
      </vt:variant>
      <vt:variant>
        <vt:i4>5</vt:i4>
      </vt:variant>
      <vt:variant>
        <vt:lpwstr/>
      </vt:variant>
      <vt:variant>
        <vt:lpwstr>_Appendix_3_–</vt:lpwstr>
      </vt:variant>
      <vt:variant>
        <vt:i4>786449</vt:i4>
      </vt:variant>
      <vt:variant>
        <vt:i4>417</vt:i4>
      </vt:variant>
      <vt:variant>
        <vt:i4>0</vt:i4>
      </vt:variant>
      <vt:variant>
        <vt:i4>5</vt:i4>
      </vt:variant>
      <vt:variant>
        <vt:lpwstr>https://westvic.communityhealthpathways.org/welcome?returnUrl=%2f</vt:lpwstr>
      </vt:variant>
      <vt:variant>
        <vt:lpwstr/>
      </vt:variant>
      <vt:variant>
        <vt:i4>4784219</vt:i4>
      </vt:variant>
      <vt:variant>
        <vt:i4>414</vt:i4>
      </vt:variant>
      <vt:variant>
        <vt:i4>0</vt:i4>
      </vt:variant>
      <vt:variant>
        <vt:i4>5</vt:i4>
      </vt:variant>
      <vt:variant>
        <vt:lpwstr>https://murray.communityhealthpathways.org/welcome?returnUrl=%2f</vt:lpwstr>
      </vt:variant>
      <vt:variant>
        <vt:lpwstr/>
      </vt:variant>
      <vt:variant>
        <vt:i4>327776</vt:i4>
      </vt:variant>
      <vt:variant>
        <vt:i4>411</vt:i4>
      </vt:variant>
      <vt:variant>
        <vt:i4>0</vt:i4>
      </vt:variant>
      <vt:variant>
        <vt:i4>5</vt:i4>
      </vt:variant>
      <vt:variant>
        <vt:lpwstr>https://gippslandpathways.gphn.org.au/login/?redirect_to=https%3A%2F%2Fgippslandpathways.gphn.org.au%2F</vt:lpwstr>
      </vt:variant>
      <vt:variant>
        <vt:lpwstr/>
      </vt:variant>
      <vt:variant>
        <vt:i4>7209019</vt:i4>
      </vt:variant>
      <vt:variant>
        <vt:i4>408</vt:i4>
      </vt:variant>
      <vt:variant>
        <vt:i4>0</vt:i4>
      </vt:variant>
      <vt:variant>
        <vt:i4>5</vt:i4>
      </vt:variant>
      <vt:variant>
        <vt:lpwstr>https://www.semphn.org.au/pathways</vt:lpwstr>
      </vt:variant>
      <vt:variant>
        <vt:lpwstr/>
      </vt:variant>
      <vt:variant>
        <vt:i4>1245266</vt:i4>
      </vt:variant>
      <vt:variant>
        <vt:i4>405</vt:i4>
      </vt:variant>
      <vt:variant>
        <vt:i4>0</vt:i4>
      </vt:variant>
      <vt:variant>
        <vt:i4>5</vt:i4>
      </vt:variant>
      <vt:variant>
        <vt:lpwstr>https://emphn.org.au/</vt:lpwstr>
      </vt:variant>
      <vt:variant>
        <vt:lpwstr/>
      </vt:variant>
      <vt:variant>
        <vt:i4>6815865</vt:i4>
      </vt:variant>
      <vt:variant>
        <vt:i4>402</vt:i4>
      </vt:variant>
      <vt:variant>
        <vt:i4>0</vt:i4>
      </vt:variant>
      <vt:variant>
        <vt:i4>5</vt:i4>
      </vt:variant>
      <vt:variant>
        <vt:lpwstr>https://melbourne.communityhealthpathways.org/welcome?returnUrl=%2f</vt:lpwstr>
      </vt:variant>
      <vt:variant>
        <vt:lpwstr/>
      </vt:variant>
      <vt:variant>
        <vt:i4>131118</vt:i4>
      </vt:variant>
      <vt:variant>
        <vt:i4>399</vt:i4>
      </vt:variant>
      <vt:variant>
        <vt:i4>0</vt:i4>
      </vt:variant>
      <vt:variant>
        <vt:i4>5</vt:i4>
      </vt:variant>
      <vt:variant>
        <vt:lpwstr/>
      </vt:variant>
      <vt:variant>
        <vt:lpwstr>_Immediate_actions_on</vt:lpwstr>
      </vt:variant>
      <vt:variant>
        <vt:i4>5374076</vt:i4>
      </vt:variant>
      <vt:variant>
        <vt:i4>396</vt:i4>
      </vt:variant>
      <vt:variant>
        <vt:i4>0</vt:i4>
      </vt:variant>
      <vt:variant>
        <vt:i4>5</vt:i4>
      </vt:variant>
      <vt:variant>
        <vt:lpwstr/>
      </vt:variant>
      <vt:variant>
        <vt:lpwstr>_Transfer_to_a</vt:lpwstr>
      </vt:variant>
      <vt:variant>
        <vt:i4>5374076</vt:i4>
      </vt:variant>
      <vt:variant>
        <vt:i4>393</vt:i4>
      </vt:variant>
      <vt:variant>
        <vt:i4>0</vt:i4>
      </vt:variant>
      <vt:variant>
        <vt:i4>5</vt:i4>
      </vt:variant>
      <vt:variant>
        <vt:lpwstr/>
      </vt:variant>
      <vt:variant>
        <vt:lpwstr>_Transfer_to_a</vt:lpwstr>
      </vt:variant>
      <vt:variant>
        <vt:i4>1441893</vt:i4>
      </vt:variant>
      <vt:variant>
        <vt:i4>390</vt:i4>
      </vt:variant>
      <vt:variant>
        <vt:i4>0</vt:i4>
      </vt:variant>
      <vt:variant>
        <vt:i4>5</vt:i4>
      </vt:variant>
      <vt:variant>
        <vt:lpwstr/>
      </vt:variant>
      <vt:variant>
        <vt:lpwstr>_Appendix_3_–</vt:lpwstr>
      </vt:variant>
      <vt:variant>
        <vt:i4>852044</vt:i4>
      </vt:variant>
      <vt:variant>
        <vt:i4>387</vt:i4>
      </vt:variant>
      <vt:variant>
        <vt:i4>0</vt:i4>
      </vt:variant>
      <vt:variant>
        <vt:i4>5</vt:i4>
      </vt:variant>
      <vt:variant>
        <vt:lpwstr>https://beaconbio.org/en/</vt:lpwstr>
      </vt:variant>
      <vt:variant>
        <vt:lpwstr/>
      </vt:variant>
      <vt:variant>
        <vt:i4>2621487</vt:i4>
      </vt:variant>
      <vt:variant>
        <vt:i4>384</vt:i4>
      </vt:variant>
      <vt:variant>
        <vt:i4>0</vt:i4>
      </vt:variant>
      <vt:variant>
        <vt:i4>5</vt:i4>
      </vt:variant>
      <vt:variant>
        <vt:lpwstr>https://www.cidrap.umn.edu/</vt:lpwstr>
      </vt:variant>
      <vt:variant>
        <vt:lpwstr/>
      </vt:variant>
      <vt:variant>
        <vt:i4>3539042</vt:i4>
      </vt:variant>
      <vt:variant>
        <vt:i4>381</vt:i4>
      </vt:variant>
      <vt:variant>
        <vt:i4>0</vt:i4>
      </vt:variant>
      <vt:variant>
        <vt:i4>5</vt:i4>
      </vt:variant>
      <vt:variant>
        <vt:lpwstr>https://www.promedmail.org/</vt:lpwstr>
      </vt:variant>
      <vt:variant>
        <vt:lpwstr/>
      </vt:variant>
      <vt:variant>
        <vt:i4>1179692</vt:i4>
      </vt:variant>
      <vt:variant>
        <vt:i4>378</vt:i4>
      </vt:variant>
      <vt:variant>
        <vt:i4>0</vt:i4>
      </vt:variant>
      <vt:variant>
        <vt:i4>5</vt:i4>
      </vt:variant>
      <vt:variant>
        <vt:lpwstr>https://www.gov.uk/guidance/high-consequence-infectious-disease-country-specific-risk?utm_medium=email&amp;utm_campaign=govuk-notifications-single-page&amp;utm_source=d78eacd0-1066-4e2c-8ae1-d1fee0cdc8d3&amp;utm_content=immediately%22%20\l%20%22countries-a-to-d</vt:lpwstr>
      </vt:variant>
      <vt:variant>
        <vt:lpwstr/>
      </vt:variant>
      <vt:variant>
        <vt:i4>2818171</vt:i4>
      </vt:variant>
      <vt:variant>
        <vt:i4>375</vt:i4>
      </vt:variant>
      <vt:variant>
        <vt:i4>0</vt:i4>
      </vt:variant>
      <vt:variant>
        <vt:i4>5</vt:i4>
      </vt:variant>
      <vt:variant>
        <vt:lpwstr>https://www.cdc.gov/ebola/outbreaks/?CDC_AAref_Val=https://www.cdc.gov/vhf/ebola/outbreaks/index-2018.html</vt:lpwstr>
      </vt:variant>
      <vt:variant>
        <vt:lpwstr/>
      </vt:variant>
      <vt:variant>
        <vt:i4>5111813</vt:i4>
      </vt:variant>
      <vt:variant>
        <vt:i4>372</vt:i4>
      </vt:variant>
      <vt:variant>
        <vt:i4>0</vt:i4>
      </vt:variant>
      <vt:variant>
        <vt:i4>5</vt:i4>
      </vt:variant>
      <vt:variant>
        <vt:lpwstr>https://www.who.int/emergencies/disease-outbreak-news</vt:lpwstr>
      </vt:variant>
      <vt:variant>
        <vt:lpwstr/>
      </vt:variant>
      <vt:variant>
        <vt:i4>1441892</vt:i4>
      </vt:variant>
      <vt:variant>
        <vt:i4>369</vt:i4>
      </vt:variant>
      <vt:variant>
        <vt:i4>0</vt:i4>
      </vt:variant>
      <vt:variant>
        <vt:i4>5</vt:i4>
      </vt:variant>
      <vt:variant>
        <vt:lpwstr/>
      </vt:variant>
      <vt:variant>
        <vt:lpwstr>_Appendix_2_–</vt:lpwstr>
      </vt:variant>
      <vt:variant>
        <vt:i4>3932276</vt:i4>
      </vt:variant>
      <vt:variant>
        <vt:i4>366</vt:i4>
      </vt:variant>
      <vt:variant>
        <vt:i4>0</vt:i4>
      </vt:variant>
      <vt:variant>
        <vt:i4>5</vt:i4>
      </vt:variant>
      <vt:variant>
        <vt:lpwstr>https://www.afro.who.int/health-topics/viral-haemorrhagic-fever</vt:lpwstr>
      </vt:variant>
      <vt:variant>
        <vt:lpwstr/>
      </vt:variant>
      <vt:variant>
        <vt:i4>3407996</vt:i4>
      </vt:variant>
      <vt:variant>
        <vt:i4>363</vt:i4>
      </vt:variant>
      <vt:variant>
        <vt:i4>0</vt:i4>
      </vt:variant>
      <vt:variant>
        <vt:i4>5</vt:i4>
      </vt:variant>
      <vt:variant>
        <vt:lpwstr>https://www.emro.who.int/health-topics/haemorrhagic-fevers-viral/index.html</vt:lpwstr>
      </vt:variant>
      <vt:variant>
        <vt:lpwstr/>
      </vt:variant>
      <vt:variant>
        <vt:i4>7012461</vt:i4>
      </vt:variant>
      <vt:variant>
        <vt:i4>360</vt:i4>
      </vt:variant>
      <vt:variant>
        <vt:i4>0</vt:i4>
      </vt:variant>
      <vt:variant>
        <vt:i4>5</vt:i4>
      </vt:variant>
      <vt:variant>
        <vt:lpwstr>https://www.ecdc.europa.eu/en/viral-haemorrhagic-fevers</vt:lpwstr>
      </vt:variant>
      <vt:variant>
        <vt:lpwstr/>
      </vt:variant>
      <vt:variant>
        <vt:i4>4390918</vt:i4>
      </vt:variant>
      <vt:variant>
        <vt:i4>357</vt:i4>
      </vt:variant>
      <vt:variant>
        <vt:i4>0</vt:i4>
      </vt:variant>
      <vt:variant>
        <vt:i4>5</vt:i4>
      </vt:variant>
      <vt:variant>
        <vt:lpwstr>https://www.cdc.gov/viral-hemorrhagic-fevers/about/index.html</vt:lpwstr>
      </vt:variant>
      <vt:variant>
        <vt:lpwstr/>
      </vt:variant>
      <vt:variant>
        <vt:i4>5963791</vt:i4>
      </vt:variant>
      <vt:variant>
        <vt:i4>354</vt:i4>
      </vt:variant>
      <vt:variant>
        <vt:i4>0</vt:i4>
      </vt:variant>
      <vt:variant>
        <vt:i4>5</vt:i4>
      </vt:variant>
      <vt:variant>
        <vt:lpwstr>https://www.healthdirect.gov.au/viral-haemorrhagic-fevers</vt:lpwstr>
      </vt:variant>
      <vt:variant>
        <vt:lpwstr/>
      </vt:variant>
      <vt:variant>
        <vt:i4>6881388</vt:i4>
      </vt:variant>
      <vt:variant>
        <vt:i4>351</vt:i4>
      </vt:variant>
      <vt:variant>
        <vt:i4>0</vt:i4>
      </vt:variant>
      <vt:variant>
        <vt:i4>5</vt:i4>
      </vt:variant>
      <vt:variant>
        <vt:lpwstr>https://www.health.vic.gov.au/infectious-diseases/viral-haemorrhagic-fevers</vt:lpwstr>
      </vt:variant>
      <vt:variant>
        <vt:lpwstr/>
      </vt:variant>
      <vt:variant>
        <vt:i4>4915211</vt:i4>
      </vt:variant>
      <vt:variant>
        <vt:i4>345</vt:i4>
      </vt:variant>
      <vt:variant>
        <vt:i4>0</vt:i4>
      </vt:variant>
      <vt:variant>
        <vt:i4>5</vt:i4>
      </vt:variant>
      <vt:variant>
        <vt:lpwstr>https://www.health.gov.au/sites/default/files/documents/2022/11/phln-national-high-security-quarantine-laboratory-guideline-for-management-of-quarantinable-viral-haemorrhagic-fevers.pdf</vt:lpwstr>
      </vt:variant>
      <vt:variant>
        <vt:lpwstr/>
      </vt:variant>
      <vt:variant>
        <vt:i4>3211292</vt:i4>
      </vt:variant>
      <vt:variant>
        <vt:i4>342</vt:i4>
      </vt:variant>
      <vt:variant>
        <vt:i4>0</vt:i4>
      </vt:variant>
      <vt:variant>
        <vt:i4>5</vt:i4>
      </vt:variant>
      <vt:variant>
        <vt:lpwstr/>
      </vt:variant>
      <vt:variant>
        <vt:lpwstr>_Infection_prevention_and</vt:lpwstr>
      </vt:variant>
      <vt:variant>
        <vt:i4>6815864</vt:i4>
      </vt:variant>
      <vt:variant>
        <vt:i4>339</vt:i4>
      </vt:variant>
      <vt:variant>
        <vt:i4>0</vt:i4>
      </vt:variant>
      <vt:variant>
        <vt:i4>5</vt:i4>
      </vt:variant>
      <vt:variant>
        <vt:lpwstr/>
      </vt:variant>
      <vt:variant>
        <vt:lpwstr>_Patient_transport</vt:lpwstr>
      </vt:variant>
      <vt:variant>
        <vt:i4>3211292</vt:i4>
      </vt:variant>
      <vt:variant>
        <vt:i4>336</vt:i4>
      </vt:variant>
      <vt:variant>
        <vt:i4>0</vt:i4>
      </vt:variant>
      <vt:variant>
        <vt:i4>5</vt:i4>
      </vt:variant>
      <vt:variant>
        <vt:lpwstr/>
      </vt:variant>
      <vt:variant>
        <vt:lpwstr>_Infection_prevention_and</vt:lpwstr>
      </vt:variant>
      <vt:variant>
        <vt:i4>3211292</vt:i4>
      </vt:variant>
      <vt:variant>
        <vt:i4>333</vt:i4>
      </vt:variant>
      <vt:variant>
        <vt:i4>0</vt:i4>
      </vt:variant>
      <vt:variant>
        <vt:i4>5</vt:i4>
      </vt:variant>
      <vt:variant>
        <vt:lpwstr/>
      </vt:variant>
      <vt:variant>
        <vt:lpwstr>_Infection_prevention_and</vt:lpwstr>
      </vt:variant>
      <vt:variant>
        <vt:i4>2687096</vt:i4>
      </vt:variant>
      <vt:variant>
        <vt:i4>330</vt:i4>
      </vt:variant>
      <vt:variant>
        <vt:i4>0</vt:i4>
      </vt:variant>
      <vt:variant>
        <vt:i4>5</vt:i4>
      </vt:variant>
      <vt:variant>
        <vt:lpwstr>https://dhhsvicgovau.sharepoint.com/:f:/r/sites/PHUIH/Streams/Communicable Disease Documents/Other notifiable conditions/Viral Heamorrhagic Fevers?csf=1&amp;web=1&amp;e=GLFUvv</vt:lpwstr>
      </vt:variant>
      <vt:variant>
        <vt:lpwstr/>
      </vt:variant>
      <vt:variant>
        <vt:i4>7340072</vt:i4>
      </vt:variant>
      <vt:variant>
        <vt:i4>327</vt:i4>
      </vt:variant>
      <vt:variant>
        <vt:i4>0</vt:i4>
      </vt:variant>
      <vt:variant>
        <vt:i4>5</vt:i4>
      </vt:variant>
      <vt:variant>
        <vt:lpwstr>https://www.health.vic.gov.au/local-public-health-units</vt:lpwstr>
      </vt:variant>
      <vt:variant>
        <vt:lpwstr/>
      </vt:variant>
      <vt:variant>
        <vt:i4>2687096</vt:i4>
      </vt:variant>
      <vt:variant>
        <vt:i4>324</vt:i4>
      </vt:variant>
      <vt:variant>
        <vt:i4>0</vt:i4>
      </vt:variant>
      <vt:variant>
        <vt:i4>5</vt:i4>
      </vt:variant>
      <vt:variant>
        <vt:lpwstr>https://dhhsvicgovau.sharepoint.com/:f:/r/sites/PHUIH/Streams/Communicable Disease Documents/Other notifiable conditions/Viral Heamorrhagic Fevers?csf=1&amp;web=1&amp;e=GLFUvv</vt:lpwstr>
      </vt:variant>
      <vt:variant>
        <vt:lpwstr/>
      </vt:variant>
      <vt:variant>
        <vt:i4>1114191</vt:i4>
      </vt:variant>
      <vt:variant>
        <vt:i4>321</vt:i4>
      </vt:variant>
      <vt:variant>
        <vt:i4>0</vt:i4>
      </vt:variant>
      <vt:variant>
        <vt:i4>5</vt:i4>
      </vt:variant>
      <vt:variant>
        <vt:lpwstr>https://www.who.int/publications/i/item/9789241580496</vt:lpwstr>
      </vt:variant>
      <vt:variant>
        <vt:lpwstr/>
      </vt:variant>
      <vt:variant>
        <vt:i4>7077985</vt:i4>
      </vt:variant>
      <vt:variant>
        <vt:i4>318</vt:i4>
      </vt:variant>
      <vt:variant>
        <vt:i4>0</vt:i4>
      </vt:variant>
      <vt:variant>
        <vt:i4>5</vt:i4>
      </vt:variant>
      <vt:variant>
        <vt:lpwstr>https://www.health.gov.au/resources/publications/national-health-security-agreement?language=en</vt:lpwstr>
      </vt:variant>
      <vt:variant>
        <vt:lpwstr/>
      </vt:variant>
      <vt:variant>
        <vt:i4>2949174</vt:i4>
      </vt:variant>
      <vt:variant>
        <vt:i4>315</vt:i4>
      </vt:variant>
      <vt:variant>
        <vt:i4>0</vt:i4>
      </vt:variant>
      <vt:variant>
        <vt:i4>5</vt:i4>
      </vt:variant>
      <vt:variant>
        <vt:lpwstr>https://www.legislation.gov.au/C2007A00174/latest/text</vt:lpwstr>
      </vt:variant>
      <vt:variant>
        <vt:lpwstr/>
      </vt:variant>
      <vt:variant>
        <vt:i4>8323183</vt:i4>
      </vt:variant>
      <vt:variant>
        <vt:i4>309</vt:i4>
      </vt:variant>
      <vt:variant>
        <vt:i4>0</vt:i4>
      </vt:variant>
      <vt:variant>
        <vt:i4>5</vt:i4>
      </vt:variant>
      <vt:variant>
        <vt:lpwstr>https://www.health.gov.au/our-work/nndss</vt:lpwstr>
      </vt:variant>
      <vt:variant>
        <vt:lpwstr>listed-human-diseases-</vt:lpwstr>
      </vt:variant>
      <vt:variant>
        <vt:i4>1114191</vt:i4>
      </vt:variant>
      <vt:variant>
        <vt:i4>306</vt:i4>
      </vt:variant>
      <vt:variant>
        <vt:i4>0</vt:i4>
      </vt:variant>
      <vt:variant>
        <vt:i4>5</vt:i4>
      </vt:variant>
      <vt:variant>
        <vt:lpwstr>https://www.who.int/publications/i/item/9789241580496</vt:lpwstr>
      </vt:variant>
      <vt:variant>
        <vt:lpwstr/>
      </vt:variant>
      <vt:variant>
        <vt:i4>7077985</vt:i4>
      </vt:variant>
      <vt:variant>
        <vt:i4>303</vt:i4>
      </vt:variant>
      <vt:variant>
        <vt:i4>0</vt:i4>
      </vt:variant>
      <vt:variant>
        <vt:i4>5</vt:i4>
      </vt:variant>
      <vt:variant>
        <vt:lpwstr>https://www.health.gov.au/resources/publications/national-health-security-agreement?language=en</vt:lpwstr>
      </vt:variant>
      <vt:variant>
        <vt:lpwstr/>
      </vt:variant>
      <vt:variant>
        <vt:i4>3342414</vt:i4>
      </vt:variant>
      <vt:variant>
        <vt:i4>300</vt:i4>
      </vt:variant>
      <vt:variant>
        <vt:i4>0</vt:i4>
      </vt:variant>
      <vt:variant>
        <vt:i4>5</vt:i4>
      </vt:variant>
      <vt:variant>
        <vt:lpwstr/>
      </vt:variant>
      <vt:variant>
        <vt:lpwstr>_Airports/Seaports</vt:lpwstr>
      </vt:variant>
      <vt:variant>
        <vt:i4>655453</vt:i4>
      </vt:variant>
      <vt:variant>
        <vt:i4>297</vt:i4>
      </vt:variant>
      <vt:variant>
        <vt:i4>0</vt:i4>
      </vt:variant>
      <vt:variant>
        <vt:i4>5</vt:i4>
      </vt:variant>
      <vt:variant>
        <vt:lpwstr>https://www.legislation.vic.gov.au/in-force/statutory-rules/public-health-and-wellbeing-regulations-2019/023</vt:lpwstr>
      </vt:variant>
      <vt:variant>
        <vt:lpwstr/>
      </vt:variant>
      <vt:variant>
        <vt:i4>4128876</vt:i4>
      </vt:variant>
      <vt:variant>
        <vt:i4>294</vt:i4>
      </vt:variant>
      <vt:variant>
        <vt:i4>0</vt:i4>
      </vt:variant>
      <vt:variant>
        <vt:i4>5</vt:i4>
      </vt:variant>
      <vt:variant>
        <vt:lpwstr>https://www.emv.vic.gov.au/responsibilities/state-emergency-management-plan-sub-plans/semp-health-emergencies-sub-plan</vt:lpwstr>
      </vt:variant>
      <vt:variant>
        <vt:lpwstr/>
      </vt:variant>
      <vt:variant>
        <vt:i4>1114176</vt:i4>
      </vt:variant>
      <vt:variant>
        <vt:i4>291</vt:i4>
      </vt:variant>
      <vt:variant>
        <vt:i4>0</vt:i4>
      </vt:variant>
      <vt:variant>
        <vt:i4>5</vt:i4>
      </vt:variant>
      <vt:variant>
        <vt:lpwstr>https://www.emv.vic.gov.au/responsibilities/state-emergency-management-plan-semp</vt:lpwstr>
      </vt:variant>
      <vt:variant>
        <vt:lpwstr/>
      </vt:variant>
      <vt:variant>
        <vt:i4>8192067</vt:i4>
      </vt:variant>
      <vt:variant>
        <vt:i4>288</vt:i4>
      </vt:variant>
      <vt:variant>
        <vt:i4>0</vt:i4>
      </vt:variant>
      <vt:variant>
        <vt:i4>5</vt:i4>
      </vt:variant>
      <vt:variant>
        <vt:lpwstr/>
      </vt:variant>
      <vt:variant>
        <vt:lpwstr>_Appendix_1:_Project</vt:lpwstr>
      </vt:variant>
      <vt:variant>
        <vt:i4>1179698</vt:i4>
      </vt:variant>
      <vt:variant>
        <vt:i4>281</vt:i4>
      </vt:variant>
      <vt:variant>
        <vt:i4>0</vt:i4>
      </vt:variant>
      <vt:variant>
        <vt:i4>5</vt:i4>
      </vt:variant>
      <vt:variant>
        <vt:lpwstr/>
      </vt:variant>
      <vt:variant>
        <vt:lpwstr>_Toc217022568</vt:lpwstr>
      </vt:variant>
      <vt:variant>
        <vt:i4>1179698</vt:i4>
      </vt:variant>
      <vt:variant>
        <vt:i4>275</vt:i4>
      </vt:variant>
      <vt:variant>
        <vt:i4>0</vt:i4>
      </vt:variant>
      <vt:variant>
        <vt:i4>5</vt:i4>
      </vt:variant>
      <vt:variant>
        <vt:lpwstr/>
      </vt:variant>
      <vt:variant>
        <vt:lpwstr>_Toc217022567</vt:lpwstr>
      </vt:variant>
      <vt:variant>
        <vt:i4>1179698</vt:i4>
      </vt:variant>
      <vt:variant>
        <vt:i4>269</vt:i4>
      </vt:variant>
      <vt:variant>
        <vt:i4>0</vt:i4>
      </vt:variant>
      <vt:variant>
        <vt:i4>5</vt:i4>
      </vt:variant>
      <vt:variant>
        <vt:lpwstr/>
      </vt:variant>
      <vt:variant>
        <vt:lpwstr>_Toc217022566</vt:lpwstr>
      </vt:variant>
      <vt:variant>
        <vt:i4>1179698</vt:i4>
      </vt:variant>
      <vt:variant>
        <vt:i4>263</vt:i4>
      </vt:variant>
      <vt:variant>
        <vt:i4>0</vt:i4>
      </vt:variant>
      <vt:variant>
        <vt:i4>5</vt:i4>
      </vt:variant>
      <vt:variant>
        <vt:lpwstr/>
      </vt:variant>
      <vt:variant>
        <vt:lpwstr>_Toc217022565</vt:lpwstr>
      </vt:variant>
      <vt:variant>
        <vt:i4>1179698</vt:i4>
      </vt:variant>
      <vt:variant>
        <vt:i4>257</vt:i4>
      </vt:variant>
      <vt:variant>
        <vt:i4>0</vt:i4>
      </vt:variant>
      <vt:variant>
        <vt:i4>5</vt:i4>
      </vt:variant>
      <vt:variant>
        <vt:lpwstr/>
      </vt:variant>
      <vt:variant>
        <vt:lpwstr>_Toc217022564</vt:lpwstr>
      </vt:variant>
      <vt:variant>
        <vt:i4>1179698</vt:i4>
      </vt:variant>
      <vt:variant>
        <vt:i4>251</vt:i4>
      </vt:variant>
      <vt:variant>
        <vt:i4>0</vt:i4>
      </vt:variant>
      <vt:variant>
        <vt:i4>5</vt:i4>
      </vt:variant>
      <vt:variant>
        <vt:lpwstr/>
      </vt:variant>
      <vt:variant>
        <vt:lpwstr>_Toc217022563</vt:lpwstr>
      </vt:variant>
      <vt:variant>
        <vt:i4>1179698</vt:i4>
      </vt:variant>
      <vt:variant>
        <vt:i4>245</vt:i4>
      </vt:variant>
      <vt:variant>
        <vt:i4>0</vt:i4>
      </vt:variant>
      <vt:variant>
        <vt:i4>5</vt:i4>
      </vt:variant>
      <vt:variant>
        <vt:lpwstr/>
      </vt:variant>
      <vt:variant>
        <vt:lpwstr>_Toc217022562</vt:lpwstr>
      </vt:variant>
      <vt:variant>
        <vt:i4>1179698</vt:i4>
      </vt:variant>
      <vt:variant>
        <vt:i4>239</vt:i4>
      </vt:variant>
      <vt:variant>
        <vt:i4>0</vt:i4>
      </vt:variant>
      <vt:variant>
        <vt:i4>5</vt:i4>
      </vt:variant>
      <vt:variant>
        <vt:lpwstr/>
      </vt:variant>
      <vt:variant>
        <vt:lpwstr>_Toc217022561</vt:lpwstr>
      </vt:variant>
      <vt:variant>
        <vt:i4>1179698</vt:i4>
      </vt:variant>
      <vt:variant>
        <vt:i4>233</vt:i4>
      </vt:variant>
      <vt:variant>
        <vt:i4>0</vt:i4>
      </vt:variant>
      <vt:variant>
        <vt:i4>5</vt:i4>
      </vt:variant>
      <vt:variant>
        <vt:lpwstr/>
      </vt:variant>
      <vt:variant>
        <vt:lpwstr>_Toc217022560</vt:lpwstr>
      </vt:variant>
      <vt:variant>
        <vt:i4>1114162</vt:i4>
      </vt:variant>
      <vt:variant>
        <vt:i4>227</vt:i4>
      </vt:variant>
      <vt:variant>
        <vt:i4>0</vt:i4>
      </vt:variant>
      <vt:variant>
        <vt:i4>5</vt:i4>
      </vt:variant>
      <vt:variant>
        <vt:lpwstr/>
      </vt:variant>
      <vt:variant>
        <vt:lpwstr>_Toc217022559</vt:lpwstr>
      </vt:variant>
      <vt:variant>
        <vt:i4>1114162</vt:i4>
      </vt:variant>
      <vt:variant>
        <vt:i4>221</vt:i4>
      </vt:variant>
      <vt:variant>
        <vt:i4>0</vt:i4>
      </vt:variant>
      <vt:variant>
        <vt:i4>5</vt:i4>
      </vt:variant>
      <vt:variant>
        <vt:lpwstr/>
      </vt:variant>
      <vt:variant>
        <vt:lpwstr>_Toc217022558</vt:lpwstr>
      </vt:variant>
      <vt:variant>
        <vt:i4>1114162</vt:i4>
      </vt:variant>
      <vt:variant>
        <vt:i4>215</vt:i4>
      </vt:variant>
      <vt:variant>
        <vt:i4>0</vt:i4>
      </vt:variant>
      <vt:variant>
        <vt:i4>5</vt:i4>
      </vt:variant>
      <vt:variant>
        <vt:lpwstr/>
      </vt:variant>
      <vt:variant>
        <vt:lpwstr>_Toc217022557</vt:lpwstr>
      </vt:variant>
      <vt:variant>
        <vt:i4>1114162</vt:i4>
      </vt:variant>
      <vt:variant>
        <vt:i4>209</vt:i4>
      </vt:variant>
      <vt:variant>
        <vt:i4>0</vt:i4>
      </vt:variant>
      <vt:variant>
        <vt:i4>5</vt:i4>
      </vt:variant>
      <vt:variant>
        <vt:lpwstr/>
      </vt:variant>
      <vt:variant>
        <vt:lpwstr>_Toc217022556</vt:lpwstr>
      </vt:variant>
      <vt:variant>
        <vt:i4>1114162</vt:i4>
      </vt:variant>
      <vt:variant>
        <vt:i4>203</vt:i4>
      </vt:variant>
      <vt:variant>
        <vt:i4>0</vt:i4>
      </vt:variant>
      <vt:variant>
        <vt:i4>5</vt:i4>
      </vt:variant>
      <vt:variant>
        <vt:lpwstr/>
      </vt:variant>
      <vt:variant>
        <vt:lpwstr>_Toc217022555</vt:lpwstr>
      </vt:variant>
      <vt:variant>
        <vt:i4>1114162</vt:i4>
      </vt:variant>
      <vt:variant>
        <vt:i4>197</vt:i4>
      </vt:variant>
      <vt:variant>
        <vt:i4>0</vt:i4>
      </vt:variant>
      <vt:variant>
        <vt:i4>5</vt:i4>
      </vt:variant>
      <vt:variant>
        <vt:lpwstr/>
      </vt:variant>
      <vt:variant>
        <vt:lpwstr>_Toc217022554</vt:lpwstr>
      </vt:variant>
      <vt:variant>
        <vt:i4>1114162</vt:i4>
      </vt:variant>
      <vt:variant>
        <vt:i4>191</vt:i4>
      </vt:variant>
      <vt:variant>
        <vt:i4>0</vt:i4>
      </vt:variant>
      <vt:variant>
        <vt:i4>5</vt:i4>
      </vt:variant>
      <vt:variant>
        <vt:lpwstr/>
      </vt:variant>
      <vt:variant>
        <vt:lpwstr>_Toc217022553</vt:lpwstr>
      </vt:variant>
      <vt:variant>
        <vt:i4>1114162</vt:i4>
      </vt:variant>
      <vt:variant>
        <vt:i4>185</vt:i4>
      </vt:variant>
      <vt:variant>
        <vt:i4>0</vt:i4>
      </vt:variant>
      <vt:variant>
        <vt:i4>5</vt:i4>
      </vt:variant>
      <vt:variant>
        <vt:lpwstr/>
      </vt:variant>
      <vt:variant>
        <vt:lpwstr>_Toc217022552</vt:lpwstr>
      </vt:variant>
      <vt:variant>
        <vt:i4>1114162</vt:i4>
      </vt:variant>
      <vt:variant>
        <vt:i4>179</vt:i4>
      </vt:variant>
      <vt:variant>
        <vt:i4>0</vt:i4>
      </vt:variant>
      <vt:variant>
        <vt:i4>5</vt:i4>
      </vt:variant>
      <vt:variant>
        <vt:lpwstr/>
      </vt:variant>
      <vt:variant>
        <vt:lpwstr>_Toc217022551</vt:lpwstr>
      </vt:variant>
      <vt:variant>
        <vt:i4>1114162</vt:i4>
      </vt:variant>
      <vt:variant>
        <vt:i4>173</vt:i4>
      </vt:variant>
      <vt:variant>
        <vt:i4>0</vt:i4>
      </vt:variant>
      <vt:variant>
        <vt:i4>5</vt:i4>
      </vt:variant>
      <vt:variant>
        <vt:lpwstr/>
      </vt:variant>
      <vt:variant>
        <vt:lpwstr>_Toc217022550</vt:lpwstr>
      </vt:variant>
      <vt:variant>
        <vt:i4>1048626</vt:i4>
      </vt:variant>
      <vt:variant>
        <vt:i4>167</vt:i4>
      </vt:variant>
      <vt:variant>
        <vt:i4>0</vt:i4>
      </vt:variant>
      <vt:variant>
        <vt:i4>5</vt:i4>
      </vt:variant>
      <vt:variant>
        <vt:lpwstr/>
      </vt:variant>
      <vt:variant>
        <vt:lpwstr>_Toc217022549</vt:lpwstr>
      </vt:variant>
      <vt:variant>
        <vt:i4>1048626</vt:i4>
      </vt:variant>
      <vt:variant>
        <vt:i4>161</vt:i4>
      </vt:variant>
      <vt:variant>
        <vt:i4>0</vt:i4>
      </vt:variant>
      <vt:variant>
        <vt:i4>5</vt:i4>
      </vt:variant>
      <vt:variant>
        <vt:lpwstr/>
      </vt:variant>
      <vt:variant>
        <vt:lpwstr>_Toc217022548</vt:lpwstr>
      </vt:variant>
      <vt:variant>
        <vt:i4>1048626</vt:i4>
      </vt:variant>
      <vt:variant>
        <vt:i4>155</vt:i4>
      </vt:variant>
      <vt:variant>
        <vt:i4>0</vt:i4>
      </vt:variant>
      <vt:variant>
        <vt:i4>5</vt:i4>
      </vt:variant>
      <vt:variant>
        <vt:lpwstr/>
      </vt:variant>
      <vt:variant>
        <vt:lpwstr>_Toc217022547</vt:lpwstr>
      </vt:variant>
      <vt:variant>
        <vt:i4>1048626</vt:i4>
      </vt:variant>
      <vt:variant>
        <vt:i4>149</vt:i4>
      </vt:variant>
      <vt:variant>
        <vt:i4>0</vt:i4>
      </vt:variant>
      <vt:variant>
        <vt:i4>5</vt:i4>
      </vt:variant>
      <vt:variant>
        <vt:lpwstr/>
      </vt:variant>
      <vt:variant>
        <vt:lpwstr>_Toc217022546</vt:lpwstr>
      </vt:variant>
      <vt:variant>
        <vt:i4>1048626</vt:i4>
      </vt:variant>
      <vt:variant>
        <vt:i4>143</vt:i4>
      </vt:variant>
      <vt:variant>
        <vt:i4>0</vt:i4>
      </vt:variant>
      <vt:variant>
        <vt:i4>5</vt:i4>
      </vt:variant>
      <vt:variant>
        <vt:lpwstr/>
      </vt:variant>
      <vt:variant>
        <vt:lpwstr>_Toc217022545</vt:lpwstr>
      </vt:variant>
      <vt:variant>
        <vt:i4>1048626</vt:i4>
      </vt:variant>
      <vt:variant>
        <vt:i4>137</vt:i4>
      </vt:variant>
      <vt:variant>
        <vt:i4>0</vt:i4>
      </vt:variant>
      <vt:variant>
        <vt:i4>5</vt:i4>
      </vt:variant>
      <vt:variant>
        <vt:lpwstr/>
      </vt:variant>
      <vt:variant>
        <vt:lpwstr>_Toc217022544</vt:lpwstr>
      </vt:variant>
      <vt:variant>
        <vt:i4>1048626</vt:i4>
      </vt:variant>
      <vt:variant>
        <vt:i4>131</vt:i4>
      </vt:variant>
      <vt:variant>
        <vt:i4>0</vt:i4>
      </vt:variant>
      <vt:variant>
        <vt:i4>5</vt:i4>
      </vt:variant>
      <vt:variant>
        <vt:lpwstr/>
      </vt:variant>
      <vt:variant>
        <vt:lpwstr>_Toc217022543</vt:lpwstr>
      </vt:variant>
      <vt:variant>
        <vt:i4>1048626</vt:i4>
      </vt:variant>
      <vt:variant>
        <vt:i4>125</vt:i4>
      </vt:variant>
      <vt:variant>
        <vt:i4>0</vt:i4>
      </vt:variant>
      <vt:variant>
        <vt:i4>5</vt:i4>
      </vt:variant>
      <vt:variant>
        <vt:lpwstr/>
      </vt:variant>
      <vt:variant>
        <vt:lpwstr>_Toc217022542</vt:lpwstr>
      </vt:variant>
      <vt:variant>
        <vt:i4>1048626</vt:i4>
      </vt:variant>
      <vt:variant>
        <vt:i4>119</vt:i4>
      </vt:variant>
      <vt:variant>
        <vt:i4>0</vt:i4>
      </vt:variant>
      <vt:variant>
        <vt:i4>5</vt:i4>
      </vt:variant>
      <vt:variant>
        <vt:lpwstr/>
      </vt:variant>
      <vt:variant>
        <vt:lpwstr>_Toc217022541</vt:lpwstr>
      </vt:variant>
      <vt:variant>
        <vt:i4>1048626</vt:i4>
      </vt:variant>
      <vt:variant>
        <vt:i4>113</vt:i4>
      </vt:variant>
      <vt:variant>
        <vt:i4>0</vt:i4>
      </vt:variant>
      <vt:variant>
        <vt:i4>5</vt:i4>
      </vt:variant>
      <vt:variant>
        <vt:lpwstr/>
      </vt:variant>
      <vt:variant>
        <vt:lpwstr>_Toc217022540</vt:lpwstr>
      </vt:variant>
      <vt:variant>
        <vt:i4>1507378</vt:i4>
      </vt:variant>
      <vt:variant>
        <vt:i4>107</vt:i4>
      </vt:variant>
      <vt:variant>
        <vt:i4>0</vt:i4>
      </vt:variant>
      <vt:variant>
        <vt:i4>5</vt:i4>
      </vt:variant>
      <vt:variant>
        <vt:lpwstr/>
      </vt:variant>
      <vt:variant>
        <vt:lpwstr>_Toc217022539</vt:lpwstr>
      </vt:variant>
      <vt:variant>
        <vt:i4>1507378</vt:i4>
      </vt:variant>
      <vt:variant>
        <vt:i4>101</vt:i4>
      </vt:variant>
      <vt:variant>
        <vt:i4>0</vt:i4>
      </vt:variant>
      <vt:variant>
        <vt:i4>5</vt:i4>
      </vt:variant>
      <vt:variant>
        <vt:lpwstr/>
      </vt:variant>
      <vt:variant>
        <vt:lpwstr>_Toc217022538</vt:lpwstr>
      </vt:variant>
      <vt:variant>
        <vt:i4>1507378</vt:i4>
      </vt:variant>
      <vt:variant>
        <vt:i4>95</vt:i4>
      </vt:variant>
      <vt:variant>
        <vt:i4>0</vt:i4>
      </vt:variant>
      <vt:variant>
        <vt:i4>5</vt:i4>
      </vt:variant>
      <vt:variant>
        <vt:lpwstr/>
      </vt:variant>
      <vt:variant>
        <vt:lpwstr>_Toc217022537</vt:lpwstr>
      </vt:variant>
      <vt:variant>
        <vt:i4>1507378</vt:i4>
      </vt:variant>
      <vt:variant>
        <vt:i4>89</vt:i4>
      </vt:variant>
      <vt:variant>
        <vt:i4>0</vt:i4>
      </vt:variant>
      <vt:variant>
        <vt:i4>5</vt:i4>
      </vt:variant>
      <vt:variant>
        <vt:lpwstr/>
      </vt:variant>
      <vt:variant>
        <vt:lpwstr>_Toc217022536</vt:lpwstr>
      </vt:variant>
      <vt:variant>
        <vt:i4>1507378</vt:i4>
      </vt:variant>
      <vt:variant>
        <vt:i4>83</vt:i4>
      </vt:variant>
      <vt:variant>
        <vt:i4>0</vt:i4>
      </vt:variant>
      <vt:variant>
        <vt:i4>5</vt:i4>
      </vt:variant>
      <vt:variant>
        <vt:lpwstr/>
      </vt:variant>
      <vt:variant>
        <vt:lpwstr>_Toc217022535</vt:lpwstr>
      </vt:variant>
      <vt:variant>
        <vt:i4>1507378</vt:i4>
      </vt:variant>
      <vt:variant>
        <vt:i4>77</vt:i4>
      </vt:variant>
      <vt:variant>
        <vt:i4>0</vt:i4>
      </vt:variant>
      <vt:variant>
        <vt:i4>5</vt:i4>
      </vt:variant>
      <vt:variant>
        <vt:lpwstr/>
      </vt:variant>
      <vt:variant>
        <vt:lpwstr>_Toc217022534</vt:lpwstr>
      </vt:variant>
      <vt:variant>
        <vt:i4>1507378</vt:i4>
      </vt:variant>
      <vt:variant>
        <vt:i4>71</vt:i4>
      </vt:variant>
      <vt:variant>
        <vt:i4>0</vt:i4>
      </vt:variant>
      <vt:variant>
        <vt:i4>5</vt:i4>
      </vt:variant>
      <vt:variant>
        <vt:lpwstr/>
      </vt:variant>
      <vt:variant>
        <vt:lpwstr>_Toc217022533</vt:lpwstr>
      </vt:variant>
      <vt:variant>
        <vt:i4>1507378</vt:i4>
      </vt:variant>
      <vt:variant>
        <vt:i4>65</vt:i4>
      </vt:variant>
      <vt:variant>
        <vt:i4>0</vt:i4>
      </vt:variant>
      <vt:variant>
        <vt:i4>5</vt:i4>
      </vt:variant>
      <vt:variant>
        <vt:lpwstr/>
      </vt:variant>
      <vt:variant>
        <vt:lpwstr>_Toc217022532</vt:lpwstr>
      </vt:variant>
      <vt:variant>
        <vt:i4>1507378</vt:i4>
      </vt:variant>
      <vt:variant>
        <vt:i4>59</vt:i4>
      </vt:variant>
      <vt:variant>
        <vt:i4>0</vt:i4>
      </vt:variant>
      <vt:variant>
        <vt:i4>5</vt:i4>
      </vt:variant>
      <vt:variant>
        <vt:lpwstr/>
      </vt:variant>
      <vt:variant>
        <vt:lpwstr>_Toc217022531</vt:lpwstr>
      </vt:variant>
      <vt:variant>
        <vt:i4>1507378</vt:i4>
      </vt:variant>
      <vt:variant>
        <vt:i4>53</vt:i4>
      </vt:variant>
      <vt:variant>
        <vt:i4>0</vt:i4>
      </vt:variant>
      <vt:variant>
        <vt:i4>5</vt:i4>
      </vt:variant>
      <vt:variant>
        <vt:lpwstr/>
      </vt:variant>
      <vt:variant>
        <vt:lpwstr>_Toc217022530</vt:lpwstr>
      </vt:variant>
      <vt:variant>
        <vt:i4>1441842</vt:i4>
      </vt:variant>
      <vt:variant>
        <vt:i4>47</vt:i4>
      </vt:variant>
      <vt:variant>
        <vt:i4>0</vt:i4>
      </vt:variant>
      <vt:variant>
        <vt:i4>5</vt:i4>
      </vt:variant>
      <vt:variant>
        <vt:lpwstr/>
      </vt:variant>
      <vt:variant>
        <vt:lpwstr>_Toc217022529</vt:lpwstr>
      </vt:variant>
      <vt:variant>
        <vt:i4>1441842</vt:i4>
      </vt:variant>
      <vt:variant>
        <vt:i4>41</vt:i4>
      </vt:variant>
      <vt:variant>
        <vt:i4>0</vt:i4>
      </vt:variant>
      <vt:variant>
        <vt:i4>5</vt:i4>
      </vt:variant>
      <vt:variant>
        <vt:lpwstr/>
      </vt:variant>
      <vt:variant>
        <vt:lpwstr>_Toc217022528</vt:lpwstr>
      </vt:variant>
      <vt:variant>
        <vt:i4>1441842</vt:i4>
      </vt:variant>
      <vt:variant>
        <vt:i4>35</vt:i4>
      </vt:variant>
      <vt:variant>
        <vt:i4>0</vt:i4>
      </vt:variant>
      <vt:variant>
        <vt:i4>5</vt:i4>
      </vt:variant>
      <vt:variant>
        <vt:lpwstr/>
      </vt:variant>
      <vt:variant>
        <vt:lpwstr>_Toc217022527</vt:lpwstr>
      </vt:variant>
      <vt:variant>
        <vt:i4>1441842</vt:i4>
      </vt:variant>
      <vt:variant>
        <vt:i4>29</vt:i4>
      </vt:variant>
      <vt:variant>
        <vt:i4>0</vt:i4>
      </vt:variant>
      <vt:variant>
        <vt:i4>5</vt:i4>
      </vt:variant>
      <vt:variant>
        <vt:lpwstr/>
      </vt:variant>
      <vt:variant>
        <vt:lpwstr>_Toc217022526</vt:lpwstr>
      </vt:variant>
      <vt:variant>
        <vt:i4>1441842</vt:i4>
      </vt:variant>
      <vt:variant>
        <vt:i4>23</vt:i4>
      </vt:variant>
      <vt:variant>
        <vt:i4>0</vt:i4>
      </vt:variant>
      <vt:variant>
        <vt:i4>5</vt:i4>
      </vt:variant>
      <vt:variant>
        <vt:lpwstr/>
      </vt:variant>
      <vt:variant>
        <vt:lpwstr>_Toc217022525</vt:lpwstr>
      </vt:variant>
      <vt:variant>
        <vt:i4>1441842</vt:i4>
      </vt:variant>
      <vt:variant>
        <vt:i4>17</vt:i4>
      </vt:variant>
      <vt:variant>
        <vt:i4>0</vt:i4>
      </vt:variant>
      <vt:variant>
        <vt:i4>5</vt:i4>
      </vt:variant>
      <vt:variant>
        <vt:lpwstr/>
      </vt:variant>
      <vt:variant>
        <vt:lpwstr>_Toc217022524</vt:lpwstr>
      </vt:variant>
      <vt:variant>
        <vt:i4>1441842</vt:i4>
      </vt:variant>
      <vt:variant>
        <vt:i4>11</vt:i4>
      </vt:variant>
      <vt:variant>
        <vt:i4>0</vt:i4>
      </vt:variant>
      <vt:variant>
        <vt:i4>5</vt:i4>
      </vt:variant>
      <vt:variant>
        <vt:lpwstr/>
      </vt:variant>
      <vt:variant>
        <vt:lpwstr>_Toc217022523</vt:lpwstr>
      </vt:variant>
      <vt:variant>
        <vt:i4>7536690</vt:i4>
      </vt:variant>
      <vt:variant>
        <vt:i4>6</vt:i4>
      </vt:variant>
      <vt:variant>
        <vt:i4>0</vt:i4>
      </vt:variant>
      <vt:variant>
        <vt:i4>5</vt:i4>
      </vt:variant>
      <vt:variant>
        <vt:lpwstr>http://www.health.vic.gov.au/infection-control</vt:lpwstr>
      </vt:variant>
      <vt:variant>
        <vt:lpwstr/>
      </vt:variant>
      <vt:variant>
        <vt:i4>5701701</vt:i4>
      </vt:variant>
      <vt:variant>
        <vt:i4>3</vt:i4>
      </vt:variant>
      <vt:variant>
        <vt:i4>0</vt:i4>
      </vt:variant>
      <vt:variant>
        <vt:i4>5</vt:i4>
      </vt:variant>
      <vt:variant>
        <vt:lpwstr>https://encoded-592c9deb-987b-4562-aa3c-9fa3d37d83e9.uri/mailto%3aemail%2520Communicable%2520Disease%2520Section</vt:lpwstr>
      </vt:variant>
      <vt:variant>
        <vt:lpwstr/>
      </vt:variant>
      <vt:variant>
        <vt:i4>3539009</vt:i4>
      </vt:variant>
      <vt:variant>
        <vt:i4>3</vt:i4>
      </vt:variant>
      <vt:variant>
        <vt:i4>0</vt:i4>
      </vt:variant>
      <vt:variant>
        <vt:i4>5</vt:i4>
      </vt:variant>
      <vt:variant>
        <vt:lpwstr>mailto:donna.hillier@health.vic.gov.au</vt:lpwstr>
      </vt:variant>
      <vt:variant>
        <vt:lpwstr/>
      </vt:variant>
      <vt:variant>
        <vt:i4>3539009</vt:i4>
      </vt:variant>
      <vt:variant>
        <vt:i4>0</vt:i4>
      </vt:variant>
      <vt:variant>
        <vt:i4>0</vt:i4>
      </vt:variant>
      <vt:variant>
        <vt:i4>5</vt:i4>
      </vt:variant>
      <vt:variant>
        <vt:lpwstr>mailto:donna.hillier@health.vic.gov.au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guideline on viral haemorrhagic fevers</dc:title>
  <dc:subject/>
  <dc:creator/>
  <cp:keywords/>
  <dc:description/>
  <cp:lastModifiedBy>Claire East (Health)</cp:lastModifiedBy>
  <cp:revision>2</cp:revision>
  <dcterms:created xsi:type="dcterms:W3CDTF">2026-06-04T04:26:00Z</dcterms:created>
  <dcterms:modified xsi:type="dcterms:W3CDTF">2026-06-04T04:27:00Z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caf3890,49c2ebfd,7b82fd8a,1c519d20,5df2c9b,19259ac1,42c37deb</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2026-06-04T04:26:51Z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d3230796-4530-40f8-85d0-eb4be6548d40</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