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8C29"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5AE86A1" wp14:editId="6FD7CD2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017E60C"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B018E" w14:paraId="3DBBF76A" w14:textId="77777777" w:rsidTr="000242DC">
        <w:trPr>
          <w:trHeight w:val="622"/>
        </w:trPr>
        <w:tc>
          <w:tcPr>
            <w:tcW w:w="10348" w:type="dxa"/>
            <w:tcMar>
              <w:top w:w="1531" w:type="dxa"/>
              <w:left w:w="0" w:type="dxa"/>
              <w:right w:w="0" w:type="dxa"/>
            </w:tcMar>
          </w:tcPr>
          <w:p w14:paraId="3285452F" w14:textId="77777777" w:rsidR="00DB018E" w:rsidRPr="003B5733" w:rsidRDefault="00DB018E" w:rsidP="000242DC">
            <w:pPr>
              <w:pStyle w:val="Documenttitle"/>
            </w:pPr>
            <w:r>
              <w:t>Standards for the use of AI in Victorian Public Health Services</w:t>
            </w:r>
          </w:p>
        </w:tc>
      </w:tr>
      <w:tr w:rsidR="00DB018E" w14:paraId="3C0CA96A" w14:textId="77777777" w:rsidTr="000242DC">
        <w:tc>
          <w:tcPr>
            <w:tcW w:w="10348" w:type="dxa"/>
          </w:tcPr>
          <w:p w14:paraId="6F0F6117" w14:textId="77777777" w:rsidR="00DB018E" w:rsidRPr="00A1389F" w:rsidRDefault="00DB018E" w:rsidP="000242DC">
            <w:pPr>
              <w:pStyle w:val="Documentsubtitle"/>
            </w:pPr>
          </w:p>
        </w:tc>
      </w:tr>
      <w:tr w:rsidR="00DB018E" w14:paraId="4D8CEBFD" w14:textId="77777777" w:rsidTr="000242DC">
        <w:tc>
          <w:tcPr>
            <w:tcW w:w="10348" w:type="dxa"/>
          </w:tcPr>
          <w:p w14:paraId="4CCC1D4D" w14:textId="77777777" w:rsidR="00DB018E" w:rsidRPr="001E5058" w:rsidRDefault="00DB018E" w:rsidP="000242DC">
            <w:pPr>
              <w:pStyle w:val="Bannermarking"/>
            </w:pPr>
            <w:fldSimple w:instr="FILLIN  &quot;Type the protective marking&quot; \d OFFICIAL \o  \* MERGEFORMAT">
              <w:r>
                <w:t>OFFICIAL</w:t>
              </w:r>
            </w:fldSimple>
          </w:p>
        </w:tc>
      </w:tr>
    </w:tbl>
    <w:p w14:paraId="32461AA8" w14:textId="77777777" w:rsidR="00DB018E" w:rsidRDefault="00DB018E" w:rsidP="00DB018E">
      <w:pPr>
        <w:pStyle w:val="Body"/>
      </w:pPr>
    </w:p>
    <w:p w14:paraId="46797F64" w14:textId="77777777" w:rsidR="00DB018E" w:rsidRPr="00B519CD" w:rsidRDefault="00DB018E" w:rsidP="00DB018E">
      <w:pPr>
        <w:pStyle w:val="Body"/>
        <w:sectPr w:rsidR="00DB018E" w:rsidRPr="00B519CD" w:rsidSect="00DB018E">
          <w:headerReference w:type="default" r:id="rId15"/>
          <w:type w:val="continuous"/>
          <w:pgSz w:w="11906" w:h="16838" w:code="9"/>
          <w:pgMar w:top="1418" w:right="851" w:bottom="1418" w:left="851" w:header="851" w:footer="851" w:gutter="0"/>
          <w:cols w:space="340"/>
          <w:titlePg/>
          <w:docGrid w:linePitch="360"/>
        </w:sectPr>
      </w:pPr>
    </w:p>
    <w:p w14:paraId="3E18E96F" w14:textId="77777777" w:rsidR="00DB018E" w:rsidRDefault="00DB018E" w:rsidP="00DB018E">
      <w:pPr>
        <w:pStyle w:val="Heading1"/>
      </w:pPr>
      <w:r>
        <w:t>Purpose</w:t>
      </w:r>
    </w:p>
    <w:p w14:paraId="5CC01373" w14:textId="77777777" w:rsidR="00DB018E" w:rsidRPr="00290951" w:rsidRDefault="00DB018E" w:rsidP="00DB018E">
      <w:pPr>
        <w:pStyle w:val="Body"/>
      </w:pPr>
      <w:r w:rsidRPr="003D2ECE">
        <w:t xml:space="preserve">This document establishes minimum safety and regulatory standards for the use of artificial intelligence (AI) within Victorian Public Health Services (VPHS). The standards are intended to support consistent, safe and responsible adoption of AI across clinical, operational and administrative settings, and to provide clarity on the </w:t>
      </w:r>
      <w:r w:rsidRPr="00290951">
        <w:t>baseline requirements that must be met prior to the use of AI.</w:t>
      </w:r>
    </w:p>
    <w:p w14:paraId="4FB71198" w14:textId="77777777" w:rsidR="00DB018E" w:rsidRPr="00290951" w:rsidRDefault="00DB018E" w:rsidP="00DB018E">
      <w:pPr>
        <w:pStyle w:val="Body"/>
      </w:pPr>
      <w:r w:rsidRPr="00290951">
        <w:t>This document should be read in conjunction with:</w:t>
      </w:r>
    </w:p>
    <w:p w14:paraId="3D2AE6DC" w14:textId="2C7966A7" w:rsidR="00DB018E" w:rsidRPr="00290951" w:rsidRDefault="00F423F0" w:rsidP="00DB018E">
      <w:pPr>
        <w:pStyle w:val="Bullet1"/>
      </w:pPr>
      <w:hyperlink r:id="rId16" w:history="1">
        <w:r w:rsidR="00DB018E" w:rsidRPr="00F423F0">
          <w:rPr>
            <w:rStyle w:val="Hyperlink"/>
          </w:rPr>
          <w:t>Governance Models for AI Solutions in Victorian Public Health Services</w:t>
        </w:r>
        <w:r w:rsidR="00291532" w:rsidRPr="00F423F0">
          <w:rPr>
            <w:rStyle w:val="Hyperlink"/>
            <w:vertAlign w:val="superscript"/>
          </w:rPr>
          <w:footnoteReference w:id="1"/>
        </w:r>
        <w:r w:rsidR="00DB018E" w:rsidRPr="00F423F0">
          <w:rPr>
            <w:rStyle w:val="Hyperlink"/>
          </w:rPr>
          <w:t xml:space="preserve"> </w:t>
        </w:r>
      </w:hyperlink>
      <w:r w:rsidR="00DB018E" w:rsidRPr="00290951">
        <w:t xml:space="preserve"> </w:t>
      </w:r>
    </w:p>
    <w:p w14:paraId="31E75C51" w14:textId="67DE3563" w:rsidR="00DB018E" w:rsidRPr="00290951" w:rsidRDefault="00BF3BFB" w:rsidP="00DB018E">
      <w:pPr>
        <w:pStyle w:val="Bullet1"/>
      </w:pPr>
      <w:hyperlink r:id="rId17" w:history="1">
        <w:r w:rsidR="00DB018E" w:rsidRPr="00BF3BFB">
          <w:rPr>
            <w:rStyle w:val="Hyperlink"/>
          </w:rPr>
          <w:t>Roles, Responsibilities and Escalation Pathways for AI in Victorian Public health services</w:t>
        </w:r>
      </w:hyperlink>
      <w:r>
        <w:rPr>
          <w:rStyle w:val="FootnoteReference"/>
        </w:rPr>
        <w:footnoteReference w:id="2"/>
      </w:r>
    </w:p>
    <w:p w14:paraId="13CD5377" w14:textId="77777777" w:rsidR="00DB018E" w:rsidRDefault="00DB018E" w:rsidP="00DB018E">
      <w:pPr>
        <w:pStyle w:val="Heading1"/>
      </w:pPr>
      <w:r>
        <w:t>Scope</w:t>
      </w:r>
    </w:p>
    <w:p w14:paraId="4707AD02" w14:textId="77777777" w:rsidR="00DB018E" w:rsidRPr="004A350D" w:rsidRDefault="00DB018E" w:rsidP="00DB018E">
      <w:pPr>
        <w:pStyle w:val="Body"/>
      </w:pPr>
      <w:r w:rsidRPr="0017607D">
        <w:t xml:space="preserve">The standards are applicable to all AI solutions used in </w:t>
      </w:r>
      <w:r>
        <w:t>VPHS</w:t>
      </w:r>
      <w:r w:rsidRPr="0017607D">
        <w:t xml:space="preserve">. For the purposes of this advisory, the definition of AI </w:t>
      </w:r>
      <w:r w:rsidRPr="00EF2C86">
        <w:t>is defined in accordance with the 2023 OECD explanatory memorandum, as adopted by the Australian Government</w:t>
      </w:r>
      <w:r>
        <w:t>: “</w:t>
      </w:r>
      <w:r>
        <w:rPr>
          <w:i/>
          <w:iCs/>
        </w:rPr>
        <w:t>A</w:t>
      </w:r>
      <w:r w:rsidRPr="0017607D">
        <w:rPr>
          <w:i/>
          <w:iCs/>
        </w:rPr>
        <w:t xml:space="preserv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r>
        <w:t>”.</w:t>
      </w:r>
    </w:p>
    <w:p w14:paraId="0C850916" w14:textId="77777777" w:rsidR="00DB018E" w:rsidRDefault="00DB018E" w:rsidP="00DB018E">
      <w:pPr>
        <w:pStyle w:val="Body"/>
      </w:pPr>
      <w:r>
        <w:t>Within a health environment, this definition captures AI used to:</w:t>
      </w:r>
    </w:p>
    <w:p w14:paraId="66BA3EEC" w14:textId="77777777" w:rsidR="00DB018E" w:rsidRDefault="00DB018E" w:rsidP="00DB018E">
      <w:pPr>
        <w:pStyle w:val="Bullet1"/>
      </w:pPr>
      <w:r>
        <w:t xml:space="preserve">Support or optimise the delivery of clinical or medical care (e.g., diagnostic tools, clinical decision support software) </w:t>
      </w:r>
    </w:p>
    <w:p w14:paraId="120CCAD7" w14:textId="77777777" w:rsidR="00DB018E" w:rsidRDefault="00DB018E" w:rsidP="00DB018E">
      <w:pPr>
        <w:pStyle w:val="Bullet1"/>
      </w:pPr>
      <w:r>
        <w:t>Streamline health service operations (e.g., predict emergency department demand, supply chain management)</w:t>
      </w:r>
    </w:p>
    <w:p w14:paraId="0FCE4B30" w14:textId="77777777" w:rsidR="00DB018E" w:rsidRDefault="00DB018E" w:rsidP="00DB018E">
      <w:pPr>
        <w:pStyle w:val="Bullet1"/>
      </w:pPr>
      <w:r>
        <w:t>Support or optimise administrative functions (e.g., enhancing efficiency in finance and reporting)</w:t>
      </w:r>
    </w:p>
    <w:p w14:paraId="782722F0" w14:textId="17C40F25" w:rsidR="00DB018E" w:rsidRDefault="00DB018E" w:rsidP="00DB018E">
      <w:pPr>
        <w:pStyle w:val="Bullet1"/>
        <w:spacing w:after="120"/>
      </w:pPr>
      <w:r>
        <w:t xml:space="preserve">Facilitate research (e.g., supporting data analysis for clinical trials)  </w:t>
      </w:r>
    </w:p>
    <w:p w14:paraId="10743B5D" w14:textId="77777777" w:rsidR="00DB018E" w:rsidRDefault="00DB018E" w:rsidP="00DB018E">
      <w:r w:rsidRPr="0096258D">
        <w:rPr>
          <w:rFonts w:cs="Arial"/>
        </w:rPr>
        <w:t xml:space="preserve">This document is organised according to </w:t>
      </w:r>
      <w:r>
        <w:rPr>
          <w:rFonts w:cs="Arial"/>
        </w:rPr>
        <w:t>three categories of</w:t>
      </w:r>
      <w:r w:rsidRPr="0096258D">
        <w:rPr>
          <w:rFonts w:cs="Arial"/>
        </w:rPr>
        <w:t xml:space="preserve"> requirements for assessing the safety of an AI solution, based on its intended purpose and usage</w:t>
      </w:r>
      <w:r>
        <w:rPr>
          <w:rFonts w:cs="Arial"/>
        </w:rPr>
        <w:t xml:space="preserve">: </w:t>
      </w:r>
    </w:p>
    <w:p w14:paraId="56162118" w14:textId="77777777" w:rsidR="00DB018E" w:rsidRDefault="00DB018E" w:rsidP="00DB018E">
      <w:pPr>
        <w:pStyle w:val="Bullet1"/>
      </w:pPr>
      <w:r>
        <w:t xml:space="preserve">Category A: AI marketed/developed for a clinical purpose (e.g., </w:t>
      </w:r>
      <w:r w:rsidRPr="00ED204C">
        <w:t>radiology image analysis</w:t>
      </w:r>
      <w:r>
        <w:t xml:space="preserve"> solutions). </w:t>
      </w:r>
    </w:p>
    <w:p w14:paraId="2A008C68" w14:textId="77777777" w:rsidR="00DB018E" w:rsidRDefault="00DB018E" w:rsidP="00DB018E">
      <w:pPr>
        <w:pStyle w:val="Bullet1"/>
      </w:pPr>
      <w:r>
        <w:lastRenderedPageBreak/>
        <w:t>Category B: AI intended to be used for a clinical purpose that is not marketed/developed for such purpose (e.g., the use of publicly available open large language models to advise on treatment options).</w:t>
      </w:r>
    </w:p>
    <w:p w14:paraId="721740D4" w14:textId="77777777" w:rsidR="00DB018E" w:rsidRDefault="00DB018E" w:rsidP="00DB018E">
      <w:pPr>
        <w:pStyle w:val="Bullet1"/>
      </w:pPr>
      <w:r>
        <w:t xml:space="preserve">Category C: AI that is not intended to be used nor marketed/developed for a clinical purpose (e.g., algorithms to structure administrative data). </w:t>
      </w:r>
    </w:p>
    <w:p w14:paraId="011EF710" w14:textId="77777777" w:rsidR="00DB018E" w:rsidRDefault="00DB018E" w:rsidP="00DB018E">
      <w:pPr>
        <w:pStyle w:val="Body"/>
        <w:spacing w:before="120"/>
      </w:pPr>
      <w:r w:rsidRPr="006E595C">
        <w:t>The categories above are applicable regardless of whether AI is a sub-component of a broader system or solution, or when an AI solution is a standalone produc</w:t>
      </w:r>
      <w:r>
        <w:t xml:space="preserve">t. </w:t>
      </w:r>
    </w:p>
    <w:p w14:paraId="1BF8BF9C" w14:textId="77777777" w:rsidR="00DB018E" w:rsidRDefault="00DB018E" w:rsidP="00DB018E">
      <w:pPr>
        <w:pStyle w:val="Heading1"/>
      </w:pPr>
      <w:r>
        <w:t xml:space="preserve">Safety Assessments of AI Solutions </w:t>
      </w:r>
    </w:p>
    <w:tbl>
      <w:tblPr>
        <w:tblStyle w:val="TableGrid"/>
        <w:tblW w:w="0" w:type="auto"/>
        <w:shd w:val="clear" w:color="auto" w:fill="F2F2F2" w:themeFill="background1" w:themeFillShade="F2"/>
        <w:tblLook w:val="04A0" w:firstRow="1" w:lastRow="0" w:firstColumn="1" w:lastColumn="0" w:noHBand="0" w:noVBand="1"/>
      </w:tblPr>
      <w:tblGrid>
        <w:gridCol w:w="10194"/>
      </w:tblGrid>
      <w:tr w:rsidR="00DB018E" w:rsidRPr="004B1FD3" w14:paraId="7239BEA7" w14:textId="77777777" w:rsidTr="000242DC">
        <w:tc>
          <w:tcPr>
            <w:tcW w:w="10194" w:type="dxa"/>
            <w:shd w:val="clear" w:color="auto" w:fill="F2F2F2" w:themeFill="background1" w:themeFillShade="F2"/>
          </w:tcPr>
          <w:p w14:paraId="30DB9040" w14:textId="43E74597" w:rsidR="00DB018E" w:rsidRPr="00686DEC" w:rsidRDefault="00DB018E" w:rsidP="000242DC">
            <w:pPr>
              <w:pStyle w:val="Body"/>
            </w:pPr>
            <w:r w:rsidRPr="004B1FD3">
              <w:rPr>
                <w:b/>
                <w:bCs/>
              </w:rPr>
              <w:t xml:space="preserve">Standard 1.1: </w:t>
            </w:r>
            <w:r w:rsidR="000C72F0">
              <w:rPr>
                <w:b/>
                <w:bCs/>
              </w:rPr>
              <w:t>V</w:t>
            </w:r>
            <w:r w:rsidRPr="00686DEC">
              <w:rPr>
                <w:b/>
                <w:bCs/>
              </w:rPr>
              <w:t>PHS should undertake a</w:t>
            </w:r>
            <w:r w:rsidRPr="004B1FD3">
              <w:rPr>
                <w:b/>
                <w:bCs/>
              </w:rPr>
              <w:t xml:space="preserve"> safety assessment</w:t>
            </w:r>
            <w:r>
              <w:rPr>
                <w:b/>
                <w:bCs/>
              </w:rPr>
              <w:t>,</w:t>
            </w:r>
            <w:r w:rsidRPr="004B1FD3">
              <w:rPr>
                <w:b/>
                <w:bCs/>
              </w:rPr>
              <w:t xml:space="preserve"> </w:t>
            </w:r>
            <w:r>
              <w:rPr>
                <w:b/>
                <w:bCs/>
              </w:rPr>
              <w:t>including</w:t>
            </w:r>
            <w:r w:rsidRPr="004B1FD3">
              <w:rPr>
                <w:b/>
                <w:bCs/>
              </w:rPr>
              <w:t xml:space="preserve"> a risk benefit analysis</w:t>
            </w:r>
            <w:r w:rsidRPr="00686DEC">
              <w:rPr>
                <w:b/>
                <w:bCs/>
              </w:rPr>
              <w:t>,</w:t>
            </w:r>
            <w:r w:rsidRPr="004B1FD3">
              <w:rPr>
                <w:b/>
                <w:bCs/>
              </w:rPr>
              <w:t xml:space="preserve"> before </w:t>
            </w:r>
            <w:r>
              <w:rPr>
                <w:b/>
                <w:bCs/>
              </w:rPr>
              <w:t>implementing an AI solution</w:t>
            </w:r>
          </w:p>
        </w:tc>
      </w:tr>
    </w:tbl>
    <w:p w14:paraId="2C53F53B" w14:textId="77777777" w:rsidR="00DB018E" w:rsidRPr="00A849F7" w:rsidRDefault="00DB018E" w:rsidP="00DB018E">
      <w:pPr>
        <w:pStyle w:val="Heading2"/>
      </w:pPr>
      <w:r w:rsidRPr="00A849F7">
        <w:t xml:space="preserve">Regulatory, compliance and value </w:t>
      </w:r>
    </w:p>
    <w:p w14:paraId="2BF3B186" w14:textId="64497883" w:rsidR="00DB018E" w:rsidRDefault="00DB018E" w:rsidP="00DB018E">
      <w:pPr>
        <w:pStyle w:val="Body"/>
      </w:pPr>
      <w:r>
        <w:t xml:space="preserve">Before implementing any category of AI solution, VPHS should ensure that the </w:t>
      </w:r>
      <w:r w:rsidR="003D55AF">
        <w:t>solution</w:t>
      </w:r>
      <w:r>
        <w:t xml:space="preserve"> adheres to its organisation’s guidance for the safe and responsible use of AI. VPHS should undertake an assessment of benefits and risks for their use-case and circumstance, including evaluation against local and state privacy, cyber security and clinical (if applicable) requirements. Further information on best practice can be found in </w:t>
      </w:r>
      <w:hyperlink r:id="rId18" w:history="1">
        <w:r w:rsidRPr="0004327C">
          <w:rPr>
            <w:rStyle w:val="Hyperlink"/>
          </w:rPr>
          <w:t>Governance Models for AI Solutions in Victorian Public Health Services</w:t>
        </w:r>
      </w:hyperlink>
      <w:r w:rsidR="00291532">
        <w:rPr>
          <w:rStyle w:val="FootnoteReference"/>
        </w:rPr>
        <w:footnoteReference w:id="3"/>
      </w:r>
    </w:p>
    <w:p w14:paraId="3EEE3A65" w14:textId="77777777" w:rsidR="00DB018E" w:rsidRPr="00A849F7" w:rsidRDefault="00DB018E" w:rsidP="00DB018E">
      <w:pPr>
        <w:pStyle w:val="Heading2"/>
      </w:pPr>
      <w:r w:rsidRPr="00A849F7">
        <w:t>Installation of AI into existing systems</w:t>
      </w:r>
    </w:p>
    <w:p w14:paraId="544310ED" w14:textId="7625A355" w:rsidR="00DB018E" w:rsidRDefault="00DB018E" w:rsidP="00DB018E">
      <w:pPr>
        <w:pStyle w:val="Body"/>
      </w:pPr>
      <w:r>
        <w:t>If AI functionality is added to an application, device or software that is already in place within a VPHS it should be re-evaluated as if it is a new product. While this is required for any category of AI solution, it is particularly important for those with a clinical purpose. For example, if AI is added to a device that is on the Australian Register of Therapeutic Goods (ARTG) or if the addition of the AI functionality changes the classification and/or purpose for a device already in use within a VPHS, then it must not use the device until relevant regulation requirements (i.e., relisting on ARTG) are satisfied.</w:t>
      </w:r>
    </w:p>
    <w:p w14:paraId="2BED44F1" w14:textId="77777777" w:rsidR="00DB018E" w:rsidRDefault="00DB018E" w:rsidP="00DB018E">
      <w:pPr>
        <w:pStyle w:val="Heading2"/>
      </w:pPr>
      <w:r>
        <w:t xml:space="preserve">Development and Research </w:t>
      </w:r>
    </w:p>
    <w:p w14:paraId="487A9A28" w14:textId="2687E1C3" w:rsidR="00DB018E" w:rsidRDefault="00DB018E" w:rsidP="00DB018E">
      <w:pPr>
        <w:pStyle w:val="Body"/>
      </w:pPr>
      <w:r>
        <w:t xml:space="preserve">If a </w:t>
      </w:r>
      <w:r w:rsidR="0087177D">
        <w:t xml:space="preserve">solution </w:t>
      </w:r>
      <w:r>
        <w:t xml:space="preserve">is being developed for a clinical purpose, then Therapeutic Goods Administration (TGA) regulation requirements </w:t>
      </w:r>
      <w:r w:rsidRPr="00DE7491">
        <w:t>do not need to be applied until the solution is deployed for clinical use</w:t>
      </w:r>
      <w:r w:rsidRPr="00FA627E">
        <w:t xml:space="preserve">. </w:t>
      </w:r>
      <w:r>
        <w:t xml:space="preserve">At this point of clinical AI development, </w:t>
      </w:r>
      <w:r w:rsidRPr="001307D7">
        <w:t xml:space="preserve">health services should either ensure that the AI </w:t>
      </w:r>
      <w:r w:rsidR="0087177D">
        <w:t>solution</w:t>
      </w:r>
      <w:r w:rsidRPr="001307D7">
        <w:t xml:space="preserve"> is already listed on the ARTG, or </w:t>
      </w:r>
      <w:r>
        <w:t>i</w:t>
      </w:r>
      <w:r w:rsidRPr="001307D7">
        <w:t>f it is not registered, the sponsor will need to complete a Clinical Trial Notification (CTN) form to legally supply the software as an 'unapproved' therapeutic good in Australia for use in a clinical trial.</w:t>
      </w:r>
    </w:p>
    <w:p w14:paraId="2278CABF" w14:textId="77777777" w:rsidR="00DB018E" w:rsidRDefault="00DB018E" w:rsidP="00DB018E">
      <w:pPr>
        <w:pStyle w:val="Body"/>
        <w:spacing w:after="240"/>
      </w:pPr>
      <w:r w:rsidRPr="006D14D4">
        <w:t xml:space="preserve">For more information, see </w:t>
      </w:r>
      <w:hyperlink r:id="rId19" w:history="1">
        <w:r w:rsidRPr="00197BB3">
          <w:rPr>
            <w:rStyle w:val="Hyperlink"/>
          </w:rPr>
          <w:t>Clinical trials on the Therapeutic Goods Administration website</w:t>
        </w:r>
      </w:hyperlink>
      <w:r>
        <w:rPr>
          <w:rStyle w:val="FootnoteReference"/>
        </w:rPr>
        <w:footnoteReference w:id="4"/>
      </w:r>
    </w:p>
    <w:p w14:paraId="0F06CF8A" w14:textId="77777777" w:rsidR="00DB018E" w:rsidRDefault="00DB018E" w:rsidP="00DB018E">
      <w:pPr>
        <w:pStyle w:val="Heading2"/>
      </w:pPr>
      <w:r>
        <w:t xml:space="preserve">Whole of Victoria public body prohibition </w:t>
      </w:r>
    </w:p>
    <w:tbl>
      <w:tblPr>
        <w:tblStyle w:val="TableGrid"/>
        <w:tblW w:w="0" w:type="auto"/>
        <w:tblLook w:val="04A0" w:firstRow="1" w:lastRow="0" w:firstColumn="1" w:lastColumn="0" w:noHBand="0" w:noVBand="1"/>
      </w:tblPr>
      <w:tblGrid>
        <w:gridCol w:w="10194"/>
      </w:tblGrid>
      <w:tr w:rsidR="00DB018E" w:rsidRPr="000460A5" w:rsidDel="000460A5" w14:paraId="316DF878" w14:textId="77777777" w:rsidTr="000242DC">
        <w:tc>
          <w:tcPr>
            <w:tcW w:w="10194" w:type="dxa"/>
            <w:shd w:val="clear" w:color="auto" w:fill="F2F2F2" w:themeFill="background1" w:themeFillShade="F2"/>
          </w:tcPr>
          <w:p w14:paraId="1354A5EC" w14:textId="77777777" w:rsidR="00DB018E" w:rsidRPr="000460A5" w:rsidDel="000460A5" w:rsidRDefault="00DB018E" w:rsidP="000242DC">
            <w:r w:rsidRPr="000460A5">
              <w:rPr>
                <w:b/>
                <w:bCs/>
              </w:rPr>
              <w:t xml:space="preserve">Standard 1.2: VPHS should review the list of prohibited </w:t>
            </w:r>
            <w:r>
              <w:rPr>
                <w:b/>
                <w:bCs/>
              </w:rPr>
              <w:t>software</w:t>
            </w:r>
            <w:r w:rsidRPr="000460A5">
              <w:rPr>
                <w:b/>
                <w:bCs/>
              </w:rPr>
              <w:t xml:space="preserve"> before implementing an AI solution </w:t>
            </w:r>
          </w:p>
        </w:tc>
      </w:tr>
    </w:tbl>
    <w:p w14:paraId="62E1F419" w14:textId="77777777" w:rsidR="00DB018E" w:rsidRDefault="00DB018E" w:rsidP="00DB018E">
      <w:pPr>
        <w:pStyle w:val="Body"/>
        <w:spacing w:before="240"/>
      </w:pPr>
      <w:r>
        <w:t xml:space="preserve">There are selected AI products that are prohibited in all government services. The </w:t>
      </w:r>
      <w:r w:rsidRPr="00211227">
        <w:t>Commonwealth Government’s Department of Home Affairs</w:t>
      </w:r>
      <w:r>
        <w:t xml:space="preserve"> and/or Victorian Department of Government Services will issue an </w:t>
      </w:r>
      <w:r>
        <w:lastRenderedPageBreak/>
        <w:t xml:space="preserve">Administrative Guideline in response to the release of software that poses an unacceptable level of security risk to public services. These administrative guidelines instruct public services (including VPHS) to </w:t>
      </w:r>
      <w:r w:rsidRPr="00DE11E8">
        <w:t>prevent installation and remove existing instances</w:t>
      </w:r>
      <w:r>
        <w:t xml:space="preserve"> of prohibited software – including all </w:t>
      </w:r>
      <w:r w:rsidRPr="00C46C2D">
        <w:t>products, applications, solutions, websites and web services supplied directly or indirectly by</w:t>
      </w:r>
      <w:r>
        <w:t xml:space="preserve"> the prohibited software vendor</w:t>
      </w:r>
      <w:r w:rsidRPr="00C46C2D">
        <w:t xml:space="preserve"> or any of its predecessor, successor, parent, subsidiary, or affiliate companies</w:t>
      </w:r>
      <w:r>
        <w:t xml:space="preserve">. </w:t>
      </w:r>
    </w:p>
    <w:p w14:paraId="115E617D" w14:textId="77777777" w:rsidR="00DB018E" w:rsidRDefault="00DB018E" w:rsidP="00DB018E">
      <w:pPr>
        <w:pStyle w:val="Body"/>
      </w:pPr>
      <w:r>
        <w:t>Upon publication of an administrative guideline, notification will be disseminated to the VPHS via the Department of Health Bulletin.</w:t>
      </w:r>
    </w:p>
    <w:p w14:paraId="6CCEBC4B" w14:textId="77777777" w:rsidR="00DB018E" w:rsidRPr="00B97F9B" w:rsidRDefault="00DB018E" w:rsidP="00DB018E">
      <w:pPr>
        <w:pStyle w:val="Heading1"/>
      </w:pPr>
      <w:r>
        <w:t xml:space="preserve">Category A: AI marketed or developed for a clinical purpose </w:t>
      </w:r>
    </w:p>
    <w:tbl>
      <w:tblPr>
        <w:tblStyle w:val="TableGrid"/>
        <w:tblW w:w="0" w:type="auto"/>
        <w:tblLook w:val="04A0" w:firstRow="1" w:lastRow="0" w:firstColumn="1" w:lastColumn="0" w:noHBand="0" w:noVBand="1"/>
      </w:tblPr>
      <w:tblGrid>
        <w:gridCol w:w="10194"/>
      </w:tblGrid>
      <w:tr w:rsidR="00DB018E" w:rsidRPr="00C160AE" w14:paraId="48FD56DF" w14:textId="77777777" w:rsidTr="000242DC">
        <w:trPr>
          <w:trHeight w:val="1670"/>
        </w:trPr>
        <w:tc>
          <w:tcPr>
            <w:tcW w:w="10194" w:type="dxa"/>
            <w:shd w:val="clear" w:color="auto" w:fill="F2F2F2" w:themeFill="background1" w:themeFillShade="F2"/>
          </w:tcPr>
          <w:p w14:paraId="521A78D0" w14:textId="77777777" w:rsidR="00DB018E" w:rsidRPr="00C160AE" w:rsidRDefault="00DB018E" w:rsidP="000242DC">
            <w:pPr>
              <w:pStyle w:val="Body"/>
            </w:pPr>
            <w:r w:rsidRPr="00C160AE">
              <w:rPr>
                <w:b/>
                <w:bCs/>
              </w:rPr>
              <w:t xml:space="preserve">Standard </w:t>
            </w:r>
            <w:r>
              <w:rPr>
                <w:b/>
                <w:bCs/>
              </w:rPr>
              <w:t>2</w:t>
            </w:r>
            <w:r w:rsidRPr="00C160AE">
              <w:rPr>
                <w:b/>
                <w:bCs/>
              </w:rPr>
              <w:t xml:space="preserve">.1: VPHS must </w:t>
            </w:r>
            <w:r>
              <w:rPr>
                <w:b/>
                <w:bCs/>
              </w:rPr>
              <w:t>only</w:t>
            </w:r>
            <w:r w:rsidRPr="00C160AE">
              <w:rPr>
                <w:b/>
                <w:bCs/>
              </w:rPr>
              <w:t xml:space="preserve"> use a</w:t>
            </w:r>
            <w:r>
              <w:rPr>
                <w:b/>
                <w:bCs/>
              </w:rPr>
              <w:t>n AI</w:t>
            </w:r>
            <w:r w:rsidRPr="00C160AE">
              <w:rPr>
                <w:b/>
                <w:bCs/>
              </w:rPr>
              <w:t xml:space="preserve"> </w:t>
            </w:r>
            <w:r>
              <w:rPr>
                <w:b/>
                <w:bCs/>
              </w:rPr>
              <w:t>solution marketed or developed for a clinical</w:t>
            </w:r>
            <w:r w:rsidRPr="00C160AE">
              <w:rPr>
                <w:b/>
                <w:bCs/>
              </w:rPr>
              <w:t xml:space="preserve"> </w:t>
            </w:r>
            <w:r>
              <w:rPr>
                <w:b/>
                <w:bCs/>
              </w:rPr>
              <w:t>purpose</w:t>
            </w:r>
            <w:r w:rsidRPr="00C160AE">
              <w:rPr>
                <w:b/>
                <w:bCs/>
              </w:rPr>
              <w:t xml:space="preserve">, </w:t>
            </w:r>
            <w:r>
              <w:rPr>
                <w:b/>
                <w:bCs/>
              </w:rPr>
              <w:t>when</w:t>
            </w:r>
            <w:r w:rsidRPr="00C160AE">
              <w:rPr>
                <w:b/>
                <w:bCs/>
              </w:rPr>
              <w:t xml:space="preserve">: </w:t>
            </w:r>
          </w:p>
          <w:p w14:paraId="5C99AF3C" w14:textId="77777777" w:rsidR="00DB018E" w:rsidRPr="00C160AE" w:rsidRDefault="00DB018E" w:rsidP="000242DC">
            <w:pPr>
              <w:pStyle w:val="Bullet1"/>
            </w:pPr>
            <w:r w:rsidRPr="00C160AE">
              <w:rPr>
                <w:b/>
                <w:bCs/>
              </w:rPr>
              <w:t xml:space="preserve">It is </w:t>
            </w:r>
            <w:r>
              <w:rPr>
                <w:b/>
                <w:bCs/>
              </w:rPr>
              <w:t>included</w:t>
            </w:r>
            <w:r w:rsidRPr="00C160AE">
              <w:rPr>
                <w:b/>
                <w:bCs/>
              </w:rPr>
              <w:t xml:space="preserve"> on the Australian Register of Therapeutic Goods (ARTG), or</w:t>
            </w:r>
          </w:p>
          <w:p w14:paraId="0EE46B50" w14:textId="77777777" w:rsidR="00DB018E" w:rsidRPr="00C160AE" w:rsidRDefault="00DB018E" w:rsidP="000242DC">
            <w:pPr>
              <w:pStyle w:val="Bullet1"/>
            </w:pPr>
            <w:r w:rsidRPr="00C160AE">
              <w:rPr>
                <w:b/>
                <w:bCs/>
              </w:rPr>
              <w:t xml:space="preserve">It meets one or more </w:t>
            </w:r>
            <w:r>
              <w:rPr>
                <w:b/>
                <w:bCs/>
              </w:rPr>
              <w:t>Therapeutic Goods Administration (</w:t>
            </w:r>
            <w:r w:rsidRPr="00C160AE">
              <w:rPr>
                <w:b/>
                <w:bCs/>
              </w:rPr>
              <w:t>TGA</w:t>
            </w:r>
            <w:r>
              <w:rPr>
                <w:b/>
                <w:bCs/>
              </w:rPr>
              <w:t>)</w:t>
            </w:r>
            <w:r w:rsidRPr="00C160AE">
              <w:rPr>
                <w:b/>
                <w:bCs/>
              </w:rPr>
              <w:t xml:space="preserve"> exclusion criteria, or </w:t>
            </w:r>
          </w:p>
          <w:p w14:paraId="6BF59FB8" w14:textId="77777777" w:rsidR="00DB018E" w:rsidRPr="00C160AE" w:rsidRDefault="00DB018E" w:rsidP="000242DC">
            <w:pPr>
              <w:pStyle w:val="Bullet1"/>
            </w:pPr>
            <w:r w:rsidRPr="00C160AE">
              <w:rPr>
                <w:b/>
                <w:bCs/>
              </w:rPr>
              <w:t xml:space="preserve">It is clinical decision support software that meets all the TGA exemption criteria and is compliant with TGA requirements. </w:t>
            </w:r>
          </w:p>
        </w:tc>
      </w:tr>
    </w:tbl>
    <w:p w14:paraId="39FA7AC2" w14:textId="77777777" w:rsidR="00DB018E" w:rsidRDefault="00DB018E" w:rsidP="00DB018E">
      <w:pPr>
        <w:pStyle w:val="Body"/>
        <w:spacing w:before="240"/>
      </w:pPr>
      <w:r>
        <w:t>The</w:t>
      </w:r>
      <w:r w:rsidRPr="001B13B6">
        <w:t xml:space="preserve"> definition of</w:t>
      </w:r>
      <w:r>
        <w:t xml:space="preserve"> a</w:t>
      </w:r>
      <w:r w:rsidRPr="001B13B6">
        <w:t xml:space="preserve"> “clinical purpose” </w:t>
      </w:r>
      <w:r>
        <w:t>is aligned to the definition used to define a medical device by the TGA, specifically if the intended purpose is one (or more) of the following:</w:t>
      </w:r>
    </w:p>
    <w:p w14:paraId="594444D5" w14:textId="77777777" w:rsidR="00DB018E" w:rsidRDefault="00DB018E" w:rsidP="00DB018E">
      <w:pPr>
        <w:pStyle w:val="Bullet1"/>
      </w:pPr>
      <w:r w:rsidRPr="00404DB8">
        <w:t>Diagnosis, monitoring, prediction, prognosis, treatment or alleviation of disease, injury or disability</w:t>
      </w:r>
    </w:p>
    <w:p w14:paraId="2B118FD9" w14:textId="77777777" w:rsidR="00DB018E" w:rsidRDefault="00DB018E" w:rsidP="00DB018E">
      <w:pPr>
        <w:pStyle w:val="Bullet1"/>
      </w:pPr>
      <w:r w:rsidRPr="00404DB8">
        <w:t>Prevention of disease</w:t>
      </w:r>
    </w:p>
    <w:p w14:paraId="5BC843F5" w14:textId="77777777" w:rsidR="00DB018E" w:rsidRDefault="00DB018E" w:rsidP="00DB018E">
      <w:pPr>
        <w:pStyle w:val="Bullet1"/>
      </w:pPr>
      <w:r w:rsidRPr="00404DB8">
        <w:t>Compensation for an injury or disability</w:t>
      </w:r>
    </w:p>
    <w:p w14:paraId="2CE3FCD3" w14:textId="77777777" w:rsidR="00DB018E" w:rsidRDefault="00DB018E" w:rsidP="00DB018E">
      <w:pPr>
        <w:pStyle w:val="Bullet1"/>
      </w:pPr>
      <w:r w:rsidRPr="00404DB8">
        <w:t>Investigation, replacement or modification of the anatomy or of a physiological or pathological process or state</w:t>
      </w:r>
    </w:p>
    <w:p w14:paraId="4166F6EE" w14:textId="77777777" w:rsidR="00DB018E" w:rsidRDefault="00DB018E" w:rsidP="00DB018E">
      <w:pPr>
        <w:pStyle w:val="Bullet1"/>
      </w:pPr>
      <w:r w:rsidRPr="00404DB8">
        <w:t>Control or support of conception</w:t>
      </w:r>
    </w:p>
    <w:p w14:paraId="261BDEDB" w14:textId="77777777" w:rsidR="00DB018E" w:rsidRDefault="00DB018E" w:rsidP="00DB018E">
      <w:pPr>
        <w:pStyle w:val="Bullet1"/>
      </w:pPr>
      <w:r>
        <w:t>E</w:t>
      </w:r>
      <w:r w:rsidRPr="005E226E">
        <w:t>xamin</w:t>
      </w:r>
      <w:r>
        <w:t>ation of</w:t>
      </w:r>
      <w:r w:rsidRPr="005E226E">
        <w:t xml:space="preserve"> specimens derived from the human body for a medical purpose.</w:t>
      </w:r>
    </w:p>
    <w:p w14:paraId="16413B99" w14:textId="1DABDC0C" w:rsidR="00DB018E" w:rsidRDefault="00DB018E" w:rsidP="00DB018E">
      <w:pPr>
        <w:pStyle w:val="Body"/>
        <w:spacing w:before="120"/>
      </w:pPr>
      <w:r>
        <w:t>Most A</w:t>
      </w:r>
      <w:r w:rsidRPr="001B13B6">
        <w:t>I solutions</w:t>
      </w:r>
      <w:r>
        <w:t xml:space="preserve"> that are marketed or developed for a clinical purpose will fall within the remit of the Commonwealth TGA. However, the TGA does include criteria that exclude or exempt some AI solutions from the regulation process. The specifications for excluding an AI solution from TGA regulation can be found on the </w:t>
      </w:r>
      <w:hyperlink r:id="rId20" w:history="1">
        <w:r>
          <w:rPr>
            <w:rStyle w:val="Hyperlink"/>
          </w:rPr>
          <w:t>S</w:t>
        </w:r>
        <w:r w:rsidRPr="007B23AB">
          <w:rPr>
            <w:rStyle w:val="Hyperlink"/>
          </w:rPr>
          <w:t xml:space="preserve">oftware-based medical device exclusions </w:t>
        </w:r>
        <w:r>
          <w:rPr>
            <w:rStyle w:val="Hyperlink"/>
          </w:rPr>
          <w:t>guidance</w:t>
        </w:r>
        <w:r w:rsidRPr="007B23AB">
          <w:rPr>
            <w:rStyle w:val="Hyperlink"/>
          </w:rPr>
          <w:t xml:space="preserve"> on the T</w:t>
        </w:r>
        <w:r>
          <w:rPr>
            <w:rStyle w:val="Hyperlink"/>
          </w:rPr>
          <w:t xml:space="preserve">herapeutic </w:t>
        </w:r>
        <w:r w:rsidRPr="007B23AB">
          <w:rPr>
            <w:rStyle w:val="Hyperlink"/>
          </w:rPr>
          <w:t>G</w:t>
        </w:r>
        <w:r>
          <w:rPr>
            <w:rStyle w:val="Hyperlink"/>
          </w:rPr>
          <w:t xml:space="preserve">oods </w:t>
        </w:r>
        <w:r w:rsidRPr="007B23AB">
          <w:rPr>
            <w:rStyle w:val="Hyperlink"/>
          </w:rPr>
          <w:t>A</w:t>
        </w:r>
        <w:r>
          <w:rPr>
            <w:rStyle w:val="Hyperlink"/>
          </w:rPr>
          <w:t>dministration</w:t>
        </w:r>
        <w:r w:rsidRPr="007B23AB">
          <w:rPr>
            <w:rStyle w:val="Hyperlink"/>
          </w:rPr>
          <w:t xml:space="preserve"> website</w:t>
        </w:r>
      </w:hyperlink>
      <w:r>
        <w:rPr>
          <w:rStyle w:val="FootnoteReference"/>
        </w:rPr>
        <w:footnoteReference w:id="5"/>
      </w:r>
      <w:r>
        <w:t xml:space="preserve">. If the AI </w:t>
      </w:r>
      <w:r w:rsidR="00C46426">
        <w:t>so</w:t>
      </w:r>
      <w:r w:rsidR="005129C1">
        <w:t>ftware</w:t>
      </w:r>
      <w:r>
        <w:t xml:space="preserve"> has multiple functions or is intended to be used in more than one clinical environment, then all these functions and use-cases must meet one (or more) of the criteria for the product to be exempt from regulation. </w:t>
      </w:r>
    </w:p>
    <w:p w14:paraId="5F980D5C" w14:textId="77777777" w:rsidR="00DB018E" w:rsidRDefault="00DB018E" w:rsidP="00DB018E">
      <w:pPr>
        <w:pStyle w:val="Body"/>
        <w:spacing w:before="120"/>
      </w:pPr>
      <w:r>
        <w:t xml:space="preserve">This standard is applicable to commercially available AI solutions and those developed by VPHS - irrespective of intention to scale or market to other services. In the event that a VPHS develops an AI solution that meets the criteria for TGA regulation, the service would act as the vendor and sponsor for the regulatory assessment. </w:t>
      </w:r>
    </w:p>
    <w:p w14:paraId="674565C6" w14:textId="77777777" w:rsidR="00DB018E" w:rsidRDefault="00DB018E" w:rsidP="00DB018E">
      <w:pPr>
        <w:pStyle w:val="Body"/>
      </w:pPr>
      <w:r>
        <w:t xml:space="preserve">Some low-risk clinical decision support software (CDSS) </w:t>
      </w:r>
      <w:r w:rsidRPr="00D80EE9">
        <w:t xml:space="preserve">is not required to be </w:t>
      </w:r>
      <w:r>
        <w:t>included</w:t>
      </w:r>
      <w:r w:rsidRPr="00D80EE9">
        <w:t xml:space="preserve"> in the ARTG</w:t>
      </w:r>
      <w:r>
        <w:t xml:space="preserve"> if the solution meets all the TGA exemption criteria</w:t>
      </w:r>
      <w:r w:rsidRPr="00D80EE9">
        <w:t>.</w:t>
      </w:r>
      <w:r>
        <w:t xml:space="preserve"> Note that for CDSS to be exempt from ARTG inclusion, the software must </w:t>
      </w:r>
      <w:r w:rsidRPr="005E226E">
        <w:t>be transparent in how it generates recommendations (i.e. cannot use proprietary analysis or AI</w:t>
      </w:r>
      <w:r>
        <w:t xml:space="preserve"> </w:t>
      </w:r>
      <w:r>
        <w:lastRenderedPageBreak/>
        <w:t>models</w:t>
      </w:r>
      <w:r w:rsidRPr="005E226E">
        <w:t xml:space="preserve"> to generate recommendations)</w:t>
      </w:r>
      <w:r>
        <w:t xml:space="preserve"> and must </w:t>
      </w:r>
      <w:r w:rsidRPr="005E226E">
        <w:t xml:space="preserve">provide information </w:t>
      </w:r>
      <w:r>
        <w:t>t</w:t>
      </w:r>
      <w:r w:rsidRPr="005E226E">
        <w:t>hat allows the health professional to easily understand and verify the accuracy of the recommendation</w:t>
      </w:r>
      <w:r>
        <w:t>.</w:t>
      </w:r>
    </w:p>
    <w:p w14:paraId="6C5E5796" w14:textId="77777777" w:rsidR="00DB018E" w:rsidRPr="00D80EE9" w:rsidRDefault="00DB018E" w:rsidP="00DB018E">
      <w:pPr>
        <w:pStyle w:val="Body"/>
      </w:pPr>
      <w:r>
        <w:t>T</w:t>
      </w:r>
      <w:r w:rsidRPr="00D80EE9">
        <w:t>he following requirements apply</w:t>
      </w:r>
      <w:r>
        <w:t xml:space="preserve"> to exempt CDSS</w:t>
      </w:r>
      <w:r w:rsidRPr="00D80EE9">
        <w:t>:</w:t>
      </w:r>
    </w:p>
    <w:p w14:paraId="7A52FC97" w14:textId="77777777" w:rsidR="00DB018E" w:rsidRPr="00D80EE9" w:rsidRDefault="00DB018E" w:rsidP="00DB018E">
      <w:pPr>
        <w:pStyle w:val="Bullet1"/>
      </w:pPr>
      <w:r w:rsidRPr="00D80EE9">
        <w:t>Sponsors (suppliers) must notify the TGA of their exempt C</w:t>
      </w:r>
      <w:r>
        <w:t xml:space="preserve">linical </w:t>
      </w:r>
      <w:r w:rsidRPr="00D80EE9">
        <w:t>D</w:t>
      </w:r>
      <w:r>
        <w:t xml:space="preserve">ecision </w:t>
      </w:r>
      <w:r w:rsidRPr="00D80EE9">
        <w:t>S</w:t>
      </w:r>
      <w:r>
        <w:t xml:space="preserve">upport </w:t>
      </w:r>
      <w:r w:rsidRPr="00D80EE9">
        <w:t>S</w:t>
      </w:r>
      <w:r>
        <w:t>oftware (CDSS)</w:t>
      </w:r>
      <w:r w:rsidRPr="00D80EE9">
        <w:t xml:space="preserve"> devices</w:t>
      </w:r>
      <w:r>
        <w:t xml:space="preserve"> within 30 working days of supply by submitting a </w:t>
      </w:r>
      <w:hyperlink r:id="rId21" w:history="1">
        <w:r w:rsidRPr="00A57FAE">
          <w:rPr>
            <w:rStyle w:val="Hyperlink"/>
          </w:rPr>
          <w:t>notification form found on the Therapeutic Goods Administration website</w:t>
        </w:r>
      </w:hyperlink>
      <w:r>
        <w:rPr>
          <w:rStyle w:val="FootnoteReference"/>
        </w:rPr>
        <w:footnoteReference w:id="6"/>
      </w:r>
      <w:r>
        <w:t xml:space="preserve">. </w:t>
      </w:r>
    </w:p>
    <w:p w14:paraId="5CB12AA9" w14:textId="77777777" w:rsidR="00DB018E" w:rsidRPr="00D80EE9" w:rsidRDefault="00DB018E" w:rsidP="00DB018E">
      <w:pPr>
        <w:pStyle w:val="Bullet1"/>
      </w:pPr>
      <w:r w:rsidRPr="00D80EE9">
        <w:t>Sponsors of exempt devices must ensure the devices meet the relevant essential principles for safety and performance of medical devices. The essential principles describe the fundamental design and manufacturing legislative requirements. More information on the essential principles can be found in the</w:t>
      </w:r>
      <w:r>
        <w:t xml:space="preserve"> </w:t>
      </w:r>
      <w:hyperlink r:id="rId22" w:history="1">
        <w:r w:rsidRPr="008B6418">
          <w:rPr>
            <w:rStyle w:val="Hyperlink"/>
          </w:rPr>
          <w:t>Australian Regulatory Guidelines for Medical Devices (ARGMD) on the Therapeutics Goods Administration website</w:t>
        </w:r>
      </w:hyperlink>
      <w:r>
        <w:rPr>
          <w:rStyle w:val="FootnoteReference"/>
        </w:rPr>
        <w:footnoteReference w:id="7"/>
      </w:r>
      <w:r>
        <w:t xml:space="preserve"> </w:t>
      </w:r>
    </w:p>
    <w:p w14:paraId="13BE6E56" w14:textId="77777777" w:rsidR="00DB018E" w:rsidRPr="00D80EE9" w:rsidRDefault="00DB018E" w:rsidP="00DB018E">
      <w:pPr>
        <w:pStyle w:val="Bullet1"/>
      </w:pPr>
      <w:r w:rsidRPr="00D80EE9">
        <w:t>The TGA can take regulatory action such as a</w:t>
      </w:r>
      <w:r>
        <w:t xml:space="preserve"> </w:t>
      </w:r>
      <w:hyperlink r:id="rId23" w:tooltip="Recalls" w:history="1">
        <w:r w:rsidRPr="00D80EE9">
          <w:rPr>
            <w:rStyle w:val="Hyperlink"/>
            <w:color w:val="auto"/>
            <w:u w:val="none"/>
          </w:rPr>
          <w:t>recall</w:t>
        </w:r>
      </w:hyperlink>
      <w:r>
        <w:t xml:space="preserve"> </w:t>
      </w:r>
      <w:r w:rsidRPr="00D80EE9">
        <w:t>or issuing a hazard alert if there is a problem with the device.</w:t>
      </w:r>
    </w:p>
    <w:p w14:paraId="0B9BA406" w14:textId="77777777" w:rsidR="00DB018E" w:rsidRDefault="00DB018E" w:rsidP="00DB018E">
      <w:pPr>
        <w:pStyle w:val="Bullet1"/>
      </w:pPr>
      <w:r w:rsidRPr="00D80EE9">
        <w:t>Sponsors must</w:t>
      </w:r>
      <w:r>
        <w:t xml:space="preserve"> </w:t>
      </w:r>
      <w:r w:rsidRPr="0028094C">
        <w:t>report adverse events to the TGA</w:t>
      </w:r>
      <w:r>
        <w:t xml:space="preserve">. Further information on </w:t>
      </w:r>
      <w:hyperlink r:id="rId24" w:history="1">
        <w:r w:rsidRPr="001436C6">
          <w:rPr>
            <w:rStyle w:val="Hyperlink"/>
          </w:rPr>
          <w:t>reporting adverse events to the TGA can be found on the Therapeutic Goods Administration website</w:t>
        </w:r>
      </w:hyperlink>
      <w:r>
        <w:rPr>
          <w:rStyle w:val="FootnoteReference"/>
        </w:rPr>
        <w:footnoteReference w:id="8"/>
      </w:r>
      <w:r>
        <w:t>.</w:t>
      </w:r>
    </w:p>
    <w:p w14:paraId="6CF0384B" w14:textId="59407A6F" w:rsidR="00DB018E" w:rsidRDefault="00DB018E" w:rsidP="00DB018E">
      <w:pPr>
        <w:pStyle w:val="Body"/>
        <w:spacing w:before="120"/>
      </w:pPr>
      <w:r>
        <w:t xml:space="preserve">For further information, including when the exemptions criteria apply, visit the </w:t>
      </w:r>
      <w:hyperlink r:id="rId25" w:history="1">
        <w:r w:rsidRPr="00B65A87">
          <w:rPr>
            <w:rStyle w:val="Hyperlink"/>
          </w:rPr>
          <w:t>understanding CDSS rules guidance on the Therapeutic Goods Administra</w:t>
        </w:r>
        <w:r w:rsidRPr="00B65A87">
          <w:rPr>
            <w:rStyle w:val="Hyperlink"/>
          </w:rPr>
          <w:t>t</w:t>
        </w:r>
        <w:r w:rsidRPr="00B65A87">
          <w:rPr>
            <w:rStyle w:val="Hyperlink"/>
          </w:rPr>
          <w:t>ion website</w:t>
        </w:r>
      </w:hyperlink>
      <w:r w:rsidR="006B472D">
        <w:rPr>
          <w:rStyle w:val="FootnoteReference"/>
        </w:rPr>
        <w:footnoteReference w:id="9"/>
      </w:r>
    </w:p>
    <w:p w14:paraId="56AC8556" w14:textId="77777777" w:rsidR="00DB018E" w:rsidRDefault="00DB018E" w:rsidP="00DB018E">
      <w:pPr>
        <w:pStyle w:val="Body"/>
        <w:spacing w:before="120"/>
      </w:pPr>
      <w:r>
        <w:t>For the Victorian Department of Health’s requirements for AI solutions that have a clinical purpose but are excluded from TGA regulation, refer to standard 3.2.</w:t>
      </w:r>
    </w:p>
    <w:p w14:paraId="33842A41" w14:textId="77777777" w:rsidR="00DB018E" w:rsidRDefault="00DB018E" w:rsidP="00DB018E">
      <w:pPr>
        <w:pStyle w:val="Heading1"/>
      </w:pPr>
      <w:r>
        <w:lastRenderedPageBreak/>
        <w:t xml:space="preserve">Category B: Clinical use of AI that has not been specifically developed for such purposes or excluded from TGA regulation </w:t>
      </w:r>
    </w:p>
    <w:tbl>
      <w:tblPr>
        <w:tblStyle w:val="TableGrid"/>
        <w:tblW w:w="0" w:type="auto"/>
        <w:tblLook w:val="04A0" w:firstRow="1" w:lastRow="0" w:firstColumn="1" w:lastColumn="0" w:noHBand="0" w:noVBand="1"/>
      </w:tblPr>
      <w:tblGrid>
        <w:gridCol w:w="10194"/>
      </w:tblGrid>
      <w:tr w:rsidR="00DB018E" w:rsidRPr="001C3D10" w14:paraId="3B85BFD7" w14:textId="77777777" w:rsidTr="000242DC">
        <w:trPr>
          <w:trHeight w:val="5230"/>
        </w:trPr>
        <w:tc>
          <w:tcPr>
            <w:tcW w:w="10194" w:type="dxa"/>
            <w:shd w:val="clear" w:color="auto" w:fill="F2F2F2" w:themeFill="background1" w:themeFillShade="F2"/>
          </w:tcPr>
          <w:p w14:paraId="7055DCAC" w14:textId="77777777" w:rsidR="00DB018E" w:rsidRPr="001C3D10" w:rsidRDefault="00DB018E" w:rsidP="000242DC">
            <w:pPr>
              <w:pStyle w:val="Body"/>
              <w:rPr>
                <w:b/>
                <w:bCs/>
              </w:rPr>
            </w:pPr>
            <w:r w:rsidRPr="001C3D10">
              <w:rPr>
                <w:b/>
                <w:bCs/>
              </w:rPr>
              <w:t xml:space="preserve">Standard </w:t>
            </w:r>
            <w:r>
              <w:rPr>
                <w:b/>
                <w:bCs/>
              </w:rPr>
              <w:t>3</w:t>
            </w:r>
            <w:r w:rsidRPr="001C3D10">
              <w:rPr>
                <w:b/>
                <w:bCs/>
              </w:rPr>
              <w:t xml:space="preserve">.1. </w:t>
            </w:r>
            <w:r w:rsidRPr="00440801">
              <w:rPr>
                <w:b/>
                <w:bCs/>
              </w:rPr>
              <w:t xml:space="preserve">VPHS must exercise heightened caution when considering the clinical use of AI </w:t>
            </w:r>
            <w:r>
              <w:rPr>
                <w:b/>
                <w:bCs/>
              </w:rPr>
              <w:t>solutions</w:t>
            </w:r>
            <w:r w:rsidRPr="00440801">
              <w:rPr>
                <w:b/>
                <w:bCs/>
              </w:rPr>
              <w:t xml:space="preserve"> that were not originally developed or marketed for clinical </w:t>
            </w:r>
            <w:r>
              <w:rPr>
                <w:b/>
                <w:bCs/>
              </w:rPr>
              <w:t>purposes or those excluded from TGA regulation</w:t>
            </w:r>
            <w:r w:rsidRPr="00440801">
              <w:rPr>
                <w:b/>
                <w:bCs/>
              </w:rPr>
              <w:t>.</w:t>
            </w:r>
            <w:r>
              <w:rPr>
                <w:b/>
                <w:bCs/>
              </w:rPr>
              <w:t xml:space="preserve"> At minimum VPHS should:</w:t>
            </w:r>
          </w:p>
          <w:p w14:paraId="28FFA341" w14:textId="77777777" w:rsidR="00DB018E" w:rsidRPr="001C3D10" w:rsidRDefault="00DB018E" w:rsidP="000242DC">
            <w:pPr>
              <w:pStyle w:val="Bullet1"/>
              <w:rPr>
                <w:b/>
                <w:bCs/>
              </w:rPr>
            </w:pPr>
            <w:r>
              <w:rPr>
                <w:b/>
                <w:bCs/>
              </w:rPr>
              <w:t>Conduct a formal assessment of the solution specific to the intended use-case and establish clear mechanisms for ongoing monitoring</w:t>
            </w:r>
            <w:r w:rsidRPr="006C2C79">
              <w:rPr>
                <w:b/>
                <w:bCs/>
              </w:rPr>
              <w:t>.</w:t>
            </w:r>
            <w:r>
              <w:rPr>
                <w:b/>
                <w:bCs/>
              </w:rPr>
              <w:t xml:space="preserve"> </w:t>
            </w:r>
            <w:r w:rsidRPr="006C2C79">
              <w:rPr>
                <w:b/>
                <w:bCs/>
              </w:rPr>
              <w:t>This should include consideration of ethical implications including bias, equity and transparency in outputs.</w:t>
            </w:r>
          </w:p>
          <w:p w14:paraId="7226B653" w14:textId="77777777" w:rsidR="00DB018E" w:rsidRPr="001C3D10" w:rsidRDefault="00DB018E" w:rsidP="000242DC">
            <w:pPr>
              <w:pStyle w:val="Bullet1"/>
              <w:rPr>
                <w:b/>
                <w:bCs/>
              </w:rPr>
            </w:pPr>
            <w:r>
              <w:rPr>
                <w:b/>
                <w:bCs/>
              </w:rPr>
              <w:t>Conduct a privacy impact assessment and ensure compliance with relevant privacy and security legislation and requirements.</w:t>
            </w:r>
          </w:p>
          <w:p w14:paraId="522D7374" w14:textId="77777777" w:rsidR="00DB018E" w:rsidRPr="001C3D10" w:rsidRDefault="00DB018E" w:rsidP="000242DC">
            <w:pPr>
              <w:pStyle w:val="Bullet1"/>
              <w:rPr>
                <w:b/>
                <w:bCs/>
              </w:rPr>
            </w:pPr>
            <w:r>
              <w:rPr>
                <w:b/>
                <w:bCs/>
              </w:rPr>
              <w:t>Develop clear guidance and processes for when and how patient consent should be obtained.</w:t>
            </w:r>
          </w:p>
          <w:p w14:paraId="34B31929" w14:textId="16276FDD" w:rsidR="00DB018E" w:rsidRDefault="00DB018E" w:rsidP="000242DC">
            <w:pPr>
              <w:pStyle w:val="Bullet1"/>
              <w:rPr>
                <w:b/>
                <w:bCs/>
              </w:rPr>
            </w:pPr>
            <w:r w:rsidRPr="006975C1">
              <w:rPr>
                <w:b/>
                <w:bCs/>
              </w:rPr>
              <w:t xml:space="preserve">Ensure clinicians understand the </w:t>
            </w:r>
            <w:r w:rsidR="003D55AF">
              <w:rPr>
                <w:b/>
                <w:bCs/>
              </w:rPr>
              <w:t>solution</w:t>
            </w:r>
            <w:r w:rsidRPr="006975C1">
              <w:rPr>
                <w:b/>
                <w:bCs/>
              </w:rPr>
              <w:t>’s functionality, limitations, and evidence base, and can communicate these to patients.</w:t>
            </w:r>
          </w:p>
          <w:p w14:paraId="55D90293" w14:textId="77777777" w:rsidR="00DB018E" w:rsidRDefault="00DB018E" w:rsidP="000242DC">
            <w:pPr>
              <w:pStyle w:val="Bullet1"/>
              <w:rPr>
                <w:b/>
                <w:bCs/>
              </w:rPr>
            </w:pPr>
            <w:r>
              <w:rPr>
                <w:b/>
                <w:bCs/>
              </w:rPr>
              <w:t xml:space="preserve">Ensure that clinical treatments, diagnoses or management options are not based solely on artefacts derived from such AI solutions.  </w:t>
            </w:r>
          </w:p>
          <w:p w14:paraId="0144A297" w14:textId="77777777" w:rsidR="00DB018E" w:rsidRDefault="00DB018E" w:rsidP="000242DC">
            <w:pPr>
              <w:pStyle w:val="Bullet1"/>
              <w:rPr>
                <w:b/>
                <w:bCs/>
              </w:rPr>
            </w:pPr>
            <w:r>
              <w:rPr>
                <w:b/>
                <w:bCs/>
              </w:rPr>
              <w:t xml:space="preserve">Ensure </w:t>
            </w:r>
            <w:r w:rsidRPr="001C3D10">
              <w:rPr>
                <w:b/>
                <w:bCs/>
              </w:rPr>
              <w:t>there is adequate training support available regarding ethical use of AI, data privacy and cyber security.</w:t>
            </w:r>
          </w:p>
          <w:p w14:paraId="411E1E86" w14:textId="77777777" w:rsidR="00DB018E" w:rsidRPr="001C3D10" w:rsidRDefault="00DB018E" w:rsidP="000242DC">
            <w:pPr>
              <w:pStyle w:val="Bullet1"/>
              <w:rPr>
                <w:b/>
                <w:bCs/>
              </w:rPr>
            </w:pPr>
            <w:r>
              <w:rPr>
                <w:b/>
                <w:bCs/>
              </w:rPr>
              <w:t>Maintain clear records of the AI solution’s intended use, approval pathway and ongoing monitoring.</w:t>
            </w:r>
          </w:p>
        </w:tc>
      </w:tr>
    </w:tbl>
    <w:p w14:paraId="151D7326" w14:textId="7815F621" w:rsidR="00DB018E" w:rsidRDefault="00DB018E" w:rsidP="00DB018E">
      <w:pPr>
        <w:pStyle w:val="Body"/>
        <w:spacing w:before="240"/>
      </w:pPr>
      <w:r>
        <w:t>If an AI solution is not marketed or developed for a clinical purpose, it is not within the scope of TGA regulation, irrespective of how it may be used. M</w:t>
      </w:r>
      <w:r w:rsidRPr="001307D7">
        <w:t>any</w:t>
      </w:r>
      <w:r>
        <w:t xml:space="preserve"> “broad”</w:t>
      </w:r>
      <w:r w:rsidRPr="001307D7">
        <w:t xml:space="preserve"> AI </w:t>
      </w:r>
      <w:r>
        <w:t>solutions, including those leveraging large language models,</w:t>
      </w:r>
      <w:r w:rsidRPr="001307D7">
        <w:t xml:space="preserve"> </w:t>
      </w:r>
      <w:r>
        <w:t>could</w:t>
      </w:r>
      <w:r w:rsidRPr="001307D7">
        <w:t xml:space="preserve"> be used within a clinical setting. </w:t>
      </w:r>
      <w:r w:rsidRPr="007707C0">
        <w:t xml:space="preserve">However, these </w:t>
      </w:r>
      <w:r>
        <w:t>solutions</w:t>
      </w:r>
      <w:r w:rsidRPr="007707C0">
        <w:t xml:space="preserve"> are typically designed for multi-domain use rather than being specifically intended for healthcare.</w:t>
      </w:r>
      <w:r>
        <w:t xml:space="preserve"> </w:t>
      </w:r>
      <w:r w:rsidRPr="004B2C34">
        <w:t xml:space="preserve">In the absence of AI falling under TGA regulation, there is a far greater </w:t>
      </w:r>
      <w:r w:rsidR="00C47828">
        <w:t>responsibility</w:t>
      </w:r>
      <w:r w:rsidRPr="004B2C34">
        <w:t xml:space="preserve"> on the health service and healthcare providers to ensure the safety, quality, reliability, and performance of any AI solution which will be used in a clinical setting. </w:t>
      </w:r>
      <w:r>
        <w:t>O</w:t>
      </w:r>
      <w:r w:rsidRPr="004B2C34">
        <w:t xml:space="preserve">rganisation and healthcare providers </w:t>
      </w:r>
      <w:r>
        <w:t>must</w:t>
      </w:r>
      <w:r w:rsidRPr="004B2C34">
        <w:t xml:space="preserve"> generate, collate, assess, and maintain scientific and clinical evidence of the </w:t>
      </w:r>
      <w:r>
        <w:t>performance and outcomes</w:t>
      </w:r>
      <w:r w:rsidRPr="004B2C34">
        <w:t xml:space="preserve"> of the solution.</w:t>
      </w:r>
    </w:p>
    <w:p w14:paraId="25D73CB1" w14:textId="70324F28" w:rsidR="00DB018E" w:rsidRPr="004B2C34" w:rsidRDefault="00DB018E" w:rsidP="00DB018E">
      <w:pPr>
        <w:pStyle w:val="Body"/>
      </w:pPr>
      <w:r w:rsidRPr="004B2C34">
        <w:t xml:space="preserve">The Victorian Department of Health considers the clinical use of broad AI </w:t>
      </w:r>
      <w:r w:rsidR="00C47828">
        <w:t>solution</w:t>
      </w:r>
      <w:r w:rsidRPr="007F5016">
        <w:t xml:space="preserve">s to present significant patient, service and system risk if not </w:t>
      </w:r>
      <w:r w:rsidR="00685E92">
        <w:t xml:space="preserve">appropriately </w:t>
      </w:r>
      <w:r w:rsidRPr="007F5016">
        <w:t>governed. This standard outlines the minimum criteria VPHS should apply to ensure the safety of such AI solutions</w:t>
      </w:r>
      <w:r>
        <w:t>.</w:t>
      </w:r>
      <w:r w:rsidRPr="004B2C34">
        <w:t xml:space="preserve"> </w:t>
      </w:r>
    </w:p>
    <w:p w14:paraId="4D401B81" w14:textId="77777777" w:rsidR="00DB018E" w:rsidRPr="001307D7" w:rsidRDefault="00DB018E" w:rsidP="00DB018E">
      <w:pPr>
        <w:pStyle w:val="Body"/>
        <w:rPr>
          <w:b/>
          <w:bCs/>
        </w:rPr>
      </w:pPr>
      <w:r>
        <w:t>The standards outlined in this section are also applicable to those AI solutions that have a clinical purpose but are currently excluded from the TGA regulation process.</w:t>
      </w:r>
    </w:p>
    <w:p w14:paraId="2F6C0F76" w14:textId="77777777" w:rsidR="00DB018E" w:rsidRPr="001307D7" w:rsidRDefault="00DB018E" w:rsidP="00DB018E">
      <w:pPr>
        <w:pStyle w:val="Heading1"/>
      </w:pPr>
      <w:r>
        <w:lastRenderedPageBreak/>
        <w:t xml:space="preserve">Category C: </w:t>
      </w:r>
      <w:r w:rsidRPr="00936D8A">
        <w:t>AI</w:t>
      </w:r>
      <w:r>
        <w:t xml:space="preserve"> solutions that do not have a clin</w:t>
      </w:r>
      <w:r w:rsidRPr="00936D8A">
        <w:t xml:space="preserve">ical purpose </w:t>
      </w:r>
    </w:p>
    <w:tbl>
      <w:tblPr>
        <w:tblStyle w:val="TableGrid"/>
        <w:tblW w:w="0" w:type="auto"/>
        <w:tblLook w:val="04A0" w:firstRow="1" w:lastRow="0" w:firstColumn="1" w:lastColumn="0" w:noHBand="0" w:noVBand="1"/>
      </w:tblPr>
      <w:tblGrid>
        <w:gridCol w:w="10194"/>
      </w:tblGrid>
      <w:tr w:rsidR="00DB018E" w:rsidRPr="001416A5" w14:paraId="68B4623D" w14:textId="77777777" w:rsidTr="000242DC">
        <w:trPr>
          <w:trHeight w:val="2890"/>
        </w:trPr>
        <w:tc>
          <w:tcPr>
            <w:tcW w:w="10194" w:type="dxa"/>
            <w:shd w:val="clear" w:color="auto" w:fill="F2F2F2" w:themeFill="background1" w:themeFillShade="F2"/>
          </w:tcPr>
          <w:p w14:paraId="5F99F569" w14:textId="77777777" w:rsidR="00DB018E" w:rsidRPr="001416A5" w:rsidRDefault="00DB018E" w:rsidP="000242DC">
            <w:pPr>
              <w:pStyle w:val="Body"/>
              <w:rPr>
                <w:b/>
                <w:bCs/>
              </w:rPr>
            </w:pPr>
            <w:r w:rsidRPr="001416A5">
              <w:rPr>
                <w:b/>
                <w:bCs/>
              </w:rPr>
              <w:t xml:space="preserve">Standard </w:t>
            </w:r>
            <w:r>
              <w:rPr>
                <w:b/>
                <w:bCs/>
              </w:rPr>
              <w:t>4</w:t>
            </w:r>
            <w:r w:rsidRPr="001416A5">
              <w:rPr>
                <w:b/>
                <w:bCs/>
              </w:rPr>
              <w:t>.</w:t>
            </w:r>
            <w:r>
              <w:rPr>
                <w:b/>
                <w:bCs/>
              </w:rPr>
              <w:t>1</w:t>
            </w:r>
            <w:r w:rsidRPr="001416A5">
              <w:rPr>
                <w:b/>
                <w:bCs/>
              </w:rPr>
              <w:t xml:space="preserve">. </w:t>
            </w:r>
            <w:r w:rsidRPr="00052E58">
              <w:rPr>
                <w:b/>
                <w:bCs/>
              </w:rPr>
              <w:t>AI solutions not developed or intended for clinical use</w:t>
            </w:r>
            <w:r>
              <w:rPr>
                <w:b/>
                <w:bCs/>
              </w:rPr>
              <w:t xml:space="preserve">, </w:t>
            </w:r>
            <w:r w:rsidRPr="00052E58">
              <w:rPr>
                <w:b/>
                <w:bCs/>
              </w:rPr>
              <w:t>such as those supporting administrative, operational, or corporate functions</w:t>
            </w:r>
            <w:r>
              <w:rPr>
                <w:b/>
                <w:bCs/>
              </w:rPr>
              <w:t>,</w:t>
            </w:r>
            <w:r w:rsidRPr="00052E58">
              <w:rPr>
                <w:b/>
                <w:bCs/>
              </w:rPr>
              <w:t xml:space="preserve"> may pose lower direct risks </w:t>
            </w:r>
            <w:r>
              <w:rPr>
                <w:b/>
                <w:bCs/>
              </w:rPr>
              <w:t xml:space="preserve">than those used for clinical purposes </w:t>
            </w:r>
            <w:r w:rsidRPr="00052E58">
              <w:rPr>
                <w:b/>
                <w:bCs/>
              </w:rPr>
              <w:t>but still require careful oversight to ensure responsible implementation</w:t>
            </w:r>
            <w:r>
              <w:rPr>
                <w:b/>
                <w:bCs/>
              </w:rPr>
              <w:t xml:space="preserve">. At a minimum </w:t>
            </w:r>
            <w:r w:rsidRPr="001416A5">
              <w:rPr>
                <w:b/>
                <w:bCs/>
              </w:rPr>
              <w:t>VPHS</w:t>
            </w:r>
            <w:r>
              <w:rPr>
                <w:b/>
                <w:bCs/>
              </w:rPr>
              <w:t xml:space="preserve"> should:</w:t>
            </w:r>
          </w:p>
          <w:p w14:paraId="3068AB4A" w14:textId="77777777" w:rsidR="00DB018E" w:rsidRDefault="00DB018E" w:rsidP="000242DC">
            <w:pPr>
              <w:pStyle w:val="Bullet1"/>
              <w:rPr>
                <w:b/>
                <w:bCs/>
              </w:rPr>
            </w:pPr>
            <w:r>
              <w:rPr>
                <w:b/>
                <w:bCs/>
              </w:rPr>
              <w:t>Validate the solution for its intended use including:</w:t>
            </w:r>
          </w:p>
          <w:p w14:paraId="3A80102C" w14:textId="77777777" w:rsidR="00DB018E" w:rsidRPr="007A6A57" w:rsidRDefault="00DB018E" w:rsidP="000242DC">
            <w:pPr>
              <w:pStyle w:val="Bullet2"/>
              <w:rPr>
                <w:b/>
              </w:rPr>
            </w:pPr>
            <w:r>
              <w:rPr>
                <w:b/>
                <w:bCs/>
              </w:rPr>
              <w:t>Validating</w:t>
            </w:r>
            <w:r w:rsidRPr="007A6A57">
              <w:rPr>
                <w:b/>
              </w:rPr>
              <w:t xml:space="preserve"> that the solution performs reliably, safely and as expected in the local context </w:t>
            </w:r>
            <w:r>
              <w:rPr>
                <w:b/>
                <w:bCs/>
              </w:rPr>
              <w:t>for the intended purpose.</w:t>
            </w:r>
          </w:p>
          <w:p w14:paraId="5DF93D1A" w14:textId="77777777" w:rsidR="00DB018E" w:rsidRPr="001416A5" w:rsidRDefault="00DB018E" w:rsidP="000242DC">
            <w:pPr>
              <w:pStyle w:val="Bullet2"/>
              <w:rPr>
                <w:b/>
                <w:bCs/>
              </w:rPr>
            </w:pPr>
            <w:r>
              <w:rPr>
                <w:b/>
                <w:bCs/>
              </w:rPr>
              <w:t>Validating that t</w:t>
            </w:r>
            <w:r w:rsidRPr="001416A5">
              <w:rPr>
                <w:b/>
                <w:bCs/>
              </w:rPr>
              <w:t xml:space="preserve">he algorithm </w:t>
            </w:r>
            <w:r>
              <w:rPr>
                <w:b/>
                <w:bCs/>
              </w:rPr>
              <w:t>model design,</w:t>
            </w:r>
            <w:r w:rsidRPr="001416A5">
              <w:rPr>
                <w:b/>
                <w:bCs/>
              </w:rPr>
              <w:t xml:space="preserve"> </w:t>
            </w:r>
            <w:r>
              <w:rPr>
                <w:b/>
                <w:bCs/>
              </w:rPr>
              <w:t>training, testing and tuning,</w:t>
            </w:r>
            <w:r w:rsidRPr="001416A5">
              <w:rPr>
                <w:b/>
                <w:bCs/>
              </w:rPr>
              <w:t xml:space="preserve"> </w:t>
            </w:r>
            <w:r>
              <w:rPr>
                <w:b/>
                <w:bCs/>
              </w:rPr>
              <w:t>and t</w:t>
            </w:r>
            <w:r w:rsidRPr="00AA67FD">
              <w:rPr>
                <w:b/>
                <w:bCs/>
              </w:rPr>
              <w:t>he</w:t>
            </w:r>
            <w:r w:rsidRPr="001416A5">
              <w:rPr>
                <w:b/>
                <w:bCs/>
              </w:rPr>
              <w:t xml:space="preserve"> data used for training and testing </w:t>
            </w:r>
            <w:r>
              <w:rPr>
                <w:b/>
                <w:bCs/>
              </w:rPr>
              <w:t>are appropriate for the VPHS context.</w:t>
            </w:r>
          </w:p>
          <w:p w14:paraId="3DA9F579" w14:textId="77777777" w:rsidR="00DB018E" w:rsidRPr="001416A5" w:rsidRDefault="00DB018E" w:rsidP="000242DC">
            <w:pPr>
              <w:pStyle w:val="Bullet1"/>
              <w:rPr>
                <w:b/>
                <w:bCs/>
              </w:rPr>
            </w:pPr>
            <w:r>
              <w:rPr>
                <w:b/>
                <w:bCs/>
              </w:rPr>
              <w:t xml:space="preserve">Assess the solution against applicable privacy legislation and cyber security standards and determine if implementation of the solution meets the </w:t>
            </w:r>
            <w:hyperlink r:id="rId26" w:history="1">
              <w:r w:rsidRPr="00C73C48">
                <w:rPr>
                  <w:rStyle w:val="Hyperlink"/>
                  <w:b/>
                  <w:bCs/>
                </w:rPr>
                <w:t>Office of the Victorian Information Commissioner (OVIC) threshold for a  Privacy Impact Assessment</w:t>
              </w:r>
            </w:hyperlink>
            <w:r>
              <w:rPr>
                <w:rStyle w:val="FootnoteReference"/>
                <w:b/>
                <w:bCs/>
              </w:rPr>
              <w:footnoteReference w:id="10"/>
            </w:r>
            <w:r>
              <w:rPr>
                <w:b/>
                <w:bCs/>
              </w:rPr>
              <w:t>.</w:t>
            </w:r>
          </w:p>
          <w:p w14:paraId="3C3AF36E" w14:textId="77777777" w:rsidR="00DB018E" w:rsidRPr="001416A5" w:rsidRDefault="00DB018E" w:rsidP="000242DC">
            <w:pPr>
              <w:pStyle w:val="Bullet1"/>
              <w:rPr>
                <w:b/>
                <w:bCs/>
              </w:rPr>
            </w:pPr>
            <w:r>
              <w:rPr>
                <w:b/>
                <w:bCs/>
              </w:rPr>
              <w:t>Ensure that all users are trained in the appropriate use of the solution and understand its limitations</w:t>
            </w:r>
          </w:p>
          <w:p w14:paraId="3C999FF3" w14:textId="77777777" w:rsidR="00DB018E" w:rsidRPr="000B71E1" w:rsidRDefault="00DB018E" w:rsidP="000242DC">
            <w:pPr>
              <w:pStyle w:val="Bullet1"/>
              <w:rPr>
                <w:b/>
                <w:bCs/>
              </w:rPr>
            </w:pPr>
            <w:r w:rsidRPr="000B71E1">
              <w:rPr>
                <w:b/>
                <w:bCs/>
              </w:rPr>
              <w:t>Ensure all</w:t>
            </w:r>
            <w:r w:rsidRPr="001416A5">
              <w:rPr>
                <w:b/>
                <w:bCs/>
              </w:rPr>
              <w:t xml:space="preserve"> users of the AI solution </w:t>
            </w:r>
            <w:r w:rsidRPr="000B71E1">
              <w:rPr>
                <w:b/>
                <w:bCs/>
              </w:rPr>
              <w:t>are</w:t>
            </w:r>
            <w:r w:rsidRPr="001416A5">
              <w:rPr>
                <w:b/>
                <w:bCs/>
              </w:rPr>
              <w:t xml:space="preserve"> registered by the VPHS and there is adequate training support available regarding ethical use of AI, data privacy and cyber security.</w:t>
            </w:r>
          </w:p>
          <w:p w14:paraId="6C99F0B6" w14:textId="77777777" w:rsidR="00DB018E" w:rsidRPr="001416A5" w:rsidRDefault="00DB018E" w:rsidP="000242DC">
            <w:pPr>
              <w:pStyle w:val="Bullet1"/>
              <w:rPr>
                <w:b/>
                <w:bCs/>
              </w:rPr>
            </w:pPr>
            <w:r w:rsidRPr="000B71E1">
              <w:rPr>
                <w:b/>
                <w:bCs/>
              </w:rPr>
              <w:t>Maintain clear records of the AI solution’s intended use, approval pathway and ongoing monitoring.</w:t>
            </w:r>
          </w:p>
        </w:tc>
      </w:tr>
    </w:tbl>
    <w:p w14:paraId="6B299C31" w14:textId="59B34D1E" w:rsidR="00DB018E" w:rsidRDefault="00DB018E" w:rsidP="00DB018E">
      <w:pPr>
        <w:pStyle w:val="Body"/>
        <w:spacing w:before="240"/>
      </w:pPr>
      <w:r>
        <w:t xml:space="preserve">Although AI solutions not used for clinical purposes will present a </w:t>
      </w:r>
      <w:r w:rsidR="00BD1725">
        <w:t xml:space="preserve">lower </w:t>
      </w:r>
      <w:r>
        <w:t>risk to patients, the</w:t>
      </w:r>
      <w:r w:rsidR="00867E24">
        <w:t xml:space="preserve">y may still introduce important risks relating to </w:t>
      </w:r>
      <w:r>
        <w:t>cyber security, data privacy, financial</w:t>
      </w:r>
      <w:r w:rsidR="00867E24">
        <w:t xml:space="preserve"> exposure</w:t>
      </w:r>
      <w:r>
        <w:t xml:space="preserve"> and system </w:t>
      </w:r>
      <w:r w:rsidR="00867E24">
        <w:t>integrity</w:t>
      </w:r>
      <w:r w:rsidR="00A611CD">
        <w:t xml:space="preserve">. </w:t>
      </w:r>
      <w:r w:rsidR="00627842" w:rsidRPr="00627842">
        <w:t>The absence of a clinical purpose does not remove the need for a risk assessment prior to local evaluation of benefits.</w:t>
      </w:r>
    </w:p>
    <w:p w14:paraId="365A026E" w14:textId="77777777" w:rsidR="00DB018E" w:rsidRDefault="00DB018E" w:rsidP="00DB018E">
      <w:pPr>
        <w:pStyle w:val="Heading1"/>
      </w:pPr>
      <w:r w:rsidRPr="001307D7">
        <w:t xml:space="preserve">Case Studies </w:t>
      </w:r>
    </w:p>
    <w:p w14:paraId="361C0EE7" w14:textId="77777777" w:rsidR="00DB018E" w:rsidRDefault="00DB018E" w:rsidP="00DB018E">
      <w:pPr>
        <w:pStyle w:val="Heading2"/>
      </w:pPr>
      <w:r>
        <w:t>Case 1. Using an online large language model to help a clinician select the treatment for a patient with a rare condition</w:t>
      </w:r>
    </w:p>
    <w:p w14:paraId="6D747EB2" w14:textId="77777777" w:rsidR="00DB018E" w:rsidRDefault="00DB018E" w:rsidP="00DB018E">
      <w:pPr>
        <w:pStyle w:val="Body"/>
      </w:pPr>
      <w:r w:rsidRPr="001307D7">
        <w:rPr>
          <w:i/>
          <w:iCs/>
        </w:rPr>
        <w:t>Does the use of this AI solution have a clinical purpose?</w:t>
      </w:r>
      <w:r>
        <w:t xml:space="preserve"> </w:t>
      </w:r>
    </w:p>
    <w:p w14:paraId="292D5725" w14:textId="77777777" w:rsidR="00DB018E" w:rsidRDefault="00DB018E" w:rsidP="00DB018E">
      <w:pPr>
        <w:pStyle w:val="Body"/>
      </w:pPr>
      <w:r w:rsidRPr="001307D7">
        <w:rPr>
          <w:u w:val="single"/>
        </w:rPr>
        <w:t>Yes</w:t>
      </w:r>
      <w:r>
        <w:t>. This use case meets the following criteria “</w:t>
      </w:r>
      <w:r w:rsidRPr="001307D7">
        <w:rPr>
          <w:i/>
          <w:iCs/>
        </w:rPr>
        <w:t>Diagnosis, monitoring, prediction, prognosis, treatment or alleviation of disease, injury or disability</w:t>
      </w:r>
      <w:r>
        <w:t>”</w:t>
      </w:r>
    </w:p>
    <w:p w14:paraId="4B74F03F" w14:textId="77777777" w:rsidR="00DB018E" w:rsidRPr="001307D7" w:rsidRDefault="00DB018E" w:rsidP="00DB018E">
      <w:pPr>
        <w:pStyle w:val="Body"/>
        <w:rPr>
          <w:i/>
          <w:iCs/>
        </w:rPr>
      </w:pPr>
      <w:r w:rsidRPr="008D33A6">
        <w:rPr>
          <w:i/>
          <w:iCs/>
        </w:rPr>
        <w:t>Which standard is appropriate to evaluate the safe and responsible use of this AI solution</w:t>
      </w:r>
      <w:r>
        <w:rPr>
          <w:i/>
          <w:iCs/>
        </w:rPr>
        <w:t>?</w:t>
      </w:r>
    </w:p>
    <w:p w14:paraId="60317781" w14:textId="77777777" w:rsidR="00DB018E" w:rsidRDefault="00DB018E" w:rsidP="00DB018E">
      <w:pPr>
        <w:pStyle w:val="Body"/>
      </w:pPr>
      <w:r w:rsidRPr="001307D7">
        <w:rPr>
          <w:u w:val="single"/>
        </w:rPr>
        <w:t xml:space="preserve">Standard </w:t>
      </w:r>
      <w:r>
        <w:rPr>
          <w:u w:val="single"/>
        </w:rPr>
        <w:t>3</w:t>
      </w:r>
      <w:r w:rsidRPr="001307D7">
        <w:rPr>
          <w:u w:val="single"/>
        </w:rPr>
        <w:t>.</w:t>
      </w:r>
      <w:r>
        <w:rPr>
          <w:u w:val="single"/>
        </w:rPr>
        <w:t>1</w:t>
      </w:r>
      <w:r>
        <w:t>. Open source, free-to-use, large language models are widely available to the public and are increasingly being used as an alternative to online searches. However, these models were not developed for healthcare and do not advertise this functionality and thus will not be considered by the TGA.</w:t>
      </w:r>
    </w:p>
    <w:p w14:paraId="64C268CD" w14:textId="77777777" w:rsidR="00DB018E" w:rsidRDefault="00DB018E" w:rsidP="00DB018E">
      <w:pPr>
        <w:pStyle w:val="Body"/>
      </w:pPr>
      <w:r w:rsidRPr="001307D7">
        <w:rPr>
          <w:i/>
          <w:iCs/>
        </w:rPr>
        <w:t xml:space="preserve">Is this AI solution compliant with standard </w:t>
      </w:r>
      <w:r>
        <w:rPr>
          <w:i/>
          <w:iCs/>
        </w:rPr>
        <w:t>3</w:t>
      </w:r>
      <w:r w:rsidRPr="001307D7">
        <w:rPr>
          <w:i/>
          <w:iCs/>
        </w:rPr>
        <w:t>.</w:t>
      </w:r>
      <w:r>
        <w:rPr>
          <w:i/>
          <w:iCs/>
        </w:rPr>
        <w:t>1</w:t>
      </w:r>
      <w:r w:rsidRPr="001307D7">
        <w:rPr>
          <w:i/>
          <w:iCs/>
        </w:rPr>
        <w:t>?</w:t>
      </w:r>
    </w:p>
    <w:p w14:paraId="113B719E" w14:textId="77777777" w:rsidR="00DB018E" w:rsidRDefault="00DB018E" w:rsidP="00DB018E">
      <w:pPr>
        <w:pStyle w:val="Body"/>
      </w:pPr>
      <w:r>
        <w:t xml:space="preserve">For this example, it is important to explore the details of the proposed use case: </w:t>
      </w:r>
    </w:p>
    <w:p w14:paraId="30827884" w14:textId="77777777" w:rsidR="00DB018E" w:rsidRDefault="00DB018E" w:rsidP="00DB018E">
      <w:pPr>
        <w:pStyle w:val="Bullet1"/>
      </w:pPr>
      <w:r>
        <w:lastRenderedPageBreak/>
        <w:t xml:space="preserve">If the LLM is used to research the condition, then it would be compliant if the appropriate critical appraisal is also done to cross-reference the findings in the same manner that would be undertaken for other conventional sources (i.e., peer reviewed journals, clinical guidelines and peer-to-peer discussions). Further, the use of the LLM would need to have been reviewed and approved by the health service, and assurances and measures are put in place to prevent the disclosure of sensitive information.  </w:t>
      </w:r>
    </w:p>
    <w:p w14:paraId="185629AF" w14:textId="77777777" w:rsidR="00DB018E" w:rsidRPr="00F65356" w:rsidRDefault="00DB018E" w:rsidP="00DB018E">
      <w:pPr>
        <w:pStyle w:val="Bullet1"/>
      </w:pPr>
      <w:r w:rsidRPr="00F65356">
        <w:t xml:space="preserve">Diagnoses, treatment or management decisions must not be actioned if the LLM artefact is the only source of information. </w:t>
      </w:r>
    </w:p>
    <w:p w14:paraId="3C89EE39" w14:textId="7256A126" w:rsidR="00DB018E" w:rsidRDefault="00DB018E" w:rsidP="00DB018E">
      <w:pPr>
        <w:pStyle w:val="Heading2"/>
      </w:pPr>
      <w:r>
        <w:t xml:space="preserve">Case 2. A </w:t>
      </w:r>
      <w:r w:rsidR="00ED3A7A">
        <w:t>h</w:t>
      </w:r>
      <w:r>
        <w:t xml:space="preserve">ealth </w:t>
      </w:r>
      <w:r w:rsidR="00ED3A7A">
        <w:t>s</w:t>
      </w:r>
      <w:r>
        <w:t xml:space="preserve">ervice developing an AI assisted emergency department triage </w:t>
      </w:r>
      <w:r w:rsidR="003D55AF">
        <w:t>solution</w:t>
      </w:r>
      <w:r>
        <w:t xml:space="preserve"> </w:t>
      </w:r>
    </w:p>
    <w:p w14:paraId="1284DDC5" w14:textId="77777777" w:rsidR="00DB018E" w:rsidRDefault="00DB018E" w:rsidP="00DB018E">
      <w:pPr>
        <w:pStyle w:val="Body"/>
      </w:pPr>
      <w:r w:rsidRPr="006F226A">
        <w:rPr>
          <w:i/>
          <w:iCs/>
        </w:rPr>
        <w:t>Does the use of this AI solution have a clinical purpose?</w:t>
      </w:r>
      <w:r>
        <w:t xml:space="preserve"> </w:t>
      </w:r>
    </w:p>
    <w:p w14:paraId="0E3C98F9" w14:textId="77777777" w:rsidR="00DB018E" w:rsidRDefault="00DB018E" w:rsidP="00DB018E">
      <w:pPr>
        <w:pStyle w:val="Body"/>
      </w:pPr>
      <w:r w:rsidRPr="006F226A">
        <w:rPr>
          <w:u w:val="single"/>
        </w:rPr>
        <w:t>Yes</w:t>
      </w:r>
      <w:r>
        <w:t>. This use case meets the following criteria “</w:t>
      </w:r>
      <w:r w:rsidRPr="00404DB8">
        <w:t>Diagnosis, monitoring, prediction, prognosis, treatment or alleviation of disease, injury or disability</w:t>
      </w:r>
      <w:r>
        <w:t>”</w:t>
      </w:r>
    </w:p>
    <w:p w14:paraId="45C54A18" w14:textId="39188C9F" w:rsidR="00DB018E" w:rsidRPr="006F226A" w:rsidRDefault="00DB018E" w:rsidP="00DB018E">
      <w:pPr>
        <w:pStyle w:val="Body"/>
        <w:rPr>
          <w:i/>
          <w:iCs/>
        </w:rPr>
      </w:pPr>
      <w:r w:rsidRPr="008D33A6">
        <w:rPr>
          <w:i/>
          <w:iCs/>
        </w:rPr>
        <w:t>Which standard is appropriate to evaluate the safe and responsible use of this AI solution</w:t>
      </w:r>
      <w:r>
        <w:rPr>
          <w:i/>
          <w:iCs/>
        </w:rPr>
        <w:t>?</w:t>
      </w:r>
    </w:p>
    <w:p w14:paraId="3CB8590E" w14:textId="542ECAC4" w:rsidR="00DB018E" w:rsidRDefault="00DB018E" w:rsidP="00DB018E">
      <w:pPr>
        <w:pStyle w:val="Body"/>
      </w:pPr>
      <w:r w:rsidRPr="006F226A">
        <w:rPr>
          <w:u w:val="single"/>
        </w:rPr>
        <w:t xml:space="preserve">Standard </w:t>
      </w:r>
      <w:r>
        <w:rPr>
          <w:u w:val="single"/>
        </w:rPr>
        <w:t>2</w:t>
      </w:r>
      <w:r w:rsidRPr="006F226A">
        <w:rPr>
          <w:u w:val="single"/>
        </w:rPr>
        <w:t>.</w:t>
      </w:r>
      <w:r>
        <w:rPr>
          <w:u w:val="single"/>
        </w:rPr>
        <w:t>1</w:t>
      </w:r>
      <w:r>
        <w:t xml:space="preserve">. The development of an AI </w:t>
      </w:r>
      <w:r w:rsidR="003D55AF">
        <w:t>solution</w:t>
      </w:r>
      <w:r>
        <w:t xml:space="preserve"> is not required to undergo a regulation process until the point of “live” clinical testing. If clinical testing is planned, then developers (in this case, the health service) should </w:t>
      </w:r>
      <w:r w:rsidRPr="006F226A">
        <w:t>complete a Clinical Trial Notification (CTN)</w:t>
      </w:r>
      <w:r>
        <w:t xml:space="preserve">. </w:t>
      </w:r>
    </w:p>
    <w:p w14:paraId="073D3BDE" w14:textId="77777777" w:rsidR="00DB018E" w:rsidRDefault="00DB018E" w:rsidP="00DB018E">
      <w:pPr>
        <w:pStyle w:val="Body"/>
        <w:rPr>
          <w:i/>
          <w:iCs/>
        </w:rPr>
      </w:pPr>
      <w:r w:rsidRPr="006F226A">
        <w:rPr>
          <w:i/>
          <w:iCs/>
        </w:rPr>
        <w:t xml:space="preserve">Is this AI solution compliant with standard </w:t>
      </w:r>
      <w:r>
        <w:rPr>
          <w:i/>
          <w:iCs/>
        </w:rPr>
        <w:t>2.1</w:t>
      </w:r>
      <w:r w:rsidRPr="006F226A">
        <w:rPr>
          <w:i/>
          <w:iCs/>
        </w:rPr>
        <w:t xml:space="preserve">? </w:t>
      </w:r>
    </w:p>
    <w:p w14:paraId="532E5597" w14:textId="5ECA7BFD" w:rsidR="00DB018E" w:rsidRDefault="00DB018E" w:rsidP="00DB018E">
      <w:pPr>
        <w:pStyle w:val="Body"/>
      </w:pPr>
      <w:r>
        <w:t>While in development, the AI solution does not need to be registered on the ARTG. However, once the development has ended, and the triage</w:t>
      </w:r>
      <w:r w:rsidR="003D55AF">
        <w:t xml:space="preserve"> solution</w:t>
      </w:r>
      <w:r>
        <w:t xml:space="preserve"> is scaled to become part of the routine emergency care at this health service (or another), it will be required to be assessed by the TGA regulators and the health service in this case study will need to take on the role of the sponsor and vendor during this process. </w:t>
      </w:r>
    </w:p>
    <w:p w14:paraId="3396668F" w14:textId="7085D0FF" w:rsidR="00DB018E" w:rsidRDefault="00DB018E" w:rsidP="00DB018E">
      <w:pPr>
        <w:pStyle w:val="Heading2"/>
      </w:pPr>
      <w:r>
        <w:t xml:space="preserve">Case 3. A </w:t>
      </w:r>
      <w:r w:rsidR="00ED3A7A">
        <w:t>h</w:t>
      </w:r>
      <w:r>
        <w:t xml:space="preserve">ealth </w:t>
      </w:r>
      <w:r w:rsidR="00ED3A7A">
        <w:t>s</w:t>
      </w:r>
      <w:r>
        <w:t xml:space="preserve">ervice intends to purchase an AI </w:t>
      </w:r>
      <w:r w:rsidR="003D55AF">
        <w:t>solution</w:t>
      </w:r>
      <w:r>
        <w:t xml:space="preserve">, and deploy it within </w:t>
      </w:r>
      <w:r w:rsidR="00E14BD3">
        <w:t>its</w:t>
      </w:r>
      <w:r>
        <w:t xml:space="preserve"> secure environment, to monitor access to confidential financial information</w:t>
      </w:r>
    </w:p>
    <w:p w14:paraId="2BE95A96" w14:textId="77777777" w:rsidR="00DB018E" w:rsidRDefault="00DB018E" w:rsidP="00DB018E">
      <w:pPr>
        <w:pStyle w:val="Body"/>
      </w:pPr>
      <w:r w:rsidRPr="006F226A">
        <w:rPr>
          <w:i/>
          <w:iCs/>
        </w:rPr>
        <w:t>Does the use of this AI solution have a clinical purpose?</w:t>
      </w:r>
      <w:r>
        <w:t xml:space="preserve"> </w:t>
      </w:r>
    </w:p>
    <w:p w14:paraId="3244EFC7" w14:textId="77777777" w:rsidR="00DB018E" w:rsidRDefault="00DB018E" w:rsidP="00DB018E">
      <w:pPr>
        <w:pStyle w:val="Body"/>
      </w:pPr>
      <w:r>
        <w:rPr>
          <w:u w:val="single"/>
        </w:rPr>
        <w:t>No</w:t>
      </w:r>
      <w:r>
        <w:t xml:space="preserve">. This use case does not meet any of the clinical purpose criteria, </w:t>
      </w:r>
    </w:p>
    <w:p w14:paraId="19AF837B" w14:textId="77777777" w:rsidR="00DB018E" w:rsidRPr="006F226A" w:rsidRDefault="00DB018E" w:rsidP="00DB018E">
      <w:pPr>
        <w:pStyle w:val="Body"/>
        <w:rPr>
          <w:i/>
          <w:iCs/>
        </w:rPr>
      </w:pPr>
      <w:r w:rsidRPr="008D33A6">
        <w:rPr>
          <w:i/>
          <w:iCs/>
        </w:rPr>
        <w:t>Which standard is appropriate to evaluate the safe and responsible use of this AI solution</w:t>
      </w:r>
      <w:r>
        <w:rPr>
          <w:i/>
          <w:iCs/>
        </w:rPr>
        <w:t xml:space="preserve">? </w:t>
      </w:r>
    </w:p>
    <w:p w14:paraId="7D53C585" w14:textId="77777777" w:rsidR="00DB018E" w:rsidRDefault="00DB018E" w:rsidP="00DB018E">
      <w:pPr>
        <w:pStyle w:val="Body"/>
      </w:pPr>
      <w:r w:rsidRPr="006F226A">
        <w:rPr>
          <w:u w:val="single"/>
        </w:rPr>
        <w:t xml:space="preserve">Standard </w:t>
      </w:r>
      <w:r>
        <w:rPr>
          <w:u w:val="single"/>
        </w:rPr>
        <w:t>4</w:t>
      </w:r>
      <w:r w:rsidRPr="006F226A">
        <w:rPr>
          <w:u w:val="single"/>
        </w:rPr>
        <w:t>.</w:t>
      </w:r>
      <w:r>
        <w:rPr>
          <w:u w:val="single"/>
        </w:rPr>
        <w:t>1</w:t>
      </w:r>
      <w:r>
        <w:t xml:space="preserve">. Given there is no clinical purpose, only the minimum safety requirements are required to be met.  </w:t>
      </w:r>
    </w:p>
    <w:p w14:paraId="11CD763B" w14:textId="77777777" w:rsidR="00DB018E" w:rsidRDefault="00DB018E" w:rsidP="00DB018E">
      <w:pPr>
        <w:pStyle w:val="Body"/>
        <w:rPr>
          <w:i/>
          <w:iCs/>
        </w:rPr>
      </w:pPr>
      <w:r w:rsidRPr="006F226A">
        <w:rPr>
          <w:i/>
          <w:iCs/>
        </w:rPr>
        <w:t xml:space="preserve">Is this AI solution compliant with standard </w:t>
      </w:r>
      <w:r>
        <w:rPr>
          <w:i/>
          <w:iCs/>
        </w:rPr>
        <w:t>4</w:t>
      </w:r>
      <w:r w:rsidRPr="006F226A">
        <w:rPr>
          <w:i/>
          <w:iCs/>
        </w:rPr>
        <w:t>.</w:t>
      </w:r>
      <w:r>
        <w:rPr>
          <w:i/>
          <w:iCs/>
        </w:rPr>
        <w:t>1</w:t>
      </w:r>
      <w:r w:rsidRPr="006F226A">
        <w:rPr>
          <w:i/>
          <w:iCs/>
        </w:rPr>
        <w:t xml:space="preserve">? </w:t>
      </w:r>
    </w:p>
    <w:p w14:paraId="123D731A" w14:textId="77777777" w:rsidR="00DB018E" w:rsidRDefault="00DB018E" w:rsidP="00DB018E">
      <w:pPr>
        <w:pStyle w:val="Body"/>
      </w:pPr>
      <w:r w:rsidRPr="00F65356">
        <w:rPr>
          <w:u w:val="single"/>
        </w:rPr>
        <w:t>Yes</w:t>
      </w:r>
      <w:r w:rsidRPr="00B11EBC">
        <w:t>.</w:t>
      </w:r>
      <w:r>
        <w:t xml:space="preserve"> The AI will operate in a closed environment; no data will be processed outside of the health service’s data warehouse. A training package is provided by the vendor that will train users to interpret and act upon notifications of irregular access to the service’s financial data. </w:t>
      </w:r>
    </w:p>
    <w:p w14:paraId="5A7572BA" w14:textId="77777777" w:rsidR="00DB018E" w:rsidRDefault="00DB018E" w:rsidP="00DB018E">
      <w:pPr>
        <w:pStyle w:val="Heading2"/>
      </w:pPr>
      <w:r>
        <w:t xml:space="preserve">Case 4. A health service integrates a machine learning algorithm into an existing post-surgery patient management portal. This update will identify and notify treating clinicians of patient deterioration. </w:t>
      </w:r>
    </w:p>
    <w:p w14:paraId="66BF31F2" w14:textId="77777777" w:rsidR="00DB018E" w:rsidRDefault="00DB018E" w:rsidP="00DB018E">
      <w:pPr>
        <w:pStyle w:val="Body"/>
      </w:pPr>
      <w:r w:rsidRPr="001307D7">
        <w:rPr>
          <w:i/>
          <w:iCs/>
        </w:rPr>
        <w:t>Does the use of this AI solution have a clinical purpose?</w:t>
      </w:r>
      <w:r>
        <w:t xml:space="preserve"> </w:t>
      </w:r>
    </w:p>
    <w:p w14:paraId="4FEBEBBA" w14:textId="77777777" w:rsidR="00DB018E" w:rsidRDefault="00DB018E" w:rsidP="00DB018E">
      <w:pPr>
        <w:pStyle w:val="Body"/>
      </w:pPr>
      <w:r w:rsidRPr="001307D7">
        <w:rPr>
          <w:u w:val="single"/>
        </w:rPr>
        <w:lastRenderedPageBreak/>
        <w:t>Yes</w:t>
      </w:r>
      <w:r>
        <w:t>. This use case meets the following criteria “</w:t>
      </w:r>
      <w:r w:rsidRPr="001307D7">
        <w:rPr>
          <w:i/>
          <w:iCs/>
        </w:rPr>
        <w:t>Diagnosis, monitoring, prediction, prognosis, treatment or alleviation of disease, injury or disability</w:t>
      </w:r>
      <w:r>
        <w:t>”</w:t>
      </w:r>
    </w:p>
    <w:p w14:paraId="28BF1E1B" w14:textId="77777777" w:rsidR="00DB018E" w:rsidRPr="001307D7" w:rsidRDefault="00DB018E" w:rsidP="00DB018E">
      <w:pPr>
        <w:pStyle w:val="Body"/>
        <w:rPr>
          <w:i/>
          <w:iCs/>
        </w:rPr>
      </w:pPr>
      <w:r w:rsidRPr="008D33A6">
        <w:rPr>
          <w:i/>
          <w:iCs/>
        </w:rPr>
        <w:t>Which standard is appropriate to evaluate the safe and responsible use of this AI solution</w:t>
      </w:r>
      <w:r>
        <w:rPr>
          <w:i/>
          <w:iCs/>
        </w:rPr>
        <w:t>?</w:t>
      </w:r>
      <w:r w:rsidRPr="001307D7">
        <w:rPr>
          <w:i/>
          <w:iCs/>
        </w:rPr>
        <w:t>?</w:t>
      </w:r>
    </w:p>
    <w:p w14:paraId="46F2BBFD" w14:textId="77777777" w:rsidR="00DB018E" w:rsidRDefault="00DB018E" w:rsidP="00DB018E">
      <w:pPr>
        <w:pStyle w:val="Body"/>
      </w:pPr>
      <w:r w:rsidRPr="001307D7">
        <w:rPr>
          <w:u w:val="single"/>
        </w:rPr>
        <w:t xml:space="preserve">Standard </w:t>
      </w:r>
      <w:r>
        <w:rPr>
          <w:u w:val="single"/>
        </w:rPr>
        <w:t>2</w:t>
      </w:r>
      <w:r w:rsidRPr="001307D7">
        <w:rPr>
          <w:u w:val="single"/>
        </w:rPr>
        <w:t>.</w:t>
      </w:r>
      <w:r>
        <w:rPr>
          <w:u w:val="single"/>
        </w:rPr>
        <w:t>1</w:t>
      </w:r>
      <w:r>
        <w:t xml:space="preserve">. While the original version of the portal may have functioned primarily as an information repository, the integration of a machine learning algorithm to “diagnose” patient deterioration changes its purpose. This modification means the portal now meets the definition of a TGA regulated medical device. </w:t>
      </w:r>
    </w:p>
    <w:p w14:paraId="6922AC01" w14:textId="77777777" w:rsidR="00DB018E" w:rsidRDefault="00DB018E" w:rsidP="00DB018E">
      <w:pPr>
        <w:pStyle w:val="Body"/>
      </w:pPr>
      <w:r w:rsidRPr="001307D7">
        <w:rPr>
          <w:i/>
          <w:iCs/>
        </w:rPr>
        <w:t xml:space="preserve">Is this AI solution compliant with standard </w:t>
      </w:r>
      <w:r>
        <w:rPr>
          <w:i/>
          <w:iCs/>
        </w:rPr>
        <w:t>2</w:t>
      </w:r>
      <w:r w:rsidRPr="001307D7">
        <w:rPr>
          <w:i/>
          <w:iCs/>
        </w:rPr>
        <w:t>.</w:t>
      </w:r>
      <w:r>
        <w:rPr>
          <w:i/>
          <w:iCs/>
        </w:rPr>
        <w:t>1</w:t>
      </w:r>
      <w:r w:rsidRPr="001307D7">
        <w:rPr>
          <w:i/>
          <w:iCs/>
        </w:rPr>
        <w:t>?</w:t>
      </w:r>
    </w:p>
    <w:p w14:paraId="722D8D0F" w14:textId="77777777" w:rsidR="00DB018E" w:rsidRDefault="00DB018E" w:rsidP="00DB018E">
      <w:pPr>
        <w:pStyle w:val="Body"/>
      </w:pPr>
      <w:r w:rsidRPr="00F65356">
        <w:rPr>
          <w:u w:val="single"/>
        </w:rPr>
        <w:t>No.</w:t>
      </w:r>
      <w:r>
        <w:t xml:space="preserve"> Without inclusion on the ARTG or evidence of meeting exclusion or exemption criteria, it is not compliant. The original platform would likely have been excluded from TGA regulation; however, the change of purpose will require assessment by the TGA. </w:t>
      </w:r>
    </w:p>
    <w:p w14:paraId="58896B77" w14:textId="77777777" w:rsidR="00DB018E" w:rsidRDefault="00DB018E" w:rsidP="00DB018E">
      <w:pPr>
        <w:pStyle w:val="Body"/>
      </w:pPr>
      <w:r>
        <w:t xml:space="preserve">Responsibility for obtaining regulatory approval depends on the implementation: </w:t>
      </w:r>
    </w:p>
    <w:p w14:paraId="2AEC872D" w14:textId="77777777" w:rsidR="00DB018E" w:rsidRDefault="00DB018E" w:rsidP="00DB018E">
      <w:pPr>
        <w:pStyle w:val="Bullet1"/>
      </w:pPr>
      <w:r w:rsidRPr="002A017A">
        <w:t>If the machine learning algorithm is designed as an independent product specifically to identify patient deterioration, the vendor is responsible.</w:t>
      </w:r>
    </w:p>
    <w:p w14:paraId="4F0AA61C" w14:textId="77777777" w:rsidR="00DB018E" w:rsidRPr="00C03643" w:rsidRDefault="00DB018E" w:rsidP="00DB018E">
      <w:pPr>
        <w:pStyle w:val="Bullet1"/>
        <w:rPr>
          <w:b/>
          <w:bCs/>
        </w:rPr>
      </w:pPr>
      <w:r w:rsidRPr="009E7997">
        <w:t>If the algorithm is integrated such that the portal cannot function as intended without it, the health service (as the platform owner) assumes responsibility.</w:t>
      </w:r>
    </w:p>
    <w:p w14:paraId="66935510" w14:textId="77777777" w:rsidR="00DB018E" w:rsidRDefault="00DB018E" w:rsidP="00DB018E">
      <w:pPr>
        <w:pStyle w:val="Heading2"/>
      </w:pPr>
      <w:r w:rsidRPr="00B25303">
        <w:t>Case 5. A health service implement</w:t>
      </w:r>
      <w:r>
        <w:t>s</w:t>
      </w:r>
      <w:r w:rsidRPr="00B25303">
        <w:t xml:space="preserve"> an ambient AI scribe solution that passively listens to clinician–patient consultations and generates draft clinical notes for clinician review and approval. </w:t>
      </w:r>
    </w:p>
    <w:p w14:paraId="3D333F4C" w14:textId="77777777" w:rsidR="00DB018E" w:rsidRDefault="00DB018E" w:rsidP="00DB018E">
      <w:pPr>
        <w:pStyle w:val="Body"/>
      </w:pPr>
      <w:r w:rsidRPr="001307D7">
        <w:rPr>
          <w:i/>
          <w:iCs/>
        </w:rPr>
        <w:t>Does the use of this AI solution have a clinical purpose?</w:t>
      </w:r>
      <w:r>
        <w:t xml:space="preserve"> </w:t>
      </w:r>
    </w:p>
    <w:p w14:paraId="72102371" w14:textId="6E04AA32" w:rsidR="00DB018E" w:rsidRDefault="00DB018E" w:rsidP="00DB018E">
      <w:pPr>
        <w:pStyle w:val="Body"/>
      </w:pPr>
      <w:r w:rsidRPr="001307D7">
        <w:rPr>
          <w:u w:val="single"/>
        </w:rPr>
        <w:t>Yes</w:t>
      </w:r>
      <w:r>
        <w:t xml:space="preserve">. </w:t>
      </w:r>
      <w:r w:rsidR="002F4D9C">
        <w:t>The</w:t>
      </w:r>
      <w:r w:rsidRPr="00FC1430">
        <w:t xml:space="preserve"> AI scribe is used in direct support of clinical care delivery and generates artefacts that form part of the clinical record. Errors, omissions or misrepresentations in generated documentation may have downstream clinical safety implications.</w:t>
      </w:r>
    </w:p>
    <w:p w14:paraId="702CA846" w14:textId="77777777" w:rsidR="00DB018E" w:rsidRPr="00B25303" w:rsidRDefault="00DB018E" w:rsidP="00DB018E">
      <w:pPr>
        <w:pStyle w:val="Body"/>
        <w:rPr>
          <w:i/>
          <w:iCs/>
        </w:rPr>
      </w:pPr>
      <w:r w:rsidRPr="008D33A6">
        <w:rPr>
          <w:i/>
          <w:iCs/>
        </w:rPr>
        <w:t>Which standard is appropriate to evaluate the safe and responsible use of this AI solution</w:t>
      </w:r>
      <w:r>
        <w:rPr>
          <w:i/>
          <w:iCs/>
        </w:rPr>
        <w:t xml:space="preserve">? </w:t>
      </w:r>
    </w:p>
    <w:p w14:paraId="7C4079F1" w14:textId="21FBDB6B" w:rsidR="00DB018E" w:rsidRDefault="00DB018E" w:rsidP="00DB018E">
      <w:pPr>
        <w:pStyle w:val="Body"/>
      </w:pPr>
      <w:r w:rsidRPr="001307D7">
        <w:rPr>
          <w:u w:val="single"/>
        </w:rPr>
        <w:t xml:space="preserve">Standard </w:t>
      </w:r>
      <w:r>
        <w:rPr>
          <w:u w:val="single"/>
        </w:rPr>
        <w:t>3</w:t>
      </w:r>
      <w:r w:rsidRPr="001307D7">
        <w:rPr>
          <w:u w:val="single"/>
        </w:rPr>
        <w:t>.</w:t>
      </w:r>
      <w:r>
        <w:rPr>
          <w:u w:val="single"/>
        </w:rPr>
        <w:t>1</w:t>
      </w:r>
      <w:r>
        <w:t xml:space="preserve">. </w:t>
      </w:r>
      <w:r w:rsidRPr="00263DBF">
        <w:t xml:space="preserve">Most ambient AI scribe solutions are not marketed or developed as medical devices and are </w:t>
      </w:r>
      <w:r w:rsidR="00377B86">
        <w:t xml:space="preserve">therefore </w:t>
      </w:r>
      <w:r w:rsidRPr="00263DBF">
        <w:t xml:space="preserve">not </w:t>
      </w:r>
      <w:r w:rsidR="00A17DCF">
        <w:t xml:space="preserve">currently </w:t>
      </w:r>
      <w:r w:rsidRPr="00263DBF">
        <w:t xml:space="preserve">regulated as Software as a Medical Device (SaMD) by the </w:t>
      </w:r>
      <w:r w:rsidR="00A17DCF">
        <w:t>TGA</w:t>
      </w:r>
      <w:r w:rsidRPr="00263DBF">
        <w:t>.</w:t>
      </w:r>
    </w:p>
    <w:p w14:paraId="5092FDC6" w14:textId="77777777" w:rsidR="00DB018E" w:rsidRDefault="00DB018E" w:rsidP="00DB018E">
      <w:pPr>
        <w:pStyle w:val="Body"/>
      </w:pPr>
      <w:r w:rsidRPr="001307D7">
        <w:rPr>
          <w:i/>
          <w:iCs/>
        </w:rPr>
        <w:t xml:space="preserve">Is this AI solution compliant with standard </w:t>
      </w:r>
      <w:r>
        <w:rPr>
          <w:i/>
          <w:iCs/>
        </w:rPr>
        <w:t>3</w:t>
      </w:r>
      <w:r w:rsidRPr="001307D7">
        <w:rPr>
          <w:i/>
          <w:iCs/>
        </w:rPr>
        <w:t>.</w:t>
      </w:r>
      <w:r>
        <w:rPr>
          <w:i/>
          <w:iCs/>
        </w:rPr>
        <w:t>1</w:t>
      </w:r>
      <w:r w:rsidRPr="001307D7">
        <w:rPr>
          <w:i/>
          <w:iCs/>
        </w:rPr>
        <w:t>?</w:t>
      </w:r>
    </w:p>
    <w:p w14:paraId="321E6C13" w14:textId="77777777" w:rsidR="00DB018E" w:rsidRDefault="00DB018E" w:rsidP="00DB018E">
      <w:pPr>
        <w:pStyle w:val="Body"/>
      </w:pPr>
      <w:r w:rsidRPr="00F65356">
        <w:rPr>
          <w:u w:val="single"/>
        </w:rPr>
        <w:t>Yes</w:t>
      </w:r>
      <w:r w:rsidRPr="00B11EBC">
        <w:t>.</w:t>
      </w:r>
      <w:r>
        <w:t xml:space="preserve"> Provided the </w:t>
      </w:r>
      <w:r w:rsidRPr="00373160">
        <w:t>AI scribe is</w:t>
      </w:r>
      <w:r>
        <w:t xml:space="preserve"> approved for use within the health service (further information can be found in </w:t>
      </w:r>
      <w:hyperlink r:id="rId27" w:history="1">
        <w:r w:rsidRPr="00956A0A">
          <w:rPr>
            <w:rStyle w:val="Hyperlink"/>
          </w:rPr>
          <w:t>Ambient AI scribes – Sector advisory</w:t>
        </w:r>
      </w:hyperlink>
      <w:r>
        <w:rPr>
          <w:rStyle w:val="FootnoteReference"/>
        </w:rPr>
        <w:footnoteReference w:id="11"/>
      </w:r>
      <w:r>
        <w:t>) and</w:t>
      </w:r>
      <w:r w:rsidRPr="00373160">
        <w:t xml:space="preserve"> used solely for documentation support, with clinicians required to review, edit and approve all AI</w:t>
      </w:r>
      <w:r w:rsidRPr="00373160">
        <w:rPr>
          <w:rFonts w:ascii="Cambria Math" w:hAnsi="Cambria Math" w:cs="Cambria Math"/>
        </w:rPr>
        <w:t>‑</w:t>
      </w:r>
      <w:r w:rsidRPr="00373160">
        <w:t>generated content before it becomes part of the clinical record.</w:t>
      </w:r>
    </w:p>
    <w:p w14:paraId="5424D1E5" w14:textId="77777777" w:rsidR="00DB018E" w:rsidRPr="00CD1C96" w:rsidRDefault="00DB018E" w:rsidP="00DB018E">
      <w:pPr>
        <w:pStyle w:val="Body"/>
      </w:pPr>
      <w:r w:rsidRPr="00B25303">
        <w:t xml:space="preserve">However, if the ambient AI scribe extends beyond documentation support to interpret clinical information, suggest diagnoses, treatments, investigations or management options, it may constitute clinical decision support. In these circumstances, the AI solution would need to be reassessed under </w:t>
      </w:r>
      <w:r>
        <w:t>Standard 2.1</w:t>
      </w:r>
      <w:r w:rsidRPr="00B25303">
        <w:t xml:space="preserve"> and TGA regulatory requirements, including potential inclusion on the ARTG, may apply.</w:t>
      </w:r>
    </w:p>
    <w:p w14:paraId="2395127D" w14:textId="77777777" w:rsidR="00DB018E" w:rsidRDefault="00DB018E" w:rsidP="00DB018E">
      <w:pPr>
        <w:pStyle w:val="Body"/>
        <w:jc w:val="center"/>
        <w:rPr>
          <w:i/>
          <w:iCs/>
        </w:rPr>
      </w:pPr>
    </w:p>
    <w:p w14:paraId="28F30626" w14:textId="77777777" w:rsidR="00DB018E" w:rsidRDefault="00DB018E" w:rsidP="00DB018E">
      <w:pPr>
        <w:spacing w:after="0" w:line="240" w:lineRule="auto"/>
        <w:jc w:val="center"/>
        <w:rPr>
          <w:rFonts w:eastAsia="Times"/>
        </w:rPr>
      </w:pPr>
    </w:p>
    <w:p w14:paraId="0E3FB740" w14:textId="77777777" w:rsidR="00DB018E" w:rsidRDefault="00DB018E" w:rsidP="00DB018E">
      <w:pPr>
        <w:spacing w:after="0" w:line="240" w:lineRule="auto"/>
        <w:jc w:val="center"/>
        <w:rPr>
          <w:rFonts w:eastAsia="Times"/>
        </w:rPr>
      </w:pPr>
      <w:r w:rsidRPr="00FF0DD2">
        <w:rPr>
          <w:rFonts w:eastAsia="Times"/>
        </w:rPr>
        <w:t xml:space="preserve"> </w:t>
      </w:r>
      <w:r>
        <w:br w:type="page"/>
      </w:r>
    </w:p>
    <w:tbl>
      <w:tblPr>
        <w:tblStyle w:val="TableGrid"/>
        <w:tblW w:w="0" w:type="auto"/>
        <w:tblCellMar>
          <w:bottom w:w="108" w:type="dxa"/>
        </w:tblCellMar>
        <w:tblLook w:val="0600" w:firstRow="0" w:lastRow="0" w:firstColumn="0" w:lastColumn="0" w:noHBand="1" w:noVBand="1"/>
      </w:tblPr>
      <w:tblGrid>
        <w:gridCol w:w="10194"/>
      </w:tblGrid>
      <w:tr w:rsidR="00DB018E" w14:paraId="6303346A" w14:textId="77777777" w:rsidTr="000242DC">
        <w:tc>
          <w:tcPr>
            <w:tcW w:w="10194" w:type="dxa"/>
          </w:tcPr>
          <w:p w14:paraId="3D65C4C1" w14:textId="77777777" w:rsidR="00DB018E" w:rsidRPr="0055119B" w:rsidRDefault="00DB018E" w:rsidP="000242DC">
            <w:pPr>
              <w:pStyle w:val="Accessibilitypara"/>
            </w:pPr>
            <w:bookmarkStart w:id="0" w:name="_Hlk37240926"/>
            <w:r w:rsidRPr="0055119B">
              <w:lastRenderedPageBreak/>
              <w:t>To receive this document in another format</w:t>
            </w:r>
            <w:r>
              <w:t xml:space="preserve"> </w:t>
            </w:r>
            <w:r w:rsidRPr="0055119B">
              <w:t>email</w:t>
            </w:r>
            <w:r>
              <w:t xml:space="preserve"> </w:t>
            </w:r>
            <w:r w:rsidRPr="0055119B">
              <w:t>&lt;</w:t>
            </w:r>
            <w:r w:rsidRPr="00CC5A2C">
              <w:t>digitalhealth@health.vic.gov.au</w:t>
            </w:r>
            <w:r w:rsidRPr="0055119B">
              <w:t>&gt;.</w:t>
            </w:r>
          </w:p>
          <w:p w14:paraId="0439E3ED" w14:textId="77777777" w:rsidR="00DB018E" w:rsidRPr="00181396" w:rsidRDefault="00DB018E" w:rsidP="000242DC">
            <w:pPr>
              <w:pStyle w:val="Imprint"/>
              <w:rPr>
                <w:color w:val="auto"/>
              </w:rPr>
            </w:pPr>
            <w:r w:rsidRPr="00181396">
              <w:rPr>
                <w:color w:val="auto"/>
              </w:rPr>
              <w:t>Authorised and published by the Victorian Government, 1 Treasury Place, Melbourne.</w:t>
            </w:r>
          </w:p>
          <w:p w14:paraId="3BE9BD56" w14:textId="77777777" w:rsidR="00DB018E" w:rsidRPr="00181396" w:rsidRDefault="00DB018E" w:rsidP="000242DC">
            <w:pPr>
              <w:pStyle w:val="Imprint"/>
              <w:rPr>
                <w:color w:val="auto"/>
              </w:rPr>
            </w:pPr>
            <w:r w:rsidRPr="00181396">
              <w:rPr>
                <w:color w:val="auto"/>
              </w:rPr>
              <w:t xml:space="preserve">© State of Victoria, Australia, Department of Health, May 2026. </w:t>
            </w:r>
          </w:p>
          <w:p w14:paraId="3A9028F3" w14:textId="77777777" w:rsidR="00DB018E" w:rsidRDefault="00DB018E" w:rsidP="000242DC">
            <w:pPr>
              <w:pStyle w:val="Imprint"/>
              <w:rPr>
                <w:color w:val="auto"/>
              </w:rPr>
            </w:pPr>
            <w:r w:rsidRPr="00181396">
              <w:rPr>
                <w:color w:val="auto"/>
              </w:rPr>
              <w:t xml:space="preserve">ISBN/ISSN </w:t>
            </w:r>
            <w:r w:rsidR="00181396" w:rsidRPr="00181396">
              <w:rPr>
                <w:color w:val="auto"/>
              </w:rPr>
              <w:t>978-1-76131-998-3</w:t>
            </w:r>
            <w:r w:rsidRPr="00181396">
              <w:rPr>
                <w:color w:val="auto"/>
              </w:rPr>
              <w:t xml:space="preserve"> (online/PDF/Word) or (print)</w:t>
            </w:r>
          </w:p>
          <w:p w14:paraId="610DA1C0" w14:textId="493865FD" w:rsidR="00116AD2" w:rsidRPr="00DC3E12" w:rsidRDefault="00116AD2" w:rsidP="000242DC">
            <w:pPr>
              <w:pStyle w:val="Imprint"/>
              <w:rPr>
                <w:color w:val="auto"/>
              </w:rPr>
            </w:pPr>
            <w:r w:rsidRPr="0055119B">
              <w:t xml:space="preserve">Available at </w:t>
            </w:r>
            <w:hyperlink r:id="rId28" w:history="1">
              <w:r w:rsidRPr="00DD4FF8">
                <w:rPr>
                  <w:rStyle w:val="Hyperlink"/>
                </w:rPr>
                <w:t>Artificial Intelligence in Victorian Public Health Services</w:t>
              </w:r>
            </w:hyperlink>
            <w:r w:rsidRPr="0055119B">
              <w:t xml:space="preserve"> &lt;</w:t>
            </w:r>
            <w:r w:rsidRPr="00116AD2">
              <w:rPr>
                <w:color w:val="auto"/>
              </w:rPr>
              <w:t>https://www.health.vic.gov.au/digital-health/artificial-intelligence-in-victorian-public-health-services</w:t>
            </w:r>
            <w:r w:rsidRPr="0055119B">
              <w:t>&gt;</w:t>
            </w:r>
          </w:p>
        </w:tc>
      </w:tr>
      <w:bookmarkEnd w:id="0"/>
    </w:tbl>
    <w:p w14:paraId="57AAB07E" w14:textId="77777777" w:rsidR="00162CA9" w:rsidRDefault="00162CA9" w:rsidP="00162CA9">
      <w:pPr>
        <w:pStyle w:val="Body"/>
      </w:pPr>
    </w:p>
    <w:sectPr w:rsidR="00162CA9" w:rsidSect="00DB018E">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00EC" w14:textId="77777777" w:rsidR="00AC79D0" w:rsidRDefault="00AC79D0">
      <w:r>
        <w:separator/>
      </w:r>
    </w:p>
  </w:endnote>
  <w:endnote w:type="continuationSeparator" w:id="0">
    <w:p w14:paraId="18096746" w14:textId="77777777" w:rsidR="00AC79D0" w:rsidRDefault="00AC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7962" w14:textId="77777777" w:rsidR="00E261B3" w:rsidRPr="00F65AA9" w:rsidRDefault="0072251A" w:rsidP="00F84FA0">
    <w:pPr>
      <w:pStyle w:val="Footer"/>
    </w:pPr>
    <w:r>
      <w:rPr>
        <w:noProof/>
        <w:lang w:eastAsia="en-AU"/>
      </w:rPr>
      <w:drawing>
        <wp:anchor distT="0" distB="0" distL="114300" distR="114300" simplePos="0" relativeHeight="251657728" behindDoc="1" locked="1" layoutInCell="1" allowOverlap="1" wp14:anchorId="1F9DF3AE" wp14:editId="64CE410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78E609C2" wp14:editId="2C114C4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2F77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DB2F77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9810" w14:textId="77777777" w:rsidR="00E261B3" w:rsidRDefault="00E261B3">
    <w:pPr>
      <w:pStyle w:val="Footer"/>
    </w:pPr>
    <w:r>
      <w:rPr>
        <w:noProof/>
      </w:rPr>
      <mc:AlternateContent>
        <mc:Choice Requires="wps">
          <w:drawing>
            <wp:anchor distT="0" distB="0" distL="114300" distR="114300" simplePos="1" relativeHeight="251656704" behindDoc="0" locked="0" layoutInCell="0" allowOverlap="1" wp14:anchorId="2EA8939E" wp14:editId="1433DA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A9A2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A1A9A2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125D" w14:textId="77777777" w:rsidR="00373890" w:rsidRPr="00F65AA9" w:rsidRDefault="003F22CC" w:rsidP="00F84FA0">
    <w:pPr>
      <w:pStyle w:val="Footer"/>
    </w:pPr>
    <w:r>
      <w:rPr>
        <w:noProof/>
      </w:rPr>
      <mc:AlternateContent>
        <mc:Choice Requires="wps">
          <w:drawing>
            <wp:anchor distT="0" distB="0" distL="0" distR="0" simplePos="0" relativeHeight="251659776" behindDoc="0" locked="0" layoutInCell="1" allowOverlap="1" wp14:anchorId="0CFC4EFE" wp14:editId="466F2956">
              <wp:simplePos x="542925" y="9820275"/>
              <wp:positionH relativeFrom="page">
                <wp:align>center</wp:align>
              </wp:positionH>
              <wp:positionV relativeFrom="page">
                <wp:align>bottom</wp:align>
              </wp:positionV>
              <wp:extent cx="622300" cy="376555"/>
              <wp:effectExtent l="0" t="0" r="6350" b="0"/>
              <wp:wrapNone/>
              <wp:docPr id="6959700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28307E" w14:textId="77777777" w:rsidR="00B92559" w:rsidRPr="005E4D72" w:rsidRDefault="003F22CC" w:rsidP="005E4D72">
                          <w:pPr>
                            <w:spacing w:after="0"/>
                            <w:rPr>
                              <w:rFonts w:ascii="Aptos" w:eastAsia="Aptos" w:hAnsi="Aptos" w:cs="Aptos"/>
                              <w:noProof/>
                              <w:color w:val="FF0000"/>
                              <w:sz w:val="24"/>
                              <w:szCs w:val="24"/>
                            </w:rPr>
                          </w:pPr>
                          <w:r w:rsidRPr="005E4D7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C4EFE" id="_x0000_t202" coordsize="21600,21600" o:spt="202" path="m,l,21600r21600,l21600,xe">
              <v:stroke joinstyle="miter"/>
              <v:path gradientshapeok="t" o:connecttype="rect"/>
            </v:shapetype>
            <v:shape id="Text Box 8" o:spid="_x0000_s1029" type="#_x0000_t202" alt="OFFICIAL" style="position:absolute;left:0;text-align:left;margin-left:0;margin-top:0;width:49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B28307E" w14:textId="77777777" w:rsidR="00B92559" w:rsidRPr="005E4D72" w:rsidRDefault="003F22CC" w:rsidP="005E4D72">
                    <w:pPr>
                      <w:spacing w:after="0"/>
                      <w:rPr>
                        <w:rFonts w:ascii="Aptos" w:eastAsia="Aptos" w:hAnsi="Aptos" w:cs="Aptos"/>
                        <w:noProof/>
                        <w:color w:val="FF0000"/>
                        <w:sz w:val="24"/>
                        <w:szCs w:val="24"/>
                      </w:rPr>
                    </w:pPr>
                    <w:r w:rsidRPr="005E4D7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2F84" w14:textId="77777777" w:rsidR="00AC79D0" w:rsidRDefault="00AC79D0" w:rsidP="002862F1">
      <w:pPr>
        <w:spacing w:before="120"/>
      </w:pPr>
      <w:r>
        <w:separator/>
      </w:r>
    </w:p>
  </w:footnote>
  <w:footnote w:type="continuationSeparator" w:id="0">
    <w:p w14:paraId="6B8B631D" w14:textId="77777777" w:rsidR="00AC79D0" w:rsidRDefault="00AC79D0">
      <w:r>
        <w:continuationSeparator/>
      </w:r>
    </w:p>
  </w:footnote>
  <w:footnote w:id="1">
    <w:p w14:paraId="0DBE5FD5" w14:textId="733ED0E7" w:rsidR="00291532" w:rsidRDefault="00291532">
      <w:pPr>
        <w:pStyle w:val="FootnoteText"/>
      </w:pPr>
      <w:r>
        <w:rPr>
          <w:rStyle w:val="FootnoteReference"/>
        </w:rPr>
        <w:footnoteRef/>
      </w:r>
      <w:r>
        <w:t xml:space="preserve"> </w:t>
      </w:r>
      <w:r w:rsidRPr="00291532">
        <w:t>&lt;https://www.health.vic.gov.au/digital-health/artificial-intelligence-in-victorian-public-health-services&gt;</w:t>
      </w:r>
    </w:p>
  </w:footnote>
  <w:footnote w:id="2">
    <w:p w14:paraId="099DBBA6" w14:textId="77692CD0" w:rsidR="00BF3BFB" w:rsidRDefault="00BF3BFB">
      <w:pPr>
        <w:pStyle w:val="FootnoteText"/>
      </w:pPr>
      <w:r>
        <w:rPr>
          <w:rStyle w:val="FootnoteReference"/>
        </w:rPr>
        <w:footnoteRef/>
      </w:r>
      <w:r>
        <w:t xml:space="preserve"> </w:t>
      </w:r>
      <w:r w:rsidRPr="00BF3BFB">
        <w:t>&lt;https://www.health.vic.gov.au/digital-health/artificial-intelligence-in-victorian-public-health-services&gt;</w:t>
      </w:r>
    </w:p>
  </w:footnote>
  <w:footnote w:id="3">
    <w:p w14:paraId="3B8ED187" w14:textId="4FDFBFA6" w:rsidR="00291532" w:rsidRDefault="00291532">
      <w:pPr>
        <w:pStyle w:val="FootnoteText"/>
      </w:pPr>
      <w:r>
        <w:rPr>
          <w:rStyle w:val="FootnoteReference"/>
        </w:rPr>
        <w:footnoteRef/>
      </w:r>
      <w:r>
        <w:t xml:space="preserve"> </w:t>
      </w:r>
      <w:r w:rsidR="00F423F0" w:rsidRPr="00F423F0">
        <w:t>&lt;https://www.health.vic.gov.au/digital-health/artificial-intelligence-in-victorian-public-health-services&gt;</w:t>
      </w:r>
    </w:p>
  </w:footnote>
  <w:footnote w:id="4">
    <w:p w14:paraId="228203AA" w14:textId="77777777" w:rsidR="00DB018E" w:rsidRPr="00D9675E" w:rsidRDefault="00DB018E" w:rsidP="00DB018E">
      <w:pPr>
        <w:pStyle w:val="FootnoteText"/>
        <w:rPr>
          <w:lang w:val="en-US"/>
        </w:rPr>
      </w:pPr>
      <w:r>
        <w:rPr>
          <w:rStyle w:val="FootnoteReference"/>
        </w:rPr>
        <w:footnoteRef/>
      </w:r>
      <w:r>
        <w:t xml:space="preserve"> </w:t>
      </w:r>
      <w:r w:rsidRPr="006D14D4">
        <w:t>&lt;</w:t>
      </w:r>
      <w:r w:rsidRPr="00A03779">
        <w:t>https://www.tga.gov.au/products/unapproved-therapeutic-goods/access-pathways/clinical-trials</w:t>
      </w:r>
      <w:r w:rsidRPr="006D14D4">
        <w:t>&gt;</w:t>
      </w:r>
    </w:p>
  </w:footnote>
  <w:footnote w:id="5">
    <w:p w14:paraId="70D36307" w14:textId="77777777" w:rsidR="00DB018E" w:rsidRPr="007B23AB" w:rsidRDefault="00DB018E" w:rsidP="00DB018E">
      <w:pPr>
        <w:pStyle w:val="FootnoteText"/>
        <w:rPr>
          <w:lang w:val="en-US"/>
        </w:rPr>
      </w:pPr>
      <w:r>
        <w:rPr>
          <w:rStyle w:val="FootnoteReference"/>
        </w:rPr>
        <w:footnoteRef/>
      </w:r>
      <w:r>
        <w:t xml:space="preserve"> </w:t>
      </w:r>
      <w:r w:rsidRPr="001F79F5">
        <w:rPr>
          <w:szCs w:val="18"/>
          <w:lang w:val="en-US"/>
        </w:rPr>
        <w:t>&lt;</w:t>
      </w:r>
      <w:r w:rsidRPr="001F79F5">
        <w:rPr>
          <w:rFonts w:eastAsia="Times New Roman" w:cs="Times New Roman"/>
          <w:szCs w:val="18"/>
        </w:rPr>
        <w:t>https://www.tga.gov.au/products/medical-devices/software-and-artificial-intelligence-ai/overview/software-based-medical-device-exclusions&gt;</w:t>
      </w:r>
      <w:r>
        <w:rPr>
          <w:rFonts w:eastAsia="Times New Roman" w:cs="Times New Roman"/>
          <w:sz w:val="21"/>
          <w:szCs w:val="20"/>
        </w:rPr>
        <w:t xml:space="preserve"> </w:t>
      </w:r>
    </w:p>
  </w:footnote>
  <w:footnote w:id="6">
    <w:p w14:paraId="788AEE50" w14:textId="77777777" w:rsidR="00DB018E" w:rsidRPr="00A57FAE" w:rsidRDefault="00DB018E" w:rsidP="00DB018E">
      <w:pPr>
        <w:pStyle w:val="FootnoteText"/>
        <w:rPr>
          <w:lang w:val="en-US"/>
        </w:rPr>
      </w:pPr>
      <w:r>
        <w:rPr>
          <w:rStyle w:val="FootnoteReference"/>
        </w:rPr>
        <w:footnoteRef/>
      </w:r>
      <w:r>
        <w:t xml:space="preserve"> </w:t>
      </w:r>
      <w:r>
        <w:rPr>
          <w:lang w:val="en-US"/>
        </w:rPr>
        <w:t>&lt;</w:t>
      </w:r>
      <w:r w:rsidRPr="00A57FAE">
        <w:rPr>
          <w:lang w:val="en-US"/>
        </w:rPr>
        <w:t>https://consultations.tga.gov.au/medical-devices-and-product-quality-division/clinical-decision-support-exemption/</w:t>
      </w:r>
      <w:r>
        <w:rPr>
          <w:lang w:val="en-US"/>
        </w:rPr>
        <w:t>&gt;</w:t>
      </w:r>
    </w:p>
  </w:footnote>
  <w:footnote w:id="7">
    <w:p w14:paraId="04E56D20" w14:textId="77777777" w:rsidR="00DB018E" w:rsidRPr="0089178F" w:rsidRDefault="00DB018E" w:rsidP="00DB018E">
      <w:pPr>
        <w:pStyle w:val="FootnoteText"/>
        <w:rPr>
          <w:lang w:val="en-US"/>
        </w:rPr>
      </w:pPr>
      <w:r>
        <w:rPr>
          <w:rStyle w:val="FootnoteReference"/>
        </w:rPr>
        <w:footnoteRef/>
      </w:r>
      <w:r>
        <w:t xml:space="preserve"> </w:t>
      </w:r>
      <w:r>
        <w:rPr>
          <w:lang w:val="en-US"/>
        </w:rPr>
        <w:t>&lt;</w:t>
      </w:r>
      <w:r w:rsidRPr="0089178F">
        <w:rPr>
          <w:lang w:val="en-US"/>
        </w:rPr>
        <w:t>https://www.tga.gov.au/products/medical-devices/overview/australian-regulatory-guidelines-medical-devices-argmd</w:t>
      </w:r>
      <w:r>
        <w:rPr>
          <w:lang w:val="en-US"/>
        </w:rPr>
        <w:t>&gt;</w:t>
      </w:r>
    </w:p>
  </w:footnote>
  <w:footnote w:id="8">
    <w:p w14:paraId="7098140D" w14:textId="77777777" w:rsidR="00DB018E" w:rsidRPr="001436C6" w:rsidRDefault="00DB018E" w:rsidP="00DB018E">
      <w:pPr>
        <w:pStyle w:val="FootnoteText"/>
        <w:rPr>
          <w:lang w:val="en-US"/>
        </w:rPr>
      </w:pPr>
      <w:r>
        <w:rPr>
          <w:rStyle w:val="FootnoteReference"/>
        </w:rPr>
        <w:footnoteRef/>
      </w:r>
      <w:r>
        <w:t xml:space="preserve"> </w:t>
      </w:r>
      <w:r>
        <w:rPr>
          <w:lang w:val="en-US"/>
        </w:rPr>
        <w:t>&lt;</w:t>
      </w:r>
      <w:r w:rsidRPr="001436C6">
        <w:rPr>
          <w:lang w:val="en-US"/>
        </w:rPr>
        <w:t>https://www.tga.gov.au/safety/report-problem/report-adverse-event-or-safety-problem</w:t>
      </w:r>
      <w:r>
        <w:rPr>
          <w:lang w:val="en-US"/>
        </w:rPr>
        <w:t>&gt;</w:t>
      </w:r>
    </w:p>
  </w:footnote>
  <w:footnote w:id="9">
    <w:p w14:paraId="19A5D223" w14:textId="32348097" w:rsidR="006B472D" w:rsidRDefault="006B472D">
      <w:pPr>
        <w:pStyle w:val="FootnoteText"/>
      </w:pPr>
      <w:r>
        <w:rPr>
          <w:rStyle w:val="FootnoteReference"/>
        </w:rPr>
        <w:footnoteRef/>
      </w:r>
      <w:r>
        <w:t xml:space="preserve"> &lt;</w:t>
      </w:r>
      <w:r w:rsidRPr="006B472D">
        <w:t>https://www.tga.gov.au/resources/guidance/understanding-clinical-decision-support-system-software-regulation</w:t>
      </w:r>
      <w:r>
        <w:t>&gt;</w:t>
      </w:r>
    </w:p>
  </w:footnote>
  <w:footnote w:id="10">
    <w:p w14:paraId="1546361B" w14:textId="77777777" w:rsidR="00DB018E" w:rsidRPr="0086246E" w:rsidRDefault="00DB018E" w:rsidP="00DB018E">
      <w:pPr>
        <w:pStyle w:val="FootnoteText"/>
        <w:rPr>
          <w:lang w:val="en-US"/>
        </w:rPr>
      </w:pPr>
      <w:r>
        <w:rPr>
          <w:rStyle w:val="FootnoteReference"/>
        </w:rPr>
        <w:footnoteRef/>
      </w:r>
      <w:r>
        <w:t xml:space="preserve"> &lt;</w:t>
      </w:r>
      <w:r w:rsidRPr="0086246E">
        <w:t>https://ovic.vic.gov.au/privacy/resources-for-organisations/privacy-impact-assessment/&gt;.</w:t>
      </w:r>
    </w:p>
  </w:footnote>
  <w:footnote w:id="11">
    <w:p w14:paraId="41965531" w14:textId="77777777" w:rsidR="00DB018E" w:rsidRPr="005E3647" w:rsidRDefault="00DB018E" w:rsidP="00DB018E">
      <w:pPr>
        <w:pStyle w:val="FootnoteText"/>
        <w:rPr>
          <w:lang w:val="en-US"/>
        </w:rPr>
      </w:pPr>
      <w:r>
        <w:rPr>
          <w:rStyle w:val="FootnoteReference"/>
        </w:rPr>
        <w:footnoteRef/>
      </w:r>
      <w:r>
        <w:t xml:space="preserve"> </w:t>
      </w:r>
      <w:r>
        <w:rPr>
          <w:lang w:val="en-US"/>
        </w:rPr>
        <w:t>&lt;</w:t>
      </w:r>
      <w:r w:rsidRPr="00A03779">
        <w:rPr>
          <w:lang w:val="en-US"/>
        </w:rPr>
        <w:t>https://www.safercare.vic.gov.au/sites/default/files/2025-07/Ambient%20AI%20Scribes%20Advisory.pdf</w:t>
      </w:r>
      <w:r>
        <w:rPr>
          <w:lang w:val="en-US"/>
        </w:rPr>
        <w:t xml:space="preserve">&gt;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D488"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51C2" w14:textId="506483FC" w:rsidR="00DB018E" w:rsidRPr="0051568D" w:rsidRDefault="00DB018E" w:rsidP="0011701A">
    <w:pPr>
      <w:pStyle w:val="Header"/>
    </w:pPr>
    <w:r>
      <w:rPr>
        <w:noProof/>
      </w:rPr>
      <mc:AlternateContent>
        <mc:Choice Requires="wps">
          <w:drawing>
            <wp:anchor distT="0" distB="0" distL="0" distR="0" simplePos="0" relativeHeight="251658752" behindDoc="0" locked="0" layoutInCell="1" allowOverlap="1" wp14:anchorId="678BB3B1" wp14:editId="75797AAF">
              <wp:simplePos x="542925" y="428625"/>
              <wp:positionH relativeFrom="page">
                <wp:align>center</wp:align>
              </wp:positionH>
              <wp:positionV relativeFrom="page">
                <wp:align>top</wp:align>
              </wp:positionV>
              <wp:extent cx="622300" cy="376555"/>
              <wp:effectExtent l="0" t="0" r="6350" b="4445"/>
              <wp:wrapNone/>
              <wp:docPr id="1730110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4F1929" w14:textId="77777777" w:rsidR="00DB018E" w:rsidRPr="005E4D72" w:rsidRDefault="00DB018E" w:rsidP="005E4D72">
                          <w:pPr>
                            <w:spacing w:after="0"/>
                            <w:rPr>
                              <w:rFonts w:ascii="Aptos" w:eastAsia="Aptos" w:hAnsi="Aptos" w:cs="Aptos"/>
                              <w:noProof/>
                              <w:color w:val="FF0000"/>
                              <w:sz w:val="24"/>
                              <w:szCs w:val="24"/>
                            </w:rPr>
                          </w:pPr>
                          <w:r w:rsidRPr="005E4D7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BB3B1"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3F4F1929" w14:textId="77777777" w:rsidR="00DB018E" w:rsidRPr="005E4D72" w:rsidRDefault="00DB018E" w:rsidP="005E4D72">
                    <w:pPr>
                      <w:spacing w:after="0"/>
                      <w:rPr>
                        <w:rFonts w:ascii="Aptos" w:eastAsia="Aptos" w:hAnsi="Aptos" w:cs="Aptos"/>
                        <w:noProof/>
                        <w:color w:val="FF0000"/>
                        <w:sz w:val="24"/>
                        <w:szCs w:val="24"/>
                      </w:rPr>
                    </w:pPr>
                    <w:r w:rsidRPr="005E4D72">
                      <w:rPr>
                        <w:rFonts w:ascii="Aptos" w:eastAsia="Aptos" w:hAnsi="Aptos" w:cs="Aptos"/>
                        <w:noProof/>
                        <w:color w:val="FF0000"/>
                        <w:sz w:val="24"/>
                        <w:szCs w:val="24"/>
                      </w:rPr>
                      <w:t>OFFICIAL</w:t>
                    </w:r>
                  </w:p>
                </w:txbxContent>
              </v:textbox>
              <w10:wrap anchorx="page" anchory="page"/>
            </v:shape>
          </w:pict>
        </mc:Fallback>
      </mc:AlternateContent>
    </w:r>
    <w:r>
      <w:t xml:space="preserve">Standards for the use of AI in Victorian Public Health Services </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27242607">
    <w:abstractNumId w:val="10"/>
  </w:num>
  <w:num w:numId="2" w16cid:durableId="1445341908">
    <w:abstractNumId w:val="17"/>
  </w:num>
  <w:num w:numId="3" w16cid:durableId="817646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313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810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2566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910560">
    <w:abstractNumId w:val="21"/>
  </w:num>
  <w:num w:numId="8" w16cid:durableId="1307079941">
    <w:abstractNumId w:val="16"/>
  </w:num>
  <w:num w:numId="9" w16cid:durableId="300160564">
    <w:abstractNumId w:val="20"/>
  </w:num>
  <w:num w:numId="10" w16cid:durableId="1858036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603229">
    <w:abstractNumId w:val="22"/>
  </w:num>
  <w:num w:numId="12" w16cid:durableId="550582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182635">
    <w:abstractNumId w:val="18"/>
  </w:num>
  <w:num w:numId="14" w16cid:durableId="1461536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0555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1249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170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2869210">
    <w:abstractNumId w:val="24"/>
  </w:num>
  <w:num w:numId="19" w16cid:durableId="55262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5468588">
    <w:abstractNumId w:val="14"/>
  </w:num>
  <w:num w:numId="21" w16cid:durableId="1411851041">
    <w:abstractNumId w:val="12"/>
  </w:num>
  <w:num w:numId="22" w16cid:durableId="6047018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520451">
    <w:abstractNumId w:val="15"/>
  </w:num>
  <w:num w:numId="24" w16cid:durableId="1660648727">
    <w:abstractNumId w:val="25"/>
  </w:num>
  <w:num w:numId="25" w16cid:durableId="2080012397">
    <w:abstractNumId w:val="23"/>
  </w:num>
  <w:num w:numId="26" w16cid:durableId="1438718090">
    <w:abstractNumId w:val="19"/>
  </w:num>
  <w:num w:numId="27" w16cid:durableId="1482505660">
    <w:abstractNumId w:val="11"/>
  </w:num>
  <w:num w:numId="28" w16cid:durableId="1418331036">
    <w:abstractNumId w:val="26"/>
  </w:num>
  <w:num w:numId="29" w16cid:durableId="1076245236">
    <w:abstractNumId w:val="9"/>
  </w:num>
  <w:num w:numId="30" w16cid:durableId="20204331">
    <w:abstractNumId w:val="7"/>
  </w:num>
  <w:num w:numId="31" w16cid:durableId="773980469">
    <w:abstractNumId w:val="6"/>
  </w:num>
  <w:num w:numId="32" w16cid:durableId="1543051210">
    <w:abstractNumId w:val="5"/>
  </w:num>
  <w:num w:numId="33" w16cid:durableId="187373381">
    <w:abstractNumId w:val="4"/>
  </w:num>
  <w:num w:numId="34" w16cid:durableId="460617144">
    <w:abstractNumId w:val="8"/>
  </w:num>
  <w:num w:numId="35" w16cid:durableId="1548910097">
    <w:abstractNumId w:val="3"/>
  </w:num>
  <w:num w:numId="36" w16cid:durableId="1309290019">
    <w:abstractNumId w:val="2"/>
  </w:num>
  <w:num w:numId="37" w16cid:durableId="1192761404">
    <w:abstractNumId w:val="1"/>
  </w:num>
  <w:num w:numId="38" w16cid:durableId="1440682438">
    <w:abstractNumId w:val="0"/>
  </w:num>
  <w:num w:numId="39" w16cid:durableId="886793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8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327C"/>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7D7"/>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72F0"/>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AD2"/>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396"/>
    <w:rsid w:val="00186B33"/>
    <w:rsid w:val="00192F9D"/>
    <w:rsid w:val="00196EB8"/>
    <w:rsid w:val="00196EFB"/>
    <w:rsid w:val="001979FF"/>
    <w:rsid w:val="00197B17"/>
    <w:rsid w:val="001A1950"/>
    <w:rsid w:val="001A1C54"/>
    <w:rsid w:val="001A3ACE"/>
    <w:rsid w:val="001B058F"/>
    <w:rsid w:val="001B738B"/>
    <w:rsid w:val="001C0048"/>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6360"/>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0951"/>
    <w:rsid w:val="00291373"/>
    <w:rsid w:val="00291532"/>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4D9C"/>
    <w:rsid w:val="002F5F31"/>
    <w:rsid w:val="002F5F46"/>
    <w:rsid w:val="00300855"/>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77B86"/>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55AF"/>
    <w:rsid w:val="003D6475"/>
    <w:rsid w:val="003E375C"/>
    <w:rsid w:val="003E4086"/>
    <w:rsid w:val="003E639E"/>
    <w:rsid w:val="003E71E5"/>
    <w:rsid w:val="003F0445"/>
    <w:rsid w:val="003F0CF0"/>
    <w:rsid w:val="003F129A"/>
    <w:rsid w:val="003F14B1"/>
    <w:rsid w:val="003F22CC"/>
    <w:rsid w:val="003F2B20"/>
    <w:rsid w:val="003F3289"/>
    <w:rsid w:val="003F4B5F"/>
    <w:rsid w:val="003F5CB9"/>
    <w:rsid w:val="003F7815"/>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29C1"/>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594E"/>
    <w:rsid w:val="005B6A35"/>
    <w:rsid w:val="005B7A63"/>
    <w:rsid w:val="005C0955"/>
    <w:rsid w:val="005C49DA"/>
    <w:rsid w:val="005C50F3"/>
    <w:rsid w:val="005C54B5"/>
    <w:rsid w:val="005C5D80"/>
    <w:rsid w:val="005C5D91"/>
    <w:rsid w:val="005C7F0B"/>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842"/>
    <w:rsid w:val="00627DA7"/>
    <w:rsid w:val="00630DA4"/>
    <w:rsid w:val="00630ED8"/>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476D"/>
    <w:rsid w:val="00677574"/>
    <w:rsid w:val="0068454C"/>
    <w:rsid w:val="00685E92"/>
    <w:rsid w:val="00691B62"/>
    <w:rsid w:val="006933B5"/>
    <w:rsid w:val="00693D14"/>
    <w:rsid w:val="00696F27"/>
    <w:rsid w:val="006A18C2"/>
    <w:rsid w:val="006A3383"/>
    <w:rsid w:val="006B077C"/>
    <w:rsid w:val="006B472D"/>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906"/>
    <w:rsid w:val="008338A2"/>
    <w:rsid w:val="00835FAF"/>
    <w:rsid w:val="00841AA9"/>
    <w:rsid w:val="008474FE"/>
    <w:rsid w:val="00853EE4"/>
    <w:rsid w:val="00855535"/>
    <w:rsid w:val="00855920"/>
    <w:rsid w:val="00857C5A"/>
    <w:rsid w:val="0086255E"/>
    <w:rsid w:val="008633F0"/>
    <w:rsid w:val="00867D9D"/>
    <w:rsid w:val="00867E24"/>
    <w:rsid w:val="0087177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3151"/>
    <w:rsid w:val="00924AE1"/>
    <w:rsid w:val="009269B1"/>
    <w:rsid w:val="0092724D"/>
    <w:rsid w:val="009272B3"/>
    <w:rsid w:val="009315BE"/>
    <w:rsid w:val="00931BD0"/>
    <w:rsid w:val="0093338F"/>
    <w:rsid w:val="00937BD9"/>
    <w:rsid w:val="00940971"/>
    <w:rsid w:val="00950E2C"/>
    <w:rsid w:val="00951D50"/>
    <w:rsid w:val="009525EB"/>
    <w:rsid w:val="0095470B"/>
    <w:rsid w:val="00954874"/>
    <w:rsid w:val="0095615A"/>
    <w:rsid w:val="00961400"/>
    <w:rsid w:val="00963646"/>
    <w:rsid w:val="0096632D"/>
    <w:rsid w:val="009718C7"/>
    <w:rsid w:val="0097559F"/>
    <w:rsid w:val="0097761E"/>
    <w:rsid w:val="00980EC9"/>
    <w:rsid w:val="00982454"/>
    <w:rsid w:val="00982CF0"/>
    <w:rsid w:val="009853E1"/>
    <w:rsid w:val="00986E6B"/>
    <w:rsid w:val="00990032"/>
    <w:rsid w:val="00990B19"/>
    <w:rsid w:val="0099153B"/>
    <w:rsid w:val="00991769"/>
    <w:rsid w:val="0099232C"/>
    <w:rsid w:val="0099361F"/>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23B5"/>
    <w:rsid w:val="009E496F"/>
    <w:rsid w:val="009E4B0D"/>
    <w:rsid w:val="009E5250"/>
    <w:rsid w:val="009E700B"/>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17DCF"/>
    <w:rsid w:val="00A22229"/>
    <w:rsid w:val="00A24442"/>
    <w:rsid w:val="00A330BB"/>
    <w:rsid w:val="00A44882"/>
    <w:rsid w:val="00A45125"/>
    <w:rsid w:val="00A54715"/>
    <w:rsid w:val="00A6061C"/>
    <w:rsid w:val="00A611CD"/>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C79D0"/>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857"/>
    <w:rsid w:val="00B21F90"/>
    <w:rsid w:val="00B22291"/>
    <w:rsid w:val="00B23F9A"/>
    <w:rsid w:val="00B2417B"/>
    <w:rsid w:val="00B24E6F"/>
    <w:rsid w:val="00B26CB5"/>
    <w:rsid w:val="00B2752E"/>
    <w:rsid w:val="00B307CC"/>
    <w:rsid w:val="00B326B7"/>
    <w:rsid w:val="00B3588E"/>
    <w:rsid w:val="00B41F3D"/>
    <w:rsid w:val="00B431E8"/>
    <w:rsid w:val="00B45141"/>
    <w:rsid w:val="00B459B9"/>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2559"/>
    <w:rsid w:val="00B94CD5"/>
    <w:rsid w:val="00B950BC"/>
    <w:rsid w:val="00B9714C"/>
    <w:rsid w:val="00BA29AD"/>
    <w:rsid w:val="00BA33CF"/>
    <w:rsid w:val="00BA3F8D"/>
    <w:rsid w:val="00BB7A10"/>
    <w:rsid w:val="00BC3E8F"/>
    <w:rsid w:val="00BC60BE"/>
    <w:rsid w:val="00BC7468"/>
    <w:rsid w:val="00BC7D4F"/>
    <w:rsid w:val="00BC7ED7"/>
    <w:rsid w:val="00BD1725"/>
    <w:rsid w:val="00BD2850"/>
    <w:rsid w:val="00BE28D2"/>
    <w:rsid w:val="00BE4A64"/>
    <w:rsid w:val="00BE5E43"/>
    <w:rsid w:val="00BF30B2"/>
    <w:rsid w:val="00BF3BFB"/>
    <w:rsid w:val="00BF557D"/>
    <w:rsid w:val="00BF7F58"/>
    <w:rsid w:val="00C01381"/>
    <w:rsid w:val="00C01AB1"/>
    <w:rsid w:val="00C026A0"/>
    <w:rsid w:val="00C06137"/>
    <w:rsid w:val="00C07728"/>
    <w:rsid w:val="00C079B8"/>
    <w:rsid w:val="00C10037"/>
    <w:rsid w:val="00C123EA"/>
    <w:rsid w:val="00C12A49"/>
    <w:rsid w:val="00C133EE"/>
    <w:rsid w:val="00C149D0"/>
    <w:rsid w:val="00C26588"/>
    <w:rsid w:val="00C27DE9"/>
    <w:rsid w:val="00C32989"/>
    <w:rsid w:val="00C33388"/>
    <w:rsid w:val="00C35484"/>
    <w:rsid w:val="00C4173A"/>
    <w:rsid w:val="00C46426"/>
    <w:rsid w:val="00C47828"/>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3C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26B9E"/>
    <w:rsid w:val="00D3185C"/>
    <w:rsid w:val="00D3205F"/>
    <w:rsid w:val="00D3318E"/>
    <w:rsid w:val="00D33E72"/>
    <w:rsid w:val="00D35BD6"/>
    <w:rsid w:val="00D361B5"/>
    <w:rsid w:val="00D405AC"/>
    <w:rsid w:val="00D41186"/>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18E"/>
    <w:rsid w:val="00DB0B61"/>
    <w:rsid w:val="00DB1474"/>
    <w:rsid w:val="00DB2962"/>
    <w:rsid w:val="00DB52FB"/>
    <w:rsid w:val="00DC013B"/>
    <w:rsid w:val="00DC090B"/>
    <w:rsid w:val="00DC1679"/>
    <w:rsid w:val="00DC219B"/>
    <w:rsid w:val="00DC2CF1"/>
    <w:rsid w:val="00DC3E12"/>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4BD3"/>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7A4D"/>
    <w:rsid w:val="00EB00E0"/>
    <w:rsid w:val="00EB2896"/>
    <w:rsid w:val="00EC059F"/>
    <w:rsid w:val="00EC1F24"/>
    <w:rsid w:val="00EC22F6"/>
    <w:rsid w:val="00EC40D5"/>
    <w:rsid w:val="00ED3A7A"/>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4D38"/>
    <w:rsid w:val="00F101B8"/>
    <w:rsid w:val="00F11037"/>
    <w:rsid w:val="00F16F1B"/>
    <w:rsid w:val="00F250A9"/>
    <w:rsid w:val="00F267AF"/>
    <w:rsid w:val="00F30FF4"/>
    <w:rsid w:val="00F3122E"/>
    <w:rsid w:val="00F32368"/>
    <w:rsid w:val="00F32624"/>
    <w:rsid w:val="00F331AD"/>
    <w:rsid w:val="00F35287"/>
    <w:rsid w:val="00F40A70"/>
    <w:rsid w:val="00F423F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72C0"/>
  <w15:docId w15:val="{AD3C2834-FE11-438D-AF07-38F0880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B018E"/>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igital-health/artificial-intelligence-in-victorian-public-health-services" TargetMode="External"/><Relationship Id="rId26" Type="http://schemas.openxmlformats.org/officeDocument/2006/relationships/hyperlink" Target="https://ovic.vic.gov.au/privacy/resources-for-organisations/privacy-impact-assessment/" TargetMode="External"/><Relationship Id="rId3" Type="http://schemas.openxmlformats.org/officeDocument/2006/relationships/customXml" Target="../customXml/item3.xml"/><Relationship Id="rId21" Type="http://schemas.openxmlformats.org/officeDocument/2006/relationships/hyperlink" Target="https://consultations.tga.gov.au/medical-devices-and-product-quality-division/clinical-decision-support-exemp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igital-health/artificial-intelligence-in-victorian-public-health-services" TargetMode="External"/><Relationship Id="rId25" Type="http://schemas.openxmlformats.org/officeDocument/2006/relationships/hyperlink" Target="https://www.tga.gov.au/resources/guidance/understanding-clinical-decision-support-system-software-regulation" TargetMode="External"/><Relationship Id="rId2" Type="http://schemas.openxmlformats.org/officeDocument/2006/relationships/customXml" Target="../customXml/item2.xml"/><Relationship Id="rId16" Type="http://schemas.openxmlformats.org/officeDocument/2006/relationships/hyperlink" Target="https://www.health.vic.gov.au/digital-health/artificial-intelligence-in-victorian-public-health-services" TargetMode="External"/><Relationship Id="rId20" Type="http://schemas.openxmlformats.org/officeDocument/2006/relationships/hyperlink" Target="https://www.tga.gov.au/products/medical-devices/software-and-artificial-intelligence-ai/overview/software-based-medical-device-exclus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ga.gov.au/safety/report-problem/report-adverse-event-or-safety-proble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ga.gov.au/recalls" TargetMode="External"/><Relationship Id="rId28" Type="http://schemas.openxmlformats.org/officeDocument/2006/relationships/hyperlink" Target="https://www.health.vic.gov.au/digital-health/artificial-intelligence-in-victorian-public-health-services" TargetMode="External"/><Relationship Id="rId10" Type="http://schemas.openxmlformats.org/officeDocument/2006/relationships/endnotes" Target="endnotes.xml"/><Relationship Id="rId19" Type="http://schemas.openxmlformats.org/officeDocument/2006/relationships/hyperlink" Target="https://www.tga.gov.au/products/unapproved-therapeutic-goods/access-pathways/clinical-tria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products/medical-devices/overview/australian-regulatory-guidelines-medical-devices-argmd" TargetMode="External"/><Relationship Id="rId27" Type="http://schemas.openxmlformats.org/officeDocument/2006/relationships/hyperlink" Target="https://www.safercare.vic.gov.au/publications/ambient-artificial-intelligence-scribes-ai-scribes-sector-advisory"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efae7d-998f-4906-ab7a-47c49d5980c8" xsi:nil="true"/>
    <lcf76f155ced4ddcb4097134ff3c332f xmlns="484c4e41-9d04-4639-8990-2634a9ef4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A80CAF46D87C4093E866F58C865098" ma:contentTypeVersion="15" ma:contentTypeDescription="Create a new document." ma:contentTypeScope="" ma:versionID="4fecd77f7d587bb84155d7cf08cbd09d">
  <xsd:schema xmlns:xsd="http://www.w3.org/2001/XMLSchema" xmlns:xs="http://www.w3.org/2001/XMLSchema" xmlns:p="http://schemas.microsoft.com/office/2006/metadata/properties" xmlns:ns2="484c4e41-9d04-4639-8990-2634a9ef436b" xmlns:ns3="94efae7d-998f-4906-ab7a-47c49d5980c8" targetNamespace="http://schemas.microsoft.com/office/2006/metadata/properties" ma:root="true" ma:fieldsID="e2c5b93f499476e3972d5a3b7d11debb" ns2:_="" ns3:_="">
    <xsd:import namespace="484c4e41-9d04-4639-8990-2634a9ef436b"/>
    <xsd:import namespace="94efae7d-998f-4906-ab7a-47c49d598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4e41-9d04-4639-8990-2634a9ef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fae7d-998f-4906-ab7a-47c49d598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64160d-8d57-4c41-9b7e-7c0d242e0313}" ma:internalName="TaxCatchAll" ma:showField="CatchAllData" ma:web="94efae7d-998f-4906-ab7a-47c49d598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efae7d-998f-4906-ab7a-47c49d5980c8"/>
    <ds:schemaRef ds:uri="484c4e41-9d04-4639-8990-2634a9ef436b"/>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2F70448-6F24-4E68-9AA0-B29F0AD4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4e41-9d04-4639-8990-2634a9ef436b"/>
    <ds:schemaRef ds:uri="94efae7d-998f-4906-ab7a-47c49d59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DH%20navy%20factsheet.dotx</Template>
  <TotalTime>1186</TotalTime>
  <Pages>9</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Standards for the use of AI in Victorian Public Health Services</vt:lpstr>
    </vt:vector>
  </TitlesOfParts>
  <Manager/>
  <Company>Victoria State Government, Department of Health</Company>
  <LinksUpToDate>false</LinksUpToDate>
  <CharactersWithSpaces>22097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the use of AI in Victorian Public Health Services</dc:title>
  <dc:subject>Standards for the assessment for AI solutions in health services</dc:subject>
  <dc:creator>David Bevan (Health)</dc:creator>
  <cp:keywords/>
  <dc:description/>
  <cp:lastModifiedBy>Serge Catson (Health)</cp:lastModifiedBy>
  <cp:revision>43</cp:revision>
  <cp:lastPrinted>2020-03-30T03:28:00Z</cp:lastPrinted>
  <dcterms:created xsi:type="dcterms:W3CDTF">2026-05-11T06:38:00Z</dcterms:created>
  <dcterms:modified xsi:type="dcterms:W3CDTF">2026-06-03T23:10:00Z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0x010100EAA80CAF46D87C4093E866F58C865098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