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0FB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5C15E8AB" wp14:editId="4F8BCEEC">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277007EC"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5148B11" w14:textId="77777777" w:rsidTr="00B07FF7">
        <w:trPr>
          <w:trHeight w:val="622"/>
        </w:trPr>
        <w:tc>
          <w:tcPr>
            <w:tcW w:w="10348" w:type="dxa"/>
            <w:tcMar>
              <w:top w:w="1531" w:type="dxa"/>
              <w:left w:w="0" w:type="dxa"/>
              <w:right w:w="0" w:type="dxa"/>
            </w:tcMar>
          </w:tcPr>
          <w:p w14:paraId="0FECA8CD" w14:textId="7DDCD039" w:rsidR="003B5733" w:rsidRPr="003B5733" w:rsidRDefault="003436EF" w:rsidP="003B5733">
            <w:pPr>
              <w:pStyle w:val="Documenttitle"/>
            </w:pPr>
            <w:r w:rsidRPr="003436EF">
              <w:t>Roles, Responsibilities and Escalation Pathways for AI in Victoria</w:t>
            </w:r>
            <w:r w:rsidR="008156D1">
              <w:t>n Public Health Services</w:t>
            </w:r>
          </w:p>
        </w:tc>
      </w:tr>
      <w:tr w:rsidR="003B5733" w14:paraId="11A598F1" w14:textId="77777777" w:rsidTr="00B07FF7">
        <w:tc>
          <w:tcPr>
            <w:tcW w:w="10348" w:type="dxa"/>
          </w:tcPr>
          <w:p w14:paraId="0027CB0E" w14:textId="648A6A7E" w:rsidR="003B5733" w:rsidRPr="00A1389F" w:rsidRDefault="003B5733" w:rsidP="00E26096">
            <w:pPr>
              <w:pStyle w:val="Documentsubtitle"/>
            </w:pPr>
          </w:p>
        </w:tc>
      </w:tr>
      <w:tr w:rsidR="003B5733" w14:paraId="3D6154CA" w14:textId="77777777" w:rsidTr="00B07FF7">
        <w:tc>
          <w:tcPr>
            <w:tcW w:w="10348" w:type="dxa"/>
          </w:tcPr>
          <w:p w14:paraId="18E8FDE7" w14:textId="77777777" w:rsidR="003B5733" w:rsidRPr="001E5058" w:rsidRDefault="00BA1A6F" w:rsidP="001E5058">
            <w:pPr>
              <w:pStyle w:val="Bannermarking"/>
            </w:pPr>
            <w:fldSimple w:instr=" FILLIN  &quot;Type the protective marking&quot; \d OFFICIAL \o  \* MERGEFORMAT ">
              <w:r>
                <w:t>OFFICIAL</w:t>
              </w:r>
            </w:fldSimple>
          </w:p>
        </w:tc>
      </w:tr>
    </w:tbl>
    <w:p w14:paraId="15E1FCAD" w14:textId="7653E3AF" w:rsidR="007173CA" w:rsidRDefault="007173CA" w:rsidP="00D079AA">
      <w:pPr>
        <w:pStyle w:val="Body"/>
      </w:pPr>
    </w:p>
    <w:p w14:paraId="19A74221"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258AEEE" w14:textId="140DCE59" w:rsidR="003436EF" w:rsidRDefault="003436EF" w:rsidP="00E26096">
      <w:pPr>
        <w:pStyle w:val="Heading1"/>
      </w:pPr>
      <w:r>
        <w:t>Purpose</w:t>
      </w:r>
    </w:p>
    <w:p w14:paraId="1B8C40DF" w14:textId="77777777" w:rsidR="00961A83" w:rsidRDefault="00961A83" w:rsidP="003436EF">
      <w:pPr>
        <w:pStyle w:val="Body"/>
      </w:pPr>
      <w:r w:rsidRPr="00961A83">
        <w:t>This document clarifies the roles, responsibilities and escalation pathways for the use of artificial intelligence (AI) within Victorian Public Health Services (VPHS). It is intended to support consistent accountability, decision</w:t>
      </w:r>
      <w:r w:rsidRPr="00961A83">
        <w:rPr>
          <w:rFonts w:ascii="Cambria Math" w:hAnsi="Cambria Math" w:cs="Cambria Math"/>
        </w:rPr>
        <w:t>‑</w:t>
      </w:r>
      <w:r w:rsidRPr="00961A83">
        <w:t>making and escalation of AI</w:t>
      </w:r>
      <w:r w:rsidRPr="00961A83">
        <w:rPr>
          <w:rFonts w:ascii="Cambria Math" w:hAnsi="Cambria Math" w:cs="Cambria Math"/>
        </w:rPr>
        <w:t>‑</w:t>
      </w:r>
      <w:r w:rsidRPr="00961A83">
        <w:t>related risks, issues and incidents across the public health system</w:t>
      </w:r>
      <w:r w:rsidR="00EB3C92" w:rsidRPr="00EB3C92">
        <w:t>.</w:t>
      </w:r>
      <w:r w:rsidR="00EB3C92">
        <w:t xml:space="preserve"> </w:t>
      </w:r>
    </w:p>
    <w:p w14:paraId="205B0CEE" w14:textId="446CFA0C" w:rsidR="003436EF" w:rsidRPr="001B03F0" w:rsidRDefault="003436EF" w:rsidP="003436EF">
      <w:pPr>
        <w:pStyle w:val="Body"/>
      </w:pPr>
      <w:r w:rsidRPr="001B03F0">
        <w:t xml:space="preserve">This document should </w:t>
      </w:r>
      <w:r w:rsidR="00EB3C92" w:rsidRPr="001B03F0">
        <w:t xml:space="preserve">be </w:t>
      </w:r>
      <w:r w:rsidR="0056254C" w:rsidRPr="001B03F0">
        <w:t xml:space="preserve">read </w:t>
      </w:r>
      <w:r w:rsidR="00961A83" w:rsidRPr="001B03F0">
        <w:t>in conjunction with</w:t>
      </w:r>
      <w:r w:rsidRPr="001B03F0">
        <w:t xml:space="preserve">: </w:t>
      </w:r>
    </w:p>
    <w:p w14:paraId="600BD0DD" w14:textId="68511C21" w:rsidR="003436EF" w:rsidRPr="00583CA2" w:rsidRDefault="009C79D9" w:rsidP="003436EF">
      <w:pPr>
        <w:pStyle w:val="Bullet1"/>
      </w:pPr>
      <w:hyperlink r:id="rId16" w:history="1">
        <w:r w:rsidR="00EB7454" w:rsidRPr="009C79D9">
          <w:rPr>
            <w:rStyle w:val="Hyperlink"/>
          </w:rPr>
          <w:t>Governance Models for AI Solutions in Victorian Public Health Services</w:t>
        </w:r>
      </w:hyperlink>
      <w:r>
        <w:rPr>
          <w:rStyle w:val="FootnoteReference"/>
        </w:rPr>
        <w:footnoteReference w:id="2"/>
      </w:r>
    </w:p>
    <w:p w14:paraId="0FFF9C25" w14:textId="00D07A15" w:rsidR="00162CA9" w:rsidRPr="00583CA2" w:rsidRDefault="002C6616" w:rsidP="00BA1A6F">
      <w:pPr>
        <w:pStyle w:val="Bullet1"/>
      </w:pPr>
      <w:hyperlink r:id="rId17" w:history="1">
        <w:r w:rsidR="00993E34" w:rsidRPr="002C6616">
          <w:rPr>
            <w:rStyle w:val="Hyperlink"/>
          </w:rPr>
          <w:t>Standards for the use of AI in Victorian Public Health Services</w:t>
        </w:r>
      </w:hyperlink>
      <w:r w:rsidR="009C79D9">
        <w:rPr>
          <w:rStyle w:val="FootnoteReference"/>
        </w:rPr>
        <w:footnoteReference w:id="3"/>
      </w:r>
    </w:p>
    <w:p w14:paraId="65E249DC" w14:textId="5E3A7752" w:rsidR="00BA1A6F" w:rsidRDefault="00BA1A6F" w:rsidP="00D95412">
      <w:pPr>
        <w:pStyle w:val="Heading1"/>
      </w:pPr>
      <w:r w:rsidRPr="00583CA2">
        <w:t xml:space="preserve">Commonwealth Government </w:t>
      </w:r>
      <w:r w:rsidR="007A5624" w:rsidRPr="00583CA2">
        <w:t>Responsibilities</w:t>
      </w:r>
    </w:p>
    <w:p w14:paraId="4214AE1C" w14:textId="77777777" w:rsidR="00D95412" w:rsidRDefault="00D95412" w:rsidP="00D95412">
      <w:pPr>
        <w:pStyle w:val="Bullet1"/>
        <w:numPr>
          <w:ilvl w:val="0"/>
          <w:numId w:val="0"/>
        </w:numPr>
        <w:ind w:left="284" w:hanging="284"/>
      </w:pPr>
      <w:r>
        <w:t>The Commonwealth is responsible for:</w:t>
      </w:r>
    </w:p>
    <w:p w14:paraId="2E683653" w14:textId="7DF0B4FC" w:rsidR="00D95412" w:rsidRDefault="00D95412" w:rsidP="00D95412">
      <w:pPr>
        <w:pStyle w:val="Bullet1"/>
      </w:pPr>
      <w:r>
        <w:t xml:space="preserve">The regulation of AI that meets the criteria of a medical device </w:t>
      </w:r>
    </w:p>
    <w:p w14:paraId="74858A39" w14:textId="7AA097E9" w:rsidR="00D95412" w:rsidRDefault="00D95412" w:rsidP="00D95412">
      <w:pPr>
        <w:pStyle w:val="Bullet1"/>
      </w:pPr>
      <w:r>
        <w:t>Overarching legislation (i.e., across industries) on the safe and responsible use of AI</w:t>
      </w:r>
    </w:p>
    <w:p w14:paraId="1FA6497C" w14:textId="77777777" w:rsidR="00BA1A6F" w:rsidRDefault="00BA1A6F" w:rsidP="00BA1A6F">
      <w:pPr>
        <w:pStyle w:val="Heading4"/>
      </w:pPr>
      <w:r>
        <w:t>Therapeutic Goods Administration</w:t>
      </w:r>
    </w:p>
    <w:p w14:paraId="495DD40B" w14:textId="017CE662" w:rsidR="00BA1A6F" w:rsidRDefault="00BA1A6F" w:rsidP="00BA1A6F">
      <w:pPr>
        <w:pStyle w:val="Body"/>
      </w:pPr>
      <w:r>
        <w:t>The Therapeutic Goods Administration (TGA) regulate</w:t>
      </w:r>
      <w:r w:rsidR="00767104">
        <w:t>s</w:t>
      </w:r>
      <w:r>
        <w:t xml:space="preserve"> AI if it meets the criteria of a </w:t>
      </w:r>
      <w:r w:rsidRPr="00F446B4">
        <w:t>medical device</w:t>
      </w:r>
      <w:r>
        <w:t>. Typically, this would be where</w:t>
      </w:r>
      <w:r w:rsidRPr="00F446B4">
        <w:t xml:space="preserve"> </w:t>
      </w:r>
      <w:r>
        <w:t xml:space="preserve">AI is </w:t>
      </w:r>
      <w:r w:rsidRPr="00F446B4">
        <w:t>used for diagnosis, prevention, monitoring, prediction, prognosis, treatment, or alleviation of disease, injury or disability.</w:t>
      </w:r>
    </w:p>
    <w:p w14:paraId="2F9C741A" w14:textId="7BFDBF01" w:rsidR="00BA1A6F" w:rsidRDefault="00BA1A6F" w:rsidP="00BA1A6F">
      <w:pPr>
        <w:pStyle w:val="Body"/>
      </w:pPr>
      <w:r>
        <w:t>The TGA also note</w:t>
      </w:r>
      <w:r w:rsidR="003B4F4F">
        <w:t>s</w:t>
      </w:r>
      <w:r>
        <w:t xml:space="preserve"> that, in addition to general regulation criteria for clinical devices, </w:t>
      </w:r>
      <w:r w:rsidRPr="00BD6981">
        <w:t>software that uses AI or machine learning</w:t>
      </w:r>
      <w:r>
        <w:t xml:space="preserve"> </w:t>
      </w:r>
      <w:r w:rsidR="00681936" w:rsidRPr="00681936">
        <w:t>must provide</w:t>
      </w:r>
      <w:r w:rsidRPr="00BD6981">
        <w:t xml:space="preserve"> sufficiently transparent </w:t>
      </w:r>
      <w:r w:rsidR="00681936" w:rsidRPr="00681936">
        <w:t xml:space="preserve">evidence </w:t>
      </w:r>
      <w:r w:rsidRPr="00BD6981">
        <w:t>to enable evaluation of safety and performance</w:t>
      </w:r>
      <w:r w:rsidR="00681936" w:rsidRPr="00681936">
        <w:t>.</w:t>
      </w:r>
    </w:p>
    <w:p w14:paraId="1BABC1F1" w14:textId="509CB805" w:rsidR="001C0E1A" w:rsidRDefault="0030196E" w:rsidP="00BA1A6F">
      <w:pPr>
        <w:pStyle w:val="Body"/>
      </w:pPr>
      <w:r>
        <w:t>For further</w:t>
      </w:r>
      <w:r w:rsidR="001C0E1A">
        <w:t xml:space="preserve"> information</w:t>
      </w:r>
      <w:r>
        <w:t>, see:</w:t>
      </w:r>
      <w:r w:rsidR="001C0E1A">
        <w:t xml:space="preserve"> </w:t>
      </w:r>
      <w:hyperlink r:id="rId18" w:history="1">
        <w:r w:rsidR="00E8323A" w:rsidRPr="00E00D17">
          <w:rPr>
            <w:rStyle w:val="Hyperlink"/>
          </w:rPr>
          <w:t>artificial intelligence (AI) and medical device software regulation on the TGA website</w:t>
        </w:r>
      </w:hyperlink>
      <w:r w:rsidR="00E00D17">
        <w:rPr>
          <w:rStyle w:val="FootnoteReference"/>
        </w:rPr>
        <w:footnoteReference w:id="4"/>
      </w:r>
      <w:r w:rsidR="00E8323A">
        <w:t xml:space="preserve">. </w:t>
      </w:r>
    </w:p>
    <w:p w14:paraId="59F430DB" w14:textId="38B749DD" w:rsidR="00BA1A6F" w:rsidRDefault="00BA1A6F" w:rsidP="00BA1A6F">
      <w:pPr>
        <w:pStyle w:val="Body"/>
      </w:pPr>
      <w:r>
        <w:t xml:space="preserve">If a scenario arises where a health service and/or health care professional(s) are using AI solutions, that meet the TGA definition of a medical device but is not listed on the ARTG – the TGA should be notified. Following </w:t>
      </w:r>
      <w:r>
        <w:lastRenderedPageBreak/>
        <w:t xml:space="preserve">such a notification, the TGA will engage with the relevant vendor to ensure compliance with Commonwealth regulatory policy. </w:t>
      </w:r>
    </w:p>
    <w:p w14:paraId="1A666945" w14:textId="35F0884B" w:rsidR="00D95412" w:rsidRPr="00F86B64" w:rsidRDefault="00D95412" w:rsidP="00F86B64">
      <w:pPr>
        <w:pStyle w:val="Body"/>
      </w:pPr>
      <w:r w:rsidRPr="00F86B64">
        <w:t xml:space="preserve">If a VPHS identifies or suspects that an AI solution meets the TGA criteria for a regulated medical device and that software is not listed on the ARTG, the TGA should be contacted via </w:t>
      </w:r>
      <w:hyperlink r:id="rId19" w:history="1">
        <w:r w:rsidR="00E04272" w:rsidRPr="00E04272">
          <w:rPr>
            <w:rStyle w:val="Hyperlink"/>
          </w:rPr>
          <w:t>digital.devices@tga.gov.au</w:t>
        </w:r>
      </w:hyperlink>
      <w:r w:rsidR="00E04272" w:rsidRPr="00E04272">
        <w:t xml:space="preserve"> </w:t>
      </w:r>
      <w:r w:rsidRPr="00F86B64">
        <w:t>to intervene with the vendor.</w:t>
      </w:r>
    </w:p>
    <w:p w14:paraId="65E14AAA" w14:textId="06B10F1B" w:rsidR="00D95412" w:rsidRPr="00F86B64" w:rsidRDefault="00D95412" w:rsidP="00F86B64">
      <w:pPr>
        <w:pStyle w:val="Body"/>
      </w:pPr>
      <w:r w:rsidRPr="00F86B64">
        <w:t>If a VPHS is the developer or sponsor of an AI solution that may meet the TGA criteria for a regulated medical device, irrespective of any intention to commercialise the product, they should contact the TGA to register the solution via</w:t>
      </w:r>
      <w:r w:rsidR="00E04272">
        <w:t xml:space="preserve"> </w:t>
      </w:r>
      <w:hyperlink r:id="rId20" w:history="1">
        <w:r w:rsidR="00E04272" w:rsidRPr="00E04272">
          <w:rPr>
            <w:rStyle w:val="Hyperlink"/>
          </w:rPr>
          <w:t>digital.devices@tga.gov.au</w:t>
        </w:r>
      </w:hyperlink>
      <w:r w:rsidRPr="00F86B64">
        <w:t xml:space="preserve">. </w:t>
      </w:r>
    </w:p>
    <w:p w14:paraId="08033434" w14:textId="030F4449" w:rsidR="00BA1A6F" w:rsidRDefault="00BA1A6F" w:rsidP="00FC00F3">
      <w:pPr>
        <w:pStyle w:val="Heading1"/>
      </w:pPr>
      <w:r>
        <w:t>Victorian Department of Health</w:t>
      </w:r>
      <w:r w:rsidR="007A5624">
        <w:t xml:space="preserve"> Responsibilities</w:t>
      </w:r>
    </w:p>
    <w:p w14:paraId="1886288C" w14:textId="4AC70273" w:rsidR="00002EA6" w:rsidRDefault="00BA1A6F" w:rsidP="00002EA6">
      <w:pPr>
        <w:pStyle w:val="Body"/>
      </w:pPr>
      <w:r>
        <w:t xml:space="preserve">The Department of Health and Safer Care Victoria’s overarching responsibilities </w:t>
      </w:r>
      <w:r w:rsidR="00A77DE3">
        <w:t>in relation</w:t>
      </w:r>
      <w:r>
        <w:t xml:space="preserve"> to clinical governance are summarised in </w:t>
      </w:r>
      <w:r w:rsidRPr="00935FD1">
        <w:rPr>
          <w:i/>
          <w:iCs/>
        </w:rPr>
        <w:t>Delivering High-Quality Care: Victorian Clinical Governance Framework</w:t>
      </w:r>
      <w:r w:rsidRPr="00422B37">
        <w:t xml:space="preserve"> (2024)</w:t>
      </w:r>
      <w:r>
        <w:t xml:space="preserve">. </w:t>
      </w:r>
      <w:r w:rsidR="00002EA6">
        <w:t xml:space="preserve">In the context of </w:t>
      </w:r>
      <w:r w:rsidR="00ED33A4">
        <w:t>AI</w:t>
      </w:r>
      <w:r w:rsidR="00002EA6">
        <w:t xml:space="preserve">, </w:t>
      </w:r>
      <w:r w:rsidR="001C7545">
        <w:t>the d</w:t>
      </w:r>
      <w:r w:rsidR="00002EA6">
        <w:t xml:space="preserve">epartment’s role </w:t>
      </w:r>
      <w:r w:rsidR="00D43BCC">
        <w:t xml:space="preserve">is to </w:t>
      </w:r>
      <w:r w:rsidR="00002EA6">
        <w:t>set clear system</w:t>
      </w:r>
      <w:r w:rsidR="00002EA6">
        <w:rPr>
          <w:rFonts w:ascii="Cambria Math" w:hAnsi="Cambria Math" w:cs="Cambria Math"/>
        </w:rPr>
        <w:t>‑</w:t>
      </w:r>
      <w:r w:rsidR="00002EA6">
        <w:t xml:space="preserve">wide expectations, enabling safe and appropriate use, and </w:t>
      </w:r>
      <w:r w:rsidR="00BD3B73" w:rsidRPr="00BD3B73">
        <w:t>coordinating system</w:t>
      </w:r>
      <w:r w:rsidR="00BD3B73" w:rsidRPr="00BD3B73">
        <w:rPr>
          <w:rFonts w:ascii="Cambria Math" w:hAnsi="Cambria Math" w:cs="Cambria Math"/>
        </w:rPr>
        <w:t>‑</w:t>
      </w:r>
      <w:r w:rsidR="00BD3B73" w:rsidRPr="00BD3B73">
        <w:t xml:space="preserve">level responses where necessary </w:t>
      </w:r>
      <w:r w:rsidR="00002EA6">
        <w:t>to protect patient safety, care quality, and public trust.</w:t>
      </w:r>
    </w:p>
    <w:p w14:paraId="0AE06276" w14:textId="28B2574C" w:rsidR="00F9485F" w:rsidRDefault="00002EA6" w:rsidP="00F9485F">
      <w:pPr>
        <w:pStyle w:val="Body"/>
      </w:pPr>
      <w:r>
        <w:t xml:space="preserve">The </w:t>
      </w:r>
      <w:r w:rsidR="001C7545">
        <w:t>d</w:t>
      </w:r>
      <w:r>
        <w:t>epartment will work with the sector to give effect to this stewardship role by:</w:t>
      </w:r>
    </w:p>
    <w:p w14:paraId="47B25397" w14:textId="3F1079CF" w:rsidR="00F9485F" w:rsidRDefault="00264696" w:rsidP="00F9485F">
      <w:pPr>
        <w:pStyle w:val="Bullet1"/>
      </w:pPr>
      <w:r>
        <w:t>I</w:t>
      </w:r>
      <w:r w:rsidR="00F9485F">
        <w:t xml:space="preserve">dentifying and </w:t>
      </w:r>
      <w:r w:rsidR="00695E4E" w:rsidRPr="00695E4E">
        <w:t>supporting appropriate escalation and coordination for A</w:t>
      </w:r>
      <w:r w:rsidR="00695E4E">
        <w:t>I</w:t>
      </w:r>
      <w:r w:rsidR="00695E4E" w:rsidRPr="00695E4E">
        <w:t xml:space="preserve"> </w:t>
      </w:r>
      <w:r w:rsidR="00F9485F">
        <w:t>uses that present unacceptable clinical, ethical, legal, cyber, or reputational risk</w:t>
      </w:r>
      <w:r>
        <w:t>.</w:t>
      </w:r>
    </w:p>
    <w:p w14:paraId="1F3D9F00" w14:textId="578314E2" w:rsidR="00F9485F" w:rsidRDefault="00264696" w:rsidP="00F9485F">
      <w:pPr>
        <w:pStyle w:val="Bullet1"/>
      </w:pPr>
      <w:r>
        <w:t>S</w:t>
      </w:r>
      <w:r w:rsidR="00F9485F">
        <w:t>upporting alignment with relevant Commonwealth</w:t>
      </w:r>
      <w:r w:rsidR="00327F4F">
        <w:t xml:space="preserve"> and State</w:t>
      </w:r>
      <w:r w:rsidR="00F9485F">
        <w:t xml:space="preserve"> legislation, regulation, and policy</w:t>
      </w:r>
      <w:r>
        <w:t>.</w:t>
      </w:r>
    </w:p>
    <w:p w14:paraId="01C21C86" w14:textId="502A757D" w:rsidR="00F9485F" w:rsidRDefault="00264696" w:rsidP="00F9485F">
      <w:pPr>
        <w:pStyle w:val="Bullet1"/>
      </w:pPr>
      <w:r>
        <w:t>P</w:t>
      </w:r>
      <w:r w:rsidR="00F9485F">
        <w:t xml:space="preserve">romoting consistent and appropriate AI governance practices across </w:t>
      </w:r>
      <w:r w:rsidR="00CD48F0">
        <w:t>VPHS</w:t>
      </w:r>
      <w:r>
        <w:t>.</w:t>
      </w:r>
    </w:p>
    <w:p w14:paraId="3FBC4BC6" w14:textId="3F57133C" w:rsidR="00BA1A6F" w:rsidRDefault="00BA1A6F" w:rsidP="00D95412">
      <w:pPr>
        <w:pStyle w:val="Heading1"/>
      </w:pPr>
      <w:r>
        <w:t>Victorian Public Health Service</w:t>
      </w:r>
      <w:r w:rsidR="00705F11">
        <w:t xml:space="preserve"> Responsibilities</w:t>
      </w:r>
    </w:p>
    <w:p w14:paraId="668DD3A9" w14:textId="4C49B952" w:rsidR="008112D1" w:rsidRPr="008112D1" w:rsidRDefault="00F61E4B" w:rsidP="00BA1A6F">
      <w:pPr>
        <w:pStyle w:val="Body"/>
      </w:pPr>
      <w:r w:rsidRPr="00F61E4B">
        <w:t xml:space="preserve">Health services are responsible for </w:t>
      </w:r>
      <w:r w:rsidR="00B167C5">
        <w:t>establishing</w:t>
      </w:r>
      <w:r w:rsidRPr="00F61E4B">
        <w:t xml:space="preserve"> and implementing organisational </w:t>
      </w:r>
      <w:r w:rsidR="003305AB">
        <w:t xml:space="preserve">policies for </w:t>
      </w:r>
      <w:r w:rsidRPr="00F61E4B">
        <w:t>digital health and AI, ensuring high</w:t>
      </w:r>
      <w:r w:rsidRPr="00F61E4B">
        <w:rPr>
          <w:rFonts w:ascii="Cambria Math" w:hAnsi="Cambria Math" w:cs="Cambria Math"/>
        </w:rPr>
        <w:t>‑</w:t>
      </w:r>
      <w:r w:rsidRPr="00F61E4B">
        <w:t>quality and safe care is the central priority</w:t>
      </w:r>
      <w:r w:rsidR="008112D1">
        <w:t xml:space="preserve">. </w:t>
      </w:r>
      <w:r w:rsidR="00935FD1">
        <w:t>VPHS</w:t>
      </w:r>
      <w:r w:rsidR="00935FD1" w:rsidRPr="00935FD1">
        <w:t xml:space="preserve"> must meet their obligations under the </w:t>
      </w:r>
      <w:hyperlink r:id="rId21" w:history="1">
        <w:r w:rsidR="00935FD1" w:rsidRPr="00A3665F">
          <w:rPr>
            <w:rStyle w:val="Hyperlink"/>
            <w:i/>
            <w:iCs/>
          </w:rPr>
          <w:t>National Safety and Quality Health Service (NSQHS) Standards</w:t>
        </w:r>
      </w:hyperlink>
      <w:r w:rsidR="00A3665F">
        <w:rPr>
          <w:rStyle w:val="FootnoteReference"/>
        </w:rPr>
        <w:footnoteReference w:id="5"/>
      </w:r>
      <w:r w:rsidR="00935FD1" w:rsidRPr="00935FD1">
        <w:t xml:space="preserve">, particularly </w:t>
      </w:r>
      <w:r w:rsidR="00935FD1" w:rsidRPr="002B0C46">
        <w:t>Standard 1: Clinical Governance</w:t>
      </w:r>
      <w:r w:rsidR="00935FD1" w:rsidRPr="00935FD1">
        <w:t xml:space="preserve">, including where </w:t>
      </w:r>
      <w:r w:rsidR="00935FD1">
        <w:t>AI</w:t>
      </w:r>
      <w:r w:rsidR="00935FD1" w:rsidRPr="00935FD1">
        <w:t xml:space="preserve"> is used to support clinical, operational, or administrative decision</w:t>
      </w:r>
      <w:r w:rsidR="00935FD1" w:rsidRPr="00935FD1">
        <w:noBreakHyphen/>
        <w:t>making.</w:t>
      </w:r>
    </w:p>
    <w:p w14:paraId="7D96DDCB" w14:textId="792FDEAE" w:rsidR="007420FA" w:rsidRDefault="001238FD" w:rsidP="00BA1A6F">
      <w:pPr>
        <w:pStyle w:val="Body"/>
      </w:pPr>
      <w:r w:rsidRPr="001B03F0">
        <w:rPr>
          <w:rFonts w:cs="Arial"/>
          <w:color w:val="2A2736"/>
        </w:rPr>
        <w:t>The</w:t>
      </w:r>
      <w:r w:rsidR="009E30FF" w:rsidRPr="001B03F0">
        <w:rPr>
          <w:rFonts w:cs="Arial"/>
          <w:color w:val="2A2736"/>
        </w:rPr>
        <w:t xml:space="preserve"> recommended</w:t>
      </w:r>
      <w:r w:rsidRPr="001B03F0">
        <w:rPr>
          <w:rFonts w:cs="Arial"/>
          <w:color w:val="2A2736"/>
        </w:rPr>
        <w:t xml:space="preserve"> overarching governance structure to safely and effectively adopt AI solutions </w:t>
      </w:r>
      <w:r w:rsidR="00C6400E" w:rsidRPr="001B03F0">
        <w:rPr>
          <w:rFonts w:cs="Arial"/>
          <w:color w:val="2A2736"/>
        </w:rPr>
        <w:t xml:space="preserve">is outlined </w:t>
      </w:r>
      <w:r w:rsidR="009E30FF" w:rsidRPr="001B03F0">
        <w:rPr>
          <w:rFonts w:cs="Arial"/>
          <w:color w:val="2A2736"/>
        </w:rPr>
        <w:t xml:space="preserve">in </w:t>
      </w:r>
      <w:hyperlink r:id="rId22" w:history="1">
        <w:r w:rsidR="009E30FF" w:rsidRPr="00C215F5">
          <w:rPr>
            <w:rStyle w:val="Hyperlink"/>
            <w:i/>
          </w:rPr>
          <w:t>Governance Models for AI Solutions in Victorian Public Health Services</w:t>
        </w:r>
        <w:r w:rsidR="00C215F5">
          <w:rPr>
            <w:rStyle w:val="FootnoteReference"/>
            <w:i/>
            <w:color w:val="004C97"/>
            <w:u w:val="dotted"/>
          </w:rPr>
          <w:footnoteReference w:id="6"/>
        </w:r>
        <w:r w:rsidR="009E30FF" w:rsidRPr="00C215F5">
          <w:rPr>
            <w:rStyle w:val="Hyperlink"/>
          </w:rPr>
          <w:t>.</w:t>
        </w:r>
      </w:hyperlink>
      <w:r w:rsidR="009E30FF" w:rsidRPr="001B03F0">
        <w:t xml:space="preserve"> In addition, the </w:t>
      </w:r>
      <w:r w:rsidR="001C7545" w:rsidRPr="001B03F0">
        <w:t>d</w:t>
      </w:r>
      <w:r w:rsidR="009E30FF" w:rsidRPr="001B03F0">
        <w:t xml:space="preserve">epartment expects that health services have appropriate structures to </w:t>
      </w:r>
      <w:r w:rsidR="003F763C" w:rsidRPr="001B03F0">
        <w:t xml:space="preserve">identify, manage and escalate issues </w:t>
      </w:r>
      <w:r w:rsidR="007420FA" w:rsidRPr="001B03F0">
        <w:t>related to patient safety, security</w:t>
      </w:r>
      <w:r w:rsidR="00B26724" w:rsidRPr="001B03F0">
        <w:t>, privacy</w:t>
      </w:r>
      <w:r w:rsidR="007420FA" w:rsidRPr="001B03F0">
        <w:t xml:space="preserve"> and procurement</w:t>
      </w:r>
      <w:r w:rsidR="00507832" w:rsidRPr="001B03F0">
        <w:t xml:space="preserve">, </w:t>
      </w:r>
      <w:r w:rsidR="00D66CBE" w:rsidRPr="001B03F0">
        <w:t>specifically:</w:t>
      </w:r>
      <w:r w:rsidR="00D66CBE">
        <w:t xml:space="preserve"> </w:t>
      </w:r>
    </w:p>
    <w:p w14:paraId="3D3B0774" w14:textId="78607D75" w:rsidR="00B253E2" w:rsidRDefault="00B253E2" w:rsidP="00BA1A6F">
      <w:pPr>
        <w:pStyle w:val="Bullet1"/>
      </w:pPr>
      <w:r>
        <w:t>P</w:t>
      </w:r>
      <w:r w:rsidRPr="00B253E2">
        <w:t>rocesses to oversee the safe implementation, use, and ongoing monitoring of AI solutions in clinical and operational environments</w:t>
      </w:r>
      <w:r w:rsidR="001C06EA">
        <w:t>.</w:t>
      </w:r>
    </w:p>
    <w:p w14:paraId="692BDFF8" w14:textId="320321F8" w:rsidR="00FF2DC1" w:rsidRDefault="00C53A5C" w:rsidP="00BA1A6F">
      <w:pPr>
        <w:pStyle w:val="Bullet1"/>
      </w:pPr>
      <w:r>
        <w:t>I</w:t>
      </w:r>
      <w:r w:rsidR="00FF2DC1" w:rsidRPr="00FF2DC1">
        <w:t>ncident management arrangements, including defined processes for managing and escalating local</w:t>
      </w:r>
      <w:r w:rsidR="00FF2DC1">
        <w:t xml:space="preserve"> clinical, privacy and</w:t>
      </w:r>
      <w:r w:rsidR="00FF2DC1" w:rsidRPr="00FF2DC1">
        <w:t xml:space="preserve"> cyber incidents, and the maintenance of risk and issue registers</w:t>
      </w:r>
      <w:r w:rsidR="00FF2DC1">
        <w:t>.</w:t>
      </w:r>
    </w:p>
    <w:p w14:paraId="1D713DA7" w14:textId="629B5A4A" w:rsidR="00B26724" w:rsidRDefault="00B26724" w:rsidP="00BA1A6F">
      <w:pPr>
        <w:pStyle w:val="Bullet1"/>
      </w:pPr>
      <w:r>
        <w:t>P</w:t>
      </w:r>
      <w:r w:rsidRPr="00B26724">
        <w:t xml:space="preserve">rocurement </w:t>
      </w:r>
      <w:r w:rsidR="008279F3">
        <w:t>approaches</w:t>
      </w:r>
      <w:r w:rsidRPr="00B26724">
        <w:t xml:space="preserve"> t</w:t>
      </w:r>
      <w:r w:rsidR="008279F3">
        <w:t>hat</w:t>
      </w:r>
      <w:r w:rsidRPr="00B26724">
        <w:t xml:space="preserve"> support the evaluation, selection, contracting, and lifecycle management of AI solutions in line with applicable policies and requirements</w:t>
      </w:r>
      <w:r w:rsidR="008279F3">
        <w:t>.</w:t>
      </w:r>
    </w:p>
    <w:p w14:paraId="4C24788A" w14:textId="7B3D836C" w:rsidR="007D789C" w:rsidRDefault="007D789C" w:rsidP="00BA1A6F">
      <w:pPr>
        <w:pStyle w:val="Bullet1"/>
      </w:pPr>
      <w:r>
        <w:t>C</w:t>
      </w:r>
      <w:r w:rsidRPr="007D789C">
        <w:t xml:space="preserve">ontrols and guidance to support compliance with applicable State and Commonwealth legislation, including the </w:t>
      </w:r>
      <w:r w:rsidRPr="007D789C">
        <w:rPr>
          <w:i/>
          <w:iCs/>
        </w:rPr>
        <w:t>Privacy Act 1988</w:t>
      </w:r>
      <w:r w:rsidRPr="007D789C">
        <w:t xml:space="preserve"> and </w:t>
      </w:r>
      <w:r w:rsidRPr="007D789C">
        <w:rPr>
          <w:i/>
          <w:iCs/>
        </w:rPr>
        <w:t>Health Records Act 2001</w:t>
      </w:r>
      <w:r w:rsidRPr="007D789C">
        <w:t xml:space="preserve"> in the use of AI </w:t>
      </w:r>
      <w:r w:rsidR="001C06EA">
        <w:t>solutions.</w:t>
      </w:r>
    </w:p>
    <w:p w14:paraId="0EDA428B" w14:textId="0EAF4370" w:rsidR="00676994" w:rsidRDefault="00080A7C" w:rsidP="00080A7C">
      <w:pPr>
        <w:pStyle w:val="Heading4"/>
      </w:pPr>
      <w:r>
        <w:lastRenderedPageBreak/>
        <w:t xml:space="preserve">Victorian Public Health Service workforce  </w:t>
      </w:r>
    </w:p>
    <w:p w14:paraId="22F146AA" w14:textId="1D51CD2C" w:rsidR="007C618F" w:rsidRDefault="00903A23" w:rsidP="007C618F">
      <w:pPr>
        <w:pStyle w:val="Body"/>
      </w:pPr>
      <w:r>
        <w:t>Health services should en</w:t>
      </w:r>
      <w:r w:rsidR="00676994">
        <w:t>sur</w:t>
      </w:r>
      <w:r>
        <w:t>e</w:t>
      </w:r>
      <w:r w:rsidR="00676994">
        <w:t xml:space="preserve"> that all clinicians employed at their health service, either as staff or as contractors, </w:t>
      </w:r>
      <w:r w:rsidR="007A5624">
        <w:t>work within the policies</w:t>
      </w:r>
      <w:r w:rsidR="00552CE3">
        <w:t xml:space="preserve"> of the</w:t>
      </w:r>
      <w:r w:rsidR="007A5624">
        <w:t>ir</w:t>
      </w:r>
      <w:r w:rsidR="00552CE3">
        <w:t xml:space="preserve"> organisation</w:t>
      </w:r>
      <w:r w:rsidR="00705F11">
        <w:t xml:space="preserve"> and those provided by the</w:t>
      </w:r>
      <w:r w:rsidR="00552CE3">
        <w:t xml:space="preserve"> </w:t>
      </w:r>
      <w:r w:rsidR="001C7545">
        <w:t>d</w:t>
      </w:r>
      <w:r w:rsidR="00552CE3">
        <w:t xml:space="preserve">epartment and </w:t>
      </w:r>
      <w:r w:rsidR="00A72B35">
        <w:t>the C</w:t>
      </w:r>
      <w:r w:rsidR="00552CE3">
        <w:t>ommonwealth</w:t>
      </w:r>
      <w:r w:rsidR="00A72B35">
        <w:t xml:space="preserve">. </w:t>
      </w:r>
      <w:r w:rsidR="008E501B" w:rsidRPr="007C618F">
        <w:t xml:space="preserve">Clinical staff </w:t>
      </w:r>
      <w:r w:rsidR="007A5624">
        <w:t>must</w:t>
      </w:r>
      <w:r w:rsidR="007A5624" w:rsidRPr="007C618F">
        <w:t xml:space="preserve"> </w:t>
      </w:r>
      <w:r w:rsidR="007C618F" w:rsidRPr="007C618F">
        <w:t>maintain their</w:t>
      </w:r>
      <w:r w:rsidR="008E501B" w:rsidRPr="007C618F">
        <w:t xml:space="preserve"> </w:t>
      </w:r>
      <w:r w:rsidR="007C618F" w:rsidRPr="007C618F">
        <w:t xml:space="preserve">professional obligations when using </w:t>
      </w:r>
      <w:r w:rsidR="00B108DE">
        <w:t>AI</w:t>
      </w:r>
      <w:r w:rsidR="007C618F" w:rsidRPr="007C618F">
        <w:t xml:space="preserve"> in healthcare</w:t>
      </w:r>
      <w:r w:rsidR="00907CF5">
        <w:t>. T</w:t>
      </w:r>
      <w:r w:rsidR="007C618F">
        <w:t xml:space="preserve">he 2024 </w:t>
      </w:r>
      <w:hyperlink r:id="rId23" w:history="1">
        <w:r w:rsidR="00907CF5" w:rsidRPr="00C30F79">
          <w:rPr>
            <w:rStyle w:val="Hyperlink"/>
          </w:rPr>
          <w:t>Australian Health Practitioner Regulation Agency guideline</w:t>
        </w:r>
      </w:hyperlink>
      <w:r w:rsidR="00C30F79">
        <w:rPr>
          <w:rStyle w:val="FootnoteReference"/>
        </w:rPr>
        <w:footnoteReference w:id="7"/>
      </w:r>
      <w:r w:rsidR="00907CF5">
        <w:t xml:space="preserve"> summarises these responsibilities: </w:t>
      </w:r>
    </w:p>
    <w:p w14:paraId="4DBB1424" w14:textId="1A9D8662" w:rsidR="00705F11" w:rsidRPr="007C618F" w:rsidRDefault="00705F11" w:rsidP="007C618F">
      <w:pPr>
        <w:pStyle w:val="Body"/>
        <w:rPr>
          <w:b/>
          <w:bCs/>
        </w:rPr>
      </w:pPr>
      <w:r>
        <w:t xml:space="preserve">All staff endorsed to use AI </w:t>
      </w:r>
      <w:r w:rsidR="00F4453A">
        <w:t>solutions</w:t>
      </w:r>
      <w:r>
        <w:t xml:space="preserve"> should have access to requisite training and be familiar with local policies and guidance for safe and responsible use.</w:t>
      </w:r>
    </w:p>
    <w:p w14:paraId="2A3B8449" w14:textId="6B31FCAB" w:rsidR="006A7166" w:rsidRDefault="009C3C51" w:rsidP="000B509C">
      <w:pPr>
        <w:pStyle w:val="Body"/>
      </w:pPr>
      <w:r>
        <w:t xml:space="preserve">If </w:t>
      </w:r>
      <w:r w:rsidR="00191C07">
        <w:t xml:space="preserve">individual staff </w:t>
      </w:r>
      <w:r>
        <w:t xml:space="preserve">are found to be </w:t>
      </w:r>
      <w:r w:rsidR="00191C07">
        <w:t xml:space="preserve">using AI </w:t>
      </w:r>
      <w:r w:rsidR="007A5624">
        <w:t>which is unauthorised or not endorsed by a local policy and/or introduces risk to the quality and safety of patient care</w:t>
      </w:r>
      <w:r w:rsidR="009809B2">
        <w:t>,</w:t>
      </w:r>
      <w:r w:rsidR="007A5624">
        <w:t xml:space="preserve"> then </w:t>
      </w:r>
      <w:r w:rsidR="004A169A">
        <w:t>n</w:t>
      </w:r>
      <w:r w:rsidR="00B83869">
        <w:t>otification</w:t>
      </w:r>
      <w:r w:rsidR="004A169A">
        <w:t xml:space="preserve"> and resolution</w:t>
      </w:r>
      <w:r w:rsidR="00B83869">
        <w:t xml:space="preserve"> should follow the </w:t>
      </w:r>
      <w:r w:rsidR="00596F46">
        <w:t>process outlined by the relevant</w:t>
      </w:r>
      <w:r w:rsidR="00614C2E">
        <w:t xml:space="preserve"> health service or</w:t>
      </w:r>
      <w:r w:rsidR="00596F46">
        <w:t xml:space="preserve"> accrediting</w:t>
      </w:r>
      <w:r w:rsidR="00614C2E">
        <w:t>/</w:t>
      </w:r>
      <w:r w:rsidR="00596F46">
        <w:t xml:space="preserve">regulatory professional body. </w:t>
      </w:r>
      <w:r w:rsidR="00C2683F">
        <w:t xml:space="preserve"> </w:t>
      </w:r>
    </w:p>
    <w:p w14:paraId="2B0499EF" w14:textId="2B2080A8" w:rsidR="007A5624" w:rsidRDefault="007A5624" w:rsidP="007A5624">
      <w:pPr>
        <w:pStyle w:val="Heading4"/>
      </w:pPr>
      <w:r>
        <w:t xml:space="preserve">Victorian Public Health Service innovation - Scaling and commercialisation </w:t>
      </w:r>
    </w:p>
    <w:p w14:paraId="6A922B2B" w14:textId="14399C78" w:rsidR="007A5624" w:rsidRDefault="007A5624" w:rsidP="007A5624">
      <w:pPr>
        <w:pStyle w:val="Body"/>
      </w:pPr>
      <w:r>
        <w:t xml:space="preserve">With </w:t>
      </w:r>
      <w:r w:rsidR="00A43AE5">
        <w:t>the</w:t>
      </w:r>
      <w:r>
        <w:t xml:space="preserve"> </w:t>
      </w:r>
      <w:r w:rsidR="000A49EC">
        <w:t>rapid evolution</w:t>
      </w:r>
      <w:r>
        <w:t xml:space="preserve"> of AI </w:t>
      </w:r>
      <w:r w:rsidR="000A49EC">
        <w:t>technologies</w:t>
      </w:r>
      <w:r>
        <w:t xml:space="preserve"> there has never been greater opportunities for health services to develop their own AI </w:t>
      </w:r>
      <w:r w:rsidR="00A43AE5">
        <w:t>solutions</w:t>
      </w:r>
      <w:r>
        <w:t xml:space="preserve">. </w:t>
      </w:r>
      <w:r w:rsidR="00D16115" w:rsidRPr="00D16115">
        <w:t xml:space="preserve">The </w:t>
      </w:r>
      <w:r w:rsidR="001C7545">
        <w:t>d</w:t>
      </w:r>
      <w:r w:rsidR="00D16115" w:rsidRPr="00D16115">
        <w:t>epartment supports local innovation and may support system</w:t>
      </w:r>
      <w:r w:rsidR="00D16115" w:rsidRPr="00D16115">
        <w:rPr>
          <w:rFonts w:ascii="Cambria Math" w:hAnsi="Cambria Math" w:cs="Cambria Math"/>
        </w:rPr>
        <w:t>‑</w:t>
      </w:r>
      <w:r w:rsidR="00D16115" w:rsidRPr="00D16115">
        <w:t>level coordination or knowledge</w:t>
      </w:r>
      <w:r w:rsidR="00D16115" w:rsidRPr="00D16115">
        <w:rPr>
          <w:rFonts w:ascii="Cambria Math" w:hAnsi="Cambria Math" w:cs="Cambria Math"/>
        </w:rPr>
        <w:t>‑</w:t>
      </w:r>
      <w:r w:rsidR="00D16115" w:rsidRPr="00D16115">
        <w:t>sharing where there is interest in broader adoption of beneficial AI solutions</w:t>
      </w:r>
      <w:r>
        <w:t xml:space="preserve">. </w:t>
      </w:r>
    </w:p>
    <w:p w14:paraId="048F01CE" w14:textId="1D2B1EC1" w:rsidR="007A5624" w:rsidRDefault="007A5624" w:rsidP="007A5624">
      <w:pPr>
        <w:pStyle w:val="Body"/>
      </w:pPr>
      <w:r>
        <w:t xml:space="preserve">Health services are strongly encouraged to </w:t>
      </w:r>
      <w:r w:rsidR="00570CE9">
        <w:t>contact the department when</w:t>
      </w:r>
      <w:r>
        <w:t xml:space="preserve">: </w:t>
      </w:r>
    </w:p>
    <w:p w14:paraId="3834B8A3" w14:textId="063989E6" w:rsidR="00D84F40" w:rsidRDefault="00D84F40" w:rsidP="007A5624">
      <w:pPr>
        <w:pStyle w:val="Bullet1"/>
      </w:pPr>
      <w:r w:rsidRPr="00D84F40">
        <w:t>Assistance is sought to understand and navigate applicable regulatory requirements prior to a solution moving from development into routine use</w:t>
      </w:r>
      <w:r w:rsidR="00273A83">
        <w:t>.</w:t>
      </w:r>
      <w:r w:rsidRPr="00D84F40">
        <w:t xml:space="preserve"> </w:t>
      </w:r>
    </w:p>
    <w:p w14:paraId="57DD0A66" w14:textId="686BFEF0" w:rsidR="007A5624" w:rsidRDefault="007A5624" w:rsidP="007A5624">
      <w:pPr>
        <w:pStyle w:val="Bullet1"/>
      </w:pPr>
      <w:r>
        <w:t>Seeking opportunities to scale</w:t>
      </w:r>
      <w:r w:rsidR="00DC41B1">
        <w:t xml:space="preserve"> or </w:t>
      </w:r>
      <w:r>
        <w:t>commercial</w:t>
      </w:r>
      <w:r w:rsidR="00DC41B1">
        <w:t>ise</w:t>
      </w:r>
      <w:r>
        <w:t xml:space="preserve"> a beneficial solution in other health services</w:t>
      </w:r>
      <w:r w:rsidR="00273A83">
        <w:t>.</w:t>
      </w:r>
      <w:r>
        <w:t xml:space="preserve"> </w:t>
      </w:r>
    </w:p>
    <w:p w14:paraId="55E4CC16" w14:textId="77777777" w:rsidR="007A5624" w:rsidRPr="006F62D2" w:rsidRDefault="007A5624" w:rsidP="007B6924">
      <w:pPr>
        <w:pStyle w:val="Bullet1"/>
        <w:spacing w:after="120"/>
        <w:rPr>
          <w:i/>
          <w:iCs/>
        </w:rPr>
      </w:pPr>
      <w:r>
        <w:t xml:space="preserve">The outcomes of a local solution could provide benefits (clinical, system, service) to others in Victoria. </w:t>
      </w:r>
    </w:p>
    <w:p w14:paraId="565ECC39" w14:textId="77777777" w:rsidR="00705F11" w:rsidRDefault="00705F11" w:rsidP="00705F11">
      <w:pPr>
        <w:pStyle w:val="Heading1"/>
      </w:pPr>
      <w:r>
        <w:t xml:space="preserve">Incident Response </w:t>
      </w:r>
    </w:p>
    <w:p w14:paraId="0DCD82B9" w14:textId="77777777" w:rsidR="00705F11" w:rsidRPr="00D433C5" w:rsidRDefault="00705F11" w:rsidP="00705F11">
      <w:pPr>
        <w:pStyle w:val="Heading4"/>
      </w:pPr>
      <w:r>
        <w:t>Incidents relating to patient safety</w:t>
      </w:r>
    </w:p>
    <w:p w14:paraId="201CA8C8" w14:textId="1E890699" w:rsidR="00705F11" w:rsidRDefault="00705F11" w:rsidP="00705F11">
      <w:pPr>
        <w:pStyle w:val="Body"/>
      </w:pPr>
      <w:r>
        <w:t xml:space="preserve">The management of an incident where AI has caused or contributed to an adverse patient safety event should follow the </w:t>
      </w:r>
      <w:hyperlink r:id="rId24" w:history="1">
        <w:r w:rsidRPr="009843FB">
          <w:rPr>
            <w:rStyle w:val="Hyperlink"/>
          </w:rPr>
          <w:t>Safer Care Victoria guidelines</w:t>
        </w:r>
      </w:hyperlink>
      <w:r w:rsidR="00365EC8">
        <w:rPr>
          <w:rStyle w:val="FootnoteReference"/>
        </w:rPr>
        <w:footnoteReference w:id="8"/>
      </w:r>
    </w:p>
    <w:p w14:paraId="0683D5A1" w14:textId="5FB9B6F1" w:rsidR="00705F11" w:rsidRDefault="00E96839" w:rsidP="00705F11">
      <w:pPr>
        <w:pStyle w:val="Body"/>
      </w:pPr>
      <w:r>
        <w:t>I</w:t>
      </w:r>
      <w:r w:rsidR="00705F11">
        <w:t xml:space="preserve">f the incident has led to a </w:t>
      </w:r>
      <w:r w:rsidR="00705F11" w:rsidRPr="006F54A2">
        <w:rPr>
          <w:b/>
          <w:bCs/>
        </w:rPr>
        <w:t>sentinel event</w:t>
      </w:r>
      <w:r w:rsidR="00705F11">
        <w:t xml:space="preserve"> (defined as a </w:t>
      </w:r>
      <w:r w:rsidR="00705F11" w:rsidRPr="00091CB4">
        <w:t>serious, unexpected patient safety incident in healthcare that results in death, permanent harm, or severe temporary harm requiring life-sustaining intervention, and is not related to the natural course of the patient's illness</w:t>
      </w:r>
      <w:r w:rsidR="00705F11">
        <w:t xml:space="preserve">) </w:t>
      </w:r>
      <w:r>
        <w:t xml:space="preserve">it </w:t>
      </w:r>
      <w:r w:rsidR="00705F11">
        <w:t>must be reported to Safer Care Victoria</w:t>
      </w:r>
      <w:r w:rsidR="00A97336">
        <w:t xml:space="preserve">. Further information can be found on the </w:t>
      </w:r>
      <w:hyperlink r:id="rId25" w:history="1">
        <w:r w:rsidR="00A97336" w:rsidRPr="0013247B">
          <w:rPr>
            <w:rStyle w:val="Hyperlink"/>
          </w:rPr>
          <w:t>Safer Care Victoria website</w:t>
        </w:r>
      </w:hyperlink>
      <w:r w:rsidR="0013247B">
        <w:rPr>
          <w:rStyle w:val="FootnoteReference"/>
        </w:rPr>
        <w:footnoteReference w:id="9"/>
      </w:r>
      <w:r w:rsidR="00A97336">
        <w:t xml:space="preserve">. </w:t>
      </w:r>
    </w:p>
    <w:p w14:paraId="0AA73438" w14:textId="7A330D06" w:rsidR="00705F11" w:rsidRDefault="00705F11" w:rsidP="00705F11">
      <w:pPr>
        <w:pStyle w:val="Body"/>
      </w:pPr>
      <w:r>
        <w:t xml:space="preserve">There is no obligation for health services to report patient safety events that did not result </w:t>
      </w:r>
      <w:r w:rsidR="00780920">
        <w:t xml:space="preserve">in </w:t>
      </w:r>
      <w:r>
        <w:t xml:space="preserve">serious harm or where risk has been identified but has not caused a patient safety event. </w:t>
      </w:r>
      <w:r w:rsidRPr="00E228EE">
        <w:t xml:space="preserve">Health services are responsible for developing governance processes for the review of all </w:t>
      </w:r>
      <w:r>
        <w:t xml:space="preserve">such </w:t>
      </w:r>
      <w:r w:rsidRPr="00E228EE">
        <w:t>adverse events</w:t>
      </w:r>
      <w:r>
        <w:t xml:space="preserve">. However, support can be requested from Safer Care Victoria if a health service needs assistance processing patient safety risk or incidents. </w:t>
      </w:r>
    </w:p>
    <w:p w14:paraId="094C637E" w14:textId="24D10580" w:rsidR="00713099" w:rsidRDefault="00713099" w:rsidP="00705F11">
      <w:pPr>
        <w:pStyle w:val="Heading4"/>
      </w:pPr>
      <w:r w:rsidRPr="00713099">
        <w:lastRenderedPageBreak/>
        <w:t xml:space="preserve">Incidents relating to </w:t>
      </w:r>
      <w:r w:rsidR="00BF4E95">
        <w:t>privacy and information handling</w:t>
      </w:r>
    </w:p>
    <w:p w14:paraId="703FF6EE" w14:textId="5DB3EB3C" w:rsidR="00497FC8" w:rsidRDefault="00497FC8" w:rsidP="00497FC8">
      <w:pPr>
        <w:pStyle w:val="Body"/>
      </w:pPr>
      <w:r>
        <w:t xml:space="preserve">Incidents involving the unauthorised access, use, disclosure, or handling of personal or health information arising from the use of AI solutions should be managed in accordance with applicable privacy </w:t>
      </w:r>
      <w:r w:rsidR="00D80B8B">
        <w:t>legislation, including</w:t>
      </w:r>
      <w:r w:rsidR="006838A2" w:rsidRPr="006838A2">
        <w:t xml:space="preserve"> the </w:t>
      </w:r>
      <w:r w:rsidR="006838A2" w:rsidRPr="006838A2">
        <w:rPr>
          <w:i/>
          <w:iCs/>
        </w:rPr>
        <w:t>Privacy Act 1988</w:t>
      </w:r>
      <w:r w:rsidR="006838A2" w:rsidRPr="006838A2">
        <w:t xml:space="preserve"> and the </w:t>
      </w:r>
      <w:r w:rsidR="006838A2" w:rsidRPr="006838A2">
        <w:rPr>
          <w:i/>
          <w:iCs/>
        </w:rPr>
        <w:t>Health Records Act 2001</w:t>
      </w:r>
      <w:r w:rsidR="006838A2">
        <w:t xml:space="preserve">, </w:t>
      </w:r>
      <w:r>
        <w:t>and local health service policies.</w:t>
      </w:r>
    </w:p>
    <w:p w14:paraId="325FC036" w14:textId="53FC6D76" w:rsidR="00713099" w:rsidRDefault="00497FC8" w:rsidP="00497FC8">
      <w:pPr>
        <w:pStyle w:val="Body"/>
      </w:pPr>
      <w:r>
        <w:t>Where an AI</w:t>
      </w:r>
      <w:r>
        <w:rPr>
          <w:rFonts w:ascii="Cambria Math" w:hAnsi="Cambria Math" w:cs="Cambria Math"/>
        </w:rPr>
        <w:t>‑</w:t>
      </w:r>
      <w:r>
        <w:t>related incident involves a suspected or actual privacy breach, health services should follow their established privacy incident response processes, including assessment, mitigation, and</w:t>
      </w:r>
      <w:r w:rsidR="00E63E47">
        <w:t xml:space="preserve"> </w:t>
      </w:r>
      <w:r w:rsidR="00D80B8B">
        <w:t>any required internal or external notifications</w:t>
      </w:r>
      <w:r>
        <w:t>.</w:t>
      </w:r>
    </w:p>
    <w:p w14:paraId="4B8AFAB2" w14:textId="52917C70" w:rsidR="00705F11" w:rsidRDefault="00705F11" w:rsidP="00705F11">
      <w:pPr>
        <w:pStyle w:val="Heading4"/>
      </w:pPr>
      <w:r w:rsidRPr="0044426D">
        <w:t>Incidents relating to</w:t>
      </w:r>
      <w:r>
        <w:t xml:space="preserve"> </w:t>
      </w:r>
      <w:r w:rsidRPr="0044426D">
        <w:t>cyber security</w:t>
      </w:r>
    </w:p>
    <w:p w14:paraId="2DC05AE7" w14:textId="77777777" w:rsidR="00705F11" w:rsidRPr="00083646" w:rsidRDefault="00705F11" w:rsidP="00705F11">
      <w:pPr>
        <w:pStyle w:val="Body"/>
      </w:pPr>
      <w:r w:rsidRPr="00E512A2">
        <w:t xml:space="preserve">In its role as system </w:t>
      </w:r>
      <w:r w:rsidRPr="00083646">
        <w:t xml:space="preserve">manager, the eHealth branch’s Incident Management Team (IMT) must be informed of significant ICT incidents within the hour, when they occur in health services or their third-party providers. </w:t>
      </w:r>
    </w:p>
    <w:p w14:paraId="476C1A66" w14:textId="77777777" w:rsidR="00705F11" w:rsidRDefault="00705F11" w:rsidP="00705F11">
      <w:pPr>
        <w:pStyle w:val="Body"/>
      </w:pPr>
      <w:r w:rsidRPr="00083646">
        <w:t xml:space="preserve">All cybersecurity incidents, regardless of severity, must be reported to the Incident Management Team as soon as the intrusion is detected or suspected. Reporting of cybersecurity and ICT incidents can be done by calling 1300 598 686 and emailing the Incident Management Team at </w:t>
      </w:r>
      <w:hyperlink r:id="rId26" w:history="1">
        <w:r w:rsidRPr="00544502">
          <w:rPr>
            <w:rStyle w:val="Hyperlink"/>
          </w:rPr>
          <w:t>Digital.Health.Incident.Notification@health.vic.gov.au</w:t>
        </w:r>
      </w:hyperlink>
      <w:r w:rsidRPr="00083646">
        <w:t>.</w:t>
      </w:r>
      <w:r>
        <w:t xml:space="preserve"> </w:t>
      </w:r>
    </w:p>
    <w:p w14:paraId="193D83AA" w14:textId="0AD128A8" w:rsidR="00705F11" w:rsidRDefault="00705F11" w:rsidP="00705F11">
      <w:pPr>
        <w:pStyle w:val="Body"/>
      </w:pPr>
      <w:r>
        <w:t xml:space="preserve">In addition, serious cyber security incidents should reported to the </w:t>
      </w:r>
      <w:r w:rsidRPr="00FD6193">
        <w:t>Australian Cyber Security Centre (ACSC)</w:t>
      </w:r>
      <w:r>
        <w:t xml:space="preserve">. The </w:t>
      </w:r>
      <w:r w:rsidR="001C7545">
        <w:t>d</w:t>
      </w:r>
      <w:r>
        <w:t xml:space="preserve">epartment cannot do this on behalf of the health service. </w:t>
      </w:r>
    </w:p>
    <w:p w14:paraId="67F0C49B" w14:textId="77777777" w:rsidR="00705F11" w:rsidRDefault="00705F11" w:rsidP="00705F11">
      <w:pPr>
        <w:pStyle w:val="Bullet1"/>
      </w:pPr>
      <w:r>
        <w:t>If</w:t>
      </w:r>
      <w:r w:rsidRPr="005737D6">
        <w:t xml:space="preserve"> a critical cyber security incident has occurred, or is occurring, AND the incident has had, or is having, a significant impact on the availability of your asset, you must notify the Australian Cyber Security Centre (ACSC) </w:t>
      </w:r>
      <w:r w:rsidRPr="005737D6">
        <w:rPr>
          <w:b/>
          <w:bCs/>
        </w:rPr>
        <w:t xml:space="preserve">within 12 hours </w:t>
      </w:r>
      <w:r w:rsidRPr="005737D6">
        <w:t xml:space="preserve">after you become </w:t>
      </w:r>
      <w:r w:rsidRPr="005737D6">
        <w:rPr>
          <w:b/>
          <w:bCs/>
        </w:rPr>
        <w:t xml:space="preserve">aware </w:t>
      </w:r>
      <w:r w:rsidRPr="005737D6">
        <w:t xml:space="preserve">of the incident. If you make the report verbally, you must make a written record through the ACSC’s website </w:t>
      </w:r>
      <w:r w:rsidRPr="005737D6">
        <w:rPr>
          <w:b/>
          <w:bCs/>
        </w:rPr>
        <w:t xml:space="preserve">within 84 hours </w:t>
      </w:r>
      <w:r w:rsidRPr="005737D6">
        <w:t>of verbally notifying the ACSC.</w:t>
      </w:r>
    </w:p>
    <w:p w14:paraId="1AB362D3" w14:textId="77777777" w:rsidR="00705F11" w:rsidRDefault="00705F11" w:rsidP="00705F11">
      <w:pPr>
        <w:pStyle w:val="Bullet1"/>
      </w:pPr>
      <w:r>
        <w:t xml:space="preserve">If </w:t>
      </w:r>
      <w:r w:rsidRPr="004D0E17">
        <w:t xml:space="preserve">a cyber security incident has occurred, or is occurring, AND the incident has had, is having, or is likely to have, a ‘relevant impact’ on your asset you must notify the ACSC </w:t>
      </w:r>
      <w:r w:rsidRPr="004D0E17">
        <w:rPr>
          <w:b/>
          <w:bCs/>
        </w:rPr>
        <w:t xml:space="preserve">within 72 hours </w:t>
      </w:r>
      <w:r w:rsidRPr="004D0E17">
        <w:t xml:space="preserve">after you become </w:t>
      </w:r>
      <w:r w:rsidRPr="004D0E17">
        <w:rPr>
          <w:b/>
          <w:bCs/>
        </w:rPr>
        <w:t xml:space="preserve">aware </w:t>
      </w:r>
      <w:r w:rsidRPr="004D0E17">
        <w:t xml:space="preserve">of the incident. If you make the report verbally, you must make a written record through the ACSC’s website within </w:t>
      </w:r>
      <w:r w:rsidRPr="004D0E17">
        <w:rPr>
          <w:b/>
          <w:bCs/>
        </w:rPr>
        <w:t xml:space="preserve">48 hours </w:t>
      </w:r>
      <w:r w:rsidRPr="004D0E17">
        <w:t>of verbally notifying the ACSC.</w:t>
      </w:r>
    </w:p>
    <w:p w14:paraId="6E27DEF4" w14:textId="77777777" w:rsidR="00705F11" w:rsidRPr="00FF0B85" w:rsidRDefault="00705F11" w:rsidP="00705F11">
      <w:pPr>
        <w:pStyle w:val="Body"/>
      </w:pPr>
    </w:p>
    <w:tbl>
      <w:tblPr>
        <w:tblStyle w:val="TableGrid"/>
        <w:tblW w:w="0" w:type="auto"/>
        <w:tblCellMar>
          <w:bottom w:w="108" w:type="dxa"/>
        </w:tblCellMar>
        <w:tblLook w:val="0600" w:firstRow="0" w:lastRow="0" w:firstColumn="0" w:lastColumn="0" w:noHBand="1" w:noVBand="1"/>
      </w:tblPr>
      <w:tblGrid>
        <w:gridCol w:w="10194"/>
      </w:tblGrid>
      <w:tr w:rsidR="00AA625A" w14:paraId="00D2167D" w14:textId="77777777" w:rsidTr="000242DC">
        <w:tc>
          <w:tcPr>
            <w:tcW w:w="10194" w:type="dxa"/>
          </w:tcPr>
          <w:p w14:paraId="0E0E8465" w14:textId="0398DA85" w:rsidR="00AA625A" w:rsidRPr="0055119B" w:rsidRDefault="00AA625A" w:rsidP="000242DC">
            <w:pPr>
              <w:pStyle w:val="Accessibilitypara"/>
            </w:pPr>
            <w:bookmarkStart w:id="0" w:name="_Hlk37240926"/>
            <w:r w:rsidRPr="0055119B">
              <w:t>To receive this document in another format email</w:t>
            </w:r>
            <w:r>
              <w:t xml:space="preserve"> </w:t>
            </w:r>
            <w:r w:rsidRPr="0055119B">
              <w:t>&lt;</w:t>
            </w:r>
            <w:r w:rsidRPr="00CC5A2C">
              <w:t>digitalhealth@health.vic.gov.au</w:t>
            </w:r>
            <w:r w:rsidRPr="0055119B">
              <w:t>&gt;.</w:t>
            </w:r>
          </w:p>
          <w:p w14:paraId="5DF9C97E" w14:textId="77777777" w:rsidR="00AA625A" w:rsidRPr="0055119B" w:rsidRDefault="00AA625A" w:rsidP="000242DC">
            <w:pPr>
              <w:pStyle w:val="Imprint"/>
            </w:pPr>
            <w:r w:rsidRPr="0055119B">
              <w:t>Authorised and published by the Victorian Government, 1 Treasury Place, Melbourne.</w:t>
            </w:r>
          </w:p>
          <w:p w14:paraId="52B3C675" w14:textId="77777777" w:rsidR="00AA625A" w:rsidRPr="0055119B" w:rsidRDefault="00AA625A" w:rsidP="000242DC">
            <w:pPr>
              <w:pStyle w:val="Imprint"/>
            </w:pPr>
            <w:r w:rsidRPr="0055119B">
              <w:t xml:space="preserve">© State of Victoria, Australia, </w:t>
            </w:r>
            <w:r w:rsidRPr="001E2A36">
              <w:t>Department of Health</w:t>
            </w:r>
            <w:r w:rsidRPr="0055119B">
              <w:t xml:space="preserve">, </w:t>
            </w:r>
            <w:r>
              <w:t xml:space="preserve">May 2026. </w:t>
            </w:r>
          </w:p>
          <w:p w14:paraId="53E5491D" w14:textId="77777777" w:rsidR="00AA625A" w:rsidRDefault="00AA625A" w:rsidP="000242DC">
            <w:pPr>
              <w:pStyle w:val="Imprint"/>
            </w:pPr>
            <w:r w:rsidRPr="0055119B">
              <w:t xml:space="preserve">ISBN/ISSN </w:t>
            </w:r>
            <w:r w:rsidR="00916A48" w:rsidRPr="00916A48">
              <w:t>978-1-76131-996-9</w:t>
            </w:r>
            <w:r w:rsidRPr="00E33237">
              <w:rPr>
                <w:color w:val="004C97"/>
              </w:rPr>
              <w:t xml:space="preserve"> </w:t>
            </w:r>
            <w:r w:rsidRPr="0055119B">
              <w:t>(online/PDF/Word) or (print)</w:t>
            </w:r>
          </w:p>
          <w:p w14:paraId="59C1F49D" w14:textId="49362F8A" w:rsidR="00DD4FF8" w:rsidRDefault="00DD4FF8" w:rsidP="000242DC">
            <w:pPr>
              <w:pStyle w:val="Imprint"/>
            </w:pPr>
            <w:r w:rsidRPr="0055119B">
              <w:t xml:space="preserve">Available at </w:t>
            </w:r>
            <w:hyperlink r:id="rId27" w:history="1">
              <w:r w:rsidRPr="00DD4FF8">
                <w:rPr>
                  <w:rStyle w:val="Hyperlink"/>
                </w:rPr>
                <w:t>Artificial Intelligence in Victorian Public Health Services</w:t>
              </w:r>
            </w:hyperlink>
            <w:r w:rsidRPr="0055119B">
              <w:t xml:space="preserve"> &lt;</w:t>
            </w:r>
            <w:r w:rsidRPr="00CF3777">
              <w:rPr>
                <w:color w:val="auto"/>
              </w:rPr>
              <w:t>https://www.health.vic.gov.au/digital-health/artificial-intelligence-in-victorian-public-health-services</w:t>
            </w:r>
            <w:r w:rsidRPr="0055119B">
              <w:t>&gt;</w:t>
            </w:r>
          </w:p>
        </w:tc>
      </w:tr>
      <w:bookmarkEnd w:id="0"/>
    </w:tbl>
    <w:p w14:paraId="16B558A8" w14:textId="77777777" w:rsidR="00AA625A" w:rsidRDefault="00AA625A" w:rsidP="00AA625A">
      <w:pPr>
        <w:pStyle w:val="Body"/>
      </w:pPr>
    </w:p>
    <w:p w14:paraId="083E792B" w14:textId="77777777" w:rsidR="00705F11" w:rsidRDefault="00705F11" w:rsidP="006A7166">
      <w:pPr>
        <w:pStyle w:val="Bullet1"/>
        <w:numPr>
          <w:ilvl w:val="0"/>
          <w:numId w:val="0"/>
        </w:numPr>
        <w:ind w:left="284" w:hanging="284"/>
      </w:pPr>
    </w:p>
    <w:sectPr w:rsidR="00705F11" w:rsidSect="00E62622">
      <w:footerReference w:type="default" r:id="rId2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0FB5" w14:textId="77777777" w:rsidR="009826CE" w:rsidRDefault="009826CE">
      <w:r>
        <w:separator/>
      </w:r>
    </w:p>
  </w:endnote>
  <w:endnote w:type="continuationSeparator" w:id="0">
    <w:p w14:paraId="13EA7483" w14:textId="77777777" w:rsidR="009826CE" w:rsidRDefault="009826CE">
      <w:r>
        <w:continuationSeparator/>
      </w:r>
    </w:p>
  </w:endnote>
  <w:endnote w:type="continuationNotice" w:id="1">
    <w:p w14:paraId="0CF3C702" w14:textId="77777777" w:rsidR="009826CE" w:rsidRDefault="009826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4E3C"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441C3F61" wp14:editId="0AB83BBE">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8D890C9" wp14:editId="073741A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7EA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D890C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BB7EA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6065"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6DDEFE02" wp14:editId="1EC3781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C7EAD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DEFE02"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5C7EAD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ADB1"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4BE37482" wp14:editId="6FF96AC0">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7996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E37482"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EF7996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D8AA" w14:textId="77777777" w:rsidR="009826CE" w:rsidRDefault="009826CE" w:rsidP="002862F1">
      <w:pPr>
        <w:spacing w:before="120"/>
      </w:pPr>
      <w:r>
        <w:separator/>
      </w:r>
    </w:p>
  </w:footnote>
  <w:footnote w:type="continuationSeparator" w:id="0">
    <w:p w14:paraId="790A38E0" w14:textId="77777777" w:rsidR="009826CE" w:rsidRDefault="009826CE">
      <w:r>
        <w:continuationSeparator/>
      </w:r>
    </w:p>
  </w:footnote>
  <w:footnote w:type="continuationNotice" w:id="1">
    <w:p w14:paraId="40A12822" w14:textId="77777777" w:rsidR="009826CE" w:rsidRDefault="009826CE">
      <w:pPr>
        <w:spacing w:after="0" w:line="240" w:lineRule="auto"/>
      </w:pPr>
    </w:p>
  </w:footnote>
  <w:footnote w:id="2">
    <w:p w14:paraId="0AB1065E" w14:textId="611A581B" w:rsidR="009C79D9" w:rsidRDefault="009C79D9">
      <w:pPr>
        <w:pStyle w:val="FootnoteText"/>
      </w:pPr>
      <w:r>
        <w:rPr>
          <w:rStyle w:val="FootnoteReference"/>
        </w:rPr>
        <w:footnoteRef/>
      </w:r>
      <w:r>
        <w:t xml:space="preserve"> </w:t>
      </w:r>
      <w:r w:rsidRPr="009C79D9">
        <w:t>&lt;https://www.health.vic.gov.au/digital-health/artificial-intelligence-in-victorian-public-health-services&gt;</w:t>
      </w:r>
    </w:p>
  </w:footnote>
  <w:footnote w:id="3">
    <w:p w14:paraId="58E82482" w14:textId="5DE73B85" w:rsidR="009C79D9" w:rsidRDefault="009C79D9">
      <w:pPr>
        <w:pStyle w:val="FootnoteText"/>
      </w:pPr>
      <w:r>
        <w:rPr>
          <w:rStyle w:val="FootnoteReference"/>
        </w:rPr>
        <w:footnoteRef/>
      </w:r>
      <w:r>
        <w:t xml:space="preserve"> </w:t>
      </w:r>
      <w:r w:rsidRPr="009C79D9">
        <w:t>&lt;https://www.health.vic.gov.au/digital-health/artificial-intelligence-in-victorian-public-health-services&gt;</w:t>
      </w:r>
    </w:p>
  </w:footnote>
  <w:footnote w:id="4">
    <w:p w14:paraId="061F2A40" w14:textId="164675EC" w:rsidR="00E00D17" w:rsidRPr="00E00D17" w:rsidRDefault="00E00D17">
      <w:pPr>
        <w:pStyle w:val="FootnoteText"/>
        <w:rPr>
          <w:lang w:val="en-US"/>
        </w:rPr>
      </w:pPr>
      <w:r>
        <w:rPr>
          <w:rStyle w:val="FootnoteReference"/>
        </w:rPr>
        <w:footnoteRef/>
      </w:r>
      <w:r>
        <w:t xml:space="preserve"> </w:t>
      </w:r>
      <w:r>
        <w:rPr>
          <w:lang w:val="en-US"/>
        </w:rPr>
        <w:t>&lt;</w:t>
      </w:r>
      <w:r w:rsidRPr="00E00D17">
        <w:rPr>
          <w:lang w:val="en-US"/>
        </w:rPr>
        <w:t>https://www.tga.gov.au/products/medical-devices/software-and-artificial-intelligence-ai/manufacturing/artificial-intelligence-ai-and-medical-device-software-regulation</w:t>
      </w:r>
      <w:r>
        <w:rPr>
          <w:lang w:val="en-US"/>
        </w:rPr>
        <w:t>&gt;</w:t>
      </w:r>
    </w:p>
  </w:footnote>
  <w:footnote w:id="5">
    <w:p w14:paraId="1D4B4CCC" w14:textId="292B779F" w:rsidR="00A3665F" w:rsidRPr="00A3665F" w:rsidRDefault="00A3665F">
      <w:pPr>
        <w:pStyle w:val="FootnoteText"/>
        <w:rPr>
          <w:lang w:val="en-US"/>
        </w:rPr>
      </w:pPr>
      <w:r>
        <w:rPr>
          <w:rStyle w:val="FootnoteReference"/>
        </w:rPr>
        <w:footnoteRef/>
      </w:r>
      <w:r>
        <w:t xml:space="preserve"> </w:t>
      </w:r>
      <w:r>
        <w:rPr>
          <w:lang w:val="en-US"/>
        </w:rPr>
        <w:t>&lt;</w:t>
      </w:r>
      <w:r w:rsidRPr="00A3665F">
        <w:t xml:space="preserve"> </w:t>
      </w:r>
      <w:r w:rsidRPr="00A3665F">
        <w:rPr>
          <w:lang w:val="en-US"/>
        </w:rPr>
        <w:t>https://www.safetyandquality.gov.au/national-standards/nsqhs-standards</w:t>
      </w:r>
      <w:r>
        <w:rPr>
          <w:lang w:val="en-US"/>
        </w:rPr>
        <w:t>&gt;</w:t>
      </w:r>
    </w:p>
  </w:footnote>
  <w:footnote w:id="6">
    <w:p w14:paraId="3C7EB5D1" w14:textId="6A507641" w:rsidR="00C215F5" w:rsidRDefault="00C215F5">
      <w:pPr>
        <w:pStyle w:val="FootnoteText"/>
      </w:pPr>
      <w:r>
        <w:rPr>
          <w:rStyle w:val="FootnoteReference"/>
        </w:rPr>
        <w:footnoteRef/>
      </w:r>
      <w:r>
        <w:t xml:space="preserve"> </w:t>
      </w:r>
      <w:r w:rsidRPr="00C215F5">
        <w:t>&lt;https://www.health.vic.gov.au/digital-health/artificial-intelligence-in-victorian-public-health-services&gt;</w:t>
      </w:r>
    </w:p>
  </w:footnote>
  <w:footnote w:id="7">
    <w:p w14:paraId="6638E2A7" w14:textId="0287092A" w:rsidR="00C30F79" w:rsidRPr="00C30F79" w:rsidRDefault="00C30F79">
      <w:pPr>
        <w:pStyle w:val="FootnoteText"/>
        <w:rPr>
          <w:lang w:val="en-US"/>
        </w:rPr>
      </w:pPr>
      <w:r>
        <w:rPr>
          <w:rStyle w:val="FootnoteReference"/>
        </w:rPr>
        <w:footnoteRef/>
      </w:r>
      <w:r>
        <w:t xml:space="preserve"> </w:t>
      </w:r>
      <w:r>
        <w:rPr>
          <w:lang w:val="en-US"/>
        </w:rPr>
        <w:t>&lt;</w:t>
      </w:r>
      <w:r w:rsidRPr="00C30F79">
        <w:rPr>
          <w:lang w:val="en-US"/>
        </w:rPr>
        <w:t>https://www.ahpra.gov.au/Resources/Artificial-Intelligence-in-healthcare.aspx</w:t>
      </w:r>
      <w:r>
        <w:rPr>
          <w:lang w:val="en-US"/>
        </w:rPr>
        <w:t>&gt;</w:t>
      </w:r>
    </w:p>
  </w:footnote>
  <w:footnote w:id="8">
    <w:p w14:paraId="2BA53D59" w14:textId="60D678DD" w:rsidR="00365EC8" w:rsidRPr="00365EC8" w:rsidRDefault="00365EC8">
      <w:pPr>
        <w:pStyle w:val="FootnoteText"/>
        <w:rPr>
          <w:lang w:val="en-US"/>
        </w:rPr>
      </w:pPr>
      <w:r>
        <w:rPr>
          <w:rStyle w:val="FootnoteReference"/>
        </w:rPr>
        <w:footnoteRef/>
      </w:r>
      <w:r>
        <w:t xml:space="preserve"> </w:t>
      </w:r>
      <w:r>
        <w:rPr>
          <w:lang w:val="en-US"/>
        </w:rPr>
        <w:t>&lt;</w:t>
      </w:r>
      <w:r w:rsidRPr="00365EC8">
        <w:t>https://www.safercare.vic.gov.au/report-manage-issues/adverse-events/policy</w:t>
      </w:r>
      <w:r>
        <w:t>&gt;</w:t>
      </w:r>
    </w:p>
  </w:footnote>
  <w:footnote w:id="9">
    <w:p w14:paraId="72AC1B4E" w14:textId="04E46A72" w:rsidR="0013247B" w:rsidRPr="0013247B" w:rsidRDefault="0013247B">
      <w:pPr>
        <w:pStyle w:val="FootnoteText"/>
        <w:rPr>
          <w:lang w:val="en-US"/>
        </w:rPr>
      </w:pPr>
      <w:r>
        <w:rPr>
          <w:rStyle w:val="FootnoteReference"/>
        </w:rPr>
        <w:footnoteRef/>
      </w:r>
      <w:r>
        <w:t xml:space="preserve"> </w:t>
      </w:r>
      <w:r>
        <w:rPr>
          <w:lang w:val="en-US"/>
        </w:rPr>
        <w:t>&lt;</w:t>
      </w:r>
      <w:r w:rsidRPr="0013247B">
        <w:t>https://www.safercare.vic.gov.au/report-manage-issues/sentinel-events</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10C1"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D16F" w14:textId="2A65DE74" w:rsidR="00E261B3" w:rsidRPr="0051568D" w:rsidRDefault="0013247B" w:rsidP="0011701A">
    <w:pPr>
      <w:pStyle w:val="Header"/>
    </w:pPr>
    <w:r w:rsidRPr="003436EF">
      <w:t>Roles, Responsibilities and Escalation Pathways for AI in Victoria</w:t>
    </w:r>
    <w:r>
      <w:t xml:space="preserve">n Public Health Services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A3733D2"/>
    <w:multiLevelType w:val="hybridMultilevel"/>
    <w:tmpl w:val="6D327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4B4B4F"/>
    <w:multiLevelType w:val="hybridMultilevel"/>
    <w:tmpl w:val="28A6D68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29259910">
    <w:abstractNumId w:val="10"/>
  </w:num>
  <w:num w:numId="2" w16cid:durableId="1147208834">
    <w:abstractNumId w:val="17"/>
  </w:num>
  <w:num w:numId="3" w16cid:durableId="1521807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06863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978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24784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9464953">
    <w:abstractNumId w:val="21"/>
  </w:num>
  <w:num w:numId="8" w16cid:durableId="1047147449">
    <w:abstractNumId w:val="16"/>
  </w:num>
  <w:num w:numId="9" w16cid:durableId="530413481">
    <w:abstractNumId w:val="20"/>
  </w:num>
  <w:num w:numId="10" w16cid:durableId="71200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776745">
    <w:abstractNumId w:val="24"/>
  </w:num>
  <w:num w:numId="12" w16cid:durableId="16747258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1765097">
    <w:abstractNumId w:val="18"/>
  </w:num>
  <w:num w:numId="14" w16cid:durableId="808134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7365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17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52864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4088017">
    <w:abstractNumId w:val="26"/>
  </w:num>
  <w:num w:numId="19" w16cid:durableId="104956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0638690">
    <w:abstractNumId w:val="14"/>
  </w:num>
  <w:num w:numId="21" w16cid:durableId="357242253">
    <w:abstractNumId w:val="12"/>
  </w:num>
  <w:num w:numId="22" w16cid:durableId="1878202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4359447">
    <w:abstractNumId w:val="15"/>
  </w:num>
  <w:num w:numId="24" w16cid:durableId="615871714">
    <w:abstractNumId w:val="27"/>
  </w:num>
  <w:num w:numId="25" w16cid:durableId="392311999">
    <w:abstractNumId w:val="25"/>
  </w:num>
  <w:num w:numId="26" w16cid:durableId="1818567071">
    <w:abstractNumId w:val="19"/>
  </w:num>
  <w:num w:numId="27" w16cid:durableId="1433279486">
    <w:abstractNumId w:val="11"/>
  </w:num>
  <w:num w:numId="28" w16cid:durableId="1308974988">
    <w:abstractNumId w:val="28"/>
  </w:num>
  <w:num w:numId="29" w16cid:durableId="924802649">
    <w:abstractNumId w:val="9"/>
  </w:num>
  <w:num w:numId="30" w16cid:durableId="1141341234">
    <w:abstractNumId w:val="7"/>
  </w:num>
  <w:num w:numId="31" w16cid:durableId="1738674662">
    <w:abstractNumId w:val="6"/>
  </w:num>
  <w:num w:numId="32" w16cid:durableId="71052004">
    <w:abstractNumId w:val="5"/>
  </w:num>
  <w:num w:numId="33" w16cid:durableId="2058628517">
    <w:abstractNumId w:val="4"/>
  </w:num>
  <w:num w:numId="34" w16cid:durableId="1394617091">
    <w:abstractNumId w:val="8"/>
  </w:num>
  <w:num w:numId="35" w16cid:durableId="1030109327">
    <w:abstractNumId w:val="3"/>
  </w:num>
  <w:num w:numId="36" w16cid:durableId="2072538880">
    <w:abstractNumId w:val="2"/>
  </w:num>
  <w:num w:numId="37" w16cid:durableId="4862596">
    <w:abstractNumId w:val="1"/>
  </w:num>
  <w:num w:numId="38" w16cid:durableId="1525826044">
    <w:abstractNumId w:val="0"/>
  </w:num>
  <w:num w:numId="39" w16cid:durableId="9633441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9383281">
    <w:abstractNumId w:val="23"/>
  </w:num>
  <w:num w:numId="41" w16cid:durableId="189041151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6F"/>
    <w:rsid w:val="00000719"/>
    <w:rsid w:val="00001ABC"/>
    <w:rsid w:val="00002EA6"/>
    <w:rsid w:val="00003403"/>
    <w:rsid w:val="00005347"/>
    <w:rsid w:val="000072B6"/>
    <w:rsid w:val="0001021B"/>
    <w:rsid w:val="000109C0"/>
    <w:rsid w:val="00011D89"/>
    <w:rsid w:val="00013977"/>
    <w:rsid w:val="00014899"/>
    <w:rsid w:val="000154FD"/>
    <w:rsid w:val="00016FBF"/>
    <w:rsid w:val="00022271"/>
    <w:rsid w:val="0002327B"/>
    <w:rsid w:val="000235E8"/>
    <w:rsid w:val="00024D89"/>
    <w:rsid w:val="000250B6"/>
    <w:rsid w:val="000256FC"/>
    <w:rsid w:val="00033D81"/>
    <w:rsid w:val="00037366"/>
    <w:rsid w:val="00041BF0"/>
    <w:rsid w:val="00042C8A"/>
    <w:rsid w:val="0004536B"/>
    <w:rsid w:val="00046B68"/>
    <w:rsid w:val="000527DD"/>
    <w:rsid w:val="000578B2"/>
    <w:rsid w:val="00060959"/>
    <w:rsid w:val="00060C8F"/>
    <w:rsid w:val="00061F58"/>
    <w:rsid w:val="0006298A"/>
    <w:rsid w:val="000663CD"/>
    <w:rsid w:val="00067927"/>
    <w:rsid w:val="000733FE"/>
    <w:rsid w:val="00074219"/>
    <w:rsid w:val="00074ED5"/>
    <w:rsid w:val="00080A7C"/>
    <w:rsid w:val="000835C6"/>
    <w:rsid w:val="00083646"/>
    <w:rsid w:val="00085006"/>
    <w:rsid w:val="0008508E"/>
    <w:rsid w:val="000851BD"/>
    <w:rsid w:val="00087951"/>
    <w:rsid w:val="0009113B"/>
    <w:rsid w:val="00091CB4"/>
    <w:rsid w:val="00093402"/>
    <w:rsid w:val="00094DA3"/>
    <w:rsid w:val="00096CD1"/>
    <w:rsid w:val="000A012C"/>
    <w:rsid w:val="000A0EB9"/>
    <w:rsid w:val="000A186C"/>
    <w:rsid w:val="000A1EA4"/>
    <w:rsid w:val="000A2476"/>
    <w:rsid w:val="000A49EC"/>
    <w:rsid w:val="000A55B8"/>
    <w:rsid w:val="000A641A"/>
    <w:rsid w:val="000B3EDB"/>
    <w:rsid w:val="000B509C"/>
    <w:rsid w:val="000B543D"/>
    <w:rsid w:val="000B55F9"/>
    <w:rsid w:val="000B593D"/>
    <w:rsid w:val="000B5BF7"/>
    <w:rsid w:val="000B6BC8"/>
    <w:rsid w:val="000C0303"/>
    <w:rsid w:val="000C42EA"/>
    <w:rsid w:val="000C4546"/>
    <w:rsid w:val="000D1242"/>
    <w:rsid w:val="000E0970"/>
    <w:rsid w:val="000E1910"/>
    <w:rsid w:val="000E3CC7"/>
    <w:rsid w:val="000E6BD4"/>
    <w:rsid w:val="000E6D6D"/>
    <w:rsid w:val="000E7660"/>
    <w:rsid w:val="000F1F1E"/>
    <w:rsid w:val="000F2259"/>
    <w:rsid w:val="000F2A5A"/>
    <w:rsid w:val="000F2DDA"/>
    <w:rsid w:val="000F5213"/>
    <w:rsid w:val="000F6B42"/>
    <w:rsid w:val="001008CD"/>
    <w:rsid w:val="00101001"/>
    <w:rsid w:val="00103276"/>
    <w:rsid w:val="0010392D"/>
    <w:rsid w:val="0010447F"/>
    <w:rsid w:val="00104FE3"/>
    <w:rsid w:val="0010714F"/>
    <w:rsid w:val="00107EFE"/>
    <w:rsid w:val="001120C5"/>
    <w:rsid w:val="0011701A"/>
    <w:rsid w:val="00120BD3"/>
    <w:rsid w:val="00121B9D"/>
    <w:rsid w:val="00122FEA"/>
    <w:rsid w:val="001232BD"/>
    <w:rsid w:val="001238FD"/>
    <w:rsid w:val="00124ED5"/>
    <w:rsid w:val="001276FA"/>
    <w:rsid w:val="00127DD5"/>
    <w:rsid w:val="0013247B"/>
    <w:rsid w:val="001419BC"/>
    <w:rsid w:val="0014255B"/>
    <w:rsid w:val="001447B3"/>
    <w:rsid w:val="00152073"/>
    <w:rsid w:val="00154E2D"/>
    <w:rsid w:val="00156598"/>
    <w:rsid w:val="00156BA2"/>
    <w:rsid w:val="00161939"/>
    <w:rsid w:val="00161AA0"/>
    <w:rsid w:val="00161D2E"/>
    <w:rsid w:val="00161F3E"/>
    <w:rsid w:val="00162093"/>
    <w:rsid w:val="00162CA9"/>
    <w:rsid w:val="00165459"/>
    <w:rsid w:val="001654F6"/>
    <w:rsid w:val="001656FB"/>
    <w:rsid w:val="00165A57"/>
    <w:rsid w:val="001712C2"/>
    <w:rsid w:val="00172BAF"/>
    <w:rsid w:val="001771DD"/>
    <w:rsid w:val="00177995"/>
    <w:rsid w:val="00177A8C"/>
    <w:rsid w:val="00185641"/>
    <w:rsid w:val="00186B33"/>
    <w:rsid w:val="00191C07"/>
    <w:rsid w:val="00192F9D"/>
    <w:rsid w:val="00196EB8"/>
    <w:rsid w:val="00196EFB"/>
    <w:rsid w:val="001979FF"/>
    <w:rsid w:val="00197B17"/>
    <w:rsid w:val="001A1950"/>
    <w:rsid w:val="001A1C54"/>
    <w:rsid w:val="001A3ACE"/>
    <w:rsid w:val="001B03F0"/>
    <w:rsid w:val="001B058F"/>
    <w:rsid w:val="001B738B"/>
    <w:rsid w:val="001C06EA"/>
    <w:rsid w:val="001C09DB"/>
    <w:rsid w:val="001C0E1A"/>
    <w:rsid w:val="001C277E"/>
    <w:rsid w:val="001C2A72"/>
    <w:rsid w:val="001C31B7"/>
    <w:rsid w:val="001C7545"/>
    <w:rsid w:val="001D0B75"/>
    <w:rsid w:val="001D1F4B"/>
    <w:rsid w:val="001D39A5"/>
    <w:rsid w:val="001D3C09"/>
    <w:rsid w:val="001D44E8"/>
    <w:rsid w:val="001D5D56"/>
    <w:rsid w:val="001D60EC"/>
    <w:rsid w:val="001D6F59"/>
    <w:rsid w:val="001D7D3F"/>
    <w:rsid w:val="001E0C5D"/>
    <w:rsid w:val="001E2A36"/>
    <w:rsid w:val="001E44DF"/>
    <w:rsid w:val="001E4C82"/>
    <w:rsid w:val="001E5058"/>
    <w:rsid w:val="001E6355"/>
    <w:rsid w:val="001E67CF"/>
    <w:rsid w:val="001E68A5"/>
    <w:rsid w:val="001E6BB0"/>
    <w:rsid w:val="001E7282"/>
    <w:rsid w:val="001F3826"/>
    <w:rsid w:val="001F6E46"/>
    <w:rsid w:val="001F7186"/>
    <w:rsid w:val="001F7C91"/>
    <w:rsid w:val="00200176"/>
    <w:rsid w:val="00202DDC"/>
    <w:rsid w:val="00203134"/>
    <w:rsid w:val="002033B7"/>
    <w:rsid w:val="00206463"/>
    <w:rsid w:val="00206F2F"/>
    <w:rsid w:val="0021053D"/>
    <w:rsid w:val="00210A92"/>
    <w:rsid w:val="00216C03"/>
    <w:rsid w:val="00220C04"/>
    <w:rsid w:val="0022278D"/>
    <w:rsid w:val="00226360"/>
    <w:rsid w:val="0022701F"/>
    <w:rsid w:val="00227C68"/>
    <w:rsid w:val="00232F54"/>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4696"/>
    <w:rsid w:val="00267C3E"/>
    <w:rsid w:val="002709BB"/>
    <w:rsid w:val="0027113F"/>
    <w:rsid w:val="00273A83"/>
    <w:rsid w:val="00273BAC"/>
    <w:rsid w:val="002751C1"/>
    <w:rsid w:val="002763B3"/>
    <w:rsid w:val="002802E3"/>
    <w:rsid w:val="0028213D"/>
    <w:rsid w:val="002862F1"/>
    <w:rsid w:val="00291373"/>
    <w:rsid w:val="0029597D"/>
    <w:rsid w:val="002962C3"/>
    <w:rsid w:val="0029752B"/>
    <w:rsid w:val="002A0A9C"/>
    <w:rsid w:val="002A483C"/>
    <w:rsid w:val="002A55FF"/>
    <w:rsid w:val="002B0C46"/>
    <w:rsid w:val="002B0C7C"/>
    <w:rsid w:val="002B1729"/>
    <w:rsid w:val="002B36C7"/>
    <w:rsid w:val="002B4DD4"/>
    <w:rsid w:val="002B5277"/>
    <w:rsid w:val="002B5375"/>
    <w:rsid w:val="002B7214"/>
    <w:rsid w:val="002B77C1"/>
    <w:rsid w:val="002C0ED7"/>
    <w:rsid w:val="002C2728"/>
    <w:rsid w:val="002C6616"/>
    <w:rsid w:val="002C7BBD"/>
    <w:rsid w:val="002D1E0D"/>
    <w:rsid w:val="002D5006"/>
    <w:rsid w:val="002D7422"/>
    <w:rsid w:val="002E01D0"/>
    <w:rsid w:val="002E161D"/>
    <w:rsid w:val="002E3100"/>
    <w:rsid w:val="002E5AA1"/>
    <w:rsid w:val="002E6C95"/>
    <w:rsid w:val="002E7C36"/>
    <w:rsid w:val="002F0107"/>
    <w:rsid w:val="002F0944"/>
    <w:rsid w:val="002F3D32"/>
    <w:rsid w:val="002F5F31"/>
    <w:rsid w:val="002F5F46"/>
    <w:rsid w:val="0030196E"/>
    <w:rsid w:val="00302216"/>
    <w:rsid w:val="0030357B"/>
    <w:rsid w:val="00303E53"/>
    <w:rsid w:val="00305CC1"/>
    <w:rsid w:val="00306E5F"/>
    <w:rsid w:val="00307E14"/>
    <w:rsid w:val="00314054"/>
    <w:rsid w:val="00315BD8"/>
    <w:rsid w:val="00316F27"/>
    <w:rsid w:val="003214F1"/>
    <w:rsid w:val="00322E4B"/>
    <w:rsid w:val="00327870"/>
    <w:rsid w:val="00327F4F"/>
    <w:rsid w:val="003305AB"/>
    <w:rsid w:val="0033259D"/>
    <w:rsid w:val="003333D2"/>
    <w:rsid w:val="003406C6"/>
    <w:rsid w:val="00341080"/>
    <w:rsid w:val="003418CC"/>
    <w:rsid w:val="003436EF"/>
    <w:rsid w:val="003459BD"/>
    <w:rsid w:val="00350D38"/>
    <w:rsid w:val="00351B36"/>
    <w:rsid w:val="00357B4E"/>
    <w:rsid w:val="00365EC8"/>
    <w:rsid w:val="003716FD"/>
    <w:rsid w:val="0037204B"/>
    <w:rsid w:val="00373890"/>
    <w:rsid w:val="003744CF"/>
    <w:rsid w:val="00374717"/>
    <w:rsid w:val="0037676C"/>
    <w:rsid w:val="00376D95"/>
    <w:rsid w:val="00381043"/>
    <w:rsid w:val="003829E5"/>
    <w:rsid w:val="00386109"/>
    <w:rsid w:val="00386944"/>
    <w:rsid w:val="00386A79"/>
    <w:rsid w:val="00387225"/>
    <w:rsid w:val="003956CC"/>
    <w:rsid w:val="00395C9A"/>
    <w:rsid w:val="003A0853"/>
    <w:rsid w:val="003A5B82"/>
    <w:rsid w:val="003A6B67"/>
    <w:rsid w:val="003B13B6"/>
    <w:rsid w:val="003B15E6"/>
    <w:rsid w:val="003B408A"/>
    <w:rsid w:val="003B4F4F"/>
    <w:rsid w:val="003B5733"/>
    <w:rsid w:val="003C08A2"/>
    <w:rsid w:val="003C18A1"/>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4B5F"/>
    <w:rsid w:val="003F5CB9"/>
    <w:rsid w:val="003F72C0"/>
    <w:rsid w:val="003F763C"/>
    <w:rsid w:val="004013C7"/>
    <w:rsid w:val="00401FCF"/>
    <w:rsid w:val="0040248F"/>
    <w:rsid w:val="00402B8F"/>
    <w:rsid w:val="00406285"/>
    <w:rsid w:val="004112C6"/>
    <w:rsid w:val="004148F9"/>
    <w:rsid w:val="00414D4A"/>
    <w:rsid w:val="0042084E"/>
    <w:rsid w:val="00421EEF"/>
    <w:rsid w:val="00424D65"/>
    <w:rsid w:val="00425CBB"/>
    <w:rsid w:val="00441937"/>
    <w:rsid w:val="00442C6C"/>
    <w:rsid w:val="00443CBE"/>
    <w:rsid w:val="00443E8A"/>
    <w:rsid w:val="004441BC"/>
    <w:rsid w:val="0044426D"/>
    <w:rsid w:val="004468B4"/>
    <w:rsid w:val="0045230A"/>
    <w:rsid w:val="00454AD0"/>
    <w:rsid w:val="00456E26"/>
    <w:rsid w:val="00457337"/>
    <w:rsid w:val="00462E3D"/>
    <w:rsid w:val="00466E79"/>
    <w:rsid w:val="0046786E"/>
    <w:rsid w:val="00467EFD"/>
    <w:rsid w:val="00470D7D"/>
    <w:rsid w:val="0047372D"/>
    <w:rsid w:val="00473BA3"/>
    <w:rsid w:val="004743DD"/>
    <w:rsid w:val="00474CEA"/>
    <w:rsid w:val="00483968"/>
    <w:rsid w:val="00484F86"/>
    <w:rsid w:val="00486202"/>
    <w:rsid w:val="00490746"/>
    <w:rsid w:val="00490852"/>
    <w:rsid w:val="00491C9C"/>
    <w:rsid w:val="00492F30"/>
    <w:rsid w:val="004946F4"/>
    <w:rsid w:val="0049487E"/>
    <w:rsid w:val="00497FC8"/>
    <w:rsid w:val="004A160D"/>
    <w:rsid w:val="004A169A"/>
    <w:rsid w:val="004A3E81"/>
    <w:rsid w:val="004A4195"/>
    <w:rsid w:val="004A5C62"/>
    <w:rsid w:val="004A5CE5"/>
    <w:rsid w:val="004A707D"/>
    <w:rsid w:val="004C5541"/>
    <w:rsid w:val="004C6EEE"/>
    <w:rsid w:val="004C702B"/>
    <w:rsid w:val="004D0033"/>
    <w:rsid w:val="004D016B"/>
    <w:rsid w:val="004D0A21"/>
    <w:rsid w:val="004D0E17"/>
    <w:rsid w:val="004D1B22"/>
    <w:rsid w:val="004D23CC"/>
    <w:rsid w:val="004D36F2"/>
    <w:rsid w:val="004D55FE"/>
    <w:rsid w:val="004E1106"/>
    <w:rsid w:val="004E138F"/>
    <w:rsid w:val="004E4649"/>
    <w:rsid w:val="004E5C2B"/>
    <w:rsid w:val="004F00DD"/>
    <w:rsid w:val="004F2133"/>
    <w:rsid w:val="004F29E4"/>
    <w:rsid w:val="004F4D39"/>
    <w:rsid w:val="004F5398"/>
    <w:rsid w:val="004F55F1"/>
    <w:rsid w:val="004F6936"/>
    <w:rsid w:val="00503DC6"/>
    <w:rsid w:val="00506F5D"/>
    <w:rsid w:val="00507832"/>
    <w:rsid w:val="00510C37"/>
    <w:rsid w:val="005126D0"/>
    <w:rsid w:val="0051568D"/>
    <w:rsid w:val="005156FE"/>
    <w:rsid w:val="005263CB"/>
    <w:rsid w:val="00526AC7"/>
    <w:rsid w:val="00526C15"/>
    <w:rsid w:val="005278DB"/>
    <w:rsid w:val="00536395"/>
    <w:rsid w:val="00536499"/>
    <w:rsid w:val="00543903"/>
    <w:rsid w:val="00543F11"/>
    <w:rsid w:val="00546305"/>
    <w:rsid w:val="00547A95"/>
    <w:rsid w:val="0055119B"/>
    <w:rsid w:val="00552105"/>
    <w:rsid w:val="00552CE3"/>
    <w:rsid w:val="005548B5"/>
    <w:rsid w:val="00554C28"/>
    <w:rsid w:val="0056254C"/>
    <w:rsid w:val="00562B80"/>
    <w:rsid w:val="00564D72"/>
    <w:rsid w:val="00570CE9"/>
    <w:rsid w:val="00572031"/>
    <w:rsid w:val="00572282"/>
    <w:rsid w:val="005737D6"/>
    <w:rsid w:val="00573CE3"/>
    <w:rsid w:val="00576E84"/>
    <w:rsid w:val="00580394"/>
    <w:rsid w:val="005809CD"/>
    <w:rsid w:val="00582B8C"/>
    <w:rsid w:val="00583CA2"/>
    <w:rsid w:val="0058757E"/>
    <w:rsid w:val="00596A4B"/>
    <w:rsid w:val="00596F46"/>
    <w:rsid w:val="00597507"/>
    <w:rsid w:val="005A479D"/>
    <w:rsid w:val="005A5278"/>
    <w:rsid w:val="005B1B29"/>
    <w:rsid w:val="005B1C6D"/>
    <w:rsid w:val="005B21B6"/>
    <w:rsid w:val="005B3A08"/>
    <w:rsid w:val="005B594E"/>
    <w:rsid w:val="005B7A63"/>
    <w:rsid w:val="005C0955"/>
    <w:rsid w:val="005C49DA"/>
    <w:rsid w:val="005C50F3"/>
    <w:rsid w:val="005C54B5"/>
    <w:rsid w:val="005C5D80"/>
    <w:rsid w:val="005C5D91"/>
    <w:rsid w:val="005D07B8"/>
    <w:rsid w:val="005D1BB7"/>
    <w:rsid w:val="005D6101"/>
    <w:rsid w:val="005D6597"/>
    <w:rsid w:val="005E14E7"/>
    <w:rsid w:val="005E26A3"/>
    <w:rsid w:val="005E2ECB"/>
    <w:rsid w:val="005E447E"/>
    <w:rsid w:val="005E4FD1"/>
    <w:rsid w:val="005E56D3"/>
    <w:rsid w:val="005F0775"/>
    <w:rsid w:val="005F0CF5"/>
    <w:rsid w:val="005F21EB"/>
    <w:rsid w:val="0060025F"/>
    <w:rsid w:val="00602DF2"/>
    <w:rsid w:val="00605908"/>
    <w:rsid w:val="00610D7C"/>
    <w:rsid w:val="006114FD"/>
    <w:rsid w:val="00613414"/>
    <w:rsid w:val="00614C2E"/>
    <w:rsid w:val="00620154"/>
    <w:rsid w:val="0062408D"/>
    <w:rsid w:val="006240CC"/>
    <w:rsid w:val="00624940"/>
    <w:rsid w:val="006254F8"/>
    <w:rsid w:val="00627DA7"/>
    <w:rsid w:val="00630DA4"/>
    <w:rsid w:val="00632597"/>
    <w:rsid w:val="00634FAC"/>
    <w:rsid w:val="006351FE"/>
    <w:rsid w:val="006358B4"/>
    <w:rsid w:val="006419AA"/>
    <w:rsid w:val="00644B1F"/>
    <w:rsid w:val="00644B7E"/>
    <w:rsid w:val="00644E1D"/>
    <w:rsid w:val="006454E6"/>
    <w:rsid w:val="00646235"/>
    <w:rsid w:val="00646A68"/>
    <w:rsid w:val="006505BD"/>
    <w:rsid w:val="006508EA"/>
    <w:rsid w:val="0065092E"/>
    <w:rsid w:val="00652F22"/>
    <w:rsid w:val="006557A7"/>
    <w:rsid w:val="00656179"/>
    <w:rsid w:val="00656290"/>
    <w:rsid w:val="006608D8"/>
    <w:rsid w:val="00661E1E"/>
    <w:rsid w:val="006621D7"/>
    <w:rsid w:val="0066302A"/>
    <w:rsid w:val="00663DCA"/>
    <w:rsid w:val="00666D8F"/>
    <w:rsid w:val="00667770"/>
    <w:rsid w:val="00670597"/>
    <w:rsid w:val="006706D0"/>
    <w:rsid w:val="00673562"/>
    <w:rsid w:val="00676994"/>
    <w:rsid w:val="00677574"/>
    <w:rsid w:val="00681936"/>
    <w:rsid w:val="006838A2"/>
    <w:rsid w:val="0068454C"/>
    <w:rsid w:val="00691B62"/>
    <w:rsid w:val="006933B5"/>
    <w:rsid w:val="00693D14"/>
    <w:rsid w:val="00695E4E"/>
    <w:rsid w:val="00696F27"/>
    <w:rsid w:val="006A066A"/>
    <w:rsid w:val="006A18C2"/>
    <w:rsid w:val="006A3383"/>
    <w:rsid w:val="006A7166"/>
    <w:rsid w:val="006B077C"/>
    <w:rsid w:val="006B6803"/>
    <w:rsid w:val="006C3D5C"/>
    <w:rsid w:val="006D0F16"/>
    <w:rsid w:val="006D2A3F"/>
    <w:rsid w:val="006D2FBC"/>
    <w:rsid w:val="006D44D1"/>
    <w:rsid w:val="006E0541"/>
    <w:rsid w:val="006E138B"/>
    <w:rsid w:val="006F0330"/>
    <w:rsid w:val="006F1FDC"/>
    <w:rsid w:val="006F54A2"/>
    <w:rsid w:val="006F62D2"/>
    <w:rsid w:val="006F6B8C"/>
    <w:rsid w:val="00700787"/>
    <w:rsid w:val="007013EF"/>
    <w:rsid w:val="007055BD"/>
    <w:rsid w:val="00705F11"/>
    <w:rsid w:val="00713099"/>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20FA"/>
    <w:rsid w:val="007447DA"/>
    <w:rsid w:val="007450F8"/>
    <w:rsid w:val="00745DBE"/>
    <w:rsid w:val="0074696E"/>
    <w:rsid w:val="00750135"/>
    <w:rsid w:val="00750EC2"/>
    <w:rsid w:val="00752B28"/>
    <w:rsid w:val="007541A9"/>
    <w:rsid w:val="00754E36"/>
    <w:rsid w:val="00763139"/>
    <w:rsid w:val="00767104"/>
    <w:rsid w:val="00770F37"/>
    <w:rsid w:val="007711A0"/>
    <w:rsid w:val="00772D5E"/>
    <w:rsid w:val="00773139"/>
    <w:rsid w:val="0077463E"/>
    <w:rsid w:val="00776928"/>
    <w:rsid w:val="00776E0F"/>
    <w:rsid w:val="007774B1"/>
    <w:rsid w:val="00777BE1"/>
    <w:rsid w:val="00780920"/>
    <w:rsid w:val="007833D8"/>
    <w:rsid w:val="00785677"/>
    <w:rsid w:val="00785DB9"/>
    <w:rsid w:val="00786F16"/>
    <w:rsid w:val="00791BD7"/>
    <w:rsid w:val="007933F7"/>
    <w:rsid w:val="00796E20"/>
    <w:rsid w:val="00797C32"/>
    <w:rsid w:val="007A11E8"/>
    <w:rsid w:val="007A5624"/>
    <w:rsid w:val="007B0914"/>
    <w:rsid w:val="007B1374"/>
    <w:rsid w:val="007B32E5"/>
    <w:rsid w:val="007B3DB9"/>
    <w:rsid w:val="007B43E9"/>
    <w:rsid w:val="007B589F"/>
    <w:rsid w:val="007B6186"/>
    <w:rsid w:val="007B6924"/>
    <w:rsid w:val="007B73BC"/>
    <w:rsid w:val="007C1838"/>
    <w:rsid w:val="007C20B9"/>
    <w:rsid w:val="007C618F"/>
    <w:rsid w:val="007C7301"/>
    <w:rsid w:val="007C7859"/>
    <w:rsid w:val="007C7F28"/>
    <w:rsid w:val="007D1466"/>
    <w:rsid w:val="007D2BDE"/>
    <w:rsid w:val="007D2FB6"/>
    <w:rsid w:val="007D49EB"/>
    <w:rsid w:val="007D5E1C"/>
    <w:rsid w:val="007D789C"/>
    <w:rsid w:val="007E0DE2"/>
    <w:rsid w:val="007E1227"/>
    <w:rsid w:val="007E3B98"/>
    <w:rsid w:val="007E417A"/>
    <w:rsid w:val="007E508A"/>
    <w:rsid w:val="007F0291"/>
    <w:rsid w:val="007F31B6"/>
    <w:rsid w:val="007F546C"/>
    <w:rsid w:val="007F625F"/>
    <w:rsid w:val="007F665E"/>
    <w:rsid w:val="007F773C"/>
    <w:rsid w:val="00800412"/>
    <w:rsid w:val="0080587B"/>
    <w:rsid w:val="00805EA9"/>
    <w:rsid w:val="00806468"/>
    <w:rsid w:val="008112D1"/>
    <w:rsid w:val="008119CA"/>
    <w:rsid w:val="008130C4"/>
    <w:rsid w:val="008155F0"/>
    <w:rsid w:val="008156D1"/>
    <w:rsid w:val="00816735"/>
    <w:rsid w:val="00820141"/>
    <w:rsid w:val="00820E0C"/>
    <w:rsid w:val="008213F0"/>
    <w:rsid w:val="00823275"/>
    <w:rsid w:val="0082366F"/>
    <w:rsid w:val="008245CE"/>
    <w:rsid w:val="008279F3"/>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1CFF"/>
    <w:rsid w:val="00884B62"/>
    <w:rsid w:val="0088529C"/>
    <w:rsid w:val="00887051"/>
    <w:rsid w:val="00887903"/>
    <w:rsid w:val="00892338"/>
    <w:rsid w:val="0089270A"/>
    <w:rsid w:val="00893AF6"/>
    <w:rsid w:val="00894BC4"/>
    <w:rsid w:val="008A28A8"/>
    <w:rsid w:val="008A5B32"/>
    <w:rsid w:val="008A7352"/>
    <w:rsid w:val="008B2EE4"/>
    <w:rsid w:val="008B4D3D"/>
    <w:rsid w:val="008B57C7"/>
    <w:rsid w:val="008C2F92"/>
    <w:rsid w:val="008C3697"/>
    <w:rsid w:val="008C5557"/>
    <w:rsid w:val="008C589D"/>
    <w:rsid w:val="008C6977"/>
    <w:rsid w:val="008C6D51"/>
    <w:rsid w:val="008D2846"/>
    <w:rsid w:val="008D4236"/>
    <w:rsid w:val="008D462F"/>
    <w:rsid w:val="008D6DCF"/>
    <w:rsid w:val="008E3DE9"/>
    <w:rsid w:val="008E4376"/>
    <w:rsid w:val="008E501B"/>
    <w:rsid w:val="008E5D05"/>
    <w:rsid w:val="008E7A0A"/>
    <w:rsid w:val="008E7B49"/>
    <w:rsid w:val="008F0362"/>
    <w:rsid w:val="008F59F6"/>
    <w:rsid w:val="008F66C1"/>
    <w:rsid w:val="00900719"/>
    <w:rsid w:val="00900EA5"/>
    <w:rsid w:val="009017AC"/>
    <w:rsid w:val="00902A9A"/>
    <w:rsid w:val="00903A23"/>
    <w:rsid w:val="00904A1C"/>
    <w:rsid w:val="00904AB4"/>
    <w:rsid w:val="00905030"/>
    <w:rsid w:val="00906490"/>
    <w:rsid w:val="00907CF5"/>
    <w:rsid w:val="009111B2"/>
    <w:rsid w:val="009151F5"/>
    <w:rsid w:val="00916A48"/>
    <w:rsid w:val="009220CA"/>
    <w:rsid w:val="00924AE1"/>
    <w:rsid w:val="009269B1"/>
    <w:rsid w:val="0092724D"/>
    <w:rsid w:val="009272B3"/>
    <w:rsid w:val="009315BE"/>
    <w:rsid w:val="0093338F"/>
    <w:rsid w:val="00935FD1"/>
    <w:rsid w:val="00937BD9"/>
    <w:rsid w:val="00941C8F"/>
    <w:rsid w:val="00950E2C"/>
    <w:rsid w:val="00951D50"/>
    <w:rsid w:val="009525EB"/>
    <w:rsid w:val="00952639"/>
    <w:rsid w:val="0095470B"/>
    <w:rsid w:val="00954874"/>
    <w:rsid w:val="0095615A"/>
    <w:rsid w:val="00961400"/>
    <w:rsid w:val="00961A83"/>
    <w:rsid w:val="00963646"/>
    <w:rsid w:val="0096632D"/>
    <w:rsid w:val="009718C7"/>
    <w:rsid w:val="009719A6"/>
    <w:rsid w:val="00973744"/>
    <w:rsid w:val="0097559F"/>
    <w:rsid w:val="00976496"/>
    <w:rsid w:val="0097761E"/>
    <w:rsid w:val="009809B2"/>
    <w:rsid w:val="00982454"/>
    <w:rsid w:val="009826CE"/>
    <w:rsid w:val="00982CF0"/>
    <w:rsid w:val="009843FB"/>
    <w:rsid w:val="009853E1"/>
    <w:rsid w:val="00986E6B"/>
    <w:rsid w:val="00990032"/>
    <w:rsid w:val="00990B19"/>
    <w:rsid w:val="0099153B"/>
    <w:rsid w:val="00991769"/>
    <w:rsid w:val="0099232C"/>
    <w:rsid w:val="009923EB"/>
    <w:rsid w:val="00993E34"/>
    <w:rsid w:val="00994386"/>
    <w:rsid w:val="009A13D8"/>
    <w:rsid w:val="009A279E"/>
    <w:rsid w:val="009A3015"/>
    <w:rsid w:val="009A3490"/>
    <w:rsid w:val="009A3656"/>
    <w:rsid w:val="009B0A6F"/>
    <w:rsid w:val="009B0A94"/>
    <w:rsid w:val="009B2AE8"/>
    <w:rsid w:val="009B59E9"/>
    <w:rsid w:val="009B70AA"/>
    <w:rsid w:val="009C3C51"/>
    <w:rsid w:val="009C527C"/>
    <w:rsid w:val="009C5E77"/>
    <w:rsid w:val="009C79D9"/>
    <w:rsid w:val="009C7A7E"/>
    <w:rsid w:val="009D02E8"/>
    <w:rsid w:val="009D1B29"/>
    <w:rsid w:val="009D51D0"/>
    <w:rsid w:val="009D70A4"/>
    <w:rsid w:val="009D7B14"/>
    <w:rsid w:val="009E08D1"/>
    <w:rsid w:val="009E1B95"/>
    <w:rsid w:val="009E30FF"/>
    <w:rsid w:val="009E496F"/>
    <w:rsid w:val="009E4B0D"/>
    <w:rsid w:val="009E5250"/>
    <w:rsid w:val="009E6EEE"/>
    <w:rsid w:val="009E700B"/>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3665F"/>
    <w:rsid w:val="00A40AD6"/>
    <w:rsid w:val="00A43AE5"/>
    <w:rsid w:val="00A44882"/>
    <w:rsid w:val="00A45125"/>
    <w:rsid w:val="00A54715"/>
    <w:rsid w:val="00A6061C"/>
    <w:rsid w:val="00A62D44"/>
    <w:rsid w:val="00A67263"/>
    <w:rsid w:val="00A70025"/>
    <w:rsid w:val="00A7161C"/>
    <w:rsid w:val="00A72B35"/>
    <w:rsid w:val="00A77AA3"/>
    <w:rsid w:val="00A77DE3"/>
    <w:rsid w:val="00A8236D"/>
    <w:rsid w:val="00A854EB"/>
    <w:rsid w:val="00A872E5"/>
    <w:rsid w:val="00A91406"/>
    <w:rsid w:val="00A914ED"/>
    <w:rsid w:val="00A96E65"/>
    <w:rsid w:val="00A97336"/>
    <w:rsid w:val="00A97C72"/>
    <w:rsid w:val="00AA268E"/>
    <w:rsid w:val="00AA310B"/>
    <w:rsid w:val="00AA625A"/>
    <w:rsid w:val="00AA63D4"/>
    <w:rsid w:val="00AB06E8"/>
    <w:rsid w:val="00AB1CD3"/>
    <w:rsid w:val="00AB352F"/>
    <w:rsid w:val="00AC274B"/>
    <w:rsid w:val="00AC4764"/>
    <w:rsid w:val="00AC4806"/>
    <w:rsid w:val="00AC6D36"/>
    <w:rsid w:val="00AD0CBA"/>
    <w:rsid w:val="00AD177A"/>
    <w:rsid w:val="00AD2087"/>
    <w:rsid w:val="00AD26E2"/>
    <w:rsid w:val="00AD6410"/>
    <w:rsid w:val="00AD784C"/>
    <w:rsid w:val="00AE126A"/>
    <w:rsid w:val="00AE1BAE"/>
    <w:rsid w:val="00AE24B4"/>
    <w:rsid w:val="00AE3005"/>
    <w:rsid w:val="00AE3BD5"/>
    <w:rsid w:val="00AE59A0"/>
    <w:rsid w:val="00AF0C57"/>
    <w:rsid w:val="00AF26F3"/>
    <w:rsid w:val="00AF5F04"/>
    <w:rsid w:val="00B00672"/>
    <w:rsid w:val="00B01B4D"/>
    <w:rsid w:val="00B06571"/>
    <w:rsid w:val="00B068BA"/>
    <w:rsid w:val="00B07FF7"/>
    <w:rsid w:val="00B108DE"/>
    <w:rsid w:val="00B13851"/>
    <w:rsid w:val="00B13B1C"/>
    <w:rsid w:val="00B13DC7"/>
    <w:rsid w:val="00B14780"/>
    <w:rsid w:val="00B167C5"/>
    <w:rsid w:val="00B17DA8"/>
    <w:rsid w:val="00B21F90"/>
    <w:rsid w:val="00B22291"/>
    <w:rsid w:val="00B239E8"/>
    <w:rsid w:val="00B23F9A"/>
    <w:rsid w:val="00B2417B"/>
    <w:rsid w:val="00B24E6F"/>
    <w:rsid w:val="00B253E2"/>
    <w:rsid w:val="00B26724"/>
    <w:rsid w:val="00B26CB5"/>
    <w:rsid w:val="00B2752E"/>
    <w:rsid w:val="00B307CC"/>
    <w:rsid w:val="00B326B7"/>
    <w:rsid w:val="00B3588E"/>
    <w:rsid w:val="00B40242"/>
    <w:rsid w:val="00B41F3D"/>
    <w:rsid w:val="00B431E8"/>
    <w:rsid w:val="00B45141"/>
    <w:rsid w:val="00B45909"/>
    <w:rsid w:val="00B46DE7"/>
    <w:rsid w:val="00B47749"/>
    <w:rsid w:val="00B519CD"/>
    <w:rsid w:val="00B5273A"/>
    <w:rsid w:val="00B52D80"/>
    <w:rsid w:val="00B57329"/>
    <w:rsid w:val="00B60E61"/>
    <w:rsid w:val="00B617A9"/>
    <w:rsid w:val="00B62B50"/>
    <w:rsid w:val="00B635B7"/>
    <w:rsid w:val="00B63AE8"/>
    <w:rsid w:val="00B65950"/>
    <w:rsid w:val="00B66D83"/>
    <w:rsid w:val="00B672C0"/>
    <w:rsid w:val="00B676FD"/>
    <w:rsid w:val="00B75646"/>
    <w:rsid w:val="00B82D83"/>
    <w:rsid w:val="00B83869"/>
    <w:rsid w:val="00B90729"/>
    <w:rsid w:val="00B907DA"/>
    <w:rsid w:val="00B94CD5"/>
    <w:rsid w:val="00B950BC"/>
    <w:rsid w:val="00B9714C"/>
    <w:rsid w:val="00BA1A6F"/>
    <w:rsid w:val="00BA29AD"/>
    <w:rsid w:val="00BA33CF"/>
    <w:rsid w:val="00BA3F8D"/>
    <w:rsid w:val="00BB7A10"/>
    <w:rsid w:val="00BC3E8F"/>
    <w:rsid w:val="00BC60BE"/>
    <w:rsid w:val="00BC7468"/>
    <w:rsid w:val="00BC7D4F"/>
    <w:rsid w:val="00BC7ED7"/>
    <w:rsid w:val="00BD2850"/>
    <w:rsid w:val="00BD3B73"/>
    <w:rsid w:val="00BE28D2"/>
    <w:rsid w:val="00BE2F9A"/>
    <w:rsid w:val="00BE4A64"/>
    <w:rsid w:val="00BE5073"/>
    <w:rsid w:val="00BE5E43"/>
    <w:rsid w:val="00BF30B2"/>
    <w:rsid w:val="00BF4E95"/>
    <w:rsid w:val="00BF557D"/>
    <w:rsid w:val="00BF73BC"/>
    <w:rsid w:val="00BF7F58"/>
    <w:rsid w:val="00C01381"/>
    <w:rsid w:val="00C01AB1"/>
    <w:rsid w:val="00C026A0"/>
    <w:rsid w:val="00C06137"/>
    <w:rsid w:val="00C079B8"/>
    <w:rsid w:val="00C10037"/>
    <w:rsid w:val="00C123EA"/>
    <w:rsid w:val="00C12A49"/>
    <w:rsid w:val="00C13012"/>
    <w:rsid w:val="00C133EE"/>
    <w:rsid w:val="00C149D0"/>
    <w:rsid w:val="00C215F5"/>
    <w:rsid w:val="00C26588"/>
    <w:rsid w:val="00C2683F"/>
    <w:rsid w:val="00C27DE9"/>
    <w:rsid w:val="00C30F79"/>
    <w:rsid w:val="00C318B0"/>
    <w:rsid w:val="00C32989"/>
    <w:rsid w:val="00C33388"/>
    <w:rsid w:val="00C35484"/>
    <w:rsid w:val="00C4173A"/>
    <w:rsid w:val="00C45ACB"/>
    <w:rsid w:val="00C46268"/>
    <w:rsid w:val="00C50DED"/>
    <w:rsid w:val="00C53A5C"/>
    <w:rsid w:val="00C602FF"/>
    <w:rsid w:val="00C61174"/>
    <w:rsid w:val="00C6148F"/>
    <w:rsid w:val="00C62197"/>
    <w:rsid w:val="00C621B1"/>
    <w:rsid w:val="00C62F7A"/>
    <w:rsid w:val="00C63B9C"/>
    <w:rsid w:val="00C6400E"/>
    <w:rsid w:val="00C6682F"/>
    <w:rsid w:val="00C67BF4"/>
    <w:rsid w:val="00C7275E"/>
    <w:rsid w:val="00C74C5D"/>
    <w:rsid w:val="00C863C4"/>
    <w:rsid w:val="00C8746D"/>
    <w:rsid w:val="00C920EA"/>
    <w:rsid w:val="00C93C3E"/>
    <w:rsid w:val="00C95B44"/>
    <w:rsid w:val="00CA0B5A"/>
    <w:rsid w:val="00CA12E3"/>
    <w:rsid w:val="00CA1476"/>
    <w:rsid w:val="00CA6611"/>
    <w:rsid w:val="00CA6AE6"/>
    <w:rsid w:val="00CA782F"/>
    <w:rsid w:val="00CB187B"/>
    <w:rsid w:val="00CB2835"/>
    <w:rsid w:val="00CB3285"/>
    <w:rsid w:val="00CB4500"/>
    <w:rsid w:val="00CB7800"/>
    <w:rsid w:val="00CC0C72"/>
    <w:rsid w:val="00CC2BFD"/>
    <w:rsid w:val="00CD3476"/>
    <w:rsid w:val="00CD48F0"/>
    <w:rsid w:val="00CD64DF"/>
    <w:rsid w:val="00CD691D"/>
    <w:rsid w:val="00CD7E05"/>
    <w:rsid w:val="00CE0D1E"/>
    <w:rsid w:val="00CE225F"/>
    <w:rsid w:val="00CF2F50"/>
    <w:rsid w:val="00CF3777"/>
    <w:rsid w:val="00CF6198"/>
    <w:rsid w:val="00CF648A"/>
    <w:rsid w:val="00D02919"/>
    <w:rsid w:val="00D04C61"/>
    <w:rsid w:val="00D05B8D"/>
    <w:rsid w:val="00D065A2"/>
    <w:rsid w:val="00D07480"/>
    <w:rsid w:val="00D079AA"/>
    <w:rsid w:val="00D07F00"/>
    <w:rsid w:val="00D1130F"/>
    <w:rsid w:val="00D16115"/>
    <w:rsid w:val="00D17B72"/>
    <w:rsid w:val="00D2005E"/>
    <w:rsid w:val="00D3185C"/>
    <w:rsid w:val="00D3205F"/>
    <w:rsid w:val="00D3318E"/>
    <w:rsid w:val="00D33E72"/>
    <w:rsid w:val="00D35BD6"/>
    <w:rsid w:val="00D361B5"/>
    <w:rsid w:val="00D405AC"/>
    <w:rsid w:val="00D411A2"/>
    <w:rsid w:val="00D433C5"/>
    <w:rsid w:val="00D43BCC"/>
    <w:rsid w:val="00D4606D"/>
    <w:rsid w:val="00D46C92"/>
    <w:rsid w:val="00D50B9C"/>
    <w:rsid w:val="00D52D73"/>
    <w:rsid w:val="00D52E58"/>
    <w:rsid w:val="00D54D86"/>
    <w:rsid w:val="00D56B20"/>
    <w:rsid w:val="00D578B3"/>
    <w:rsid w:val="00D618F4"/>
    <w:rsid w:val="00D66CBE"/>
    <w:rsid w:val="00D6772D"/>
    <w:rsid w:val="00D714CC"/>
    <w:rsid w:val="00D75EA7"/>
    <w:rsid w:val="00D80B8B"/>
    <w:rsid w:val="00D81ADF"/>
    <w:rsid w:val="00D81F21"/>
    <w:rsid w:val="00D82749"/>
    <w:rsid w:val="00D84F40"/>
    <w:rsid w:val="00D864F2"/>
    <w:rsid w:val="00D92F95"/>
    <w:rsid w:val="00D943F8"/>
    <w:rsid w:val="00D95412"/>
    <w:rsid w:val="00D95470"/>
    <w:rsid w:val="00D96B55"/>
    <w:rsid w:val="00DA2619"/>
    <w:rsid w:val="00DA4239"/>
    <w:rsid w:val="00DA65DE"/>
    <w:rsid w:val="00DB0B61"/>
    <w:rsid w:val="00DB1474"/>
    <w:rsid w:val="00DB2962"/>
    <w:rsid w:val="00DB52FB"/>
    <w:rsid w:val="00DB5350"/>
    <w:rsid w:val="00DB72CA"/>
    <w:rsid w:val="00DC013B"/>
    <w:rsid w:val="00DC0210"/>
    <w:rsid w:val="00DC090B"/>
    <w:rsid w:val="00DC1679"/>
    <w:rsid w:val="00DC219B"/>
    <w:rsid w:val="00DC2CF1"/>
    <w:rsid w:val="00DC41B1"/>
    <w:rsid w:val="00DC4FCF"/>
    <w:rsid w:val="00DC50E0"/>
    <w:rsid w:val="00DC6386"/>
    <w:rsid w:val="00DC66EE"/>
    <w:rsid w:val="00DD1130"/>
    <w:rsid w:val="00DD1951"/>
    <w:rsid w:val="00DD487D"/>
    <w:rsid w:val="00DD4E83"/>
    <w:rsid w:val="00DD4FF8"/>
    <w:rsid w:val="00DD6628"/>
    <w:rsid w:val="00DD6945"/>
    <w:rsid w:val="00DD79C4"/>
    <w:rsid w:val="00DE2D04"/>
    <w:rsid w:val="00DE3250"/>
    <w:rsid w:val="00DE451A"/>
    <w:rsid w:val="00DE6028"/>
    <w:rsid w:val="00DE78A3"/>
    <w:rsid w:val="00DF1A71"/>
    <w:rsid w:val="00DF50FC"/>
    <w:rsid w:val="00DF68C7"/>
    <w:rsid w:val="00DF731A"/>
    <w:rsid w:val="00E00D17"/>
    <w:rsid w:val="00E04272"/>
    <w:rsid w:val="00E06B75"/>
    <w:rsid w:val="00E11332"/>
    <w:rsid w:val="00E11352"/>
    <w:rsid w:val="00E170DC"/>
    <w:rsid w:val="00E17546"/>
    <w:rsid w:val="00E210B5"/>
    <w:rsid w:val="00E228EE"/>
    <w:rsid w:val="00E255BF"/>
    <w:rsid w:val="00E26096"/>
    <w:rsid w:val="00E261B3"/>
    <w:rsid w:val="00E26818"/>
    <w:rsid w:val="00E27FFC"/>
    <w:rsid w:val="00E30B15"/>
    <w:rsid w:val="00E33237"/>
    <w:rsid w:val="00E40181"/>
    <w:rsid w:val="00E502DD"/>
    <w:rsid w:val="00E512A2"/>
    <w:rsid w:val="00E52E7D"/>
    <w:rsid w:val="00E547C1"/>
    <w:rsid w:val="00E54950"/>
    <w:rsid w:val="00E56A01"/>
    <w:rsid w:val="00E62622"/>
    <w:rsid w:val="00E629A1"/>
    <w:rsid w:val="00E63E47"/>
    <w:rsid w:val="00E6794C"/>
    <w:rsid w:val="00E71591"/>
    <w:rsid w:val="00E71CEB"/>
    <w:rsid w:val="00E7474F"/>
    <w:rsid w:val="00E80DE3"/>
    <w:rsid w:val="00E82C55"/>
    <w:rsid w:val="00E8323A"/>
    <w:rsid w:val="00E8787E"/>
    <w:rsid w:val="00E92AC3"/>
    <w:rsid w:val="00E96839"/>
    <w:rsid w:val="00EA1360"/>
    <w:rsid w:val="00EA2F6A"/>
    <w:rsid w:val="00EB00E0"/>
    <w:rsid w:val="00EB3C92"/>
    <w:rsid w:val="00EB7454"/>
    <w:rsid w:val="00EC059F"/>
    <w:rsid w:val="00EC1760"/>
    <w:rsid w:val="00EC1F24"/>
    <w:rsid w:val="00EC22F6"/>
    <w:rsid w:val="00EC3226"/>
    <w:rsid w:val="00EC40D5"/>
    <w:rsid w:val="00EC58AF"/>
    <w:rsid w:val="00ED33A4"/>
    <w:rsid w:val="00ED5B9B"/>
    <w:rsid w:val="00ED6B60"/>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2406"/>
    <w:rsid w:val="00F12F45"/>
    <w:rsid w:val="00F161E8"/>
    <w:rsid w:val="00F16F1B"/>
    <w:rsid w:val="00F22252"/>
    <w:rsid w:val="00F250A9"/>
    <w:rsid w:val="00F267AF"/>
    <w:rsid w:val="00F30FF4"/>
    <w:rsid w:val="00F3122E"/>
    <w:rsid w:val="00F32368"/>
    <w:rsid w:val="00F331AD"/>
    <w:rsid w:val="00F35287"/>
    <w:rsid w:val="00F40330"/>
    <w:rsid w:val="00F40A70"/>
    <w:rsid w:val="00F420DD"/>
    <w:rsid w:val="00F43A37"/>
    <w:rsid w:val="00F4453A"/>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1E4B"/>
    <w:rsid w:val="00F64696"/>
    <w:rsid w:val="00F65AA9"/>
    <w:rsid w:val="00F6768F"/>
    <w:rsid w:val="00F712D8"/>
    <w:rsid w:val="00F72C2C"/>
    <w:rsid w:val="00F76CAB"/>
    <w:rsid w:val="00F772C6"/>
    <w:rsid w:val="00F801BB"/>
    <w:rsid w:val="00F815B5"/>
    <w:rsid w:val="00F84FA0"/>
    <w:rsid w:val="00F85116"/>
    <w:rsid w:val="00F85195"/>
    <w:rsid w:val="00F868E3"/>
    <w:rsid w:val="00F86B64"/>
    <w:rsid w:val="00F938BA"/>
    <w:rsid w:val="00F9485F"/>
    <w:rsid w:val="00F97919"/>
    <w:rsid w:val="00FA2C46"/>
    <w:rsid w:val="00FA3525"/>
    <w:rsid w:val="00FA5A53"/>
    <w:rsid w:val="00FB2551"/>
    <w:rsid w:val="00FB4769"/>
    <w:rsid w:val="00FB4CDA"/>
    <w:rsid w:val="00FB6481"/>
    <w:rsid w:val="00FB6D36"/>
    <w:rsid w:val="00FC00F3"/>
    <w:rsid w:val="00FC0965"/>
    <w:rsid w:val="00FC0F81"/>
    <w:rsid w:val="00FC252F"/>
    <w:rsid w:val="00FC395C"/>
    <w:rsid w:val="00FC5E8E"/>
    <w:rsid w:val="00FD3766"/>
    <w:rsid w:val="00FD47C4"/>
    <w:rsid w:val="00FD6193"/>
    <w:rsid w:val="00FD722A"/>
    <w:rsid w:val="00FE1789"/>
    <w:rsid w:val="00FE2DCF"/>
    <w:rsid w:val="00FE3FA7"/>
    <w:rsid w:val="00FF0B85"/>
    <w:rsid w:val="00FF2A4E"/>
    <w:rsid w:val="00FF2DC1"/>
    <w:rsid w:val="00FF2FCE"/>
    <w:rsid w:val="00FF4DE4"/>
    <w:rsid w:val="00FF4F7D"/>
    <w:rsid w:val="00FF546C"/>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AA5C97"/>
  <w15:docId w15:val="{A009FD0D-4CB8-41BF-AFA7-499B1379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character" w:styleId="Mention">
    <w:name w:val="Mention"/>
    <w:basedOn w:val="DefaultParagraphFont"/>
    <w:uiPriority w:val="99"/>
    <w:unhideWhenUsed/>
    <w:rsid w:val="001E4C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2493424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ga.gov.au/products/medical-devices/software-and-artificial-intelligence-ai/manufacturing/artificial-intelligence-ai-and-medical-device-software-regulation" TargetMode="External"/><Relationship Id="rId26" Type="http://schemas.openxmlformats.org/officeDocument/2006/relationships/hyperlink" Target="mailto:Digital.Health.Incident.Notification@health.vic.gov.au" TargetMode="External"/><Relationship Id="rId3" Type="http://schemas.openxmlformats.org/officeDocument/2006/relationships/customXml" Target="../customXml/item3.xml"/><Relationship Id="rId21" Type="http://schemas.openxmlformats.org/officeDocument/2006/relationships/hyperlink" Target="https://www.safetyandquality.gov.au/national-standards/nsqhs-standard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igital-health/artificial-intelligence-in-victorian-public-health-services" TargetMode="External"/><Relationship Id="rId25" Type="http://schemas.openxmlformats.org/officeDocument/2006/relationships/hyperlink" Target="https://www.safercare.vic.gov.au/report-manage-issues/sentinel-events" TargetMode="External"/><Relationship Id="rId2" Type="http://schemas.openxmlformats.org/officeDocument/2006/relationships/customXml" Target="../customXml/item2.xml"/><Relationship Id="rId16" Type="http://schemas.openxmlformats.org/officeDocument/2006/relationships/hyperlink" Target="https://www.health.vic.gov.au/digital-health/artificial-intelligence-in-victorian-public-health-services" TargetMode="External"/><Relationship Id="rId20" Type="http://schemas.openxmlformats.org/officeDocument/2006/relationships/hyperlink" Target="mailto:digital.devices@tga.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fercare.vic.gov.au/report-manage-issues/adverse-events/policy"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ahpra.gov.au/Resources/Artificial-Intelligence-in-healthcare.aspx"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digital.devices@tg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digital-health/artificial-intelligence-in-victorian-public-health-services" TargetMode="External"/><Relationship Id="rId27" Type="http://schemas.openxmlformats.org/officeDocument/2006/relationships/hyperlink" Target="https://www.health.vic.gov.au/digital-health/artificial-intelligence-in-victorian-public-health-services"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efae7d-998f-4906-ab7a-47c49d5980c8" xsi:nil="true"/>
    <lcf76f155ced4ddcb4097134ff3c332f xmlns="484c4e41-9d04-4639-8990-2634a9ef43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A80CAF46D87C4093E866F58C865098" ma:contentTypeVersion="15" ma:contentTypeDescription="Create a new document." ma:contentTypeScope="" ma:versionID="4fecd77f7d587bb84155d7cf08cbd09d">
  <xsd:schema xmlns:xsd="http://www.w3.org/2001/XMLSchema" xmlns:xs="http://www.w3.org/2001/XMLSchema" xmlns:p="http://schemas.microsoft.com/office/2006/metadata/properties" xmlns:ns2="484c4e41-9d04-4639-8990-2634a9ef436b" xmlns:ns3="94efae7d-998f-4906-ab7a-47c49d5980c8" targetNamespace="http://schemas.microsoft.com/office/2006/metadata/properties" ma:root="true" ma:fieldsID="e2c5b93f499476e3972d5a3b7d11debb" ns2:_="" ns3:_="">
    <xsd:import namespace="484c4e41-9d04-4639-8990-2634a9ef436b"/>
    <xsd:import namespace="94efae7d-998f-4906-ab7a-47c49d598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c4e41-9d04-4639-8990-2634a9ef4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efae7d-998f-4906-ab7a-47c49d5980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664160d-8d57-4c41-9b7e-7c0d242e0313}" ma:internalName="TaxCatchAll" ma:showField="CatchAllData" ma:web="94efae7d-998f-4906-ab7a-47c49d598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efae7d-998f-4906-ab7a-47c49d5980c8"/>
    <ds:schemaRef ds:uri="484c4e41-9d04-4639-8990-2634a9ef436b"/>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1674A5A0-568D-4C87-9E5D-42FE9999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c4e41-9d04-4639-8990-2634a9ef436b"/>
    <ds:schemaRef ds:uri="94efae7d-998f-4906-ab7a-47c49d598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5807</TotalTime>
  <Pages>4</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Roles, Responsibilities and Escalation Pathways for AI in Victorian Public Health Services</vt:lpstr>
    </vt:vector>
  </TitlesOfParts>
  <Manager/>
  <Company>Victoria State Government, Department of Health</Company>
  <LinksUpToDate>false</LinksUpToDate>
  <CharactersWithSpaces>11489</CharactersWithSpaces>
  <SharedDoc>false</SharedDoc>
  <HyperlinkBase/>
  <HLinks>
    <vt:vector size="6" baseType="variant">
      <vt:variant>
        <vt:i4>1245279</vt:i4>
      </vt:variant>
      <vt:variant>
        <vt:i4>3</vt:i4>
      </vt:variant>
      <vt:variant>
        <vt:i4>0</vt:i4>
      </vt:variant>
      <vt:variant>
        <vt:i4>5</vt:i4>
      </vt:variant>
      <vt:variant>
        <vt:lpwstr>https://www.tga.gov.au/how-we-regulate/manufacturing/manufacture-medical-device/manufacture-specific-types-medical-devices/software-based-medical-devices/artificial-intelligence-ai-and-medical-device-software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Responsibilities and Escalation Pathways for AI in Victorian Public Health Services</dc:title>
  <dc:subject>Pathways to notify the Department about incidents following the use of AI</dc:subject>
  <dc:creator>David Bevan (Health)</dc:creator>
  <cp:keywords/>
  <dc:description/>
  <cp:lastModifiedBy>Serge Catson (Health)</cp:lastModifiedBy>
  <cp:revision>48</cp:revision>
  <cp:lastPrinted>2020-03-30T21:28:00Z</cp:lastPrinted>
  <dcterms:created xsi:type="dcterms:W3CDTF">2026-03-30T23:32:00Z</dcterms:created>
  <dcterms:modified xsi:type="dcterms:W3CDTF">2026-06-03T23:16:00Z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0x010100EAA80CAF46D87C4093E866F58C865098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