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F7B1" w14:textId="77777777" w:rsidR="00421127" w:rsidRPr="00421127" w:rsidRDefault="00421127" w:rsidP="00421127">
      <w:pPr>
        <w:pStyle w:val="Sectionbreakfirstpage"/>
        <w:rPr>
          <w:b/>
          <w:bCs/>
        </w:rPr>
      </w:pPr>
      <w:r w:rsidRPr="00421127">
        <w:rPr>
          <w:b/>
          <w:bCs/>
        </w:rPr>
        <w:t>Standards for the use of AI in Victorian Public Health Services</w:t>
      </w:r>
    </w:p>
    <w:p w14:paraId="3A293237"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9483890" wp14:editId="22AECF9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9782C77"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F2261EB" w14:textId="77777777" w:rsidTr="00B07FF7">
        <w:trPr>
          <w:trHeight w:val="622"/>
        </w:trPr>
        <w:tc>
          <w:tcPr>
            <w:tcW w:w="10348" w:type="dxa"/>
            <w:tcMar>
              <w:top w:w="1531" w:type="dxa"/>
              <w:left w:w="0" w:type="dxa"/>
              <w:right w:w="0" w:type="dxa"/>
            </w:tcMar>
          </w:tcPr>
          <w:p w14:paraId="724EABD1" w14:textId="1A8E2625" w:rsidR="003B5733" w:rsidRPr="003B5733" w:rsidRDefault="00B71FE2" w:rsidP="003B5733">
            <w:pPr>
              <w:pStyle w:val="Documenttitle"/>
            </w:pPr>
            <w:r w:rsidRPr="00B71FE2">
              <w:t xml:space="preserve">Governance Models </w:t>
            </w:r>
            <w:r w:rsidR="0057501C">
              <w:t>for</w:t>
            </w:r>
            <w:r w:rsidRPr="00B71FE2">
              <w:t xml:space="preserve"> AI Solutions</w:t>
            </w:r>
            <w:r w:rsidR="007F4212">
              <w:t xml:space="preserve"> in Vi</w:t>
            </w:r>
            <w:r w:rsidR="005546E1">
              <w:t>ctorian Public Health Services</w:t>
            </w:r>
          </w:p>
        </w:tc>
      </w:tr>
      <w:tr w:rsidR="00F30DF5" w14:paraId="002DC4FC" w14:textId="77777777" w:rsidTr="00B07FF7">
        <w:tc>
          <w:tcPr>
            <w:tcW w:w="10348" w:type="dxa"/>
          </w:tcPr>
          <w:p w14:paraId="75134AE9" w14:textId="38AC7F36" w:rsidR="00F30DF5" w:rsidRPr="00A1389F" w:rsidRDefault="00F30DF5" w:rsidP="00F30DF5">
            <w:pPr>
              <w:pStyle w:val="Documentsubtitle"/>
            </w:pPr>
          </w:p>
        </w:tc>
      </w:tr>
      <w:tr w:rsidR="00F30DF5" w14:paraId="2211E97A" w14:textId="77777777" w:rsidTr="00B07FF7">
        <w:tc>
          <w:tcPr>
            <w:tcW w:w="10348" w:type="dxa"/>
          </w:tcPr>
          <w:p w14:paraId="76EAA03B" w14:textId="77777777" w:rsidR="00F30DF5" w:rsidRPr="001E5058" w:rsidRDefault="00F30DF5" w:rsidP="00F30DF5">
            <w:pPr>
              <w:pStyle w:val="Bannermarking"/>
            </w:pPr>
            <w:fldSimple w:instr="FILLIN  &quot;Type the protective marking&quot; \d OFFICIAL \o  \* MERGEFORMAT">
              <w:r>
                <w:t>OFFICIAL</w:t>
              </w:r>
            </w:fldSimple>
          </w:p>
        </w:tc>
      </w:tr>
    </w:tbl>
    <w:p w14:paraId="12D7F803" w14:textId="45F82D2B" w:rsidR="007173CA" w:rsidRDefault="007173CA" w:rsidP="00D079AA">
      <w:pPr>
        <w:pStyle w:val="Body"/>
      </w:pPr>
    </w:p>
    <w:p w14:paraId="02523DF8"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319102A5" w14:textId="6740F92B" w:rsidR="0023633A" w:rsidRDefault="0023633A" w:rsidP="001C6452">
      <w:pPr>
        <w:pStyle w:val="Heading1"/>
      </w:pPr>
      <w:r>
        <w:t xml:space="preserve">Purpose </w:t>
      </w:r>
    </w:p>
    <w:p w14:paraId="070B1B46" w14:textId="3E44E8F1" w:rsidR="00AB4101" w:rsidRDefault="00AB4101" w:rsidP="00E95084">
      <w:pPr>
        <w:pStyle w:val="Body"/>
      </w:pPr>
      <w:r w:rsidRPr="00AB4101">
        <w:t>This document provides guidance to Victorian Public Health Services (VPHS) on proportionate, risk</w:t>
      </w:r>
      <w:r w:rsidRPr="00AB4101">
        <w:rPr>
          <w:rFonts w:ascii="Cambria Math" w:hAnsi="Cambria Math" w:cs="Cambria Math"/>
        </w:rPr>
        <w:t>‑</w:t>
      </w:r>
      <w:r w:rsidRPr="00AB4101">
        <w:t>based governance models for the use of artificial intelligence (AI). It is intended to support health services to establish and apply appropriate local governance arrangements for AI solutions used in clinical and non</w:t>
      </w:r>
      <w:r w:rsidRPr="00AB4101">
        <w:rPr>
          <w:rFonts w:ascii="Cambria Math" w:hAnsi="Cambria Math" w:cs="Cambria Math"/>
        </w:rPr>
        <w:t>‑</w:t>
      </w:r>
      <w:r w:rsidRPr="00AB4101">
        <w:t xml:space="preserve">clinical settings. </w:t>
      </w:r>
    </w:p>
    <w:p w14:paraId="2FF2C2C9" w14:textId="0AEDDCF1" w:rsidR="0023633A" w:rsidRDefault="0023633A" w:rsidP="0023633A">
      <w:pPr>
        <w:pStyle w:val="Body"/>
      </w:pPr>
      <w:r>
        <w:t xml:space="preserve">This document should be </w:t>
      </w:r>
      <w:r w:rsidR="007F5AFD">
        <w:t>read</w:t>
      </w:r>
      <w:r>
        <w:t xml:space="preserve"> in </w:t>
      </w:r>
      <w:r w:rsidR="009577C5">
        <w:t>conjunction</w:t>
      </w:r>
      <w:r w:rsidR="007F5AFD">
        <w:t xml:space="preserve"> with</w:t>
      </w:r>
      <w:r>
        <w:t xml:space="preserve">:  </w:t>
      </w:r>
    </w:p>
    <w:p w14:paraId="72B2AEC1" w14:textId="6072B447" w:rsidR="0023633A" w:rsidRDefault="0023633A" w:rsidP="00C3178F">
      <w:pPr>
        <w:pStyle w:val="Bullet1"/>
        <w:ind w:left="284"/>
      </w:pPr>
      <w:hyperlink r:id="rId16" w:history="1">
        <w:r w:rsidRPr="001765C3">
          <w:rPr>
            <w:rStyle w:val="Hyperlink"/>
          </w:rPr>
          <w:t>Victorian Clinical Governance Framework</w:t>
        </w:r>
      </w:hyperlink>
      <w:r w:rsidR="001765C3">
        <w:rPr>
          <w:rStyle w:val="FootnoteReference"/>
        </w:rPr>
        <w:footnoteReference w:id="2"/>
      </w:r>
    </w:p>
    <w:p w14:paraId="0F27720A" w14:textId="7618CF8C" w:rsidR="0023633A" w:rsidRPr="002B239C" w:rsidRDefault="00203534" w:rsidP="00C3178F">
      <w:pPr>
        <w:pStyle w:val="Bullet1"/>
        <w:ind w:left="284"/>
      </w:pPr>
      <w:hyperlink r:id="rId17" w:history="1">
        <w:r w:rsidRPr="00442E18">
          <w:rPr>
            <w:rStyle w:val="Hyperlink"/>
          </w:rPr>
          <w:t xml:space="preserve">Standards for the use of AI in Victorian Public </w:t>
        </w:r>
        <w:r w:rsidRPr="00442E18">
          <w:rPr>
            <w:rStyle w:val="Hyperlink"/>
          </w:rPr>
          <w:t>H</w:t>
        </w:r>
        <w:r w:rsidRPr="00442E18">
          <w:rPr>
            <w:rStyle w:val="Hyperlink"/>
          </w:rPr>
          <w:t>ealth Services</w:t>
        </w:r>
      </w:hyperlink>
      <w:r w:rsidR="008A3BEA">
        <w:rPr>
          <w:rStyle w:val="FootnoteReference"/>
        </w:rPr>
        <w:footnoteReference w:id="3"/>
      </w:r>
    </w:p>
    <w:p w14:paraId="4FF515BC" w14:textId="1473BFD0" w:rsidR="0010415D" w:rsidRPr="002B239C" w:rsidRDefault="0023633A" w:rsidP="00D13E61">
      <w:pPr>
        <w:pStyle w:val="Bullet1"/>
        <w:spacing w:after="120"/>
        <w:ind w:left="284"/>
      </w:pPr>
      <w:hyperlink r:id="rId18" w:history="1">
        <w:r w:rsidRPr="00F16723">
          <w:rPr>
            <w:rStyle w:val="Hyperlink"/>
          </w:rPr>
          <w:t>Roles</w:t>
        </w:r>
        <w:r w:rsidR="00BB707C" w:rsidRPr="00F16723">
          <w:rPr>
            <w:rStyle w:val="Hyperlink"/>
          </w:rPr>
          <w:t>,</w:t>
        </w:r>
        <w:r w:rsidRPr="00F16723">
          <w:rPr>
            <w:rStyle w:val="Hyperlink"/>
          </w:rPr>
          <w:t xml:space="preserve"> Responsibilities</w:t>
        </w:r>
        <w:r w:rsidR="00BB707C" w:rsidRPr="00F16723">
          <w:rPr>
            <w:rStyle w:val="Hyperlink"/>
          </w:rPr>
          <w:t xml:space="preserve"> and Escalation Pathways</w:t>
        </w:r>
        <w:r w:rsidRPr="00F16723">
          <w:rPr>
            <w:rStyle w:val="Hyperlink"/>
          </w:rPr>
          <w:t xml:space="preserve"> for AI in Victoria</w:t>
        </w:r>
        <w:r w:rsidR="007D1EA5" w:rsidRPr="00F16723">
          <w:rPr>
            <w:rStyle w:val="Hyperlink"/>
          </w:rPr>
          <w:t>n Public Health Services</w:t>
        </w:r>
      </w:hyperlink>
      <w:r w:rsidR="000F0ACD">
        <w:rPr>
          <w:rStyle w:val="FootnoteReference"/>
        </w:rPr>
        <w:footnoteReference w:id="4"/>
      </w:r>
    </w:p>
    <w:p w14:paraId="1D385060" w14:textId="67F45903" w:rsidR="00142B2E" w:rsidRPr="000D24A6" w:rsidRDefault="00142B2E" w:rsidP="000D24A6">
      <w:pPr>
        <w:pStyle w:val="Bullet1"/>
        <w:numPr>
          <w:ilvl w:val="0"/>
          <w:numId w:val="0"/>
        </w:numPr>
        <w:spacing w:after="120"/>
      </w:pPr>
      <w:r w:rsidRPr="00142B2E">
        <w:t>This guidance should be applied in a way that supports Victoria’s commitment to Aboriginal self</w:t>
      </w:r>
      <w:r w:rsidRPr="00142B2E">
        <w:rPr>
          <w:rFonts w:ascii="Cambria Math" w:hAnsi="Cambria Math" w:cs="Cambria Math"/>
        </w:rPr>
        <w:t>‑</w:t>
      </w:r>
      <w:r w:rsidRPr="00142B2E">
        <w:t>determination, including relevant Closing the Gap commitments and the Aboriginal Health and Wellbeing Partnership Agreement and Action Plans.</w:t>
      </w:r>
    </w:p>
    <w:p w14:paraId="49AB18EF" w14:textId="1785DCAC" w:rsidR="00332159" w:rsidRDefault="00332159" w:rsidP="00332159">
      <w:pPr>
        <w:pStyle w:val="Heading1"/>
      </w:pPr>
      <w:r w:rsidRPr="00332159">
        <w:t>Governance Requirements</w:t>
      </w:r>
    </w:p>
    <w:p w14:paraId="312228CB" w14:textId="17A21A6B" w:rsidR="00B1776A" w:rsidRDefault="004C1CC0" w:rsidP="004C1CC0">
      <w:pPr>
        <w:pStyle w:val="Body"/>
      </w:pPr>
      <w:r>
        <w:t>Robust governance of new and existing AI solutions is essential</w:t>
      </w:r>
      <w:r w:rsidR="007E1157">
        <w:t xml:space="preserve"> to ensure safe and effective implementation. </w:t>
      </w:r>
      <w:r w:rsidR="00F20BBC" w:rsidRPr="00F20BBC">
        <w:t xml:space="preserve">While national and state frameworks provide important standards and guidance, </w:t>
      </w:r>
      <w:r w:rsidR="00CC7511">
        <w:t xml:space="preserve">health services are </w:t>
      </w:r>
      <w:r w:rsidR="00F20BBC" w:rsidRPr="00F20BBC">
        <w:t>accountab</w:t>
      </w:r>
      <w:r w:rsidR="00CC7511">
        <w:t>le</w:t>
      </w:r>
      <w:r w:rsidR="00F20BBC" w:rsidRPr="00F20BBC">
        <w:t xml:space="preserve"> </w:t>
      </w:r>
      <w:r w:rsidR="00F40A72">
        <w:t xml:space="preserve">for local </w:t>
      </w:r>
      <w:r w:rsidR="00353DDC">
        <w:t>implementation and oversight</w:t>
      </w:r>
      <w:r w:rsidR="00F20BBC" w:rsidRPr="00F20BBC">
        <w:t>.</w:t>
      </w:r>
    </w:p>
    <w:p w14:paraId="6F70A52D" w14:textId="23892810" w:rsidR="00F30D20" w:rsidRDefault="00B1776A" w:rsidP="00B1776A">
      <w:pPr>
        <w:pStyle w:val="Heading2"/>
      </w:pPr>
      <w:r>
        <w:t xml:space="preserve">Guiding </w:t>
      </w:r>
      <w:r w:rsidR="00D64C77">
        <w:t>p</w:t>
      </w:r>
      <w:r>
        <w:t>rinciples</w:t>
      </w:r>
    </w:p>
    <w:p w14:paraId="158DE294" w14:textId="3BA99DE8" w:rsidR="00BC7572" w:rsidRPr="00BC7572" w:rsidRDefault="002F632C" w:rsidP="00BC7572">
      <w:pPr>
        <w:pStyle w:val="Body"/>
      </w:pPr>
      <w:r>
        <w:t>Health services</w:t>
      </w:r>
      <w:r w:rsidR="00001BFC" w:rsidRPr="00001BFC">
        <w:t xml:space="preserve"> should ensure the following conditions are met when considering the use of AI</w:t>
      </w:r>
      <w:r w:rsidR="00B8162D">
        <w:t>:</w:t>
      </w:r>
      <w:r w:rsidR="004811E3">
        <w:t xml:space="preserve"> </w:t>
      </w:r>
    </w:p>
    <w:p w14:paraId="48FEF63D" w14:textId="4F64A3C7" w:rsidR="00133AE0" w:rsidRDefault="00133AE0" w:rsidP="00C3178F">
      <w:pPr>
        <w:pStyle w:val="Bullet1"/>
        <w:ind w:left="284"/>
      </w:pPr>
      <w:r>
        <w:t xml:space="preserve">The AI </w:t>
      </w:r>
      <w:r w:rsidR="00B8162D">
        <w:t>solution</w:t>
      </w:r>
      <w:r>
        <w:t xml:space="preserve"> </w:t>
      </w:r>
      <w:r w:rsidR="00B8162D">
        <w:t>provides measurable</w:t>
      </w:r>
      <w:r>
        <w:t xml:space="preserve"> benefits </w:t>
      </w:r>
      <w:r w:rsidR="00B8162D">
        <w:t>over</w:t>
      </w:r>
      <w:r>
        <w:t xml:space="preserve"> existing alternative</w:t>
      </w:r>
      <w:r w:rsidR="00B8162D">
        <w:t>s</w:t>
      </w:r>
      <w:r w:rsidR="001A680F">
        <w:t>,</w:t>
      </w:r>
      <w:r>
        <w:t xml:space="preserve"> </w:t>
      </w:r>
      <w:r w:rsidR="002D7824">
        <w:t>such as</w:t>
      </w:r>
      <w:r>
        <w:t xml:space="preserve"> improved clinical outcomes, </w:t>
      </w:r>
      <w:r w:rsidR="00F91B2F">
        <w:t xml:space="preserve">improved </w:t>
      </w:r>
      <w:r>
        <w:t xml:space="preserve">resource management, </w:t>
      </w:r>
      <w:r w:rsidR="00D63B94">
        <w:t xml:space="preserve">reduced </w:t>
      </w:r>
      <w:r>
        <w:t xml:space="preserve">administrative burden, </w:t>
      </w:r>
      <w:r w:rsidR="00D63B94">
        <w:t xml:space="preserve">enhanced </w:t>
      </w:r>
      <w:r>
        <w:t>patient experience</w:t>
      </w:r>
      <w:r w:rsidR="00A54A03">
        <w:t xml:space="preserve">, increased </w:t>
      </w:r>
      <w:r>
        <w:t>access</w:t>
      </w:r>
      <w:r w:rsidR="00A54A03">
        <w:t xml:space="preserve"> to services</w:t>
      </w:r>
      <w:r>
        <w:t xml:space="preserve"> </w:t>
      </w:r>
      <w:r w:rsidR="00B662ED">
        <w:t>and</w:t>
      </w:r>
      <w:r>
        <w:t xml:space="preserve"> allocative efficiency.</w:t>
      </w:r>
    </w:p>
    <w:p w14:paraId="49D65154" w14:textId="44C96F90" w:rsidR="00133AE0" w:rsidRPr="00BC7572" w:rsidRDefault="00F41436" w:rsidP="00C3178F">
      <w:pPr>
        <w:pStyle w:val="Bullet1"/>
        <w:ind w:left="284"/>
      </w:pPr>
      <w:r>
        <w:t>R</w:t>
      </w:r>
      <w:r w:rsidR="00133AE0">
        <w:t>isks</w:t>
      </w:r>
      <w:r w:rsidR="00EF2409">
        <w:t>, including clinical, financial and security</w:t>
      </w:r>
      <w:r w:rsidR="00DF11C7">
        <w:t>,</w:t>
      </w:r>
      <w:r w:rsidR="00666826">
        <w:t xml:space="preserve"> </w:t>
      </w:r>
      <w:r w:rsidR="00133AE0">
        <w:t xml:space="preserve">are minimal or </w:t>
      </w:r>
      <w:r>
        <w:t>demonst</w:t>
      </w:r>
      <w:r w:rsidR="002A196B">
        <w:t>rably outweighed</w:t>
      </w:r>
      <w:r w:rsidR="00133AE0">
        <w:t xml:space="preserve"> by the benefits</w:t>
      </w:r>
      <w:r w:rsidR="00BC7572">
        <w:t xml:space="preserve">. </w:t>
      </w:r>
    </w:p>
    <w:p w14:paraId="3DFAE9A5" w14:textId="16C9F7FB" w:rsidR="00133AE0" w:rsidRDefault="00032F9C" w:rsidP="00C3178F">
      <w:pPr>
        <w:pStyle w:val="Bullet1"/>
        <w:ind w:left="284"/>
      </w:pPr>
      <w:r>
        <w:lastRenderedPageBreak/>
        <w:t>F</w:t>
      </w:r>
      <w:r w:rsidR="00133AE0">
        <w:t>rameworks and processes for</w:t>
      </w:r>
      <w:r w:rsidR="008F5234">
        <w:t xml:space="preserve"> safe and</w:t>
      </w:r>
      <w:r w:rsidR="00133AE0">
        <w:t xml:space="preserve"> responsible AI management, oversight and deployment </w:t>
      </w:r>
      <w:r>
        <w:t xml:space="preserve">are </w:t>
      </w:r>
      <w:r w:rsidR="00133AE0">
        <w:t>in place.</w:t>
      </w:r>
      <w:r w:rsidR="002C731F" w:rsidRPr="002C731F">
        <w:t xml:space="preserve"> </w:t>
      </w:r>
      <w:r w:rsidR="002C731F">
        <w:t>F</w:t>
      </w:r>
      <w:r w:rsidR="002C731F" w:rsidRPr="002C731F">
        <w:t>or example, arrangements covering clinical governance, privacy and data governance, cyber security, ethics, procurement and lifecycle monitoring.</w:t>
      </w:r>
    </w:p>
    <w:p w14:paraId="2913471D" w14:textId="681F5972" w:rsidR="005B5CDB" w:rsidRDefault="00193376" w:rsidP="00C3178F">
      <w:pPr>
        <w:pStyle w:val="Bullet1"/>
        <w:ind w:left="284"/>
      </w:pPr>
      <w:r w:rsidRPr="00193376">
        <w:t>Governance arrangements recognise cultural safety</w:t>
      </w:r>
      <w:r w:rsidR="00EF4DB3">
        <w:t xml:space="preserve"> and</w:t>
      </w:r>
      <w:r w:rsidRPr="00193376">
        <w:t xml:space="preserve"> equity </w:t>
      </w:r>
      <w:r w:rsidR="00EF4DB3">
        <w:t>as central to improving Aboriginal health and wellbeing outcomes.</w:t>
      </w:r>
      <w:r w:rsidR="00D96B68">
        <w:t xml:space="preserve"> This is best achieved by recognising </w:t>
      </w:r>
      <w:r w:rsidR="008B3A78">
        <w:t xml:space="preserve">indigenous </w:t>
      </w:r>
      <w:r w:rsidR="003053E6">
        <w:t xml:space="preserve">data governance as a </w:t>
      </w:r>
      <w:r w:rsidR="00645CEB">
        <w:t>mechanism</w:t>
      </w:r>
      <w:r w:rsidR="003053E6">
        <w:t xml:space="preserve"> </w:t>
      </w:r>
      <w:r w:rsidR="00AF021E">
        <w:t xml:space="preserve">to </w:t>
      </w:r>
      <w:r w:rsidR="007F30B2">
        <w:t>embed</w:t>
      </w:r>
      <w:r w:rsidR="00AF021E">
        <w:t xml:space="preserve"> indigenous data sovereignty principles </w:t>
      </w:r>
      <w:r w:rsidR="007F30B2">
        <w:t>in</w:t>
      </w:r>
      <w:r w:rsidR="00AF021E">
        <w:t xml:space="preserve"> </w:t>
      </w:r>
      <w:r w:rsidR="007C3487">
        <w:t>practice</w:t>
      </w:r>
      <w:r w:rsidR="00AF021E">
        <w:t>.</w:t>
      </w:r>
    </w:p>
    <w:p w14:paraId="5DE22885" w14:textId="3BB4279C" w:rsidR="00133AE0" w:rsidRDefault="00032F9C" w:rsidP="00C3178F">
      <w:pPr>
        <w:pStyle w:val="Bullet1"/>
        <w:ind w:left="284"/>
      </w:pPr>
      <w:r>
        <w:t>I</w:t>
      </w:r>
      <w:r w:rsidR="00133AE0">
        <w:t xml:space="preserve">mplementation </w:t>
      </w:r>
      <w:r>
        <w:t>aligns with</w:t>
      </w:r>
      <w:r w:rsidR="00133AE0">
        <w:t xml:space="preserve"> local governance standards and </w:t>
      </w:r>
      <w:r w:rsidR="0039014F">
        <w:t xml:space="preserve">is sustainable </w:t>
      </w:r>
      <w:r w:rsidR="00133AE0">
        <w:t xml:space="preserve">within the existing digital </w:t>
      </w:r>
      <w:r w:rsidR="00133AE0" w:rsidRPr="00342D18">
        <w:t xml:space="preserve">architecture </w:t>
      </w:r>
      <w:r w:rsidR="00133AE0">
        <w:t xml:space="preserve">and </w:t>
      </w:r>
      <w:r w:rsidR="000D592C">
        <w:t>technical capability</w:t>
      </w:r>
      <w:r w:rsidR="00133AE0">
        <w:t>.</w:t>
      </w:r>
    </w:p>
    <w:p w14:paraId="48395E64" w14:textId="1223B309" w:rsidR="00133AE0" w:rsidRDefault="00133AE0" w:rsidP="00C3178F">
      <w:pPr>
        <w:pStyle w:val="Bullet1"/>
        <w:ind w:left="284"/>
      </w:pPr>
      <w:r>
        <w:t xml:space="preserve">Appropriate training and </w:t>
      </w:r>
      <w:r w:rsidR="00EA7386">
        <w:t xml:space="preserve">ongoing </w:t>
      </w:r>
      <w:r>
        <w:t xml:space="preserve">monitoring are provided to ensure </w:t>
      </w:r>
      <w:r w:rsidR="00EA7386">
        <w:t xml:space="preserve">safe and effective use by </w:t>
      </w:r>
      <w:r>
        <w:t xml:space="preserve">the </w:t>
      </w:r>
      <w:r w:rsidR="0076260D">
        <w:t>workforce.</w:t>
      </w:r>
      <w:r>
        <w:t xml:space="preserve"> </w:t>
      </w:r>
    </w:p>
    <w:p w14:paraId="473380A6" w14:textId="441718DE" w:rsidR="00FD3653" w:rsidRDefault="00AC47F0" w:rsidP="00C3178F">
      <w:pPr>
        <w:pStyle w:val="Bullet1"/>
        <w:ind w:left="284"/>
      </w:pPr>
      <w:r>
        <w:t>The u</w:t>
      </w:r>
      <w:r w:rsidR="00FD3653">
        <w:t xml:space="preserve">se of AI </w:t>
      </w:r>
      <w:r w:rsidR="00EA7386">
        <w:t>complies with</w:t>
      </w:r>
      <w:r w:rsidR="00FD3653">
        <w:t xml:space="preserve"> the </w:t>
      </w:r>
      <w:hyperlink r:id="rId19" w:history="1">
        <w:r w:rsidR="00FD3653" w:rsidRPr="00FD668F">
          <w:rPr>
            <w:rStyle w:val="Hyperlink"/>
          </w:rPr>
          <w:t>Commonwealth’s 2022 AI Ethics Principles</w:t>
        </w:r>
      </w:hyperlink>
      <w:r w:rsidR="00FD3653" w:rsidRPr="00C3178F">
        <w:rPr>
          <w:vertAlign w:val="superscript"/>
        </w:rPr>
        <w:footnoteReference w:id="5"/>
      </w:r>
      <w:r w:rsidR="00FD3653">
        <w:t xml:space="preserve">. </w:t>
      </w:r>
    </w:p>
    <w:p w14:paraId="21A25159" w14:textId="09F89EB2" w:rsidR="000576AC" w:rsidRDefault="0094019E" w:rsidP="00957873">
      <w:pPr>
        <w:pStyle w:val="Heading2"/>
      </w:pPr>
      <w:r>
        <w:t xml:space="preserve">Triage </w:t>
      </w:r>
      <w:r w:rsidR="00D64C77">
        <w:t>a</w:t>
      </w:r>
      <w:r w:rsidR="000576AC">
        <w:t xml:space="preserve">ssessment </w:t>
      </w:r>
      <w:r w:rsidR="00B851E1">
        <w:t>for</w:t>
      </w:r>
      <w:r w:rsidR="000576AC">
        <w:t xml:space="preserve"> </w:t>
      </w:r>
      <w:r w:rsidR="000576AC" w:rsidRPr="00957873">
        <w:t>AI</w:t>
      </w:r>
      <w:r w:rsidR="000576AC">
        <w:t xml:space="preserve"> solutions</w:t>
      </w:r>
    </w:p>
    <w:p w14:paraId="0782F32B" w14:textId="63A22A87" w:rsidR="00771DE0" w:rsidRDefault="00E01DBF" w:rsidP="009340FE">
      <w:pPr>
        <w:pStyle w:val="Body"/>
      </w:pPr>
      <w:r>
        <w:t>AI solutions can have a</w:t>
      </w:r>
      <w:r w:rsidR="00E4560C" w:rsidRPr="00E4560C">
        <w:t xml:space="preserve"> wide range of clinical, operational, ethical and organisational impacts.</w:t>
      </w:r>
      <w:r w:rsidR="00E4560C">
        <w:t xml:space="preserve"> </w:t>
      </w:r>
      <w:r w:rsidR="004C488F" w:rsidRPr="004C488F">
        <w:t>Given the growing number of available AI-enabled solutions, and the resources required to undertake a full governance assessment, health services are encouraged to adopt a triage-based approach.</w:t>
      </w:r>
    </w:p>
    <w:p w14:paraId="586FF3A4" w14:textId="37C3A394" w:rsidR="001705DD" w:rsidRDefault="001705DD" w:rsidP="009340FE">
      <w:pPr>
        <w:pStyle w:val="Body"/>
      </w:pPr>
      <w:r w:rsidRPr="001705DD">
        <w:t>The triage process is intended to be the first formal governance step for proposed AI solutions and supports safe and proportionate oversight by enabling health services to determine whether a solution should proceed. Where a solution is suitable to proceed, the triage process supports right</w:t>
      </w:r>
      <w:r w:rsidRPr="001705DD">
        <w:rPr>
          <w:rFonts w:ascii="Cambria Math" w:hAnsi="Cambria Math" w:cs="Cambria Math"/>
        </w:rPr>
        <w:t>‑</w:t>
      </w:r>
      <w:r w:rsidRPr="001705DD">
        <w:t>fitting governance effort to the solution</w:t>
      </w:r>
      <w:r w:rsidRPr="001705DD">
        <w:rPr>
          <w:rFonts w:cs="Arial"/>
        </w:rPr>
        <w:t>’</w:t>
      </w:r>
      <w:r w:rsidRPr="001705DD">
        <w:t>s intended use, risk profile, complexity, and potential impact, avoiding unnecessary burden for lower</w:t>
      </w:r>
      <w:r w:rsidRPr="001705DD">
        <w:rPr>
          <w:rFonts w:ascii="Cambria Math" w:hAnsi="Cambria Math" w:cs="Cambria Math"/>
        </w:rPr>
        <w:t>‑</w:t>
      </w:r>
      <w:r w:rsidRPr="001705DD">
        <w:t xml:space="preserve">risk use cases. </w:t>
      </w:r>
    </w:p>
    <w:p w14:paraId="4CC2AAA1" w14:textId="77777777" w:rsidR="001705DD" w:rsidRPr="001705DD" w:rsidRDefault="001705DD" w:rsidP="001705DD">
      <w:pPr>
        <w:pStyle w:val="Body"/>
      </w:pPr>
      <w:r w:rsidRPr="001705DD">
        <w:t>The outcome of the triage process may include:</w:t>
      </w:r>
    </w:p>
    <w:p w14:paraId="6318CC49" w14:textId="2CD2E7C3" w:rsidR="001705DD" w:rsidRPr="001705DD" w:rsidRDefault="001705DD" w:rsidP="00C3178F">
      <w:pPr>
        <w:pStyle w:val="Bullet1"/>
        <w:ind w:left="284"/>
      </w:pPr>
      <w:r w:rsidRPr="001705DD">
        <w:t xml:space="preserve">a determination that the AI solution should not proceed at this </w:t>
      </w:r>
      <w:r w:rsidR="00A57B02" w:rsidRPr="001705DD">
        <w:t>time.</w:t>
      </w:r>
    </w:p>
    <w:p w14:paraId="4961F8A4" w14:textId="77777777" w:rsidR="001705DD" w:rsidRPr="001705DD" w:rsidRDefault="001705DD" w:rsidP="00C3178F">
      <w:pPr>
        <w:pStyle w:val="Bullet1"/>
        <w:ind w:left="284"/>
      </w:pPr>
      <w:r w:rsidRPr="001705DD">
        <w:t>identification of a limited and targeted set of governance requirements, drawing on existing approval, privacy, cyber security, clinical, or technology governance processes; or</w:t>
      </w:r>
    </w:p>
    <w:p w14:paraId="4E8C898A" w14:textId="77777777" w:rsidR="001705DD" w:rsidRPr="001705DD" w:rsidRDefault="001705DD" w:rsidP="00C3178F">
      <w:pPr>
        <w:pStyle w:val="Bullet1"/>
        <w:ind w:left="284"/>
      </w:pPr>
      <w:r w:rsidRPr="001705DD">
        <w:t>identification of the need for a more extensive, structured governance evaluation prior to implementation.</w:t>
      </w:r>
    </w:p>
    <w:p w14:paraId="1D33DC4B" w14:textId="131BD0E4" w:rsidR="001705DD" w:rsidRDefault="001705DD" w:rsidP="00D82183">
      <w:pPr>
        <w:pStyle w:val="Body"/>
        <w:spacing w:before="120"/>
      </w:pPr>
      <w:r>
        <w:t xml:space="preserve">To support health services in applying a consistent and practical triage approach, two complementary frameworks have been adapted from established </w:t>
      </w:r>
      <w:r w:rsidR="00432D39">
        <w:t>VPHS</w:t>
      </w:r>
      <w:r>
        <w:t xml:space="preserve"> practices:</w:t>
      </w:r>
    </w:p>
    <w:p w14:paraId="6996E809" w14:textId="0BD3A589" w:rsidR="001705DD" w:rsidRDefault="001705DD" w:rsidP="00C3178F">
      <w:pPr>
        <w:pStyle w:val="Bullet1"/>
        <w:ind w:left="284"/>
      </w:pPr>
      <w:r w:rsidRPr="00C3178F">
        <w:rPr>
          <w:b/>
          <w:bCs/>
        </w:rPr>
        <w:t>Appendix 1</w:t>
      </w:r>
      <w:r>
        <w:t xml:space="preserve"> focuses on high</w:t>
      </w:r>
      <w:r w:rsidRPr="00C3178F">
        <w:rPr>
          <w:rFonts w:ascii="Cambria Math" w:hAnsi="Cambria Math" w:cs="Cambria Math"/>
        </w:rPr>
        <w:t>‑</w:t>
      </w:r>
      <w:r>
        <w:t>level considerations relating to value, financial implications, and organisational and technical readiness. Its purpose is to support a rapid determination of whether a proposed AI solution should be progressed for further assessment, or whether it should not proceed at this time.</w:t>
      </w:r>
    </w:p>
    <w:p w14:paraId="63746796" w14:textId="418B5170" w:rsidR="001705DD" w:rsidRPr="000E0F6A" w:rsidRDefault="001705DD" w:rsidP="00C3178F">
      <w:pPr>
        <w:pStyle w:val="Bullet1"/>
        <w:ind w:left="284"/>
      </w:pPr>
      <w:r w:rsidRPr="00C3178F">
        <w:rPr>
          <w:b/>
          <w:bCs/>
        </w:rPr>
        <w:t>Appendix 2</w:t>
      </w:r>
      <w:r>
        <w:t xml:space="preserve"> applies </w:t>
      </w:r>
      <w:r w:rsidR="009049FC">
        <w:t xml:space="preserve">six </w:t>
      </w:r>
      <w:r>
        <w:t>risk</w:t>
      </w:r>
      <w:r w:rsidRPr="00C3178F">
        <w:rPr>
          <w:rFonts w:ascii="Cambria Math" w:hAnsi="Cambria Math" w:cs="Cambria Math"/>
        </w:rPr>
        <w:t>‑</w:t>
      </w:r>
      <w:r>
        <w:t>based questions to assess the potential impact and risk profile of the AI solution. The responses are intended to inform the scope and depth of governance activities required, including whether a more comprehensive, multidisciplinary governance evaluation is appropriate.</w:t>
      </w:r>
    </w:p>
    <w:p w14:paraId="13D6442E" w14:textId="4435827F" w:rsidR="009340FE" w:rsidRPr="00F24E2F" w:rsidRDefault="00014435" w:rsidP="00F24E2F">
      <w:pPr>
        <w:pStyle w:val="Heading2"/>
      </w:pPr>
      <w:r w:rsidRPr="00F24E2F">
        <w:t xml:space="preserve">Minimum Governance </w:t>
      </w:r>
      <w:r w:rsidR="00CA5C8C" w:rsidRPr="00F24E2F">
        <w:t>Components</w:t>
      </w:r>
      <w:r w:rsidRPr="00F24E2F">
        <w:t xml:space="preserve"> </w:t>
      </w:r>
    </w:p>
    <w:p w14:paraId="43F2D5B1" w14:textId="1248455F" w:rsidR="00B543FE" w:rsidRDefault="00F25D33" w:rsidP="00B543FE">
      <w:pPr>
        <w:pStyle w:val="Body"/>
      </w:pPr>
      <w:r>
        <w:t>Irrespective of the level of risk</w:t>
      </w:r>
      <w:r w:rsidR="00932B1E" w:rsidRPr="00957873">
        <w:t>, a minimum governance evaluation must be completed</w:t>
      </w:r>
      <w:r w:rsidR="003B54AA" w:rsidRPr="00957873">
        <w:t xml:space="preserve"> as outlined below</w:t>
      </w:r>
      <w:r>
        <w:t xml:space="preserve"> prior to the implementation of any AI Solution</w:t>
      </w:r>
      <w:r w:rsidR="003B54AA" w:rsidRPr="00957873">
        <w:t>.</w:t>
      </w:r>
      <w:r w:rsidR="00B543FE" w:rsidRPr="00957873">
        <w:t xml:space="preserve"> </w:t>
      </w:r>
      <w:r w:rsidR="004B3F98" w:rsidRPr="00957873">
        <w:t xml:space="preserve">The minimum governance evaluation reflects practices already familiar to </w:t>
      </w:r>
      <w:r w:rsidR="006340FD">
        <w:t>health services</w:t>
      </w:r>
      <w:r w:rsidR="004B3F98" w:rsidRPr="00957873">
        <w:t xml:space="preserve"> in the adoption of digital health technologies. These steps are expected to align with existing technology approval, safety, privacy, cybersecurity, and clinical governance processes and may be embedded within established digital health or technology oversight structures.</w:t>
      </w:r>
    </w:p>
    <w:p w14:paraId="34DFA58A" w14:textId="77777777" w:rsidR="003236D5" w:rsidRDefault="003236D5" w:rsidP="00F24E2F">
      <w:pPr>
        <w:pStyle w:val="Heading3"/>
      </w:pPr>
      <w:r>
        <w:lastRenderedPageBreak/>
        <w:t>Value, benefit and risk</w:t>
      </w:r>
    </w:p>
    <w:p w14:paraId="02DE61F9" w14:textId="77777777" w:rsidR="003236D5" w:rsidRDefault="003236D5" w:rsidP="003236D5">
      <w:pPr>
        <w:pStyle w:val="Body"/>
      </w:pPr>
      <w:r w:rsidRPr="270A0E68">
        <w:t xml:space="preserve">The value of adopting </w:t>
      </w:r>
      <w:r>
        <w:t xml:space="preserve">AI </w:t>
      </w:r>
      <w:r w:rsidRPr="270A0E68">
        <w:t xml:space="preserve">solutions varies </w:t>
      </w:r>
      <w:r>
        <w:t>across</w:t>
      </w:r>
      <w:r w:rsidRPr="270A0E68">
        <w:t xml:space="preserve"> organisation</w:t>
      </w:r>
      <w:r>
        <w:t>s</w:t>
      </w:r>
      <w:r w:rsidRPr="270A0E68">
        <w:t>, specialt</w:t>
      </w:r>
      <w:r>
        <w:t>ies</w:t>
      </w:r>
      <w:r w:rsidRPr="270A0E68">
        <w:t xml:space="preserve">, and </w:t>
      </w:r>
      <w:r>
        <w:t>individual use cases</w:t>
      </w:r>
      <w:r w:rsidRPr="270A0E68">
        <w:t xml:space="preserve">. </w:t>
      </w:r>
      <w:r>
        <w:t xml:space="preserve">While some AI </w:t>
      </w:r>
      <w:r w:rsidRPr="270A0E68">
        <w:t xml:space="preserve">solutions </w:t>
      </w:r>
      <w:r>
        <w:t>are highly promoted, health services should be able to</w:t>
      </w:r>
      <w:r w:rsidRPr="270A0E68">
        <w:t xml:space="preserve"> demonstrate </w:t>
      </w:r>
      <w:r>
        <w:t xml:space="preserve">their actual </w:t>
      </w:r>
      <w:r w:rsidRPr="270A0E68">
        <w:t>benefit</w:t>
      </w:r>
      <w:r>
        <w:t xml:space="preserve"> and </w:t>
      </w:r>
      <w:r w:rsidRPr="270A0E68">
        <w:t xml:space="preserve">value. </w:t>
      </w:r>
    </w:p>
    <w:p w14:paraId="286141D5" w14:textId="58DADEB4" w:rsidR="003236D5" w:rsidRDefault="003236D5" w:rsidP="003236D5">
      <w:pPr>
        <w:pStyle w:val="Body"/>
      </w:pPr>
      <w:r>
        <w:t>Before</w:t>
      </w:r>
      <w:r w:rsidRPr="270A0E68">
        <w:t xml:space="preserve"> implement</w:t>
      </w:r>
      <w:r>
        <w:t>ing an AI solution</w:t>
      </w:r>
      <w:r w:rsidRPr="270A0E68">
        <w:t xml:space="preserve">, </w:t>
      </w:r>
      <w:r w:rsidR="006340FD">
        <w:t>health services</w:t>
      </w:r>
      <w:r w:rsidRPr="270A0E68">
        <w:t xml:space="preserve"> should</w:t>
      </w:r>
      <w:r>
        <w:t>:</w:t>
      </w:r>
    </w:p>
    <w:p w14:paraId="362760F3" w14:textId="77777777" w:rsidR="003236D5" w:rsidRDefault="003236D5" w:rsidP="003236D5">
      <w:pPr>
        <w:pStyle w:val="Bullet1"/>
        <w:ind w:left="284"/>
      </w:pPr>
      <w:r>
        <w:t>E</w:t>
      </w:r>
      <w:r w:rsidRPr="270A0E68">
        <w:t xml:space="preserve">stablish clear </w:t>
      </w:r>
      <w:r>
        <w:t xml:space="preserve">objectives, evaluation </w:t>
      </w:r>
      <w:r w:rsidRPr="270A0E68">
        <w:t xml:space="preserve">criteria and metrics </w:t>
      </w:r>
      <w:r>
        <w:t xml:space="preserve">to </w:t>
      </w:r>
      <w:r w:rsidRPr="270A0E68">
        <w:t>evaluat</w:t>
      </w:r>
      <w:r>
        <w:t>e</w:t>
      </w:r>
      <w:r w:rsidRPr="270A0E68">
        <w:t xml:space="preserve"> the impact</w:t>
      </w:r>
      <w:r>
        <w:t xml:space="preserve">, </w:t>
      </w:r>
      <w:r w:rsidRPr="270A0E68">
        <w:t>effectiveness</w:t>
      </w:r>
      <w:r>
        <w:t xml:space="preserve"> and safety</w:t>
      </w:r>
      <w:r w:rsidRPr="270A0E68">
        <w:t xml:space="preserve"> of the </w:t>
      </w:r>
      <w:r>
        <w:t xml:space="preserve">AI </w:t>
      </w:r>
      <w:r w:rsidRPr="270A0E68">
        <w:t>solution</w:t>
      </w:r>
      <w:r>
        <w:t>.</w:t>
      </w:r>
    </w:p>
    <w:p w14:paraId="1FBF0938" w14:textId="77777777" w:rsidR="003236D5" w:rsidRDefault="003236D5" w:rsidP="003236D5">
      <w:pPr>
        <w:pStyle w:val="Bullet1"/>
        <w:ind w:left="284"/>
      </w:pPr>
      <w:r>
        <w:t>E</w:t>
      </w:r>
      <w:r w:rsidRPr="270A0E68">
        <w:t xml:space="preserve">nsure ongoing investment </w:t>
      </w:r>
      <w:r>
        <w:t xml:space="preserve">is </w:t>
      </w:r>
      <w:r w:rsidRPr="270A0E68">
        <w:t>justified</w:t>
      </w:r>
      <w:r>
        <w:t xml:space="preserve"> through measurable clinical, operational or system-level outcomes. </w:t>
      </w:r>
    </w:p>
    <w:p w14:paraId="7ED172FF" w14:textId="77777777" w:rsidR="003236D5" w:rsidRDefault="003236D5" w:rsidP="003236D5">
      <w:pPr>
        <w:pStyle w:val="Bullet1"/>
        <w:ind w:left="284"/>
      </w:pPr>
      <w:r>
        <w:t>Apply appropriate and robust evaluation or research methodologies to assess and quantify value prior to scaling into routine use.</w:t>
      </w:r>
    </w:p>
    <w:p w14:paraId="44358FAE" w14:textId="77777777" w:rsidR="003236D5" w:rsidRDefault="003236D5" w:rsidP="003236D5">
      <w:pPr>
        <w:pStyle w:val="Bullet1"/>
        <w:ind w:left="284"/>
      </w:pPr>
      <w:r w:rsidRPr="001C05F6">
        <w:t>Evaluate each use case to ensure the AI solution is fit for purpose for the specific clinical, operational, and population context in which it will be used.</w:t>
      </w:r>
    </w:p>
    <w:p w14:paraId="55D5E78B" w14:textId="69067410" w:rsidR="003236D5" w:rsidRDefault="0097730B" w:rsidP="003236D5">
      <w:pPr>
        <w:pStyle w:val="Bullet1"/>
        <w:ind w:left="284"/>
      </w:pPr>
      <w:r>
        <w:t>Ensure</w:t>
      </w:r>
      <w:r w:rsidR="003236D5" w:rsidRPr="00FE6760">
        <w:t xml:space="preserve"> data inputs and variables, including proxy variables, are appropriate for the intended use case and do not introduce unintended bias, safety, or equity risks.</w:t>
      </w:r>
    </w:p>
    <w:p w14:paraId="5D8833BA" w14:textId="6FD8E1CF" w:rsidR="002E49EB" w:rsidRDefault="002E49EB" w:rsidP="003236D5">
      <w:pPr>
        <w:pStyle w:val="Bullet1"/>
        <w:ind w:left="284"/>
      </w:pPr>
      <w:r w:rsidRPr="002E49EB">
        <w:t xml:space="preserve">Ensure evaluation includes consideration of performance and safety for diverse populations, including Aboriginal and Torres Strait Islander peoples where relevant. Where evidence is limited or not applicable to the Victorian context, local validation and bias assessment </w:t>
      </w:r>
      <w:r w:rsidR="00A33603">
        <w:t>(for example</w:t>
      </w:r>
      <w:r w:rsidR="006E1EF2">
        <w:t>,</w:t>
      </w:r>
      <w:r w:rsidR="00A33603">
        <w:t xml:space="preserve"> </w:t>
      </w:r>
      <w:r w:rsidR="003E260D">
        <w:t xml:space="preserve">with </w:t>
      </w:r>
      <w:r w:rsidR="00343FD1">
        <w:t xml:space="preserve">Aboriginal </w:t>
      </w:r>
      <w:proofErr w:type="gramStart"/>
      <w:r w:rsidR="00E4704F">
        <w:t>c</w:t>
      </w:r>
      <w:r w:rsidR="00083962">
        <w:t xml:space="preserve">ommunity </w:t>
      </w:r>
      <w:r w:rsidR="00E4704F">
        <w:t>c</w:t>
      </w:r>
      <w:r w:rsidR="00343FD1">
        <w:t>ontrolled</w:t>
      </w:r>
      <w:proofErr w:type="gramEnd"/>
      <w:r w:rsidR="00343FD1">
        <w:t xml:space="preserve"> </w:t>
      </w:r>
      <w:r w:rsidR="00083962">
        <w:t xml:space="preserve">organisations) </w:t>
      </w:r>
      <w:r w:rsidRPr="002E49EB">
        <w:t>should be undertaken prior to scaling into routine use.</w:t>
      </w:r>
    </w:p>
    <w:p w14:paraId="0A209777" w14:textId="77777777" w:rsidR="003236D5" w:rsidRDefault="003236D5" w:rsidP="003236D5">
      <w:pPr>
        <w:pStyle w:val="Bullet1"/>
        <w:ind w:left="284"/>
      </w:pPr>
      <w:r>
        <w:t xml:space="preserve">Exercise caution when adopting AI solutions proven in other health services, jurisdictions, or industries without local validation and risk assessment. </w:t>
      </w:r>
    </w:p>
    <w:p w14:paraId="270BFEB9" w14:textId="0A22936A" w:rsidR="00014435" w:rsidRDefault="00014435" w:rsidP="00F24E2F">
      <w:pPr>
        <w:pStyle w:val="Heading3"/>
      </w:pPr>
      <w:r w:rsidRPr="008B692F">
        <w:t xml:space="preserve">Privacy </w:t>
      </w:r>
      <w:r w:rsidR="00D64C77">
        <w:t>i</w:t>
      </w:r>
      <w:r w:rsidRPr="008B692F">
        <w:t xml:space="preserve">mpact </w:t>
      </w:r>
      <w:r w:rsidR="00D64C77">
        <w:t>a</w:t>
      </w:r>
      <w:r w:rsidRPr="008B692F">
        <w:t>ssessment</w:t>
      </w:r>
      <w:r>
        <w:t>s</w:t>
      </w:r>
    </w:p>
    <w:p w14:paraId="4098037D" w14:textId="0E8CED0A" w:rsidR="00E243C3" w:rsidRDefault="00453AB0" w:rsidP="00014435">
      <w:pPr>
        <w:pStyle w:val="Body"/>
      </w:pPr>
      <w:r>
        <w:t>H</w:t>
      </w:r>
      <w:r w:rsidR="00E243C3" w:rsidRPr="00E243C3">
        <w:t xml:space="preserve">ealth services </w:t>
      </w:r>
      <w:r w:rsidR="007E274B">
        <w:t>should</w:t>
      </w:r>
      <w:r w:rsidR="00E243C3" w:rsidRPr="00E243C3">
        <w:t xml:space="preserve"> undertake a threshold assessment to determine whether a Privacy Impact Assessment (PIA) is required. Given the potential for AI solutions to involve large volumes of personal, sensitive, or health information, health services are strongly encouraged to apply a low threshold when deciding to undertake a PIA.</w:t>
      </w:r>
      <w:r w:rsidR="00610FB0">
        <w:t xml:space="preserve"> </w:t>
      </w:r>
      <w:r w:rsidR="00610FB0" w:rsidRPr="00610FB0">
        <w:t>Data used in AI solutions that is de</w:t>
      </w:r>
      <w:r w:rsidR="00610FB0" w:rsidRPr="00610FB0">
        <w:rPr>
          <w:rFonts w:ascii="Cambria Math" w:hAnsi="Cambria Math" w:cs="Cambria Math"/>
        </w:rPr>
        <w:t>‑</w:t>
      </w:r>
      <w:r w:rsidR="00610FB0" w:rsidRPr="00610FB0">
        <w:t>identified or pseudonymised may still present a risk of re</w:t>
      </w:r>
      <w:r w:rsidR="00610FB0" w:rsidRPr="00610FB0">
        <w:rPr>
          <w:rFonts w:ascii="Cambria Math" w:hAnsi="Cambria Math" w:cs="Cambria Math"/>
        </w:rPr>
        <w:t>‑</w:t>
      </w:r>
      <w:r w:rsidR="00610FB0" w:rsidRPr="00610FB0">
        <w:t>identification</w:t>
      </w:r>
      <w:r w:rsidR="00981AF3">
        <w:t xml:space="preserve"> and t</w:t>
      </w:r>
      <w:r w:rsidR="00610FB0" w:rsidRPr="00610FB0">
        <w:t xml:space="preserve">his risk should be considered </w:t>
      </w:r>
      <w:r w:rsidR="00981AF3">
        <w:t>as part of the threshold assessment</w:t>
      </w:r>
      <w:r w:rsidR="00610FB0" w:rsidRPr="00610FB0">
        <w:t>.</w:t>
      </w:r>
    </w:p>
    <w:p w14:paraId="1237B755" w14:textId="02B24A0F" w:rsidR="00014435" w:rsidRDefault="00F20E70" w:rsidP="00014435">
      <w:pPr>
        <w:pStyle w:val="Body"/>
      </w:pPr>
      <w:r>
        <w:t xml:space="preserve">Where a PIA is completed, health services are encouraged to </w:t>
      </w:r>
      <w:r w:rsidR="00014435" w:rsidRPr="009E6325">
        <w:t xml:space="preserve">share their completed </w:t>
      </w:r>
      <w:r w:rsidR="003B3206">
        <w:t>assessments</w:t>
      </w:r>
      <w:r w:rsidR="00014435" w:rsidRPr="009E6325">
        <w:t xml:space="preserve"> with the department, which can serve as a reference for other health services to adapt to their specific needs.</w:t>
      </w:r>
    </w:p>
    <w:p w14:paraId="116A0729" w14:textId="1B2BB303" w:rsidR="001769A0" w:rsidRDefault="00C07041" w:rsidP="00014435">
      <w:pPr>
        <w:pStyle w:val="Body"/>
      </w:pPr>
      <w:r w:rsidRPr="00D92005">
        <w:t>Co</w:t>
      </w:r>
      <w:r>
        <w:t>nducting</w:t>
      </w:r>
      <w:r w:rsidRPr="00D92005">
        <w:t xml:space="preserve"> </w:t>
      </w:r>
      <w:r w:rsidR="00014435" w:rsidRPr="00D92005">
        <w:t xml:space="preserve">a PIA allows health services to proactively identify and </w:t>
      </w:r>
      <w:r>
        <w:t>mitigate</w:t>
      </w:r>
      <w:r w:rsidRPr="00D92005">
        <w:t xml:space="preserve"> </w:t>
      </w:r>
      <w:r w:rsidR="00014435" w:rsidRPr="00D92005">
        <w:t xml:space="preserve">potential privacy risks associated with the </w:t>
      </w:r>
      <w:r w:rsidR="00633ADC">
        <w:t>use</w:t>
      </w:r>
      <w:r w:rsidR="00633ADC" w:rsidRPr="00D92005">
        <w:t xml:space="preserve"> </w:t>
      </w:r>
      <w:r w:rsidR="00014435" w:rsidRPr="00D92005">
        <w:t xml:space="preserve">of AI </w:t>
      </w:r>
      <w:r w:rsidR="00014435">
        <w:t>solutions</w:t>
      </w:r>
      <w:r w:rsidR="00014435" w:rsidRPr="00D92005">
        <w:t>. A PIA ensures the health service is aware of the ways in which personal information is collected, used, and store</w:t>
      </w:r>
      <w:r w:rsidR="00283582">
        <w:t>d,</w:t>
      </w:r>
      <w:r w:rsidR="00014435" w:rsidRPr="00D92005">
        <w:t xml:space="preserve"> </w:t>
      </w:r>
      <w:r w:rsidR="00283582">
        <w:t xml:space="preserve">and assists in </w:t>
      </w:r>
      <w:r w:rsidR="00042AA7">
        <w:t xml:space="preserve">determining if </w:t>
      </w:r>
      <w:r w:rsidR="00014435" w:rsidRPr="00D92005">
        <w:t>appropriate safeguards</w:t>
      </w:r>
      <w:r w:rsidR="0022522D">
        <w:t xml:space="preserve"> are in place</w:t>
      </w:r>
      <w:r w:rsidR="00014435" w:rsidRPr="00D92005">
        <w:t xml:space="preserve"> to protect </w:t>
      </w:r>
      <w:r w:rsidR="009B4A60">
        <w:t>data and information</w:t>
      </w:r>
      <w:r w:rsidR="00014435" w:rsidRPr="00D92005">
        <w:t xml:space="preserve">. </w:t>
      </w:r>
      <w:r w:rsidR="0024215A">
        <w:t>Through this process,</w:t>
      </w:r>
      <w:r w:rsidR="00014435" w:rsidRPr="00D92005">
        <w:t xml:space="preserve"> health services can develop targeted risk mitigation strategies, maintain transparency with patients, and build trust in the use of technology. </w:t>
      </w:r>
    </w:p>
    <w:p w14:paraId="74950906" w14:textId="2B550597" w:rsidR="00481485" w:rsidRDefault="00481485" w:rsidP="00014435">
      <w:pPr>
        <w:pStyle w:val="Body"/>
      </w:pPr>
      <w:r w:rsidRPr="00481485">
        <w:t xml:space="preserve">The PIA process also assists health services to demonstrate compliance with applicable privacy and information handling obligations, including the </w:t>
      </w:r>
      <w:r w:rsidRPr="00385BCD">
        <w:rPr>
          <w:i/>
          <w:iCs/>
        </w:rPr>
        <w:t xml:space="preserve">Privacy and Data Protection Act 2014 (Vic) </w:t>
      </w:r>
      <w:r w:rsidRPr="00481485">
        <w:t xml:space="preserve">and the </w:t>
      </w:r>
      <w:r w:rsidRPr="00385BCD">
        <w:rPr>
          <w:i/>
          <w:iCs/>
        </w:rPr>
        <w:t xml:space="preserve">Health Records Act 2001 (Vic), </w:t>
      </w:r>
      <w:r w:rsidRPr="00481485">
        <w:t>and reduces the likelihood of privacy incidents and associated regulatory, reputational, or clinical impacts.</w:t>
      </w:r>
    </w:p>
    <w:p w14:paraId="3319B080" w14:textId="25146E5C" w:rsidR="00014435" w:rsidRPr="00D1452D" w:rsidRDefault="00014435" w:rsidP="00014435">
      <w:pPr>
        <w:pStyle w:val="Body"/>
        <w:rPr>
          <w:i/>
        </w:rPr>
      </w:pPr>
      <w:r>
        <w:t xml:space="preserve">Guidance on </w:t>
      </w:r>
      <w:r w:rsidR="00870C2E">
        <w:t xml:space="preserve">undertaking a </w:t>
      </w:r>
      <w:r>
        <w:t>PIA</w:t>
      </w:r>
      <w:r w:rsidR="00870C2E">
        <w:t>, including</w:t>
      </w:r>
      <w:r>
        <w:t xml:space="preserve"> a template to undertake an assessment can be found at the Officer for the </w:t>
      </w:r>
      <w:hyperlink r:id="rId20" w:history="1">
        <w:r w:rsidRPr="00202FE8">
          <w:rPr>
            <w:rStyle w:val="Hyperlink"/>
          </w:rPr>
          <w:t>Victorian Information Commissioner website</w:t>
        </w:r>
      </w:hyperlink>
      <w:r w:rsidR="00202FE8">
        <w:rPr>
          <w:rStyle w:val="FootnoteReference"/>
          <w:i/>
        </w:rPr>
        <w:footnoteReference w:id="6"/>
      </w:r>
    </w:p>
    <w:p w14:paraId="7B94DDA9" w14:textId="59F4F183" w:rsidR="00014435" w:rsidRDefault="00014435" w:rsidP="00F24E2F">
      <w:pPr>
        <w:pStyle w:val="Heading3"/>
      </w:pPr>
      <w:r>
        <w:lastRenderedPageBreak/>
        <w:t xml:space="preserve">Cyber </w:t>
      </w:r>
      <w:r w:rsidR="00D64C77">
        <w:t>s</w:t>
      </w:r>
      <w:r>
        <w:t xml:space="preserve">ecurity </w:t>
      </w:r>
    </w:p>
    <w:p w14:paraId="5B161793" w14:textId="04B70766" w:rsidR="003313D9" w:rsidRDefault="00014435" w:rsidP="00014435">
      <w:pPr>
        <w:pStyle w:val="Body"/>
      </w:pPr>
      <w:r w:rsidRPr="00961C1F">
        <w:t xml:space="preserve">Health services </w:t>
      </w:r>
      <w:r w:rsidR="00455DB5">
        <w:t>should</w:t>
      </w:r>
      <w:r w:rsidRPr="00961C1F">
        <w:t xml:space="preserve"> apply a standards-based approach to cyber and information security</w:t>
      </w:r>
      <w:r w:rsidR="00246C7B">
        <w:t xml:space="preserve"> in the implementation and operation of AI solutions. This </w:t>
      </w:r>
      <w:r w:rsidRPr="00961C1F">
        <w:t>includ</w:t>
      </w:r>
      <w:r w:rsidR="00246C7B">
        <w:t>es</w:t>
      </w:r>
      <w:r w:rsidRPr="00961C1F">
        <w:t xml:space="preserve"> adherence to the </w:t>
      </w:r>
      <w:r w:rsidR="009B4D01">
        <w:t>D</w:t>
      </w:r>
      <w:r w:rsidRPr="00961C1F">
        <w:t>epartment</w:t>
      </w:r>
      <w:r w:rsidR="009B4D01">
        <w:t xml:space="preserve"> of Health’s</w:t>
      </w:r>
      <w:r w:rsidRPr="00961C1F">
        <w:t xml:space="preserve"> Health Sector Cybersecurity Baseline Controls. </w:t>
      </w:r>
    </w:p>
    <w:p w14:paraId="1908A152" w14:textId="54040C08" w:rsidR="00014435" w:rsidRDefault="00014435" w:rsidP="00014435">
      <w:pPr>
        <w:pStyle w:val="Body"/>
      </w:pPr>
      <w:r w:rsidRPr="00961C1F">
        <w:t>Aligned with these controls, health services must</w:t>
      </w:r>
      <w:r w:rsidR="00ED4C9C" w:rsidRPr="00ED4C9C">
        <w:t xml:space="preserve"> ensure that all personal, sensitive, and health information associated with AI solutions is appropriately protected throughout its lifecycle, including when data is stored, transmitted, accessed remotely, or processed using cloud</w:t>
      </w:r>
      <w:r w:rsidR="00ED4C9C" w:rsidRPr="00ED4C9C">
        <w:rPr>
          <w:rFonts w:ascii="Cambria Math" w:hAnsi="Cambria Math" w:cs="Cambria Math"/>
        </w:rPr>
        <w:t>‑</w:t>
      </w:r>
      <w:r w:rsidR="00ED4C9C" w:rsidRPr="00ED4C9C">
        <w:t>based services.</w:t>
      </w:r>
    </w:p>
    <w:p w14:paraId="0D88D287" w14:textId="72C9BDA2" w:rsidR="00C538FC" w:rsidRDefault="00C538FC" w:rsidP="00014435">
      <w:pPr>
        <w:pStyle w:val="Body"/>
      </w:pPr>
      <w:r w:rsidRPr="00C538FC">
        <w:t xml:space="preserve">Health services </w:t>
      </w:r>
      <w:r w:rsidR="009E7578">
        <w:t>should</w:t>
      </w:r>
      <w:r w:rsidRPr="00C538FC">
        <w:t xml:space="preserve"> ensure that AI solutions are explicitly incorporated into existing cyber security and incident response Standard Operating Procedures (SOPs). This includes defined procedures for the identification, reporting, escalation, investigation, and resolution of AI</w:t>
      </w:r>
      <w:r w:rsidRPr="00C538FC">
        <w:noBreakHyphen/>
        <w:t>related security incidents or data breaches, including those involving unauthorised access, data leakage, unintended data use, or compromise of AI models or supporting infrastructure.</w:t>
      </w:r>
    </w:p>
    <w:p w14:paraId="038A65F1" w14:textId="240D2C7C" w:rsidR="00917C98" w:rsidRPr="00961C1F" w:rsidRDefault="00917C98" w:rsidP="00014435">
      <w:pPr>
        <w:pStyle w:val="Body"/>
      </w:pPr>
      <w:r w:rsidRPr="00917C98">
        <w:t xml:space="preserve">Health services must </w:t>
      </w:r>
      <w:r>
        <w:t xml:space="preserve">also </w:t>
      </w:r>
      <w:r w:rsidRPr="00917C98">
        <w:t>ensure that vendors supplying AI solutions comply with Victorian public sector cyber security requirements and do not utilise any third</w:t>
      </w:r>
      <w:r w:rsidRPr="00917C98">
        <w:rPr>
          <w:rFonts w:ascii="Cambria Math" w:hAnsi="Cambria Math" w:cs="Cambria Math"/>
        </w:rPr>
        <w:t>‑</w:t>
      </w:r>
      <w:r w:rsidRPr="00917C98">
        <w:t>party services or platforms that are prohibited for use within the Victorian public sector.</w:t>
      </w:r>
    </w:p>
    <w:p w14:paraId="4FB544DB" w14:textId="77777777" w:rsidR="00014435" w:rsidRDefault="00014435" w:rsidP="00F24E2F">
      <w:pPr>
        <w:pStyle w:val="Heading3"/>
      </w:pPr>
      <w:r w:rsidRPr="00FF1455">
        <w:t xml:space="preserve">Data </w:t>
      </w:r>
      <w:r>
        <w:t>g</w:t>
      </w:r>
      <w:r w:rsidRPr="00FF1455">
        <w:t xml:space="preserve">overnance </w:t>
      </w:r>
    </w:p>
    <w:p w14:paraId="781F634A" w14:textId="7E126046" w:rsidR="00014435" w:rsidRDefault="00014435" w:rsidP="00014435">
      <w:pPr>
        <w:pStyle w:val="Body"/>
      </w:pPr>
      <w:r>
        <w:t xml:space="preserve">In accordance with </w:t>
      </w:r>
      <w:r w:rsidRPr="270A0E68">
        <w:rPr>
          <w:i/>
          <w:iCs/>
        </w:rPr>
        <w:t>Health Records Act 2001 (Vic)</w:t>
      </w:r>
      <w:r w:rsidRPr="270A0E68">
        <w:t xml:space="preserve"> </w:t>
      </w:r>
      <w:r>
        <w:t xml:space="preserve">and </w:t>
      </w:r>
      <w:r w:rsidRPr="270A0E68">
        <w:rPr>
          <w:i/>
          <w:iCs/>
        </w:rPr>
        <w:t>Privacy and Data Protection Act 2014 (Vic)</w:t>
      </w:r>
      <w:r>
        <w:t xml:space="preserve">, health services should prioritise AI solutions that store and process data in Australia. </w:t>
      </w:r>
      <w:r w:rsidR="006A31D6" w:rsidRPr="006A31D6">
        <w:t>Where data is stored or processed overseas, health services must ensure that equivalent privacy and security protections are applied, consistent with Australian Privacy Principle 8, including appropriate contractual and technical safeguards.</w:t>
      </w:r>
    </w:p>
    <w:p w14:paraId="4AEC120C" w14:textId="77777777" w:rsidR="00F472F2" w:rsidRDefault="00F472F2" w:rsidP="00F472F2">
      <w:pPr>
        <w:pStyle w:val="Body"/>
      </w:pPr>
      <w:r w:rsidRPr="00697913">
        <w:t xml:space="preserve">Data </w:t>
      </w:r>
      <w:r>
        <w:t>shared with</w:t>
      </w:r>
      <w:r w:rsidRPr="00697913">
        <w:t xml:space="preserve"> AI solutions should be limited to what is necessary to support the intended clinical or operational workflow. Non</w:t>
      </w:r>
      <w:r w:rsidRPr="00697913">
        <w:rPr>
          <w:rFonts w:ascii="Cambria Math" w:hAnsi="Cambria Math" w:cs="Cambria Math"/>
        </w:rPr>
        <w:t>‑</w:t>
      </w:r>
      <w:r w:rsidRPr="00697913">
        <w:t>essential artefacts created during the operation of an AI solution should be discarded as soon as practicable and managed in accordance with organisational data retention and disposal policies. Health services should work with vendors to ensure that data retention and disposal requirements are clearly defined and enforceable within vendor contracts. Under no circumstances should vendors be permitted to sell</w:t>
      </w:r>
      <w:r>
        <w:t xml:space="preserve"> or</w:t>
      </w:r>
      <w:r w:rsidRPr="00697913">
        <w:t xml:space="preserve"> on</w:t>
      </w:r>
      <w:r w:rsidRPr="00697913">
        <w:rPr>
          <w:rFonts w:ascii="Cambria Math" w:hAnsi="Cambria Math" w:cs="Cambria Math"/>
        </w:rPr>
        <w:t>‑</w:t>
      </w:r>
      <w:r w:rsidRPr="00697913">
        <w:t>sell</w:t>
      </w:r>
      <w:r>
        <w:t xml:space="preserve"> </w:t>
      </w:r>
      <w:r w:rsidRPr="00697913">
        <w:t>health service data.</w:t>
      </w:r>
    </w:p>
    <w:p w14:paraId="00E2D2D1" w14:textId="202A3910" w:rsidR="00A108ED" w:rsidRPr="00721541" w:rsidRDefault="00812AA9" w:rsidP="00014435">
      <w:pPr>
        <w:pStyle w:val="Body"/>
      </w:pPr>
      <w:r w:rsidRPr="00812AA9">
        <w:t xml:space="preserve">Health services must ensure AI solutions comply with Indigenous data </w:t>
      </w:r>
      <w:r w:rsidR="00B706B8">
        <w:t>governance practices,</w:t>
      </w:r>
      <w:r w:rsidRPr="00812AA9">
        <w:t xml:space="preserve"> including appropriate arrangements that recognise Aboriginal control over the collection, access, use and application of </w:t>
      </w:r>
      <w:r w:rsidR="00807DE6" w:rsidRPr="00812AA9">
        <w:t>data</w:t>
      </w:r>
      <w:r w:rsidR="007E4C23">
        <w:t>.</w:t>
      </w:r>
      <w:r w:rsidR="00807DE6" w:rsidRPr="00812AA9">
        <w:t xml:space="preserve"> The</w:t>
      </w:r>
      <w:r w:rsidR="00AC074D">
        <w:t xml:space="preserve"> </w:t>
      </w:r>
      <w:hyperlink r:id="rId21" w:history="1">
        <w:r w:rsidR="00AC074D" w:rsidRPr="00E0317D">
          <w:rPr>
            <w:rStyle w:val="Hyperlink"/>
          </w:rPr>
          <w:t>National Indigenous Australians Agency (NIAA)</w:t>
        </w:r>
        <w:r w:rsidR="00047CC7" w:rsidRPr="00E0317D">
          <w:rPr>
            <w:rStyle w:val="Hyperlink"/>
          </w:rPr>
          <w:t xml:space="preserve"> </w:t>
        </w:r>
        <w:r w:rsidR="0004237A" w:rsidRPr="00E0317D">
          <w:rPr>
            <w:rStyle w:val="Hyperlink"/>
          </w:rPr>
          <w:t>Framework for Governance of Indigenous Data</w:t>
        </w:r>
      </w:hyperlink>
      <w:r w:rsidR="00E0317D">
        <w:rPr>
          <w:rStyle w:val="FootnoteReference"/>
        </w:rPr>
        <w:footnoteReference w:id="7"/>
      </w:r>
      <w:r w:rsidR="00AC074D">
        <w:t xml:space="preserve"> provides further information on the expectation</w:t>
      </w:r>
      <w:r w:rsidR="00AC7CF5">
        <w:t>s</w:t>
      </w:r>
      <w:r w:rsidR="00AC074D">
        <w:t xml:space="preserve"> and frameworks </w:t>
      </w:r>
      <w:r w:rsidR="00080985">
        <w:t xml:space="preserve">to support appropriate </w:t>
      </w:r>
      <w:r w:rsidR="0037108D">
        <w:t>I</w:t>
      </w:r>
      <w:r w:rsidR="00080985" w:rsidRPr="00FA1409">
        <w:t xml:space="preserve">ndigenous data sovereignty </w:t>
      </w:r>
      <w:r w:rsidR="00080985">
        <w:t xml:space="preserve">in public services. </w:t>
      </w:r>
    </w:p>
    <w:p w14:paraId="614C446C" w14:textId="07BC182D" w:rsidR="00014435" w:rsidRPr="00AF4A28" w:rsidRDefault="00A05766" w:rsidP="00014435">
      <w:pPr>
        <w:pStyle w:val="Body"/>
      </w:pPr>
      <w:r>
        <w:t>H</w:t>
      </w:r>
      <w:r w:rsidR="00014435" w:rsidRPr="270A0E68">
        <w:t xml:space="preserve">ealth services </w:t>
      </w:r>
      <w:r w:rsidR="00EB26EC">
        <w:t xml:space="preserve">should not </w:t>
      </w:r>
      <w:r w:rsidR="00C947CA">
        <w:t>routinely</w:t>
      </w:r>
      <w:r w:rsidR="00EB26EC">
        <w:t xml:space="preserve"> permit</w:t>
      </w:r>
      <w:r w:rsidR="00014435" w:rsidRPr="270A0E68">
        <w:t xml:space="preserve"> vendors to use patient data</w:t>
      </w:r>
      <w:r w:rsidR="00771156">
        <w:t>,</w:t>
      </w:r>
      <w:r w:rsidR="00014435" w:rsidRPr="270A0E68">
        <w:t xml:space="preserve"> </w:t>
      </w:r>
      <w:r w:rsidR="00771156" w:rsidRPr="00771156">
        <w:t>including de</w:t>
      </w:r>
      <w:r w:rsidR="00771156" w:rsidRPr="00771156">
        <w:rPr>
          <w:rFonts w:ascii="Cambria Math" w:hAnsi="Cambria Math" w:cs="Cambria Math"/>
        </w:rPr>
        <w:t>‑</w:t>
      </w:r>
      <w:r w:rsidR="00771156" w:rsidRPr="00771156">
        <w:t xml:space="preserve">identified or pseudonymised data, for the purpose of training or retraining AI models. </w:t>
      </w:r>
      <w:r w:rsidR="001E7F3C" w:rsidRPr="001E7F3C">
        <w:t xml:space="preserve">Such use should only be considered in circumstances where there </w:t>
      </w:r>
      <w:proofErr w:type="gramStart"/>
      <w:r w:rsidR="001E7F3C" w:rsidRPr="001E7F3C">
        <w:t>is</w:t>
      </w:r>
      <w:proofErr w:type="gramEnd"/>
      <w:r w:rsidR="001E7F3C" w:rsidRPr="001E7F3C">
        <w:t xml:space="preserve"> a clear public or clinical benefit, explicit governance approval, and appropriate contractual, technical, and ethical safeguards in place.</w:t>
      </w:r>
      <w:r w:rsidR="001E7F3C" w:rsidRPr="001E7F3C" w:rsidDel="00771156">
        <w:t xml:space="preserve"> </w:t>
      </w:r>
      <w:r w:rsidR="001F0C93">
        <w:t>Data relating to</w:t>
      </w:r>
      <w:r w:rsidR="00014435" w:rsidRPr="270A0E68">
        <w:t xml:space="preserve"> user interact</w:t>
      </w:r>
      <w:r w:rsidR="001F0C93">
        <w:t>ion</w:t>
      </w:r>
      <w:r w:rsidR="00014435" w:rsidRPr="270A0E68">
        <w:t xml:space="preserve"> with a</w:t>
      </w:r>
      <w:r w:rsidR="001618D4">
        <w:t>n</w:t>
      </w:r>
      <w:r w:rsidR="00014435" w:rsidRPr="270A0E68">
        <w:t xml:space="preserve"> </w:t>
      </w:r>
      <w:r w:rsidR="001618D4">
        <w:t>AI solution</w:t>
      </w:r>
      <w:r w:rsidR="001618D4" w:rsidRPr="270A0E68">
        <w:t xml:space="preserve"> </w:t>
      </w:r>
      <w:r w:rsidR="00014435" w:rsidRPr="270A0E68">
        <w:t xml:space="preserve">(e.g., corrections, changes in formatting style) can be used for quality </w:t>
      </w:r>
      <w:r w:rsidR="001618D4">
        <w:t>assurance and system improvement</w:t>
      </w:r>
      <w:r w:rsidR="001618D4" w:rsidRPr="270A0E68">
        <w:t xml:space="preserve"> </w:t>
      </w:r>
      <w:r w:rsidR="00014435" w:rsidRPr="270A0E68">
        <w:t>purposes.</w:t>
      </w:r>
    </w:p>
    <w:p w14:paraId="45E9D2E1" w14:textId="4DD7E10A" w:rsidR="00014435" w:rsidRPr="00C315AD" w:rsidRDefault="00014435" w:rsidP="00014435">
      <w:pPr>
        <w:pStyle w:val="Body"/>
      </w:pPr>
      <w:r w:rsidRPr="00C315AD">
        <w:t>Whe</w:t>
      </w:r>
      <w:r w:rsidR="00FC680C">
        <w:t>re</w:t>
      </w:r>
      <w:r w:rsidRPr="00C315AD">
        <w:t xml:space="preserve"> a</w:t>
      </w:r>
      <w:r w:rsidR="00FC680C">
        <w:t>n</w:t>
      </w:r>
      <w:r w:rsidRPr="00C315AD">
        <w:t xml:space="preserve"> </w:t>
      </w:r>
      <w:r w:rsidR="00FC680C">
        <w:t>AI solution</w:t>
      </w:r>
      <w:r w:rsidR="00FC680C" w:rsidRPr="00C315AD">
        <w:t xml:space="preserve"> </w:t>
      </w:r>
      <w:r w:rsidRPr="00C315AD">
        <w:t>leverages patient data for model training</w:t>
      </w:r>
      <w:r w:rsidR="008E3E73">
        <w:t>,</w:t>
      </w:r>
      <w:r w:rsidRPr="00C315AD">
        <w:t xml:space="preserve"> the health service </w:t>
      </w:r>
      <w:r w:rsidR="008E3E73">
        <w:t>is responsible for ensuring:</w:t>
      </w:r>
    </w:p>
    <w:p w14:paraId="4182266C" w14:textId="37D7F9FE" w:rsidR="000269D1" w:rsidRPr="00AF4A28" w:rsidRDefault="00AF3AAF" w:rsidP="00C3178F">
      <w:pPr>
        <w:pStyle w:val="Bullet1"/>
        <w:ind w:left="284"/>
      </w:pPr>
      <w:r w:rsidRPr="00AF4A28">
        <w:t>A</w:t>
      </w:r>
      <w:r w:rsidR="000269D1" w:rsidRPr="00AF4A28">
        <w:t>ll identifying and re</w:t>
      </w:r>
      <w:r w:rsidR="000269D1" w:rsidRPr="00C3178F">
        <w:rPr>
          <w:rFonts w:ascii="Cambria Math" w:hAnsi="Cambria Math" w:cs="Cambria Math"/>
        </w:rPr>
        <w:t>‑</w:t>
      </w:r>
      <w:r w:rsidR="000269D1" w:rsidRPr="00AF4A28">
        <w:t>identifiable information is removed from the data prior to use</w:t>
      </w:r>
      <w:r w:rsidRPr="00AF4A28">
        <w:t>.</w:t>
      </w:r>
    </w:p>
    <w:p w14:paraId="58FEA1C9" w14:textId="77777777" w:rsidR="001A37A8" w:rsidRDefault="001A37A8" w:rsidP="00C3178F">
      <w:pPr>
        <w:pStyle w:val="Bullet1"/>
        <w:ind w:left="284"/>
      </w:pPr>
      <w:r w:rsidRPr="001A37A8">
        <w:t>Data governance arrangements include explicit consideration of re</w:t>
      </w:r>
      <w:r w:rsidRPr="00C3178F">
        <w:rPr>
          <w:rFonts w:ascii="Cambria Math" w:hAnsi="Cambria Math" w:cs="Cambria Math"/>
        </w:rPr>
        <w:t>‑</w:t>
      </w:r>
      <w:r w:rsidRPr="001A37A8">
        <w:t>identification risk and the implementation of appropriate technical, contractual, and organisational controls to mitigate this risk.</w:t>
      </w:r>
    </w:p>
    <w:p w14:paraId="4E8B1DA2" w14:textId="303D8879" w:rsidR="003657FC" w:rsidRPr="001A37A8" w:rsidRDefault="003657FC" w:rsidP="00C3178F">
      <w:pPr>
        <w:pStyle w:val="Bullet1"/>
        <w:ind w:left="284"/>
      </w:pPr>
      <w:r>
        <w:lastRenderedPageBreak/>
        <w:t xml:space="preserve">The </w:t>
      </w:r>
      <w:r w:rsidRPr="003657FC">
        <w:t xml:space="preserve">level of control applied </w:t>
      </w:r>
      <w:r>
        <w:t>is</w:t>
      </w:r>
      <w:r w:rsidRPr="003657FC">
        <w:t xml:space="preserve"> proportionate to the sensitivity of the data and the potential for harm arising from downstream use or inference.</w:t>
      </w:r>
    </w:p>
    <w:p w14:paraId="64EC6A6A" w14:textId="69EB6D87" w:rsidR="00433B13" w:rsidRDefault="00F93540" w:rsidP="00D70A7A">
      <w:pPr>
        <w:pStyle w:val="Bullet1"/>
        <w:ind w:left="284"/>
      </w:pPr>
      <w:r w:rsidRPr="00F93540">
        <w:t>Informed, explicit consent is obtained from the patient where their data is proposed to be used by a commercial third</w:t>
      </w:r>
      <w:r w:rsidRPr="00F93540">
        <w:rPr>
          <w:rFonts w:ascii="Cambria Math" w:hAnsi="Cambria Math" w:cs="Cambria Math"/>
        </w:rPr>
        <w:t>‑</w:t>
      </w:r>
      <w:r w:rsidRPr="00F93540">
        <w:t>party vendor for model training or retraining beyond the specific, approved use case</w:t>
      </w:r>
      <w:r w:rsidR="00412DA6">
        <w:t>.</w:t>
      </w:r>
    </w:p>
    <w:p w14:paraId="360F32FE" w14:textId="69C126CC" w:rsidR="00412DA6" w:rsidRDefault="00412DA6" w:rsidP="00D70A7A">
      <w:pPr>
        <w:pStyle w:val="Bullet1"/>
        <w:ind w:left="284"/>
      </w:pPr>
      <w:r w:rsidRPr="00433B13">
        <w:t>Where model training or retraining occurs as part of a health service</w:t>
      </w:r>
      <w:r w:rsidR="008230CA">
        <w:t xml:space="preserve"> </w:t>
      </w:r>
      <w:r w:rsidRPr="00433B13">
        <w:t>led research, evaluation, or quality improvement activity, data use must be approved through the appropriate governance pathway</w:t>
      </w:r>
      <w:r>
        <w:t xml:space="preserve">, </w:t>
      </w:r>
      <w:r w:rsidRPr="00433B13">
        <w:t>including Human Research Ethics Committee approval where applicable</w:t>
      </w:r>
      <w:r>
        <w:t>.</w:t>
      </w:r>
    </w:p>
    <w:p w14:paraId="5D2735E8" w14:textId="1E2AFBC0" w:rsidR="00DC6FCE" w:rsidRDefault="00DC6FCE" w:rsidP="00F24E2F">
      <w:pPr>
        <w:pStyle w:val="Heading3"/>
      </w:pPr>
      <w:r>
        <w:t>Patient consent and transparency</w:t>
      </w:r>
    </w:p>
    <w:p w14:paraId="2053F413" w14:textId="77777777" w:rsidR="00EB664F" w:rsidRDefault="00EB664F" w:rsidP="00EB664F">
      <w:pPr>
        <w:pStyle w:val="Body"/>
      </w:pPr>
      <w:r>
        <w:t>The use of AI solutions in clinical and non</w:t>
      </w:r>
      <w:r>
        <w:rPr>
          <w:rFonts w:ascii="Cambria Math" w:hAnsi="Cambria Math" w:cs="Cambria Math"/>
        </w:rPr>
        <w:t>‑</w:t>
      </w:r>
      <w:r>
        <w:t>clinical settings must align with existing legal, ethical, and clinical consent frameworks. The use of AI to support clinical decision</w:t>
      </w:r>
      <w:r>
        <w:rPr>
          <w:rFonts w:ascii="Cambria Math" w:hAnsi="Cambria Math" w:cs="Cambria Math"/>
        </w:rPr>
        <w:t>‑</w:t>
      </w:r>
      <w:r>
        <w:t>making does not</w:t>
      </w:r>
      <w:proofErr w:type="gramStart"/>
      <w:r>
        <w:t>, in itself, require</w:t>
      </w:r>
      <w:proofErr w:type="gramEnd"/>
      <w:r>
        <w:t xml:space="preserve"> separate patient consent, provided it does not materially alter the nature of care, risk profile, or decision</w:t>
      </w:r>
      <w:r>
        <w:rPr>
          <w:rFonts w:ascii="Cambria Math" w:hAnsi="Cambria Math" w:cs="Cambria Math"/>
        </w:rPr>
        <w:t>‑</w:t>
      </w:r>
      <w:r>
        <w:t>making process beyond what would ordinarily require disclosure under informed consent principles.</w:t>
      </w:r>
    </w:p>
    <w:p w14:paraId="78D9BA73" w14:textId="21D7038A" w:rsidR="00BA3F36" w:rsidRDefault="00B84438" w:rsidP="00EB664F">
      <w:pPr>
        <w:pStyle w:val="Body"/>
      </w:pPr>
      <w:r w:rsidRPr="00B84438">
        <w:t>It is acknowledged that determining when the use of AI constitutes a material change requiring disclosure or patient consent</w:t>
      </w:r>
      <w:r w:rsidR="00785D18">
        <w:t>,</w:t>
      </w:r>
      <w:r w:rsidRPr="00B84438">
        <w:t xml:space="preserve"> may not always be </w:t>
      </w:r>
      <w:r w:rsidR="00295121">
        <w:t>clear</w:t>
      </w:r>
      <w:r w:rsidRPr="00B84438">
        <w:t>. Where the use of an AI solution materially influences clinical decision</w:t>
      </w:r>
      <w:r w:rsidRPr="00B84438">
        <w:rPr>
          <w:rFonts w:ascii="Cambria Math" w:hAnsi="Cambria Math" w:cs="Cambria Math"/>
        </w:rPr>
        <w:t>‑</w:t>
      </w:r>
      <w:r w:rsidRPr="00B84438">
        <w:t>making, introduces novel or non</w:t>
      </w:r>
      <w:r w:rsidRPr="00B84438">
        <w:rPr>
          <w:rFonts w:ascii="Cambria Math" w:hAnsi="Cambria Math" w:cs="Cambria Math"/>
        </w:rPr>
        <w:t>‑</w:t>
      </w:r>
      <w:r w:rsidRPr="00B84438">
        <w:t>obvious risks</w:t>
      </w:r>
      <w:r w:rsidR="00B20F99">
        <w:t xml:space="preserve"> </w:t>
      </w:r>
      <w:r w:rsidR="00DC783C">
        <w:t xml:space="preserve">or </w:t>
      </w:r>
      <w:r w:rsidR="004E0F7D">
        <w:t xml:space="preserve">potential </w:t>
      </w:r>
      <w:r w:rsidR="00B20F99">
        <w:t>biases</w:t>
      </w:r>
      <w:r w:rsidRPr="00B84438">
        <w:t xml:space="preserve">, or departs from standard models of care in a way that a reasonable patient would expect to be informed about, health services should ensure this is disclosed as part of the clinical consent process. </w:t>
      </w:r>
    </w:p>
    <w:p w14:paraId="30D1FD49" w14:textId="211E1BDC" w:rsidR="00615D78" w:rsidRDefault="00615D78" w:rsidP="00EB664F">
      <w:pPr>
        <w:pStyle w:val="Body"/>
      </w:pPr>
      <w:r w:rsidRPr="00615D78">
        <w:t>The secondary use or sharing of identifiable patient data, or de</w:t>
      </w:r>
      <w:r w:rsidRPr="00615D78">
        <w:rPr>
          <w:rFonts w:ascii="Cambria Math" w:hAnsi="Cambria Math" w:cs="Cambria Math"/>
        </w:rPr>
        <w:t>‑</w:t>
      </w:r>
      <w:r w:rsidRPr="00615D78">
        <w:t>identified data where there is a risk of re</w:t>
      </w:r>
      <w:r w:rsidRPr="00615D78">
        <w:rPr>
          <w:rFonts w:ascii="Cambria Math" w:hAnsi="Cambria Math" w:cs="Cambria Math"/>
        </w:rPr>
        <w:t>‑</w:t>
      </w:r>
      <w:r w:rsidRPr="00615D78">
        <w:t>identification, requires informed and explicit patient consent unless otherwise authorised by law.</w:t>
      </w:r>
    </w:p>
    <w:p w14:paraId="1B1E4B1D" w14:textId="11896F88" w:rsidR="00384912" w:rsidRPr="00DC6FCE" w:rsidRDefault="00EB664F" w:rsidP="00870458">
      <w:pPr>
        <w:pStyle w:val="Body"/>
      </w:pPr>
      <w:r>
        <w:t xml:space="preserve">Health services should support transparency by ensuring that patients are provided with clear, </w:t>
      </w:r>
      <w:r w:rsidR="005E5850" w:rsidRPr="005E5850">
        <w:t xml:space="preserve">discoverable information, presented in formats patients can understand, </w:t>
      </w:r>
      <w:r>
        <w:t>about how AI is used in care delivery</w:t>
      </w:r>
      <w:r w:rsidR="00E80F49">
        <w:t>, and</w:t>
      </w:r>
      <w:r>
        <w:t xml:space="preserve"> where relevant how their data is protected.</w:t>
      </w:r>
      <w:r w:rsidR="00617A0B">
        <w:t xml:space="preserve"> </w:t>
      </w:r>
      <w:r w:rsidR="00617A0B" w:rsidRPr="00617A0B">
        <w:t>Additional transparency measures, such as labelling or identification of AI</w:t>
      </w:r>
      <w:r w:rsidR="00617A0B" w:rsidRPr="00617A0B">
        <w:rPr>
          <w:rFonts w:ascii="Cambria Math" w:hAnsi="Cambria Math" w:cs="Cambria Math"/>
        </w:rPr>
        <w:t>‑</w:t>
      </w:r>
      <w:r w:rsidR="00617A0B" w:rsidRPr="00617A0B">
        <w:t>generated content, may be appropriate for higher</w:t>
      </w:r>
      <w:r w:rsidR="00617A0B" w:rsidRPr="00617A0B">
        <w:rPr>
          <w:rFonts w:ascii="Cambria Math" w:hAnsi="Cambria Math" w:cs="Cambria Math"/>
        </w:rPr>
        <w:t>‑</w:t>
      </w:r>
      <w:r w:rsidR="00617A0B" w:rsidRPr="00617A0B">
        <w:t>risk AI use cases, including those that interact directly with patients or the public.</w:t>
      </w:r>
    </w:p>
    <w:p w14:paraId="4FA10D6B" w14:textId="77777777" w:rsidR="00014435" w:rsidRDefault="00014435" w:rsidP="00F24E2F">
      <w:pPr>
        <w:pStyle w:val="Heading3"/>
      </w:pPr>
      <w:r>
        <w:t xml:space="preserve">Staff support and workflow </w:t>
      </w:r>
    </w:p>
    <w:p w14:paraId="6F63549B" w14:textId="0B9D9DCC" w:rsidR="00B83B36" w:rsidRDefault="00014435" w:rsidP="00014435">
      <w:pPr>
        <w:pStyle w:val="Body"/>
      </w:pPr>
      <w:r>
        <w:t xml:space="preserve">The implementation of AI should be accompanied by appropriate staff training </w:t>
      </w:r>
      <w:r w:rsidR="00B83B36" w:rsidRPr="00B83B36">
        <w:t>that addresses tool functionality, limitations, and safe use within the relevant clinical or operational context. As AI solutions increase in accuracy and sophistication, there is a risk of automation bias, whereby staff may place undue reliance on AI</w:t>
      </w:r>
      <w:r w:rsidR="00B83B36" w:rsidRPr="00B83B36">
        <w:rPr>
          <w:rFonts w:ascii="Cambria Math" w:hAnsi="Cambria Math" w:cs="Cambria Math"/>
        </w:rPr>
        <w:t>‑</w:t>
      </w:r>
      <w:r w:rsidR="00B83B36" w:rsidRPr="00B83B36">
        <w:t xml:space="preserve">generated outputs without appropriate critical review. Training </w:t>
      </w:r>
      <w:r w:rsidR="007668F0">
        <w:t>should,</w:t>
      </w:r>
      <w:r w:rsidR="00B83B36" w:rsidRPr="00B83B36">
        <w:t xml:space="preserve"> therefore</w:t>
      </w:r>
      <w:r w:rsidR="007668F0">
        <w:t>,</w:t>
      </w:r>
      <w:r w:rsidR="00B83B36" w:rsidRPr="00B83B36">
        <w:t xml:space="preserve"> reinforce professional judgement and accountability, and clearly articulate that AI </w:t>
      </w:r>
      <w:r w:rsidR="001C3F82">
        <w:t>solution</w:t>
      </w:r>
      <w:r w:rsidR="00B83B36" w:rsidRPr="00B83B36">
        <w:t>s support, rather than replace, human decision</w:t>
      </w:r>
      <w:r w:rsidR="00B83B36" w:rsidRPr="00B83B36">
        <w:rPr>
          <w:rFonts w:ascii="Cambria Math" w:hAnsi="Cambria Math" w:cs="Cambria Math"/>
        </w:rPr>
        <w:t>‑</w:t>
      </w:r>
      <w:r w:rsidR="00B83B36" w:rsidRPr="00B83B36">
        <w:t>making.</w:t>
      </w:r>
    </w:p>
    <w:p w14:paraId="7BDD249D" w14:textId="76B9984E" w:rsidR="006B7447" w:rsidRDefault="006B7447" w:rsidP="00014435">
      <w:pPr>
        <w:pStyle w:val="Body"/>
      </w:pPr>
      <w:r w:rsidRPr="006B7447">
        <w:t>AI solutions should be integrated into existing workflows through a structured change management process. This process should identify and address impacts on roles, responsibilities, and work practices, and ensure that AI</w:t>
      </w:r>
      <w:r w:rsidRPr="006B7447">
        <w:rPr>
          <w:rFonts w:ascii="Cambria Math" w:hAnsi="Cambria Math" w:cs="Cambria Math"/>
        </w:rPr>
        <w:t>‑</w:t>
      </w:r>
      <w:r w:rsidRPr="006B7447">
        <w:t>enabled workflows are safe, understood, and sustainable</w:t>
      </w:r>
      <w:r w:rsidR="00014435">
        <w:t xml:space="preserve">. </w:t>
      </w:r>
    </w:p>
    <w:p w14:paraId="5B66FBFF" w14:textId="0BE30868" w:rsidR="00014435" w:rsidRDefault="00014435" w:rsidP="00014435">
      <w:pPr>
        <w:pStyle w:val="Body"/>
      </w:pPr>
      <w:r>
        <w:t>For</w:t>
      </w:r>
      <w:r w:rsidR="00E86172">
        <w:t xml:space="preserve"> AI solutions used in</w:t>
      </w:r>
      <w:r>
        <w:t xml:space="preserve"> clinical </w:t>
      </w:r>
      <w:r w:rsidR="00E86172">
        <w:t>contexts</w:t>
      </w:r>
      <w:r>
        <w:t xml:space="preserve">, </w:t>
      </w:r>
      <w:r w:rsidR="00972EBC">
        <w:t xml:space="preserve">workflow design and implementation </w:t>
      </w:r>
      <w:r w:rsidR="003464E0">
        <w:t>should</w:t>
      </w:r>
      <w:r>
        <w:t>:</w:t>
      </w:r>
    </w:p>
    <w:p w14:paraId="18DE56DB" w14:textId="4A95A6A6" w:rsidR="00014435" w:rsidRDefault="00014435" w:rsidP="00C3178F">
      <w:pPr>
        <w:pStyle w:val="Bullet1"/>
        <w:ind w:left="284"/>
      </w:pPr>
      <w:r>
        <w:t xml:space="preserve">Identify </w:t>
      </w:r>
      <w:r w:rsidR="00972EBC" w:rsidRPr="00972EBC">
        <w:t>points at which mandatory human review or verification is required</w:t>
      </w:r>
      <w:r w:rsidR="00972EBC">
        <w:t>.</w:t>
      </w:r>
    </w:p>
    <w:p w14:paraId="3B3BA482" w14:textId="305D4602" w:rsidR="001705DD" w:rsidRDefault="00000EE6" w:rsidP="00C3178F">
      <w:pPr>
        <w:pStyle w:val="Bullet1"/>
        <w:ind w:left="284"/>
      </w:pPr>
      <w:r>
        <w:t>C</w:t>
      </w:r>
      <w:r w:rsidRPr="00000EE6">
        <w:t>learly define restrictions, limitations, and appropriate uses of the AI solution</w:t>
      </w:r>
      <w:r w:rsidR="00F76894">
        <w:t>.</w:t>
      </w:r>
    </w:p>
    <w:p w14:paraId="4064C225" w14:textId="77777777" w:rsidR="002A17E3" w:rsidRDefault="001705DD" w:rsidP="00C3178F">
      <w:pPr>
        <w:pStyle w:val="Bullet1"/>
        <w:ind w:left="284"/>
      </w:pPr>
      <w:r w:rsidRPr="001705DD">
        <w:t>Define and maintain contingency processes to ensure continuity of care or operations if the AI solution is unavailable, degraded, or withdrawn, particularly where the AI solution forms part of routine clinical or operational workflow.</w:t>
      </w:r>
    </w:p>
    <w:p w14:paraId="7D49FAF7" w14:textId="0D5F1FB1" w:rsidR="00AF1F52" w:rsidRDefault="000B1BEA" w:rsidP="00C3178F">
      <w:pPr>
        <w:pStyle w:val="Bullet1"/>
        <w:ind w:left="284"/>
      </w:pPr>
      <w:r>
        <w:t>E</w:t>
      </w:r>
      <w:r w:rsidRPr="000B1BEA">
        <w:t>stablish mechanisms to monitor for inappropriate reliance on AI outputs</w:t>
      </w:r>
      <w:r w:rsidR="00C30CED">
        <w:t xml:space="preserve"> </w:t>
      </w:r>
      <w:r w:rsidRPr="000B1BEA">
        <w:t>and respond to patterns of use that may indicate over</w:t>
      </w:r>
      <w:r w:rsidRPr="00C3178F">
        <w:rPr>
          <w:rFonts w:ascii="Cambria Math" w:hAnsi="Cambria Math" w:cs="Cambria Math"/>
        </w:rPr>
        <w:t>‑</w:t>
      </w:r>
      <w:r w:rsidRPr="000B1BEA">
        <w:t>reliance, misuse, or drift from intended clinical or operational workflows.</w:t>
      </w:r>
    </w:p>
    <w:p w14:paraId="443B1311" w14:textId="6311E400" w:rsidR="00B138C1" w:rsidRPr="00B138C1" w:rsidRDefault="00014435" w:rsidP="002A17E3">
      <w:pPr>
        <w:pStyle w:val="Heading2"/>
      </w:pPr>
      <w:r>
        <w:lastRenderedPageBreak/>
        <w:t xml:space="preserve">Comprehensive </w:t>
      </w:r>
      <w:r w:rsidR="00B138C1">
        <w:t xml:space="preserve">Governance </w:t>
      </w:r>
      <w:r>
        <w:t xml:space="preserve">Evaluation </w:t>
      </w:r>
      <w:r w:rsidR="00B138C1">
        <w:t xml:space="preserve"> </w:t>
      </w:r>
    </w:p>
    <w:p w14:paraId="643C395B" w14:textId="2D34AC04" w:rsidR="002A17E3" w:rsidRDefault="002A17E3" w:rsidP="00B1182A">
      <w:pPr>
        <w:pStyle w:val="Body"/>
      </w:pPr>
      <w:r w:rsidRPr="002A17E3">
        <w:t>Where the triage process identifies that an AI solution presents higher potential risk, complexity, or impact, health services should undertake a more extensive and structured governance evaluation prior to implementation. This may include AI solutions that materially influence clinical decision</w:t>
      </w:r>
      <w:r w:rsidRPr="002A17E3">
        <w:rPr>
          <w:rFonts w:ascii="Cambria Math" w:hAnsi="Cambria Math" w:cs="Cambria Math"/>
        </w:rPr>
        <w:t>‑</w:t>
      </w:r>
      <w:r w:rsidRPr="002A17E3">
        <w:t>making, automate or significantly shape operational decisions, interact directly with patients, or involve complex data, ethical, or regulatory considerations.</w:t>
      </w:r>
    </w:p>
    <w:p w14:paraId="4F19EE26" w14:textId="0877FC31" w:rsidR="002A17E3" w:rsidRDefault="002A17E3" w:rsidP="00B1182A">
      <w:pPr>
        <w:pStyle w:val="Body"/>
      </w:pPr>
      <w:r w:rsidRPr="002A17E3">
        <w:t>To support consistent and robust evaluation of higher</w:t>
      </w:r>
      <w:r w:rsidRPr="002A17E3">
        <w:rPr>
          <w:rFonts w:ascii="Cambria Math" w:hAnsi="Cambria Math" w:cs="Cambria Math"/>
        </w:rPr>
        <w:t>‑</w:t>
      </w:r>
      <w:r w:rsidRPr="002A17E3">
        <w:t>risk AI solutions, the Victorian Department of Health endorses the AI Governance Review Checklist developed by the Digital Health Cooperative Research Centre (CRC),</w:t>
      </w:r>
      <w:r w:rsidR="008C2267">
        <w:t xml:space="preserve"> Bayside Health</w:t>
      </w:r>
      <w:r w:rsidRPr="002A17E3">
        <w:t xml:space="preserve"> </w:t>
      </w:r>
      <w:r w:rsidR="008C2267">
        <w:t>(</w:t>
      </w:r>
      <w:r w:rsidRPr="002A17E3">
        <w:t>Alfred</w:t>
      </w:r>
      <w:r w:rsidR="008C2267">
        <w:t>)</w:t>
      </w:r>
      <w:r w:rsidRPr="002A17E3">
        <w:t>, and Macquarie University. This checklist provides a comprehensive, evidence</w:t>
      </w:r>
      <w:r w:rsidRPr="002A17E3">
        <w:rPr>
          <w:rFonts w:ascii="Cambria Math" w:hAnsi="Cambria Math" w:cs="Cambria Math"/>
        </w:rPr>
        <w:t>‑</w:t>
      </w:r>
      <w:r w:rsidRPr="002A17E3">
        <w:t>based framework for assessing AI solutions across key domains, including ethical considerations, transparency and explainability, bias and equity, data governance and security, clinical safety, regulatory compliance, and integration into clinical or operational workflows.</w:t>
      </w:r>
    </w:p>
    <w:p w14:paraId="52993E43" w14:textId="77777777" w:rsidR="002A17E3" w:rsidRPr="002A17E3" w:rsidRDefault="002A17E3" w:rsidP="002A17E3">
      <w:pPr>
        <w:pStyle w:val="Body"/>
      </w:pPr>
      <w:r w:rsidRPr="002A17E3">
        <w:t xml:space="preserve">The Digital Health CRC checklist is intended to be used as a guiding framework, rather than a rigid or uniform requirement. Health services may apply the checklist in a proportionate manner, </w:t>
      </w:r>
      <w:proofErr w:type="gramStart"/>
      <w:r w:rsidRPr="002A17E3">
        <w:t>taking into account</w:t>
      </w:r>
      <w:proofErr w:type="gramEnd"/>
      <w:r w:rsidRPr="002A17E3">
        <w:t>:</w:t>
      </w:r>
    </w:p>
    <w:p w14:paraId="5BF66A07" w14:textId="1AB176CF" w:rsidR="002A17E3" w:rsidRPr="002A17E3" w:rsidRDefault="002A17E3" w:rsidP="00C3178F">
      <w:pPr>
        <w:pStyle w:val="Bullet1"/>
        <w:ind w:left="284"/>
      </w:pPr>
      <w:r w:rsidRPr="002A17E3">
        <w:t xml:space="preserve">the intended use and context of the AI </w:t>
      </w:r>
      <w:r w:rsidR="00A57B02" w:rsidRPr="002A17E3">
        <w:t>solution.</w:t>
      </w:r>
    </w:p>
    <w:p w14:paraId="174E78A5" w14:textId="7F52A866" w:rsidR="002A17E3" w:rsidRPr="002A17E3" w:rsidRDefault="002A17E3" w:rsidP="00C3178F">
      <w:pPr>
        <w:pStyle w:val="Bullet1"/>
        <w:ind w:left="284"/>
      </w:pPr>
      <w:r w:rsidRPr="002A17E3">
        <w:t xml:space="preserve">the level of risk and potential impact identified through </w:t>
      </w:r>
      <w:r w:rsidR="00A57B02" w:rsidRPr="002A17E3">
        <w:t>triage.</w:t>
      </w:r>
    </w:p>
    <w:p w14:paraId="38770D36" w14:textId="6FF326CE" w:rsidR="002A17E3" w:rsidRPr="002A17E3" w:rsidRDefault="002A17E3" w:rsidP="00C3178F">
      <w:pPr>
        <w:pStyle w:val="Bullet1"/>
        <w:ind w:left="284"/>
      </w:pPr>
      <w:r w:rsidRPr="002A17E3">
        <w:t>existing governance processes or approvals already undertaken (for example, privacy, cyber security, data governance, clinical safety, or research ethics)</w:t>
      </w:r>
      <w:r w:rsidR="00FA2E5D">
        <w:t>.</w:t>
      </w:r>
    </w:p>
    <w:p w14:paraId="426F87C9" w14:textId="7AF890A6" w:rsidR="002A17E3" w:rsidRDefault="002A17E3" w:rsidP="00AD7D27">
      <w:pPr>
        <w:pStyle w:val="Body"/>
        <w:spacing w:before="120"/>
      </w:pPr>
      <w:r w:rsidRPr="002A17E3">
        <w:t>The endorsed AI Governance Review Checklist and supporting guidance are made available to V</w:t>
      </w:r>
      <w:r w:rsidR="008A0BB1">
        <w:t xml:space="preserve">PHS </w:t>
      </w:r>
      <w:r w:rsidRPr="002A17E3">
        <w:t>through the Department of Health.</w:t>
      </w:r>
    </w:p>
    <w:p w14:paraId="21E6BAC6" w14:textId="3B14318C" w:rsidR="00264346" w:rsidRDefault="009D692E" w:rsidP="009D692E">
      <w:pPr>
        <w:pStyle w:val="Heading2"/>
      </w:pPr>
      <w:r>
        <w:t xml:space="preserve">Ongoing Monitoring of AI solutions </w:t>
      </w:r>
    </w:p>
    <w:p w14:paraId="5B71DF88" w14:textId="51966F61" w:rsidR="002A04BA" w:rsidRDefault="007525B5" w:rsidP="00264346">
      <w:pPr>
        <w:pStyle w:val="Body"/>
      </w:pPr>
      <w:r>
        <w:t xml:space="preserve">The </w:t>
      </w:r>
      <w:r w:rsidR="002A04BA">
        <w:t xml:space="preserve">adaptive </w:t>
      </w:r>
      <w:r>
        <w:t xml:space="preserve">nature of </w:t>
      </w:r>
      <w:r w:rsidR="002A04BA">
        <w:t xml:space="preserve">many </w:t>
      </w:r>
      <w:r>
        <w:t xml:space="preserve">AI solutions means that a </w:t>
      </w:r>
      <w:r w:rsidR="007D5C30">
        <w:t xml:space="preserve">one-off </w:t>
      </w:r>
      <w:r>
        <w:t xml:space="preserve">assessment </w:t>
      </w:r>
      <w:r w:rsidR="007D5C30">
        <w:t xml:space="preserve">at the point of implementation </w:t>
      </w:r>
      <w:r>
        <w:t xml:space="preserve">is not </w:t>
      </w:r>
      <w:r w:rsidR="007D5C30">
        <w:t xml:space="preserve">sufficient </w:t>
      </w:r>
      <w:r>
        <w:t xml:space="preserve">to maintain </w:t>
      </w:r>
      <w:r w:rsidR="003E4E67">
        <w:t>ongoing safety, effectiveness and compliance</w:t>
      </w:r>
      <w:r>
        <w:t xml:space="preserve">. </w:t>
      </w:r>
      <w:r w:rsidR="005B6A9E" w:rsidRPr="005B6A9E">
        <w:t>By design, some AI s</w:t>
      </w:r>
      <w:r w:rsidR="00AA7AFD">
        <w:t>olution</w:t>
      </w:r>
      <w:r w:rsidR="005B6A9E" w:rsidRPr="005B6A9E">
        <w:t>s may change over time through updates, performance drift, or retraining, which means that the solution in operation may differ materially from the version that was originally assessed and approved</w:t>
      </w:r>
      <w:r w:rsidR="00670AE6">
        <w:t xml:space="preserve">. </w:t>
      </w:r>
      <w:r w:rsidR="00880601" w:rsidRPr="00880601">
        <w:t>In addition, patterns of use and reliance may evolve over time, with changes in how staff interact with AI outputs or integrate them into workflows potentially introducing new or unforeseen risks.</w:t>
      </w:r>
    </w:p>
    <w:p w14:paraId="5DBC3221" w14:textId="75D4C8F6" w:rsidR="0099548C" w:rsidRDefault="0099548C" w:rsidP="00264346">
      <w:pPr>
        <w:pStyle w:val="Body"/>
      </w:pPr>
      <w:r w:rsidRPr="0099548C">
        <w:t>In addition, many AI solutions deployed in healthcare are not inherently limited to a single use case. Solutions that demonstrate value in one context may be adopted or repurposed for additional clinical or operational scenarios that were not considered in the original governance assessment, potentially introducing new or unforeseen risks.</w:t>
      </w:r>
    </w:p>
    <w:p w14:paraId="3A9E037C" w14:textId="0409F7EA" w:rsidR="0099548C" w:rsidRDefault="0099548C" w:rsidP="00264346">
      <w:pPr>
        <w:pStyle w:val="Body"/>
      </w:pPr>
      <w:r w:rsidRPr="0099548C">
        <w:t>For these reasons, health services must ensure that AI solutions in use are subject to ongoing monitoring and periodic re</w:t>
      </w:r>
      <w:r w:rsidRPr="0099548C">
        <w:rPr>
          <w:rFonts w:ascii="Cambria Math" w:hAnsi="Cambria Math" w:cs="Cambria Math"/>
        </w:rPr>
        <w:t>‑</w:t>
      </w:r>
      <w:r w:rsidRPr="0099548C">
        <w:t>assessment. The AI governance function within each health service is responsible for establishing processes to regularly review AI solutions, including their performance, safety, scope of use, and compliance with approved purposes, and to trigger additional governance review where material changes or new use cases are identified.</w:t>
      </w:r>
    </w:p>
    <w:p w14:paraId="76338CD6" w14:textId="629118C5" w:rsidR="002929C9" w:rsidRPr="002249F4" w:rsidRDefault="002929C9" w:rsidP="00F24E2F">
      <w:pPr>
        <w:pStyle w:val="Heading3"/>
      </w:pPr>
      <w:r>
        <w:t xml:space="preserve">Incident </w:t>
      </w:r>
      <w:r w:rsidRPr="002249F4">
        <w:t>management and escalation</w:t>
      </w:r>
    </w:p>
    <w:p w14:paraId="64360BA8" w14:textId="71DF0BF7" w:rsidR="002929C9" w:rsidRPr="002249F4" w:rsidRDefault="009613EA" w:rsidP="002929C9">
      <w:pPr>
        <w:pStyle w:val="Body"/>
      </w:pPr>
      <w:r w:rsidRPr="002249F4">
        <w:t>AI</w:t>
      </w:r>
      <w:r w:rsidRPr="002249F4">
        <w:rPr>
          <w:rFonts w:ascii="Cambria Math" w:hAnsi="Cambria Math" w:cs="Cambria Math"/>
        </w:rPr>
        <w:t>‑</w:t>
      </w:r>
      <w:r w:rsidRPr="002249F4">
        <w:t>related incidents, near misses, or safety concerns must be managed through the health service</w:t>
      </w:r>
      <w:r w:rsidRPr="002249F4">
        <w:rPr>
          <w:rFonts w:cs="Arial"/>
        </w:rPr>
        <w:t>’</w:t>
      </w:r>
      <w:r w:rsidRPr="002249F4">
        <w:t>s existing clinical incident, risk management, or cyber security escalation processes, as appropriate. Health services should ensure that staff understand how to identify, report, and escalate concerns related to AI s</w:t>
      </w:r>
      <w:r w:rsidR="00AA7AFD">
        <w:t>olution</w:t>
      </w:r>
      <w:r w:rsidRPr="002249F4">
        <w:t xml:space="preserve"> performance or use.</w:t>
      </w:r>
      <w:r w:rsidR="00621C45" w:rsidRPr="002249F4">
        <w:t xml:space="preserve"> </w:t>
      </w:r>
      <w:r w:rsidR="00B0245A" w:rsidRPr="002249F4">
        <w:t xml:space="preserve">Further information can be found in </w:t>
      </w:r>
      <w:r w:rsidR="00B0245A" w:rsidRPr="002B239C">
        <w:t xml:space="preserve">Roles and Responsibilities for AI Stewardship in Victorian Public Health Services </w:t>
      </w:r>
    </w:p>
    <w:p w14:paraId="7FCAA3B5" w14:textId="458A255C" w:rsidR="00E62DB3" w:rsidRPr="002249F4" w:rsidRDefault="009F6096" w:rsidP="00F24E2F">
      <w:pPr>
        <w:pStyle w:val="Heading3"/>
      </w:pPr>
      <w:r w:rsidRPr="002249F4">
        <w:lastRenderedPageBreak/>
        <w:t>Benefits management</w:t>
      </w:r>
    </w:p>
    <w:p w14:paraId="75FD5BA4" w14:textId="77777777" w:rsidR="009F6096" w:rsidRDefault="009F6096" w:rsidP="009F6096">
      <w:pPr>
        <w:pStyle w:val="Body"/>
      </w:pPr>
      <w:r w:rsidRPr="002249F4">
        <w:t>In addition to safety and performance monitoring</w:t>
      </w:r>
      <w:r>
        <w:t>, health services should periodically review whether AI solutions continue to deliver the benefits identified at the time of approval. Benefits should be assessed against the original objectives, evaluation criteria, and metrics defined during the pre</w:t>
      </w:r>
      <w:r>
        <w:rPr>
          <w:rFonts w:ascii="Cambria Math" w:hAnsi="Cambria Math" w:cs="Cambria Math"/>
        </w:rPr>
        <w:t>‑</w:t>
      </w:r>
      <w:r>
        <w:t>implementation assessment, and proportionate to the risk and scale of the AI solution.</w:t>
      </w:r>
    </w:p>
    <w:p w14:paraId="7223FCBA" w14:textId="7F14EFC7" w:rsidR="009F6096" w:rsidRPr="009F6096" w:rsidRDefault="009F6096" w:rsidP="009F6096">
      <w:pPr>
        <w:pStyle w:val="Body"/>
      </w:pPr>
      <w:r>
        <w:t>Where anticipated clinical, operational, or system</w:t>
      </w:r>
      <w:r>
        <w:rPr>
          <w:rFonts w:ascii="Cambria Math" w:hAnsi="Cambria Math" w:cs="Cambria Math"/>
        </w:rPr>
        <w:t>‑</w:t>
      </w:r>
      <w:r>
        <w:t xml:space="preserve">level benefits are not being realised, health services should consider whether the AI solution requires modification, further evaluation, or decommissioning. </w:t>
      </w:r>
      <w:r w:rsidR="00BB7A5B" w:rsidRPr="00BB7A5B">
        <w:t>Accountability for benefits monitoring and decisions to continue, scale, modify, or discontinue AI solutions rests with the health service through its established governance arrangements and the approved executive or clinical owner.</w:t>
      </w:r>
    </w:p>
    <w:p w14:paraId="2DC6C657" w14:textId="407E8C8C" w:rsidR="00F66444" w:rsidRDefault="00F66444" w:rsidP="00F66444">
      <w:pPr>
        <w:pStyle w:val="Heading2"/>
      </w:pPr>
      <w:r>
        <w:t xml:space="preserve">Governance Structure </w:t>
      </w:r>
    </w:p>
    <w:p w14:paraId="0ED03E82" w14:textId="1E8ED8D1" w:rsidR="00C6540C" w:rsidRDefault="00C73F8C" w:rsidP="00F66444">
      <w:pPr>
        <w:pStyle w:val="Body"/>
      </w:pPr>
      <w:r>
        <w:t xml:space="preserve">It is acknowledged that the structure of governance will </w:t>
      </w:r>
      <w:r w:rsidR="00AD3B85">
        <w:t xml:space="preserve">vary across </w:t>
      </w:r>
      <w:r w:rsidR="001C3F82">
        <w:t>health services</w:t>
      </w:r>
      <w:r>
        <w:t xml:space="preserve">, </w:t>
      </w:r>
      <w:r w:rsidR="00DF77CB" w:rsidRPr="00DF77CB">
        <w:t>reflecting differences in size, capability, scope, and existing clinical and corporate governance structures</w:t>
      </w:r>
      <w:r>
        <w:t>.</w:t>
      </w:r>
      <w:r w:rsidR="0047737C">
        <w:t xml:space="preserve"> </w:t>
      </w:r>
      <w:r w:rsidR="00885513" w:rsidRPr="00885513">
        <w:t>Some services may choose to incorporate AI oversight into existing governance structures, while others may establish a dedicated AI governance function.</w:t>
      </w:r>
      <w:r w:rsidR="00D57FDC">
        <w:t xml:space="preserve"> Accordingly</w:t>
      </w:r>
      <w:r w:rsidR="008D3428">
        <w:t>, th</w:t>
      </w:r>
      <w:r w:rsidR="00D57FDC">
        <w:t>is</w:t>
      </w:r>
      <w:r w:rsidR="008D3428">
        <w:t xml:space="preserve"> guideline </w:t>
      </w:r>
      <w:r w:rsidR="00D57FDC">
        <w:t>does not prescribe</w:t>
      </w:r>
      <w:r w:rsidR="008D3428">
        <w:t xml:space="preserve"> a specific </w:t>
      </w:r>
      <w:r w:rsidR="00DC66AA">
        <w:t xml:space="preserve">governance </w:t>
      </w:r>
      <w:r w:rsidR="008D3428">
        <w:t>structure</w:t>
      </w:r>
      <w:r w:rsidR="00D57FDC">
        <w:t>.</w:t>
      </w:r>
      <w:r w:rsidR="008D3428">
        <w:t xml:space="preserve"> Instead, </w:t>
      </w:r>
      <w:r w:rsidR="007154C9">
        <w:t xml:space="preserve">health services should ensure </w:t>
      </w:r>
      <w:r w:rsidR="00ED6B67">
        <w:t>their chosen governance arrangements inco</w:t>
      </w:r>
      <w:r w:rsidR="008940F6">
        <w:t>rporate the following core components</w:t>
      </w:r>
      <w:r w:rsidR="00D81C5F">
        <w:t>.</w:t>
      </w:r>
      <w:r w:rsidR="00C6540C">
        <w:t xml:space="preserve"> </w:t>
      </w:r>
    </w:p>
    <w:p w14:paraId="23333234" w14:textId="2890870A" w:rsidR="00851855" w:rsidRDefault="00732254" w:rsidP="004E17B5">
      <w:pPr>
        <w:pStyle w:val="Bullet1"/>
        <w:numPr>
          <w:ilvl w:val="0"/>
          <w:numId w:val="0"/>
        </w:numPr>
      </w:pPr>
      <w:r w:rsidRPr="00732254">
        <w:t>The AI oversight structure should include sufficient expertise to support informed decision</w:t>
      </w:r>
      <w:r w:rsidRPr="00732254">
        <w:rPr>
          <w:rFonts w:ascii="Cambria Math" w:hAnsi="Cambria Math" w:cs="Cambria Math"/>
        </w:rPr>
        <w:t>‑</w:t>
      </w:r>
      <w:r w:rsidRPr="00732254">
        <w:t>making. At a minimum, the following areas should be represented, either directly within the governance body or through clearly defined advisory pathways</w:t>
      </w:r>
      <w:r w:rsidR="002B1FC6">
        <w:t xml:space="preserve">: </w:t>
      </w:r>
    </w:p>
    <w:p w14:paraId="66B31436" w14:textId="4FEDAE6A" w:rsidR="00BD0AEB" w:rsidRDefault="00BD0AEB" w:rsidP="00BD0AEB">
      <w:pPr>
        <w:pStyle w:val="Bullet1"/>
        <w:ind w:left="284"/>
      </w:pPr>
      <w:r>
        <w:t>Clinical representation aligned to the intended use case</w:t>
      </w:r>
    </w:p>
    <w:p w14:paraId="35DE7C06" w14:textId="6C49065A" w:rsidR="00BD0AEB" w:rsidRDefault="00BD0AEB" w:rsidP="00063DEB">
      <w:pPr>
        <w:pStyle w:val="Bullet1"/>
        <w:ind w:left="284"/>
      </w:pPr>
      <w:r>
        <w:t>Consumer perspectives, including Aboriginal representation where</w:t>
      </w:r>
      <w:r w:rsidR="00591635" w:rsidRPr="00591635">
        <w:t xml:space="preserve"> AI solutions </w:t>
      </w:r>
      <w:r w:rsidR="004F0EAD">
        <w:t>use</w:t>
      </w:r>
      <w:r w:rsidR="00591635" w:rsidRPr="00591635">
        <w:t xml:space="preserve"> Aboriginal data or may impact Aboriginal communities</w:t>
      </w:r>
    </w:p>
    <w:p w14:paraId="3AAABC18" w14:textId="48858F79" w:rsidR="00BD0AEB" w:rsidRDefault="00BD0AEB" w:rsidP="00BD0AEB">
      <w:pPr>
        <w:pStyle w:val="Bullet1"/>
        <w:ind w:left="284"/>
      </w:pPr>
      <w:r>
        <w:t>Executive or health service leadership</w:t>
      </w:r>
    </w:p>
    <w:p w14:paraId="68C1BD3D" w14:textId="090B01C6" w:rsidR="00BD0AEB" w:rsidRDefault="00BD0AEB" w:rsidP="00BD0AEB">
      <w:pPr>
        <w:pStyle w:val="Bullet1"/>
        <w:ind w:left="284"/>
      </w:pPr>
      <w:proofErr w:type="gramStart"/>
      <w:r>
        <w:t>Workforce</w:t>
      </w:r>
      <w:proofErr w:type="gramEnd"/>
      <w:r>
        <w:t xml:space="preserve"> change management and trainin</w:t>
      </w:r>
      <w:r w:rsidR="0096567A">
        <w:t>g</w:t>
      </w:r>
    </w:p>
    <w:p w14:paraId="6D14ED67" w14:textId="783B0304" w:rsidR="002B1FC6" w:rsidRDefault="0048566D" w:rsidP="00B517FF">
      <w:pPr>
        <w:pStyle w:val="Bullet1"/>
        <w:ind w:left="284"/>
      </w:pPr>
      <w:r>
        <w:t>Cyber security</w:t>
      </w:r>
      <w:r w:rsidR="0005718F">
        <w:t xml:space="preserve"> and </w:t>
      </w:r>
      <w:r w:rsidR="005C5276">
        <w:t>information privacy</w:t>
      </w:r>
      <w:r w:rsidR="00E04277">
        <w:t xml:space="preserve"> </w:t>
      </w:r>
    </w:p>
    <w:p w14:paraId="26AF81EC" w14:textId="158BE1D6" w:rsidR="0005718F" w:rsidRDefault="0005718F" w:rsidP="00B517FF">
      <w:pPr>
        <w:pStyle w:val="Bullet1"/>
        <w:ind w:left="284"/>
      </w:pPr>
      <w:r>
        <w:t>Risk management</w:t>
      </w:r>
    </w:p>
    <w:p w14:paraId="3DE41D50" w14:textId="0C8271FE" w:rsidR="00A70E0B" w:rsidRDefault="00A70E0B" w:rsidP="00B517FF">
      <w:pPr>
        <w:pStyle w:val="Bullet1"/>
        <w:ind w:left="284"/>
      </w:pPr>
      <w:r>
        <w:t>L</w:t>
      </w:r>
      <w:r w:rsidR="002B1FC6">
        <w:t>egal</w:t>
      </w:r>
      <w:r w:rsidR="00732254">
        <w:t xml:space="preserve"> </w:t>
      </w:r>
    </w:p>
    <w:p w14:paraId="5F881F0E" w14:textId="3DF52315" w:rsidR="00F66444" w:rsidRDefault="00A70E0B" w:rsidP="00B517FF">
      <w:pPr>
        <w:pStyle w:val="Bullet1"/>
        <w:ind w:left="284"/>
      </w:pPr>
      <w:r>
        <w:t>Ethics</w:t>
      </w:r>
    </w:p>
    <w:p w14:paraId="4CB1A499" w14:textId="004FB293" w:rsidR="00DA141E" w:rsidRDefault="00DA141E" w:rsidP="00B517FF">
      <w:pPr>
        <w:pStyle w:val="Bullet1"/>
        <w:ind w:left="284"/>
      </w:pPr>
      <w:r>
        <w:t xml:space="preserve">IT and </w:t>
      </w:r>
      <w:r w:rsidR="000C2D6A">
        <w:t>digital infrastructure</w:t>
      </w:r>
    </w:p>
    <w:p w14:paraId="7354EA5F" w14:textId="7765A079" w:rsidR="006B7737" w:rsidRDefault="00260790" w:rsidP="00B517FF">
      <w:pPr>
        <w:pStyle w:val="Bullet1"/>
        <w:ind w:left="284"/>
      </w:pPr>
      <w:r>
        <w:t xml:space="preserve">Data </w:t>
      </w:r>
      <w:r w:rsidR="0005718F">
        <w:t xml:space="preserve">and </w:t>
      </w:r>
      <w:r w:rsidR="00F317A2">
        <w:t>analytic</w:t>
      </w:r>
      <w:r w:rsidR="0005718F">
        <w:t>s</w:t>
      </w:r>
    </w:p>
    <w:p w14:paraId="5BBDE1B5" w14:textId="5E525C34" w:rsidR="00786781" w:rsidRDefault="00D150AA" w:rsidP="00AD7D27">
      <w:pPr>
        <w:pStyle w:val="Bullet1"/>
        <w:numPr>
          <w:ilvl w:val="0"/>
          <w:numId w:val="0"/>
        </w:numPr>
        <w:spacing w:before="120" w:after="120"/>
      </w:pPr>
      <w:r w:rsidRPr="00D150AA">
        <w:t>The governance structure should be appropriately integrated with other relevant oversight functions, including but not limited to new technologies approval, data governance, clinical governance, procurement, research governance, and digital health strategy to avoid duplication and ensure coherent decision</w:t>
      </w:r>
      <w:r w:rsidRPr="00D150AA">
        <w:rPr>
          <w:rFonts w:ascii="Cambria Math" w:hAnsi="Cambria Math" w:cs="Cambria Math"/>
        </w:rPr>
        <w:t>‑</w:t>
      </w:r>
      <w:r w:rsidRPr="00D150AA">
        <w:t>making.</w:t>
      </w:r>
    </w:p>
    <w:p w14:paraId="1DEC94AD" w14:textId="43081358" w:rsidR="008A45A6" w:rsidRPr="00F66444" w:rsidRDefault="00890E29" w:rsidP="00D317C1">
      <w:pPr>
        <w:pStyle w:val="Bullet1"/>
        <w:numPr>
          <w:ilvl w:val="0"/>
          <w:numId w:val="0"/>
        </w:numPr>
      </w:pPr>
      <w:r>
        <w:t xml:space="preserve">The </w:t>
      </w:r>
      <w:r w:rsidR="00165A1B">
        <w:t>relevant committees and roles outlined in the governance structure</w:t>
      </w:r>
      <w:r>
        <w:t xml:space="preserve"> must be authorised to assess new AI solutions, </w:t>
      </w:r>
      <w:r w:rsidR="004A4E11">
        <w:t>support implementation and be responsible for the ongoing monitoring of AI solutions within the health service.</w:t>
      </w:r>
    </w:p>
    <w:p w14:paraId="738C7D52" w14:textId="6E8CF4C1" w:rsidR="0010415D" w:rsidRDefault="00E37F9E" w:rsidP="00F24E2F">
      <w:pPr>
        <w:pStyle w:val="Heading3"/>
      </w:pPr>
      <w:r>
        <w:t xml:space="preserve">Shared </w:t>
      </w:r>
      <w:r w:rsidR="00F522EA">
        <w:t>g</w:t>
      </w:r>
      <w:r>
        <w:t xml:space="preserve">overnance </w:t>
      </w:r>
      <w:r w:rsidR="00F522EA">
        <w:t>s</w:t>
      </w:r>
      <w:r>
        <w:t xml:space="preserve">tructures </w:t>
      </w:r>
    </w:p>
    <w:p w14:paraId="347A4E99" w14:textId="6A33F20D" w:rsidR="00A43C39" w:rsidRDefault="00EA3D3F" w:rsidP="00EB3784">
      <w:pPr>
        <w:pStyle w:val="Body"/>
      </w:pPr>
      <w:r w:rsidRPr="00EA3D3F">
        <w:t>For some health services</w:t>
      </w:r>
      <w:r>
        <w:t xml:space="preserve">, </w:t>
      </w:r>
      <w:r w:rsidRPr="00EA3D3F">
        <w:t>particularly smaller, regional, or rural service</w:t>
      </w:r>
      <w:r>
        <w:t xml:space="preserve">s, </w:t>
      </w:r>
      <w:r w:rsidRPr="00EA3D3F">
        <w:t xml:space="preserve">the capacity to establish or sustain a dedicated AI governance function may be limited. In these circumstances, shared or collaborative governance arrangements may be appropriate. This may include shared oversight structures across services within a </w:t>
      </w:r>
      <w:r w:rsidR="0027442A">
        <w:t>Local Health Service Network (LHSN)</w:t>
      </w:r>
      <w:r w:rsidR="009F33D8">
        <w:t>, Rural ICT Alliance</w:t>
      </w:r>
      <w:r w:rsidR="0027442A">
        <w:t xml:space="preserve"> </w:t>
      </w:r>
      <w:r w:rsidRPr="00EA3D3F">
        <w:t>or partnerships with larger services that have greater digital and governance capability.</w:t>
      </w:r>
      <w:r w:rsidR="0027442A">
        <w:t xml:space="preserve"> </w:t>
      </w:r>
    </w:p>
    <w:p w14:paraId="07568F43" w14:textId="68260D2F" w:rsidR="00BF577E" w:rsidRDefault="00BF577E" w:rsidP="00EB3784">
      <w:pPr>
        <w:pStyle w:val="Body"/>
      </w:pPr>
      <w:r w:rsidRPr="00BF577E">
        <w:lastRenderedPageBreak/>
        <w:t>While shared governance arrangements are supported</w:t>
      </w:r>
      <w:r w:rsidR="00D93310">
        <w:t>,</w:t>
      </w:r>
      <w:r w:rsidR="000C7248">
        <w:t xml:space="preserve"> the process</w:t>
      </w:r>
      <w:r w:rsidRPr="00BF577E">
        <w:t xml:space="preserve"> </w:t>
      </w:r>
      <w:r w:rsidR="00C3178F">
        <w:t xml:space="preserve">must </w:t>
      </w:r>
      <w:r w:rsidRPr="00BF577E">
        <w:t>ensure the following are retained:</w:t>
      </w:r>
    </w:p>
    <w:p w14:paraId="25FD04AC" w14:textId="2BCEED30" w:rsidR="00FD2211" w:rsidRDefault="0043227B" w:rsidP="00B517FF">
      <w:pPr>
        <w:pStyle w:val="Bullet1"/>
        <w:ind w:left="284"/>
      </w:pPr>
      <w:r>
        <w:t>F</w:t>
      </w:r>
      <w:r w:rsidR="00CD3647">
        <w:t xml:space="preserve">inancial commitments </w:t>
      </w:r>
      <w:r w:rsidR="00D349DB">
        <w:t>–</w:t>
      </w:r>
      <w:r>
        <w:t xml:space="preserve"> </w:t>
      </w:r>
      <w:r w:rsidR="00D349DB">
        <w:t>costs</w:t>
      </w:r>
      <w:r>
        <w:t xml:space="preserve"> associated with the AI solution,</w:t>
      </w:r>
      <w:r w:rsidR="00D349DB">
        <w:t xml:space="preserve"> including implementation, maintenance and training</w:t>
      </w:r>
      <w:r>
        <w:t xml:space="preserve"> must be approved by the health </w:t>
      </w:r>
      <w:r w:rsidR="00A10E23">
        <w:t>service.</w:t>
      </w:r>
    </w:p>
    <w:p w14:paraId="268EA382" w14:textId="413086E9" w:rsidR="00FD2211" w:rsidRDefault="00ED280C" w:rsidP="00B517FF">
      <w:pPr>
        <w:pStyle w:val="Bullet1"/>
        <w:ind w:left="284"/>
      </w:pPr>
      <w:r>
        <w:t xml:space="preserve">Privacy </w:t>
      </w:r>
      <w:r w:rsidR="0042434D">
        <w:t>i</w:t>
      </w:r>
      <w:r>
        <w:t xml:space="preserve">mpact </w:t>
      </w:r>
      <w:r w:rsidR="0042434D">
        <w:t>a</w:t>
      </w:r>
      <w:r>
        <w:t>ssessments</w:t>
      </w:r>
      <w:r w:rsidR="0042434D">
        <w:t xml:space="preserve"> – w</w:t>
      </w:r>
      <w:r>
        <w:t xml:space="preserve">hile elements of a PIA can be shared, </w:t>
      </w:r>
      <w:r w:rsidR="004D2AFE" w:rsidRPr="004D2AFE">
        <w:t>each health service must assess and address privacy risks specific to its own setting, systems, and patient population.</w:t>
      </w:r>
    </w:p>
    <w:p w14:paraId="56EEFA36" w14:textId="4C560815" w:rsidR="00254EFF" w:rsidRDefault="00430EBE" w:rsidP="00B517FF">
      <w:pPr>
        <w:pStyle w:val="Bullet1"/>
        <w:ind w:left="284"/>
      </w:pPr>
      <w:r>
        <w:t>Cyber</w:t>
      </w:r>
      <w:r w:rsidR="00283065">
        <w:t xml:space="preserve"> </w:t>
      </w:r>
      <w:r w:rsidR="0042434D">
        <w:t>s</w:t>
      </w:r>
      <w:r>
        <w:t>ecurity</w:t>
      </w:r>
      <w:r w:rsidR="0042434D">
        <w:t xml:space="preserve"> –</w:t>
      </w:r>
      <w:r>
        <w:t xml:space="preserve"> </w:t>
      </w:r>
      <w:r w:rsidR="0042434D">
        <w:t xml:space="preserve">prior </w:t>
      </w:r>
      <w:r w:rsidR="007E0672">
        <w:t xml:space="preserve">to </w:t>
      </w:r>
      <w:r>
        <w:t xml:space="preserve">implementation, a cyber security assessment specific to individual health services and their data environment must be conducted. </w:t>
      </w:r>
    </w:p>
    <w:p w14:paraId="50A0916E" w14:textId="2AEA4BA2" w:rsidR="0042434D" w:rsidRDefault="0042434D" w:rsidP="00B517FF">
      <w:pPr>
        <w:pStyle w:val="Bullet1"/>
        <w:ind w:left="284"/>
      </w:pPr>
      <w:r>
        <w:t xml:space="preserve">Clinical governance approval </w:t>
      </w:r>
      <w:r w:rsidR="007D34F4">
        <w:t>–</w:t>
      </w:r>
      <w:r>
        <w:t xml:space="preserve"> </w:t>
      </w:r>
      <w:r w:rsidR="007D34F4">
        <w:t>AI use in clinical practice must be approved through the health service’s local clinical governance processes.</w:t>
      </w:r>
    </w:p>
    <w:p w14:paraId="3EF44B9F" w14:textId="24F68466" w:rsidR="001C6452" w:rsidRDefault="001C6452" w:rsidP="001C6452">
      <w:pPr>
        <w:pStyle w:val="Heading1"/>
      </w:pPr>
      <w:r>
        <w:t>Building Health Service Capability</w:t>
      </w:r>
    </w:p>
    <w:p w14:paraId="7BFCED90" w14:textId="0795E4D1" w:rsidR="002B10BC" w:rsidRDefault="007B2BDC" w:rsidP="0077565E">
      <w:pPr>
        <w:pStyle w:val="Body"/>
      </w:pPr>
      <w:r>
        <w:t>D</w:t>
      </w:r>
      <w:r w:rsidR="009369D4">
        <w:t xml:space="preserve">igital maturity and </w:t>
      </w:r>
      <w:r w:rsidR="00FE10CC">
        <w:t xml:space="preserve">organisational </w:t>
      </w:r>
      <w:r w:rsidR="009369D4">
        <w:t xml:space="preserve">capability </w:t>
      </w:r>
      <w:r w:rsidR="00FE10CC">
        <w:t>are</w:t>
      </w:r>
      <w:r>
        <w:t xml:space="preserve"> key determinant</w:t>
      </w:r>
      <w:r w:rsidR="00FE10CC">
        <w:t>s of</w:t>
      </w:r>
      <w:r>
        <w:t xml:space="preserve"> </w:t>
      </w:r>
      <w:r w:rsidR="00A30BCF">
        <w:t xml:space="preserve">the safe and effective </w:t>
      </w:r>
      <w:r w:rsidR="008A39DE">
        <w:t xml:space="preserve">implementation </w:t>
      </w:r>
      <w:r w:rsidR="00A30BCF">
        <w:t xml:space="preserve">of AI solutions </w:t>
      </w:r>
      <w:r w:rsidR="008A39DE">
        <w:t xml:space="preserve">across </w:t>
      </w:r>
      <w:r w:rsidR="00C142E6">
        <w:t>health services</w:t>
      </w:r>
      <w:r w:rsidR="00E31C7F">
        <w:t xml:space="preserve">. This section outlines </w:t>
      </w:r>
      <w:r w:rsidR="00A30BCF">
        <w:t xml:space="preserve">mechanisms </w:t>
      </w:r>
      <w:r w:rsidR="00E31C7F">
        <w:t xml:space="preserve">to </w:t>
      </w:r>
      <w:r w:rsidR="00A30BCF">
        <w:t xml:space="preserve">support </w:t>
      </w:r>
      <w:r w:rsidR="00F05AFA">
        <w:t xml:space="preserve">readiness </w:t>
      </w:r>
      <w:r w:rsidR="008A39DE">
        <w:t xml:space="preserve">and support </w:t>
      </w:r>
      <w:r w:rsidR="008069D6">
        <w:t>workforce capability</w:t>
      </w:r>
      <w:r w:rsidR="00E80095">
        <w:t xml:space="preserve"> development</w:t>
      </w:r>
      <w:r w:rsidR="008069D6">
        <w:t>.</w:t>
      </w:r>
      <w:r w:rsidR="00F05AFA">
        <w:t xml:space="preserve"> </w:t>
      </w:r>
    </w:p>
    <w:p w14:paraId="41188896" w14:textId="07D66182" w:rsidR="00F05AFA" w:rsidRDefault="00A84099" w:rsidP="008976F4">
      <w:pPr>
        <w:pStyle w:val="Heading2"/>
      </w:pPr>
      <w:r>
        <w:t xml:space="preserve">Maturity </w:t>
      </w:r>
      <w:r w:rsidR="00F522EA">
        <w:t>a</w:t>
      </w:r>
      <w:r>
        <w:t xml:space="preserve">ssessment </w:t>
      </w:r>
    </w:p>
    <w:p w14:paraId="7C3568CC" w14:textId="77777777" w:rsidR="000B2D49" w:rsidRDefault="000B2D49" w:rsidP="000B2D49">
      <w:pPr>
        <w:pStyle w:val="Body"/>
      </w:pPr>
      <w:r>
        <w:t>AI capability and organisational readiness vary significantly across Victorian public health services. Understanding local capability is an important enabler of the safe, effective, and sustainable use of AI.</w:t>
      </w:r>
    </w:p>
    <w:p w14:paraId="21DB7CE9" w14:textId="43C697BF" w:rsidR="000B2D49" w:rsidRDefault="000B2D49" w:rsidP="000B2D49">
      <w:pPr>
        <w:pStyle w:val="Body"/>
      </w:pPr>
      <w:r>
        <w:t xml:space="preserve">To support a consistent and pragmatic approach to assessing readiness, the Victorian Department of Health endorses an AI Maturity Checklist developed by the Digital Health CRC, </w:t>
      </w:r>
      <w:r w:rsidR="00D51818">
        <w:t xml:space="preserve">Bayside Health </w:t>
      </w:r>
      <w:r w:rsidR="008C2267">
        <w:t>(</w:t>
      </w:r>
      <w:r>
        <w:t>Alfred</w:t>
      </w:r>
      <w:r w:rsidR="008C2267">
        <w:t>)</w:t>
      </w:r>
      <w:r>
        <w:t>, and Macquarie University. The checklist is intended to support health services to reflect on their current capability and readiness for AI, rather than to rank or compare organisations.</w:t>
      </w:r>
    </w:p>
    <w:p w14:paraId="05AA894D" w14:textId="209F7F18" w:rsidR="009C1E7A" w:rsidRDefault="002C56F3" w:rsidP="000B2D49">
      <w:pPr>
        <w:pStyle w:val="Body"/>
      </w:pPr>
      <w:r>
        <w:t>The AI Maturity Checklist:</w:t>
      </w:r>
    </w:p>
    <w:p w14:paraId="54CF6C52" w14:textId="2776674B" w:rsidR="00891498" w:rsidRPr="005E18FF" w:rsidRDefault="00891498" w:rsidP="005E18FF">
      <w:pPr>
        <w:pStyle w:val="Bullet1"/>
        <w:ind w:left="284"/>
      </w:pPr>
      <w:r w:rsidRPr="005E18FF">
        <w:t>Is informed by international maturity models and tailored for application within Australian health services</w:t>
      </w:r>
      <w:r w:rsidR="000B2D49" w:rsidRPr="005E18FF">
        <w:t>.</w:t>
      </w:r>
    </w:p>
    <w:p w14:paraId="6CDFC059" w14:textId="3EE4C3B5" w:rsidR="000B2D49" w:rsidRPr="005E18FF" w:rsidRDefault="000B2D49" w:rsidP="0040034A">
      <w:pPr>
        <w:pStyle w:val="Bullet1"/>
        <w:spacing w:after="120"/>
        <w:ind w:left="284"/>
      </w:pPr>
      <w:r w:rsidRPr="005E18FF">
        <w:t xml:space="preserve">Assesses capability across key domains including culture, governance, business implementation, value, maintenance and operations, and data and information architecture. </w:t>
      </w:r>
    </w:p>
    <w:p w14:paraId="10A4B36A" w14:textId="77777777" w:rsidR="000B2D49" w:rsidRPr="000B2D49" w:rsidRDefault="000B2D49" w:rsidP="000B2D49">
      <w:pPr>
        <w:pStyle w:val="Body"/>
      </w:pPr>
      <w:r w:rsidRPr="000B2D49">
        <w:t>Health services are encouraged to use the AI Maturity Checklist to inform implementation planning, identify capability gaps, and guide investment and workforce development priorities. The checklist may also support decisions about the appropriate pace, scale, and risk profile of AI adoption, including whether additional governance, capability building, or support arrangements are required prior to implementation.</w:t>
      </w:r>
    </w:p>
    <w:p w14:paraId="024BBE2A" w14:textId="3C48D575" w:rsidR="000B2D49" w:rsidRDefault="000B2D49" w:rsidP="00B32020">
      <w:pPr>
        <w:pStyle w:val="Body"/>
      </w:pPr>
      <w:r w:rsidRPr="000B2D49">
        <w:t xml:space="preserve">The AI Maturity Checklist and supporting guidance are made available to </w:t>
      </w:r>
      <w:r w:rsidR="008F6A9B">
        <w:t>VPHS</w:t>
      </w:r>
      <w:r w:rsidRPr="000B2D49">
        <w:t xml:space="preserve"> through the Department of Health.</w:t>
      </w:r>
    </w:p>
    <w:p w14:paraId="4A4E17FA" w14:textId="171D93F0" w:rsidR="00F05AFA" w:rsidRDefault="00F05AFA" w:rsidP="008976F4">
      <w:pPr>
        <w:pStyle w:val="Heading2"/>
      </w:pPr>
      <w:r>
        <w:t xml:space="preserve">Workforce </w:t>
      </w:r>
      <w:r w:rsidR="00F522EA">
        <w:t>t</w:t>
      </w:r>
      <w:r>
        <w:t xml:space="preserve">raining </w:t>
      </w:r>
    </w:p>
    <w:p w14:paraId="50FD4937" w14:textId="243944AF" w:rsidR="00CF655C" w:rsidRDefault="00CF655C" w:rsidP="00CF655C">
      <w:pPr>
        <w:pStyle w:val="Body"/>
      </w:pPr>
      <w:r w:rsidRPr="00CF655C">
        <w:t xml:space="preserve">A lack of workforce capability is a recognised risk to the safe, effective, and ethical use of AI in healthcare. Training is therefore a core element of AI governance and </w:t>
      </w:r>
      <w:r w:rsidR="000954BA">
        <w:t>shou</w:t>
      </w:r>
      <w:r w:rsidR="00272915">
        <w:t>ld</w:t>
      </w:r>
      <w:r w:rsidRPr="00CF655C">
        <w:t xml:space="preserve"> be proportionate to the risk, complexity, and context in which AI solutions are used.</w:t>
      </w:r>
    </w:p>
    <w:p w14:paraId="018EBC2F" w14:textId="4E137F4F" w:rsidR="006B7A5D" w:rsidRDefault="006B7A5D" w:rsidP="006B7A5D">
      <w:pPr>
        <w:pStyle w:val="Body"/>
      </w:pPr>
      <w:r>
        <w:t xml:space="preserve">Health services </w:t>
      </w:r>
      <w:r w:rsidR="00E05D6E">
        <w:t>should</w:t>
      </w:r>
      <w:r>
        <w:t xml:space="preserve"> ensure that staff who design, deploy, approve, or use AI solutions have the appropriate knowledge and skills to do so safely. Training should address not only how an AI solution operates, but also its limitations, risks, and the responsibilities that remain with human decision</w:t>
      </w:r>
      <w:r>
        <w:rPr>
          <w:rFonts w:ascii="Cambria Math" w:hAnsi="Cambria Math" w:cs="Cambria Math"/>
        </w:rPr>
        <w:t>‑</w:t>
      </w:r>
      <w:r>
        <w:t>makers.</w:t>
      </w:r>
    </w:p>
    <w:p w14:paraId="67CD0C63" w14:textId="5BD5FD10" w:rsidR="006B0B30" w:rsidRDefault="006B7A5D" w:rsidP="006B7A5D">
      <w:pPr>
        <w:pStyle w:val="Body"/>
      </w:pPr>
      <w:r>
        <w:t>At a minimum, health services should implement a tiered approach to workforce capability:</w:t>
      </w:r>
    </w:p>
    <w:p w14:paraId="61ED3D2E" w14:textId="77777777" w:rsidR="009A100B" w:rsidRPr="009A100B" w:rsidRDefault="009A100B" w:rsidP="00F24E2F">
      <w:pPr>
        <w:pStyle w:val="Heading3"/>
      </w:pPr>
      <w:r w:rsidRPr="009A100B">
        <w:lastRenderedPageBreak/>
        <w:t>Foundational capability (all staff):</w:t>
      </w:r>
    </w:p>
    <w:p w14:paraId="655102AC" w14:textId="77777777" w:rsidR="009A100B" w:rsidRPr="009A100B" w:rsidRDefault="009A100B" w:rsidP="00F577AC">
      <w:pPr>
        <w:pStyle w:val="Bullet1"/>
        <w:ind w:left="284"/>
      </w:pPr>
      <w:r w:rsidRPr="009A100B">
        <w:t>Provide baseline education on AI concepts, benefits, risks, and limitations.</w:t>
      </w:r>
    </w:p>
    <w:p w14:paraId="6FE06F13" w14:textId="77777777" w:rsidR="009A100B" w:rsidRPr="009A100B" w:rsidRDefault="009A100B" w:rsidP="00F577AC">
      <w:pPr>
        <w:pStyle w:val="Bullet1"/>
        <w:ind w:left="284"/>
      </w:pPr>
      <w:r w:rsidRPr="009A100B">
        <w:t>Reinforce expectations regarding appropriate use, accountability, data handling, and professional judgement.</w:t>
      </w:r>
    </w:p>
    <w:p w14:paraId="10123001" w14:textId="498ECB3D" w:rsidR="009A100B" w:rsidRPr="009A100B" w:rsidRDefault="00DE1BAD" w:rsidP="00F577AC">
      <w:pPr>
        <w:pStyle w:val="Bullet1"/>
        <w:ind w:left="284"/>
      </w:pPr>
      <w:r w:rsidRPr="00DE1BAD">
        <w:t>Promote awareness of automation bias</w:t>
      </w:r>
      <w:r>
        <w:t xml:space="preserve"> </w:t>
      </w:r>
      <w:r w:rsidRPr="00DE1BAD">
        <w:t>and other relevant cognitive biases (such as recency or confirmation bias)</w:t>
      </w:r>
      <w:r w:rsidR="00901116">
        <w:t xml:space="preserve"> </w:t>
      </w:r>
      <w:r w:rsidRPr="00DE1BAD">
        <w:t>and reinforce the requirement for critical professional judgement.</w:t>
      </w:r>
    </w:p>
    <w:p w14:paraId="24C852D5" w14:textId="19754B11" w:rsidR="009A100B" w:rsidRPr="009A100B" w:rsidRDefault="009A100B" w:rsidP="00F24E2F">
      <w:pPr>
        <w:pStyle w:val="Heading3"/>
      </w:pPr>
      <w:r w:rsidRPr="3A67249D">
        <w:t>Role</w:t>
      </w:r>
      <w:r w:rsidR="003E3EBA">
        <w:t>-</w:t>
      </w:r>
      <w:r w:rsidRPr="3A67249D">
        <w:t>specific capability (staff using or overseeing AI):</w:t>
      </w:r>
    </w:p>
    <w:p w14:paraId="341E7F42" w14:textId="6AA70761" w:rsidR="009A100B" w:rsidRPr="009A100B" w:rsidRDefault="009A100B" w:rsidP="00F577AC">
      <w:pPr>
        <w:pStyle w:val="Bullet1"/>
        <w:ind w:left="284"/>
      </w:pPr>
      <w:r w:rsidRPr="009A100B">
        <w:t>Ensure staff who directly use AI s</w:t>
      </w:r>
      <w:r w:rsidR="00AA7AFD">
        <w:t>olution</w:t>
      </w:r>
      <w:r w:rsidRPr="009A100B">
        <w:t xml:space="preserve">s receive training specific to the tool, including intended purpose, </w:t>
      </w:r>
      <w:r w:rsidR="007E5034">
        <w:t xml:space="preserve">benefits, </w:t>
      </w:r>
      <w:r w:rsidRPr="009A100B">
        <w:t>limitations, and escalation pathways.</w:t>
      </w:r>
    </w:p>
    <w:p w14:paraId="1104E491" w14:textId="77777777" w:rsidR="009A100B" w:rsidRPr="009A100B" w:rsidRDefault="009A100B" w:rsidP="00F577AC">
      <w:pPr>
        <w:pStyle w:val="Bullet1"/>
        <w:ind w:left="284"/>
      </w:pPr>
      <w:r w:rsidRPr="009A100B">
        <w:t>Provide targeted education for clinical, managerial, and technical roles covering clinical safety, ethical considerations, and governance requirements.</w:t>
      </w:r>
    </w:p>
    <w:p w14:paraId="03C13D23" w14:textId="77777777" w:rsidR="009A100B" w:rsidRPr="009A100B" w:rsidRDefault="009A100B" w:rsidP="00F577AC">
      <w:pPr>
        <w:pStyle w:val="Bullet1"/>
        <w:ind w:left="284"/>
      </w:pPr>
      <w:r w:rsidRPr="009A100B">
        <w:t>Monitor completion of role</w:t>
      </w:r>
      <w:r w:rsidRPr="009A100B">
        <w:noBreakHyphen/>
        <w:t>appropriate training and mandate training where AI use is part of a staff member’s duties.</w:t>
      </w:r>
    </w:p>
    <w:p w14:paraId="27530C82" w14:textId="77777777" w:rsidR="009A100B" w:rsidRPr="009A100B" w:rsidRDefault="009A100B" w:rsidP="00F24E2F">
      <w:pPr>
        <w:pStyle w:val="Heading3"/>
      </w:pPr>
      <w:r w:rsidRPr="009A100B">
        <w:t>Advanced capability (high</w:t>
      </w:r>
      <w:r w:rsidRPr="009A100B">
        <w:noBreakHyphen/>
        <w:t>risk or clinical AI):</w:t>
      </w:r>
    </w:p>
    <w:p w14:paraId="381391D2" w14:textId="77777777" w:rsidR="009A100B" w:rsidRPr="009A100B" w:rsidRDefault="009A100B" w:rsidP="00F577AC">
      <w:pPr>
        <w:pStyle w:val="Bullet1"/>
        <w:ind w:left="284"/>
      </w:pPr>
      <w:r w:rsidRPr="009A100B">
        <w:t>Where AI solutions are used in clinical decision</w:t>
      </w:r>
      <w:r w:rsidRPr="009A100B">
        <w:noBreakHyphen/>
        <w:t>making or other high</w:t>
      </w:r>
      <w:r w:rsidRPr="009A100B">
        <w:noBreakHyphen/>
        <w:t>risk contexts, ensure additional training is provided on human</w:t>
      </w:r>
      <w:r w:rsidRPr="009A100B">
        <w:noBreakHyphen/>
        <w:t>in</w:t>
      </w:r>
      <w:r w:rsidRPr="009A100B">
        <w:noBreakHyphen/>
        <w:t>the</w:t>
      </w:r>
      <w:r w:rsidRPr="009A100B">
        <w:noBreakHyphen/>
        <w:t>loop decision</w:t>
      </w:r>
      <w:r w:rsidRPr="009A100B">
        <w:noBreakHyphen/>
        <w:t>making, uncertainty management, and local clinical governance requirements.</w:t>
      </w:r>
    </w:p>
    <w:p w14:paraId="61CE00C6" w14:textId="77777777" w:rsidR="009A100B" w:rsidRPr="009A100B" w:rsidRDefault="009A100B" w:rsidP="00F577AC">
      <w:pPr>
        <w:pStyle w:val="Bullet1"/>
        <w:ind w:left="284"/>
      </w:pPr>
      <w:r w:rsidRPr="009A100B">
        <w:t>Align training expectations with credentialing, supervision, and scope</w:t>
      </w:r>
      <w:r w:rsidRPr="009A100B">
        <w:noBreakHyphen/>
        <w:t>of</w:t>
      </w:r>
      <w:r w:rsidRPr="009A100B">
        <w:noBreakHyphen/>
        <w:t>practice arrangements where applicable.</w:t>
      </w:r>
    </w:p>
    <w:p w14:paraId="2EF9A6CF" w14:textId="095CF497" w:rsidR="006B7A5D" w:rsidRPr="00F57F0B" w:rsidRDefault="000A3821" w:rsidP="001C57C1">
      <w:pPr>
        <w:pStyle w:val="Body"/>
        <w:spacing w:before="120"/>
      </w:pPr>
      <w:r w:rsidRPr="000A3821">
        <w:t xml:space="preserve">Health services are encouraged to </w:t>
      </w:r>
      <w:r w:rsidRPr="00F57F0B">
        <w:t>provide ongoing education and refresher training as AI solutions evolve.</w:t>
      </w:r>
    </w:p>
    <w:p w14:paraId="36319616" w14:textId="72D18D88" w:rsidR="00900FE4" w:rsidRDefault="00900FE4" w:rsidP="00900FE4">
      <w:pPr>
        <w:pStyle w:val="Heading1"/>
      </w:pPr>
      <w:r>
        <w:t>Additional Information</w:t>
      </w:r>
    </w:p>
    <w:p w14:paraId="6A0AD87A" w14:textId="7857D825" w:rsidR="00934ED0" w:rsidRDefault="00776D78" w:rsidP="00934ED0">
      <w:pPr>
        <w:pStyle w:val="Body"/>
      </w:pPr>
      <w:r>
        <w:t xml:space="preserve">For additional guidance and support </w:t>
      </w:r>
      <w:r w:rsidR="00D8125D">
        <w:t>h</w:t>
      </w:r>
      <w:r w:rsidR="007E0100" w:rsidRPr="00F57F0B">
        <w:t>ealth services</w:t>
      </w:r>
      <w:r w:rsidR="00D8125D">
        <w:t xml:space="preserve"> should refer to </w:t>
      </w:r>
      <w:r w:rsidR="007E0100" w:rsidRPr="00F57F0B">
        <w:t xml:space="preserve">existing authoritative resources, including those developed by the </w:t>
      </w:r>
      <w:hyperlink r:id="rId22" w:history="1">
        <w:r w:rsidR="003D55AE" w:rsidRPr="00610F1E">
          <w:rPr>
            <w:rStyle w:val="Hyperlink"/>
          </w:rPr>
          <w:t>Australian Commission on Safety and Quality in Health</w:t>
        </w:r>
      </w:hyperlink>
      <w:r w:rsidR="00532EC1" w:rsidRPr="00F57F0B">
        <w:rPr>
          <w:rStyle w:val="FootnoteReference"/>
        </w:rPr>
        <w:footnoteReference w:id="8"/>
      </w:r>
      <w:r w:rsidR="00532EC1" w:rsidRPr="00F57F0B">
        <w:t xml:space="preserve"> and </w:t>
      </w:r>
      <w:hyperlink r:id="rId23" w:history="1">
        <w:r w:rsidR="00532EC1" w:rsidRPr="000148F5">
          <w:rPr>
            <w:rStyle w:val="Hyperlink"/>
          </w:rPr>
          <w:t>Australian Health Practitioner Regulation Agency</w:t>
        </w:r>
      </w:hyperlink>
      <w:r w:rsidR="00E05059" w:rsidRPr="00F57F0B">
        <w:rPr>
          <w:rStyle w:val="FootnoteReference"/>
        </w:rPr>
        <w:footnoteReference w:id="9"/>
      </w:r>
      <w:r w:rsidR="00FA4070" w:rsidRPr="00F57F0B">
        <w:t xml:space="preserve">. </w:t>
      </w:r>
    </w:p>
    <w:p w14:paraId="374A8786" w14:textId="7F5E91C3" w:rsidR="00C01FA9" w:rsidRPr="00F57F0B" w:rsidRDefault="001D5352" w:rsidP="00934ED0">
      <w:pPr>
        <w:pStyle w:val="Body"/>
      </w:pPr>
      <w:r w:rsidRPr="00F57F0B">
        <w:t>Profession</w:t>
      </w:r>
      <w:r w:rsidRPr="00F57F0B">
        <w:rPr>
          <w:rFonts w:ascii="Cambria Math" w:hAnsi="Cambria Math" w:cs="Cambria Math"/>
        </w:rPr>
        <w:t>‑</w:t>
      </w:r>
      <w:r w:rsidRPr="00F57F0B">
        <w:t>specific guidance should also be used where available, including materials from:</w:t>
      </w:r>
    </w:p>
    <w:p w14:paraId="1FFB3CC0" w14:textId="31328335" w:rsidR="00AC212B" w:rsidRPr="00F57F0B" w:rsidRDefault="00C01FA9" w:rsidP="00477CB0">
      <w:pPr>
        <w:pStyle w:val="Bullet1"/>
        <w:ind w:left="284"/>
      </w:pPr>
      <w:hyperlink r:id="rId24" w:history="1">
        <w:r w:rsidRPr="00DD0CC2">
          <w:rPr>
            <w:rStyle w:val="Hyperlink"/>
          </w:rPr>
          <w:t>Royal Australian College of General Practitioners (RACGP)</w:t>
        </w:r>
      </w:hyperlink>
      <w:r w:rsidRPr="00477CB0">
        <w:rPr>
          <w:vertAlign w:val="superscript"/>
        </w:rPr>
        <w:footnoteReference w:id="10"/>
      </w:r>
      <w:r w:rsidR="00477CB0">
        <w:t>.</w:t>
      </w:r>
    </w:p>
    <w:p w14:paraId="574F218C" w14:textId="7F5DC062" w:rsidR="00F05059" w:rsidRPr="00F57F0B" w:rsidRDefault="009D59DF" w:rsidP="00477CB0">
      <w:pPr>
        <w:pStyle w:val="Bullet1"/>
        <w:ind w:left="284"/>
      </w:pPr>
      <w:hyperlink r:id="rId25" w:history="1">
        <w:r w:rsidRPr="00205969">
          <w:rPr>
            <w:rStyle w:val="Hyperlink"/>
          </w:rPr>
          <w:t>Health Information Management Association of Australia</w:t>
        </w:r>
      </w:hyperlink>
      <w:r w:rsidRPr="00477CB0">
        <w:rPr>
          <w:vertAlign w:val="superscript"/>
        </w:rPr>
        <w:footnoteReference w:id="11"/>
      </w:r>
      <w:r w:rsidR="00477CB0">
        <w:t>.</w:t>
      </w:r>
    </w:p>
    <w:p w14:paraId="0EEE2473" w14:textId="140CB20C" w:rsidR="00841CA6" w:rsidRPr="00F57F0B" w:rsidRDefault="00841CA6" w:rsidP="00477CB0">
      <w:pPr>
        <w:pStyle w:val="Bullet1"/>
        <w:ind w:left="284"/>
      </w:pPr>
      <w:hyperlink r:id="rId26" w:history="1">
        <w:r w:rsidRPr="009231ED">
          <w:rPr>
            <w:rStyle w:val="Hyperlink"/>
          </w:rPr>
          <w:t>Royal College of Pathologists Australia</w:t>
        </w:r>
      </w:hyperlink>
      <w:r w:rsidRPr="00477CB0">
        <w:rPr>
          <w:vertAlign w:val="superscript"/>
        </w:rPr>
        <w:footnoteReference w:id="12"/>
      </w:r>
      <w:r w:rsidR="00477CB0">
        <w:t>.</w:t>
      </w:r>
    </w:p>
    <w:p w14:paraId="7AA333D9" w14:textId="77FF6BE6" w:rsidR="00634BA1" w:rsidRPr="00F57F0B" w:rsidRDefault="004A6094" w:rsidP="00477CB0">
      <w:pPr>
        <w:pStyle w:val="Body"/>
        <w:spacing w:before="120"/>
      </w:pPr>
      <w:r w:rsidRPr="00F57F0B">
        <w:t>In addition, t</w:t>
      </w:r>
      <w:r w:rsidR="00FE430B" w:rsidRPr="00F57F0B">
        <w:t>he Department of Government Services</w:t>
      </w:r>
      <w:r w:rsidR="00F57F0B" w:rsidRPr="00F57F0B">
        <w:t xml:space="preserve"> </w:t>
      </w:r>
      <w:r w:rsidR="005309AB" w:rsidRPr="00F57F0B">
        <w:t>(DGS)</w:t>
      </w:r>
      <w:r w:rsidR="00FE430B" w:rsidRPr="00F57F0B">
        <w:t xml:space="preserve"> </w:t>
      </w:r>
      <w:r w:rsidR="005309AB" w:rsidRPr="00F57F0B">
        <w:t>leads</w:t>
      </w:r>
      <w:r w:rsidR="00FE430B" w:rsidRPr="00F57F0B">
        <w:t xml:space="preserve"> the Whole of Victorian Government AI assurance. </w:t>
      </w:r>
      <w:r w:rsidR="003243EF" w:rsidRPr="00F57F0B">
        <w:t xml:space="preserve">Resources available to </w:t>
      </w:r>
      <w:r w:rsidR="00124BF5" w:rsidRPr="00F57F0B">
        <w:t xml:space="preserve">health services </w:t>
      </w:r>
      <w:r w:rsidR="003243EF" w:rsidRPr="00F57F0B">
        <w:t xml:space="preserve">include: </w:t>
      </w:r>
    </w:p>
    <w:p w14:paraId="752B3D40" w14:textId="4E38F330" w:rsidR="00C12314" w:rsidRDefault="00C12314" w:rsidP="00477CB0">
      <w:pPr>
        <w:pStyle w:val="Bullet1"/>
        <w:ind w:left="284"/>
      </w:pPr>
      <w:hyperlink r:id="rId27" w:history="1">
        <w:r w:rsidRPr="000F7366">
          <w:rPr>
            <w:rStyle w:val="Hyperlink"/>
          </w:rPr>
          <w:t xml:space="preserve">DGS Generative </w:t>
        </w:r>
        <w:r w:rsidR="00F2273C" w:rsidRPr="000F7366">
          <w:rPr>
            <w:rStyle w:val="Hyperlink"/>
          </w:rPr>
          <w:t>AI</w:t>
        </w:r>
        <w:r w:rsidRPr="000F7366">
          <w:rPr>
            <w:rStyle w:val="Hyperlink"/>
          </w:rPr>
          <w:t xml:space="preserve"> Guidance</w:t>
        </w:r>
      </w:hyperlink>
      <w:r w:rsidR="00643588">
        <w:rPr>
          <w:rStyle w:val="FootnoteReference"/>
        </w:rPr>
        <w:footnoteReference w:id="13"/>
      </w:r>
    </w:p>
    <w:p w14:paraId="119321A7" w14:textId="77777777" w:rsidR="00E174C7" w:rsidRDefault="00E174C7" w:rsidP="00E174C7">
      <w:pPr>
        <w:pStyle w:val="Bullet1"/>
        <w:numPr>
          <w:ilvl w:val="0"/>
          <w:numId w:val="0"/>
        </w:numPr>
        <w:ind w:left="568" w:hanging="284"/>
      </w:pPr>
    </w:p>
    <w:p w14:paraId="1FCE4F61" w14:textId="60206176" w:rsidR="00E174C7" w:rsidRDefault="00E174C7" w:rsidP="00E174C7">
      <w:pPr>
        <w:pStyle w:val="Bullet1"/>
        <w:numPr>
          <w:ilvl w:val="0"/>
          <w:numId w:val="0"/>
        </w:numPr>
        <w:ind w:left="568" w:hanging="284"/>
      </w:pPr>
      <w:r>
        <w:br w:type="page"/>
      </w:r>
    </w:p>
    <w:tbl>
      <w:tblPr>
        <w:tblStyle w:val="TableGrid"/>
        <w:tblW w:w="0" w:type="auto"/>
        <w:tblCellMar>
          <w:bottom w:w="108" w:type="dxa"/>
        </w:tblCellMar>
        <w:tblLook w:val="0600" w:firstRow="0" w:lastRow="0" w:firstColumn="0" w:lastColumn="0" w:noHBand="1" w:noVBand="1"/>
      </w:tblPr>
      <w:tblGrid>
        <w:gridCol w:w="10194"/>
      </w:tblGrid>
      <w:tr w:rsidR="00452247" w14:paraId="0008F314" w14:textId="77777777">
        <w:tc>
          <w:tcPr>
            <w:tcW w:w="10194" w:type="dxa"/>
          </w:tcPr>
          <w:p w14:paraId="53ED7E74" w14:textId="1EF39947" w:rsidR="00452247" w:rsidRPr="0055119B" w:rsidRDefault="00452247">
            <w:pPr>
              <w:pStyle w:val="Accessibilitypara"/>
            </w:pPr>
            <w:bookmarkStart w:id="0" w:name="_Hlk37240926"/>
            <w:r w:rsidRPr="0055119B">
              <w:lastRenderedPageBreak/>
              <w:t>To receive this document in another format email</w:t>
            </w:r>
            <w:r>
              <w:t xml:space="preserve"> </w:t>
            </w:r>
            <w:r w:rsidRPr="0055119B">
              <w:t>&lt;</w:t>
            </w:r>
            <w:r w:rsidRPr="00CC5A2C">
              <w:t>digitalhealth@health.vic.gov.au</w:t>
            </w:r>
            <w:r w:rsidRPr="0055119B">
              <w:t>&gt;.</w:t>
            </w:r>
          </w:p>
          <w:p w14:paraId="59191B74" w14:textId="77777777" w:rsidR="00452247" w:rsidRPr="0055119B" w:rsidRDefault="00452247">
            <w:pPr>
              <w:pStyle w:val="Imprint"/>
            </w:pPr>
            <w:r w:rsidRPr="0055119B">
              <w:t>Authorised and published by the Victorian Government, 1 Treasury Place, Melbourne.</w:t>
            </w:r>
          </w:p>
          <w:p w14:paraId="333F1FE3" w14:textId="77777777" w:rsidR="00452247" w:rsidRPr="0055119B" w:rsidRDefault="00452247">
            <w:pPr>
              <w:pStyle w:val="Imprint"/>
            </w:pPr>
            <w:r w:rsidRPr="0055119B">
              <w:t xml:space="preserve">© State of Victoria, Australia, </w:t>
            </w:r>
            <w:r w:rsidRPr="001E2A36">
              <w:t>Department of Health</w:t>
            </w:r>
            <w:r w:rsidRPr="0055119B">
              <w:t xml:space="preserve">, </w:t>
            </w:r>
            <w:r>
              <w:t xml:space="preserve">May 2026. </w:t>
            </w:r>
          </w:p>
          <w:p w14:paraId="59117C94" w14:textId="77777777" w:rsidR="00452247" w:rsidRDefault="00452247">
            <w:pPr>
              <w:pStyle w:val="Imprint"/>
            </w:pPr>
            <w:r w:rsidRPr="0055119B">
              <w:t xml:space="preserve">ISBN/ISSN </w:t>
            </w:r>
            <w:r w:rsidR="00650071" w:rsidRPr="00650071">
              <w:rPr>
                <w:color w:val="auto"/>
              </w:rPr>
              <w:t>978-1-76131-997-6</w:t>
            </w:r>
            <w:r w:rsidRPr="00650071">
              <w:rPr>
                <w:color w:val="auto"/>
              </w:rPr>
              <w:t xml:space="preserve"> </w:t>
            </w:r>
            <w:r w:rsidRPr="0055119B">
              <w:t>(online/PDF/Word) or (print)</w:t>
            </w:r>
          </w:p>
          <w:p w14:paraId="6471E271" w14:textId="1AD4DF37" w:rsidR="00335C07" w:rsidRDefault="00335C07">
            <w:pPr>
              <w:pStyle w:val="Imprint"/>
            </w:pPr>
            <w:r w:rsidRPr="0055119B">
              <w:t xml:space="preserve">Available at </w:t>
            </w:r>
            <w:hyperlink r:id="rId28" w:history="1">
              <w:r w:rsidRPr="00DD4FF8">
                <w:rPr>
                  <w:rStyle w:val="Hyperlink"/>
                </w:rPr>
                <w:t>Artificial Intelligence in Victorian Public Health Services</w:t>
              </w:r>
            </w:hyperlink>
            <w:r w:rsidRPr="0055119B">
              <w:t xml:space="preserve"> &lt;</w:t>
            </w:r>
            <w:r w:rsidRPr="00335C07">
              <w:rPr>
                <w:color w:val="auto"/>
              </w:rPr>
              <w:t>https://www.health.vic.gov.au/digital-health/artificial-intelligence-in-victorian-public-health-services</w:t>
            </w:r>
            <w:r w:rsidRPr="0055119B">
              <w:t>&gt;</w:t>
            </w:r>
          </w:p>
        </w:tc>
      </w:tr>
      <w:bookmarkEnd w:id="0"/>
    </w:tbl>
    <w:p w14:paraId="7261FA90" w14:textId="77777777" w:rsidR="00452247" w:rsidRDefault="00452247" w:rsidP="00452247">
      <w:pPr>
        <w:pStyle w:val="Body"/>
      </w:pPr>
    </w:p>
    <w:p w14:paraId="1404FBB7" w14:textId="77777777" w:rsidR="008C382D" w:rsidRPr="00200176" w:rsidRDefault="008C382D" w:rsidP="00200176">
      <w:pPr>
        <w:pStyle w:val="Body"/>
      </w:pPr>
    </w:p>
    <w:p w14:paraId="026C555C" w14:textId="77777777" w:rsidR="00351A62" w:rsidRDefault="00351A62" w:rsidP="00162CA9">
      <w:pPr>
        <w:pStyle w:val="Body"/>
        <w:sectPr w:rsidR="00351A62" w:rsidSect="00E62622">
          <w:footerReference w:type="default" r:id="rId29"/>
          <w:type w:val="continuous"/>
          <w:pgSz w:w="11906" w:h="16838" w:code="9"/>
          <w:pgMar w:top="1418" w:right="851" w:bottom="1418" w:left="851" w:header="680" w:footer="851" w:gutter="0"/>
          <w:cols w:space="340"/>
          <w:docGrid w:linePitch="360"/>
        </w:sectPr>
      </w:pPr>
    </w:p>
    <w:p w14:paraId="4324D58C" w14:textId="3600A3F0" w:rsidR="00351A62" w:rsidRDefault="00351A62" w:rsidP="00B5018D">
      <w:pPr>
        <w:pStyle w:val="Heading1"/>
      </w:pPr>
      <w:r>
        <w:lastRenderedPageBreak/>
        <w:t xml:space="preserve">Appendix 1 </w:t>
      </w:r>
      <w:r w:rsidR="00613B09">
        <w:t xml:space="preserve">– Triage </w:t>
      </w:r>
      <w:r w:rsidR="004F096C">
        <w:t xml:space="preserve">Assessment </w:t>
      </w:r>
      <w:r w:rsidR="00B5018D">
        <w:t>Criteria</w:t>
      </w:r>
    </w:p>
    <w:p w14:paraId="5625D84D" w14:textId="30C6580A" w:rsidR="00CE5C28" w:rsidRDefault="000B2D49" w:rsidP="00162CA9">
      <w:pPr>
        <w:pStyle w:val="Body"/>
      </w:pPr>
      <w:r w:rsidRPr="000B2D49">
        <w:t>The questions below are designed to support an early</w:t>
      </w:r>
      <w:r w:rsidRPr="000B2D49">
        <w:rPr>
          <w:rFonts w:ascii="Cambria Math" w:hAnsi="Cambria Math" w:cs="Cambria Math"/>
        </w:rPr>
        <w:t>‑</w:t>
      </w:r>
      <w:r w:rsidRPr="000B2D49">
        <w:t>stage decision on whether a proposed AI solution should be progressed for further assessment. The questions should be answered sequentially to clarify the problem being addressed, the expected value, and whether the health service has sufficient organisational, financial, and technical readiness to proceed.</w:t>
      </w:r>
    </w:p>
    <w:tbl>
      <w:tblPr>
        <w:tblStyle w:val="TableGrid"/>
        <w:tblW w:w="0" w:type="auto"/>
        <w:tblLook w:val="04A0" w:firstRow="1" w:lastRow="0" w:firstColumn="1" w:lastColumn="0" w:noHBand="0" w:noVBand="1"/>
      </w:tblPr>
      <w:tblGrid>
        <w:gridCol w:w="1025"/>
        <w:gridCol w:w="8893"/>
        <w:gridCol w:w="2126"/>
        <w:gridCol w:w="1948"/>
      </w:tblGrid>
      <w:tr w:rsidR="00827D31" w14:paraId="1A4D207E" w14:textId="77777777" w:rsidTr="008A4364">
        <w:tc>
          <w:tcPr>
            <w:tcW w:w="1025" w:type="dxa"/>
            <w:tcMar>
              <w:left w:w="57" w:type="dxa"/>
              <w:right w:w="57" w:type="dxa"/>
            </w:tcMar>
          </w:tcPr>
          <w:p w14:paraId="4115C578" w14:textId="42502AA3" w:rsidR="00827D31" w:rsidRDefault="00827D31" w:rsidP="0017526B">
            <w:pPr>
              <w:pStyle w:val="Tablecolhead"/>
            </w:pPr>
            <w:r>
              <w:t>Question</w:t>
            </w:r>
            <w:r w:rsidR="0035318D">
              <w:t xml:space="preserve"> </w:t>
            </w:r>
          </w:p>
        </w:tc>
        <w:tc>
          <w:tcPr>
            <w:tcW w:w="8893" w:type="dxa"/>
            <w:tcMar>
              <w:left w:w="57" w:type="dxa"/>
              <w:right w:w="57" w:type="dxa"/>
            </w:tcMar>
          </w:tcPr>
          <w:p w14:paraId="3436071F" w14:textId="05494318" w:rsidR="00827D31" w:rsidRDefault="0035318D" w:rsidP="0017526B">
            <w:pPr>
              <w:pStyle w:val="Tablecolhead"/>
            </w:pPr>
            <w:r>
              <w:t>Assessment Criteria</w:t>
            </w:r>
          </w:p>
        </w:tc>
        <w:tc>
          <w:tcPr>
            <w:tcW w:w="2126" w:type="dxa"/>
            <w:tcMar>
              <w:left w:w="57" w:type="dxa"/>
              <w:right w:w="57" w:type="dxa"/>
            </w:tcMar>
          </w:tcPr>
          <w:p w14:paraId="17BC0948" w14:textId="6695C09B" w:rsidR="00827D31" w:rsidRDefault="0017526B" w:rsidP="0017526B">
            <w:pPr>
              <w:pStyle w:val="Tablecolhead"/>
            </w:pPr>
            <w:r>
              <w:t>Answer No</w:t>
            </w:r>
          </w:p>
        </w:tc>
        <w:tc>
          <w:tcPr>
            <w:tcW w:w="1948" w:type="dxa"/>
            <w:tcMar>
              <w:left w:w="57" w:type="dxa"/>
              <w:right w:w="57" w:type="dxa"/>
            </w:tcMar>
          </w:tcPr>
          <w:p w14:paraId="23BCBA8B" w14:textId="11C9419C" w:rsidR="00827D31" w:rsidRDefault="0017526B" w:rsidP="0017526B">
            <w:pPr>
              <w:pStyle w:val="Tablecolhead"/>
            </w:pPr>
            <w:r>
              <w:t>Answer Yes</w:t>
            </w:r>
          </w:p>
        </w:tc>
      </w:tr>
      <w:tr w:rsidR="00827D31" w14:paraId="7302E315" w14:textId="77777777" w:rsidTr="008A4364">
        <w:tc>
          <w:tcPr>
            <w:tcW w:w="1025" w:type="dxa"/>
            <w:tcMar>
              <w:left w:w="57" w:type="dxa"/>
              <w:right w:w="57" w:type="dxa"/>
            </w:tcMar>
          </w:tcPr>
          <w:p w14:paraId="4A55D71F" w14:textId="75944045" w:rsidR="00827D31" w:rsidRDefault="00827D31" w:rsidP="00827D31">
            <w:pPr>
              <w:pStyle w:val="Tablebullet1"/>
              <w:numPr>
                <w:ilvl w:val="0"/>
                <w:numId w:val="0"/>
              </w:numPr>
              <w:ind w:left="227" w:hanging="227"/>
            </w:pPr>
            <w:r>
              <w:t>1</w:t>
            </w:r>
          </w:p>
        </w:tc>
        <w:tc>
          <w:tcPr>
            <w:tcW w:w="8893" w:type="dxa"/>
            <w:tcMar>
              <w:left w:w="57" w:type="dxa"/>
              <w:right w:w="57" w:type="dxa"/>
            </w:tcMar>
          </w:tcPr>
          <w:p w14:paraId="0A6901CA" w14:textId="77777777" w:rsidR="00827D31" w:rsidRDefault="00827D31" w:rsidP="0035318D">
            <w:pPr>
              <w:pStyle w:val="Tabletext"/>
            </w:pPr>
            <w:r>
              <w:t>Is there a clearly defined problem or decision that the AI solution is intended to address?</w:t>
            </w:r>
          </w:p>
          <w:p w14:paraId="79766225" w14:textId="77777777" w:rsidR="00827D31" w:rsidRDefault="00827D31" w:rsidP="00827D31">
            <w:pPr>
              <w:pStyle w:val="Tablebullet1"/>
            </w:pPr>
            <w:r>
              <w:t>Is the problem concrete, observable, and owned by a specific business or clinical area?</w:t>
            </w:r>
          </w:p>
          <w:p w14:paraId="1BE44BE1" w14:textId="4DA01562" w:rsidR="00827D31" w:rsidRDefault="00827D31" w:rsidP="00827D31">
            <w:pPr>
              <w:pStyle w:val="Tablebullet1"/>
            </w:pPr>
            <w:r>
              <w:t>Would this problem still require resolution if the AI solution did not exist?</w:t>
            </w:r>
          </w:p>
        </w:tc>
        <w:tc>
          <w:tcPr>
            <w:tcW w:w="2126" w:type="dxa"/>
            <w:shd w:val="clear" w:color="auto" w:fill="E5B8B7" w:themeFill="accent2" w:themeFillTint="66"/>
            <w:tcMar>
              <w:left w:w="57" w:type="dxa"/>
              <w:right w:w="57" w:type="dxa"/>
            </w:tcMar>
          </w:tcPr>
          <w:p w14:paraId="203FC2DE" w14:textId="016BF766" w:rsidR="00827D31" w:rsidRPr="005F4C69" w:rsidRDefault="009E2F15" w:rsidP="00162CA9">
            <w:pPr>
              <w:pStyle w:val="Body"/>
            </w:pPr>
            <w:r w:rsidRPr="005F4C69">
              <w:t xml:space="preserve">If no, </w:t>
            </w:r>
            <w:r w:rsidR="009F3773" w:rsidRPr="005F4C69">
              <w:t>do not proceed</w:t>
            </w:r>
          </w:p>
        </w:tc>
        <w:tc>
          <w:tcPr>
            <w:tcW w:w="1948" w:type="dxa"/>
            <w:shd w:val="clear" w:color="auto" w:fill="D6E3BC" w:themeFill="accent3" w:themeFillTint="66"/>
            <w:tcMar>
              <w:left w:w="57" w:type="dxa"/>
              <w:right w:w="57" w:type="dxa"/>
            </w:tcMar>
          </w:tcPr>
          <w:p w14:paraId="4923871B" w14:textId="28A52C35" w:rsidR="00827D31" w:rsidRPr="005F4C69" w:rsidRDefault="00BF5C13" w:rsidP="00162CA9">
            <w:pPr>
              <w:pStyle w:val="Body"/>
            </w:pPr>
            <w:r w:rsidRPr="005F4C69">
              <w:t xml:space="preserve">If yes, </w:t>
            </w:r>
            <w:r w:rsidR="005F4C69" w:rsidRPr="005F4C69">
              <w:t>continue to question 2</w:t>
            </w:r>
          </w:p>
        </w:tc>
      </w:tr>
      <w:tr w:rsidR="00827D31" w14:paraId="6ADBB452" w14:textId="77777777" w:rsidTr="008A4364">
        <w:tc>
          <w:tcPr>
            <w:tcW w:w="1025" w:type="dxa"/>
            <w:tcMar>
              <w:left w:w="57" w:type="dxa"/>
              <w:right w:w="57" w:type="dxa"/>
            </w:tcMar>
          </w:tcPr>
          <w:p w14:paraId="63F7CA16" w14:textId="16F403AD" w:rsidR="00827D31" w:rsidRDefault="0035318D" w:rsidP="00162CA9">
            <w:pPr>
              <w:pStyle w:val="Body"/>
            </w:pPr>
            <w:r>
              <w:t>2</w:t>
            </w:r>
          </w:p>
        </w:tc>
        <w:tc>
          <w:tcPr>
            <w:tcW w:w="8893" w:type="dxa"/>
            <w:tcMar>
              <w:left w:w="57" w:type="dxa"/>
              <w:right w:w="57" w:type="dxa"/>
            </w:tcMar>
          </w:tcPr>
          <w:p w14:paraId="118DD387" w14:textId="77777777" w:rsidR="0035318D" w:rsidRPr="0035318D" w:rsidRDefault="0035318D" w:rsidP="0035318D">
            <w:pPr>
              <w:pStyle w:val="Tabletext"/>
              <w:rPr>
                <w:rFonts w:eastAsia="Times"/>
              </w:rPr>
            </w:pPr>
            <w:r w:rsidRPr="0035318D">
              <w:rPr>
                <w:rFonts w:eastAsia="Times"/>
              </w:rPr>
              <w:t>Is there a plausible and timely benefit that justifies governance effort?</w:t>
            </w:r>
          </w:p>
          <w:p w14:paraId="08F8A7BB" w14:textId="77777777" w:rsidR="0035318D" w:rsidRPr="0035318D" w:rsidRDefault="0035318D" w:rsidP="0035318D">
            <w:pPr>
              <w:pStyle w:val="Tablebullet1"/>
              <w:rPr>
                <w:rFonts w:eastAsia="Times"/>
              </w:rPr>
            </w:pPr>
            <w:r w:rsidRPr="0035318D">
              <w:rPr>
                <w:rFonts w:eastAsia="Times"/>
              </w:rPr>
              <w:t>Is the expected benefit specific and measurable (clinical, operational, safety, or efficiency)?</w:t>
            </w:r>
          </w:p>
          <w:p w14:paraId="50CE9962" w14:textId="220B2B10" w:rsidR="00827D31" w:rsidRPr="0035318D" w:rsidRDefault="0035318D" w:rsidP="00162CA9">
            <w:pPr>
              <w:pStyle w:val="Tablebullet1"/>
              <w:rPr>
                <w:rFonts w:eastAsia="Times"/>
              </w:rPr>
            </w:pPr>
            <w:r w:rsidRPr="0035318D">
              <w:rPr>
                <w:rFonts w:eastAsia="Times"/>
              </w:rPr>
              <w:t>Is the benefit expected within a reasonable timeframe (e.g.</w:t>
            </w:r>
            <w:r w:rsidR="0005704E">
              <w:rPr>
                <w:rFonts w:eastAsia="Times"/>
              </w:rPr>
              <w:t>,</w:t>
            </w:r>
            <w:r w:rsidRPr="0035318D">
              <w:rPr>
                <w:rFonts w:eastAsia="Times"/>
              </w:rPr>
              <w:t xml:space="preserve"> pilot or early implementation phase), rather than being purely aspirational?</w:t>
            </w:r>
          </w:p>
        </w:tc>
        <w:tc>
          <w:tcPr>
            <w:tcW w:w="2126" w:type="dxa"/>
            <w:shd w:val="clear" w:color="auto" w:fill="E5B8B7" w:themeFill="accent2" w:themeFillTint="66"/>
            <w:tcMar>
              <w:left w:w="57" w:type="dxa"/>
              <w:right w:w="57" w:type="dxa"/>
            </w:tcMar>
          </w:tcPr>
          <w:p w14:paraId="20DF2F14" w14:textId="4D424E6A" w:rsidR="00827D31" w:rsidRPr="005F4C69" w:rsidRDefault="009F3773" w:rsidP="00162CA9">
            <w:pPr>
              <w:pStyle w:val="Body"/>
            </w:pPr>
            <w:r w:rsidRPr="005F4C69">
              <w:t>If no, do not proceed</w:t>
            </w:r>
          </w:p>
        </w:tc>
        <w:tc>
          <w:tcPr>
            <w:tcW w:w="1948" w:type="dxa"/>
            <w:shd w:val="clear" w:color="auto" w:fill="D6E3BC" w:themeFill="accent3" w:themeFillTint="66"/>
            <w:tcMar>
              <w:left w:w="57" w:type="dxa"/>
              <w:right w:w="57" w:type="dxa"/>
            </w:tcMar>
          </w:tcPr>
          <w:p w14:paraId="2D1DCA04" w14:textId="35FFFFFF" w:rsidR="00827D31" w:rsidRPr="005F4C69" w:rsidRDefault="005F4C69" w:rsidP="00162CA9">
            <w:pPr>
              <w:pStyle w:val="Body"/>
            </w:pPr>
            <w:r w:rsidRPr="005F4C69">
              <w:t>If yes, continue to question 3</w:t>
            </w:r>
          </w:p>
        </w:tc>
      </w:tr>
      <w:tr w:rsidR="00827D31" w14:paraId="1F99475B" w14:textId="77777777" w:rsidTr="00650505">
        <w:tc>
          <w:tcPr>
            <w:tcW w:w="1025" w:type="dxa"/>
            <w:tcMar>
              <w:left w:w="57" w:type="dxa"/>
              <w:right w:w="57" w:type="dxa"/>
            </w:tcMar>
          </w:tcPr>
          <w:p w14:paraId="50E10B82" w14:textId="5240127E" w:rsidR="00827D31" w:rsidRDefault="005F4C69" w:rsidP="00162CA9">
            <w:pPr>
              <w:pStyle w:val="Body"/>
            </w:pPr>
            <w:r>
              <w:t>3</w:t>
            </w:r>
          </w:p>
        </w:tc>
        <w:tc>
          <w:tcPr>
            <w:tcW w:w="8893" w:type="dxa"/>
            <w:tcMar>
              <w:left w:w="57" w:type="dxa"/>
              <w:right w:w="57" w:type="dxa"/>
            </w:tcMar>
          </w:tcPr>
          <w:p w14:paraId="32F80B58" w14:textId="196F5E2A" w:rsidR="00827D31" w:rsidRDefault="00C51837" w:rsidP="00266434">
            <w:pPr>
              <w:pStyle w:val="Tabletext"/>
            </w:pPr>
            <w:r>
              <w:t xml:space="preserve">Is the </w:t>
            </w:r>
            <w:r w:rsidR="00B63E57">
              <w:t>investment r</w:t>
            </w:r>
            <w:r w:rsidR="00F07325">
              <w:t>equired to</w:t>
            </w:r>
            <w:r w:rsidR="00F06A75">
              <w:t xml:space="preserve"> </w:t>
            </w:r>
            <w:r w:rsidR="00272A69">
              <w:t>support the</w:t>
            </w:r>
            <w:r w:rsidR="00266434">
              <w:t xml:space="preserve"> </w:t>
            </w:r>
            <w:r w:rsidR="00266434" w:rsidRPr="00266434">
              <w:t xml:space="preserve">proposal </w:t>
            </w:r>
            <w:r w:rsidR="002A124B">
              <w:t>affordable and justified for the health service</w:t>
            </w:r>
            <w:r w:rsidR="00266434" w:rsidRPr="00266434">
              <w:t>?</w:t>
            </w:r>
          </w:p>
          <w:p w14:paraId="7211F7DA" w14:textId="49B16AD1" w:rsidR="00266434" w:rsidRDefault="00266434" w:rsidP="00266434">
            <w:pPr>
              <w:pStyle w:val="Tablebullet1"/>
            </w:pPr>
            <w:r>
              <w:t>Is the</w:t>
            </w:r>
            <w:r w:rsidR="00320F60">
              <w:t xml:space="preserve">re robust evidence that, upon implementation, the AI solution will be </w:t>
            </w:r>
            <w:r w:rsidR="00DA53FD">
              <w:t>save costs within a reasonable period</w:t>
            </w:r>
            <w:r w:rsidR="00AF5ED0">
              <w:t>;</w:t>
            </w:r>
            <w:r w:rsidR="00DA53FD">
              <w:t xml:space="preserve"> or</w:t>
            </w:r>
            <w:r w:rsidR="00AF5ED0">
              <w:t xml:space="preserve">, </w:t>
            </w:r>
            <w:r w:rsidR="00B53150" w:rsidRPr="00B53150">
              <w:t>where cost savings are not expected,</w:t>
            </w:r>
          </w:p>
          <w:p w14:paraId="09A1A8D3" w14:textId="27C1BC82" w:rsidR="00DA53FD" w:rsidRDefault="00167201" w:rsidP="00266434">
            <w:pPr>
              <w:pStyle w:val="Tablebullet1"/>
            </w:pPr>
            <w:r>
              <w:t xml:space="preserve">Is the investment in the AI justified by </w:t>
            </w:r>
            <w:r w:rsidR="00930523" w:rsidRPr="00930523">
              <w:t>clearly defined and measurable clinical, operational, or system</w:t>
            </w:r>
            <w:r w:rsidR="00930523" w:rsidRPr="00930523">
              <w:rPr>
                <w:rFonts w:ascii="Cambria Math" w:hAnsi="Cambria Math" w:cs="Cambria Math"/>
              </w:rPr>
              <w:t>‑</w:t>
            </w:r>
            <w:r w:rsidR="00930523" w:rsidRPr="00930523">
              <w:t>level benefits?</w:t>
            </w:r>
          </w:p>
        </w:tc>
        <w:tc>
          <w:tcPr>
            <w:tcW w:w="2126" w:type="dxa"/>
            <w:shd w:val="clear" w:color="auto" w:fill="E5B8B7" w:themeFill="accent2" w:themeFillTint="66"/>
            <w:tcMar>
              <w:left w:w="57" w:type="dxa"/>
              <w:right w:w="57" w:type="dxa"/>
            </w:tcMar>
          </w:tcPr>
          <w:p w14:paraId="19D66405" w14:textId="0E0139C5" w:rsidR="00827D31" w:rsidRPr="005F4C69" w:rsidRDefault="009F3773" w:rsidP="00162CA9">
            <w:pPr>
              <w:pStyle w:val="Body"/>
            </w:pPr>
            <w:r w:rsidRPr="005F4C69">
              <w:t>If n</w:t>
            </w:r>
            <w:r w:rsidR="006306B3">
              <w:t>o</w:t>
            </w:r>
            <w:r w:rsidRPr="005F4C69">
              <w:t xml:space="preserve">, </w:t>
            </w:r>
            <w:r w:rsidR="00B07445" w:rsidRPr="005F4C69">
              <w:t xml:space="preserve">do not proceed </w:t>
            </w:r>
          </w:p>
        </w:tc>
        <w:tc>
          <w:tcPr>
            <w:tcW w:w="1948" w:type="dxa"/>
            <w:shd w:val="clear" w:color="auto" w:fill="D6E3BC" w:themeFill="accent3" w:themeFillTint="66"/>
            <w:tcMar>
              <w:left w:w="57" w:type="dxa"/>
              <w:right w:w="57" w:type="dxa"/>
            </w:tcMar>
          </w:tcPr>
          <w:p w14:paraId="50C7E497" w14:textId="312BC12B" w:rsidR="00827D31" w:rsidRPr="005F4C69" w:rsidRDefault="005F4C69" w:rsidP="00162CA9">
            <w:pPr>
              <w:pStyle w:val="Body"/>
            </w:pPr>
            <w:r w:rsidRPr="005F4C69">
              <w:t xml:space="preserve">If yes, </w:t>
            </w:r>
            <w:r w:rsidR="00B07445">
              <w:t>continue to question 4</w:t>
            </w:r>
          </w:p>
        </w:tc>
      </w:tr>
      <w:tr w:rsidR="002274EC" w14:paraId="3FE81D57" w14:textId="77777777" w:rsidTr="00F75437">
        <w:tc>
          <w:tcPr>
            <w:tcW w:w="1025" w:type="dxa"/>
            <w:tcMar>
              <w:left w:w="57" w:type="dxa"/>
              <w:right w:w="57" w:type="dxa"/>
            </w:tcMar>
          </w:tcPr>
          <w:p w14:paraId="78BD1A43" w14:textId="18271BF6" w:rsidR="002274EC" w:rsidRDefault="002274EC" w:rsidP="002274EC">
            <w:pPr>
              <w:pStyle w:val="Body"/>
            </w:pPr>
            <w:r>
              <w:t>4</w:t>
            </w:r>
          </w:p>
        </w:tc>
        <w:tc>
          <w:tcPr>
            <w:tcW w:w="8893" w:type="dxa"/>
            <w:tcMar>
              <w:left w:w="57" w:type="dxa"/>
              <w:right w:w="57" w:type="dxa"/>
            </w:tcMar>
          </w:tcPr>
          <w:p w14:paraId="16B525A1" w14:textId="1F7DE763" w:rsidR="002274EC" w:rsidRDefault="002274EC" w:rsidP="002274EC">
            <w:pPr>
              <w:pStyle w:val="Tabletext"/>
            </w:pPr>
            <w:r w:rsidRPr="00C45616">
              <w:t>Can the use case be delivered within the organisation’s current or planned capabilities</w:t>
            </w:r>
            <w:r>
              <w:t xml:space="preserve"> and priorities</w:t>
            </w:r>
            <w:r w:rsidRPr="00C45616">
              <w:t>?</w:t>
            </w:r>
          </w:p>
          <w:p w14:paraId="405001D2" w14:textId="02F056F2" w:rsidR="002274EC" w:rsidRDefault="00414CFD" w:rsidP="002274EC">
            <w:pPr>
              <w:pStyle w:val="Tablebullet1"/>
              <w:numPr>
                <w:ilvl w:val="0"/>
                <w:numId w:val="23"/>
              </w:numPr>
            </w:pPr>
            <w:r>
              <w:t>Are the required</w:t>
            </w:r>
            <w:r w:rsidR="002274EC" w:rsidRPr="00CC5833">
              <w:t xml:space="preserve"> data, systems </w:t>
            </w:r>
            <w:r>
              <w:t>and</w:t>
            </w:r>
            <w:r w:rsidR="002274EC" w:rsidRPr="00CC5833">
              <w:t xml:space="preserve"> workforce available or planned?</w:t>
            </w:r>
          </w:p>
          <w:p w14:paraId="09A56D7C" w14:textId="5256B390" w:rsidR="002274EC" w:rsidRDefault="002274EC" w:rsidP="002274EC">
            <w:pPr>
              <w:pStyle w:val="Tablebullet1"/>
              <w:numPr>
                <w:ilvl w:val="0"/>
                <w:numId w:val="23"/>
              </w:numPr>
            </w:pPr>
            <w:r w:rsidRPr="00A65E18">
              <w:t xml:space="preserve">Does the use case align with current organisational </w:t>
            </w:r>
            <w:r>
              <w:t xml:space="preserve">strategic and operational </w:t>
            </w:r>
            <w:r w:rsidRPr="00A65E18">
              <w:t>priorities?</w:t>
            </w:r>
          </w:p>
        </w:tc>
        <w:tc>
          <w:tcPr>
            <w:tcW w:w="2126" w:type="dxa"/>
            <w:shd w:val="clear" w:color="auto" w:fill="E5B8B7"/>
            <w:tcMar>
              <w:left w:w="57" w:type="dxa"/>
              <w:right w:w="57" w:type="dxa"/>
            </w:tcMar>
          </w:tcPr>
          <w:p w14:paraId="2A65EC50" w14:textId="6B8763FF" w:rsidR="002274EC" w:rsidRPr="005F4C69" w:rsidRDefault="002274EC" w:rsidP="002274EC">
            <w:pPr>
              <w:pStyle w:val="Body"/>
            </w:pPr>
            <w:r w:rsidRPr="007945C7">
              <w:t xml:space="preserve">If no, do not proceed </w:t>
            </w:r>
          </w:p>
        </w:tc>
        <w:tc>
          <w:tcPr>
            <w:tcW w:w="1948" w:type="dxa"/>
            <w:shd w:val="clear" w:color="auto" w:fill="D6E3BC" w:themeFill="accent3" w:themeFillTint="66"/>
            <w:tcMar>
              <w:left w:w="57" w:type="dxa"/>
              <w:right w:w="57" w:type="dxa"/>
            </w:tcMar>
          </w:tcPr>
          <w:p w14:paraId="232790BB" w14:textId="0E070985" w:rsidR="002274EC" w:rsidRDefault="002274EC" w:rsidP="002274EC">
            <w:pPr>
              <w:pStyle w:val="Body"/>
            </w:pPr>
            <w:r w:rsidRPr="007945C7">
              <w:t xml:space="preserve">If yes, continue to question </w:t>
            </w:r>
            <w:r>
              <w:t>5</w:t>
            </w:r>
          </w:p>
        </w:tc>
      </w:tr>
      <w:tr w:rsidR="00004F0E" w14:paraId="70D4B9DB" w14:textId="77777777" w:rsidTr="008A4364">
        <w:tc>
          <w:tcPr>
            <w:tcW w:w="1025" w:type="dxa"/>
            <w:tcMar>
              <w:left w:w="57" w:type="dxa"/>
              <w:right w:w="57" w:type="dxa"/>
            </w:tcMar>
          </w:tcPr>
          <w:p w14:paraId="4019DB0C" w14:textId="7D9D6BD4" w:rsidR="00004F0E" w:rsidRDefault="005F4C69" w:rsidP="00004F0E">
            <w:pPr>
              <w:pStyle w:val="Body"/>
            </w:pPr>
            <w:r>
              <w:t>5</w:t>
            </w:r>
          </w:p>
        </w:tc>
        <w:tc>
          <w:tcPr>
            <w:tcW w:w="8893" w:type="dxa"/>
            <w:tcMar>
              <w:left w:w="57" w:type="dxa"/>
              <w:right w:w="57" w:type="dxa"/>
            </w:tcMar>
          </w:tcPr>
          <w:p w14:paraId="4E5D7E10" w14:textId="77777777" w:rsidR="00004F0E" w:rsidRDefault="00004F0E" w:rsidP="00004F0E">
            <w:pPr>
              <w:pStyle w:val="Tabletext"/>
            </w:pPr>
            <w:proofErr w:type="gramStart"/>
            <w:r>
              <w:t>Is</w:t>
            </w:r>
            <w:proofErr w:type="gramEnd"/>
            <w:r>
              <w:t xml:space="preserve"> there executive sponsor/ownership and an organisational supported willingness to change practice?</w:t>
            </w:r>
          </w:p>
          <w:p w14:paraId="0F166E8F" w14:textId="77777777" w:rsidR="00004F0E" w:rsidRDefault="00004F0E" w:rsidP="00004F0E">
            <w:pPr>
              <w:pStyle w:val="Tablebullet1"/>
            </w:pPr>
            <w:r>
              <w:t>Is there a clearly identified executive or clinical owner accountable for the use case?</w:t>
            </w:r>
          </w:p>
          <w:p w14:paraId="56532102" w14:textId="242A8AAA" w:rsidR="00004F0E" w:rsidRDefault="00004F0E" w:rsidP="00004F0E">
            <w:pPr>
              <w:pStyle w:val="Tablebullet1"/>
            </w:pPr>
            <w:r>
              <w:t>Is there realistic intent to change workflows, policies, or behaviours if the AI solution is adopted?</w:t>
            </w:r>
          </w:p>
        </w:tc>
        <w:tc>
          <w:tcPr>
            <w:tcW w:w="2126" w:type="dxa"/>
            <w:shd w:val="clear" w:color="auto" w:fill="FBD4B4" w:themeFill="accent6" w:themeFillTint="66"/>
            <w:tcMar>
              <w:left w:w="57" w:type="dxa"/>
              <w:right w:w="57" w:type="dxa"/>
            </w:tcMar>
          </w:tcPr>
          <w:p w14:paraId="4E263759" w14:textId="7E8A1342" w:rsidR="00004F0E" w:rsidRDefault="00C466B4" w:rsidP="00004F0E">
            <w:pPr>
              <w:pStyle w:val="Body"/>
            </w:pPr>
            <w:r>
              <w:t xml:space="preserve">If no, </w:t>
            </w:r>
            <w:r w:rsidR="0017526B" w:rsidRPr="0017526B">
              <w:t>pause until ownership is established</w:t>
            </w:r>
          </w:p>
        </w:tc>
        <w:tc>
          <w:tcPr>
            <w:tcW w:w="1948" w:type="dxa"/>
            <w:shd w:val="clear" w:color="auto" w:fill="D6E3BC" w:themeFill="accent3" w:themeFillTint="66"/>
            <w:tcMar>
              <w:left w:w="57" w:type="dxa"/>
              <w:right w:w="57" w:type="dxa"/>
            </w:tcMar>
          </w:tcPr>
          <w:p w14:paraId="2B262135" w14:textId="7E83EA36" w:rsidR="00004F0E" w:rsidRDefault="00C466B4" w:rsidP="00004F0E">
            <w:pPr>
              <w:pStyle w:val="Body"/>
            </w:pPr>
            <w:r>
              <w:t>If yes, continue to risk assessment</w:t>
            </w:r>
            <w:r w:rsidR="0017526B">
              <w:t xml:space="preserve"> (appendix 2)</w:t>
            </w:r>
            <w:r>
              <w:t xml:space="preserve">  </w:t>
            </w:r>
          </w:p>
        </w:tc>
      </w:tr>
    </w:tbl>
    <w:p w14:paraId="0718F419" w14:textId="194F5375" w:rsidR="00D11D4F" w:rsidRDefault="00D05A86" w:rsidP="00DC618C">
      <w:pPr>
        <w:pStyle w:val="Heading1"/>
      </w:pPr>
      <w:r>
        <w:lastRenderedPageBreak/>
        <w:t>Appendix 2</w:t>
      </w:r>
      <w:r w:rsidR="00BF4FA6">
        <w:t xml:space="preserve"> –</w:t>
      </w:r>
      <w:r>
        <w:t xml:space="preserve"> Risk Assessment</w:t>
      </w:r>
    </w:p>
    <w:p w14:paraId="5FB882B5" w14:textId="77777777" w:rsidR="00D05A86" w:rsidRDefault="00D05A86" w:rsidP="00D05A86">
      <w:pPr>
        <w:pStyle w:val="Body"/>
      </w:pPr>
      <w:r w:rsidRPr="00D05A86">
        <w:t>This framework is designed to identify characteristics of an AI solution that may increase risk, complexity, or potential impact within a Victorian public health service context. Responses to the questions below are intended to inform the scope, depth, and focus of governance activities required prior to implementation, rather than to prescribe a single or uniform governance pathway</w:t>
      </w:r>
      <w:r>
        <w:t>.</w:t>
      </w:r>
    </w:p>
    <w:p w14:paraId="447B3C0F" w14:textId="77777777" w:rsidR="00D05A86" w:rsidRDefault="00D05A86" w:rsidP="00D05A86">
      <w:pPr>
        <w:pStyle w:val="Body"/>
      </w:pPr>
      <w:r>
        <w:t>How to apply this framework:</w:t>
      </w:r>
    </w:p>
    <w:p w14:paraId="46BBF147" w14:textId="77777777" w:rsidR="00D05A86" w:rsidRPr="00D05A86" w:rsidRDefault="00D05A86" w:rsidP="003C436D">
      <w:pPr>
        <w:pStyle w:val="Bullet1"/>
        <w:ind w:left="284"/>
      </w:pPr>
      <w:r w:rsidRPr="00D05A86">
        <w:t xml:space="preserve">Questions should be answered Yes / No / Unsure based on the intended local use of the AI solution. </w:t>
      </w:r>
    </w:p>
    <w:p w14:paraId="332404DD" w14:textId="77777777" w:rsidR="00D05A86" w:rsidRPr="00D05A86" w:rsidRDefault="00D05A86" w:rsidP="003C436D">
      <w:pPr>
        <w:pStyle w:val="Bullet1"/>
        <w:ind w:left="284"/>
      </w:pPr>
      <w:r w:rsidRPr="00D05A86">
        <w:t xml:space="preserve">Responses should be considered collectively and in context, rather than as a single determinative threshold. </w:t>
      </w:r>
    </w:p>
    <w:p w14:paraId="07DB647C" w14:textId="2E174BB6" w:rsidR="00D05A86" w:rsidRPr="00D05A86" w:rsidRDefault="00D05A86" w:rsidP="003C436D">
      <w:pPr>
        <w:pStyle w:val="Bullet1"/>
        <w:ind w:left="284"/>
      </w:pPr>
      <w:r w:rsidRPr="00D05A86">
        <w:t>“Unsure” responses should prompt early consultation with relevant governance functions (e.g.</w:t>
      </w:r>
      <w:r w:rsidR="00D377B3">
        <w:t>,</w:t>
      </w:r>
      <w:r w:rsidRPr="00D05A86">
        <w:t xml:space="preserve"> clinical governance, privacy, cyber security, data governance, legal, digital health). </w:t>
      </w:r>
    </w:p>
    <w:p w14:paraId="5B06BC8E" w14:textId="6E88215B" w:rsidR="00D05A86" w:rsidRDefault="00D05A86" w:rsidP="003C436D">
      <w:pPr>
        <w:pStyle w:val="Bullet1"/>
        <w:spacing w:after="240"/>
        <w:ind w:left="284"/>
      </w:pPr>
      <w:r w:rsidRPr="00D05A86">
        <w:t xml:space="preserve">Where responses indicate higher potential risk or impact, health services should </w:t>
      </w:r>
      <w:r w:rsidR="00D77335">
        <w:t>apply</w:t>
      </w:r>
      <w:r w:rsidRPr="00D05A86">
        <w:t xml:space="preserve"> enhanced governance activities, including </w:t>
      </w:r>
      <w:r w:rsidR="0079056A">
        <w:t xml:space="preserve">considering the </w:t>
      </w:r>
      <w:r w:rsidRPr="00D05A86">
        <w:t>use of the Digital Health CRC AI Governance Review Checklist.</w:t>
      </w:r>
    </w:p>
    <w:tbl>
      <w:tblPr>
        <w:tblStyle w:val="TableGrid"/>
        <w:tblW w:w="0" w:type="auto"/>
        <w:tblLook w:val="04A0" w:firstRow="1" w:lastRow="0" w:firstColumn="1" w:lastColumn="0" w:noHBand="0" w:noVBand="1"/>
      </w:tblPr>
      <w:tblGrid>
        <w:gridCol w:w="5807"/>
        <w:gridCol w:w="7852"/>
      </w:tblGrid>
      <w:tr w:rsidR="00821731" w14:paraId="5B33A4CD" w14:textId="77777777" w:rsidTr="00325F35">
        <w:tc>
          <w:tcPr>
            <w:tcW w:w="5807" w:type="dxa"/>
          </w:tcPr>
          <w:p w14:paraId="7DD90AF4" w14:textId="3F068F40" w:rsidR="00821731" w:rsidRPr="00D05A86" w:rsidRDefault="00821731">
            <w:pPr>
              <w:pStyle w:val="Tabletext"/>
              <w:rPr>
                <w:rFonts w:cs="Arial"/>
                <w:b/>
                <w:bCs/>
              </w:rPr>
            </w:pPr>
            <w:r w:rsidRPr="00D05A86">
              <w:rPr>
                <w:rFonts w:cs="Arial"/>
                <w:b/>
                <w:bCs/>
              </w:rPr>
              <w:t>Question</w:t>
            </w:r>
          </w:p>
        </w:tc>
        <w:tc>
          <w:tcPr>
            <w:tcW w:w="7852" w:type="dxa"/>
          </w:tcPr>
          <w:p w14:paraId="0A863F36" w14:textId="243CF3E1" w:rsidR="00821731" w:rsidRPr="00D05A86" w:rsidRDefault="00821731">
            <w:pPr>
              <w:pStyle w:val="Tabletext"/>
              <w:rPr>
                <w:b/>
                <w:bCs/>
              </w:rPr>
            </w:pPr>
            <w:r w:rsidRPr="00D05A86">
              <w:rPr>
                <w:b/>
                <w:bCs/>
              </w:rPr>
              <w:t>Why this matters</w:t>
            </w:r>
          </w:p>
        </w:tc>
      </w:tr>
      <w:tr w:rsidR="00821731" w14:paraId="7811BC7A" w14:textId="77777777" w:rsidTr="00325F35">
        <w:tc>
          <w:tcPr>
            <w:tcW w:w="5807" w:type="dxa"/>
          </w:tcPr>
          <w:p w14:paraId="0D106E9D" w14:textId="25C5A656" w:rsidR="00821731" w:rsidRDefault="00821731" w:rsidP="00821731">
            <w:pPr>
              <w:pStyle w:val="Tabletext"/>
              <w:numPr>
                <w:ilvl w:val="0"/>
                <w:numId w:val="21"/>
              </w:numPr>
              <w:ind w:left="316"/>
            </w:pPr>
            <w:r w:rsidRPr="00A179A8">
              <w:t xml:space="preserve">Does the AI </w:t>
            </w:r>
            <w:r w:rsidR="00AA7AFD">
              <w:t>solution</w:t>
            </w:r>
            <w:r w:rsidRPr="00A179A8">
              <w:t xml:space="preserve"> meet the TGA's definition of Software as a Medical Device (SaMD)?</w:t>
            </w:r>
          </w:p>
        </w:tc>
        <w:tc>
          <w:tcPr>
            <w:tcW w:w="7852" w:type="dxa"/>
          </w:tcPr>
          <w:p w14:paraId="4CD3E555" w14:textId="1ACE1A93" w:rsidR="00821731" w:rsidRDefault="00821731">
            <w:pPr>
              <w:pStyle w:val="Tabletext"/>
            </w:pPr>
            <w:r w:rsidRPr="00D377B3">
              <w:t>AI solutions with a medical purpose have additional regulatory, clinical safety, and assurance considerations that may warrant enhanced governance evaluation.</w:t>
            </w:r>
          </w:p>
        </w:tc>
      </w:tr>
      <w:tr w:rsidR="00821731" w14:paraId="1FA1C662" w14:textId="77777777" w:rsidTr="00325F35">
        <w:tc>
          <w:tcPr>
            <w:tcW w:w="5807" w:type="dxa"/>
          </w:tcPr>
          <w:p w14:paraId="394328BE" w14:textId="4DA28752" w:rsidR="00821731" w:rsidRDefault="00821731" w:rsidP="00821731">
            <w:pPr>
              <w:pStyle w:val="Tabletext"/>
              <w:numPr>
                <w:ilvl w:val="0"/>
                <w:numId w:val="21"/>
              </w:numPr>
              <w:ind w:left="316"/>
            </w:pPr>
            <w:r w:rsidRPr="00A179A8">
              <w:t>Does the AI use case directly support or perform a clinical task related to the diagnosis, treatment, or monitoring of a patient's health?</w:t>
            </w:r>
          </w:p>
        </w:tc>
        <w:tc>
          <w:tcPr>
            <w:tcW w:w="7852" w:type="dxa"/>
          </w:tcPr>
          <w:p w14:paraId="7EF53290" w14:textId="353FCBA2" w:rsidR="00821731" w:rsidRDefault="00821731">
            <w:pPr>
              <w:pStyle w:val="Tabletext"/>
            </w:pPr>
            <w:r w:rsidRPr="00D377B3">
              <w:t xml:space="preserve">AI that materially influences clinical decisions may introduce patient safety risks and requires appropriate clinical oversight, </w:t>
            </w:r>
            <w:r>
              <w:t xml:space="preserve">patient consent, </w:t>
            </w:r>
            <w:r w:rsidRPr="00D377B3">
              <w:t>workforce training, and clarity around human decision</w:t>
            </w:r>
            <w:r w:rsidRPr="00D377B3">
              <w:rPr>
                <w:rFonts w:ascii="Cambria Math" w:hAnsi="Cambria Math" w:cs="Cambria Math"/>
              </w:rPr>
              <w:t>‑</w:t>
            </w:r>
            <w:r w:rsidRPr="00D377B3">
              <w:t>making and accountability.</w:t>
            </w:r>
          </w:p>
        </w:tc>
      </w:tr>
      <w:tr w:rsidR="00821731" w14:paraId="21ABB663" w14:textId="77777777" w:rsidTr="00325F35">
        <w:tc>
          <w:tcPr>
            <w:tcW w:w="5807" w:type="dxa"/>
          </w:tcPr>
          <w:p w14:paraId="08D8050A" w14:textId="39F69D1F" w:rsidR="00821731" w:rsidRDefault="00821731" w:rsidP="00821731">
            <w:pPr>
              <w:pStyle w:val="Tabletext"/>
              <w:numPr>
                <w:ilvl w:val="0"/>
                <w:numId w:val="21"/>
              </w:numPr>
              <w:ind w:left="316"/>
            </w:pPr>
            <w:r w:rsidRPr="00A179A8">
              <w:t>Will the AI s</w:t>
            </w:r>
            <w:r w:rsidR="004C5D50">
              <w:t>olution</w:t>
            </w:r>
            <w:r w:rsidRPr="00A179A8">
              <w:t xml:space="preserve"> automate a decision that was previously made by a human and that has a meaningful impact on a patient, staff member, or process?</w:t>
            </w:r>
          </w:p>
        </w:tc>
        <w:tc>
          <w:tcPr>
            <w:tcW w:w="7852" w:type="dxa"/>
          </w:tcPr>
          <w:p w14:paraId="31804A36" w14:textId="2858E0EB" w:rsidR="00821731" w:rsidRDefault="00821731">
            <w:pPr>
              <w:pStyle w:val="Tabletext"/>
            </w:pPr>
            <w:r w:rsidRPr="00D377B3">
              <w:t>Automation increases the risk of error propagation and may reduce opportunities for human judgement. Governance controls should address human</w:t>
            </w:r>
            <w:r w:rsidRPr="00D377B3">
              <w:rPr>
                <w:rFonts w:ascii="Cambria Math" w:hAnsi="Cambria Math" w:cs="Cambria Math"/>
              </w:rPr>
              <w:t>‑</w:t>
            </w:r>
            <w:r w:rsidRPr="00D377B3">
              <w:t>in</w:t>
            </w:r>
            <w:r w:rsidRPr="00D377B3">
              <w:rPr>
                <w:rFonts w:ascii="Cambria Math" w:hAnsi="Cambria Math" w:cs="Cambria Math"/>
              </w:rPr>
              <w:t>‑</w:t>
            </w:r>
            <w:r w:rsidRPr="00D377B3">
              <w:t>the</w:t>
            </w:r>
            <w:r w:rsidRPr="00D377B3">
              <w:rPr>
                <w:rFonts w:ascii="Cambria Math" w:hAnsi="Cambria Math" w:cs="Cambria Math"/>
              </w:rPr>
              <w:t>‑</w:t>
            </w:r>
            <w:r w:rsidRPr="00D377B3">
              <w:t xml:space="preserve">loop design, </w:t>
            </w:r>
            <w:r>
              <w:t xml:space="preserve">consent, </w:t>
            </w:r>
            <w:r w:rsidRPr="00D377B3">
              <w:t>override and contestability mechanisms, escalation pathways, and continuity arrangements if the AI solution is unavailable.</w:t>
            </w:r>
          </w:p>
        </w:tc>
      </w:tr>
      <w:tr w:rsidR="00821731" w14:paraId="6C413C9F" w14:textId="77777777" w:rsidTr="00325F35">
        <w:tc>
          <w:tcPr>
            <w:tcW w:w="5807" w:type="dxa"/>
          </w:tcPr>
          <w:p w14:paraId="0B6D772A" w14:textId="2CB6A450" w:rsidR="00821731" w:rsidRDefault="00821731" w:rsidP="00821731">
            <w:pPr>
              <w:pStyle w:val="Tabletext"/>
              <w:numPr>
                <w:ilvl w:val="0"/>
                <w:numId w:val="21"/>
              </w:numPr>
              <w:ind w:left="316"/>
            </w:pPr>
            <w:r w:rsidRPr="00A179A8">
              <w:t>Will the AI s</w:t>
            </w:r>
            <w:r w:rsidR="004C5D50">
              <w:t>olution</w:t>
            </w:r>
            <w:r w:rsidRPr="00A179A8">
              <w:t xml:space="preserve"> interact directly with patients or members of the public?</w:t>
            </w:r>
          </w:p>
        </w:tc>
        <w:tc>
          <w:tcPr>
            <w:tcW w:w="7852" w:type="dxa"/>
          </w:tcPr>
          <w:p w14:paraId="5509990C" w14:textId="15611964" w:rsidR="00821731" w:rsidRDefault="00821731">
            <w:pPr>
              <w:pStyle w:val="Tabletext"/>
            </w:pPr>
            <w:r w:rsidRPr="00D377B3">
              <w:t>Direct interaction increases risks related to safety, accessibility, equity, misinformation, and transparency. Governance considerations may include consumer communication, labelling of AI</w:t>
            </w:r>
            <w:r w:rsidRPr="00D377B3">
              <w:rPr>
                <w:rFonts w:ascii="Cambria Math" w:hAnsi="Cambria Math" w:cs="Cambria Math"/>
              </w:rPr>
              <w:t>‑</w:t>
            </w:r>
            <w:r w:rsidRPr="00D377B3">
              <w:t>generated outputs, accessibility requirements, and complaints or redress mechanisms.</w:t>
            </w:r>
          </w:p>
        </w:tc>
      </w:tr>
      <w:tr w:rsidR="00821731" w14:paraId="0933864F" w14:textId="77777777" w:rsidTr="00325F35">
        <w:tc>
          <w:tcPr>
            <w:tcW w:w="5807" w:type="dxa"/>
          </w:tcPr>
          <w:p w14:paraId="58BF5734" w14:textId="2ED048D8" w:rsidR="00821731" w:rsidRDefault="00821731" w:rsidP="00821731">
            <w:pPr>
              <w:pStyle w:val="Tabletext"/>
              <w:numPr>
                <w:ilvl w:val="0"/>
                <w:numId w:val="21"/>
              </w:numPr>
              <w:ind w:left="316"/>
            </w:pPr>
            <w:r w:rsidRPr="00D377B3">
              <w:t>Does the AI solution access, process, or store patient health information in a way that introduces new or non</w:t>
            </w:r>
            <w:r w:rsidRPr="00D377B3">
              <w:rPr>
                <w:rFonts w:ascii="Cambria Math" w:hAnsi="Cambria Math" w:cs="Cambria Math"/>
              </w:rPr>
              <w:t>‑</w:t>
            </w:r>
            <w:r w:rsidRPr="00D377B3">
              <w:t xml:space="preserve">standard data flows, data sharing arrangements, overseas processing, or secondary use </w:t>
            </w:r>
            <w:r>
              <w:t xml:space="preserve">(such as model </w:t>
            </w:r>
            <w:r>
              <w:lastRenderedPageBreak/>
              <w:t>training or retraining)</w:t>
            </w:r>
            <w:r w:rsidRPr="00D377B3">
              <w:t xml:space="preserve"> beyond established clinical systems?</w:t>
            </w:r>
          </w:p>
        </w:tc>
        <w:tc>
          <w:tcPr>
            <w:tcW w:w="7852" w:type="dxa"/>
          </w:tcPr>
          <w:p w14:paraId="5B5FE726" w14:textId="223214E5" w:rsidR="00821731" w:rsidRDefault="00821731">
            <w:pPr>
              <w:pStyle w:val="Tabletext"/>
            </w:pPr>
            <w:r w:rsidRPr="00D377B3">
              <w:lastRenderedPageBreak/>
              <w:t>Novel data handling arrangements may trigger additional privacy, information security, and contractual controls, including Privacy Impact Assessments, data residency considerations, and restrictions on secondary data use.</w:t>
            </w:r>
            <w:r w:rsidR="006200A2">
              <w:t xml:space="preserve"> </w:t>
            </w:r>
            <w:r w:rsidR="006200A2" w:rsidRPr="006200A2">
              <w:t xml:space="preserve">For example, </w:t>
            </w:r>
            <w:r w:rsidR="006200A2" w:rsidRPr="006200A2">
              <w:lastRenderedPageBreak/>
              <w:t>requirements relating to Indigenous data governance where Aboriginal data is involved can prompt sensitivities relating to cultural safety.</w:t>
            </w:r>
          </w:p>
        </w:tc>
      </w:tr>
      <w:tr w:rsidR="00821731" w14:paraId="6D1845D5" w14:textId="77777777" w:rsidTr="00325F35">
        <w:tc>
          <w:tcPr>
            <w:tcW w:w="5807" w:type="dxa"/>
          </w:tcPr>
          <w:p w14:paraId="6BC90D7D" w14:textId="552337F6" w:rsidR="00821731" w:rsidRPr="00D377B3" w:rsidRDefault="00821731" w:rsidP="00821731">
            <w:pPr>
              <w:pStyle w:val="Tabletext"/>
              <w:numPr>
                <w:ilvl w:val="0"/>
                <w:numId w:val="21"/>
              </w:numPr>
              <w:ind w:left="316"/>
            </w:pPr>
            <w:r w:rsidRPr="00D377B3">
              <w:lastRenderedPageBreak/>
              <w:t>Is the AI solution adaptive, self</w:t>
            </w:r>
            <w:r w:rsidRPr="00D377B3">
              <w:rPr>
                <w:rFonts w:ascii="Cambria Math" w:hAnsi="Cambria Math" w:cs="Cambria Math"/>
              </w:rPr>
              <w:t>‑</w:t>
            </w:r>
            <w:r w:rsidRPr="00D377B3">
              <w:t>updating, or subject to ongoing retraining or updates that could materially affect its performance or behaviour once deployed?</w:t>
            </w:r>
          </w:p>
        </w:tc>
        <w:tc>
          <w:tcPr>
            <w:tcW w:w="7852" w:type="dxa"/>
          </w:tcPr>
          <w:p w14:paraId="1B176F5F" w14:textId="78AE47DB" w:rsidR="00821731" w:rsidRPr="00D377B3" w:rsidRDefault="00821731">
            <w:pPr>
              <w:pStyle w:val="Tabletext"/>
            </w:pPr>
            <w:r w:rsidRPr="00D377B3">
              <w:t>While all AI solutions require ongoing monitoring, adaptive or self</w:t>
            </w:r>
            <w:r w:rsidRPr="00D377B3">
              <w:rPr>
                <w:rFonts w:ascii="Cambria Math" w:hAnsi="Cambria Math" w:cs="Cambria Math"/>
              </w:rPr>
              <w:t>‑</w:t>
            </w:r>
            <w:r w:rsidRPr="00D377B3">
              <w:t>updating systems can change their behaviour or performance over time without explicit user action. This increases the risk of performance drift, unintended use, or misalignment with the conditions under which the AI was originally assessed, and requires defined processes for change control, re</w:t>
            </w:r>
            <w:r w:rsidRPr="00D377B3">
              <w:rPr>
                <w:rFonts w:ascii="Cambria Math" w:hAnsi="Cambria Math" w:cs="Cambria Math"/>
              </w:rPr>
              <w:t>‑</w:t>
            </w:r>
            <w:r w:rsidRPr="00D377B3">
              <w:t>validation, and governance re</w:t>
            </w:r>
            <w:r w:rsidRPr="00D377B3">
              <w:rPr>
                <w:rFonts w:ascii="Cambria Math" w:hAnsi="Cambria Math" w:cs="Cambria Math"/>
              </w:rPr>
              <w:t>‑</w:t>
            </w:r>
            <w:r w:rsidRPr="00D377B3">
              <w:t>assessment when material changes occur.</w:t>
            </w:r>
          </w:p>
        </w:tc>
      </w:tr>
    </w:tbl>
    <w:p w14:paraId="2AFEB5BC" w14:textId="77777777" w:rsidR="00D05A86" w:rsidRPr="00D05A86" w:rsidRDefault="00D05A86" w:rsidP="00D05A86">
      <w:pPr>
        <w:pStyle w:val="Body"/>
      </w:pPr>
    </w:p>
    <w:sectPr w:rsidR="00D05A86" w:rsidRPr="00D05A86" w:rsidSect="006112FD">
      <w:pgSz w:w="16838" w:h="11906" w:orient="landscape" w:code="9"/>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2693" w14:textId="77777777" w:rsidR="00D772B3" w:rsidRDefault="00D772B3">
      <w:r>
        <w:separator/>
      </w:r>
    </w:p>
  </w:endnote>
  <w:endnote w:type="continuationSeparator" w:id="0">
    <w:p w14:paraId="5538D250" w14:textId="77777777" w:rsidR="00D772B3" w:rsidRDefault="00D772B3">
      <w:r>
        <w:continuationSeparator/>
      </w:r>
    </w:p>
  </w:endnote>
  <w:endnote w:type="continuationNotice" w:id="1">
    <w:p w14:paraId="31E17E94" w14:textId="77777777" w:rsidR="00D772B3" w:rsidRDefault="00D77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8715"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9D34563" wp14:editId="6919D24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A43261" wp14:editId="1C2D652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2E40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A4326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E92E40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9E4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48DEEDF" wp14:editId="24119DD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B5E0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8DEED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65B5E0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E4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2E1A0EA" wp14:editId="34E7205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FE5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E1A0E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14FE5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2C06" w14:textId="77777777" w:rsidR="00D772B3" w:rsidRDefault="00D772B3" w:rsidP="002862F1">
      <w:pPr>
        <w:spacing w:before="120"/>
      </w:pPr>
      <w:r>
        <w:separator/>
      </w:r>
    </w:p>
  </w:footnote>
  <w:footnote w:type="continuationSeparator" w:id="0">
    <w:p w14:paraId="10CA07EA" w14:textId="77777777" w:rsidR="00D772B3" w:rsidRDefault="00D772B3">
      <w:r>
        <w:continuationSeparator/>
      </w:r>
    </w:p>
  </w:footnote>
  <w:footnote w:type="continuationNotice" w:id="1">
    <w:p w14:paraId="2056857D" w14:textId="77777777" w:rsidR="00D772B3" w:rsidRDefault="00D772B3">
      <w:pPr>
        <w:spacing w:after="0" w:line="240" w:lineRule="auto"/>
      </w:pPr>
    </w:p>
  </w:footnote>
  <w:footnote w:id="2">
    <w:p w14:paraId="052F3305" w14:textId="7BB059FF" w:rsidR="00C71A7D" w:rsidRPr="000F0ACD" w:rsidRDefault="001765C3" w:rsidP="000F0ACD">
      <w:pPr>
        <w:pStyle w:val="FootnoteText"/>
        <w:spacing w:line="276" w:lineRule="auto"/>
      </w:pPr>
      <w:r>
        <w:rPr>
          <w:rStyle w:val="FootnoteReference"/>
        </w:rPr>
        <w:footnoteRef/>
      </w:r>
      <w:r>
        <w:t xml:space="preserve"> </w:t>
      </w:r>
      <w:r w:rsidR="00AE1CA6">
        <w:t>&lt;</w:t>
      </w:r>
      <w:r w:rsidR="00AE1CA6" w:rsidRPr="00AE1CA6">
        <w:t>https://www.safercare.vic.gov.au/best-practice-improvement/clinical-governance/framework</w:t>
      </w:r>
      <w:r w:rsidR="00AE1CA6">
        <w:t>&gt;</w:t>
      </w:r>
    </w:p>
  </w:footnote>
  <w:footnote w:id="3">
    <w:p w14:paraId="30DF2BD1" w14:textId="7F86E0ED" w:rsidR="008A3BEA" w:rsidRDefault="008A3BEA" w:rsidP="000F0ACD">
      <w:pPr>
        <w:pStyle w:val="FootnoteText"/>
        <w:spacing w:line="276" w:lineRule="auto"/>
      </w:pPr>
      <w:r>
        <w:rPr>
          <w:rStyle w:val="FootnoteReference"/>
        </w:rPr>
        <w:footnoteRef/>
      </w:r>
      <w:r w:rsidR="000F0ACD">
        <w:t xml:space="preserve"> &lt;</w:t>
      </w:r>
      <w:r w:rsidR="000F0ACD" w:rsidRPr="001617C7">
        <w:t>https://www.health.vic.gov.au/digital-health/artificial-intelligence-in-victorian-public-health-services</w:t>
      </w:r>
      <w:r w:rsidR="000F0ACD">
        <w:t>&gt;</w:t>
      </w:r>
    </w:p>
  </w:footnote>
  <w:footnote w:id="4">
    <w:p w14:paraId="37924DCE" w14:textId="20F26E3F" w:rsidR="000F0ACD" w:rsidRDefault="000F0ACD" w:rsidP="000F0ACD">
      <w:pPr>
        <w:pStyle w:val="FootnoteText"/>
        <w:spacing w:line="276" w:lineRule="auto"/>
      </w:pPr>
      <w:r>
        <w:rPr>
          <w:rStyle w:val="FootnoteReference"/>
        </w:rPr>
        <w:footnoteRef/>
      </w:r>
      <w:r>
        <w:t xml:space="preserve"> &lt;</w:t>
      </w:r>
      <w:r w:rsidRPr="001617C7">
        <w:t>https://www.health.vic.gov.au/digital-health/artificial-intelligence-in-victorian-public-health-services</w:t>
      </w:r>
      <w:r>
        <w:t>&gt;</w:t>
      </w:r>
    </w:p>
  </w:footnote>
  <w:footnote w:id="5">
    <w:p w14:paraId="4A9A4886" w14:textId="65861305" w:rsidR="00FD3653" w:rsidRDefault="00FD3653" w:rsidP="00FD3653">
      <w:pPr>
        <w:pStyle w:val="FootnoteText"/>
      </w:pPr>
      <w:r>
        <w:rPr>
          <w:rStyle w:val="FootnoteReference"/>
        </w:rPr>
        <w:footnoteRef/>
      </w:r>
      <w:r w:rsidR="00014904">
        <w:t xml:space="preserve"> </w:t>
      </w:r>
      <w:r w:rsidR="00FD668F">
        <w:t>&lt;</w:t>
      </w:r>
      <w:r w:rsidR="00FD668F" w:rsidRPr="002249F4">
        <w:t>https://www.industry.gov.au/publications/australias-artificial-intelligence-ethics-principles/australias-ai-ethics-principles</w:t>
      </w:r>
      <w:r w:rsidR="00FD668F">
        <w:t>&gt;</w:t>
      </w:r>
    </w:p>
  </w:footnote>
  <w:footnote w:id="6">
    <w:p w14:paraId="1BDA93B8" w14:textId="2CFA1749" w:rsidR="00202FE8" w:rsidRPr="00202FE8" w:rsidRDefault="00202FE8">
      <w:pPr>
        <w:pStyle w:val="FootnoteText"/>
        <w:rPr>
          <w:lang w:val="en-US"/>
        </w:rPr>
      </w:pPr>
      <w:r>
        <w:rPr>
          <w:rStyle w:val="FootnoteReference"/>
        </w:rPr>
        <w:footnoteRef/>
      </w:r>
      <w:r>
        <w:t xml:space="preserve"> </w:t>
      </w:r>
      <w:r>
        <w:rPr>
          <w:lang w:val="en-US"/>
        </w:rPr>
        <w:t>&lt;</w:t>
      </w:r>
      <w:r w:rsidRPr="002249F4">
        <w:t>https://ovic.vic.gov.au/privacy/resources-for-organisations/privacy-impact-assessment/</w:t>
      </w:r>
      <w:r>
        <w:t>&gt;</w:t>
      </w:r>
    </w:p>
  </w:footnote>
  <w:footnote w:id="7">
    <w:p w14:paraId="247C8495" w14:textId="028E4F06" w:rsidR="00E0317D" w:rsidRPr="000D24A6" w:rsidRDefault="00E0317D">
      <w:pPr>
        <w:pStyle w:val="FootnoteText"/>
        <w:rPr>
          <w:lang w:val="en-US"/>
        </w:rPr>
      </w:pPr>
      <w:r>
        <w:rPr>
          <w:rStyle w:val="FootnoteReference"/>
        </w:rPr>
        <w:footnoteRef/>
      </w:r>
      <w:r>
        <w:t xml:space="preserve"> &lt;</w:t>
      </w:r>
      <w:r w:rsidRPr="00E0317D">
        <w:t>https://www.niaa.gov.au/sites/default/files/documents/2024-05/framework-governance-indigenous-data.pdf</w:t>
      </w:r>
      <w:r>
        <w:t>&gt;</w:t>
      </w:r>
    </w:p>
  </w:footnote>
  <w:footnote w:id="8">
    <w:p w14:paraId="787DFB1F" w14:textId="6303D79B" w:rsidR="00532EC1" w:rsidRDefault="00532EC1">
      <w:pPr>
        <w:pStyle w:val="FootnoteText"/>
      </w:pPr>
      <w:r>
        <w:rPr>
          <w:rStyle w:val="FootnoteReference"/>
        </w:rPr>
        <w:footnoteRef/>
      </w:r>
      <w:r>
        <w:t xml:space="preserve"> </w:t>
      </w:r>
      <w:r w:rsidR="00610F1E">
        <w:t>&lt;</w:t>
      </w:r>
      <w:r w:rsidR="00610F1E" w:rsidRPr="008976F4">
        <w:t>https://www.safetyandquality.gov.au/our-work/e-health-safety/artificial-intelligence</w:t>
      </w:r>
      <w:r w:rsidR="00610F1E">
        <w:t>&gt;</w:t>
      </w:r>
    </w:p>
  </w:footnote>
  <w:footnote w:id="9">
    <w:p w14:paraId="7C6E6795" w14:textId="50E71F54" w:rsidR="00E05059" w:rsidRDefault="00E05059">
      <w:pPr>
        <w:pStyle w:val="FootnoteText"/>
      </w:pPr>
      <w:r>
        <w:rPr>
          <w:rStyle w:val="FootnoteReference"/>
        </w:rPr>
        <w:footnoteRef/>
      </w:r>
      <w:r>
        <w:t xml:space="preserve"> </w:t>
      </w:r>
      <w:r w:rsidR="000148F5">
        <w:t>&lt;</w:t>
      </w:r>
      <w:r w:rsidR="000148F5" w:rsidRPr="008976F4">
        <w:t>https://www.ahpra.gov.au/Resources/Artificial-Intelligence-in-healthcare.aspx</w:t>
      </w:r>
      <w:r w:rsidR="000148F5">
        <w:t>&gt;</w:t>
      </w:r>
    </w:p>
  </w:footnote>
  <w:footnote w:id="10">
    <w:p w14:paraId="601E17FB" w14:textId="00F0EBA4" w:rsidR="00C01FA9" w:rsidRDefault="00C01FA9">
      <w:pPr>
        <w:pStyle w:val="FootnoteText"/>
      </w:pPr>
      <w:r>
        <w:rPr>
          <w:rStyle w:val="FootnoteReference"/>
        </w:rPr>
        <w:footnoteRef/>
      </w:r>
      <w:r>
        <w:t xml:space="preserve"> </w:t>
      </w:r>
      <w:r w:rsidR="00DD0CC2">
        <w:t>&lt;</w:t>
      </w:r>
      <w:r w:rsidR="00DD0CC2" w:rsidRPr="008976F4">
        <w:t>https://www.racgp.org.au/running-a-practice/technology/artificial-intelligence-ai/conversational-artificial-intelligence</w:t>
      </w:r>
      <w:r w:rsidR="00DD0CC2">
        <w:t>&gt;</w:t>
      </w:r>
      <w:r w:rsidR="00093D2B">
        <w:t xml:space="preserve"> </w:t>
      </w:r>
    </w:p>
  </w:footnote>
  <w:footnote w:id="11">
    <w:p w14:paraId="6BE42DCA" w14:textId="70F34B70" w:rsidR="009D59DF" w:rsidRDefault="009D59DF">
      <w:pPr>
        <w:pStyle w:val="FootnoteText"/>
      </w:pPr>
      <w:r>
        <w:rPr>
          <w:rStyle w:val="FootnoteReference"/>
        </w:rPr>
        <w:footnoteRef/>
      </w:r>
      <w:r>
        <w:t xml:space="preserve"> </w:t>
      </w:r>
      <w:r w:rsidR="00205969">
        <w:t>&lt;</w:t>
      </w:r>
      <w:r w:rsidR="00205969" w:rsidRPr="008976F4">
        <w:t>https://www.himaa.org.au/public/169/files/Website%20Document/Files/Australian%20Clinical%20Coding%20AI%20Adoption%20Guideline%20V1_0%20June%202025.pdf</w:t>
      </w:r>
      <w:r w:rsidR="00205969">
        <w:t>&gt;</w:t>
      </w:r>
    </w:p>
  </w:footnote>
  <w:footnote w:id="12">
    <w:p w14:paraId="0BAC3A73" w14:textId="1E9D7B0D" w:rsidR="00841CA6" w:rsidRDefault="00841CA6">
      <w:pPr>
        <w:pStyle w:val="FootnoteText"/>
      </w:pPr>
      <w:r>
        <w:rPr>
          <w:rStyle w:val="FootnoteReference"/>
        </w:rPr>
        <w:footnoteRef/>
      </w:r>
      <w:r>
        <w:t xml:space="preserve"> </w:t>
      </w:r>
      <w:r w:rsidR="009231ED">
        <w:t>&lt;</w:t>
      </w:r>
      <w:r w:rsidR="009231ED" w:rsidRPr="008976F4">
        <w:t>https://www.rcpa.edu.au/getattachment/48d20397-9a31-4507-a071-c2ad8939defc/Artificial-Intelligence-in-Pathology.aspx</w:t>
      </w:r>
      <w:r w:rsidR="009231ED">
        <w:t>&gt;</w:t>
      </w:r>
    </w:p>
  </w:footnote>
  <w:footnote w:id="13">
    <w:p w14:paraId="79D65A37" w14:textId="1A948339" w:rsidR="00643588" w:rsidRPr="00643588" w:rsidRDefault="00643588">
      <w:pPr>
        <w:pStyle w:val="FootnoteText"/>
        <w:rPr>
          <w:lang w:val="en-US"/>
        </w:rPr>
      </w:pPr>
      <w:r>
        <w:rPr>
          <w:rStyle w:val="FootnoteReference"/>
        </w:rPr>
        <w:footnoteRef/>
      </w:r>
      <w:r>
        <w:t xml:space="preserve"> </w:t>
      </w:r>
      <w:r>
        <w:rPr>
          <w:lang w:val="en-US"/>
        </w:rPr>
        <w:t>&lt;</w:t>
      </w:r>
      <w:r w:rsidR="0071073D" w:rsidRPr="0071073D">
        <w:rPr>
          <w:lang w:val="en-US"/>
        </w:rPr>
        <w:t>https://www.vic.gov.au/guidance-safe-responsible-use-gen-ai-vps</w:t>
      </w:r>
      <w:r w:rsidR="0071073D">
        <w:rPr>
          <w:lang w:val="en-US"/>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7D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B68" w14:textId="7F4C1EFB" w:rsidR="00E261B3" w:rsidRPr="0051568D" w:rsidRDefault="00621E32" w:rsidP="0011701A">
    <w:pPr>
      <w:pStyle w:val="Header"/>
    </w:pPr>
    <w:r>
      <w:t>Governance Models for AI Solutions in VPHS</w:t>
    </w:r>
    <w:r w:rsidR="00BF4FA6">
      <w:tab/>
    </w:r>
    <w:r w:rsidR="00BF4FA6">
      <w:tab/>
    </w:r>
    <w:r w:rsidR="00BF4FA6">
      <w:tab/>
    </w:r>
    <w:r w:rsidR="00BF4FA6">
      <w:tab/>
    </w:r>
    <w:r w:rsidR="00BF4FA6">
      <w:tab/>
    </w:r>
    <w:r w:rsidR="00BF4FA6">
      <w:tab/>
    </w:r>
    <w:r w:rsidR="00BF4FA6">
      <w:tab/>
    </w:r>
    <w:r w:rsidR="00BF4FA6">
      <w:tab/>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D25590B"/>
    <w:multiLevelType w:val="hybridMultilevel"/>
    <w:tmpl w:val="A1941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0DA3349"/>
    <w:multiLevelType w:val="hybridMultilevel"/>
    <w:tmpl w:val="701AF2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47208834">
    <w:abstractNumId w:val="2"/>
  </w:num>
  <w:num w:numId="2" w16cid:durableId="1539464953">
    <w:abstractNumId w:val="6"/>
  </w:num>
  <w:num w:numId="3" w16cid:durableId="530413481">
    <w:abstractNumId w:val="5"/>
  </w:num>
  <w:num w:numId="4" w16cid:durableId="677776745">
    <w:abstractNumId w:val="7"/>
  </w:num>
  <w:num w:numId="5" w16cid:durableId="1031765097">
    <w:abstractNumId w:val="3"/>
  </w:num>
  <w:num w:numId="6" w16cid:durableId="1080638690">
    <w:abstractNumId w:val="0"/>
  </w:num>
  <w:num w:numId="7" w16cid:durableId="27221071">
    <w:abstractNumId w:val="6"/>
  </w:num>
  <w:num w:numId="8" w16cid:durableId="131287858">
    <w:abstractNumId w:val="6"/>
  </w:num>
  <w:num w:numId="9" w16cid:durableId="645476426">
    <w:abstractNumId w:val="6"/>
  </w:num>
  <w:num w:numId="10" w16cid:durableId="1033309127">
    <w:abstractNumId w:val="6"/>
  </w:num>
  <w:num w:numId="11" w16cid:durableId="1150559992">
    <w:abstractNumId w:val="6"/>
  </w:num>
  <w:num w:numId="12" w16cid:durableId="2037584315">
    <w:abstractNumId w:val="6"/>
  </w:num>
  <w:num w:numId="13" w16cid:durableId="1104308041">
    <w:abstractNumId w:val="6"/>
  </w:num>
  <w:num w:numId="14" w16cid:durableId="130367398">
    <w:abstractNumId w:val="6"/>
  </w:num>
  <w:num w:numId="15" w16cid:durableId="1316377557">
    <w:abstractNumId w:val="6"/>
  </w:num>
  <w:num w:numId="16" w16cid:durableId="1177958669">
    <w:abstractNumId w:val="6"/>
  </w:num>
  <w:num w:numId="17" w16cid:durableId="175508697">
    <w:abstractNumId w:val="6"/>
  </w:num>
  <w:num w:numId="18" w16cid:durableId="2106490596">
    <w:abstractNumId w:val="6"/>
  </w:num>
  <w:num w:numId="19" w16cid:durableId="333579429">
    <w:abstractNumId w:val="6"/>
  </w:num>
  <w:num w:numId="20" w16cid:durableId="1185823103">
    <w:abstractNumId w:val="6"/>
  </w:num>
  <w:num w:numId="21" w16cid:durableId="1310131457">
    <w:abstractNumId w:val="4"/>
  </w:num>
  <w:num w:numId="22" w16cid:durableId="1862813059">
    <w:abstractNumId w:val="6"/>
  </w:num>
  <w:num w:numId="23" w16cid:durableId="17742538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E0"/>
    <w:rsid w:val="00000416"/>
    <w:rsid w:val="00000719"/>
    <w:rsid w:val="00000B14"/>
    <w:rsid w:val="00000EE6"/>
    <w:rsid w:val="00001598"/>
    <w:rsid w:val="00001BFC"/>
    <w:rsid w:val="00001CCA"/>
    <w:rsid w:val="00001EA7"/>
    <w:rsid w:val="00003403"/>
    <w:rsid w:val="0000346A"/>
    <w:rsid w:val="000035FE"/>
    <w:rsid w:val="00003B58"/>
    <w:rsid w:val="00004B93"/>
    <w:rsid w:val="00004F0E"/>
    <w:rsid w:val="00005347"/>
    <w:rsid w:val="00005830"/>
    <w:rsid w:val="00005E0C"/>
    <w:rsid w:val="000072B6"/>
    <w:rsid w:val="0000753C"/>
    <w:rsid w:val="0000783E"/>
    <w:rsid w:val="000100C3"/>
    <w:rsid w:val="0001021B"/>
    <w:rsid w:val="00011BF5"/>
    <w:rsid w:val="00011D89"/>
    <w:rsid w:val="00012825"/>
    <w:rsid w:val="0001291F"/>
    <w:rsid w:val="00014315"/>
    <w:rsid w:val="00014435"/>
    <w:rsid w:val="000148F5"/>
    <w:rsid w:val="00014904"/>
    <w:rsid w:val="000154FD"/>
    <w:rsid w:val="00015B3D"/>
    <w:rsid w:val="000167F5"/>
    <w:rsid w:val="00016FBF"/>
    <w:rsid w:val="0002055B"/>
    <w:rsid w:val="0002185B"/>
    <w:rsid w:val="00021EE7"/>
    <w:rsid w:val="00022271"/>
    <w:rsid w:val="000235E8"/>
    <w:rsid w:val="0002431C"/>
    <w:rsid w:val="00024D89"/>
    <w:rsid w:val="000250B6"/>
    <w:rsid w:val="000269D1"/>
    <w:rsid w:val="00026DCF"/>
    <w:rsid w:val="00027733"/>
    <w:rsid w:val="0003065D"/>
    <w:rsid w:val="00031E0C"/>
    <w:rsid w:val="00032F9C"/>
    <w:rsid w:val="00033268"/>
    <w:rsid w:val="00033D81"/>
    <w:rsid w:val="00035038"/>
    <w:rsid w:val="0003576B"/>
    <w:rsid w:val="000357D2"/>
    <w:rsid w:val="00036BD2"/>
    <w:rsid w:val="00037366"/>
    <w:rsid w:val="0004063C"/>
    <w:rsid w:val="00040F2B"/>
    <w:rsid w:val="00041A04"/>
    <w:rsid w:val="00041BF0"/>
    <w:rsid w:val="00041D09"/>
    <w:rsid w:val="0004237A"/>
    <w:rsid w:val="000429E9"/>
    <w:rsid w:val="00042AA7"/>
    <w:rsid w:val="00042C8A"/>
    <w:rsid w:val="000430A0"/>
    <w:rsid w:val="0004450A"/>
    <w:rsid w:val="00044B29"/>
    <w:rsid w:val="0004536B"/>
    <w:rsid w:val="00045C64"/>
    <w:rsid w:val="00046AD0"/>
    <w:rsid w:val="00046B68"/>
    <w:rsid w:val="00047455"/>
    <w:rsid w:val="00047CC7"/>
    <w:rsid w:val="00050BD8"/>
    <w:rsid w:val="00051BCB"/>
    <w:rsid w:val="000527DD"/>
    <w:rsid w:val="0005472B"/>
    <w:rsid w:val="00055139"/>
    <w:rsid w:val="00055375"/>
    <w:rsid w:val="00056BEE"/>
    <w:rsid w:val="0005704E"/>
    <w:rsid w:val="0005718F"/>
    <w:rsid w:val="000576AC"/>
    <w:rsid w:val="000578B2"/>
    <w:rsid w:val="00060959"/>
    <w:rsid w:val="00060A8A"/>
    <w:rsid w:val="00060C8F"/>
    <w:rsid w:val="00061471"/>
    <w:rsid w:val="0006298A"/>
    <w:rsid w:val="00063DEB"/>
    <w:rsid w:val="000663CD"/>
    <w:rsid w:val="00066B51"/>
    <w:rsid w:val="00067F5F"/>
    <w:rsid w:val="00070856"/>
    <w:rsid w:val="000733FE"/>
    <w:rsid w:val="0007369B"/>
    <w:rsid w:val="00074219"/>
    <w:rsid w:val="00074ED5"/>
    <w:rsid w:val="0007624C"/>
    <w:rsid w:val="00077418"/>
    <w:rsid w:val="00080985"/>
    <w:rsid w:val="00081600"/>
    <w:rsid w:val="000823C0"/>
    <w:rsid w:val="00082998"/>
    <w:rsid w:val="000829B9"/>
    <w:rsid w:val="000835C6"/>
    <w:rsid w:val="00083962"/>
    <w:rsid w:val="00083974"/>
    <w:rsid w:val="00083D31"/>
    <w:rsid w:val="00083F36"/>
    <w:rsid w:val="0008508E"/>
    <w:rsid w:val="000851BD"/>
    <w:rsid w:val="0008690B"/>
    <w:rsid w:val="00086CE0"/>
    <w:rsid w:val="000872AC"/>
    <w:rsid w:val="00087951"/>
    <w:rsid w:val="00090421"/>
    <w:rsid w:val="00090545"/>
    <w:rsid w:val="0009113B"/>
    <w:rsid w:val="000931D8"/>
    <w:rsid w:val="00093402"/>
    <w:rsid w:val="00093D2B"/>
    <w:rsid w:val="00094DA3"/>
    <w:rsid w:val="000950BF"/>
    <w:rsid w:val="000953C2"/>
    <w:rsid w:val="000954BA"/>
    <w:rsid w:val="00096CD1"/>
    <w:rsid w:val="000A012C"/>
    <w:rsid w:val="000A057C"/>
    <w:rsid w:val="000A0EB9"/>
    <w:rsid w:val="000A186C"/>
    <w:rsid w:val="000A1EA4"/>
    <w:rsid w:val="000A2476"/>
    <w:rsid w:val="000A2661"/>
    <w:rsid w:val="000A3821"/>
    <w:rsid w:val="000A641A"/>
    <w:rsid w:val="000A64AA"/>
    <w:rsid w:val="000B0B03"/>
    <w:rsid w:val="000B1BEA"/>
    <w:rsid w:val="000B2766"/>
    <w:rsid w:val="000B2D49"/>
    <w:rsid w:val="000B2E8A"/>
    <w:rsid w:val="000B3EDB"/>
    <w:rsid w:val="000B487A"/>
    <w:rsid w:val="000B5359"/>
    <w:rsid w:val="000B543D"/>
    <w:rsid w:val="000B55F9"/>
    <w:rsid w:val="000B59EC"/>
    <w:rsid w:val="000B5BF7"/>
    <w:rsid w:val="000B6BC8"/>
    <w:rsid w:val="000C0303"/>
    <w:rsid w:val="000C2193"/>
    <w:rsid w:val="000C2D6A"/>
    <w:rsid w:val="000C2F48"/>
    <w:rsid w:val="000C306C"/>
    <w:rsid w:val="000C3618"/>
    <w:rsid w:val="000C42EA"/>
    <w:rsid w:val="000C4546"/>
    <w:rsid w:val="000C64F3"/>
    <w:rsid w:val="000C7248"/>
    <w:rsid w:val="000D1242"/>
    <w:rsid w:val="000D1EEC"/>
    <w:rsid w:val="000D24A6"/>
    <w:rsid w:val="000D2B51"/>
    <w:rsid w:val="000D4345"/>
    <w:rsid w:val="000D592C"/>
    <w:rsid w:val="000D6773"/>
    <w:rsid w:val="000D7F30"/>
    <w:rsid w:val="000E0970"/>
    <w:rsid w:val="000E0F6A"/>
    <w:rsid w:val="000E10E5"/>
    <w:rsid w:val="000E14F3"/>
    <w:rsid w:val="000E1910"/>
    <w:rsid w:val="000E1A5A"/>
    <w:rsid w:val="000E3CC7"/>
    <w:rsid w:val="000E44BE"/>
    <w:rsid w:val="000E4D8C"/>
    <w:rsid w:val="000E59FD"/>
    <w:rsid w:val="000E5AE7"/>
    <w:rsid w:val="000E5D71"/>
    <w:rsid w:val="000E6735"/>
    <w:rsid w:val="000E6BD4"/>
    <w:rsid w:val="000E6D6D"/>
    <w:rsid w:val="000F09C2"/>
    <w:rsid w:val="000F0ACD"/>
    <w:rsid w:val="000F0F6D"/>
    <w:rsid w:val="000F1F1E"/>
    <w:rsid w:val="000F2259"/>
    <w:rsid w:val="000F2DDA"/>
    <w:rsid w:val="000F2E9D"/>
    <w:rsid w:val="000F4140"/>
    <w:rsid w:val="000F5213"/>
    <w:rsid w:val="000F5B27"/>
    <w:rsid w:val="000F5CF3"/>
    <w:rsid w:val="000F5EC6"/>
    <w:rsid w:val="000F7366"/>
    <w:rsid w:val="000F75CC"/>
    <w:rsid w:val="00101001"/>
    <w:rsid w:val="001011ED"/>
    <w:rsid w:val="0010215C"/>
    <w:rsid w:val="00102C55"/>
    <w:rsid w:val="00103276"/>
    <w:rsid w:val="0010392D"/>
    <w:rsid w:val="0010415D"/>
    <w:rsid w:val="0010447F"/>
    <w:rsid w:val="001047AB"/>
    <w:rsid w:val="00104FE3"/>
    <w:rsid w:val="00106404"/>
    <w:rsid w:val="00106922"/>
    <w:rsid w:val="0010714F"/>
    <w:rsid w:val="0011010F"/>
    <w:rsid w:val="0011092A"/>
    <w:rsid w:val="001120C5"/>
    <w:rsid w:val="0011210C"/>
    <w:rsid w:val="00113147"/>
    <w:rsid w:val="00113D5A"/>
    <w:rsid w:val="00114077"/>
    <w:rsid w:val="00114772"/>
    <w:rsid w:val="00116353"/>
    <w:rsid w:val="0011701A"/>
    <w:rsid w:val="00117FC0"/>
    <w:rsid w:val="00120BD3"/>
    <w:rsid w:val="00121727"/>
    <w:rsid w:val="00122D5E"/>
    <w:rsid w:val="00122FEA"/>
    <w:rsid w:val="001232BD"/>
    <w:rsid w:val="001234D6"/>
    <w:rsid w:val="001237DA"/>
    <w:rsid w:val="00123C82"/>
    <w:rsid w:val="00124902"/>
    <w:rsid w:val="00124BF5"/>
    <w:rsid w:val="00124CD5"/>
    <w:rsid w:val="00124ED5"/>
    <w:rsid w:val="00126E7F"/>
    <w:rsid w:val="001276FA"/>
    <w:rsid w:val="00127C8C"/>
    <w:rsid w:val="00127F22"/>
    <w:rsid w:val="001303BF"/>
    <w:rsid w:val="00130701"/>
    <w:rsid w:val="00131648"/>
    <w:rsid w:val="00131910"/>
    <w:rsid w:val="00131F3A"/>
    <w:rsid w:val="001329E7"/>
    <w:rsid w:val="00133A3D"/>
    <w:rsid w:val="00133AE0"/>
    <w:rsid w:val="001346EE"/>
    <w:rsid w:val="0013590F"/>
    <w:rsid w:val="001359DC"/>
    <w:rsid w:val="00136E27"/>
    <w:rsid w:val="00137792"/>
    <w:rsid w:val="001417E4"/>
    <w:rsid w:val="00141935"/>
    <w:rsid w:val="00141A57"/>
    <w:rsid w:val="0014255B"/>
    <w:rsid w:val="00142AA2"/>
    <w:rsid w:val="00142B2E"/>
    <w:rsid w:val="00142D21"/>
    <w:rsid w:val="0014390A"/>
    <w:rsid w:val="00143A2D"/>
    <w:rsid w:val="001447B3"/>
    <w:rsid w:val="00145492"/>
    <w:rsid w:val="00145BDD"/>
    <w:rsid w:val="00145D86"/>
    <w:rsid w:val="00147D5F"/>
    <w:rsid w:val="00150789"/>
    <w:rsid w:val="00150D1C"/>
    <w:rsid w:val="00151F57"/>
    <w:rsid w:val="00152073"/>
    <w:rsid w:val="00152524"/>
    <w:rsid w:val="001528C7"/>
    <w:rsid w:val="001528D3"/>
    <w:rsid w:val="00153336"/>
    <w:rsid w:val="00154E2D"/>
    <w:rsid w:val="001562AA"/>
    <w:rsid w:val="00156598"/>
    <w:rsid w:val="001602DB"/>
    <w:rsid w:val="001617C7"/>
    <w:rsid w:val="001618D4"/>
    <w:rsid w:val="00161939"/>
    <w:rsid w:val="00161AA0"/>
    <w:rsid w:val="00161D2E"/>
    <w:rsid w:val="00161F3E"/>
    <w:rsid w:val="00162093"/>
    <w:rsid w:val="00162CA9"/>
    <w:rsid w:val="00163F60"/>
    <w:rsid w:val="00164ED3"/>
    <w:rsid w:val="00165046"/>
    <w:rsid w:val="00165459"/>
    <w:rsid w:val="0016582A"/>
    <w:rsid w:val="00165A1B"/>
    <w:rsid w:val="00165A57"/>
    <w:rsid w:val="00166951"/>
    <w:rsid w:val="00167201"/>
    <w:rsid w:val="001676E9"/>
    <w:rsid w:val="00167ED4"/>
    <w:rsid w:val="001705DD"/>
    <w:rsid w:val="001712C2"/>
    <w:rsid w:val="00172BAF"/>
    <w:rsid w:val="0017343B"/>
    <w:rsid w:val="0017526B"/>
    <w:rsid w:val="001765C3"/>
    <w:rsid w:val="001769A0"/>
    <w:rsid w:val="001771DD"/>
    <w:rsid w:val="00177995"/>
    <w:rsid w:val="00177A8C"/>
    <w:rsid w:val="00177C85"/>
    <w:rsid w:val="00177FA6"/>
    <w:rsid w:val="00181935"/>
    <w:rsid w:val="00182627"/>
    <w:rsid w:val="0018267D"/>
    <w:rsid w:val="00182B8D"/>
    <w:rsid w:val="00184678"/>
    <w:rsid w:val="00185059"/>
    <w:rsid w:val="001856F3"/>
    <w:rsid w:val="00186B33"/>
    <w:rsid w:val="00190B0D"/>
    <w:rsid w:val="00190E34"/>
    <w:rsid w:val="00192F9D"/>
    <w:rsid w:val="00193376"/>
    <w:rsid w:val="001948B3"/>
    <w:rsid w:val="00196665"/>
    <w:rsid w:val="00196EB8"/>
    <w:rsid w:val="00196EFB"/>
    <w:rsid w:val="00196FCE"/>
    <w:rsid w:val="001979FF"/>
    <w:rsid w:val="00197B17"/>
    <w:rsid w:val="001A16DE"/>
    <w:rsid w:val="001A180C"/>
    <w:rsid w:val="001A1950"/>
    <w:rsid w:val="001A1C54"/>
    <w:rsid w:val="001A37A8"/>
    <w:rsid w:val="001A3ACE"/>
    <w:rsid w:val="001A3CCE"/>
    <w:rsid w:val="001A4070"/>
    <w:rsid w:val="001A680F"/>
    <w:rsid w:val="001A70BD"/>
    <w:rsid w:val="001B058F"/>
    <w:rsid w:val="001B16D4"/>
    <w:rsid w:val="001B32B4"/>
    <w:rsid w:val="001B538C"/>
    <w:rsid w:val="001B5599"/>
    <w:rsid w:val="001B738B"/>
    <w:rsid w:val="001B739D"/>
    <w:rsid w:val="001B78B0"/>
    <w:rsid w:val="001C05F6"/>
    <w:rsid w:val="001C09DB"/>
    <w:rsid w:val="001C277E"/>
    <w:rsid w:val="001C2A72"/>
    <w:rsid w:val="001C2E35"/>
    <w:rsid w:val="001C31B7"/>
    <w:rsid w:val="001C3F82"/>
    <w:rsid w:val="001C40BA"/>
    <w:rsid w:val="001C4B7E"/>
    <w:rsid w:val="001C4E31"/>
    <w:rsid w:val="001C57C1"/>
    <w:rsid w:val="001C6132"/>
    <w:rsid w:val="001C6452"/>
    <w:rsid w:val="001C7A7A"/>
    <w:rsid w:val="001D0806"/>
    <w:rsid w:val="001D0B75"/>
    <w:rsid w:val="001D1A57"/>
    <w:rsid w:val="001D30D3"/>
    <w:rsid w:val="001D39A5"/>
    <w:rsid w:val="001D3C09"/>
    <w:rsid w:val="001D44E8"/>
    <w:rsid w:val="001D4FD1"/>
    <w:rsid w:val="001D5352"/>
    <w:rsid w:val="001D59E0"/>
    <w:rsid w:val="001D5AC2"/>
    <w:rsid w:val="001D5D56"/>
    <w:rsid w:val="001D60EC"/>
    <w:rsid w:val="001D6F59"/>
    <w:rsid w:val="001E013D"/>
    <w:rsid w:val="001E0C5D"/>
    <w:rsid w:val="001E187A"/>
    <w:rsid w:val="001E2A36"/>
    <w:rsid w:val="001E2AAD"/>
    <w:rsid w:val="001E43A1"/>
    <w:rsid w:val="001E44DF"/>
    <w:rsid w:val="001E5058"/>
    <w:rsid w:val="001E56B6"/>
    <w:rsid w:val="001E68A5"/>
    <w:rsid w:val="001E6BB0"/>
    <w:rsid w:val="001E7282"/>
    <w:rsid w:val="001E7F3C"/>
    <w:rsid w:val="001F0C93"/>
    <w:rsid w:val="001F235F"/>
    <w:rsid w:val="001F3201"/>
    <w:rsid w:val="001F3826"/>
    <w:rsid w:val="001F6E46"/>
    <w:rsid w:val="001F7186"/>
    <w:rsid w:val="001F7C91"/>
    <w:rsid w:val="00200176"/>
    <w:rsid w:val="00201172"/>
    <w:rsid w:val="00202D80"/>
    <w:rsid w:val="00202FE8"/>
    <w:rsid w:val="0020333D"/>
    <w:rsid w:val="002033B7"/>
    <w:rsid w:val="00203534"/>
    <w:rsid w:val="0020386C"/>
    <w:rsid w:val="0020398F"/>
    <w:rsid w:val="0020499C"/>
    <w:rsid w:val="00204A1F"/>
    <w:rsid w:val="00204AD1"/>
    <w:rsid w:val="002052CF"/>
    <w:rsid w:val="0020535E"/>
    <w:rsid w:val="00205969"/>
    <w:rsid w:val="00206463"/>
    <w:rsid w:val="00206F2F"/>
    <w:rsid w:val="002078E1"/>
    <w:rsid w:val="0021053D"/>
    <w:rsid w:val="00210A92"/>
    <w:rsid w:val="00211A08"/>
    <w:rsid w:val="00211D21"/>
    <w:rsid w:val="00212D55"/>
    <w:rsid w:val="0021348B"/>
    <w:rsid w:val="002135C8"/>
    <w:rsid w:val="00214183"/>
    <w:rsid w:val="00214343"/>
    <w:rsid w:val="00216164"/>
    <w:rsid w:val="00216C03"/>
    <w:rsid w:val="002174A1"/>
    <w:rsid w:val="002204E5"/>
    <w:rsid w:val="00220C04"/>
    <w:rsid w:val="00220DAF"/>
    <w:rsid w:val="0022278D"/>
    <w:rsid w:val="002229C7"/>
    <w:rsid w:val="002230EE"/>
    <w:rsid w:val="002233E0"/>
    <w:rsid w:val="0022391D"/>
    <w:rsid w:val="002249F4"/>
    <w:rsid w:val="00224C59"/>
    <w:rsid w:val="0022522D"/>
    <w:rsid w:val="0022626E"/>
    <w:rsid w:val="00226360"/>
    <w:rsid w:val="00226900"/>
    <w:rsid w:val="0022701F"/>
    <w:rsid w:val="002274EC"/>
    <w:rsid w:val="00227C68"/>
    <w:rsid w:val="00227C6A"/>
    <w:rsid w:val="00227EE0"/>
    <w:rsid w:val="00227F2E"/>
    <w:rsid w:val="002320EB"/>
    <w:rsid w:val="0023312E"/>
    <w:rsid w:val="002333F5"/>
    <w:rsid w:val="00233724"/>
    <w:rsid w:val="00233AEB"/>
    <w:rsid w:val="00233AFA"/>
    <w:rsid w:val="0023633A"/>
    <w:rsid w:val="002365B4"/>
    <w:rsid w:val="00240825"/>
    <w:rsid w:val="00241A86"/>
    <w:rsid w:val="0024215A"/>
    <w:rsid w:val="002432E1"/>
    <w:rsid w:val="00243314"/>
    <w:rsid w:val="002433EB"/>
    <w:rsid w:val="002434FE"/>
    <w:rsid w:val="00246207"/>
    <w:rsid w:val="00246C5E"/>
    <w:rsid w:val="00246C7B"/>
    <w:rsid w:val="00250960"/>
    <w:rsid w:val="00251343"/>
    <w:rsid w:val="002522C0"/>
    <w:rsid w:val="002528AD"/>
    <w:rsid w:val="002536A4"/>
    <w:rsid w:val="0025410F"/>
    <w:rsid w:val="00254EFF"/>
    <w:rsid w:val="00254F58"/>
    <w:rsid w:val="00257013"/>
    <w:rsid w:val="00257753"/>
    <w:rsid w:val="00260790"/>
    <w:rsid w:val="00260ACD"/>
    <w:rsid w:val="00261B24"/>
    <w:rsid w:val="00262036"/>
    <w:rsid w:val="002620BC"/>
    <w:rsid w:val="00262802"/>
    <w:rsid w:val="00263A90"/>
    <w:rsid w:val="00263C1F"/>
    <w:rsid w:val="0026408B"/>
    <w:rsid w:val="00264346"/>
    <w:rsid w:val="0026435F"/>
    <w:rsid w:val="00266434"/>
    <w:rsid w:val="00266F5E"/>
    <w:rsid w:val="00267C3E"/>
    <w:rsid w:val="002709BB"/>
    <w:rsid w:val="0027113F"/>
    <w:rsid w:val="00272915"/>
    <w:rsid w:val="00272A69"/>
    <w:rsid w:val="002735E3"/>
    <w:rsid w:val="00273BAC"/>
    <w:rsid w:val="0027442A"/>
    <w:rsid w:val="00274B89"/>
    <w:rsid w:val="0027528E"/>
    <w:rsid w:val="002757FD"/>
    <w:rsid w:val="002763B3"/>
    <w:rsid w:val="002802E3"/>
    <w:rsid w:val="0028213D"/>
    <w:rsid w:val="00282327"/>
    <w:rsid w:val="00282D99"/>
    <w:rsid w:val="00283065"/>
    <w:rsid w:val="00283582"/>
    <w:rsid w:val="002862F1"/>
    <w:rsid w:val="00286FD3"/>
    <w:rsid w:val="00291373"/>
    <w:rsid w:val="002929C9"/>
    <w:rsid w:val="00295121"/>
    <w:rsid w:val="002954CB"/>
    <w:rsid w:val="0029597D"/>
    <w:rsid w:val="002962C3"/>
    <w:rsid w:val="0029692D"/>
    <w:rsid w:val="00297166"/>
    <w:rsid w:val="0029752B"/>
    <w:rsid w:val="002A04BA"/>
    <w:rsid w:val="002A0A9C"/>
    <w:rsid w:val="002A124B"/>
    <w:rsid w:val="002A17E3"/>
    <w:rsid w:val="002A196B"/>
    <w:rsid w:val="002A44BC"/>
    <w:rsid w:val="002A483C"/>
    <w:rsid w:val="002A5B7C"/>
    <w:rsid w:val="002B0A49"/>
    <w:rsid w:val="002B0C7C"/>
    <w:rsid w:val="002B10BC"/>
    <w:rsid w:val="002B1729"/>
    <w:rsid w:val="002B1FC6"/>
    <w:rsid w:val="002B239C"/>
    <w:rsid w:val="002B36C7"/>
    <w:rsid w:val="002B495B"/>
    <w:rsid w:val="002B4DD4"/>
    <w:rsid w:val="002B5277"/>
    <w:rsid w:val="002B5375"/>
    <w:rsid w:val="002B558D"/>
    <w:rsid w:val="002B779D"/>
    <w:rsid w:val="002B77C1"/>
    <w:rsid w:val="002B7CD2"/>
    <w:rsid w:val="002C0ED7"/>
    <w:rsid w:val="002C18A1"/>
    <w:rsid w:val="002C1EEE"/>
    <w:rsid w:val="002C2036"/>
    <w:rsid w:val="002C2728"/>
    <w:rsid w:val="002C56F3"/>
    <w:rsid w:val="002C668B"/>
    <w:rsid w:val="002C731F"/>
    <w:rsid w:val="002C78C4"/>
    <w:rsid w:val="002D1E0D"/>
    <w:rsid w:val="002D26C3"/>
    <w:rsid w:val="002D3B78"/>
    <w:rsid w:val="002D3D61"/>
    <w:rsid w:val="002D4840"/>
    <w:rsid w:val="002D4E01"/>
    <w:rsid w:val="002D5006"/>
    <w:rsid w:val="002D5507"/>
    <w:rsid w:val="002D58B8"/>
    <w:rsid w:val="002D624A"/>
    <w:rsid w:val="002D6E24"/>
    <w:rsid w:val="002D7422"/>
    <w:rsid w:val="002D7824"/>
    <w:rsid w:val="002E01D0"/>
    <w:rsid w:val="002E161D"/>
    <w:rsid w:val="002E1989"/>
    <w:rsid w:val="002E1EB8"/>
    <w:rsid w:val="002E3100"/>
    <w:rsid w:val="002E457C"/>
    <w:rsid w:val="002E49EB"/>
    <w:rsid w:val="002E6C95"/>
    <w:rsid w:val="002E796C"/>
    <w:rsid w:val="002E7C36"/>
    <w:rsid w:val="002F0107"/>
    <w:rsid w:val="002F0777"/>
    <w:rsid w:val="002F276B"/>
    <w:rsid w:val="002F2C6B"/>
    <w:rsid w:val="002F3060"/>
    <w:rsid w:val="002F3998"/>
    <w:rsid w:val="002F3D32"/>
    <w:rsid w:val="002F487D"/>
    <w:rsid w:val="002F5F31"/>
    <w:rsid w:val="002F5F46"/>
    <w:rsid w:val="002F632C"/>
    <w:rsid w:val="00300900"/>
    <w:rsid w:val="00300B8F"/>
    <w:rsid w:val="00301C03"/>
    <w:rsid w:val="00302216"/>
    <w:rsid w:val="003038F1"/>
    <w:rsid w:val="00303E53"/>
    <w:rsid w:val="003053E6"/>
    <w:rsid w:val="00305ADC"/>
    <w:rsid w:val="00305CC1"/>
    <w:rsid w:val="00305E2F"/>
    <w:rsid w:val="003067BC"/>
    <w:rsid w:val="00306CC4"/>
    <w:rsid w:val="00306E5F"/>
    <w:rsid w:val="00307429"/>
    <w:rsid w:val="003077F2"/>
    <w:rsid w:val="00307C66"/>
    <w:rsid w:val="00307E14"/>
    <w:rsid w:val="003132E7"/>
    <w:rsid w:val="00313438"/>
    <w:rsid w:val="00313930"/>
    <w:rsid w:val="00314054"/>
    <w:rsid w:val="00315BD8"/>
    <w:rsid w:val="00316F27"/>
    <w:rsid w:val="0031732D"/>
    <w:rsid w:val="00320F60"/>
    <w:rsid w:val="00321458"/>
    <w:rsid w:val="003214F1"/>
    <w:rsid w:val="00322E4B"/>
    <w:rsid w:val="003236D5"/>
    <w:rsid w:val="003243EF"/>
    <w:rsid w:val="003259C0"/>
    <w:rsid w:val="00325F35"/>
    <w:rsid w:val="00327870"/>
    <w:rsid w:val="00327AC3"/>
    <w:rsid w:val="003313D9"/>
    <w:rsid w:val="00331633"/>
    <w:rsid w:val="00332159"/>
    <w:rsid w:val="0033259D"/>
    <w:rsid w:val="003333D2"/>
    <w:rsid w:val="00335C07"/>
    <w:rsid w:val="00337987"/>
    <w:rsid w:val="003400B8"/>
    <w:rsid w:val="003406C6"/>
    <w:rsid w:val="003418CC"/>
    <w:rsid w:val="00342B31"/>
    <w:rsid w:val="00343FD1"/>
    <w:rsid w:val="003459BD"/>
    <w:rsid w:val="003464E0"/>
    <w:rsid w:val="00346627"/>
    <w:rsid w:val="00346AC7"/>
    <w:rsid w:val="00350820"/>
    <w:rsid w:val="00350D38"/>
    <w:rsid w:val="00351A62"/>
    <w:rsid w:val="00351B36"/>
    <w:rsid w:val="003520E3"/>
    <w:rsid w:val="00352823"/>
    <w:rsid w:val="0035318D"/>
    <w:rsid w:val="00353DDC"/>
    <w:rsid w:val="00354A2C"/>
    <w:rsid w:val="00356447"/>
    <w:rsid w:val="00357342"/>
    <w:rsid w:val="00357B4E"/>
    <w:rsid w:val="00360278"/>
    <w:rsid w:val="00362EE6"/>
    <w:rsid w:val="0036342D"/>
    <w:rsid w:val="003657FC"/>
    <w:rsid w:val="0036676A"/>
    <w:rsid w:val="00366D12"/>
    <w:rsid w:val="0036720D"/>
    <w:rsid w:val="003679C4"/>
    <w:rsid w:val="0037108D"/>
    <w:rsid w:val="00371189"/>
    <w:rsid w:val="003716FD"/>
    <w:rsid w:val="0037204B"/>
    <w:rsid w:val="003725BD"/>
    <w:rsid w:val="00373890"/>
    <w:rsid w:val="00373939"/>
    <w:rsid w:val="003744CF"/>
    <w:rsid w:val="00374717"/>
    <w:rsid w:val="003752AA"/>
    <w:rsid w:val="0037676C"/>
    <w:rsid w:val="00380959"/>
    <w:rsid w:val="00381043"/>
    <w:rsid w:val="003829E5"/>
    <w:rsid w:val="00384912"/>
    <w:rsid w:val="00385BCD"/>
    <w:rsid w:val="00386109"/>
    <w:rsid w:val="00386944"/>
    <w:rsid w:val="00387187"/>
    <w:rsid w:val="00387225"/>
    <w:rsid w:val="0039014F"/>
    <w:rsid w:val="00390BD5"/>
    <w:rsid w:val="00394576"/>
    <w:rsid w:val="003951B8"/>
    <w:rsid w:val="003956CC"/>
    <w:rsid w:val="00395C9A"/>
    <w:rsid w:val="003A0853"/>
    <w:rsid w:val="003A17C1"/>
    <w:rsid w:val="003A440B"/>
    <w:rsid w:val="003A5DC1"/>
    <w:rsid w:val="003A6461"/>
    <w:rsid w:val="003A6B67"/>
    <w:rsid w:val="003B13B6"/>
    <w:rsid w:val="003B15E6"/>
    <w:rsid w:val="003B19DC"/>
    <w:rsid w:val="003B20CE"/>
    <w:rsid w:val="003B3206"/>
    <w:rsid w:val="003B408A"/>
    <w:rsid w:val="003B4985"/>
    <w:rsid w:val="003B54AA"/>
    <w:rsid w:val="003B5733"/>
    <w:rsid w:val="003B5DBC"/>
    <w:rsid w:val="003C08A2"/>
    <w:rsid w:val="003C1093"/>
    <w:rsid w:val="003C1A74"/>
    <w:rsid w:val="003C2045"/>
    <w:rsid w:val="003C30F8"/>
    <w:rsid w:val="003C436D"/>
    <w:rsid w:val="003C43A1"/>
    <w:rsid w:val="003C4732"/>
    <w:rsid w:val="003C49C0"/>
    <w:rsid w:val="003C4FC0"/>
    <w:rsid w:val="003C55F4"/>
    <w:rsid w:val="003C6BF4"/>
    <w:rsid w:val="003C7897"/>
    <w:rsid w:val="003C7A3F"/>
    <w:rsid w:val="003D2766"/>
    <w:rsid w:val="003D2A74"/>
    <w:rsid w:val="003D3E8F"/>
    <w:rsid w:val="003D536A"/>
    <w:rsid w:val="003D55AE"/>
    <w:rsid w:val="003D60F4"/>
    <w:rsid w:val="003D6475"/>
    <w:rsid w:val="003D6570"/>
    <w:rsid w:val="003D67B6"/>
    <w:rsid w:val="003D6B0B"/>
    <w:rsid w:val="003D7A4E"/>
    <w:rsid w:val="003E0354"/>
    <w:rsid w:val="003E0656"/>
    <w:rsid w:val="003E117B"/>
    <w:rsid w:val="003E260D"/>
    <w:rsid w:val="003E375C"/>
    <w:rsid w:val="003E3EBA"/>
    <w:rsid w:val="003E4086"/>
    <w:rsid w:val="003E40E5"/>
    <w:rsid w:val="003E4E06"/>
    <w:rsid w:val="003E4E67"/>
    <w:rsid w:val="003E639E"/>
    <w:rsid w:val="003E63E3"/>
    <w:rsid w:val="003E71E5"/>
    <w:rsid w:val="003E7759"/>
    <w:rsid w:val="003F0445"/>
    <w:rsid w:val="003F0549"/>
    <w:rsid w:val="003F0CF0"/>
    <w:rsid w:val="003F14B1"/>
    <w:rsid w:val="003F2B20"/>
    <w:rsid w:val="003F3289"/>
    <w:rsid w:val="003F390A"/>
    <w:rsid w:val="003F4B5F"/>
    <w:rsid w:val="003F555D"/>
    <w:rsid w:val="003F5CB9"/>
    <w:rsid w:val="003F6985"/>
    <w:rsid w:val="003F789B"/>
    <w:rsid w:val="0040034A"/>
    <w:rsid w:val="004013C7"/>
    <w:rsid w:val="00401FCF"/>
    <w:rsid w:val="0040248F"/>
    <w:rsid w:val="00402F49"/>
    <w:rsid w:val="00406285"/>
    <w:rsid w:val="00407608"/>
    <w:rsid w:val="00407D45"/>
    <w:rsid w:val="004112B0"/>
    <w:rsid w:val="004112C6"/>
    <w:rsid w:val="004127CA"/>
    <w:rsid w:val="00412DA6"/>
    <w:rsid w:val="00414519"/>
    <w:rsid w:val="004148F9"/>
    <w:rsid w:val="00414B27"/>
    <w:rsid w:val="00414CFD"/>
    <w:rsid w:val="00414D4A"/>
    <w:rsid w:val="00417DAD"/>
    <w:rsid w:val="0042084E"/>
    <w:rsid w:val="00421127"/>
    <w:rsid w:val="004211E0"/>
    <w:rsid w:val="00421EEF"/>
    <w:rsid w:val="0042242D"/>
    <w:rsid w:val="00422CF6"/>
    <w:rsid w:val="004233B9"/>
    <w:rsid w:val="0042434D"/>
    <w:rsid w:val="00424D65"/>
    <w:rsid w:val="004259C4"/>
    <w:rsid w:val="00426BD3"/>
    <w:rsid w:val="00426C6E"/>
    <w:rsid w:val="00430EBE"/>
    <w:rsid w:val="00431A57"/>
    <w:rsid w:val="0043227B"/>
    <w:rsid w:val="00432D39"/>
    <w:rsid w:val="00433B13"/>
    <w:rsid w:val="00434131"/>
    <w:rsid w:val="00434381"/>
    <w:rsid w:val="0043607E"/>
    <w:rsid w:val="004415B2"/>
    <w:rsid w:val="004419DE"/>
    <w:rsid w:val="00442C6C"/>
    <w:rsid w:val="00442E18"/>
    <w:rsid w:val="00443CBE"/>
    <w:rsid w:val="00443E8A"/>
    <w:rsid w:val="004441BC"/>
    <w:rsid w:val="0044655B"/>
    <w:rsid w:val="004468B4"/>
    <w:rsid w:val="0044713B"/>
    <w:rsid w:val="00447210"/>
    <w:rsid w:val="00450462"/>
    <w:rsid w:val="0045049F"/>
    <w:rsid w:val="0045071E"/>
    <w:rsid w:val="00450ADB"/>
    <w:rsid w:val="00452247"/>
    <w:rsid w:val="0045230A"/>
    <w:rsid w:val="004526B5"/>
    <w:rsid w:val="00453AB0"/>
    <w:rsid w:val="00454AD0"/>
    <w:rsid w:val="00454BC6"/>
    <w:rsid w:val="0045599C"/>
    <w:rsid w:val="00455A60"/>
    <w:rsid w:val="00455DB5"/>
    <w:rsid w:val="004567B2"/>
    <w:rsid w:val="00456A95"/>
    <w:rsid w:val="00456E26"/>
    <w:rsid w:val="00457092"/>
    <w:rsid w:val="00457337"/>
    <w:rsid w:val="00462281"/>
    <w:rsid w:val="00462AF6"/>
    <w:rsid w:val="00462E3D"/>
    <w:rsid w:val="00464E62"/>
    <w:rsid w:val="00466E79"/>
    <w:rsid w:val="00466F79"/>
    <w:rsid w:val="00470BDB"/>
    <w:rsid w:val="00470CF3"/>
    <w:rsid w:val="00470D7D"/>
    <w:rsid w:val="00471F3D"/>
    <w:rsid w:val="00471F57"/>
    <w:rsid w:val="0047372D"/>
    <w:rsid w:val="004739FD"/>
    <w:rsid w:val="00473BA3"/>
    <w:rsid w:val="004743DD"/>
    <w:rsid w:val="00474CEA"/>
    <w:rsid w:val="00476BC2"/>
    <w:rsid w:val="0047737C"/>
    <w:rsid w:val="00477CB0"/>
    <w:rsid w:val="004805B0"/>
    <w:rsid w:val="004806E5"/>
    <w:rsid w:val="00480BD4"/>
    <w:rsid w:val="00480BE7"/>
    <w:rsid w:val="004811E3"/>
    <w:rsid w:val="00481485"/>
    <w:rsid w:val="00481950"/>
    <w:rsid w:val="00482CB2"/>
    <w:rsid w:val="00483201"/>
    <w:rsid w:val="00483968"/>
    <w:rsid w:val="00483E52"/>
    <w:rsid w:val="00484F86"/>
    <w:rsid w:val="0048566D"/>
    <w:rsid w:val="00487C12"/>
    <w:rsid w:val="00490746"/>
    <w:rsid w:val="00490852"/>
    <w:rsid w:val="00491895"/>
    <w:rsid w:val="0049196B"/>
    <w:rsid w:val="00491C9C"/>
    <w:rsid w:val="00492F30"/>
    <w:rsid w:val="00493419"/>
    <w:rsid w:val="004946F4"/>
    <w:rsid w:val="0049487E"/>
    <w:rsid w:val="00495FC4"/>
    <w:rsid w:val="00496564"/>
    <w:rsid w:val="004A0A7A"/>
    <w:rsid w:val="004A160D"/>
    <w:rsid w:val="004A213F"/>
    <w:rsid w:val="004A351D"/>
    <w:rsid w:val="004A3E81"/>
    <w:rsid w:val="004A4195"/>
    <w:rsid w:val="004A4E11"/>
    <w:rsid w:val="004A5C62"/>
    <w:rsid w:val="004A5CE5"/>
    <w:rsid w:val="004A6094"/>
    <w:rsid w:val="004A707D"/>
    <w:rsid w:val="004A7CD2"/>
    <w:rsid w:val="004B0868"/>
    <w:rsid w:val="004B1D0B"/>
    <w:rsid w:val="004B270B"/>
    <w:rsid w:val="004B2A38"/>
    <w:rsid w:val="004B2F28"/>
    <w:rsid w:val="004B315B"/>
    <w:rsid w:val="004B3F84"/>
    <w:rsid w:val="004B3F98"/>
    <w:rsid w:val="004B48F0"/>
    <w:rsid w:val="004B4BC4"/>
    <w:rsid w:val="004B6AE4"/>
    <w:rsid w:val="004C09EC"/>
    <w:rsid w:val="004C1CC0"/>
    <w:rsid w:val="004C3B6C"/>
    <w:rsid w:val="004C45EB"/>
    <w:rsid w:val="004C488F"/>
    <w:rsid w:val="004C4C03"/>
    <w:rsid w:val="004C5541"/>
    <w:rsid w:val="004C5D50"/>
    <w:rsid w:val="004C6EEE"/>
    <w:rsid w:val="004C702B"/>
    <w:rsid w:val="004C7288"/>
    <w:rsid w:val="004D0033"/>
    <w:rsid w:val="004D016B"/>
    <w:rsid w:val="004D1B22"/>
    <w:rsid w:val="004D23CC"/>
    <w:rsid w:val="004D2AFE"/>
    <w:rsid w:val="004D36F2"/>
    <w:rsid w:val="004D401E"/>
    <w:rsid w:val="004D42CB"/>
    <w:rsid w:val="004D6BE1"/>
    <w:rsid w:val="004E0253"/>
    <w:rsid w:val="004E0F7D"/>
    <w:rsid w:val="004E0FB3"/>
    <w:rsid w:val="004E1106"/>
    <w:rsid w:val="004E138F"/>
    <w:rsid w:val="004E17B5"/>
    <w:rsid w:val="004E2BEE"/>
    <w:rsid w:val="004E3C68"/>
    <w:rsid w:val="004E4279"/>
    <w:rsid w:val="004E4649"/>
    <w:rsid w:val="004E5C2B"/>
    <w:rsid w:val="004E7DC3"/>
    <w:rsid w:val="004F00DD"/>
    <w:rsid w:val="004F01B6"/>
    <w:rsid w:val="004F096C"/>
    <w:rsid w:val="004F0EAD"/>
    <w:rsid w:val="004F2133"/>
    <w:rsid w:val="004F3ED2"/>
    <w:rsid w:val="004F4D39"/>
    <w:rsid w:val="004F5398"/>
    <w:rsid w:val="004F55F1"/>
    <w:rsid w:val="004F6936"/>
    <w:rsid w:val="005016FD"/>
    <w:rsid w:val="00502CEF"/>
    <w:rsid w:val="00503DC6"/>
    <w:rsid w:val="00504DB2"/>
    <w:rsid w:val="0050538F"/>
    <w:rsid w:val="005055F6"/>
    <w:rsid w:val="00505A20"/>
    <w:rsid w:val="00506F5D"/>
    <w:rsid w:val="00510592"/>
    <w:rsid w:val="00510C37"/>
    <w:rsid w:val="005126D0"/>
    <w:rsid w:val="00512DF8"/>
    <w:rsid w:val="00514434"/>
    <w:rsid w:val="0051568D"/>
    <w:rsid w:val="005175C4"/>
    <w:rsid w:val="00520985"/>
    <w:rsid w:val="00523B35"/>
    <w:rsid w:val="005249D7"/>
    <w:rsid w:val="005253A6"/>
    <w:rsid w:val="005263CB"/>
    <w:rsid w:val="00526600"/>
    <w:rsid w:val="00526AC7"/>
    <w:rsid w:val="00526C15"/>
    <w:rsid w:val="00526E0D"/>
    <w:rsid w:val="00526F5F"/>
    <w:rsid w:val="005275FE"/>
    <w:rsid w:val="005309AB"/>
    <w:rsid w:val="00532123"/>
    <w:rsid w:val="00532EC1"/>
    <w:rsid w:val="005337A7"/>
    <w:rsid w:val="00533E3F"/>
    <w:rsid w:val="00534F2F"/>
    <w:rsid w:val="00536019"/>
    <w:rsid w:val="0053638C"/>
    <w:rsid w:val="00536395"/>
    <w:rsid w:val="00536499"/>
    <w:rsid w:val="00536A4C"/>
    <w:rsid w:val="00537394"/>
    <w:rsid w:val="005407FA"/>
    <w:rsid w:val="00540FED"/>
    <w:rsid w:val="0054141B"/>
    <w:rsid w:val="005417E1"/>
    <w:rsid w:val="00542884"/>
    <w:rsid w:val="005433EE"/>
    <w:rsid w:val="00543903"/>
    <w:rsid w:val="00543E6A"/>
    <w:rsid w:val="00543F11"/>
    <w:rsid w:val="00546305"/>
    <w:rsid w:val="00546450"/>
    <w:rsid w:val="00547A95"/>
    <w:rsid w:val="00550C90"/>
    <w:rsid w:val="0055119B"/>
    <w:rsid w:val="00551F72"/>
    <w:rsid w:val="005539F4"/>
    <w:rsid w:val="005546E1"/>
    <w:rsid w:val="005548B5"/>
    <w:rsid w:val="00554C28"/>
    <w:rsid w:val="005552D3"/>
    <w:rsid w:val="00556F6D"/>
    <w:rsid w:val="00562649"/>
    <w:rsid w:val="00562D42"/>
    <w:rsid w:val="0056325D"/>
    <w:rsid w:val="00563C58"/>
    <w:rsid w:val="00564209"/>
    <w:rsid w:val="00565CEE"/>
    <w:rsid w:val="0056670A"/>
    <w:rsid w:val="00566D0B"/>
    <w:rsid w:val="005674DB"/>
    <w:rsid w:val="005677DA"/>
    <w:rsid w:val="0056782E"/>
    <w:rsid w:val="005702D7"/>
    <w:rsid w:val="00570708"/>
    <w:rsid w:val="005718FC"/>
    <w:rsid w:val="00572031"/>
    <w:rsid w:val="00572282"/>
    <w:rsid w:val="00573895"/>
    <w:rsid w:val="00573CE3"/>
    <w:rsid w:val="0057501C"/>
    <w:rsid w:val="005752E5"/>
    <w:rsid w:val="00576E84"/>
    <w:rsid w:val="005773CB"/>
    <w:rsid w:val="00580394"/>
    <w:rsid w:val="005809CD"/>
    <w:rsid w:val="0058264F"/>
    <w:rsid w:val="00582B8C"/>
    <w:rsid w:val="00586561"/>
    <w:rsid w:val="0058757E"/>
    <w:rsid w:val="00590184"/>
    <w:rsid w:val="00590BD2"/>
    <w:rsid w:val="00591635"/>
    <w:rsid w:val="00592164"/>
    <w:rsid w:val="00593258"/>
    <w:rsid w:val="00595646"/>
    <w:rsid w:val="00595680"/>
    <w:rsid w:val="00596428"/>
    <w:rsid w:val="00596A4B"/>
    <w:rsid w:val="00597507"/>
    <w:rsid w:val="0059775C"/>
    <w:rsid w:val="005A0358"/>
    <w:rsid w:val="005A07A8"/>
    <w:rsid w:val="005A0AC7"/>
    <w:rsid w:val="005A0DA2"/>
    <w:rsid w:val="005A2213"/>
    <w:rsid w:val="005A2368"/>
    <w:rsid w:val="005A29CA"/>
    <w:rsid w:val="005A2F6C"/>
    <w:rsid w:val="005A37B0"/>
    <w:rsid w:val="005A389F"/>
    <w:rsid w:val="005A479D"/>
    <w:rsid w:val="005B01C8"/>
    <w:rsid w:val="005B145B"/>
    <w:rsid w:val="005B1C6D"/>
    <w:rsid w:val="005B21B6"/>
    <w:rsid w:val="005B29C5"/>
    <w:rsid w:val="005B2AC2"/>
    <w:rsid w:val="005B2AE4"/>
    <w:rsid w:val="005B31BE"/>
    <w:rsid w:val="005B3537"/>
    <w:rsid w:val="005B3A08"/>
    <w:rsid w:val="005B594E"/>
    <w:rsid w:val="005B5CDB"/>
    <w:rsid w:val="005B62D8"/>
    <w:rsid w:val="005B6A9E"/>
    <w:rsid w:val="005B7A63"/>
    <w:rsid w:val="005C0955"/>
    <w:rsid w:val="005C20B6"/>
    <w:rsid w:val="005C49DA"/>
    <w:rsid w:val="005C4A62"/>
    <w:rsid w:val="005C50F3"/>
    <w:rsid w:val="005C5276"/>
    <w:rsid w:val="005C54B5"/>
    <w:rsid w:val="005C57A0"/>
    <w:rsid w:val="005C5D80"/>
    <w:rsid w:val="005C5D91"/>
    <w:rsid w:val="005C6C3D"/>
    <w:rsid w:val="005D07B8"/>
    <w:rsid w:val="005D1EC6"/>
    <w:rsid w:val="005D2665"/>
    <w:rsid w:val="005D3103"/>
    <w:rsid w:val="005D364A"/>
    <w:rsid w:val="005D525B"/>
    <w:rsid w:val="005D5F8D"/>
    <w:rsid w:val="005D6101"/>
    <w:rsid w:val="005D6597"/>
    <w:rsid w:val="005E14E7"/>
    <w:rsid w:val="005E181A"/>
    <w:rsid w:val="005E18FF"/>
    <w:rsid w:val="005E26A3"/>
    <w:rsid w:val="005E287D"/>
    <w:rsid w:val="005E2ECB"/>
    <w:rsid w:val="005E3D99"/>
    <w:rsid w:val="005E447E"/>
    <w:rsid w:val="005E4FD1"/>
    <w:rsid w:val="005E5850"/>
    <w:rsid w:val="005E626D"/>
    <w:rsid w:val="005F0000"/>
    <w:rsid w:val="005F0775"/>
    <w:rsid w:val="005F0CF5"/>
    <w:rsid w:val="005F21EB"/>
    <w:rsid w:val="005F22D3"/>
    <w:rsid w:val="005F3366"/>
    <w:rsid w:val="005F375C"/>
    <w:rsid w:val="005F3B3C"/>
    <w:rsid w:val="005F40F4"/>
    <w:rsid w:val="005F49EB"/>
    <w:rsid w:val="005F4C69"/>
    <w:rsid w:val="005F68AA"/>
    <w:rsid w:val="005F7AE5"/>
    <w:rsid w:val="005F7E84"/>
    <w:rsid w:val="0060020C"/>
    <w:rsid w:val="00602DF2"/>
    <w:rsid w:val="006043AC"/>
    <w:rsid w:val="00604BAD"/>
    <w:rsid w:val="00604D24"/>
    <w:rsid w:val="00605908"/>
    <w:rsid w:val="00607180"/>
    <w:rsid w:val="00607EDA"/>
    <w:rsid w:val="00610D7C"/>
    <w:rsid w:val="00610F1E"/>
    <w:rsid w:val="00610FB0"/>
    <w:rsid w:val="006112FD"/>
    <w:rsid w:val="00611B00"/>
    <w:rsid w:val="00612345"/>
    <w:rsid w:val="00613414"/>
    <w:rsid w:val="00613ADC"/>
    <w:rsid w:val="00613B09"/>
    <w:rsid w:val="006147FB"/>
    <w:rsid w:val="006153A0"/>
    <w:rsid w:val="00615D78"/>
    <w:rsid w:val="00617A0B"/>
    <w:rsid w:val="00617D34"/>
    <w:rsid w:val="006200A2"/>
    <w:rsid w:val="00620154"/>
    <w:rsid w:val="00620868"/>
    <w:rsid w:val="00621C45"/>
    <w:rsid w:val="00621E32"/>
    <w:rsid w:val="0062408D"/>
    <w:rsid w:val="006240CC"/>
    <w:rsid w:val="00624536"/>
    <w:rsid w:val="00624940"/>
    <w:rsid w:val="00624E8E"/>
    <w:rsid w:val="006254F8"/>
    <w:rsid w:val="00626E92"/>
    <w:rsid w:val="00626ECF"/>
    <w:rsid w:val="006276AB"/>
    <w:rsid w:val="00627DA7"/>
    <w:rsid w:val="006306B3"/>
    <w:rsid w:val="00630DA4"/>
    <w:rsid w:val="00632597"/>
    <w:rsid w:val="00633ADC"/>
    <w:rsid w:val="00633EF9"/>
    <w:rsid w:val="006340FD"/>
    <w:rsid w:val="00634B07"/>
    <w:rsid w:val="00634BA1"/>
    <w:rsid w:val="006353A8"/>
    <w:rsid w:val="006358B4"/>
    <w:rsid w:val="006359A3"/>
    <w:rsid w:val="00635F0A"/>
    <w:rsid w:val="0063659C"/>
    <w:rsid w:val="006370DE"/>
    <w:rsid w:val="00637684"/>
    <w:rsid w:val="00637C6E"/>
    <w:rsid w:val="00640DA4"/>
    <w:rsid w:val="00640F9C"/>
    <w:rsid w:val="00640FAB"/>
    <w:rsid w:val="006419AA"/>
    <w:rsid w:val="00643588"/>
    <w:rsid w:val="006447DF"/>
    <w:rsid w:val="0064485D"/>
    <w:rsid w:val="00644B1F"/>
    <w:rsid w:val="00644B7E"/>
    <w:rsid w:val="006454E6"/>
    <w:rsid w:val="00645CAB"/>
    <w:rsid w:val="00645CEB"/>
    <w:rsid w:val="00646235"/>
    <w:rsid w:val="00646A68"/>
    <w:rsid w:val="006474F6"/>
    <w:rsid w:val="00650071"/>
    <w:rsid w:val="00650370"/>
    <w:rsid w:val="00650456"/>
    <w:rsid w:val="00650505"/>
    <w:rsid w:val="006505BD"/>
    <w:rsid w:val="006508EA"/>
    <w:rsid w:val="0065092E"/>
    <w:rsid w:val="00654039"/>
    <w:rsid w:val="0065426B"/>
    <w:rsid w:val="0065520D"/>
    <w:rsid w:val="006557A7"/>
    <w:rsid w:val="00656159"/>
    <w:rsid w:val="00656290"/>
    <w:rsid w:val="006608D8"/>
    <w:rsid w:val="00660F68"/>
    <w:rsid w:val="00660F9D"/>
    <w:rsid w:val="006619EF"/>
    <w:rsid w:val="00661E0E"/>
    <w:rsid w:val="006621D7"/>
    <w:rsid w:val="0066302A"/>
    <w:rsid w:val="00663A4A"/>
    <w:rsid w:val="00666452"/>
    <w:rsid w:val="00666826"/>
    <w:rsid w:val="00667352"/>
    <w:rsid w:val="00667770"/>
    <w:rsid w:val="006703C7"/>
    <w:rsid w:val="00670597"/>
    <w:rsid w:val="006706D0"/>
    <w:rsid w:val="006708CF"/>
    <w:rsid w:val="00670AE6"/>
    <w:rsid w:val="00672774"/>
    <w:rsid w:val="0067453F"/>
    <w:rsid w:val="0067639B"/>
    <w:rsid w:val="00676982"/>
    <w:rsid w:val="00677574"/>
    <w:rsid w:val="0067781B"/>
    <w:rsid w:val="006804D6"/>
    <w:rsid w:val="006807B3"/>
    <w:rsid w:val="00681450"/>
    <w:rsid w:val="006820F0"/>
    <w:rsid w:val="00682A5F"/>
    <w:rsid w:val="0068454C"/>
    <w:rsid w:val="00691A3D"/>
    <w:rsid w:val="00691B62"/>
    <w:rsid w:val="006933B5"/>
    <w:rsid w:val="00693D14"/>
    <w:rsid w:val="006959DA"/>
    <w:rsid w:val="00696F27"/>
    <w:rsid w:val="00697913"/>
    <w:rsid w:val="006A18C2"/>
    <w:rsid w:val="006A226A"/>
    <w:rsid w:val="006A31D6"/>
    <w:rsid w:val="006A3383"/>
    <w:rsid w:val="006A394A"/>
    <w:rsid w:val="006A3A8D"/>
    <w:rsid w:val="006A6B09"/>
    <w:rsid w:val="006A6BBE"/>
    <w:rsid w:val="006B077C"/>
    <w:rsid w:val="006B0B30"/>
    <w:rsid w:val="006B3137"/>
    <w:rsid w:val="006B33A3"/>
    <w:rsid w:val="006B4B7D"/>
    <w:rsid w:val="006B65BA"/>
    <w:rsid w:val="006B6803"/>
    <w:rsid w:val="006B7447"/>
    <w:rsid w:val="006B7737"/>
    <w:rsid w:val="006B7A5D"/>
    <w:rsid w:val="006B7AF2"/>
    <w:rsid w:val="006B7D18"/>
    <w:rsid w:val="006C0147"/>
    <w:rsid w:val="006C11D2"/>
    <w:rsid w:val="006C19A2"/>
    <w:rsid w:val="006C2B0B"/>
    <w:rsid w:val="006C4A19"/>
    <w:rsid w:val="006C5DFB"/>
    <w:rsid w:val="006C5F19"/>
    <w:rsid w:val="006D0F16"/>
    <w:rsid w:val="006D0F2A"/>
    <w:rsid w:val="006D11B9"/>
    <w:rsid w:val="006D2A3F"/>
    <w:rsid w:val="006D2FBC"/>
    <w:rsid w:val="006D3D39"/>
    <w:rsid w:val="006D5EC8"/>
    <w:rsid w:val="006D6F4B"/>
    <w:rsid w:val="006D7419"/>
    <w:rsid w:val="006E032A"/>
    <w:rsid w:val="006E0541"/>
    <w:rsid w:val="006E138B"/>
    <w:rsid w:val="006E1710"/>
    <w:rsid w:val="006E1EF2"/>
    <w:rsid w:val="006E2021"/>
    <w:rsid w:val="006E3796"/>
    <w:rsid w:val="006E6A5A"/>
    <w:rsid w:val="006F0330"/>
    <w:rsid w:val="006F143E"/>
    <w:rsid w:val="006F189A"/>
    <w:rsid w:val="006F1FDC"/>
    <w:rsid w:val="006F24B8"/>
    <w:rsid w:val="006F2616"/>
    <w:rsid w:val="006F4C3D"/>
    <w:rsid w:val="006F6B8C"/>
    <w:rsid w:val="006F729F"/>
    <w:rsid w:val="006F7E52"/>
    <w:rsid w:val="007013EF"/>
    <w:rsid w:val="0070408A"/>
    <w:rsid w:val="007040F0"/>
    <w:rsid w:val="00705240"/>
    <w:rsid w:val="007055BD"/>
    <w:rsid w:val="00705AEB"/>
    <w:rsid w:val="007079D5"/>
    <w:rsid w:val="007100E6"/>
    <w:rsid w:val="0071073D"/>
    <w:rsid w:val="0071110E"/>
    <w:rsid w:val="00712CF2"/>
    <w:rsid w:val="00713007"/>
    <w:rsid w:val="007154C9"/>
    <w:rsid w:val="007173CA"/>
    <w:rsid w:val="0071771E"/>
    <w:rsid w:val="00721541"/>
    <w:rsid w:val="007216AA"/>
    <w:rsid w:val="00721AB5"/>
    <w:rsid w:val="00721CFB"/>
    <w:rsid w:val="00721DEF"/>
    <w:rsid w:val="0072251A"/>
    <w:rsid w:val="00722EC2"/>
    <w:rsid w:val="00723148"/>
    <w:rsid w:val="00724A43"/>
    <w:rsid w:val="00724ABD"/>
    <w:rsid w:val="0072583B"/>
    <w:rsid w:val="007273AC"/>
    <w:rsid w:val="00730C8F"/>
    <w:rsid w:val="00731AD4"/>
    <w:rsid w:val="00732254"/>
    <w:rsid w:val="00732810"/>
    <w:rsid w:val="007346E4"/>
    <w:rsid w:val="00734FCA"/>
    <w:rsid w:val="0073517B"/>
    <w:rsid w:val="0073582E"/>
    <w:rsid w:val="00735B05"/>
    <w:rsid w:val="007364A0"/>
    <w:rsid w:val="0073663D"/>
    <w:rsid w:val="00737F3D"/>
    <w:rsid w:val="00740032"/>
    <w:rsid w:val="007408C4"/>
    <w:rsid w:val="00740F22"/>
    <w:rsid w:val="00741987"/>
    <w:rsid w:val="00741CF0"/>
    <w:rsid w:val="00741F1A"/>
    <w:rsid w:val="007445DF"/>
    <w:rsid w:val="007447DA"/>
    <w:rsid w:val="007450F8"/>
    <w:rsid w:val="00745740"/>
    <w:rsid w:val="0074696E"/>
    <w:rsid w:val="0074796D"/>
    <w:rsid w:val="00750135"/>
    <w:rsid w:val="00750335"/>
    <w:rsid w:val="00750EC2"/>
    <w:rsid w:val="0075103F"/>
    <w:rsid w:val="007525B5"/>
    <w:rsid w:val="00752B28"/>
    <w:rsid w:val="00752BA3"/>
    <w:rsid w:val="007541A9"/>
    <w:rsid w:val="00754E36"/>
    <w:rsid w:val="00760746"/>
    <w:rsid w:val="00761811"/>
    <w:rsid w:val="00762398"/>
    <w:rsid w:val="0076260D"/>
    <w:rsid w:val="00763139"/>
    <w:rsid w:val="007668F0"/>
    <w:rsid w:val="00766A71"/>
    <w:rsid w:val="00770E0C"/>
    <w:rsid w:val="00770F37"/>
    <w:rsid w:val="00771156"/>
    <w:rsid w:val="007711A0"/>
    <w:rsid w:val="00771788"/>
    <w:rsid w:val="00771BE6"/>
    <w:rsid w:val="00771DE0"/>
    <w:rsid w:val="007720A7"/>
    <w:rsid w:val="00772D5E"/>
    <w:rsid w:val="00773FA9"/>
    <w:rsid w:val="0077463E"/>
    <w:rsid w:val="0077565E"/>
    <w:rsid w:val="00775AE7"/>
    <w:rsid w:val="00776530"/>
    <w:rsid w:val="00776928"/>
    <w:rsid w:val="00776A0B"/>
    <w:rsid w:val="00776D78"/>
    <w:rsid w:val="00776E0F"/>
    <w:rsid w:val="007774B1"/>
    <w:rsid w:val="00777BE1"/>
    <w:rsid w:val="007806A0"/>
    <w:rsid w:val="00780A57"/>
    <w:rsid w:val="00780E44"/>
    <w:rsid w:val="0078154A"/>
    <w:rsid w:val="00781876"/>
    <w:rsid w:val="0078263B"/>
    <w:rsid w:val="007829F7"/>
    <w:rsid w:val="007833D8"/>
    <w:rsid w:val="007836AD"/>
    <w:rsid w:val="00784AED"/>
    <w:rsid w:val="00785071"/>
    <w:rsid w:val="00785413"/>
    <w:rsid w:val="00785677"/>
    <w:rsid w:val="00785D18"/>
    <w:rsid w:val="00786781"/>
    <w:rsid w:val="00786F16"/>
    <w:rsid w:val="007870BC"/>
    <w:rsid w:val="00787D36"/>
    <w:rsid w:val="00790268"/>
    <w:rsid w:val="0079056A"/>
    <w:rsid w:val="0079118B"/>
    <w:rsid w:val="00791BD7"/>
    <w:rsid w:val="00791F3F"/>
    <w:rsid w:val="007933F7"/>
    <w:rsid w:val="00794CD6"/>
    <w:rsid w:val="00794E57"/>
    <w:rsid w:val="00796ACF"/>
    <w:rsid w:val="00796E20"/>
    <w:rsid w:val="00797C32"/>
    <w:rsid w:val="007A028A"/>
    <w:rsid w:val="007A0568"/>
    <w:rsid w:val="007A0BE4"/>
    <w:rsid w:val="007A11E8"/>
    <w:rsid w:val="007A14D5"/>
    <w:rsid w:val="007A3110"/>
    <w:rsid w:val="007A55B4"/>
    <w:rsid w:val="007B0914"/>
    <w:rsid w:val="007B0B53"/>
    <w:rsid w:val="007B1374"/>
    <w:rsid w:val="007B1EB6"/>
    <w:rsid w:val="007B2BDC"/>
    <w:rsid w:val="007B2D95"/>
    <w:rsid w:val="007B32E5"/>
    <w:rsid w:val="007B34F5"/>
    <w:rsid w:val="007B3DB9"/>
    <w:rsid w:val="007B55D5"/>
    <w:rsid w:val="007B589F"/>
    <w:rsid w:val="007B6186"/>
    <w:rsid w:val="007B6E6A"/>
    <w:rsid w:val="007B73BC"/>
    <w:rsid w:val="007C0E6E"/>
    <w:rsid w:val="007C1838"/>
    <w:rsid w:val="007C20B9"/>
    <w:rsid w:val="007C3487"/>
    <w:rsid w:val="007C4747"/>
    <w:rsid w:val="007C5139"/>
    <w:rsid w:val="007C6110"/>
    <w:rsid w:val="007C6A6B"/>
    <w:rsid w:val="007C7301"/>
    <w:rsid w:val="007C7859"/>
    <w:rsid w:val="007C7B25"/>
    <w:rsid w:val="007C7F28"/>
    <w:rsid w:val="007D104E"/>
    <w:rsid w:val="007D144A"/>
    <w:rsid w:val="007D144E"/>
    <w:rsid w:val="007D1466"/>
    <w:rsid w:val="007D1E1D"/>
    <w:rsid w:val="007D1EA5"/>
    <w:rsid w:val="007D2081"/>
    <w:rsid w:val="007D2BDE"/>
    <w:rsid w:val="007D2FB6"/>
    <w:rsid w:val="007D3114"/>
    <w:rsid w:val="007D34F4"/>
    <w:rsid w:val="007D36EB"/>
    <w:rsid w:val="007D49EB"/>
    <w:rsid w:val="007D5450"/>
    <w:rsid w:val="007D5C30"/>
    <w:rsid w:val="007D5E1C"/>
    <w:rsid w:val="007D7C7E"/>
    <w:rsid w:val="007E0021"/>
    <w:rsid w:val="007E0100"/>
    <w:rsid w:val="007E0672"/>
    <w:rsid w:val="007E0DE2"/>
    <w:rsid w:val="007E0F98"/>
    <w:rsid w:val="007E1157"/>
    <w:rsid w:val="007E1227"/>
    <w:rsid w:val="007E274B"/>
    <w:rsid w:val="007E2985"/>
    <w:rsid w:val="007E33DD"/>
    <w:rsid w:val="007E3B98"/>
    <w:rsid w:val="007E417A"/>
    <w:rsid w:val="007E4733"/>
    <w:rsid w:val="007E4C23"/>
    <w:rsid w:val="007E5034"/>
    <w:rsid w:val="007E68EE"/>
    <w:rsid w:val="007F30B2"/>
    <w:rsid w:val="007F31B6"/>
    <w:rsid w:val="007F4212"/>
    <w:rsid w:val="007F50DE"/>
    <w:rsid w:val="007F546C"/>
    <w:rsid w:val="007F5AFD"/>
    <w:rsid w:val="007F6075"/>
    <w:rsid w:val="007F625F"/>
    <w:rsid w:val="007F665E"/>
    <w:rsid w:val="007F7D18"/>
    <w:rsid w:val="007F7E71"/>
    <w:rsid w:val="00800412"/>
    <w:rsid w:val="00800C8A"/>
    <w:rsid w:val="0080122B"/>
    <w:rsid w:val="008022B7"/>
    <w:rsid w:val="00802F36"/>
    <w:rsid w:val="00802F75"/>
    <w:rsid w:val="00803968"/>
    <w:rsid w:val="00803E85"/>
    <w:rsid w:val="0080587B"/>
    <w:rsid w:val="00805894"/>
    <w:rsid w:val="00805D65"/>
    <w:rsid w:val="00806468"/>
    <w:rsid w:val="008069D6"/>
    <w:rsid w:val="00807DE6"/>
    <w:rsid w:val="008119CA"/>
    <w:rsid w:val="00812AA9"/>
    <w:rsid w:val="008130C4"/>
    <w:rsid w:val="00813BAB"/>
    <w:rsid w:val="008155F0"/>
    <w:rsid w:val="00816735"/>
    <w:rsid w:val="008173FD"/>
    <w:rsid w:val="00820141"/>
    <w:rsid w:val="0082048F"/>
    <w:rsid w:val="00820CCC"/>
    <w:rsid w:val="00820E0C"/>
    <w:rsid w:val="008213C3"/>
    <w:rsid w:val="008213F0"/>
    <w:rsid w:val="00821731"/>
    <w:rsid w:val="0082237F"/>
    <w:rsid w:val="008230CA"/>
    <w:rsid w:val="00823275"/>
    <w:rsid w:val="0082366F"/>
    <w:rsid w:val="008236E1"/>
    <w:rsid w:val="00824083"/>
    <w:rsid w:val="008240F2"/>
    <w:rsid w:val="00825D0B"/>
    <w:rsid w:val="00826D9A"/>
    <w:rsid w:val="0082764D"/>
    <w:rsid w:val="00827D31"/>
    <w:rsid w:val="008301BD"/>
    <w:rsid w:val="008312CC"/>
    <w:rsid w:val="00831DD8"/>
    <w:rsid w:val="008338A2"/>
    <w:rsid w:val="008345AF"/>
    <w:rsid w:val="00835A96"/>
    <w:rsid w:val="00835C8C"/>
    <w:rsid w:val="00835FAF"/>
    <w:rsid w:val="0083725F"/>
    <w:rsid w:val="00837461"/>
    <w:rsid w:val="0083746C"/>
    <w:rsid w:val="00837F56"/>
    <w:rsid w:val="008407D2"/>
    <w:rsid w:val="00841154"/>
    <w:rsid w:val="00841467"/>
    <w:rsid w:val="00841A73"/>
    <w:rsid w:val="00841AA9"/>
    <w:rsid w:val="00841CA6"/>
    <w:rsid w:val="00841FEB"/>
    <w:rsid w:val="00842D19"/>
    <w:rsid w:val="008430CA"/>
    <w:rsid w:val="00843F4F"/>
    <w:rsid w:val="008440A3"/>
    <w:rsid w:val="00845716"/>
    <w:rsid w:val="008471ED"/>
    <w:rsid w:val="008474FE"/>
    <w:rsid w:val="0085160A"/>
    <w:rsid w:val="00851855"/>
    <w:rsid w:val="00851CC4"/>
    <w:rsid w:val="00851ECD"/>
    <w:rsid w:val="00851F4A"/>
    <w:rsid w:val="00853EE4"/>
    <w:rsid w:val="00855300"/>
    <w:rsid w:val="00855535"/>
    <w:rsid w:val="00855920"/>
    <w:rsid w:val="00855A94"/>
    <w:rsid w:val="00855B6D"/>
    <w:rsid w:val="00857B3B"/>
    <w:rsid w:val="00857C5A"/>
    <w:rsid w:val="00860127"/>
    <w:rsid w:val="0086255E"/>
    <w:rsid w:val="008628B8"/>
    <w:rsid w:val="008633F0"/>
    <w:rsid w:val="00863DF4"/>
    <w:rsid w:val="0086611A"/>
    <w:rsid w:val="008665B1"/>
    <w:rsid w:val="00866CAB"/>
    <w:rsid w:val="00866DD4"/>
    <w:rsid w:val="00867D9D"/>
    <w:rsid w:val="00870458"/>
    <w:rsid w:val="00870C2E"/>
    <w:rsid w:val="008715DF"/>
    <w:rsid w:val="00872E0A"/>
    <w:rsid w:val="00873581"/>
    <w:rsid w:val="00873594"/>
    <w:rsid w:val="00874883"/>
    <w:rsid w:val="00875285"/>
    <w:rsid w:val="00880601"/>
    <w:rsid w:val="00883985"/>
    <w:rsid w:val="00884B62"/>
    <w:rsid w:val="00884C35"/>
    <w:rsid w:val="0088529C"/>
    <w:rsid w:val="0088545C"/>
    <w:rsid w:val="00885513"/>
    <w:rsid w:val="00885BE0"/>
    <w:rsid w:val="00885D59"/>
    <w:rsid w:val="00887903"/>
    <w:rsid w:val="00890BBF"/>
    <w:rsid w:val="00890E29"/>
    <w:rsid w:val="00891498"/>
    <w:rsid w:val="0089270A"/>
    <w:rsid w:val="00893AF6"/>
    <w:rsid w:val="008940F6"/>
    <w:rsid w:val="00894BC4"/>
    <w:rsid w:val="00894FF2"/>
    <w:rsid w:val="0089591D"/>
    <w:rsid w:val="0089664C"/>
    <w:rsid w:val="008976F4"/>
    <w:rsid w:val="00897E81"/>
    <w:rsid w:val="008A0821"/>
    <w:rsid w:val="008A0BB1"/>
    <w:rsid w:val="008A1E04"/>
    <w:rsid w:val="008A2014"/>
    <w:rsid w:val="008A28A8"/>
    <w:rsid w:val="008A39DE"/>
    <w:rsid w:val="008A3BEA"/>
    <w:rsid w:val="008A4364"/>
    <w:rsid w:val="008A45A6"/>
    <w:rsid w:val="008A4A5A"/>
    <w:rsid w:val="008A5B32"/>
    <w:rsid w:val="008A5E57"/>
    <w:rsid w:val="008A60F2"/>
    <w:rsid w:val="008A6F4F"/>
    <w:rsid w:val="008A7058"/>
    <w:rsid w:val="008A720B"/>
    <w:rsid w:val="008A7948"/>
    <w:rsid w:val="008B01E0"/>
    <w:rsid w:val="008B0854"/>
    <w:rsid w:val="008B1BD4"/>
    <w:rsid w:val="008B2EE4"/>
    <w:rsid w:val="008B3438"/>
    <w:rsid w:val="008B3624"/>
    <w:rsid w:val="008B3A78"/>
    <w:rsid w:val="008B4D3D"/>
    <w:rsid w:val="008B549C"/>
    <w:rsid w:val="008B57C7"/>
    <w:rsid w:val="008B5AB5"/>
    <w:rsid w:val="008B62DB"/>
    <w:rsid w:val="008B7C0C"/>
    <w:rsid w:val="008C2267"/>
    <w:rsid w:val="008C2F92"/>
    <w:rsid w:val="008C3697"/>
    <w:rsid w:val="008C382D"/>
    <w:rsid w:val="008C3CDB"/>
    <w:rsid w:val="008C4E12"/>
    <w:rsid w:val="008C5557"/>
    <w:rsid w:val="008C55C4"/>
    <w:rsid w:val="008C589D"/>
    <w:rsid w:val="008C5DA5"/>
    <w:rsid w:val="008C6683"/>
    <w:rsid w:val="008C6D51"/>
    <w:rsid w:val="008C6E86"/>
    <w:rsid w:val="008D12A6"/>
    <w:rsid w:val="008D1E15"/>
    <w:rsid w:val="008D2846"/>
    <w:rsid w:val="008D30E5"/>
    <w:rsid w:val="008D3417"/>
    <w:rsid w:val="008D3428"/>
    <w:rsid w:val="008D4236"/>
    <w:rsid w:val="008D462F"/>
    <w:rsid w:val="008D54EC"/>
    <w:rsid w:val="008D6045"/>
    <w:rsid w:val="008D6A6A"/>
    <w:rsid w:val="008D6DCF"/>
    <w:rsid w:val="008E0297"/>
    <w:rsid w:val="008E14D7"/>
    <w:rsid w:val="008E1B8B"/>
    <w:rsid w:val="008E244F"/>
    <w:rsid w:val="008E3DE9"/>
    <w:rsid w:val="008E3E73"/>
    <w:rsid w:val="008E4376"/>
    <w:rsid w:val="008E450E"/>
    <w:rsid w:val="008E4A0C"/>
    <w:rsid w:val="008E652F"/>
    <w:rsid w:val="008E657B"/>
    <w:rsid w:val="008E7A0A"/>
    <w:rsid w:val="008E7B49"/>
    <w:rsid w:val="008F1F95"/>
    <w:rsid w:val="008F39EC"/>
    <w:rsid w:val="008F3A19"/>
    <w:rsid w:val="008F3BB5"/>
    <w:rsid w:val="008F4EC7"/>
    <w:rsid w:val="008F5234"/>
    <w:rsid w:val="008F59F6"/>
    <w:rsid w:val="008F6A9B"/>
    <w:rsid w:val="008F6E93"/>
    <w:rsid w:val="008F79F9"/>
    <w:rsid w:val="008F7EA7"/>
    <w:rsid w:val="008F7F45"/>
    <w:rsid w:val="00900719"/>
    <w:rsid w:val="00900FE4"/>
    <w:rsid w:val="00901079"/>
    <w:rsid w:val="00901116"/>
    <w:rsid w:val="009017AC"/>
    <w:rsid w:val="00901B25"/>
    <w:rsid w:val="00902A9A"/>
    <w:rsid w:val="00902D32"/>
    <w:rsid w:val="009049FC"/>
    <w:rsid w:val="00904A1C"/>
    <w:rsid w:val="00904AB4"/>
    <w:rsid w:val="00905005"/>
    <w:rsid w:val="00905030"/>
    <w:rsid w:val="00906490"/>
    <w:rsid w:val="00910087"/>
    <w:rsid w:val="009104C2"/>
    <w:rsid w:val="009111B2"/>
    <w:rsid w:val="00911B7E"/>
    <w:rsid w:val="009121D1"/>
    <w:rsid w:val="009151F5"/>
    <w:rsid w:val="009156D0"/>
    <w:rsid w:val="009164E4"/>
    <w:rsid w:val="0091692D"/>
    <w:rsid w:val="00917C98"/>
    <w:rsid w:val="00920598"/>
    <w:rsid w:val="00921624"/>
    <w:rsid w:val="009220CA"/>
    <w:rsid w:val="00923151"/>
    <w:rsid w:val="009231ED"/>
    <w:rsid w:val="00923C9C"/>
    <w:rsid w:val="009242CB"/>
    <w:rsid w:val="00924AE1"/>
    <w:rsid w:val="009256B5"/>
    <w:rsid w:val="009268D1"/>
    <w:rsid w:val="009269B1"/>
    <w:rsid w:val="00926F6F"/>
    <w:rsid w:val="0092724D"/>
    <w:rsid w:val="009272B3"/>
    <w:rsid w:val="00930108"/>
    <w:rsid w:val="00930523"/>
    <w:rsid w:val="00930EDF"/>
    <w:rsid w:val="00931035"/>
    <w:rsid w:val="00931248"/>
    <w:rsid w:val="009315BE"/>
    <w:rsid w:val="00931DA5"/>
    <w:rsid w:val="0093280D"/>
    <w:rsid w:val="00932A76"/>
    <w:rsid w:val="00932B1E"/>
    <w:rsid w:val="0093315F"/>
    <w:rsid w:val="0093338F"/>
    <w:rsid w:val="009335E2"/>
    <w:rsid w:val="009337C7"/>
    <w:rsid w:val="00933D06"/>
    <w:rsid w:val="009340FE"/>
    <w:rsid w:val="00934ED0"/>
    <w:rsid w:val="009369D4"/>
    <w:rsid w:val="00936B20"/>
    <w:rsid w:val="00937B1F"/>
    <w:rsid w:val="00937BD9"/>
    <w:rsid w:val="0094019E"/>
    <w:rsid w:val="0094047B"/>
    <w:rsid w:val="00943E42"/>
    <w:rsid w:val="00943F6A"/>
    <w:rsid w:val="009466F5"/>
    <w:rsid w:val="009467F3"/>
    <w:rsid w:val="00950E2C"/>
    <w:rsid w:val="00951D50"/>
    <w:rsid w:val="00951E44"/>
    <w:rsid w:val="009525EB"/>
    <w:rsid w:val="00952B85"/>
    <w:rsid w:val="009542F3"/>
    <w:rsid w:val="0095470B"/>
    <w:rsid w:val="00954874"/>
    <w:rsid w:val="00954CCC"/>
    <w:rsid w:val="009553E0"/>
    <w:rsid w:val="0095615A"/>
    <w:rsid w:val="009577C5"/>
    <w:rsid w:val="00957873"/>
    <w:rsid w:val="0096067C"/>
    <w:rsid w:val="009613EA"/>
    <w:rsid w:val="00961400"/>
    <w:rsid w:val="00961457"/>
    <w:rsid w:val="00961F2A"/>
    <w:rsid w:val="00962765"/>
    <w:rsid w:val="00962A9E"/>
    <w:rsid w:val="00963376"/>
    <w:rsid w:val="00963646"/>
    <w:rsid w:val="009645E7"/>
    <w:rsid w:val="0096468F"/>
    <w:rsid w:val="0096567A"/>
    <w:rsid w:val="0096632D"/>
    <w:rsid w:val="009667E0"/>
    <w:rsid w:val="009718C7"/>
    <w:rsid w:val="00971A66"/>
    <w:rsid w:val="00971F2D"/>
    <w:rsid w:val="00972007"/>
    <w:rsid w:val="009723E5"/>
    <w:rsid w:val="009725AB"/>
    <w:rsid w:val="00972EBC"/>
    <w:rsid w:val="00972FDA"/>
    <w:rsid w:val="00974AE9"/>
    <w:rsid w:val="0097559F"/>
    <w:rsid w:val="009756E5"/>
    <w:rsid w:val="00975A22"/>
    <w:rsid w:val="009764AC"/>
    <w:rsid w:val="00976C76"/>
    <w:rsid w:val="0097730B"/>
    <w:rsid w:val="0097761E"/>
    <w:rsid w:val="00977EF3"/>
    <w:rsid w:val="00980B1B"/>
    <w:rsid w:val="009818E8"/>
    <w:rsid w:val="00981AF3"/>
    <w:rsid w:val="00982454"/>
    <w:rsid w:val="00982BDF"/>
    <w:rsid w:val="00982CF0"/>
    <w:rsid w:val="00983DD6"/>
    <w:rsid w:val="009851E5"/>
    <w:rsid w:val="009853D8"/>
    <w:rsid w:val="009853E1"/>
    <w:rsid w:val="00986E6B"/>
    <w:rsid w:val="0098724C"/>
    <w:rsid w:val="00987B54"/>
    <w:rsid w:val="00990032"/>
    <w:rsid w:val="00990A10"/>
    <w:rsid w:val="00990B19"/>
    <w:rsid w:val="0099153B"/>
    <w:rsid w:val="00991769"/>
    <w:rsid w:val="0099214E"/>
    <w:rsid w:val="0099232C"/>
    <w:rsid w:val="00993739"/>
    <w:rsid w:val="00993757"/>
    <w:rsid w:val="00994386"/>
    <w:rsid w:val="0099548C"/>
    <w:rsid w:val="009A001C"/>
    <w:rsid w:val="009A100B"/>
    <w:rsid w:val="009A13D8"/>
    <w:rsid w:val="009A199C"/>
    <w:rsid w:val="009A279E"/>
    <w:rsid w:val="009A3015"/>
    <w:rsid w:val="009A3490"/>
    <w:rsid w:val="009A3558"/>
    <w:rsid w:val="009A3CBA"/>
    <w:rsid w:val="009A5F45"/>
    <w:rsid w:val="009A7ACC"/>
    <w:rsid w:val="009B0A6F"/>
    <w:rsid w:val="009B0A94"/>
    <w:rsid w:val="009B0F1E"/>
    <w:rsid w:val="009B1841"/>
    <w:rsid w:val="009B18C5"/>
    <w:rsid w:val="009B2816"/>
    <w:rsid w:val="009B2AE8"/>
    <w:rsid w:val="009B4A60"/>
    <w:rsid w:val="009B4D01"/>
    <w:rsid w:val="009B59E9"/>
    <w:rsid w:val="009B60BE"/>
    <w:rsid w:val="009B6EE0"/>
    <w:rsid w:val="009B70AA"/>
    <w:rsid w:val="009C1506"/>
    <w:rsid w:val="009C1E7A"/>
    <w:rsid w:val="009C25D9"/>
    <w:rsid w:val="009C3229"/>
    <w:rsid w:val="009C3CDF"/>
    <w:rsid w:val="009C4FB6"/>
    <w:rsid w:val="009C5E77"/>
    <w:rsid w:val="009C6B5C"/>
    <w:rsid w:val="009C6C60"/>
    <w:rsid w:val="009C7582"/>
    <w:rsid w:val="009C7A7E"/>
    <w:rsid w:val="009D02E8"/>
    <w:rsid w:val="009D1893"/>
    <w:rsid w:val="009D2534"/>
    <w:rsid w:val="009D2C04"/>
    <w:rsid w:val="009D3FC5"/>
    <w:rsid w:val="009D51D0"/>
    <w:rsid w:val="009D59DF"/>
    <w:rsid w:val="009D5F60"/>
    <w:rsid w:val="009D692E"/>
    <w:rsid w:val="009D6C9F"/>
    <w:rsid w:val="009D6F67"/>
    <w:rsid w:val="009D70A4"/>
    <w:rsid w:val="009D799B"/>
    <w:rsid w:val="009D7B14"/>
    <w:rsid w:val="009E08D1"/>
    <w:rsid w:val="009E101E"/>
    <w:rsid w:val="009E1B95"/>
    <w:rsid w:val="009E2F15"/>
    <w:rsid w:val="009E496F"/>
    <w:rsid w:val="009E4B0D"/>
    <w:rsid w:val="009E4C40"/>
    <w:rsid w:val="009E5250"/>
    <w:rsid w:val="009E5751"/>
    <w:rsid w:val="009E6325"/>
    <w:rsid w:val="009E65DB"/>
    <w:rsid w:val="009E67FA"/>
    <w:rsid w:val="009E7578"/>
    <w:rsid w:val="009E7F92"/>
    <w:rsid w:val="009F02A3"/>
    <w:rsid w:val="009F0D36"/>
    <w:rsid w:val="009F0E40"/>
    <w:rsid w:val="009F2F27"/>
    <w:rsid w:val="009F300E"/>
    <w:rsid w:val="009F33D8"/>
    <w:rsid w:val="009F34AA"/>
    <w:rsid w:val="009F3773"/>
    <w:rsid w:val="009F52A9"/>
    <w:rsid w:val="009F6096"/>
    <w:rsid w:val="009F6BCB"/>
    <w:rsid w:val="009F7B78"/>
    <w:rsid w:val="009F7C7C"/>
    <w:rsid w:val="00A0009A"/>
    <w:rsid w:val="00A0057A"/>
    <w:rsid w:val="00A01199"/>
    <w:rsid w:val="00A02A8B"/>
    <w:rsid w:val="00A02E3B"/>
    <w:rsid w:val="00A02FA1"/>
    <w:rsid w:val="00A04CCE"/>
    <w:rsid w:val="00A05766"/>
    <w:rsid w:val="00A057D0"/>
    <w:rsid w:val="00A07421"/>
    <w:rsid w:val="00A0776B"/>
    <w:rsid w:val="00A108ED"/>
    <w:rsid w:val="00A10E23"/>
    <w:rsid w:val="00A10FB9"/>
    <w:rsid w:val="00A11421"/>
    <w:rsid w:val="00A1389F"/>
    <w:rsid w:val="00A149ED"/>
    <w:rsid w:val="00A157B1"/>
    <w:rsid w:val="00A16133"/>
    <w:rsid w:val="00A20CF9"/>
    <w:rsid w:val="00A22229"/>
    <w:rsid w:val="00A229D1"/>
    <w:rsid w:val="00A24442"/>
    <w:rsid w:val="00A26196"/>
    <w:rsid w:val="00A271D0"/>
    <w:rsid w:val="00A30BCF"/>
    <w:rsid w:val="00A30E09"/>
    <w:rsid w:val="00A313B6"/>
    <w:rsid w:val="00A3152A"/>
    <w:rsid w:val="00A330BB"/>
    <w:rsid w:val="00A33603"/>
    <w:rsid w:val="00A357A4"/>
    <w:rsid w:val="00A37BC8"/>
    <w:rsid w:val="00A40B48"/>
    <w:rsid w:val="00A41C78"/>
    <w:rsid w:val="00A42E58"/>
    <w:rsid w:val="00A4347C"/>
    <w:rsid w:val="00A43C39"/>
    <w:rsid w:val="00A44425"/>
    <w:rsid w:val="00A44882"/>
    <w:rsid w:val="00A44C3A"/>
    <w:rsid w:val="00A45125"/>
    <w:rsid w:val="00A463AF"/>
    <w:rsid w:val="00A46529"/>
    <w:rsid w:val="00A52F18"/>
    <w:rsid w:val="00A5368E"/>
    <w:rsid w:val="00A53851"/>
    <w:rsid w:val="00A544D1"/>
    <w:rsid w:val="00A54715"/>
    <w:rsid w:val="00A54A03"/>
    <w:rsid w:val="00A5620F"/>
    <w:rsid w:val="00A56211"/>
    <w:rsid w:val="00A56CC3"/>
    <w:rsid w:val="00A57B02"/>
    <w:rsid w:val="00A57EA4"/>
    <w:rsid w:val="00A6001E"/>
    <w:rsid w:val="00A6061C"/>
    <w:rsid w:val="00A611ED"/>
    <w:rsid w:val="00A62483"/>
    <w:rsid w:val="00A62D44"/>
    <w:rsid w:val="00A65E18"/>
    <w:rsid w:val="00A65E8E"/>
    <w:rsid w:val="00A6628A"/>
    <w:rsid w:val="00A67263"/>
    <w:rsid w:val="00A70295"/>
    <w:rsid w:val="00A70E0B"/>
    <w:rsid w:val="00A7161C"/>
    <w:rsid w:val="00A736BC"/>
    <w:rsid w:val="00A73A15"/>
    <w:rsid w:val="00A73FA4"/>
    <w:rsid w:val="00A7488B"/>
    <w:rsid w:val="00A74923"/>
    <w:rsid w:val="00A7505F"/>
    <w:rsid w:val="00A752BB"/>
    <w:rsid w:val="00A7581F"/>
    <w:rsid w:val="00A77AA3"/>
    <w:rsid w:val="00A77C06"/>
    <w:rsid w:val="00A8236D"/>
    <w:rsid w:val="00A82B31"/>
    <w:rsid w:val="00A82FB7"/>
    <w:rsid w:val="00A84099"/>
    <w:rsid w:val="00A854EB"/>
    <w:rsid w:val="00A85C29"/>
    <w:rsid w:val="00A872E5"/>
    <w:rsid w:val="00A87E30"/>
    <w:rsid w:val="00A91406"/>
    <w:rsid w:val="00A93B6A"/>
    <w:rsid w:val="00A96B8C"/>
    <w:rsid w:val="00A96E65"/>
    <w:rsid w:val="00A96FBF"/>
    <w:rsid w:val="00A97C72"/>
    <w:rsid w:val="00AA18B3"/>
    <w:rsid w:val="00AA25EE"/>
    <w:rsid w:val="00AA268E"/>
    <w:rsid w:val="00AA310B"/>
    <w:rsid w:val="00AA3CBD"/>
    <w:rsid w:val="00AA4065"/>
    <w:rsid w:val="00AA5D57"/>
    <w:rsid w:val="00AA63D4"/>
    <w:rsid w:val="00AA6C5D"/>
    <w:rsid w:val="00AA76CD"/>
    <w:rsid w:val="00AA7AC9"/>
    <w:rsid w:val="00AA7AFD"/>
    <w:rsid w:val="00AB06E8"/>
    <w:rsid w:val="00AB1CD3"/>
    <w:rsid w:val="00AB352F"/>
    <w:rsid w:val="00AB4101"/>
    <w:rsid w:val="00AB750F"/>
    <w:rsid w:val="00AC074D"/>
    <w:rsid w:val="00AC212B"/>
    <w:rsid w:val="00AC274B"/>
    <w:rsid w:val="00AC2768"/>
    <w:rsid w:val="00AC3137"/>
    <w:rsid w:val="00AC3624"/>
    <w:rsid w:val="00AC4764"/>
    <w:rsid w:val="00AC47F0"/>
    <w:rsid w:val="00AC51E5"/>
    <w:rsid w:val="00AC589E"/>
    <w:rsid w:val="00AC6D36"/>
    <w:rsid w:val="00AC729A"/>
    <w:rsid w:val="00AC7CF5"/>
    <w:rsid w:val="00AD0CBA"/>
    <w:rsid w:val="00AD177A"/>
    <w:rsid w:val="00AD1AF1"/>
    <w:rsid w:val="00AD2087"/>
    <w:rsid w:val="00AD26E2"/>
    <w:rsid w:val="00AD345B"/>
    <w:rsid w:val="00AD3B85"/>
    <w:rsid w:val="00AD4921"/>
    <w:rsid w:val="00AD784C"/>
    <w:rsid w:val="00AD7C1F"/>
    <w:rsid w:val="00AD7D27"/>
    <w:rsid w:val="00AE126A"/>
    <w:rsid w:val="00AE1BAE"/>
    <w:rsid w:val="00AE1CA6"/>
    <w:rsid w:val="00AE3005"/>
    <w:rsid w:val="00AE3BD5"/>
    <w:rsid w:val="00AE434D"/>
    <w:rsid w:val="00AE59A0"/>
    <w:rsid w:val="00AE77FB"/>
    <w:rsid w:val="00AF021E"/>
    <w:rsid w:val="00AF0273"/>
    <w:rsid w:val="00AF05DF"/>
    <w:rsid w:val="00AF0C57"/>
    <w:rsid w:val="00AF13F4"/>
    <w:rsid w:val="00AF1F52"/>
    <w:rsid w:val="00AF26F3"/>
    <w:rsid w:val="00AF3520"/>
    <w:rsid w:val="00AF3AAF"/>
    <w:rsid w:val="00AF4A28"/>
    <w:rsid w:val="00AF5ED0"/>
    <w:rsid w:val="00AF5F04"/>
    <w:rsid w:val="00AF79A7"/>
    <w:rsid w:val="00AF7D2C"/>
    <w:rsid w:val="00B00672"/>
    <w:rsid w:val="00B007B3"/>
    <w:rsid w:val="00B00A76"/>
    <w:rsid w:val="00B01B4D"/>
    <w:rsid w:val="00B0245A"/>
    <w:rsid w:val="00B04500"/>
    <w:rsid w:val="00B045CD"/>
    <w:rsid w:val="00B045EB"/>
    <w:rsid w:val="00B0519B"/>
    <w:rsid w:val="00B06571"/>
    <w:rsid w:val="00B068BA"/>
    <w:rsid w:val="00B07445"/>
    <w:rsid w:val="00B075B9"/>
    <w:rsid w:val="00B07FF7"/>
    <w:rsid w:val="00B10A53"/>
    <w:rsid w:val="00B1182A"/>
    <w:rsid w:val="00B13800"/>
    <w:rsid w:val="00B13851"/>
    <w:rsid w:val="00B138C1"/>
    <w:rsid w:val="00B13B1C"/>
    <w:rsid w:val="00B13E95"/>
    <w:rsid w:val="00B13FDC"/>
    <w:rsid w:val="00B14780"/>
    <w:rsid w:val="00B14CD6"/>
    <w:rsid w:val="00B1520F"/>
    <w:rsid w:val="00B15C5D"/>
    <w:rsid w:val="00B161A8"/>
    <w:rsid w:val="00B17388"/>
    <w:rsid w:val="00B1776A"/>
    <w:rsid w:val="00B20DF9"/>
    <w:rsid w:val="00B20F99"/>
    <w:rsid w:val="00B21F90"/>
    <w:rsid w:val="00B22291"/>
    <w:rsid w:val="00B23F9A"/>
    <w:rsid w:val="00B24000"/>
    <w:rsid w:val="00B2417B"/>
    <w:rsid w:val="00B24E6F"/>
    <w:rsid w:val="00B265F6"/>
    <w:rsid w:val="00B268CF"/>
    <w:rsid w:val="00B26CB5"/>
    <w:rsid w:val="00B2752E"/>
    <w:rsid w:val="00B307CC"/>
    <w:rsid w:val="00B308BE"/>
    <w:rsid w:val="00B32020"/>
    <w:rsid w:val="00B326B7"/>
    <w:rsid w:val="00B336F3"/>
    <w:rsid w:val="00B34C11"/>
    <w:rsid w:val="00B3588E"/>
    <w:rsid w:val="00B37020"/>
    <w:rsid w:val="00B40412"/>
    <w:rsid w:val="00B40455"/>
    <w:rsid w:val="00B41F3D"/>
    <w:rsid w:val="00B42CFE"/>
    <w:rsid w:val="00B431E8"/>
    <w:rsid w:val="00B45141"/>
    <w:rsid w:val="00B46DE7"/>
    <w:rsid w:val="00B46E5C"/>
    <w:rsid w:val="00B5018D"/>
    <w:rsid w:val="00B517FF"/>
    <w:rsid w:val="00B519CD"/>
    <w:rsid w:val="00B520C5"/>
    <w:rsid w:val="00B5273A"/>
    <w:rsid w:val="00B53150"/>
    <w:rsid w:val="00B53242"/>
    <w:rsid w:val="00B53DFA"/>
    <w:rsid w:val="00B543FE"/>
    <w:rsid w:val="00B54BAC"/>
    <w:rsid w:val="00B5576B"/>
    <w:rsid w:val="00B57329"/>
    <w:rsid w:val="00B60E61"/>
    <w:rsid w:val="00B62484"/>
    <w:rsid w:val="00B62B50"/>
    <w:rsid w:val="00B62FDF"/>
    <w:rsid w:val="00B635B7"/>
    <w:rsid w:val="00B63663"/>
    <w:rsid w:val="00B63AE8"/>
    <w:rsid w:val="00B63E57"/>
    <w:rsid w:val="00B650EF"/>
    <w:rsid w:val="00B65950"/>
    <w:rsid w:val="00B662ED"/>
    <w:rsid w:val="00B666F6"/>
    <w:rsid w:val="00B66D83"/>
    <w:rsid w:val="00B672C0"/>
    <w:rsid w:val="00B676FD"/>
    <w:rsid w:val="00B67BCF"/>
    <w:rsid w:val="00B706B8"/>
    <w:rsid w:val="00B70EB5"/>
    <w:rsid w:val="00B71441"/>
    <w:rsid w:val="00B71FE2"/>
    <w:rsid w:val="00B74426"/>
    <w:rsid w:val="00B744D6"/>
    <w:rsid w:val="00B74683"/>
    <w:rsid w:val="00B75646"/>
    <w:rsid w:val="00B76928"/>
    <w:rsid w:val="00B7712E"/>
    <w:rsid w:val="00B778FE"/>
    <w:rsid w:val="00B8162D"/>
    <w:rsid w:val="00B82F6D"/>
    <w:rsid w:val="00B83A64"/>
    <w:rsid w:val="00B83B36"/>
    <w:rsid w:val="00B84438"/>
    <w:rsid w:val="00B8476E"/>
    <w:rsid w:val="00B851E1"/>
    <w:rsid w:val="00B87029"/>
    <w:rsid w:val="00B90447"/>
    <w:rsid w:val="00B90729"/>
    <w:rsid w:val="00B907DA"/>
    <w:rsid w:val="00B90823"/>
    <w:rsid w:val="00B9122A"/>
    <w:rsid w:val="00B929C0"/>
    <w:rsid w:val="00B94CD5"/>
    <w:rsid w:val="00B950BC"/>
    <w:rsid w:val="00B9714C"/>
    <w:rsid w:val="00BA07A2"/>
    <w:rsid w:val="00BA0A10"/>
    <w:rsid w:val="00BA19F3"/>
    <w:rsid w:val="00BA29AD"/>
    <w:rsid w:val="00BA33CF"/>
    <w:rsid w:val="00BA3F36"/>
    <w:rsid w:val="00BA3F8D"/>
    <w:rsid w:val="00BA4CFE"/>
    <w:rsid w:val="00BA6DE9"/>
    <w:rsid w:val="00BA6FB0"/>
    <w:rsid w:val="00BA7293"/>
    <w:rsid w:val="00BA7F47"/>
    <w:rsid w:val="00BB0CD1"/>
    <w:rsid w:val="00BB114C"/>
    <w:rsid w:val="00BB23D9"/>
    <w:rsid w:val="00BB53CD"/>
    <w:rsid w:val="00BB707C"/>
    <w:rsid w:val="00BB7A10"/>
    <w:rsid w:val="00BB7A5B"/>
    <w:rsid w:val="00BC000D"/>
    <w:rsid w:val="00BC1A3A"/>
    <w:rsid w:val="00BC3045"/>
    <w:rsid w:val="00BC3B29"/>
    <w:rsid w:val="00BC3E8F"/>
    <w:rsid w:val="00BC60BE"/>
    <w:rsid w:val="00BC7468"/>
    <w:rsid w:val="00BC7572"/>
    <w:rsid w:val="00BC7D4F"/>
    <w:rsid w:val="00BC7ED7"/>
    <w:rsid w:val="00BD0A63"/>
    <w:rsid w:val="00BD0AEB"/>
    <w:rsid w:val="00BD0BF0"/>
    <w:rsid w:val="00BD1FAA"/>
    <w:rsid w:val="00BD2850"/>
    <w:rsid w:val="00BD2CCE"/>
    <w:rsid w:val="00BD39A9"/>
    <w:rsid w:val="00BE0EB6"/>
    <w:rsid w:val="00BE28D2"/>
    <w:rsid w:val="00BE3365"/>
    <w:rsid w:val="00BE36D4"/>
    <w:rsid w:val="00BE3800"/>
    <w:rsid w:val="00BE4A64"/>
    <w:rsid w:val="00BE4BD0"/>
    <w:rsid w:val="00BE5073"/>
    <w:rsid w:val="00BE5E43"/>
    <w:rsid w:val="00BE5EE0"/>
    <w:rsid w:val="00BF0494"/>
    <w:rsid w:val="00BF25D1"/>
    <w:rsid w:val="00BF30B2"/>
    <w:rsid w:val="00BF43E3"/>
    <w:rsid w:val="00BF4ECC"/>
    <w:rsid w:val="00BF4FA6"/>
    <w:rsid w:val="00BF557D"/>
    <w:rsid w:val="00BF577E"/>
    <w:rsid w:val="00BF5C13"/>
    <w:rsid w:val="00BF6844"/>
    <w:rsid w:val="00BF69C5"/>
    <w:rsid w:val="00BF6CA4"/>
    <w:rsid w:val="00BF7F50"/>
    <w:rsid w:val="00BF7F58"/>
    <w:rsid w:val="00C01381"/>
    <w:rsid w:val="00C01AB1"/>
    <w:rsid w:val="00C01FA9"/>
    <w:rsid w:val="00C022F6"/>
    <w:rsid w:val="00C026A0"/>
    <w:rsid w:val="00C044C8"/>
    <w:rsid w:val="00C05B64"/>
    <w:rsid w:val="00C06039"/>
    <w:rsid w:val="00C06137"/>
    <w:rsid w:val="00C06BE9"/>
    <w:rsid w:val="00C07041"/>
    <w:rsid w:val="00C07728"/>
    <w:rsid w:val="00C079B8"/>
    <w:rsid w:val="00C10037"/>
    <w:rsid w:val="00C10B4C"/>
    <w:rsid w:val="00C1130E"/>
    <w:rsid w:val="00C11A36"/>
    <w:rsid w:val="00C12314"/>
    <w:rsid w:val="00C123EA"/>
    <w:rsid w:val="00C12A49"/>
    <w:rsid w:val="00C13150"/>
    <w:rsid w:val="00C133EE"/>
    <w:rsid w:val="00C142E6"/>
    <w:rsid w:val="00C147DB"/>
    <w:rsid w:val="00C149D0"/>
    <w:rsid w:val="00C14ED3"/>
    <w:rsid w:val="00C1517F"/>
    <w:rsid w:val="00C162B8"/>
    <w:rsid w:val="00C16ABC"/>
    <w:rsid w:val="00C213D1"/>
    <w:rsid w:val="00C215A9"/>
    <w:rsid w:val="00C227C5"/>
    <w:rsid w:val="00C2622C"/>
    <w:rsid w:val="00C26588"/>
    <w:rsid w:val="00C27866"/>
    <w:rsid w:val="00C27DE9"/>
    <w:rsid w:val="00C306DF"/>
    <w:rsid w:val="00C30A2B"/>
    <w:rsid w:val="00C30CED"/>
    <w:rsid w:val="00C3178F"/>
    <w:rsid w:val="00C31E62"/>
    <w:rsid w:val="00C32552"/>
    <w:rsid w:val="00C32989"/>
    <w:rsid w:val="00C33388"/>
    <w:rsid w:val="00C34BE2"/>
    <w:rsid w:val="00C34CC4"/>
    <w:rsid w:val="00C35484"/>
    <w:rsid w:val="00C36A58"/>
    <w:rsid w:val="00C403D2"/>
    <w:rsid w:val="00C405C5"/>
    <w:rsid w:val="00C4173A"/>
    <w:rsid w:val="00C41ABD"/>
    <w:rsid w:val="00C41EA7"/>
    <w:rsid w:val="00C43A0B"/>
    <w:rsid w:val="00C43AE1"/>
    <w:rsid w:val="00C44F09"/>
    <w:rsid w:val="00C44F3E"/>
    <w:rsid w:val="00C45616"/>
    <w:rsid w:val="00C466B4"/>
    <w:rsid w:val="00C4690F"/>
    <w:rsid w:val="00C475B2"/>
    <w:rsid w:val="00C47668"/>
    <w:rsid w:val="00C479C0"/>
    <w:rsid w:val="00C50DED"/>
    <w:rsid w:val="00C51837"/>
    <w:rsid w:val="00C52667"/>
    <w:rsid w:val="00C534BA"/>
    <w:rsid w:val="00C538FC"/>
    <w:rsid w:val="00C55BF9"/>
    <w:rsid w:val="00C55F05"/>
    <w:rsid w:val="00C56741"/>
    <w:rsid w:val="00C57383"/>
    <w:rsid w:val="00C57D7F"/>
    <w:rsid w:val="00C602FF"/>
    <w:rsid w:val="00C61174"/>
    <w:rsid w:val="00C6148F"/>
    <w:rsid w:val="00C614C6"/>
    <w:rsid w:val="00C61DD2"/>
    <w:rsid w:val="00C621B1"/>
    <w:rsid w:val="00C62F7A"/>
    <w:rsid w:val="00C63144"/>
    <w:rsid w:val="00C63B9C"/>
    <w:rsid w:val="00C65173"/>
    <w:rsid w:val="00C6529B"/>
    <w:rsid w:val="00C6540C"/>
    <w:rsid w:val="00C6682F"/>
    <w:rsid w:val="00C66957"/>
    <w:rsid w:val="00C67BF4"/>
    <w:rsid w:val="00C67C93"/>
    <w:rsid w:val="00C7160C"/>
    <w:rsid w:val="00C71A7D"/>
    <w:rsid w:val="00C71F61"/>
    <w:rsid w:val="00C7275E"/>
    <w:rsid w:val="00C72FA7"/>
    <w:rsid w:val="00C73F8C"/>
    <w:rsid w:val="00C74C5D"/>
    <w:rsid w:val="00C74CC0"/>
    <w:rsid w:val="00C762C0"/>
    <w:rsid w:val="00C77C7C"/>
    <w:rsid w:val="00C8077D"/>
    <w:rsid w:val="00C82832"/>
    <w:rsid w:val="00C83835"/>
    <w:rsid w:val="00C85541"/>
    <w:rsid w:val="00C86231"/>
    <w:rsid w:val="00C863C4"/>
    <w:rsid w:val="00C8746D"/>
    <w:rsid w:val="00C904D5"/>
    <w:rsid w:val="00C920EA"/>
    <w:rsid w:val="00C93C3E"/>
    <w:rsid w:val="00C947CA"/>
    <w:rsid w:val="00C950D2"/>
    <w:rsid w:val="00CA12E3"/>
    <w:rsid w:val="00CA1476"/>
    <w:rsid w:val="00CA1478"/>
    <w:rsid w:val="00CA1652"/>
    <w:rsid w:val="00CA1D40"/>
    <w:rsid w:val="00CA22DF"/>
    <w:rsid w:val="00CA5C8C"/>
    <w:rsid w:val="00CA6611"/>
    <w:rsid w:val="00CA6AE6"/>
    <w:rsid w:val="00CA6C83"/>
    <w:rsid w:val="00CA6E47"/>
    <w:rsid w:val="00CA782F"/>
    <w:rsid w:val="00CA7A17"/>
    <w:rsid w:val="00CB0636"/>
    <w:rsid w:val="00CB0D5C"/>
    <w:rsid w:val="00CB187B"/>
    <w:rsid w:val="00CB2165"/>
    <w:rsid w:val="00CB2835"/>
    <w:rsid w:val="00CB3285"/>
    <w:rsid w:val="00CB4500"/>
    <w:rsid w:val="00CB517A"/>
    <w:rsid w:val="00CB5D91"/>
    <w:rsid w:val="00CB6770"/>
    <w:rsid w:val="00CB7800"/>
    <w:rsid w:val="00CC077F"/>
    <w:rsid w:val="00CC0C72"/>
    <w:rsid w:val="00CC280E"/>
    <w:rsid w:val="00CC2BFD"/>
    <w:rsid w:val="00CC32A1"/>
    <w:rsid w:val="00CC5833"/>
    <w:rsid w:val="00CC6827"/>
    <w:rsid w:val="00CC7511"/>
    <w:rsid w:val="00CC767D"/>
    <w:rsid w:val="00CD1E70"/>
    <w:rsid w:val="00CD3476"/>
    <w:rsid w:val="00CD3645"/>
    <w:rsid w:val="00CD3647"/>
    <w:rsid w:val="00CD64DF"/>
    <w:rsid w:val="00CD7F88"/>
    <w:rsid w:val="00CE225F"/>
    <w:rsid w:val="00CE5C28"/>
    <w:rsid w:val="00CE6C68"/>
    <w:rsid w:val="00CF05B2"/>
    <w:rsid w:val="00CF2F50"/>
    <w:rsid w:val="00CF310A"/>
    <w:rsid w:val="00CF3D01"/>
    <w:rsid w:val="00CF44F4"/>
    <w:rsid w:val="00CF6198"/>
    <w:rsid w:val="00CF655C"/>
    <w:rsid w:val="00CF65A4"/>
    <w:rsid w:val="00CF6A1D"/>
    <w:rsid w:val="00CF789C"/>
    <w:rsid w:val="00D007E3"/>
    <w:rsid w:val="00D009E0"/>
    <w:rsid w:val="00D00BBE"/>
    <w:rsid w:val="00D016F3"/>
    <w:rsid w:val="00D0181D"/>
    <w:rsid w:val="00D01F12"/>
    <w:rsid w:val="00D02919"/>
    <w:rsid w:val="00D042AF"/>
    <w:rsid w:val="00D04C61"/>
    <w:rsid w:val="00D0522E"/>
    <w:rsid w:val="00D05A86"/>
    <w:rsid w:val="00D05B8D"/>
    <w:rsid w:val="00D065A2"/>
    <w:rsid w:val="00D079AA"/>
    <w:rsid w:val="00D07F00"/>
    <w:rsid w:val="00D110ED"/>
    <w:rsid w:val="00D1130F"/>
    <w:rsid w:val="00D11D4F"/>
    <w:rsid w:val="00D11FFC"/>
    <w:rsid w:val="00D13E61"/>
    <w:rsid w:val="00D150AA"/>
    <w:rsid w:val="00D16C1B"/>
    <w:rsid w:val="00D16F0A"/>
    <w:rsid w:val="00D175AD"/>
    <w:rsid w:val="00D17B72"/>
    <w:rsid w:val="00D20B86"/>
    <w:rsid w:val="00D216BA"/>
    <w:rsid w:val="00D216E1"/>
    <w:rsid w:val="00D21DA1"/>
    <w:rsid w:val="00D2215D"/>
    <w:rsid w:val="00D226F8"/>
    <w:rsid w:val="00D243F2"/>
    <w:rsid w:val="00D25314"/>
    <w:rsid w:val="00D25625"/>
    <w:rsid w:val="00D2707E"/>
    <w:rsid w:val="00D317C1"/>
    <w:rsid w:val="00D3185C"/>
    <w:rsid w:val="00D31923"/>
    <w:rsid w:val="00D3205F"/>
    <w:rsid w:val="00D321C1"/>
    <w:rsid w:val="00D32A2C"/>
    <w:rsid w:val="00D3318E"/>
    <w:rsid w:val="00D33E72"/>
    <w:rsid w:val="00D349DB"/>
    <w:rsid w:val="00D34ECB"/>
    <w:rsid w:val="00D35BD6"/>
    <w:rsid w:val="00D361B5"/>
    <w:rsid w:val="00D363DB"/>
    <w:rsid w:val="00D369CD"/>
    <w:rsid w:val="00D36D45"/>
    <w:rsid w:val="00D370C1"/>
    <w:rsid w:val="00D377B3"/>
    <w:rsid w:val="00D37A49"/>
    <w:rsid w:val="00D40026"/>
    <w:rsid w:val="00D400CD"/>
    <w:rsid w:val="00D40129"/>
    <w:rsid w:val="00D405AC"/>
    <w:rsid w:val="00D411A2"/>
    <w:rsid w:val="00D41467"/>
    <w:rsid w:val="00D4171D"/>
    <w:rsid w:val="00D41BC6"/>
    <w:rsid w:val="00D41C52"/>
    <w:rsid w:val="00D42E48"/>
    <w:rsid w:val="00D43AF1"/>
    <w:rsid w:val="00D444C1"/>
    <w:rsid w:val="00D4606D"/>
    <w:rsid w:val="00D46694"/>
    <w:rsid w:val="00D46C92"/>
    <w:rsid w:val="00D47475"/>
    <w:rsid w:val="00D4798F"/>
    <w:rsid w:val="00D50B9C"/>
    <w:rsid w:val="00D510C4"/>
    <w:rsid w:val="00D51818"/>
    <w:rsid w:val="00D52D73"/>
    <w:rsid w:val="00D52E58"/>
    <w:rsid w:val="00D53D59"/>
    <w:rsid w:val="00D54E10"/>
    <w:rsid w:val="00D56B20"/>
    <w:rsid w:val="00D576C7"/>
    <w:rsid w:val="00D578B3"/>
    <w:rsid w:val="00D57FDC"/>
    <w:rsid w:val="00D603E9"/>
    <w:rsid w:val="00D61708"/>
    <w:rsid w:val="00D618F4"/>
    <w:rsid w:val="00D62338"/>
    <w:rsid w:val="00D6275B"/>
    <w:rsid w:val="00D63614"/>
    <w:rsid w:val="00D63B94"/>
    <w:rsid w:val="00D64C77"/>
    <w:rsid w:val="00D64EE7"/>
    <w:rsid w:val="00D665DB"/>
    <w:rsid w:val="00D67476"/>
    <w:rsid w:val="00D70667"/>
    <w:rsid w:val="00D7075A"/>
    <w:rsid w:val="00D70A7A"/>
    <w:rsid w:val="00D70FC3"/>
    <w:rsid w:val="00D714CC"/>
    <w:rsid w:val="00D73026"/>
    <w:rsid w:val="00D740C4"/>
    <w:rsid w:val="00D741E1"/>
    <w:rsid w:val="00D75EA7"/>
    <w:rsid w:val="00D769DB"/>
    <w:rsid w:val="00D772B3"/>
    <w:rsid w:val="00D77335"/>
    <w:rsid w:val="00D8059A"/>
    <w:rsid w:val="00D80BAD"/>
    <w:rsid w:val="00D80DBB"/>
    <w:rsid w:val="00D8125D"/>
    <w:rsid w:val="00D81ADF"/>
    <w:rsid w:val="00D81C5F"/>
    <w:rsid w:val="00D81F21"/>
    <w:rsid w:val="00D82183"/>
    <w:rsid w:val="00D82EC2"/>
    <w:rsid w:val="00D82ED2"/>
    <w:rsid w:val="00D839EF"/>
    <w:rsid w:val="00D84EC1"/>
    <w:rsid w:val="00D864F2"/>
    <w:rsid w:val="00D869B9"/>
    <w:rsid w:val="00D87655"/>
    <w:rsid w:val="00D87C29"/>
    <w:rsid w:val="00D9233D"/>
    <w:rsid w:val="00D92F95"/>
    <w:rsid w:val="00D93310"/>
    <w:rsid w:val="00D943F8"/>
    <w:rsid w:val="00D95470"/>
    <w:rsid w:val="00D96B55"/>
    <w:rsid w:val="00D96B68"/>
    <w:rsid w:val="00D97DB7"/>
    <w:rsid w:val="00DA141E"/>
    <w:rsid w:val="00DA2619"/>
    <w:rsid w:val="00DA3DD9"/>
    <w:rsid w:val="00DA4239"/>
    <w:rsid w:val="00DA42C9"/>
    <w:rsid w:val="00DA52D3"/>
    <w:rsid w:val="00DA53FD"/>
    <w:rsid w:val="00DA65DE"/>
    <w:rsid w:val="00DA6B24"/>
    <w:rsid w:val="00DB0A51"/>
    <w:rsid w:val="00DB0B61"/>
    <w:rsid w:val="00DB1474"/>
    <w:rsid w:val="00DB18F1"/>
    <w:rsid w:val="00DB2962"/>
    <w:rsid w:val="00DB4710"/>
    <w:rsid w:val="00DB4995"/>
    <w:rsid w:val="00DB52FB"/>
    <w:rsid w:val="00DB6AD2"/>
    <w:rsid w:val="00DB6BCC"/>
    <w:rsid w:val="00DB6E27"/>
    <w:rsid w:val="00DB79EB"/>
    <w:rsid w:val="00DC013B"/>
    <w:rsid w:val="00DC090B"/>
    <w:rsid w:val="00DC1679"/>
    <w:rsid w:val="00DC219B"/>
    <w:rsid w:val="00DC2CF1"/>
    <w:rsid w:val="00DC4400"/>
    <w:rsid w:val="00DC4FCF"/>
    <w:rsid w:val="00DC50E0"/>
    <w:rsid w:val="00DC5759"/>
    <w:rsid w:val="00DC580B"/>
    <w:rsid w:val="00DC618C"/>
    <w:rsid w:val="00DC6377"/>
    <w:rsid w:val="00DC6386"/>
    <w:rsid w:val="00DC66AA"/>
    <w:rsid w:val="00DC68C5"/>
    <w:rsid w:val="00DC6FCE"/>
    <w:rsid w:val="00DC783C"/>
    <w:rsid w:val="00DC78B0"/>
    <w:rsid w:val="00DD0CC2"/>
    <w:rsid w:val="00DD1130"/>
    <w:rsid w:val="00DD14BB"/>
    <w:rsid w:val="00DD1951"/>
    <w:rsid w:val="00DD1E74"/>
    <w:rsid w:val="00DD2289"/>
    <w:rsid w:val="00DD251B"/>
    <w:rsid w:val="00DD27D1"/>
    <w:rsid w:val="00DD487D"/>
    <w:rsid w:val="00DD4E83"/>
    <w:rsid w:val="00DD598C"/>
    <w:rsid w:val="00DD6628"/>
    <w:rsid w:val="00DD6945"/>
    <w:rsid w:val="00DD6CEE"/>
    <w:rsid w:val="00DE0ACE"/>
    <w:rsid w:val="00DE13E1"/>
    <w:rsid w:val="00DE1BAD"/>
    <w:rsid w:val="00DE21D2"/>
    <w:rsid w:val="00DE2D04"/>
    <w:rsid w:val="00DE31D5"/>
    <w:rsid w:val="00DE3250"/>
    <w:rsid w:val="00DE451A"/>
    <w:rsid w:val="00DE6028"/>
    <w:rsid w:val="00DE6AA3"/>
    <w:rsid w:val="00DE78A3"/>
    <w:rsid w:val="00DF038B"/>
    <w:rsid w:val="00DF0C54"/>
    <w:rsid w:val="00DF11C7"/>
    <w:rsid w:val="00DF1A71"/>
    <w:rsid w:val="00DF3423"/>
    <w:rsid w:val="00DF3DE0"/>
    <w:rsid w:val="00DF50FC"/>
    <w:rsid w:val="00DF51DE"/>
    <w:rsid w:val="00DF5927"/>
    <w:rsid w:val="00DF68C7"/>
    <w:rsid w:val="00DF731A"/>
    <w:rsid w:val="00DF77CB"/>
    <w:rsid w:val="00DF7D72"/>
    <w:rsid w:val="00DF7F27"/>
    <w:rsid w:val="00E014DF"/>
    <w:rsid w:val="00E0154D"/>
    <w:rsid w:val="00E01DBF"/>
    <w:rsid w:val="00E0317D"/>
    <w:rsid w:val="00E04277"/>
    <w:rsid w:val="00E04C3A"/>
    <w:rsid w:val="00E05059"/>
    <w:rsid w:val="00E05B08"/>
    <w:rsid w:val="00E05CA6"/>
    <w:rsid w:val="00E05D6E"/>
    <w:rsid w:val="00E06B75"/>
    <w:rsid w:val="00E06DF4"/>
    <w:rsid w:val="00E10585"/>
    <w:rsid w:val="00E11332"/>
    <w:rsid w:val="00E11352"/>
    <w:rsid w:val="00E11E92"/>
    <w:rsid w:val="00E11F06"/>
    <w:rsid w:val="00E1233E"/>
    <w:rsid w:val="00E1293D"/>
    <w:rsid w:val="00E14B11"/>
    <w:rsid w:val="00E15280"/>
    <w:rsid w:val="00E170DC"/>
    <w:rsid w:val="00E174C7"/>
    <w:rsid w:val="00E17546"/>
    <w:rsid w:val="00E20B93"/>
    <w:rsid w:val="00E210B5"/>
    <w:rsid w:val="00E21797"/>
    <w:rsid w:val="00E22449"/>
    <w:rsid w:val="00E23576"/>
    <w:rsid w:val="00E243C3"/>
    <w:rsid w:val="00E245A5"/>
    <w:rsid w:val="00E261B3"/>
    <w:rsid w:val="00E26818"/>
    <w:rsid w:val="00E27FFC"/>
    <w:rsid w:val="00E30B15"/>
    <w:rsid w:val="00E31145"/>
    <w:rsid w:val="00E31C7F"/>
    <w:rsid w:val="00E320A0"/>
    <w:rsid w:val="00E33237"/>
    <w:rsid w:val="00E379D1"/>
    <w:rsid w:val="00E37F9E"/>
    <w:rsid w:val="00E40181"/>
    <w:rsid w:val="00E40CE6"/>
    <w:rsid w:val="00E41B48"/>
    <w:rsid w:val="00E425BA"/>
    <w:rsid w:val="00E42A3F"/>
    <w:rsid w:val="00E44692"/>
    <w:rsid w:val="00E4560C"/>
    <w:rsid w:val="00E4665B"/>
    <w:rsid w:val="00E4704F"/>
    <w:rsid w:val="00E502DD"/>
    <w:rsid w:val="00E514AF"/>
    <w:rsid w:val="00E51A87"/>
    <w:rsid w:val="00E51F3C"/>
    <w:rsid w:val="00E52A1E"/>
    <w:rsid w:val="00E54759"/>
    <w:rsid w:val="00E54950"/>
    <w:rsid w:val="00E566CD"/>
    <w:rsid w:val="00E56924"/>
    <w:rsid w:val="00E56A01"/>
    <w:rsid w:val="00E60FAF"/>
    <w:rsid w:val="00E62622"/>
    <w:rsid w:val="00E629A1"/>
    <w:rsid w:val="00E62AEB"/>
    <w:rsid w:val="00E62DB3"/>
    <w:rsid w:val="00E63BC4"/>
    <w:rsid w:val="00E6401E"/>
    <w:rsid w:val="00E6460A"/>
    <w:rsid w:val="00E67874"/>
    <w:rsid w:val="00E6794C"/>
    <w:rsid w:val="00E67C27"/>
    <w:rsid w:val="00E71591"/>
    <w:rsid w:val="00E71CEB"/>
    <w:rsid w:val="00E7234E"/>
    <w:rsid w:val="00E72A4D"/>
    <w:rsid w:val="00E73FA3"/>
    <w:rsid w:val="00E73FB0"/>
    <w:rsid w:val="00E744B6"/>
    <w:rsid w:val="00E7474F"/>
    <w:rsid w:val="00E77F57"/>
    <w:rsid w:val="00E80095"/>
    <w:rsid w:val="00E80DE3"/>
    <w:rsid w:val="00E80F49"/>
    <w:rsid w:val="00E82106"/>
    <w:rsid w:val="00E8251F"/>
    <w:rsid w:val="00E82574"/>
    <w:rsid w:val="00E82C55"/>
    <w:rsid w:val="00E83BF4"/>
    <w:rsid w:val="00E848EA"/>
    <w:rsid w:val="00E84F17"/>
    <w:rsid w:val="00E85B3D"/>
    <w:rsid w:val="00E86172"/>
    <w:rsid w:val="00E86702"/>
    <w:rsid w:val="00E86D53"/>
    <w:rsid w:val="00E87781"/>
    <w:rsid w:val="00E8787E"/>
    <w:rsid w:val="00E90B47"/>
    <w:rsid w:val="00E90C45"/>
    <w:rsid w:val="00E90E79"/>
    <w:rsid w:val="00E92A74"/>
    <w:rsid w:val="00E92AC3"/>
    <w:rsid w:val="00E92D38"/>
    <w:rsid w:val="00E92FF2"/>
    <w:rsid w:val="00E932B3"/>
    <w:rsid w:val="00E947D1"/>
    <w:rsid w:val="00E95084"/>
    <w:rsid w:val="00E971D8"/>
    <w:rsid w:val="00EA12B5"/>
    <w:rsid w:val="00EA1360"/>
    <w:rsid w:val="00EA2F6A"/>
    <w:rsid w:val="00EA3D3F"/>
    <w:rsid w:val="00EA53EC"/>
    <w:rsid w:val="00EA6751"/>
    <w:rsid w:val="00EA7386"/>
    <w:rsid w:val="00EA754D"/>
    <w:rsid w:val="00EA77EC"/>
    <w:rsid w:val="00EA7D7A"/>
    <w:rsid w:val="00EA7F54"/>
    <w:rsid w:val="00EB00E0"/>
    <w:rsid w:val="00EB0161"/>
    <w:rsid w:val="00EB0DE7"/>
    <w:rsid w:val="00EB0E77"/>
    <w:rsid w:val="00EB258E"/>
    <w:rsid w:val="00EB26EC"/>
    <w:rsid w:val="00EB3199"/>
    <w:rsid w:val="00EB35A6"/>
    <w:rsid w:val="00EB3784"/>
    <w:rsid w:val="00EB664F"/>
    <w:rsid w:val="00EC059F"/>
    <w:rsid w:val="00EC1F24"/>
    <w:rsid w:val="00EC22F6"/>
    <w:rsid w:val="00EC2F3D"/>
    <w:rsid w:val="00EC40D5"/>
    <w:rsid w:val="00EC53FC"/>
    <w:rsid w:val="00EC58AF"/>
    <w:rsid w:val="00EC6EB0"/>
    <w:rsid w:val="00ED0276"/>
    <w:rsid w:val="00ED0A8E"/>
    <w:rsid w:val="00ED0D93"/>
    <w:rsid w:val="00ED0E92"/>
    <w:rsid w:val="00ED280C"/>
    <w:rsid w:val="00ED35F4"/>
    <w:rsid w:val="00ED4A98"/>
    <w:rsid w:val="00ED4C9C"/>
    <w:rsid w:val="00ED5B9B"/>
    <w:rsid w:val="00ED600E"/>
    <w:rsid w:val="00ED6B67"/>
    <w:rsid w:val="00ED6BAD"/>
    <w:rsid w:val="00ED7447"/>
    <w:rsid w:val="00ED7A8C"/>
    <w:rsid w:val="00EE00D6"/>
    <w:rsid w:val="00EE11E7"/>
    <w:rsid w:val="00EE1488"/>
    <w:rsid w:val="00EE29AD"/>
    <w:rsid w:val="00EE2BE4"/>
    <w:rsid w:val="00EE3A59"/>
    <w:rsid w:val="00EE3E24"/>
    <w:rsid w:val="00EE3E91"/>
    <w:rsid w:val="00EE4D5D"/>
    <w:rsid w:val="00EE5131"/>
    <w:rsid w:val="00EE5C17"/>
    <w:rsid w:val="00EE5E24"/>
    <w:rsid w:val="00EE5FFF"/>
    <w:rsid w:val="00EE697F"/>
    <w:rsid w:val="00EE6ECD"/>
    <w:rsid w:val="00EF109B"/>
    <w:rsid w:val="00EF14C6"/>
    <w:rsid w:val="00EF1E1D"/>
    <w:rsid w:val="00EF201C"/>
    <w:rsid w:val="00EF20B1"/>
    <w:rsid w:val="00EF2409"/>
    <w:rsid w:val="00EF3148"/>
    <w:rsid w:val="00EF36AF"/>
    <w:rsid w:val="00EF4DB3"/>
    <w:rsid w:val="00EF59A3"/>
    <w:rsid w:val="00EF6179"/>
    <w:rsid w:val="00EF6675"/>
    <w:rsid w:val="00EF69E1"/>
    <w:rsid w:val="00EF72E7"/>
    <w:rsid w:val="00F001C3"/>
    <w:rsid w:val="00F00F9C"/>
    <w:rsid w:val="00F01E5F"/>
    <w:rsid w:val="00F024F3"/>
    <w:rsid w:val="00F02ABA"/>
    <w:rsid w:val="00F0437A"/>
    <w:rsid w:val="00F04380"/>
    <w:rsid w:val="00F05059"/>
    <w:rsid w:val="00F05AFA"/>
    <w:rsid w:val="00F05D64"/>
    <w:rsid w:val="00F06A75"/>
    <w:rsid w:val="00F07325"/>
    <w:rsid w:val="00F07929"/>
    <w:rsid w:val="00F101B8"/>
    <w:rsid w:val="00F11037"/>
    <w:rsid w:val="00F12F45"/>
    <w:rsid w:val="00F15258"/>
    <w:rsid w:val="00F16723"/>
    <w:rsid w:val="00F16997"/>
    <w:rsid w:val="00F16F1B"/>
    <w:rsid w:val="00F20BBC"/>
    <w:rsid w:val="00F20E70"/>
    <w:rsid w:val="00F2273C"/>
    <w:rsid w:val="00F23B7B"/>
    <w:rsid w:val="00F24156"/>
    <w:rsid w:val="00F24E2F"/>
    <w:rsid w:val="00F250A9"/>
    <w:rsid w:val="00F25D33"/>
    <w:rsid w:val="00F267AF"/>
    <w:rsid w:val="00F30D20"/>
    <w:rsid w:val="00F30DF5"/>
    <w:rsid w:val="00F30FF4"/>
    <w:rsid w:val="00F3122E"/>
    <w:rsid w:val="00F3130A"/>
    <w:rsid w:val="00F317A2"/>
    <w:rsid w:val="00F32368"/>
    <w:rsid w:val="00F331AD"/>
    <w:rsid w:val="00F34C4C"/>
    <w:rsid w:val="00F35287"/>
    <w:rsid w:val="00F40A70"/>
    <w:rsid w:val="00F40A72"/>
    <w:rsid w:val="00F41436"/>
    <w:rsid w:val="00F41BE8"/>
    <w:rsid w:val="00F42B9A"/>
    <w:rsid w:val="00F43A37"/>
    <w:rsid w:val="00F43C72"/>
    <w:rsid w:val="00F451AB"/>
    <w:rsid w:val="00F45A25"/>
    <w:rsid w:val="00F4641B"/>
    <w:rsid w:val="00F46EB8"/>
    <w:rsid w:val="00F472F2"/>
    <w:rsid w:val="00F50CD1"/>
    <w:rsid w:val="00F511E4"/>
    <w:rsid w:val="00F522EA"/>
    <w:rsid w:val="00F52D09"/>
    <w:rsid w:val="00F52E08"/>
    <w:rsid w:val="00F5354C"/>
    <w:rsid w:val="00F53A66"/>
    <w:rsid w:val="00F53DDD"/>
    <w:rsid w:val="00F5409D"/>
    <w:rsid w:val="00F5428F"/>
    <w:rsid w:val="00F5462D"/>
    <w:rsid w:val="00F55B21"/>
    <w:rsid w:val="00F56EF6"/>
    <w:rsid w:val="00F57571"/>
    <w:rsid w:val="00F576B5"/>
    <w:rsid w:val="00F577AC"/>
    <w:rsid w:val="00F57F0B"/>
    <w:rsid w:val="00F60082"/>
    <w:rsid w:val="00F6088D"/>
    <w:rsid w:val="00F61A9F"/>
    <w:rsid w:val="00F61B5F"/>
    <w:rsid w:val="00F63222"/>
    <w:rsid w:val="00F64696"/>
    <w:rsid w:val="00F65AA9"/>
    <w:rsid w:val="00F66444"/>
    <w:rsid w:val="00F6768F"/>
    <w:rsid w:val="00F712D8"/>
    <w:rsid w:val="00F72850"/>
    <w:rsid w:val="00F72C2C"/>
    <w:rsid w:val="00F72FF9"/>
    <w:rsid w:val="00F74DA5"/>
    <w:rsid w:val="00F75437"/>
    <w:rsid w:val="00F75D14"/>
    <w:rsid w:val="00F76894"/>
    <w:rsid w:val="00F76CAB"/>
    <w:rsid w:val="00F772C6"/>
    <w:rsid w:val="00F77885"/>
    <w:rsid w:val="00F77DEF"/>
    <w:rsid w:val="00F8001A"/>
    <w:rsid w:val="00F815B5"/>
    <w:rsid w:val="00F83BF1"/>
    <w:rsid w:val="00F84FA0"/>
    <w:rsid w:val="00F85195"/>
    <w:rsid w:val="00F85254"/>
    <w:rsid w:val="00F85A43"/>
    <w:rsid w:val="00F85D70"/>
    <w:rsid w:val="00F86835"/>
    <w:rsid w:val="00F868E3"/>
    <w:rsid w:val="00F86D49"/>
    <w:rsid w:val="00F87A98"/>
    <w:rsid w:val="00F87D5C"/>
    <w:rsid w:val="00F90319"/>
    <w:rsid w:val="00F9048D"/>
    <w:rsid w:val="00F915C5"/>
    <w:rsid w:val="00F91B2F"/>
    <w:rsid w:val="00F9231E"/>
    <w:rsid w:val="00F92911"/>
    <w:rsid w:val="00F93540"/>
    <w:rsid w:val="00F938BA"/>
    <w:rsid w:val="00F94D5A"/>
    <w:rsid w:val="00F95D16"/>
    <w:rsid w:val="00F96004"/>
    <w:rsid w:val="00F961E7"/>
    <w:rsid w:val="00F963BA"/>
    <w:rsid w:val="00F97919"/>
    <w:rsid w:val="00FA034A"/>
    <w:rsid w:val="00FA1409"/>
    <w:rsid w:val="00FA1552"/>
    <w:rsid w:val="00FA18C6"/>
    <w:rsid w:val="00FA2C46"/>
    <w:rsid w:val="00FA2E5D"/>
    <w:rsid w:val="00FA3295"/>
    <w:rsid w:val="00FA3525"/>
    <w:rsid w:val="00FA3E85"/>
    <w:rsid w:val="00FA4070"/>
    <w:rsid w:val="00FA4EFB"/>
    <w:rsid w:val="00FA57C0"/>
    <w:rsid w:val="00FA5A53"/>
    <w:rsid w:val="00FA61A3"/>
    <w:rsid w:val="00FA6CB6"/>
    <w:rsid w:val="00FB0F92"/>
    <w:rsid w:val="00FB1695"/>
    <w:rsid w:val="00FB2551"/>
    <w:rsid w:val="00FB2C96"/>
    <w:rsid w:val="00FB37D5"/>
    <w:rsid w:val="00FB3A29"/>
    <w:rsid w:val="00FB4769"/>
    <w:rsid w:val="00FB4A6D"/>
    <w:rsid w:val="00FB4CDA"/>
    <w:rsid w:val="00FB5563"/>
    <w:rsid w:val="00FB6481"/>
    <w:rsid w:val="00FB6D36"/>
    <w:rsid w:val="00FB7008"/>
    <w:rsid w:val="00FC0965"/>
    <w:rsid w:val="00FC0F81"/>
    <w:rsid w:val="00FC13BE"/>
    <w:rsid w:val="00FC252F"/>
    <w:rsid w:val="00FC30FB"/>
    <w:rsid w:val="00FC395C"/>
    <w:rsid w:val="00FC57F0"/>
    <w:rsid w:val="00FC5E8E"/>
    <w:rsid w:val="00FC680C"/>
    <w:rsid w:val="00FC7713"/>
    <w:rsid w:val="00FC7D16"/>
    <w:rsid w:val="00FD0C38"/>
    <w:rsid w:val="00FD171A"/>
    <w:rsid w:val="00FD2211"/>
    <w:rsid w:val="00FD2A6E"/>
    <w:rsid w:val="00FD2CBF"/>
    <w:rsid w:val="00FD3653"/>
    <w:rsid w:val="00FD3766"/>
    <w:rsid w:val="00FD47C4"/>
    <w:rsid w:val="00FD5B5F"/>
    <w:rsid w:val="00FD668F"/>
    <w:rsid w:val="00FD69D8"/>
    <w:rsid w:val="00FD722A"/>
    <w:rsid w:val="00FD7827"/>
    <w:rsid w:val="00FE10CC"/>
    <w:rsid w:val="00FE1D9A"/>
    <w:rsid w:val="00FE1ECD"/>
    <w:rsid w:val="00FE1EDC"/>
    <w:rsid w:val="00FE2DCF"/>
    <w:rsid w:val="00FE2EF0"/>
    <w:rsid w:val="00FE312C"/>
    <w:rsid w:val="00FE3FA7"/>
    <w:rsid w:val="00FE430B"/>
    <w:rsid w:val="00FE50F2"/>
    <w:rsid w:val="00FE6760"/>
    <w:rsid w:val="00FE6ED0"/>
    <w:rsid w:val="00FE7441"/>
    <w:rsid w:val="00FE7AAB"/>
    <w:rsid w:val="00FF0039"/>
    <w:rsid w:val="00FF2A4E"/>
    <w:rsid w:val="00FF2FCE"/>
    <w:rsid w:val="00FF4DE4"/>
    <w:rsid w:val="00FF4F7D"/>
    <w:rsid w:val="00FF54DF"/>
    <w:rsid w:val="00FF6C78"/>
    <w:rsid w:val="00FF6D9D"/>
    <w:rsid w:val="00FF7DD5"/>
    <w:rsid w:val="3A67249D"/>
    <w:rsid w:val="5B02C2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2050B"/>
  <w15:docId w15:val="{F7B0F700-DC94-43C1-A0CC-7238014E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05A86"/>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styleId="PlaceholderText">
    <w:name w:val="Placeholder Text"/>
    <w:basedOn w:val="DefaultParagraphFont"/>
    <w:uiPriority w:val="99"/>
    <w:unhideWhenUsed/>
    <w:rsid w:val="00C044C8"/>
    <w:rPr>
      <w:color w:val="666666"/>
    </w:rPr>
  </w:style>
  <w:style w:type="character" w:styleId="Mention">
    <w:name w:val="Mention"/>
    <w:basedOn w:val="DefaultParagraphFont"/>
    <w:uiPriority w:val="99"/>
    <w:unhideWhenUsed/>
    <w:rsid w:val="001846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774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3473832">
      <w:bodyDiv w:val="1"/>
      <w:marLeft w:val="0"/>
      <w:marRight w:val="0"/>
      <w:marTop w:val="0"/>
      <w:marBottom w:val="0"/>
      <w:divBdr>
        <w:top w:val="none" w:sz="0" w:space="0" w:color="auto"/>
        <w:left w:val="none" w:sz="0" w:space="0" w:color="auto"/>
        <w:bottom w:val="none" w:sz="0" w:space="0" w:color="auto"/>
        <w:right w:val="none" w:sz="0" w:space="0" w:color="auto"/>
      </w:divBdr>
    </w:div>
    <w:div w:id="25652763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32098939">
      <w:bodyDiv w:val="1"/>
      <w:marLeft w:val="0"/>
      <w:marRight w:val="0"/>
      <w:marTop w:val="0"/>
      <w:marBottom w:val="0"/>
      <w:divBdr>
        <w:top w:val="none" w:sz="0" w:space="0" w:color="auto"/>
        <w:left w:val="none" w:sz="0" w:space="0" w:color="auto"/>
        <w:bottom w:val="none" w:sz="0" w:space="0" w:color="auto"/>
        <w:right w:val="none" w:sz="0" w:space="0" w:color="auto"/>
      </w:divBdr>
    </w:div>
    <w:div w:id="668021713">
      <w:bodyDiv w:val="1"/>
      <w:marLeft w:val="0"/>
      <w:marRight w:val="0"/>
      <w:marTop w:val="0"/>
      <w:marBottom w:val="0"/>
      <w:divBdr>
        <w:top w:val="none" w:sz="0" w:space="0" w:color="auto"/>
        <w:left w:val="none" w:sz="0" w:space="0" w:color="auto"/>
        <w:bottom w:val="none" w:sz="0" w:space="0" w:color="auto"/>
        <w:right w:val="none" w:sz="0" w:space="0" w:color="auto"/>
      </w:divBdr>
      <w:divsChild>
        <w:div w:id="1391491425">
          <w:marLeft w:val="0"/>
          <w:marRight w:val="0"/>
          <w:marTop w:val="0"/>
          <w:marBottom w:val="0"/>
          <w:divBdr>
            <w:top w:val="none" w:sz="0" w:space="0" w:color="auto"/>
            <w:left w:val="none" w:sz="0" w:space="0" w:color="auto"/>
            <w:bottom w:val="none" w:sz="0" w:space="0" w:color="auto"/>
            <w:right w:val="none" w:sz="0" w:space="0" w:color="auto"/>
          </w:divBdr>
        </w:div>
      </w:divsChild>
    </w:div>
    <w:div w:id="73787236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423499">
      <w:bodyDiv w:val="1"/>
      <w:marLeft w:val="0"/>
      <w:marRight w:val="0"/>
      <w:marTop w:val="0"/>
      <w:marBottom w:val="0"/>
      <w:divBdr>
        <w:top w:val="none" w:sz="0" w:space="0" w:color="auto"/>
        <w:left w:val="none" w:sz="0" w:space="0" w:color="auto"/>
        <w:bottom w:val="none" w:sz="0" w:space="0" w:color="auto"/>
        <w:right w:val="none" w:sz="0" w:space="0" w:color="auto"/>
      </w:divBdr>
      <w:divsChild>
        <w:div w:id="1908805130">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68147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995169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472465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igital-health/artificial-intelligence-in-victorian-public-health-services" TargetMode="External"/><Relationship Id="rId26" Type="http://schemas.openxmlformats.org/officeDocument/2006/relationships/hyperlink" Target="https://www.rcpa.edu.au/getattachment/48d20397-9a31-4507-a071-c2ad8939defc/Artificial-Intelligence-in-Pathology.aspx" TargetMode="External"/><Relationship Id="rId3" Type="http://schemas.openxmlformats.org/officeDocument/2006/relationships/customXml" Target="../customXml/item3.xml"/><Relationship Id="rId21" Type="http://schemas.openxmlformats.org/officeDocument/2006/relationships/hyperlink" Target="https://www.niaa.gov.au/sites/default/files/documents/2024-05/framework-governance-indigenous-data.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igital-health/artificial-intelligence-in-victorian-public-health-services" TargetMode="External"/><Relationship Id="rId25" Type="http://schemas.openxmlformats.org/officeDocument/2006/relationships/hyperlink" Target="https://www.himaa.org.au/public/169/files/Website%20Document/Files/Australian%20Clinical%20Coding%20AI%20Adoption%20Guideline%20V1_0%20June%202025.pdf" TargetMode="External"/><Relationship Id="rId2" Type="http://schemas.openxmlformats.org/officeDocument/2006/relationships/customXml" Target="../customXml/item2.xml"/><Relationship Id="rId16" Type="http://schemas.openxmlformats.org/officeDocument/2006/relationships/hyperlink" Target="https://www.safercare.vic.gov.au/best-practice-improvement/clinical-governance/framework" TargetMode="External"/><Relationship Id="rId20" Type="http://schemas.openxmlformats.org/officeDocument/2006/relationships/hyperlink" Target="https://ovic.vic.gov.au/privacy/resources-for-organisations/privacy-impact-assess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acgp.org.au/running-a-practice/technology/artificial-intelligence-ai/conversational-artificial-intelligenc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hpra.gov.au/Resources/Artificial-Intelligence-in-healthcare.aspx" TargetMode="External"/><Relationship Id="rId28" Type="http://schemas.openxmlformats.org/officeDocument/2006/relationships/hyperlink" Target="https://www.health.vic.gov.au/digital-health/artificial-intelligence-in-victorian-public-health-services" TargetMode="External"/><Relationship Id="rId10" Type="http://schemas.openxmlformats.org/officeDocument/2006/relationships/endnotes" Target="endnotes.xml"/><Relationship Id="rId19" Type="http://schemas.openxmlformats.org/officeDocument/2006/relationships/hyperlink" Target="https://www.industry.gov.au/publications/australias-artificial-intelligence-ethics-principles/australias-ai-ethics-princip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afetyandquality.gov.au/our-work/e-health-safety/artificial-intelligence" TargetMode="External"/><Relationship Id="rId27" Type="http://schemas.openxmlformats.org/officeDocument/2006/relationships/hyperlink" Target="https://www.vic.gov.au/guidance-safe-responsible-use-gen-ai-vp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A80CAF46D87C4093E866F58C865098" ma:contentTypeVersion="15" ma:contentTypeDescription="Create a new document." ma:contentTypeScope="" ma:versionID="4fecd77f7d587bb84155d7cf08cbd09d">
  <xsd:schema xmlns:xsd="http://www.w3.org/2001/XMLSchema" xmlns:xs="http://www.w3.org/2001/XMLSchema" xmlns:p="http://schemas.microsoft.com/office/2006/metadata/properties" xmlns:ns2="484c4e41-9d04-4639-8990-2634a9ef436b" xmlns:ns3="94efae7d-998f-4906-ab7a-47c49d5980c8" targetNamespace="http://schemas.microsoft.com/office/2006/metadata/properties" ma:root="true" ma:fieldsID="e2c5b93f499476e3972d5a3b7d11debb" ns2:_="" ns3:_="">
    <xsd:import namespace="484c4e41-9d04-4639-8990-2634a9ef436b"/>
    <xsd:import namespace="94efae7d-998f-4906-ab7a-47c49d598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4e41-9d04-4639-8990-2634a9ef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fae7d-998f-4906-ab7a-47c49d598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64160d-8d57-4c41-9b7e-7c0d242e0313}" ma:internalName="TaxCatchAll" ma:showField="CatchAllData" ma:web="94efae7d-998f-4906-ab7a-47c49d598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efae7d-998f-4906-ab7a-47c49d5980c8" xsi:nil="true"/>
    <lcf76f155ced4ddcb4097134ff3c332f xmlns="484c4e41-9d04-4639-8990-2634a9ef43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DFB0FD4-A9A4-47FD-9BA2-9CF179C7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4e41-9d04-4639-8990-2634a9ef436b"/>
    <ds:schemaRef ds:uri="94efae7d-998f-4906-ab7a-47c49d59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efae7d-998f-4906-ab7a-47c49d5980c8"/>
    <ds:schemaRef ds:uri="484c4e41-9d04-4639-8990-2634a9ef436b"/>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14</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Governance Models for AI Solutions in Victorian Public Health Services</vt:lpstr>
    </vt:vector>
  </TitlesOfParts>
  <Manager/>
  <Company>Victoria State Government, Department of Health</Company>
  <LinksUpToDate>false</LinksUpToDate>
  <CharactersWithSpaces>35890</CharactersWithSpaces>
  <SharedDoc>false</SharedDoc>
  <HyperlinkBase/>
  <HLinks>
    <vt:vector size="66" baseType="variant">
      <vt:variant>
        <vt:i4>2162802</vt:i4>
      </vt:variant>
      <vt:variant>
        <vt:i4>30</vt:i4>
      </vt:variant>
      <vt:variant>
        <vt:i4>0</vt:i4>
      </vt:variant>
      <vt:variant>
        <vt:i4>5</vt:i4>
      </vt:variant>
      <vt:variant>
        <vt:lpwstr>https://www.vic.gov.au/guidance-safe-responsible-use-gen-ai-vps</vt:lpwstr>
      </vt:variant>
      <vt:variant>
        <vt:lpwstr/>
      </vt:variant>
      <vt:variant>
        <vt:i4>2031682</vt:i4>
      </vt:variant>
      <vt:variant>
        <vt:i4>27</vt:i4>
      </vt:variant>
      <vt:variant>
        <vt:i4>0</vt:i4>
      </vt:variant>
      <vt:variant>
        <vt:i4>5</vt:i4>
      </vt:variant>
      <vt:variant>
        <vt:lpwstr>https://www.rcpa.edu.au/getattachment/48d20397-9a31-4507-a071-c2ad8939defc/Artificial-Intelligence-in-Pathology.aspx</vt:lpwstr>
      </vt:variant>
      <vt:variant>
        <vt:lpwstr/>
      </vt:variant>
      <vt:variant>
        <vt:i4>4784186</vt:i4>
      </vt:variant>
      <vt:variant>
        <vt:i4>24</vt:i4>
      </vt:variant>
      <vt:variant>
        <vt:i4>0</vt:i4>
      </vt:variant>
      <vt:variant>
        <vt:i4>5</vt:i4>
      </vt:variant>
      <vt:variant>
        <vt:lpwstr>https://www.himaa.org.au/public/169/files/Website Document/Files/Australian Clinical Coding AI Adoption Guideline V1_0 June 2025.pdf</vt:lpwstr>
      </vt:variant>
      <vt:variant>
        <vt:lpwstr/>
      </vt:variant>
      <vt:variant>
        <vt:i4>4718682</vt:i4>
      </vt:variant>
      <vt:variant>
        <vt:i4>21</vt:i4>
      </vt:variant>
      <vt:variant>
        <vt:i4>0</vt:i4>
      </vt:variant>
      <vt:variant>
        <vt:i4>5</vt:i4>
      </vt:variant>
      <vt:variant>
        <vt:lpwstr>https://www.racgp.org.au/running-a-practice/technology/artificial-intelligence-ai/conversational-artificial-intelligence</vt:lpwstr>
      </vt:variant>
      <vt:variant>
        <vt:lpwstr/>
      </vt:variant>
      <vt:variant>
        <vt:i4>4915270</vt:i4>
      </vt:variant>
      <vt:variant>
        <vt:i4>18</vt:i4>
      </vt:variant>
      <vt:variant>
        <vt:i4>0</vt:i4>
      </vt:variant>
      <vt:variant>
        <vt:i4>5</vt:i4>
      </vt:variant>
      <vt:variant>
        <vt:lpwstr>https://www.ahpra.gov.au/Resources/Artificial-Intelligence-in-healthcare.aspx</vt:lpwstr>
      </vt:variant>
      <vt:variant>
        <vt:lpwstr/>
      </vt:variant>
      <vt:variant>
        <vt:i4>4653071</vt:i4>
      </vt:variant>
      <vt:variant>
        <vt:i4>15</vt:i4>
      </vt:variant>
      <vt:variant>
        <vt:i4>0</vt:i4>
      </vt:variant>
      <vt:variant>
        <vt:i4>5</vt:i4>
      </vt:variant>
      <vt:variant>
        <vt:lpwstr>https://www.safetyandquality.gov.au/our-work/e-health-safety/artificial-intelligence</vt:lpwstr>
      </vt:variant>
      <vt:variant>
        <vt:lpwstr/>
      </vt:variant>
      <vt:variant>
        <vt:i4>7667770</vt:i4>
      </vt:variant>
      <vt:variant>
        <vt:i4>12</vt:i4>
      </vt:variant>
      <vt:variant>
        <vt:i4>0</vt:i4>
      </vt:variant>
      <vt:variant>
        <vt:i4>5</vt:i4>
      </vt:variant>
      <vt:variant>
        <vt:lpwstr>https://www.niaa.gov.au/sites/default/files/documents/2024-05/framework-governance-indigenous-data.pdf</vt:lpwstr>
      </vt:variant>
      <vt:variant>
        <vt:lpwstr/>
      </vt:variant>
      <vt:variant>
        <vt:i4>3670069</vt:i4>
      </vt:variant>
      <vt:variant>
        <vt:i4>9</vt:i4>
      </vt:variant>
      <vt:variant>
        <vt:i4>0</vt:i4>
      </vt:variant>
      <vt:variant>
        <vt:i4>5</vt:i4>
      </vt:variant>
      <vt:variant>
        <vt:lpwstr>https://ovic.vic.gov.au/privacy/resources-for-organisations/privacy-impact-assessment/</vt:lpwstr>
      </vt:variant>
      <vt:variant>
        <vt:lpwstr/>
      </vt:variant>
      <vt:variant>
        <vt:i4>917523</vt:i4>
      </vt:variant>
      <vt:variant>
        <vt:i4>6</vt:i4>
      </vt:variant>
      <vt:variant>
        <vt:i4>0</vt:i4>
      </vt:variant>
      <vt:variant>
        <vt:i4>5</vt:i4>
      </vt:variant>
      <vt:variant>
        <vt:lpwstr>https://www.industry.gov.au/publications/australias-artificial-intelligence-ethics-principles/australias-ai-ethics-principles</vt:lpwstr>
      </vt:variant>
      <vt:variant>
        <vt:lpwstr/>
      </vt:variant>
      <vt:variant>
        <vt:i4>327759</vt:i4>
      </vt:variant>
      <vt:variant>
        <vt:i4>3</vt:i4>
      </vt:variant>
      <vt:variant>
        <vt:i4>0</vt:i4>
      </vt:variant>
      <vt:variant>
        <vt:i4>5</vt:i4>
      </vt:variant>
      <vt:variant>
        <vt:lpwstr>https://www.safercare.vic.gov.au/best-practice-improvement/clinical-governance/framework</vt:lpwstr>
      </vt:variant>
      <vt:variant>
        <vt:lpwstr/>
      </vt:variant>
      <vt:variant>
        <vt:i4>7602192</vt:i4>
      </vt:variant>
      <vt:variant>
        <vt:i4>0</vt:i4>
      </vt:variant>
      <vt:variant>
        <vt:i4>0</vt:i4>
      </vt:variant>
      <vt:variant>
        <vt:i4>5</vt:i4>
      </vt:variant>
      <vt:variant>
        <vt:lpwstr>mailto:sharon.hakkennes@health.vic.gov.au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Models for AI Solutions in Victorian Public Health Services</dc:title>
  <dc:subject>Governance guideline for artificial intelligence (AI) in hospitals</dc:subject>
  <dc:creator>David Bevan (Health)</dc:creator>
  <cp:keywords/>
  <dc:description/>
  <cp:lastModifiedBy>Serge Catson (Health)</cp:lastModifiedBy>
  <cp:revision>310</cp:revision>
  <cp:lastPrinted>2020-04-02T03:28:00Z</cp:lastPrinted>
  <dcterms:created xsi:type="dcterms:W3CDTF">2026-02-27T19:53:00Z</dcterms:created>
  <dcterms:modified xsi:type="dcterms:W3CDTF">2026-06-03T23:11:00Z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0x010100EAA80CAF46D87C4093E866F58C865098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