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9DB3" w14:textId="77777777" w:rsidR="0074696E" w:rsidRPr="004C6EEE" w:rsidRDefault="00B5606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AB58B0D" wp14:editId="71A435A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87685" cy="1413510"/>
            <wp:effectExtent l="0" t="0" r="0" b="0"/>
            <wp:wrapNone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88400" cy="141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B85D7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031"/>
      </w:tblGrid>
      <w:tr w:rsidR="00D565C7" w:rsidRPr="00161AA0" w14:paraId="67175CBF" w14:textId="77777777">
        <w:tc>
          <w:tcPr>
            <w:tcW w:w="11907" w:type="dxa"/>
          </w:tcPr>
          <w:p w14:paraId="3AD9F560" w14:textId="77777777" w:rsidR="00D565C7" w:rsidRDefault="00D565C7" w:rsidP="00D565C7">
            <w:pPr>
              <w:pStyle w:val="Documenttitle"/>
            </w:pPr>
            <w:bookmarkStart w:id="0" w:name="_Toc66868859"/>
            <w:bookmarkStart w:id="1" w:name="_Hlk66712316"/>
            <w:bookmarkStart w:id="2" w:name="_Hlk37240926"/>
            <w:r>
              <w:t xml:space="preserve">TACO: Transfusion associated circulatory overload – is your </w:t>
            </w:r>
          </w:p>
          <w:p w14:paraId="56A73133" w14:textId="77777777" w:rsidR="00D565C7" w:rsidRPr="00161AA0" w:rsidRDefault="00D565C7" w:rsidP="00D565C7">
            <w:pPr>
              <w:pStyle w:val="Documenttitle"/>
            </w:pPr>
            <w:r>
              <w:t>patient at risk?</w:t>
            </w:r>
          </w:p>
        </w:tc>
      </w:tr>
      <w:tr w:rsidR="00D565C7" w:rsidRPr="00A1389F" w14:paraId="7AB5164F" w14:textId="77777777">
        <w:tc>
          <w:tcPr>
            <w:tcW w:w="11907" w:type="dxa"/>
          </w:tcPr>
          <w:p w14:paraId="064E08D2" w14:textId="5C5B8C05" w:rsidR="00D565C7" w:rsidRPr="00A1389F" w:rsidRDefault="00D565C7" w:rsidP="00D565C7">
            <w:pPr>
              <w:pStyle w:val="Documentsubtitle"/>
            </w:pPr>
            <w:r>
              <w:t>Blood Matters, Serious Transfusion Incident Reporting</w:t>
            </w:r>
            <w:r w:rsidR="00053508">
              <w:t xml:space="preserve"> system (STIR)</w:t>
            </w:r>
          </w:p>
        </w:tc>
      </w:tr>
      <w:tr w:rsidR="00D565C7" w:rsidRPr="00250DC4" w14:paraId="26FC9EF5" w14:textId="77777777">
        <w:tc>
          <w:tcPr>
            <w:tcW w:w="11907" w:type="dxa"/>
          </w:tcPr>
          <w:p w14:paraId="1025D37B" w14:textId="77777777" w:rsidR="00D565C7" w:rsidRDefault="00D565C7" w:rsidP="00D565C7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  <w:tbl>
            <w:tblPr>
              <w:tblStyle w:val="TableGrid"/>
              <w:tblW w:w="15021" w:type="dxa"/>
              <w:tblLook w:val="04A0" w:firstRow="1" w:lastRow="0" w:firstColumn="1" w:lastColumn="0" w:noHBand="0" w:noVBand="1"/>
            </w:tblPr>
            <w:tblGrid>
              <w:gridCol w:w="7510"/>
              <w:gridCol w:w="7511"/>
            </w:tblGrid>
            <w:tr w:rsidR="00D565C7" w14:paraId="44F9E842" w14:textId="77777777">
              <w:trPr>
                <w:trHeight w:val="532"/>
              </w:trPr>
              <w:tc>
                <w:tcPr>
                  <w:tcW w:w="7510" w:type="dxa"/>
                  <w:shd w:val="clear" w:color="auto" w:fill="C00000"/>
                </w:tcPr>
                <w:p w14:paraId="162ED60D" w14:textId="77777777" w:rsidR="00D565C7" w:rsidRPr="003F5ACE" w:rsidRDefault="00D565C7" w:rsidP="00CC69BE">
                  <w:pPr>
                    <w:pStyle w:val="Heading2"/>
                    <w:framePr w:hSpace="180" w:wrap="around" w:vAnchor="text" w:hAnchor="text" w:y="1"/>
                    <w:spacing w:before="120" w:after="0"/>
                    <w:suppressOverlap/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F5ACE">
                    <w:rPr>
                      <w:color w:val="FFFFFF" w:themeColor="background1"/>
                    </w:rPr>
                    <w:t xml:space="preserve">Assessment: </w:t>
                  </w:r>
                  <w:r w:rsidRPr="003F5ACE"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  <w:t>does your patient have any of the following:</w:t>
                  </w:r>
                </w:p>
              </w:tc>
              <w:tc>
                <w:tcPr>
                  <w:tcW w:w="7511" w:type="dxa"/>
                  <w:shd w:val="clear" w:color="auto" w:fill="C00000"/>
                </w:tcPr>
                <w:p w14:paraId="1DD66553" w14:textId="7E21F2EE" w:rsidR="00D565C7" w:rsidRPr="003F5ACE" w:rsidRDefault="00D565C7" w:rsidP="00CC69BE">
                  <w:pPr>
                    <w:pStyle w:val="Heading2"/>
                    <w:framePr w:hSpace="180" w:wrap="around" w:vAnchor="text" w:hAnchor="text" w:y="1"/>
                    <w:spacing w:before="120" w:after="0"/>
                    <w:suppressOverlap/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F5ACE">
                    <w:rPr>
                      <w:color w:val="FFFFFF" w:themeColor="background1"/>
                    </w:rPr>
                    <w:t xml:space="preserve">Prevention: </w:t>
                  </w:r>
                  <w:r w:rsidR="00D87CC5"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  <w:t xml:space="preserve">how to decrease the risk of </w:t>
                  </w:r>
                  <w:r w:rsidRPr="003F5ACE"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  <w:t>TACO</w:t>
                  </w:r>
                  <w:r w:rsidR="0008335D"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  <w:t>:</w:t>
                  </w:r>
                  <w:r w:rsidRPr="003F5ACE"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565C7" w14:paraId="0BB0D3BE" w14:textId="77777777">
              <w:tc>
                <w:tcPr>
                  <w:tcW w:w="7510" w:type="dxa"/>
                </w:tcPr>
                <w:p w14:paraId="42501447" w14:textId="77777777" w:rsidR="00D565C7" w:rsidRPr="00182E49" w:rsidRDefault="00D565C7" w:rsidP="00CC69BE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  <w:rPr>
                      <w:rFonts w:eastAsia="Times"/>
                    </w:rPr>
                  </w:pPr>
                  <w:r w:rsidRPr="00182E49">
                    <w:rPr>
                      <w:rFonts w:eastAsia="Times"/>
                    </w:rPr>
                    <w:t>Heart failure: congestive cardiac failure, severe aortic stenosis, moderate or severe ventricular dysfunction</w:t>
                  </w:r>
                </w:p>
                <w:p w14:paraId="1526BBA4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r>
                    <w:t>Regular diuretic requirement</w:t>
                  </w:r>
                </w:p>
                <w:p w14:paraId="09F93FE0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r>
                    <w:t xml:space="preserve">Pre-existing respiratory symptoms, where cause is undiagnosed </w:t>
                  </w:r>
                </w:p>
                <w:p w14:paraId="3A1417D1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r>
                    <w:t>Pre-transfusion signs of pulmonary or peripheral oedema</w:t>
                  </w:r>
                </w:p>
                <w:p w14:paraId="2FE2838B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r>
                    <w:t>Positive fluid balance before transfusion</w:t>
                  </w:r>
                </w:p>
                <w:p w14:paraId="1FDD4470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446AE7DB" wp14:editId="544DA801">
                        <wp:simplePos x="0" y="0"/>
                        <wp:positionH relativeFrom="column">
                          <wp:posOffset>3353435</wp:posOffset>
                        </wp:positionH>
                        <wp:positionV relativeFrom="paragraph">
                          <wp:posOffset>2540</wp:posOffset>
                        </wp:positionV>
                        <wp:extent cx="871200" cy="871200"/>
                        <wp:effectExtent l="0" t="0" r="0" b="5715"/>
                        <wp:wrapNone/>
                        <wp:docPr id="579292913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200" cy="871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t xml:space="preserve">Ongoing IV fluid administration </w:t>
                  </w:r>
                </w:p>
                <w:p w14:paraId="06974778" w14:textId="377FB0E4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proofErr w:type="spellStart"/>
                  <w:r>
                    <w:t>Hypoalbumin</w:t>
                  </w:r>
                  <w:r w:rsidR="006A3C56">
                    <w:t>a</w:t>
                  </w:r>
                  <w:r>
                    <w:t>emia</w:t>
                  </w:r>
                  <w:proofErr w:type="spellEnd"/>
                </w:p>
                <w:p w14:paraId="749D84B5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r>
                    <w:t>Significant renal impairment</w:t>
                  </w:r>
                </w:p>
                <w:p w14:paraId="59F903D8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1"/>
                    </w:numPr>
                    <w:spacing w:after="60"/>
                    <w:ind w:left="714" w:hanging="357"/>
                    <w:suppressOverlap/>
                  </w:pPr>
                  <w:r>
                    <w:t xml:space="preserve">Severe chronic anaemia                             </w:t>
                  </w:r>
                </w:p>
              </w:tc>
              <w:tc>
                <w:tcPr>
                  <w:tcW w:w="7511" w:type="dxa"/>
                </w:tcPr>
                <w:p w14:paraId="41156B7B" w14:textId="77777777" w:rsidR="00D565C7" w:rsidRPr="00835A38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2"/>
                    </w:numPr>
                    <w:spacing w:after="60"/>
                    <w:ind w:left="357" w:hanging="357"/>
                    <w:suppressOverlap/>
                    <w:rPr>
                      <w:b w:val="0"/>
                      <w:bCs w:val="0"/>
                      <w:noProof/>
                    </w:rPr>
                  </w:pPr>
                  <w:r w:rsidRPr="00835A38">
                    <w:rPr>
                      <w:b w:val="0"/>
                      <w:bCs w:val="0"/>
                      <w:noProof/>
                    </w:rPr>
                    <w:t>Do a pre-transfusion risk assessment</w:t>
                  </w:r>
                </w:p>
                <w:p w14:paraId="6DC92ABE" w14:textId="77777777" w:rsidR="00D565C7" w:rsidRPr="00835A38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2"/>
                    </w:numPr>
                    <w:spacing w:after="60"/>
                    <w:ind w:left="357" w:hanging="357"/>
                    <w:suppressOverlap/>
                    <w:rPr>
                      <w:b w:val="0"/>
                      <w:bCs w:val="0"/>
                      <w:noProof/>
                    </w:rPr>
                  </w:pPr>
                  <w:r w:rsidRPr="00835A38">
                    <w:rPr>
                      <w:b w:val="0"/>
                      <w:bCs w:val="0"/>
                      <w:noProof/>
                    </w:rPr>
                    <w:t>Review the need for transfusion. Do the benefits outweigh the risks?</w:t>
                  </w:r>
                </w:p>
                <w:p w14:paraId="5979ABCA" w14:textId="5D28723E" w:rsidR="00D565C7" w:rsidRPr="00835A38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2"/>
                    </w:numPr>
                    <w:spacing w:after="60"/>
                    <w:ind w:left="357" w:hanging="357"/>
                    <w:suppressOverlap/>
                    <w:rPr>
                      <w:b w:val="0"/>
                      <w:bCs w:val="0"/>
                      <w:noProof/>
                    </w:rPr>
                  </w:pPr>
                  <w:r w:rsidRPr="00835A38">
                    <w:rPr>
                      <w:b w:val="0"/>
                      <w:bCs w:val="0"/>
                      <w:noProof/>
                    </w:rPr>
                    <w:t>Single unit transfusion</w:t>
                  </w:r>
                  <w:r w:rsidR="00CA757B">
                    <w:rPr>
                      <w:b w:val="0"/>
                      <w:bCs w:val="0"/>
                      <w:noProof/>
                    </w:rPr>
                    <w:t xml:space="preserve"> in stable non-bleeding adult inpatients followed by re-assessment of clinical need for further transfusion</w:t>
                  </w:r>
                </w:p>
                <w:p w14:paraId="2BC04C76" w14:textId="77777777" w:rsidR="00D565C7" w:rsidRPr="00835A38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2"/>
                    </w:numPr>
                    <w:spacing w:after="60"/>
                    <w:ind w:left="357" w:hanging="357"/>
                    <w:suppressOverlap/>
                    <w:rPr>
                      <w:b w:val="0"/>
                      <w:bCs w:val="0"/>
                      <w:noProof/>
                    </w:rPr>
                  </w:pPr>
                  <w:r w:rsidRPr="00835A38">
                    <w:rPr>
                      <w:b w:val="0"/>
                      <w:bCs w:val="0"/>
                      <w:noProof/>
                    </w:rPr>
                    <w:t>Measure and monitor fluid balance, vital signs and symptoms of overload during and post transfusion</w:t>
                  </w:r>
                </w:p>
                <w:p w14:paraId="0B4209CF" w14:textId="77777777" w:rsidR="00D565C7" w:rsidRPr="00835A38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2"/>
                    </w:numPr>
                    <w:spacing w:after="60"/>
                    <w:ind w:left="357" w:hanging="357"/>
                    <w:suppressOverlap/>
                    <w:rPr>
                      <w:b w:val="0"/>
                      <w:bCs w:val="0"/>
                      <w:noProof/>
                    </w:rPr>
                  </w:pPr>
                  <w:r w:rsidRPr="00835A38">
                    <w:rPr>
                      <w:b w:val="0"/>
                      <w:bCs w:val="0"/>
                      <w:noProof/>
                    </w:rPr>
                    <w:t>Consider prophylactic diuretics where appropriate and not contraindicated</w:t>
                  </w:r>
                </w:p>
                <w:p w14:paraId="7F7F13DA" w14:textId="77777777" w:rsidR="00D565C7" w:rsidRPr="00835A38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2"/>
                    </w:numPr>
                    <w:spacing w:after="60"/>
                    <w:ind w:left="357" w:hanging="357"/>
                    <w:suppressOverlap/>
                    <w:rPr>
                      <w:b w:val="0"/>
                      <w:bCs w:val="0"/>
                      <w:noProof/>
                    </w:rPr>
                  </w:pPr>
                  <w:r w:rsidRPr="00835A38">
                    <w:rPr>
                      <w:b w:val="0"/>
                      <w:bCs w:val="0"/>
                      <w:noProof/>
                    </w:rPr>
                    <w:t>Slow transfusion rate (maximum duration 4-hours)</w:t>
                  </w:r>
                </w:p>
                <w:p w14:paraId="4929813D" w14:textId="77777777" w:rsidR="00D565C7" w:rsidRPr="00835A38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2"/>
                    </w:numPr>
                    <w:spacing w:after="60"/>
                    <w:ind w:left="357" w:hanging="357"/>
                    <w:suppressOverlap/>
                  </w:pPr>
                  <w:r w:rsidRPr="00835A38">
                    <w:rPr>
                      <w:b w:val="0"/>
                      <w:bCs w:val="0"/>
                      <w:noProof/>
                    </w:rPr>
                    <w:t xml:space="preserve">Body weight dosing of red blood cells particularly for infants, children and those with low body weight                                           </w:t>
                  </w:r>
                </w:p>
                <w:p w14:paraId="584FE27E" w14:textId="77777777" w:rsidR="00D565C7" w:rsidRDefault="00D565C7" w:rsidP="00CC69BE">
                  <w:pPr>
                    <w:pStyle w:val="Bannermarking"/>
                    <w:framePr w:hSpace="180" w:wrap="around" w:vAnchor="text" w:hAnchor="text" w:y="1"/>
                    <w:suppressOverlap/>
                  </w:pPr>
                  <w:r>
                    <w:rPr>
                      <w:b w:val="0"/>
                      <w:bCs w:val="0"/>
                      <w:noProof/>
                    </w:rPr>
                    <w:t xml:space="preserve">                                                                 </w:t>
                  </w:r>
                  <w:r w:rsidRPr="00835A38">
                    <w:rPr>
                      <w:b w:val="0"/>
                      <w:bCs w:val="0"/>
                      <w:noProof/>
                    </w:rPr>
                    <w:t xml:space="preserve">                                     </w:t>
                  </w:r>
                </w:p>
              </w:tc>
            </w:tr>
            <w:tr w:rsidR="00D565C7" w14:paraId="51773A99" w14:textId="77777777">
              <w:tc>
                <w:tcPr>
                  <w:tcW w:w="7510" w:type="dxa"/>
                  <w:shd w:val="clear" w:color="auto" w:fill="C00000"/>
                </w:tcPr>
                <w:p w14:paraId="19B7DCF1" w14:textId="77777777" w:rsidR="00D565C7" w:rsidRPr="003F5ACE" w:rsidRDefault="00D565C7" w:rsidP="00CC69BE">
                  <w:pPr>
                    <w:pStyle w:val="Heading2"/>
                    <w:framePr w:hSpace="180" w:wrap="around" w:vAnchor="text" w:hAnchor="text" w:y="1"/>
                    <w:spacing w:before="120" w:after="0"/>
                    <w:suppressOverlap/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F5ACE">
                    <w:rPr>
                      <w:color w:val="FFFFFF" w:themeColor="background1"/>
                    </w:rPr>
                    <w:t xml:space="preserve">Monitoring: </w:t>
                  </w:r>
                  <w:r w:rsidRPr="003F5ACE"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  <w:t>what to watch for:</w:t>
                  </w:r>
                </w:p>
              </w:tc>
              <w:tc>
                <w:tcPr>
                  <w:tcW w:w="7511" w:type="dxa"/>
                  <w:shd w:val="clear" w:color="auto" w:fill="C00000"/>
                </w:tcPr>
                <w:p w14:paraId="3DA3D6E1" w14:textId="77777777" w:rsidR="00D565C7" w:rsidRPr="003F5ACE" w:rsidRDefault="00D565C7" w:rsidP="00CC69BE">
                  <w:pPr>
                    <w:pStyle w:val="Heading2"/>
                    <w:framePr w:hSpace="180" w:wrap="around" w:vAnchor="text" w:hAnchor="text" w:y="1"/>
                    <w:spacing w:before="120" w:after="0"/>
                    <w:suppressOverlap/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F5ACE">
                    <w:rPr>
                      <w:color w:val="FFFFFF" w:themeColor="background1"/>
                    </w:rPr>
                    <w:t xml:space="preserve">Treatment: </w:t>
                  </w:r>
                  <w:r w:rsidRPr="003F5ACE">
                    <w:rPr>
                      <w:b w:val="0"/>
                      <w:bCs/>
                      <w:color w:val="FFFFFF" w:themeColor="background1"/>
                      <w:sz w:val="22"/>
                      <w:szCs w:val="22"/>
                    </w:rPr>
                    <w:t>if TACO is suspected:</w:t>
                  </w:r>
                </w:p>
              </w:tc>
            </w:tr>
            <w:tr w:rsidR="00D565C7" w14:paraId="0515B143" w14:textId="77777777">
              <w:trPr>
                <w:trHeight w:val="2218"/>
              </w:trPr>
              <w:tc>
                <w:tcPr>
                  <w:tcW w:w="7510" w:type="dxa"/>
                </w:tcPr>
                <w:p w14:paraId="660FD6A6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4"/>
                    </w:numPr>
                    <w:spacing w:after="60"/>
                    <w:suppressOverlap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2331A56" wp14:editId="3D862544">
                        <wp:simplePos x="0" y="0"/>
                        <wp:positionH relativeFrom="column">
                          <wp:posOffset>3426460</wp:posOffset>
                        </wp:positionH>
                        <wp:positionV relativeFrom="paragraph">
                          <wp:posOffset>233045</wp:posOffset>
                        </wp:positionV>
                        <wp:extent cx="959485" cy="959485"/>
                        <wp:effectExtent l="0" t="0" r="0" b="0"/>
                        <wp:wrapNone/>
                        <wp:docPr id="215139885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9485" cy="9594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t xml:space="preserve">Dyspnoea, shortness of breath      </w:t>
                  </w:r>
                </w:p>
                <w:p w14:paraId="08AA7AB2" w14:textId="77777777" w:rsidR="00D565C7" w:rsidRPr="005D6EF6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3"/>
                    </w:numPr>
                    <w:spacing w:after="60"/>
                    <w:suppressOverlap/>
                    <w:rPr>
                      <w:b w:val="0"/>
                      <w:bCs w:val="0"/>
                    </w:rPr>
                  </w:pPr>
                  <w:r w:rsidRPr="005D6EF6">
                    <w:rPr>
                      <w:b w:val="0"/>
                      <w:bCs w:val="0"/>
                    </w:rPr>
                    <w:t>Tachycardia, hypertension</w:t>
                  </w:r>
                </w:p>
                <w:p w14:paraId="0F31B0B8" w14:textId="77777777" w:rsidR="00D565C7" w:rsidRPr="005D6EF6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3"/>
                    </w:numPr>
                    <w:spacing w:after="60"/>
                    <w:suppressOverlap/>
                    <w:rPr>
                      <w:b w:val="0"/>
                      <w:bCs w:val="0"/>
                    </w:rPr>
                  </w:pPr>
                  <w:r w:rsidRPr="005D6EF6">
                    <w:rPr>
                      <w:b w:val="0"/>
                      <w:bCs w:val="0"/>
                    </w:rPr>
                    <w:t>Cyanosis</w:t>
                  </w:r>
                </w:p>
                <w:p w14:paraId="00554336" w14:textId="77777777" w:rsidR="00D565C7" w:rsidRPr="0018360B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3"/>
                    </w:numPr>
                    <w:spacing w:after="60"/>
                    <w:suppressOverlap/>
                    <w:rPr>
                      <w:b w:val="0"/>
                      <w:bCs w:val="0"/>
                    </w:rPr>
                  </w:pPr>
                  <w:r w:rsidRPr="005D6EF6">
                    <w:rPr>
                      <w:b w:val="0"/>
                      <w:bCs w:val="0"/>
                    </w:rPr>
                    <w:t>Chest tightnes</w:t>
                  </w:r>
                  <w:r w:rsidRPr="0018360B">
                    <w:rPr>
                      <w:b w:val="0"/>
                      <w:bCs w:val="0"/>
                    </w:rPr>
                    <w:t>s</w:t>
                  </w:r>
                </w:p>
                <w:p w14:paraId="62002337" w14:textId="77777777" w:rsidR="00D565C7" w:rsidRPr="0018360B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3"/>
                    </w:numPr>
                    <w:spacing w:after="60"/>
                    <w:suppressOverlap/>
                    <w:rPr>
                      <w:b w:val="0"/>
                      <w:bCs w:val="0"/>
                    </w:rPr>
                  </w:pPr>
                  <w:r w:rsidRPr="0018360B">
                    <w:rPr>
                      <w:b w:val="0"/>
                      <w:bCs w:val="0"/>
                    </w:rPr>
                    <w:t>Pedal oedema, positive fluid balance</w:t>
                  </w:r>
                </w:p>
                <w:p w14:paraId="3A53E274" w14:textId="77777777" w:rsidR="00D565C7" w:rsidRPr="00962E47" w:rsidRDefault="00D565C7" w:rsidP="00CC69BE">
                  <w:pPr>
                    <w:pStyle w:val="Bannermarking"/>
                    <w:framePr w:hSpace="180" w:wrap="around" w:vAnchor="text" w:hAnchor="text" w:y="1"/>
                    <w:numPr>
                      <w:ilvl w:val="0"/>
                      <w:numId w:val="43"/>
                    </w:numPr>
                    <w:spacing w:after="60"/>
                    <w:suppressOverlap/>
                    <w:rPr>
                      <w:b w:val="0"/>
                      <w:bCs w:val="0"/>
                    </w:rPr>
                  </w:pPr>
                  <w:r w:rsidRPr="0018360B">
                    <w:rPr>
                      <w:b w:val="0"/>
                      <w:bCs w:val="0"/>
                    </w:rPr>
                    <w:t>Dry cough or pink frothy sputum</w:t>
                  </w:r>
                </w:p>
              </w:tc>
              <w:tc>
                <w:tcPr>
                  <w:tcW w:w="7511" w:type="dxa"/>
                </w:tcPr>
                <w:p w14:paraId="3F234C77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5"/>
                    </w:numPr>
                    <w:spacing w:after="60"/>
                    <w:ind w:left="714" w:hanging="357"/>
                    <w:suppressOverlap/>
                  </w:pPr>
                  <w:r>
                    <w:t>STOP the transfusion</w:t>
                  </w:r>
                </w:p>
                <w:p w14:paraId="48394048" w14:textId="77777777" w:rsidR="00D565C7" w:rsidRPr="00962E4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5"/>
                    </w:numPr>
                    <w:spacing w:after="60"/>
                    <w:ind w:left="714" w:hanging="357"/>
                    <w:suppressOverlap/>
                  </w:pPr>
                  <w:r>
                    <w:t xml:space="preserve">Contact </w:t>
                  </w:r>
                  <w:r w:rsidRPr="00962E47">
                    <w:t>the medical officer; emergency call if criteria met</w:t>
                  </w:r>
                </w:p>
                <w:p w14:paraId="5763D5D5" w14:textId="06362E36" w:rsidR="00D565C7" w:rsidRPr="00962E4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5"/>
                    </w:numPr>
                    <w:spacing w:after="60"/>
                    <w:ind w:left="714" w:hanging="357"/>
                    <w:suppressOverlap/>
                  </w:pPr>
                  <w:r w:rsidRPr="00962E47">
                    <w:t xml:space="preserve">Assess the patient, vital signs, </w:t>
                  </w:r>
                  <w:r w:rsidR="00977C4A">
                    <w:t>c</w:t>
                  </w:r>
                  <w:r w:rsidRPr="00962E47">
                    <w:t>hest X-ray</w:t>
                  </w:r>
                </w:p>
                <w:p w14:paraId="2C0F37C1" w14:textId="77777777" w:rsidR="00D565C7" w:rsidRPr="00962E4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5"/>
                    </w:numPr>
                    <w:spacing w:after="60"/>
                    <w:ind w:left="714" w:hanging="357"/>
                    <w:suppressOverlap/>
                  </w:pPr>
                  <w:r w:rsidRPr="00962E47">
                    <w:t>Treat the patient. This may include respiratory support, diuretics</w:t>
                  </w:r>
                </w:p>
                <w:p w14:paraId="5EDAA5C0" w14:textId="77777777" w:rsidR="00D565C7" w:rsidRDefault="00D565C7" w:rsidP="00CC69BE">
                  <w:pPr>
                    <w:pStyle w:val="Body"/>
                    <w:framePr w:hSpace="180" w:wrap="around" w:vAnchor="text" w:hAnchor="text" w:y="1"/>
                    <w:numPr>
                      <w:ilvl w:val="0"/>
                      <w:numId w:val="45"/>
                    </w:numPr>
                    <w:spacing w:after="60"/>
                    <w:ind w:left="714" w:hanging="357"/>
                    <w:suppressOverlap/>
                  </w:pPr>
                  <w:r w:rsidRPr="00962E47">
                    <w:t>Report via usual hospital processes for a transfusion reaction and to STIR if appropriate</w:t>
                  </w:r>
                  <w:r w:rsidRPr="00962E47">
                    <w:rPr>
                      <w:noProof/>
                    </w:rPr>
                    <w:t xml:space="preserve">                                                                                     </w:t>
                  </w:r>
                </w:p>
              </w:tc>
            </w:tr>
          </w:tbl>
          <w:p w14:paraId="2C3E0A25" w14:textId="77777777" w:rsidR="00D565C7" w:rsidRDefault="00D565C7" w:rsidP="00D565C7">
            <w:pPr>
              <w:pStyle w:val="Bannermarking"/>
            </w:pPr>
            <w:r>
              <w:lastRenderedPageBreak/>
              <w:t xml:space="preserve">    </w:t>
            </w:r>
          </w:p>
          <w:p w14:paraId="6317E6C2" w14:textId="77777777" w:rsidR="00D565C7" w:rsidRPr="00250DC4" w:rsidRDefault="00D565C7" w:rsidP="00D565C7">
            <w:pPr>
              <w:pStyle w:val="Bannermarking"/>
            </w:pPr>
          </w:p>
        </w:tc>
      </w:tr>
      <w:bookmarkEnd w:id="0"/>
      <w:bookmarkEnd w:id="1"/>
    </w:tbl>
    <w:p w14:paraId="341398F6" w14:textId="77777777" w:rsidR="00F32368" w:rsidRPr="00F32368" w:rsidRDefault="00F32368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0E915D89" w14:textId="77777777" w:rsidTr="00502603">
        <w:tc>
          <w:tcPr>
            <w:tcW w:w="15163" w:type="dxa"/>
          </w:tcPr>
          <w:p w14:paraId="6EDFD3C8" w14:textId="63BFCEF7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E20B1C">
              <w:t>03 9694 0102</w:t>
            </w:r>
            <w:r w:rsidRPr="0055119B">
              <w:t xml:space="preserve">, using the National Relay Service 13 36 77 if required, or email </w:t>
            </w:r>
            <w:r w:rsidR="00E20B1C">
              <w:rPr>
                <w:color w:val="004C97"/>
              </w:rPr>
              <w:t xml:space="preserve">Blood Matters </w:t>
            </w:r>
            <w:r w:rsidRPr="0055119B">
              <w:t>&lt;</w:t>
            </w:r>
            <w:r w:rsidR="00E20B1C" w:rsidRPr="00E20B1C">
              <w:t>bloodmatters@redcrossblood.org.au</w:t>
            </w:r>
            <w:r w:rsidRPr="0055119B">
              <w:t>&gt;.</w:t>
            </w:r>
          </w:p>
          <w:p w14:paraId="1BCC90C3" w14:textId="77777777" w:rsidR="00FD2A22" w:rsidRDefault="0055119B" w:rsidP="00C975C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1DA56B2" w14:textId="6FEA3A70" w:rsidR="00FD2A22" w:rsidRDefault="0055119B" w:rsidP="00C975C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Pr="0055119B">
              <w:t xml:space="preserve">, </w:t>
            </w:r>
            <w:r w:rsidR="00E20B1C">
              <w:t>March 2026</w:t>
            </w:r>
            <w:r w:rsidRPr="0055119B">
              <w:t>.</w:t>
            </w:r>
            <w:bookmarkStart w:id="3" w:name="_Hlk62746129"/>
          </w:p>
          <w:p w14:paraId="3A40F88F" w14:textId="6BD0188A" w:rsidR="00FD2A22" w:rsidRDefault="00115B09" w:rsidP="00C975CA">
            <w:pPr>
              <w:pStyle w:val="Imprint"/>
            </w:pPr>
            <w:r w:rsidRPr="00115B09">
              <w:rPr>
                <w:b/>
                <w:bCs/>
              </w:rPr>
              <w:t>ISBN </w:t>
            </w:r>
            <w:r w:rsidRPr="00115B09">
              <w:t>978-1-76131-982-2 (</w:t>
            </w:r>
            <w:r w:rsidRPr="00115B09">
              <w:rPr>
                <w:b/>
                <w:bCs/>
              </w:rPr>
              <w:t>pdf/online/MS word)</w:t>
            </w:r>
            <w:r w:rsidR="0055119B" w:rsidRPr="0055119B">
              <w:t xml:space="preserve"> or (print)</w:t>
            </w:r>
          </w:p>
          <w:p w14:paraId="47832E3B" w14:textId="6BC50780" w:rsidR="0055119B" w:rsidRDefault="0055119B" w:rsidP="00C975CA">
            <w:pPr>
              <w:pStyle w:val="Imprint"/>
            </w:pPr>
            <w:r w:rsidRPr="0055119B">
              <w:t xml:space="preserve">Available at </w:t>
            </w:r>
            <w:r w:rsidR="00E20B1C">
              <w:rPr>
                <w:color w:val="004C97"/>
              </w:rPr>
              <w:t xml:space="preserve">Blood Matters </w:t>
            </w:r>
            <w:r w:rsidRPr="0055119B">
              <w:t>&lt;</w:t>
            </w:r>
            <w:r w:rsidR="00E20B1C" w:rsidRPr="00E20B1C">
              <w:t>https://www.health.vic.gov.au/patient-care/blood-matters-progra</w:t>
            </w:r>
            <w:r w:rsidR="00E20B1C">
              <w:t>m</w:t>
            </w:r>
            <w:r w:rsidRPr="0055119B">
              <w:t>&gt;</w:t>
            </w:r>
            <w:bookmarkEnd w:id="3"/>
          </w:p>
        </w:tc>
      </w:tr>
      <w:bookmarkEnd w:id="2"/>
    </w:tbl>
    <w:p w14:paraId="79BE0AE9" w14:textId="77777777" w:rsidR="00162CA9" w:rsidRDefault="00162CA9" w:rsidP="00162CA9">
      <w:pPr>
        <w:pStyle w:val="Body"/>
      </w:pPr>
    </w:p>
    <w:sectPr w:rsidR="00162CA9" w:rsidSect="00B54B69">
      <w:footerReference w:type="default" r:id="rId17"/>
      <w:type w:val="continuous"/>
      <w:pgSz w:w="16838" w:h="11906" w:orient="landscape" w:code="9"/>
      <w:pgMar w:top="1418" w:right="851" w:bottom="1701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9E9A" w14:textId="77777777" w:rsidR="00342A67" w:rsidRDefault="00342A67">
      <w:r>
        <w:separator/>
      </w:r>
    </w:p>
    <w:p w14:paraId="0CC3877D" w14:textId="77777777" w:rsidR="00342A67" w:rsidRDefault="00342A67"/>
  </w:endnote>
  <w:endnote w:type="continuationSeparator" w:id="0">
    <w:p w14:paraId="39D0031F" w14:textId="77777777" w:rsidR="00342A67" w:rsidRDefault="00342A67">
      <w:r>
        <w:continuationSeparator/>
      </w:r>
    </w:p>
    <w:p w14:paraId="7C147C52" w14:textId="77777777" w:rsidR="00342A67" w:rsidRDefault="00342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4FA2" w14:textId="77777777" w:rsidR="00E261B3" w:rsidRPr="00F65AA9" w:rsidRDefault="00B5606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0256" behindDoc="1" locked="1" layoutInCell="1" allowOverlap="1" wp14:anchorId="453DDC41" wp14:editId="71377630">
          <wp:simplePos x="0" y="0"/>
          <wp:positionH relativeFrom="page">
            <wp:posOffset>0</wp:posOffset>
          </wp:positionH>
          <wp:positionV relativeFrom="page">
            <wp:posOffset>6348095</wp:posOffset>
          </wp:positionV>
          <wp:extent cx="10687685" cy="12045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120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7BE01B3" wp14:editId="4F543061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161B64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E01B3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7F161B64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2760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6BD0D8EB" wp14:editId="461EADDA">
              <wp:simplePos x="0" y="0"/>
              <wp:positionH relativeFrom="page">
                <wp:posOffset>0</wp:posOffset>
              </wp:positionH>
              <wp:positionV relativeFrom="page">
                <wp:posOffset>7057866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EC877E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0D8EB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5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ebuk3gAAAAsBAAAPAAAAAAAAAAAAAAAAAHAEAABkcnMvZG93bnJldi54bWxQSwUGAAAA&#10;AAQABADzAAAAewUAAAAA&#10;" o:allowincell="f" filled="f" stroked="f" strokeweight=".5pt">
              <v:textbox inset=",0,,0">
                <w:txbxContent>
                  <w:p w14:paraId="5BEC877E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EB75" w14:textId="77777777" w:rsidR="00C3696F" w:rsidRPr="00F65AA9" w:rsidRDefault="00F452E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2304" behindDoc="1" locked="1" layoutInCell="1" allowOverlap="1" wp14:anchorId="22004F0D" wp14:editId="00E56AD0">
          <wp:simplePos x="0" y="0"/>
          <wp:positionH relativeFrom="page">
            <wp:posOffset>8890</wp:posOffset>
          </wp:positionH>
          <wp:positionV relativeFrom="page">
            <wp:posOffset>6343650</wp:posOffset>
          </wp:positionV>
          <wp:extent cx="10687685" cy="1204595"/>
          <wp:effectExtent l="0" t="0" r="0" b="0"/>
          <wp:wrapNone/>
          <wp:docPr id="1157417949" name="Picture 1157417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120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7C3F4CCE" wp14:editId="2372713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F49DE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F4CCE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334F49DE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F0F0" w14:textId="77777777" w:rsidR="00342A67" w:rsidRDefault="00342A67" w:rsidP="00207717">
      <w:pPr>
        <w:spacing w:before="120"/>
      </w:pPr>
      <w:r>
        <w:separator/>
      </w:r>
    </w:p>
  </w:footnote>
  <w:footnote w:type="continuationSeparator" w:id="0">
    <w:p w14:paraId="2B2AEE99" w14:textId="77777777" w:rsidR="00342A67" w:rsidRDefault="00342A67">
      <w:r>
        <w:continuationSeparator/>
      </w:r>
    </w:p>
    <w:p w14:paraId="29103ABA" w14:textId="77777777" w:rsidR="00342A67" w:rsidRDefault="00342A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BF64" w14:textId="77777777" w:rsidR="00FC1C3C" w:rsidRDefault="00FC1C3C" w:rsidP="00EF2C72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A797B2E"/>
    <w:multiLevelType w:val="hybridMultilevel"/>
    <w:tmpl w:val="EADC7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FD3204DC"/>
    <w:numStyleLink w:val="ZZNumbersdigit"/>
  </w:abstractNum>
  <w:abstractNum w:abstractNumId="15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C0A10DA"/>
    <w:multiLevelType w:val="hybridMultilevel"/>
    <w:tmpl w:val="65C6C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70726"/>
    <w:multiLevelType w:val="hybridMultilevel"/>
    <w:tmpl w:val="DEE82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F17EB"/>
    <w:multiLevelType w:val="hybridMultilevel"/>
    <w:tmpl w:val="7C648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0F2623"/>
    <w:multiLevelType w:val="hybridMultilevel"/>
    <w:tmpl w:val="30325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7897046">
    <w:abstractNumId w:val="10"/>
  </w:num>
  <w:num w:numId="2" w16cid:durableId="699670992">
    <w:abstractNumId w:val="21"/>
  </w:num>
  <w:num w:numId="3" w16cid:durableId="1132669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902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4903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99961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2192329">
    <w:abstractNumId w:val="25"/>
  </w:num>
  <w:num w:numId="8" w16cid:durableId="1913277198">
    <w:abstractNumId w:val="20"/>
  </w:num>
  <w:num w:numId="9" w16cid:durableId="1335571572">
    <w:abstractNumId w:val="24"/>
  </w:num>
  <w:num w:numId="10" w16cid:durableId="1701710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4428328">
    <w:abstractNumId w:val="26"/>
  </w:num>
  <w:num w:numId="12" w16cid:durableId="12730521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7311643">
    <w:abstractNumId w:val="22"/>
  </w:num>
  <w:num w:numId="14" w16cid:durableId="1420565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988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2691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6424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0168475">
    <w:abstractNumId w:val="29"/>
  </w:num>
  <w:num w:numId="19" w16cid:durableId="8639030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6633108">
    <w:abstractNumId w:val="15"/>
  </w:num>
  <w:num w:numId="21" w16cid:durableId="1055395766">
    <w:abstractNumId w:val="12"/>
  </w:num>
  <w:num w:numId="22" w16cid:durableId="1321495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1321118">
    <w:abstractNumId w:val="17"/>
  </w:num>
  <w:num w:numId="24" w16cid:durableId="924725558">
    <w:abstractNumId w:val="30"/>
  </w:num>
  <w:num w:numId="25" w16cid:durableId="106589353">
    <w:abstractNumId w:val="28"/>
  </w:num>
  <w:num w:numId="26" w16cid:durableId="180708425">
    <w:abstractNumId w:val="23"/>
  </w:num>
  <w:num w:numId="27" w16cid:durableId="1305156212">
    <w:abstractNumId w:val="11"/>
  </w:num>
  <w:num w:numId="28" w16cid:durableId="1041714045">
    <w:abstractNumId w:val="31"/>
  </w:num>
  <w:num w:numId="29" w16cid:durableId="1894348372">
    <w:abstractNumId w:val="9"/>
  </w:num>
  <w:num w:numId="30" w16cid:durableId="2113159631">
    <w:abstractNumId w:val="7"/>
  </w:num>
  <w:num w:numId="31" w16cid:durableId="528572383">
    <w:abstractNumId w:val="6"/>
  </w:num>
  <w:num w:numId="32" w16cid:durableId="512887431">
    <w:abstractNumId w:val="5"/>
  </w:num>
  <w:num w:numId="33" w16cid:durableId="1205824034">
    <w:abstractNumId w:val="4"/>
  </w:num>
  <w:num w:numId="34" w16cid:durableId="1695959092">
    <w:abstractNumId w:val="8"/>
  </w:num>
  <w:num w:numId="35" w16cid:durableId="1585458836">
    <w:abstractNumId w:val="3"/>
  </w:num>
  <w:num w:numId="36" w16cid:durableId="877164109">
    <w:abstractNumId w:val="2"/>
  </w:num>
  <w:num w:numId="37" w16cid:durableId="1436754045">
    <w:abstractNumId w:val="1"/>
  </w:num>
  <w:num w:numId="38" w16cid:durableId="1991860099">
    <w:abstractNumId w:val="0"/>
  </w:num>
  <w:num w:numId="39" w16cid:durableId="11063874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5454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0489923">
    <w:abstractNumId w:val="13"/>
  </w:num>
  <w:num w:numId="42" w16cid:durableId="1241060558">
    <w:abstractNumId w:val="27"/>
  </w:num>
  <w:num w:numId="43" w16cid:durableId="933588880">
    <w:abstractNumId w:val="19"/>
  </w:num>
  <w:num w:numId="44" w16cid:durableId="759178296">
    <w:abstractNumId w:val="18"/>
  </w:num>
  <w:num w:numId="45" w16cid:durableId="142233146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C7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3508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335D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5B09"/>
    <w:rsid w:val="00120BD3"/>
    <w:rsid w:val="00122FEA"/>
    <w:rsid w:val="001232BD"/>
    <w:rsid w:val="00124ED5"/>
    <w:rsid w:val="001276FA"/>
    <w:rsid w:val="001447B3"/>
    <w:rsid w:val="001514BC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F40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6575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2D8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3F06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2A67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021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0828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A31"/>
    <w:rsid w:val="004E5C2B"/>
    <w:rsid w:val="004F00DD"/>
    <w:rsid w:val="004F2133"/>
    <w:rsid w:val="004F251B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512A0"/>
    <w:rsid w:val="00561202"/>
    <w:rsid w:val="00572031"/>
    <w:rsid w:val="00572282"/>
    <w:rsid w:val="00573CE3"/>
    <w:rsid w:val="00575715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93A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1BA1"/>
    <w:rsid w:val="00644B1F"/>
    <w:rsid w:val="00644B7E"/>
    <w:rsid w:val="00645487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3C56"/>
    <w:rsid w:val="006B077C"/>
    <w:rsid w:val="006B16AF"/>
    <w:rsid w:val="006B6803"/>
    <w:rsid w:val="006D0F16"/>
    <w:rsid w:val="006D2A3F"/>
    <w:rsid w:val="006D2FBC"/>
    <w:rsid w:val="006E138B"/>
    <w:rsid w:val="006E1867"/>
    <w:rsid w:val="006E3DE6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3D2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9EA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131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0CD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77C4A"/>
    <w:rsid w:val="00982454"/>
    <w:rsid w:val="00982CF0"/>
    <w:rsid w:val="009853E1"/>
    <w:rsid w:val="00986E6B"/>
    <w:rsid w:val="00990032"/>
    <w:rsid w:val="00990B19"/>
    <w:rsid w:val="0099153B"/>
    <w:rsid w:val="00991769"/>
    <w:rsid w:val="009917BE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6BAB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4B69"/>
    <w:rsid w:val="00B5606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813F8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57B"/>
    <w:rsid w:val="00CA782F"/>
    <w:rsid w:val="00CB187B"/>
    <w:rsid w:val="00CB2835"/>
    <w:rsid w:val="00CB3285"/>
    <w:rsid w:val="00CB4500"/>
    <w:rsid w:val="00CB4E86"/>
    <w:rsid w:val="00CC0C72"/>
    <w:rsid w:val="00CC2BFD"/>
    <w:rsid w:val="00CC69BE"/>
    <w:rsid w:val="00CD3476"/>
    <w:rsid w:val="00CD64DF"/>
    <w:rsid w:val="00CD6E39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5C7"/>
    <w:rsid w:val="00D56B20"/>
    <w:rsid w:val="00D578B3"/>
    <w:rsid w:val="00D618F4"/>
    <w:rsid w:val="00D714CC"/>
    <w:rsid w:val="00D75EA7"/>
    <w:rsid w:val="00D81ADF"/>
    <w:rsid w:val="00D81F21"/>
    <w:rsid w:val="00D864F2"/>
    <w:rsid w:val="00D87CC5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2C"/>
    <w:rsid w:val="00DB52FB"/>
    <w:rsid w:val="00DB55C3"/>
    <w:rsid w:val="00DB5F0D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B75"/>
    <w:rsid w:val="00E11332"/>
    <w:rsid w:val="00E11352"/>
    <w:rsid w:val="00E152DE"/>
    <w:rsid w:val="00E15C1C"/>
    <w:rsid w:val="00E170DC"/>
    <w:rsid w:val="00E17546"/>
    <w:rsid w:val="00E20B1C"/>
    <w:rsid w:val="00E210B5"/>
    <w:rsid w:val="00E24CD4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12F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2EF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000E"/>
    <w:rsid w:val="00F815B5"/>
    <w:rsid w:val="00F85195"/>
    <w:rsid w:val="00F868E3"/>
    <w:rsid w:val="00F90E35"/>
    <w:rsid w:val="00F938BA"/>
    <w:rsid w:val="00F97919"/>
    <w:rsid w:val="00FA2C46"/>
    <w:rsid w:val="00FA3525"/>
    <w:rsid w:val="00FA5A53"/>
    <w:rsid w:val="00FA7658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08D24"/>
  <w15:docId w15:val="{1E5D0206-9BB6-4F8E-98E3-396BB767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D6E39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D6E39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D6E39"/>
    <w:pPr>
      <w:spacing w:after="80" w:line="460" w:lineRule="atLeast"/>
    </w:pPr>
    <w:rPr>
      <w:rFonts w:ascii="Arial" w:hAnsi="Arial"/>
      <w:b/>
      <w:color w:val="AF272F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CD6E39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72"/>
    <w:semiHidden/>
    <w:qFormat/>
    <w:rsid w:val="00D5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Branding_templates\Updated%20templates%20September%202025\Updated%20templates%20September%202025\04.%20Blood%20Matters%20DH%20red%20factsheet%20landscape_updated%20logo%20v02%20(00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DD49C0BE1444B83DF12418F9F53CA" ma:contentTypeVersion="16" ma:contentTypeDescription="Create a new document." ma:contentTypeScope="" ma:versionID="703c1ef92f5b52a0f5a270828a8824a2">
  <xsd:schema xmlns:xsd="http://www.w3.org/2001/XMLSchema" xmlns:xs="http://www.w3.org/2001/XMLSchema" xmlns:p="http://schemas.microsoft.com/office/2006/metadata/properties" xmlns:ns2="2c6ffb12-904d-4970-9435-acd0dfb37620" xmlns:ns3="e4a8e1e8-b23e-4b0b-a39d-2e39c029802e" targetNamespace="http://schemas.microsoft.com/office/2006/metadata/properties" ma:root="true" ma:fieldsID="2822835e12eff9f5b0a182e8d8bf7267" ns2:_="" ns3:_="">
    <xsd:import namespace="2c6ffb12-904d-4970-9435-acd0dfb37620"/>
    <xsd:import namespace="e4a8e1e8-b23e-4b0b-a39d-2e39c0298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fb12-904d-4970-9435-acd0dfb37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e1e8-b23e-4b0b-a39d-2e39c0298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ffb12-904d-4970-9435-acd0dfb37620">
      <Terms xmlns="http://schemas.microsoft.com/office/infopath/2007/PartnerControls"/>
    </lcf76f155ced4ddcb4097134ff3c332f>
    <Image xmlns="2c6ffb12-904d-4970-9435-acd0dfb37620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971AE-F4BC-42A1-BDE0-B133B99CA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ffb12-904d-4970-9435-acd0dfb37620"/>
    <ds:schemaRef ds:uri="e4a8e1e8-b23e-4b0b-a39d-2e39c029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2c6ffb12-904d-4970-9435-acd0dfb37620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4a8e1e8-b23e-4b0b-a39d-2e39c029802e"/>
  </ds:schemaRefs>
</ds:datastoreItem>
</file>

<file path=docMetadata/LabelInfo.xml><?xml version="1.0" encoding="utf-8"?>
<clbl:labelList xmlns:clbl="http://schemas.microsoft.com/office/2020/mipLabelMetadata">
  <clbl:label id="{58f254b8-0620-4a87-9f76-fe68b7426d72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04. Blood Matters DH red factsheet landscape_updated logo v02 (004).dotx</Template>
  <TotalTime>3</TotalTime>
  <Pages>2</Pages>
  <Words>291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 landscape</vt:lpstr>
    </vt:vector>
  </TitlesOfParts>
  <Manager/>
  <Company>Victoria State Government, Department of Health, Blood Matters</Company>
  <LinksUpToDate>false</LinksUpToDate>
  <CharactersWithSpaces>2554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 checklist poster</dc:title>
  <dc:subject/>
  <dc:creator>Bloodmatters@redcrossblood.org.au</dc:creator>
  <cp:keywords>Transfusion, circulatory overload, blood, TACO</cp:keywords>
  <dc:description/>
  <cp:lastModifiedBy>Kaylene Bastin</cp:lastModifiedBy>
  <cp:revision>3</cp:revision>
  <cp:lastPrinted>2026-05-04T03:17:00Z</cp:lastPrinted>
  <dcterms:created xsi:type="dcterms:W3CDTF">2026-05-03T23:27:00Z</dcterms:created>
  <dcterms:modified xsi:type="dcterms:W3CDTF">2026-05-04T03:17:00Z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0x0101001EFDD49C0BE1444B83DF12418F9F53CA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