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2434" w14:textId="77777777" w:rsidR="00056EC4" w:rsidRDefault="00E9042A" w:rsidP="00056EC4">
      <w:pPr>
        <w:pStyle w:val="Body"/>
      </w:pPr>
      <w:r>
        <w:rPr>
          <w:noProof/>
        </w:rPr>
        <w:drawing>
          <wp:anchor distT="0" distB="0" distL="114300" distR="114300" simplePos="0" relativeHeight="251658240" behindDoc="1" locked="1" layoutInCell="1" allowOverlap="0" wp14:anchorId="461C3445" wp14:editId="430E2859">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9F29593" w14:textId="77777777" w:rsidTr="00431F42">
        <w:trPr>
          <w:cantSplit/>
        </w:trPr>
        <w:tc>
          <w:tcPr>
            <w:tcW w:w="0" w:type="auto"/>
            <w:tcMar>
              <w:top w:w="0" w:type="dxa"/>
              <w:left w:w="0" w:type="dxa"/>
              <w:right w:w="0" w:type="dxa"/>
            </w:tcMar>
          </w:tcPr>
          <w:p w14:paraId="75D29031" w14:textId="7EA9CFEA" w:rsidR="00AD784C" w:rsidRPr="00431F42" w:rsidRDefault="0058358E" w:rsidP="00CC3BB0">
            <w:pPr>
              <w:pStyle w:val="Documenttitle"/>
            </w:pPr>
            <w:r w:rsidRPr="00FA461D">
              <w:rPr>
                <w:color w:val="000000" w:themeColor="text1"/>
              </w:rPr>
              <w:t>Management of acute respiratory infection outbreaks in residential care facilities</w:t>
            </w:r>
          </w:p>
        </w:tc>
      </w:tr>
      <w:tr w:rsidR="00AD784C" w14:paraId="54EAE9DA" w14:textId="77777777" w:rsidTr="00431F42">
        <w:trPr>
          <w:cantSplit/>
        </w:trPr>
        <w:tc>
          <w:tcPr>
            <w:tcW w:w="0" w:type="auto"/>
          </w:tcPr>
          <w:p w14:paraId="5A60F6DA" w14:textId="0156F8CE" w:rsidR="00386109" w:rsidRPr="00A1389F" w:rsidRDefault="00F76BC2" w:rsidP="0058358E">
            <w:pPr>
              <w:pStyle w:val="Documentsubtitle"/>
            </w:pPr>
            <w:r>
              <w:t xml:space="preserve">Guidance </w:t>
            </w:r>
            <w:r w:rsidR="00890A9D">
              <w:t xml:space="preserve">for Victorian residential care facility staff </w:t>
            </w:r>
          </w:p>
        </w:tc>
      </w:tr>
      <w:tr w:rsidR="00430393" w14:paraId="2F9D17FE" w14:textId="77777777" w:rsidTr="00431F42">
        <w:trPr>
          <w:cantSplit/>
        </w:trPr>
        <w:tc>
          <w:tcPr>
            <w:tcW w:w="0" w:type="auto"/>
          </w:tcPr>
          <w:p w14:paraId="531A362C" w14:textId="77777777" w:rsidR="00430393" w:rsidRDefault="0058358E" w:rsidP="00430393">
            <w:pPr>
              <w:pStyle w:val="Bannermarking"/>
            </w:pPr>
            <w:fldSimple w:instr=" FILLIN  &quot;Type the protective marking&quot; \d OFFICIAL \o  \* MERGEFORMAT ">
              <w:r>
                <w:t>OFFICIAL</w:t>
              </w:r>
            </w:fldSimple>
          </w:p>
        </w:tc>
      </w:tr>
    </w:tbl>
    <w:p w14:paraId="38AE353A" w14:textId="77777777" w:rsidR="00FE4081" w:rsidRDefault="00FE4081" w:rsidP="00FE4081">
      <w:pPr>
        <w:pStyle w:val="Body"/>
      </w:pPr>
    </w:p>
    <w:p w14:paraId="0E3CD6A1"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DA65F1" w:rsidRPr="00C072F4" w14:paraId="44F7240B" w14:textId="77777777">
        <w:trPr>
          <w:cantSplit/>
          <w:trHeight w:val="7088"/>
        </w:trPr>
        <w:tc>
          <w:tcPr>
            <w:tcW w:w="0" w:type="auto"/>
          </w:tcPr>
          <w:p w14:paraId="108BAB75" w14:textId="0C83971A" w:rsidR="00DA65F1" w:rsidRPr="00C072F4" w:rsidRDefault="00DA65F1">
            <w:pPr>
              <w:pStyle w:val="Heading1"/>
              <w:spacing w:before="0" w:line="240" w:lineRule="auto"/>
            </w:pPr>
            <w:bookmarkStart w:id="0" w:name="_Toc163051285"/>
            <w:bookmarkStart w:id="1" w:name="_Toc163135806"/>
            <w:bookmarkStart w:id="2" w:name="_Toc163573578"/>
            <w:bookmarkStart w:id="3" w:name="_Toc197948643"/>
            <w:bookmarkStart w:id="4" w:name="_Toc229644777"/>
            <w:r w:rsidRPr="00C072F4">
              <w:lastRenderedPageBreak/>
              <w:t>Version</w:t>
            </w:r>
            <w:r w:rsidRPr="00C072F4">
              <w:rPr>
                <w:spacing w:val="-3"/>
              </w:rPr>
              <w:t xml:space="preserve"> </w:t>
            </w:r>
            <w:r w:rsidR="002E29D8">
              <w:rPr>
                <w:spacing w:val="-3"/>
              </w:rPr>
              <w:t>h</w:t>
            </w:r>
            <w:r w:rsidRPr="00C072F4">
              <w:t>istory</w:t>
            </w:r>
            <w:bookmarkEnd w:id="0"/>
            <w:bookmarkEnd w:id="1"/>
            <w:bookmarkEnd w:id="2"/>
            <w:bookmarkEnd w:id="3"/>
            <w:bookmarkEnd w:id="4"/>
          </w:p>
          <w:tbl>
            <w:tblPr>
              <w:tblW w:w="0" w:type="auto"/>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11"/>
              <w:gridCol w:w="4887"/>
              <w:gridCol w:w="2200"/>
            </w:tblGrid>
            <w:tr w:rsidR="00DA65F1" w:rsidRPr="00C072F4" w14:paraId="383910D8" w14:textId="77777777">
              <w:trPr>
                <w:trHeight w:val="369"/>
              </w:trPr>
              <w:tc>
                <w:tcPr>
                  <w:tcW w:w="2011" w:type="dxa"/>
                </w:tcPr>
                <w:p w14:paraId="593D6F0F" w14:textId="77777777" w:rsidR="00DA65F1" w:rsidRPr="00C072F4" w:rsidRDefault="00DA65F1">
                  <w:pPr>
                    <w:pStyle w:val="Tablecolhead"/>
                  </w:pPr>
                  <w:r w:rsidRPr="00C072F4">
                    <w:t>Version</w:t>
                  </w:r>
                  <w:r w:rsidRPr="00C072F4">
                    <w:rPr>
                      <w:spacing w:val="-2"/>
                    </w:rPr>
                    <w:t xml:space="preserve"> </w:t>
                  </w:r>
                  <w:r w:rsidRPr="00C072F4">
                    <w:t>number</w:t>
                  </w:r>
                </w:p>
              </w:tc>
              <w:tc>
                <w:tcPr>
                  <w:tcW w:w="4887" w:type="dxa"/>
                </w:tcPr>
                <w:p w14:paraId="24DA7E33" w14:textId="77777777" w:rsidR="00DA65F1" w:rsidRPr="00C072F4" w:rsidRDefault="00DA65F1">
                  <w:pPr>
                    <w:pStyle w:val="Tablecolhead"/>
                  </w:pPr>
                  <w:r w:rsidRPr="00C072F4">
                    <w:t>Comment</w:t>
                  </w:r>
                </w:p>
              </w:tc>
              <w:tc>
                <w:tcPr>
                  <w:tcW w:w="2200" w:type="dxa"/>
                </w:tcPr>
                <w:p w14:paraId="6D2825A5" w14:textId="77777777" w:rsidR="00DA65F1" w:rsidRPr="00C072F4" w:rsidRDefault="00DA65F1">
                  <w:pPr>
                    <w:pStyle w:val="Tablecolhead"/>
                  </w:pPr>
                  <w:r w:rsidRPr="00C072F4">
                    <w:t>Date</w:t>
                  </w:r>
                  <w:r w:rsidRPr="00C072F4">
                    <w:rPr>
                      <w:spacing w:val="-3"/>
                    </w:rPr>
                    <w:t xml:space="preserve"> </w:t>
                  </w:r>
                  <w:r w:rsidRPr="00C072F4">
                    <w:t>of</w:t>
                  </w:r>
                  <w:r w:rsidRPr="00C072F4">
                    <w:rPr>
                      <w:spacing w:val="-2"/>
                    </w:rPr>
                    <w:t xml:space="preserve"> </w:t>
                  </w:r>
                  <w:r w:rsidRPr="00C072F4">
                    <w:t>approval</w:t>
                  </w:r>
                </w:p>
              </w:tc>
            </w:tr>
            <w:tr w:rsidR="00DA65F1" w:rsidRPr="00C072F4" w14:paraId="12859295" w14:textId="77777777" w:rsidTr="00FA461D">
              <w:trPr>
                <w:trHeight w:val="412"/>
              </w:trPr>
              <w:tc>
                <w:tcPr>
                  <w:tcW w:w="2011" w:type="dxa"/>
                </w:tcPr>
                <w:p w14:paraId="00480983" w14:textId="77777777" w:rsidR="00DA65F1" w:rsidRPr="00971DE6" w:rsidRDefault="00DA65F1">
                  <w:pPr>
                    <w:pStyle w:val="Tabletext"/>
                  </w:pPr>
                  <w:r w:rsidRPr="00971DE6">
                    <w:t>Version 1.0</w:t>
                  </w:r>
                </w:p>
              </w:tc>
              <w:tc>
                <w:tcPr>
                  <w:tcW w:w="4887" w:type="dxa"/>
                </w:tcPr>
                <w:p w14:paraId="760B43A6" w14:textId="620A804E" w:rsidR="00DA65F1" w:rsidRPr="00971DE6" w:rsidRDefault="00514449" w:rsidP="00FA461D">
                  <w:pPr>
                    <w:pStyle w:val="Tabletext"/>
                  </w:pPr>
                  <w:r>
                    <w:t>Initial release</w:t>
                  </w:r>
                </w:p>
              </w:tc>
              <w:tc>
                <w:tcPr>
                  <w:tcW w:w="2200" w:type="dxa"/>
                </w:tcPr>
                <w:p w14:paraId="292F315D" w14:textId="3004837C" w:rsidR="00DA65F1" w:rsidRPr="00971DE6" w:rsidRDefault="00DA65F1">
                  <w:pPr>
                    <w:pStyle w:val="Tabletext"/>
                  </w:pPr>
                  <w:r w:rsidRPr="00971DE6">
                    <w:t>September 2022</w:t>
                  </w:r>
                </w:p>
              </w:tc>
            </w:tr>
            <w:tr w:rsidR="00DA65F1" w:rsidRPr="00C072F4" w14:paraId="3D113966" w14:textId="77777777">
              <w:trPr>
                <w:trHeight w:val="697"/>
              </w:trPr>
              <w:tc>
                <w:tcPr>
                  <w:tcW w:w="2011" w:type="dxa"/>
                </w:tcPr>
                <w:p w14:paraId="295510C8" w14:textId="77777777" w:rsidR="00DA65F1" w:rsidRPr="00971DE6" w:rsidRDefault="00DA65F1">
                  <w:pPr>
                    <w:pStyle w:val="Tabletext"/>
                  </w:pPr>
                  <w:r w:rsidRPr="00971DE6">
                    <w:t>Version 2.0</w:t>
                  </w:r>
                </w:p>
              </w:tc>
              <w:tc>
                <w:tcPr>
                  <w:tcW w:w="4887" w:type="dxa"/>
                </w:tcPr>
                <w:p w14:paraId="3F719A67" w14:textId="54883CFF" w:rsidR="00DA65F1" w:rsidRPr="00971DE6" w:rsidRDefault="00DA65F1">
                  <w:pPr>
                    <w:pStyle w:val="Tabletext"/>
                  </w:pPr>
                  <w:r w:rsidRPr="00971DE6">
                    <w:rPr>
                      <w:rFonts w:eastAsia="Arial" w:cs="Arial"/>
                      <w:szCs w:val="22"/>
                      <w:lang w:val="en-US"/>
                    </w:rPr>
                    <w:t xml:space="preserve">Updated </w:t>
                  </w:r>
                  <w:r w:rsidR="0023600F">
                    <w:rPr>
                      <w:rFonts w:eastAsia="Arial" w:cs="Arial"/>
                      <w:szCs w:val="22"/>
                      <w:lang w:val="en-US"/>
                    </w:rPr>
                    <w:t>advice following</w:t>
                  </w:r>
                  <w:r w:rsidRPr="00971DE6">
                    <w:rPr>
                      <w:rFonts w:eastAsia="Arial" w:cs="Arial"/>
                      <w:szCs w:val="22"/>
                      <w:lang w:val="en-US"/>
                    </w:rPr>
                    <w:t xml:space="preserve"> cessation of the Pandemic </w:t>
                  </w:r>
                  <w:r w:rsidRPr="00971DE6">
                    <w:t xml:space="preserve">Orders. </w:t>
                  </w:r>
                </w:p>
              </w:tc>
              <w:tc>
                <w:tcPr>
                  <w:tcW w:w="2200" w:type="dxa"/>
                </w:tcPr>
                <w:p w14:paraId="043D41C8" w14:textId="3834F7E0" w:rsidR="00DA65F1" w:rsidRPr="00971DE6" w:rsidRDefault="00DA65F1">
                  <w:pPr>
                    <w:pStyle w:val="Tabletext"/>
                  </w:pPr>
                  <w:r w:rsidRPr="00971DE6">
                    <w:t>October 2022</w:t>
                  </w:r>
                </w:p>
              </w:tc>
            </w:tr>
            <w:tr w:rsidR="00DA65F1" w:rsidRPr="00C072F4" w14:paraId="652D05F7" w14:textId="77777777">
              <w:trPr>
                <w:trHeight w:val="697"/>
              </w:trPr>
              <w:tc>
                <w:tcPr>
                  <w:tcW w:w="2011" w:type="dxa"/>
                </w:tcPr>
                <w:p w14:paraId="58D3CA2E" w14:textId="77777777" w:rsidR="00DA65F1" w:rsidRPr="00971DE6" w:rsidRDefault="00DA65F1">
                  <w:pPr>
                    <w:pStyle w:val="Tabletext"/>
                  </w:pPr>
                  <w:r w:rsidRPr="00971DE6">
                    <w:t>Version 2.1</w:t>
                  </w:r>
                </w:p>
              </w:tc>
              <w:tc>
                <w:tcPr>
                  <w:tcW w:w="4887" w:type="dxa"/>
                </w:tcPr>
                <w:p w14:paraId="50003587" w14:textId="126A09F4" w:rsidR="00DA65F1" w:rsidRPr="00971DE6" w:rsidRDefault="00DA65F1">
                  <w:pPr>
                    <w:pStyle w:val="Tabletext"/>
                    <w:rPr>
                      <w:rFonts w:eastAsia="Arial" w:cs="Arial"/>
                      <w:szCs w:val="22"/>
                      <w:lang w:val="en-US"/>
                    </w:rPr>
                  </w:pPr>
                  <w:r w:rsidRPr="00971DE6">
                    <w:rPr>
                      <w:rFonts w:eastAsia="Arial" w:cs="Arial"/>
                      <w:szCs w:val="22"/>
                      <w:lang w:val="en-US"/>
                    </w:rPr>
                    <w:t>Minor updates to COVID-19 vaccination</w:t>
                  </w:r>
                  <w:r w:rsidR="00927A75">
                    <w:rPr>
                      <w:rFonts w:eastAsia="Arial" w:cs="Arial"/>
                      <w:szCs w:val="22"/>
                      <w:lang w:val="en-US"/>
                    </w:rPr>
                    <w:t>, IPC</w:t>
                  </w:r>
                  <w:r w:rsidRPr="00971DE6">
                    <w:rPr>
                      <w:rFonts w:eastAsia="Arial" w:cs="Arial"/>
                      <w:szCs w:val="22"/>
                      <w:lang w:val="en-US"/>
                    </w:rPr>
                    <w:t xml:space="preserve"> </w:t>
                  </w:r>
                  <w:r w:rsidR="00735FCA">
                    <w:rPr>
                      <w:rFonts w:eastAsia="Arial" w:cs="Arial"/>
                      <w:szCs w:val="22"/>
                      <w:lang w:val="en-US"/>
                    </w:rPr>
                    <w:t>visitor advice</w:t>
                  </w:r>
                  <w:r w:rsidR="00891905">
                    <w:rPr>
                      <w:rFonts w:eastAsia="Arial" w:cs="Arial"/>
                      <w:szCs w:val="22"/>
                      <w:lang w:val="en-US"/>
                    </w:rPr>
                    <w:t>.</w:t>
                  </w:r>
                </w:p>
              </w:tc>
              <w:tc>
                <w:tcPr>
                  <w:tcW w:w="2200" w:type="dxa"/>
                </w:tcPr>
                <w:p w14:paraId="33126EAF" w14:textId="63161F52" w:rsidR="00DA65F1" w:rsidRPr="00971DE6" w:rsidRDefault="00DA65F1">
                  <w:pPr>
                    <w:pStyle w:val="Tabletext"/>
                  </w:pPr>
                  <w:r w:rsidRPr="00971DE6">
                    <w:t>March 2023</w:t>
                  </w:r>
                </w:p>
              </w:tc>
            </w:tr>
            <w:tr w:rsidR="00DA65F1" w:rsidRPr="00C072F4" w14:paraId="63368C7E" w14:textId="77777777">
              <w:trPr>
                <w:trHeight w:val="697"/>
              </w:trPr>
              <w:tc>
                <w:tcPr>
                  <w:tcW w:w="2011" w:type="dxa"/>
                </w:tcPr>
                <w:p w14:paraId="0B4ABF22" w14:textId="77777777" w:rsidR="00DA65F1" w:rsidRPr="00971DE6" w:rsidRDefault="00DA65F1">
                  <w:pPr>
                    <w:pStyle w:val="Tabletext"/>
                  </w:pPr>
                  <w:r w:rsidRPr="00971DE6">
                    <w:t>Version 3.0</w:t>
                  </w:r>
                </w:p>
              </w:tc>
              <w:tc>
                <w:tcPr>
                  <w:tcW w:w="4887" w:type="dxa"/>
                </w:tcPr>
                <w:p w14:paraId="7A3BF143" w14:textId="23C39471" w:rsidR="00DA65F1" w:rsidRPr="00971DE6" w:rsidRDefault="00891905" w:rsidP="00FA461D">
                  <w:pPr>
                    <w:pStyle w:val="Tablebullet1"/>
                    <w:numPr>
                      <w:ilvl w:val="0"/>
                      <w:numId w:val="0"/>
                    </w:numPr>
                    <w:spacing w:before="100" w:beforeAutospacing="1" w:after="100" w:afterAutospacing="1"/>
                    <w:rPr>
                      <w:rFonts w:eastAsia="Arial"/>
                      <w:szCs w:val="22"/>
                      <w:lang w:val="en-US"/>
                    </w:rPr>
                  </w:pPr>
                  <w:r>
                    <w:rPr>
                      <w:rFonts w:eastAsia="Arial"/>
                      <w:lang w:val="en-US"/>
                    </w:rPr>
                    <w:t>Updated mask, testing, return to work and RSV vaccination advice</w:t>
                  </w:r>
                  <w:r w:rsidR="00CD6797">
                    <w:rPr>
                      <w:rFonts w:eastAsia="Arial"/>
                      <w:lang w:val="en-US"/>
                    </w:rPr>
                    <w:t>.</w:t>
                  </w:r>
                </w:p>
              </w:tc>
              <w:tc>
                <w:tcPr>
                  <w:tcW w:w="2200" w:type="dxa"/>
                </w:tcPr>
                <w:p w14:paraId="68A37E70" w14:textId="77777777" w:rsidR="00DA65F1" w:rsidRPr="00971DE6" w:rsidRDefault="00DA65F1">
                  <w:pPr>
                    <w:pStyle w:val="Tabletext"/>
                  </w:pPr>
                  <w:r w:rsidRPr="00971DE6">
                    <w:t>February 2024</w:t>
                  </w:r>
                </w:p>
              </w:tc>
            </w:tr>
            <w:tr w:rsidR="00DA65F1" w:rsidRPr="00C072F4" w14:paraId="3A1F1784" w14:textId="77777777">
              <w:trPr>
                <w:trHeight w:val="697"/>
              </w:trPr>
              <w:tc>
                <w:tcPr>
                  <w:tcW w:w="2011" w:type="dxa"/>
                </w:tcPr>
                <w:p w14:paraId="3EB896A4" w14:textId="77777777" w:rsidR="00DA65F1" w:rsidRPr="00971DE6" w:rsidRDefault="00DA65F1">
                  <w:pPr>
                    <w:pStyle w:val="Tabletext"/>
                  </w:pPr>
                  <w:r>
                    <w:t>Version 3.1</w:t>
                  </w:r>
                </w:p>
              </w:tc>
              <w:tc>
                <w:tcPr>
                  <w:tcW w:w="4887" w:type="dxa"/>
                </w:tcPr>
                <w:p w14:paraId="6DC1C707" w14:textId="5F6C192E" w:rsidR="00DA65F1" w:rsidRPr="00971DE6" w:rsidRDefault="002D367A" w:rsidP="00FA461D">
                  <w:pPr>
                    <w:pStyle w:val="Tablebullet1"/>
                    <w:numPr>
                      <w:ilvl w:val="0"/>
                      <w:numId w:val="0"/>
                    </w:numPr>
                    <w:rPr>
                      <w:rFonts w:eastAsia="Arial" w:cs="Arial"/>
                      <w:lang w:val="en-US"/>
                    </w:rPr>
                  </w:pPr>
                  <w:r>
                    <w:rPr>
                      <w:rFonts w:eastAsia="Arial"/>
                    </w:rPr>
                    <w:t>Corrections and minor updates to</w:t>
                  </w:r>
                  <w:r w:rsidR="002032A1">
                    <w:rPr>
                      <w:rFonts w:eastAsia="Arial"/>
                    </w:rPr>
                    <w:t xml:space="preserve"> return to work,</w:t>
                  </w:r>
                  <w:r>
                    <w:rPr>
                      <w:rFonts w:eastAsia="Arial"/>
                    </w:rPr>
                    <w:t xml:space="preserve"> PPE, RATs and </w:t>
                  </w:r>
                  <w:r w:rsidR="004128A5">
                    <w:rPr>
                      <w:rFonts w:eastAsia="Arial"/>
                    </w:rPr>
                    <w:t>resources.</w:t>
                  </w:r>
                </w:p>
              </w:tc>
              <w:tc>
                <w:tcPr>
                  <w:tcW w:w="2200" w:type="dxa"/>
                </w:tcPr>
                <w:p w14:paraId="3DFD5127" w14:textId="77777777" w:rsidR="00DA65F1" w:rsidRPr="00971DE6" w:rsidRDefault="00DA65F1">
                  <w:pPr>
                    <w:pStyle w:val="Tabletext"/>
                  </w:pPr>
                  <w:r>
                    <w:t>April 2024</w:t>
                  </w:r>
                </w:p>
              </w:tc>
            </w:tr>
            <w:tr w:rsidR="00DA65F1" w:rsidRPr="00C072F4" w14:paraId="39EFCA43" w14:textId="77777777">
              <w:trPr>
                <w:trHeight w:val="697"/>
              </w:trPr>
              <w:tc>
                <w:tcPr>
                  <w:tcW w:w="2011" w:type="dxa"/>
                </w:tcPr>
                <w:p w14:paraId="55D5EE54" w14:textId="77777777" w:rsidR="00DA65F1" w:rsidRDefault="00DA65F1">
                  <w:pPr>
                    <w:pStyle w:val="Tabletext"/>
                  </w:pPr>
                  <w:r w:rsidRPr="006614A1">
                    <w:t>Version 4</w:t>
                  </w:r>
                </w:p>
              </w:tc>
              <w:tc>
                <w:tcPr>
                  <w:tcW w:w="4887" w:type="dxa"/>
                </w:tcPr>
                <w:p w14:paraId="545AFF36" w14:textId="1C26F677" w:rsidR="00DA65F1" w:rsidRPr="00FE26AE" w:rsidRDefault="00941620" w:rsidP="00FA461D">
                  <w:pPr>
                    <w:pStyle w:val="Tablebullet1"/>
                    <w:numPr>
                      <w:ilvl w:val="0"/>
                      <w:numId w:val="0"/>
                    </w:numPr>
                    <w:rPr>
                      <w:rFonts w:eastAsia="Arial"/>
                    </w:rPr>
                  </w:pPr>
                  <w:r>
                    <w:rPr>
                      <w:rFonts w:eastAsia="Arial"/>
                    </w:rPr>
                    <w:t xml:space="preserve">Aligned with CDNA National ARI </w:t>
                  </w:r>
                  <w:r w:rsidR="009847BC">
                    <w:rPr>
                      <w:rFonts w:eastAsia="Arial"/>
                    </w:rPr>
                    <w:t xml:space="preserve">outbreak management guideline. </w:t>
                  </w:r>
                </w:p>
              </w:tc>
              <w:tc>
                <w:tcPr>
                  <w:tcW w:w="2200" w:type="dxa"/>
                </w:tcPr>
                <w:p w14:paraId="41FD9FFF" w14:textId="77777777" w:rsidR="00DA65F1" w:rsidRDefault="00DA65F1">
                  <w:pPr>
                    <w:pStyle w:val="Tabletext"/>
                  </w:pPr>
                  <w:r w:rsidRPr="00DA4D1D">
                    <w:t>May 2025</w:t>
                  </w:r>
                </w:p>
              </w:tc>
            </w:tr>
            <w:tr w:rsidR="00AF1E73" w:rsidRPr="00C072F4" w14:paraId="1C95A525" w14:textId="77777777">
              <w:trPr>
                <w:trHeight w:val="697"/>
              </w:trPr>
              <w:tc>
                <w:tcPr>
                  <w:tcW w:w="2011" w:type="dxa"/>
                </w:tcPr>
                <w:p w14:paraId="048CDFAC" w14:textId="53756D79" w:rsidR="00AF1E73" w:rsidRPr="006614A1" w:rsidRDefault="002F6CC2">
                  <w:pPr>
                    <w:pStyle w:val="Tabletext"/>
                  </w:pPr>
                  <w:r>
                    <w:t>Version 5</w:t>
                  </w:r>
                </w:p>
              </w:tc>
              <w:tc>
                <w:tcPr>
                  <w:tcW w:w="4887" w:type="dxa"/>
                </w:tcPr>
                <w:p w14:paraId="2B6D73F8" w14:textId="2DBE8C53" w:rsidR="00AF1E73" w:rsidRPr="599F3777" w:rsidRDefault="00644D56" w:rsidP="002950C7">
                  <w:pPr>
                    <w:pStyle w:val="Body"/>
                  </w:pPr>
                  <w:r w:rsidRPr="006A2A8F">
                    <w:t xml:space="preserve">Comprehensive </w:t>
                  </w:r>
                  <w:r w:rsidR="00374A97" w:rsidRPr="006A2A8F">
                    <w:t>update</w:t>
                  </w:r>
                  <w:r w:rsidR="00216BFA" w:rsidRPr="006A2A8F">
                    <w:t xml:space="preserve">, </w:t>
                  </w:r>
                  <w:r w:rsidR="00374A97" w:rsidRPr="006A2A8F">
                    <w:t>including revised outbreak management tables</w:t>
                  </w:r>
                  <w:r w:rsidR="00216BFA" w:rsidRPr="006A2A8F">
                    <w:t>, inclusion of mixed-pathogen outbreak advice</w:t>
                  </w:r>
                  <w:r w:rsidR="00027206" w:rsidRPr="006A2A8F">
                    <w:t xml:space="preserve"> and consolidation of </w:t>
                  </w:r>
                  <w:r w:rsidR="00D53A50" w:rsidRPr="006A2A8F">
                    <w:t>pathogen</w:t>
                  </w:r>
                  <w:r w:rsidR="0035251D" w:rsidRPr="006A2A8F">
                    <w:t>-specific advice.</w:t>
                  </w:r>
                  <w:r w:rsidR="0035251D">
                    <w:t xml:space="preserve"> </w:t>
                  </w:r>
                </w:p>
              </w:tc>
              <w:tc>
                <w:tcPr>
                  <w:tcW w:w="2200" w:type="dxa"/>
                </w:tcPr>
                <w:p w14:paraId="2106CA8F" w14:textId="001B493E" w:rsidR="00AF1E73" w:rsidRPr="00DA4D1D" w:rsidRDefault="004300B4">
                  <w:pPr>
                    <w:pStyle w:val="Tabletext"/>
                  </w:pPr>
                  <w:r>
                    <w:t>May</w:t>
                  </w:r>
                  <w:r w:rsidRPr="00AA71F3">
                    <w:t xml:space="preserve"> </w:t>
                  </w:r>
                  <w:r w:rsidR="0064304C" w:rsidRPr="00AA71F3">
                    <w:t>2026</w:t>
                  </w:r>
                </w:p>
              </w:tc>
            </w:tr>
          </w:tbl>
          <w:p w14:paraId="1073C91D" w14:textId="2F4874AC" w:rsidR="00DA65F1" w:rsidRPr="00C072F4" w:rsidRDefault="00DA65F1">
            <w:pPr>
              <w:pStyle w:val="Body"/>
            </w:pPr>
            <w:r w:rsidRPr="00C072F4">
              <w:t xml:space="preserve">Date valid to: </w:t>
            </w:r>
            <w:r w:rsidR="00F822CE">
              <w:t>May</w:t>
            </w:r>
            <w:r w:rsidRPr="0014789C">
              <w:t xml:space="preserve"> 202</w:t>
            </w:r>
            <w:r w:rsidR="00F822CE">
              <w:t>9</w:t>
            </w:r>
            <w:r w:rsidRPr="0014789C">
              <w:t xml:space="preserve"> (Standard: 36 </w:t>
            </w:r>
            <w:r w:rsidR="001E509C">
              <w:t>m</w:t>
            </w:r>
            <w:r w:rsidRPr="0014789C">
              <w:t>onths after last update)</w:t>
            </w:r>
          </w:p>
        </w:tc>
      </w:tr>
      <w:tr w:rsidR="00DA65F1" w:rsidRPr="0014515B" w14:paraId="7EEBC8C4" w14:textId="77777777">
        <w:trPr>
          <w:cantSplit/>
          <w:trHeight w:val="3061"/>
        </w:trPr>
        <w:tc>
          <w:tcPr>
            <w:tcW w:w="0" w:type="auto"/>
            <w:vAlign w:val="bottom"/>
          </w:tcPr>
          <w:p w14:paraId="582E90E9" w14:textId="77777777" w:rsidR="00DA65F1" w:rsidRPr="00BA37B8" w:rsidRDefault="00DA65F1">
            <w:pPr>
              <w:pStyle w:val="Accessibilitypara"/>
            </w:pPr>
            <w:r w:rsidRPr="00BA37B8">
              <w:t xml:space="preserve">To receive this document in another format, phone 1300 651 160 using the National Relay Service 13 36 77 if required, or </w:t>
            </w:r>
            <w:hyperlink r:id="rId18" w:history="1">
              <w:r w:rsidRPr="00815839">
                <w:rPr>
                  <w:rStyle w:val="Hyperlink"/>
                </w:rPr>
                <w:t>email Communicable Diseases</w:t>
              </w:r>
            </w:hyperlink>
            <w:r>
              <w:t xml:space="preserve"> &lt;</w:t>
            </w:r>
            <w:r w:rsidRPr="00815839">
              <w:t>infectious.diseases@health.vic.gov.au</w:t>
            </w:r>
            <w:r>
              <w:t>&gt;.</w:t>
            </w:r>
          </w:p>
          <w:p w14:paraId="75C0B356" w14:textId="77777777" w:rsidR="00DA65F1" w:rsidRPr="002950C7" w:rsidRDefault="00DA65F1">
            <w:pPr>
              <w:pStyle w:val="Imprint"/>
            </w:pPr>
            <w:r w:rsidRPr="002950C7">
              <w:t>Authorised and published by the Victorian Government, 1 Treasury Place, Melbourne.</w:t>
            </w:r>
          </w:p>
          <w:p w14:paraId="237B7C2A" w14:textId="3C37B8FF" w:rsidR="00DA65F1" w:rsidRPr="002950C7" w:rsidRDefault="00DA65F1">
            <w:pPr>
              <w:pStyle w:val="Imprint"/>
            </w:pPr>
            <w:r w:rsidRPr="002950C7">
              <w:t xml:space="preserve">© State of Victoria, Australia, Department of Health, </w:t>
            </w:r>
            <w:r w:rsidR="004300B4">
              <w:t>May</w:t>
            </w:r>
            <w:r w:rsidR="00AA2605">
              <w:t xml:space="preserve"> 2026</w:t>
            </w:r>
          </w:p>
          <w:p w14:paraId="535716DF" w14:textId="77777777" w:rsidR="00DA65F1" w:rsidRPr="00BA37B8" w:rsidRDefault="00DA65F1">
            <w:pPr>
              <w:pStyle w:val="Imprint"/>
            </w:pPr>
            <w:r w:rsidRPr="002950C7">
              <w:t xml:space="preserve">ISBN/ISSN </w:t>
            </w:r>
            <w:r w:rsidRPr="002950C7">
              <w:rPr>
                <w:rStyle w:val="normaltextrun"/>
              </w:rPr>
              <w:t xml:space="preserve">978-1-76131-001-0 </w:t>
            </w:r>
            <w:r w:rsidRPr="002950C7">
              <w:t>(online/PDF/Word) or (print)</w:t>
            </w:r>
          </w:p>
          <w:p w14:paraId="4F154B04" w14:textId="77777777" w:rsidR="00DA65F1" w:rsidRPr="0014515B" w:rsidRDefault="00DA65F1">
            <w:pPr>
              <w:pStyle w:val="Imprint"/>
            </w:pPr>
            <w:r w:rsidRPr="00BA37B8">
              <w:t xml:space="preserve">Available at </w:t>
            </w:r>
            <w:hyperlink r:id="rId19" w:history="1">
              <w:r w:rsidRPr="00872FFC">
                <w:rPr>
                  <w:rStyle w:val="Hyperlink"/>
                </w:rPr>
                <w:t>Acute respiratory infection management in residential care facilities</w:t>
              </w:r>
            </w:hyperlink>
            <w:r w:rsidRPr="00BA37B8">
              <w:t xml:space="preserve"> </w:t>
            </w:r>
            <w:r w:rsidRPr="00BA37B8">
              <w:rPr>
                <w:rStyle w:val="normaltextrun"/>
              </w:rPr>
              <w:t>&lt;</w:t>
            </w:r>
            <w:r w:rsidRPr="00872FFC">
              <w:rPr>
                <w:rStyle w:val="normaltextrun"/>
              </w:rPr>
              <w:t>https://www.health.vic.gov.au/infectious-diseases/acute-respiratory-infection-management-rcf</w:t>
            </w:r>
            <w:r w:rsidRPr="00BA37B8">
              <w:rPr>
                <w:rStyle w:val="normaltextrun"/>
              </w:rPr>
              <w:t>&gt;</w:t>
            </w:r>
            <w:r>
              <w:rPr>
                <w:rStyle w:val="normaltextrun"/>
              </w:rPr>
              <w:t>.</w:t>
            </w:r>
          </w:p>
        </w:tc>
      </w:tr>
    </w:tbl>
    <w:p w14:paraId="4F0288D2" w14:textId="77777777" w:rsidR="00431F42" w:rsidRDefault="00431F42" w:rsidP="00431F42">
      <w:pPr>
        <w:pStyle w:val="Body"/>
      </w:pPr>
      <w:r>
        <w:br w:type="page"/>
      </w:r>
    </w:p>
    <w:p w14:paraId="5E204535" w14:textId="1788FF45" w:rsidR="00AD784C" w:rsidRPr="00B57329" w:rsidRDefault="00AD784C" w:rsidP="0014789C">
      <w:pPr>
        <w:pStyle w:val="Heading1"/>
      </w:pPr>
      <w:bookmarkStart w:id="5" w:name="_Toc229644778"/>
      <w:r w:rsidRPr="00B57329">
        <w:lastRenderedPageBreak/>
        <w:t>Contents</w:t>
      </w:r>
      <w:bookmarkEnd w:id="5"/>
    </w:p>
    <w:p w14:paraId="546F2E70" w14:textId="6813973D" w:rsidR="00F9103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9644777" w:history="1">
        <w:r w:rsidR="00F9103D" w:rsidRPr="002978DE">
          <w:rPr>
            <w:rStyle w:val="Hyperlink"/>
          </w:rPr>
          <w:t>Version</w:t>
        </w:r>
        <w:r w:rsidR="00F9103D" w:rsidRPr="002978DE">
          <w:rPr>
            <w:rStyle w:val="Hyperlink"/>
            <w:spacing w:val="-3"/>
          </w:rPr>
          <w:t xml:space="preserve"> h</w:t>
        </w:r>
        <w:r w:rsidR="00F9103D" w:rsidRPr="002978DE">
          <w:rPr>
            <w:rStyle w:val="Hyperlink"/>
          </w:rPr>
          <w:t>istory</w:t>
        </w:r>
        <w:r w:rsidR="00F9103D">
          <w:rPr>
            <w:webHidden/>
          </w:rPr>
          <w:tab/>
        </w:r>
        <w:r w:rsidR="00F9103D">
          <w:rPr>
            <w:webHidden/>
          </w:rPr>
          <w:fldChar w:fldCharType="begin"/>
        </w:r>
        <w:r w:rsidR="00F9103D">
          <w:rPr>
            <w:webHidden/>
          </w:rPr>
          <w:instrText xml:space="preserve"> PAGEREF _Toc229644777 \h </w:instrText>
        </w:r>
        <w:r w:rsidR="00F9103D">
          <w:rPr>
            <w:webHidden/>
          </w:rPr>
        </w:r>
        <w:r w:rsidR="00F9103D">
          <w:rPr>
            <w:webHidden/>
          </w:rPr>
          <w:fldChar w:fldCharType="separate"/>
        </w:r>
        <w:r w:rsidR="0031298E">
          <w:rPr>
            <w:webHidden/>
          </w:rPr>
          <w:t>2</w:t>
        </w:r>
        <w:r w:rsidR="00F9103D">
          <w:rPr>
            <w:webHidden/>
          </w:rPr>
          <w:fldChar w:fldCharType="end"/>
        </w:r>
      </w:hyperlink>
    </w:p>
    <w:p w14:paraId="48555874" w14:textId="43ABD6BA" w:rsidR="00F9103D" w:rsidRDefault="00F9103D">
      <w:pPr>
        <w:pStyle w:val="TOC1"/>
        <w:rPr>
          <w:rFonts w:asciiTheme="minorHAnsi" w:eastAsiaTheme="minorEastAsia" w:hAnsiTheme="minorHAnsi" w:cstheme="minorBidi"/>
          <w:b w:val="0"/>
          <w:kern w:val="2"/>
          <w:sz w:val="24"/>
          <w:szCs w:val="24"/>
          <w:lang w:eastAsia="en-AU"/>
          <w14:ligatures w14:val="standardContextual"/>
        </w:rPr>
      </w:pPr>
      <w:hyperlink w:anchor="_Toc229644778" w:history="1">
        <w:r w:rsidRPr="002978DE">
          <w:rPr>
            <w:rStyle w:val="Hyperlink"/>
          </w:rPr>
          <w:t>Contents</w:t>
        </w:r>
        <w:r>
          <w:rPr>
            <w:webHidden/>
          </w:rPr>
          <w:tab/>
        </w:r>
        <w:r>
          <w:rPr>
            <w:webHidden/>
          </w:rPr>
          <w:fldChar w:fldCharType="begin"/>
        </w:r>
        <w:r>
          <w:rPr>
            <w:webHidden/>
          </w:rPr>
          <w:instrText xml:space="preserve"> PAGEREF _Toc229644778 \h </w:instrText>
        </w:r>
        <w:r>
          <w:rPr>
            <w:webHidden/>
          </w:rPr>
        </w:r>
        <w:r>
          <w:rPr>
            <w:webHidden/>
          </w:rPr>
          <w:fldChar w:fldCharType="separate"/>
        </w:r>
        <w:r w:rsidR="0031298E">
          <w:rPr>
            <w:webHidden/>
          </w:rPr>
          <w:t>3</w:t>
        </w:r>
        <w:r>
          <w:rPr>
            <w:webHidden/>
          </w:rPr>
          <w:fldChar w:fldCharType="end"/>
        </w:r>
      </w:hyperlink>
    </w:p>
    <w:p w14:paraId="0D2F24D9" w14:textId="2B1921E8" w:rsidR="00F9103D" w:rsidRDefault="00F9103D">
      <w:pPr>
        <w:pStyle w:val="TOC1"/>
        <w:rPr>
          <w:rFonts w:asciiTheme="minorHAnsi" w:eastAsiaTheme="minorEastAsia" w:hAnsiTheme="minorHAnsi" w:cstheme="minorBidi"/>
          <w:b w:val="0"/>
          <w:kern w:val="2"/>
          <w:sz w:val="24"/>
          <w:szCs w:val="24"/>
          <w:lang w:eastAsia="en-AU"/>
          <w14:ligatures w14:val="standardContextual"/>
        </w:rPr>
      </w:pPr>
      <w:hyperlink w:anchor="_Toc229644779" w:history="1">
        <w:r w:rsidRPr="002978DE">
          <w:rPr>
            <w:rStyle w:val="Hyperlink"/>
          </w:rPr>
          <w:t>Executive summary</w:t>
        </w:r>
        <w:r>
          <w:rPr>
            <w:webHidden/>
          </w:rPr>
          <w:tab/>
        </w:r>
        <w:r>
          <w:rPr>
            <w:webHidden/>
          </w:rPr>
          <w:fldChar w:fldCharType="begin"/>
        </w:r>
        <w:r>
          <w:rPr>
            <w:webHidden/>
          </w:rPr>
          <w:instrText xml:space="preserve"> PAGEREF _Toc229644779 \h </w:instrText>
        </w:r>
        <w:r>
          <w:rPr>
            <w:webHidden/>
          </w:rPr>
        </w:r>
        <w:r>
          <w:rPr>
            <w:webHidden/>
          </w:rPr>
          <w:fldChar w:fldCharType="separate"/>
        </w:r>
        <w:r w:rsidR="0031298E">
          <w:rPr>
            <w:webHidden/>
          </w:rPr>
          <w:t>4</w:t>
        </w:r>
        <w:r>
          <w:rPr>
            <w:webHidden/>
          </w:rPr>
          <w:fldChar w:fldCharType="end"/>
        </w:r>
      </w:hyperlink>
    </w:p>
    <w:p w14:paraId="64A54FFA" w14:textId="0EECD151"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780" w:history="1">
        <w:r w:rsidRPr="002978DE">
          <w:rPr>
            <w:rStyle w:val="Hyperlink"/>
          </w:rPr>
          <w:t>1.</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Glossary</w:t>
        </w:r>
        <w:r>
          <w:rPr>
            <w:webHidden/>
          </w:rPr>
          <w:tab/>
        </w:r>
        <w:r>
          <w:rPr>
            <w:webHidden/>
          </w:rPr>
          <w:fldChar w:fldCharType="begin"/>
        </w:r>
        <w:r>
          <w:rPr>
            <w:webHidden/>
          </w:rPr>
          <w:instrText xml:space="preserve"> PAGEREF _Toc229644780 \h </w:instrText>
        </w:r>
        <w:r>
          <w:rPr>
            <w:webHidden/>
          </w:rPr>
        </w:r>
        <w:r>
          <w:rPr>
            <w:webHidden/>
          </w:rPr>
          <w:fldChar w:fldCharType="separate"/>
        </w:r>
        <w:r w:rsidR="0031298E">
          <w:rPr>
            <w:webHidden/>
          </w:rPr>
          <w:t>5</w:t>
        </w:r>
        <w:r>
          <w:rPr>
            <w:webHidden/>
          </w:rPr>
          <w:fldChar w:fldCharType="end"/>
        </w:r>
      </w:hyperlink>
    </w:p>
    <w:p w14:paraId="34FA1E09" w14:textId="22C5A91B"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781" w:history="1">
        <w:r w:rsidRPr="002978DE">
          <w:rPr>
            <w:rStyle w:val="Hyperlink"/>
          </w:rPr>
          <w:t>2.</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Abbreviations</w:t>
        </w:r>
        <w:r>
          <w:rPr>
            <w:webHidden/>
          </w:rPr>
          <w:tab/>
        </w:r>
        <w:r>
          <w:rPr>
            <w:webHidden/>
          </w:rPr>
          <w:fldChar w:fldCharType="begin"/>
        </w:r>
        <w:r>
          <w:rPr>
            <w:webHidden/>
          </w:rPr>
          <w:instrText xml:space="preserve"> PAGEREF _Toc229644781 \h </w:instrText>
        </w:r>
        <w:r>
          <w:rPr>
            <w:webHidden/>
          </w:rPr>
        </w:r>
        <w:r>
          <w:rPr>
            <w:webHidden/>
          </w:rPr>
          <w:fldChar w:fldCharType="separate"/>
        </w:r>
        <w:r w:rsidR="0031298E">
          <w:rPr>
            <w:webHidden/>
          </w:rPr>
          <w:t>6</w:t>
        </w:r>
        <w:r>
          <w:rPr>
            <w:webHidden/>
          </w:rPr>
          <w:fldChar w:fldCharType="end"/>
        </w:r>
      </w:hyperlink>
    </w:p>
    <w:p w14:paraId="7A5F0E8A" w14:textId="4157F558"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782" w:history="1">
        <w:r w:rsidRPr="002978DE">
          <w:rPr>
            <w:rStyle w:val="Hyperlink"/>
          </w:rPr>
          <w:t>3.</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Introduction</w:t>
        </w:r>
        <w:r>
          <w:rPr>
            <w:webHidden/>
          </w:rPr>
          <w:tab/>
        </w:r>
        <w:r>
          <w:rPr>
            <w:webHidden/>
          </w:rPr>
          <w:fldChar w:fldCharType="begin"/>
        </w:r>
        <w:r>
          <w:rPr>
            <w:webHidden/>
          </w:rPr>
          <w:instrText xml:space="preserve"> PAGEREF _Toc229644782 \h </w:instrText>
        </w:r>
        <w:r>
          <w:rPr>
            <w:webHidden/>
          </w:rPr>
        </w:r>
        <w:r>
          <w:rPr>
            <w:webHidden/>
          </w:rPr>
          <w:fldChar w:fldCharType="separate"/>
        </w:r>
        <w:r w:rsidR="0031298E">
          <w:rPr>
            <w:webHidden/>
          </w:rPr>
          <w:t>7</w:t>
        </w:r>
        <w:r>
          <w:rPr>
            <w:webHidden/>
          </w:rPr>
          <w:fldChar w:fldCharType="end"/>
        </w:r>
      </w:hyperlink>
    </w:p>
    <w:p w14:paraId="2BBDCB15" w14:textId="58328C87"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83" w:history="1">
        <w:r w:rsidRPr="002978DE">
          <w:rPr>
            <w:rStyle w:val="Hyperlink"/>
          </w:rPr>
          <w:t>Purpose</w:t>
        </w:r>
        <w:r>
          <w:rPr>
            <w:webHidden/>
          </w:rPr>
          <w:tab/>
        </w:r>
        <w:r>
          <w:rPr>
            <w:webHidden/>
          </w:rPr>
          <w:fldChar w:fldCharType="begin"/>
        </w:r>
        <w:r>
          <w:rPr>
            <w:webHidden/>
          </w:rPr>
          <w:instrText xml:space="preserve"> PAGEREF _Toc229644783 \h </w:instrText>
        </w:r>
        <w:r>
          <w:rPr>
            <w:webHidden/>
          </w:rPr>
        </w:r>
        <w:r>
          <w:rPr>
            <w:webHidden/>
          </w:rPr>
          <w:fldChar w:fldCharType="separate"/>
        </w:r>
        <w:r w:rsidR="0031298E">
          <w:rPr>
            <w:webHidden/>
          </w:rPr>
          <w:t>7</w:t>
        </w:r>
        <w:r>
          <w:rPr>
            <w:webHidden/>
          </w:rPr>
          <w:fldChar w:fldCharType="end"/>
        </w:r>
      </w:hyperlink>
    </w:p>
    <w:p w14:paraId="2B249D5A" w14:textId="66088AD2"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84" w:history="1">
        <w:r w:rsidRPr="002978DE">
          <w:rPr>
            <w:rStyle w:val="Hyperlink"/>
          </w:rPr>
          <w:t>Scope</w:t>
        </w:r>
        <w:r>
          <w:rPr>
            <w:webHidden/>
          </w:rPr>
          <w:tab/>
        </w:r>
        <w:r>
          <w:rPr>
            <w:webHidden/>
          </w:rPr>
          <w:fldChar w:fldCharType="begin"/>
        </w:r>
        <w:r>
          <w:rPr>
            <w:webHidden/>
          </w:rPr>
          <w:instrText xml:space="preserve"> PAGEREF _Toc229644784 \h </w:instrText>
        </w:r>
        <w:r>
          <w:rPr>
            <w:webHidden/>
          </w:rPr>
        </w:r>
        <w:r>
          <w:rPr>
            <w:webHidden/>
          </w:rPr>
          <w:fldChar w:fldCharType="separate"/>
        </w:r>
        <w:r w:rsidR="0031298E">
          <w:rPr>
            <w:webHidden/>
          </w:rPr>
          <w:t>7</w:t>
        </w:r>
        <w:r>
          <w:rPr>
            <w:webHidden/>
          </w:rPr>
          <w:fldChar w:fldCharType="end"/>
        </w:r>
      </w:hyperlink>
    </w:p>
    <w:p w14:paraId="36B54C6E" w14:textId="724C40DC"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85" w:history="1">
        <w:r w:rsidRPr="002978DE">
          <w:rPr>
            <w:rStyle w:val="Hyperlink"/>
          </w:rPr>
          <w:t>Objectives</w:t>
        </w:r>
        <w:r>
          <w:rPr>
            <w:webHidden/>
          </w:rPr>
          <w:tab/>
        </w:r>
        <w:r>
          <w:rPr>
            <w:webHidden/>
          </w:rPr>
          <w:fldChar w:fldCharType="begin"/>
        </w:r>
        <w:r>
          <w:rPr>
            <w:webHidden/>
          </w:rPr>
          <w:instrText xml:space="preserve"> PAGEREF _Toc229644785 \h </w:instrText>
        </w:r>
        <w:r>
          <w:rPr>
            <w:webHidden/>
          </w:rPr>
        </w:r>
        <w:r>
          <w:rPr>
            <w:webHidden/>
          </w:rPr>
          <w:fldChar w:fldCharType="separate"/>
        </w:r>
        <w:r w:rsidR="0031298E">
          <w:rPr>
            <w:webHidden/>
          </w:rPr>
          <w:t>7</w:t>
        </w:r>
        <w:r>
          <w:rPr>
            <w:webHidden/>
          </w:rPr>
          <w:fldChar w:fldCharType="end"/>
        </w:r>
      </w:hyperlink>
    </w:p>
    <w:p w14:paraId="6441DD6B" w14:textId="155A04E5"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86" w:history="1">
        <w:r w:rsidRPr="002978DE">
          <w:rPr>
            <w:rStyle w:val="Hyperlink"/>
          </w:rPr>
          <w:t>Key principles</w:t>
        </w:r>
        <w:r>
          <w:rPr>
            <w:webHidden/>
          </w:rPr>
          <w:tab/>
        </w:r>
        <w:r>
          <w:rPr>
            <w:webHidden/>
          </w:rPr>
          <w:fldChar w:fldCharType="begin"/>
        </w:r>
        <w:r>
          <w:rPr>
            <w:webHidden/>
          </w:rPr>
          <w:instrText xml:space="preserve"> PAGEREF _Toc229644786 \h </w:instrText>
        </w:r>
        <w:r>
          <w:rPr>
            <w:webHidden/>
          </w:rPr>
        </w:r>
        <w:r>
          <w:rPr>
            <w:webHidden/>
          </w:rPr>
          <w:fldChar w:fldCharType="separate"/>
        </w:r>
        <w:r w:rsidR="0031298E">
          <w:rPr>
            <w:webHidden/>
          </w:rPr>
          <w:t>7</w:t>
        </w:r>
        <w:r>
          <w:rPr>
            <w:webHidden/>
          </w:rPr>
          <w:fldChar w:fldCharType="end"/>
        </w:r>
      </w:hyperlink>
    </w:p>
    <w:p w14:paraId="4DD83A52" w14:textId="2AD005A8"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87" w:history="1">
        <w:r w:rsidRPr="002978DE">
          <w:rPr>
            <w:rStyle w:val="Hyperlink"/>
          </w:rPr>
          <w:t>Legal requirements</w:t>
        </w:r>
        <w:r>
          <w:rPr>
            <w:webHidden/>
          </w:rPr>
          <w:tab/>
        </w:r>
        <w:r>
          <w:rPr>
            <w:webHidden/>
          </w:rPr>
          <w:fldChar w:fldCharType="begin"/>
        </w:r>
        <w:r>
          <w:rPr>
            <w:webHidden/>
          </w:rPr>
          <w:instrText xml:space="preserve"> PAGEREF _Toc229644787 \h </w:instrText>
        </w:r>
        <w:r>
          <w:rPr>
            <w:webHidden/>
          </w:rPr>
        </w:r>
        <w:r>
          <w:rPr>
            <w:webHidden/>
          </w:rPr>
          <w:fldChar w:fldCharType="separate"/>
        </w:r>
        <w:r w:rsidR="0031298E">
          <w:rPr>
            <w:webHidden/>
          </w:rPr>
          <w:t>7</w:t>
        </w:r>
        <w:r>
          <w:rPr>
            <w:webHidden/>
          </w:rPr>
          <w:fldChar w:fldCharType="end"/>
        </w:r>
      </w:hyperlink>
    </w:p>
    <w:p w14:paraId="7B423D91" w14:textId="0652356F"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788" w:history="1">
        <w:r w:rsidRPr="002978DE">
          <w:rPr>
            <w:rStyle w:val="Hyperlink"/>
          </w:rPr>
          <w:t>4.</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Prevention and preparedness</w:t>
        </w:r>
        <w:r>
          <w:rPr>
            <w:webHidden/>
          </w:rPr>
          <w:tab/>
        </w:r>
        <w:r>
          <w:rPr>
            <w:webHidden/>
          </w:rPr>
          <w:fldChar w:fldCharType="begin"/>
        </w:r>
        <w:r>
          <w:rPr>
            <w:webHidden/>
          </w:rPr>
          <w:instrText xml:space="preserve"> PAGEREF _Toc229644788 \h </w:instrText>
        </w:r>
        <w:r>
          <w:rPr>
            <w:webHidden/>
          </w:rPr>
        </w:r>
        <w:r>
          <w:rPr>
            <w:webHidden/>
          </w:rPr>
          <w:fldChar w:fldCharType="separate"/>
        </w:r>
        <w:r w:rsidR="0031298E">
          <w:rPr>
            <w:webHidden/>
          </w:rPr>
          <w:t>9</w:t>
        </w:r>
        <w:r>
          <w:rPr>
            <w:webHidden/>
          </w:rPr>
          <w:fldChar w:fldCharType="end"/>
        </w:r>
      </w:hyperlink>
    </w:p>
    <w:p w14:paraId="3740E574" w14:textId="005D9C53"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89" w:history="1">
        <w:r w:rsidRPr="002978DE">
          <w:rPr>
            <w:rStyle w:val="Hyperlink"/>
          </w:rPr>
          <w:t>Developing an outbreak management plan (OMP)</w:t>
        </w:r>
        <w:r>
          <w:rPr>
            <w:webHidden/>
          </w:rPr>
          <w:tab/>
        </w:r>
        <w:r>
          <w:rPr>
            <w:webHidden/>
          </w:rPr>
          <w:fldChar w:fldCharType="begin"/>
        </w:r>
        <w:r>
          <w:rPr>
            <w:webHidden/>
          </w:rPr>
          <w:instrText xml:space="preserve"> PAGEREF _Toc229644789 \h </w:instrText>
        </w:r>
        <w:r>
          <w:rPr>
            <w:webHidden/>
          </w:rPr>
        </w:r>
        <w:r>
          <w:rPr>
            <w:webHidden/>
          </w:rPr>
          <w:fldChar w:fldCharType="separate"/>
        </w:r>
        <w:r w:rsidR="0031298E">
          <w:rPr>
            <w:webHidden/>
          </w:rPr>
          <w:t>9</w:t>
        </w:r>
        <w:r>
          <w:rPr>
            <w:webHidden/>
          </w:rPr>
          <w:fldChar w:fldCharType="end"/>
        </w:r>
      </w:hyperlink>
    </w:p>
    <w:p w14:paraId="4FAF5DB2" w14:textId="76AE75F9"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0" w:history="1">
        <w:r w:rsidRPr="002978DE">
          <w:rPr>
            <w:rStyle w:val="Hyperlink"/>
          </w:rPr>
          <w:t>Vaccination</w:t>
        </w:r>
        <w:r>
          <w:rPr>
            <w:webHidden/>
          </w:rPr>
          <w:tab/>
        </w:r>
        <w:r>
          <w:rPr>
            <w:webHidden/>
          </w:rPr>
          <w:fldChar w:fldCharType="begin"/>
        </w:r>
        <w:r>
          <w:rPr>
            <w:webHidden/>
          </w:rPr>
          <w:instrText xml:space="preserve"> PAGEREF _Toc229644790 \h </w:instrText>
        </w:r>
        <w:r>
          <w:rPr>
            <w:webHidden/>
          </w:rPr>
        </w:r>
        <w:r>
          <w:rPr>
            <w:webHidden/>
          </w:rPr>
          <w:fldChar w:fldCharType="separate"/>
        </w:r>
        <w:r w:rsidR="0031298E">
          <w:rPr>
            <w:webHidden/>
          </w:rPr>
          <w:t>10</w:t>
        </w:r>
        <w:r>
          <w:rPr>
            <w:webHidden/>
          </w:rPr>
          <w:fldChar w:fldCharType="end"/>
        </w:r>
      </w:hyperlink>
    </w:p>
    <w:p w14:paraId="15AA453E" w14:textId="36CB3EA1"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1" w:history="1">
        <w:r w:rsidRPr="002978DE">
          <w:rPr>
            <w:rStyle w:val="Hyperlink"/>
          </w:rPr>
          <w:t>Testing</w:t>
        </w:r>
        <w:r>
          <w:rPr>
            <w:webHidden/>
          </w:rPr>
          <w:tab/>
        </w:r>
        <w:r>
          <w:rPr>
            <w:webHidden/>
          </w:rPr>
          <w:fldChar w:fldCharType="begin"/>
        </w:r>
        <w:r>
          <w:rPr>
            <w:webHidden/>
          </w:rPr>
          <w:instrText xml:space="preserve"> PAGEREF _Toc229644791 \h </w:instrText>
        </w:r>
        <w:r>
          <w:rPr>
            <w:webHidden/>
          </w:rPr>
        </w:r>
        <w:r>
          <w:rPr>
            <w:webHidden/>
          </w:rPr>
          <w:fldChar w:fldCharType="separate"/>
        </w:r>
        <w:r w:rsidR="0031298E">
          <w:rPr>
            <w:webHidden/>
          </w:rPr>
          <w:t>11</w:t>
        </w:r>
        <w:r>
          <w:rPr>
            <w:webHidden/>
          </w:rPr>
          <w:fldChar w:fldCharType="end"/>
        </w:r>
      </w:hyperlink>
    </w:p>
    <w:p w14:paraId="402F0B41" w14:textId="49B3000A"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2" w:history="1">
        <w:r w:rsidRPr="002978DE">
          <w:rPr>
            <w:rStyle w:val="Hyperlink"/>
          </w:rPr>
          <w:t>Antiviral treatment and prophylaxis</w:t>
        </w:r>
        <w:r>
          <w:rPr>
            <w:webHidden/>
          </w:rPr>
          <w:tab/>
        </w:r>
        <w:r>
          <w:rPr>
            <w:webHidden/>
          </w:rPr>
          <w:fldChar w:fldCharType="begin"/>
        </w:r>
        <w:r>
          <w:rPr>
            <w:webHidden/>
          </w:rPr>
          <w:instrText xml:space="preserve"> PAGEREF _Toc229644792 \h </w:instrText>
        </w:r>
        <w:r>
          <w:rPr>
            <w:webHidden/>
          </w:rPr>
        </w:r>
        <w:r>
          <w:rPr>
            <w:webHidden/>
          </w:rPr>
          <w:fldChar w:fldCharType="separate"/>
        </w:r>
        <w:r w:rsidR="0031298E">
          <w:rPr>
            <w:webHidden/>
          </w:rPr>
          <w:t>11</w:t>
        </w:r>
        <w:r>
          <w:rPr>
            <w:webHidden/>
          </w:rPr>
          <w:fldChar w:fldCharType="end"/>
        </w:r>
      </w:hyperlink>
    </w:p>
    <w:p w14:paraId="67CF8B23" w14:textId="165B1A05"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3" w:history="1">
        <w:r w:rsidRPr="002978DE">
          <w:rPr>
            <w:rStyle w:val="Hyperlink"/>
          </w:rPr>
          <w:t>IPC</w:t>
        </w:r>
        <w:r>
          <w:rPr>
            <w:webHidden/>
          </w:rPr>
          <w:tab/>
        </w:r>
        <w:r>
          <w:rPr>
            <w:webHidden/>
          </w:rPr>
          <w:fldChar w:fldCharType="begin"/>
        </w:r>
        <w:r>
          <w:rPr>
            <w:webHidden/>
          </w:rPr>
          <w:instrText xml:space="preserve"> PAGEREF _Toc229644793 \h </w:instrText>
        </w:r>
        <w:r>
          <w:rPr>
            <w:webHidden/>
          </w:rPr>
        </w:r>
        <w:r>
          <w:rPr>
            <w:webHidden/>
          </w:rPr>
          <w:fldChar w:fldCharType="separate"/>
        </w:r>
        <w:r w:rsidR="0031298E">
          <w:rPr>
            <w:webHidden/>
          </w:rPr>
          <w:t>11</w:t>
        </w:r>
        <w:r>
          <w:rPr>
            <w:webHidden/>
          </w:rPr>
          <w:fldChar w:fldCharType="end"/>
        </w:r>
      </w:hyperlink>
    </w:p>
    <w:p w14:paraId="2019A558" w14:textId="22EBC9C0"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4" w:history="1">
        <w:r w:rsidRPr="002978DE">
          <w:rPr>
            <w:rStyle w:val="Hyperlink"/>
          </w:rPr>
          <w:t>Stock</w:t>
        </w:r>
        <w:r>
          <w:rPr>
            <w:webHidden/>
          </w:rPr>
          <w:tab/>
        </w:r>
        <w:r>
          <w:rPr>
            <w:webHidden/>
          </w:rPr>
          <w:fldChar w:fldCharType="begin"/>
        </w:r>
        <w:r>
          <w:rPr>
            <w:webHidden/>
          </w:rPr>
          <w:instrText xml:space="preserve"> PAGEREF _Toc229644794 \h </w:instrText>
        </w:r>
        <w:r>
          <w:rPr>
            <w:webHidden/>
          </w:rPr>
        </w:r>
        <w:r>
          <w:rPr>
            <w:webHidden/>
          </w:rPr>
          <w:fldChar w:fldCharType="separate"/>
        </w:r>
        <w:r w:rsidR="0031298E">
          <w:rPr>
            <w:webHidden/>
          </w:rPr>
          <w:t>13</w:t>
        </w:r>
        <w:r>
          <w:rPr>
            <w:webHidden/>
          </w:rPr>
          <w:fldChar w:fldCharType="end"/>
        </w:r>
      </w:hyperlink>
    </w:p>
    <w:p w14:paraId="12E8DC77" w14:textId="17827EA8"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5" w:history="1">
        <w:r w:rsidRPr="002978DE">
          <w:rPr>
            <w:rStyle w:val="Hyperlink"/>
          </w:rPr>
          <w:t>Workforce planning</w:t>
        </w:r>
        <w:r>
          <w:rPr>
            <w:webHidden/>
          </w:rPr>
          <w:tab/>
        </w:r>
        <w:r>
          <w:rPr>
            <w:webHidden/>
          </w:rPr>
          <w:fldChar w:fldCharType="begin"/>
        </w:r>
        <w:r>
          <w:rPr>
            <w:webHidden/>
          </w:rPr>
          <w:instrText xml:space="preserve"> PAGEREF _Toc229644795 \h </w:instrText>
        </w:r>
        <w:r>
          <w:rPr>
            <w:webHidden/>
          </w:rPr>
        </w:r>
        <w:r>
          <w:rPr>
            <w:webHidden/>
          </w:rPr>
          <w:fldChar w:fldCharType="separate"/>
        </w:r>
        <w:r w:rsidR="0031298E">
          <w:rPr>
            <w:webHidden/>
          </w:rPr>
          <w:t>13</w:t>
        </w:r>
        <w:r>
          <w:rPr>
            <w:webHidden/>
          </w:rPr>
          <w:fldChar w:fldCharType="end"/>
        </w:r>
      </w:hyperlink>
    </w:p>
    <w:p w14:paraId="0A5E7D40" w14:textId="691E728C"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6" w:history="1">
        <w:r w:rsidRPr="002978DE">
          <w:rPr>
            <w:rStyle w:val="Hyperlink"/>
          </w:rPr>
          <w:t>Communication</w:t>
        </w:r>
        <w:r>
          <w:rPr>
            <w:webHidden/>
          </w:rPr>
          <w:tab/>
        </w:r>
        <w:r>
          <w:rPr>
            <w:webHidden/>
          </w:rPr>
          <w:fldChar w:fldCharType="begin"/>
        </w:r>
        <w:r>
          <w:rPr>
            <w:webHidden/>
          </w:rPr>
          <w:instrText xml:space="preserve"> PAGEREF _Toc229644796 \h </w:instrText>
        </w:r>
        <w:r>
          <w:rPr>
            <w:webHidden/>
          </w:rPr>
        </w:r>
        <w:r>
          <w:rPr>
            <w:webHidden/>
          </w:rPr>
          <w:fldChar w:fldCharType="separate"/>
        </w:r>
        <w:r w:rsidR="0031298E">
          <w:rPr>
            <w:webHidden/>
          </w:rPr>
          <w:t>14</w:t>
        </w:r>
        <w:r>
          <w:rPr>
            <w:webHidden/>
          </w:rPr>
          <w:fldChar w:fldCharType="end"/>
        </w:r>
      </w:hyperlink>
    </w:p>
    <w:p w14:paraId="65F7C6AE" w14:textId="0FB2CB68"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7" w:history="1">
        <w:r w:rsidRPr="002978DE">
          <w:rPr>
            <w:rStyle w:val="Hyperlink"/>
          </w:rPr>
          <w:t>Visitors</w:t>
        </w:r>
        <w:r>
          <w:rPr>
            <w:webHidden/>
          </w:rPr>
          <w:tab/>
        </w:r>
        <w:r>
          <w:rPr>
            <w:webHidden/>
          </w:rPr>
          <w:fldChar w:fldCharType="begin"/>
        </w:r>
        <w:r>
          <w:rPr>
            <w:webHidden/>
          </w:rPr>
          <w:instrText xml:space="preserve"> PAGEREF _Toc229644797 \h </w:instrText>
        </w:r>
        <w:r>
          <w:rPr>
            <w:webHidden/>
          </w:rPr>
        </w:r>
        <w:r>
          <w:rPr>
            <w:webHidden/>
          </w:rPr>
          <w:fldChar w:fldCharType="separate"/>
        </w:r>
        <w:r w:rsidR="0031298E">
          <w:rPr>
            <w:webHidden/>
          </w:rPr>
          <w:t>14</w:t>
        </w:r>
        <w:r>
          <w:rPr>
            <w:webHidden/>
          </w:rPr>
          <w:fldChar w:fldCharType="end"/>
        </w:r>
      </w:hyperlink>
    </w:p>
    <w:p w14:paraId="6D8DF785" w14:textId="6F681E2A"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798" w:history="1">
        <w:r w:rsidRPr="002978DE">
          <w:rPr>
            <w:rStyle w:val="Hyperlink"/>
          </w:rPr>
          <w:t>5.</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Detecting, testing and managing a resident with ARI symptoms</w:t>
        </w:r>
        <w:r>
          <w:rPr>
            <w:webHidden/>
          </w:rPr>
          <w:tab/>
        </w:r>
        <w:r>
          <w:rPr>
            <w:webHidden/>
          </w:rPr>
          <w:fldChar w:fldCharType="begin"/>
        </w:r>
        <w:r>
          <w:rPr>
            <w:webHidden/>
          </w:rPr>
          <w:instrText xml:space="preserve"> PAGEREF _Toc229644798 \h </w:instrText>
        </w:r>
        <w:r>
          <w:rPr>
            <w:webHidden/>
          </w:rPr>
        </w:r>
        <w:r>
          <w:rPr>
            <w:webHidden/>
          </w:rPr>
          <w:fldChar w:fldCharType="separate"/>
        </w:r>
        <w:r w:rsidR="0031298E">
          <w:rPr>
            <w:webHidden/>
          </w:rPr>
          <w:t>16</w:t>
        </w:r>
        <w:r>
          <w:rPr>
            <w:webHidden/>
          </w:rPr>
          <w:fldChar w:fldCharType="end"/>
        </w:r>
      </w:hyperlink>
    </w:p>
    <w:p w14:paraId="7A5DA23F" w14:textId="03CFB428"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799" w:history="1">
        <w:r w:rsidRPr="002978DE">
          <w:rPr>
            <w:rStyle w:val="Hyperlink"/>
          </w:rPr>
          <w:t>Surveillance and early detection</w:t>
        </w:r>
        <w:r>
          <w:rPr>
            <w:webHidden/>
          </w:rPr>
          <w:tab/>
        </w:r>
        <w:r>
          <w:rPr>
            <w:webHidden/>
          </w:rPr>
          <w:fldChar w:fldCharType="begin"/>
        </w:r>
        <w:r>
          <w:rPr>
            <w:webHidden/>
          </w:rPr>
          <w:instrText xml:space="preserve"> PAGEREF _Toc229644799 \h </w:instrText>
        </w:r>
        <w:r>
          <w:rPr>
            <w:webHidden/>
          </w:rPr>
        </w:r>
        <w:r>
          <w:rPr>
            <w:webHidden/>
          </w:rPr>
          <w:fldChar w:fldCharType="separate"/>
        </w:r>
        <w:r w:rsidR="0031298E">
          <w:rPr>
            <w:webHidden/>
          </w:rPr>
          <w:t>16</w:t>
        </w:r>
        <w:r>
          <w:rPr>
            <w:webHidden/>
          </w:rPr>
          <w:fldChar w:fldCharType="end"/>
        </w:r>
      </w:hyperlink>
    </w:p>
    <w:p w14:paraId="752651AE" w14:textId="5A47705F"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800" w:history="1">
        <w:r w:rsidRPr="002978DE">
          <w:rPr>
            <w:rStyle w:val="Hyperlink"/>
          </w:rPr>
          <w:t>Case management: initial actions when a resident develops symptoms</w:t>
        </w:r>
        <w:r>
          <w:rPr>
            <w:webHidden/>
          </w:rPr>
          <w:tab/>
        </w:r>
        <w:r>
          <w:rPr>
            <w:webHidden/>
          </w:rPr>
          <w:fldChar w:fldCharType="begin"/>
        </w:r>
        <w:r>
          <w:rPr>
            <w:webHidden/>
          </w:rPr>
          <w:instrText xml:space="preserve"> PAGEREF _Toc229644800 \h </w:instrText>
        </w:r>
        <w:r>
          <w:rPr>
            <w:webHidden/>
          </w:rPr>
        </w:r>
        <w:r>
          <w:rPr>
            <w:webHidden/>
          </w:rPr>
          <w:fldChar w:fldCharType="separate"/>
        </w:r>
        <w:r w:rsidR="0031298E">
          <w:rPr>
            <w:webHidden/>
          </w:rPr>
          <w:t>16</w:t>
        </w:r>
        <w:r>
          <w:rPr>
            <w:webHidden/>
          </w:rPr>
          <w:fldChar w:fldCharType="end"/>
        </w:r>
      </w:hyperlink>
    </w:p>
    <w:p w14:paraId="5A1877B8" w14:textId="28F95C80"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801" w:history="1">
        <w:r w:rsidRPr="002978DE">
          <w:rPr>
            <w:rStyle w:val="Hyperlink"/>
          </w:rPr>
          <w:t>Contact management for a confirmed COVID-19 case</w:t>
        </w:r>
        <w:r>
          <w:rPr>
            <w:webHidden/>
          </w:rPr>
          <w:tab/>
        </w:r>
        <w:r>
          <w:rPr>
            <w:webHidden/>
          </w:rPr>
          <w:fldChar w:fldCharType="begin"/>
        </w:r>
        <w:r>
          <w:rPr>
            <w:webHidden/>
          </w:rPr>
          <w:instrText xml:space="preserve"> PAGEREF _Toc229644801 \h </w:instrText>
        </w:r>
        <w:r>
          <w:rPr>
            <w:webHidden/>
          </w:rPr>
        </w:r>
        <w:r>
          <w:rPr>
            <w:webHidden/>
          </w:rPr>
          <w:fldChar w:fldCharType="separate"/>
        </w:r>
        <w:r w:rsidR="0031298E">
          <w:rPr>
            <w:webHidden/>
          </w:rPr>
          <w:t>18</w:t>
        </w:r>
        <w:r>
          <w:rPr>
            <w:webHidden/>
          </w:rPr>
          <w:fldChar w:fldCharType="end"/>
        </w:r>
      </w:hyperlink>
    </w:p>
    <w:p w14:paraId="77B5C341" w14:textId="1A6F3229"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802" w:history="1">
        <w:r w:rsidRPr="002978DE">
          <w:rPr>
            <w:rStyle w:val="Hyperlink"/>
          </w:rPr>
          <w:t>6.</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Identification and reporting of an outbreak</w:t>
        </w:r>
        <w:r>
          <w:rPr>
            <w:webHidden/>
          </w:rPr>
          <w:tab/>
        </w:r>
        <w:r>
          <w:rPr>
            <w:webHidden/>
          </w:rPr>
          <w:fldChar w:fldCharType="begin"/>
        </w:r>
        <w:r>
          <w:rPr>
            <w:webHidden/>
          </w:rPr>
          <w:instrText xml:space="preserve"> PAGEREF _Toc229644802 \h </w:instrText>
        </w:r>
        <w:r>
          <w:rPr>
            <w:webHidden/>
          </w:rPr>
        </w:r>
        <w:r>
          <w:rPr>
            <w:webHidden/>
          </w:rPr>
          <w:fldChar w:fldCharType="separate"/>
        </w:r>
        <w:r w:rsidR="0031298E">
          <w:rPr>
            <w:webHidden/>
          </w:rPr>
          <w:t>19</w:t>
        </w:r>
        <w:r>
          <w:rPr>
            <w:webHidden/>
          </w:rPr>
          <w:fldChar w:fldCharType="end"/>
        </w:r>
      </w:hyperlink>
    </w:p>
    <w:p w14:paraId="131086A8" w14:textId="670A735A"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803" w:history="1">
        <w:r w:rsidRPr="002978DE">
          <w:rPr>
            <w:rStyle w:val="Hyperlink"/>
          </w:rPr>
          <w:t>7.</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Respiratory outbreak management</w:t>
        </w:r>
        <w:r>
          <w:rPr>
            <w:webHidden/>
          </w:rPr>
          <w:tab/>
        </w:r>
        <w:r>
          <w:rPr>
            <w:webHidden/>
          </w:rPr>
          <w:fldChar w:fldCharType="begin"/>
        </w:r>
        <w:r>
          <w:rPr>
            <w:webHidden/>
          </w:rPr>
          <w:instrText xml:space="preserve"> PAGEREF _Toc229644803 \h </w:instrText>
        </w:r>
        <w:r>
          <w:rPr>
            <w:webHidden/>
          </w:rPr>
        </w:r>
        <w:r>
          <w:rPr>
            <w:webHidden/>
          </w:rPr>
          <w:fldChar w:fldCharType="separate"/>
        </w:r>
        <w:r w:rsidR="0031298E">
          <w:rPr>
            <w:webHidden/>
          </w:rPr>
          <w:t>20</w:t>
        </w:r>
        <w:r>
          <w:rPr>
            <w:webHidden/>
          </w:rPr>
          <w:fldChar w:fldCharType="end"/>
        </w:r>
      </w:hyperlink>
    </w:p>
    <w:p w14:paraId="7C0AA030" w14:textId="4A85E06E"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804" w:history="1">
        <w:r w:rsidRPr="002978DE">
          <w:rPr>
            <w:rStyle w:val="Hyperlink"/>
          </w:rPr>
          <w:t>8.</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Mixed respiratory pathogen outbreak management</w:t>
        </w:r>
        <w:r>
          <w:rPr>
            <w:webHidden/>
          </w:rPr>
          <w:tab/>
        </w:r>
        <w:r>
          <w:rPr>
            <w:webHidden/>
          </w:rPr>
          <w:fldChar w:fldCharType="begin"/>
        </w:r>
        <w:r>
          <w:rPr>
            <w:webHidden/>
          </w:rPr>
          <w:instrText xml:space="preserve"> PAGEREF _Toc229644804 \h </w:instrText>
        </w:r>
        <w:r>
          <w:rPr>
            <w:webHidden/>
          </w:rPr>
        </w:r>
        <w:r>
          <w:rPr>
            <w:webHidden/>
          </w:rPr>
          <w:fldChar w:fldCharType="separate"/>
        </w:r>
        <w:r w:rsidR="0031298E">
          <w:rPr>
            <w:webHidden/>
          </w:rPr>
          <w:t>31</w:t>
        </w:r>
        <w:r>
          <w:rPr>
            <w:webHidden/>
          </w:rPr>
          <w:fldChar w:fldCharType="end"/>
        </w:r>
      </w:hyperlink>
    </w:p>
    <w:p w14:paraId="3EB04461" w14:textId="476A3C9A"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805" w:history="1">
        <w:r w:rsidRPr="002978DE">
          <w:rPr>
            <w:rStyle w:val="Hyperlink"/>
          </w:rPr>
          <w:t>Key management points</w:t>
        </w:r>
        <w:r>
          <w:rPr>
            <w:webHidden/>
          </w:rPr>
          <w:tab/>
        </w:r>
        <w:r>
          <w:rPr>
            <w:webHidden/>
          </w:rPr>
          <w:fldChar w:fldCharType="begin"/>
        </w:r>
        <w:r>
          <w:rPr>
            <w:webHidden/>
          </w:rPr>
          <w:instrText xml:space="preserve"> PAGEREF _Toc229644805 \h </w:instrText>
        </w:r>
        <w:r>
          <w:rPr>
            <w:webHidden/>
          </w:rPr>
        </w:r>
        <w:r>
          <w:rPr>
            <w:webHidden/>
          </w:rPr>
          <w:fldChar w:fldCharType="separate"/>
        </w:r>
        <w:r w:rsidR="0031298E">
          <w:rPr>
            <w:webHidden/>
          </w:rPr>
          <w:t>31</w:t>
        </w:r>
        <w:r>
          <w:rPr>
            <w:webHidden/>
          </w:rPr>
          <w:fldChar w:fldCharType="end"/>
        </w:r>
      </w:hyperlink>
    </w:p>
    <w:p w14:paraId="0B3C094B" w14:textId="13ECA53C" w:rsidR="00F9103D" w:rsidRDefault="00F9103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9644806" w:history="1">
        <w:r w:rsidRPr="002978DE">
          <w:rPr>
            <w:rStyle w:val="Hyperlink"/>
          </w:rPr>
          <w:t>9.</w:t>
        </w:r>
        <w:r>
          <w:rPr>
            <w:rFonts w:asciiTheme="minorHAnsi" w:eastAsiaTheme="minorEastAsia" w:hAnsiTheme="minorHAnsi" w:cstheme="minorBidi"/>
            <w:b w:val="0"/>
            <w:kern w:val="2"/>
            <w:sz w:val="24"/>
            <w:szCs w:val="24"/>
            <w:lang w:eastAsia="en-AU"/>
            <w14:ligatures w14:val="standardContextual"/>
          </w:rPr>
          <w:tab/>
        </w:r>
        <w:r w:rsidRPr="002978DE">
          <w:rPr>
            <w:rStyle w:val="Hyperlink"/>
          </w:rPr>
          <w:t>Appendices</w:t>
        </w:r>
        <w:r>
          <w:rPr>
            <w:webHidden/>
          </w:rPr>
          <w:tab/>
        </w:r>
        <w:r>
          <w:rPr>
            <w:webHidden/>
          </w:rPr>
          <w:fldChar w:fldCharType="begin"/>
        </w:r>
        <w:r>
          <w:rPr>
            <w:webHidden/>
          </w:rPr>
          <w:instrText xml:space="preserve"> PAGEREF _Toc229644806 \h </w:instrText>
        </w:r>
        <w:r>
          <w:rPr>
            <w:webHidden/>
          </w:rPr>
        </w:r>
        <w:r>
          <w:rPr>
            <w:webHidden/>
          </w:rPr>
          <w:fldChar w:fldCharType="separate"/>
        </w:r>
        <w:r w:rsidR="0031298E">
          <w:rPr>
            <w:webHidden/>
          </w:rPr>
          <w:t>32</w:t>
        </w:r>
        <w:r>
          <w:rPr>
            <w:webHidden/>
          </w:rPr>
          <w:fldChar w:fldCharType="end"/>
        </w:r>
      </w:hyperlink>
    </w:p>
    <w:p w14:paraId="193D43BC" w14:textId="2002876C" w:rsidR="00F9103D" w:rsidRDefault="00F9103D">
      <w:pPr>
        <w:pStyle w:val="TOC2"/>
        <w:rPr>
          <w:rFonts w:asciiTheme="minorHAnsi" w:eastAsiaTheme="minorEastAsia" w:hAnsiTheme="minorHAnsi" w:cstheme="minorBidi"/>
          <w:kern w:val="2"/>
          <w:sz w:val="24"/>
          <w:szCs w:val="24"/>
          <w:lang w:eastAsia="en-AU"/>
          <w14:ligatures w14:val="standardContextual"/>
        </w:rPr>
      </w:pPr>
      <w:hyperlink w:anchor="_Toc229644807" w:history="1">
        <w:r w:rsidRPr="002978DE">
          <w:rPr>
            <w:rStyle w:val="Hyperlink"/>
          </w:rPr>
          <w:t>Appendix 1: Key documents and resources</w:t>
        </w:r>
        <w:r>
          <w:rPr>
            <w:webHidden/>
          </w:rPr>
          <w:tab/>
        </w:r>
        <w:r>
          <w:rPr>
            <w:webHidden/>
          </w:rPr>
          <w:fldChar w:fldCharType="begin"/>
        </w:r>
        <w:r>
          <w:rPr>
            <w:webHidden/>
          </w:rPr>
          <w:instrText xml:space="preserve"> PAGEREF _Toc229644807 \h </w:instrText>
        </w:r>
        <w:r>
          <w:rPr>
            <w:webHidden/>
          </w:rPr>
        </w:r>
        <w:r>
          <w:rPr>
            <w:webHidden/>
          </w:rPr>
          <w:fldChar w:fldCharType="separate"/>
        </w:r>
        <w:r w:rsidR="0031298E">
          <w:rPr>
            <w:webHidden/>
          </w:rPr>
          <w:t>32</w:t>
        </w:r>
        <w:r>
          <w:rPr>
            <w:webHidden/>
          </w:rPr>
          <w:fldChar w:fldCharType="end"/>
        </w:r>
      </w:hyperlink>
    </w:p>
    <w:p w14:paraId="02D38592" w14:textId="5E5C53B2" w:rsidR="00FB1F6E" w:rsidRDefault="00AD784C" w:rsidP="00D079AA">
      <w:pPr>
        <w:pStyle w:val="Body"/>
      </w:pPr>
      <w:r>
        <w:fldChar w:fldCharType="end"/>
      </w:r>
    </w:p>
    <w:p w14:paraId="07B7F687" w14:textId="77777777" w:rsidR="00FB1F6E" w:rsidRDefault="00FB1F6E">
      <w:pPr>
        <w:spacing w:after="0" w:line="240" w:lineRule="auto"/>
        <w:rPr>
          <w:rFonts w:eastAsia="Times"/>
        </w:rPr>
      </w:pPr>
      <w:r>
        <w:br w:type="page"/>
      </w:r>
    </w:p>
    <w:p w14:paraId="5CEAF46C" w14:textId="3F927E7A" w:rsidR="00D57412" w:rsidRPr="00027E09" w:rsidRDefault="00D57412" w:rsidP="00D57412">
      <w:pPr>
        <w:pStyle w:val="Heading1"/>
        <w:spacing w:before="0"/>
        <w:rPr>
          <w:color w:val="1F497D" w:themeColor="text2"/>
        </w:rPr>
      </w:pPr>
      <w:bookmarkStart w:id="6" w:name="_Toc197948644"/>
      <w:bookmarkStart w:id="7" w:name="_Toc229644779"/>
      <w:bookmarkStart w:id="8" w:name="_Hlk66712316"/>
      <w:r w:rsidRPr="00027E09">
        <w:rPr>
          <w:color w:val="1F497D" w:themeColor="text2"/>
        </w:rPr>
        <w:lastRenderedPageBreak/>
        <w:t xml:space="preserve">Executive </w:t>
      </w:r>
      <w:r w:rsidR="001E509C">
        <w:rPr>
          <w:color w:val="1F497D" w:themeColor="text2"/>
        </w:rPr>
        <w:t>s</w:t>
      </w:r>
      <w:r w:rsidRPr="00027E09">
        <w:rPr>
          <w:color w:val="1F497D" w:themeColor="text2"/>
        </w:rPr>
        <w:t>ummary</w:t>
      </w:r>
      <w:bookmarkEnd w:id="6"/>
      <w:bookmarkEnd w:id="7"/>
    </w:p>
    <w:p w14:paraId="440481B8" w14:textId="62BC698C" w:rsidR="00CD3E24" w:rsidRDefault="00CD3E24" w:rsidP="00D57412">
      <w:pPr>
        <w:pStyle w:val="Body"/>
      </w:pPr>
      <w:r w:rsidRPr="00CD3E24">
        <w:t xml:space="preserve">Acute respiratory infections (ARIs) caused by </w:t>
      </w:r>
      <w:r w:rsidR="00094172">
        <w:t>SARS-CoV-2</w:t>
      </w:r>
      <w:r w:rsidRPr="00CD3E24">
        <w:t>, influenza</w:t>
      </w:r>
      <w:r w:rsidR="00094172">
        <w:t xml:space="preserve"> virus</w:t>
      </w:r>
      <w:r w:rsidRPr="00CD3E24">
        <w:t xml:space="preserve">, </w:t>
      </w:r>
      <w:r w:rsidR="00B7507C">
        <w:t>respiratory syncytial virus (</w:t>
      </w:r>
      <w:r w:rsidRPr="00CD3E24">
        <w:t>RSV</w:t>
      </w:r>
      <w:r w:rsidR="00B7507C">
        <w:t>)</w:t>
      </w:r>
      <w:r w:rsidRPr="00CD3E24">
        <w:t xml:space="preserve"> and other respiratory viruses can spread easily</w:t>
      </w:r>
      <w:r w:rsidR="008312FB">
        <w:t xml:space="preserve"> and </w:t>
      </w:r>
      <w:r w:rsidRPr="00CD3E24">
        <w:t>cause serious illness and death</w:t>
      </w:r>
      <w:r w:rsidR="008312FB">
        <w:t xml:space="preserve">. </w:t>
      </w:r>
    </w:p>
    <w:p w14:paraId="3CAFC7E6" w14:textId="720AF21F" w:rsidR="00D57412" w:rsidRPr="0014515B" w:rsidRDefault="00D57412" w:rsidP="00D57412">
      <w:pPr>
        <w:pStyle w:val="Body"/>
      </w:pPr>
      <w:r>
        <w:t>Residential care facilities (RCFs) are high</w:t>
      </w:r>
      <w:r w:rsidR="001E509C">
        <w:t>-</w:t>
      </w:r>
      <w:r>
        <w:t xml:space="preserve">risk settings </w:t>
      </w:r>
      <w:r w:rsidR="00EB165B">
        <w:t xml:space="preserve">for the spread of infection and disease burden </w:t>
      </w:r>
      <w:r w:rsidR="001263C1">
        <w:t xml:space="preserve">from ARIs </w:t>
      </w:r>
      <w:r>
        <w:t>because residents live closely together</w:t>
      </w:r>
      <w:r w:rsidR="0070220F">
        <w:t xml:space="preserve">, </w:t>
      </w:r>
      <w:r w:rsidR="007A0FDB">
        <w:t>may</w:t>
      </w:r>
      <w:r w:rsidR="0070220F">
        <w:t xml:space="preserve"> </w:t>
      </w:r>
      <w:r w:rsidR="00811A51">
        <w:t xml:space="preserve">use communal </w:t>
      </w:r>
      <w:r w:rsidR="00471081">
        <w:t>facilities</w:t>
      </w:r>
      <w:r w:rsidR="001E509C">
        <w:t>,</w:t>
      </w:r>
      <w:r>
        <w:t xml:space="preserve"> and are more </w:t>
      </w:r>
      <w:r w:rsidR="00811A51">
        <w:t xml:space="preserve">susceptible to infection and serious illness </w:t>
      </w:r>
      <w:r>
        <w:t>due to weaker immune systems and existing health conditions.</w:t>
      </w:r>
    </w:p>
    <w:p w14:paraId="3E949547" w14:textId="646FF64A" w:rsidR="00D57412" w:rsidRPr="0014515B" w:rsidRDefault="00D57412" w:rsidP="00D57412">
      <w:pPr>
        <w:pStyle w:val="Body"/>
      </w:pPr>
      <w:r w:rsidRPr="0014515B">
        <w:t xml:space="preserve">Early public health </w:t>
      </w:r>
      <w:r>
        <w:t>action is important to reduce transmission and improve health outcomes. In Victoria,</w:t>
      </w:r>
      <w:r w:rsidRPr="0014515B">
        <w:t xml:space="preserve"> COVID-19</w:t>
      </w:r>
      <w:r w:rsidR="00E93EEB">
        <w:t xml:space="preserve"> </w:t>
      </w:r>
      <w:r w:rsidR="00AF7289">
        <w:t>(</w:t>
      </w:r>
      <w:r w:rsidR="00E93EEB">
        <w:t>caused by SARS-CoV-2</w:t>
      </w:r>
      <w:r w:rsidR="00AF7289">
        <w:t>)</w:t>
      </w:r>
      <w:r w:rsidRPr="0014515B">
        <w:t>, influenza and RSV are notifiable conditions</w:t>
      </w:r>
      <w:r w:rsidR="00CD2FD9">
        <w:t>.</w:t>
      </w:r>
      <w:r>
        <w:t xml:space="preserve"> </w:t>
      </w:r>
      <w:r w:rsidR="00CD2FD9">
        <w:t>V</w:t>
      </w:r>
      <w:r>
        <w:t xml:space="preserve">accines </w:t>
      </w:r>
      <w:r w:rsidR="00CD2FD9">
        <w:t xml:space="preserve">are </w:t>
      </w:r>
      <w:r>
        <w:t xml:space="preserve">available to </w:t>
      </w:r>
      <w:r w:rsidR="00A435C3">
        <w:t>protect against</w:t>
      </w:r>
      <w:r>
        <w:t xml:space="preserve"> </w:t>
      </w:r>
      <w:r w:rsidR="00A435C3">
        <w:t xml:space="preserve">these </w:t>
      </w:r>
      <w:r>
        <w:t>infection</w:t>
      </w:r>
      <w:r w:rsidR="00A435C3">
        <w:t>s</w:t>
      </w:r>
      <w:r>
        <w:t xml:space="preserve"> and </w:t>
      </w:r>
      <w:r w:rsidRPr="0014515B">
        <w:t xml:space="preserve">reduce </w:t>
      </w:r>
      <w:r>
        <w:t>the risk of severe illness</w:t>
      </w:r>
      <w:r w:rsidRPr="0014515B">
        <w:t xml:space="preserve">. </w:t>
      </w:r>
      <w:r w:rsidR="00C52C21">
        <w:t>Specific t</w:t>
      </w:r>
      <w:r w:rsidRPr="0014515B">
        <w:t>reatment</w:t>
      </w:r>
      <w:r>
        <w:t>s are</w:t>
      </w:r>
      <w:r w:rsidRPr="0014515B">
        <w:t xml:space="preserve"> available for </w:t>
      </w:r>
      <w:r>
        <w:t xml:space="preserve">COVID-19 and </w:t>
      </w:r>
      <w:r w:rsidRPr="0014515B">
        <w:t xml:space="preserve">influenza, </w:t>
      </w:r>
      <w:r w:rsidR="00C52C21">
        <w:t>including</w:t>
      </w:r>
      <w:r w:rsidRPr="0014515B">
        <w:t xml:space="preserve"> </w:t>
      </w:r>
      <w:r>
        <w:t xml:space="preserve">preventive </w:t>
      </w:r>
      <w:r w:rsidR="00C52C21">
        <w:t>treatment</w:t>
      </w:r>
      <w:r>
        <w:t xml:space="preserve"> for influenza. To support early outbreak detection, staff in RCFs should monitor residents for symptoms of ARI</w:t>
      </w:r>
      <w:r w:rsidR="00C52C21">
        <w:t>s</w:t>
      </w:r>
      <w:r>
        <w:t xml:space="preserve">, enabling timely testing and implementation of </w:t>
      </w:r>
      <w:r w:rsidR="00C52C21">
        <w:t xml:space="preserve">infection prevention and </w:t>
      </w:r>
      <w:r>
        <w:t xml:space="preserve">control </w:t>
      </w:r>
      <w:r w:rsidR="001E509C">
        <w:t xml:space="preserve">(IPC) </w:t>
      </w:r>
      <w:r>
        <w:t>measures.</w:t>
      </w:r>
    </w:p>
    <w:p w14:paraId="455CDD04" w14:textId="3BF71D99" w:rsidR="00042167" w:rsidRDefault="00D57412" w:rsidP="00D57412">
      <w:pPr>
        <w:pStyle w:val="Body"/>
      </w:pPr>
      <w:r>
        <w:t>T</w:t>
      </w:r>
      <w:r w:rsidRPr="0014515B">
        <w:t xml:space="preserve">his guideline </w:t>
      </w:r>
      <w:r>
        <w:t>provides</w:t>
      </w:r>
      <w:r w:rsidRPr="0014515B">
        <w:t xml:space="preserve"> statewide public health advice to support </w:t>
      </w:r>
      <w:r>
        <w:t xml:space="preserve">the management of ARI </w:t>
      </w:r>
      <w:r w:rsidRPr="0014515B">
        <w:t>exposure</w:t>
      </w:r>
      <w:r>
        <w:t>s</w:t>
      </w:r>
      <w:r w:rsidRPr="0014515B">
        <w:t xml:space="preserve"> and outbreak</w:t>
      </w:r>
      <w:r w:rsidR="00C52C21">
        <w:t>s</w:t>
      </w:r>
      <w:r w:rsidRPr="0014515B">
        <w:t xml:space="preserve"> in RCFs. It </w:t>
      </w:r>
      <w:r>
        <w:t xml:space="preserve">should be used alongside each facility’s </w:t>
      </w:r>
      <w:r w:rsidRPr="0014515B">
        <w:t>Outbreak Management Plan</w:t>
      </w:r>
      <w:r>
        <w:t xml:space="preserve">. The guideline also supports the role of </w:t>
      </w:r>
      <w:r w:rsidR="009E0874">
        <w:t>L</w:t>
      </w:r>
      <w:r>
        <w:t xml:space="preserve">ocal </w:t>
      </w:r>
      <w:r w:rsidR="009E0874">
        <w:t>P</w:t>
      </w:r>
      <w:r>
        <w:t xml:space="preserve">ublic </w:t>
      </w:r>
      <w:r w:rsidR="009E0874">
        <w:t>H</w:t>
      </w:r>
      <w:r>
        <w:t xml:space="preserve">ealth </w:t>
      </w:r>
      <w:r w:rsidR="009E0874">
        <w:t>U</w:t>
      </w:r>
      <w:r>
        <w:t xml:space="preserve">nits (LPHUs) in providing consistent advice. </w:t>
      </w:r>
    </w:p>
    <w:p w14:paraId="652F8CA6" w14:textId="7F84F972" w:rsidR="00D57412" w:rsidRPr="0014515B" w:rsidRDefault="00D57412" w:rsidP="00D57412">
      <w:pPr>
        <w:pStyle w:val="Body"/>
      </w:pPr>
      <w:r>
        <w:t xml:space="preserve">RCFs </w:t>
      </w:r>
      <w:r w:rsidR="00E93EEB">
        <w:t>should</w:t>
      </w:r>
      <w:r w:rsidRPr="0014515B">
        <w:t xml:space="preserve"> balance </w:t>
      </w:r>
      <w:r w:rsidR="001E509C">
        <w:t>IPC</w:t>
      </w:r>
      <w:r w:rsidR="00F572E2">
        <w:t xml:space="preserve"> measures </w:t>
      </w:r>
      <w:r>
        <w:t>with residents</w:t>
      </w:r>
      <w:r w:rsidR="001E509C">
        <w:t>’</w:t>
      </w:r>
      <w:r>
        <w:t xml:space="preserve"> physical, social and emotional wellbeing, supporting </w:t>
      </w:r>
      <w:r w:rsidR="009747FD">
        <w:t xml:space="preserve">their </w:t>
      </w:r>
      <w:r>
        <w:t>choices</w:t>
      </w:r>
      <w:r w:rsidRPr="0014515B">
        <w:t xml:space="preserve"> </w:t>
      </w:r>
      <w:r>
        <w:t xml:space="preserve">and quality of life. Ongoing preparedness remains essential due to circulating </w:t>
      </w:r>
      <w:r w:rsidR="00A54FDB">
        <w:t>CIVID-19</w:t>
      </w:r>
      <w:r>
        <w:t xml:space="preserve">, seasonal influenza, RSV and other respiratory viruses. </w:t>
      </w:r>
      <w:r w:rsidRPr="0014515B">
        <w:t xml:space="preserve"> </w:t>
      </w:r>
    </w:p>
    <w:p w14:paraId="6C339D8F" w14:textId="0AB1140F" w:rsidR="00D57412" w:rsidRPr="0014515B" w:rsidRDefault="00D57412" w:rsidP="00D57412">
      <w:pPr>
        <w:pStyle w:val="Body"/>
      </w:pPr>
      <w:r w:rsidRPr="00653C60">
        <w:t xml:space="preserve">A </w:t>
      </w:r>
      <w:hyperlink r:id="rId20" w:history="1">
        <w:r w:rsidRPr="00FC78B6">
          <w:rPr>
            <w:rStyle w:val="Hyperlink"/>
          </w:rPr>
          <w:t>checklist</w:t>
        </w:r>
      </w:hyperlink>
      <w:r w:rsidRPr="00FC78B6">
        <w:t xml:space="preserve"> &lt;https://www</w:t>
      </w:r>
      <w:r w:rsidRPr="00653C60">
        <w:t>.health.vic.gov.au/infectious-diseases/acute-respiratory-infection-management-rcf&gt;</w:t>
      </w:r>
      <w:r>
        <w:t xml:space="preserve"> </w:t>
      </w:r>
      <w:r w:rsidRPr="00653C60">
        <w:t xml:space="preserve">is available to </w:t>
      </w:r>
      <w:r>
        <w:t>support</w:t>
      </w:r>
      <w:r w:rsidRPr="00653C60">
        <w:t xml:space="preserve"> </w:t>
      </w:r>
      <w:r>
        <w:t>RCFs</w:t>
      </w:r>
      <w:r w:rsidRPr="00653C60">
        <w:t xml:space="preserve"> </w:t>
      </w:r>
      <w:r>
        <w:t>in responding to ARI cases and outbreaks, with further details provided in this guideline</w:t>
      </w:r>
      <w:r w:rsidR="00A54FDB">
        <w:t>.</w:t>
      </w:r>
    </w:p>
    <w:p w14:paraId="0D921FF0" w14:textId="3A68D73E" w:rsidR="00086EAB" w:rsidRDefault="00ED032B" w:rsidP="00E376BE">
      <w:pPr>
        <w:pStyle w:val="Heading1"/>
        <w:numPr>
          <w:ilvl w:val="0"/>
          <w:numId w:val="12"/>
        </w:numPr>
        <w:rPr>
          <w:color w:val="1F497D" w:themeColor="text2"/>
        </w:rPr>
      </w:pPr>
      <w:bookmarkStart w:id="9" w:name="_Toc197948646"/>
      <w:r>
        <w:br w:type="page"/>
      </w:r>
      <w:bookmarkStart w:id="10" w:name="_Toc229644780"/>
      <w:r w:rsidR="00086EAB">
        <w:rPr>
          <w:color w:val="1F497D" w:themeColor="text2"/>
        </w:rPr>
        <w:lastRenderedPageBreak/>
        <w:t>Glossary</w:t>
      </w:r>
      <w:bookmarkEnd w:id="10"/>
    </w:p>
    <w:tbl>
      <w:tblPr>
        <w:tblStyle w:val="TableGrid"/>
        <w:tblW w:w="0" w:type="auto"/>
        <w:tblLook w:val="04A0" w:firstRow="1" w:lastRow="0" w:firstColumn="1" w:lastColumn="0" w:noHBand="0" w:noVBand="1"/>
      </w:tblPr>
      <w:tblGrid>
        <w:gridCol w:w="1696"/>
        <w:gridCol w:w="7592"/>
      </w:tblGrid>
      <w:tr w:rsidR="00BF318D" w14:paraId="187638CF" w14:textId="77777777" w:rsidTr="004C2C50">
        <w:tc>
          <w:tcPr>
            <w:tcW w:w="1696" w:type="dxa"/>
          </w:tcPr>
          <w:p w14:paraId="0314EBE2" w14:textId="7D13B0A9" w:rsidR="00BF318D" w:rsidRDefault="00BF318D" w:rsidP="005878F8">
            <w:pPr>
              <w:pStyle w:val="Tablecolhead"/>
            </w:pPr>
            <w:r w:rsidRPr="00FF7F10">
              <w:t xml:space="preserve">Acute </w:t>
            </w:r>
            <w:r w:rsidR="003B3318">
              <w:t>r</w:t>
            </w:r>
            <w:r w:rsidRPr="00FF7F10">
              <w:t xml:space="preserve">espiratory </w:t>
            </w:r>
            <w:r w:rsidR="003B3318">
              <w:t>i</w:t>
            </w:r>
            <w:r w:rsidRPr="00FF7F10">
              <w:t>nfection (ARI)</w:t>
            </w:r>
          </w:p>
        </w:tc>
        <w:tc>
          <w:tcPr>
            <w:tcW w:w="7592" w:type="dxa"/>
          </w:tcPr>
          <w:p w14:paraId="6D20DA66" w14:textId="776D45EB" w:rsidR="00BF318D" w:rsidRDefault="008B39EF" w:rsidP="00E65A29">
            <w:pPr>
              <w:pStyle w:val="Tabletext"/>
              <w:rPr>
                <w:rFonts w:cs="Arial"/>
              </w:rPr>
            </w:pPr>
            <w:r>
              <w:t>A r</w:t>
            </w:r>
            <w:r w:rsidR="00BF318D" w:rsidRPr="00675D6A">
              <w:t xml:space="preserve">ecent onset of </w:t>
            </w:r>
            <w:r w:rsidR="00BF318D" w:rsidRPr="00BA02E2">
              <w:rPr>
                <w:b/>
                <w:bCs/>
              </w:rPr>
              <w:t xml:space="preserve">new or worsening acute respiratory symptoms </w:t>
            </w:r>
            <w:r w:rsidR="00BF318D">
              <w:t>(</w:t>
            </w:r>
            <w:r w:rsidR="00BF318D" w:rsidRPr="00675D6A">
              <w:t>cough</w:t>
            </w:r>
            <w:r w:rsidR="00B505A6">
              <w:t>ing,</w:t>
            </w:r>
            <w:r w:rsidR="00BF318D" w:rsidRPr="00675D6A">
              <w:t xml:space="preserve"> breathing difficulty</w:t>
            </w:r>
            <w:r w:rsidR="00BF318D">
              <w:t>,</w:t>
            </w:r>
            <w:r w:rsidR="00BF318D" w:rsidRPr="00675D6A">
              <w:t xml:space="preserve"> sore throat</w:t>
            </w:r>
            <w:r w:rsidR="0038755C">
              <w:t xml:space="preserve"> and</w:t>
            </w:r>
            <w:r w:rsidR="00BF318D">
              <w:t xml:space="preserve"> </w:t>
            </w:r>
            <w:r w:rsidR="00BF318D" w:rsidRPr="00675D6A">
              <w:t>runny</w:t>
            </w:r>
            <w:r w:rsidR="006A2546">
              <w:t xml:space="preserve"> or </w:t>
            </w:r>
            <w:r w:rsidR="0093728E">
              <w:t>blocked nose</w:t>
            </w:r>
            <w:r w:rsidR="00BF318D">
              <w:t>),</w:t>
            </w:r>
            <w:r w:rsidR="00BF318D" w:rsidRPr="00675D6A">
              <w:t xml:space="preserve"> with or without </w:t>
            </w:r>
            <w:r w:rsidR="00EA212F">
              <w:t xml:space="preserve">any of </w:t>
            </w:r>
            <w:r w:rsidR="00BF318D" w:rsidRPr="00675D6A">
              <w:t>the following symptoms:</w:t>
            </w:r>
            <w:r w:rsidR="00BF318D">
              <w:t xml:space="preserve"> </w:t>
            </w:r>
            <w:r w:rsidR="00BF318D">
              <w:rPr>
                <w:rFonts w:cs="Arial"/>
              </w:rPr>
              <w:t>h</w:t>
            </w:r>
            <w:r w:rsidR="00BF318D" w:rsidRPr="00675D6A">
              <w:rPr>
                <w:rFonts w:cs="Arial"/>
              </w:rPr>
              <w:t>eadache, muscle aches</w:t>
            </w:r>
            <w:r w:rsidR="00EA212F">
              <w:rPr>
                <w:rFonts w:cs="Arial"/>
              </w:rPr>
              <w:t xml:space="preserve"> or pains</w:t>
            </w:r>
            <w:r w:rsidR="00BF318D" w:rsidRPr="00675D6A">
              <w:rPr>
                <w:rFonts w:cs="Arial"/>
              </w:rPr>
              <w:t xml:space="preserve">, </w:t>
            </w:r>
            <w:r w:rsidR="00C46FE6">
              <w:rPr>
                <w:rFonts w:cs="Arial"/>
              </w:rPr>
              <w:t>tiredness</w:t>
            </w:r>
            <w:r w:rsidR="00BF318D" w:rsidRPr="00675D6A">
              <w:rPr>
                <w:rFonts w:cs="Arial"/>
              </w:rPr>
              <w:t xml:space="preserve">, </w:t>
            </w:r>
            <w:r w:rsidR="00BF318D">
              <w:rPr>
                <w:rFonts w:cs="Arial"/>
              </w:rPr>
              <w:t xml:space="preserve">loss of appetite, </w:t>
            </w:r>
            <w:r w:rsidR="00BF318D" w:rsidRPr="00675D6A">
              <w:rPr>
                <w:rFonts w:cs="Arial"/>
              </w:rPr>
              <w:t xml:space="preserve">nausea </w:t>
            </w:r>
            <w:r w:rsidR="00BF318D">
              <w:rPr>
                <w:rFonts w:cs="Arial"/>
              </w:rPr>
              <w:t>or</w:t>
            </w:r>
            <w:r w:rsidR="00BF318D" w:rsidRPr="00675D6A">
              <w:rPr>
                <w:rFonts w:cs="Arial"/>
              </w:rPr>
              <w:t xml:space="preserve"> vomiting, diarrhoea</w:t>
            </w:r>
            <w:r w:rsidR="00B505A6">
              <w:rPr>
                <w:rFonts w:cs="Arial"/>
              </w:rPr>
              <w:t>,</w:t>
            </w:r>
            <w:r w:rsidR="00EA212F">
              <w:rPr>
                <w:rFonts w:cs="Arial"/>
              </w:rPr>
              <w:t xml:space="preserve"> </w:t>
            </w:r>
            <w:r w:rsidR="0035620E">
              <w:rPr>
                <w:rFonts w:cs="Arial"/>
              </w:rPr>
              <w:t>and</w:t>
            </w:r>
            <w:r w:rsidR="00BF318D" w:rsidRPr="00675D6A">
              <w:rPr>
                <w:rFonts w:cs="Arial"/>
              </w:rPr>
              <w:t xml:space="preserve"> loss of smell </w:t>
            </w:r>
            <w:r w:rsidR="00EA212F">
              <w:rPr>
                <w:rFonts w:cs="Arial"/>
              </w:rPr>
              <w:t>or</w:t>
            </w:r>
            <w:r w:rsidR="00BF318D" w:rsidRPr="00675D6A">
              <w:rPr>
                <w:rFonts w:cs="Arial"/>
              </w:rPr>
              <w:t xml:space="preserve"> taste</w:t>
            </w:r>
            <w:r w:rsidR="00BF318D">
              <w:t xml:space="preserve">. </w:t>
            </w:r>
            <w:r w:rsidR="00BF318D" w:rsidRPr="00675D6A">
              <w:rPr>
                <w:rFonts w:cs="Arial"/>
              </w:rPr>
              <w:t xml:space="preserve">Fever (≥37.5°C) can </w:t>
            </w:r>
            <w:r w:rsidR="00BF318D">
              <w:rPr>
                <w:rFonts w:cs="Arial"/>
              </w:rPr>
              <w:t xml:space="preserve">also </w:t>
            </w:r>
            <w:r w:rsidR="00BF318D" w:rsidRPr="00675D6A">
              <w:rPr>
                <w:rFonts w:cs="Arial"/>
              </w:rPr>
              <w:t xml:space="preserve">occur (less common in </w:t>
            </w:r>
            <w:r w:rsidR="00E65A29">
              <w:rPr>
                <w:rFonts w:cs="Arial"/>
              </w:rPr>
              <w:t>older persons</w:t>
            </w:r>
            <w:r w:rsidR="00BF318D" w:rsidRPr="00675D6A">
              <w:rPr>
                <w:rFonts w:cs="Arial"/>
              </w:rPr>
              <w:t>)</w:t>
            </w:r>
            <w:r w:rsidR="00BF318D">
              <w:rPr>
                <w:rFonts w:cs="Arial"/>
              </w:rPr>
              <w:t xml:space="preserve">. </w:t>
            </w:r>
          </w:p>
          <w:p w14:paraId="54A9FDB0" w14:textId="36203265" w:rsidR="00156AEB" w:rsidRDefault="00156AEB" w:rsidP="00E65A29">
            <w:pPr>
              <w:pStyle w:val="Tabletext"/>
            </w:pPr>
            <w:r w:rsidRPr="00675D6A">
              <w:rPr>
                <w:rFonts w:cs="Arial"/>
              </w:rPr>
              <w:t xml:space="preserve">In </w:t>
            </w:r>
            <w:r>
              <w:rPr>
                <w:rFonts w:cs="Arial"/>
              </w:rPr>
              <w:t>older persons</w:t>
            </w:r>
            <w:r w:rsidRPr="00675D6A">
              <w:rPr>
                <w:rFonts w:cs="Arial"/>
              </w:rPr>
              <w:t>, other symptoms to consider include new onset or increase in confusion, change in baseline behaviour, falling or exacerbation of underlying illness</w:t>
            </w:r>
            <w:r>
              <w:rPr>
                <w:rFonts w:cs="Arial"/>
              </w:rPr>
              <w:t>.</w:t>
            </w:r>
          </w:p>
        </w:tc>
      </w:tr>
      <w:tr w:rsidR="00127F00" w14:paraId="1FD31A21" w14:textId="77777777" w:rsidTr="004C2C50">
        <w:tc>
          <w:tcPr>
            <w:tcW w:w="1696" w:type="dxa"/>
          </w:tcPr>
          <w:p w14:paraId="6231D515" w14:textId="38BF94CA" w:rsidR="00127F00" w:rsidRPr="00FF7F10" w:rsidRDefault="00877E7A" w:rsidP="005878F8">
            <w:pPr>
              <w:pStyle w:val="Tablecolhead"/>
            </w:pPr>
            <w:r>
              <w:t>Acute respiratory symptoms</w:t>
            </w:r>
          </w:p>
        </w:tc>
        <w:tc>
          <w:tcPr>
            <w:tcW w:w="7592" w:type="dxa"/>
          </w:tcPr>
          <w:p w14:paraId="2CC86B8F" w14:textId="0C3A276F" w:rsidR="00127F00" w:rsidRDefault="004B39E1" w:rsidP="00E65A29">
            <w:pPr>
              <w:pStyle w:val="Tabletext"/>
            </w:pPr>
            <w:r>
              <w:t>The symptoms experienced by a person while they have a respiratory infection. These symptoms may include</w:t>
            </w:r>
            <w:r w:rsidR="00C64DF3">
              <w:t xml:space="preserve"> (but are not limited to): cough</w:t>
            </w:r>
            <w:r w:rsidR="00B505A6">
              <w:t>ing</w:t>
            </w:r>
            <w:r w:rsidR="00C64DF3">
              <w:t xml:space="preserve">, </w:t>
            </w:r>
            <w:r w:rsidR="0038755C">
              <w:t>breathing difficulty</w:t>
            </w:r>
            <w:r w:rsidR="00C64DF3">
              <w:t>, sore throat</w:t>
            </w:r>
            <w:r w:rsidR="0038755C">
              <w:t xml:space="preserve"> and</w:t>
            </w:r>
            <w:r w:rsidR="00C64DF3">
              <w:t xml:space="preserve"> runny or blocked nose. </w:t>
            </w:r>
          </w:p>
        </w:tc>
      </w:tr>
      <w:tr w:rsidR="00BF318D" w14:paraId="21C17989" w14:textId="77777777" w:rsidTr="004C2C50">
        <w:tc>
          <w:tcPr>
            <w:tcW w:w="1696" w:type="dxa"/>
          </w:tcPr>
          <w:p w14:paraId="0A6E2EF3" w14:textId="22EF927F" w:rsidR="00BF318D" w:rsidRPr="0035234D" w:rsidRDefault="006934C3" w:rsidP="005878F8">
            <w:pPr>
              <w:pStyle w:val="Tablecolhead"/>
              <w:rPr>
                <w:bCs/>
              </w:rPr>
            </w:pPr>
            <w:r>
              <w:rPr>
                <w:bCs/>
              </w:rPr>
              <w:t>Case</w:t>
            </w:r>
          </w:p>
        </w:tc>
        <w:tc>
          <w:tcPr>
            <w:tcW w:w="7592" w:type="dxa"/>
          </w:tcPr>
          <w:p w14:paraId="400BDA46" w14:textId="4B15FEB0" w:rsidR="00BF318D" w:rsidRDefault="006934C3" w:rsidP="005878F8">
            <w:pPr>
              <w:pStyle w:val="Tabletext"/>
            </w:pPr>
            <w:r>
              <w:t>A person who has an infection with a viral respiratory pathogen</w:t>
            </w:r>
            <w:r w:rsidR="00EA2E96">
              <w:t>,</w:t>
            </w:r>
            <w:r>
              <w:t xml:space="preserve"> such as </w:t>
            </w:r>
            <w:r w:rsidR="00576459">
              <w:t>COVID-19</w:t>
            </w:r>
            <w:r>
              <w:t>, influenza A/B or RSV.</w:t>
            </w:r>
          </w:p>
        </w:tc>
      </w:tr>
      <w:tr w:rsidR="00BF318D" w14:paraId="5D78075E" w14:textId="77777777" w:rsidTr="004C2C50">
        <w:tc>
          <w:tcPr>
            <w:tcW w:w="1696" w:type="dxa"/>
          </w:tcPr>
          <w:p w14:paraId="166048E6" w14:textId="52A34053" w:rsidR="00BF318D" w:rsidRPr="0035234D" w:rsidRDefault="006934C3" w:rsidP="005878F8">
            <w:pPr>
              <w:pStyle w:val="Tablecolhead"/>
              <w:rPr>
                <w:bCs/>
              </w:rPr>
            </w:pPr>
            <w:r>
              <w:rPr>
                <w:bCs/>
              </w:rPr>
              <w:t>COVID-19 resident contact</w:t>
            </w:r>
          </w:p>
        </w:tc>
        <w:tc>
          <w:tcPr>
            <w:tcW w:w="7592" w:type="dxa"/>
          </w:tcPr>
          <w:p w14:paraId="798F8FFC" w14:textId="08150539" w:rsidR="006934C3" w:rsidRPr="00D20B55" w:rsidRDefault="00272288" w:rsidP="005878F8">
            <w:pPr>
              <w:pStyle w:val="Tabletext"/>
            </w:pPr>
            <w:r>
              <w:t>A</w:t>
            </w:r>
            <w:r w:rsidR="006934C3" w:rsidRPr="00D20B55">
              <w:t xml:space="preserve"> resident </w:t>
            </w:r>
            <w:r>
              <w:t xml:space="preserve">who </w:t>
            </w:r>
            <w:r w:rsidR="006934C3" w:rsidRPr="00D20B55">
              <w:t>has been exposed to a COVID-19 case:</w:t>
            </w:r>
          </w:p>
          <w:p w14:paraId="1393B242" w14:textId="5D5569A4" w:rsidR="006934C3" w:rsidRPr="00AA68F8" w:rsidRDefault="003B3318" w:rsidP="005878F8">
            <w:pPr>
              <w:pStyle w:val="Tablebullet1"/>
            </w:pPr>
            <w:r>
              <w:t>i</w:t>
            </w:r>
            <w:r w:rsidR="006934C3" w:rsidRPr="00AA68F8">
              <w:t>n a shared defined area (</w:t>
            </w:r>
            <w:r>
              <w:t>for example,</w:t>
            </w:r>
            <w:r w:rsidR="006934C3" w:rsidRPr="00AA68F8">
              <w:t xml:space="preserve"> prolonged contact during activity or shared living space)</w:t>
            </w:r>
          </w:p>
          <w:p w14:paraId="06D96804" w14:textId="33414700" w:rsidR="00BF318D" w:rsidRDefault="002D5991" w:rsidP="005878F8">
            <w:pPr>
              <w:pStyle w:val="Tablebullet1"/>
            </w:pPr>
            <w:r>
              <w:t>as an o</w:t>
            </w:r>
            <w:r w:rsidR="006934C3" w:rsidRPr="00AA68F8">
              <w:t>utbreak-related contact (</w:t>
            </w:r>
            <w:r w:rsidR="003B3318">
              <w:t xml:space="preserve">for example, </w:t>
            </w:r>
            <w:r w:rsidR="006934C3" w:rsidRPr="00AA68F8">
              <w:t>co-located in the same ward</w:t>
            </w:r>
            <w:r w:rsidR="0021419F">
              <w:t xml:space="preserve">, </w:t>
            </w:r>
            <w:r w:rsidR="006934C3" w:rsidRPr="00AA68F8">
              <w:t>wing</w:t>
            </w:r>
            <w:r w:rsidR="0021419F">
              <w:t xml:space="preserve"> or </w:t>
            </w:r>
            <w:r w:rsidR="006934C3" w:rsidRPr="00AA68F8">
              <w:t>shared area with unknown exposure).</w:t>
            </w:r>
          </w:p>
        </w:tc>
      </w:tr>
      <w:tr w:rsidR="00BF318D" w14:paraId="0D14DF8D" w14:textId="77777777" w:rsidTr="004C2C50">
        <w:tc>
          <w:tcPr>
            <w:tcW w:w="1696" w:type="dxa"/>
          </w:tcPr>
          <w:p w14:paraId="60BF778A" w14:textId="27FCA786" w:rsidR="00BF318D" w:rsidRPr="0035234D" w:rsidRDefault="006934C3" w:rsidP="005878F8">
            <w:pPr>
              <w:pStyle w:val="Tablecolhead"/>
              <w:rPr>
                <w:bCs/>
              </w:rPr>
            </w:pPr>
            <w:r w:rsidRPr="00FA461D">
              <w:rPr>
                <w:bCs/>
              </w:rPr>
              <w:t>COVID-19 staff contact</w:t>
            </w:r>
          </w:p>
        </w:tc>
        <w:tc>
          <w:tcPr>
            <w:tcW w:w="7592" w:type="dxa"/>
          </w:tcPr>
          <w:p w14:paraId="2EC3B493" w14:textId="682BBD3D" w:rsidR="006934C3" w:rsidRPr="00D20B55" w:rsidRDefault="00142A60" w:rsidP="005878F8">
            <w:pPr>
              <w:pStyle w:val="Tabletext"/>
            </w:pPr>
            <w:r>
              <w:t>A</w:t>
            </w:r>
            <w:r w:rsidR="006934C3" w:rsidRPr="00D20B55">
              <w:t xml:space="preserve"> worker </w:t>
            </w:r>
            <w:r>
              <w:t xml:space="preserve">who </w:t>
            </w:r>
            <w:r w:rsidR="006934C3" w:rsidRPr="00D20B55">
              <w:t>has been exposed to a COVID-19 case within or outside the RCF with:</w:t>
            </w:r>
          </w:p>
          <w:p w14:paraId="24F329F8" w14:textId="2B6B5FA5" w:rsidR="006934C3" w:rsidRPr="00FA461D" w:rsidRDefault="002D5991" w:rsidP="005878F8">
            <w:pPr>
              <w:pStyle w:val="Tablebullet1"/>
            </w:pPr>
            <w:r>
              <w:t>n</w:t>
            </w:r>
            <w:r w:rsidR="006934C3" w:rsidRPr="00FA461D">
              <w:t xml:space="preserve">o effective </w:t>
            </w:r>
            <w:r w:rsidR="00F67F8C">
              <w:t>p</w:t>
            </w:r>
            <w:r w:rsidR="00F67F8C" w:rsidRPr="00F67F8C">
              <w:t xml:space="preserve">ersonal protective equipment </w:t>
            </w:r>
            <w:r w:rsidR="00F67F8C">
              <w:t>(</w:t>
            </w:r>
            <w:r w:rsidR="006934C3" w:rsidRPr="00FA461D">
              <w:t>PPE</w:t>
            </w:r>
            <w:r w:rsidR="00F67F8C">
              <w:t>)</w:t>
            </w:r>
            <w:r w:rsidR="003C7B4E">
              <w:t xml:space="preserve">, </w:t>
            </w:r>
            <w:r w:rsidR="00F67F8C">
              <w:t xml:space="preserve">such as a </w:t>
            </w:r>
            <w:r>
              <w:t>P2/N95</w:t>
            </w:r>
            <w:r w:rsidR="006934C3" w:rsidRPr="00FA461D">
              <w:t xml:space="preserve"> </w:t>
            </w:r>
            <w:r w:rsidR="006934C3" w:rsidRPr="00AA68F8">
              <w:t>respirator</w:t>
            </w:r>
            <w:r w:rsidR="00F67F8C">
              <w:t xml:space="preserve"> or</w:t>
            </w:r>
            <w:r w:rsidR="006934C3" w:rsidRPr="00FA461D">
              <w:t xml:space="preserve"> eye protection</w:t>
            </w:r>
            <w:r w:rsidR="003C7B4E">
              <w:t>,</w:t>
            </w:r>
            <w:r w:rsidR="006934C3" w:rsidRPr="00FA461D">
              <w:t xml:space="preserve"> during aerosol</w:t>
            </w:r>
            <w:r w:rsidR="00F67F8C">
              <w:t>-</w:t>
            </w:r>
            <w:r w:rsidR="006934C3" w:rsidRPr="00FA461D">
              <w:t>generating behaviours or procedures</w:t>
            </w:r>
          </w:p>
          <w:p w14:paraId="1F9DDC46" w14:textId="5F4574C9" w:rsidR="006934C3" w:rsidRPr="00FA461D" w:rsidRDefault="00F67F8C" w:rsidP="005878F8">
            <w:pPr>
              <w:pStyle w:val="Tablebullet1"/>
            </w:pPr>
            <w:r>
              <w:t>a</w:t>
            </w:r>
            <w:r w:rsidR="006934C3" w:rsidRPr="00FA461D">
              <w:t>t least 15 minutes face</w:t>
            </w:r>
            <w:r>
              <w:t>-</w:t>
            </w:r>
            <w:r w:rsidR="006934C3" w:rsidRPr="00FA461D">
              <w:t>to</w:t>
            </w:r>
            <w:r>
              <w:t>-</w:t>
            </w:r>
            <w:r w:rsidR="006934C3" w:rsidRPr="00FA461D">
              <w:t xml:space="preserve">face contact where both </w:t>
            </w:r>
            <w:r w:rsidR="006934C3">
              <w:t xml:space="preserve">a P2/N95 respirator and </w:t>
            </w:r>
            <w:r w:rsidR="00FC43A6">
              <w:t xml:space="preserve">eye </w:t>
            </w:r>
            <w:r w:rsidR="006934C3" w:rsidRPr="00FA461D">
              <w:t>protect</w:t>
            </w:r>
            <w:r w:rsidR="00FC43A6">
              <w:t>ion</w:t>
            </w:r>
            <w:r w:rsidR="006934C3" w:rsidRPr="00FA461D">
              <w:t xml:space="preserve"> were not worn by </w:t>
            </w:r>
            <w:r w:rsidR="00FC43A6">
              <w:t xml:space="preserve">the </w:t>
            </w:r>
            <w:r w:rsidR="006934C3" w:rsidRPr="00FA461D">
              <w:t>exposed person and the case was without a mask</w:t>
            </w:r>
          </w:p>
          <w:p w14:paraId="2C59D388" w14:textId="7E1BAF2E" w:rsidR="00BF318D" w:rsidRDefault="003C7B4E" w:rsidP="005878F8">
            <w:pPr>
              <w:pStyle w:val="Tablebullet1"/>
            </w:pPr>
            <w:r>
              <w:t>g</w:t>
            </w:r>
            <w:r w:rsidR="006934C3" w:rsidRPr="00AA68F8">
              <w:t xml:space="preserve">reater than </w:t>
            </w:r>
            <w:r>
              <w:t>two</w:t>
            </w:r>
            <w:r w:rsidR="006934C3" w:rsidRPr="00AA68F8">
              <w:t xml:space="preserve"> hours in the same room as a case with inadequate PPE.</w:t>
            </w:r>
          </w:p>
        </w:tc>
      </w:tr>
      <w:tr w:rsidR="00BF318D" w14:paraId="5F88979B" w14:textId="77777777" w:rsidTr="004C2C50">
        <w:tc>
          <w:tcPr>
            <w:tcW w:w="1696" w:type="dxa"/>
          </w:tcPr>
          <w:p w14:paraId="74D0E136" w14:textId="45FD9666" w:rsidR="00BF318D" w:rsidRPr="0035234D" w:rsidRDefault="006934C3" w:rsidP="005878F8">
            <w:pPr>
              <w:pStyle w:val="Tablecolhead"/>
              <w:rPr>
                <w:bCs/>
              </w:rPr>
            </w:pPr>
            <w:r>
              <w:rPr>
                <w:bCs/>
              </w:rPr>
              <w:t>COVID-19 outbreak</w:t>
            </w:r>
          </w:p>
        </w:tc>
        <w:tc>
          <w:tcPr>
            <w:tcW w:w="7592" w:type="dxa"/>
          </w:tcPr>
          <w:p w14:paraId="0C5CCF47" w14:textId="09B10476" w:rsidR="00BF318D" w:rsidRPr="005878F8" w:rsidRDefault="006934C3" w:rsidP="005878F8">
            <w:pPr>
              <w:pStyle w:val="Tabletext"/>
              <w:rPr>
                <w:b/>
              </w:rPr>
            </w:pPr>
            <w:r w:rsidRPr="000A1093">
              <w:t xml:space="preserve">Two or more residents in the facility test positive </w:t>
            </w:r>
            <w:r>
              <w:t>for</w:t>
            </w:r>
            <w:r w:rsidRPr="000A1093">
              <w:t xml:space="preserve"> COVID-19 within a 72-hour period</w:t>
            </w:r>
            <w:r w:rsidR="004966B1">
              <w:t>.</w:t>
            </w:r>
          </w:p>
        </w:tc>
      </w:tr>
      <w:tr w:rsidR="00BF318D" w14:paraId="5DCC9B0A" w14:textId="77777777" w:rsidTr="004C2C50">
        <w:tc>
          <w:tcPr>
            <w:tcW w:w="1696" w:type="dxa"/>
          </w:tcPr>
          <w:p w14:paraId="162CF3B9" w14:textId="4D53CAB7" w:rsidR="00BF318D" w:rsidRPr="0035234D" w:rsidRDefault="006934C3" w:rsidP="005878F8">
            <w:pPr>
              <w:pStyle w:val="Tablecolhead"/>
              <w:rPr>
                <w:bCs/>
              </w:rPr>
            </w:pPr>
            <w:r>
              <w:rPr>
                <w:bCs/>
              </w:rPr>
              <w:t>Influenza outbreak</w:t>
            </w:r>
          </w:p>
        </w:tc>
        <w:tc>
          <w:tcPr>
            <w:tcW w:w="7592" w:type="dxa"/>
          </w:tcPr>
          <w:p w14:paraId="558EAE96" w14:textId="41E9111C" w:rsidR="00BF318D" w:rsidRDefault="006934C3" w:rsidP="005878F8">
            <w:pPr>
              <w:pStyle w:val="Tabletext"/>
            </w:pPr>
            <w:r w:rsidRPr="000A1093">
              <w:t>Two or more residents in the facility test positive for influenza within a 72-hour period</w:t>
            </w:r>
            <w:r w:rsidR="004966B1">
              <w:t>.</w:t>
            </w:r>
          </w:p>
        </w:tc>
      </w:tr>
      <w:tr w:rsidR="006934C3" w14:paraId="4DE06A32" w14:textId="77777777" w:rsidTr="004C2C50">
        <w:tc>
          <w:tcPr>
            <w:tcW w:w="1696" w:type="dxa"/>
          </w:tcPr>
          <w:p w14:paraId="6776A40C" w14:textId="14DD0A87" w:rsidR="006934C3" w:rsidRDefault="006934C3" w:rsidP="004C2C50">
            <w:pPr>
              <w:pStyle w:val="Tablecolhead"/>
            </w:pPr>
            <w:r>
              <w:rPr>
                <w:bCs/>
              </w:rPr>
              <w:t>RSV outbreak</w:t>
            </w:r>
          </w:p>
        </w:tc>
        <w:tc>
          <w:tcPr>
            <w:tcW w:w="7592" w:type="dxa"/>
          </w:tcPr>
          <w:p w14:paraId="4D804B95" w14:textId="23A84B51" w:rsidR="006934C3" w:rsidRDefault="006934C3" w:rsidP="004C2C50">
            <w:pPr>
              <w:pStyle w:val="Tabletext"/>
            </w:pPr>
            <w:r w:rsidRPr="000A1093">
              <w:t xml:space="preserve">Two or more residents in the facility test positive </w:t>
            </w:r>
            <w:r>
              <w:t>for</w:t>
            </w:r>
            <w:r w:rsidRPr="000A1093">
              <w:t xml:space="preserve"> RSV within a 72-hour period</w:t>
            </w:r>
            <w:r w:rsidR="004966B1">
              <w:t>.</w:t>
            </w:r>
          </w:p>
        </w:tc>
      </w:tr>
      <w:tr w:rsidR="006934C3" w14:paraId="2011AC82" w14:textId="77777777" w:rsidTr="004C2C50">
        <w:tc>
          <w:tcPr>
            <w:tcW w:w="1696" w:type="dxa"/>
          </w:tcPr>
          <w:p w14:paraId="311E7009" w14:textId="369D529C" w:rsidR="006934C3" w:rsidRPr="0035234D" w:rsidRDefault="006934C3" w:rsidP="004C2C50">
            <w:pPr>
              <w:pStyle w:val="Tablecolhead"/>
              <w:rPr>
                <w:bCs/>
              </w:rPr>
            </w:pPr>
            <w:r>
              <w:rPr>
                <w:bCs/>
              </w:rPr>
              <w:t>Respiratory outbreak</w:t>
            </w:r>
          </w:p>
        </w:tc>
        <w:tc>
          <w:tcPr>
            <w:tcW w:w="7592" w:type="dxa"/>
          </w:tcPr>
          <w:p w14:paraId="77BCC655" w14:textId="5B713403" w:rsidR="006934C3" w:rsidRDefault="006934C3" w:rsidP="004C2C50">
            <w:pPr>
              <w:pStyle w:val="Tabletext"/>
            </w:pPr>
            <w:r w:rsidRPr="000A1093">
              <w:t>Three or more resident cases of ARI in the facility within a 72-hour period</w:t>
            </w:r>
            <w:r w:rsidR="004966B1">
              <w:t>.</w:t>
            </w:r>
          </w:p>
        </w:tc>
      </w:tr>
    </w:tbl>
    <w:p w14:paraId="05E436F3" w14:textId="3193E58E" w:rsidR="005D7BB1" w:rsidRDefault="005D7BB1" w:rsidP="000A0ED5">
      <w:pPr>
        <w:pStyle w:val="Bullet1"/>
        <w:numPr>
          <w:ilvl w:val="0"/>
          <w:numId w:val="0"/>
        </w:numPr>
        <w:rPr>
          <w:b/>
          <w:bCs/>
        </w:rPr>
      </w:pPr>
    </w:p>
    <w:p w14:paraId="5F091EE5" w14:textId="4FDB928E" w:rsidR="00AC52A9" w:rsidRDefault="00C50574">
      <w:pPr>
        <w:spacing w:after="0" w:line="240" w:lineRule="auto"/>
        <w:rPr>
          <w:color w:val="1F497D" w:themeColor="text2"/>
        </w:rPr>
      </w:pPr>
      <w:r>
        <w:rPr>
          <w:color w:val="1F497D" w:themeColor="text2"/>
        </w:rPr>
        <w:br w:type="page"/>
      </w:r>
    </w:p>
    <w:p w14:paraId="18ED188E" w14:textId="06D5E61D" w:rsidR="00C56528" w:rsidRPr="00F9103D" w:rsidRDefault="006F4203" w:rsidP="00BA02E2">
      <w:pPr>
        <w:pStyle w:val="Heading1"/>
        <w:numPr>
          <w:ilvl w:val="0"/>
          <w:numId w:val="12"/>
        </w:numPr>
        <w:rPr>
          <w:color w:val="1F497D" w:themeColor="text2"/>
        </w:rPr>
      </w:pPr>
      <w:bookmarkStart w:id="11" w:name="_Toc229644781"/>
      <w:r w:rsidRPr="00F9103D">
        <w:rPr>
          <w:color w:val="1F497D" w:themeColor="text2"/>
        </w:rPr>
        <w:lastRenderedPageBreak/>
        <w:t>Abbreviations</w:t>
      </w:r>
      <w:bookmarkEnd w:id="11"/>
    </w:p>
    <w:p w14:paraId="3D54ABF9" w14:textId="68AE2815" w:rsidR="00C56528" w:rsidRDefault="00C56528" w:rsidP="004F5AD5">
      <w:pPr>
        <w:pStyle w:val="Body"/>
      </w:pPr>
      <w:r w:rsidRPr="008C0B2A">
        <w:t>ACOP</w:t>
      </w:r>
      <w:r>
        <w:tab/>
      </w:r>
      <w:r>
        <w:tab/>
      </w:r>
      <w:r w:rsidR="00B505A6">
        <w:t>a</w:t>
      </w:r>
      <w:r w:rsidRPr="008C0B2A">
        <w:t xml:space="preserve">ged </w:t>
      </w:r>
      <w:r w:rsidR="00B505A6">
        <w:t>c</w:t>
      </w:r>
      <w:r w:rsidRPr="008C0B2A">
        <w:t xml:space="preserve">are </w:t>
      </w:r>
      <w:r w:rsidR="00B505A6">
        <w:t>o</w:t>
      </w:r>
      <w:r w:rsidRPr="008C0B2A">
        <w:t xml:space="preserve">nsite </w:t>
      </w:r>
      <w:r w:rsidR="00B505A6">
        <w:t>p</w:t>
      </w:r>
      <w:r w:rsidRPr="008C0B2A">
        <w:t>harmacist program</w:t>
      </w:r>
      <w:r>
        <w:t xml:space="preserve"> </w:t>
      </w:r>
    </w:p>
    <w:p w14:paraId="2051AD0E" w14:textId="3068BE2E" w:rsidR="00CA4950" w:rsidRDefault="00CA4950" w:rsidP="004F5AD5">
      <w:pPr>
        <w:pStyle w:val="Body"/>
      </w:pPr>
      <w:r>
        <w:t xml:space="preserve">AIR </w:t>
      </w:r>
      <w:r w:rsidR="00D33D80">
        <w:tab/>
      </w:r>
      <w:r w:rsidR="00D33D80">
        <w:tab/>
      </w:r>
      <w:r>
        <w:t>Australian Immunisation Register</w:t>
      </w:r>
    </w:p>
    <w:p w14:paraId="4A338C74" w14:textId="0BEBB5F0" w:rsidR="00153117" w:rsidRDefault="00153117" w:rsidP="004F5AD5">
      <w:pPr>
        <w:pStyle w:val="Body"/>
      </w:pPr>
      <w:r>
        <w:t xml:space="preserve">ARI </w:t>
      </w:r>
      <w:r w:rsidR="00D33D80">
        <w:tab/>
      </w:r>
      <w:r w:rsidR="00D33D80">
        <w:tab/>
      </w:r>
      <w:r>
        <w:t>acute respiratory infection</w:t>
      </w:r>
    </w:p>
    <w:p w14:paraId="5C05F874" w14:textId="63B9445E" w:rsidR="00D33D80" w:rsidRDefault="00D33D80" w:rsidP="004F5AD5">
      <w:pPr>
        <w:pStyle w:val="Body"/>
      </w:pPr>
      <w:r>
        <w:t xml:space="preserve">ARTG </w:t>
      </w:r>
      <w:r>
        <w:tab/>
      </w:r>
      <w:r>
        <w:tab/>
        <w:t>Australian Register of Therapeutic Goods</w:t>
      </w:r>
    </w:p>
    <w:p w14:paraId="13F5A47A" w14:textId="07DDFC01" w:rsidR="00C56528" w:rsidRDefault="00C56528" w:rsidP="004F5AD5">
      <w:pPr>
        <w:pStyle w:val="Body"/>
      </w:pPr>
      <w:r w:rsidRPr="008C0B2A">
        <w:t>CVCP</w:t>
      </w:r>
      <w:r>
        <w:tab/>
      </w:r>
      <w:r>
        <w:tab/>
      </w:r>
      <w:r w:rsidRPr="008C0B2A">
        <w:t>COVID-19 Vaccination in Community Pharmacy Program</w:t>
      </w:r>
    </w:p>
    <w:p w14:paraId="4FA1A00C" w14:textId="591772EF" w:rsidR="00D95A2C" w:rsidRDefault="00D95A2C" w:rsidP="004F5AD5">
      <w:pPr>
        <w:pStyle w:val="Body"/>
      </w:pPr>
      <w:r>
        <w:t xml:space="preserve">GP </w:t>
      </w:r>
      <w:r w:rsidR="00D33D80">
        <w:tab/>
      </w:r>
      <w:r w:rsidR="00D33D80">
        <w:tab/>
      </w:r>
      <w:r>
        <w:t>general practitioner</w:t>
      </w:r>
    </w:p>
    <w:p w14:paraId="7C961102" w14:textId="198553A7" w:rsidR="004F5AD5" w:rsidRDefault="004F5AD5" w:rsidP="004F5AD5">
      <w:pPr>
        <w:pStyle w:val="Body"/>
      </w:pPr>
      <w:r>
        <w:t>LPHU</w:t>
      </w:r>
      <w:r w:rsidR="00D33D80">
        <w:tab/>
      </w:r>
      <w:r w:rsidR="00D33D80">
        <w:tab/>
      </w:r>
      <w:r w:rsidR="00DA46E6">
        <w:t>Local Public Health Unit</w:t>
      </w:r>
    </w:p>
    <w:p w14:paraId="450B1D9F" w14:textId="552929F8" w:rsidR="00DA46E6" w:rsidRDefault="00DA46E6" w:rsidP="004F5AD5">
      <w:pPr>
        <w:pStyle w:val="Body"/>
      </w:pPr>
      <w:r>
        <w:t xml:space="preserve">IPC </w:t>
      </w:r>
      <w:r w:rsidR="00C626D2">
        <w:tab/>
      </w:r>
      <w:r w:rsidR="00C626D2">
        <w:tab/>
      </w:r>
      <w:r>
        <w:t>infection prevention and control</w:t>
      </w:r>
    </w:p>
    <w:p w14:paraId="72D0E16F" w14:textId="1AB00A60" w:rsidR="00C56528" w:rsidRDefault="00C56528" w:rsidP="004F5AD5">
      <w:pPr>
        <w:pStyle w:val="Body"/>
      </w:pPr>
      <w:r w:rsidRPr="008C0B2A">
        <w:t>NIPVIP</w:t>
      </w:r>
      <w:r>
        <w:tab/>
      </w:r>
      <w:r>
        <w:tab/>
      </w:r>
      <w:r w:rsidRPr="008C0B2A">
        <w:t>National Immunisation Program Vaccinations in Pharmacy Program</w:t>
      </w:r>
    </w:p>
    <w:p w14:paraId="252D5169" w14:textId="710FFBFD" w:rsidR="00B95B8D" w:rsidRDefault="00B95B8D" w:rsidP="004F5AD5">
      <w:pPr>
        <w:pStyle w:val="Body"/>
      </w:pPr>
      <w:r>
        <w:t xml:space="preserve">NOK </w:t>
      </w:r>
      <w:r w:rsidR="00C626D2">
        <w:tab/>
      </w:r>
      <w:r w:rsidR="00C626D2">
        <w:tab/>
      </w:r>
      <w:r>
        <w:t>next of kin</w:t>
      </w:r>
    </w:p>
    <w:p w14:paraId="2E084528" w14:textId="02213C51" w:rsidR="00D95A2C" w:rsidRDefault="00D95A2C" w:rsidP="004F5AD5">
      <w:pPr>
        <w:pStyle w:val="Body"/>
      </w:pPr>
      <w:r>
        <w:t xml:space="preserve">NP </w:t>
      </w:r>
      <w:r w:rsidR="00C626D2">
        <w:tab/>
      </w:r>
      <w:r w:rsidR="00C626D2">
        <w:tab/>
      </w:r>
      <w:r>
        <w:t>nurse practitioner</w:t>
      </w:r>
    </w:p>
    <w:p w14:paraId="7187DB7F" w14:textId="52A052EF" w:rsidR="00756A89" w:rsidRDefault="00756A89" w:rsidP="004F5AD5">
      <w:pPr>
        <w:pStyle w:val="Body"/>
      </w:pPr>
      <w:r>
        <w:t xml:space="preserve">OMP </w:t>
      </w:r>
      <w:r w:rsidR="00C626D2">
        <w:tab/>
      </w:r>
      <w:r w:rsidR="00C626D2">
        <w:tab/>
      </w:r>
      <w:r>
        <w:t>outbreak management plan</w:t>
      </w:r>
    </w:p>
    <w:p w14:paraId="38D0AAE9" w14:textId="5D21EB30" w:rsidR="00756A89" w:rsidRDefault="00756A89" w:rsidP="004F5AD5">
      <w:pPr>
        <w:pStyle w:val="Body"/>
      </w:pPr>
      <w:r>
        <w:t xml:space="preserve">OMT </w:t>
      </w:r>
      <w:r w:rsidR="00C626D2">
        <w:tab/>
      </w:r>
      <w:r w:rsidR="00C626D2">
        <w:tab/>
      </w:r>
      <w:r>
        <w:t>outbreak management team</w:t>
      </w:r>
    </w:p>
    <w:p w14:paraId="750D8EB4" w14:textId="4663ECE3" w:rsidR="00571984" w:rsidRDefault="00571984" w:rsidP="004F5AD5">
      <w:pPr>
        <w:pStyle w:val="Body"/>
      </w:pPr>
      <w:r>
        <w:t>PCR</w:t>
      </w:r>
      <w:r>
        <w:tab/>
      </w:r>
      <w:r>
        <w:tab/>
      </w:r>
      <w:r w:rsidRPr="00571984">
        <w:t>polymerase chain reaction</w:t>
      </w:r>
    </w:p>
    <w:p w14:paraId="733F3C75" w14:textId="13BB905D" w:rsidR="008E2788" w:rsidRDefault="008E2788" w:rsidP="004F5AD5">
      <w:pPr>
        <w:pStyle w:val="Body"/>
      </w:pPr>
      <w:r>
        <w:t xml:space="preserve">PPE </w:t>
      </w:r>
      <w:r w:rsidR="00C626D2">
        <w:tab/>
      </w:r>
      <w:r w:rsidR="00C626D2">
        <w:tab/>
      </w:r>
      <w:r>
        <w:t>personal protective equipment</w:t>
      </w:r>
    </w:p>
    <w:p w14:paraId="7960173C" w14:textId="51E01F90" w:rsidR="00DA46E6" w:rsidRDefault="00DA46E6" w:rsidP="004F5AD5">
      <w:pPr>
        <w:pStyle w:val="Body"/>
      </w:pPr>
      <w:r>
        <w:t xml:space="preserve">RACH </w:t>
      </w:r>
      <w:r w:rsidR="00C626D2">
        <w:tab/>
      </w:r>
      <w:r w:rsidR="00C626D2">
        <w:tab/>
      </w:r>
      <w:r>
        <w:t>residential aged care home</w:t>
      </w:r>
    </w:p>
    <w:p w14:paraId="30E9B327" w14:textId="03C54B00" w:rsidR="00153117" w:rsidRDefault="00153117" w:rsidP="004F5AD5">
      <w:pPr>
        <w:pStyle w:val="Body"/>
      </w:pPr>
      <w:r>
        <w:t xml:space="preserve">RAT </w:t>
      </w:r>
      <w:r w:rsidR="00D24771">
        <w:tab/>
      </w:r>
      <w:r w:rsidR="00D24771">
        <w:tab/>
      </w:r>
      <w:r w:rsidR="00D95A2C">
        <w:t>rapid antigen test</w:t>
      </w:r>
    </w:p>
    <w:p w14:paraId="7EDCD676" w14:textId="10F641BC" w:rsidR="00DA46E6" w:rsidRDefault="00DA46E6" w:rsidP="004F5AD5">
      <w:pPr>
        <w:pStyle w:val="Body"/>
      </w:pPr>
      <w:r>
        <w:t xml:space="preserve">RCF </w:t>
      </w:r>
      <w:r w:rsidR="00D24771">
        <w:tab/>
      </w:r>
      <w:r w:rsidR="00D24771">
        <w:tab/>
      </w:r>
      <w:r>
        <w:t>residential care facility</w:t>
      </w:r>
    </w:p>
    <w:p w14:paraId="291B5D81" w14:textId="598637E1" w:rsidR="00D95A2C" w:rsidRDefault="00D95A2C" w:rsidP="004F5AD5">
      <w:pPr>
        <w:pStyle w:val="Body"/>
      </w:pPr>
      <w:r>
        <w:t xml:space="preserve">RSV </w:t>
      </w:r>
      <w:r w:rsidR="00D24771">
        <w:tab/>
      </w:r>
      <w:r w:rsidR="00D24771">
        <w:tab/>
      </w:r>
      <w:r>
        <w:t>respiratory syncytial virus</w:t>
      </w:r>
    </w:p>
    <w:p w14:paraId="5920BC9A" w14:textId="074307B6" w:rsidR="006B1D22" w:rsidRDefault="006B1D22" w:rsidP="004F5AD5">
      <w:pPr>
        <w:pStyle w:val="Body"/>
      </w:pPr>
      <w:r>
        <w:t xml:space="preserve">SDA </w:t>
      </w:r>
      <w:r w:rsidR="00D24771">
        <w:tab/>
      </w:r>
      <w:r w:rsidR="00D24771">
        <w:tab/>
      </w:r>
      <w:r>
        <w:t xml:space="preserve">specialist disability </w:t>
      </w:r>
      <w:r w:rsidR="00EF4AC2">
        <w:t>accommodation</w:t>
      </w:r>
    </w:p>
    <w:p w14:paraId="3C699C2A" w14:textId="28DEE748" w:rsidR="00756A89" w:rsidRDefault="00756A89" w:rsidP="004F5AD5">
      <w:pPr>
        <w:pStyle w:val="Body"/>
      </w:pPr>
      <w:r>
        <w:t xml:space="preserve">SIL </w:t>
      </w:r>
      <w:r w:rsidR="00D24771">
        <w:tab/>
      </w:r>
      <w:r w:rsidR="00D24771">
        <w:tab/>
      </w:r>
      <w:r>
        <w:t>suppo</w:t>
      </w:r>
      <w:r w:rsidR="006B1D22">
        <w:t>rted independent living</w:t>
      </w:r>
    </w:p>
    <w:p w14:paraId="728C8357" w14:textId="7D32457F" w:rsidR="00EF4AC2" w:rsidRDefault="00EF4AC2" w:rsidP="004F5AD5">
      <w:pPr>
        <w:pStyle w:val="Body"/>
      </w:pPr>
      <w:r>
        <w:t xml:space="preserve">SRS </w:t>
      </w:r>
      <w:r w:rsidR="00D24771">
        <w:tab/>
      </w:r>
      <w:r w:rsidR="00D24771">
        <w:tab/>
      </w:r>
      <w:r>
        <w:t>supported residential services</w:t>
      </w:r>
    </w:p>
    <w:p w14:paraId="11675154" w14:textId="7C449C4B" w:rsidR="006B1D22" w:rsidRDefault="006B1D22" w:rsidP="004F5AD5">
      <w:pPr>
        <w:pStyle w:val="Body"/>
      </w:pPr>
      <w:r>
        <w:t xml:space="preserve">STAA </w:t>
      </w:r>
      <w:r w:rsidR="00D24771">
        <w:tab/>
      </w:r>
      <w:r w:rsidR="00D24771">
        <w:tab/>
      </w:r>
      <w:r w:rsidR="00EF4AC2">
        <w:t>short</w:t>
      </w:r>
      <w:r w:rsidR="003C7B4E">
        <w:t>-</w:t>
      </w:r>
      <w:r w:rsidR="00EF4AC2">
        <w:t>term accommodation and assistance</w:t>
      </w:r>
    </w:p>
    <w:p w14:paraId="07509860" w14:textId="671E1287" w:rsidR="00AC52A9" w:rsidRDefault="00AC52A9">
      <w:pPr>
        <w:spacing w:after="0" w:line="240" w:lineRule="auto"/>
        <w:rPr>
          <w:rFonts w:eastAsia="MS Gothic" w:cs="Arial"/>
          <w:bCs/>
          <w:color w:val="1F497D" w:themeColor="text2"/>
          <w:kern w:val="32"/>
          <w:sz w:val="44"/>
          <w:szCs w:val="44"/>
        </w:rPr>
      </w:pPr>
      <w:r>
        <w:rPr>
          <w:color w:val="1F497D" w:themeColor="text2"/>
        </w:rPr>
        <w:br w:type="page"/>
      </w:r>
    </w:p>
    <w:p w14:paraId="2305062A" w14:textId="2026B092" w:rsidR="00ED032B" w:rsidRPr="00027E09" w:rsidRDefault="00ED032B" w:rsidP="00E376BE">
      <w:pPr>
        <w:pStyle w:val="Heading1"/>
        <w:numPr>
          <w:ilvl w:val="0"/>
          <w:numId w:val="12"/>
        </w:numPr>
        <w:ind w:left="567" w:hanging="360"/>
        <w:rPr>
          <w:color w:val="1F497D" w:themeColor="text2"/>
        </w:rPr>
      </w:pPr>
      <w:bookmarkStart w:id="12" w:name="_Toc229644782"/>
      <w:r w:rsidRPr="00027E09">
        <w:rPr>
          <w:color w:val="1F497D" w:themeColor="text2"/>
        </w:rPr>
        <w:lastRenderedPageBreak/>
        <w:t>Introduction</w:t>
      </w:r>
      <w:bookmarkEnd w:id="9"/>
      <w:bookmarkEnd w:id="12"/>
    </w:p>
    <w:p w14:paraId="12CA4F0E" w14:textId="77777777" w:rsidR="00ED032B" w:rsidRPr="00027E09" w:rsidRDefault="00ED032B" w:rsidP="00ED032B">
      <w:pPr>
        <w:pStyle w:val="Heading2"/>
        <w:rPr>
          <w:color w:val="1F497D" w:themeColor="text2"/>
        </w:rPr>
      </w:pPr>
      <w:bookmarkStart w:id="13" w:name="_Toc197948647"/>
      <w:bookmarkStart w:id="14" w:name="_Toc229644783"/>
      <w:r w:rsidRPr="00027E09">
        <w:rPr>
          <w:color w:val="1F497D" w:themeColor="text2"/>
        </w:rPr>
        <w:t>Purpose</w:t>
      </w:r>
      <w:bookmarkEnd w:id="13"/>
      <w:bookmarkEnd w:id="14"/>
    </w:p>
    <w:p w14:paraId="76477EBC" w14:textId="6F2CF44F" w:rsidR="00ED032B" w:rsidRDefault="00ED032B" w:rsidP="00ED032B">
      <w:pPr>
        <w:pStyle w:val="Body"/>
      </w:pPr>
      <w:r>
        <w:t xml:space="preserve">This guideline provides statewide public health advice to support </w:t>
      </w:r>
      <w:r w:rsidR="00247D60">
        <w:t>residential care facilitie</w:t>
      </w:r>
      <w:r>
        <w:t>s</w:t>
      </w:r>
      <w:r w:rsidR="00247D60">
        <w:t xml:space="preserve"> (RCFs)</w:t>
      </w:r>
      <w:r>
        <w:t xml:space="preserve"> and </w:t>
      </w:r>
      <w:r w:rsidR="00FD241D">
        <w:t>L</w:t>
      </w:r>
      <w:r w:rsidR="00247D60">
        <w:t xml:space="preserve">ocal </w:t>
      </w:r>
      <w:r w:rsidR="00FD241D">
        <w:t>P</w:t>
      </w:r>
      <w:r w:rsidR="00247D60">
        <w:t xml:space="preserve">ublic </w:t>
      </w:r>
      <w:r w:rsidR="00FD241D">
        <w:t>H</w:t>
      </w:r>
      <w:r w:rsidR="00247D60">
        <w:t xml:space="preserve">ealth </w:t>
      </w:r>
      <w:r w:rsidR="00FD241D">
        <w:t>U</w:t>
      </w:r>
      <w:r w:rsidR="00247D60">
        <w:t>nits (</w:t>
      </w:r>
      <w:r>
        <w:t>LPHUs</w:t>
      </w:r>
      <w:r w:rsidR="00247D60">
        <w:t>)</w:t>
      </w:r>
      <w:r>
        <w:t xml:space="preserve"> to prepare for and respond to </w:t>
      </w:r>
      <w:r w:rsidR="14B9CFBE">
        <w:t>acute respiratory infection</w:t>
      </w:r>
      <w:r>
        <w:t xml:space="preserve"> </w:t>
      </w:r>
      <w:r w:rsidR="008F09F3">
        <w:t xml:space="preserve">(ARI) </w:t>
      </w:r>
      <w:r>
        <w:t>outbreaks</w:t>
      </w:r>
      <w:r w:rsidR="53DD093C">
        <w:t xml:space="preserve"> (excluding avian influenza)</w:t>
      </w:r>
      <w:r w:rsidR="62DFADE2">
        <w:t>.</w:t>
      </w:r>
      <w:r>
        <w:t xml:space="preserve"> </w:t>
      </w:r>
    </w:p>
    <w:p w14:paraId="677E2DAE" w14:textId="39D0DA78" w:rsidR="00B012F1" w:rsidRDefault="6D244071" w:rsidP="2B964902">
      <w:pPr>
        <w:pStyle w:val="Body"/>
        <w:rPr>
          <w:rFonts w:eastAsia="Arial" w:cs="Arial"/>
          <w:szCs w:val="21"/>
        </w:rPr>
      </w:pPr>
      <w:r w:rsidRPr="2B964902">
        <w:rPr>
          <w:rFonts w:eastAsia="Arial" w:cs="Arial"/>
          <w:szCs w:val="21"/>
        </w:rPr>
        <w:t>In this guideline, RCFs refer to a range of residential care settings where people receive ongoing care and support</w:t>
      </w:r>
      <w:r w:rsidR="00EE047E">
        <w:rPr>
          <w:rFonts w:eastAsia="Arial" w:cs="Arial"/>
          <w:szCs w:val="21"/>
        </w:rPr>
        <w:t>, delivered through</w:t>
      </w:r>
      <w:r w:rsidR="005A1E8A">
        <w:rPr>
          <w:rFonts w:eastAsia="Arial" w:cs="Arial"/>
          <w:szCs w:val="21"/>
        </w:rPr>
        <w:t xml:space="preserve"> both facility-based and other residential care models. </w:t>
      </w:r>
    </w:p>
    <w:p w14:paraId="2FD5EA69" w14:textId="15D1D2F5" w:rsidR="00ED032B" w:rsidRPr="0014515B" w:rsidRDefault="00ED032B" w:rsidP="00ED032B">
      <w:pPr>
        <w:pStyle w:val="Body"/>
      </w:pPr>
      <w:r w:rsidRPr="00926EE1">
        <w:t>While this document is primarily for RCFs, principles may apply to other settings</w:t>
      </w:r>
      <w:r w:rsidR="004F64D3">
        <w:t>,</w:t>
      </w:r>
      <w:r w:rsidRPr="00926EE1">
        <w:t xml:space="preserve"> such as hospitals,</w:t>
      </w:r>
      <w:r w:rsidRPr="00926EE1">
        <w:rPr>
          <w:spacing w:val="-1"/>
        </w:rPr>
        <w:t xml:space="preserve"> </w:t>
      </w:r>
      <w:r w:rsidRPr="00926EE1">
        <w:t>cruise</w:t>
      </w:r>
      <w:r w:rsidRPr="00926EE1">
        <w:rPr>
          <w:spacing w:val="-2"/>
        </w:rPr>
        <w:t xml:space="preserve"> </w:t>
      </w:r>
      <w:r w:rsidRPr="00926EE1">
        <w:t>ships,</w:t>
      </w:r>
      <w:r w:rsidRPr="00926EE1">
        <w:rPr>
          <w:spacing w:val="-1"/>
        </w:rPr>
        <w:t xml:space="preserve"> </w:t>
      </w:r>
      <w:r w:rsidRPr="00926EE1">
        <w:t>military</w:t>
      </w:r>
      <w:r w:rsidRPr="00926EE1">
        <w:rPr>
          <w:spacing w:val="-4"/>
        </w:rPr>
        <w:t xml:space="preserve"> </w:t>
      </w:r>
      <w:r w:rsidRPr="00926EE1">
        <w:t>barracks and</w:t>
      </w:r>
      <w:r w:rsidRPr="00926EE1">
        <w:rPr>
          <w:spacing w:val="-2"/>
        </w:rPr>
        <w:t xml:space="preserve"> </w:t>
      </w:r>
      <w:r w:rsidRPr="00926EE1">
        <w:t>boarding</w:t>
      </w:r>
      <w:r w:rsidRPr="00926EE1">
        <w:rPr>
          <w:spacing w:val="-1"/>
        </w:rPr>
        <w:t xml:space="preserve"> </w:t>
      </w:r>
      <w:r w:rsidRPr="00926EE1">
        <w:t>schools.</w:t>
      </w:r>
    </w:p>
    <w:p w14:paraId="3C8E7837" w14:textId="77777777" w:rsidR="00ED032B" w:rsidRPr="00027E09" w:rsidRDefault="00ED032B" w:rsidP="00ED032B">
      <w:pPr>
        <w:pStyle w:val="Heading2"/>
        <w:rPr>
          <w:color w:val="1F497D" w:themeColor="text2"/>
        </w:rPr>
      </w:pPr>
      <w:bookmarkStart w:id="15" w:name="_Toc197948648"/>
      <w:bookmarkStart w:id="16" w:name="_Toc229644784"/>
      <w:r w:rsidRPr="00027E09">
        <w:rPr>
          <w:color w:val="1F497D" w:themeColor="text2"/>
        </w:rPr>
        <w:t>Scope</w:t>
      </w:r>
      <w:bookmarkEnd w:id="15"/>
      <w:bookmarkEnd w:id="16"/>
    </w:p>
    <w:p w14:paraId="40A6A70E" w14:textId="58767A7D" w:rsidR="00ED032B" w:rsidRPr="0014515B" w:rsidRDefault="008F6504" w:rsidP="00ED032B">
      <w:pPr>
        <w:pStyle w:val="Body"/>
      </w:pPr>
      <w:r>
        <w:t>This</w:t>
      </w:r>
      <w:r w:rsidR="00ED032B" w:rsidRPr="0014515B">
        <w:t xml:space="preserve"> guideline</w:t>
      </w:r>
      <w:r>
        <w:t xml:space="preserve"> applies to</w:t>
      </w:r>
      <w:r w:rsidR="00ED032B" w:rsidRPr="0014515B">
        <w:t xml:space="preserve"> </w:t>
      </w:r>
      <w:r w:rsidR="00ED032B">
        <w:t>RCFs</w:t>
      </w:r>
      <w:r>
        <w:t>, which</w:t>
      </w:r>
      <w:r w:rsidR="00ED032B">
        <w:t xml:space="preserve"> include:</w:t>
      </w:r>
    </w:p>
    <w:p w14:paraId="54638C17" w14:textId="552C90FB" w:rsidR="00ED032B" w:rsidRPr="0014515B" w:rsidRDefault="004F64D3" w:rsidP="00E376BE">
      <w:pPr>
        <w:pStyle w:val="Bullet1"/>
        <w:numPr>
          <w:ilvl w:val="0"/>
          <w:numId w:val="13"/>
        </w:numPr>
        <w:spacing w:after="80"/>
      </w:pPr>
      <w:r>
        <w:t>r</w:t>
      </w:r>
      <w:r w:rsidR="00ED032B" w:rsidRPr="0014515B">
        <w:t xml:space="preserve">esidential </w:t>
      </w:r>
      <w:r>
        <w:t>a</w:t>
      </w:r>
      <w:r w:rsidR="00ED032B" w:rsidRPr="0014515B">
        <w:t xml:space="preserve">ged </w:t>
      </w:r>
      <w:r>
        <w:t>c</w:t>
      </w:r>
      <w:r w:rsidR="00ED032B" w:rsidRPr="0014515B">
        <w:t xml:space="preserve">are </w:t>
      </w:r>
      <w:r>
        <w:t>h</w:t>
      </w:r>
      <w:r w:rsidR="00B02F6D">
        <w:t>omes</w:t>
      </w:r>
      <w:r w:rsidR="00B02F6D" w:rsidRPr="0014515B">
        <w:t xml:space="preserve"> </w:t>
      </w:r>
      <w:r w:rsidR="00ED032B" w:rsidRPr="0014515B">
        <w:t>(RAC</w:t>
      </w:r>
      <w:r w:rsidR="00B02F6D">
        <w:t>H</w:t>
      </w:r>
      <w:r>
        <w:t>s</w:t>
      </w:r>
      <w:r w:rsidR="00ED032B" w:rsidRPr="0014515B">
        <w:t>)</w:t>
      </w:r>
    </w:p>
    <w:p w14:paraId="0A023D8D" w14:textId="79060586" w:rsidR="00ED032B" w:rsidRPr="0014515B" w:rsidRDefault="004F64D3" w:rsidP="00E376BE">
      <w:pPr>
        <w:pStyle w:val="Bullet1"/>
        <w:numPr>
          <w:ilvl w:val="0"/>
          <w:numId w:val="13"/>
        </w:numPr>
        <w:spacing w:after="80"/>
      </w:pPr>
      <w:r>
        <w:t>d</w:t>
      </w:r>
      <w:r w:rsidR="00ED032B">
        <w:t>isability g</w:t>
      </w:r>
      <w:r w:rsidR="00ED032B" w:rsidRPr="0014515B">
        <w:t>roup accommodation</w:t>
      </w:r>
      <w:r w:rsidR="00ED032B">
        <w:t xml:space="preserve">, including </w:t>
      </w:r>
      <w:r>
        <w:t>s</w:t>
      </w:r>
      <w:r w:rsidR="00ED032B" w:rsidRPr="0014515B">
        <w:t xml:space="preserve">upported </w:t>
      </w:r>
      <w:r>
        <w:t>i</w:t>
      </w:r>
      <w:r w:rsidR="00ED032B" w:rsidRPr="0014515B">
        <w:t xml:space="preserve">ndependent </w:t>
      </w:r>
      <w:r>
        <w:t>l</w:t>
      </w:r>
      <w:r w:rsidR="00ED032B" w:rsidRPr="0014515B">
        <w:t xml:space="preserve">iving (SIL) </w:t>
      </w:r>
      <w:r w:rsidR="00ED032B">
        <w:t xml:space="preserve">or </w:t>
      </w:r>
      <w:r>
        <w:t>s</w:t>
      </w:r>
      <w:r w:rsidR="00ED032B" w:rsidRPr="0014515B">
        <w:t xml:space="preserve">pecialist </w:t>
      </w:r>
      <w:r>
        <w:t>d</w:t>
      </w:r>
      <w:r w:rsidR="00ED032B" w:rsidRPr="0014515B">
        <w:t xml:space="preserve">isability </w:t>
      </w:r>
      <w:r>
        <w:t>a</w:t>
      </w:r>
      <w:r w:rsidR="00ED032B" w:rsidRPr="0014515B">
        <w:t xml:space="preserve">ccommodation (SDA) </w:t>
      </w:r>
    </w:p>
    <w:p w14:paraId="130012FB" w14:textId="770ED8EB" w:rsidR="00ED032B" w:rsidRPr="0014515B" w:rsidRDefault="004F64D3" w:rsidP="00E376BE">
      <w:pPr>
        <w:pStyle w:val="Bullet1"/>
        <w:numPr>
          <w:ilvl w:val="0"/>
          <w:numId w:val="13"/>
        </w:numPr>
        <w:spacing w:after="80"/>
      </w:pPr>
      <w:r>
        <w:t>f</w:t>
      </w:r>
      <w:r w:rsidR="00ED032B" w:rsidRPr="0014515B">
        <w:t>orensic residential disability settings</w:t>
      </w:r>
    </w:p>
    <w:p w14:paraId="04E4E8F9" w14:textId="296969AB" w:rsidR="00ED032B" w:rsidRPr="0014515B" w:rsidRDefault="004F64D3" w:rsidP="00E376BE">
      <w:pPr>
        <w:pStyle w:val="Bullet1"/>
        <w:numPr>
          <w:ilvl w:val="0"/>
          <w:numId w:val="13"/>
        </w:numPr>
        <w:spacing w:after="80"/>
      </w:pPr>
      <w:r>
        <w:t>s</w:t>
      </w:r>
      <w:r w:rsidR="00ED032B" w:rsidRPr="0014515B">
        <w:t>hort</w:t>
      </w:r>
      <w:r>
        <w:t>-t</w:t>
      </w:r>
      <w:r w:rsidR="00ED032B" w:rsidRPr="0014515B">
        <w:t xml:space="preserve">erm </w:t>
      </w:r>
      <w:r>
        <w:t>a</w:t>
      </w:r>
      <w:r w:rsidR="00ED032B" w:rsidRPr="0014515B">
        <w:t xml:space="preserve">ccommodation and </w:t>
      </w:r>
      <w:r>
        <w:t>a</w:t>
      </w:r>
      <w:r w:rsidR="00ED032B" w:rsidRPr="0014515B">
        <w:t>ssistance (STAA) or respite facilities</w:t>
      </w:r>
    </w:p>
    <w:p w14:paraId="5CCA5E5D" w14:textId="613995A2" w:rsidR="00ED032B" w:rsidRPr="0014515B" w:rsidRDefault="004F64D3" w:rsidP="00E376BE">
      <w:pPr>
        <w:pStyle w:val="Bullet1"/>
        <w:numPr>
          <w:ilvl w:val="0"/>
          <w:numId w:val="13"/>
        </w:numPr>
        <w:spacing w:after="80"/>
      </w:pPr>
      <w:r>
        <w:t>s</w:t>
      </w:r>
      <w:r w:rsidR="00ED032B" w:rsidRPr="0014515B">
        <w:t xml:space="preserve">upported </w:t>
      </w:r>
      <w:r>
        <w:t>r</w:t>
      </w:r>
      <w:r w:rsidR="00ED032B" w:rsidRPr="0014515B">
        <w:t xml:space="preserve">esidential </w:t>
      </w:r>
      <w:r>
        <w:t>s</w:t>
      </w:r>
      <w:r w:rsidR="00ED032B" w:rsidRPr="0014515B">
        <w:t>ervices (SRS)</w:t>
      </w:r>
      <w:r>
        <w:t>.</w:t>
      </w:r>
    </w:p>
    <w:p w14:paraId="5A9301AE" w14:textId="4A6AF388" w:rsidR="00ED032B" w:rsidRPr="00027E09" w:rsidRDefault="00ED032B" w:rsidP="00ED032B">
      <w:pPr>
        <w:pStyle w:val="Heading2"/>
        <w:rPr>
          <w:color w:val="1F497D" w:themeColor="text2"/>
        </w:rPr>
      </w:pPr>
      <w:bookmarkStart w:id="17" w:name="_Toc229644785"/>
      <w:bookmarkStart w:id="18" w:name="_Toc197948650"/>
      <w:r w:rsidRPr="00027E09">
        <w:rPr>
          <w:color w:val="1F497D" w:themeColor="text2"/>
        </w:rPr>
        <w:t>Objectives</w:t>
      </w:r>
      <w:bookmarkEnd w:id="17"/>
      <w:r w:rsidRPr="00027E09">
        <w:rPr>
          <w:color w:val="1F497D" w:themeColor="text2"/>
        </w:rPr>
        <w:t xml:space="preserve"> </w:t>
      </w:r>
      <w:bookmarkEnd w:id="18"/>
    </w:p>
    <w:p w14:paraId="54B45FA1" w14:textId="5B431A8B" w:rsidR="00ED032B" w:rsidRPr="0014515B" w:rsidRDefault="00ED032B" w:rsidP="00ED032B">
      <w:pPr>
        <w:pStyle w:val="Body"/>
      </w:pPr>
      <w:r w:rsidRPr="0014515B">
        <w:t>The</w:t>
      </w:r>
      <w:r w:rsidRPr="0014515B">
        <w:rPr>
          <w:spacing w:val="-4"/>
        </w:rPr>
        <w:t xml:space="preserve"> </w:t>
      </w:r>
      <w:r w:rsidR="00C31481">
        <w:rPr>
          <w:spacing w:val="-4"/>
        </w:rPr>
        <w:t xml:space="preserve">objectives of the </w:t>
      </w:r>
      <w:r w:rsidR="00A84315">
        <w:rPr>
          <w:spacing w:val="-4"/>
        </w:rPr>
        <w:t>information and advice outlined in this guideline are</w:t>
      </w:r>
      <w:r w:rsidRPr="0014515B">
        <w:t xml:space="preserve"> to:</w:t>
      </w:r>
    </w:p>
    <w:p w14:paraId="6F85319D" w14:textId="0FDF6AF1" w:rsidR="00A47A64" w:rsidRDefault="00F739CD" w:rsidP="007927B7">
      <w:pPr>
        <w:pStyle w:val="Bullet1"/>
      </w:pPr>
      <w:r>
        <w:t>p</w:t>
      </w:r>
      <w:r w:rsidR="00A47A64">
        <w:t xml:space="preserve">revent </w:t>
      </w:r>
      <w:r w:rsidR="00B51574">
        <w:t xml:space="preserve">the </w:t>
      </w:r>
      <w:r w:rsidR="00A47A64">
        <w:t>introduction and transmission of respiratory pathogens</w:t>
      </w:r>
    </w:p>
    <w:p w14:paraId="56DF2B39" w14:textId="6DCBA150" w:rsidR="00A47A64" w:rsidRDefault="00F739CD" w:rsidP="007927B7">
      <w:pPr>
        <w:pStyle w:val="Bullet1"/>
      </w:pPr>
      <w:r>
        <w:t>e</w:t>
      </w:r>
      <w:r w:rsidR="009961DA">
        <w:t>nable early detection and timely response to outbreaks</w:t>
      </w:r>
    </w:p>
    <w:p w14:paraId="3342BE94" w14:textId="4464ABB4" w:rsidR="009961DA" w:rsidRDefault="00F739CD" w:rsidP="007927B7">
      <w:pPr>
        <w:pStyle w:val="Bullet1"/>
      </w:pPr>
      <w:r>
        <w:t>e</w:t>
      </w:r>
      <w:r w:rsidR="009961DA">
        <w:t>nsure effective outbreak m</w:t>
      </w:r>
      <w:r w:rsidR="00615898">
        <w:t>anagement</w:t>
      </w:r>
    </w:p>
    <w:p w14:paraId="7D7C8590" w14:textId="52CBFC96" w:rsidR="00615898" w:rsidRDefault="00F739CD" w:rsidP="007927B7">
      <w:pPr>
        <w:pStyle w:val="Bullet1"/>
      </w:pPr>
      <w:r>
        <w:t>s</w:t>
      </w:r>
      <w:r w:rsidR="00615898">
        <w:t>upport resident wellbeing and co</w:t>
      </w:r>
      <w:r w:rsidR="001F1C04">
        <w:t>ntinuity of care</w:t>
      </w:r>
    </w:p>
    <w:p w14:paraId="711CA532" w14:textId="66269946" w:rsidR="001F1C04" w:rsidRDefault="00F739CD" w:rsidP="007927B7">
      <w:pPr>
        <w:pStyle w:val="Bullet1"/>
      </w:pPr>
      <w:r>
        <w:t>f</w:t>
      </w:r>
      <w:r w:rsidR="001F1C04">
        <w:t>acilitate learning and continuous improvement</w:t>
      </w:r>
      <w:r w:rsidR="009B66EF">
        <w:t>.</w:t>
      </w:r>
    </w:p>
    <w:p w14:paraId="3B27C9C3" w14:textId="7060AB63" w:rsidR="00ED032B" w:rsidRPr="00027E09" w:rsidRDefault="00ED032B" w:rsidP="00ED032B">
      <w:pPr>
        <w:pStyle w:val="Heading2"/>
        <w:rPr>
          <w:color w:val="1F497D" w:themeColor="text2"/>
        </w:rPr>
      </w:pPr>
      <w:bookmarkStart w:id="19" w:name="_Toc197948651"/>
      <w:bookmarkStart w:id="20" w:name="_Toc229644786"/>
      <w:r w:rsidRPr="00027E09">
        <w:rPr>
          <w:color w:val="1F497D" w:themeColor="text2"/>
        </w:rPr>
        <w:t>Key principles</w:t>
      </w:r>
      <w:bookmarkEnd w:id="19"/>
      <w:bookmarkEnd w:id="20"/>
    </w:p>
    <w:p w14:paraId="007402A1" w14:textId="7E95353A" w:rsidR="00ED032B" w:rsidRPr="0014515B" w:rsidRDefault="00ED032B" w:rsidP="00ED032B">
      <w:pPr>
        <w:pStyle w:val="Body"/>
      </w:pPr>
      <w:r w:rsidRPr="0014515B">
        <w:t>Th</w:t>
      </w:r>
      <w:r w:rsidR="00543244">
        <w:t>is</w:t>
      </w:r>
      <w:r w:rsidRPr="0014515B">
        <w:t xml:space="preserve"> guideline</w:t>
      </w:r>
      <w:r w:rsidR="00543244">
        <w:t xml:space="preserve"> is</w:t>
      </w:r>
      <w:r w:rsidRPr="0014515B">
        <w:t xml:space="preserve"> based on the </w:t>
      </w:r>
      <w:r w:rsidR="00543244">
        <w:t>key principles</w:t>
      </w:r>
      <w:r w:rsidR="00BA1264">
        <w:t xml:space="preserve"> that</w:t>
      </w:r>
      <w:r w:rsidRPr="0014515B">
        <w:t>:</w:t>
      </w:r>
    </w:p>
    <w:p w14:paraId="7D958438" w14:textId="3D27FA11" w:rsidR="00ED032B" w:rsidRPr="00F06857" w:rsidRDefault="00543244" w:rsidP="007927B7">
      <w:pPr>
        <w:pStyle w:val="Bullet1"/>
      </w:pPr>
      <w:r>
        <w:t>a</w:t>
      </w:r>
      <w:r w:rsidR="00ED032B" w:rsidRPr="00F06857">
        <w:t>ll Victoria</w:t>
      </w:r>
      <w:r w:rsidR="00ED032B">
        <w:t>ns have the right to access healthcare</w:t>
      </w:r>
      <w:r w:rsidR="00ED032B" w:rsidRPr="00F06857">
        <w:t xml:space="preserve"> </w:t>
      </w:r>
      <w:r w:rsidR="00ED032B">
        <w:t>and to live with dignity</w:t>
      </w:r>
    </w:p>
    <w:p w14:paraId="6BFE5F37" w14:textId="41B12BBA" w:rsidR="00ED032B" w:rsidRPr="00F06857" w:rsidRDefault="00ED032B" w:rsidP="007927B7">
      <w:pPr>
        <w:pStyle w:val="Bullet1"/>
      </w:pPr>
      <w:r w:rsidRPr="00F06857">
        <w:t xml:space="preserve">RCFs </w:t>
      </w:r>
      <w:r>
        <w:t>are people’s homes, so care should be person-centred with proportionate restrictions</w:t>
      </w:r>
    </w:p>
    <w:p w14:paraId="1897A490" w14:textId="44E75856" w:rsidR="00ED032B" w:rsidRPr="00F06857" w:rsidRDefault="00543244" w:rsidP="007927B7">
      <w:pPr>
        <w:pStyle w:val="Bullet1"/>
      </w:pPr>
      <w:r>
        <w:t>i</w:t>
      </w:r>
      <w:r w:rsidR="00ED032B">
        <w:t>nfection risk cannot be fully removed and must be balanced with the residents</w:t>
      </w:r>
      <w:r w:rsidR="00BA1264">
        <w:t>’</w:t>
      </w:r>
      <w:r w:rsidR="00ED032B">
        <w:t xml:space="preserve"> wellbeing, choice</w:t>
      </w:r>
      <w:r w:rsidR="00B51574">
        <w:t>s</w:t>
      </w:r>
      <w:r w:rsidR="00ED032B">
        <w:t xml:space="preserve"> and quality of life. </w:t>
      </w:r>
    </w:p>
    <w:p w14:paraId="0C90EB3A" w14:textId="03E2EAE3" w:rsidR="00ED032B" w:rsidRPr="00027E09" w:rsidRDefault="00ED032B" w:rsidP="00ED032B">
      <w:pPr>
        <w:pStyle w:val="Heading2"/>
        <w:rPr>
          <w:color w:val="1F497D" w:themeColor="text2"/>
        </w:rPr>
      </w:pPr>
      <w:bookmarkStart w:id="21" w:name="_Toc197948652"/>
      <w:bookmarkStart w:id="22" w:name="_Toc229644787"/>
      <w:r w:rsidRPr="00027E09">
        <w:rPr>
          <w:color w:val="1F497D" w:themeColor="text2"/>
        </w:rPr>
        <w:t>Legal</w:t>
      </w:r>
      <w:bookmarkEnd w:id="21"/>
      <w:r w:rsidR="00293BCC">
        <w:rPr>
          <w:color w:val="1F497D" w:themeColor="text2"/>
        </w:rPr>
        <w:t xml:space="preserve"> requirements</w:t>
      </w:r>
      <w:bookmarkEnd w:id="22"/>
    </w:p>
    <w:p w14:paraId="2E9CCB6A" w14:textId="77777777" w:rsidR="00ED032B" w:rsidRPr="0014515B" w:rsidRDefault="00ED032B" w:rsidP="00ED032B">
      <w:pPr>
        <w:pStyle w:val="Body"/>
      </w:pPr>
      <w:r>
        <w:t>Residential care providers are responsible for identifying</w:t>
      </w:r>
      <w:r w:rsidRPr="0014515B">
        <w:t xml:space="preserve"> and compl</w:t>
      </w:r>
      <w:r>
        <w:t>ying</w:t>
      </w:r>
      <w:r w:rsidRPr="0014515B">
        <w:t xml:space="preserve"> with </w:t>
      </w:r>
      <w:r>
        <w:t xml:space="preserve">all </w:t>
      </w:r>
      <w:r w:rsidRPr="0014515B">
        <w:t xml:space="preserve">relevant legislation and regulations. </w:t>
      </w:r>
    </w:p>
    <w:p w14:paraId="503475F4" w14:textId="08820B38" w:rsidR="00ED032B" w:rsidRPr="0014515B" w:rsidRDefault="00ED032B" w:rsidP="00ED032B">
      <w:pPr>
        <w:pStyle w:val="Body"/>
      </w:pPr>
      <w:r>
        <w:lastRenderedPageBreak/>
        <w:t xml:space="preserve">Reporting </w:t>
      </w:r>
      <w:r w:rsidRPr="00403484">
        <w:t>respiratory outbreak</w:t>
      </w:r>
      <w:r>
        <w:t xml:space="preserve">s is </w:t>
      </w:r>
      <w:r w:rsidRPr="00403484">
        <w:t xml:space="preserve">not </w:t>
      </w:r>
      <w:r>
        <w:t xml:space="preserve">mandatory </w:t>
      </w:r>
      <w:r w:rsidRPr="00403484">
        <w:t>in Victoria</w:t>
      </w:r>
      <w:r>
        <w:t xml:space="preserve">. However, </w:t>
      </w:r>
      <w:r w:rsidRPr="00403484">
        <w:t>RCFs are recommended to report outbreaks</w:t>
      </w:r>
      <w:r>
        <w:t xml:space="preserve"> to </w:t>
      </w:r>
      <w:r w:rsidR="002D505B">
        <w:t>the</w:t>
      </w:r>
      <w:r w:rsidRPr="00403484">
        <w:t xml:space="preserve"> LPHU</w:t>
      </w:r>
      <w:r>
        <w:t xml:space="preserve">. </w:t>
      </w:r>
      <w:r w:rsidRPr="00F92885">
        <w:t>This</w:t>
      </w:r>
      <w:r w:rsidR="00B92DE7">
        <w:t xml:space="preserve"> surveillance</w:t>
      </w:r>
      <w:r w:rsidRPr="00F92885">
        <w:t xml:space="preserve"> support</w:t>
      </w:r>
      <w:r>
        <w:t>s</w:t>
      </w:r>
      <w:r w:rsidRPr="00F92885">
        <w:t xml:space="preserve"> </w:t>
      </w:r>
      <w:r w:rsidRPr="00AA6FEC">
        <w:t>outbreak management</w:t>
      </w:r>
      <w:r w:rsidRPr="008733F5">
        <w:t xml:space="preserve"> and </w:t>
      </w:r>
      <w:r w:rsidR="00B92DE7">
        <w:t>helps inform</w:t>
      </w:r>
      <w:r w:rsidRPr="00AA6FEC">
        <w:t xml:space="preserve"> public health </w:t>
      </w:r>
      <w:r w:rsidR="00BA454F">
        <w:t>actions</w:t>
      </w:r>
      <w:r w:rsidRPr="00AA6FEC">
        <w:t>.</w:t>
      </w:r>
      <w:r w:rsidRPr="006F493F">
        <w:t xml:space="preserve"> </w:t>
      </w:r>
    </w:p>
    <w:p w14:paraId="079DE052" w14:textId="50CF126D" w:rsidR="00ED032B" w:rsidRDefault="00ED032B" w:rsidP="00ED032B">
      <w:pPr>
        <w:pStyle w:val="Body"/>
      </w:pPr>
      <w:r>
        <w:t xml:space="preserve">RCFs </w:t>
      </w:r>
      <w:r w:rsidR="00454223">
        <w:t xml:space="preserve">should </w:t>
      </w:r>
      <w:r>
        <w:t xml:space="preserve">manage infection risk by applying standard and transmission-based IPC measures, in line with </w:t>
      </w:r>
      <w:r w:rsidR="000C35A8">
        <w:t xml:space="preserve">the Victorian Department of Health </w:t>
      </w:r>
      <w:r>
        <w:t>and Commonwealth guidance</w:t>
      </w:r>
      <w:r w:rsidR="00BA1264">
        <w:t>,</w:t>
      </w:r>
      <w:r>
        <w:t xml:space="preserve"> including the </w:t>
      </w:r>
      <w:hyperlink r:id="rId21" w:history="1">
        <w:r w:rsidRPr="00FD4C4F">
          <w:rPr>
            <w:rStyle w:val="Hyperlink"/>
          </w:rPr>
          <w:t>Australian Guidelines for the Prevention and Control of Infection in Healthcare</w:t>
        </w:r>
      </w:hyperlink>
      <w:r w:rsidR="005A05EF">
        <w:t xml:space="preserve"> &lt;</w:t>
      </w:r>
      <w:r w:rsidR="005A05EF" w:rsidRPr="005A05EF">
        <w:t>https://www.safetyandquality.gov.au/publications-and-resources/resource-library/australian-guidelines-prevention-and-control-infection-healthcare</w:t>
      </w:r>
      <w:r w:rsidR="00563304">
        <w:t>&gt;</w:t>
      </w:r>
      <w:r>
        <w:t xml:space="preserve"> and its supplementary resource </w:t>
      </w:r>
      <w:hyperlink r:id="rId22" w:history="1">
        <w:r w:rsidRPr="00BF0070">
          <w:rPr>
            <w:rStyle w:val="Hyperlink"/>
          </w:rPr>
          <w:t>The Aged Care Infection Prevention and Control Guide</w:t>
        </w:r>
      </w:hyperlink>
      <w:r w:rsidR="00563304">
        <w:t xml:space="preserve"> &lt;</w:t>
      </w:r>
      <w:r w:rsidR="00563304" w:rsidRPr="00FA461D">
        <w:t>https://www.safetyandquality.gov.au/publications-and-resources/resource-library/aged-care-infection-prevention-and-control-guide</w:t>
      </w:r>
      <w:r w:rsidR="00563304">
        <w:t>&gt;.</w:t>
      </w:r>
    </w:p>
    <w:p w14:paraId="50759DBD" w14:textId="6CD958AD" w:rsidR="00ED032B" w:rsidRDefault="00ED032B" w:rsidP="00ED032B">
      <w:pPr>
        <w:pStyle w:val="Body"/>
      </w:pPr>
      <w:bookmarkStart w:id="23" w:name="_Toc128756776"/>
      <w:bookmarkStart w:id="24" w:name="_Toc128756777"/>
      <w:bookmarkStart w:id="25" w:name="_Toc128756778"/>
      <w:bookmarkStart w:id="26" w:name="_Toc128756779"/>
      <w:bookmarkStart w:id="27" w:name="_Toc128756780"/>
      <w:bookmarkStart w:id="28" w:name="_Toc128756781"/>
      <w:bookmarkStart w:id="29" w:name="_Toc128756782"/>
      <w:bookmarkStart w:id="30" w:name="_Toc128756783"/>
      <w:bookmarkStart w:id="31" w:name="_Toc128756784"/>
      <w:bookmarkStart w:id="32" w:name="_Toc128756785"/>
      <w:bookmarkStart w:id="33" w:name="_Toc128756786"/>
      <w:bookmarkStart w:id="34" w:name="_Toc128756787"/>
      <w:bookmarkStart w:id="35" w:name="_Toc128756788"/>
      <w:bookmarkStart w:id="36" w:name="_Toc128756789"/>
      <w:bookmarkStart w:id="37" w:name="_Toc128756790"/>
      <w:bookmarkStart w:id="38" w:name="_Toc128756791"/>
      <w:bookmarkStart w:id="39" w:name="_Toc128756792"/>
      <w:bookmarkStart w:id="40" w:name="_Toc128756793"/>
      <w:bookmarkStart w:id="41" w:name="_Toc128756794"/>
      <w:bookmarkStart w:id="42" w:name="_Toc128756795"/>
      <w:bookmarkStart w:id="43" w:name="_Toc128756796"/>
      <w:bookmarkStart w:id="44" w:name="_Toc128756797"/>
      <w:bookmarkStart w:id="45" w:name="_Toc128756798"/>
      <w:bookmarkStart w:id="46" w:name="_Toc128756799"/>
      <w:bookmarkStart w:id="47" w:name="_Toc128756800"/>
      <w:bookmarkStart w:id="48" w:name="_Toc128756801"/>
      <w:bookmarkStart w:id="49" w:name="_Toc128756802"/>
      <w:bookmarkStart w:id="50" w:name="_Toc128756803"/>
      <w:bookmarkStart w:id="51" w:name="_Toc128756804"/>
      <w:bookmarkStart w:id="52" w:name="_Toc128756805"/>
      <w:bookmarkStart w:id="53" w:name="_Toc128756806"/>
      <w:bookmarkStart w:id="54" w:name="_Toc128756807"/>
      <w:bookmarkStart w:id="55" w:name="_Toc128756808"/>
      <w:bookmarkStart w:id="56" w:name="_Toc128756809"/>
      <w:bookmarkStart w:id="57" w:name="_Toc128756810"/>
      <w:bookmarkStart w:id="58" w:name="_Toc128756811"/>
      <w:bookmarkStart w:id="59" w:name="_Toc128756812"/>
      <w:bookmarkStart w:id="60" w:name="_Toc128756813"/>
      <w:bookmarkStart w:id="61" w:name="_Toc12875681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551C26">
        <w:t xml:space="preserve">This guidance does not override or change any obligation </w:t>
      </w:r>
      <w:r w:rsidR="00BA1264">
        <w:t xml:space="preserve">that </w:t>
      </w:r>
      <w:r w:rsidRPr="00551C26">
        <w:t>an employer may have under occupational health and safety laws.</w:t>
      </w:r>
      <w:r>
        <w:t xml:space="preserve"> It should be used alongside Commonwealth advice and local public health direction. Provide</w:t>
      </w:r>
      <w:r w:rsidR="00EF10F1">
        <w:t>r</w:t>
      </w:r>
      <w:r>
        <w:t xml:space="preserve">s should use clinical judgement and seek advice from their LPHU where needed. </w:t>
      </w:r>
    </w:p>
    <w:p w14:paraId="0351C4B7" w14:textId="77777777" w:rsidR="00ED032B" w:rsidRDefault="00ED032B" w:rsidP="00F9103D">
      <w:pPr>
        <w:pStyle w:val="Body"/>
      </w:pPr>
      <w:r>
        <w:br w:type="page"/>
      </w:r>
    </w:p>
    <w:p w14:paraId="439631B0" w14:textId="482AE422" w:rsidR="00EE29AD" w:rsidRPr="00027E09" w:rsidRDefault="008E444D" w:rsidP="00E376BE">
      <w:pPr>
        <w:pStyle w:val="Heading1"/>
        <w:numPr>
          <w:ilvl w:val="0"/>
          <w:numId w:val="12"/>
        </w:numPr>
        <w:rPr>
          <w:color w:val="1F497D" w:themeColor="text2"/>
        </w:rPr>
      </w:pPr>
      <w:bookmarkStart w:id="62" w:name="_Toc229644788"/>
      <w:r w:rsidRPr="00027E09">
        <w:rPr>
          <w:color w:val="1F497D" w:themeColor="text2"/>
        </w:rPr>
        <w:lastRenderedPageBreak/>
        <w:t xml:space="preserve">Prevention and </w:t>
      </w:r>
      <w:r w:rsidR="000131B4" w:rsidRPr="00027E09">
        <w:rPr>
          <w:color w:val="1F497D" w:themeColor="text2"/>
        </w:rPr>
        <w:t>p</w:t>
      </w:r>
      <w:r w:rsidRPr="00027E09">
        <w:rPr>
          <w:color w:val="1F497D" w:themeColor="text2"/>
        </w:rPr>
        <w:t>reparedness</w:t>
      </w:r>
      <w:bookmarkEnd w:id="62"/>
    </w:p>
    <w:p w14:paraId="1760DB28" w14:textId="51954BB2" w:rsidR="00354C9B" w:rsidRDefault="00354C9B" w:rsidP="00FD79E7">
      <w:pPr>
        <w:pStyle w:val="Body"/>
      </w:pPr>
      <w:r w:rsidRPr="00B31B3B">
        <w:t xml:space="preserve">This section provides </w:t>
      </w:r>
      <w:r w:rsidRPr="00FA461D">
        <w:t xml:space="preserve">practical guidance to </w:t>
      </w:r>
      <w:r>
        <w:t>support</w:t>
      </w:r>
      <w:r w:rsidRPr="00FA461D">
        <w:t xml:space="preserve"> RCFs </w:t>
      </w:r>
      <w:r>
        <w:t>in preventing and preparing</w:t>
      </w:r>
      <w:r w:rsidRPr="00FA461D">
        <w:t xml:space="preserve"> for </w:t>
      </w:r>
      <w:r w:rsidR="00862FA4">
        <w:t xml:space="preserve">ARI </w:t>
      </w:r>
      <w:r w:rsidRPr="00FA461D">
        <w:t>outbreaks</w:t>
      </w:r>
      <w:r w:rsidRPr="00B31B3B">
        <w:t>.</w:t>
      </w:r>
      <w:r w:rsidRPr="000464AD">
        <w:t xml:space="preserve"> </w:t>
      </w:r>
      <w:r w:rsidR="00276DCF" w:rsidRPr="00B31B3B">
        <w:t xml:space="preserve">Facilities must </w:t>
      </w:r>
      <w:r w:rsidR="00276DCF" w:rsidRPr="00BB3F76">
        <w:t>balance infection prevention with residents’ health, wellbeing, social connection and choice</w:t>
      </w:r>
      <w:r w:rsidR="00276DCF" w:rsidRPr="00B31B3B">
        <w:t xml:space="preserve">. </w:t>
      </w:r>
    </w:p>
    <w:p w14:paraId="3B9ED00B" w14:textId="3CA06827" w:rsidR="00FD79E7" w:rsidRPr="00B31B3B" w:rsidRDefault="00FD79E7" w:rsidP="00FD79E7">
      <w:pPr>
        <w:pStyle w:val="Body"/>
      </w:pPr>
      <w:r w:rsidRPr="00B31B3B">
        <w:t xml:space="preserve">RCFs should </w:t>
      </w:r>
      <w:r w:rsidR="00B04729">
        <w:t>take</w:t>
      </w:r>
      <w:r w:rsidRPr="00B31B3B">
        <w:t xml:space="preserve"> a </w:t>
      </w:r>
      <w:r w:rsidRPr="00FA461D">
        <w:t>risk-based approach</w:t>
      </w:r>
      <w:r w:rsidRPr="00B31B3B">
        <w:t xml:space="preserve"> to prevent respiratory illnesses from entering </w:t>
      </w:r>
      <w:r w:rsidR="00B50013" w:rsidRPr="00B31B3B">
        <w:t>and</w:t>
      </w:r>
      <w:r w:rsidRPr="00B31B3B">
        <w:t xml:space="preserve"> spreading within the facility.</w:t>
      </w:r>
      <w:r w:rsidR="00FA17D4">
        <w:t xml:space="preserve"> During periods of high community transmission</w:t>
      </w:r>
      <w:r w:rsidR="0087405E">
        <w:t>,</w:t>
      </w:r>
      <w:r w:rsidRPr="00B31B3B">
        <w:t xml:space="preserve"> facilities should</w:t>
      </w:r>
      <w:r w:rsidR="00DB7D04" w:rsidRPr="00B31B3B">
        <w:t xml:space="preserve"> undertake regular risk assessments and</w:t>
      </w:r>
      <w:r w:rsidRPr="00B31B3B">
        <w:t xml:space="preserve"> </w:t>
      </w:r>
      <w:r w:rsidRPr="00FA461D">
        <w:t>adjust safety measures</w:t>
      </w:r>
      <w:r w:rsidR="005614F8">
        <w:t xml:space="preserve">, </w:t>
      </w:r>
      <w:r w:rsidR="0087405E">
        <w:t>including</w:t>
      </w:r>
      <w:r w:rsidRPr="00B31B3B">
        <w:t xml:space="preserve"> </w:t>
      </w:r>
      <w:r w:rsidR="00796BA6">
        <w:t xml:space="preserve">enhancing advice on </w:t>
      </w:r>
      <w:r w:rsidRPr="00B31B3B">
        <w:t xml:space="preserve">mask use, visitor guidance and entry requirements. The </w:t>
      </w:r>
      <w:hyperlink r:id="rId23" w:tgtFrame="_new" w:history="1">
        <w:r w:rsidRPr="00B31B3B">
          <w:rPr>
            <w:rStyle w:val="Hyperlink"/>
          </w:rPr>
          <w:t>Victorian respiratory surveillance report</w:t>
        </w:r>
      </w:hyperlink>
      <w:r w:rsidRPr="00B31B3B">
        <w:t xml:space="preserve"> </w:t>
      </w:r>
      <w:r w:rsidR="00720BCC" w:rsidRPr="00B31B3B">
        <w:t xml:space="preserve">&lt;https://www.health.vic.gov.au/infectious-diseases/victorian-respiratory-surveillance-report&gt; </w:t>
      </w:r>
      <w:r w:rsidRPr="00B31B3B">
        <w:t>provides useful data on community levels of respiratory infections.</w:t>
      </w:r>
    </w:p>
    <w:p w14:paraId="6ADB3052" w14:textId="472D6176" w:rsidR="000423AA" w:rsidRPr="00B31B3B" w:rsidRDefault="000423AA" w:rsidP="00FD79E7">
      <w:pPr>
        <w:pStyle w:val="Body"/>
      </w:pPr>
      <w:r>
        <w:t>For a full list of key resources supporting prevention and preparedness, see</w:t>
      </w:r>
      <w:r w:rsidR="00514EC0">
        <w:t xml:space="preserve"> </w:t>
      </w:r>
      <w:hyperlink w:anchor="Appendix1" w:history="1">
        <w:r w:rsidR="00514EC0" w:rsidRPr="00514EC0">
          <w:rPr>
            <w:rStyle w:val="Hyperlink"/>
          </w:rPr>
          <w:t>Appendix 1: Key documents and resources</w:t>
        </w:r>
      </w:hyperlink>
      <w:r w:rsidR="00514EC0">
        <w:t xml:space="preserve">. </w:t>
      </w:r>
      <w:r>
        <w:t xml:space="preserve"> </w:t>
      </w:r>
    </w:p>
    <w:p w14:paraId="5DFF0716" w14:textId="211217A7" w:rsidR="0013732C" w:rsidRPr="00027E09" w:rsidRDefault="0013732C" w:rsidP="00ED032B">
      <w:pPr>
        <w:pStyle w:val="Heading2"/>
        <w:rPr>
          <w:color w:val="1F497D" w:themeColor="text2"/>
        </w:rPr>
      </w:pPr>
      <w:bookmarkStart w:id="63" w:name="_Toc108093037"/>
      <w:bookmarkStart w:id="64" w:name="_Toc108623750"/>
      <w:bookmarkStart w:id="65" w:name="_Toc109729943"/>
      <w:bookmarkStart w:id="66" w:name="_Toc109729845"/>
      <w:bookmarkStart w:id="67" w:name="_Toc109730812"/>
      <w:bookmarkStart w:id="68" w:name="_Toc111121590"/>
      <w:bookmarkStart w:id="69" w:name="_Toc111638391"/>
      <w:bookmarkStart w:id="70" w:name="_Toc111708277"/>
      <w:bookmarkStart w:id="71" w:name="_Toc112144699"/>
      <w:bookmarkStart w:id="72" w:name="_Toc113443368"/>
      <w:bookmarkStart w:id="73" w:name="_Toc197948654"/>
      <w:bookmarkStart w:id="74" w:name="_Toc229644789"/>
      <w:r w:rsidRPr="00027E09">
        <w:rPr>
          <w:color w:val="1F497D" w:themeColor="text2"/>
        </w:rPr>
        <w:t xml:space="preserve">Developing an </w:t>
      </w:r>
      <w:r w:rsidR="00E75AC5">
        <w:rPr>
          <w:color w:val="1F497D" w:themeColor="text2"/>
        </w:rPr>
        <w:t>o</w:t>
      </w:r>
      <w:r w:rsidRPr="00027E09">
        <w:rPr>
          <w:color w:val="1F497D" w:themeColor="text2"/>
        </w:rPr>
        <w:t xml:space="preserve">utbreak </w:t>
      </w:r>
      <w:r w:rsidR="00E75AC5">
        <w:rPr>
          <w:color w:val="1F497D" w:themeColor="text2"/>
        </w:rPr>
        <w:t>m</w:t>
      </w:r>
      <w:r w:rsidRPr="00027E09">
        <w:rPr>
          <w:color w:val="1F497D" w:themeColor="text2"/>
        </w:rPr>
        <w:t xml:space="preserve">anagement </w:t>
      </w:r>
      <w:r w:rsidR="00E75AC5">
        <w:rPr>
          <w:color w:val="1F497D" w:themeColor="text2"/>
        </w:rPr>
        <w:t>p</w:t>
      </w:r>
      <w:r w:rsidRPr="00027E09">
        <w:rPr>
          <w:color w:val="1F497D" w:themeColor="text2"/>
        </w:rPr>
        <w:t>lan</w:t>
      </w:r>
      <w:bookmarkEnd w:id="63"/>
      <w:bookmarkEnd w:id="64"/>
      <w:bookmarkEnd w:id="65"/>
      <w:bookmarkEnd w:id="66"/>
      <w:bookmarkEnd w:id="67"/>
      <w:bookmarkEnd w:id="68"/>
      <w:bookmarkEnd w:id="69"/>
      <w:bookmarkEnd w:id="70"/>
      <w:bookmarkEnd w:id="71"/>
      <w:bookmarkEnd w:id="72"/>
      <w:bookmarkEnd w:id="73"/>
      <w:r w:rsidR="00B449C1">
        <w:rPr>
          <w:color w:val="1F497D" w:themeColor="text2"/>
        </w:rPr>
        <w:t xml:space="preserve"> (OMP)</w:t>
      </w:r>
      <w:bookmarkEnd w:id="74"/>
    </w:p>
    <w:p w14:paraId="1BBFAF69" w14:textId="66980138" w:rsidR="0013732C" w:rsidRDefault="0013732C" w:rsidP="0013732C">
      <w:pPr>
        <w:pStyle w:val="Body"/>
      </w:pPr>
      <w:r>
        <w:t xml:space="preserve">Preparing an </w:t>
      </w:r>
      <w:r w:rsidR="00B449C1">
        <w:t>OMP</w:t>
      </w:r>
      <w:r>
        <w:t xml:space="preserve"> is essential for RCFs to respond rapidly to outbreaks. Larger facilities may need separate plans for different areas.</w:t>
      </w:r>
    </w:p>
    <w:p w14:paraId="0FEEC476" w14:textId="7FA7284B" w:rsidR="00F443CB" w:rsidRPr="00FA461D" w:rsidRDefault="0013732C" w:rsidP="0013732C">
      <w:pPr>
        <w:pStyle w:val="Body"/>
        <w:rPr>
          <w:b/>
          <w:bCs/>
        </w:rPr>
      </w:pPr>
      <w:r w:rsidRPr="00FA461D">
        <w:rPr>
          <w:b/>
          <w:bCs/>
        </w:rPr>
        <w:t>An effective OMP should:</w:t>
      </w:r>
    </w:p>
    <w:p w14:paraId="0D94C931" w14:textId="1CCDD433" w:rsidR="0013732C" w:rsidRPr="004A6737" w:rsidRDefault="00900CE6" w:rsidP="007927B7">
      <w:pPr>
        <w:pStyle w:val="Bullet1"/>
      </w:pPr>
      <w:r>
        <w:t>d</w:t>
      </w:r>
      <w:r w:rsidR="0013732C" w:rsidRPr="004A6737">
        <w:t xml:space="preserve">etail the </w:t>
      </w:r>
      <w:r w:rsidR="004553A5" w:rsidRPr="004A6737">
        <w:t>f</w:t>
      </w:r>
      <w:r w:rsidR="0013732C" w:rsidRPr="004A6737">
        <w:t>acility’s approach to safety and outbreak response</w:t>
      </w:r>
      <w:r>
        <w:t>s</w:t>
      </w:r>
    </w:p>
    <w:p w14:paraId="1FF723E9" w14:textId="36F674A5" w:rsidR="0013732C" w:rsidRDefault="00900CE6" w:rsidP="007927B7">
      <w:pPr>
        <w:pStyle w:val="Bullet1"/>
      </w:pPr>
      <w:r>
        <w:t>e</w:t>
      </w:r>
      <w:r w:rsidR="0013732C">
        <w:t xml:space="preserve">stablish an </w:t>
      </w:r>
      <w:r w:rsidR="001B61EA">
        <w:t>o</w:t>
      </w:r>
      <w:r w:rsidR="0013732C">
        <w:t xml:space="preserve">utbreak </w:t>
      </w:r>
      <w:r w:rsidR="001B61EA">
        <w:t>m</w:t>
      </w:r>
      <w:r w:rsidR="0013732C">
        <w:t xml:space="preserve">anagement </w:t>
      </w:r>
      <w:r w:rsidR="001B61EA">
        <w:t>t</w:t>
      </w:r>
      <w:r w:rsidR="0013732C">
        <w:t xml:space="preserve">eam (OMT) with </w:t>
      </w:r>
      <w:r w:rsidR="000C3DF3">
        <w:t xml:space="preserve">clearly </w:t>
      </w:r>
      <w:r w:rsidR="0013732C">
        <w:t>defined roles, positions and responsibilities</w:t>
      </w:r>
    </w:p>
    <w:p w14:paraId="61F9F03F" w14:textId="5204D066" w:rsidR="006109A7" w:rsidRDefault="00900CE6" w:rsidP="007927B7">
      <w:pPr>
        <w:pStyle w:val="Bullet1"/>
      </w:pPr>
      <w:r>
        <w:t>a</w:t>
      </w:r>
      <w:r w:rsidR="006109A7">
        <w:t>ssign staff to coordinate outbreak activities and manage communication with residents, next</w:t>
      </w:r>
      <w:r>
        <w:t xml:space="preserve"> </w:t>
      </w:r>
      <w:r w:rsidR="006109A7">
        <w:t>of</w:t>
      </w:r>
      <w:r>
        <w:t xml:space="preserve"> </w:t>
      </w:r>
      <w:r w:rsidR="006109A7">
        <w:t xml:space="preserve">kin (NOK), staff, clinicians and the </w:t>
      </w:r>
      <w:r w:rsidR="004F705E">
        <w:t>L</w:t>
      </w:r>
      <w:r w:rsidR="00571984">
        <w:t>PHU</w:t>
      </w:r>
    </w:p>
    <w:p w14:paraId="67296394" w14:textId="11B862D4" w:rsidR="0013732C" w:rsidRDefault="00900CE6" w:rsidP="007927B7">
      <w:pPr>
        <w:pStyle w:val="Bullet1"/>
      </w:pPr>
      <w:r>
        <w:t>a</w:t>
      </w:r>
      <w:r w:rsidR="0013732C">
        <w:t>ppoint a dedicated</w:t>
      </w:r>
      <w:r w:rsidR="007C42C9">
        <w:t xml:space="preserve"> </w:t>
      </w:r>
      <w:r w:rsidR="00657AF8">
        <w:t>IPC</w:t>
      </w:r>
      <w:r w:rsidR="002578CD">
        <w:t xml:space="preserve"> lead nurse</w:t>
      </w:r>
    </w:p>
    <w:p w14:paraId="19571A1D" w14:textId="3F9496A6" w:rsidR="0013732C" w:rsidRPr="0050524C" w:rsidRDefault="00900CE6" w:rsidP="007927B7">
      <w:pPr>
        <w:pStyle w:val="Bullet1"/>
      </w:pPr>
      <w:r>
        <w:t>d</w:t>
      </w:r>
      <w:r w:rsidR="00B42F2D">
        <w:t>escribe</w:t>
      </w:r>
      <w:r w:rsidR="00B42F2D" w:rsidRPr="0050524C">
        <w:t xml:space="preserve"> </w:t>
      </w:r>
      <w:r w:rsidR="0013732C" w:rsidRPr="0050524C">
        <w:t>how residents</w:t>
      </w:r>
      <w:r w:rsidR="002F5558">
        <w:t xml:space="preserve">, staff and visitors </w:t>
      </w:r>
      <w:r w:rsidR="0013732C" w:rsidRPr="0050524C">
        <w:t>will be kept safe</w:t>
      </w:r>
      <w:r w:rsidR="003A4041">
        <w:t xml:space="preserve"> (including consideration to </w:t>
      </w:r>
      <w:r w:rsidR="00F6571F">
        <w:t>Aboriginal</w:t>
      </w:r>
      <w:r w:rsidR="003A4041">
        <w:t xml:space="preserve"> </w:t>
      </w:r>
      <w:r w:rsidR="002C6637">
        <w:t xml:space="preserve">and Torres Strait Islander </w:t>
      </w:r>
      <w:r w:rsidR="00F6571F">
        <w:t>cultural safety)</w:t>
      </w:r>
      <w:r w:rsidR="0013732C" w:rsidRPr="0050524C">
        <w:t>, including risk mitigation strategies</w:t>
      </w:r>
    </w:p>
    <w:p w14:paraId="3D919457" w14:textId="186C04E5" w:rsidR="0013732C" w:rsidRDefault="00900CE6" w:rsidP="007927B7">
      <w:pPr>
        <w:pStyle w:val="Bullet1"/>
      </w:pPr>
      <w:r>
        <w:t>o</w:t>
      </w:r>
      <w:r w:rsidR="0013732C">
        <w:t>utline actions to identify outbreaks early to reduce severity and duration</w:t>
      </w:r>
    </w:p>
    <w:p w14:paraId="14F4A43A" w14:textId="03047C45" w:rsidR="0013732C" w:rsidRDefault="00900CE6" w:rsidP="007927B7">
      <w:pPr>
        <w:pStyle w:val="Bullet1"/>
      </w:pPr>
      <w:r>
        <w:t>d</w:t>
      </w:r>
      <w:r w:rsidR="0013732C">
        <w:t>ocument pre-established outbreak management processes, including activation triggers.</w:t>
      </w:r>
    </w:p>
    <w:p w14:paraId="084CF7A7" w14:textId="3644003B" w:rsidR="0013732C" w:rsidRPr="00F9103D" w:rsidRDefault="002578CD" w:rsidP="00F9103D">
      <w:pPr>
        <w:pStyle w:val="Bodyafterbullets"/>
        <w:rPr>
          <w:b/>
          <w:bCs/>
        </w:rPr>
      </w:pPr>
      <w:r w:rsidRPr="00F9103D">
        <w:rPr>
          <w:b/>
          <w:bCs/>
        </w:rPr>
        <w:t>Plan maintenance and review</w:t>
      </w:r>
      <w:r w:rsidR="00900CE6">
        <w:rPr>
          <w:b/>
          <w:bCs/>
        </w:rPr>
        <w:t xml:space="preserve"> should include</w:t>
      </w:r>
      <w:r w:rsidR="00D84572" w:rsidRPr="00F9103D">
        <w:rPr>
          <w:b/>
          <w:bCs/>
        </w:rPr>
        <w:t>:</w:t>
      </w:r>
    </w:p>
    <w:p w14:paraId="05C710E9" w14:textId="7AC94FAC" w:rsidR="00D84572" w:rsidRDefault="00900CE6" w:rsidP="007927B7">
      <w:pPr>
        <w:pStyle w:val="Bullet1"/>
      </w:pPr>
      <w:r>
        <w:t>u</w:t>
      </w:r>
      <w:r w:rsidR="0013732C">
        <w:t>pdat</w:t>
      </w:r>
      <w:r>
        <w:t>ing</w:t>
      </w:r>
      <w:r w:rsidR="0013732C">
        <w:t xml:space="preserve"> the OMP to reflect changes in staffing, service delivery or business practices</w:t>
      </w:r>
    </w:p>
    <w:p w14:paraId="0BC56616" w14:textId="1692B65A" w:rsidR="0013732C" w:rsidRDefault="00900CE6" w:rsidP="007927B7">
      <w:pPr>
        <w:pStyle w:val="Bullet1"/>
      </w:pPr>
      <w:r>
        <w:t>i</w:t>
      </w:r>
      <w:r w:rsidR="00DC445D">
        <w:t>ncorporat</w:t>
      </w:r>
      <w:r>
        <w:t>ing</w:t>
      </w:r>
      <w:r w:rsidR="00355E67">
        <w:t xml:space="preserve"> lessons learned from previous outbreaks</w:t>
      </w:r>
    </w:p>
    <w:p w14:paraId="2EEA181C" w14:textId="156A5ECF" w:rsidR="0013732C" w:rsidRDefault="00900CE6" w:rsidP="007927B7">
      <w:pPr>
        <w:pStyle w:val="Bullet1"/>
      </w:pPr>
      <w:r>
        <w:t>c</w:t>
      </w:r>
      <w:r w:rsidR="0013732C">
        <w:t>onduct</w:t>
      </w:r>
      <w:r>
        <w:t>ing</w:t>
      </w:r>
      <w:r w:rsidR="0013732C">
        <w:t xml:space="preserve"> OMP drills or exercises to test readiness and improve response capability</w:t>
      </w:r>
      <w:r w:rsidR="00967A35">
        <w:t>.</w:t>
      </w:r>
    </w:p>
    <w:p w14:paraId="07217492" w14:textId="2CC3E2F3" w:rsidR="0013732C" w:rsidRPr="00F9103D" w:rsidRDefault="00D84572" w:rsidP="00F9103D">
      <w:pPr>
        <w:pStyle w:val="Bodyafterbullets"/>
        <w:rPr>
          <w:b/>
          <w:bCs/>
        </w:rPr>
      </w:pPr>
      <w:r w:rsidRPr="00F9103D">
        <w:rPr>
          <w:b/>
          <w:bCs/>
        </w:rPr>
        <w:t xml:space="preserve">Operational information </w:t>
      </w:r>
      <w:r w:rsidR="00D0029A">
        <w:rPr>
          <w:b/>
          <w:bCs/>
        </w:rPr>
        <w:t xml:space="preserve">needs </w:t>
      </w:r>
      <w:r w:rsidRPr="00F9103D">
        <w:rPr>
          <w:b/>
          <w:bCs/>
        </w:rPr>
        <w:t xml:space="preserve">to </w:t>
      </w:r>
      <w:r w:rsidR="00D0029A">
        <w:rPr>
          <w:b/>
          <w:bCs/>
        </w:rPr>
        <w:t>include</w:t>
      </w:r>
      <w:r w:rsidRPr="00F9103D">
        <w:rPr>
          <w:b/>
          <w:bCs/>
        </w:rPr>
        <w:t>:</w:t>
      </w:r>
    </w:p>
    <w:p w14:paraId="2981BBBD" w14:textId="28C4AF7A" w:rsidR="0013732C" w:rsidRDefault="00D0029A" w:rsidP="007927B7">
      <w:pPr>
        <w:pStyle w:val="Bullet1"/>
      </w:pPr>
      <w:r>
        <w:t>a d</w:t>
      </w:r>
      <w:r w:rsidR="0013732C">
        <w:t>etailed floor plan of the facility</w:t>
      </w:r>
    </w:p>
    <w:p w14:paraId="710C0C10" w14:textId="58CA68B6" w:rsidR="0013732C" w:rsidRDefault="00D0029A" w:rsidP="007927B7">
      <w:pPr>
        <w:pStyle w:val="Bullet1"/>
      </w:pPr>
      <w:r>
        <w:t>an u</w:t>
      </w:r>
      <w:r w:rsidR="0013732C">
        <w:t>p-to-date residents list and NOK contact details</w:t>
      </w:r>
    </w:p>
    <w:p w14:paraId="7637A9CF" w14:textId="29F8C05A" w:rsidR="0013732C" w:rsidRDefault="00D0029A" w:rsidP="007927B7">
      <w:pPr>
        <w:pStyle w:val="Bullet1"/>
      </w:pPr>
      <w:r>
        <w:t>c</w:t>
      </w:r>
      <w:r w:rsidR="0013732C">
        <w:t>omplete staff lists, including agency staff, contractors and volunteers</w:t>
      </w:r>
    </w:p>
    <w:p w14:paraId="507A6EE6" w14:textId="33BC7784" w:rsidR="0013732C" w:rsidRDefault="00D0029A" w:rsidP="007927B7">
      <w:pPr>
        <w:pStyle w:val="Bullet1"/>
      </w:pPr>
      <w:r>
        <w:t>v</w:t>
      </w:r>
      <w:r w:rsidR="0013732C">
        <w:t xml:space="preserve">accination program information and </w:t>
      </w:r>
      <w:r>
        <w:t xml:space="preserve">a </w:t>
      </w:r>
      <w:r w:rsidR="0013732C">
        <w:t>register for residents and staff</w:t>
      </w:r>
    </w:p>
    <w:p w14:paraId="03FD3B69" w14:textId="579E01FD" w:rsidR="0013732C" w:rsidRDefault="00D0029A" w:rsidP="007927B7">
      <w:pPr>
        <w:pStyle w:val="Bullet1"/>
      </w:pPr>
      <w:r>
        <w:t>c</w:t>
      </w:r>
      <w:r w:rsidR="0013732C">
        <w:t>urrent residents</w:t>
      </w:r>
      <w:r w:rsidR="00596C50">
        <w:t>’</w:t>
      </w:r>
      <w:r w:rsidR="0013732C">
        <w:t xml:space="preserve"> care plans, including antiviral preferences and </w:t>
      </w:r>
      <w:r w:rsidR="00B96A3E">
        <w:t>quarantine</w:t>
      </w:r>
      <w:r w:rsidR="0013732C">
        <w:t xml:space="preserve"> choices</w:t>
      </w:r>
    </w:p>
    <w:p w14:paraId="24DCD40F" w14:textId="38A29D0A" w:rsidR="0013732C" w:rsidRDefault="00D0029A" w:rsidP="007927B7">
      <w:pPr>
        <w:pStyle w:val="Bullet1"/>
      </w:pPr>
      <w:r>
        <w:t>c</w:t>
      </w:r>
      <w:r w:rsidR="0013732C">
        <w:t>ontingency staffing plans to support surge capacity</w:t>
      </w:r>
    </w:p>
    <w:p w14:paraId="46BFFDAB" w14:textId="35B6EAB9" w:rsidR="0013732C" w:rsidRDefault="00D0029A" w:rsidP="007927B7">
      <w:pPr>
        <w:pStyle w:val="Bullet1"/>
      </w:pPr>
      <w:r>
        <w:t>c</w:t>
      </w:r>
      <w:r w:rsidR="0013732C">
        <w:t xml:space="preserve">linical referral pathways for </w:t>
      </w:r>
      <w:r w:rsidR="000C2661">
        <w:t>g</w:t>
      </w:r>
      <w:r w:rsidR="005E0937">
        <w:t xml:space="preserve">eneral </w:t>
      </w:r>
      <w:r w:rsidR="000C2661">
        <w:t>p</w:t>
      </w:r>
      <w:r w:rsidR="005E0937">
        <w:t>ractitioner</w:t>
      </w:r>
      <w:r w:rsidR="0013732C">
        <w:t>s</w:t>
      </w:r>
      <w:r w:rsidR="005E0937">
        <w:t xml:space="preserve"> (GPs)</w:t>
      </w:r>
      <w:r w:rsidR="0013732C">
        <w:t xml:space="preserve">, </w:t>
      </w:r>
      <w:r w:rsidR="000C2661">
        <w:t>n</w:t>
      </w:r>
      <w:r w:rsidR="0013732C">
        <w:t xml:space="preserve">urse </w:t>
      </w:r>
      <w:r w:rsidR="000C2661">
        <w:t>p</w:t>
      </w:r>
      <w:r w:rsidR="0013732C">
        <w:t>ractitioners</w:t>
      </w:r>
      <w:r w:rsidR="005E0937">
        <w:t xml:space="preserve"> (NPs)</w:t>
      </w:r>
      <w:r w:rsidR="0013732C">
        <w:t xml:space="preserve"> and emergency services, including out</w:t>
      </w:r>
      <w:r>
        <w:t>-</w:t>
      </w:r>
      <w:r w:rsidR="0013732C">
        <w:t>of</w:t>
      </w:r>
      <w:r>
        <w:t>-</w:t>
      </w:r>
      <w:r w:rsidR="0013732C">
        <w:t>hours escalation</w:t>
      </w:r>
      <w:r w:rsidR="00AA43A4">
        <w:t>.</w:t>
      </w:r>
    </w:p>
    <w:p w14:paraId="4E736821" w14:textId="4BE1BCEF" w:rsidR="0013732C" w:rsidRPr="00FA461D" w:rsidRDefault="00D84572" w:rsidP="00F9103D">
      <w:pPr>
        <w:pStyle w:val="Bodyafterbullets"/>
        <w:rPr>
          <w:b/>
        </w:rPr>
      </w:pPr>
      <w:r>
        <w:rPr>
          <w:b/>
          <w:bCs/>
        </w:rPr>
        <w:lastRenderedPageBreak/>
        <w:t>M</w:t>
      </w:r>
      <w:r w:rsidR="0013732C" w:rsidRPr="00FA461D">
        <w:rPr>
          <w:b/>
          <w:bCs/>
        </w:rPr>
        <w:t>inimum outbreak response components</w:t>
      </w:r>
      <w:r w:rsidR="00D0029A">
        <w:rPr>
          <w:b/>
          <w:bCs/>
        </w:rPr>
        <w:t xml:space="preserve"> include</w:t>
      </w:r>
      <w:r>
        <w:rPr>
          <w:b/>
          <w:bCs/>
        </w:rPr>
        <w:t>:</w:t>
      </w:r>
    </w:p>
    <w:p w14:paraId="3C6EA01E" w14:textId="4C625A81" w:rsidR="0013732C" w:rsidRDefault="00D0029A" w:rsidP="007927B7">
      <w:pPr>
        <w:pStyle w:val="Bullet1"/>
      </w:pPr>
      <w:r>
        <w:t>p</w:t>
      </w:r>
      <w:r w:rsidR="0013732C">
        <w:t>rocedures for isolating unwell residents</w:t>
      </w:r>
    </w:p>
    <w:p w14:paraId="7B01687A" w14:textId="79A77BEE" w:rsidR="0013732C" w:rsidRDefault="00D0029A" w:rsidP="007927B7">
      <w:pPr>
        <w:pStyle w:val="Bullet1"/>
      </w:pPr>
      <w:r>
        <w:t>c</w:t>
      </w:r>
      <w:r w:rsidR="0013732C">
        <w:t>lear processes for contact identification, assessment and management</w:t>
      </w:r>
    </w:p>
    <w:p w14:paraId="0011F866" w14:textId="210BC6CA" w:rsidR="0013732C" w:rsidRDefault="00D0029A" w:rsidP="007927B7">
      <w:pPr>
        <w:pStyle w:val="Bullet1"/>
      </w:pPr>
      <w:r>
        <w:t>e</w:t>
      </w:r>
      <w:r w:rsidR="0013732C">
        <w:t xml:space="preserve">nhanced IPC measures </w:t>
      </w:r>
      <w:r w:rsidR="00C12E3B">
        <w:t xml:space="preserve">tailored </w:t>
      </w:r>
      <w:r w:rsidR="0013732C">
        <w:t xml:space="preserve">to the </w:t>
      </w:r>
      <w:r w:rsidR="00F57271">
        <w:t>causative pathogen</w:t>
      </w:r>
    </w:p>
    <w:p w14:paraId="4C732012" w14:textId="22A9FF09" w:rsidR="0013732C" w:rsidRDefault="00D0029A" w:rsidP="007927B7">
      <w:pPr>
        <w:pStyle w:val="Bullet1"/>
      </w:pPr>
      <w:r>
        <w:t>g</w:t>
      </w:r>
      <w:r w:rsidR="0013732C">
        <w:t>uidance for correct PPE use</w:t>
      </w:r>
    </w:p>
    <w:p w14:paraId="77A22329" w14:textId="0334911C" w:rsidR="0013732C" w:rsidRDefault="00D0029A" w:rsidP="007927B7">
      <w:pPr>
        <w:pStyle w:val="Bullet1"/>
      </w:pPr>
      <w:r>
        <w:t>a</w:t>
      </w:r>
      <w:r w:rsidR="0013732C">
        <w:t xml:space="preserve">ctivation of </w:t>
      </w:r>
      <w:r w:rsidR="007F75A1">
        <w:t>the communication plan</w:t>
      </w:r>
    </w:p>
    <w:p w14:paraId="222BD475" w14:textId="72AB5238" w:rsidR="0013732C" w:rsidRDefault="00D0029A" w:rsidP="007927B7">
      <w:pPr>
        <w:pStyle w:val="Bullet1"/>
      </w:pPr>
      <w:r>
        <w:t>a</w:t>
      </w:r>
      <w:r w:rsidR="0013732C">
        <w:t>ctivation of testing program</w:t>
      </w:r>
      <w:r w:rsidR="00C12E3B">
        <w:t>s</w:t>
      </w:r>
      <w:r w:rsidR="0013732C">
        <w:t>, including specimen collection and reporting</w:t>
      </w:r>
    </w:p>
    <w:p w14:paraId="06824A06" w14:textId="512B5E43" w:rsidR="0013732C" w:rsidRDefault="00D0029A" w:rsidP="007927B7">
      <w:pPr>
        <w:pStyle w:val="Bullet1"/>
      </w:pPr>
      <w:r>
        <w:t>c</w:t>
      </w:r>
      <w:r w:rsidR="0013732C">
        <w:t>linical care of residents, including assessment and timely antiviral treatments</w:t>
      </w:r>
    </w:p>
    <w:p w14:paraId="4F5E8086" w14:textId="07CC1B31" w:rsidR="0013732C" w:rsidRDefault="00D0029A" w:rsidP="007927B7">
      <w:pPr>
        <w:pStyle w:val="Bullet1"/>
      </w:pPr>
      <w:r>
        <w:t>d</w:t>
      </w:r>
      <w:r w:rsidR="0013732C">
        <w:t xml:space="preserve">ocumented process for declaring </w:t>
      </w:r>
      <w:r w:rsidR="00AE2D8A">
        <w:t xml:space="preserve">when </w:t>
      </w:r>
      <w:r w:rsidR="0013732C">
        <w:t xml:space="preserve">an outbreak </w:t>
      </w:r>
      <w:r w:rsidR="00AE2D8A">
        <w:t xml:space="preserve">is </w:t>
      </w:r>
      <w:r w:rsidR="0013732C">
        <w:t>over.</w:t>
      </w:r>
    </w:p>
    <w:p w14:paraId="2D4E1BD8" w14:textId="5CE7EA15" w:rsidR="004529D3" w:rsidRDefault="004529D3" w:rsidP="00027E09">
      <w:pPr>
        <w:pStyle w:val="Heading2"/>
        <w:rPr>
          <w:color w:val="1F497D" w:themeColor="text2"/>
        </w:rPr>
      </w:pPr>
      <w:bookmarkStart w:id="75" w:name="_Toc108093038"/>
      <w:bookmarkStart w:id="76" w:name="_Toc108623751"/>
      <w:bookmarkStart w:id="77" w:name="_Toc109729944"/>
      <w:bookmarkStart w:id="78" w:name="_Toc109729846"/>
      <w:bookmarkStart w:id="79" w:name="_Toc109730813"/>
      <w:bookmarkStart w:id="80" w:name="_Toc111121591"/>
      <w:bookmarkStart w:id="81" w:name="_Toc111638392"/>
      <w:bookmarkStart w:id="82" w:name="_Toc111708278"/>
      <w:bookmarkStart w:id="83" w:name="_Toc112144700"/>
      <w:bookmarkStart w:id="84" w:name="_Toc113443369"/>
      <w:bookmarkStart w:id="85" w:name="_Toc197948655"/>
      <w:bookmarkStart w:id="86" w:name="_Toc229644790"/>
      <w:r w:rsidRPr="00027E09">
        <w:rPr>
          <w:color w:val="1F497D" w:themeColor="text2"/>
        </w:rPr>
        <w:t>Vaccination</w:t>
      </w:r>
      <w:bookmarkEnd w:id="75"/>
      <w:bookmarkEnd w:id="76"/>
      <w:bookmarkEnd w:id="77"/>
      <w:bookmarkEnd w:id="78"/>
      <w:bookmarkEnd w:id="79"/>
      <w:bookmarkEnd w:id="80"/>
      <w:bookmarkEnd w:id="81"/>
      <w:bookmarkEnd w:id="82"/>
      <w:bookmarkEnd w:id="83"/>
      <w:bookmarkEnd w:id="84"/>
      <w:bookmarkEnd w:id="85"/>
      <w:bookmarkEnd w:id="86"/>
    </w:p>
    <w:p w14:paraId="6ACB2289" w14:textId="77777777" w:rsidR="00D0029A" w:rsidRDefault="007426BF" w:rsidP="007426BF">
      <w:pPr>
        <w:pStyle w:val="Body"/>
      </w:pPr>
      <w:r w:rsidRPr="00627FEF">
        <w:t>Vaccination is a key preventive measure to protect residents and staff against respiratory</w:t>
      </w:r>
      <w:r>
        <w:t xml:space="preserve"> </w:t>
      </w:r>
      <w:r w:rsidRPr="00627FEF">
        <w:t>illnesses.</w:t>
      </w:r>
    </w:p>
    <w:p w14:paraId="534E19B0" w14:textId="5DB27C86" w:rsidR="007426BF" w:rsidRDefault="007426BF" w:rsidP="007426BF">
      <w:pPr>
        <w:pStyle w:val="Body"/>
      </w:pPr>
      <w:r w:rsidRPr="00627FEF">
        <w:t>T</w:t>
      </w:r>
      <w:r w:rsidR="00D0029A">
        <w:t>o</w:t>
      </w:r>
      <w:r w:rsidR="00D0029A" w:rsidRPr="00D0029A">
        <w:t xml:space="preserve"> </w:t>
      </w:r>
      <w:r w:rsidR="00D0029A" w:rsidRPr="00627FEF">
        <w:t>help ensure timely access and coverage</w:t>
      </w:r>
      <w:r w:rsidR="00D0029A">
        <w:t>,</w:t>
      </w:r>
      <w:r w:rsidRPr="00627FEF">
        <w:t xml:space="preserve"> actions</w:t>
      </w:r>
      <w:r w:rsidR="00D0029A">
        <w:t xml:space="preserve"> include that</w:t>
      </w:r>
      <w:r w:rsidRPr="00627FEF">
        <w:t>:</w:t>
      </w:r>
    </w:p>
    <w:p w14:paraId="176B2B48" w14:textId="4C51C9CD" w:rsidR="00547F48" w:rsidRDefault="00D0029A" w:rsidP="007927B7">
      <w:pPr>
        <w:pStyle w:val="Bullet1"/>
      </w:pPr>
      <w:r>
        <w:t>r</w:t>
      </w:r>
      <w:r w:rsidR="00390C0E" w:rsidRPr="004A2195">
        <w:t xml:space="preserve">esidential care </w:t>
      </w:r>
      <w:r w:rsidR="004A2195">
        <w:t>providers</w:t>
      </w:r>
      <w:r w:rsidR="00390C0E" w:rsidRPr="00390C0E">
        <w:t xml:space="preserve"> may establish their own vaccination requirements for staff, residents and volunteers</w:t>
      </w:r>
      <w:r w:rsidR="00897448">
        <w:t>,</w:t>
      </w:r>
      <w:r w:rsidR="00390C0E" w:rsidRPr="00390C0E">
        <w:t xml:space="preserve"> in accordance with local risk assessments and work health and safety guidelines</w:t>
      </w:r>
    </w:p>
    <w:p w14:paraId="32329C2C" w14:textId="3451BF76" w:rsidR="007426BF" w:rsidRDefault="00D0029A" w:rsidP="007927B7">
      <w:pPr>
        <w:pStyle w:val="Bullet1"/>
      </w:pPr>
      <w:r>
        <w:t>r</w:t>
      </w:r>
      <w:r w:rsidR="007426BF">
        <w:t>esidential aged care providers are responsible for ensuring residents have access to the recommended vaccinations as soon as they are eligible</w:t>
      </w:r>
    </w:p>
    <w:p w14:paraId="5A9E0B8A" w14:textId="211784CD" w:rsidR="007426BF" w:rsidRDefault="00D0029A" w:rsidP="007927B7">
      <w:pPr>
        <w:pStyle w:val="Bullet1"/>
      </w:pPr>
      <w:r>
        <w:t>a</w:t>
      </w:r>
      <w:r w:rsidR="0064227E">
        <w:t>n</w:t>
      </w:r>
      <w:r w:rsidR="000F4AAB">
        <w:t>n</w:t>
      </w:r>
      <w:r w:rsidR="0064227E">
        <w:t>u</w:t>
      </w:r>
      <w:r w:rsidR="000F4AAB">
        <w:t>al i</w:t>
      </w:r>
      <w:r w:rsidR="007426BF">
        <w:t xml:space="preserve">nfluenza vaccine is </w:t>
      </w:r>
      <w:r w:rsidR="007426BF" w:rsidRPr="002F6CB0">
        <w:rPr>
          <w:bCs/>
        </w:rPr>
        <w:t>mandatory</w:t>
      </w:r>
      <w:r w:rsidR="007426BF" w:rsidRPr="009E0AF6">
        <w:rPr>
          <w:bCs/>
        </w:rPr>
        <w:t xml:space="preserve"> </w:t>
      </w:r>
      <w:r w:rsidR="007426BF" w:rsidRPr="00184D8F">
        <w:t xml:space="preserve">for staff working in residential </w:t>
      </w:r>
      <w:r w:rsidR="007426BF" w:rsidRPr="004A2EB4">
        <w:t>aged</w:t>
      </w:r>
      <w:r w:rsidR="007426BF" w:rsidRPr="00184D8F">
        <w:t xml:space="preserve"> care services operated by public hospitals, public health services or denominational hospitals</w:t>
      </w:r>
    </w:p>
    <w:p w14:paraId="6B91B9A7" w14:textId="44E843B8" w:rsidR="00567E8A" w:rsidRDefault="00D0029A" w:rsidP="007927B7">
      <w:pPr>
        <w:pStyle w:val="Bullet1"/>
      </w:pPr>
      <w:r>
        <w:t>r</w:t>
      </w:r>
      <w:r w:rsidR="002E770E" w:rsidRPr="002E770E">
        <w:t>egistered residential aged care providers must offer influenza and COVID-19 vaccination for all residents and staff</w:t>
      </w:r>
    </w:p>
    <w:p w14:paraId="579798F1" w14:textId="028CB817" w:rsidR="00360212" w:rsidRDefault="00D0029A" w:rsidP="007927B7">
      <w:pPr>
        <w:pStyle w:val="Bullet1"/>
      </w:pPr>
      <w:r>
        <w:t>v</w:t>
      </w:r>
      <w:r w:rsidR="007426BF">
        <w:t>accin</w:t>
      </w:r>
      <w:r w:rsidR="00897448">
        <w:t>e</w:t>
      </w:r>
      <w:r w:rsidR="007426BF">
        <w:t xml:space="preserve">s may be administered </w:t>
      </w:r>
      <w:r w:rsidR="00101C25">
        <w:t>by</w:t>
      </w:r>
      <w:r w:rsidR="007426BF">
        <w:t xml:space="preserve"> </w:t>
      </w:r>
      <w:r w:rsidR="008222AE">
        <w:t>GPs</w:t>
      </w:r>
      <w:r w:rsidR="007426BF">
        <w:t>,</w:t>
      </w:r>
      <w:r w:rsidR="00EC38D2">
        <w:t xml:space="preserve"> NPs,</w:t>
      </w:r>
      <w:r w:rsidR="007426BF">
        <w:t xml:space="preserve"> authorised nurse immunisers</w:t>
      </w:r>
      <w:r w:rsidR="00EC38D2" w:rsidRPr="00EC38D2">
        <w:t xml:space="preserve"> </w:t>
      </w:r>
      <w:r w:rsidR="00EC38D2">
        <w:t>or community pharmacists</w:t>
      </w:r>
    </w:p>
    <w:p w14:paraId="76BD3751" w14:textId="34857F20" w:rsidR="007426BF" w:rsidRDefault="00897448" w:rsidP="007927B7">
      <w:pPr>
        <w:pStyle w:val="Bullet1"/>
      </w:pPr>
      <w:r>
        <w:t>v</w:t>
      </w:r>
      <w:r w:rsidR="007426BF">
        <w:t>accines can be co-administered (given at the same time)</w:t>
      </w:r>
      <w:r w:rsidR="0064227E">
        <w:t xml:space="preserve"> </w:t>
      </w:r>
      <w:r w:rsidR="003F7D0A">
        <w:t xml:space="preserve">with </w:t>
      </w:r>
      <w:r w:rsidR="0064227E">
        <w:t>other vaccines</w:t>
      </w:r>
    </w:p>
    <w:p w14:paraId="0B33EA56" w14:textId="19BC2460" w:rsidR="008C0B2A" w:rsidRDefault="00897448" w:rsidP="007927B7">
      <w:pPr>
        <w:pStyle w:val="Bullet1"/>
      </w:pPr>
      <w:r>
        <w:t>r</w:t>
      </w:r>
      <w:r w:rsidR="008C0B2A" w:rsidRPr="008C0B2A">
        <w:t>esidential care providers can engage community pharmacist</w:t>
      </w:r>
      <w:r w:rsidR="00BF0EF5">
        <w:t>s</w:t>
      </w:r>
      <w:r w:rsidR="008C0B2A" w:rsidRPr="008C0B2A">
        <w:t xml:space="preserve"> to administer vaccines under the National Immunisation Program Vaccinations in Pharmacy (NIPVIP) Program, and the COVID-19 Vaccination in Community Pharmacy (CVCP) Program, or through the Aged Care On-site Pharmacist (ACOP) program</w:t>
      </w:r>
      <w:r w:rsidR="005E059A">
        <w:t>,</w:t>
      </w:r>
      <w:r w:rsidR="008C0B2A" w:rsidRPr="008C0B2A">
        <w:t xml:space="preserve"> or contact their local Primary Health Network</w:t>
      </w:r>
    </w:p>
    <w:p w14:paraId="24E00A03" w14:textId="6F7927C4" w:rsidR="007426BF" w:rsidRDefault="007426BF" w:rsidP="007927B7">
      <w:pPr>
        <w:pStyle w:val="Bullet1"/>
      </w:pPr>
      <w:r w:rsidRPr="00184D8F">
        <w:t xml:space="preserve">vaccination </w:t>
      </w:r>
      <w:r>
        <w:t xml:space="preserve">consent and </w:t>
      </w:r>
      <w:r w:rsidRPr="00184D8F">
        <w:t>status for residents and staff</w:t>
      </w:r>
      <w:r w:rsidR="00897448">
        <w:t xml:space="preserve"> are m</w:t>
      </w:r>
      <w:r w:rsidR="00897448" w:rsidRPr="00184D8F">
        <w:t>onitor</w:t>
      </w:r>
      <w:r w:rsidR="00897448">
        <w:t>ed</w:t>
      </w:r>
      <w:r w:rsidR="00897448" w:rsidRPr="00184D8F">
        <w:t xml:space="preserve"> and record</w:t>
      </w:r>
      <w:r w:rsidR="00897448">
        <w:t>ed</w:t>
      </w:r>
    </w:p>
    <w:p w14:paraId="41ECD621" w14:textId="2CB031F9" w:rsidR="007426BF" w:rsidRDefault="007426BF" w:rsidP="007927B7">
      <w:pPr>
        <w:pStyle w:val="Bullet1"/>
      </w:pPr>
      <w:r>
        <w:t>RAC</w:t>
      </w:r>
      <w:r w:rsidR="00406959">
        <w:t>H</w:t>
      </w:r>
      <w:r>
        <w:t xml:space="preserve">s can apply to become recognised vaccination providers on the </w:t>
      </w:r>
      <w:hyperlink r:id="rId24" w:history="1">
        <w:r>
          <w:rPr>
            <w:rStyle w:val="Hyperlink"/>
          </w:rPr>
          <w:t>Australian Immunisation Register (AIR)</w:t>
        </w:r>
      </w:hyperlink>
      <w:r>
        <w:t xml:space="preserve"> </w:t>
      </w:r>
      <w:r w:rsidRPr="002F6CB0">
        <w:t>&lt;https://www.servicesaustralia.gov.au/im004</w:t>
      </w:r>
      <w:r>
        <w:t>&gt; to access residents’ vaccination records.</w:t>
      </w:r>
    </w:p>
    <w:p w14:paraId="22381A23" w14:textId="65D34A20" w:rsidR="00395E8E" w:rsidRDefault="00395E8E" w:rsidP="00F9103D">
      <w:pPr>
        <w:pStyle w:val="Tablecaption"/>
      </w:pPr>
      <w:r>
        <w:t xml:space="preserve">Table </w:t>
      </w:r>
      <w:fldSimple w:instr=" SEQ Table \* ARABIC ">
        <w:r w:rsidR="0031298E">
          <w:rPr>
            <w:noProof/>
          </w:rPr>
          <w:t>1</w:t>
        </w:r>
      </w:fldSimple>
      <w:r>
        <w:t xml:space="preserve">. </w:t>
      </w:r>
      <w:r w:rsidRPr="00D42829">
        <w:t>Recommended vaccines, target groups and funding</w:t>
      </w:r>
    </w:p>
    <w:tbl>
      <w:tblPr>
        <w:tblStyle w:val="TableGrid"/>
        <w:tblW w:w="0" w:type="auto"/>
        <w:tblLook w:val="04A0" w:firstRow="1" w:lastRow="0" w:firstColumn="1" w:lastColumn="0" w:noHBand="0" w:noVBand="1"/>
      </w:tblPr>
      <w:tblGrid>
        <w:gridCol w:w="2122"/>
        <w:gridCol w:w="2322"/>
        <w:gridCol w:w="2322"/>
        <w:gridCol w:w="2322"/>
      </w:tblGrid>
      <w:tr w:rsidR="00943B14" w14:paraId="61B08FFF" w14:textId="77777777" w:rsidTr="00F9103D">
        <w:trPr>
          <w:tblHeader/>
        </w:trPr>
        <w:tc>
          <w:tcPr>
            <w:tcW w:w="2122" w:type="dxa"/>
            <w:shd w:val="clear" w:color="auto" w:fill="F2F2F2" w:themeFill="background1" w:themeFillShade="F2"/>
          </w:tcPr>
          <w:p w14:paraId="09BA61B8" w14:textId="77777777" w:rsidR="00943B14" w:rsidRDefault="00943B14" w:rsidP="00943B14">
            <w:pPr>
              <w:pStyle w:val="Tablecaption"/>
            </w:pPr>
          </w:p>
        </w:tc>
        <w:tc>
          <w:tcPr>
            <w:tcW w:w="2322" w:type="dxa"/>
            <w:shd w:val="clear" w:color="auto" w:fill="F2F2F2" w:themeFill="background1" w:themeFillShade="F2"/>
          </w:tcPr>
          <w:p w14:paraId="4E4372FC" w14:textId="552AC669" w:rsidR="00943B14" w:rsidRPr="00193474" w:rsidRDefault="00943B14" w:rsidP="00193474">
            <w:pPr>
              <w:pStyle w:val="Tablecaption"/>
            </w:pPr>
            <w:r w:rsidRPr="00193474">
              <w:t>COVID-19</w:t>
            </w:r>
          </w:p>
        </w:tc>
        <w:tc>
          <w:tcPr>
            <w:tcW w:w="2322" w:type="dxa"/>
            <w:shd w:val="clear" w:color="auto" w:fill="F2F2F2" w:themeFill="background1" w:themeFillShade="F2"/>
          </w:tcPr>
          <w:p w14:paraId="0C9F0EA8" w14:textId="650A7B4A" w:rsidR="00943B14" w:rsidRPr="00193474" w:rsidRDefault="00943B14" w:rsidP="00193474">
            <w:pPr>
              <w:pStyle w:val="Tablecaption"/>
            </w:pPr>
            <w:r w:rsidRPr="00193474">
              <w:t>Influenza</w:t>
            </w:r>
          </w:p>
        </w:tc>
        <w:tc>
          <w:tcPr>
            <w:tcW w:w="2322" w:type="dxa"/>
            <w:shd w:val="clear" w:color="auto" w:fill="F2F2F2" w:themeFill="background1" w:themeFillShade="F2"/>
          </w:tcPr>
          <w:p w14:paraId="4D020617" w14:textId="5E28BB38" w:rsidR="00943B14" w:rsidRPr="00193474" w:rsidRDefault="00943B14" w:rsidP="00193474">
            <w:pPr>
              <w:pStyle w:val="Tablecaption"/>
            </w:pPr>
            <w:r w:rsidRPr="00193474">
              <w:t>RSV</w:t>
            </w:r>
          </w:p>
        </w:tc>
      </w:tr>
      <w:tr w:rsidR="00943B14" w14:paraId="73B3DB37" w14:textId="77777777" w:rsidTr="00F9103D">
        <w:tc>
          <w:tcPr>
            <w:tcW w:w="2122" w:type="dxa"/>
            <w:shd w:val="clear" w:color="auto" w:fill="F2F2F2" w:themeFill="background1" w:themeFillShade="F2"/>
          </w:tcPr>
          <w:p w14:paraId="4D911C34" w14:textId="3A321477" w:rsidR="00943B14" w:rsidRPr="001B55CF" w:rsidRDefault="00193474" w:rsidP="00F9103D">
            <w:pPr>
              <w:pStyle w:val="Tabletext"/>
              <w:rPr>
                <w:bCs/>
              </w:rPr>
            </w:pPr>
            <w:r w:rsidRPr="00F9103D">
              <w:rPr>
                <w:b/>
                <w:bCs/>
              </w:rPr>
              <w:t>Recommendation</w:t>
            </w:r>
          </w:p>
        </w:tc>
        <w:tc>
          <w:tcPr>
            <w:tcW w:w="2322" w:type="dxa"/>
          </w:tcPr>
          <w:p w14:paraId="27155AC4" w14:textId="77777777" w:rsidR="00943B14" w:rsidRPr="00AA3486" w:rsidRDefault="00193474" w:rsidP="003F7D0A">
            <w:pPr>
              <w:pStyle w:val="Tabletext"/>
            </w:pPr>
            <w:r w:rsidRPr="00AA3486">
              <w:t>Further</w:t>
            </w:r>
            <w:r w:rsidR="00F72BC9" w:rsidRPr="00AA3486">
              <w:t xml:space="preserve"> doses are recommended for:</w:t>
            </w:r>
          </w:p>
          <w:p w14:paraId="5612F7B5" w14:textId="3E1A7583" w:rsidR="00F72BC9" w:rsidRPr="00AA3486" w:rsidRDefault="003F7D0A" w:rsidP="003F7D0A">
            <w:pPr>
              <w:pStyle w:val="Tablebullet1"/>
            </w:pPr>
            <w:r>
              <w:t>p</w:t>
            </w:r>
            <w:r w:rsidR="00F72BC9" w:rsidRPr="00AA3486">
              <w:t xml:space="preserve">eople aged </w:t>
            </w:r>
            <w:r w:rsidR="00AA3486" w:rsidRPr="00BA02E2">
              <w:t>≥</w:t>
            </w:r>
            <w:r w:rsidR="00AA3486" w:rsidRPr="00AA3486">
              <w:t xml:space="preserve"> </w:t>
            </w:r>
            <w:r w:rsidR="003C3B10" w:rsidRPr="00AA3486">
              <w:t xml:space="preserve">65 years </w:t>
            </w:r>
          </w:p>
          <w:p w14:paraId="52F3C650" w14:textId="5B141F02" w:rsidR="003C3B10" w:rsidRPr="00AA3486" w:rsidRDefault="003F7D0A" w:rsidP="00F9103D">
            <w:pPr>
              <w:pStyle w:val="Tablebullet1"/>
            </w:pPr>
            <w:r>
              <w:t>p</w:t>
            </w:r>
            <w:r w:rsidR="003C3B10" w:rsidRPr="00AA3486">
              <w:t>eople at higher risk of severe COVID-19</w:t>
            </w:r>
          </w:p>
        </w:tc>
        <w:tc>
          <w:tcPr>
            <w:tcW w:w="2322" w:type="dxa"/>
          </w:tcPr>
          <w:p w14:paraId="47CCBE79" w14:textId="632531EB" w:rsidR="00943B14" w:rsidRPr="0097211F" w:rsidRDefault="00944B4C" w:rsidP="003F7D0A">
            <w:pPr>
              <w:pStyle w:val="Tabletext"/>
            </w:pPr>
            <w:r w:rsidRPr="00AA3486">
              <w:t xml:space="preserve">Annual vaccination (ideally </w:t>
            </w:r>
            <w:r w:rsidR="006E7F05" w:rsidRPr="00AA3486">
              <w:t xml:space="preserve">prior to </w:t>
            </w:r>
            <w:r w:rsidR="00C16701" w:rsidRPr="00AA3486">
              <w:t>influenza</w:t>
            </w:r>
            <w:r w:rsidR="006E7F05" w:rsidRPr="00AA3486">
              <w:t xml:space="preserve"> season) is </w:t>
            </w:r>
            <w:r w:rsidR="006E7F05" w:rsidRPr="0097211F">
              <w:t>recommended for:</w:t>
            </w:r>
          </w:p>
          <w:p w14:paraId="6D0BD994" w14:textId="2DF66AD7" w:rsidR="006E7F05" w:rsidRPr="00AA3486" w:rsidRDefault="003F7D0A" w:rsidP="003F7D0A">
            <w:pPr>
              <w:pStyle w:val="Tablebullet1"/>
            </w:pPr>
            <w:r>
              <w:t>a</w:t>
            </w:r>
            <w:r w:rsidR="006E7F05" w:rsidRPr="0097211F">
              <w:t>ll people aged</w:t>
            </w:r>
            <w:r w:rsidR="00FD191C" w:rsidRPr="0097211F">
              <w:t xml:space="preserve"> ≥</w:t>
            </w:r>
            <w:r w:rsidR="006E7F05" w:rsidRPr="0097211F">
              <w:t xml:space="preserve"> </w:t>
            </w:r>
            <w:r w:rsidR="009616C9" w:rsidRPr="0097211F">
              <w:t>6 months</w:t>
            </w:r>
            <w:r w:rsidR="00C16701" w:rsidRPr="00AA3486">
              <w:t xml:space="preserve"> </w:t>
            </w:r>
          </w:p>
        </w:tc>
        <w:tc>
          <w:tcPr>
            <w:tcW w:w="2322" w:type="dxa"/>
          </w:tcPr>
          <w:p w14:paraId="6BDE7826" w14:textId="77777777" w:rsidR="00943B14" w:rsidRPr="00AA3486" w:rsidRDefault="009616C9" w:rsidP="003F7D0A">
            <w:pPr>
              <w:pStyle w:val="Tabletext"/>
            </w:pPr>
            <w:r w:rsidRPr="00AA3486">
              <w:t>Single dose recommended for:</w:t>
            </w:r>
          </w:p>
          <w:p w14:paraId="23AE9C37" w14:textId="616D8F26" w:rsidR="009616C9" w:rsidRPr="00AA3486" w:rsidRDefault="003F7D0A" w:rsidP="003F7D0A">
            <w:pPr>
              <w:pStyle w:val="Tablebullet1"/>
            </w:pPr>
            <w:r>
              <w:t>p</w:t>
            </w:r>
            <w:r w:rsidR="009616C9" w:rsidRPr="00AA3486">
              <w:t xml:space="preserve">eople aged </w:t>
            </w:r>
            <w:r w:rsidR="00AA3486" w:rsidRPr="00BA02E2">
              <w:t>≥</w:t>
            </w:r>
            <w:r w:rsidR="00AA3486" w:rsidRPr="00AA3486">
              <w:t xml:space="preserve"> </w:t>
            </w:r>
            <w:r w:rsidR="009616C9" w:rsidRPr="00AA3486">
              <w:t>7</w:t>
            </w:r>
            <w:r w:rsidR="007C7B0D" w:rsidRPr="00AA3486">
              <w:t>5</w:t>
            </w:r>
            <w:r w:rsidR="009616C9" w:rsidRPr="00AA3486">
              <w:t xml:space="preserve"> years </w:t>
            </w:r>
          </w:p>
          <w:p w14:paraId="6BDA5620" w14:textId="1D6FE057" w:rsidR="009616C9" w:rsidRPr="00AA3486" w:rsidRDefault="009616C9" w:rsidP="003F7D0A">
            <w:pPr>
              <w:pStyle w:val="Tablebullet1"/>
            </w:pPr>
            <w:r w:rsidRPr="00AA3486">
              <w:t xml:space="preserve">Aboriginal and Torres Strait </w:t>
            </w:r>
            <w:r w:rsidRPr="00AA3486">
              <w:lastRenderedPageBreak/>
              <w:t>Islander people</w:t>
            </w:r>
            <w:r w:rsidR="001A7594">
              <w:t xml:space="preserve"> aged </w:t>
            </w:r>
            <w:r w:rsidR="001A7594" w:rsidRPr="00BA760C">
              <w:t>≥</w:t>
            </w:r>
            <w:r w:rsidR="001A7594">
              <w:t xml:space="preserve"> 60 years</w:t>
            </w:r>
          </w:p>
          <w:p w14:paraId="7AA6FFE5" w14:textId="431984DD" w:rsidR="009616C9" w:rsidRPr="00AA3486" w:rsidRDefault="003F7D0A" w:rsidP="003F7D0A">
            <w:pPr>
              <w:pStyle w:val="Tablebullet1"/>
            </w:pPr>
            <w:r>
              <w:t>p</w:t>
            </w:r>
            <w:r w:rsidR="009616C9" w:rsidRPr="00AA3486">
              <w:t>eople with medical risk factors aged</w:t>
            </w:r>
            <w:r w:rsidR="00AA3486" w:rsidRPr="00AA3486">
              <w:t xml:space="preserve"> </w:t>
            </w:r>
            <w:r w:rsidR="00AA3486" w:rsidRPr="00BA02E2">
              <w:t>≥</w:t>
            </w:r>
            <w:r w:rsidR="009616C9" w:rsidRPr="00AA3486">
              <w:t xml:space="preserve"> 60 years</w:t>
            </w:r>
            <w:r w:rsidR="00C16701" w:rsidRPr="00AA3486">
              <w:t xml:space="preserve"> </w:t>
            </w:r>
          </w:p>
        </w:tc>
      </w:tr>
      <w:tr w:rsidR="00943B14" w14:paraId="67CAB997" w14:textId="77777777" w:rsidTr="00F9103D">
        <w:tc>
          <w:tcPr>
            <w:tcW w:w="2122" w:type="dxa"/>
            <w:shd w:val="clear" w:color="auto" w:fill="F2F2F2" w:themeFill="background1" w:themeFillShade="F2"/>
          </w:tcPr>
          <w:p w14:paraId="55EDC3E4" w14:textId="26CC0B46" w:rsidR="00943B14" w:rsidRPr="001B55CF" w:rsidRDefault="00193474" w:rsidP="00F9103D">
            <w:pPr>
              <w:pStyle w:val="Tabletext"/>
              <w:rPr>
                <w:bCs/>
              </w:rPr>
            </w:pPr>
            <w:r w:rsidRPr="00F9103D">
              <w:rPr>
                <w:b/>
                <w:bCs/>
              </w:rPr>
              <w:lastRenderedPageBreak/>
              <w:t>Target group</w:t>
            </w:r>
          </w:p>
        </w:tc>
        <w:tc>
          <w:tcPr>
            <w:tcW w:w="2322" w:type="dxa"/>
          </w:tcPr>
          <w:p w14:paraId="1D80E5DC" w14:textId="50C6B951" w:rsidR="00943B14" w:rsidRDefault="0050328C" w:rsidP="003F7D0A">
            <w:pPr>
              <w:pStyle w:val="Tabletext"/>
            </w:pPr>
            <w:r>
              <w:t>Residents and staff</w:t>
            </w:r>
          </w:p>
        </w:tc>
        <w:tc>
          <w:tcPr>
            <w:tcW w:w="2322" w:type="dxa"/>
          </w:tcPr>
          <w:p w14:paraId="74FEEF34" w14:textId="791AB661" w:rsidR="00943B14" w:rsidRDefault="00944B4C" w:rsidP="003F7D0A">
            <w:pPr>
              <w:pStyle w:val="Tabletext"/>
            </w:pPr>
            <w:r>
              <w:t>Residents and staff</w:t>
            </w:r>
          </w:p>
        </w:tc>
        <w:tc>
          <w:tcPr>
            <w:tcW w:w="2322" w:type="dxa"/>
          </w:tcPr>
          <w:p w14:paraId="732B8643" w14:textId="36DA92AB" w:rsidR="00943B14" w:rsidRDefault="00944B4C" w:rsidP="003F7D0A">
            <w:pPr>
              <w:pStyle w:val="Tabletext"/>
            </w:pPr>
            <w:r>
              <w:t>Residents</w:t>
            </w:r>
          </w:p>
        </w:tc>
      </w:tr>
      <w:tr w:rsidR="00943B14" w14:paraId="094441B2" w14:textId="77777777" w:rsidTr="00F9103D">
        <w:tc>
          <w:tcPr>
            <w:tcW w:w="2122" w:type="dxa"/>
            <w:shd w:val="clear" w:color="auto" w:fill="F2F2F2" w:themeFill="background1" w:themeFillShade="F2"/>
          </w:tcPr>
          <w:p w14:paraId="673EBC6E" w14:textId="4A4D5985" w:rsidR="00943B14" w:rsidRPr="001B55CF" w:rsidRDefault="00193474" w:rsidP="00F9103D">
            <w:pPr>
              <w:pStyle w:val="Tabletext"/>
              <w:rPr>
                <w:bCs/>
              </w:rPr>
            </w:pPr>
            <w:r w:rsidRPr="00F9103D">
              <w:rPr>
                <w:b/>
                <w:bCs/>
              </w:rPr>
              <w:t>Funding/cost</w:t>
            </w:r>
          </w:p>
        </w:tc>
        <w:tc>
          <w:tcPr>
            <w:tcW w:w="2322" w:type="dxa"/>
          </w:tcPr>
          <w:p w14:paraId="6CCFBB59" w14:textId="2379C7A2" w:rsidR="00943B14" w:rsidRDefault="0050328C" w:rsidP="003F7D0A">
            <w:pPr>
              <w:pStyle w:val="Tabletext"/>
            </w:pPr>
            <w:r>
              <w:t>Free</w:t>
            </w:r>
          </w:p>
        </w:tc>
        <w:tc>
          <w:tcPr>
            <w:tcW w:w="2322" w:type="dxa"/>
          </w:tcPr>
          <w:p w14:paraId="78533B0B" w14:textId="43722FD0" w:rsidR="00943B14" w:rsidRDefault="0050328C" w:rsidP="003F7D0A">
            <w:pPr>
              <w:pStyle w:val="Tabletext"/>
            </w:pPr>
            <w:r>
              <w:t>Free</w:t>
            </w:r>
            <w:r w:rsidR="00023923">
              <w:t xml:space="preserve"> for eligible cohorts or available via private purchase</w:t>
            </w:r>
          </w:p>
        </w:tc>
        <w:tc>
          <w:tcPr>
            <w:tcW w:w="2322" w:type="dxa"/>
          </w:tcPr>
          <w:p w14:paraId="2C0CFCA0" w14:textId="1E757F1A" w:rsidR="00943B14" w:rsidRDefault="0050328C" w:rsidP="003F7D0A">
            <w:pPr>
              <w:pStyle w:val="Tabletext"/>
            </w:pPr>
            <w:r>
              <w:t>Free for eligible cohorts or available via private purchase</w:t>
            </w:r>
          </w:p>
        </w:tc>
      </w:tr>
    </w:tbl>
    <w:p w14:paraId="76DB2343" w14:textId="374D13B1" w:rsidR="003F0785" w:rsidRDefault="003F0785" w:rsidP="00BA02E2">
      <w:pPr>
        <w:pStyle w:val="FootnoteText"/>
      </w:pPr>
      <w:r>
        <w:t>Footnotes:</w:t>
      </w:r>
    </w:p>
    <w:p w14:paraId="18B48FFE" w14:textId="3E471910" w:rsidR="00943B14" w:rsidRDefault="00D0549A" w:rsidP="00BA02E2">
      <w:pPr>
        <w:pStyle w:val="FootnoteText"/>
      </w:pPr>
      <w:r>
        <w:t>Additional cohorts</w:t>
      </w:r>
      <w:r w:rsidR="00B04135">
        <w:t xml:space="preserve"> can be considered for vaccination based on age and risk factors. </w:t>
      </w:r>
      <w:r w:rsidR="00036FD0">
        <w:t>For further information on vaccine recommendations</w:t>
      </w:r>
      <w:r w:rsidR="00412911">
        <w:t>,</w:t>
      </w:r>
      <w:r w:rsidR="00036FD0">
        <w:t xml:space="preserve"> see </w:t>
      </w:r>
      <w:hyperlink r:id="rId25" w:history="1">
        <w:r w:rsidR="004B75C7">
          <w:rPr>
            <w:rStyle w:val="Hyperlink"/>
          </w:rPr>
          <w:t>The Australian Immunisation Handbook</w:t>
        </w:r>
      </w:hyperlink>
      <w:r w:rsidR="004B75C7">
        <w:t xml:space="preserve"> &lt;</w:t>
      </w:r>
      <w:r w:rsidR="004B75C7" w:rsidRPr="00BA02E2">
        <w:t>https://immunisationhandbook.health.gov.au/contents/vaccine-preventable-diseases</w:t>
      </w:r>
      <w:r w:rsidR="004B75C7">
        <w:t>&gt;.</w:t>
      </w:r>
    </w:p>
    <w:p w14:paraId="3B0DB400" w14:textId="5F4AAADA" w:rsidR="004B75C7" w:rsidRPr="00943B14" w:rsidRDefault="00EF3AB9" w:rsidP="00BA02E2">
      <w:pPr>
        <w:pStyle w:val="FootnoteText"/>
      </w:pPr>
      <w:r>
        <w:t>For information on vaccines funded through the National Immun</w:t>
      </w:r>
      <w:r w:rsidR="00F31E4D">
        <w:t>i</w:t>
      </w:r>
      <w:r>
        <w:t>sation Program</w:t>
      </w:r>
      <w:r w:rsidR="00412911">
        <w:t>,</w:t>
      </w:r>
      <w:r>
        <w:t xml:space="preserve"> see</w:t>
      </w:r>
      <w:r w:rsidR="00883009">
        <w:t xml:space="preserve"> the </w:t>
      </w:r>
      <w:hyperlink r:id="rId26" w:history="1">
        <w:r w:rsidR="00883009">
          <w:rPr>
            <w:rStyle w:val="Hyperlink"/>
          </w:rPr>
          <w:t>National Immunisation Program Schedule</w:t>
        </w:r>
      </w:hyperlink>
      <w:r w:rsidR="00883009">
        <w:t xml:space="preserve"> </w:t>
      </w:r>
      <w:r w:rsidR="00883009">
        <w:rPr>
          <w:rStyle w:val="Hyperlink"/>
        </w:rPr>
        <w:t>&lt;</w:t>
      </w:r>
      <w:r w:rsidR="00883009" w:rsidRPr="00BA02E2">
        <w:t>https://www.health.gov.au/topics/immunisation/when-to-get-vaccinated/national-immunisation-program-schedule?language=en</w:t>
      </w:r>
      <w:r w:rsidR="00883009">
        <w:t>&gt;.</w:t>
      </w:r>
    </w:p>
    <w:p w14:paraId="7B6DCF09" w14:textId="4A3B7663" w:rsidR="0007597B" w:rsidRDefault="0007597B" w:rsidP="00027E09">
      <w:pPr>
        <w:pStyle w:val="Heading2"/>
        <w:rPr>
          <w:color w:val="1F497D" w:themeColor="text2"/>
        </w:rPr>
      </w:pPr>
      <w:bookmarkStart w:id="87" w:name="_Toc229644791"/>
      <w:r w:rsidRPr="00FA461D">
        <w:rPr>
          <w:color w:val="1F497D" w:themeColor="text2"/>
        </w:rPr>
        <w:t>Testing</w:t>
      </w:r>
      <w:bookmarkEnd w:id="87"/>
    </w:p>
    <w:p w14:paraId="6A9C0440" w14:textId="6CA817D4" w:rsidR="00512CE9" w:rsidRPr="00FA461D" w:rsidRDefault="00BE5E28" w:rsidP="00FA461D">
      <w:pPr>
        <w:pStyle w:val="Body"/>
      </w:pPr>
      <w:r>
        <w:t>T</w:t>
      </w:r>
      <w:r w:rsidR="00512CE9">
        <w:t>imely testing</w:t>
      </w:r>
      <w:r w:rsidR="001B41FE">
        <w:t xml:space="preserve"> is essential to identify </w:t>
      </w:r>
      <w:r w:rsidR="009C04FD">
        <w:t>residents with ARI</w:t>
      </w:r>
      <w:r w:rsidR="00600129">
        <w:t>s</w:t>
      </w:r>
      <w:r w:rsidR="001C461E">
        <w:t>, start treatment</w:t>
      </w:r>
      <w:r w:rsidR="009C04FD">
        <w:t xml:space="preserve"> and </w:t>
      </w:r>
      <w:r w:rsidR="001C461E">
        <w:t xml:space="preserve">implement measures to </w:t>
      </w:r>
      <w:r w:rsidR="009C04FD">
        <w:t xml:space="preserve">reduce transmission. </w:t>
      </w:r>
      <w:r w:rsidR="00412911">
        <w:t>This requires:</w:t>
      </w:r>
    </w:p>
    <w:p w14:paraId="3BED2060" w14:textId="405A9DA7" w:rsidR="0093639D" w:rsidRDefault="00412911" w:rsidP="0093639D">
      <w:pPr>
        <w:pStyle w:val="Bullet1"/>
      </w:pPr>
      <w:r>
        <w:t>e</w:t>
      </w:r>
      <w:r w:rsidR="0093639D">
        <w:t>nsur</w:t>
      </w:r>
      <w:r>
        <w:t>ing</w:t>
      </w:r>
      <w:r w:rsidR="0093639D">
        <w:t xml:space="preserve"> staff are trained to collect specimens and correctly use rapid antigen tests (RATs)</w:t>
      </w:r>
    </w:p>
    <w:p w14:paraId="7BEC3741" w14:textId="7AB08D4D" w:rsidR="0007597B" w:rsidRDefault="00412911" w:rsidP="00704B52">
      <w:pPr>
        <w:pStyle w:val="Bullet1"/>
      </w:pPr>
      <w:r>
        <w:t>w</w:t>
      </w:r>
      <w:r w:rsidR="006834D4">
        <w:t>h</w:t>
      </w:r>
      <w:r w:rsidR="00DB485B">
        <w:t>en testing with</w:t>
      </w:r>
      <w:r w:rsidR="005C5539">
        <w:t xml:space="preserve"> </w:t>
      </w:r>
      <w:r w:rsidR="0093639D">
        <w:t>RATs,</w:t>
      </w:r>
      <w:r w:rsidR="00215171">
        <w:t xml:space="preserve"> us</w:t>
      </w:r>
      <w:r>
        <w:t>ing</w:t>
      </w:r>
      <w:r w:rsidR="00215171">
        <w:t xml:space="preserve"> a combination </w:t>
      </w:r>
      <w:r w:rsidR="00186C72">
        <w:t>RAT (COVID-19, influenza A/B and RSV</w:t>
      </w:r>
      <w:r w:rsidR="00843AD3">
        <w:t>)</w:t>
      </w:r>
      <w:r w:rsidR="00186C72">
        <w:t xml:space="preserve"> where possible</w:t>
      </w:r>
    </w:p>
    <w:p w14:paraId="544BC974" w14:textId="768D8E8A" w:rsidR="0007597B" w:rsidRDefault="00412911" w:rsidP="00704B52">
      <w:pPr>
        <w:pStyle w:val="Bullet1"/>
      </w:pPr>
      <w:r>
        <w:t>e</w:t>
      </w:r>
      <w:r w:rsidR="0007597B">
        <w:t>stablish</w:t>
      </w:r>
      <w:r>
        <w:t>ing</w:t>
      </w:r>
      <w:r w:rsidR="0007597B">
        <w:t xml:space="preserve"> laboratory testing arrangements with </w:t>
      </w:r>
      <w:r w:rsidR="007318BA">
        <w:t>GPs</w:t>
      </w:r>
      <w:r w:rsidR="00F33437">
        <w:t>/</w:t>
      </w:r>
      <w:r w:rsidR="007318BA">
        <w:t>NPs</w:t>
      </w:r>
      <w:r w:rsidR="006F33E2">
        <w:t>,</w:t>
      </w:r>
      <w:r w:rsidR="0007597B">
        <w:t xml:space="preserve"> including pathology request</w:t>
      </w:r>
      <w:r w:rsidR="001E3903">
        <w:t>s</w:t>
      </w:r>
      <w:r w:rsidR="0007597B">
        <w:t xml:space="preserve"> and a timely method </w:t>
      </w:r>
      <w:r w:rsidR="001E3903">
        <w:t>for</w:t>
      </w:r>
      <w:r w:rsidR="0007597B">
        <w:t xml:space="preserve"> receiv</w:t>
      </w:r>
      <w:r w:rsidR="001E3903">
        <w:t>ing</w:t>
      </w:r>
      <w:r w:rsidR="0007597B">
        <w:t xml:space="preserve"> and record</w:t>
      </w:r>
      <w:r w:rsidR="001E3903">
        <w:t>ing</w:t>
      </w:r>
      <w:r w:rsidR="0007597B">
        <w:t xml:space="preserve"> results</w:t>
      </w:r>
    </w:p>
    <w:p w14:paraId="7A7C4552" w14:textId="2FA2302E" w:rsidR="0007597B" w:rsidRDefault="00412911" w:rsidP="00704B52">
      <w:pPr>
        <w:pStyle w:val="Bullet1"/>
      </w:pPr>
      <w:r>
        <w:t>i</w:t>
      </w:r>
      <w:r w:rsidR="0007597B">
        <w:t>mplement</w:t>
      </w:r>
      <w:r>
        <w:t>ing</w:t>
      </w:r>
      <w:r w:rsidR="0007597B">
        <w:t xml:space="preserve"> a system to detect and record residents who develop</w:t>
      </w:r>
      <w:r w:rsidR="00EA411F">
        <w:t xml:space="preserve"> </w:t>
      </w:r>
      <w:r w:rsidR="007B3E54">
        <w:t>ARI</w:t>
      </w:r>
      <w:r w:rsidR="0007597B">
        <w:t xml:space="preserve"> symptoms, including testing dates and results. </w:t>
      </w:r>
    </w:p>
    <w:p w14:paraId="676E5B6E" w14:textId="31ADC50A" w:rsidR="005E4DEF" w:rsidRDefault="005E4DEF" w:rsidP="00027E09">
      <w:pPr>
        <w:pStyle w:val="Heading2"/>
        <w:rPr>
          <w:color w:val="1F497D" w:themeColor="text2"/>
        </w:rPr>
      </w:pPr>
      <w:bookmarkStart w:id="88" w:name="_Toc229644792"/>
      <w:r w:rsidRPr="00027E09">
        <w:rPr>
          <w:color w:val="1F497D" w:themeColor="text2"/>
        </w:rPr>
        <w:t>Antiviral treatment and prophylaxis</w:t>
      </w:r>
      <w:bookmarkEnd w:id="88"/>
    </w:p>
    <w:p w14:paraId="255DBD8B" w14:textId="3A63E913" w:rsidR="0033504D" w:rsidRPr="00704B52" w:rsidRDefault="008D2A26" w:rsidP="00FA461D">
      <w:pPr>
        <w:pStyle w:val="Body"/>
      </w:pPr>
      <w:r>
        <w:t>Early access to antiviral treatments can reduce illness severity</w:t>
      </w:r>
      <w:r w:rsidR="00953CF5">
        <w:t xml:space="preserve">. </w:t>
      </w:r>
      <w:r w:rsidR="004B54F5">
        <w:t>RCFs</w:t>
      </w:r>
      <w:r w:rsidR="0033504D" w:rsidRPr="00704B52">
        <w:t xml:space="preserve"> should work with residents’</w:t>
      </w:r>
      <w:r w:rsidR="0033504D">
        <w:t xml:space="preserve"> </w:t>
      </w:r>
      <w:r w:rsidR="007318BA">
        <w:t>GP</w:t>
      </w:r>
      <w:r w:rsidR="00DD678F">
        <w:t>s</w:t>
      </w:r>
      <w:r w:rsidR="00282CD9">
        <w:t>/</w:t>
      </w:r>
      <w:r w:rsidR="00CE4826">
        <w:t>NPs</w:t>
      </w:r>
      <w:r w:rsidR="0033504D" w:rsidRPr="00704B52">
        <w:t xml:space="preserve"> to: </w:t>
      </w:r>
    </w:p>
    <w:p w14:paraId="183D50E5" w14:textId="534AB96C" w:rsidR="0033504D" w:rsidRDefault="00730B29" w:rsidP="00FA461D">
      <w:pPr>
        <w:pStyle w:val="Bullet1"/>
      </w:pPr>
      <w:r>
        <w:t>i</w:t>
      </w:r>
      <w:r w:rsidR="0033504D">
        <w:t>dentify eligible residents for antiviral treatment in advance</w:t>
      </w:r>
      <w:r w:rsidR="001B6ABF">
        <w:t xml:space="preserve"> (COVID-19 and influenza)</w:t>
      </w:r>
    </w:p>
    <w:p w14:paraId="03551B0A" w14:textId="7637EACC" w:rsidR="0033504D" w:rsidRDefault="00730B29" w:rsidP="00FA461D">
      <w:pPr>
        <w:pStyle w:val="Bullet1"/>
      </w:pPr>
      <w:r>
        <w:t>o</w:t>
      </w:r>
      <w:r w:rsidR="0033504D">
        <w:t>btain consent early</w:t>
      </w:r>
    </w:p>
    <w:p w14:paraId="6B981233" w14:textId="7B490FED" w:rsidR="008D2A26" w:rsidRPr="00FA461D" w:rsidRDefault="00730B29" w:rsidP="00166E8D">
      <w:pPr>
        <w:pStyle w:val="Bullet1"/>
      </w:pPr>
      <w:r>
        <w:t>e</w:t>
      </w:r>
      <w:r w:rsidR="0033504D">
        <w:t>stablish clear processes with prescribers and pharmacies for rapid prescribing and dispensing</w:t>
      </w:r>
      <w:r>
        <w:t>.</w:t>
      </w:r>
    </w:p>
    <w:p w14:paraId="0A79469E" w14:textId="7C1F2BD9" w:rsidR="003A4EE4" w:rsidRPr="00027E09" w:rsidRDefault="00412911" w:rsidP="00027E09">
      <w:pPr>
        <w:pStyle w:val="Heading2"/>
        <w:rPr>
          <w:color w:val="1F497D" w:themeColor="text2"/>
        </w:rPr>
      </w:pPr>
      <w:bookmarkStart w:id="89" w:name="_Toc229644793"/>
      <w:r>
        <w:rPr>
          <w:color w:val="1F497D" w:themeColor="text2"/>
        </w:rPr>
        <w:t>IPC</w:t>
      </w:r>
      <w:bookmarkEnd w:id="89"/>
    </w:p>
    <w:p w14:paraId="19F9E173" w14:textId="43CF0AF7" w:rsidR="003935FB" w:rsidRDefault="003935FB" w:rsidP="003A4EE4">
      <w:pPr>
        <w:pStyle w:val="Body"/>
      </w:pPr>
      <w:r>
        <w:t>All residential care providers</w:t>
      </w:r>
      <w:r w:rsidR="00224788">
        <w:t xml:space="preserve"> must comply with any legislative or regulatory IPC requirements relevant to their sector. </w:t>
      </w:r>
    </w:p>
    <w:p w14:paraId="6996D923" w14:textId="401AC707" w:rsidR="003A4EE4" w:rsidRDefault="00CD39FA" w:rsidP="003A4EE4">
      <w:pPr>
        <w:pStyle w:val="Body"/>
      </w:pPr>
      <w:r>
        <w:t xml:space="preserve">It is important that </w:t>
      </w:r>
      <w:r w:rsidR="00D249C2">
        <w:t>RCFs p</w:t>
      </w:r>
      <w:r w:rsidR="009504F1">
        <w:t xml:space="preserve">lan and tailor IPC measures </w:t>
      </w:r>
      <w:r w:rsidR="00EF66B9">
        <w:t xml:space="preserve">that are </w:t>
      </w:r>
      <w:r w:rsidR="009504F1">
        <w:t xml:space="preserve">specific for residents with cognitive </w:t>
      </w:r>
      <w:r w:rsidR="007B4FCA">
        <w:t xml:space="preserve">impairment and </w:t>
      </w:r>
      <w:r w:rsidR="009504F1">
        <w:t>decline</w:t>
      </w:r>
      <w:r w:rsidR="007B4FCA">
        <w:t>,</w:t>
      </w:r>
      <w:r w:rsidR="009504F1">
        <w:t xml:space="preserve"> and</w:t>
      </w:r>
      <w:r w:rsidR="00E11FD8">
        <w:t>/or</w:t>
      </w:r>
      <w:r w:rsidR="009504F1">
        <w:t xml:space="preserve"> dementia. </w:t>
      </w:r>
    </w:p>
    <w:p w14:paraId="1AC84D3C" w14:textId="49FA4EAB" w:rsidR="00DA057E" w:rsidRDefault="00EF66B9" w:rsidP="00DA057E">
      <w:pPr>
        <w:pStyle w:val="Heading3"/>
      </w:pPr>
      <w:r>
        <w:lastRenderedPageBreak/>
        <w:t>IPC</w:t>
      </w:r>
      <w:r w:rsidR="00DA057E">
        <w:t xml:space="preserve"> </w:t>
      </w:r>
      <w:proofErr w:type="gramStart"/>
      <w:r w:rsidR="00DA057E">
        <w:t>lead</w:t>
      </w:r>
      <w:proofErr w:type="gramEnd"/>
      <w:r w:rsidR="00DA057E">
        <w:t xml:space="preserve"> nurse</w:t>
      </w:r>
    </w:p>
    <w:p w14:paraId="1147A854" w14:textId="3BDC8DBD" w:rsidR="00DA057E" w:rsidRDefault="00DA057E" w:rsidP="00F9103D">
      <w:pPr>
        <w:pStyle w:val="Body"/>
      </w:pPr>
      <w:r>
        <w:t>RAC</w:t>
      </w:r>
      <w:r w:rsidR="00142AD2">
        <w:t>H</w:t>
      </w:r>
      <w:r>
        <w:t xml:space="preserve">s must have a qualified IPC lead nurse, supported by management with adequate time, training and resources to oversee IPC capability across the service. </w:t>
      </w:r>
    </w:p>
    <w:p w14:paraId="0889D040" w14:textId="322B7740" w:rsidR="003A4EE4" w:rsidRDefault="003A4EE4" w:rsidP="003A4EE4">
      <w:pPr>
        <w:pStyle w:val="Heading3"/>
      </w:pPr>
      <w:r>
        <w:t>Hand hygiene and respiratory and cough etiquette</w:t>
      </w:r>
    </w:p>
    <w:p w14:paraId="4157668E" w14:textId="7576D14F" w:rsidR="003A4EE4" w:rsidRDefault="00BE1DE3" w:rsidP="00F9103D">
      <w:pPr>
        <w:pStyle w:val="Body"/>
      </w:pPr>
      <w:r>
        <w:t>R</w:t>
      </w:r>
      <w:r w:rsidR="007450D0">
        <w:t>CFs</w:t>
      </w:r>
      <w:r w:rsidR="003A4EE4">
        <w:t xml:space="preserve"> should implement and maintain a hand hygiene program within their IPC system</w:t>
      </w:r>
      <w:r w:rsidR="00EF66B9">
        <w:t xml:space="preserve"> and e</w:t>
      </w:r>
      <w:r w:rsidR="003A4EE4">
        <w:t>ncourage residents to:</w:t>
      </w:r>
    </w:p>
    <w:p w14:paraId="51061E31" w14:textId="05F4B6A2" w:rsidR="003A4EE4" w:rsidRDefault="003A4EE4" w:rsidP="00F9103D">
      <w:pPr>
        <w:pStyle w:val="Bullet1"/>
      </w:pPr>
      <w:r>
        <w:t>cover their nose and mouth when coughing or sneezing</w:t>
      </w:r>
    </w:p>
    <w:p w14:paraId="72C11803" w14:textId="46A3ADBB" w:rsidR="003A4EE4" w:rsidRDefault="003A4EE4" w:rsidP="00F9103D">
      <w:pPr>
        <w:pStyle w:val="Bullet1"/>
      </w:pPr>
      <w:r>
        <w:t>use and dispose of tissues</w:t>
      </w:r>
      <w:r w:rsidR="00F8554B">
        <w:t xml:space="preserve"> appropriately</w:t>
      </w:r>
    </w:p>
    <w:p w14:paraId="74C31F9A" w14:textId="4B93FB5F" w:rsidR="003A4EE4" w:rsidRDefault="00940EF2" w:rsidP="00F9103D">
      <w:pPr>
        <w:pStyle w:val="Bullet1"/>
      </w:pPr>
      <w:r>
        <w:t xml:space="preserve">wash hands </w:t>
      </w:r>
      <w:r w:rsidR="00095B85">
        <w:t xml:space="preserve">with soap and warm </w:t>
      </w:r>
      <w:proofErr w:type="gramStart"/>
      <w:r w:rsidR="00095B85">
        <w:t>water</w:t>
      </w:r>
      <w:r w:rsidR="00EF66B9">
        <w:t>,</w:t>
      </w:r>
      <w:r w:rsidR="00095B85">
        <w:t xml:space="preserve"> or</w:t>
      </w:r>
      <w:proofErr w:type="gramEnd"/>
      <w:r w:rsidR="00095B85">
        <w:t xml:space="preserve"> </w:t>
      </w:r>
      <w:r>
        <w:t xml:space="preserve">sanitise hands by </w:t>
      </w:r>
      <w:r w:rsidR="00095B85">
        <w:t>us</w:t>
      </w:r>
      <w:r>
        <w:t>ing</w:t>
      </w:r>
      <w:r w:rsidR="00095B85">
        <w:t xml:space="preserve"> an </w:t>
      </w:r>
      <w:r>
        <w:t>alcohol-based</w:t>
      </w:r>
      <w:r w:rsidR="00095B85">
        <w:t xml:space="preserve"> hand sanitiser </w:t>
      </w:r>
      <w:r w:rsidR="003A4EE4">
        <w:t xml:space="preserve">after </w:t>
      </w:r>
      <w:r w:rsidR="00B72926">
        <w:t>coughing, sneezing</w:t>
      </w:r>
      <w:r w:rsidR="00A50F90">
        <w:t xml:space="preserve">, using tissues or after </w:t>
      </w:r>
      <w:r w:rsidR="003A4EE4">
        <w:t>contact with respiratory sec</w:t>
      </w:r>
      <w:r w:rsidR="00484004">
        <w:t>re</w:t>
      </w:r>
      <w:r w:rsidR="003A4EE4">
        <w:t>tions.</w:t>
      </w:r>
    </w:p>
    <w:p w14:paraId="7CA0422A" w14:textId="1547CA26" w:rsidR="003A4EE4" w:rsidRDefault="00EF66B9" w:rsidP="003A4EE4">
      <w:pPr>
        <w:pStyle w:val="Heading3"/>
      </w:pPr>
      <w:r>
        <w:t>PPE</w:t>
      </w:r>
    </w:p>
    <w:p w14:paraId="799FB3A8" w14:textId="0040C783" w:rsidR="00A01BE1" w:rsidRPr="004F4C57" w:rsidRDefault="007F723D" w:rsidP="00F9103D">
      <w:pPr>
        <w:pStyle w:val="Body"/>
      </w:pPr>
      <w:r>
        <w:t>Ensure PPE is used correctly to reduce transmission risk and protect residents and staff</w:t>
      </w:r>
      <w:r w:rsidR="0030556B">
        <w:t xml:space="preserve"> (see </w:t>
      </w:r>
      <w:hyperlink w:anchor="Table3" w:history="1">
        <w:r w:rsidR="00A01BE1" w:rsidRPr="00F2316E">
          <w:rPr>
            <w:rStyle w:val="Hyperlink"/>
          </w:rPr>
          <w:t>Table 3: PPE requirements for respiratory pathogens</w:t>
        </w:r>
      </w:hyperlink>
      <w:r w:rsidR="00A01BE1">
        <w:t xml:space="preserve">). </w:t>
      </w:r>
      <w:r w:rsidR="00EF66B9">
        <w:t>This includes:</w:t>
      </w:r>
    </w:p>
    <w:p w14:paraId="1A697028" w14:textId="4F8BEAD8" w:rsidR="007F723D" w:rsidRDefault="00EF66B9" w:rsidP="00FA461D">
      <w:pPr>
        <w:pStyle w:val="Bullet1"/>
      </w:pPr>
      <w:r>
        <w:t>that s</w:t>
      </w:r>
      <w:r w:rsidR="00B05BBC">
        <w:t xml:space="preserve">tandard precautions must be </w:t>
      </w:r>
      <w:proofErr w:type="gramStart"/>
      <w:r w:rsidR="00B05BBC">
        <w:t>used at all times</w:t>
      </w:r>
      <w:proofErr w:type="gramEnd"/>
      <w:r w:rsidR="00B05BBC">
        <w:t xml:space="preserve"> when caring for residents</w:t>
      </w:r>
      <w:r>
        <w:t xml:space="preserve"> and</w:t>
      </w:r>
      <w:r w:rsidR="00B05BBC">
        <w:t xml:space="preserve"> </w:t>
      </w:r>
      <w:r w:rsidR="007D0BB2">
        <w:t>t</w:t>
      </w:r>
      <w:r w:rsidR="007F723D">
        <w:t xml:space="preserve">ransmission-based precautions used in </w:t>
      </w:r>
      <w:r w:rsidR="007F723D" w:rsidRPr="002F6CB0">
        <w:t>addition</w:t>
      </w:r>
      <w:r w:rsidR="007F723D">
        <w:t xml:space="preserve"> to standard precautions</w:t>
      </w:r>
    </w:p>
    <w:p w14:paraId="5A007796" w14:textId="094A252A" w:rsidR="007F723D" w:rsidRDefault="00812D62" w:rsidP="00FA461D">
      <w:pPr>
        <w:pStyle w:val="Bullet1"/>
      </w:pPr>
      <w:r>
        <w:t>that s</w:t>
      </w:r>
      <w:r w:rsidR="007F723D">
        <w:t>taff should be proficient in putting on (donning) and taking off (doffing) of PPE</w:t>
      </w:r>
    </w:p>
    <w:p w14:paraId="5EF89327" w14:textId="7C807DF7" w:rsidR="007F723D" w:rsidRPr="00FA461D" w:rsidRDefault="00812D62" w:rsidP="00FA461D">
      <w:pPr>
        <w:pStyle w:val="Bullet1"/>
      </w:pPr>
      <w:r>
        <w:t>c</w:t>
      </w:r>
      <w:r w:rsidR="007F723D" w:rsidRPr="001B152E">
        <w:t>onduct</w:t>
      </w:r>
      <w:r>
        <w:t>ing</w:t>
      </w:r>
      <w:r w:rsidR="007F723D" w:rsidRPr="001B152E">
        <w:t xml:space="preserve"> </w:t>
      </w:r>
      <w:r w:rsidR="007F723D" w:rsidRPr="00FA461D">
        <w:t>risk assessments to determine mask requirements in public-facing areas</w:t>
      </w:r>
    </w:p>
    <w:p w14:paraId="7A40F008" w14:textId="5BFF1E59" w:rsidR="007F723D" w:rsidRPr="00FA461D" w:rsidRDefault="00812D62" w:rsidP="00FA461D">
      <w:pPr>
        <w:pStyle w:val="Bullet1"/>
      </w:pPr>
      <w:r>
        <w:t>m</w:t>
      </w:r>
      <w:r w:rsidR="007F723D" w:rsidRPr="001B152E">
        <w:t>ak</w:t>
      </w:r>
      <w:r>
        <w:t>ing</w:t>
      </w:r>
      <w:r w:rsidR="007F723D" w:rsidRPr="001B152E">
        <w:t xml:space="preserve"> surgical masks and P2/N95 respirators available to all staff to support individual choice and ris</w:t>
      </w:r>
      <w:r w:rsidR="000C0A28" w:rsidRPr="001B152E">
        <w:t>k</w:t>
      </w:r>
      <w:r>
        <w:t>, and</w:t>
      </w:r>
      <w:r w:rsidR="000C0A28" w:rsidRPr="001B152E">
        <w:t xml:space="preserve"> </w:t>
      </w:r>
      <w:r w:rsidR="000D7C8B" w:rsidRPr="001B152E">
        <w:t>provid</w:t>
      </w:r>
      <w:r>
        <w:t>ing</w:t>
      </w:r>
      <w:r w:rsidR="000D7C8B" w:rsidRPr="001B152E">
        <w:t xml:space="preserve"> masks to visitors</w:t>
      </w:r>
      <w:r w:rsidR="00790447" w:rsidRPr="001B152E">
        <w:t xml:space="preserve"> as needed or on request</w:t>
      </w:r>
      <w:r w:rsidR="0000620C" w:rsidRPr="001B152E">
        <w:t xml:space="preserve"> (surgical masks are </w:t>
      </w:r>
      <w:r w:rsidR="007F723D" w:rsidRPr="00FA461D">
        <w:t>generally suf</w:t>
      </w:r>
      <w:r w:rsidR="00F16B1D" w:rsidRPr="00FA461D">
        <w:t>ficient</w:t>
      </w:r>
      <w:r w:rsidR="007F723D" w:rsidRPr="00FA461D">
        <w:t xml:space="preserve"> for most areas</w:t>
      </w:r>
      <w:r w:rsidR="00E5304A" w:rsidRPr="001B152E">
        <w:t>)</w:t>
      </w:r>
    </w:p>
    <w:p w14:paraId="28456A9B" w14:textId="50DD1D1B" w:rsidR="007F723D" w:rsidRDefault="00812D62" w:rsidP="00FA461D">
      <w:pPr>
        <w:pStyle w:val="Bullet1"/>
      </w:pPr>
      <w:r>
        <w:t>t</w:t>
      </w:r>
      <w:r w:rsidR="007F723D" w:rsidRPr="001B152E">
        <w:t>rain</w:t>
      </w:r>
      <w:r>
        <w:t>ing</w:t>
      </w:r>
      <w:r w:rsidR="007F723D" w:rsidRPr="001B152E">
        <w:t xml:space="preserve"> staff in correct mask usage and</w:t>
      </w:r>
      <w:r w:rsidR="007F723D">
        <w:t xml:space="preserve"> fit checking of respirators</w:t>
      </w:r>
    </w:p>
    <w:p w14:paraId="06D81593" w14:textId="7382E504" w:rsidR="003A4EE4" w:rsidRPr="00A175B0" w:rsidRDefault="00812D62" w:rsidP="00061F4A">
      <w:pPr>
        <w:pStyle w:val="Bullet1"/>
      </w:pPr>
      <w:r>
        <w:t>r</w:t>
      </w:r>
      <w:r w:rsidR="007F723D">
        <w:t>eplac</w:t>
      </w:r>
      <w:r>
        <w:t>ing</w:t>
      </w:r>
      <w:r w:rsidR="007F723D">
        <w:t xml:space="preserve"> masks if wet or soiled</w:t>
      </w:r>
      <w:r>
        <w:t>, and</w:t>
      </w:r>
      <w:r w:rsidR="007F723D">
        <w:t xml:space="preserve"> limit use to a maximum of four hours per mask.</w:t>
      </w:r>
    </w:p>
    <w:p w14:paraId="19C9E55C" w14:textId="32763459" w:rsidR="003A4EE4" w:rsidRDefault="003A4EE4" w:rsidP="003A4EE4">
      <w:pPr>
        <w:pStyle w:val="Heading3"/>
      </w:pPr>
      <w:r w:rsidRPr="0014515B">
        <w:t xml:space="preserve">Air quality and </w:t>
      </w:r>
      <w:bookmarkStart w:id="90" w:name="_Toc108704011"/>
      <w:bookmarkStart w:id="91" w:name="_Toc108709754"/>
      <w:bookmarkStart w:id="92" w:name="_Toc108704012"/>
      <w:bookmarkStart w:id="93" w:name="_Toc108709755"/>
      <w:bookmarkEnd w:id="90"/>
      <w:bookmarkEnd w:id="91"/>
      <w:bookmarkEnd w:id="92"/>
      <w:bookmarkEnd w:id="93"/>
      <w:r w:rsidRPr="0014515B">
        <w:t>ventilation</w:t>
      </w:r>
    </w:p>
    <w:p w14:paraId="5A5C6DBF" w14:textId="63D10F17" w:rsidR="00AA1FE0" w:rsidRDefault="00B50A7B" w:rsidP="00FA461D">
      <w:pPr>
        <w:pStyle w:val="Body"/>
      </w:pPr>
      <w:r>
        <w:t>Good ventilation reduces the risk of respiratory virus transmission in indoor environments. RCFs should optimise</w:t>
      </w:r>
      <w:r w:rsidR="00776610">
        <w:t xml:space="preserve"> natural and mechanical ventilation where possible and consider additional measures in areas with poor airflow. </w:t>
      </w:r>
    </w:p>
    <w:p w14:paraId="13E97AA0" w14:textId="2F40F9FF" w:rsidR="00395E8E" w:rsidRDefault="00395E8E" w:rsidP="00F9103D">
      <w:pPr>
        <w:pStyle w:val="Tablecaption"/>
      </w:pPr>
      <w:r>
        <w:t xml:space="preserve">Table </w:t>
      </w:r>
      <w:fldSimple w:instr=" SEQ Table \* ARABIC ">
        <w:r w:rsidR="0031298E">
          <w:rPr>
            <w:noProof/>
          </w:rPr>
          <w:t>2</w:t>
        </w:r>
      </w:fldSimple>
      <w:r>
        <w:t xml:space="preserve">. </w:t>
      </w:r>
      <w:r w:rsidRPr="00B8194D">
        <w:t>Types of ventilation</w:t>
      </w:r>
      <w:r>
        <w:t xml:space="preserve"> and recommendations</w:t>
      </w:r>
    </w:p>
    <w:tbl>
      <w:tblPr>
        <w:tblStyle w:val="TableGrid"/>
        <w:tblW w:w="9351" w:type="dxa"/>
        <w:tblLayout w:type="fixed"/>
        <w:tblLook w:val="04A0" w:firstRow="1" w:lastRow="0" w:firstColumn="1" w:lastColumn="0" w:noHBand="0" w:noVBand="1"/>
      </w:tblPr>
      <w:tblGrid>
        <w:gridCol w:w="2228"/>
        <w:gridCol w:w="7123"/>
      </w:tblGrid>
      <w:tr w:rsidR="003A4EE4" w14:paraId="43DBA0E1" w14:textId="77777777" w:rsidTr="00F9103D">
        <w:trPr>
          <w:tblHeader/>
        </w:trPr>
        <w:tc>
          <w:tcPr>
            <w:tcW w:w="2228" w:type="dxa"/>
            <w:shd w:val="clear" w:color="auto" w:fill="F2F2F2" w:themeFill="background1" w:themeFillShade="F2"/>
          </w:tcPr>
          <w:p w14:paraId="7170C905" w14:textId="77777777" w:rsidR="003A4EE4" w:rsidRPr="00D4606A" w:rsidRDefault="003A4EE4">
            <w:pPr>
              <w:pStyle w:val="Tablecolhead"/>
            </w:pPr>
            <w:r w:rsidRPr="00D4606A">
              <w:t>Type of ventilation</w:t>
            </w:r>
          </w:p>
        </w:tc>
        <w:tc>
          <w:tcPr>
            <w:tcW w:w="7123" w:type="dxa"/>
            <w:shd w:val="clear" w:color="auto" w:fill="F2F2F2" w:themeFill="background1" w:themeFillShade="F2"/>
          </w:tcPr>
          <w:p w14:paraId="0EDCB36A" w14:textId="77777777" w:rsidR="003A4EE4" w:rsidRPr="0086772F" w:rsidRDefault="003A4EE4">
            <w:pPr>
              <w:pStyle w:val="Tablecolhead"/>
            </w:pPr>
            <w:r>
              <w:t>Recommendations</w:t>
            </w:r>
          </w:p>
        </w:tc>
      </w:tr>
      <w:tr w:rsidR="003A4EE4" w14:paraId="1AF5250A" w14:textId="77777777">
        <w:tc>
          <w:tcPr>
            <w:tcW w:w="2228" w:type="dxa"/>
            <w:shd w:val="clear" w:color="auto" w:fill="F2F2F2" w:themeFill="background1" w:themeFillShade="F2"/>
          </w:tcPr>
          <w:p w14:paraId="5BB7BA7E" w14:textId="77777777" w:rsidR="003A4EE4" w:rsidRPr="00D5598D" w:rsidRDefault="003A4EE4" w:rsidP="00F9103D">
            <w:pPr>
              <w:pStyle w:val="Tabletext"/>
              <w:rPr>
                <w:bCs/>
              </w:rPr>
            </w:pPr>
            <w:r w:rsidRPr="00F9103D">
              <w:rPr>
                <w:b/>
                <w:bCs/>
              </w:rPr>
              <w:t>Natural ventilation</w:t>
            </w:r>
          </w:p>
        </w:tc>
        <w:tc>
          <w:tcPr>
            <w:tcW w:w="7123" w:type="dxa"/>
          </w:tcPr>
          <w:p w14:paraId="327A5D0D" w14:textId="12827359" w:rsidR="003A4EE4" w:rsidRDefault="003A4EE4">
            <w:pPr>
              <w:pStyle w:val="Tablebullet1"/>
            </w:pPr>
            <w:r>
              <w:t>Open windows and doors whenever possible</w:t>
            </w:r>
            <w:r w:rsidR="00812D62">
              <w:t xml:space="preserve"> and</w:t>
            </w:r>
            <w:r>
              <w:t xml:space="preserve"> explain why to staff and residents</w:t>
            </w:r>
            <w:r w:rsidR="00206AED">
              <w:t>.</w:t>
            </w:r>
          </w:p>
          <w:p w14:paraId="1B507712" w14:textId="77D99BED" w:rsidR="003A4EE4" w:rsidRDefault="003A4EE4">
            <w:pPr>
              <w:pStyle w:val="Tablebullet1"/>
            </w:pPr>
            <w:r>
              <w:t>Schedule breaks between use of spaces to allow air exchange</w:t>
            </w:r>
            <w:r w:rsidR="00206AED">
              <w:t>.</w:t>
            </w:r>
          </w:p>
          <w:p w14:paraId="5B02F16F" w14:textId="53877293" w:rsidR="003A4EE4" w:rsidRPr="002C5B20" w:rsidRDefault="003A4EE4" w:rsidP="00A65536">
            <w:pPr>
              <w:pStyle w:val="Tablebullet1"/>
            </w:pPr>
            <w:r>
              <w:t>Use fans or evaporative coolers to move air</w:t>
            </w:r>
            <w:r w:rsidR="00206AED">
              <w:t>.</w:t>
            </w:r>
          </w:p>
        </w:tc>
      </w:tr>
      <w:tr w:rsidR="003A4EE4" w14:paraId="5E158215" w14:textId="77777777">
        <w:tc>
          <w:tcPr>
            <w:tcW w:w="2228" w:type="dxa"/>
            <w:shd w:val="clear" w:color="auto" w:fill="F2F2F2" w:themeFill="background1" w:themeFillShade="F2"/>
          </w:tcPr>
          <w:p w14:paraId="499AB1D2" w14:textId="112F64C2" w:rsidR="003A4EE4" w:rsidRPr="00D5598D" w:rsidRDefault="003A4EE4" w:rsidP="00F9103D">
            <w:pPr>
              <w:pStyle w:val="Tabletext"/>
              <w:rPr>
                <w:bCs/>
              </w:rPr>
            </w:pPr>
            <w:r w:rsidRPr="00F9103D">
              <w:rPr>
                <w:b/>
                <w:bCs/>
              </w:rPr>
              <w:t xml:space="preserve">Mechanical ventilation </w:t>
            </w:r>
          </w:p>
        </w:tc>
        <w:tc>
          <w:tcPr>
            <w:tcW w:w="7123" w:type="dxa"/>
          </w:tcPr>
          <w:p w14:paraId="4EA4A02D" w14:textId="69495717" w:rsidR="003A4EE4" w:rsidRDefault="003A4EE4">
            <w:pPr>
              <w:pStyle w:val="Tablebullet1"/>
            </w:pPr>
            <w:r>
              <w:t>Set systems to bring in as much fresh air as possible while maintaining thermal comfort, includ</w:t>
            </w:r>
            <w:r w:rsidR="00812D62">
              <w:t>ing</w:t>
            </w:r>
            <w:r>
              <w:t xml:space="preserve"> heating, ventilating and </w:t>
            </w:r>
            <w:r w:rsidR="006E2E8E">
              <w:t>air</w:t>
            </w:r>
            <w:r w:rsidR="00981658">
              <w:t>-</w:t>
            </w:r>
            <w:r w:rsidR="006E2E8E">
              <w:t>conditioning</w:t>
            </w:r>
            <w:r>
              <w:t xml:space="preserve"> (HVAC) systems</w:t>
            </w:r>
            <w:r w:rsidR="00ED2DA6">
              <w:t>.</w:t>
            </w:r>
          </w:p>
          <w:p w14:paraId="0509A542" w14:textId="4140CBE8" w:rsidR="003A4EE4" w:rsidRPr="002C5B20" w:rsidRDefault="003A4EE4" w:rsidP="00E672DF">
            <w:pPr>
              <w:pStyle w:val="Tablebullet1"/>
            </w:pPr>
            <w:r>
              <w:t>Use appropriate filter grades and maintain systems regularly</w:t>
            </w:r>
            <w:r w:rsidR="00364E1B">
              <w:t xml:space="preserve">; seek advice from </w:t>
            </w:r>
            <w:r w:rsidR="00277808">
              <w:t>an engineer.</w:t>
            </w:r>
          </w:p>
        </w:tc>
      </w:tr>
      <w:tr w:rsidR="003A4EE4" w14:paraId="512BCE72" w14:textId="77777777">
        <w:tc>
          <w:tcPr>
            <w:tcW w:w="2228" w:type="dxa"/>
            <w:shd w:val="clear" w:color="auto" w:fill="F2F2F2" w:themeFill="background1" w:themeFillShade="F2"/>
          </w:tcPr>
          <w:p w14:paraId="7A2C46CD" w14:textId="623922DE" w:rsidR="003A4EE4" w:rsidRPr="00D5598D" w:rsidRDefault="003A4EE4" w:rsidP="00F9103D">
            <w:pPr>
              <w:pStyle w:val="Tabletext"/>
              <w:rPr>
                <w:bCs/>
              </w:rPr>
            </w:pPr>
            <w:r w:rsidRPr="00F9103D">
              <w:rPr>
                <w:b/>
                <w:bCs/>
              </w:rPr>
              <w:lastRenderedPageBreak/>
              <w:t>Other advice</w:t>
            </w:r>
          </w:p>
        </w:tc>
        <w:tc>
          <w:tcPr>
            <w:tcW w:w="7123" w:type="dxa"/>
          </w:tcPr>
          <w:p w14:paraId="0FA52B40" w14:textId="77777777" w:rsidR="003A4EE4" w:rsidRDefault="003A4EE4">
            <w:pPr>
              <w:pStyle w:val="Tablebullet1"/>
            </w:pPr>
            <w:r>
              <w:t>Consider engaging a ventilation consultant to identify at-risk areas and prioritise improvements.</w:t>
            </w:r>
          </w:p>
          <w:p w14:paraId="4E78E4A1" w14:textId="16122414" w:rsidR="003A4EE4" w:rsidRDefault="003C6CD6">
            <w:pPr>
              <w:pStyle w:val="Tablebullet1"/>
            </w:pPr>
            <w:r>
              <w:t>Undertake a r</w:t>
            </w:r>
            <w:r w:rsidR="00B35D74">
              <w:t xml:space="preserve">isk assessment to determine </w:t>
            </w:r>
            <w:r w:rsidR="0098281D">
              <w:t>if u</w:t>
            </w:r>
            <w:r w:rsidR="003A4EE4">
              <w:t>se</w:t>
            </w:r>
            <w:r w:rsidR="0098281D">
              <w:t xml:space="preserve"> of other devices</w:t>
            </w:r>
            <w:r w:rsidR="005E1B9E">
              <w:t xml:space="preserve"> may be required, </w:t>
            </w:r>
            <w:r w:rsidR="00812D62">
              <w:t>such as</w:t>
            </w:r>
            <w:r w:rsidR="003A4EE4">
              <w:t xml:space="preserve"> electric fans, extractor fans or portable </w:t>
            </w:r>
            <w:r w:rsidR="00C94AB1">
              <w:t>h</w:t>
            </w:r>
            <w:r w:rsidR="00510234" w:rsidRPr="00510234">
              <w:t>igh-</w:t>
            </w:r>
            <w:r w:rsidR="00C94AB1">
              <w:t>e</w:t>
            </w:r>
            <w:r w:rsidR="00510234" w:rsidRPr="00510234">
              <w:t xml:space="preserve">fficiency </w:t>
            </w:r>
            <w:r w:rsidR="00C94AB1">
              <w:t>p</w:t>
            </w:r>
            <w:r w:rsidR="00510234" w:rsidRPr="00510234">
              <w:t xml:space="preserve">articulate </w:t>
            </w:r>
            <w:r w:rsidR="00C94AB1">
              <w:t>a</w:t>
            </w:r>
            <w:r w:rsidR="00510234" w:rsidRPr="00510234">
              <w:t xml:space="preserve">ir </w:t>
            </w:r>
            <w:r w:rsidR="00C94AB1">
              <w:t>(</w:t>
            </w:r>
            <w:r w:rsidR="003A4EE4">
              <w:t>HEPA</w:t>
            </w:r>
            <w:r w:rsidR="00C94AB1">
              <w:t>)</w:t>
            </w:r>
            <w:r w:rsidR="003A4EE4">
              <w:t xml:space="preserve"> filters in areas with poor airflow or dead spots.</w:t>
            </w:r>
          </w:p>
          <w:p w14:paraId="0EE7DF0A" w14:textId="77777777" w:rsidR="003A4EE4" w:rsidRDefault="003A4EE4">
            <w:pPr>
              <w:pStyle w:val="Tablebullet1"/>
            </w:pPr>
            <w:r>
              <w:t>HEPA filters do not replace natural or mechanical ventilation.</w:t>
            </w:r>
          </w:p>
          <w:p w14:paraId="70644158" w14:textId="77777777" w:rsidR="003A4EE4" w:rsidRPr="0086772F" w:rsidRDefault="003A4EE4">
            <w:pPr>
              <w:pStyle w:val="Tablebullet1"/>
            </w:pPr>
            <w:r>
              <w:t>Hold meetings, activities and gatherings outdoors when possible.</w:t>
            </w:r>
          </w:p>
        </w:tc>
      </w:tr>
    </w:tbl>
    <w:p w14:paraId="3C1F7BBC" w14:textId="77777777" w:rsidR="00672013" w:rsidRDefault="00672013" w:rsidP="00672013">
      <w:pPr>
        <w:pStyle w:val="Heading3"/>
      </w:pPr>
      <w:r>
        <w:t>Cleaning and waste management</w:t>
      </w:r>
    </w:p>
    <w:p w14:paraId="68485E62" w14:textId="56720942" w:rsidR="00293BCC" w:rsidRPr="00293BCC" w:rsidRDefault="0070605B" w:rsidP="00F9103D">
      <w:pPr>
        <w:pStyle w:val="Body"/>
      </w:pPr>
      <w:r>
        <w:t>Cleaning and waste management requirements include:</w:t>
      </w:r>
    </w:p>
    <w:p w14:paraId="560D477B" w14:textId="378AB5D4" w:rsidR="00672013" w:rsidRPr="00771C45" w:rsidRDefault="0070605B" w:rsidP="004D39D2">
      <w:pPr>
        <w:pStyle w:val="Bullet1"/>
      </w:pPr>
      <w:r>
        <w:t>s</w:t>
      </w:r>
      <w:r w:rsidR="00672013" w:rsidRPr="00771C45">
        <w:t>pecify</w:t>
      </w:r>
      <w:r>
        <w:t>ing</w:t>
      </w:r>
      <w:r w:rsidR="00672013" w:rsidRPr="00771C45">
        <w:t xml:space="preserve"> </w:t>
      </w:r>
      <w:r w:rsidR="00826017">
        <w:t xml:space="preserve">the </w:t>
      </w:r>
      <w:r w:rsidR="00672013" w:rsidRPr="00771C45">
        <w:t xml:space="preserve">cleaning products </w:t>
      </w:r>
      <w:r w:rsidR="00C94AB1">
        <w:t>that will be</w:t>
      </w:r>
      <w:r w:rsidR="00672013" w:rsidRPr="00771C45">
        <w:t xml:space="preserve"> used</w:t>
      </w:r>
      <w:r w:rsidR="00293BCC">
        <w:t>.</w:t>
      </w:r>
      <w:r w:rsidR="00A46012">
        <w:t xml:space="preserve"> </w:t>
      </w:r>
      <w:r w:rsidR="00293BCC">
        <w:t>I</w:t>
      </w:r>
      <w:r w:rsidR="00267ADD">
        <w:t xml:space="preserve">t is recommended </w:t>
      </w:r>
      <w:r w:rsidR="00C94AB1">
        <w:t>to use</w:t>
      </w:r>
      <w:r w:rsidR="00267ADD">
        <w:t xml:space="preserve"> </w:t>
      </w:r>
      <w:r w:rsidR="00E979D7">
        <w:t xml:space="preserve">disinfectant </w:t>
      </w:r>
      <w:r w:rsidR="00A46012">
        <w:t>products</w:t>
      </w:r>
      <w:r w:rsidR="00267ADD">
        <w:t xml:space="preserve"> </w:t>
      </w:r>
      <w:r w:rsidR="00C94AB1">
        <w:t>that are</w:t>
      </w:r>
      <w:r w:rsidR="00843F57">
        <w:t xml:space="preserve"> listed on the Australian Register of Therapeutic Goods </w:t>
      </w:r>
      <w:r w:rsidR="00A46012">
        <w:t>(</w:t>
      </w:r>
      <w:r w:rsidR="00843F57">
        <w:t>ARTG</w:t>
      </w:r>
      <w:r w:rsidR="00A46012">
        <w:t>)</w:t>
      </w:r>
    </w:p>
    <w:p w14:paraId="567C2FD8" w14:textId="099296F6" w:rsidR="00672013" w:rsidRPr="00F9103D" w:rsidRDefault="0070605B" w:rsidP="00F9103D">
      <w:pPr>
        <w:pStyle w:val="Bullet1"/>
      </w:pPr>
      <w:r>
        <w:t>c</w:t>
      </w:r>
      <w:r w:rsidR="00672013" w:rsidRPr="00F9103D">
        <w:t>onsider</w:t>
      </w:r>
      <w:r>
        <w:t>ing</w:t>
      </w:r>
      <w:r w:rsidR="00672013" w:rsidRPr="00F9103D">
        <w:t xml:space="preserve"> arranging contractor support in advance (</w:t>
      </w:r>
      <w:r w:rsidR="003B3318" w:rsidRPr="00F9103D">
        <w:t xml:space="preserve">for example, </w:t>
      </w:r>
      <w:r w:rsidR="00672013" w:rsidRPr="00F9103D">
        <w:t>additional cleaning staff) for outbreak periods</w:t>
      </w:r>
      <w:r w:rsidR="00417B35" w:rsidRPr="00F9103D">
        <w:t>,</w:t>
      </w:r>
      <w:r w:rsidR="00C66252" w:rsidRPr="00F9103D">
        <w:t xml:space="preserve"> as cleaning </w:t>
      </w:r>
      <w:r w:rsidR="00FF0FA9" w:rsidRPr="00F9103D">
        <w:t xml:space="preserve">and disinfection </w:t>
      </w:r>
      <w:r w:rsidR="00C66252" w:rsidRPr="00F9103D">
        <w:t>should be increased to at least twice daily</w:t>
      </w:r>
      <w:r w:rsidR="00CB357C" w:rsidRPr="00F9103D">
        <w:t>, particularly of high-touch surfaces</w:t>
      </w:r>
    </w:p>
    <w:p w14:paraId="75445C77" w14:textId="351A42A2" w:rsidR="00672013" w:rsidRDefault="0070605B" w:rsidP="004D39D2">
      <w:pPr>
        <w:pStyle w:val="Bullet1"/>
      </w:pPr>
      <w:r>
        <w:t>that w</w:t>
      </w:r>
      <w:r w:rsidR="00672013">
        <w:t>aste from isolation rooms must be sealed in a closed bag before moving to the waste storage area</w:t>
      </w:r>
      <w:r>
        <w:t>.</w:t>
      </w:r>
      <w:r w:rsidR="00672013">
        <w:t xml:space="preserve"> </w:t>
      </w:r>
      <w:r>
        <w:t>S</w:t>
      </w:r>
      <w:r w:rsidR="00672013">
        <w:t xml:space="preserve">taff should wear gloves and avoid contact between waste and clothing. </w:t>
      </w:r>
    </w:p>
    <w:p w14:paraId="3DE7B78F" w14:textId="52E32BD2" w:rsidR="003378EF" w:rsidRPr="00FA461D" w:rsidRDefault="003378EF" w:rsidP="00FA461D">
      <w:pPr>
        <w:pStyle w:val="Heading2"/>
        <w:rPr>
          <w:color w:val="1F497D" w:themeColor="text2"/>
        </w:rPr>
      </w:pPr>
      <w:bookmarkStart w:id="94" w:name="_Toc229644794"/>
      <w:r w:rsidRPr="00FA461D">
        <w:rPr>
          <w:color w:val="1F497D" w:themeColor="text2"/>
        </w:rPr>
        <w:t>Stock</w:t>
      </w:r>
      <w:bookmarkEnd w:id="94"/>
      <w:r>
        <w:rPr>
          <w:color w:val="1F497D" w:themeColor="text2"/>
        </w:rPr>
        <w:t xml:space="preserve"> </w:t>
      </w:r>
    </w:p>
    <w:p w14:paraId="3F2D662E" w14:textId="67B6454E" w:rsidR="00CC508B" w:rsidRDefault="003378EF" w:rsidP="001F5C07">
      <w:pPr>
        <w:pStyle w:val="Body"/>
      </w:pPr>
      <w:r>
        <w:t xml:space="preserve">Monitor </w:t>
      </w:r>
      <w:r w:rsidR="00F004E4">
        <w:t xml:space="preserve">and maintain </w:t>
      </w:r>
      <w:r>
        <w:t>supplies</w:t>
      </w:r>
      <w:r w:rsidR="00F429A8">
        <w:t xml:space="preserve">, </w:t>
      </w:r>
      <w:r w:rsidR="00505F84">
        <w:t>ensur</w:t>
      </w:r>
      <w:r w:rsidR="00F429A8">
        <w:t>ing</w:t>
      </w:r>
      <w:r w:rsidR="00505F84">
        <w:t xml:space="preserve"> coverage for weekends and public holidays</w:t>
      </w:r>
      <w:r w:rsidR="009F328D">
        <w:t xml:space="preserve">, </w:t>
      </w:r>
      <w:r w:rsidR="007C7278">
        <w:t xml:space="preserve">and </w:t>
      </w:r>
      <w:r w:rsidR="0020202C">
        <w:t>implement</w:t>
      </w:r>
      <w:r w:rsidR="007C7278">
        <w:t xml:space="preserve"> </w:t>
      </w:r>
      <w:r w:rsidR="00A57484">
        <w:t xml:space="preserve">rapid replenishment arrangements </w:t>
      </w:r>
      <w:r w:rsidR="0020202C">
        <w:t>for</w:t>
      </w:r>
      <w:r w:rsidR="009F328D">
        <w:t>:</w:t>
      </w:r>
    </w:p>
    <w:p w14:paraId="7708A792" w14:textId="4B7B0902" w:rsidR="00747B4D" w:rsidRDefault="005F39F4" w:rsidP="001F5C07">
      <w:pPr>
        <w:pStyle w:val="Bullet1"/>
      </w:pPr>
      <w:r>
        <w:t>PPE</w:t>
      </w:r>
      <w:r w:rsidR="000F54B2">
        <w:t xml:space="preserve"> </w:t>
      </w:r>
      <w:r w:rsidR="00F3639C">
        <w:t>(</w:t>
      </w:r>
      <w:r w:rsidR="0070605B">
        <w:t xml:space="preserve">such as </w:t>
      </w:r>
      <w:r w:rsidR="004679BC">
        <w:t>m</w:t>
      </w:r>
      <w:r w:rsidR="003378EF">
        <w:t>asks, gowns, gloves</w:t>
      </w:r>
      <w:r w:rsidR="0070605B">
        <w:t xml:space="preserve"> and</w:t>
      </w:r>
      <w:r w:rsidR="00F004E4">
        <w:t xml:space="preserve"> </w:t>
      </w:r>
      <w:r w:rsidR="003378EF">
        <w:t>protective eyewear</w:t>
      </w:r>
      <w:r w:rsidR="00F3639C">
        <w:t>)</w:t>
      </w:r>
    </w:p>
    <w:p w14:paraId="6C0F95F4" w14:textId="4A15687E" w:rsidR="00747B4D" w:rsidRDefault="004679BC" w:rsidP="001F5C07">
      <w:pPr>
        <w:pStyle w:val="Bullet1"/>
      </w:pPr>
      <w:r>
        <w:t>h</w:t>
      </w:r>
      <w:r w:rsidR="00091C5C">
        <w:t xml:space="preserve">and hygiene and respiratory hygiene </w:t>
      </w:r>
      <w:r w:rsidR="009F328D">
        <w:t>items</w:t>
      </w:r>
      <w:r w:rsidR="00FA227E">
        <w:t xml:space="preserve"> (</w:t>
      </w:r>
      <w:r w:rsidR="0070605B">
        <w:t>such as</w:t>
      </w:r>
      <w:r w:rsidR="003B3318">
        <w:t xml:space="preserve"> </w:t>
      </w:r>
      <w:r w:rsidR="00091C5C">
        <w:t>alcohol-based hand rub, soap, paper towels and tissues</w:t>
      </w:r>
      <w:r w:rsidR="00FA227E">
        <w:t>)</w:t>
      </w:r>
    </w:p>
    <w:p w14:paraId="385B1AFD" w14:textId="070D22AC" w:rsidR="00747B4D" w:rsidRDefault="004679BC" w:rsidP="001F5C07">
      <w:pPr>
        <w:pStyle w:val="Bullet1"/>
      </w:pPr>
      <w:r>
        <w:t>c</w:t>
      </w:r>
      <w:r w:rsidR="003378EF">
        <w:t>leaning</w:t>
      </w:r>
      <w:r w:rsidR="00607CDF">
        <w:t>, disinfection</w:t>
      </w:r>
      <w:r w:rsidR="002C04BB">
        <w:t xml:space="preserve"> </w:t>
      </w:r>
      <w:r w:rsidR="003378EF">
        <w:t>and waste management</w:t>
      </w:r>
      <w:r w:rsidR="0025749F" w:rsidRPr="0025749F">
        <w:t xml:space="preserve"> </w:t>
      </w:r>
      <w:r w:rsidR="004D5816">
        <w:t>items</w:t>
      </w:r>
    </w:p>
    <w:p w14:paraId="02CBD657" w14:textId="71D88F0A" w:rsidR="003378EF" w:rsidRDefault="004F49F7" w:rsidP="00761C77">
      <w:pPr>
        <w:pStyle w:val="Bullet1"/>
      </w:pPr>
      <w:r>
        <w:t>RATs</w:t>
      </w:r>
      <w:r w:rsidR="00434C91">
        <w:t>,</w:t>
      </w:r>
      <w:r w:rsidR="00186C72">
        <w:t xml:space="preserve"> </w:t>
      </w:r>
      <w:r w:rsidR="0074003D">
        <w:t xml:space="preserve">including </w:t>
      </w:r>
      <w:r w:rsidR="0025749F">
        <w:t>regular</w:t>
      </w:r>
      <w:r w:rsidR="0074003D">
        <w:t xml:space="preserve"> checks</w:t>
      </w:r>
      <w:r w:rsidR="00231C64">
        <w:t xml:space="preserve"> of expiry dates.</w:t>
      </w:r>
    </w:p>
    <w:p w14:paraId="7FEDE9DB" w14:textId="7F411A76" w:rsidR="002A6BDA" w:rsidRDefault="002A6BDA" w:rsidP="00FA461D">
      <w:pPr>
        <w:pStyle w:val="Heading2"/>
      </w:pPr>
      <w:bookmarkStart w:id="95" w:name="_Toc229644795"/>
      <w:r w:rsidRPr="00027E09">
        <w:rPr>
          <w:color w:val="1F497D" w:themeColor="text2"/>
        </w:rPr>
        <w:t>Workforce planning</w:t>
      </w:r>
      <w:bookmarkEnd w:id="95"/>
    </w:p>
    <w:p w14:paraId="3813431C" w14:textId="325690A7" w:rsidR="007A5865" w:rsidRDefault="007A5865" w:rsidP="00FA461D">
      <w:pPr>
        <w:pStyle w:val="Body"/>
      </w:pPr>
      <w:r>
        <w:t>Planning for staff con</w:t>
      </w:r>
      <w:r w:rsidR="00AE7B8B">
        <w:t xml:space="preserve">tingencies </w:t>
      </w:r>
      <w:r w:rsidR="00B65253">
        <w:t>ensures the facility can maintain safe operations during an outbreak</w:t>
      </w:r>
      <w:r w:rsidR="0070605B">
        <w:t>, including:</w:t>
      </w:r>
    </w:p>
    <w:p w14:paraId="653164B4" w14:textId="035C4F3C" w:rsidR="002A6BDA" w:rsidRDefault="0070605B" w:rsidP="004D39D2">
      <w:pPr>
        <w:pStyle w:val="Bullet1"/>
      </w:pPr>
      <w:r>
        <w:t>m</w:t>
      </w:r>
      <w:r w:rsidR="00643ABF">
        <w:t>aintain</w:t>
      </w:r>
      <w:r>
        <w:t>ing</w:t>
      </w:r>
      <w:r w:rsidR="00643ABF">
        <w:t xml:space="preserve"> </w:t>
      </w:r>
      <w:r w:rsidR="002A6BDA">
        <w:t>a contingency plan to cover</w:t>
      </w:r>
      <w:r w:rsidR="00336930">
        <w:t xml:space="preserve"> 20</w:t>
      </w:r>
      <w:r>
        <w:t>–</w:t>
      </w:r>
      <w:r w:rsidR="00336930">
        <w:t>50</w:t>
      </w:r>
      <w:r w:rsidR="00981658">
        <w:t>%</w:t>
      </w:r>
      <w:r w:rsidR="002A6BDA">
        <w:t xml:space="preserve"> staff absenteeism</w:t>
      </w:r>
      <w:r w:rsidR="00336930">
        <w:t xml:space="preserve"> </w:t>
      </w:r>
      <w:r w:rsidR="002A6BDA">
        <w:t xml:space="preserve">during outbreaks, </w:t>
      </w:r>
      <w:r w:rsidR="00336930">
        <w:t>across</w:t>
      </w:r>
      <w:r w:rsidR="002A6BDA">
        <w:t xml:space="preserve"> all occupation types</w:t>
      </w:r>
    </w:p>
    <w:p w14:paraId="6891D312" w14:textId="79C731EC" w:rsidR="002A6BDA" w:rsidRDefault="002A7C67" w:rsidP="004D39D2">
      <w:pPr>
        <w:pStyle w:val="Bullet1"/>
      </w:pPr>
      <w:r>
        <w:t xml:space="preserve">dividing </w:t>
      </w:r>
      <w:r w:rsidR="00850AF5">
        <w:t>or zon</w:t>
      </w:r>
      <w:r w:rsidR="0070605B">
        <w:t>ing</w:t>
      </w:r>
      <w:r w:rsidR="002A6BDA">
        <w:t xml:space="preserve"> staff to reduce cross-exposure and </w:t>
      </w:r>
      <w:r w:rsidR="00850AF5">
        <w:t>limit</w:t>
      </w:r>
      <w:r>
        <w:t>ing</w:t>
      </w:r>
      <w:r w:rsidR="00850AF5">
        <w:t xml:space="preserve"> work</w:t>
      </w:r>
      <w:r w:rsidR="002A6BDA">
        <w:t xml:space="preserve"> across multiple sites or non-public</w:t>
      </w:r>
      <w:r w:rsidR="006E2E8E">
        <w:t>-</w:t>
      </w:r>
      <w:r w:rsidR="002A6BDA">
        <w:t>facing roles</w:t>
      </w:r>
    </w:p>
    <w:p w14:paraId="6F8C995F" w14:textId="69D3283D" w:rsidR="002A6BDA" w:rsidRDefault="002A7C67" w:rsidP="004D39D2">
      <w:pPr>
        <w:pStyle w:val="Bullet1"/>
      </w:pPr>
      <w:r>
        <w:t>c</w:t>
      </w:r>
      <w:r w:rsidR="002A6BDA">
        <w:t>onsider</w:t>
      </w:r>
      <w:r>
        <w:t>ing</w:t>
      </w:r>
      <w:r w:rsidR="002A6BDA">
        <w:t xml:space="preserve"> seasonal peaks, such as winter</w:t>
      </w:r>
      <w:r w:rsidR="005E5343">
        <w:t>,</w:t>
      </w:r>
      <w:r w:rsidR="002A6BDA">
        <w:t xml:space="preserve"> when planning staff leave.</w:t>
      </w:r>
    </w:p>
    <w:p w14:paraId="740A2E8D" w14:textId="77777777" w:rsidR="001B55CF" w:rsidRDefault="001B55CF">
      <w:pPr>
        <w:spacing w:after="0" w:line="240" w:lineRule="auto"/>
        <w:rPr>
          <w:b/>
          <w:color w:val="1F497D" w:themeColor="text2"/>
          <w:sz w:val="32"/>
          <w:szCs w:val="28"/>
        </w:rPr>
      </w:pPr>
      <w:r>
        <w:rPr>
          <w:color w:val="1F497D" w:themeColor="text2"/>
        </w:rPr>
        <w:br w:type="page"/>
      </w:r>
    </w:p>
    <w:p w14:paraId="1BEABE31" w14:textId="334187F9" w:rsidR="00BB38BC" w:rsidRDefault="00BB38BC" w:rsidP="00027E09">
      <w:pPr>
        <w:pStyle w:val="Heading2"/>
        <w:rPr>
          <w:color w:val="1F497D" w:themeColor="text2"/>
        </w:rPr>
      </w:pPr>
      <w:bookmarkStart w:id="96" w:name="_Toc229644796"/>
      <w:r w:rsidRPr="00027E09">
        <w:rPr>
          <w:color w:val="1F497D" w:themeColor="text2"/>
        </w:rPr>
        <w:lastRenderedPageBreak/>
        <w:t>Communication</w:t>
      </w:r>
      <w:bookmarkEnd w:id="96"/>
    </w:p>
    <w:p w14:paraId="6C7E7F58" w14:textId="0A806F1F" w:rsidR="00B65253" w:rsidRPr="00FA461D" w:rsidRDefault="00A03078" w:rsidP="00FA461D">
      <w:pPr>
        <w:pStyle w:val="Body"/>
      </w:pPr>
      <w:r>
        <w:t>Clear and timely</w:t>
      </w:r>
      <w:r w:rsidR="00751732">
        <w:t xml:space="preserve"> and </w:t>
      </w:r>
      <w:r w:rsidR="00B2674B">
        <w:t>appropriately tailored</w:t>
      </w:r>
      <w:r w:rsidR="00D52036">
        <w:t xml:space="preserve"> </w:t>
      </w:r>
      <w:r>
        <w:t xml:space="preserve">communication supports safe resident care, staff awareness and </w:t>
      </w:r>
      <w:r w:rsidR="00A74164">
        <w:t>visitor</w:t>
      </w:r>
      <w:r w:rsidR="00524573">
        <w:t xml:space="preserve"> </w:t>
      </w:r>
      <w:r>
        <w:t>engage</w:t>
      </w:r>
      <w:r w:rsidR="00A74164">
        <w:t>ment</w:t>
      </w:r>
      <w:r w:rsidR="00524573">
        <w:t xml:space="preserve"> during an outbreak</w:t>
      </w:r>
      <w:r w:rsidR="001B55CF">
        <w:t>, which includes to:</w:t>
      </w:r>
      <w:r w:rsidR="00524573">
        <w:t xml:space="preserve"> </w:t>
      </w:r>
    </w:p>
    <w:p w14:paraId="311CADFE" w14:textId="66AEF38D" w:rsidR="002E6D69" w:rsidRDefault="001B55CF" w:rsidP="00FA461D">
      <w:pPr>
        <w:pStyle w:val="Bullet1"/>
      </w:pPr>
      <w:r>
        <w:t>p</w:t>
      </w:r>
      <w:r w:rsidR="002E6D69">
        <w:t>repare and know where to access IPC signage</w:t>
      </w:r>
      <w:r w:rsidR="00A23F73">
        <w:t>, posters and other information sources for outbreak situations</w:t>
      </w:r>
    </w:p>
    <w:p w14:paraId="1A6F5369" w14:textId="1C807708" w:rsidR="00AC6481" w:rsidRDefault="001B55CF" w:rsidP="00FA461D">
      <w:pPr>
        <w:pStyle w:val="Bullet1"/>
      </w:pPr>
      <w:r>
        <w:t>b</w:t>
      </w:r>
      <w:r w:rsidR="00AC6481" w:rsidRPr="00AC6481">
        <w:t>efore winter, share annual pre</w:t>
      </w:r>
      <w:r w:rsidR="00AC6481" w:rsidRPr="00AC6481">
        <w:noBreakHyphen/>
        <w:t>season factsheets</w:t>
      </w:r>
      <w:r w:rsidR="00D87D84">
        <w:t xml:space="preserve"> and communicate with residents, staff, clinicians, NOK and visitors</w:t>
      </w:r>
      <w:r w:rsidR="00AC6481" w:rsidRPr="00AC6481">
        <w:t xml:space="preserve"> to reduce respiratory infection risk</w:t>
      </w:r>
    </w:p>
    <w:p w14:paraId="616FCE6E" w14:textId="6524FF87" w:rsidR="00BB38BC" w:rsidRDefault="001B55CF" w:rsidP="00FA461D">
      <w:pPr>
        <w:pStyle w:val="Bullet1"/>
      </w:pPr>
      <w:r>
        <w:t>d</w:t>
      </w:r>
      <w:r w:rsidR="00BB38BC">
        <w:t xml:space="preserve">evelop a communication plan </w:t>
      </w:r>
      <w:r w:rsidR="007A7F61">
        <w:t xml:space="preserve">for outbreaks </w:t>
      </w:r>
      <w:r w:rsidR="00BB38BC">
        <w:t xml:space="preserve">to ensure regular </w:t>
      </w:r>
      <w:r w:rsidR="007A7F61">
        <w:t>updates to</w:t>
      </w:r>
      <w:r w:rsidR="00BB38BC">
        <w:t xml:space="preserve"> staff, residents, </w:t>
      </w:r>
      <w:r w:rsidR="00A64C27">
        <w:t>clinicians,</w:t>
      </w:r>
      <w:r w:rsidR="00BB38BC">
        <w:t xml:space="preserve"> NOK and visitors</w:t>
      </w:r>
      <w:r>
        <w:t>, which should</w:t>
      </w:r>
      <w:r w:rsidR="00BB38BC">
        <w:t xml:space="preserve"> includ</w:t>
      </w:r>
      <w:r w:rsidR="00F5615D">
        <w:t>e</w:t>
      </w:r>
      <w:r w:rsidR="00BB38BC">
        <w:t xml:space="preserve"> strategies to support residents</w:t>
      </w:r>
      <w:r w:rsidR="00F5615D">
        <w:t>’ social connection and reduce isolation</w:t>
      </w:r>
    </w:p>
    <w:p w14:paraId="194F49C6" w14:textId="5BEFD9F6" w:rsidR="00BB38BC" w:rsidRDefault="001B55CF" w:rsidP="00FA461D">
      <w:pPr>
        <w:pStyle w:val="Bullet1"/>
      </w:pPr>
      <w:r>
        <w:t>e</w:t>
      </w:r>
      <w:r w:rsidR="00BB38BC">
        <w:t xml:space="preserve">stablish </w:t>
      </w:r>
      <w:r w:rsidR="00F5615D">
        <w:t>a rapid communication process for</w:t>
      </w:r>
      <w:r w:rsidR="00BB38BC">
        <w:t xml:space="preserve"> situational changes to all staff </w:t>
      </w:r>
      <w:r w:rsidR="00475978">
        <w:t>during</w:t>
      </w:r>
      <w:r w:rsidR="00BB38BC">
        <w:t xml:space="preserve"> shifts</w:t>
      </w:r>
    </w:p>
    <w:p w14:paraId="11CDF56B" w14:textId="1B898D1C" w:rsidR="00BB38BC" w:rsidRDefault="001B55CF" w:rsidP="00FA461D">
      <w:pPr>
        <w:pStyle w:val="Bullet1"/>
      </w:pPr>
      <w:r>
        <w:t>e</w:t>
      </w:r>
      <w:r w:rsidR="00BB38BC">
        <w:t xml:space="preserve">ngage residents and their </w:t>
      </w:r>
      <w:r w:rsidR="00011AFE">
        <w:t>NOK</w:t>
      </w:r>
      <w:r w:rsidR="00BB38BC">
        <w:t xml:space="preserve"> in key decisions before an outbreak, including:</w:t>
      </w:r>
    </w:p>
    <w:p w14:paraId="254CBE19" w14:textId="4FC0E9D9" w:rsidR="00BB38BC" w:rsidRDefault="00C25DF5" w:rsidP="00FA461D">
      <w:pPr>
        <w:pStyle w:val="Bullet2"/>
      </w:pPr>
      <w:r>
        <w:t>q</w:t>
      </w:r>
      <w:r w:rsidR="00F53CCA">
        <w:t>uarantine preferences</w:t>
      </w:r>
    </w:p>
    <w:p w14:paraId="0C258FB7" w14:textId="1645C3DA" w:rsidR="00BB38BC" w:rsidRDefault="00C25DF5" w:rsidP="00FA461D">
      <w:pPr>
        <w:pStyle w:val="Bullet2"/>
      </w:pPr>
      <w:r>
        <w:t>t</w:t>
      </w:r>
      <w:r w:rsidR="00BB38BC">
        <w:t>emporary relocation (</w:t>
      </w:r>
      <w:r w:rsidR="00F53CCA">
        <w:t>i</w:t>
      </w:r>
      <w:r w:rsidR="00BB38BC">
        <w:t>f appropriate and consented to)</w:t>
      </w:r>
    </w:p>
    <w:p w14:paraId="18070FAA" w14:textId="06F71D61" w:rsidR="00BB38BC" w:rsidRDefault="00C25DF5" w:rsidP="00FA461D">
      <w:pPr>
        <w:pStyle w:val="Bullet2"/>
      </w:pPr>
      <w:r>
        <w:t>i</w:t>
      </w:r>
      <w:r w:rsidR="00BB38BC">
        <w:t>dentif</w:t>
      </w:r>
      <w:r w:rsidR="00AB45CC">
        <w:t>ication of</w:t>
      </w:r>
      <w:r w:rsidR="00BB38BC">
        <w:t xml:space="preserve"> nominated essential visitors</w:t>
      </w:r>
    </w:p>
    <w:p w14:paraId="61F0985D" w14:textId="08A92312" w:rsidR="00BB38BC" w:rsidRDefault="001B55CF" w:rsidP="00FA461D">
      <w:pPr>
        <w:pStyle w:val="Bullet1"/>
      </w:pPr>
      <w:r>
        <w:t>e</w:t>
      </w:r>
      <w:r w:rsidR="00BB38BC">
        <w:t>nsure</w:t>
      </w:r>
      <w:r w:rsidR="00E62D4B">
        <w:t xml:space="preserve"> residents’</w:t>
      </w:r>
      <w:r w:rsidR="00BB38BC">
        <w:t xml:space="preserve"> care plans are up to date and in</w:t>
      </w:r>
      <w:r w:rsidR="00E62D4B">
        <w:t>corporate</w:t>
      </w:r>
      <w:r w:rsidR="00BB38BC">
        <w:t xml:space="preserve"> outbreak considerations</w:t>
      </w:r>
    </w:p>
    <w:p w14:paraId="2A3C87BD" w14:textId="047AD0F4" w:rsidR="00D26EB8" w:rsidRDefault="001B55CF" w:rsidP="00D26EB8">
      <w:pPr>
        <w:pStyle w:val="Bullet1"/>
      </w:pPr>
      <w:r>
        <w:t>e</w:t>
      </w:r>
      <w:r w:rsidR="00170E7F" w:rsidRPr="00170E7F">
        <w:t>nsure staff</w:t>
      </w:r>
      <w:r w:rsidR="00872650">
        <w:t xml:space="preserve"> </w:t>
      </w:r>
      <w:r w:rsidR="00170E7F" w:rsidRPr="00170E7F">
        <w:t xml:space="preserve">monitor for respiratory symptoms, report and test if unwell, and </w:t>
      </w:r>
      <w:r w:rsidR="001C1F0B">
        <w:t xml:space="preserve">do </w:t>
      </w:r>
      <w:r w:rsidR="00170E7F" w:rsidRPr="00170E7F">
        <w:t xml:space="preserve">not enter the facility </w:t>
      </w:r>
      <w:r w:rsidR="00E62D4B">
        <w:t>if</w:t>
      </w:r>
      <w:r w:rsidR="00170E7F" w:rsidRPr="00170E7F">
        <w:t xml:space="preserve"> symptomatic</w:t>
      </w:r>
    </w:p>
    <w:p w14:paraId="4436577B" w14:textId="2AB923D5" w:rsidR="00BB38BC" w:rsidRDefault="001B55CF" w:rsidP="00FA461D">
      <w:pPr>
        <w:pStyle w:val="Bullet1"/>
      </w:pPr>
      <w:r>
        <w:t>e</w:t>
      </w:r>
      <w:r w:rsidR="00BB38BC">
        <w:t xml:space="preserve">nsure staff know how to identify and report outbreaks to </w:t>
      </w:r>
      <w:r w:rsidR="001A468D">
        <w:t xml:space="preserve">the </w:t>
      </w:r>
      <w:r w:rsidR="00BB38BC">
        <w:t>LPHU</w:t>
      </w:r>
    </w:p>
    <w:p w14:paraId="73C6EDEF" w14:textId="0C3D85E5" w:rsidR="00BB38BC" w:rsidRDefault="001B55CF" w:rsidP="00FA461D">
      <w:pPr>
        <w:pStyle w:val="Bullet1"/>
      </w:pPr>
      <w:r>
        <w:t>p</w:t>
      </w:r>
      <w:r w:rsidR="0022546A">
        <w:t>repare communication resources</w:t>
      </w:r>
      <w:r w:rsidR="00780DC1">
        <w:t xml:space="preserve"> in advance (</w:t>
      </w:r>
      <w:r w:rsidR="003B3318">
        <w:t xml:space="preserve">for example, </w:t>
      </w:r>
      <w:r w:rsidR="000B453E">
        <w:t>letter templates</w:t>
      </w:r>
      <w:r w:rsidR="00B90984">
        <w:t>)</w:t>
      </w:r>
      <w:r w:rsidR="00A92663">
        <w:t xml:space="preserve"> that </w:t>
      </w:r>
      <w:r w:rsidR="0079681A">
        <w:t>may be needed during an outbreak</w:t>
      </w:r>
    </w:p>
    <w:p w14:paraId="31A2EB60" w14:textId="3BC98AD5" w:rsidR="00BB38BC" w:rsidRDefault="001B55CF" w:rsidP="00FA461D">
      <w:pPr>
        <w:pStyle w:val="Bullet1"/>
      </w:pPr>
      <w:r>
        <w:t>p</w:t>
      </w:r>
      <w:r w:rsidR="00BB38BC">
        <w:t xml:space="preserve">lan tailored communication for residents with cognitive or language barriers, using </w:t>
      </w:r>
      <w:r w:rsidR="00BB38BC" w:rsidRPr="00CE128E">
        <w:t xml:space="preserve">Easy Read or </w:t>
      </w:r>
      <w:r w:rsidR="000F6090">
        <w:t>s</w:t>
      </w:r>
      <w:r w:rsidR="00BB38BC" w:rsidRPr="00CE128E">
        <w:t>tory-based resources as needed</w:t>
      </w:r>
    </w:p>
    <w:p w14:paraId="522C9DF6" w14:textId="50884E98" w:rsidR="00BB38BC" w:rsidRDefault="001B55CF" w:rsidP="00FA461D">
      <w:pPr>
        <w:pStyle w:val="Bullet1"/>
      </w:pPr>
      <w:r>
        <w:t>p</w:t>
      </w:r>
      <w:r w:rsidR="00BB38BC">
        <w:t xml:space="preserve">lan how </w:t>
      </w:r>
      <w:r w:rsidR="000F6090">
        <w:t xml:space="preserve">residents’ families will be supported to maintain </w:t>
      </w:r>
      <w:r w:rsidR="00BB38BC">
        <w:t>communication and social connection during an outbreak</w:t>
      </w:r>
    </w:p>
    <w:p w14:paraId="14B4C947" w14:textId="183C0153" w:rsidR="00BB38BC" w:rsidRDefault="001B55CF" w:rsidP="00FA461D">
      <w:pPr>
        <w:pStyle w:val="Bullet1"/>
      </w:pPr>
      <w:r>
        <w:t>c</w:t>
      </w:r>
      <w:r w:rsidR="00BB38BC">
        <w:t xml:space="preserve">onsider </w:t>
      </w:r>
      <w:r w:rsidR="00120F74">
        <w:t xml:space="preserve">processes for managing </w:t>
      </w:r>
      <w:r w:rsidR="00BB38BC">
        <w:t>media enquiries.</w:t>
      </w:r>
    </w:p>
    <w:p w14:paraId="69B1881D" w14:textId="77777777" w:rsidR="00704B52" w:rsidRDefault="00704B52" w:rsidP="00027E09">
      <w:pPr>
        <w:pStyle w:val="Heading2"/>
        <w:rPr>
          <w:color w:val="1F497D" w:themeColor="text2"/>
        </w:rPr>
      </w:pPr>
      <w:bookmarkStart w:id="97" w:name="_Toc229644797"/>
      <w:r w:rsidRPr="00027E09">
        <w:rPr>
          <w:color w:val="1F497D" w:themeColor="text2"/>
        </w:rPr>
        <w:t>Visitors</w:t>
      </w:r>
      <w:bookmarkEnd w:id="97"/>
      <w:r w:rsidRPr="00027E09">
        <w:rPr>
          <w:color w:val="1F497D" w:themeColor="text2"/>
        </w:rPr>
        <w:t xml:space="preserve"> </w:t>
      </w:r>
    </w:p>
    <w:p w14:paraId="615EC018" w14:textId="6490CEC9" w:rsidR="00524573" w:rsidRPr="00FA461D" w:rsidRDefault="00001E4E" w:rsidP="00FA461D">
      <w:pPr>
        <w:pStyle w:val="Body"/>
      </w:pPr>
      <w:r>
        <w:t xml:space="preserve">Managing visitor access and precautions helps reduce the risk of </w:t>
      </w:r>
      <w:r w:rsidR="00577CD9">
        <w:t xml:space="preserve">infections </w:t>
      </w:r>
      <w:r w:rsidR="00373919">
        <w:t xml:space="preserve">spreading </w:t>
      </w:r>
      <w:r w:rsidR="00577CD9">
        <w:t xml:space="preserve">in the facility. </w:t>
      </w:r>
      <w:r w:rsidR="00636506">
        <w:t>This includes that:</w:t>
      </w:r>
    </w:p>
    <w:p w14:paraId="39AF3BC3" w14:textId="510B9A67" w:rsidR="00704B52" w:rsidRDefault="00636506" w:rsidP="004D39D2">
      <w:pPr>
        <w:pStyle w:val="Bullet1"/>
      </w:pPr>
      <w:r>
        <w:t>v</w:t>
      </w:r>
      <w:r w:rsidR="00704B52">
        <w:t xml:space="preserve">isitors should not visit if they: </w:t>
      </w:r>
    </w:p>
    <w:p w14:paraId="129486DA" w14:textId="10F65178" w:rsidR="00704B52" w:rsidRDefault="009447D8" w:rsidP="00FA461D">
      <w:pPr>
        <w:pStyle w:val="Bullet2"/>
      </w:pPr>
      <w:r>
        <w:t>h</w:t>
      </w:r>
      <w:r w:rsidR="00704B52">
        <w:t>ave been diagnosed with COVID-19 in the past seven days</w:t>
      </w:r>
    </w:p>
    <w:p w14:paraId="670618F5" w14:textId="1D8FAE25" w:rsidR="00704B52" w:rsidRDefault="009447D8" w:rsidP="00FA461D">
      <w:pPr>
        <w:pStyle w:val="Bullet2"/>
      </w:pPr>
      <w:r>
        <w:t>h</w:t>
      </w:r>
      <w:r w:rsidR="00704B52">
        <w:t>ave been diagnosed with influenza in the past five days</w:t>
      </w:r>
    </w:p>
    <w:p w14:paraId="265F51FE" w14:textId="452F45AC" w:rsidR="00704B52" w:rsidRDefault="009447D8" w:rsidP="00FA461D">
      <w:pPr>
        <w:pStyle w:val="Bullet2"/>
      </w:pPr>
      <w:r>
        <w:t>h</w:t>
      </w:r>
      <w:r w:rsidR="00704B52">
        <w:t>ave symptoms of an ARI</w:t>
      </w:r>
    </w:p>
    <w:p w14:paraId="31D93C4A" w14:textId="67234C7F" w:rsidR="00704B52" w:rsidRDefault="00636506" w:rsidP="004D39D2">
      <w:pPr>
        <w:pStyle w:val="Bullet1"/>
      </w:pPr>
      <w:r>
        <w:t>v</w:t>
      </w:r>
      <w:r w:rsidR="00704B52">
        <w:t>isitors meeting the above criteria may be allowed to visit a resident in exceptional circumstances</w:t>
      </w:r>
      <w:r w:rsidR="00FB72D3">
        <w:t xml:space="preserve"> (</w:t>
      </w:r>
      <w:r w:rsidR="003B3318">
        <w:t xml:space="preserve">for example, </w:t>
      </w:r>
      <w:r w:rsidR="00704B52">
        <w:t>end-of life visits</w:t>
      </w:r>
      <w:r w:rsidR="00FB72D3">
        <w:t>)</w:t>
      </w:r>
      <w:r w:rsidR="00704B52">
        <w:t xml:space="preserve"> with strict precautions</w:t>
      </w:r>
      <w:r>
        <w:t>, such as</w:t>
      </w:r>
      <w:r w:rsidR="00704B52">
        <w:t>:</w:t>
      </w:r>
    </w:p>
    <w:p w14:paraId="75EAB381" w14:textId="02056BC7" w:rsidR="00704B52" w:rsidRDefault="00E723DC" w:rsidP="00FA461D">
      <w:pPr>
        <w:pStyle w:val="Bullet2"/>
      </w:pPr>
      <w:r>
        <w:t>w</w:t>
      </w:r>
      <w:r w:rsidR="00704B52">
        <w:t>ear</w:t>
      </w:r>
      <w:r w:rsidR="00636506">
        <w:t>ing</w:t>
      </w:r>
      <w:r w:rsidR="00704B52">
        <w:t xml:space="preserve"> a mask (preferably P2/N95 respirator)</w:t>
      </w:r>
    </w:p>
    <w:p w14:paraId="47F546C9" w14:textId="503A8013" w:rsidR="00704B52" w:rsidRDefault="00E723DC" w:rsidP="00FA461D">
      <w:pPr>
        <w:pStyle w:val="Bullet2"/>
      </w:pPr>
      <w:r>
        <w:t>a</w:t>
      </w:r>
      <w:r w:rsidR="00704B52">
        <w:t>void</w:t>
      </w:r>
      <w:r w:rsidR="00636506">
        <w:t>ing</w:t>
      </w:r>
      <w:r w:rsidR="00704B52">
        <w:t xml:space="preserve"> indoor communal areas</w:t>
      </w:r>
    </w:p>
    <w:p w14:paraId="37F1E71E" w14:textId="0E9F2C15" w:rsidR="00EB32F8" w:rsidRDefault="00636506" w:rsidP="00BA02E2">
      <w:pPr>
        <w:pStyle w:val="Bullet1"/>
      </w:pPr>
      <w:r>
        <w:t>v</w:t>
      </w:r>
      <w:r w:rsidR="00EB32F8">
        <w:t>isitors who have had known contact with a person who has COVID-19 in the previous seven days should</w:t>
      </w:r>
      <w:r w:rsidR="009B44B7">
        <w:t xml:space="preserve"> not visit</w:t>
      </w:r>
      <w:r w:rsidR="00911100">
        <w:t>.</w:t>
      </w:r>
      <w:r w:rsidR="005E098F">
        <w:t xml:space="preserve"> </w:t>
      </w:r>
      <w:r w:rsidR="00911100">
        <w:t>If</w:t>
      </w:r>
      <w:r w:rsidR="00F85375">
        <w:t xml:space="preserve"> attendance is essential (</w:t>
      </w:r>
      <w:r w:rsidR="003B3318">
        <w:t xml:space="preserve">for example, </w:t>
      </w:r>
      <w:r w:rsidR="00F85375">
        <w:t>end-of-life visitation</w:t>
      </w:r>
      <w:r w:rsidR="00AD0768">
        <w:t xml:space="preserve"> or for resident</w:t>
      </w:r>
      <w:r w:rsidR="00806E5A">
        <w:t xml:space="preserve"> wellbeing), </w:t>
      </w:r>
      <w:r w:rsidR="004819BC">
        <w:t xml:space="preserve">they should </w:t>
      </w:r>
      <w:r w:rsidR="00AA57C7">
        <w:t xml:space="preserve">test negative on a RAT and wear a </w:t>
      </w:r>
      <w:r w:rsidR="00A96A09">
        <w:t>P2/N95 respirator</w:t>
      </w:r>
    </w:p>
    <w:p w14:paraId="27A96EA7" w14:textId="0B6AC899" w:rsidR="00704B52" w:rsidRDefault="00636506" w:rsidP="004D39D2">
      <w:pPr>
        <w:pStyle w:val="Bullet1"/>
      </w:pPr>
      <w:r>
        <w:t>v</w:t>
      </w:r>
      <w:r w:rsidR="00704B52">
        <w:t xml:space="preserve">isits for residents suspected or confirmed with an ARI should be </w:t>
      </w:r>
      <w:r w:rsidR="00112FD8">
        <w:t xml:space="preserve">provided with appropriate </w:t>
      </w:r>
      <w:r w:rsidR="0080287E">
        <w:t xml:space="preserve">PPE. </w:t>
      </w:r>
    </w:p>
    <w:p w14:paraId="6C1937E8" w14:textId="06AA27B4" w:rsidR="00EF38FC" w:rsidRDefault="00704B52" w:rsidP="00BA02E2">
      <w:pPr>
        <w:pStyle w:val="Bullet1"/>
      </w:pPr>
      <w:r w:rsidRPr="00EF38FC">
        <w:lastRenderedPageBreak/>
        <w:t xml:space="preserve">nominated essential visitors </w:t>
      </w:r>
      <w:r w:rsidR="00CF400E" w:rsidRPr="00EF38FC">
        <w:t xml:space="preserve">are provided with </w:t>
      </w:r>
      <w:r w:rsidRPr="00EF38FC">
        <w:t>basic IPC training</w:t>
      </w:r>
    </w:p>
    <w:p w14:paraId="762463CF" w14:textId="4BBEE41F" w:rsidR="00636506" w:rsidRPr="00EF38FC" w:rsidRDefault="00636506" w:rsidP="00BA02E2">
      <w:pPr>
        <w:pStyle w:val="Bullet1"/>
      </w:pPr>
      <w:r>
        <w:t xml:space="preserve">During </w:t>
      </w:r>
      <w:r w:rsidRPr="00EF38FC">
        <w:t>periods of high community transmission, consider additional measures</w:t>
      </w:r>
      <w:r>
        <w:t>,</w:t>
      </w:r>
      <w:r w:rsidRPr="00EF38FC">
        <w:t xml:space="preserve"> such as enhanced screening</w:t>
      </w:r>
      <w:r>
        <w:t>,</w:t>
      </w:r>
      <w:r w:rsidRPr="00EF38FC">
        <w:t xml:space="preserve"> to minimise the risk of introducing infection</w:t>
      </w:r>
      <w:r>
        <w:t>.</w:t>
      </w:r>
    </w:p>
    <w:p w14:paraId="4EC3BBB7" w14:textId="023E9B67" w:rsidR="00440766" w:rsidRPr="00F9103D" w:rsidRDefault="00440766" w:rsidP="00F9103D">
      <w:pPr>
        <w:pStyle w:val="Body"/>
        <w:rPr>
          <w:rStyle w:val="BodyChar"/>
        </w:rPr>
      </w:pPr>
      <w:r w:rsidRPr="00F9103D">
        <w:br w:type="page"/>
      </w:r>
    </w:p>
    <w:p w14:paraId="317C8D17" w14:textId="06031342" w:rsidR="007C0BD8" w:rsidRPr="00027E09" w:rsidRDefault="007C0BD8" w:rsidP="00E376BE">
      <w:pPr>
        <w:pStyle w:val="Heading1"/>
        <w:numPr>
          <w:ilvl w:val="0"/>
          <w:numId w:val="12"/>
        </w:numPr>
        <w:rPr>
          <w:color w:val="1F497D" w:themeColor="text2"/>
        </w:rPr>
      </w:pPr>
      <w:bookmarkStart w:id="98" w:name="_Toc224660120"/>
      <w:bookmarkStart w:id="99" w:name="_Toc224660121"/>
      <w:bookmarkStart w:id="100" w:name="_Toc224660122"/>
      <w:bookmarkStart w:id="101" w:name="_Toc224660123"/>
      <w:bookmarkStart w:id="102" w:name="_Toc229644798"/>
      <w:bookmarkStart w:id="103" w:name="_Toc197948672"/>
      <w:bookmarkEnd w:id="98"/>
      <w:bookmarkEnd w:id="99"/>
      <w:bookmarkEnd w:id="100"/>
      <w:bookmarkEnd w:id="101"/>
      <w:r w:rsidRPr="00027E09">
        <w:rPr>
          <w:color w:val="1F497D" w:themeColor="text2"/>
        </w:rPr>
        <w:lastRenderedPageBreak/>
        <w:t>Detecting, testing and</w:t>
      </w:r>
      <w:r w:rsidR="00363964">
        <w:rPr>
          <w:color w:val="1F497D" w:themeColor="text2"/>
        </w:rPr>
        <w:t xml:space="preserve"> managing</w:t>
      </w:r>
      <w:r w:rsidR="00294650">
        <w:rPr>
          <w:color w:val="1F497D" w:themeColor="text2"/>
        </w:rPr>
        <w:t xml:space="preserve"> a resident with ARI symptoms</w:t>
      </w:r>
      <w:bookmarkEnd w:id="102"/>
      <w:r w:rsidRPr="00027E09">
        <w:rPr>
          <w:color w:val="1F497D" w:themeColor="text2"/>
        </w:rPr>
        <w:t xml:space="preserve"> </w:t>
      </w:r>
      <w:bookmarkEnd w:id="103"/>
    </w:p>
    <w:p w14:paraId="123D66C7" w14:textId="77777777" w:rsidR="007C0BD8" w:rsidRPr="00027E09" w:rsidRDefault="007C0BD8" w:rsidP="00027E09">
      <w:pPr>
        <w:pStyle w:val="Heading2"/>
        <w:rPr>
          <w:color w:val="1F497D" w:themeColor="text2"/>
        </w:rPr>
      </w:pPr>
      <w:bookmarkStart w:id="104" w:name="_Toc229644799"/>
      <w:r w:rsidRPr="00027E09">
        <w:rPr>
          <w:color w:val="1F497D" w:themeColor="text2"/>
        </w:rPr>
        <w:t>Surveillance and early detection</w:t>
      </w:r>
      <w:bookmarkEnd w:id="104"/>
    </w:p>
    <w:p w14:paraId="0A1A1B87" w14:textId="26761DF0" w:rsidR="007C0BD8" w:rsidRDefault="007C0BD8" w:rsidP="007C0BD8">
      <w:pPr>
        <w:pStyle w:val="Body"/>
      </w:pPr>
      <w:r>
        <w:t xml:space="preserve">Early detection of respiratory illnesses is essential for outbreak prevention and control. </w:t>
      </w:r>
      <w:r w:rsidR="006A25F6">
        <w:t>This requires that:</w:t>
      </w:r>
    </w:p>
    <w:p w14:paraId="269EB341" w14:textId="08977458" w:rsidR="007C0BD8" w:rsidRDefault="006A25F6" w:rsidP="007927B7">
      <w:pPr>
        <w:pStyle w:val="Bullet1"/>
      </w:pPr>
      <w:r>
        <w:t>r</w:t>
      </w:r>
      <w:r w:rsidR="007C0BD8">
        <w:t xml:space="preserve">esidents should be routinely monitored for </w:t>
      </w:r>
      <w:r w:rsidR="00A6710F">
        <w:t>symptoms of an</w:t>
      </w:r>
      <w:r w:rsidR="001173C5">
        <w:t xml:space="preserve"> </w:t>
      </w:r>
      <w:r w:rsidR="00A6710F">
        <w:t>ARI</w:t>
      </w:r>
    </w:p>
    <w:p w14:paraId="0758AB04" w14:textId="663E39E6" w:rsidR="00B04737" w:rsidRDefault="006A25F6" w:rsidP="00F9103D">
      <w:pPr>
        <w:pStyle w:val="Bullet1"/>
        <w:spacing w:after="240"/>
      </w:pPr>
      <w:r>
        <w:t>s</w:t>
      </w:r>
      <w:r w:rsidR="007C0BD8">
        <w:t>taff</w:t>
      </w:r>
      <w:r w:rsidR="007C0BD8" w:rsidRPr="00F764B6">
        <w:t xml:space="preserve"> should self-monitor for symptoms</w:t>
      </w:r>
      <w:r w:rsidR="008A3370">
        <w:t xml:space="preserve"> </w:t>
      </w:r>
      <w:r w:rsidR="007C0BD8">
        <w:t>and</w:t>
      </w:r>
      <w:r w:rsidR="00EA44A3">
        <w:t xml:space="preserve"> </w:t>
      </w:r>
      <w:r w:rsidR="00110EC9">
        <w:t>if</w:t>
      </w:r>
      <w:r w:rsidR="008A3370">
        <w:t xml:space="preserve"> symptoms develop, </w:t>
      </w:r>
      <w:r w:rsidR="00EA44A3">
        <w:t xml:space="preserve">not attend </w:t>
      </w:r>
      <w:r w:rsidR="00DC4DB4">
        <w:t xml:space="preserve">work </w:t>
      </w:r>
      <w:r w:rsidR="00346409">
        <w:t xml:space="preserve">until </w:t>
      </w:r>
      <w:r w:rsidR="008A3370">
        <w:t xml:space="preserve">their </w:t>
      </w:r>
      <w:r w:rsidR="009F0F6E">
        <w:t>acute symptoms have resolve</w:t>
      </w:r>
      <w:r w:rsidR="00D937C0">
        <w:t>d</w:t>
      </w:r>
      <w:r w:rsidR="00655021">
        <w:t xml:space="preserve"> and any recommended exclusion periods have </w:t>
      </w:r>
      <w:r w:rsidR="000407B2">
        <w:t>e</w:t>
      </w:r>
      <w:r w:rsidR="00655021">
        <w:t xml:space="preserve">lapsed </w:t>
      </w:r>
      <w:r w:rsidR="006B15A7">
        <w:t>(see</w:t>
      </w:r>
      <w:r>
        <w:t xml:space="preserve"> </w:t>
      </w:r>
      <w:hyperlink w:anchor="Staffreturntowork" w:history="1">
        <w:r w:rsidR="00745693">
          <w:rPr>
            <w:rStyle w:val="Hyperlink"/>
          </w:rPr>
          <w:t>Staff: return to work</w:t>
        </w:r>
      </w:hyperlink>
      <w:r w:rsidR="006B15A7">
        <w:t>)</w:t>
      </w:r>
      <w:r w:rsidR="00565E70">
        <w:t>.</w:t>
      </w:r>
      <w:r w:rsidR="007C0BD8" w:rsidRPr="00F764B6">
        <w:t xml:space="preserve"> </w:t>
      </w:r>
    </w:p>
    <w:tbl>
      <w:tblPr>
        <w:tblStyle w:val="TableGrid"/>
        <w:tblW w:w="0" w:type="auto"/>
        <w:tblBorders>
          <w:top w:val="single" w:sz="12" w:space="0" w:color="4F81BD"/>
          <w:left w:val="single" w:sz="12" w:space="0" w:color="4F81BD"/>
          <w:bottom w:val="single" w:sz="12" w:space="0" w:color="4F81BD"/>
          <w:right w:val="single" w:sz="12" w:space="0" w:color="4F81BD"/>
          <w:insideH w:val="none" w:sz="0" w:space="0" w:color="auto"/>
          <w:insideV w:val="none" w:sz="0" w:space="0" w:color="auto"/>
        </w:tblBorders>
        <w:tblLook w:val="04A0" w:firstRow="1" w:lastRow="0" w:firstColumn="1" w:lastColumn="0" w:noHBand="0" w:noVBand="1"/>
      </w:tblPr>
      <w:tblGrid>
        <w:gridCol w:w="9268"/>
      </w:tblGrid>
      <w:tr w:rsidR="00B04737" w14:paraId="1ED3E8EA" w14:textId="77777777" w:rsidTr="006C251F">
        <w:tc>
          <w:tcPr>
            <w:tcW w:w="9288" w:type="dxa"/>
          </w:tcPr>
          <w:p w14:paraId="5E5F7EF7" w14:textId="77777777" w:rsidR="006052B3" w:rsidRDefault="006052B3" w:rsidP="00F9103D">
            <w:pPr>
              <w:pStyle w:val="Tablecolhead"/>
            </w:pPr>
            <w:r>
              <w:t>ARI definition</w:t>
            </w:r>
          </w:p>
          <w:p w14:paraId="1C004384" w14:textId="7C401A52" w:rsidR="00B04737" w:rsidRPr="00B04737" w:rsidRDefault="00B04737" w:rsidP="00B04737">
            <w:pPr>
              <w:pStyle w:val="Tabletext"/>
              <w:rPr>
                <w:rFonts w:eastAsia="Arial"/>
              </w:rPr>
            </w:pPr>
            <w:r w:rsidRPr="00B04737">
              <w:rPr>
                <w:rFonts w:eastAsia="Arial"/>
              </w:rPr>
              <w:t>Recent onset of new or worsening acute respiratory symptoms: cough, breathing difficulty, sore throat, runny</w:t>
            </w:r>
            <w:r w:rsidR="00C46FE6">
              <w:rPr>
                <w:rFonts w:eastAsia="Arial"/>
              </w:rPr>
              <w:t xml:space="preserve"> or </w:t>
            </w:r>
            <w:r w:rsidR="0093728E">
              <w:rPr>
                <w:rFonts w:eastAsia="Arial"/>
              </w:rPr>
              <w:t xml:space="preserve">blocked </w:t>
            </w:r>
            <w:r w:rsidRPr="00B04737">
              <w:rPr>
                <w:rFonts w:eastAsia="Arial"/>
              </w:rPr>
              <w:t>nasal, with or without symptoms</w:t>
            </w:r>
            <w:r w:rsidR="00FF7D46">
              <w:rPr>
                <w:rFonts w:eastAsia="Arial"/>
              </w:rPr>
              <w:t xml:space="preserve"> that include</w:t>
            </w:r>
            <w:r w:rsidRPr="00B04737">
              <w:rPr>
                <w:rFonts w:eastAsia="Arial"/>
              </w:rPr>
              <w:t>:</w:t>
            </w:r>
          </w:p>
          <w:p w14:paraId="512AF2DF" w14:textId="7C572A16" w:rsidR="00B04737" w:rsidRPr="00675D6A" w:rsidRDefault="00FF7D46" w:rsidP="00E376BE">
            <w:pPr>
              <w:pStyle w:val="Bullet1"/>
              <w:numPr>
                <w:ilvl w:val="0"/>
                <w:numId w:val="9"/>
              </w:numPr>
              <w:spacing w:after="80"/>
              <w:rPr>
                <w:rFonts w:cs="Arial"/>
              </w:rPr>
            </w:pPr>
            <w:r>
              <w:rPr>
                <w:rFonts w:cs="Arial"/>
              </w:rPr>
              <w:t>h</w:t>
            </w:r>
            <w:r w:rsidR="00B04737" w:rsidRPr="00675D6A">
              <w:rPr>
                <w:rFonts w:cs="Arial"/>
              </w:rPr>
              <w:t>eadache, muscle aches</w:t>
            </w:r>
            <w:r w:rsidR="00C46FE6">
              <w:rPr>
                <w:rFonts w:cs="Arial"/>
              </w:rPr>
              <w:t xml:space="preserve"> or pains</w:t>
            </w:r>
            <w:r w:rsidR="00B04737" w:rsidRPr="00675D6A">
              <w:rPr>
                <w:rFonts w:cs="Arial"/>
              </w:rPr>
              <w:t xml:space="preserve">, </w:t>
            </w:r>
            <w:r w:rsidR="00C46FE6">
              <w:rPr>
                <w:rFonts w:cs="Arial"/>
              </w:rPr>
              <w:t>tiredness</w:t>
            </w:r>
            <w:r w:rsidR="00B04737" w:rsidRPr="00675D6A">
              <w:rPr>
                <w:rFonts w:cs="Arial"/>
              </w:rPr>
              <w:t xml:space="preserve">, </w:t>
            </w:r>
            <w:r w:rsidR="00B04737">
              <w:rPr>
                <w:rFonts w:cs="Arial"/>
              </w:rPr>
              <w:t xml:space="preserve">loss of appetite, </w:t>
            </w:r>
            <w:r w:rsidR="00B04737" w:rsidRPr="00675D6A">
              <w:rPr>
                <w:rFonts w:cs="Arial"/>
              </w:rPr>
              <w:t xml:space="preserve">nausea </w:t>
            </w:r>
            <w:r w:rsidR="00B04737">
              <w:rPr>
                <w:rFonts w:cs="Arial"/>
              </w:rPr>
              <w:t>or</w:t>
            </w:r>
            <w:r w:rsidR="00B04737" w:rsidRPr="00675D6A">
              <w:rPr>
                <w:rFonts w:cs="Arial"/>
              </w:rPr>
              <w:t xml:space="preserve"> vomiting, diarrhoea</w:t>
            </w:r>
            <w:r w:rsidR="0035620E">
              <w:rPr>
                <w:rFonts w:cs="Arial"/>
              </w:rPr>
              <w:t xml:space="preserve"> and</w:t>
            </w:r>
            <w:r w:rsidR="00B04737" w:rsidRPr="00675D6A">
              <w:rPr>
                <w:rFonts w:cs="Arial"/>
              </w:rPr>
              <w:t xml:space="preserve"> loss of smell </w:t>
            </w:r>
            <w:r w:rsidR="00C46FE6">
              <w:rPr>
                <w:rFonts w:cs="Arial"/>
              </w:rPr>
              <w:t>or</w:t>
            </w:r>
            <w:r w:rsidR="00B04737" w:rsidRPr="00675D6A">
              <w:rPr>
                <w:rFonts w:cs="Arial"/>
              </w:rPr>
              <w:t xml:space="preserve"> taste</w:t>
            </w:r>
            <w:r>
              <w:rPr>
                <w:rFonts w:cs="Arial"/>
              </w:rPr>
              <w:t>, which</w:t>
            </w:r>
            <w:r w:rsidR="00B04737">
              <w:rPr>
                <w:rFonts w:cs="Arial"/>
              </w:rPr>
              <w:t xml:space="preserve"> can occur with COVID-19</w:t>
            </w:r>
          </w:p>
          <w:p w14:paraId="77B43FA2" w14:textId="2141515E" w:rsidR="00B04737" w:rsidRPr="00675D6A" w:rsidRDefault="00FF7D46" w:rsidP="00E376BE">
            <w:pPr>
              <w:pStyle w:val="Bullet1"/>
              <w:numPr>
                <w:ilvl w:val="0"/>
                <w:numId w:val="9"/>
              </w:numPr>
              <w:spacing w:after="80"/>
              <w:rPr>
                <w:rFonts w:cs="Arial"/>
              </w:rPr>
            </w:pPr>
            <w:r>
              <w:rPr>
                <w:rFonts w:cs="Arial"/>
              </w:rPr>
              <w:t>f</w:t>
            </w:r>
            <w:r w:rsidR="00B04737" w:rsidRPr="00675D6A">
              <w:rPr>
                <w:rFonts w:cs="Arial"/>
              </w:rPr>
              <w:t xml:space="preserve">ever (≥37.5°C) </w:t>
            </w:r>
            <w:r>
              <w:rPr>
                <w:rFonts w:cs="Arial"/>
              </w:rPr>
              <w:t xml:space="preserve">that </w:t>
            </w:r>
            <w:r w:rsidR="00B04737" w:rsidRPr="00675D6A">
              <w:rPr>
                <w:rFonts w:cs="Arial"/>
              </w:rPr>
              <w:t>can occur</w:t>
            </w:r>
            <w:r>
              <w:rPr>
                <w:rFonts w:cs="Arial"/>
              </w:rPr>
              <w:t xml:space="preserve">, but is </w:t>
            </w:r>
            <w:r w:rsidR="00B04737" w:rsidRPr="00675D6A">
              <w:rPr>
                <w:rFonts w:cs="Arial"/>
              </w:rPr>
              <w:t>less common in the elderly</w:t>
            </w:r>
          </w:p>
          <w:p w14:paraId="42610399" w14:textId="61DB34F9" w:rsidR="00B04737" w:rsidRDefault="00B04737" w:rsidP="00F9103D">
            <w:pPr>
              <w:pStyle w:val="Tabletext"/>
            </w:pPr>
            <w:r w:rsidRPr="00675D6A">
              <w:t xml:space="preserve">In </w:t>
            </w:r>
            <w:r w:rsidR="004924B4">
              <w:t>older persons</w:t>
            </w:r>
            <w:r w:rsidRPr="00675D6A">
              <w:t>, other symptoms to consider include new onset or increase in confusion, change in baseline behaviour, falling or exacerbation of underlying illness</w:t>
            </w:r>
            <w:r>
              <w:t>.</w:t>
            </w:r>
          </w:p>
        </w:tc>
      </w:tr>
    </w:tbl>
    <w:p w14:paraId="481EEB6B" w14:textId="52E1FE7F" w:rsidR="007C0BD8" w:rsidRPr="00027E09" w:rsidRDefault="00A96BDE" w:rsidP="00027E09">
      <w:pPr>
        <w:pStyle w:val="Heading2"/>
        <w:rPr>
          <w:color w:val="1F497D" w:themeColor="text2"/>
        </w:rPr>
      </w:pPr>
      <w:bookmarkStart w:id="105" w:name="_Toc229644800"/>
      <w:r>
        <w:rPr>
          <w:color w:val="1F497D" w:themeColor="text2"/>
        </w:rPr>
        <w:t>Case management: i</w:t>
      </w:r>
      <w:r w:rsidR="007C0BD8" w:rsidRPr="00027E09">
        <w:rPr>
          <w:color w:val="1F497D" w:themeColor="text2"/>
        </w:rPr>
        <w:t>nitial actions when a resident develops symptoms</w:t>
      </w:r>
      <w:bookmarkEnd w:id="105"/>
    </w:p>
    <w:p w14:paraId="0EFF6E69" w14:textId="318C2CA5" w:rsidR="003D69EC" w:rsidRDefault="007C0BD8" w:rsidP="007C0BD8">
      <w:pPr>
        <w:pStyle w:val="Body"/>
      </w:pPr>
      <w:r>
        <w:t xml:space="preserve">When a resident develops symptoms of </w:t>
      </w:r>
      <w:r w:rsidR="000407B2">
        <w:t xml:space="preserve">an </w:t>
      </w:r>
      <w:r>
        <w:t xml:space="preserve">ARI, the initial actions </w:t>
      </w:r>
      <w:r w:rsidR="006052B3">
        <w:t xml:space="preserve">that </w:t>
      </w:r>
      <w:r>
        <w:t>should be undertaken</w:t>
      </w:r>
      <w:r w:rsidR="006052B3">
        <w:t xml:space="preserve"> are laid out below</w:t>
      </w:r>
      <w:r>
        <w:t>.</w:t>
      </w:r>
    </w:p>
    <w:p w14:paraId="653A49BA" w14:textId="3F736844" w:rsidR="007C0BD8" w:rsidRDefault="00D5166F" w:rsidP="007C0BD8">
      <w:pPr>
        <w:pStyle w:val="Body"/>
      </w:pPr>
      <w:r>
        <w:t>Recommendations and decisions around testing</w:t>
      </w:r>
      <w:r w:rsidR="00D1533B">
        <w:t>,</w:t>
      </w:r>
      <w:r>
        <w:t xml:space="preserve"> treatment </w:t>
      </w:r>
      <w:r w:rsidR="00D1533B">
        <w:t xml:space="preserve">and other management </w:t>
      </w:r>
      <w:r>
        <w:t>should be made in consultation with the resident</w:t>
      </w:r>
      <w:r w:rsidR="006052B3">
        <w:t>, NOK</w:t>
      </w:r>
      <w:r w:rsidR="00AF691C">
        <w:t xml:space="preserve">, </w:t>
      </w:r>
      <w:r w:rsidR="00464C69">
        <w:t>clinicians</w:t>
      </w:r>
      <w:r w:rsidR="00AF691C">
        <w:t xml:space="preserve"> and staff</w:t>
      </w:r>
      <w:r w:rsidR="00836972">
        <w:t xml:space="preserve">, </w:t>
      </w:r>
      <w:r w:rsidR="003D69EC">
        <w:t xml:space="preserve">while </w:t>
      </w:r>
      <w:r w:rsidR="006052B3">
        <w:t xml:space="preserve">considering </w:t>
      </w:r>
      <w:r w:rsidR="003D69EC">
        <w:t>the resident’s physical, social and emotional wellbeing</w:t>
      </w:r>
      <w:r w:rsidR="006052B3">
        <w:t>,</w:t>
      </w:r>
      <w:r w:rsidR="003D69EC">
        <w:t xml:space="preserve"> and supporting their </w:t>
      </w:r>
      <w:r w:rsidR="00453122">
        <w:t>dignity,</w:t>
      </w:r>
      <w:r w:rsidR="003D69EC">
        <w:t xml:space="preserve"> choices</w:t>
      </w:r>
      <w:r w:rsidR="003D69EC" w:rsidRPr="0014515B">
        <w:t xml:space="preserve"> </w:t>
      </w:r>
      <w:r w:rsidR="003D69EC">
        <w:t>and quality of life</w:t>
      </w:r>
      <w:r w:rsidR="00AF691C">
        <w:t>.</w:t>
      </w:r>
    </w:p>
    <w:p w14:paraId="082B46F4" w14:textId="48B2EFE8" w:rsidR="007C0BD8" w:rsidRDefault="007C0BD8" w:rsidP="007C0BD8">
      <w:pPr>
        <w:pStyle w:val="Heading3"/>
      </w:pPr>
      <w:r>
        <w:t>Isolat</w:t>
      </w:r>
      <w:r w:rsidR="00FD2CD3">
        <w:t>ion</w:t>
      </w:r>
      <w:r>
        <w:t xml:space="preserve"> and </w:t>
      </w:r>
      <w:r w:rsidR="0040597F">
        <w:t xml:space="preserve">enhanced </w:t>
      </w:r>
      <w:r>
        <w:t>IPC measures</w:t>
      </w:r>
    </w:p>
    <w:p w14:paraId="61E9AC41" w14:textId="20393DF0" w:rsidR="006052B3" w:rsidRPr="006052B3" w:rsidRDefault="006052B3" w:rsidP="00F9103D">
      <w:pPr>
        <w:pStyle w:val="Body"/>
      </w:pPr>
      <w:r>
        <w:t>The i</w:t>
      </w:r>
      <w:r w:rsidRPr="006052B3">
        <w:t>solation and enhanced IPC measures</w:t>
      </w:r>
      <w:r>
        <w:t xml:space="preserve"> to be carried out include to:</w:t>
      </w:r>
    </w:p>
    <w:p w14:paraId="71FE579F" w14:textId="7961472F" w:rsidR="00E1294A" w:rsidRDefault="006052B3" w:rsidP="0017329E">
      <w:pPr>
        <w:pStyle w:val="Bullet1"/>
      </w:pPr>
      <w:r>
        <w:t>i</w:t>
      </w:r>
      <w:r w:rsidR="007C0BD8">
        <w:t>solate the resident immediately in their own room, with a designated bathroom</w:t>
      </w:r>
      <w:r w:rsidR="00BC6420">
        <w:t>,</w:t>
      </w:r>
      <w:r w:rsidR="007C0BD8">
        <w:t xml:space="preserve"> if possibl</w:t>
      </w:r>
      <w:r>
        <w:t>e</w:t>
      </w:r>
    </w:p>
    <w:p w14:paraId="694E4D6C" w14:textId="036E2C4D" w:rsidR="004E4598" w:rsidRDefault="006052B3" w:rsidP="007927B7">
      <w:pPr>
        <w:pStyle w:val="Bullet1"/>
      </w:pPr>
      <w:r>
        <w:t>k</w:t>
      </w:r>
      <w:r w:rsidR="007C0BD8">
        <w:t>eep the resident in isolation while test results are pending</w:t>
      </w:r>
      <w:r w:rsidR="00DF52F8">
        <w:t>, while considering that:</w:t>
      </w:r>
    </w:p>
    <w:p w14:paraId="24C56C77" w14:textId="08493C88" w:rsidR="007C0BD8" w:rsidRDefault="006052B3" w:rsidP="00350609">
      <w:pPr>
        <w:pStyle w:val="Bullet2"/>
      </w:pPr>
      <w:r>
        <w:t>o</w:t>
      </w:r>
      <w:r w:rsidR="007C0BD8">
        <w:t xml:space="preserve">ngoing </w:t>
      </w:r>
      <w:r w:rsidR="00DF52F8" w:rsidRPr="00F9103D">
        <w:rPr>
          <w:rStyle w:val="BodyChar"/>
        </w:rPr>
        <w:t>isolation requirements</w:t>
      </w:r>
      <w:r w:rsidR="007C0BD8" w:rsidRPr="00F9103D">
        <w:rPr>
          <w:rStyle w:val="BodyChar"/>
        </w:rPr>
        <w:t xml:space="preserve"> </w:t>
      </w:r>
      <w:r w:rsidR="007C0BD8">
        <w:t>will be determined based on the confirmed diagnosis</w:t>
      </w:r>
      <w:r w:rsidR="00DF52F8">
        <w:t xml:space="preserve"> (see </w:t>
      </w:r>
      <w:hyperlink w:anchor="releasefromiso" w:history="1">
        <w:r w:rsidR="00DF52F8">
          <w:rPr>
            <w:rStyle w:val="Hyperlink"/>
          </w:rPr>
          <w:t>I</w:t>
        </w:r>
        <w:r w:rsidR="00DF52F8" w:rsidRPr="008D6B8C">
          <w:rPr>
            <w:rStyle w:val="Hyperlink"/>
          </w:rPr>
          <w:t>solation requirements</w:t>
        </w:r>
      </w:hyperlink>
      <w:r w:rsidR="00DF52F8">
        <w:t>)</w:t>
      </w:r>
    </w:p>
    <w:p w14:paraId="10639156" w14:textId="44283E3A" w:rsidR="00B9221C" w:rsidRDefault="006052B3" w:rsidP="00B9221C">
      <w:pPr>
        <w:pStyle w:val="Bullet2"/>
      </w:pPr>
      <w:r>
        <w:t>i</w:t>
      </w:r>
      <w:r w:rsidR="006863E9" w:rsidRPr="0057196B">
        <w:t xml:space="preserve">f </w:t>
      </w:r>
      <w:r w:rsidR="004E4598">
        <w:t xml:space="preserve">diagnosis </w:t>
      </w:r>
      <w:r w:rsidR="00DF52F8">
        <w:t>cannot</w:t>
      </w:r>
      <w:r w:rsidR="004E4598">
        <w:t xml:space="preserve"> be confirmed</w:t>
      </w:r>
      <w:r w:rsidR="006863E9" w:rsidRPr="0057196B">
        <w:t xml:space="preserve">, precautions should be maintained while </w:t>
      </w:r>
      <w:r w:rsidR="006863E9">
        <w:t xml:space="preserve">the </w:t>
      </w:r>
      <w:r w:rsidR="006863E9" w:rsidRPr="0057196B">
        <w:t>resident</w:t>
      </w:r>
      <w:r w:rsidR="006863E9">
        <w:t xml:space="preserve"> is</w:t>
      </w:r>
      <w:r w:rsidR="006863E9" w:rsidRPr="0057196B">
        <w:t xml:space="preserve"> symptomatic. </w:t>
      </w:r>
      <w:r w:rsidR="006863E9">
        <w:t>Consult the GP and/or LPHU for further advice as required</w:t>
      </w:r>
    </w:p>
    <w:p w14:paraId="55E990BA" w14:textId="5CAB721F" w:rsidR="00B9221C" w:rsidRDefault="004F5E72" w:rsidP="00B9221C">
      <w:pPr>
        <w:pStyle w:val="Bullet2"/>
      </w:pPr>
      <w:r>
        <w:t xml:space="preserve">the </w:t>
      </w:r>
      <w:r w:rsidR="00B9221C">
        <w:t>resident</w:t>
      </w:r>
      <w:r>
        <w:t>’s</w:t>
      </w:r>
      <w:r w:rsidR="00B9221C">
        <w:t xml:space="preserve"> wellbeing </w:t>
      </w:r>
      <w:proofErr w:type="gramStart"/>
      <w:r w:rsidR="00DF52F8">
        <w:t xml:space="preserve">is paramount </w:t>
      </w:r>
      <w:r w:rsidR="00B9221C">
        <w:t>at all times</w:t>
      </w:r>
      <w:proofErr w:type="gramEnd"/>
      <w:r w:rsidR="00B9221C">
        <w:t>, including their physical, social and emotional needs during isolation</w:t>
      </w:r>
    </w:p>
    <w:p w14:paraId="1C4E32D8" w14:textId="70ACD258" w:rsidR="007C0BD8" w:rsidRDefault="006052B3" w:rsidP="007927B7">
      <w:pPr>
        <w:pStyle w:val="Bullet1"/>
      </w:pPr>
      <w:r>
        <w:t>i</w:t>
      </w:r>
      <w:r w:rsidR="007C0BD8">
        <w:t>mplement enhanced IPC measures for staff providing care</w:t>
      </w:r>
      <w:r w:rsidR="000F4C63">
        <w:t xml:space="preserve"> (</w:t>
      </w:r>
      <w:r w:rsidR="00E85825">
        <w:t xml:space="preserve">in addition to </w:t>
      </w:r>
      <w:r w:rsidR="002E46F2">
        <w:t>standard precautions)</w:t>
      </w:r>
      <w:r w:rsidR="004F5E72">
        <w:t>, including that</w:t>
      </w:r>
      <w:r w:rsidR="00DF52F8">
        <w:t>:</w:t>
      </w:r>
    </w:p>
    <w:p w14:paraId="7F01495A" w14:textId="0F5E4A9B" w:rsidR="007C0BD8" w:rsidRDefault="006052B3" w:rsidP="007927B7">
      <w:pPr>
        <w:pStyle w:val="Bullet2"/>
      </w:pPr>
      <w:r>
        <w:lastRenderedPageBreak/>
        <w:t>s</w:t>
      </w:r>
      <w:r w:rsidR="007C0BD8">
        <w:t>taff should wear a P2/N95 respirator and protective eyewear while test results are pending</w:t>
      </w:r>
    </w:p>
    <w:p w14:paraId="6F680D6F" w14:textId="2FF644DB" w:rsidR="007C0BD8" w:rsidRDefault="006052B3" w:rsidP="007927B7">
      <w:pPr>
        <w:pStyle w:val="Bullet2"/>
      </w:pPr>
      <w:r>
        <w:t>o</w:t>
      </w:r>
      <w:r w:rsidR="007C0BD8">
        <w:t xml:space="preserve">nce a diagnosis is confirmed, PPE should align with </w:t>
      </w:r>
      <w:r w:rsidR="004F5E72" w:rsidRPr="00F9103D">
        <w:t>pathogen-specific precautions</w:t>
      </w:r>
      <w:r w:rsidR="007C0BD8">
        <w:t xml:space="preserve">. </w:t>
      </w:r>
      <w:r w:rsidR="004F5E72">
        <w:t xml:space="preserve">(see </w:t>
      </w:r>
      <w:hyperlink w:anchor="PPEprecautions" w:history="1">
        <w:r w:rsidR="004F5E72">
          <w:rPr>
            <w:rStyle w:val="Hyperlink"/>
          </w:rPr>
          <w:t>P</w:t>
        </w:r>
        <w:r w:rsidR="004F5E72" w:rsidRPr="00F7641D">
          <w:rPr>
            <w:rStyle w:val="Hyperlink"/>
          </w:rPr>
          <w:t>recautions</w:t>
        </w:r>
      </w:hyperlink>
      <w:r w:rsidR="004F5E72">
        <w:t>).</w:t>
      </w:r>
    </w:p>
    <w:p w14:paraId="5B3B677F" w14:textId="2774C412" w:rsidR="00395E8E" w:rsidRDefault="00395E8E" w:rsidP="00F9103D">
      <w:pPr>
        <w:pStyle w:val="Tablecaption"/>
      </w:pPr>
      <w:bookmarkStart w:id="106" w:name="Table3"/>
      <w:r>
        <w:t xml:space="preserve">Table </w:t>
      </w:r>
      <w:fldSimple w:instr=" SEQ Table \* ARABIC ">
        <w:r w:rsidR="0031298E">
          <w:rPr>
            <w:noProof/>
          </w:rPr>
          <w:t>3</w:t>
        </w:r>
      </w:fldSimple>
      <w:r>
        <w:t xml:space="preserve">. </w:t>
      </w:r>
      <w:r w:rsidRPr="00180C7F">
        <w:t>PPE requirements for respiratory pathogens</w:t>
      </w:r>
    </w:p>
    <w:bookmarkEnd w:id="106"/>
    <w:tbl>
      <w:tblPr>
        <w:tblStyle w:val="TableGrid"/>
        <w:tblW w:w="0" w:type="auto"/>
        <w:tblLayout w:type="fixed"/>
        <w:tblLook w:val="04A0" w:firstRow="1" w:lastRow="0" w:firstColumn="1" w:lastColumn="0" w:noHBand="0" w:noVBand="1"/>
      </w:tblPr>
      <w:tblGrid>
        <w:gridCol w:w="2228"/>
        <w:gridCol w:w="2353"/>
        <w:gridCol w:w="2353"/>
        <w:gridCol w:w="2354"/>
      </w:tblGrid>
      <w:tr w:rsidR="00FB7AF5" w14:paraId="78CF6801" w14:textId="77777777">
        <w:trPr>
          <w:tblHeader/>
        </w:trPr>
        <w:tc>
          <w:tcPr>
            <w:tcW w:w="2228" w:type="dxa"/>
            <w:shd w:val="clear" w:color="auto" w:fill="F2F2F2" w:themeFill="background1" w:themeFillShade="F2"/>
          </w:tcPr>
          <w:p w14:paraId="32891BEA" w14:textId="77777777" w:rsidR="00FB7AF5" w:rsidRPr="004A2EB4" w:rsidRDefault="00FB7AF5">
            <w:pPr>
              <w:pStyle w:val="Body"/>
              <w:rPr>
                <w:b/>
                <w:bCs/>
              </w:rPr>
            </w:pPr>
          </w:p>
        </w:tc>
        <w:tc>
          <w:tcPr>
            <w:tcW w:w="2353" w:type="dxa"/>
            <w:shd w:val="clear" w:color="auto" w:fill="F2F2F2" w:themeFill="background1" w:themeFillShade="F2"/>
          </w:tcPr>
          <w:p w14:paraId="5100A35E" w14:textId="77777777" w:rsidR="00FB7AF5" w:rsidRPr="0086772F" w:rsidRDefault="00FB7AF5">
            <w:pPr>
              <w:pStyle w:val="Tablecolhead"/>
            </w:pPr>
            <w:r w:rsidRPr="0086772F">
              <w:t>COVID-19</w:t>
            </w:r>
          </w:p>
        </w:tc>
        <w:tc>
          <w:tcPr>
            <w:tcW w:w="2353" w:type="dxa"/>
            <w:shd w:val="clear" w:color="auto" w:fill="F2F2F2" w:themeFill="background1" w:themeFillShade="F2"/>
          </w:tcPr>
          <w:p w14:paraId="2088324E" w14:textId="77777777" w:rsidR="00FB7AF5" w:rsidRPr="0086772F" w:rsidRDefault="00FB7AF5">
            <w:pPr>
              <w:pStyle w:val="Tablecolhead"/>
            </w:pPr>
            <w:r w:rsidRPr="0086772F">
              <w:t>Influenza</w:t>
            </w:r>
          </w:p>
        </w:tc>
        <w:tc>
          <w:tcPr>
            <w:tcW w:w="2354" w:type="dxa"/>
            <w:shd w:val="clear" w:color="auto" w:fill="F2F2F2" w:themeFill="background1" w:themeFillShade="F2"/>
          </w:tcPr>
          <w:p w14:paraId="23FE960E" w14:textId="766280B3" w:rsidR="00FB7AF5" w:rsidRPr="0086772F" w:rsidRDefault="00FB7AF5">
            <w:pPr>
              <w:pStyle w:val="Tablecolhead"/>
            </w:pPr>
            <w:r>
              <w:t xml:space="preserve">RSV </w:t>
            </w:r>
            <w:r w:rsidR="004F5E72">
              <w:t>and</w:t>
            </w:r>
            <w:r>
              <w:t xml:space="preserve"> other respiratory pathogens</w:t>
            </w:r>
          </w:p>
        </w:tc>
      </w:tr>
      <w:tr w:rsidR="00FB7AF5" w14:paraId="5634827E" w14:textId="77777777">
        <w:tc>
          <w:tcPr>
            <w:tcW w:w="2228" w:type="dxa"/>
            <w:shd w:val="clear" w:color="auto" w:fill="F2F2F2" w:themeFill="background1" w:themeFillShade="F2"/>
          </w:tcPr>
          <w:p w14:paraId="47D5F529" w14:textId="77777777" w:rsidR="00FB7AF5" w:rsidRPr="00D5598D" w:rsidRDefault="00FB7AF5" w:rsidP="00F9103D">
            <w:pPr>
              <w:pStyle w:val="Tabletext"/>
              <w:rPr>
                <w:bCs/>
              </w:rPr>
            </w:pPr>
            <w:r w:rsidRPr="00F9103D">
              <w:rPr>
                <w:b/>
                <w:bCs/>
              </w:rPr>
              <w:t xml:space="preserve">Transmission-based precautions </w:t>
            </w:r>
          </w:p>
        </w:tc>
        <w:tc>
          <w:tcPr>
            <w:tcW w:w="2353" w:type="dxa"/>
          </w:tcPr>
          <w:p w14:paraId="762AF70A" w14:textId="77777777" w:rsidR="00FB7AF5" w:rsidRPr="002C5B20" w:rsidRDefault="00FB7AF5">
            <w:pPr>
              <w:pStyle w:val="Tabletext"/>
            </w:pPr>
            <w:r>
              <w:t>Yes (airborne)</w:t>
            </w:r>
          </w:p>
        </w:tc>
        <w:tc>
          <w:tcPr>
            <w:tcW w:w="2353" w:type="dxa"/>
          </w:tcPr>
          <w:p w14:paraId="69542FF8" w14:textId="77777777" w:rsidR="00FB7AF5" w:rsidRPr="002C5B20" w:rsidRDefault="00FB7AF5">
            <w:pPr>
              <w:pStyle w:val="Tabletext"/>
            </w:pPr>
            <w:r>
              <w:t>Yes (droplet)</w:t>
            </w:r>
          </w:p>
        </w:tc>
        <w:tc>
          <w:tcPr>
            <w:tcW w:w="2354" w:type="dxa"/>
          </w:tcPr>
          <w:p w14:paraId="5DC12851" w14:textId="77777777" w:rsidR="00FB7AF5" w:rsidRPr="002C5B20" w:rsidRDefault="00FB7AF5">
            <w:pPr>
              <w:pStyle w:val="Tabletext"/>
            </w:pPr>
            <w:r>
              <w:t>Yes (droplet)</w:t>
            </w:r>
          </w:p>
        </w:tc>
      </w:tr>
      <w:tr w:rsidR="00FB7AF5" w14:paraId="1F49996C" w14:textId="77777777">
        <w:tc>
          <w:tcPr>
            <w:tcW w:w="2228" w:type="dxa"/>
            <w:shd w:val="clear" w:color="auto" w:fill="F2F2F2" w:themeFill="background1" w:themeFillShade="F2"/>
          </w:tcPr>
          <w:p w14:paraId="377EF829" w14:textId="0A999415" w:rsidR="00FB7AF5" w:rsidRPr="00D5598D" w:rsidRDefault="00FB7AF5" w:rsidP="00F9103D">
            <w:pPr>
              <w:pStyle w:val="Tabletext"/>
              <w:rPr>
                <w:bCs/>
              </w:rPr>
            </w:pPr>
            <w:r w:rsidRPr="00F9103D">
              <w:rPr>
                <w:b/>
                <w:bCs/>
              </w:rPr>
              <w:t>Mask</w:t>
            </w:r>
            <w:r w:rsidR="004F5E72" w:rsidRPr="00F9103D">
              <w:rPr>
                <w:b/>
                <w:bCs/>
              </w:rPr>
              <w:t xml:space="preserve"> and r</w:t>
            </w:r>
            <w:r w:rsidRPr="00F9103D">
              <w:rPr>
                <w:b/>
                <w:bCs/>
              </w:rPr>
              <w:t>espirator guidance</w:t>
            </w:r>
          </w:p>
        </w:tc>
        <w:tc>
          <w:tcPr>
            <w:tcW w:w="2353" w:type="dxa"/>
          </w:tcPr>
          <w:p w14:paraId="1D031550" w14:textId="77777777" w:rsidR="00FB7AF5" w:rsidRPr="0086772F" w:rsidRDefault="00FB7AF5">
            <w:pPr>
              <w:pStyle w:val="Tabletext"/>
            </w:pPr>
            <w:r>
              <w:t>P2/N95 respirator - ensure fit check</w:t>
            </w:r>
          </w:p>
        </w:tc>
        <w:tc>
          <w:tcPr>
            <w:tcW w:w="2353" w:type="dxa"/>
          </w:tcPr>
          <w:p w14:paraId="4F77BA58" w14:textId="40D2A13A" w:rsidR="004F5E72" w:rsidRDefault="00FB7AF5">
            <w:pPr>
              <w:pStyle w:val="Tabletext"/>
            </w:pPr>
            <w:r>
              <w:t>Surgical mask; P2/N95 respirator optional</w:t>
            </w:r>
          </w:p>
          <w:p w14:paraId="1A555E6E" w14:textId="3DDC8218" w:rsidR="00FB7AF5" w:rsidRPr="0086772F" w:rsidRDefault="00FB7AF5">
            <w:pPr>
              <w:pStyle w:val="Tabletext"/>
            </w:pPr>
            <w:r>
              <w:t>Use a P2/N95 respirator for aerosol generation procedures</w:t>
            </w:r>
          </w:p>
        </w:tc>
        <w:tc>
          <w:tcPr>
            <w:tcW w:w="2354" w:type="dxa"/>
          </w:tcPr>
          <w:p w14:paraId="6F000C5D" w14:textId="6B7FFF5D" w:rsidR="004F5E72" w:rsidRDefault="00FB7AF5">
            <w:pPr>
              <w:pStyle w:val="Tabletext"/>
            </w:pPr>
            <w:r>
              <w:t>Surgical mask; P2/N95 respirator optional</w:t>
            </w:r>
          </w:p>
          <w:p w14:paraId="5814568F" w14:textId="27BF3FD1" w:rsidR="00FB7AF5" w:rsidRPr="0086772F" w:rsidRDefault="00FB7AF5">
            <w:pPr>
              <w:pStyle w:val="Tabletext"/>
            </w:pPr>
            <w:r>
              <w:t>Use a P2/N95 respirator for aerosol generation procedures</w:t>
            </w:r>
          </w:p>
        </w:tc>
      </w:tr>
      <w:tr w:rsidR="00FB7AF5" w14:paraId="24A1A281" w14:textId="77777777">
        <w:tc>
          <w:tcPr>
            <w:tcW w:w="2228" w:type="dxa"/>
            <w:shd w:val="clear" w:color="auto" w:fill="F2F2F2" w:themeFill="background1" w:themeFillShade="F2"/>
          </w:tcPr>
          <w:p w14:paraId="658F862B" w14:textId="6A88729C" w:rsidR="00FB7AF5" w:rsidRPr="00D5598D" w:rsidRDefault="00FB7AF5" w:rsidP="00F9103D">
            <w:pPr>
              <w:pStyle w:val="Tabletext"/>
              <w:rPr>
                <w:bCs/>
              </w:rPr>
            </w:pPr>
            <w:r w:rsidRPr="00F9103D">
              <w:rPr>
                <w:b/>
                <w:bCs/>
              </w:rPr>
              <w:t>Eye protection</w:t>
            </w:r>
            <w:r w:rsidR="00D5331F" w:rsidRPr="00F9103D">
              <w:rPr>
                <w:b/>
                <w:bCs/>
              </w:rPr>
              <w:t>*</w:t>
            </w:r>
          </w:p>
        </w:tc>
        <w:tc>
          <w:tcPr>
            <w:tcW w:w="2353" w:type="dxa"/>
          </w:tcPr>
          <w:p w14:paraId="4E1B19D4" w14:textId="0A70DD2A" w:rsidR="00FB7AF5" w:rsidRPr="002C5B20" w:rsidRDefault="00FB7AF5">
            <w:pPr>
              <w:pStyle w:val="Tabletext"/>
            </w:pPr>
            <w:r>
              <w:t>Yes</w:t>
            </w:r>
            <w:r w:rsidR="0015535E">
              <w:t>*</w:t>
            </w:r>
          </w:p>
        </w:tc>
        <w:tc>
          <w:tcPr>
            <w:tcW w:w="2353" w:type="dxa"/>
          </w:tcPr>
          <w:p w14:paraId="00BABDAD" w14:textId="10F2DA66" w:rsidR="00FB7AF5" w:rsidRPr="002C5B20" w:rsidRDefault="00FB7AF5">
            <w:pPr>
              <w:pStyle w:val="Tabletext"/>
            </w:pPr>
            <w:r>
              <w:t>Yes</w:t>
            </w:r>
            <w:r w:rsidR="0015535E">
              <w:t>*</w:t>
            </w:r>
          </w:p>
        </w:tc>
        <w:tc>
          <w:tcPr>
            <w:tcW w:w="2354" w:type="dxa"/>
          </w:tcPr>
          <w:p w14:paraId="170B394B" w14:textId="63D849FC" w:rsidR="00FB7AF5" w:rsidRPr="002C5B20" w:rsidRDefault="00FB7AF5">
            <w:pPr>
              <w:pStyle w:val="Tabletext"/>
            </w:pPr>
            <w:r>
              <w:t>Yes</w:t>
            </w:r>
            <w:r w:rsidR="0015535E">
              <w:t>*</w:t>
            </w:r>
          </w:p>
        </w:tc>
      </w:tr>
      <w:tr w:rsidR="00FB7AF5" w14:paraId="68D59CE9" w14:textId="77777777">
        <w:tc>
          <w:tcPr>
            <w:tcW w:w="2228" w:type="dxa"/>
            <w:shd w:val="clear" w:color="auto" w:fill="F2F2F2" w:themeFill="background1" w:themeFillShade="F2"/>
          </w:tcPr>
          <w:p w14:paraId="67E3ECF0" w14:textId="01D02511" w:rsidR="00FB7AF5" w:rsidRPr="00D5598D" w:rsidRDefault="00FB7AF5" w:rsidP="00F9103D">
            <w:pPr>
              <w:pStyle w:val="Tabletext"/>
              <w:rPr>
                <w:bCs/>
              </w:rPr>
            </w:pPr>
            <w:r w:rsidRPr="00F9103D">
              <w:rPr>
                <w:b/>
                <w:bCs/>
              </w:rPr>
              <w:t>Gloves</w:t>
            </w:r>
            <w:r w:rsidR="00D5331F" w:rsidRPr="00F9103D">
              <w:rPr>
                <w:b/>
                <w:bCs/>
              </w:rPr>
              <w:t>†</w:t>
            </w:r>
          </w:p>
        </w:tc>
        <w:tc>
          <w:tcPr>
            <w:tcW w:w="2353" w:type="dxa"/>
          </w:tcPr>
          <w:p w14:paraId="2BB005AD" w14:textId="28749610" w:rsidR="00FB7AF5" w:rsidRDefault="00FB7AF5" w:rsidP="00F9103D">
            <w:pPr>
              <w:pStyle w:val="Tabletext"/>
              <w:spacing w:line="259" w:lineRule="auto"/>
            </w:pPr>
            <w:r>
              <w:t xml:space="preserve">As per standard precautions </w:t>
            </w:r>
          </w:p>
        </w:tc>
        <w:tc>
          <w:tcPr>
            <w:tcW w:w="2353" w:type="dxa"/>
          </w:tcPr>
          <w:p w14:paraId="1AD6840F" w14:textId="77777777" w:rsidR="00FB7AF5" w:rsidRDefault="00FB7AF5">
            <w:pPr>
              <w:pStyle w:val="Tabletext"/>
              <w:spacing w:line="259" w:lineRule="auto"/>
            </w:pPr>
            <w:r>
              <w:t>As per standard precautions</w:t>
            </w:r>
          </w:p>
        </w:tc>
        <w:tc>
          <w:tcPr>
            <w:tcW w:w="2354" w:type="dxa"/>
          </w:tcPr>
          <w:p w14:paraId="168E36B6" w14:textId="1BADA048" w:rsidR="00FB7AF5" w:rsidRDefault="00FB7AF5" w:rsidP="00F9103D">
            <w:pPr>
              <w:pStyle w:val="Tabletext"/>
              <w:spacing w:line="259" w:lineRule="auto"/>
            </w:pPr>
            <w:r>
              <w:t>As per standard precautions</w:t>
            </w:r>
          </w:p>
        </w:tc>
      </w:tr>
      <w:tr w:rsidR="00FB7AF5" w14:paraId="6D2E9CD9" w14:textId="77777777">
        <w:tc>
          <w:tcPr>
            <w:tcW w:w="2228" w:type="dxa"/>
            <w:shd w:val="clear" w:color="auto" w:fill="F2F2F2" w:themeFill="background1" w:themeFillShade="F2"/>
          </w:tcPr>
          <w:p w14:paraId="7E632974" w14:textId="6EEAB408" w:rsidR="00FB7AF5" w:rsidRPr="00D5598D" w:rsidRDefault="00FB7AF5" w:rsidP="00F9103D">
            <w:pPr>
              <w:pStyle w:val="Tabletext"/>
              <w:rPr>
                <w:bCs/>
              </w:rPr>
            </w:pPr>
            <w:r w:rsidRPr="00F9103D">
              <w:rPr>
                <w:b/>
                <w:bCs/>
              </w:rPr>
              <w:t>Gown†</w:t>
            </w:r>
            <w:r w:rsidR="00D5331F" w:rsidRPr="00F9103D">
              <w:rPr>
                <w:b/>
                <w:bCs/>
              </w:rPr>
              <w:t>‡</w:t>
            </w:r>
          </w:p>
        </w:tc>
        <w:tc>
          <w:tcPr>
            <w:tcW w:w="2353" w:type="dxa"/>
          </w:tcPr>
          <w:p w14:paraId="7C4EF510" w14:textId="3D099ADB" w:rsidR="00FB7AF5" w:rsidRDefault="00FB7AF5" w:rsidP="00F9103D">
            <w:pPr>
              <w:pStyle w:val="Tabletext"/>
              <w:spacing w:line="259" w:lineRule="auto"/>
            </w:pPr>
            <w:r>
              <w:t>As per standard precautions</w:t>
            </w:r>
          </w:p>
        </w:tc>
        <w:tc>
          <w:tcPr>
            <w:tcW w:w="2353" w:type="dxa"/>
          </w:tcPr>
          <w:p w14:paraId="66DA0B18" w14:textId="34869874" w:rsidR="00FB7AF5" w:rsidRDefault="00FB7AF5" w:rsidP="00F9103D">
            <w:pPr>
              <w:pStyle w:val="Tabletext"/>
              <w:spacing w:line="259" w:lineRule="auto"/>
            </w:pPr>
            <w:r>
              <w:t>As per standard precautions</w:t>
            </w:r>
          </w:p>
        </w:tc>
        <w:tc>
          <w:tcPr>
            <w:tcW w:w="2354" w:type="dxa"/>
          </w:tcPr>
          <w:p w14:paraId="5513A1AF" w14:textId="2A936C43" w:rsidR="00FB7AF5" w:rsidRDefault="00FB7AF5" w:rsidP="00F9103D">
            <w:pPr>
              <w:pStyle w:val="Tabletext"/>
              <w:spacing w:line="259" w:lineRule="auto"/>
            </w:pPr>
            <w:r>
              <w:t>As per standard precautions</w:t>
            </w:r>
          </w:p>
        </w:tc>
      </w:tr>
    </w:tbl>
    <w:p w14:paraId="266D88D4" w14:textId="12645F8C" w:rsidR="0015535E" w:rsidRPr="00BA02E2" w:rsidRDefault="0015535E" w:rsidP="00BA02E2">
      <w:pPr>
        <w:pStyle w:val="FootnoteText"/>
        <w:rPr>
          <w:rStyle w:val="FootnoteReference"/>
          <w:vertAlign w:val="baseline"/>
        </w:rPr>
      </w:pPr>
      <w:r w:rsidRPr="00BA02E2">
        <w:rPr>
          <w:rStyle w:val="FootnoteReference"/>
          <w:vertAlign w:val="baseline"/>
        </w:rPr>
        <w:t>*</w:t>
      </w:r>
      <w:r w:rsidR="006B15A7">
        <w:t xml:space="preserve"> </w:t>
      </w:r>
      <w:r w:rsidR="005E0731" w:rsidRPr="00BA02E2">
        <w:rPr>
          <w:rStyle w:val="FootnoteReference"/>
          <w:vertAlign w:val="baseline"/>
        </w:rPr>
        <w:t xml:space="preserve">Consider </w:t>
      </w:r>
      <w:r w:rsidR="001370EA">
        <w:rPr>
          <w:rStyle w:val="FootnoteReference"/>
          <w:vertAlign w:val="baseline"/>
        </w:rPr>
        <w:t>u</w:t>
      </w:r>
      <w:r w:rsidR="001370EA">
        <w:t xml:space="preserve">ndertaking a </w:t>
      </w:r>
      <w:r w:rsidR="005E0731" w:rsidRPr="00BA02E2">
        <w:rPr>
          <w:rStyle w:val="FootnoteReference"/>
          <w:vertAlign w:val="baseline"/>
        </w:rPr>
        <w:t>risk</w:t>
      </w:r>
      <w:r w:rsidR="001370EA">
        <w:t xml:space="preserve"> </w:t>
      </w:r>
      <w:r w:rsidR="005E0731" w:rsidRPr="00BA02E2">
        <w:rPr>
          <w:rStyle w:val="FootnoteReference"/>
          <w:vertAlign w:val="baseline"/>
        </w:rPr>
        <w:t>assessment for asymptomatic residents</w:t>
      </w:r>
      <w:r w:rsidR="001370EA">
        <w:rPr>
          <w:rStyle w:val="FootnoteReference"/>
          <w:vertAlign w:val="baseline"/>
        </w:rPr>
        <w:t>.</w:t>
      </w:r>
      <w:r w:rsidR="005E0731" w:rsidRPr="00BA02E2">
        <w:rPr>
          <w:rStyle w:val="FootnoteReference"/>
          <w:vertAlign w:val="baseline"/>
        </w:rPr>
        <w:t xml:space="preserve"> </w:t>
      </w:r>
    </w:p>
    <w:p w14:paraId="476FA43F" w14:textId="65A0FBC0" w:rsidR="00E853EB" w:rsidRDefault="00FB7AF5" w:rsidP="00BA02E2">
      <w:pPr>
        <w:pStyle w:val="FootnoteText"/>
      </w:pPr>
      <w:r w:rsidRPr="00FA461D">
        <w:t>†</w:t>
      </w:r>
      <w:r w:rsidR="006B15A7">
        <w:t xml:space="preserve"> </w:t>
      </w:r>
      <w:r w:rsidR="00E853EB" w:rsidRPr="00FA461D">
        <w:t>Gowns and gloves may be worn if anticipating contact with blood and/or body fluids.</w:t>
      </w:r>
    </w:p>
    <w:p w14:paraId="1DD2F15B" w14:textId="0A9CBBC9" w:rsidR="007100B2" w:rsidRDefault="00E853EB" w:rsidP="00BA02E2">
      <w:pPr>
        <w:pStyle w:val="FootnoteText"/>
      </w:pPr>
      <w:r w:rsidRPr="00E853EB">
        <w:t>‡</w:t>
      </w:r>
      <w:r w:rsidR="006B15A7">
        <w:t xml:space="preserve"> </w:t>
      </w:r>
      <w:r w:rsidR="00FB7AF5" w:rsidRPr="00FA461D">
        <w:t xml:space="preserve">Reusable gowns may be used, single use and laundered between uses. </w:t>
      </w:r>
    </w:p>
    <w:p w14:paraId="1FE09F4F" w14:textId="77777777" w:rsidR="00525557" w:rsidRDefault="00525557" w:rsidP="00BA02E2">
      <w:pPr>
        <w:pStyle w:val="Heading4"/>
      </w:pPr>
      <w:r>
        <w:t>Residents with cognitive decline and dementia</w:t>
      </w:r>
    </w:p>
    <w:p w14:paraId="074C6A8D" w14:textId="3B0A96FA" w:rsidR="00525557" w:rsidRDefault="00525557" w:rsidP="00525557">
      <w:pPr>
        <w:pStyle w:val="Body"/>
      </w:pPr>
      <w:r>
        <w:t xml:space="preserve">Maintaining strong IPC practices can be challenging </w:t>
      </w:r>
      <w:r w:rsidR="00927441">
        <w:t xml:space="preserve">in RCFs when </w:t>
      </w:r>
      <w:r w:rsidR="005C3A5B">
        <w:t xml:space="preserve">supporting residents living </w:t>
      </w:r>
      <w:r>
        <w:t>with cognitive decline and dementia</w:t>
      </w:r>
      <w:r w:rsidR="005C3A5B">
        <w:t xml:space="preserve"> who have a respiratory infection</w:t>
      </w:r>
      <w:r>
        <w:t xml:space="preserve">. It is important to </w:t>
      </w:r>
      <w:r w:rsidR="00D80388">
        <w:t>balance IPC</w:t>
      </w:r>
      <w:r w:rsidR="00EB02F5">
        <w:t xml:space="preserve"> measures w</w:t>
      </w:r>
      <w:r w:rsidR="00900FA9">
        <w:t>ith maintaining resident wellbeing</w:t>
      </w:r>
      <w:r w:rsidR="00515885">
        <w:t xml:space="preserve">, while protecting others and reducing the risk of transmission. </w:t>
      </w:r>
    </w:p>
    <w:p w14:paraId="59FF4684" w14:textId="7F20A8E1" w:rsidR="006444BF" w:rsidRDefault="0052062E" w:rsidP="00BA02E2">
      <w:pPr>
        <w:pStyle w:val="Body"/>
      </w:pPr>
      <w:r>
        <w:t xml:space="preserve">For </w:t>
      </w:r>
      <w:r w:rsidR="00C161D6">
        <w:t>guidance</w:t>
      </w:r>
      <w:r w:rsidR="005A76DB">
        <w:t xml:space="preserve"> on creating a</w:t>
      </w:r>
      <w:r w:rsidR="00A057AA">
        <w:t>n environment with strong IPC</w:t>
      </w:r>
      <w:r w:rsidR="00FB0D07">
        <w:t xml:space="preserve"> practices while continuing to provide a positive experience for residents with cognitive decline and dementia, see </w:t>
      </w:r>
      <w:hyperlink r:id="rId27" w:history="1">
        <w:r w:rsidR="00525557">
          <w:rPr>
            <w:rStyle w:val="Hyperlink"/>
          </w:rPr>
          <w:t xml:space="preserve">Infection prevention and control in aged care - Cognitive decline and dementia </w:t>
        </w:r>
      </w:hyperlink>
      <w:r w:rsidR="00525557">
        <w:t>&lt;</w:t>
      </w:r>
      <w:r w:rsidR="00525557" w:rsidRPr="00294AB8">
        <w:t>https://www.agedcarequality.gov.au/resource-library/infection-prevention-and-control-aged-care-cognitive-decline-and-dementia</w:t>
      </w:r>
      <w:r w:rsidR="00525557">
        <w:t>&gt;.</w:t>
      </w:r>
    </w:p>
    <w:p w14:paraId="715EECBB" w14:textId="67F50957" w:rsidR="008B7C64" w:rsidRDefault="00A937B6" w:rsidP="00A2374C">
      <w:pPr>
        <w:pStyle w:val="Heading3"/>
        <w:rPr>
          <w:rStyle w:val="Heading3Char"/>
        </w:rPr>
      </w:pPr>
      <w:r>
        <w:rPr>
          <w:rStyle w:val="Heading3Char"/>
        </w:rPr>
        <w:t>T</w:t>
      </w:r>
      <w:r w:rsidR="00B82ED0">
        <w:rPr>
          <w:rStyle w:val="Heading3Char"/>
        </w:rPr>
        <w:t>esting</w:t>
      </w:r>
    </w:p>
    <w:p w14:paraId="40D0B6F5" w14:textId="3482CB08" w:rsidR="00A2374C" w:rsidRPr="00A2374C" w:rsidRDefault="00A2374C" w:rsidP="00A2374C">
      <w:pPr>
        <w:pStyle w:val="Body"/>
      </w:pPr>
      <w:r>
        <w:t>The re</w:t>
      </w:r>
      <w:r w:rsidR="00451245">
        <w:t>commendations</w:t>
      </w:r>
      <w:r>
        <w:t xml:space="preserve"> for testing include that:</w:t>
      </w:r>
    </w:p>
    <w:p w14:paraId="7357E92E" w14:textId="312B5136" w:rsidR="008B7C64" w:rsidRDefault="00A2374C" w:rsidP="000407B2">
      <w:pPr>
        <w:pStyle w:val="Bullet1"/>
      </w:pPr>
      <w:r>
        <w:t>s</w:t>
      </w:r>
      <w:r w:rsidR="008B7C64" w:rsidRPr="0014515B">
        <w:t xml:space="preserve">ymptomatic residents </w:t>
      </w:r>
      <w:r w:rsidR="00CC38A7">
        <w:t xml:space="preserve">should </w:t>
      </w:r>
      <w:r w:rsidR="008B7C64" w:rsidRPr="0014515B">
        <w:t>be tested immediately</w:t>
      </w:r>
    </w:p>
    <w:p w14:paraId="1A2C905E" w14:textId="5C0C90CB" w:rsidR="009061A8" w:rsidRDefault="00A2374C" w:rsidP="009061A8">
      <w:pPr>
        <w:pStyle w:val="Bullet1"/>
      </w:pPr>
      <w:r>
        <w:t>i</w:t>
      </w:r>
      <w:r w:rsidR="009061A8">
        <w:t>f a symptomatic resident refuses, or is unable</w:t>
      </w:r>
      <w:r w:rsidR="00A36ECE">
        <w:t>,</w:t>
      </w:r>
      <w:r w:rsidR="009061A8">
        <w:t xml:space="preserve"> to be tested, they should be isolated for the </w:t>
      </w:r>
      <w:r w:rsidRPr="00F9103D">
        <w:t>recommended length of time</w:t>
      </w:r>
      <w:r w:rsidR="009061A8">
        <w:t xml:space="preserve"> for the pathogen circulating within the facility</w:t>
      </w:r>
      <w:r>
        <w:t xml:space="preserve"> (see </w:t>
      </w:r>
      <w:hyperlink w:anchor="releasefromiso" w:history="1">
        <w:r w:rsidRPr="00A2374C">
          <w:rPr>
            <w:rStyle w:val="Hyperlink"/>
          </w:rPr>
          <w:t>Residents: release from isolation</w:t>
        </w:r>
      </w:hyperlink>
      <w:r>
        <w:t>)</w:t>
      </w:r>
    </w:p>
    <w:p w14:paraId="731CEF7C" w14:textId="634641A7" w:rsidR="0062185D" w:rsidRDefault="00A2374C" w:rsidP="000407B2">
      <w:pPr>
        <w:pStyle w:val="Bullet1"/>
      </w:pPr>
      <w:r>
        <w:t>r</w:t>
      </w:r>
      <w:r w:rsidR="004273F7">
        <w:t>esidents who</w:t>
      </w:r>
      <w:r w:rsidR="00B2173F">
        <w:t xml:space="preserve"> </w:t>
      </w:r>
      <w:r w:rsidR="00E2411D">
        <w:t xml:space="preserve">recently had </w:t>
      </w:r>
      <w:r w:rsidR="00775BE7">
        <w:t>an AR</w:t>
      </w:r>
      <w:r w:rsidR="00B2173F">
        <w:t xml:space="preserve">I </w:t>
      </w:r>
      <w:r w:rsidR="00FA211C">
        <w:t xml:space="preserve">and </w:t>
      </w:r>
      <w:r w:rsidR="004273F7">
        <w:t>develop new</w:t>
      </w:r>
      <w:r w:rsidR="00775BE7">
        <w:t xml:space="preserve"> </w:t>
      </w:r>
      <w:r w:rsidR="004273F7">
        <w:t xml:space="preserve">symptoms should </w:t>
      </w:r>
      <w:r w:rsidR="002D57D7">
        <w:t>be retested</w:t>
      </w:r>
      <w:r w:rsidR="00775BE7">
        <w:t>,</w:t>
      </w:r>
      <w:r w:rsidR="0047294D">
        <w:t xml:space="preserve"> </w:t>
      </w:r>
      <w:r w:rsidR="005A4985">
        <w:t>as this may indicate a new infection</w:t>
      </w:r>
      <w:r w:rsidR="0003485A">
        <w:t>.</w:t>
      </w:r>
    </w:p>
    <w:p w14:paraId="3AE24DA6" w14:textId="720C4BC4" w:rsidR="008B7C64" w:rsidRPr="0014515B" w:rsidRDefault="00A2374C" w:rsidP="00F9103D">
      <w:pPr>
        <w:pStyle w:val="Body"/>
      </w:pPr>
      <w:r>
        <w:lastRenderedPageBreak/>
        <w:t>The r</w:t>
      </w:r>
      <w:r w:rsidR="008B7C64" w:rsidRPr="00F9103D">
        <w:t>ecommended testing approach</w:t>
      </w:r>
      <w:r>
        <w:t xml:space="preserve"> is to t</w:t>
      </w:r>
      <w:r w:rsidR="007D22BE">
        <w:t xml:space="preserve">est using </w:t>
      </w:r>
      <w:r w:rsidR="008B7C64">
        <w:t xml:space="preserve">a combination RAT </w:t>
      </w:r>
      <w:r w:rsidR="00E43FC0">
        <w:t>(</w:t>
      </w:r>
      <w:r w:rsidR="00F066C7">
        <w:t>COVID-19,</w:t>
      </w:r>
      <w:r w:rsidR="008B7C64">
        <w:t xml:space="preserve"> influenza A and B and</w:t>
      </w:r>
      <w:r w:rsidR="007D22BE">
        <w:t>/or</w:t>
      </w:r>
      <w:r w:rsidR="008B7C64">
        <w:t xml:space="preserve"> RSV</w:t>
      </w:r>
      <w:r w:rsidR="003C5A54">
        <w:t>)</w:t>
      </w:r>
      <w:r w:rsidR="008B7C64">
        <w:t xml:space="preserve"> if available</w:t>
      </w:r>
      <w:r>
        <w:t>.</w:t>
      </w:r>
      <w:r w:rsidR="00552D80">
        <w:t xml:space="preserve"> </w:t>
      </w:r>
      <w:r>
        <w:t>O</w:t>
      </w:r>
      <w:r w:rsidR="00552D80">
        <w:t>therwise</w:t>
      </w:r>
      <w:r>
        <w:t>,</w:t>
      </w:r>
      <w:r w:rsidR="00552D80">
        <w:t xml:space="preserve"> use a COVID-19 RAT</w:t>
      </w:r>
      <w:r>
        <w:t>, noting that</w:t>
      </w:r>
      <w:r w:rsidR="00D5598D">
        <w:t>:</w:t>
      </w:r>
    </w:p>
    <w:p w14:paraId="16C9AF1A" w14:textId="128E9924" w:rsidR="008B7C64" w:rsidRPr="00D41766" w:rsidRDefault="00A574E5" w:rsidP="008B7C64">
      <w:pPr>
        <w:pStyle w:val="Bullet2"/>
      </w:pPr>
      <w:r>
        <w:t>i</w:t>
      </w:r>
      <w:r w:rsidR="008B7C64" w:rsidRPr="00D41766">
        <w:t xml:space="preserve">f </w:t>
      </w:r>
      <w:r w:rsidR="001644CD">
        <w:t xml:space="preserve">the </w:t>
      </w:r>
      <w:r w:rsidR="00C909B8">
        <w:t>RAT is</w:t>
      </w:r>
      <w:r w:rsidR="008B7C64" w:rsidRPr="00D41766">
        <w:t xml:space="preserve"> positive, no further testing </w:t>
      </w:r>
      <w:r w:rsidR="0090338A">
        <w:t xml:space="preserve">is </w:t>
      </w:r>
      <w:r w:rsidR="008B7C64" w:rsidRPr="00D41766">
        <w:t>required</w:t>
      </w:r>
    </w:p>
    <w:p w14:paraId="0CD0765E" w14:textId="0395B966" w:rsidR="003C1DA9" w:rsidRDefault="00A574E5" w:rsidP="00BA02E2">
      <w:pPr>
        <w:pStyle w:val="Bullet2"/>
      </w:pPr>
      <w:r>
        <w:t>i</w:t>
      </w:r>
      <w:r w:rsidR="008B7C64">
        <w:t xml:space="preserve">f </w:t>
      </w:r>
      <w:r w:rsidR="001644CD">
        <w:t>the</w:t>
      </w:r>
      <w:r w:rsidR="008B7C64">
        <w:t xml:space="preserve"> RAT is negative, a multiplex respiratory panel </w:t>
      </w:r>
      <w:r w:rsidR="00571984">
        <w:t>(</w:t>
      </w:r>
      <w:r w:rsidR="00571984" w:rsidRPr="00571984">
        <w:t>polymerase chain reaction</w:t>
      </w:r>
      <w:r w:rsidR="00571984">
        <w:t>)</w:t>
      </w:r>
      <w:r w:rsidR="00571984" w:rsidRPr="00571984">
        <w:t xml:space="preserve"> </w:t>
      </w:r>
      <w:r w:rsidR="00496DA2">
        <w:t xml:space="preserve">PCR test </w:t>
      </w:r>
      <w:r w:rsidR="008B7C64">
        <w:t xml:space="preserve">should be </w:t>
      </w:r>
      <w:r w:rsidR="00706D60">
        <w:t>taken</w:t>
      </w:r>
      <w:r>
        <w:t>.</w:t>
      </w:r>
    </w:p>
    <w:p w14:paraId="2E56C0B8" w14:textId="0B38818C" w:rsidR="00D6726E" w:rsidRDefault="00D6726E" w:rsidP="00350609">
      <w:pPr>
        <w:pStyle w:val="Heading3"/>
      </w:pPr>
      <w:r>
        <w:t xml:space="preserve">Clinical </w:t>
      </w:r>
      <w:r w:rsidR="00CF59C1">
        <w:t>management</w:t>
      </w:r>
    </w:p>
    <w:p w14:paraId="1E4522E5" w14:textId="5919A044" w:rsidR="00D5598D" w:rsidRPr="00D5598D" w:rsidRDefault="00D5598D" w:rsidP="00F9103D">
      <w:pPr>
        <w:pStyle w:val="Body"/>
      </w:pPr>
      <w:r>
        <w:t>Re</w:t>
      </w:r>
      <w:r w:rsidR="00451245">
        <w:t>commendations</w:t>
      </w:r>
      <w:r>
        <w:t xml:space="preserve"> for clinical management include to:</w:t>
      </w:r>
    </w:p>
    <w:p w14:paraId="2B0387B2" w14:textId="129DC8C1" w:rsidR="00744F54" w:rsidRDefault="00D5598D" w:rsidP="00744F54">
      <w:pPr>
        <w:pStyle w:val="Bullet1"/>
      </w:pPr>
      <w:r>
        <w:t>i</w:t>
      </w:r>
      <w:r w:rsidR="00744F54">
        <w:t>nform the resident’s GP</w:t>
      </w:r>
      <w:r w:rsidR="00982220">
        <w:t xml:space="preserve"> or </w:t>
      </w:r>
      <w:r w:rsidR="00744F54">
        <w:t xml:space="preserve">NP to ensure early clinical assessment and </w:t>
      </w:r>
      <w:r w:rsidR="00982220" w:rsidRPr="00F9103D">
        <w:t>treatment</w:t>
      </w:r>
      <w:r w:rsidR="00744F54">
        <w:t xml:space="preserve"> where applicable</w:t>
      </w:r>
      <w:r w:rsidR="00982220">
        <w:t xml:space="preserve"> (see </w:t>
      </w:r>
      <w:hyperlink w:anchor="Residentstreatment" w:history="1">
        <w:r w:rsidR="00B56340" w:rsidRPr="000B51A3">
          <w:rPr>
            <w:rStyle w:val="Hyperlink"/>
          </w:rPr>
          <w:t>Residents: antiviral treatment</w:t>
        </w:r>
      </w:hyperlink>
      <w:r w:rsidR="00982220">
        <w:t>)</w:t>
      </w:r>
    </w:p>
    <w:p w14:paraId="5EA832B8" w14:textId="4895C74C" w:rsidR="00E0328D" w:rsidRDefault="00982220" w:rsidP="00744F54">
      <w:pPr>
        <w:pStyle w:val="Bullet1"/>
      </w:pPr>
      <w:r>
        <w:t>r</w:t>
      </w:r>
      <w:r w:rsidR="001F7AED">
        <w:t xml:space="preserve">eview </w:t>
      </w:r>
      <w:r>
        <w:t xml:space="preserve">the </w:t>
      </w:r>
      <w:r w:rsidR="001F7AED">
        <w:t>resident</w:t>
      </w:r>
      <w:r w:rsidR="00632621">
        <w:t>’s care plan and f</w:t>
      </w:r>
      <w:r w:rsidR="00D5588A">
        <w:t>acilitate</w:t>
      </w:r>
      <w:r w:rsidR="005805DC">
        <w:t xml:space="preserve"> </w:t>
      </w:r>
      <w:r w:rsidR="00324CBA">
        <w:t>ongoing access to</w:t>
      </w:r>
      <w:r w:rsidR="00E0328D">
        <w:t>:</w:t>
      </w:r>
    </w:p>
    <w:p w14:paraId="7D8604BD" w14:textId="5CD013B8" w:rsidR="00E0328D" w:rsidRDefault="00324CBA" w:rsidP="00E0328D">
      <w:pPr>
        <w:pStyle w:val="Bullet2"/>
      </w:pPr>
      <w:r>
        <w:t xml:space="preserve">routine primary care (onsite and/or via telehealth) </w:t>
      </w:r>
    </w:p>
    <w:p w14:paraId="45CC9BBC" w14:textId="18923D87" w:rsidR="00E0328D" w:rsidRDefault="00D5588A" w:rsidP="00E0328D">
      <w:pPr>
        <w:pStyle w:val="Bullet2"/>
      </w:pPr>
      <w:r>
        <w:t>routine daily care (</w:t>
      </w:r>
      <w:r w:rsidR="003B3318">
        <w:t xml:space="preserve">for example, </w:t>
      </w:r>
      <w:r w:rsidR="00D30988">
        <w:t>allied health)</w:t>
      </w:r>
    </w:p>
    <w:p w14:paraId="5201EAFA" w14:textId="6CC09CD9" w:rsidR="00E0328D" w:rsidRDefault="0069138D" w:rsidP="00E0328D">
      <w:pPr>
        <w:pStyle w:val="Bullet2"/>
      </w:pPr>
      <w:r>
        <w:t>time</w:t>
      </w:r>
      <w:r w:rsidR="00982220">
        <w:t>-</w:t>
      </w:r>
      <w:r w:rsidR="00C31E85">
        <w:t>critical clinical care (</w:t>
      </w:r>
      <w:r w:rsidR="003B3318">
        <w:t xml:space="preserve">for example, </w:t>
      </w:r>
      <w:r w:rsidR="00C31E85">
        <w:t>pathology</w:t>
      </w:r>
      <w:r w:rsidR="00982220">
        <w:t xml:space="preserve"> and</w:t>
      </w:r>
      <w:r w:rsidR="00C31E85">
        <w:t xml:space="preserve"> wound care)</w:t>
      </w:r>
    </w:p>
    <w:p w14:paraId="39B6C5D6" w14:textId="25D4B27C" w:rsidR="00CE5BCA" w:rsidRDefault="00DA0983" w:rsidP="00E0328D">
      <w:pPr>
        <w:pStyle w:val="Bullet2"/>
      </w:pPr>
      <w:r>
        <w:t>essential offsite appointments (</w:t>
      </w:r>
      <w:r w:rsidR="003B3318">
        <w:t xml:space="preserve">for example, </w:t>
      </w:r>
      <w:r>
        <w:t>dialysis) in consult</w:t>
      </w:r>
      <w:r w:rsidR="0061548E">
        <w:t>ation with the receiving service and transport provider</w:t>
      </w:r>
    </w:p>
    <w:p w14:paraId="113921E3" w14:textId="24E79483" w:rsidR="00BA2031" w:rsidRDefault="00982220" w:rsidP="002D5EF2">
      <w:pPr>
        <w:pStyle w:val="Bullet1"/>
      </w:pPr>
      <w:r>
        <w:t>e</w:t>
      </w:r>
      <w:r w:rsidR="0061548E">
        <w:t xml:space="preserve">nsure appropriate IPC measures </w:t>
      </w:r>
      <w:r w:rsidR="00CE5BCA">
        <w:t>are applied to all care and services.</w:t>
      </w:r>
    </w:p>
    <w:p w14:paraId="07747E15" w14:textId="6B5A7BD0" w:rsidR="007C0BD8" w:rsidRPr="00027E09" w:rsidRDefault="007C0BD8" w:rsidP="00027E09">
      <w:pPr>
        <w:pStyle w:val="Heading2"/>
        <w:rPr>
          <w:color w:val="1F497D" w:themeColor="text2"/>
        </w:rPr>
      </w:pPr>
      <w:bookmarkStart w:id="107" w:name="_Toc229644801"/>
      <w:r w:rsidRPr="00027E09">
        <w:rPr>
          <w:color w:val="1F497D" w:themeColor="text2"/>
        </w:rPr>
        <w:t>Contact management for a confirmed COVID-19 case</w:t>
      </w:r>
      <w:bookmarkEnd w:id="107"/>
    </w:p>
    <w:p w14:paraId="1B15AE65" w14:textId="63392B92" w:rsidR="007C0BD8" w:rsidRDefault="008F0A40" w:rsidP="007C0BD8">
      <w:pPr>
        <w:pStyle w:val="Body"/>
      </w:pPr>
      <w:r>
        <w:t>If a</w:t>
      </w:r>
      <w:r w:rsidR="003650C2">
        <w:t xml:space="preserve"> </w:t>
      </w:r>
      <w:r w:rsidR="009C0D73">
        <w:t>single</w:t>
      </w:r>
      <w:r w:rsidR="007C0BD8">
        <w:t xml:space="preserve"> resident or staff member is confirmed to have COVID-19, facilities should promptly undertake contact identification and risk assessment</w:t>
      </w:r>
      <w:r w:rsidR="00D5598D">
        <w:t>, including to:</w:t>
      </w:r>
    </w:p>
    <w:p w14:paraId="29D0061A" w14:textId="53C9F337" w:rsidR="007C0BD8" w:rsidRDefault="00F26F16" w:rsidP="007927B7">
      <w:pPr>
        <w:pStyle w:val="Bullet1"/>
      </w:pPr>
      <w:r>
        <w:t>i</w:t>
      </w:r>
      <w:r w:rsidR="007C0BD8">
        <w:t>dentify all contacts in accordance with the definitions below</w:t>
      </w:r>
    </w:p>
    <w:p w14:paraId="2C86C9C5" w14:textId="5CD933A2" w:rsidR="007C0BD8" w:rsidRDefault="00F26F16" w:rsidP="007927B7">
      <w:pPr>
        <w:pStyle w:val="Bullet1"/>
      </w:pPr>
      <w:r>
        <w:t>i</w:t>
      </w:r>
      <w:r w:rsidR="007C0BD8">
        <w:t xml:space="preserve">mplement </w:t>
      </w:r>
      <w:r w:rsidR="00BC732E" w:rsidRPr="00F9103D">
        <w:t>monitoring and management of identified contacts</w:t>
      </w:r>
      <w:r w:rsidR="00BC732E">
        <w:t xml:space="preserve"> (see </w:t>
      </w:r>
      <w:hyperlink w:anchor="Table4contactmanagement" w:history="1">
        <w:r w:rsidR="00BC732E">
          <w:rPr>
            <w:rStyle w:val="Hyperlink"/>
          </w:rPr>
          <w:t xml:space="preserve">Contact </w:t>
        </w:r>
        <w:r w:rsidR="00BC732E" w:rsidRPr="008D6B8C">
          <w:rPr>
            <w:rStyle w:val="Hyperlink"/>
          </w:rPr>
          <w:t>management</w:t>
        </w:r>
      </w:hyperlink>
      <w:r w:rsidR="00BC732E">
        <w:t>).</w:t>
      </w:r>
    </w:p>
    <w:p w14:paraId="51386631" w14:textId="49FB52CE" w:rsidR="00E55045" w:rsidRDefault="007C0BD8" w:rsidP="00F9103D">
      <w:pPr>
        <w:pStyle w:val="Bodyafterbullets"/>
        <w:spacing w:after="240"/>
      </w:pPr>
      <w:r>
        <w:t xml:space="preserve">Where </w:t>
      </w:r>
      <w:r w:rsidRPr="00FA461D">
        <w:t>the source of infection in a resident is unknown,</w:t>
      </w:r>
      <w:r>
        <w:rPr>
          <w:b/>
          <w:bCs/>
        </w:rPr>
        <w:t xml:space="preserve"> </w:t>
      </w:r>
      <w:r>
        <w:t>all residents in the affected zone(s) and other defined contacts</w:t>
      </w:r>
      <w:r w:rsidRPr="00903483">
        <w:t xml:space="preserve"> </w:t>
      </w:r>
      <w:r>
        <w:t>should be tested to assist in determining</w:t>
      </w:r>
      <w:r w:rsidRPr="00BC73B8">
        <w:t xml:space="preserve"> if there is an outbreak. </w:t>
      </w:r>
      <w:r>
        <w:t>Where possible, t</w:t>
      </w:r>
      <w:r w:rsidRPr="00BC73B8">
        <w:t xml:space="preserve">his testing should occur on the same day </w:t>
      </w:r>
      <w:r w:rsidR="00982220">
        <w:t xml:space="preserve">that </w:t>
      </w:r>
      <w:r w:rsidRPr="00BC73B8">
        <w:t xml:space="preserve">the positive case </w:t>
      </w:r>
      <w:r>
        <w:t>is</w:t>
      </w:r>
      <w:r w:rsidRPr="00BC73B8">
        <w:t xml:space="preserve"> identified.</w:t>
      </w:r>
      <w:bookmarkStart w:id="108" w:name="contactdefinitions"/>
    </w:p>
    <w:tbl>
      <w:tblPr>
        <w:tblStyle w:val="TableGrid"/>
        <w:tblW w:w="5000" w:type="pct"/>
        <w:tblLook w:val="04A0" w:firstRow="1" w:lastRow="0" w:firstColumn="1" w:lastColumn="0" w:noHBand="0" w:noVBand="1"/>
      </w:tblPr>
      <w:tblGrid>
        <w:gridCol w:w="9268"/>
      </w:tblGrid>
      <w:tr w:rsidR="00E55045" w14:paraId="6EAA1D8C" w14:textId="77777777" w:rsidTr="00E72186">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bookmarkEnd w:id="108"/>
          <w:p w14:paraId="440741CC" w14:textId="77777777" w:rsidR="00BC732E" w:rsidRDefault="00BC732E" w:rsidP="00F9103D">
            <w:pPr>
              <w:pStyle w:val="Tablecolhead"/>
              <w:rPr>
                <w:bCs/>
              </w:rPr>
            </w:pPr>
            <w:r>
              <w:t>COVID-19 contact definitions</w:t>
            </w:r>
            <w:r>
              <w:rPr>
                <w:bCs/>
              </w:rPr>
              <w:t xml:space="preserve"> </w:t>
            </w:r>
          </w:p>
          <w:p w14:paraId="5BAA08DE" w14:textId="4A6EF367" w:rsidR="00E55045" w:rsidRPr="00D20B55" w:rsidRDefault="00E55045" w:rsidP="00F9103D">
            <w:pPr>
              <w:pStyle w:val="Tabletext"/>
              <w:rPr>
                <w:rFonts w:eastAsia="Arial"/>
              </w:rPr>
            </w:pPr>
            <w:r w:rsidRPr="00F9103D">
              <w:rPr>
                <w:b/>
                <w:bCs/>
              </w:rPr>
              <w:t>Resident contact</w:t>
            </w:r>
            <w:r w:rsidR="00BC732E">
              <w:t xml:space="preserve"> refers to</w:t>
            </w:r>
            <w:r w:rsidR="009D7484">
              <w:rPr>
                <w:rFonts w:eastAsia="Arial"/>
              </w:rPr>
              <w:t xml:space="preserve"> a</w:t>
            </w:r>
            <w:r w:rsidRPr="00D20B55">
              <w:rPr>
                <w:rFonts w:eastAsia="Arial"/>
              </w:rPr>
              <w:t xml:space="preserve"> resident </w:t>
            </w:r>
            <w:r>
              <w:rPr>
                <w:rFonts w:eastAsia="Arial"/>
              </w:rPr>
              <w:t xml:space="preserve">who </w:t>
            </w:r>
            <w:r w:rsidRPr="00D20B55">
              <w:rPr>
                <w:rFonts w:eastAsia="Arial"/>
              </w:rPr>
              <w:t>has been exposed to a COVID-19 case:</w:t>
            </w:r>
          </w:p>
          <w:p w14:paraId="2523206A" w14:textId="1D7C9654" w:rsidR="00E55045" w:rsidRDefault="00E55045" w:rsidP="00F9103D">
            <w:pPr>
              <w:pStyle w:val="Tablebullet1"/>
            </w:pPr>
            <w:r>
              <w:t>i</w:t>
            </w:r>
            <w:r w:rsidRPr="00C063E2">
              <w:t>n a shared defined area (</w:t>
            </w:r>
            <w:r w:rsidR="003B3318">
              <w:t xml:space="preserve">for example, </w:t>
            </w:r>
            <w:r w:rsidRPr="00C063E2">
              <w:t xml:space="preserve">prolonged contact during activity or shared living space) </w:t>
            </w:r>
            <w:r w:rsidR="009D7484" w:rsidRPr="00F9103D">
              <w:rPr>
                <w:b/>
                <w:bCs/>
              </w:rPr>
              <w:t>OR</w:t>
            </w:r>
          </w:p>
          <w:p w14:paraId="2D8D0C30" w14:textId="5AD52587" w:rsidR="00E55045" w:rsidRDefault="009D7484" w:rsidP="00F9103D">
            <w:pPr>
              <w:pStyle w:val="Tablebullet1"/>
            </w:pPr>
            <w:r>
              <w:t xml:space="preserve">is an </w:t>
            </w:r>
            <w:r w:rsidR="00E55045">
              <w:t>o</w:t>
            </w:r>
            <w:r w:rsidR="00E55045" w:rsidRPr="00C063E2">
              <w:t>utbreak-related contact (</w:t>
            </w:r>
            <w:r>
              <w:t>for example,</w:t>
            </w:r>
            <w:r w:rsidR="00E55045" w:rsidRPr="00C063E2">
              <w:t xml:space="preserve"> co-located in the same ward</w:t>
            </w:r>
            <w:r>
              <w:t xml:space="preserve">, </w:t>
            </w:r>
            <w:r w:rsidR="00E55045" w:rsidRPr="00C063E2">
              <w:t>wing</w:t>
            </w:r>
            <w:r>
              <w:t xml:space="preserve"> or </w:t>
            </w:r>
            <w:r w:rsidR="00E55045" w:rsidRPr="00C063E2">
              <w:t>shared area with unknown exposure).</w:t>
            </w:r>
          </w:p>
          <w:p w14:paraId="77B9305A" w14:textId="6D6FE38E" w:rsidR="00E55045" w:rsidRPr="00D20B55" w:rsidRDefault="00E55045" w:rsidP="00F9103D">
            <w:pPr>
              <w:pStyle w:val="Tabletext"/>
              <w:rPr>
                <w:rFonts w:eastAsia="Arial"/>
              </w:rPr>
            </w:pPr>
            <w:r w:rsidRPr="00F9103D">
              <w:rPr>
                <w:b/>
                <w:bCs/>
              </w:rPr>
              <w:t>Staff contact</w:t>
            </w:r>
            <w:r w:rsidR="009D7484">
              <w:rPr>
                <w:rFonts w:eastAsia="Arial"/>
              </w:rPr>
              <w:t xml:space="preserve"> refers to a</w:t>
            </w:r>
            <w:r w:rsidRPr="00D20B55">
              <w:rPr>
                <w:rFonts w:eastAsia="Arial"/>
              </w:rPr>
              <w:t xml:space="preserve"> worker </w:t>
            </w:r>
            <w:r>
              <w:rPr>
                <w:rFonts w:eastAsia="Arial"/>
              </w:rPr>
              <w:t xml:space="preserve">who </w:t>
            </w:r>
            <w:r w:rsidRPr="00D20B55">
              <w:rPr>
                <w:rFonts w:eastAsia="Arial"/>
              </w:rPr>
              <w:t>has been exposed to a COVID-19 case within or outside the RCF with:</w:t>
            </w:r>
          </w:p>
          <w:p w14:paraId="6B800020" w14:textId="6F61501E" w:rsidR="00E55045" w:rsidRPr="009D7484" w:rsidRDefault="00E55045" w:rsidP="00F9103D">
            <w:pPr>
              <w:pStyle w:val="Tablebullet1"/>
              <w:rPr>
                <w:rFonts w:eastAsia="Arial"/>
              </w:rPr>
            </w:pPr>
            <w:r w:rsidRPr="009D7484">
              <w:rPr>
                <w:rFonts w:eastAsia="Arial"/>
              </w:rPr>
              <w:t>no effective PPE (</w:t>
            </w:r>
            <w:r w:rsidR="002D5991" w:rsidRPr="009D7484">
              <w:rPr>
                <w:rFonts w:eastAsia="Arial"/>
              </w:rPr>
              <w:t>P2/N95</w:t>
            </w:r>
            <w:r w:rsidRPr="009D7484">
              <w:rPr>
                <w:rFonts w:eastAsia="Arial"/>
              </w:rPr>
              <w:t xml:space="preserve"> </w:t>
            </w:r>
            <w:r>
              <w:t>respirator</w:t>
            </w:r>
            <w:r w:rsidRPr="009D7484">
              <w:rPr>
                <w:rFonts w:eastAsia="Arial"/>
              </w:rPr>
              <w:t>, eye protection) during aerosol</w:t>
            </w:r>
            <w:r w:rsidR="006E2E8E">
              <w:rPr>
                <w:rFonts w:eastAsia="Arial"/>
              </w:rPr>
              <w:t>-generating</w:t>
            </w:r>
            <w:r w:rsidRPr="009D7484">
              <w:rPr>
                <w:rFonts w:eastAsia="Arial"/>
              </w:rPr>
              <w:t xml:space="preserve"> behaviours or procedures</w:t>
            </w:r>
            <w:r w:rsidR="009D7484" w:rsidRPr="009D7484">
              <w:rPr>
                <w:rFonts w:eastAsia="Arial"/>
              </w:rPr>
              <w:t xml:space="preserve"> </w:t>
            </w:r>
            <w:r w:rsidR="009D7484" w:rsidRPr="00F9103D">
              <w:rPr>
                <w:rFonts w:eastAsia="Arial"/>
                <w:b/>
                <w:bCs/>
              </w:rPr>
              <w:t>OR</w:t>
            </w:r>
          </w:p>
          <w:p w14:paraId="7B8A7E3D" w14:textId="385B2F2D" w:rsidR="00E55045" w:rsidRPr="00F9103D" w:rsidRDefault="00E55045" w:rsidP="00F9103D">
            <w:pPr>
              <w:pStyle w:val="Tablebullet1"/>
              <w:rPr>
                <w:rFonts w:eastAsia="Arial"/>
                <w:b/>
                <w:bCs/>
              </w:rPr>
            </w:pPr>
            <w:r w:rsidRPr="009D7484">
              <w:rPr>
                <w:rFonts w:eastAsia="Arial"/>
              </w:rPr>
              <w:t>at least 15 minutes face</w:t>
            </w:r>
            <w:r w:rsidR="009D7484" w:rsidRPr="009D7484">
              <w:rPr>
                <w:rFonts w:eastAsia="Arial"/>
              </w:rPr>
              <w:t>-</w:t>
            </w:r>
            <w:r w:rsidRPr="009D7484">
              <w:rPr>
                <w:rFonts w:eastAsia="Arial"/>
              </w:rPr>
              <w:t>to</w:t>
            </w:r>
            <w:r w:rsidR="009D7484" w:rsidRPr="009D7484">
              <w:rPr>
                <w:rFonts w:eastAsia="Arial"/>
              </w:rPr>
              <w:t>-</w:t>
            </w:r>
            <w:r w:rsidRPr="009D7484">
              <w:rPr>
                <w:rFonts w:eastAsia="Arial"/>
              </w:rPr>
              <w:t xml:space="preserve">face contact where both a </w:t>
            </w:r>
            <w:r>
              <w:t xml:space="preserve">P2/N95 respirator </w:t>
            </w:r>
            <w:r w:rsidRPr="009D7484">
              <w:rPr>
                <w:rFonts w:eastAsia="Arial"/>
              </w:rPr>
              <w:t xml:space="preserve">and protective eyewear were not worn by </w:t>
            </w:r>
            <w:r w:rsidR="00B04737" w:rsidRPr="009D7484">
              <w:rPr>
                <w:rFonts w:eastAsia="Arial"/>
              </w:rPr>
              <w:t xml:space="preserve">the </w:t>
            </w:r>
            <w:r w:rsidRPr="009D7484">
              <w:rPr>
                <w:rFonts w:eastAsia="Arial"/>
              </w:rPr>
              <w:t>exposed person and the case was without a mask</w:t>
            </w:r>
            <w:r w:rsidR="009D7484">
              <w:rPr>
                <w:rFonts w:eastAsia="Arial"/>
              </w:rPr>
              <w:t xml:space="preserve"> </w:t>
            </w:r>
            <w:r w:rsidR="009D7484" w:rsidRPr="00F9103D">
              <w:rPr>
                <w:rFonts w:eastAsia="Arial"/>
                <w:b/>
                <w:bCs/>
              </w:rPr>
              <w:t>OR</w:t>
            </w:r>
          </w:p>
          <w:p w14:paraId="660F2923" w14:textId="1D2DAFC2" w:rsidR="00E55045" w:rsidRDefault="00E55045" w:rsidP="009D7484">
            <w:pPr>
              <w:pStyle w:val="Tablebullet1"/>
            </w:pPr>
            <w:r>
              <w:rPr>
                <w:rFonts w:eastAsia="Arial"/>
              </w:rPr>
              <w:t>g</w:t>
            </w:r>
            <w:r w:rsidRPr="00FA461D">
              <w:rPr>
                <w:rFonts w:eastAsia="Arial"/>
              </w:rPr>
              <w:t xml:space="preserve">reater than </w:t>
            </w:r>
            <w:r w:rsidR="009D7484">
              <w:rPr>
                <w:rFonts w:eastAsia="Arial"/>
              </w:rPr>
              <w:t>two</w:t>
            </w:r>
            <w:r w:rsidRPr="00FA461D">
              <w:rPr>
                <w:rFonts w:eastAsia="Arial"/>
              </w:rPr>
              <w:t xml:space="preserve"> hours in the same room as a case with inadequate PPE.</w:t>
            </w:r>
          </w:p>
        </w:tc>
      </w:tr>
    </w:tbl>
    <w:p w14:paraId="4D742628" w14:textId="0E483CC4" w:rsidR="00451245" w:rsidRPr="00F9103D" w:rsidRDefault="00451245" w:rsidP="00F9103D">
      <w:pPr>
        <w:pStyle w:val="Heading1"/>
        <w:numPr>
          <w:ilvl w:val="0"/>
          <w:numId w:val="12"/>
        </w:numPr>
        <w:rPr>
          <w:color w:val="1F497D" w:themeColor="text2"/>
        </w:rPr>
      </w:pPr>
      <w:bookmarkStart w:id="109" w:name="_Toc229644802"/>
      <w:r w:rsidRPr="00F9103D">
        <w:rPr>
          <w:color w:val="1F497D" w:themeColor="text2"/>
        </w:rPr>
        <w:lastRenderedPageBreak/>
        <w:t>Identification and reporting of an outbreak</w:t>
      </w:r>
      <w:bookmarkEnd w:id="109"/>
    </w:p>
    <w:p w14:paraId="2C3A6EC4" w14:textId="2ADA29C3" w:rsidR="007C0BD8" w:rsidRDefault="007C0BD8" w:rsidP="007C0BD8">
      <w:pPr>
        <w:pStyle w:val="Body"/>
      </w:pPr>
      <w:r w:rsidRPr="003F2A56">
        <w:t>Outbreaks may be suspected before laboratory confirmation is availabl</w:t>
      </w:r>
      <w:r>
        <w:t>e.</w:t>
      </w:r>
      <w:r w:rsidRPr="003F2A56">
        <w:t xml:space="preserve"> </w:t>
      </w:r>
      <w:r>
        <w:t>F</w:t>
      </w:r>
      <w:r w:rsidRPr="003F2A56">
        <w:t xml:space="preserve">acilities should not delay </w:t>
      </w:r>
      <w:r w:rsidR="000E637F">
        <w:t xml:space="preserve">reporting </w:t>
      </w:r>
      <w:r>
        <w:t>to</w:t>
      </w:r>
      <w:r w:rsidRPr="003F2A56">
        <w:t xml:space="preserve"> </w:t>
      </w:r>
      <w:r>
        <w:t xml:space="preserve">the </w:t>
      </w:r>
      <w:r w:rsidR="001D59D9">
        <w:t>LPHU</w:t>
      </w:r>
      <w:r>
        <w:t xml:space="preserve"> </w:t>
      </w:r>
      <w:r w:rsidRPr="003F2A56">
        <w:t xml:space="preserve">while waiting </w:t>
      </w:r>
      <w:r w:rsidR="009D7484">
        <w:t xml:space="preserve">for </w:t>
      </w:r>
      <w:r w:rsidRPr="003F2A56">
        <w:t>test results.</w:t>
      </w:r>
    </w:p>
    <w:p w14:paraId="68FA00CC" w14:textId="76F5DDC9" w:rsidR="00395E8E" w:rsidRDefault="00395E8E" w:rsidP="00F9103D">
      <w:pPr>
        <w:pStyle w:val="Tablecaption"/>
      </w:pPr>
      <w:r>
        <w:t xml:space="preserve">Table </w:t>
      </w:r>
      <w:fldSimple w:instr=" SEQ Table \* ARABIC ">
        <w:r w:rsidR="0031298E">
          <w:rPr>
            <w:noProof/>
          </w:rPr>
          <w:t>4</w:t>
        </w:r>
      </w:fldSimple>
      <w:r>
        <w:t xml:space="preserve">. </w:t>
      </w:r>
      <w:r w:rsidRPr="00B446B4">
        <w:t>Respiratory outbreak definitions</w:t>
      </w:r>
    </w:p>
    <w:tbl>
      <w:tblPr>
        <w:tblStyle w:val="TableGrid"/>
        <w:tblW w:w="0" w:type="auto"/>
        <w:tblLook w:val="04A0" w:firstRow="1" w:lastRow="0" w:firstColumn="1" w:lastColumn="0" w:noHBand="0" w:noVBand="1"/>
      </w:tblPr>
      <w:tblGrid>
        <w:gridCol w:w="2263"/>
        <w:gridCol w:w="7005"/>
      </w:tblGrid>
      <w:tr w:rsidR="00395E8E" w:rsidRPr="008C1BE0" w14:paraId="4445D17D" w14:textId="77777777" w:rsidTr="00F9103D">
        <w:tc>
          <w:tcPr>
            <w:tcW w:w="2263" w:type="dxa"/>
            <w:shd w:val="clear" w:color="auto" w:fill="F2F2F2" w:themeFill="background1" w:themeFillShade="F2"/>
          </w:tcPr>
          <w:p w14:paraId="36BB262A" w14:textId="79E8ACBF" w:rsidR="00395E8E" w:rsidRPr="008C1BE0" w:rsidRDefault="00395E8E" w:rsidP="00F9103D">
            <w:pPr>
              <w:pStyle w:val="Body"/>
              <w:rPr>
                <w:b/>
                <w:bCs/>
              </w:rPr>
            </w:pPr>
            <w:r w:rsidRPr="008C1BE0">
              <w:rPr>
                <w:b/>
                <w:bCs/>
              </w:rPr>
              <w:t>Type of outbreak</w:t>
            </w:r>
          </w:p>
        </w:tc>
        <w:tc>
          <w:tcPr>
            <w:tcW w:w="7005" w:type="dxa"/>
            <w:shd w:val="clear" w:color="auto" w:fill="F2F2F2" w:themeFill="background1" w:themeFillShade="F2"/>
          </w:tcPr>
          <w:p w14:paraId="44B3E430" w14:textId="5B709019" w:rsidR="00395E8E" w:rsidRPr="00F9103D" w:rsidRDefault="00395E8E" w:rsidP="00F9103D">
            <w:pPr>
              <w:pStyle w:val="Body"/>
              <w:rPr>
                <w:b/>
                <w:bCs/>
              </w:rPr>
            </w:pPr>
            <w:r w:rsidRPr="00F9103D">
              <w:rPr>
                <w:b/>
                <w:bCs/>
              </w:rPr>
              <w:t>Outbreak</w:t>
            </w:r>
          </w:p>
        </w:tc>
      </w:tr>
      <w:tr w:rsidR="00743DDB" w14:paraId="2CF30BA9" w14:textId="77777777" w:rsidTr="00F9103D">
        <w:tc>
          <w:tcPr>
            <w:tcW w:w="2263" w:type="dxa"/>
            <w:shd w:val="clear" w:color="auto" w:fill="F2F2F2" w:themeFill="background1" w:themeFillShade="F2"/>
          </w:tcPr>
          <w:p w14:paraId="52305D71" w14:textId="5EBC56F8" w:rsidR="00743DDB" w:rsidRPr="00E72186" w:rsidRDefault="00743DDB" w:rsidP="00E72186">
            <w:pPr>
              <w:pStyle w:val="Tabletext"/>
              <w:rPr>
                <w:b/>
              </w:rPr>
            </w:pPr>
            <w:r w:rsidRPr="000A1093">
              <w:rPr>
                <w:b/>
                <w:bCs/>
              </w:rPr>
              <w:t>Respiratory outbreak</w:t>
            </w:r>
          </w:p>
        </w:tc>
        <w:tc>
          <w:tcPr>
            <w:tcW w:w="7005" w:type="dxa"/>
          </w:tcPr>
          <w:p w14:paraId="598D731F" w14:textId="768DE85C" w:rsidR="00743DDB" w:rsidRPr="00E72186" w:rsidRDefault="00743DDB" w:rsidP="004B371A">
            <w:pPr>
              <w:pStyle w:val="Tabletext"/>
            </w:pPr>
            <w:r w:rsidRPr="000A1093">
              <w:t>Three or more resident cases of ARI in the facility within a 72-hour period</w:t>
            </w:r>
            <w:r w:rsidR="0065248E">
              <w:t>.</w:t>
            </w:r>
          </w:p>
        </w:tc>
      </w:tr>
      <w:tr w:rsidR="00743DDB" w14:paraId="5BC8B40F" w14:textId="77777777" w:rsidTr="00F9103D">
        <w:tc>
          <w:tcPr>
            <w:tcW w:w="2263" w:type="dxa"/>
            <w:shd w:val="clear" w:color="auto" w:fill="F2F2F2" w:themeFill="background1" w:themeFillShade="F2"/>
          </w:tcPr>
          <w:p w14:paraId="2020D106" w14:textId="51685CE0" w:rsidR="00743DDB" w:rsidRPr="00EB27FC" w:rsidRDefault="00743DDB" w:rsidP="00743DDB">
            <w:pPr>
              <w:pStyle w:val="Tabletext"/>
              <w:rPr>
                <w:b/>
              </w:rPr>
            </w:pPr>
            <w:r w:rsidRPr="000A1093">
              <w:rPr>
                <w:b/>
                <w:bCs/>
              </w:rPr>
              <w:t>COVID-19 outbreak</w:t>
            </w:r>
          </w:p>
        </w:tc>
        <w:tc>
          <w:tcPr>
            <w:tcW w:w="7005" w:type="dxa"/>
          </w:tcPr>
          <w:p w14:paraId="25FFA77A" w14:textId="032602BF" w:rsidR="00743DDB" w:rsidRPr="000A1093" w:rsidRDefault="00743DDB" w:rsidP="004B371A">
            <w:pPr>
              <w:pStyle w:val="Tabletext"/>
            </w:pPr>
            <w:r w:rsidRPr="000A1093">
              <w:t xml:space="preserve">Two or more residents in the facility test positive </w:t>
            </w:r>
            <w:r>
              <w:t>for</w:t>
            </w:r>
            <w:r w:rsidRPr="000A1093">
              <w:t xml:space="preserve"> COVID-19 within a 72-hour period</w:t>
            </w:r>
            <w:r w:rsidR="0065248E">
              <w:t>.</w:t>
            </w:r>
          </w:p>
        </w:tc>
      </w:tr>
      <w:tr w:rsidR="00743DDB" w14:paraId="7FD77A42" w14:textId="77777777" w:rsidTr="00F9103D">
        <w:tc>
          <w:tcPr>
            <w:tcW w:w="2263" w:type="dxa"/>
            <w:shd w:val="clear" w:color="auto" w:fill="F2F2F2" w:themeFill="background1" w:themeFillShade="F2"/>
          </w:tcPr>
          <w:p w14:paraId="5E2A4C7C" w14:textId="6A189FA2" w:rsidR="00743DDB" w:rsidRPr="00EB27FC" w:rsidRDefault="00743DDB" w:rsidP="004B371A">
            <w:pPr>
              <w:pStyle w:val="Tabletext"/>
              <w:rPr>
                <w:b/>
              </w:rPr>
            </w:pPr>
            <w:r w:rsidRPr="000A1093">
              <w:rPr>
                <w:b/>
                <w:bCs/>
              </w:rPr>
              <w:t>Influenza outbreak</w:t>
            </w:r>
          </w:p>
        </w:tc>
        <w:tc>
          <w:tcPr>
            <w:tcW w:w="7005" w:type="dxa"/>
          </w:tcPr>
          <w:p w14:paraId="17C51C32" w14:textId="56411B85" w:rsidR="00743DDB" w:rsidRPr="000A1093" w:rsidRDefault="00743DDB" w:rsidP="004B371A">
            <w:pPr>
              <w:pStyle w:val="Tabletext"/>
            </w:pPr>
            <w:r w:rsidRPr="000A1093">
              <w:t>Two or more residents in the facility test positive for influenza within a 72-hour period</w:t>
            </w:r>
            <w:r w:rsidR="0065248E">
              <w:t>.</w:t>
            </w:r>
          </w:p>
        </w:tc>
      </w:tr>
      <w:tr w:rsidR="00743DDB" w14:paraId="2BE46299" w14:textId="77777777" w:rsidTr="00F9103D">
        <w:tc>
          <w:tcPr>
            <w:tcW w:w="2263" w:type="dxa"/>
            <w:shd w:val="clear" w:color="auto" w:fill="F2F2F2" w:themeFill="background1" w:themeFillShade="F2"/>
          </w:tcPr>
          <w:p w14:paraId="065B1F41" w14:textId="02D33519" w:rsidR="00743DDB" w:rsidRPr="000A1093" w:rsidRDefault="00743DDB" w:rsidP="00395E8E">
            <w:pPr>
              <w:pStyle w:val="Tabletext"/>
              <w:rPr>
                <w:b/>
                <w:bCs/>
              </w:rPr>
            </w:pPr>
            <w:r w:rsidRPr="000A1093">
              <w:rPr>
                <w:b/>
                <w:bCs/>
              </w:rPr>
              <w:t>RSV outbreak</w:t>
            </w:r>
          </w:p>
        </w:tc>
        <w:tc>
          <w:tcPr>
            <w:tcW w:w="7005" w:type="dxa"/>
          </w:tcPr>
          <w:p w14:paraId="70CAB73C" w14:textId="3D4EC28B" w:rsidR="00743DDB" w:rsidRPr="000A1093" w:rsidRDefault="00743DDB" w:rsidP="004B371A">
            <w:pPr>
              <w:pStyle w:val="Tabletext"/>
            </w:pPr>
            <w:r w:rsidRPr="000A1093">
              <w:t xml:space="preserve">Two or more residents in the facility test positive </w:t>
            </w:r>
            <w:r>
              <w:t>for</w:t>
            </w:r>
            <w:r w:rsidRPr="000A1093">
              <w:t xml:space="preserve"> RSV within a 72-hour period</w:t>
            </w:r>
            <w:r w:rsidR="0065248E">
              <w:t>.</w:t>
            </w:r>
          </w:p>
        </w:tc>
      </w:tr>
    </w:tbl>
    <w:p w14:paraId="58B8205B" w14:textId="042B66F3" w:rsidR="007C0BD8" w:rsidRDefault="00F00EDD" w:rsidP="007C0BD8">
      <w:pPr>
        <w:pStyle w:val="Heading3"/>
      </w:pPr>
      <w:r>
        <w:t xml:space="preserve">Reporting </w:t>
      </w:r>
      <w:r w:rsidR="007C0BD8">
        <w:t>outbreaks</w:t>
      </w:r>
      <w:r w:rsidR="00B83022">
        <w:t xml:space="preserve"> to the LPHU</w:t>
      </w:r>
    </w:p>
    <w:p w14:paraId="055B3F5C" w14:textId="5245A8EF" w:rsidR="007C0BD8" w:rsidRDefault="007C0BD8" w:rsidP="007C0BD8">
      <w:pPr>
        <w:pStyle w:val="Body"/>
      </w:pPr>
      <w:r>
        <w:t>RCFs should</w:t>
      </w:r>
      <w:r w:rsidR="008B245D">
        <w:t xml:space="preserve"> </w:t>
      </w:r>
      <w:r w:rsidR="00750F36">
        <w:t>report a suspected or confirmed</w:t>
      </w:r>
      <w:r w:rsidR="00371EC1">
        <w:t xml:space="preserve"> respiratory outbreak to the LPHU as soon as it is identified. </w:t>
      </w:r>
      <w:r>
        <w:t xml:space="preserve">Outbreaks can be </w:t>
      </w:r>
      <w:r w:rsidR="00D21C40">
        <w:t xml:space="preserve">reported </w:t>
      </w:r>
      <w:r>
        <w:t>via:</w:t>
      </w:r>
    </w:p>
    <w:p w14:paraId="189A5C87" w14:textId="474077DB" w:rsidR="007C0BD8" w:rsidRPr="00051CB4" w:rsidRDefault="004933D9" w:rsidP="007927B7">
      <w:pPr>
        <w:pStyle w:val="Bullet1"/>
      </w:pPr>
      <w:r>
        <w:t>d</w:t>
      </w:r>
      <w:r w:rsidR="007C0BD8">
        <w:t xml:space="preserve">irect contact with the </w:t>
      </w:r>
      <w:hyperlink r:id="rId28" w:history="1">
        <w:r w:rsidR="008C1BE0" w:rsidRPr="008C1BE0">
          <w:rPr>
            <w:rStyle w:val="Hyperlink"/>
          </w:rPr>
          <w:t>LPHUs</w:t>
        </w:r>
      </w:hyperlink>
      <w:r w:rsidR="002862D5" w:rsidRPr="002862D5">
        <w:t xml:space="preserve"> </w:t>
      </w:r>
      <w:r w:rsidR="007C0BD8">
        <w:t>&lt;</w:t>
      </w:r>
      <w:r w:rsidR="007C0BD8" w:rsidRPr="00F52E51">
        <w:t>https://www.health.vic.gov.au/local-public-health-unit</w:t>
      </w:r>
      <w:r w:rsidR="007C0BD8">
        <w:t xml:space="preserve">s&gt; </w:t>
      </w:r>
    </w:p>
    <w:p w14:paraId="74DC720B" w14:textId="754058B0" w:rsidR="007C0BD8" w:rsidRDefault="004933D9" w:rsidP="007927B7">
      <w:pPr>
        <w:pStyle w:val="Bullet1"/>
      </w:pPr>
      <w:r>
        <w:t>t</w:t>
      </w:r>
      <w:r w:rsidR="007C0BD8">
        <w:t xml:space="preserve">elephone </w:t>
      </w:r>
      <w:r w:rsidR="007C0BD8" w:rsidRPr="0014515B">
        <w:t>notification to 1300 651 160</w:t>
      </w:r>
      <w:r w:rsidR="007C0BD8">
        <w:t>.</w:t>
      </w:r>
    </w:p>
    <w:p w14:paraId="48100961" w14:textId="0FB8A0C0" w:rsidR="007C0BD8" w:rsidRDefault="007C0BD8" w:rsidP="00FA461D">
      <w:pPr>
        <w:pStyle w:val="Heading3"/>
      </w:pPr>
      <w:r>
        <w:t>Inform GPs</w:t>
      </w:r>
      <w:r w:rsidR="008C1BE0">
        <w:t xml:space="preserve"> and </w:t>
      </w:r>
      <w:r w:rsidR="00CB6CDB">
        <w:t>NPs</w:t>
      </w:r>
    </w:p>
    <w:p w14:paraId="2DF05133" w14:textId="6DB8E7BD" w:rsidR="00780D2D" w:rsidRDefault="007C0BD8" w:rsidP="007C0BD8">
      <w:pPr>
        <w:pStyle w:val="Bullet1"/>
        <w:numPr>
          <w:ilvl w:val="0"/>
          <w:numId w:val="0"/>
        </w:numPr>
      </w:pPr>
      <w:r>
        <w:t>Once an outbreak is confirmed with the LPHU, RCFs should inform all visiting GPs</w:t>
      </w:r>
      <w:r w:rsidR="008C1BE0">
        <w:t xml:space="preserve"> and </w:t>
      </w:r>
      <w:r w:rsidR="00CB6CDB">
        <w:t>NPs</w:t>
      </w:r>
      <w:r>
        <w:t xml:space="preserve"> and issue the </w:t>
      </w:r>
      <w:hyperlink r:id="rId29" w:history="1">
        <w:r w:rsidR="008C1BE0">
          <w:rPr>
            <w:rStyle w:val="Hyperlink"/>
          </w:rPr>
          <w:t>Letter to GP – o</w:t>
        </w:r>
        <w:r w:rsidRPr="009D2CC1">
          <w:rPr>
            <w:rStyle w:val="Hyperlink"/>
          </w:rPr>
          <w:t xml:space="preserve">utbreak </w:t>
        </w:r>
        <w:r w:rsidR="008C1BE0">
          <w:rPr>
            <w:rStyle w:val="Hyperlink"/>
          </w:rPr>
          <w:t>in facility</w:t>
        </w:r>
      </w:hyperlink>
      <w:r w:rsidR="001659A3">
        <w:t xml:space="preserve"> &lt;</w:t>
      </w:r>
      <w:r w:rsidR="001659A3" w:rsidRPr="001659A3">
        <w:t>https://www.health.vic.gov.au/infectious-diseases/acute-respiratory-infection-management-residential-care-facilities</w:t>
      </w:r>
      <w:r w:rsidR="001659A3">
        <w:t>&gt;</w:t>
      </w:r>
      <w:r>
        <w:t>.</w:t>
      </w:r>
    </w:p>
    <w:p w14:paraId="2A44B1F8" w14:textId="699F3FA9" w:rsidR="007C0BD8" w:rsidRDefault="007C0BD8" w:rsidP="007C0BD8">
      <w:pPr>
        <w:pStyle w:val="Bullet1"/>
        <w:numPr>
          <w:ilvl w:val="0"/>
          <w:numId w:val="0"/>
        </w:numPr>
      </w:pPr>
      <w:r>
        <w:t>This will support</w:t>
      </w:r>
      <w:r w:rsidR="00E54685">
        <w:t>:</w:t>
      </w:r>
    </w:p>
    <w:p w14:paraId="286C47DE" w14:textId="70D04B6D" w:rsidR="007C0BD8" w:rsidRDefault="00E54685" w:rsidP="007927B7">
      <w:pPr>
        <w:pStyle w:val="Bullet1"/>
      </w:pPr>
      <w:r>
        <w:t>c</w:t>
      </w:r>
      <w:r w:rsidR="007C0BD8">
        <w:t>ollection of diagnostic swabs</w:t>
      </w:r>
    </w:p>
    <w:p w14:paraId="5D0DE225" w14:textId="01EA8286" w:rsidR="007C0BD8" w:rsidRDefault="00E54685" w:rsidP="007927B7">
      <w:pPr>
        <w:pStyle w:val="Bullet1"/>
      </w:pPr>
      <w:r>
        <w:t>e</w:t>
      </w:r>
      <w:r w:rsidR="007C0BD8">
        <w:t>arly treatment of symptomatic residents</w:t>
      </w:r>
    </w:p>
    <w:p w14:paraId="78A97EC1" w14:textId="1C9DEDC7" w:rsidR="007C0BD8" w:rsidRDefault="00E54685" w:rsidP="007927B7">
      <w:pPr>
        <w:pStyle w:val="Bullet1"/>
      </w:pPr>
      <w:r>
        <w:t>c</w:t>
      </w:r>
      <w:r w:rsidR="007C0BD8">
        <w:t xml:space="preserve">onsideration of influenza post-exposure prophylaxis where appropriate. </w:t>
      </w:r>
    </w:p>
    <w:bookmarkEnd w:id="8"/>
    <w:p w14:paraId="4275625E" w14:textId="3DE87DC6" w:rsidR="00314D7E" w:rsidRDefault="00314D7E">
      <w:pPr>
        <w:spacing w:after="0" w:line="240" w:lineRule="auto"/>
        <w:rPr>
          <w:rFonts w:eastAsia="Times"/>
        </w:rPr>
      </w:pPr>
      <w:r>
        <w:br w:type="page"/>
      </w:r>
    </w:p>
    <w:p w14:paraId="2CE1AB6D" w14:textId="77777777" w:rsidR="0084340E" w:rsidRDefault="0084340E" w:rsidP="00E376BE">
      <w:pPr>
        <w:pStyle w:val="Heading1"/>
        <w:numPr>
          <w:ilvl w:val="0"/>
          <w:numId w:val="10"/>
        </w:numPr>
        <w:ind w:left="709"/>
        <w:sectPr w:rsidR="0084340E" w:rsidSect="00454A7D">
          <w:headerReference w:type="even" r:id="rId30"/>
          <w:headerReference w:type="default" r:id="rId31"/>
          <w:footerReference w:type="even" r:id="rId32"/>
          <w:footerReference w:type="default" r:id="rId33"/>
          <w:headerReference w:type="first" r:id="rId34"/>
          <w:pgSz w:w="11906" w:h="16838" w:code="9"/>
          <w:pgMar w:top="1418" w:right="1304" w:bottom="1134" w:left="1304" w:header="680" w:footer="851" w:gutter="0"/>
          <w:cols w:space="340"/>
          <w:titlePg/>
          <w:docGrid w:linePitch="360"/>
        </w:sectPr>
      </w:pPr>
      <w:bookmarkStart w:id="110" w:name="_Toc197948677"/>
    </w:p>
    <w:p w14:paraId="118A5226" w14:textId="6E8B1BEF" w:rsidR="005A2A6D" w:rsidRPr="00027E09" w:rsidRDefault="005A2A6D" w:rsidP="00E376BE">
      <w:pPr>
        <w:pStyle w:val="Heading1"/>
        <w:numPr>
          <w:ilvl w:val="0"/>
          <w:numId w:val="12"/>
        </w:numPr>
        <w:rPr>
          <w:color w:val="1F497D" w:themeColor="text2"/>
        </w:rPr>
      </w:pPr>
      <w:bookmarkStart w:id="111" w:name="_Toc229644803"/>
      <w:r w:rsidRPr="00027E09">
        <w:rPr>
          <w:color w:val="1F497D" w:themeColor="text2"/>
        </w:rPr>
        <w:lastRenderedPageBreak/>
        <w:t>Respiratory outbreak management</w:t>
      </w:r>
      <w:bookmarkEnd w:id="110"/>
      <w:bookmarkEnd w:id="111"/>
    </w:p>
    <w:p w14:paraId="2C73C652" w14:textId="240815A4" w:rsidR="00895DE7" w:rsidRDefault="005A2A6D" w:rsidP="00DF2708">
      <w:pPr>
        <w:pStyle w:val="DHHSbody"/>
        <w:rPr>
          <w:sz w:val="21"/>
          <w:szCs w:val="21"/>
        </w:rPr>
      </w:pPr>
      <w:r w:rsidRPr="002F6CB0">
        <w:rPr>
          <w:sz w:val="21"/>
          <w:szCs w:val="21"/>
        </w:rPr>
        <w:t>Th</w:t>
      </w:r>
      <w:r w:rsidR="00FA0B73">
        <w:rPr>
          <w:sz w:val="21"/>
          <w:szCs w:val="21"/>
        </w:rPr>
        <w:t>e</w:t>
      </w:r>
      <w:r w:rsidRPr="002F6CB0">
        <w:rPr>
          <w:sz w:val="21"/>
          <w:szCs w:val="21"/>
        </w:rPr>
        <w:t xml:space="preserve"> table</w:t>
      </w:r>
      <w:r w:rsidR="00FA0B73">
        <w:rPr>
          <w:sz w:val="21"/>
          <w:szCs w:val="21"/>
        </w:rPr>
        <w:t xml:space="preserve">s </w:t>
      </w:r>
      <w:r w:rsidR="0048770C">
        <w:rPr>
          <w:sz w:val="21"/>
          <w:szCs w:val="21"/>
        </w:rPr>
        <w:t xml:space="preserve">in </w:t>
      </w:r>
      <w:r w:rsidR="00D92CC1">
        <w:rPr>
          <w:sz w:val="21"/>
          <w:szCs w:val="21"/>
        </w:rPr>
        <w:t>this section</w:t>
      </w:r>
      <w:r w:rsidRPr="002F6CB0">
        <w:rPr>
          <w:sz w:val="21"/>
          <w:szCs w:val="21"/>
        </w:rPr>
        <w:t xml:space="preserve"> </w:t>
      </w:r>
      <w:r w:rsidR="00F30E3A">
        <w:rPr>
          <w:sz w:val="21"/>
          <w:szCs w:val="21"/>
        </w:rPr>
        <w:t>summarise</w:t>
      </w:r>
      <w:r w:rsidR="00F30E3A" w:rsidRPr="002F6CB0">
        <w:rPr>
          <w:sz w:val="21"/>
          <w:szCs w:val="21"/>
        </w:rPr>
        <w:t xml:space="preserve"> </w:t>
      </w:r>
      <w:r w:rsidR="00BC0CE6">
        <w:rPr>
          <w:sz w:val="21"/>
          <w:szCs w:val="21"/>
        </w:rPr>
        <w:t>core</w:t>
      </w:r>
      <w:r w:rsidR="00BC0CE6" w:rsidRPr="002F6CB0">
        <w:rPr>
          <w:sz w:val="21"/>
          <w:szCs w:val="21"/>
        </w:rPr>
        <w:t xml:space="preserve"> </w:t>
      </w:r>
      <w:r w:rsidRPr="002F6CB0">
        <w:rPr>
          <w:sz w:val="21"/>
          <w:szCs w:val="21"/>
        </w:rPr>
        <w:t xml:space="preserve">actions for </w:t>
      </w:r>
      <w:r w:rsidR="00192DF4">
        <w:rPr>
          <w:sz w:val="21"/>
          <w:szCs w:val="21"/>
        </w:rPr>
        <w:t xml:space="preserve">viral </w:t>
      </w:r>
      <w:r w:rsidR="00BC0CE6">
        <w:rPr>
          <w:sz w:val="21"/>
          <w:szCs w:val="21"/>
        </w:rPr>
        <w:t xml:space="preserve">respiratory pathogens in RCFs, </w:t>
      </w:r>
      <w:r w:rsidR="005A271E">
        <w:rPr>
          <w:sz w:val="21"/>
          <w:szCs w:val="21"/>
        </w:rPr>
        <w:t>with a separate column</w:t>
      </w:r>
      <w:r w:rsidR="00FD3642">
        <w:rPr>
          <w:sz w:val="21"/>
          <w:szCs w:val="21"/>
        </w:rPr>
        <w:t xml:space="preserve"> </w:t>
      </w:r>
      <w:r w:rsidR="00EA2D81">
        <w:rPr>
          <w:sz w:val="21"/>
          <w:szCs w:val="21"/>
        </w:rPr>
        <w:t xml:space="preserve">to </w:t>
      </w:r>
      <w:r w:rsidR="00BE694B">
        <w:rPr>
          <w:sz w:val="21"/>
          <w:szCs w:val="21"/>
        </w:rPr>
        <w:t>outline additional</w:t>
      </w:r>
      <w:r w:rsidR="00FD3642">
        <w:rPr>
          <w:sz w:val="21"/>
          <w:szCs w:val="21"/>
        </w:rPr>
        <w:t xml:space="preserve"> pathogen-specific </w:t>
      </w:r>
      <w:r w:rsidR="00750B7F">
        <w:rPr>
          <w:sz w:val="21"/>
          <w:szCs w:val="21"/>
        </w:rPr>
        <w:t>considerations for C</w:t>
      </w:r>
      <w:r w:rsidRPr="002F6CB0">
        <w:rPr>
          <w:sz w:val="21"/>
          <w:szCs w:val="21"/>
        </w:rPr>
        <w:t>OVID-19, influenza,</w:t>
      </w:r>
      <w:r w:rsidR="00BC0CE6">
        <w:rPr>
          <w:sz w:val="21"/>
          <w:szCs w:val="21"/>
        </w:rPr>
        <w:t xml:space="preserve"> </w:t>
      </w:r>
      <w:r w:rsidRPr="002F6CB0">
        <w:rPr>
          <w:sz w:val="21"/>
          <w:szCs w:val="21"/>
        </w:rPr>
        <w:t>RSV</w:t>
      </w:r>
      <w:r w:rsidR="009E76C2">
        <w:rPr>
          <w:sz w:val="21"/>
          <w:szCs w:val="21"/>
        </w:rPr>
        <w:t xml:space="preserve"> and other respiratory pathogens.</w:t>
      </w:r>
      <w:r w:rsidR="00EC7298">
        <w:rPr>
          <w:sz w:val="21"/>
          <w:szCs w:val="21"/>
        </w:rPr>
        <w:t xml:space="preserve"> </w:t>
      </w:r>
      <w:r w:rsidR="0048770C">
        <w:rPr>
          <w:sz w:val="21"/>
          <w:szCs w:val="21"/>
        </w:rPr>
        <w:t>Th</w:t>
      </w:r>
      <w:r w:rsidR="009E76C2">
        <w:rPr>
          <w:sz w:val="21"/>
          <w:szCs w:val="21"/>
        </w:rPr>
        <w:t>ey</w:t>
      </w:r>
      <w:r w:rsidR="0048770C">
        <w:rPr>
          <w:sz w:val="21"/>
          <w:szCs w:val="21"/>
        </w:rPr>
        <w:t xml:space="preserve"> are</w:t>
      </w:r>
      <w:r w:rsidRPr="002F6CB0">
        <w:rPr>
          <w:sz w:val="21"/>
          <w:szCs w:val="21"/>
        </w:rPr>
        <w:t xml:space="preserve"> intended to support consistent </w:t>
      </w:r>
      <w:r w:rsidR="00AE32CF">
        <w:rPr>
          <w:sz w:val="21"/>
          <w:szCs w:val="21"/>
        </w:rPr>
        <w:t>IPC</w:t>
      </w:r>
      <w:r w:rsidRPr="002F6CB0">
        <w:rPr>
          <w:sz w:val="21"/>
          <w:szCs w:val="21"/>
        </w:rPr>
        <w:t xml:space="preserve"> practices, </w:t>
      </w:r>
      <w:r w:rsidR="00951EB9">
        <w:rPr>
          <w:sz w:val="21"/>
          <w:szCs w:val="21"/>
        </w:rPr>
        <w:t>guide</w:t>
      </w:r>
      <w:r w:rsidR="00951EB9" w:rsidRPr="002F6CB0">
        <w:rPr>
          <w:sz w:val="21"/>
          <w:szCs w:val="21"/>
        </w:rPr>
        <w:t xml:space="preserve"> </w:t>
      </w:r>
      <w:r w:rsidRPr="002F6CB0">
        <w:rPr>
          <w:sz w:val="21"/>
          <w:szCs w:val="21"/>
        </w:rPr>
        <w:t xml:space="preserve">staff in </w:t>
      </w:r>
      <w:r w:rsidR="00D0555D">
        <w:rPr>
          <w:sz w:val="21"/>
          <w:szCs w:val="21"/>
        </w:rPr>
        <w:t>outbreak response</w:t>
      </w:r>
      <w:r w:rsidRPr="002F6CB0">
        <w:rPr>
          <w:sz w:val="21"/>
          <w:szCs w:val="21"/>
        </w:rPr>
        <w:t xml:space="preserve">, and </w:t>
      </w:r>
      <w:r w:rsidR="00D0555D">
        <w:rPr>
          <w:sz w:val="21"/>
          <w:szCs w:val="21"/>
        </w:rPr>
        <w:t>help protect residents,</w:t>
      </w:r>
      <w:r w:rsidRPr="002F6CB0">
        <w:rPr>
          <w:sz w:val="21"/>
          <w:szCs w:val="21"/>
        </w:rPr>
        <w:t xml:space="preserve"> staff and visitors.</w:t>
      </w:r>
      <w:r w:rsidR="00613EC7">
        <w:rPr>
          <w:sz w:val="21"/>
          <w:szCs w:val="21"/>
        </w:rPr>
        <w:t xml:space="preserve"> </w:t>
      </w:r>
    </w:p>
    <w:p w14:paraId="3F6C88B0" w14:textId="71BA3C2E" w:rsidR="005A2A6D" w:rsidRDefault="00951EB9" w:rsidP="00DF2708">
      <w:pPr>
        <w:pStyle w:val="DHHSbody"/>
      </w:pPr>
      <w:r w:rsidRPr="00392FD0">
        <w:rPr>
          <w:sz w:val="21"/>
          <w:szCs w:val="21"/>
        </w:rPr>
        <w:t xml:space="preserve">For guidance on managing </w:t>
      </w:r>
      <w:r w:rsidRPr="00BA02E2">
        <w:rPr>
          <w:b/>
          <w:bCs/>
          <w:sz w:val="21"/>
          <w:szCs w:val="21"/>
        </w:rPr>
        <w:t>mixed-pathogen</w:t>
      </w:r>
      <w:r w:rsidRPr="00392FD0">
        <w:rPr>
          <w:sz w:val="21"/>
          <w:szCs w:val="21"/>
        </w:rPr>
        <w:t xml:space="preserve"> outbreaks</w:t>
      </w:r>
      <w:r>
        <w:rPr>
          <w:sz w:val="21"/>
          <w:szCs w:val="21"/>
        </w:rPr>
        <w:t xml:space="preserve">, </w:t>
      </w:r>
      <w:r w:rsidR="00780D2D">
        <w:rPr>
          <w:sz w:val="21"/>
          <w:szCs w:val="21"/>
        </w:rPr>
        <w:t>see</w:t>
      </w:r>
      <w:r>
        <w:rPr>
          <w:sz w:val="21"/>
          <w:szCs w:val="21"/>
        </w:rPr>
        <w:t xml:space="preserve"> </w:t>
      </w:r>
      <w:hyperlink w:anchor="_Mixed_respiratory_pathogen" w:history="1">
        <w:r w:rsidR="0095352E" w:rsidRPr="0095352E">
          <w:rPr>
            <w:rStyle w:val="Hyperlink"/>
            <w:sz w:val="21"/>
            <w:szCs w:val="21"/>
          </w:rPr>
          <w:t>Mixed respiratory pathogen outbreak management</w:t>
        </w:r>
      </w:hyperlink>
      <w:r w:rsidR="00AF75A3">
        <w:rPr>
          <w:sz w:val="21"/>
          <w:szCs w:val="21"/>
        </w:rPr>
        <w:t>. F</w:t>
      </w:r>
      <w:r w:rsidR="00DF2708">
        <w:rPr>
          <w:sz w:val="21"/>
          <w:szCs w:val="21"/>
        </w:rPr>
        <w:t xml:space="preserve">or outbreak criteria, </w:t>
      </w:r>
      <w:r w:rsidR="00780D2D">
        <w:rPr>
          <w:sz w:val="21"/>
          <w:szCs w:val="21"/>
        </w:rPr>
        <w:t>see</w:t>
      </w:r>
      <w:r w:rsidR="001B725A">
        <w:rPr>
          <w:sz w:val="21"/>
          <w:szCs w:val="21"/>
        </w:rPr>
        <w:t xml:space="preserve"> </w:t>
      </w:r>
      <w:hyperlink w:anchor="respOBdefs" w:history="1">
        <w:r w:rsidR="00377453">
          <w:rPr>
            <w:rStyle w:val="Hyperlink"/>
            <w:sz w:val="21"/>
            <w:szCs w:val="21"/>
          </w:rPr>
          <w:t>Outbreak definitions</w:t>
        </w:r>
      </w:hyperlink>
      <w:r w:rsidR="001B725A">
        <w:rPr>
          <w:sz w:val="21"/>
          <w:szCs w:val="21"/>
        </w:rPr>
        <w:t>.</w:t>
      </w:r>
    </w:p>
    <w:p w14:paraId="66E6033B" w14:textId="70F31943" w:rsidR="00780D2D" w:rsidRDefault="00780D2D" w:rsidP="00F9103D">
      <w:pPr>
        <w:pStyle w:val="Tablecaption"/>
      </w:pPr>
      <w:r>
        <w:t xml:space="preserve">Table </w:t>
      </w:r>
      <w:fldSimple w:instr=" SEQ Table \* ARABIC ">
        <w:r w:rsidR="0031298E">
          <w:rPr>
            <w:noProof/>
          </w:rPr>
          <w:t>5</w:t>
        </w:r>
      </w:fldSimple>
      <w:r>
        <w:t xml:space="preserve">. </w:t>
      </w:r>
      <w:r w:rsidRPr="002A07C9">
        <w:t>Activate</w:t>
      </w:r>
      <w:r w:rsidR="00571984">
        <w:t xml:space="preserve"> an</w:t>
      </w:r>
      <w:r w:rsidRPr="002A07C9">
        <w:t xml:space="preserve"> </w:t>
      </w:r>
      <w:r w:rsidR="00B449C1">
        <w:t>OMP</w:t>
      </w:r>
    </w:p>
    <w:tbl>
      <w:tblPr>
        <w:tblStyle w:val="TableGrid"/>
        <w:tblW w:w="5000" w:type="pct"/>
        <w:tblLook w:val="04A0" w:firstRow="1" w:lastRow="0" w:firstColumn="1" w:lastColumn="0" w:noHBand="0" w:noVBand="1"/>
      </w:tblPr>
      <w:tblGrid>
        <w:gridCol w:w="2889"/>
        <w:gridCol w:w="6239"/>
        <w:gridCol w:w="5148"/>
      </w:tblGrid>
      <w:tr w:rsidR="00F73709" w:rsidRPr="0067573C" w14:paraId="7F69BE69" w14:textId="77777777" w:rsidTr="00FA461D">
        <w:tc>
          <w:tcPr>
            <w:tcW w:w="1012" w:type="pct"/>
            <w:shd w:val="clear" w:color="auto" w:fill="4F81BD" w:themeFill="accent1"/>
          </w:tcPr>
          <w:p w14:paraId="063CA992" w14:textId="77777777" w:rsidR="00F73709" w:rsidRPr="00027E09" w:rsidRDefault="00F73709" w:rsidP="00555BB4">
            <w:pPr>
              <w:rPr>
                <w:rFonts w:asciiTheme="majorHAnsi" w:hAnsiTheme="majorHAnsi" w:cstheme="majorHAnsi"/>
                <w:color w:val="FFFFFF" w:themeColor="background1"/>
              </w:rPr>
            </w:pPr>
          </w:p>
        </w:tc>
        <w:tc>
          <w:tcPr>
            <w:tcW w:w="2185" w:type="pct"/>
            <w:shd w:val="clear" w:color="auto" w:fill="4F81BD" w:themeFill="accent1"/>
          </w:tcPr>
          <w:p w14:paraId="604207F9" w14:textId="77777777" w:rsidR="00F73709" w:rsidRPr="00027E09" w:rsidRDefault="00F73709" w:rsidP="00555BB4">
            <w:pPr>
              <w:pStyle w:val="Tablecolhead"/>
              <w:rPr>
                <w:color w:val="FFFFFF" w:themeColor="background1"/>
              </w:rPr>
            </w:pPr>
            <w:r>
              <w:rPr>
                <w:color w:val="FFFFFF" w:themeColor="background1"/>
              </w:rPr>
              <w:t>Core actions for all respiratory outbreaks</w:t>
            </w:r>
          </w:p>
        </w:tc>
        <w:tc>
          <w:tcPr>
            <w:tcW w:w="1803" w:type="pct"/>
            <w:shd w:val="clear" w:color="auto" w:fill="4F81BD" w:themeFill="accent1"/>
          </w:tcPr>
          <w:p w14:paraId="6038D5AA" w14:textId="77777777" w:rsidR="00F73709" w:rsidRPr="00027E09" w:rsidRDefault="00F73709" w:rsidP="00555BB4">
            <w:pPr>
              <w:pStyle w:val="Tablecolhead"/>
              <w:rPr>
                <w:color w:val="FFFFFF" w:themeColor="background1"/>
              </w:rPr>
            </w:pPr>
            <w:r>
              <w:rPr>
                <w:color w:val="FFFFFF" w:themeColor="background1"/>
              </w:rPr>
              <w:t>Pathogen-specific considerations</w:t>
            </w:r>
          </w:p>
        </w:tc>
      </w:tr>
      <w:tr w:rsidR="00F73709" w:rsidRPr="00595D36" w14:paraId="377EEDD7" w14:textId="77777777" w:rsidTr="00FA461D">
        <w:tc>
          <w:tcPr>
            <w:tcW w:w="1012" w:type="pct"/>
          </w:tcPr>
          <w:p w14:paraId="16BAB251" w14:textId="77777777" w:rsidR="00F73709" w:rsidRPr="00595D36" w:rsidRDefault="00F73709" w:rsidP="00555BB4">
            <w:pPr>
              <w:pStyle w:val="Tablecolhead"/>
            </w:pPr>
            <w:r>
              <w:t>Outbreak management plan</w:t>
            </w:r>
          </w:p>
        </w:tc>
        <w:tc>
          <w:tcPr>
            <w:tcW w:w="2185" w:type="pct"/>
          </w:tcPr>
          <w:p w14:paraId="2347B2D5" w14:textId="40BE4FA4" w:rsidR="00197152" w:rsidRDefault="00F73709" w:rsidP="000552C2">
            <w:pPr>
              <w:pStyle w:val="Tablebullet1"/>
            </w:pPr>
            <w:r w:rsidRPr="0067573C">
              <w:t xml:space="preserve">Ensure the </w:t>
            </w:r>
            <w:r w:rsidR="00B449C1">
              <w:t>OMP</w:t>
            </w:r>
            <w:r w:rsidR="00F94A57" w:rsidRPr="00F94A57" w:rsidDel="00F94A57">
              <w:t xml:space="preserve"> </w:t>
            </w:r>
            <w:r w:rsidRPr="0067573C">
              <w:t>is current</w:t>
            </w:r>
            <w:r w:rsidR="00780D2D">
              <w:t>.</w:t>
            </w:r>
          </w:p>
          <w:p w14:paraId="539C8DC2" w14:textId="60021E64" w:rsidR="00197152" w:rsidRDefault="00197152" w:rsidP="000552C2">
            <w:pPr>
              <w:pStyle w:val="Tablebullet1"/>
            </w:pPr>
            <w:r>
              <w:t>C</w:t>
            </w:r>
            <w:r w:rsidR="00F73709" w:rsidRPr="0067573C">
              <w:t>larify roles and responsibilities</w:t>
            </w:r>
            <w:r>
              <w:t xml:space="preserve"> and</w:t>
            </w:r>
            <w:r w:rsidR="00F73709" w:rsidRPr="0067573C">
              <w:t xml:space="preserve"> brief staff</w:t>
            </w:r>
            <w:r w:rsidR="00780D2D">
              <w:t>.</w:t>
            </w:r>
          </w:p>
          <w:p w14:paraId="13577DC2" w14:textId="4A46EED7" w:rsidR="00F73709" w:rsidRPr="00595D36" w:rsidRDefault="00197152" w:rsidP="000552C2">
            <w:pPr>
              <w:pStyle w:val="Tablebullet1"/>
            </w:pPr>
            <w:r>
              <w:t>A</w:t>
            </w:r>
            <w:r w:rsidR="00F73709" w:rsidRPr="0067573C">
              <w:t>ctivate communication pathways</w:t>
            </w:r>
            <w:r w:rsidR="00780D2D">
              <w:t>.</w:t>
            </w:r>
          </w:p>
        </w:tc>
        <w:tc>
          <w:tcPr>
            <w:tcW w:w="1803" w:type="pct"/>
          </w:tcPr>
          <w:p w14:paraId="1E803506" w14:textId="35BF1CFC" w:rsidR="00F73709" w:rsidRPr="00595D36" w:rsidRDefault="00F73709" w:rsidP="008902D6">
            <w:pPr>
              <w:pStyle w:val="Tabletext"/>
            </w:pPr>
          </w:p>
        </w:tc>
      </w:tr>
    </w:tbl>
    <w:p w14:paraId="736D7C24" w14:textId="45F9F823" w:rsidR="00736B32" w:rsidRDefault="00736B32" w:rsidP="00F9103D">
      <w:pPr>
        <w:pStyle w:val="Tablecaption"/>
      </w:pPr>
      <w:r>
        <w:t xml:space="preserve">Table </w:t>
      </w:r>
      <w:fldSimple w:instr=" SEQ Table \* ARABIC ">
        <w:r w:rsidR="0031298E">
          <w:rPr>
            <w:noProof/>
          </w:rPr>
          <w:t>6</w:t>
        </w:r>
      </w:fldSimple>
      <w:r>
        <w:t xml:space="preserve">. </w:t>
      </w:r>
      <w:r w:rsidRPr="00D42C73">
        <w:t>Infection prevention and control measures</w:t>
      </w:r>
    </w:p>
    <w:tbl>
      <w:tblPr>
        <w:tblStyle w:val="TableGrid"/>
        <w:tblW w:w="5000" w:type="pct"/>
        <w:tblLook w:val="04A0" w:firstRow="1" w:lastRow="0" w:firstColumn="1" w:lastColumn="0" w:noHBand="0" w:noVBand="1"/>
      </w:tblPr>
      <w:tblGrid>
        <w:gridCol w:w="2955"/>
        <w:gridCol w:w="6324"/>
        <w:gridCol w:w="4997"/>
      </w:tblGrid>
      <w:tr w:rsidR="0054087C" w:rsidRPr="0067573C" w14:paraId="145F58EA" w14:textId="77777777" w:rsidTr="0014789C">
        <w:trPr>
          <w:tblHeader/>
        </w:trPr>
        <w:tc>
          <w:tcPr>
            <w:tcW w:w="1035" w:type="pct"/>
            <w:shd w:val="clear" w:color="auto" w:fill="4F81BD" w:themeFill="accent1"/>
          </w:tcPr>
          <w:p w14:paraId="29B63DE7" w14:textId="77777777" w:rsidR="0054087C" w:rsidRPr="00027E09" w:rsidRDefault="0054087C" w:rsidP="0054087C">
            <w:pPr>
              <w:pStyle w:val="Tablecolhead"/>
              <w:rPr>
                <w:color w:val="FFFFFF" w:themeColor="background1"/>
              </w:rPr>
            </w:pPr>
          </w:p>
        </w:tc>
        <w:tc>
          <w:tcPr>
            <w:tcW w:w="2215" w:type="pct"/>
            <w:shd w:val="clear" w:color="auto" w:fill="4F81BD" w:themeFill="accent1"/>
          </w:tcPr>
          <w:p w14:paraId="4F717D51" w14:textId="145F45BD" w:rsidR="0054087C" w:rsidRPr="00027E09" w:rsidRDefault="0054087C" w:rsidP="0054087C">
            <w:pPr>
              <w:pStyle w:val="Tablecolhead"/>
              <w:rPr>
                <w:color w:val="FFFFFF" w:themeColor="background1"/>
              </w:rPr>
            </w:pPr>
            <w:r>
              <w:rPr>
                <w:color w:val="FFFFFF" w:themeColor="background1"/>
              </w:rPr>
              <w:t>Core actions for all respiratory outbreaks</w:t>
            </w:r>
          </w:p>
        </w:tc>
        <w:tc>
          <w:tcPr>
            <w:tcW w:w="1750" w:type="pct"/>
            <w:shd w:val="clear" w:color="auto" w:fill="4F81BD" w:themeFill="accent1"/>
          </w:tcPr>
          <w:p w14:paraId="4FE16152" w14:textId="629DC8BA" w:rsidR="0054087C" w:rsidRPr="00027E09" w:rsidRDefault="0054087C" w:rsidP="0054087C">
            <w:pPr>
              <w:pStyle w:val="Tablecolhead"/>
              <w:rPr>
                <w:color w:val="FFFFFF" w:themeColor="background1"/>
              </w:rPr>
            </w:pPr>
            <w:r>
              <w:rPr>
                <w:color w:val="FFFFFF" w:themeColor="background1"/>
              </w:rPr>
              <w:t>Pathogen-specific considerations</w:t>
            </w:r>
          </w:p>
        </w:tc>
      </w:tr>
      <w:tr w:rsidR="0054087C" w:rsidRPr="00595D36" w14:paraId="50982686" w14:textId="77777777" w:rsidTr="002069A2">
        <w:trPr>
          <w:trHeight w:val="924"/>
        </w:trPr>
        <w:tc>
          <w:tcPr>
            <w:tcW w:w="1035" w:type="pct"/>
          </w:tcPr>
          <w:p w14:paraId="28E2BF7B" w14:textId="77777777" w:rsidR="0054087C" w:rsidRPr="00595D36" w:rsidRDefault="0054087C" w:rsidP="00F9103D">
            <w:pPr>
              <w:pStyle w:val="Tabletext"/>
            </w:pPr>
            <w:bookmarkStart w:id="112" w:name="PPEprecautions"/>
            <w:r w:rsidRPr="00595D36">
              <w:t>Precautions</w:t>
            </w:r>
            <w:bookmarkEnd w:id="112"/>
          </w:p>
        </w:tc>
        <w:tc>
          <w:tcPr>
            <w:tcW w:w="2215" w:type="pct"/>
          </w:tcPr>
          <w:p w14:paraId="523B724D" w14:textId="3991B0B0" w:rsidR="001368A8" w:rsidRDefault="001368A8" w:rsidP="008557EC">
            <w:pPr>
              <w:pStyle w:val="Tablebullet1"/>
            </w:pPr>
            <w:r>
              <w:t xml:space="preserve">Reinforce </w:t>
            </w:r>
            <w:r w:rsidR="0054087C">
              <w:t xml:space="preserve">standard </w:t>
            </w:r>
            <w:r>
              <w:t>precautions.</w:t>
            </w:r>
          </w:p>
          <w:p w14:paraId="782A1C25" w14:textId="5C7B913E" w:rsidR="00B25AC4" w:rsidRDefault="001368A8" w:rsidP="008557EC">
            <w:pPr>
              <w:pStyle w:val="Tablebullet1"/>
            </w:pPr>
            <w:r>
              <w:t>Implement</w:t>
            </w:r>
            <w:r w:rsidR="0054087C">
              <w:t xml:space="preserve"> transmission-based precautions</w:t>
            </w:r>
            <w:r>
              <w:t>.</w:t>
            </w:r>
          </w:p>
          <w:p w14:paraId="1C86A1DD" w14:textId="550C486A" w:rsidR="0054087C" w:rsidRPr="00595D36" w:rsidRDefault="0054087C" w:rsidP="00F9103D">
            <w:pPr>
              <w:pStyle w:val="Tablebullet1"/>
            </w:pPr>
            <w:r>
              <w:t>Use a P2/N95 respirator for aerosol-generating procedures</w:t>
            </w:r>
            <w:r w:rsidR="005D1E21">
              <w:t>.</w:t>
            </w:r>
            <w:r w:rsidRPr="0067573C">
              <w:t xml:space="preserve"> </w:t>
            </w:r>
          </w:p>
        </w:tc>
        <w:tc>
          <w:tcPr>
            <w:tcW w:w="1750" w:type="pct"/>
          </w:tcPr>
          <w:p w14:paraId="6C5DF000" w14:textId="4F91087D" w:rsidR="00B25AC4" w:rsidRDefault="0054087C" w:rsidP="00F9103D">
            <w:pPr>
              <w:pStyle w:val="Tablebullet1"/>
            </w:pPr>
            <w:r>
              <w:rPr>
                <w:b/>
                <w:bCs/>
              </w:rPr>
              <w:t xml:space="preserve">COVID-19: </w:t>
            </w:r>
            <w:r>
              <w:t>Airborne precautions</w:t>
            </w:r>
            <w:r w:rsidR="00780D2D">
              <w:t>.</w:t>
            </w:r>
          </w:p>
          <w:p w14:paraId="72D27EA9" w14:textId="7134D564" w:rsidR="0054087C" w:rsidRDefault="0054087C" w:rsidP="00F9103D">
            <w:pPr>
              <w:pStyle w:val="Tablebullet1"/>
            </w:pPr>
            <w:r>
              <w:rPr>
                <w:b/>
                <w:bCs/>
              </w:rPr>
              <w:t>Influenza</w:t>
            </w:r>
            <w:r w:rsidR="00367DD3">
              <w:rPr>
                <w:b/>
                <w:bCs/>
              </w:rPr>
              <w:t>,</w:t>
            </w:r>
            <w:r>
              <w:rPr>
                <w:b/>
                <w:bCs/>
              </w:rPr>
              <w:t xml:space="preserve"> RSV </w:t>
            </w:r>
            <w:r w:rsidR="00367DD3">
              <w:rPr>
                <w:b/>
                <w:bCs/>
              </w:rPr>
              <w:t>and</w:t>
            </w:r>
            <w:r>
              <w:rPr>
                <w:b/>
                <w:bCs/>
              </w:rPr>
              <w:t xml:space="preserve"> other respiratory pathogens: </w:t>
            </w:r>
            <w:r>
              <w:t>Droplet precautions</w:t>
            </w:r>
            <w:r w:rsidR="00780D2D">
              <w:t>.</w:t>
            </w:r>
          </w:p>
          <w:p w14:paraId="6F6D5664" w14:textId="49C30A8B" w:rsidR="0049347E" w:rsidRPr="000D0E89" w:rsidRDefault="0049347E" w:rsidP="00F9103D">
            <w:pPr>
              <w:pStyle w:val="Tablebullet1"/>
            </w:pPr>
            <w:r>
              <w:rPr>
                <w:b/>
                <w:bCs/>
              </w:rPr>
              <w:t>Mixed</w:t>
            </w:r>
            <w:r w:rsidR="006E2E8E">
              <w:rPr>
                <w:b/>
                <w:bCs/>
              </w:rPr>
              <w:t>-pathogen</w:t>
            </w:r>
            <w:r w:rsidR="000D0E89">
              <w:rPr>
                <w:b/>
                <w:bCs/>
              </w:rPr>
              <w:t xml:space="preserve"> outbreaks:</w:t>
            </w:r>
            <w:r w:rsidR="000D0E89">
              <w:t xml:space="preserve"> Follow the highest level of precautions required for any pathogen present (</w:t>
            </w:r>
            <w:r w:rsidR="00780D2D">
              <w:t>for example,</w:t>
            </w:r>
            <w:r w:rsidR="000D0E89">
              <w:t xml:space="preserve"> airborne precautions if COVID-19 is involved)</w:t>
            </w:r>
            <w:r w:rsidR="00780D2D">
              <w:t>.</w:t>
            </w:r>
          </w:p>
        </w:tc>
      </w:tr>
      <w:tr w:rsidR="00D1037C" w:rsidRPr="00595D36" w14:paraId="583324FD" w14:textId="77777777" w:rsidTr="00B25AC4">
        <w:trPr>
          <w:trHeight w:val="924"/>
        </w:trPr>
        <w:tc>
          <w:tcPr>
            <w:tcW w:w="1035" w:type="pct"/>
          </w:tcPr>
          <w:p w14:paraId="0601B3F6" w14:textId="74A5D218" w:rsidR="00D1037C" w:rsidRPr="00595D36" w:rsidRDefault="00D1037C" w:rsidP="00F9103D">
            <w:pPr>
              <w:pStyle w:val="Tabletext"/>
            </w:pPr>
            <w:r>
              <w:t>Vaccination</w:t>
            </w:r>
          </w:p>
        </w:tc>
        <w:tc>
          <w:tcPr>
            <w:tcW w:w="2215" w:type="pct"/>
          </w:tcPr>
          <w:p w14:paraId="157F3ADE" w14:textId="577A84B6" w:rsidR="00D1037C" w:rsidRDefault="00D1037C" w:rsidP="008557EC">
            <w:pPr>
              <w:pStyle w:val="Tablebullet1"/>
            </w:pPr>
            <w:r>
              <w:t xml:space="preserve">Review vaccination records of all residents and staff - encourage and support vaccination per current </w:t>
            </w:r>
            <w:hyperlink r:id="rId35" w:history="1">
              <w:r w:rsidRPr="002F6CB0">
                <w:rPr>
                  <w:rStyle w:val="Hyperlink"/>
                  <w:rFonts w:cs="Arial"/>
                </w:rPr>
                <w:t>ATAGI recommendations</w:t>
              </w:r>
            </w:hyperlink>
            <w:r>
              <w:t xml:space="preserve"> </w:t>
            </w:r>
            <w:r w:rsidR="00780D2D">
              <w:t>&lt;</w:t>
            </w:r>
            <w:r w:rsidR="00780D2D" w:rsidRPr="00780D2D">
              <w:t>https://www.health.gov.au/committees-</w:t>
            </w:r>
            <w:r w:rsidR="00780D2D" w:rsidRPr="00780D2D">
              <w:lastRenderedPageBreak/>
              <w:t>and-groups/atagi?language=und</w:t>
            </w:r>
            <w:r w:rsidR="00780D2D">
              <w:t>&gt;</w:t>
            </w:r>
            <w:r>
              <w:t>and f</w:t>
            </w:r>
            <w:r w:rsidRPr="00315FFA">
              <w:t xml:space="preserve">ollow </w:t>
            </w:r>
            <w:r>
              <w:t xml:space="preserve">ATAGI </w:t>
            </w:r>
            <w:r w:rsidRPr="00315FFA">
              <w:t>advice post</w:t>
            </w:r>
            <w:r w:rsidR="00981658">
              <w:t xml:space="preserve"> </w:t>
            </w:r>
            <w:r w:rsidRPr="00315FFA">
              <w:t>infection.</w:t>
            </w:r>
          </w:p>
          <w:p w14:paraId="0A61A482" w14:textId="4D021CEE" w:rsidR="00D1037C" w:rsidRDefault="00D1037C" w:rsidP="008557EC">
            <w:pPr>
              <w:pStyle w:val="Tablebullet1"/>
            </w:pPr>
            <w:r>
              <w:t>Vaccination can proceed during an outbreak with appropriate IPC.</w:t>
            </w:r>
          </w:p>
        </w:tc>
        <w:tc>
          <w:tcPr>
            <w:tcW w:w="1750" w:type="pct"/>
          </w:tcPr>
          <w:p w14:paraId="5EF0D548" w14:textId="12421D2D" w:rsidR="00D1037C" w:rsidRPr="002069A2" w:rsidRDefault="00D1037C" w:rsidP="008557EC">
            <w:pPr>
              <w:pStyle w:val="Tablebullet1"/>
            </w:pPr>
            <w:r w:rsidRPr="00F9103D">
              <w:rPr>
                <w:b/>
                <w:bCs/>
              </w:rPr>
              <w:lastRenderedPageBreak/>
              <w:t>Influenza</w:t>
            </w:r>
            <w:r>
              <w:t xml:space="preserve">: </w:t>
            </w:r>
            <w:r w:rsidRPr="00315FFA">
              <w:t>Vaccinated staff should care for residents</w:t>
            </w:r>
            <w:r w:rsidR="001E4CBB">
              <w:t xml:space="preserve"> with influenza</w:t>
            </w:r>
            <w:r>
              <w:t>.</w:t>
            </w:r>
          </w:p>
        </w:tc>
      </w:tr>
      <w:tr w:rsidR="0054087C" w:rsidRPr="00595D36" w14:paraId="176DEFF4" w14:textId="77777777" w:rsidTr="00FA461D">
        <w:tc>
          <w:tcPr>
            <w:tcW w:w="1035" w:type="pct"/>
          </w:tcPr>
          <w:p w14:paraId="780AC79B" w14:textId="77777777" w:rsidR="0054087C" w:rsidRPr="00595D36" w:rsidRDefault="0054087C" w:rsidP="00F9103D">
            <w:pPr>
              <w:pStyle w:val="Tabletext"/>
            </w:pPr>
            <w:r w:rsidRPr="0067573C">
              <w:t>Cleaning</w:t>
            </w:r>
          </w:p>
        </w:tc>
        <w:tc>
          <w:tcPr>
            <w:tcW w:w="2215" w:type="pct"/>
          </w:tcPr>
          <w:p w14:paraId="7C14B61E" w14:textId="0D65FFC6" w:rsidR="00B25AC4" w:rsidRDefault="0054087C" w:rsidP="008557EC">
            <w:pPr>
              <w:pStyle w:val="Tablebullet1"/>
            </w:pPr>
            <w:r>
              <w:t>C</w:t>
            </w:r>
            <w:r w:rsidRPr="0067573C">
              <w:t xml:space="preserve">lean </w:t>
            </w:r>
            <w:r w:rsidR="002666FD">
              <w:t xml:space="preserve">and disinfect </w:t>
            </w:r>
            <w:r w:rsidRPr="0067573C">
              <w:t>high-touch surfaces</w:t>
            </w:r>
            <w:r w:rsidRPr="69FC3285">
              <w:t xml:space="preserve"> (door handles, light</w:t>
            </w:r>
            <w:r w:rsidRPr="0067573C">
              <w:t xml:space="preserve"> </w:t>
            </w:r>
            <w:r w:rsidRPr="46DFC33A">
              <w:t xml:space="preserve">switches, </w:t>
            </w:r>
            <w:r w:rsidRPr="42485F34">
              <w:t xml:space="preserve">rails, </w:t>
            </w:r>
            <w:r w:rsidRPr="5773C198">
              <w:t>tables, equipment</w:t>
            </w:r>
            <w:r w:rsidR="008557EC">
              <w:t xml:space="preserve"> and</w:t>
            </w:r>
            <w:r w:rsidRPr="5773C198">
              <w:t xml:space="preserve"> shared areas</w:t>
            </w:r>
            <w:r w:rsidRPr="289C6B5C">
              <w:t>)</w:t>
            </w:r>
            <w:r w:rsidRPr="0067573C">
              <w:t xml:space="preserve"> twice daily</w:t>
            </w:r>
            <w:r w:rsidR="00B25AC4">
              <w:t>.</w:t>
            </w:r>
          </w:p>
          <w:p w14:paraId="26747459" w14:textId="3D0C49C4" w:rsidR="00B25AC4" w:rsidRDefault="00B25AC4" w:rsidP="008557EC">
            <w:pPr>
              <w:pStyle w:val="Tablebullet1"/>
            </w:pPr>
            <w:r>
              <w:t>C</w:t>
            </w:r>
            <w:r w:rsidR="0054087C" w:rsidRPr="0067573C">
              <w:t>lean shared equipment after each use</w:t>
            </w:r>
            <w:r>
              <w:t>.</w:t>
            </w:r>
          </w:p>
          <w:p w14:paraId="509878D9" w14:textId="4C005BDF" w:rsidR="0054087C" w:rsidRPr="00595D36" w:rsidRDefault="00B25AC4" w:rsidP="008557EC">
            <w:pPr>
              <w:pStyle w:val="Tablebullet1"/>
            </w:pPr>
            <w:r>
              <w:t>I</w:t>
            </w:r>
            <w:r w:rsidR="0054087C" w:rsidRPr="0067573C">
              <w:t>ncrease cleaning staff if needed.</w:t>
            </w:r>
          </w:p>
        </w:tc>
        <w:tc>
          <w:tcPr>
            <w:tcW w:w="1750" w:type="pct"/>
          </w:tcPr>
          <w:p w14:paraId="0460FA46" w14:textId="48BC20B2" w:rsidR="0054087C" w:rsidRPr="00595D36" w:rsidRDefault="0054087C" w:rsidP="008557EC">
            <w:pPr>
              <w:pStyle w:val="Tabletext"/>
              <w:rPr>
                <w:rFonts w:cstheme="majorHAnsi"/>
              </w:rPr>
            </w:pPr>
          </w:p>
        </w:tc>
      </w:tr>
      <w:tr w:rsidR="0054087C" w:rsidRPr="00595D36" w14:paraId="085B2DC0" w14:textId="77777777" w:rsidTr="00FA461D">
        <w:tc>
          <w:tcPr>
            <w:tcW w:w="1035" w:type="pct"/>
          </w:tcPr>
          <w:p w14:paraId="6F9B10AC" w14:textId="77777777" w:rsidR="0054087C" w:rsidRPr="00595D36" w:rsidRDefault="0054087C" w:rsidP="00F9103D">
            <w:pPr>
              <w:pStyle w:val="Tabletext"/>
            </w:pPr>
            <w:r w:rsidRPr="0067573C">
              <w:t>Ventilation</w:t>
            </w:r>
          </w:p>
        </w:tc>
        <w:tc>
          <w:tcPr>
            <w:tcW w:w="2215" w:type="pct"/>
          </w:tcPr>
          <w:p w14:paraId="50ABC1FF" w14:textId="1D11F9CB" w:rsidR="00B25AC4" w:rsidRDefault="0054087C" w:rsidP="008557EC">
            <w:pPr>
              <w:pStyle w:val="Tablebullet1"/>
            </w:pPr>
            <w:r>
              <w:t>E</w:t>
            </w:r>
            <w:r w:rsidRPr="0067573C">
              <w:t>nsure optimal ventilation where possible</w:t>
            </w:r>
            <w:r>
              <w:t xml:space="preserve"> (</w:t>
            </w:r>
            <w:r w:rsidRPr="0067573C">
              <w:t>open windows</w:t>
            </w:r>
            <w:r w:rsidR="008557EC">
              <w:t xml:space="preserve"> and</w:t>
            </w:r>
            <w:r w:rsidRPr="0067573C">
              <w:t xml:space="preserve"> move activities outdoor</w:t>
            </w:r>
            <w:r w:rsidR="008557EC">
              <w:t>s</w:t>
            </w:r>
            <w:r>
              <w:t>)</w:t>
            </w:r>
            <w:r w:rsidR="00E95F59">
              <w:t>.</w:t>
            </w:r>
          </w:p>
          <w:p w14:paraId="2ADB76B2" w14:textId="277E0522" w:rsidR="0054087C" w:rsidRPr="00595D36" w:rsidRDefault="00B25AC4" w:rsidP="008557EC">
            <w:pPr>
              <w:pStyle w:val="Tablebullet1"/>
            </w:pPr>
            <w:r>
              <w:t>U</w:t>
            </w:r>
            <w:r w:rsidR="0054087C">
              <w:t>se air purifiers (if available).</w:t>
            </w:r>
          </w:p>
        </w:tc>
        <w:tc>
          <w:tcPr>
            <w:tcW w:w="1750" w:type="pct"/>
          </w:tcPr>
          <w:p w14:paraId="406546D5" w14:textId="743F3A5B" w:rsidR="0054087C" w:rsidRPr="00595D36" w:rsidRDefault="0054087C" w:rsidP="008557EC">
            <w:pPr>
              <w:pStyle w:val="Tabletext"/>
            </w:pPr>
          </w:p>
        </w:tc>
      </w:tr>
      <w:tr w:rsidR="0054087C" w:rsidRPr="00595D36" w14:paraId="03873D7C" w14:textId="77777777" w:rsidTr="00FA461D">
        <w:tc>
          <w:tcPr>
            <w:tcW w:w="1035" w:type="pct"/>
          </w:tcPr>
          <w:p w14:paraId="2CF6E675" w14:textId="77777777" w:rsidR="0054087C" w:rsidRPr="00595D36" w:rsidRDefault="0054087C" w:rsidP="00F9103D">
            <w:pPr>
              <w:pStyle w:val="Tabletext"/>
            </w:pPr>
            <w:r w:rsidRPr="0067573C">
              <w:t>Waste management</w:t>
            </w:r>
          </w:p>
        </w:tc>
        <w:tc>
          <w:tcPr>
            <w:tcW w:w="2215" w:type="pct"/>
          </w:tcPr>
          <w:p w14:paraId="5DE655C5" w14:textId="7C683538" w:rsidR="00B25AC4" w:rsidRDefault="0054087C" w:rsidP="008557EC">
            <w:pPr>
              <w:pStyle w:val="Tablebullet1"/>
            </w:pPr>
            <w:r>
              <w:t xml:space="preserve">PPE </w:t>
            </w:r>
            <w:r w:rsidR="00B25AC4">
              <w:t xml:space="preserve">or other disposable items </w:t>
            </w:r>
            <w:r>
              <w:t>not visibly soiled: general waste</w:t>
            </w:r>
            <w:r w:rsidR="00B71C54">
              <w:t>.</w:t>
            </w:r>
          </w:p>
          <w:p w14:paraId="7FCAB49A" w14:textId="0202FAE6" w:rsidR="00B25AC4" w:rsidRDefault="0054087C" w:rsidP="008557EC">
            <w:pPr>
              <w:pStyle w:val="Tablebullet1"/>
            </w:pPr>
            <w:r>
              <w:t xml:space="preserve">PPE </w:t>
            </w:r>
            <w:r w:rsidR="00B25AC4">
              <w:t xml:space="preserve">or other disposable items </w:t>
            </w:r>
            <w:r>
              <w:t>visibly soiled with blood or body fluids: clinical waste</w:t>
            </w:r>
            <w:r w:rsidR="008557EC">
              <w:t>.</w:t>
            </w:r>
          </w:p>
          <w:p w14:paraId="16F3E9D4" w14:textId="7667D61C" w:rsidR="0054087C" w:rsidRPr="00595D36" w:rsidRDefault="00B25AC4" w:rsidP="008557EC">
            <w:pPr>
              <w:pStyle w:val="Tablebullet1"/>
            </w:pPr>
            <w:r w:rsidRPr="00815ECA">
              <w:t>U</w:t>
            </w:r>
            <w:r w:rsidR="0054087C" w:rsidRPr="00815ECA">
              <w:t>sed</w:t>
            </w:r>
            <w:r w:rsidR="0054087C">
              <w:t xml:space="preserve"> RATs: clinical waste. </w:t>
            </w:r>
          </w:p>
        </w:tc>
        <w:tc>
          <w:tcPr>
            <w:tcW w:w="1750" w:type="pct"/>
          </w:tcPr>
          <w:p w14:paraId="265E1CE5" w14:textId="38AEB244" w:rsidR="0054087C" w:rsidRPr="00595D36" w:rsidRDefault="0054087C" w:rsidP="008557EC">
            <w:pPr>
              <w:pStyle w:val="Tabletext"/>
            </w:pPr>
          </w:p>
        </w:tc>
      </w:tr>
      <w:tr w:rsidR="0054087C" w14:paraId="7A3496C7" w14:textId="77777777" w:rsidTr="00FA461D">
        <w:tc>
          <w:tcPr>
            <w:tcW w:w="1035" w:type="pct"/>
          </w:tcPr>
          <w:p w14:paraId="741D0605" w14:textId="77777777" w:rsidR="0054087C" w:rsidRDefault="0054087C" w:rsidP="00F9103D">
            <w:pPr>
              <w:pStyle w:val="Tabletext"/>
            </w:pPr>
            <w:r>
              <w:t>Zoning</w:t>
            </w:r>
          </w:p>
        </w:tc>
        <w:tc>
          <w:tcPr>
            <w:tcW w:w="2215" w:type="pct"/>
          </w:tcPr>
          <w:p w14:paraId="187CEE52" w14:textId="3EB5A71B" w:rsidR="0054087C" w:rsidRPr="0097453B" w:rsidRDefault="0054087C" w:rsidP="00F9103D">
            <w:pPr>
              <w:pStyle w:val="Tabletext"/>
            </w:pPr>
            <w:r w:rsidRPr="00A541A0">
              <w:t>Identify affected areas</w:t>
            </w:r>
            <w:r w:rsidR="005A0EF3">
              <w:t xml:space="preserve"> </w:t>
            </w:r>
            <w:r w:rsidR="008557EC">
              <w:t>–</w:t>
            </w:r>
            <w:r w:rsidR="008557EC" w:rsidRPr="00A541A0">
              <w:t xml:space="preserve"> </w:t>
            </w:r>
            <w:r w:rsidRPr="00A541A0">
              <w:t>if only a wing or floor is impacted</w:t>
            </w:r>
            <w:r w:rsidR="008557EC">
              <w:t>,</w:t>
            </w:r>
            <w:r w:rsidR="005A0EF3">
              <w:t xml:space="preserve"> then</w:t>
            </w:r>
            <w:r w:rsidRPr="00A541A0">
              <w:t xml:space="preserve"> manage that area as </w:t>
            </w:r>
            <w:r w:rsidRPr="0097453B">
              <w:t>the outbreak site.</w:t>
            </w:r>
          </w:p>
          <w:p w14:paraId="0BCF870D" w14:textId="01D54CAD" w:rsidR="0054087C" w:rsidRPr="0097453B" w:rsidRDefault="0054087C" w:rsidP="00F9103D">
            <w:pPr>
              <w:pStyle w:val="Tabletext"/>
            </w:pPr>
            <w:r w:rsidRPr="0097453B">
              <w:t>Designate zones based on risk</w:t>
            </w:r>
            <w:r w:rsidR="00736B32">
              <w:t>,</w:t>
            </w:r>
            <w:r w:rsidR="008557EC">
              <w:t xml:space="preserve"> including</w:t>
            </w:r>
            <w:r w:rsidR="00736B32">
              <w:t xml:space="preserve"> the</w:t>
            </w:r>
            <w:r w:rsidRPr="0097453B">
              <w:t>:</w:t>
            </w:r>
          </w:p>
          <w:p w14:paraId="337CA73C" w14:textId="04593450" w:rsidR="0054087C" w:rsidRPr="002B590E" w:rsidRDefault="00F01CE1" w:rsidP="00F9103D">
            <w:pPr>
              <w:pStyle w:val="Tablebullet1"/>
            </w:pPr>
            <w:r w:rsidRPr="002B590E">
              <w:t>u</w:t>
            </w:r>
            <w:r w:rsidR="0054087C" w:rsidRPr="002B590E">
              <w:t>naffected zone (no exposure)</w:t>
            </w:r>
          </w:p>
          <w:p w14:paraId="50287466" w14:textId="31363EB4" w:rsidR="0054087C" w:rsidRPr="002B590E" w:rsidRDefault="00F01CE1" w:rsidP="00F9103D">
            <w:pPr>
              <w:pStyle w:val="Tablebullet1"/>
            </w:pPr>
            <w:r w:rsidRPr="002B590E">
              <w:t>e</w:t>
            </w:r>
            <w:r w:rsidR="0054087C" w:rsidRPr="002B590E">
              <w:t>xposure zone (exposed, no cases – COVID-19 only)</w:t>
            </w:r>
          </w:p>
          <w:p w14:paraId="3B065176" w14:textId="70A16D80" w:rsidR="0054087C" w:rsidRPr="002B590E" w:rsidRDefault="00F01CE1" w:rsidP="00F9103D">
            <w:pPr>
              <w:pStyle w:val="Tablebullet1"/>
            </w:pPr>
            <w:r w:rsidRPr="002B590E">
              <w:t>a</w:t>
            </w:r>
            <w:r w:rsidR="0054087C" w:rsidRPr="002B590E">
              <w:t>ffected zone (cases present)</w:t>
            </w:r>
            <w:r w:rsidR="00534114" w:rsidRPr="002B590E">
              <w:t>.</w:t>
            </w:r>
          </w:p>
          <w:p w14:paraId="7C6FDEA0" w14:textId="59D88050" w:rsidR="0054087C" w:rsidRPr="0097453B" w:rsidRDefault="00D603DB" w:rsidP="00F9103D">
            <w:pPr>
              <w:pStyle w:val="Tabletext"/>
            </w:pPr>
            <w:r>
              <w:t>Implement measures</w:t>
            </w:r>
            <w:r w:rsidR="0054087C" w:rsidRPr="0097453B">
              <w:t xml:space="preserve"> for all zones</w:t>
            </w:r>
            <w:r w:rsidR="00736B32">
              <w:t xml:space="preserve"> that include</w:t>
            </w:r>
            <w:r w:rsidR="0054087C" w:rsidRPr="0097453B">
              <w:t>:</w:t>
            </w:r>
          </w:p>
          <w:p w14:paraId="6ABC9A41" w14:textId="07C788CF" w:rsidR="0054087C" w:rsidRPr="0097453B" w:rsidRDefault="00F01CE1" w:rsidP="00F9103D">
            <w:pPr>
              <w:pStyle w:val="Tablebullet1"/>
            </w:pPr>
            <w:r w:rsidRPr="002B590E">
              <w:t>c</w:t>
            </w:r>
            <w:r w:rsidR="0054087C" w:rsidRPr="002B590E">
              <w:t>lear signage</w:t>
            </w:r>
          </w:p>
          <w:p w14:paraId="6076B2D0" w14:textId="20E68D39" w:rsidR="0054087C" w:rsidRPr="0097453B" w:rsidRDefault="00F01CE1" w:rsidP="00F9103D">
            <w:pPr>
              <w:pStyle w:val="Tablebullet1"/>
            </w:pPr>
            <w:r>
              <w:t>a</w:t>
            </w:r>
            <w:r w:rsidR="0054087C" w:rsidRPr="0097453B">
              <w:t>lcohol-based hand rub at points of care</w:t>
            </w:r>
          </w:p>
          <w:p w14:paraId="44B6B16D" w14:textId="1D9A9FF2" w:rsidR="0054087C" w:rsidRPr="0097453B" w:rsidRDefault="00F01CE1" w:rsidP="00F9103D">
            <w:pPr>
              <w:pStyle w:val="Tablebullet1"/>
            </w:pPr>
            <w:r>
              <w:lastRenderedPageBreak/>
              <w:t>h</w:t>
            </w:r>
            <w:r w:rsidR="0054087C" w:rsidRPr="0097453B">
              <w:t>and hygiene, PPE and waste disposal stations at entry/exit and within zone</w:t>
            </w:r>
          </w:p>
          <w:p w14:paraId="2FC17099" w14:textId="5B9C7748" w:rsidR="0054087C" w:rsidRPr="0097453B" w:rsidRDefault="00F01CE1" w:rsidP="00F9103D">
            <w:pPr>
              <w:pStyle w:val="Tablebullet1"/>
            </w:pPr>
            <w:r>
              <w:t>d</w:t>
            </w:r>
            <w:r w:rsidR="0054087C" w:rsidRPr="0097453B">
              <w:t>eclutter</w:t>
            </w:r>
            <w:r w:rsidR="00736B32">
              <w:t>ing</w:t>
            </w:r>
            <w:r w:rsidR="00D603DB">
              <w:t xml:space="preserve"> the </w:t>
            </w:r>
            <w:r w:rsidR="00D603DB" w:rsidRPr="002B590E">
              <w:t>area</w:t>
            </w:r>
            <w:r w:rsidR="0054087C" w:rsidRPr="0097453B">
              <w:t xml:space="preserve"> to support cleaning and disinfection</w:t>
            </w:r>
          </w:p>
          <w:p w14:paraId="2B097ACB" w14:textId="13C55B2F" w:rsidR="0054087C" w:rsidRDefault="00F01CE1" w:rsidP="00F9103D">
            <w:pPr>
              <w:pStyle w:val="Tablebullet1"/>
            </w:pPr>
            <w:r w:rsidRPr="002B590E">
              <w:t>r</w:t>
            </w:r>
            <w:r w:rsidR="0054087C" w:rsidRPr="002B590E">
              <w:t>estrict</w:t>
            </w:r>
            <w:r w:rsidR="00736B32">
              <w:t>ing</w:t>
            </w:r>
            <w:r w:rsidR="0054087C" w:rsidRPr="0097453B">
              <w:t xml:space="preserve"> entry and access </w:t>
            </w:r>
          </w:p>
          <w:p w14:paraId="3F07B72B" w14:textId="7A3F72A3" w:rsidR="00D72FC4" w:rsidRPr="0097453B" w:rsidRDefault="00C47F2B" w:rsidP="00F9103D">
            <w:pPr>
              <w:pStyle w:val="Tablebullet1"/>
            </w:pPr>
            <w:r>
              <w:t>pr</w:t>
            </w:r>
            <w:r w:rsidR="003212C3">
              <w:t>actice</w:t>
            </w:r>
            <w:r>
              <w:t xml:space="preserve"> physical distancing</w:t>
            </w:r>
            <w:r w:rsidR="00E4304A">
              <w:t xml:space="preserve"> where practicable</w:t>
            </w:r>
            <w:r w:rsidR="00296A5A">
              <w:t xml:space="preserve"> </w:t>
            </w:r>
            <w:r w:rsidR="008C42B8">
              <w:t>(</w:t>
            </w:r>
            <w:r w:rsidR="003B3318">
              <w:t xml:space="preserve">for example, </w:t>
            </w:r>
            <w:r w:rsidR="008C42B8">
              <w:t>during resident activities)</w:t>
            </w:r>
          </w:p>
          <w:p w14:paraId="25B89617" w14:textId="7ED83790" w:rsidR="0054087C" w:rsidRDefault="001C7ECB" w:rsidP="00F9103D">
            <w:pPr>
              <w:pStyle w:val="Tablebullet1"/>
            </w:pPr>
            <w:r>
              <w:t xml:space="preserve">avoid moving </w:t>
            </w:r>
            <w:r w:rsidR="00F01CE1">
              <w:t>r</w:t>
            </w:r>
            <w:r w:rsidR="0054087C">
              <w:t xml:space="preserve">esidents between different zones </w:t>
            </w:r>
          </w:p>
          <w:p w14:paraId="120B5554" w14:textId="732C6273" w:rsidR="0054087C" w:rsidRPr="0097453B" w:rsidRDefault="00F01CE1" w:rsidP="00F9103D">
            <w:pPr>
              <w:pStyle w:val="Tablebullet1"/>
            </w:pPr>
            <w:r>
              <w:t>s</w:t>
            </w:r>
            <w:r w:rsidR="0054087C" w:rsidRPr="0097453B">
              <w:t>eparate staff break areas</w:t>
            </w:r>
          </w:p>
          <w:p w14:paraId="251709D6" w14:textId="324C95E2" w:rsidR="0054087C" w:rsidRPr="00A541A0" w:rsidRDefault="0054087C" w:rsidP="00F9103D">
            <w:pPr>
              <w:pStyle w:val="Tablebullet1"/>
            </w:pPr>
            <w:r w:rsidRPr="0097453B">
              <w:t xml:space="preserve">dedicate staff to </w:t>
            </w:r>
            <w:r w:rsidR="0030190C">
              <w:t>work in</w:t>
            </w:r>
            <w:r w:rsidRPr="0097453B">
              <w:t xml:space="preserve"> specific zones for the duration of the outbreak</w:t>
            </w:r>
            <w:r w:rsidR="00F01CE1">
              <w:t>.</w:t>
            </w:r>
          </w:p>
        </w:tc>
        <w:tc>
          <w:tcPr>
            <w:tcW w:w="1750" w:type="pct"/>
          </w:tcPr>
          <w:p w14:paraId="7FE11D79" w14:textId="20F9A243" w:rsidR="0054087C" w:rsidRPr="005F7306" w:rsidRDefault="0054087C" w:rsidP="008557EC">
            <w:pPr>
              <w:pStyle w:val="Tabletext"/>
            </w:pPr>
          </w:p>
        </w:tc>
      </w:tr>
      <w:tr w:rsidR="0054087C" w14:paraId="4E7F6FE6" w14:textId="77777777" w:rsidTr="00FA461D">
        <w:tc>
          <w:tcPr>
            <w:tcW w:w="1035" w:type="pct"/>
          </w:tcPr>
          <w:p w14:paraId="4E8938D1" w14:textId="77777777" w:rsidR="0054087C" w:rsidRDefault="0054087C" w:rsidP="00F9103D">
            <w:pPr>
              <w:pStyle w:val="Tabletext"/>
            </w:pPr>
            <w:r>
              <w:t>Cohorting</w:t>
            </w:r>
          </w:p>
        </w:tc>
        <w:tc>
          <w:tcPr>
            <w:tcW w:w="2215" w:type="pct"/>
          </w:tcPr>
          <w:p w14:paraId="726290F5" w14:textId="675BC9F8" w:rsidR="001A1523" w:rsidRPr="001A1523" w:rsidRDefault="0054087C" w:rsidP="00736B32">
            <w:pPr>
              <w:pStyle w:val="Tablebullet1"/>
              <w:rPr>
                <w:rFonts w:cstheme="majorBidi"/>
              </w:rPr>
            </w:pPr>
            <w:r>
              <w:t>Cohort cases with the same pathogen together</w:t>
            </w:r>
            <w:r w:rsidR="00736B32">
              <w:t>.</w:t>
            </w:r>
          </w:p>
          <w:p w14:paraId="52F07C99" w14:textId="2E5AC342" w:rsidR="001A1523" w:rsidRPr="001A1523" w:rsidRDefault="001A1523" w:rsidP="00736B32">
            <w:pPr>
              <w:pStyle w:val="Tablebullet1"/>
              <w:rPr>
                <w:rFonts w:cstheme="majorBidi"/>
              </w:rPr>
            </w:pPr>
            <w:r>
              <w:t>C</w:t>
            </w:r>
            <w:r w:rsidR="0054087C">
              <w:t>ohort cases with different respiratory pathogens separately</w:t>
            </w:r>
            <w:r w:rsidR="00736B32">
              <w:t>.</w:t>
            </w:r>
          </w:p>
          <w:p w14:paraId="015592C1" w14:textId="318C660B" w:rsidR="0054087C" w:rsidRDefault="001A1523" w:rsidP="00736B32">
            <w:pPr>
              <w:pStyle w:val="Tablebullet1"/>
              <w:rPr>
                <w:rFonts w:cstheme="majorBidi"/>
              </w:rPr>
            </w:pPr>
            <w:r>
              <w:t>C</w:t>
            </w:r>
            <w:r w:rsidR="0054087C">
              <w:t xml:space="preserve">ontacts should be </w:t>
            </w:r>
            <w:proofErr w:type="spellStart"/>
            <w:r w:rsidR="0054087C">
              <w:t>cohorted</w:t>
            </w:r>
            <w:proofErr w:type="spellEnd"/>
            <w:r w:rsidR="0054087C">
              <w:t xml:space="preserve"> away from confirmed cases</w:t>
            </w:r>
            <w:r w:rsidR="0030190C">
              <w:t>.</w:t>
            </w:r>
          </w:p>
        </w:tc>
        <w:tc>
          <w:tcPr>
            <w:tcW w:w="1750" w:type="pct"/>
          </w:tcPr>
          <w:p w14:paraId="4AEBAE02" w14:textId="23D2A9BA" w:rsidR="0054087C" w:rsidRDefault="0054087C" w:rsidP="008557EC">
            <w:pPr>
              <w:pStyle w:val="Tabletext"/>
            </w:pPr>
          </w:p>
        </w:tc>
      </w:tr>
    </w:tbl>
    <w:p w14:paraId="059DA8A9" w14:textId="6AA44AF6" w:rsidR="00736B32" w:rsidRDefault="00736B32" w:rsidP="00F9103D">
      <w:pPr>
        <w:pStyle w:val="Tablecaption"/>
      </w:pPr>
      <w:r>
        <w:t xml:space="preserve">Table </w:t>
      </w:r>
      <w:fldSimple w:instr=" SEQ Table \* ARABIC ">
        <w:r w:rsidR="0031298E">
          <w:rPr>
            <w:noProof/>
          </w:rPr>
          <w:t>7</w:t>
        </w:r>
      </w:fldSimple>
      <w:r>
        <w:t xml:space="preserve">. </w:t>
      </w:r>
      <w:r w:rsidRPr="00F93411">
        <w:t>Case management</w:t>
      </w:r>
    </w:p>
    <w:tbl>
      <w:tblPr>
        <w:tblStyle w:val="TableGrid"/>
        <w:tblW w:w="5000" w:type="pct"/>
        <w:tblLook w:val="04A0" w:firstRow="1" w:lastRow="0" w:firstColumn="1" w:lastColumn="0" w:noHBand="0" w:noVBand="1"/>
      </w:tblPr>
      <w:tblGrid>
        <w:gridCol w:w="2856"/>
        <w:gridCol w:w="6418"/>
        <w:gridCol w:w="5002"/>
      </w:tblGrid>
      <w:tr w:rsidR="00A37D2A" w:rsidRPr="00D6187F" w14:paraId="1B126099" w14:textId="77777777" w:rsidTr="00FA461D">
        <w:trPr>
          <w:tblHeader/>
        </w:trPr>
        <w:tc>
          <w:tcPr>
            <w:tcW w:w="1000" w:type="pct"/>
            <w:shd w:val="clear" w:color="auto" w:fill="4F81BD" w:themeFill="accent1"/>
          </w:tcPr>
          <w:p w14:paraId="0530C04D" w14:textId="77777777" w:rsidR="00A37D2A" w:rsidRPr="00437BF0" w:rsidRDefault="00A37D2A" w:rsidP="00555BB4">
            <w:pPr>
              <w:rPr>
                <w:rFonts w:asciiTheme="majorHAnsi" w:hAnsiTheme="majorHAnsi" w:cstheme="majorHAnsi"/>
                <w:color w:val="FFFFFF" w:themeColor="background1"/>
              </w:rPr>
            </w:pPr>
          </w:p>
        </w:tc>
        <w:tc>
          <w:tcPr>
            <w:tcW w:w="2248" w:type="pct"/>
            <w:shd w:val="clear" w:color="auto" w:fill="4F81BD" w:themeFill="accent1"/>
          </w:tcPr>
          <w:p w14:paraId="3A4DEEC3" w14:textId="70303FE4" w:rsidR="00A37D2A" w:rsidRPr="00437BF0" w:rsidRDefault="005B61F3" w:rsidP="00555BB4">
            <w:pPr>
              <w:pStyle w:val="Tablecolhead"/>
              <w:rPr>
                <w:color w:val="FFFFFF" w:themeColor="background1"/>
              </w:rPr>
            </w:pPr>
            <w:r>
              <w:rPr>
                <w:color w:val="FFFFFF" w:themeColor="background1"/>
              </w:rPr>
              <w:t>Core actions for all respiratory outbreaks</w:t>
            </w:r>
          </w:p>
        </w:tc>
        <w:tc>
          <w:tcPr>
            <w:tcW w:w="1752" w:type="pct"/>
            <w:shd w:val="clear" w:color="auto" w:fill="4F81BD" w:themeFill="accent1"/>
          </w:tcPr>
          <w:p w14:paraId="5ACD8FCC" w14:textId="77777777" w:rsidR="00A37D2A" w:rsidRPr="00437BF0" w:rsidRDefault="00A37D2A" w:rsidP="00555BB4">
            <w:pPr>
              <w:pStyle w:val="Tablecolhead"/>
              <w:rPr>
                <w:color w:val="FFFFFF" w:themeColor="background1"/>
              </w:rPr>
            </w:pPr>
            <w:r>
              <w:rPr>
                <w:color w:val="FFFFFF" w:themeColor="background1"/>
              </w:rPr>
              <w:t>Pathogen-specific considerations</w:t>
            </w:r>
          </w:p>
        </w:tc>
      </w:tr>
      <w:tr w:rsidR="00A37D2A" w:rsidRPr="00371A09" w14:paraId="503A1A34" w14:textId="77777777" w:rsidTr="00FA461D">
        <w:tc>
          <w:tcPr>
            <w:tcW w:w="1000" w:type="pct"/>
          </w:tcPr>
          <w:p w14:paraId="2B109F1B" w14:textId="60555061" w:rsidR="00A37D2A" w:rsidRDefault="00A37D2A" w:rsidP="00555BB4">
            <w:pPr>
              <w:pStyle w:val="Tablecolhead"/>
            </w:pPr>
            <w:r>
              <w:t>Residents: clinical care</w:t>
            </w:r>
            <w:r w:rsidR="00016E05">
              <w:t xml:space="preserve"> </w:t>
            </w:r>
          </w:p>
        </w:tc>
        <w:tc>
          <w:tcPr>
            <w:tcW w:w="2248" w:type="pct"/>
          </w:tcPr>
          <w:p w14:paraId="26DFE536" w14:textId="79474D8B" w:rsidR="00BF753A" w:rsidRDefault="00A37D2A" w:rsidP="00BF753A">
            <w:pPr>
              <w:pStyle w:val="Tablebullet1"/>
            </w:pPr>
            <w:r>
              <w:t xml:space="preserve">Request </w:t>
            </w:r>
            <w:r w:rsidR="00B449C1">
              <w:t xml:space="preserve">a </w:t>
            </w:r>
            <w:r>
              <w:t xml:space="preserve">prompt review by </w:t>
            </w:r>
            <w:r w:rsidR="00B449C1">
              <w:t xml:space="preserve">the </w:t>
            </w:r>
            <w:r>
              <w:t>GP</w:t>
            </w:r>
            <w:r w:rsidR="00736B32">
              <w:t xml:space="preserve"> or </w:t>
            </w:r>
            <w:r>
              <w:t xml:space="preserve">NP for clinical assessment, care and treatment. </w:t>
            </w:r>
          </w:p>
          <w:p w14:paraId="4BBBF323" w14:textId="06CD354A" w:rsidR="00ED42BE" w:rsidRDefault="00ED42BE" w:rsidP="00BF753A">
            <w:pPr>
              <w:pStyle w:val="Tablebullet1"/>
            </w:pPr>
            <w:r>
              <w:t>Inform residents and NOK of diagnosis, treatment and care.</w:t>
            </w:r>
          </w:p>
          <w:p w14:paraId="30F3B2D6" w14:textId="3F76D6FD" w:rsidR="00FD5FA9" w:rsidRDefault="00A37D2A" w:rsidP="00BF753A">
            <w:pPr>
              <w:pStyle w:val="Tablebullet1"/>
            </w:pPr>
            <w:r>
              <w:t>Facilitate ongoing routine primary care onsite</w:t>
            </w:r>
            <w:r w:rsidR="00FD5FA9">
              <w:t xml:space="preserve"> or </w:t>
            </w:r>
            <w:r>
              <w:t>virtually</w:t>
            </w:r>
            <w:r w:rsidR="00FD5FA9">
              <w:t xml:space="preserve"> </w:t>
            </w:r>
            <w:r w:rsidR="00736B32">
              <w:t>–</w:t>
            </w:r>
            <w:r>
              <w:t xml:space="preserve"> seek alternative support if usual health practitioner is unavailable. </w:t>
            </w:r>
          </w:p>
          <w:p w14:paraId="01D476F7" w14:textId="4E00E4C9" w:rsidR="00A37D2A" w:rsidRDefault="00A37D2A" w:rsidP="00E07CFD">
            <w:pPr>
              <w:pStyle w:val="Tablebullet1"/>
            </w:pPr>
            <w:r>
              <w:t>Continue daily care, allied health, pathology tests, routine procedures (</w:t>
            </w:r>
            <w:r w:rsidR="003B3318">
              <w:t xml:space="preserve">for example, </w:t>
            </w:r>
            <w:r>
              <w:t>wound care), as well as essential offsite appointments</w:t>
            </w:r>
            <w:r w:rsidR="00736B32">
              <w:t>, and</w:t>
            </w:r>
            <w:r>
              <w:t xml:space="preserve"> communicat</w:t>
            </w:r>
            <w:r w:rsidR="00736B32">
              <w:t>e</w:t>
            </w:r>
            <w:r>
              <w:t xml:space="preserve"> with the receiving </w:t>
            </w:r>
            <w:r w:rsidR="00AA6E34">
              <w:t>healthcare</w:t>
            </w:r>
            <w:r>
              <w:t xml:space="preserve"> provider and transport service</w:t>
            </w:r>
            <w:r w:rsidR="00AA6E34">
              <w:t xml:space="preserve"> about the </w:t>
            </w:r>
            <w:r w:rsidR="00B81A01">
              <w:t>outbreak</w:t>
            </w:r>
            <w:r>
              <w:t xml:space="preserve">. </w:t>
            </w:r>
          </w:p>
          <w:p w14:paraId="37B49A43" w14:textId="500208FF" w:rsidR="00266568" w:rsidRPr="00371A09" w:rsidRDefault="00A32DB4" w:rsidP="00E07CFD">
            <w:pPr>
              <w:pStyle w:val="Tablebullet1"/>
            </w:pPr>
            <w:r>
              <w:t>Support</w:t>
            </w:r>
            <w:r w:rsidR="00DF23E5">
              <w:t xml:space="preserve"> </w:t>
            </w:r>
            <w:r w:rsidR="00473B0A">
              <w:t xml:space="preserve">resident wellbeing by facilitating </w:t>
            </w:r>
            <w:r w:rsidR="00E668A6">
              <w:t xml:space="preserve">essential visits and offering alternative forms of visitation where appropriate. </w:t>
            </w:r>
            <w:r w:rsidR="001D29B6">
              <w:t xml:space="preserve"> </w:t>
            </w:r>
          </w:p>
        </w:tc>
        <w:tc>
          <w:tcPr>
            <w:tcW w:w="1752" w:type="pct"/>
          </w:tcPr>
          <w:p w14:paraId="268ED2CF" w14:textId="63C5FFB0" w:rsidR="00A37D2A" w:rsidRPr="00371A09" w:rsidRDefault="00A37D2A" w:rsidP="00555BB4">
            <w:pPr>
              <w:pStyle w:val="Tabletext"/>
            </w:pPr>
          </w:p>
        </w:tc>
      </w:tr>
      <w:tr w:rsidR="00A37D2A" w14:paraId="6639E4DE" w14:textId="77777777" w:rsidTr="00FA461D">
        <w:tc>
          <w:tcPr>
            <w:tcW w:w="1000" w:type="pct"/>
          </w:tcPr>
          <w:p w14:paraId="600C0FE9" w14:textId="77777777" w:rsidR="00A37D2A" w:rsidRDefault="00A37D2A" w:rsidP="00555BB4">
            <w:pPr>
              <w:pStyle w:val="Tablecolhead"/>
            </w:pPr>
            <w:bookmarkStart w:id="113" w:name="Residentstreatment"/>
            <w:r>
              <w:lastRenderedPageBreak/>
              <w:t>Residents: antiviral treatment</w:t>
            </w:r>
            <w:bookmarkEnd w:id="113"/>
          </w:p>
        </w:tc>
        <w:tc>
          <w:tcPr>
            <w:tcW w:w="2248" w:type="pct"/>
          </w:tcPr>
          <w:p w14:paraId="49CB4160" w14:textId="5D9B25DA" w:rsidR="00A37D2A" w:rsidRDefault="00A37D2A" w:rsidP="0052452D">
            <w:pPr>
              <w:pStyle w:val="Tablebullet1"/>
            </w:pPr>
            <w:r>
              <w:t xml:space="preserve">Assess eligibility for antiviral treatment through </w:t>
            </w:r>
            <w:r w:rsidR="00736B32">
              <w:t xml:space="preserve">the </w:t>
            </w:r>
            <w:r w:rsidR="00066171">
              <w:t>GP</w:t>
            </w:r>
            <w:r w:rsidR="00736B32">
              <w:t xml:space="preserve"> or </w:t>
            </w:r>
            <w:r w:rsidR="00066171">
              <w:t>NP</w:t>
            </w:r>
            <w:r>
              <w:t xml:space="preserve"> </w:t>
            </w:r>
            <w:r w:rsidR="00AE47C9">
              <w:t>and</w:t>
            </w:r>
            <w:r w:rsidR="00B81A01">
              <w:t xml:space="preserve"> </w:t>
            </w:r>
            <w:r>
              <w:t>commence treatment as early as possible where indicated.</w:t>
            </w:r>
            <w:r w:rsidRPr="002C4703">
              <w:t> </w:t>
            </w:r>
          </w:p>
        </w:tc>
        <w:tc>
          <w:tcPr>
            <w:tcW w:w="1752" w:type="pct"/>
          </w:tcPr>
          <w:p w14:paraId="7C2C42CC" w14:textId="61A17B7D" w:rsidR="00A37D2A" w:rsidRDefault="00A37D2A" w:rsidP="00AE5A12">
            <w:pPr>
              <w:pStyle w:val="Tablebullet1"/>
            </w:pPr>
            <w:r w:rsidRPr="00F9103D">
              <w:rPr>
                <w:b/>
                <w:bCs/>
              </w:rPr>
              <w:t>COVID-19</w:t>
            </w:r>
            <w:r>
              <w:t xml:space="preserve">: Start antivirals within </w:t>
            </w:r>
            <w:r w:rsidR="00AE5A12">
              <w:t>five</w:t>
            </w:r>
            <w:r>
              <w:t xml:space="preserve"> days of symptom onset or positive test. </w:t>
            </w:r>
          </w:p>
          <w:p w14:paraId="723FE273" w14:textId="0B0B6393" w:rsidR="00A37D2A" w:rsidRDefault="00A37D2A" w:rsidP="00AE5A12">
            <w:pPr>
              <w:pStyle w:val="Tablebullet1"/>
            </w:pPr>
            <w:r w:rsidRPr="00F9103D">
              <w:rPr>
                <w:b/>
                <w:bCs/>
              </w:rPr>
              <w:t>Influenza</w:t>
            </w:r>
            <w:r>
              <w:t xml:space="preserve">: </w:t>
            </w:r>
            <w:r w:rsidR="00D07FAC">
              <w:t xml:space="preserve">Start </w:t>
            </w:r>
            <w:r>
              <w:t xml:space="preserve">antivirals within </w:t>
            </w:r>
            <w:r w:rsidRPr="000D0BFA">
              <w:t>48</w:t>
            </w:r>
            <w:r w:rsidR="00B8376A">
              <w:t xml:space="preserve"> </w:t>
            </w:r>
            <w:r w:rsidRPr="000D0BFA">
              <w:t>h</w:t>
            </w:r>
            <w:r>
              <w:t>ours.</w:t>
            </w:r>
          </w:p>
          <w:p w14:paraId="2BAEA698" w14:textId="7E12859A" w:rsidR="00A37D2A" w:rsidRPr="001B782E" w:rsidRDefault="00A37D2A" w:rsidP="00AE5A12">
            <w:pPr>
              <w:pStyle w:val="Tablebullet1"/>
            </w:pPr>
            <w:r w:rsidRPr="00F9103D">
              <w:rPr>
                <w:b/>
                <w:bCs/>
              </w:rPr>
              <w:t xml:space="preserve">RSV </w:t>
            </w:r>
            <w:r w:rsidR="00AE5A12" w:rsidRPr="00F9103D">
              <w:rPr>
                <w:b/>
                <w:bCs/>
              </w:rPr>
              <w:t>and</w:t>
            </w:r>
            <w:r w:rsidRPr="00F9103D">
              <w:rPr>
                <w:b/>
                <w:bCs/>
              </w:rPr>
              <w:t xml:space="preserve"> other pathogens</w:t>
            </w:r>
            <w:r>
              <w:t>: Seek guidance from</w:t>
            </w:r>
            <w:r w:rsidR="002E56A9">
              <w:t xml:space="preserve"> </w:t>
            </w:r>
            <w:r w:rsidR="00AE5A12">
              <w:t xml:space="preserve">the </w:t>
            </w:r>
            <w:r w:rsidR="002E56A9">
              <w:t>GP</w:t>
            </w:r>
            <w:r w:rsidR="00AE5A12">
              <w:t xml:space="preserve"> or </w:t>
            </w:r>
            <w:r w:rsidR="002E56A9">
              <w:t>NP</w:t>
            </w:r>
            <w:r>
              <w:t xml:space="preserve">. </w:t>
            </w:r>
          </w:p>
        </w:tc>
      </w:tr>
      <w:tr w:rsidR="00A37D2A" w:rsidRPr="00A541A0" w14:paraId="28D60319" w14:textId="77777777" w:rsidTr="00FA461D">
        <w:tc>
          <w:tcPr>
            <w:tcW w:w="1000" w:type="pct"/>
          </w:tcPr>
          <w:p w14:paraId="560DF5B5" w14:textId="77777777" w:rsidR="00A37D2A" w:rsidRPr="00595D36" w:rsidRDefault="00A37D2A" w:rsidP="00555BB4">
            <w:pPr>
              <w:pStyle w:val="Tablecolhead"/>
            </w:pPr>
            <w:bookmarkStart w:id="114" w:name="releasefromiso"/>
            <w:r>
              <w:t>Residents: release from isolation</w:t>
            </w:r>
            <w:bookmarkEnd w:id="114"/>
          </w:p>
        </w:tc>
        <w:tc>
          <w:tcPr>
            <w:tcW w:w="2248" w:type="pct"/>
          </w:tcPr>
          <w:p w14:paraId="52F9B8BE" w14:textId="77777777" w:rsidR="007D6057" w:rsidRDefault="00A37D2A" w:rsidP="007D6057">
            <w:pPr>
              <w:pStyle w:val="Tablebullet1"/>
            </w:pPr>
            <w:r>
              <w:t xml:space="preserve">Residents may leave isolation when acute symptoms have resolved and following the pathogen-specific criteria. </w:t>
            </w:r>
          </w:p>
          <w:p w14:paraId="70981185" w14:textId="6EF89F07" w:rsidR="00A37D2A" w:rsidRDefault="00A37D2A" w:rsidP="0052452D">
            <w:pPr>
              <w:pStyle w:val="Tablebullet1"/>
            </w:pPr>
            <w:r>
              <w:t xml:space="preserve">Residents should wear a mask if leaving their room before the recommended period of isolation ends. </w:t>
            </w:r>
          </w:p>
          <w:p w14:paraId="14E50352" w14:textId="37626339" w:rsidR="00A37D2A" w:rsidRPr="00A541A0" w:rsidRDefault="00086DD3" w:rsidP="00F9103D">
            <w:pPr>
              <w:pStyle w:val="Tablebullet1"/>
            </w:pPr>
            <w:r>
              <w:t>Inform NOK that the resident has been released from isolation.</w:t>
            </w:r>
          </w:p>
        </w:tc>
        <w:tc>
          <w:tcPr>
            <w:tcW w:w="1752" w:type="pct"/>
          </w:tcPr>
          <w:p w14:paraId="30BD18C3" w14:textId="460979B8" w:rsidR="00A37D2A" w:rsidRDefault="00AE5A12" w:rsidP="00555BB4">
            <w:pPr>
              <w:pStyle w:val="Tabletext"/>
              <w:rPr>
                <w:b/>
                <w:bCs/>
              </w:rPr>
            </w:pPr>
            <w:r w:rsidRPr="00F9103D">
              <w:t>Release from</w:t>
            </w:r>
            <w:r>
              <w:rPr>
                <w:b/>
                <w:bCs/>
              </w:rPr>
              <w:t xml:space="preserve"> </w:t>
            </w:r>
            <w:r w:rsidR="00A37D2A">
              <w:rPr>
                <w:b/>
                <w:bCs/>
              </w:rPr>
              <w:t>COVID-19</w:t>
            </w:r>
            <w:r>
              <w:rPr>
                <w:b/>
                <w:bCs/>
              </w:rPr>
              <w:t xml:space="preserve"> </w:t>
            </w:r>
            <w:r w:rsidRPr="00F9103D">
              <w:t>isolation</w:t>
            </w:r>
            <w:r w:rsidR="00A37D2A">
              <w:rPr>
                <w:b/>
                <w:bCs/>
              </w:rPr>
              <w:t xml:space="preserve">: </w:t>
            </w:r>
          </w:p>
          <w:p w14:paraId="616BBE9D" w14:textId="26F2385F" w:rsidR="00A37D2A" w:rsidRPr="00F9103D" w:rsidRDefault="00AE5A12" w:rsidP="00F9103D">
            <w:pPr>
              <w:pStyle w:val="Tablebullet1"/>
              <w:rPr>
                <w:b/>
                <w:bCs/>
              </w:rPr>
            </w:pPr>
            <w:r>
              <w:t>a</w:t>
            </w:r>
            <w:r w:rsidR="00A37D2A" w:rsidRPr="00AE5A12">
              <w:t xml:space="preserve">fter </w:t>
            </w:r>
            <w:r w:rsidRPr="00AE5A12">
              <w:t>five</w:t>
            </w:r>
            <w:r w:rsidR="00A37D2A" w:rsidRPr="00AE5A12">
              <w:t xml:space="preserve"> days from symptom onset (or positive test if asymptomatic) provided that acute symptoms have resolved and </w:t>
            </w:r>
            <w:r>
              <w:t xml:space="preserve">a </w:t>
            </w:r>
            <w:r w:rsidR="00A37D2A" w:rsidRPr="00AE5A12">
              <w:t>COVID</w:t>
            </w:r>
            <w:r w:rsidR="009A76F3" w:rsidRPr="00AE5A12">
              <w:t>-</w:t>
            </w:r>
            <w:r w:rsidR="00A37D2A" w:rsidRPr="00AE5A12">
              <w:t>19 RAT is negative</w:t>
            </w:r>
            <w:r w:rsidRPr="00F9103D">
              <w:t xml:space="preserve"> </w:t>
            </w:r>
            <w:r w:rsidR="005C1129" w:rsidRPr="00AE5A12">
              <w:rPr>
                <w:b/>
                <w:bCs/>
              </w:rPr>
              <w:t>OR</w:t>
            </w:r>
          </w:p>
          <w:p w14:paraId="1AF26153" w14:textId="2648A090" w:rsidR="00EE758D" w:rsidRDefault="00AE5A12" w:rsidP="00EE758D">
            <w:pPr>
              <w:pStyle w:val="Tablebullet1"/>
            </w:pPr>
            <w:r>
              <w:t>a</w:t>
            </w:r>
            <w:r w:rsidR="00A37D2A" w:rsidRPr="00932B42">
              <w:t>fter</w:t>
            </w:r>
            <w:r w:rsidR="00A37D2A">
              <w:t xml:space="preserve"> </w:t>
            </w:r>
            <w:r>
              <w:t>seven</w:t>
            </w:r>
            <w:r w:rsidR="00A37D2A">
              <w:t xml:space="preserve"> </w:t>
            </w:r>
            <w:r w:rsidR="00A37D2A" w:rsidRPr="00932B42">
              <w:t>day</w:t>
            </w:r>
            <w:r w:rsidR="00A37D2A">
              <w:t>s</w:t>
            </w:r>
            <w:r w:rsidR="00A37D2A" w:rsidRPr="00932B42">
              <w:t xml:space="preserve"> if acute symptoms </w:t>
            </w:r>
            <w:r w:rsidR="00EC0A64">
              <w:t xml:space="preserve">have </w:t>
            </w:r>
            <w:r w:rsidR="00A37D2A" w:rsidRPr="00932B42">
              <w:t xml:space="preserve">resolved and </w:t>
            </w:r>
            <w:r>
              <w:t xml:space="preserve">there </w:t>
            </w:r>
            <w:proofErr w:type="gramStart"/>
            <w:r>
              <w:t>has</w:t>
            </w:r>
            <w:proofErr w:type="gramEnd"/>
            <w:r>
              <w:t xml:space="preserve"> been </w:t>
            </w:r>
            <w:r w:rsidR="00A37D2A" w:rsidRPr="00932B42">
              <w:t xml:space="preserve">no fever </w:t>
            </w:r>
            <w:r w:rsidR="00EC0A64">
              <w:t>in the past</w:t>
            </w:r>
            <w:r w:rsidR="00A37D2A" w:rsidRPr="00932B42">
              <w:t xml:space="preserve"> 24 hours</w:t>
            </w:r>
            <w:r w:rsidR="00A37D2A">
              <w:t>; n</w:t>
            </w:r>
            <w:r w:rsidR="00A37D2A" w:rsidRPr="00932B42">
              <w:t>o testing required.</w:t>
            </w:r>
          </w:p>
          <w:p w14:paraId="160BB05B" w14:textId="4B44775F" w:rsidR="00A37D2A" w:rsidRDefault="00E73349" w:rsidP="00555BB4">
            <w:pPr>
              <w:pStyle w:val="Tabletext"/>
              <w:rPr>
                <w:b/>
                <w:bCs/>
              </w:rPr>
            </w:pPr>
            <w:r w:rsidRPr="00F9103D">
              <w:t>Release from</w:t>
            </w:r>
            <w:r>
              <w:rPr>
                <w:b/>
                <w:bCs/>
              </w:rPr>
              <w:t xml:space="preserve"> i</w:t>
            </w:r>
            <w:r w:rsidR="00A37D2A">
              <w:rPr>
                <w:b/>
                <w:bCs/>
              </w:rPr>
              <w:t>nfluenza</w:t>
            </w:r>
            <w:r>
              <w:rPr>
                <w:b/>
                <w:bCs/>
              </w:rPr>
              <w:t xml:space="preserve"> </w:t>
            </w:r>
            <w:r w:rsidRPr="00F9103D">
              <w:t>isolation</w:t>
            </w:r>
            <w:r w:rsidR="00A37D2A">
              <w:rPr>
                <w:b/>
                <w:bCs/>
              </w:rPr>
              <w:t xml:space="preserve">: </w:t>
            </w:r>
          </w:p>
          <w:p w14:paraId="59795658" w14:textId="49DE4D5D" w:rsidR="00A37D2A" w:rsidRDefault="00E73349" w:rsidP="00E73349">
            <w:pPr>
              <w:pStyle w:val="Tablebullet1"/>
              <w:numPr>
                <w:ilvl w:val="0"/>
                <w:numId w:val="0"/>
              </w:numPr>
              <w:ind w:left="227"/>
            </w:pPr>
            <w:r>
              <w:t>a</w:t>
            </w:r>
            <w:r w:rsidR="00A37D2A" w:rsidRPr="00AB402C">
              <w:t xml:space="preserve">fter </w:t>
            </w:r>
            <w:r>
              <w:t>five</w:t>
            </w:r>
            <w:r w:rsidR="00A37D2A" w:rsidRPr="00AB402C">
              <w:t xml:space="preserve"> days from symptom onset or until acute symptoms </w:t>
            </w:r>
            <w:r w:rsidR="00EE758D">
              <w:t xml:space="preserve">have </w:t>
            </w:r>
            <w:r w:rsidR="00A37D2A" w:rsidRPr="00AB402C">
              <w:t>resolved, whichever is longer</w:t>
            </w:r>
            <w:r>
              <w:t xml:space="preserve"> </w:t>
            </w:r>
            <w:r w:rsidR="00EE758D" w:rsidRPr="00E73349">
              <w:rPr>
                <w:b/>
                <w:bCs/>
                <w:lang w:eastAsia="en-AU"/>
              </w:rPr>
              <w:t>OR</w:t>
            </w:r>
            <w:r w:rsidR="00A37D2A" w:rsidRPr="00AB402C">
              <w:rPr>
                <w:lang w:eastAsia="en-AU"/>
              </w:rPr>
              <w:t xml:space="preserve"> </w:t>
            </w:r>
          </w:p>
          <w:p w14:paraId="1EF24C28" w14:textId="0AADED8B" w:rsidR="00A37D2A" w:rsidRDefault="00A37D2A" w:rsidP="00A37D2A">
            <w:pPr>
              <w:pStyle w:val="Tablebullet1"/>
              <w:rPr>
                <w:lang w:eastAsia="en-AU"/>
              </w:rPr>
            </w:pPr>
            <w:r w:rsidRPr="00AB402C">
              <w:rPr>
                <w:lang w:eastAsia="en-AU"/>
              </w:rPr>
              <w:t xml:space="preserve">72 hours after antivirals </w:t>
            </w:r>
            <w:r w:rsidR="00EE758D">
              <w:rPr>
                <w:lang w:eastAsia="en-AU"/>
              </w:rPr>
              <w:t xml:space="preserve">have </w:t>
            </w:r>
            <w:r w:rsidRPr="00AB402C">
              <w:rPr>
                <w:lang w:eastAsia="en-AU"/>
              </w:rPr>
              <w:t>commenced</w:t>
            </w:r>
            <w:r w:rsidR="00E73349">
              <w:rPr>
                <w:lang w:eastAsia="en-AU"/>
              </w:rPr>
              <w:t>,</w:t>
            </w:r>
            <w:r w:rsidRPr="00AB402C">
              <w:rPr>
                <w:lang w:eastAsia="en-AU"/>
              </w:rPr>
              <w:t xml:space="preserve"> regardless of symptoms</w:t>
            </w:r>
            <w:r>
              <w:t>;</w:t>
            </w:r>
            <w:r w:rsidRPr="00AB402C">
              <w:rPr>
                <w:lang w:eastAsia="en-AU"/>
              </w:rPr>
              <w:t xml:space="preserve"> </w:t>
            </w:r>
            <w:r>
              <w:t>n</w:t>
            </w:r>
            <w:r w:rsidRPr="00AB402C">
              <w:rPr>
                <w:lang w:eastAsia="en-AU"/>
              </w:rPr>
              <w:t xml:space="preserve">o testing required. </w:t>
            </w:r>
          </w:p>
          <w:p w14:paraId="5BE98667" w14:textId="5919A037" w:rsidR="00A37D2A" w:rsidRPr="00A541A0" w:rsidRDefault="00E73349" w:rsidP="00F9103D">
            <w:pPr>
              <w:pStyle w:val="Tabletext"/>
            </w:pPr>
            <w:r w:rsidRPr="00E73349">
              <w:t xml:space="preserve">Release from </w:t>
            </w:r>
            <w:r w:rsidR="00A37D2A" w:rsidRPr="00E73349">
              <w:rPr>
                <w:b/>
                <w:bCs/>
              </w:rPr>
              <w:t xml:space="preserve">RSV </w:t>
            </w:r>
            <w:r w:rsidRPr="00E73349">
              <w:rPr>
                <w:b/>
                <w:bCs/>
              </w:rPr>
              <w:t>and</w:t>
            </w:r>
            <w:r w:rsidR="00A37D2A" w:rsidRPr="00E73349">
              <w:rPr>
                <w:b/>
                <w:bCs/>
              </w:rPr>
              <w:t xml:space="preserve"> other respiratory pathogens</w:t>
            </w:r>
            <w:r w:rsidRPr="00F9103D">
              <w:t xml:space="preserve"> isolation</w:t>
            </w:r>
            <w:r w:rsidR="00A37D2A" w:rsidRPr="00F9103D">
              <w:t xml:space="preserve"> </w:t>
            </w:r>
            <w:r w:rsidRPr="00E73349">
              <w:t>w</w:t>
            </w:r>
            <w:r w:rsidR="00A37D2A" w:rsidRPr="00E73349">
              <w:t xml:space="preserve">hen acute symptoms have resolved or </w:t>
            </w:r>
            <w:r w:rsidR="00F11436" w:rsidRPr="00E73349">
              <w:t xml:space="preserve">as </w:t>
            </w:r>
            <w:r w:rsidR="00A37D2A" w:rsidRPr="00E73349">
              <w:t>per clinical guidance.</w:t>
            </w:r>
            <w:r w:rsidR="00A37D2A">
              <w:t xml:space="preserve"> </w:t>
            </w:r>
          </w:p>
        </w:tc>
      </w:tr>
      <w:tr w:rsidR="00A37D2A" w:rsidRPr="00FA21F4" w14:paraId="0729C6DF" w14:textId="77777777" w:rsidTr="00FA461D">
        <w:tc>
          <w:tcPr>
            <w:tcW w:w="1000" w:type="pct"/>
          </w:tcPr>
          <w:p w14:paraId="35419C37" w14:textId="77777777" w:rsidR="00A37D2A" w:rsidRDefault="00A37D2A" w:rsidP="00555BB4">
            <w:pPr>
              <w:pStyle w:val="Tablecolhead"/>
            </w:pPr>
            <w:bookmarkStart w:id="115" w:name="Staffreturntowork"/>
            <w:bookmarkEnd w:id="115"/>
            <w:r>
              <w:t>Staff: return to work</w:t>
            </w:r>
          </w:p>
        </w:tc>
        <w:tc>
          <w:tcPr>
            <w:tcW w:w="2248" w:type="pct"/>
          </w:tcPr>
          <w:p w14:paraId="3112C46C" w14:textId="4724392B" w:rsidR="00A37D2A" w:rsidRDefault="00A37D2A" w:rsidP="00A02679">
            <w:pPr>
              <w:pStyle w:val="Tablebullet1"/>
            </w:pPr>
            <w:r>
              <w:t xml:space="preserve">Staff should only return to work once acute symptoms have resolved and follow the pathogen-specific criteria. </w:t>
            </w:r>
          </w:p>
          <w:p w14:paraId="38061FED" w14:textId="77777777" w:rsidR="00A37D2A" w:rsidRPr="00A541A0" w:rsidRDefault="00A37D2A" w:rsidP="00555BB4">
            <w:pPr>
              <w:pStyle w:val="Tablebullet1"/>
              <w:numPr>
                <w:ilvl w:val="0"/>
                <w:numId w:val="0"/>
              </w:numPr>
              <w:ind w:left="227" w:hanging="227"/>
            </w:pPr>
          </w:p>
        </w:tc>
        <w:tc>
          <w:tcPr>
            <w:tcW w:w="1752" w:type="pct"/>
          </w:tcPr>
          <w:p w14:paraId="5E03A5E1" w14:textId="773E9EF2" w:rsidR="00A37D2A" w:rsidRDefault="00A37D2A" w:rsidP="00555BB4">
            <w:pPr>
              <w:pStyle w:val="Tabletext"/>
              <w:rPr>
                <w:b/>
                <w:bCs/>
              </w:rPr>
            </w:pPr>
            <w:r>
              <w:rPr>
                <w:b/>
                <w:bCs/>
              </w:rPr>
              <w:t>COVID-19</w:t>
            </w:r>
            <w:r w:rsidR="00E73349">
              <w:rPr>
                <w:b/>
                <w:bCs/>
              </w:rPr>
              <w:t xml:space="preserve"> </w:t>
            </w:r>
            <w:r w:rsidR="00E73349" w:rsidRPr="00F9103D">
              <w:t>return to work</w:t>
            </w:r>
            <w:r>
              <w:rPr>
                <w:b/>
                <w:bCs/>
              </w:rPr>
              <w:t xml:space="preserve">: </w:t>
            </w:r>
          </w:p>
          <w:p w14:paraId="4CFFA053" w14:textId="1AF2065B" w:rsidR="00A37D2A" w:rsidRPr="00F9103D" w:rsidRDefault="00E73349" w:rsidP="00F9103D">
            <w:pPr>
              <w:pStyle w:val="Tablebullet1"/>
              <w:rPr>
                <w:b/>
                <w:bCs/>
              </w:rPr>
            </w:pPr>
            <w:r w:rsidRPr="009C25DB">
              <w:t>a</w:t>
            </w:r>
            <w:r w:rsidR="00A37D2A" w:rsidRPr="009C25DB">
              <w:t xml:space="preserve">fter </w:t>
            </w:r>
            <w:r w:rsidRPr="009C25DB">
              <w:t>five</w:t>
            </w:r>
            <w:r w:rsidR="00A37D2A" w:rsidRPr="009C25DB">
              <w:t xml:space="preserve"> days from symptom onset (or positive test if asymptomatic)</w:t>
            </w:r>
            <w:r w:rsidRPr="009C25DB">
              <w:t>,</w:t>
            </w:r>
            <w:r w:rsidR="00A37D2A" w:rsidRPr="009C25DB">
              <w:t xml:space="preserve"> provided that acute symptoms have resolved and </w:t>
            </w:r>
            <w:r w:rsidRPr="009C25DB">
              <w:t xml:space="preserve">a </w:t>
            </w:r>
            <w:r w:rsidR="00A37D2A" w:rsidRPr="009C25DB">
              <w:t>COVID</w:t>
            </w:r>
            <w:r w:rsidR="00B113CF" w:rsidRPr="009C25DB">
              <w:t>-</w:t>
            </w:r>
            <w:r w:rsidR="00A37D2A" w:rsidRPr="009C25DB">
              <w:t>19 RAT is negative</w:t>
            </w:r>
            <w:r w:rsidRPr="009C25DB">
              <w:t xml:space="preserve"> </w:t>
            </w:r>
            <w:r w:rsidR="006A1A81" w:rsidRPr="009C25DB">
              <w:rPr>
                <w:b/>
                <w:bCs/>
              </w:rPr>
              <w:t>OR</w:t>
            </w:r>
            <w:r w:rsidR="00A37D2A" w:rsidRPr="009C25DB">
              <w:rPr>
                <w:b/>
                <w:bCs/>
              </w:rPr>
              <w:t xml:space="preserve"> </w:t>
            </w:r>
          </w:p>
          <w:p w14:paraId="758B888C" w14:textId="35D558A8" w:rsidR="00C72B99" w:rsidRPr="009C25DB" w:rsidRDefault="009C25DB" w:rsidP="00F9103D">
            <w:pPr>
              <w:pStyle w:val="Tablebullet1"/>
              <w:rPr>
                <w:b/>
                <w:bCs/>
              </w:rPr>
            </w:pPr>
            <w:r w:rsidRPr="009C25DB">
              <w:lastRenderedPageBreak/>
              <w:t>a</w:t>
            </w:r>
            <w:r w:rsidR="00A37D2A" w:rsidRPr="009C25DB">
              <w:t xml:space="preserve">fter </w:t>
            </w:r>
            <w:r w:rsidRPr="009C25DB">
              <w:t>seven</w:t>
            </w:r>
            <w:r w:rsidR="00A37D2A" w:rsidRPr="009C25DB">
              <w:t xml:space="preserve"> days </w:t>
            </w:r>
            <w:r w:rsidR="009F57D9" w:rsidRPr="009C25DB">
              <w:t xml:space="preserve">from symptom onset </w:t>
            </w:r>
            <w:r w:rsidR="00A37D2A" w:rsidRPr="009C25DB">
              <w:t xml:space="preserve">if acute symptoms </w:t>
            </w:r>
            <w:r w:rsidR="009F57D9" w:rsidRPr="009C25DB">
              <w:t xml:space="preserve">have </w:t>
            </w:r>
            <w:r w:rsidR="00A37D2A" w:rsidRPr="009C25DB">
              <w:t xml:space="preserve">resolved for 24 hours, </w:t>
            </w:r>
            <w:r w:rsidRPr="009C25DB">
              <w:t xml:space="preserve">with </w:t>
            </w:r>
            <w:r w:rsidR="00A37D2A" w:rsidRPr="009C25DB">
              <w:t>no testing required</w:t>
            </w:r>
            <w:r w:rsidRPr="00F9103D">
              <w:t xml:space="preserve"> </w:t>
            </w:r>
            <w:r w:rsidR="00C72B99" w:rsidRPr="009C25DB">
              <w:rPr>
                <w:b/>
                <w:bCs/>
              </w:rPr>
              <w:t>OR</w:t>
            </w:r>
          </w:p>
          <w:p w14:paraId="2A515CF2" w14:textId="07B92C97" w:rsidR="00E26933" w:rsidRDefault="009C25DB" w:rsidP="00776915">
            <w:pPr>
              <w:pStyle w:val="Tablebullet1"/>
            </w:pPr>
            <w:r>
              <w:t>i</w:t>
            </w:r>
            <w:r w:rsidR="00A37D2A" w:rsidRPr="00973AB2">
              <w:t>f symptoms</w:t>
            </w:r>
            <w:r w:rsidR="00C72B99">
              <w:t xml:space="preserve"> </w:t>
            </w:r>
            <w:r w:rsidR="000449F1">
              <w:t xml:space="preserve">continue </w:t>
            </w:r>
            <w:r w:rsidR="00C72B99">
              <w:t xml:space="preserve">after </w:t>
            </w:r>
            <w:r>
              <w:t>seven</w:t>
            </w:r>
            <w:r w:rsidR="00C72B99">
              <w:t xml:space="preserve"> days,</w:t>
            </w:r>
            <w:r w:rsidR="00A37D2A" w:rsidRPr="00973AB2">
              <w:t xml:space="preserve"> return when acute symptoms </w:t>
            </w:r>
            <w:r w:rsidR="00B37895">
              <w:t xml:space="preserve">have </w:t>
            </w:r>
            <w:r w:rsidR="00A37D2A" w:rsidRPr="00973AB2">
              <w:t xml:space="preserve">resolved and no fever </w:t>
            </w:r>
            <w:r>
              <w:t xml:space="preserve">is present </w:t>
            </w:r>
            <w:r w:rsidR="00A37D2A" w:rsidRPr="00973AB2">
              <w:t>for 24 h</w:t>
            </w:r>
            <w:r w:rsidR="00A83B31">
              <w:t>ours</w:t>
            </w:r>
            <w:r w:rsidR="00A37D2A" w:rsidRPr="00973AB2">
              <w:t>.</w:t>
            </w:r>
            <w:r w:rsidR="00A37D2A">
              <w:t xml:space="preserve"> </w:t>
            </w:r>
          </w:p>
          <w:p w14:paraId="0E657305" w14:textId="4BCF3934" w:rsidR="00A37D2A" w:rsidRDefault="00A37D2A" w:rsidP="00555BB4">
            <w:pPr>
              <w:pStyle w:val="Tabletext"/>
              <w:rPr>
                <w:b/>
                <w:bCs/>
              </w:rPr>
            </w:pPr>
            <w:r>
              <w:rPr>
                <w:b/>
                <w:bCs/>
              </w:rPr>
              <w:t>Influenza</w:t>
            </w:r>
            <w:r w:rsidR="009C25DB">
              <w:rPr>
                <w:b/>
                <w:bCs/>
              </w:rPr>
              <w:t xml:space="preserve"> </w:t>
            </w:r>
            <w:r w:rsidR="009C25DB" w:rsidRPr="00F9103D">
              <w:t>return to work</w:t>
            </w:r>
            <w:r w:rsidRPr="00F9103D">
              <w:t>:</w:t>
            </w:r>
            <w:r>
              <w:rPr>
                <w:b/>
                <w:bCs/>
              </w:rPr>
              <w:t xml:space="preserve"> </w:t>
            </w:r>
          </w:p>
          <w:p w14:paraId="64FA49E0" w14:textId="4E15EC42" w:rsidR="00A37D2A" w:rsidRPr="00F9103D" w:rsidRDefault="009C25DB" w:rsidP="00F9103D">
            <w:pPr>
              <w:pStyle w:val="Tablebullet1"/>
            </w:pPr>
            <w:r w:rsidRPr="009C25DB">
              <w:t>five</w:t>
            </w:r>
            <w:r w:rsidR="00A37D2A" w:rsidRPr="009C25DB">
              <w:t xml:space="preserve"> days from symptom onset, or until acute symptoms resolved, whichever is longe</w:t>
            </w:r>
            <w:r w:rsidR="00A03982" w:rsidRPr="009C25DB">
              <w:t>r</w:t>
            </w:r>
            <w:r w:rsidRPr="009C25DB">
              <w:t xml:space="preserve"> </w:t>
            </w:r>
            <w:r w:rsidR="00E26933" w:rsidRPr="009C25DB">
              <w:rPr>
                <w:b/>
                <w:bCs/>
              </w:rPr>
              <w:t>OR</w:t>
            </w:r>
            <w:r w:rsidR="00A37D2A" w:rsidRPr="009C25DB">
              <w:t xml:space="preserve"> </w:t>
            </w:r>
          </w:p>
          <w:p w14:paraId="70F10604" w14:textId="77777777" w:rsidR="00A37D2A" w:rsidRDefault="00A37D2A" w:rsidP="00A37D2A">
            <w:pPr>
              <w:pStyle w:val="Tablebullet1"/>
            </w:pPr>
            <w:r w:rsidRPr="0044577D">
              <w:t>72 hours after antivirals commenced. No testing required.</w:t>
            </w:r>
          </w:p>
          <w:p w14:paraId="17A3EF8E" w14:textId="785EE9FA" w:rsidR="00A37D2A" w:rsidRPr="00C13C10" w:rsidRDefault="00A37D2A" w:rsidP="00F9103D">
            <w:pPr>
              <w:pStyle w:val="Tabletext"/>
            </w:pPr>
            <w:r>
              <w:rPr>
                <w:b/>
                <w:bCs/>
              </w:rPr>
              <w:t xml:space="preserve">RSV </w:t>
            </w:r>
            <w:r w:rsidR="00E26933">
              <w:rPr>
                <w:b/>
                <w:bCs/>
              </w:rPr>
              <w:t>and</w:t>
            </w:r>
            <w:r>
              <w:rPr>
                <w:b/>
                <w:bCs/>
              </w:rPr>
              <w:t xml:space="preserve"> other respiratory pathogens</w:t>
            </w:r>
            <w:r w:rsidR="009C25DB">
              <w:rPr>
                <w:b/>
                <w:bCs/>
              </w:rPr>
              <w:t xml:space="preserve"> </w:t>
            </w:r>
            <w:r w:rsidR="009C25DB" w:rsidRPr="00F9103D">
              <w:t>return to work</w:t>
            </w:r>
            <w:r>
              <w:t xml:space="preserve"> once acute symptoms </w:t>
            </w:r>
            <w:r w:rsidR="009C25DB">
              <w:t xml:space="preserve">have </w:t>
            </w:r>
            <w:r>
              <w:t>resolved.</w:t>
            </w:r>
          </w:p>
        </w:tc>
      </w:tr>
    </w:tbl>
    <w:p w14:paraId="353A8F1B" w14:textId="77777777" w:rsidR="00CE26A6" w:rsidRDefault="00CE26A6" w:rsidP="00CE26A6">
      <w:pPr>
        <w:pStyle w:val="Body"/>
      </w:pPr>
    </w:p>
    <w:p w14:paraId="05CE351B" w14:textId="28173937" w:rsidR="009C25DB" w:rsidRDefault="009C25DB" w:rsidP="00F9103D">
      <w:pPr>
        <w:pStyle w:val="Tablecaption"/>
      </w:pPr>
      <w:bookmarkStart w:id="116" w:name="Table4contactmanagement"/>
      <w:r>
        <w:t xml:space="preserve">Table </w:t>
      </w:r>
      <w:fldSimple w:instr=" SEQ Table \* ARABIC ">
        <w:r w:rsidR="0031298E">
          <w:rPr>
            <w:noProof/>
          </w:rPr>
          <w:t>8</w:t>
        </w:r>
      </w:fldSimple>
      <w:r>
        <w:t xml:space="preserve">. </w:t>
      </w:r>
      <w:r w:rsidRPr="005C57BE">
        <w:t>Contact management</w:t>
      </w:r>
    </w:p>
    <w:bookmarkEnd w:id="116"/>
    <w:tbl>
      <w:tblPr>
        <w:tblStyle w:val="TableGrid"/>
        <w:tblW w:w="5000" w:type="pct"/>
        <w:tblLook w:val="04A0" w:firstRow="1" w:lastRow="0" w:firstColumn="1" w:lastColumn="0" w:noHBand="0" w:noVBand="1"/>
      </w:tblPr>
      <w:tblGrid>
        <w:gridCol w:w="2938"/>
        <w:gridCol w:w="6290"/>
        <w:gridCol w:w="5048"/>
      </w:tblGrid>
      <w:tr w:rsidR="00D60D05" w:rsidRPr="00D6187F" w14:paraId="6554C061" w14:textId="77777777" w:rsidTr="00FA461D">
        <w:trPr>
          <w:tblHeader/>
        </w:trPr>
        <w:tc>
          <w:tcPr>
            <w:tcW w:w="1029" w:type="pct"/>
            <w:shd w:val="clear" w:color="auto" w:fill="4F81BD" w:themeFill="accent1"/>
          </w:tcPr>
          <w:p w14:paraId="5259182E" w14:textId="77777777" w:rsidR="00D60D05" w:rsidRPr="00027E09" w:rsidRDefault="00D60D05" w:rsidP="00555BB4">
            <w:pPr>
              <w:rPr>
                <w:rFonts w:asciiTheme="majorHAnsi" w:hAnsiTheme="majorHAnsi" w:cstheme="majorHAnsi"/>
                <w:color w:val="FFFFFF" w:themeColor="background1"/>
              </w:rPr>
            </w:pPr>
          </w:p>
        </w:tc>
        <w:tc>
          <w:tcPr>
            <w:tcW w:w="2203" w:type="pct"/>
            <w:shd w:val="clear" w:color="auto" w:fill="4F81BD" w:themeFill="accent1"/>
          </w:tcPr>
          <w:p w14:paraId="3F017C2C" w14:textId="5C4E8AE4" w:rsidR="00D60D05" w:rsidRPr="00027E09" w:rsidRDefault="005B61F3" w:rsidP="00555BB4">
            <w:pPr>
              <w:pStyle w:val="Tablecolhead"/>
              <w:rPr>
                <w:color w:val="FFFFFF" w:themeColor="background1"/>
              </w:rPr>
            </w:pPr>
            <w:r>
              <w:rPr>
                <w:color w:val="FFFFFF" w:themeColor="background1"/>
              </w:rPr>
              <w:t>Core actions for all respiratory outbreaks</w:t>
            </w:r>
          </w:p>
        </w:tc>
        <w:tc>
          <w:tcPr>
            <w:tcW w:w="1768" w:type="pct"/>
            <w:shd w:val="clear" w:color="auto" w:fill="4F81BD" w:themeFill="accent1"/>
          </w:tcPr>
          <w:p w14:paraId="37056732" w14:textId="77777777" w:rsidR="00D60D05" w:rsidRPr="00027E09" w:rsidRDefault="00D60D05" w:rsidP="00555BB4">
            <w:pPr>
              <w:pStyle w:val="Tablecolhead"/>
              <w:rPr>
                <w:color w:val="FFFFFF" w:themeColor="background1"/>
              </w:rPr>
            </w:pPr>
            <w:r>
              <w:rPr>
                <w:color w:val="FFFFFF" w:themeColor="background1"/>
              </w:rPr>
              <w:t>Pathogen-specific considerations</w:t>
            </w:r>
          </w:p>
        </w:tc>
      </w:tr>
      <w:tr w:rsidR="00D60D05" w:rsidRPr="000D0BFA" w14:paraId="7C8D1CFF" w14:textId="77777777" w:rsidTr="00FA461D">
        <w:tc>
          <w:tcPr>
            <w:tcW w:w="1029" w:type="pct"/>
          </w:tcPr>
          <w:p w14:paraId="7F65338F" w14:textId="6A9C755E" w:rsidR="00D60D05" w:rsidRDefault="00D60D05" w:rsidP="00555BB4">
            <w:pPr>
              <w:pStyle w:val="Tablecolhead"/>
            </w:pPr>
            <w:r>
              <w:t>Resident</w:t>
            </w:r>
            <w:r w:rsidR="00C6507D">
              <w:t xml:space="preserve"> contacts</w:t>
            </w:r>
          </w:p>
        </w:tc>
        <w:tc>
          <w:tcPr>
            <w:tcW w:w="2203" w:type="pct"/>
          </w:tcPr>
          <w:p w14:paraId="71047EE9" w14:textId="77777777" w:rsidR="00D60D05" w:rsidRDefault="00D60D05" w:rsidP="005D00AA">
            <w:pPr>
              <w:pStyle w:val="Bullet1"/>
            </w:pPr>
            <w:r>
              <w:t xml:space="preserve">Symptomatic residents should be tested promptly. </w:t>
            </w:r>
          </w:p>
          <w:p w14:paraId="6877EB7C" w14:textId="29E8316F" w:rsidR="00BC73A6" w:rsidRPr="000D0BFA" w:rsidRDefault="00EC3248" w:rsidP="00BA02E2">
            <w:pPr>
              <w:pStyle w:val="Tablebullet1"/>
            </w:pPr>
            <w:r w:rsidRPr="00EC3248">
              <w:t>Support resident wellbeing by allowing essential visits to continue. Visitors should comply with facility entry requirements.</w:t>
            </w:r>
          </w:p>
        </w:tc>
        <w:tc>
          <w:tcPr>
            <w:tcW w:w="1768" w:type="pct"/>
          </w:tcPr>
          <w:p w14:paraId="24E4AC3E" w14:textId="5826FA3E" w:rsidR="009C3395" w:rsidRDefault="00EC2E23" w:rsidP="00F9103D">
            <w:pPr>
              <w:pStyle w:val="Tabletext"/>
            </w:pPr>
            <w:r w:rsidRPr="00F9103D">
              <w:t>For</w:t>
            </w:r>
            <w:r>
              <w:rPr>
                <w:b/>
                <w:bCs/>
              </w:rPr>
              <w:t xml:space="preserve"> </w:t>
            </w:r>
            <w:r w:rsidR="00D60D05">
              <w:rPr>
                <w:b/>
                <w:bCs/>
              </w:rPr>
              <w:t>COVID-19</w:t>
            </w:r>
            <w:r>
              <w:rPr>
                <w:b/>
                <w:bCs/>
              </w:rPr>
              <w:t xml:space="preserve"> </w:t>
            </w:r>
            <w:r w:rsidRPr="00F9103D">
              <w:t>contacts</w:t>
            </w:r>
            <w:r>
              <w:t>, w</w:t>
            </w:r>
            <w:r w:rsidR="00985E14">
              <w:t xml:space="preserve">here </w:t>
            </w:r>
            <w:r w:rsidR="00985E14" w:rsidRPr="00FA461D">
              <w:t xml:space="preserve">the source of infection </w:t>
            </w:r>
            <w:r w:rsidR="00985E14">
              <w:t xml:space="preserve">is </w:t>
            </w:r>
            <w:r w:rsidR="00985E14" w:rsidRPr="00FA461D">
              <w:t>unknown,</w:t>
            </w:r>
            <w:r w:rsidR="00985E14">
              <w:rPr>
                <w:b/>
                <w:bCs/>
              </w:rPr>
              <w:t xml:space="preserve"> </w:t>
            </w:r>
            <w:r w:rsidR="00985E14">
              <w:t xml:space="preserve">all residents in the affected zone(s) and other </w:t>
            </w:r>
            <w:r w:rsidRPr="00F9103D">
              <w:t>defined contacts</w:t>
            </w:r>
            <w:r w:rsidR="00985E14" w:rsidRPr="00903483">
              <w:t xml:space="preserve"> </w:t>
            </w:r>
            <w:r w:rsidR="00985E14">
              <w:t>should</w:t>
            </w:r>
            <w:r w:rsidR="007C6C5F">
              <w:t xml:space="preserve"> have an initial round of testing</w:t>
            </w:r>
            <w:r>
              <w:t xml:space="preserve"> (see </w:t>
            </w:r>
            <w:hyperlink w:anchor="contactdefinitions" w:history="1">
              <w:r>
                <w:rPr>
                  <w:rStyle w:val="Hyperlink"/>
                </w:rPr>
                <w:t>COVID-19 d</w:t>
              </w:r>
              <w:r w:rsidRPr="00292414">
                <w:rPr>
                  <w:rStyle w:val="Hyperlink"/>
                </w:rPr>
                <w:t>efined contact</w:t>
              </w:r>
              <w:r>
                <w:rPr>
                  <w:rStyle w:val="Hyperlink"/>
                </w:rPr>
                <w:t>s definitions</w:t>
              </w:r>
            </w:hyperlink>
            <w:r>
              <w:t>)</w:t>
            </w:r>
            <w:r w:rsidR="007C6C5F">
              <w:t>.</w:t>
            </w:r>
          </w:p>
          <w:p w14:paraId="05A53758" w14:textId="6A5B1289" w:rsidR="00D60D05" w:rsidRPr="001632FA" w:rsidRDefault="00EC2E23" w:rsidP="00F9103D">
            <w:pPr>
              <w:pStyle w:val="Tabletext"/>
            </w:pPr>
            <w:r>
              <w:t>For r</w:t>
            </w:r>
            <w:r w:rsidR="00D60D05" w:rsidRPr="001632FA">
              <w:t xml:space="preserve">esidents who choose </w:t>
            </w:r>
            <w:r w:rsidR="00D60D05" w:rsidRPr="001632FA">
              <w:rPr>
                <w:b/>
                <w:bCs/>
              </w:rPr>
              <w:t>not to self-quarantine</w:t>
            </w:r>
            <w:r w:rsidR="00D60D05">
              <w:t>:</w:t>
            </w:r>
          </w:p>
          <w:p w14:paraId="2E48E6FD" w14:textId="42E2EED5" w:rsidR="00D60D05" w:rsidRPr="001632FA" w:rsidRDefault="00EC2E23" w:rsidP="00F9103D">
            <w:pPr>
              <w:pStyle w:val="Tablebullet1"/>
            </w:pPr>
            <w:r>
              <w:t>i</w:t>
            </w:r>
            <w:r w:rsidR="00D60D05" w:rsidRPr="001632FA">
              <w:t>f</w:t>
            </w:r>
            <w:r>
              <w:t xml:space="preserve"> a</w:t>
            </w:r>
            <w:r w:rsidR="00D60D05" w:rsidRPr="001632FA">
              <w:t xml:space="preserve"> RAT </w:t>
            </w:r>
            <w:r>
              <w:t xml:space="preserve">is </w:t>
            </w:r>
            <w:r w:rsidR="00D60D05" w:rsidRPr="001632FA">
              <w:t>negative, enable socialisation by choice of resident with others who have a similar exposure level</w:t>
            </w:r>
            <w:r w:rsidR="00D60D05">
              <w:t>/zone</w:t>
            </w:r>
          </w:p>
          <w:p w14:paraId="3DD23E58" w14:textId="3D297FA8" w:rsidR="00D60D05" w:rsidRPr="00897AD2" w:rsidRDefault="00FF5A5E" w:rsidP="00F9103D">
            <w:pPr>
              <w:pStyle w:val="Tablebullet1"/>
            </w:pPr>
            <w:r>
              <w:t>u</w:t>
            </w:r>
            <w:r w:rsidR="00D60D05" w:rsidRPr="00897AD2">
              <w:t xml:space="preserve">ndertake a RAT at least every second day up to day </w:t>
            </w:r>
            <w:r>
              <w:t>seven</w:t>
            </w:r>
            <w:r w:rsidR="00D60D05" w:rsidRPr="00897AD2">
              <w:t xml:space="preserve"> after </w:t>
            </w:r>
            <w:r>
              <w:t xml:space="preserve">the </w:t>
            </w:r>
            <w:r w:rsidR="00D60D05" w:rsidRPr="00897AD2">
              <w:t>most recent exposure date</w:t>
            </w:r>
          </w:p>
          <w:p w14:paraId="45AE85EB" w14:textId="06E699EE" w:rsidR="00D60D05" w:rsidRPr="001632FA" w:rsidRDefault="00FF5A5E" w:rsidP="00F9103D">
            <w:pPr>
              <w:pStyle w:val="Tablebullet1"/>
            </w:pPr>
            <w:r>
              <w:lastRenderedPageBreak/>
              <w:t>w</w:t>
            </w:r>
            <w:r w:rsidR="00D60D05" w:rsidRPr="001632FA">
              <w:t xml:space="preserve">ear a face mask when leaving their </w:t>
            </w:r>
            <w:r w:rsidR="00D60D05">
              <w:t xml:space="preserve">zone </w:t>
            </w:r>
            <w:r w:rsidR="00D60D05" w:rsidRPr="001632FA">
              <w:t xml:space="preserve">for </w:t>
            </w:r>
            <w:r>
              <w:t>seven</w:t>
            </w:r>
            <w:r w:rsidR="00D60D05" w:rsidRPr="001632FA">
              <w:t xml:space="preserve"> days</w:t>
            </w:r>
          </w:p>
          <w:p w14:paraId="53545AF1" w14:textId="1F7184AE" w:rsidR="00D60D05" w:rsidRDefault="00FF5A5E" w:rsidP="00F9103D">
            <w:pPr>
              <w:pStyle w:val="Tablebullet1"/>
              <w:rPr>
                <w:lang w:eastAsia="en-AU"/>
              </w:rPr>
            </w:pPr>
            <w:r>
              <w:t>r</w:t>
            </w:r>
            <w:r w:rsidR="00D60D05" w:rsidRPr="001632FA">
              <w:t xml:space="preserve">esume normal activities </w:t>
            </w:r>
            <w:r w:rsidR="006029AF">
              <w:t xml:space="preserve">on day </w:t>
            </w:r>
            <w:r>
              <w:t>eight,</w:t>
            </w:r>
            <w:r w:rsidR="00D60D05" w:rsidRPr="001632FA">
              <w:t xml:space="preserve"> with a day </w:t>
            </w:r>
            <w:r>
              <w:t>six</w:t>
            </w:r>
            <w:r w:rsidR="00D60D05" w:rsidRPr="001632FA">
              <w:t xml:space="preserve"> negative result and </w:t>
            </w:r>
            <w:r>
              <w:t xml:space="preserve">being </w:t>
            </w:r>
            <w:r w:rsidR="00D60D05" w:rsidRPr="001632FA">
              <w:t>asymptomatic.</w:t>
            </w:r>
          </w:p>
          <w:p w14:paraId="1B3367E1" w14:textId="2585E5B9" w:rsidR="00D60D05" w:rsidRDefault="00D60D05" w:rsidP="00F9103D">
            <w:pPr>
              <w:pStyle w:val="Tabletext"/>
            </w:pPr>
            <w:r w:rsidRPr="001632FA">
              <w:t xml:space="preserve">Residents who choose </w:t>
            </w:r>
            <w:r w:rsidRPr="00BA02E2">
              <w:rPr>
                <w:b/>
                <w:bCs/>
              </w:rPr>
              <w:t>to self-quarantine</w:t>
            </w:r>
            <w:r w:rsidRPr="001632FA">
              <w:t xml:space="preserve"> in their rooms for </w:t>
            </w:r>
            <w:r w:rsidR="00FF5A5E">
              <w:t>seven</w:t>
            </w:r>
            <w:r w:rsidRPr="001632FA">
              <w:t xml:space="preserve"> days should</w:t>
            </w:r>
            <w:r w:rsidR="00FF5A5E">
              <w:t xml:space="preserve"> u</w:t>
            </w:r>
            <w:r w:rsidRPr="001632FA">
              <w:t xml:space="preserve">ndertake </w:t>
            </w:r>
            <w:r w:rsidR="00FF5A5E">
              <w:t xml:space="preserve">a </w:t>
            </w:r>
            <w:r w:rsidRPr="001632FA">
              <w:t xml:space="preserve">RAT on </w:t>
            </w:r>
            <w:r w:rsidR="00FF5A5E">
              <w:t>d</w:t>
            </w:r>
            <w:r w:rsidRPr="001632FA">
              <w:t xml:space="preserve">ay </w:t>
            </w:r>
            <w:r w:rsidR="00FF5A5E">
              <w:t>two</w:t>
            </w:r>
            <w:r w:rsidRPr="001632FA">
              <w:t xml:space="preserve"> and </w:t>
            </w:r>
            <w:r w:rsidR="00FF5A5E">
              <w:t>six</w:t>
            </w:r>
            <w:r w:rsidRPr="001632FA">
              <w:t xml:space="preserve"> of self-quarantine.</w:t>
            </w:r>
          </w:p>
          <w:p w14:paraId="0A3A604D" w14:textId="6D90E338" w:rsidR="00D60D05" w:rsidRPr="00A20991" w:rsidRDefault="00D60D05" w:rsidP="00F9103D">
            <w:pPr>
              <w:pStyle w:val="Tabletext"/>
            </w:pPr>
            <w:r>
              <w:t>Additional recommendations</w:t>
            </w:r>
            <w:r w:rsidR="00FF5A5E">
              <w:t xml:space="preserve"> include </w:t>
            </w:r>
            <w:r>
              <w:t>avoid</w:t>
            </w:r>
            <w:r w:rsidR="00FF5A5E">
              <w:t>ing</w:t>
            </w:r>
            <w:r>
              <w:t xml:space="preserve"> visiting high</w:t>
            </w:r>
            <w:r w:rsidR="00FF5A5E">
              <w:t>-</w:t>
            </w:r>
            <w:r>
              <w:t>risk settings (</w:t>
            </w:r>
            <w:r w:rsidR="003B3318">
              <w:t xml:space="preserve">for example, </w:t>
            </w:r>
            <w:r>
              <w:t xml:space="preserve">hospital or other care facilities) for at least </w:t>
            </w:r>
            <w:r w:rsidR="00FF5A5E">
              <w:t>seven</w:t>
            </w:r>
            <w:r>
              <w:t xml:space="preserve"> days following their last contact with a case. If the visit is essential, wear a face mask. </w:t>
            </w:r>
          </w:p>
        </w:tc>
      </w:tr>
      <w:tr w:rsidR="00D60D05" w:rsidRPr="000D0BFA" w14:paraId="232DCE22" w14:textId="77777777" w:rsidTr="00FA461D">
        <w:tc>
          <w:tcPr>
            <w:tcW w:w="1029" w:type="pct"/>
          </w:tcPr>
          <w:p w14:paraId="4C9E573A" w14:textId="5EA1FE22" w:rsidR="00D60D05" w:rsidRDefault="00D60D05" w:rsidP="00555BB4">
            <w:pPr>
              <w:pStyle w:val="Tablecolhead"/>
            </w:pPr>
            <w:r>
              <w:lastRenderedPageBreak/>
              <w:t xml:space="preserve">Staff </w:t>
            </w:r>
            <w:r w:rsidR="00C6507D">
              <w:t>contacts</w:t>
            </w:r>
          </w:p>
        </w:tc>
        <w:tc>
          <w:tcPr>
            <w:tcW w:w="2203" w:type="pct"/>
          </w:tcPr>
          <w:p w14:paraId="26A30AFA" w14:textId="77777777" w:rsidR="00D60D05" w:rsidRDefault="00D60D05" w:rsidP="00361696">
            <w:pPr>
              <w:pStyle w:val="Tablebullet1"/>
            </w:pPr>
            <w:r>
              <w:t xml:space="preserve">Staff exposed to a case may continue working if asymptomatic and compliant with recommended pathogen-specific precautions as applicable. </w:t>
            </w:r>
          </w:p>
          <w:p w14:paraId="718517D2" w14:textId="6A69D2B4" w:rsidR="0035306A" w:rsidRPr="000D0BFA" w:rsidRDefault="003B4893" w:rsidP="00F9103D">
            <w:pPr>
              <w:pStyle w:val="Tablebullet1"/>
            </w:pPr>
            <w:r>
              <w:t>Monitor for symptoms, if symptoms develop</w:t>
            </w:r>
            <w:r w:rsidR="00696DF7">
              <w:t>,</w:t>
            </w:r>
            <w:r>
              <w:t xml:space="preserve"> do not attend work and seek medical care and testing</w:t>
            </w:r>
            <w:r w:rsidR="000A1A9A">
              <w:t>.</w:t>
            </w:r>
          </w:p>
        </w:tc>
        <w:tc>
          <w:tcPr>
            <w:tcW w:w="1768" w:type="pct"/>
          </w:tcPr>
          <w:p w14:paraId="1E7D9286" w14:textId="64BEEAA7" w:rsidR="00D60D05" w:rsidRDefault="00FF5A5E" w:rsidP="00F9103D">
            <w:pPr>
              <w:pStyle w:val="Tabletext"/>
            </w:pPr>
            <w:r w:rsidRPr="00F9103D">
              <w:t>For</w:t>
            </w:r>
            <w:r>
              <w:rPr>
                <w:b/>
                <w:bCs/>
              </w:rPr>
              <w:t xml:space="preserve"> </w:t>
            </w:r>
            <w:r w:rsidR="00D60D05">
              <w:rPr>
                <w:b/>
                <w:bCs/>
              </w:rPr>
              <w:t>COVID-19</w:t>
            </w:r>
            <w:r>
              <w:t>,</w:t>
            </w:r>
            <w:r w:rsidR="00D60D05" w:rsidRPr="00F9103D">
              <w:t xml:space="preserve"> </w:t>
            </w:r>
            <w:r>
              <w:t>s</w:t>
            </w:r>
            <w:r w:rsidR="00D60D05" w:rsidRPr="00426A14">
              <w:t xml:space="preserve">taff returning to work within </w:t>
            </w:r>
            <w:r>
              <w:t>seven</w:t>
            </w:r>
            <w:r w:rsidR="00D60D05" w:rsidRPr="00426A14">
              <w:t xml:space="preserve"> day</w:t>
            </w:r>
            <w:r w:rsidR="004F0BE9">
              <w:t>s</w:t>
            </w:r>
            <w:r w:rsidR="00D60D05">
              <w:t xml:space="preserve"> </w:t>
            </w:r>
            <w:r w:rsidR="00D60D05" w:rsidRPr="00426A14">
              <w:t>of exposure</w:t>
            </w:r>
            <w:r>
              <w:t xml:space="preserve"> require</w:t>
            </w:r>
            <w:r w:rsidR="00D60D05" w:rsidRPr="00426A14">
              <w:t>:</w:t>
            </w:r>
          </w:p>
          <w:p w14:paraId="526ADAC5" w14:textId="0B3D0607" w:rsidR="00D60D05" w:rsidRDefault="00FF5A5E" w:rsidP="00E376BE">
            <w:pPr>
              <w:pStyle w:val="Tablebullet1"/>
              <w:numPr>
                <w:ilvl w:val="0"/>
                <w:numId w:val="17"/>
              </w:numPr>
            </w:pPr>
            <w:r>
              <w:t>a t</w:t>
            </w:r>
            <w:r w:rsidR="00D60D05" w:rsidRPr="00D10FD5">
              <w:t>est (RAT initially; if negative, consider PCR if available)</w:t>
            </w:r>
          </w:p>
          <w:p w14:paraId="6857AB54" w14:textId="03C5B841" w:rsidR="00D60D05" w:rsidRDefault="00E91EA3" w:rsidP="00E376BE">
            <w:pPr>
              <w:pStyle w:val="Tablebullet1"/>
              <w:numPr>
                <w:ilvl w:val="0"/>
                <w:numId w:val="17"/>
              </w:numPr>
            </w:pPr>
            <w:r>
              <w:t>a d</w:t>
            </w:r>
            <w:r w:rsidR="00D60D05" w:rsidRPr="00D10FD5">
              <w:t xml:space="preserve">aily RAT until day </w:t>
            </w:r>
            <w:r>
              <w:t>seven</w:t>
            </w:r>
            <w:r w:rsidR="00D60D05" w:rsidRPr="00D10FD5">
              <w:t xml:space="preserve"> post</w:t>
            </w:r>
            <w:r w:rsidR="00981658">
              <w:t xml:space="preserve"> </w:t>
            </w:r>
            <w:r w:rsidR="00D60D05" w:rsidRPr="00D10FD5">
              <w:t>exposure</w:t>
            </w:r>
          </w:p>
          <w:p w14:paraId="0654A7B6" w14:textId="533A4DBC" w:rsidR="00D60D05" w:rsidRDefault="00E91EA3" w:rsidP="00E376BE">
            <w:pPr>
              <w:pStyle w:val="Tablebullet1"/>
              <w:numPr>
                <w:ilvl w:val="0"/>
                <w:numId w:val="17"/>
              </w:numPr>
            </w:pPr>
            <w:r>
              <w:t>exclusion</w:t>
            </w:r>
            <w:r w:rsidRPr="00D10FD5">
              <w:t xml:space="preserve"> </w:t>
            </w:r>
            <w:r w:rsidR="00D60D05" w:rsidRPr="00D10FD5">
              <w:t xml:space="preserve">immediately if symptomatic or </w:t>
            </w:r>
            <w:r>
              <w:t xml:space="preserve">if they </w:t>
            </w:r>
            <w:r w:rsidR="00D60D05" w:rsidRPr="00D10FD5">
              <w:t>test positive (including asymptomatic)</w:t>
            </w:r>
          </w:p>
          <w:p w14:paraId="78B29DB2" w14:textId="66C49027" w:rsidR="00D60D05" w:rsidRDefault="00E91EA3" w:rsidP="00E376BE">
            <w:pPr>
              <w:pStyle w:val="Tablebullet1"/>
              <w:numPr>
                <w:ilvl w:val="0"/>
                <w:numId w:val="17"/>
              </w:numPr>
            </w:pPr>
            <w:r>
              <w:t>w</w:t>
            </w:r>
            <w:r w:rsidR="00D60D05" w:rsidRPr="00D10FD5">
              <w:t>ear</w:t>
            </w:r>
            <w:r>
              <w:t>ing a</w:t>
            </w:r>
            <w:r w:rsidR="00D60D05" w:rsidRPr="00D10FD5">
              <w:t xml:space="preserve"> P2/N95 </w:t>
            </w:r>
            <w:r w:rsidR="00D60D05">
              <w:t>respirator</w:t>
            </w:r>
            <w:r w:rsidR="00D60D05" w:rsidRPr="00D10FD5">
              <w:t xml:space="preserve"> at work until day </w:t>
            </w:r>
            <w:r>
              <w:t>seven.</w:t>
            </w:r>
          </w:p>
          <w:p w14:paraId="13118BD3" w14:textId="33AB2164" w:rsidR="00D60D05" w:rsidRPr="008F071C" w:rsidRDefault="00E91EA3" w:rsidP="00F9103D">
            <w:pPr>
              <w:pStyle w:val="Tablebullet1"/>
              <w:numPr>
                <w:ilvl w:val="0"/>
                <w:numId w:val="0"/>
              </w:numPr>
            </w:pPr>
            <w:r w:rsidRPr="00F9103D">
              <w:t>For</w:t>
            </w:r>
            <w:r>
              <w:rPr>
                <w:b/>
                <w:bCs/>
              </w:rPr>
              <w:t xml:space="preserve"> </w:t>
            </w:r>
            <w:r w:rsidR="00D60D05">
              <w:rPr>
                <w:b/>
                <w:bCs/>
              </w:rPr>
              <w:t>Influenza</w:t>
            </w:r>
            <w:r>
              <w:rPr>
                <w:b/>
                <w:bCs/>
              </w:rPr>
              <w:t xml:space="preserve">, </w:t>
            </w:r>
            <w:r w:rsidRPr="00F9103D">
              <w:t>exposed staff must</w:t>
            </w:r>
            <w:r>
              <w:rPr>
                <w:b/>
                <w:bCs/>
              </w:rPr>
              <w:t xml:space="preserve"> </w:t>
            </w:r>
            <w:r>
              <w:t>w</w:t>
            </w:r>
            <w:r w:rsidR="00D60D05">
              <w:t xml:space="preserve">ear </w:t>
            </w:r>
            <w:r>
              <w:t xml:space="preserve">a </w:t>
            </w:r>
            <w:r w:rsidR="00D60D05">
              <w:t>surgical mask at work for 7 days following last exposure.</w:t>
            </w:r>
          </w:p>
        </w:tc>
      </w:tr>
      <w:tr w:rsidR="00D60D05" w14:paraId="7F487F2F" w14:textId="77777777" w:rsidTr="00FA461D">
        <w:tc>
          <w:tcPr>
            <w:tcW w:w="1029" w:type="pct"/>
          </w:tcPr>
          <w:p w14:paraId="2F49B5D6" w14:textId="77777777" w:rsidR="00D60D05" w:rsidRDefault="00D60D05" w:rsidP="00555BB4">
            <w:pPr>
              <w:pStyle w:val="Tablecolhead"/>
            </w:pPr>
            <w:r>
              <w:t xml:space="preserve">Post-exposure prophylaxis </w:t>
            </w:r>
          </w:p>
        </w:tc>
        <w:tc>
          <w:tcPr>
            <w:tcW w:w="2203" w:type="pct"/>
          </w:tcPr>
          <w:p w14:paraId="39D19128" w14:textId="77777777" w:rsidR="00D60D05" w:rsidRPr="003F2C84" w:rsidRDefault="00D60D05" w:rsidP="00706A83">
            <w:pPr>
              <w:pStyle w:val="Tablebullet1"/>
            </w:pPr>
            <w:r>
              <w:t xml:space="preserve">Assess residents and staff for eligibility for post-exposure prophylaxis through the treating condition where indicated. </w:t>
            </w:r>
          </w:p>
        </w:tc>
        <w:tc>
          <w:tcPr>
            <w:tcW w:w="1768" w:type="pct"/>
          </w:tcPr>
          <w:p w14:paraId="0C1E3E4B" w14:textId="42897827" w:rsidR="00D60D05" w:rsidRPr="008F071C" w:rsidRDefault="00D60D05" w:rsidP="00F9103D">
            <w:pPr>
              <w:pStyle w:val="Tabletext"/>
            </w:pPr>
            <w:r>
              <w:rPr>
                <w:b/>
                <w:bCs/>
              </w:rPr>
              <w:t xml:space="preserve">Influenza: </w:t>
            </w:r>
            <w:r w:rsidR="003B4893">
              <w:t>Preventive a</w:t>
            </w:r>
            <w:r>
              <w:t xml:space="preserve">ntivirals </w:t>
            </w:r>
            <w:r w:rsidR="003B4893">
              <w:t>should</w:t>
            </w:r>
            <w:r>
              <w:t xml:space="preserve"> be considered for </w:t>
            </w:r>
            <w:r w:rsidR="003B4893">
              <w:t xml:space="preserve">contacts </w:t>
            </w:r>
            <w:r w:rsidR="00E91EA3">
              <w:t>with</w:t>
            </w:r>
            <w:r>
              <w:t xml:space="preserve"> residents, unvaccinated staff or staff with comorbidities</w:t>
            </w:r>
            <w:r w:rsidR="00E91EA3">
              <w:t xml:space="preserve"> or </w:t>
            </w:r>
            <w:r>
              <w:t>pregnancy</w:t>
            </w:r>
            <w:r w:rsidR="00E91EA3">
              <w:t>, who are</w:t>
            </w:r>
            <w:r>
              <w:t xml:space="preserve"> at higher risk.</w:t>
            </w:r>
          </w:p>
        </w:tc>
      </w:tr>
    </w:tbl>
    <w:p w14:paraId="7FEC0DED" w14:textId="7E0604C8" w:rsidR="00E91EA3" w:rsidRDefault="00E91EA3" w:rsidP="00F9103D">
      <w:pPr>
        <w:pStyle w:val="Tablecaption"/>
      </w:pPr>
      <w:r>
        <w:lastRenderedPageBreak/>
        <w:t xml:space="preserve">Table </w:t>
      </w:r>
      <w:fldSimple w:instr=" SEQ Table \* ARABIC ">
        <w:r w:rsidR="0031298E">
          <w:rPr>
            <w:noProof/>
          </w:rPr>
          <w:t>9</w:t>
        </w:r>
      </w:fldSimple>
      <w:r>
        <w:t xml:space="preserve">. </w:t>
      </w:r>
      <w:r w:rsidRPr="00BC647C">
        <w:t>Admissions and transfers</w:t>
      </w:r>
    </w:p>
    <w:tbl>
      <w:tblPr>
        <w:tblStyle w:val="TableGrid"/>
        <w:tblW w:w="5000" w:type="pct"/>
        <w:tblLook w:val="04A0" w:firstRow="1" w:lastRow="0" w:firstColumn="1" w:lastColumn="0" w:noHBand="0" w:noVBand="1"/>
      </w:tblPr>
      <w:tblGrid>
        <w:gridCol w:w="2870"/>
        <w:gridCol w:w="6407"/>
        <w:gridCol w:w="4999"/>
      </w:tblGrid>
      <w:tr w:rsidR="00796F14" w:rsidRPr="001C1288" w14:paraId="3F714B8E" w14:textId="77777777" w:rsidTr="00FA461D">
        <w:trPr>
          <w:tblHeader/>
        </w:trPr>
        <w:tc>
          <w:tcPr>
            <w:tcW w:w="1005" w:type="pct"/>
            <w:shd w:val="clear" w:color="auto" w:fill="4F81BD" w:themeFill="accent1"/>
          </w:tcPr>
          <w:p w14:paraId="19FE31A5" w14:textId="77777777" w:rsidR="00796F14" w:rsidRPr="00027E09" w:rsidRDefault="00796F14" w:rsidP="00555BB4">
            <w:pPr>
              <w:pStyle w:val="Tablecolhead"/>
              <w:rPr>
                <w:rFonts w:cstheme="majorHAnsi"/>
                <w:color w:val="FFFFFF" w:themeColor="background1"/>
              </w:rPr>
            </w:pPr>
          </w:p>
        </w:tc>
        <w:tc>
          <w:tcPr>
            <w:tcW w:w="2244" w:type="pct"/>
            <w:shd w:val="clear" w:color="auto" w:fill="4F81BD" w:themeFill="accent1"/>
          </w:tcPr>
          <w:p w14:paraId="47C351F2" w14:textId="50BC6140" w:rsidR="00796F14" w:rsidRPr="00366712" w:rsidRDefault="005B61F3" w:rsidP="00555BB4">
            <w:pPr>
              <w:pStyle w:val="Tablecolhead"/>
              <w:rPr>
                <w:rFonts w:cstheme="majorHAnsi"/>
                <w:b w:val="0"/>
                <w:bCs/>
                <w:color w:val="FFFFFF" w:themeColor="background1"/>
              </w:rPr>
            </w:pPr>
            <w:r>
              <w:rPr>
                <w:color w:val="FFFFFF" w:themeColor="background1"/>
              </w:rPr>
              <w:t>Core actions for all respiratory outbreaks</w:t>
            </w:r>
          </w:p>
        </w:tc>
        <w:tc>
          <w:tcPr>
            <w:tcW w:w="1751" w:type="pct"/>
            <w:shd w:val="clear" w:color="auto" w:fill="4F81BD" w:themeFill="accent1"/>
          </w:tcPr>
          <w:p w14:paraId="2B2B83F0" w14:textId="77777777" w:rsidR="00796F14" w:rsidRPr="00027E09" w:rsidRDefault="00796F14" w:rsidP="00555BB4">
            <w:pPr>
              <w:pStyle w:val="Tablecolhead"/>
              <w:rPr>
                <w:rFonts w:cstheme="majorHAnsi"/>
                <w:color w:val="FFFFFF" w:themeColor="background1"/>
              </w:rPr>
            </w:pPr>
            <w:r>
              <w:rPr>
                <w:color w:val="FFFFFF" w:themeColor="background1"/>
              </w:rPr>
              <w:t>Pathogen-specific considerations</w:t>
            </w:r>
          </w:p>
        </w:tc>
      </w:tr>
      <w:tr w:rsidR="00796F14" w:rsidRPr="00595D36" w14:paraId="62683D23" w14:textId="77777777" w:rsidTr="00FA461D">
        <w:tc>
          <w:tcPr>
            <w:tcW w:w="1005" w:type="pct"/>
          </w:tcPr>
          <w:p w14:paraId="786C575B" w14:textId="77777777" w:rsidR="00796F14" w:rsidRPr="00595D36" w:rsidRDefault="00796F14" w:rsidP="00555BB4">
            <w:pPr>
              <w:pStyle w:val="Tablecolhead"/>
            </w:pPr>
            <w:r>
              <w:t xml:space="preserve">Admissions </w:t>
            </w:r>
          </w:p>
        </w:tc>
        <w:tc>
          <w:tcPr>
            <w:tcW w:w="2244" w:type="pct"/>
          </w:tcPr>
          <w:p w14:paraId="6EC5EE8D" w14:textId="29DAD9F9" w:rsidR="00BD6877" w:rsidRDefault="00963B01" w:rsidP="000A1A9A">
            <w:pPr>
              <w:pStyle w:val="Tablebullet1"/>
            </w:pPr>
            <w:r>
              <w:t>A</w:t>
            </w:r>
            <w:r w:rsidR="00796F14">
              <w:t>dmission</w:t>
            </w:r>
            <w:r>
              <w:t xml:space="preserve"> of new residents during an outbreak </w:t>
            </w:r>
            <w:r w:rsidR="00F751DD">
              <w:t xml:space="preserve">is </w:t>
            </w:r>
            <w:r w:rsidR="00796F14">
              <w:t>not recommended</w:t>
            </w:r>
            <w:r w:rsidR="00BD6877">
              <w:t xml:space="preserve"> where avoidable.</w:t>
            </w:r>
          </w:p>
          <w:p w14:paraId="1FC43958" w14:textId="7261535A" w:rsidR="00BD6877" w:rsidRDefault="00BD6877" w:rsidP="00706A83">
            <w:pPr>
              <w:pStyle w:val="Tablebullet1"/>
            </w:pPr>
            <w:r>
              <w:t>I</w:t>
            </w:r>
            <w:r w:rsidR="00796F14">
              <w:t xml:space="preserve">f </w:t>
            </w:r>
            <w:r>
              <w:t>admission is</w:t>
            </w:r>
            <w:r w:rsidR="00796F14">
              <w:t xml:space="preserve"> unavoidable, </w:t>
            </w:r>
            <w:r>
              <w:t xml:space="preserve">the </w:t>
            </w:r>
            <w:r w:rsidR="00796F14">
              <w:t>resident</w:t>
            </w:r>
            <w:r>
              <w:t xml:space="preserve"> and their NOK should be informed about the </w:t>
            </w:r>
            <w:r w:rsidR="00796F14">
              <w:t xml:space="preserve">outbreak and </w:t>
            </w:r>
            <w:r>
              <w:t>appropriate</w:t>
            </w:r>
            <w:r w:rsidR="00796F14">
              <w:t xml:space="preserve"> IPC measures </w:t>
            </w:r>
            <w:r>
              <w:t xml:space="preserve">should be </w:t>
            </w:r>
            <w:r w:rsidR="00796F14">
              <w:t>in place</w:t>
            </w:r>
            <w:r w:rsidR="000A1A9A">
              <w:t>.</w:t>
            </w:r>
          </w:p>
          <w:p w14:paraId="6F6036EA" w14:textId="354674D6" w:rsidR="00796F14" w:rsidRPr="00595D36" w:rsidRDefault="00903F1B" w:rsidP="00706A83">
            <w:pPr>
              <w:pStyle w:val="Tablebullet1"/>
            </w:pPr>
            <w:r>
              <w:t>R</w:t>
            </w:r>
            <w:r w:rsidR="00796F14" w:rsidRPr="00315FFA">
              <w:t xml:space="preserve">e-admission of </w:t>
            </w:r>
            <w:r>
              <w:t xml:space="preserve">current residents should be permitted, including </w:t>
            </w:r>
            <w:r w:rsidR="00E91EA3">
              <w:t xml:space="preserve">the </w:t>
            </w:r>
            <w:r>
              <w:t xml:space="preserve">return of </w:t>
            </w:r>
            <w:r w:rsidR="00796F14" w:rsidRPr="00315FFA">
              <w:t xml:space="preserve">active cases </w:t>
            </w:r>
            <w:r>
              <w:t xml:space="preserve">of respiratory infection, </w:t>
            </w:r>
            <w:r w:rsidR="00796F14">
              <w:t>with</w:t>
            </w:r>
            <w:r w:rsidR="00796F14" w:rsidRPr="00315FFA">
              <w:t xml:space="preserve"> </w:t>
            </w:r>
            <w:r w:rsidR="00DC6A3F">
              <w:t xml:space="preserve">appropriate </w:t>
            </w:r>
            <w:r w:rsidR="00796F14">
              <w:t>IPC</w:t>
            </w:r>
            <w:r w:rsidR="00796F14" w:rsidRPr="00315FFA">
              <w:t xml:space="preserve"> </w:t>
            </w:r>
            <w:r w:rsidR="00796F14">
              <w:t xml:space="preserve">measures in place. </w:t>
            </w:r>
          </w:p>
        </w:tc>
        <w:tc>
          <w:tcPr>
            <w:tcW w:w="1751" w:type="pct"/>
          </w:tcPr>
          <w:p w14:paraId="5927AEC2" w14:textId="11DD121B" w:rsidR="00796F14" w:rsidRPr="00595D36" w:rsidRDefault="00796F14" w:rsidP="00555BB4">
            <w:pPr>
              <w:pStyle w:val="Tabletext"/>
            </w:pPr>
          </w:p>
        </w:tc>
      </w:tr>
      <w:tr w:rsidR="00796F14" w14:paraId="2CB417EE" w14:textId="77777777" w:rsidTr="00FA461D">
        <w:tc>
          <w:tcPr>
            <w:tcW w:w="1005" w:type="pct"/>
          </w:tcPr>
          <w:p w14:paraId="53FE60CC" w14:textId="77777777" w:rsidR="00796F14" w:rsidRDefault="00796F14" w:rsidP="00555BB4">
            <w:pPr>
              <w:pStyle w:val="Tablecolhead"/>
            </w:pPr>
            <w:r>
              <w:t>Transfers</w:t>
            </w:r>
          </w:p>
        </w:tc>
        <w:tc>
          <w:tcPr>
            <w:tcW w:w="2244" w:type="pct"/>
          </w:tcPr>
          <w:p w14:paraId="46237350" w14:textId="01D5E32A" w:rsidR="00307AA7" w:rsidRDefault="00796F14" w:rsidP="00E376BE">
            <w:pPr>
              <w:pStyle w:val="Tablebullet1"/>
            </w:pPr>
            <w:r>
              <w:t>Transfers require coordination with the receiving service and transport provider</w:t>
            </w:r>
            <w:r w:rsidR="00F751DD">
              <w:t>,</w:t>
            </w:r>
            <w:r>
              <w:t xml:space="preserve"> and in consultation with the resident, NOK or alternative decision-maker</w:t>
            </w:r>
            <w:r w:rsidR="000A1A9A">
              <w:t>.</w:t>
            </w:r>
          </w:p>
          <w:p w14:paraId="6CBABEEC" w14:textId="37507DC8" w:rsidR="008265BC" w:rsidRDefault="00307AA7" w:rsidP="00E376BE">
            <w:pPr>
              <w:pStyle w:val="Tablebullet1"/>
            </w:pPr>
            <w:r>
              <w:t>I</w:t>
            </w:r>
            <w:r w:rsidR="00796F14">
              <w:t xml:space="preserve">nform </w:t>
            </w:r>
            <w:r w:rsidR="00F751DD">
              <w:t xml:space="preserve">the </w:t>
            </w:r>
            <w:r w:rsidR="00796F14">
              <w:t xml:space="preserve">receiving service and transport provider of </w:t>
            </w:r>
            <w:r w:rsidR="00F751DD">
              <w:t xml:space="preserve">the </w:t>
            </w:r>
            <w:r w:rsidR="00796F14">
              <w:t xml:space="preserve">outbreak and infectious status of </w:t>
            </w:r>
            <w:r w:rsidR="00F751DD">
              <w:t xml:space="preserve">the </w:t>
            </w:r>
            <w:r w:rsidR="00796F14">
              <w:t>resident</w:t>
            </w:r>
            <w:r w:rsidR="000A1A9A">
              <w:t>.</w:t>
            </w:r>
          </w:p>
          <w:p w14:paraId="60D46054" w14:textId="68EB0CE3" w:rsidR="00796F14" w:rsidRDefault="008265BC" w:rsidP="00C87317">
            <w:pPr>
              <w:pStyle w:val="Tablebullet1"/>
            </w:pPr>
            <w:r>
              <w:t>U</w:t>
            </w:r>
            <w:r w:rsidR="00796F14">
              <w:t>se appropriate PPE during transfer.</w:t>
            </w:r>
          </w:p>
        </w:tc>
        <w:tc>
          <w:tcPr>
            <w:tcW w:w="1751" w:type="pct"/>
          </w:tcPr>
          <w:p w14:paraId="4E8057C6" w14:textId="690C3E7E" w:rsidR="00796F14" w:rsidRDefault="00796F14" w:rsidP="00555BB4">
            <w:pPr>
              <w:pStyle w:val="Tabletext"/>
            </w:pPr>
          </w:p>
        </w:tc>
      </w:tr>
    </w:tbl>
    <w:p w14:paraId="6F182D35" w14:textId="0C492DD4" w:rsidR="00F751DD" w:rsidRDefault="00F751DD" w:rsidP="00F9103D">
      <w:pPr>
        <w:pStyle w:val="Tablecaption"/>
      </w:pPr>
      <w:r>
        <w:t xml:space="preserve">Table </w:t>
      </w:r>
      <w:fldSimple w:instr=" SEQ Table \* ARABIC ">
        <w:r w:rsidR="0031298E">
          <w:rPr>
            <w:noProof/>
          </w:rPr>
          <w:t>10</w:t>
        </w:r>
      </w:fldSimple>
      <w:r>
        <w:t xml:space="preserve">. </w:t>
      </w:r>
      <w:r w:rsidRPr="00A36A80">
        <w:t>Communication</w:t>
      </w:r>
    </w:p>
    <w:tbl>
      <w:tblPr>
        <w:tblStyle w:val="TableGrid"/>
        <w:tblW w:w="5000" w:type="pct"/>
        <w:tblLook w:val="04A0" w:firstRow="1" w:lastRow="0" w:firstColumn="1" w:lastColumn="0" w:noHBand="0" w:noVBand="1"/>
      </w:tblPr>
      <w:tblGrid>
        <w:gridCol w:w="2870"/>
        <w:gridCol w:w="6407"/>
        <w:gridCol w:w="4999"/>
      </w:tblGrid>
      <w:tr w:rsidR="000A310D" w14:paraId="21A21F72" w14:textId="77777777" w:rsidTr="00FA461D">
        <w:trPr>
          <w:tblHeader/>
        </w:trPr>
        <w:tc>
          <w:tcPr>
            <w:tcW w:w="1005" w:type="pct"/>
            <w:shd w:val="clear" w:color="auto" w:fill="4F81BD" w:themeFill="accent1"/>
          </w:tcPr>
          <w:p w14:paraId="7462E950" w14:textId="77777777" w:rsidR="000A310D" w:rsidRPr="00027E09" w:rsidRDefault="000A310D" w:rsidP="00555BB4">
            <w:pPr>
              <w:pStyle w:val="Tablecolhead"/>
              <w:rPr>
                <w:color w:val="FFFFFF" w:themeColor="background1"/>
              </w:rPr>
            </w:pPr>
          </w:p>
        </w:tc>
        <w:tc>
          <w:tcPr>
            <w:tcW w:w="2244" w:type="pct"/>
            <w:shd w:val="clear" w:color="auto" w:fill="4F81BD" w:themeFill="accent1"/>
          </w:tcPr>
          <w:p w14:paraId="119D97C7" w14:textId="1F497CA0" w:rsidR="000A310D" w:rsidRPr="00027E09" w:rsidRDefault="005B61F3" w:rsidP="00555BB4">
            <w:pPr>
              <w:pStyle w:val="Tablecolhead"/>
              <w:rPr>
                <w:color w:val="FFFFFF" w:themeColor="background1"/>
              </w:rPr>
            </w:pPr>
            <w:r>
              <w:rPr>
                <w:color w:val="FFFFFF" w:themeColor="background1"/>
              </w:rPr>
              <w:t>Core actions for all respiratory outbreaks</w:t>
            </w:r>
          </w:p>
        </w:tc>
        <w:tc>
          <w:tcPr>
            <w:tcW w:w="1751" w:type="pct"/>
            <w:shd w:val="clear" w:color="auto" w:fill="4F81BD" w:themeFill="accent1"/>
          </w:tcPr>
          <w:p w14:paraId="65D46E8E" w14:textId="77777777" w:rsidR="000A310D" w:rsidRPr="00027E09" w:rsidRDefault="000A310D" w:rsidP="00555BB4">
            <w:pPr>
              <w:pStyle w:val="Tablecolhead"/>
              <w:rPr>
                <w:color w:val="FFFFFF" w:themeColor="background1"/>
              </w:rPr>
            </w:pPr>
            <w:r>
              <w:rPr>
                <w:color w:val="FFFFFF" w:themeColor="background1"/>
              </w:rPr>
              <w:t>Pathogen-specific considerations</w:t>
            </w:r>
          </w:p>
        </w:tc>
      </w:tr>
      <w:tr w:rsidR="000A310D" w14:paraId="6E704E2B" w14:textId="77777777" w:rsidTr="00FA461D">
        <w:tc>
          <w:tcPr>
            <w:tcW w:w="1005" w:type="pct"/>
          </w:tcPr>
          <w:p w14:paraId="639D146E" w14:textId="77777777" w:rsidR="000A310D" w:rsidRDefault="000A310D" w:rsidP="00555BB4">
            <w:pPr>
              <w:pStyle w:val="Tablecolhead"/>
            </w:pPr>
            <w:r>
              <w:t>Signage</w:t>
            </w:r>
          </w:p>
        </w:tc>
        <w:tc>
          <w:tcPr>
            <w:tcW w:w="2244" w:type="pct"/>
          </w:tcPr>
          <w:p w14:paraId="1C25ACC2" w14:textId="77777777" w:rsidR="000A310D" w:rsidRDefault="000A310D" w:rsidP="00C87317">
            <w:pPr>
              <w:pStyle w:val="Tablebullet1"/>
            </w:pPr>
            <w:r>
              <w:t>Display signage at all facility entrance points and outside affected residents’ rooms to communicate the outbreak and PPE requirements.</w:t>
            </w:r>
          </w:p>
        </w:tc>
        <w:tc>
          <w:tcPr>
            <w:tcW w:w="1751" w:type="pct"/>
          </w:tcPr>
          <w:p w14:paraId="6C615E6C" w14:textId="15C659D1" w:rsidR="000A310D" w:rsidRDefault="000A310D" w:rsidP="00555BB4">
            <w:pPr>
              <w:pStyle w:val="Tabletext"/>
            </w:pPr>
          </w:p>
        </w:tc>
      </w:tr>
      <w:tr w:rsidR="000A310D" w14:paraId="10E5EB41" w14:textId="77777777" w:rsidTr="00FA461D">
        <w:tc>
          <w:tcPr>
            <w:tcW w:w="1005" w:type="pct"/>
          </w:tcPr>
          <w:p w14:paraId="6573A80D" w14:textId="77777777" w:rsidR="000A310D" w:rsidRDefault="000A310D" w:rsidP="00555BB4">
            <w:pPr>
              <w:pStyle w:val="Tablecolhead"/>
            </w:pPr>
            <w:r>
              <w:t>Initial outbreak communication</w:t>
            </w:r>
          </w:p>
        </w:tc>
        <w:tc>
          <w:tcPr>
            <w:tcW w:w="2244" w:type="pct"/>
          </w:tcPr>
          <w:p w14:paraId="668CA865" w14:textId="472B5807" w:rsidR="00F751DD" w:rsidRDefault="00F751DD" w:rsidP="00F751DD">
            <w:pPr>
              <w:pStyle w:val="Tabletext"/>
            </w:pPr>
            <w:r>
              <w:t>For r</w:t>
            </w:r>
            <w:r w:rsidR="000A310D" w:rsidRPr="00C87317">
              <w:t>esidents</w:t>
            </w:r>
            <w:r>
              <w:t>:</w:t>
            </w:r>
          </w:p>
          <w:p w14:paraId="730D0297" w14:textId="2547D210" w:rsidR="00F751DD" w:rsidRDefault="000A310D" w:rsidP="00F9103D">
            <w:pPr>
              <w:pStyle w:val="Tablebullet1"/>
            </w:pPr>
            <w:r w:rsidRPr="00A541A0">
              <w:t>inform of outbreak</w:t>
            </w:r>
            <w:r w:rsidR="00F751DD">
              <w:t xml:space="preserve"> or </w:t>
            </w:r>
            <w:r w:rsidRPr="00A541A0">
              <w:t>exposure</w:t>
            </w:r>
          </w:p>
          <w:p w14:paraId="620A6505" w14:textId="413FD01D" w:rsidR="00F751DD" w:rsidRDefault="000A310D" w:rsidP="00F9103D">
            <w:pPr>
              <w:pStyle w:val="Tablebullet1"/>
            </w:pPr>
            <w:r>
              <w:t>explain</w:t>
            </w:r>
            <w:r w:rsidRPr="00A541A0">
              <w:t xml:space="preserve"> testing</w:t>
            </w:r>
            <w:r>
              <w:t xml:space="preserve"> and</w:t>
            </w:r>
            <w:r w:rsidRPr="00A541A0">
              <w:t xml:space="preserve"> </w:t>
            </w:r>
            <w:proofErr w:type="spellStart"/>
            <w:r w:rsidRPr="00A541A0">
              <w:t>isolation</w:t>
            </w:r>
            <w:r w:rsidR="003403B7">
              <w:t>or</w:t>
            </w:r>
            <w:proofErr w:type="spellEnd"/>
            <w:r w:rsidR="003403B7">
              <w:t xml:space="preserve"> </w:t>
            </w:r>
            <w:r w:rsidRPr="00A541A0">
              <w:t>quarantine requirements</w:t>
            </w:r>
          </w:p>
          <w:p w14:paraId="1778CE60" w14:textId="481FBE8D" w:rsidR="00F751DD" w:rsidRDefault="000A310D" w:rsidP="00F9103D">
            <w:pPr>
              <w:pStyle w:val="Tablebullet1"/>
            </w:pPr>
            <w:r w:rsidRPr="00A541A0">
              <w:t xml:space="preserve">advise </w:t>
            </w:r>
            <w:proofErr w:type="gramStart"/>
            <w:r w:rsidRPr="00A541A0">
              <w:t>to monitor</w:t>
            </w:r>
            <w:proofErr w:type="gramEnd"/>
            <w:r w:rsidRPr="00A541A0">
              <w:t xml:space="preserve"> and report symptoms</w:t>
            </w:r>
          </w:p>
          <w:p w14:paraId="2102F23C" w14:textId="75B0B767" w:rsidR="000A310D" w:rsidRPr="00A541A0" w:rsidRDefault="000A310D" w:rsidP="00F751DD">
            <w:pPr>
              <w:pStyle w:val="Tablebullet1"/>
            </w:pPr>
            <w:r w:rsidRPr="00A541A0">
              <w:t>reinforce IPC measures.</w:t>
            </w:r>
          </w:p>
          <w:p w14:paraId="76102F3C" w14:textId="04DE1525" w:rsidR="00E265E5" w:rsidRDefault="00F751DD" w:rsidP="00F9103D">
            <w:pPr>
              <w:pStyle w:val="Tabletext"/>
              <w:spacing w:before="120"/>
            </w:pPr>
            <w:r>
              <w:rPr>
                <w:bCs/>
              </w:rPr>
              <w:lastRenderedPageBreak/>
              <w:t xml:space="preserve">For </w:t>
            </w:r>
            <w:r w:rsidR="000A310D" w:rsidRPr="00C87317">
              <w:rPr>
                <w:bCs/>
              </w:rPr>
              <w:t>GPs</w:t>
            </w:r>
            <w:r>
              <w:rPr>
                <w:bCs/>
              </w:rPr>
              <w:t xml:space="preserve"> and </w:t>
            </w:r>
            <w:r w:rsidR="000A310D" w:rsidRPr="00C87317">
              <w:rPr>
                <w:bCs/>
              </w:rPr>
              <w:t>NP</w:t>
            </w:r>
            <w:r w:rsidR="00E265E5">
              <w:rPr>
                <w:bCs/>
              </w:rPr>
              <w:t>s</w:t>
            </w:r>
            <w:r w:rsidR="000A310D" w:rsidRPr="00C87317">
              <w:rPr>
                <w:bCs/>
              </w:rPr>
              <w:t>:</w:t>
            </w:r>
          </w:p>
          <w:p w14:paraId="07F2F660" w14:textId="56DDF1D3" w:rsidR="00E265E5" w:rsidRDefault="000A310D" w:rsidP="00F9103D">
            <w:pPr>
              <w:pStyle w:val="Tablebullet1"/>
            </w:pPr>
            <w:r>
              <w:t>n</w:t>
            </w:r>
            <w:r w:rsidRPr="00A541A0">
              <w:t>otify of</w:t>
            </w:r>
            <w:r>
              <w:t xml:space="preserve"> </w:t>
            </w:r>
            <w:r w:rsidR="003403B7">
              <w:t xml:space="preserve">the </w:t>
            </w:r>
            <w:r w:rsidRPr="00A541A0">
              <w:t>outbreak</w:t>
            </w:r>
          </w:p>
          <w:p w14:paraId="2E0F8D50" w14:textId="1B930D23" w:rsidR="00E265E5" w:rsidRDefault="000A310D" w:rsidP="00F9103D">
            <w:pPr>
              <w:pStyle w:val="Tablebullet1"/>
            </w:pPr>
            <w:r w:rsidRPr="00A541A0">
              <w:t xml:space="preserve">advise </w:t>
            </w:r>
            <w:r w:rsidR="003403B7">
              <w:t xml:space="preserve">which </w:t>
            </w:r>
            <w:r w:rsidRPr="00A541A0">
              <w:t>pathogen (if known</w:t>
            </w:r>
            <w:r>
              <w:t>)</w:t>
            </w:r>
          </w:p>
          <w:p w14:paraId="4BB2128B" w14:textId="736BB740" w:rsidR="000425D2" w:rsidRPr="00A541A0" w:rsidRDefault="000A310D" w:rsidP="00E265E5">
            <w:pPr>
              <w:pStyle w:val="Tablebullet1"/>
            </w:pPr>
            <w:r w:rsidRPr="00A541A0">
              <w:t>request prompt review of unwell residents</w:t>
            </w:r>
            <w:r w:rsidR="006D12B9">
              <w:t>.</w:t>
            </w:r>
          </w:p>
          <w:p w14:paraId="78AE7AF5" w14:textId="2D6A2C13" w:rsidR="00E265E5" w:rsidRDefault="00F751DD" w:rsidP="00F751DD">
            <w:pPr>
              <w:pStyle w:val="Tabletext"/>
            </w:pPr>
            <w:r>
              <w:t>For s</w:t>
            </w:r>
            <w:r w:rsidR="000A310D" w:rsidRPr="00C87317">
              <w:t>taff</w:t>
            </w:r>
            <w:r>
              <w:t xml:space="preserve">, </w:t>
            </w:r>
            <w:r w:rsidR="000A310D" w:rsidRPr="00C87317">
              <w:t>contractors</w:t>
            </w:r>
            <w:r>
              <w:t xml:space="preserve"> and v</w:t>
            </w:r>
            <w:r w:rsidR="000A310D" w:rsidRPr="00C87317">
              <w:t>olunteers:</w:t>
            </w:r>
          </w:p>
          <w:p w14:paraId="51DE2853" w14:textId="21B19140" w:rsidR="00E265E5" w:rsidRDefault="000A310D" w:rsidP="00F9103D">
            <w:pPr>
              <w:pStyle w:val="Tablebullet1"/>
            </w:pPr>
            <w:r w:rsidRPr="00CD0A7E">
              <w:t>inform of outbreak</w:t>
            </w:r>
            <w:r w:rsidR="003403B7">
              <w:t xml:space="preserve"> or </w:t>
            </w:r>
            <w:r w:rsidRPr="00CD0A7E">
              <w:t>exposure</w:t>
            </w:r>
          </w:p>
          <w:p w14:paraId="2A12A48B" w14:textId="00F3FB5C" w:rsidR="00E265E5" w:rsidRDefault="000A310D" w:rsidP="00F9103D">
            <w:pPr>
              <w:pStyle w:val="Tablebullet1"/>
            </w:pPr>
            <w:r w:rsidRPr="00CD0A7E">
              <w:t>explain testing, isolation and quarantine requirements</w:t>
            </w:r>
          </w:p>
          <w:p w14:paraId="3FFBE5FE" w14:textId="0948CEE2" w:rsidR="00E265E5" w:rsidRDefault="000A310D" w:rsidP="00F9103D">
            <w:pPr>
              <w:pStyle w:val="Tablebullet1"/>
            </w:pPr>
            <w:r w:rsidRPr="00CD0A7E">
              <w:t xml:space="preserve">advise </w:t>
            </w:r>
            <w:proofErr w:type="gramStart"/>
            <w:r w:rsidRPr="00CD0A7E">
              <w:t>to monitor</w:t>
            </w:r>
            <w:proofErr w:type="gramEnd"/>
            <w:r w:rsidRPr="00CD0A7E">
              <w:t xml:space="preserve"> and report symptoms in themselves</w:t>
            </w:r>
            <w:r w:rsidRPr="00A541A0">
              <w:t xml:space="preserve"> and residents</w:t>
            </w:r>
          </w:p>
          <w:p w14:paraId="164206C7" w14:textId="222AEAFC" w:rsidR="00E265E5" w:rsidRDefault="000A310D" w:rsidP="00E265E5">
            <w:pPr>
              <w:pStyle w:val="Tablebullet1"/>
            </w:pPr>
            <w:r w:rsidRPr="00A541A0">
              <w:t xml:space="preserve">advise not to attend </w:t>
            </w:r>
            <w:r w:rsidR="003403B7">
              <w:t xml:space="preserve">the </w:t>
            </w:r>
            <w:r w:rsidRPr="00A541A0">
              <w:t>facility if unwell</w:t>
            </w:r>
          </w:p>
          <w:p w14:paraId="5F8AD164" w14:textId="638591F9" w:rsidR="000A310D" w:rsidRPr="00A541A0" w:rsidRDefault="000A310D" w:rsidP="00E265E5">
            <w:pPr>
              <w:pStyle w:val="Tablebullet1"/>
            </w:pPr>
            <w:r w:rsidRPr="00A541A0">
              <w:t>reinforce IPC measures.</w:t>
            </w:r>
          </w:p>
          <w:p w14:paraId="01DE706A" w14:textId="5F0BBE2D" w:rsidR="00E265E5" w:rsidRDefault="00E265E5" w:rsidP="00F751DD">
            <w:pPr>
              <w:pStyle w:val="Tabletext"/>
            </w:pPr>
            <w:r>
              <w:t xml:space="preserve">For </w:t>
            </w:r>
            <w:r w:rsidR="000A310D" w:rsidRPr="00C87317">
              <w:t>NOK</w:t>
            </w:r>
            <w:r>
              <w:t xml:space="preserve"> and other v</w:t>
            </w:r>
            <w:r w:rsidR="000A310D" w:rsidRPr="00C87317">
              <w:t>isitors:</w:t>
            </w:r>
          </w:p>
          <w:p w14:paraId="2A462A73" w14:textId="66F5AC78" w:rsidR="00E265E5" w:rsidRDefault="000A310D" w:rsidP="00F9103D">
            <w:pPr>
              <w:pStyle w:val="Tablebullet1"/>
            </w:pPr>
            <w:r w:rsidRPr="00A541A0">
              <w:t xml:space="preserve">inform </w:t>
            </w:r>
            <w:r w:rsidR="00E265E5">
              <w:t xml:space="preserve">them </w:t>
            </w:r>
            <w:r w:rsidRPr="00A541A0">
              <w:t xml:space="preserve">of </w:t>
            </w:r>
            <w:r w:rsidR="00E265E5">
              <w:t xml:space="preserve">the </w:t>
            </w:r>
            <w:r w:rsidRPr="00A541A0">
              <w:t>outbreak</w:t>
            </w:r>
          </w:p>
          <w:p w14:paraId="5884BF50" w14:textId="184CAD45" w:rsidR="00E265E5" w:rsidRDefault="000A310D" w:rsidP="00F9103D">
            <w:pPr>
              <w:pStyle w:val="Tablebullet1"/>
            </w:pPr>
            <w:r w:rsidRPr="00A541A0">
              <w:t>advise unwell visitors not to attend</w:t>
            </w:r>
            <w:r w:rsidR="00E265E5">
              <w:t xml:space="preserve"> the</w:t>
            </w:r>
            <w:r w:rsidRPr="00DE3A52">
              <w:t xml:space="preserve"> </w:t>
            </w:r>
            <w:r w:rsidRPr="00A541A0">
              <w:t>facility</w:t>
            </w:r>
          </w:p>
          <w:p w14:paraId="6CC0E021" w14:textId="509FE471" w:rsidR="00E265E5" w:rsidRDefault="000A310D" w:rsidP="00F9103D">
            <w:pPr>
              <w:pStyle w:val="Tablebullet1"/>
            </w:pPr>
            <w:r>
              <w:t>ensure essential visitors adhere to</w:t>
            </w:r>
            <w:r w:rsidRPr="00A541A0">
              <w:t xml:space="preserve"> IPC measures</w:t>
            </w:r>
          </w:p>
          <w:p w14:paraId="3E07F2B5" w14:textId="555DCAB3" w:rsidR="000A310D" w:rsidRPr="00A541A0" w:rsidRDefault="000A310D" w:rsidP="00E265E5">
            <w:pPr>
              <w:pStyle w:val="Tablebullet1"/>
            </w:pPr>
            <w:r w:rsidRPr="00A541A0">
              <w:t>encourage alternative communication methods (</w:t>
            </w:r>
            <w:r w:rsidR="003B3318">
              <w:t xml:space="preserve">for example, </w:t>
            </w:r>
            <w:r w:rsidRPr="00A541A0">
              <w:t>phone/video)</w:t>
            </w:r>
            <w:r w:rsidR="006D12B9">
              <w:t>.</w:t>
            </w:r>
          </w:p>
        </w:tc>
        <w:tc>
          <w:tcPr>
            <w:tcW w:w="1751" w:type="pct"/>
          </w:tcPr>
          <w:p w14:paraId="19EF6AEE" w14:textId="55D4189B" w:rsidR="000A310D" w:rsidRPr="00797A19" w:rsidRDefault="000A310D" w:rsidP="00F9103D">
            <w:pPr>
              <w:pStyle w:val="Tabletext"/>
            </w:pPr>
            <w:r>
              <w:rPr>
                <w:b/>
                <w:bCs/>
              </w:rPr>
              <w:lastRenderedPageBreak/>
              <w:t xml:space="preserve">Influenza: </w:t>
            </w:r>
            <w:r>
              <w:t>Advise GPs</w:t>
            </w:r>
            <w:r w:rsidR="00F751DD">
              <w:t xml:space="preserve"> and </w:t>
            </w:r>
            <w:r>
              <w:t>NPs to consider post-exposure prophylaxis</w:t>
            </w:r>
            <w:r w:rsidR="00F751DD">
              <w:t>.</w:t>
            </w:r>
          </w:p>
        </w:tc>
      </w:tr>
      <w:tr w:rsidR="000A310D" w14:paraId="47F8BA5A" w14:textId="77777777" w:rsidTr="00FA461D">
        <w:tc>
          <w:tcPr>
            <w:tcW w:w="1005" w:type="pct"/>
          </w:tcPr>
          <w:p w14:paraId="5F7ED854" w14:textId="77777777" w:rsidR="000A310D" w:rsidRDefault="000A310D" w:rsidP="00555BB4">
            <w:pPr>
              <w:pStyle w:val="Tablecolhead"/>
            </w:pPr>
            <w:r>
              <w:t>Regular outbreak communication</w:t>
            </w:r>
          </w:p>
        </w:tc>
        <w:tc>
          <w:tcPr>
            <w:tcW w:w="2244" w:type="pct"/>
          </w:tcPr>
          <w:p w14:paraId="203E05CE" w14:textId="1F43EC6B" w:rsidR="000A310D" w:rsidRDefault="000A310D" w:rsidP="00F9103D">
            <w:pPr>
              <w:pStyle w:val="Tabletext"/>
            </w:pPr>
            <w:r>
              <w:t>Maintain communication with residents, GPs</w:t>
            </w:r>
            <w:r w:rsidR="00C84FFB">
              <w:t xml:space="preserve"> and </w:t>
            </w:r>
            <w:r>
              <w:t>NP</w:t>
            </w:r>
            <w:r w:rsidR="00C84FFB">
              <w:t>s</w:t>
            </w:r>
            <w:r>
              <w:t>, staff</w:t>
            </w:r>
            <w:r w:rsidR="00B01BBF">
              <w:t xml:space="preserve">, </w:t>
            </w:r>
            <w:r>
              <w:t>contractors</w:t>
            </w:r>
            <w:r w:rsidR="00B01BBF">
              <w:t xml:space="preserve">, </w:t>
            </w:r>
            <w:r>
              <w:t>volunteers, NOK and visitors.</w:t>
            </w:r>
          </w:p>
        </w:tc>
        <w:tc>
          <w:tcPr>
            <w:tcW w:w="1751" w:type="pct"/>
          </w:tcPr>
          <w:p w14:paraId="067169E9" w14:textId="60F85FF1" w:rsidR="000A310D" w:rsidRDefault="000A310D" w:rsidP="00555BB4">
            <w:pPr>
              <w:pStyle w:val="Tabletext"/>
            </w:pPr>
          </w:p>
        </w:tc>
      </w:tr>
    </w:tbl>
    <w:p w14:paraId="094D23EA" w14:textId="77777777" w:rsidR="00B01BBF" w:rsidRDefault="00B01BBF">
      <w:pPr>
        <w:spacing w:after="0" w:line="240" w:lineRule="auto"/>
        <w:rPr>
          <w:rFonts w:eastAsia="Times"/>
        </w:rPr>
      </w:pPr>
      <w:r>
        <w:br w:type="page"/>
      </w:r>
    </w:p>
    <w:p w14:paraId="1A6BF60A" w14:textId="77777777" w:rsidR="005D2A71" w:rsidRDefault="005D2A71" w:rsidP="005D2A71">
      <w:pPr>
        <w:pStyle w:val="Body"/>
      </w:pPr>
    </w:p>
    <w:p w14:paraId="114FD455" w14:textId="4BE5A108" w:rsidR="00B01BBF" w:rsidRDefault="00B01BBF" w:rsidP="00F9103D">
      <w:pPr>
        <w:pStyle w:val="Tablecaption"/>
      </w:pPr>
      <w:r>
        <w:t xml:space="preserve">Table </w:t>
      </w:r>
      <w:fldSimple w:instr=" SEQ Table \* ARABIC ">
        <w:r w:rsidR="0031298E">
          <w:rPr>
            <w:noProof/>
          </w:rPr>
          <w:t>11</w:t>
        </w:r>
      </w:fldSimple>
      <w:r>
        <w:t xml:space="preserve">. </w:t>
      </w:r>
      <w:r w:rsidRPr="00D7350A">
        <w:t>Visitors</w:t>
      </w:r>
    </w:p>
    <w:tbl>
      <w:tblPr>
        <w:tblStyle w:val="TableGrid"/>
        <w:tblW w:w="5000" w:type="pct"/>
        <w:tblLook w:val="04A0" w:firstRow="1" w:lastRow="0" w:firstColumn="1" w:lastColumn="0" w:noHBand="0" w:noVBand="1"/>
      </w:tblPr>
      <w:tblGrid>
        <w:gridCol w:w="2955"/>
        <w:gridCol w:w="6324"/>
        <w:gridCol w:w="4997"/>
      </w:tblGrid>
      <w:tr w:rsidR="006F3C0F" w:rsidRPr="001C1288" w14:paraId="61F554A7" w14:textId="77777777" w:rsidTr="00FA461D">
        <w:trPr>
          <w:tblHeader/>
        </w:trPr>
        <w:tc>
          <w:tcPr>
            <w:tcW w:w="1035" w:type="pct"/>
            <w:shd w:val="clear" w:color="auto" w:fill="4F81BD" w:themeFill="accent1"/>
          </w:tcPr>
          <w:p w14:paraId="2F4872EA" w14:textId="77777777" w:rsidR="006F3C0F" w:rsidRPr="00027E09" w:rsidRDefault="006F3C0F" w:rsidP="00555BB4">
            <w:pPr>
              <w:pStyle w:val="Tablecolhead"/>
              <w:rPr>
                <w:color w:val="FFFFFF" w:themeColor="background1"/>
              </w:rPr>
            </w:pPr>
          </w:p>
        </w:tc>
        <w:tc>
          <w:tcPr>
            <w:tcW w:w="2215" w:type="pct"/>
            <w:shd w:val="clear" w:color="auto" w:fill="4F81BD" w:themeFill="accent1"/>
          </w:tcPr>
          <w:p w14:paraId="096D499C" w14:textId="7456E340" w:rsidR="006F3C0F" w:rsidRPr="00027E09" w:rsidRDefault="005B61F3" w:rsidP="00555BB4">
            <w:pPr>
              <w:pStyle w:val="Tablecolhead"/>
              <w:rPr>
                <w:color w:val="FFFFFF" w:themeColor="background1"/>
              </w:rPr>
            </w:pPr>
            <w:r>
              <w:rPr>
                <w:color w:val="FFFFFF" w:themeColor="background1"/>
              </w:rPr>
              <w:t>Core actions for all respiratory outbreaks</w:t>
            </w:r>
          </w:p>
        </w:tc>
        <w:tc>
          <w:tcPr>
            <w:tcW w:w="1750" w:type="pct"/>
            <w:shd w:val="clear" w:color="auto" w:fill="4F81BD" w:themeFill="accent1"/>
          </w:tcPr>
          <w:p w14:paraId="40ADADE7" w14:textId="77777777" w:rsidR="006F3C0F" w:rsidRPr="00027E09" w:rsidRDefault="006F3C0F" w:rsidP="00555BB4">
            <w:pPr>
              <w:pStyle w:val="Tablecolhead"/>
              <w:rPr>
                <w:color w:val="FFFFFF" w:themeColor="background1"/>
              </w:rPr>
            </w:pPr>
            <w:r>
              <w:rPr>
                <w:color w:val="FFFFFF" w:themeColor="background1"/>
              </w:rPr>
              <w:t>Pathogen-specific considerations</w:t>
            </w:r>
          </w:p>
        </w:tc>
      </w:tr>
      <w:tr w:rsidR="006F3C0F" w:rsidRPr="00595D36" w14:paraId="0F67C7BF" w14:textId="77777777" w:rsidTr="00FA461D">
        <w:tc>
          <w:tcPr>
            <w:tcW w:w="1035" w:type="pct"/>
          </w:tcPr>
          <w:p w14:paraId="1BBD6D6D" w14:textId="77777777" w:rsidR="006F3C0F" w:rsidRPr="00595D36" w:rsidRDefault="006F3C0F" w:rsidP="00555BB4">
            <w:pPr>
              <w:pStyle w:val="Tablecolhead"/>
            </w:pPr>
            <w:r>
              <w:t>General advice</w:t>
            </w:r>
          </w:p>
        </w:tc>
        <w:tc>
          <w:tcPr>
            <w:tcW w:w="2215" w:type="pct"/>
          </w:tcPr>
          <w:p w14:paraId="3805C164" w14:textId="7D590A67" w:rsidR="00854D1D" w:rsidRDefault="00925970" w:rsidP="005C72BC">
            <w:pPr>
              <w:pStyle w:val="Bullet1"/>
            </w:pPr>
            <w:r>
              <w:t>M</w:t>
            </w:r>
            <w:r w:rsidR="00854D1D">
              <w:t>aintain nominated essential visitors, ensuring they have received basic IPC training.</w:t>
            </w:r>
          </w:p>
          <w:p w14:paraId="4FD8E47B" w14:textId="7158323F" w:rsidR="00854D1D" w:rsidRDefault="00854D1D" w:rsidP="005C72BC">
            <w:pPr>
              <w:pStyle w:val="Bullet1"/>
            </w:pPr>
            <w:r>
              <w:t>Encourage visits to take place in residents’ rooms or outdoors</w:t>
            </w:r>
            <w:r w:rsidR="003403B7">
              <w:t>,</w:t>
            </w:r>
            <w:r w:rsidR="00A25431">
              <w:t xml:space="preserve"> avoid</w:t>
            </w:r>
            <w:r w:rsidR="003403B7">
              <w:t>ing</w:t>
            </w:r>
            <w:r w:rsidR="00A25431">
              <w:t xml:space="preserve"> communal areas where possible.</w:t>
            </w:r>
          </w:p>
          <w:p w14:paraId="54C7525E" w14:textId="75571F3A" w:rsidR="005C72BC" w:rsidRDefault="005C72BC" w:rsidP="005C72BC">
            <w:pPr>
              <w:pStyle w:val="Bullet1"/>
            </w:pPr>
            <w:r>
              <w:t>S</w:t>
            </w:r>
            <w:r w:rsidRPr="00315FFA">
              <w:t>upervise</w:t>
            </w:r>
            <w:r w:rsidR="00C531D7">
              <w:t xml:space="preserve"> appropriate use of</w:t>
            </w:r>
            <w:r w:rsidRPr="00315FFA">
              <w:t xml:space="preserve"> PPE and hand hygiene</w:t>
            </w:r>
            <w:r>
              <w:t>.</w:t>
            </w:r>
          </w:p>
          <w:p w14:paraId="6DDFEAE2" w14:textId="77E6BB35" w:rsidR="005C43BD" w:rsidRDefault="00DA7397" w:rsidP="005C72BC">
            <w:pPr>
              <w:pStyle w:val="Bullet1"/>
            </w:pPr>
            <w:r>
              <w:t>Provide alternative visitation options, including:</w:t>
            </w:r>
            <w:r w:rsidR="00715B36">
              <w:t xml:space="preserve"> </w:t>
            </w:r>
          </w:p>
          <w:p w14:paraId="2852408A" w14:textId="2ABF5C12" w:rsidR="005C43BD" w:rsidRDefault="007172AA" w:rsidP="00BA02E2">
            <w:pPr>
              <w:pStyle w:val="Bullet1"/>
              <w:numPr>
                <w:ilvl w:val="0"/>
                <w:numId w:val="23"/>
              </w:numPr>
            </w:pPr>
            <w:r>
              <w:t>virtual visits (</w:t>
            </w:r>
            <w:r w:rsidR="00854D1D">
              <w:t>access to IT equipment</w:t>
            </w:r>
            <w:r w:rsidR="00D619AD">
              <w:t xml:space="preserve">, </w:t>
            </w:r>
            <w:r w:rsidR="00854D1D">
              <w:t>clean</w:t>
            </w:r>
            <w:r w:rsidR="005C43BD">
              <w:t>ed</w:t>
            </w:r>
            <w:r w:rsidR="00854D1D">
              <w:t xml:space="preserve"> between use</w:t>
            </w:r>
            <w:r w:rsidR="005C43BD">
              <w:t>s)</w:t>
            </w:r>
          </w:p>
          <w:p w14:paraId="3A75A9EF" w14:textId="5F8CA115" w:rsidR="0057216C" w:rsidRPr="00595D36" w:rsidRDefault="007172AA" w:rsidP="00BA02E2">
            <w:pPr>
              <w:pStyle w:val="Bullet1"/>
              <w:numPr>
                <w:ilvl w:val="0"/>
                <w:numId w:val="23"/>
              </w:numPr>
            </w:pPr>
            <w:r>
              <w:t xml:space="preserve">contactless visits </w:t>
            </w:r>
            <w:r w:rsidR="00D619AD">
              <w:t>(</w:t>
            </w:r>
            <w:r w:rsidR="003B3318">
              <w:t xml:space="preserve">for example, </w:t>
            </w:r>
            <w:r w:rsidR="00D619AD">
              <w:t>window</w:t>
            </w:r>
            <w:r w:rsidR="00896021">
              <w:t xml:space="preserve"> visits</w:t>
            </w:r>
            <w:r w:rsidR="00D619AD">
              <w:t>).</w:t>
            </w:r>
          </w:p>
        </w:tc>
        <w:tc>
          <w:tcPr>
            <w:tcW w:w="1750" w:type="pct"/>
          </w:tcPr>
          <w:p w14:paraId="4F050A45" w14:textId="338591EB" w:rsidR="006F3C0F" w:rsidRPr="00595D36" w:rsidRDefault="006F3C0F" w:rsidP="00555BB4">
            <w:pPr>
              <w:pStyle w:val="Tabletext"/>
            </w:pPr>
          </w:p>
        </w:tc>
      </w:tr>
      <w:tr w:rsidR="006F3C0F" w:rsidRPr="00832087" w14:paraId="79C99233" w14:textId="77777777" w:rsidTr="00FA461D">
        <w:tc>
          <w:tcPr>
            <w:tcW w:w="1035" w:type="pct"/>
          </w:tcPr>
          <w:p w14:paraId="1B66933A" w14:textId="77777777" w:rsidR="006F3C0F" w:rsidRPr="00832087" w:rsidDel="00832087" w:rsidRDefault="006F3C0F" w:rsidP="00555BB4">
            <w:pPr>
              <w:pStyle w:val="Tablecolhead"/>
            </w:pPr>
            <w:r>
              <w:t>Visitor cases – return post infection</w:t>
            </w:r>
          </w:p>
        </w:tc>
        <w:tc>
          <w:tcPr>
            <w:tcW w:w="2215" w:type="pct"/>
          </w:tcPr>
          <w:p w14:paraId="44ACC51D" w14:textId="4410895B" w:rsidR="003A70A3" w:rsidRDefault="006F3C0F" w:rsidP="00E376BE">
            <w:pPr>
              <w:pStyle w:val="Tablebullet1"/>
            </w:pPr>
            <w:r>
              <w:t>Visitors should only return to the facility once acute symptoms have resolved and following the pathogen-specific criteria</w:t>
            </w:r>
            <w:r w:rsidR="003403B7">
              <w:t>.</w:t>
            </w:r>
            <w:r>
              <w:t xml:space="preserve"> </w:t>
            </w:r>
          </w:p>
          <w:p w14:paraId="492ACB52" w14:textId="5DB1D2E0" w:rsidR="006F3C0F" w:rsidRDefault="003A70A3" w:rsidP="00C87317">
            <w:pPr>
              <w:pStyle w:val="Tablebullet1"/>
            </w:pPr>
            <w:r>
              <w:t>E</w:t>
            </w:r>
            <w:r w:rsidR="006F3C0F">
              <w:t xml:space="preserve">nd-of-life visits should be permitted on a case-by-case basis with appropriate IPC measures in place. </w:t>
            </w:r>
          </w:p>
          <w:p w14:paraId="09C6EBEC" w14:textId="77777777" w:rsidR="006F3C0F" w:rsidRDefault="006F3C0F" w:rsidP="00555BB4">
            <w:pPr>
              <w:pStyle w:val="Tabletext"/>
            </w:pPr>
          </w:p>
          <w:p w14:paraId="2F557C20" w14:textId="77777777" w:rsidR="006F3C0F" w:rsidRDefault="006F3C0F" w:rsidP="00555BB4">
            <w:pPr>
              <w:pStyle w:val="Tabletext"/>
            </w:pPr>
          </w:p>
          <w:p w14:paraId="7D87A4B9" w14:textId="77777777" w:rsidR="006F3C0F" w:rsidRPr="00315FFA" w:rsidRDefault="006F3C0F" w:rsidP="00555BB4">
            <w:pPr>
              <w:pStyle w:val="Tabletext"/>
            </w:pPr>
          </w:p>
        </w:tc>
        <w:tc>
          <w:tcPr>
            <w:tcW w:w="1750" w:type="pct"/>
          </w:tcPr>
          <w:p w14:paraId="136A6CE6" w14:textId="7BA42D2E" w:rsidR="006F3C0F" w:rsidRDefault="003403B7" w:rsidP="00F9103D">
            <w:pPr>
              <w:pStyle w:val="Tabletext"/>
            </w:pPr>
            <w:r w:rsidRPr="00F9103D">
              <w:t>For</w:t>
            </w:r>
            <w:r>
              <w:rPr>
                <w:b/>
                <w:bCs/>
              </w:rPr>
              <w:t xml:space="preserve"> </w:t>
            </w:r>
            <w:r w:rsidR="006F3C0F">
              <w:rPr>
                <w:b/>
                <w:bCs/>
              </w:rPr>
              <w:t>COVID-19</w:t>
            </w:r>
            <w:r w:rsidR="0062371A">
              <w:rPr>
                <w:b/>
                <w:bCs/>
              </w:rPr>
              <w:t>,</w:t>
            </w:r>
            <w:r>
              <w:rPr>
                <w:b/>
                <w:bCs/>
              </w:rPr>
              <w:t xml:space="preserve"> </w:t>
            </w:r>
            <w:r w:rsidRPr="00F9103D">
              <w:t>visitor</w:t>
            </w:r>
            <w:r w:rsidR="0062371A">
              <w:t>s can</w:t>
            </w:r>
            <w:r w:rsidRPr="00F9103D">
              <w:t xml:space="preserve"> return</w:t>
            </w:r>
            <w:r w:rsidR="0062371A">
              <w:t xml:space="preserve"> a</w:t>
            </w:r>
            <w:r w:rsidR="0015289B">
              <w:t xml:space="preserve">fter </w:t>
            </w:r>
            <w:r>
              <w:t>seven</w:t>
            </w:r>
            <w:r w:rsidR="0089152F">
              <w:t xml:space="preserve"> days</w:t>
            </w:r>
            <w:r w:rsidR="006F3C0F">
              <w:t xml:space="preserve"> from</w:t>
            </w:r>
            <w:r w:rsidR="006F3C0F" w:rsidRPr="00932B42">
              <w:t xml:space="preserve"> symptom onset (or </w:t>
            </w:r>
            <w:r>
              <w:t xml:space="preserve">a </w:t>
            </w:r>
            <w:r w:rsidR="006F3C0F" w:rsidRPr="00932B42">
              <w:t>positive test if asymptomatic)</w:t>
            </w:r>
            <w:r>
              <w:t>,</w:t>
            </w:r>
            <w:r w:rsidR="006F3C0F" w:rsidRPr="00932B42">
              <w:t xml:space="preserve"> </w:t>
            </w:r>
            <w:r w:rsidR="006F3C0F">
              <w:t xml:space="preserve">if acute symptoms have resolved and no fever </w:t>
            </w:r>
            <w:r>
              <w:t xml:space="preserve">has been present </w:t>
            </w:r>
            <w:r w:rsidR="006F3C0F">
              <w:t>for 24-hours – no testing required.</w:t>
            </w:r>
          </w:p>
          <w:p w14:paraId="60140D1F" w14:textId="64662CC1" w:rsidR="006F3C0F" w:rsidRDefault="003403B7" w:rsidP="00555BB4">
            <w:pPr>
              <w:pStyle w:val="Tabletext"/>
              <w:rPr>
                <w:b/>
                <w:bCs/>
              </w:rPr>
            </w:pPr>
            <w:r w:rsidRPr="00F9103D">
              <w:t xml:space="preserve">For </w:t>
            </w:r>
            <w:r w:rsidR="006F3C0F">
              <w:rPr>
                <w:b/>
                <w:bCs/>
              </w:rPr>
              <w:t>Influenza</w:t>
            </w:r>
            <w:r w:rsidR="0062371A">
              <w:rPr>
                <w:b/>
                <w:bCs/>
              </w:rPr>
              <w:t>,</w:t>
            </w:r>
            <w:r>
              <w:rPr>
                <w:b/>
                <w:bCs/>
              </w:rPr>
              <w:t xml:space="preserve"> </w:t>
            </w:r>
            <w:r w:rsidRPr="00F9103D">
              <w:t>visitor</w:t>
            </w:r>
            <w:r w:rsidR="0062371A">
              <w:t>s can</w:t>
            </w:r>
            <w:r w:rsidRPr="00F9103D">
              <w:t xml:space="preserve"> return</w:t>
            </w:r>
            <w:r w:rsidR="006F3C0F" w:rsidRPr="00F9103D">
              <w:t>:</w:t>
            </w:r>
            <w:r w:rsidR="006F3C0F">
              <w:rPr>
                <w:b/>
                <w:bCs/>
              </w:rPr>
              <w:t xml:space="preserve"> </w:t>
            </w:r>
          </w:p>
          <w:p w14:paraId="01ECA1C3" w14:textId="75ADF9A4" w:rsidR="00880A07" w:rsidRPr="00FA461D" w:rsidRDefault="0062371A" w:rsidP="006F3C0F">
            <w:pPr>
              <w:pStyle w:val="Tablebullet1"/>
              <w:rPr>
                <w:b/>
                <w:bCs/>
              </w:rPr>
            </w:pPr>
            <w:r>
              <w:t>a</w:t>
            </w:r>
            <w:r w:rsidR="00725113">
              <w:t xml:space="preserve">fter </w:t>
            </w:r>
            <w:r w:rsidR="003403B7">
              <w:t>five</w:t>
            </w:r>
            <w:r w:rsidR="0028630A">
              <w:t xml:space="preserve"> days</w:t>
            </w:r>
            <w:r w:rsidR="006F3C0F" w:rsidRPr="00315FFA">
              <w:t xml:space="preserve"> </w:t>
            </w:r>
            <w:r w:rsidR="006F3C0F" w:rsidRPr="0044577D">
              <w:t>from symptom onset</w:t>
            </w:r>
            <w:r w:rsidR="006F3C0F">
              <w:t xml:space="preserve"> </w:t>
            </w:r>
            <w:r w:rsidR="006F3C0F" w:rsidRPr="00315FFA">
              <w:t xml:space="preserve">or until </w:t>
            </w:r>
            <w:r w:rsidR="006F3C0F">
              <w:t xml:space="preserve">acute </w:t>
            </w:r>
            <w:r w:rsidR="006F3C0F" w:rsidRPr="00315FFA">
              <w:t xml:space="preserve">symptoms </w:t>
            </w:r>
            <w:r w:rsidR="006F3C0F">
              <w:t xml:space="preserve">have </w:t>
            </w:r>
            <w:r w:rsidR="006F3C0F" w:rsidRPr="00315FFA">
              <w:t>resolve</w:t>
            </w:r>
            <w:r w:rsidR="006F3C0F">
              <w:t>d</w:t>
            </w:r>
            <w:r w:rsidR="006F3C0F" w:rsidRPr="00315FFA">
              <w:t>,</w:t>
            </w:r>
            <w:r w:rsidR="006F3C0F">
              <w:t xml:space="preserve"> whichever is longer </w:t>
            </w:r>
            <w:r>
              <w:rPr>
                <w:b/>
                <w:bCs/>
              </w:rPr>
              <w:t>OR</w:t>
            </w:r>
            <w:r w:rsidR="006F3C0F" w:rsidRPr="00315FFA">
              <w:t xml:space="preserve"> </w:t>
            </w:r>
          </w:p>
          <w:p w14:paraId="7C483626" w14:textId="3DBFC944" w:rsidR="006F3C0F" w:rsidRPr="003575C4" w:rsidRDefault="006F3C0F" w:rsidP="006F3C0F">
            <w:pPr>
              <w:pStyle w:val="Tablebullet1"/>
              <w:rPr>
                <w:b/>
                <w:bCs/>
              </w:rPr>
            </w:pPr>
            <w:r w:rsidRPr="00315FFA">
              <w:t>72</w:t>
            </w:r>
            <w:r w:rsidR="000D49C9">
              <w:t xml:space="preserve"> hours</w:t>
            </w:r>
            <w:r w:rsidR="00A10845">
              <w:t xml:space="preserve"> after</w:t>
            </w:r>
            <w:r w:rsidRPr="00315FFA">
              <w:t xml:space="preserve"> antivirals</w:t>
            </w:r>
            <w:r w:rsidR="00880A07">
              <w:t xml:space="preserve"> </w:t>
            </w:r>
            <w:r w:rsidR="0062371A">
              <w:t xml:space="preserve">were </w:t>
            </w:r>
            <w:r w:rsidR="00880A07">
              <w:t>commenced.</w:t>
            </w:r>
          </w:p>
          <w:p w14:paraId="4F187EE9" w14:textId="6C3B589F" w:rsidR="006F3C0F" w:rsidRPr="0023559F" w:rsidRDefault="0062371A" w:rsidP="00F9103D">
            <w:pPr>
              <w:pStyle w:val="Tabletext"/>
              <w:rPr>
                <w:b/>
                <w:bCs/>
              </w:rPr>
            </w:pPr>
            <w:r w:rsidRPr="00F9103D">
              <w:t>For</w:t>
            </w:r>
            <w:r>
              <w:rPr>
                <w:b/>
                <w:bCs/>
              </w:rPr>
              <w:t xml:space="preserve"> </w:t>
            </w:r>
            <w:r w:rsidR="006F3C0F">
              <w:rPr>
                <w:b/>
                <w:bCs/>
              </w:rPr>
              <w:t xml:space="preserve">RSV </w:t>
            </w:r>
            <w:r>
              <w:rPr>
                <w:b/>
                <w:bCs/>
              </w:rPr>
              <w:t>and</w:t>
            </w:r>
            <w:r w:rsidR="006F3C0F">
              <w:rPr>
                <w:b/>
                <w:bCs/>
              </w:rPr>
              <w:t xml:space="preserve"> other respiratory pathogens</w:t>
            </w:r>
            <w:r>
              <w:rPr>
                <w:b/>
                <w:bCs/>
              </w:rPr>
              <w:t xml:space="preserve">, </w:t>
            </w:r>
            <w:r w:rsidRPr="00F9103D">
              <w:t>visitors can return</w:t>
            </w:r>
            <w:r>
              <w:t xml:space="preserve"> </w:t>
            </w:r>
            <w:r w:rsidR="006F3C0F">
              <w:t>when acute symptoms have resolved</w:t>
            </w:r>
            <w:r>
              <w:t>.</w:t>
            </w:r>
          </w:p>
        </w:tc>
      </w:tr>
      <w:tr w:rsidR="006F3C0F" w14:paraId="67B26327" w14:textId="77777777" w:rsidTr="00FA461D">
        <w:tc>
          <w:tcPr>
            <w:tcW w:w="1035" w:type="pct"/>
          </w:tcPr>
          <w:p w14:paraId="44FA9B66" w14:textId="3B6D1F39" w:rsidR="006F3C0F" w:rsidRDefault="006F3C0F" w:rsidP="00555BB4">
            <w:pPr>
              <w:pStyle w:val="Tablecolhead"/>
            </w:pPr>
            <w:r>
              <w:t xml:space="preserve">Visitor contacts – return post exposure </w:t>
            </w:r>
          </w:p>
        </w:tc>
        <w:tc>
          <w:tcPr>
            <w:tcW w:w="2215" w:type="pct"/>
          </w:tcPr>
          <w:p w14:paraId="5D286F0C" w14:textId="77777777" w:rsidR="006F3C0F" w:rsidRDefault="006F3C0F" w:rsidP="00C87317">
            <w:pPr>
              <w:pStyle w:val="Tablebullet1"/>
            </w:pPr>
            <w:r>
              <w:t xml:space="preserve">Visitors should monitor for symptoms and follow pathogen-specific considerations for returning to the facility after exposure to someone with a respiratory illness. </w:t>
            </w:r>
          </w:p>
          <w:p w14:paraId="7338F4C6" w14:textId="77777777" w:rsidR="006F3C0F" w:rsidRDefault="006F3C0F" w:rsidP="00555BB4">
            <w:pPr>
              <w:pStyle w:val="Tabletext"/>
            </w:pPr>
          </w:p>
        </w:tc>
        <w:tc>
          <w:tcPr>
            <w:tcW w:w="1750" w:type="pct"/>
          </w:tcPr>
          <w:p w14:paraId="6B1352D4" w14:textId="3BC3B2DD" w:rsidR="006F3C0F" w:rsidRDefault="0062371A" w:rsidP="00555BB4">
            <w:pPr>
              <w:pStyle w:val="Tabletext"/>
              <w:rPr>
                <w:b/>
                <w:bCs/>
              </w:rPr>
            </w:pPr>
            <w:r w:rsidRPr="00725689">
              <w:lastRenderedPageBreak/>
              <w:t>For</w:t>
            </w:r>
            <w:r>
              <w:rPr>
                <w:b/>
                <w:bCs/>
              </w:rPr>
              <w:t xml:space="preserve"> COVID-19</w:t>
            </w:r>
            <w:r w:rsidR="006F3C0F">
              <w:rPr>
                <w:b/>
                <w:bCs/>
              </w:rPr>
              <w:t xml:space="preserve">: </w:t>
            </w:r>
          </w:p>
          <w:p w14:paraId="5F5D7571" w14:textId="58113B7F" w:rsidR="006F3C0F" w:rsidRDefault="0062371A" w:rsidP="006F3C0F">
            <w:pPr>
              <w:pStyle w:val="Tablebullet1"/>
            </w:pPr>
            <w:r>
              <w:lastRenderedPageBreak/>
              <w:t>visitors s</w:t>
            </w:r>
            <w:r w:rsidR="0016453F">
              <w:t xml:space="preserve">hould </w:t>
            </w:r>
            <w:r w:rsidR="006F3C0F">
              <w:t xml:space="preserve">not visit after exposure; visits can resume on day </w:t>
            </w:r>
            <w:r>
              <w:t>eight</w:t>
            </w:r>
            <w:r w:rsidR="006F3C0F">
              <w:t xml:space="preserve"> from </w:t>
            </w:r>
            <w:r>
              <w:t xml:space="preserve">the </w:t>
            </w:r>
            <w:r w:rsidR="006F3C0F">
              <w:t>last exposure if asymptomatic</w:t>
            </w:r>
          </w:p>
          <w:p w14:paraId="47ACEE1C" w14:textId="5648A7EB" w:rsidR="0016453F" w:rsidRDefault="0062371A" w:rsidP="006F3C0F">
            <w:pPr>
              <w:pStyle w:val="Tablebullet1"/>
            </w:pPr>
            <w:r>
              <w:t>i</w:t>
            </w:r>
            <w:r w:rsidR="005315FD" w:rsidRPr="005315FD">
              <w:t xml:space="preserve">f attendance is essential </w:t>
            </w:r>
            <w:r w:rsidR="005315FD">
              <w:t xml:space="preserve">within </w:t>
            </w:r>
            <w:r>
              <w:t>seven</w:t>
            </w:r>
            <w:r w:rsidR="005315FD">
              <w:t xml:space="preserve"> days </w:t>
            </w:r>
            <w:r w:rsidR="005315FD" w:rsidRPr="005315FD">
              <w:t>(</w:t>
            </w:r>
            <w:r w:rsidR="003B3318">
              <w:t xml:space="preserve">for example, </w:t>
            </w:r>
            <w:r w:rsidR="005315FD" w:rsidRPr="005315FD">
              <w:t xml:space="preserve">end-of-life </w:t>
            </w:r>
            <w:r w:rsidR="004228CD">
              <w:t>care</w:t>
            </w:r>
            <w:r w:rsidR="005315FD" w:rsidRPr="005315FD">
              <w:t xml:space="preserve"> or for resident wellbeing), the</w:t>
            </w:r>
            <w:r w:rsidR="00E36A7A">
              <w:t xml:space="preserve"> visitor</w:t>
            </w:r>
            <w:r w:rsidR="005315FD" w:rsidRPr="005315FD">
              <w:t xml:space="preserve"> should </w:t>
            </w:r>
            <w:r w:rsidR="00D94F9C">
              <w:t>be</w:t>
            </w:r>
            <w:r w:rsidR="005315FD" w:rsidRPr="005315FD">
              <w:t xml:space="preserve"> RAT</w:t>
            </w:r>
            <w:r w:rsidR="00D94F9C">
              <w:t xml:space="preserve"> negative</w:t>
            </w:r>
            <w:r w:rsidR="005315FD" w:rsidRPr="005315FD">
              <w:t xml:space="preserve"> and wear a </w:t>
            </w:r>
            <w:r w:rsidR="00C45E0F">
              <w:t>P2/</w:t>
            </w:r>
            <w:r w:rsidR="0086116C">
              <w:t xml:space="preserve">N95 </w:t>
            </w:r>
            <w:r w:rsidR="00C45E0F">
              <w:t>respirator</w:t>
            </w:r>
            <w:r w:rsidR="005315FD" w:rsidRPr="005315FD">
              <w:t>.</w:t>
            </w:r>
          </w:p>
          <w:p w14:paraId="7E80ACAE" w14:textId="6CA62B5D" w:rsidR="006F3C0F" w:rsidRPr="00A86FBC" w:rsidRDefault="0062371A" w:rsidP="00F9103D">
            <w:pPr>
              <w:pStyle w:val="Tabletext"/>
            </w:pPr>
            <w:r w:rsidRPr="00F9103D">
              <w:t>for</w:t>
            </w:r>
            <w:r>
              <w:rPr>
                <w:b/>
                <w:bCs/>
              </w:rPr>
              <w:t xml:space="preserve"> </w:t>
            </w:r>
            <w:r w:rsidR="006F3C0F">
              <w:rPr>
                <w:b/>
                <w:bCs/>
              </w:rPr>
              <w:t>Influenza</w:t>
            </w:r>
            <w:r>
              <w:t>, there are n</w:t>
            </w:r>
            <w:r w:rsidR="006F3C0F">
              <w:t xml:space="preserve">o restrictions after </w:t>
            </w:r>
            <w:r w:rsidR="00365099">
              <w:t>exposure</w:t>
            </w:r>
            <w:r>
              <w:t>,</w:t>
            </w:r>
            <w:r w:rsidR="00365099">
              <w:t xml:space="preserve"> but</w:t>
            </w:r>
            <w:r w:rsidR="006F3C0F">
              <w:t xml:space="preserve"> </w:t>
            </w:r>
            <w:r>
              <w:t xml:space="preserve">visitors should </w:t>
            </w:r>
            <w:r w:rsidR="006F3C0F">
              <w:t xml:space="preserve">wear a mask when visiting for </w:t>
            </w:r>
            <w:r>
              <w:t>seven</w:t>
            </w:r>
            <w:r w:rsidR="006F3C0F">
              <w:t xml:space="preserve"> days from last exposure.</w:t>
            </w:r>
          </w:p>
          <w:p w14:paraId="3DD6777A" w14:textId="41EF838A" w:rsidR="006F3C0F" w:rsidRDefault="00D05C28" w:rsidP="00F9103D">
            <w:pPr>
              <w:pStyle w:val="Tabletext"/>
              <w:rPr>
                <w:lang w:eastAsia="en-AU"/>
              </w:rPr>
            </w:pPr>
            <w:r w:rsidRPr="00F9103D">
              <w:t>For</w:t>
            </w:r>
            <w:r>
              <w:rPr>
                <w:b/>
                <w:bCs/>
              </w:rPr>
              <w:t xml:space="preserve"> </w:t>
            </w:r>
            <w:r w:rsidR="006F3C0F">
              <w:rPr>
                <w:b/>
                <w:bCs/>
              </w:rPr>
              <w:t xml:space="preserve">RSV </w:t>
            </w:r>
            <w:r>
              <w:rPr>
                <w:b/>
                <w:bCs/>
              </w:rPr>
              <w:t>and</w:t>
            </w:r>
            <w:r w:rsidR="006F3C0F">
              <w:rPr>
                <w:b/>
                <w:bCs/>
              </w:rPr>
              <w:t xml:space="preserve"> other respiratory pathogens</w:t>
            </w:r>
            <w:r>
              <w:rPr>
                <w:b/>
                <w:bCs/>
              </w:rPr>
              <w:t xml:space="preserve">, </w:t>
            </w:r>
            <w:r w:rsidRPr="00F9103D">
              <w:t>there are</w:t>
            </w:r>
            <w:r w:rsidRPr="00D05C28">
              <w:t xml:space="preserve"> n</w:t>
            </w:r>
            <w:r w:rsidR="006F3C0F" w:rsidRPr="00D05C28">
              <w:t>o restrictions if asymptomatic.</w:t>
            </w:r>
          </w:p>
        </w:tc>
      </w:tr>
    </w:tbl>
    <w:p w14:paraId="1D886FBD" w14:textId="69257D82" w:rsidR="00D05C28" w:rsidRDefault="00D05C28" w:rsidP="00F9103D">
      <w:pPr>
        <w:pStyle w:val="Tablecaption"/>
      </w:pPr>
      <w:r>
        <w:lastRenderedPageBreak/>
        <w:t xml:space="preserve">Table </w:t>
      </w:r>
      <w:fldSimple w:instr=" SEQ Table \* ARABIC ">
        <w:r w:rsidR="0031298E">
          <w:rPr>
            <w:noProof/>
          </w:rPr>
          <w:t>12</w:t>
        </w:r>
      </w:fldSimple>
      <w:r>
        <w:t xml:space="preserve">. </w:t>
      </w:r>
      <w:r w:rsidRPr="00295CB5">
        <w:t>Case lists and escalations</w:t>
      </w:r>
    </w:p>
    <w:tbl>
      <w:tblPr>
        <w:tblStyle w:val="TableGrid"/>
        <w:tblW w:w="5000" w:type="pct"/>
        <w:tblLook w:val="04A0" w:firstRow="1" w:lastRow="0" w:firstColumn="1" w:lastColumn="0" w:noHBand="0" w:noVBand="1"/>
      </w:tblPr>
      <w:tblGrid>
        <w:gridCol w:w="2955"/>
        <w:gridCol w:w="6324"/>
        <w:gridCol w:w="4997"/>
      </w:tblGrid>
      <w:tr w:rsidR="00463216" w:rsidRPr="001C1288" w14:paraId="5DB83055" w14:textId="77777777" w:rsidTr="00FA461D">
        <w:trPr>
          <w:tblHeader/>
        </w:trPr>
        <w:tc>
          <w:tcPr>
            <w:tcW w:w="1035" w:type="pct"/>
            <w:shd w:val="clear" w:color="auto" w:fill="4F81BD" w:themeFill="accent1"/>
          </w:tcPr>
          <w:p w14:paraId="3D465A8E" w14:textId="77777777" w:rsidR="00463216" w:rsidRPr="00027E09" w:rsidRDefault="00463216" w:rsidP="00555BB4">
            <w:pPr>
              <w:pStyle w:val="Tablecolhead"/>
              <w:rPr>
                <w:color w:val="FFFFFF" w:themeColor="background1"/>
              </w:rPr>
            </w:pPr>
          </w:p>
        </w:tc>
        <w:tc>
          <w:tcPr>
            <w:tcW w:w="2215" w:type="pct"/>
            <w:shd w:val="clear" w:color="auto" w:fill="4F81BD" w:themeFill="accent1"/>
          </w:tcPr>
          <w:p w14:paraId="4F0CD79F" w14:textId="172895C6" w:rsidR="00463216" w:rsidRPr="00027E09" w:rsidRDefault="005B61F3" w:rsidP="00555BB4">
            <w:pPr>
              <w:pStyle w:val="Tablecolhead"/>
              <w:rPr>
                <w:color w:val="FFFFFF" w:themeColor="background1"/>
              </w:rPr>
            </w:pPr>
            <w:r>
              <w:rPr>
                <w:color w:val="FFFFFF" w:themeColor="background1"/>
              </w:rPr>
              <w:t>Core actions for all respiratory outbreaks</w:t>
            </w:r>
          </w:p>
        </w:tc>
        <w:tc>
          <w:tcPr>
            <w:tcW w:w="1750" w:type="pct"/>
            <w:shd w:val="clear" w:color="auto" w:fill="4F81BD" w:themeFill="accent1"/>
          </w:tcPr>
          <w:p w14:paraId="3AB8C707" w14:textId="77777777" w:rsidR="00463216" w:rsidRPr="00027E09" w:rsidRDefault="00463216" w:rsidP="00555BB4">
            <w:pPr>
              <w:pStyle w:val="Tablecolhead"/>
              <w:rPr>
                <w:color w:val="FFFFFF" w:themeColor="background1"/>
              </w:rPr>
            </w:pPr>
            <w:r>
              <w:rPr>
                <w:color w:val="FFFFFF" w:themeColor="background1"/>
              </w:rPr>
              <w:t>Pathogen-specific considerations</w:t>
            </w:r>
          </w:p>
        </w:tc>
      </w:tr>
      <w:tr w:rsidR="00463216" w:rsidRPr="00595D36" w14:paraId="20E84F37" w14:textId="77777777" w:rsidTr="00FA461D">
        <w:tc>
          <w:tcPr>
            <w:tcW w:w="1035" w:type="pct"/>
          </w:tcPr>
          <w:p w14:paraId="7E231015" w14:textId="77777777" w:rsidR="00463216" w:rsidRPr="00595D36" w:rsidRDefault="00463216" w:rsidP="00555BB4">
            <w:pPr>
              <w:pStyle w:val="Tablecolhead"/>
            </w:pPr>
            <w:r>
              <w:t>Case lists</w:t>
            </w:r>
          </w:p>
        </w:tc>
        <w:tc>
          <w:tcPr>
            <w:tcW w:w="2215" w:type="pct"/>
          </w:tcPr>
          <w:p w14:paraId="222CE25A" w14:textId="1C4AED69" w:rsidR="00463216" w:rsidRPr="00595D36" w:rsidRDefault="00463216" w:rsidP="00C87317">
            <w:pPr>
              <w:pStyle w:val="Tablebullet1"/>
            </w:pPr>
            <w:r>
              <w:t>Case</w:t>
            </w:r>
            <w:r w:rsidR="006E2E8E">
              <w:t xml:space="preserve"> </w:t>
            </w:r>
            <w:r>
              <w:t>lists should be updated daily</w:t>
            </w:r>
            <w:r w:rsidR="00A13E95">
              <w:t>.</w:t>
            </w:r>
          </w:p>
        </w:tc>
        <w:tc>
          <w:tcPr>
            <w:tcW w:w="1750" w:type="pct"/>
          </w:tcPr>
          <w:p w14:paraId="700A2668" w14:textId="10D592FD" w:rsidR="00463216" w:rsidRDefault="00D05C28" w:rsidP="00F9103D">
            <w:pPr>
              <w:pStyle w:val="Tabletext"/>
            </w:pPr>
            <w:r w:rsidRPr="00F9103D">
              <w:t>For</w:t>
            </w:r>
            <w:r>
              <w:rPr>
                <w:b/>
                <w:bCs/>
              </w:rPr>
              <w:t xml:space="preserve"> </w:t>
            </w:r>
            <w:r w:rsidR="00463216">
              <w:rPr>
                <w:b/>
                <w:bCs/>
              </w:rPr>
              <w:t>COVID-19</w:t>
            </w:r>
            <w:r>
              <w:rPr>
                <w:b/>
                <w:bCs/>
              </w:rPr>
              <w:t>,</w:t>
            </w:r>
            <w:r w:rsidR="00463216">
              <w:rPr>
                <w:b/>
                <w:bCs/>
              </w:rPr>
              <w:t xml:space="preserve"> influenza</w:t>
            </w:r>
            <w:r w:rsidR="00C93ED8">
              <w:rPr>
                <w:b/>
                <w:bCs/>
              </w:rPr>
              <w:t xml:space="preserve"> </w:t>
            </w:r>
            <w:r>
              <w:rPr>
                <w:b/>
                <w:bCs/>
              </w:rPr>
              <w:t>and</w:t>
            </w:r>
            <w:r w:rsidR="00C93ED8">
              <w:rPr>
                <w:b/>
                <w:bCs/>
              </w:rPr>
              <w:t xml:space="preserve"> RSV</w:t>
            </w:r>
            <w:r>
              <w:rPr>
                <w:b/>
                <w:bCs/>
              </w:rPr>
              <w:t xml:space="preserve">, </w:t>
            </w:r>
            <w:r>
              <w:t>p</w:t>
            </w:r>
            <w:r w:rsidR="00463216" w:rsidRPr="00315FFA">
              <w:t xml:space="preserve">rovide </w:t>
            </w:r>
            <w:r>
              <w:t xml:space="preserve">case lists </w:t>
            </w:r>
            <w:r w:rsidR="00463216" w:rsidRPr="00315FFA">
              <w:t xml:space="preserve">to LPHU </w:t>
            </w:r>
            <w:r>
              <w:t xml:space="preserve">on the </w:t>
            </w:r>
            <w:r w:rsidR="00463216" w:rsidRPr="00315FFA">
              <w:t>same day of notification</w:t>
            </w:r>
            <w:r>
              <w:t>,</w:t>
            </w:r>
            <w:r w:rsidR="00463216" w:rsidRPr="00315FFA">
              <w:t xml:space="preserve"> updat</w:t>
            </w:r>
            <w:r>
              <w:t>ing</w:t>
            </w:r>
            <w:r w:rsidR="00463216" w:rsidRPr="00315FFA">
              <w:t xml:space="preserve"> daily</w:t>
            </w:r>
            <w:r>
              <w:t xml:space="preserve"> and</w:t>
            </w:r>
            <w:r w:rsidR="00463216" w:rsidRPr="00315FFA">
              <w:t xml:space="preserve"> send twice weekly</w:t>
            </w:r>
            <w:r w:rsidR="00463216">
              <w:t xml:space="preserve"> to LPHU</w:t>
            </w:r>
            <w:r w:rsidR="00463216" w:rsidRPr="00315FFA">
              <w:t>.</w:t>
            </w:r>
          </w:p>
          <w:p w14:paraId="3493B089" w14:textId="5406062A" w:rsidR="00463216" w:rsidRPr="00CB24EA" w:rsidRDefault="00D05C28" w:rsidP="00F9103D">
            <w:pPr>
              <w:pStyle w:val="Tabletext"/>
              <w:rPr>
                <w:b/>
                <w:bCs/>
              </w:rPr>
            </w:pPr>
            <w:r>
              <w:t>F</w:t>
            </w:r>
            <w:r w:rsidRPr="00F9103D">
              <w:t>or</w:t>
            </w:r>
            <w:r>
              <w:rPr>
                <w:b/>
                <w:bCs/>
              </w:rPr>
              <w:t xml:space="preserve"> o</w:t>
            </w:r>
            <w:r w:rsidR="00463216">
              <w:rPr>
                <w:b/>
                <w:bCs/>
              </w:rPr>
              <w:t>ther respiratory pathogens</w:t>
            </w:r>
            <w:r>
              <w:t>, it is not required</w:t>
            </w:r>
            <w:r w:rsidR="00463216">
              <w:t xml:space="preserve"> to send case</w:t>
            </w:r>
            <w:r w:rsidR="006E2E8E">
              <w:t xml:space="preserve"> lists</w:t>
            </w:r>
            <w:r w:rsidR="00463216">
              <w:t xml:space="preserve"> to LPHU. </w:t>
            </w:r>
          </w:p>
        </w:tc>
      </w:tr>
      <w:tr w:rsidR="00463216" w:rsidRPr="00595D36" w14:paraId="652B71B7" w14:textId="77777777" w:rsidTr="00FA461D">
        <w:tc>
          <w:tcPr>
            <w:tcW w:w="1035" w:type="pct"/>
          </w:tcPr>
          <w:p w14:paraId="0B33A37C" w14:textId="77777777" w:rsidR="00463216" w:rsidRPr="00595D36" w:rsidRDefault="00463216" w:rsidP="00555BB4">
            <w:pPr>
              <w:pStyle w:val="Tablecolhead"/>
            </w:pPr>
            <w:r>
              <w:t>Escalations</w:t>
            </w:r>
          </w:p>
        </w:tc>
        <w:tc>
          <w:tcPr>
            <w:tcW w:w="2215" w:type="pct"/>
          </w:tcPr>
          <w:p w14:paraId="57138FDB" w14:textId="06276EF9" w:rsidR="00463216" w:rsidRPr="00595D36" w:rsidRDefault="00463216" w:rsidP="00C87317">
            <w:pPr>
              <w:pStyle w:val="Tablebullet1"/>
            </w:pPr>
            <w:r>
              <w:t>Follow</w:t>
            </w:r>
            <w:r w:rsidR="007B3AE7">
              <w:t xml:space="preserve"> </w:t>
            </w:r>
            <w:r>
              <w:t>pathogen</w:t>
            </w:r>
            <w:r w:rsidR="006E2E8E">
              <w:t>-</w:t>
            </w:r>
            <w:r>
              <w:t xml:space="preserve">specific considerations. </w:t>
            </w:r>
          </w:p>
        </w:tc>
        <w:tc>
          <w:tcPr>
            <w:tcW w:w="1750" w:type="pct"/>
          </w:tcPr>
          <w:p w14:paraId="6FC97851" w14:textId="2B52AF26" w:rsidR="00D05C28" w:rsidRDefault="00D05C28" w:rsidP="00555BB4">
            <w:pPr>
              <w:pStyle w:val="Tabletext"/>
              <w:rPr>
                <w:b/>
                <w:bCs/>
              </w:rPr>
            </w:pPr>
            <w:r w:rsidRPr="00725689">
              <w:t>For</w:t>
            </w:r>
            <w:r>
              <w:rPr>
                <w:b/>
                <w:bCs/>
              </w:rPr>
              <w:t xml:space="preserve"> COVID-19, influenza and RSV:</w:t>
            </w:r>
          </w:p>
          <w:p w14:paraId="4439C740" w14:textId="1E15FCEE" w:rsidR="00463216" w:rsidRDefault="00D05C28" w:rsidP="00463216">
            <w:pPr>
              <w:pStyle w:val="Tablebullet1"/>
            </w:pPr>
            <w:r>
              <w:t>n</w:t>
            </w:r>
            <w:r w:rsidR="00463216">
              <w:t>otify</w:t>
            </w:r>
            <w:r w:rsidR="00463216" w:rsidRPr="000D0BFA">
              <w:t xml:space="preserve"> deaths </w:t>
            </w:r>
            <w:r w:rsidR="00463216">
              <w:t xml:space="preserve">to LPHU </w:t>
            </w:r>
            <w:r w:rsidR="00463216" w:rsidRPr="000D0BFA">
              <w:t>within 24</w:t>
            </w:r>
            <w:r w:rsidR="00463216">
              <w:t xml:space="preserve"> hours</w:t>
            </w:r>
          </w:p>
          <w:p w14:paraId="779DB56B" w14:textId="08274AA1" w:rsidR="00463216" w:rsidRDefault="00D05C28" w:rsidP="00463216">
            <w:pPr>
              <w:pStyle w:val="Tablebullet1"/>
            </w:pPr>
            <w:r>
              <w:t>note h</w:t>
            </w:r>
            <w:r w:rsidR="00463216" w:rsidRPr="000D0BFA">
              <w:t xml:space="preserve">ospitalisations on </w:t>
            </w:r>
            <w:r>
              <w:t xml:space="preserve">the </w:t>
            </w:r>
            <w:r w:rsidR="00463216" w:rsidRPr="000D0BFA">
              <w:t>case list</w:t>
            </w:r>
            <w:r w:rsidR="00463216">
              <w:t>.</w:t>
            </w:r>
          </w:p>
          <w:p w14:paraId="15868866" w14:textId="52E3310A" w:rsidR="00463216" w:rsidRPr="00CA21EE" w:rsidRDefault="00D05C28" w:rsidP="00F9103D">
            <w:pPr>
              <w:pStyle w:val="Tabletext"/>
            </w:pPr>
            <w:r>
              <w:t>F</w:t>
            </w:r>
            <w:r w:rsidRPr="00725689">
              <w:t>or</w:t>
            </w:r>
            <w:r>
              <w:rPr>
                <w:b/>
                <w:bCs/>
              </w:rPr>
              <w:t xml:space="preserve"> other </w:t>
            </w:r>
            <w:r w:rsidR="00463216">
              <w:rPr>
                <w:b/>
                <w:bCs/>
              </w:rPr>
              <w:t>respiratory pathogens</w:t>
            </w:r>
            <w:r>
              <w:rPr>
                <w:b/>
                <w:bCs/>
              </w:rPr>
              <w:t>,</w:t>
            </w:r>
            <w:r>
              <w:t xml:space="preserve"> c</w:t>
            </w:r>
            <w:r w:rsidR="00463216">
              <w:t xml:space="preserve">ontact LPHU for advice as required. </w:t>
            </w:r>
          </w:p>
        </w:tc>
      </w:tr>
    </w:tbl>
    <w:p w14:paraId="62289FD9" w14:textId="020CE765" w:rsidR="00D17642" w:rsidRDefault="00D17642" w:rsidP="00F9103D">
      <w:pPr>
        <w:pStyle w:val="Tablecaption"/>
      </w:pPr>
      <w:r>
        <w:lastRenderedPageBreak/>
        <w:t xml:space="preserve">Table </w:t>
      </w:r>
      <w:fldSimple w:instr=" SEQ Table \* ARABIC ">
        <w:r w:rsidR="0031298E">
          <w:rPr>
            <w:noProof/>
          </w:rPr>
          <w:t>13</w:t>
        </w:r>
      </w:fldSimple>
      <w:r>
        <w:t xml:space="preserve">. </w:t>
      </w:r>
      <w:r w:rsidRPr="009E2AB9">
        <w:t>Outbreak closure</w:t>
      </w:r>
    </w:p>
    <w:tbl>
      <w:tblPr>
        <w:tblStyle w:val="TableGrid"/>
        <w:tblW w:w="5000" w:type="pct"/>
        <w:tblLook w:val="04A0" w:firstRow="1" w:lastRow="0" w:firstColumn="1" w:lastColumn="0" w:noHBand="0" w:noVBand="1"/>
      </w:tblPr>
      <w:tblGrid>
        <w:gridCol w:w="2907"/>
        <w:gridCol w:w="6370"/>
        <w:gridCol w:w="4999"/>
      </w:tblGrid>
      <w:tr w:rsidR="006A33A3" w:rsidRPr="001C1288" w14:paraId="065A42DC" w14:textId="77777777" w:rsidTr="00FA461D">
        <w:trPr>
          <w:tblHeader/>
        </w:trPr>
        <w:tc>
          <w:tcPr>
            <w:tcW w:w="1018" w:type="pct"/>
            <w:shd w:val="clear" w:color="auto" w:fill="4F81BD" w:themeFill="accent1"/>
          </w:tcPr>
          <w:p w14:paraId="6DB66426" w14:textId="77777777" w:rsidR="006A33A3" w:rsidRPr="00027E09" w:rsidRDefault="006A33A3" w:rsidP="00555BB4">
            <w:pPr>
              <w:pStyle w:val="Tablecolhead"/>
              <w:rPr>
                <w:color w:val="FFFFFF" w:themeColor="background1"/>
              </w:rPr>
            </w:pPr>
          </w:p>
        </w:tc>
        <w:tc>
          <w:tcPr>
            <w:tcW w:w="2231" w:type="pct"/>
            <w:shd w:val="clear" w:color="auto" w:fill="4F81BD" w:themeFill="accent1"/>
          </w:tcPr>
          <w:p w14:paraId="092D0171" w14:textId="787D267D" w:rsidR="006A33A3" w:rsidRPr="00027E09" w:rsidRDefault="005B61F3" w:rsidP="00555BB4">
            <w:pPr>
              <w:pStyle w:val="Tablecolhead"/>
              <w:rPr>
                <w:color w:val="FFFFFF" w:themeColor="background1"/>
              </w:rPr>
            </w:pPr>
            <w:r>
              <w:rPr>
                <w:color w:val="FFFFFF" w:themeColor="background1"/>
              </w:rPr>
              <w:t>Core actions for all respiratory outbreaks</w:t>
            </w:r>
          </w:p>
        </w:tc>
        <w:tc>
          <w:tcPr>
            <w:tcW w:w="1752" w:type="pct"/>
            <w:shd w:val="clear" w:color="auto" w:fill="4F81BD" w:themeFill="accent1"/>
          </w:tcPr>
          <w:p w14:paraId="1E9CF471" w14:textId="77777777" w:rsidR="006A33A3" w:rsidRPr="00027E09" w:rsidRDefault="006A33A3" w:rsidP="00555BB4">
            <w:pPr>
              <w:pStyle w:val="Tablecolhead"/>
              <w:rPr>
                <w:color w:val="FFFFFF" w:themeColor="background1"/>
              </w:rPr>
            </w:pPr>
            <w:r>
              <w:rPr>
                <w:color w:val="FFFFFF" w:themeColor="background1"/>
              </w:rPr>
              <w:t>Pathogen-specific considerations</w:t>
            </w:r>
          </w:p>
        </w:tc>
      </w:tr>
      <w:tr w:rsidR="006A33A3" w:rsidRPr="00595D36" w14:paraId="19FEFAD6" w14:textId="77777777" w:rsidTr="00FA461D">
        <w:tc>
          <w:tcPr>
            <w:tcW w:w="1018" w:type="pct"/>
          </w:tcPr>
          <w:p w14:paraId="4FC3A10D" w14:textId="77777777" w:rsidR="006A33A3" w:rsidRPr="00595D36" w:rsidRDefault="006A33A3" w:rsidP="00555BB4">
            <w:pPr>
              <w:pStyle w:val="Tablecolhead"/>
            </w:pPr>
            <w:r>
              <w:t>Closing the outbreak</w:t>
            </w:r>
          </w:p>
        </w:tc>
        <w:tc>
          <w:tcPr>
            <w:tcW w:w="2231" w:type="pct"/>
          </w:tcPr>
          <w:p w14:paraId="2BDB34E9" w14:textId="182268A5" w:rsidR="00823300" w:rsidRDefault="006A33A3" w:rsidP="00E376BE">
            <w:pPr>
              <w:pStyle w:val="Tablebullet1"/>
            </w:pPr>
            <w:r w:rsidRPr="000D0BFA">
              <w:t xml:space="preserve">Declare over </w:t>
            </w:r>
            <w:r w:rsidR="00D17642">
              <w:t>seven</w:t>
            </w:r>
            <w:r w:rsidRPr="000D0BFA">
              <w:t xml:space="preserve"> days after last </w:t>
            </w:r>
            <w:r>
              <w:t>resident</w:t>
            </w:r>
            <w:r w:rsidRPr="000D0BFA">
              <w:t xml:space="preserve"> case tests positive or </w:t>
            </w:r>
            <w:r>
              <w:t>date of</w:t>
            </w:r>
            <w:r w:rsidRPr="000D0BFA">
              <w:t xml:space="preserve"> isolation</w:t>
            </w:r>
            <w:r>
              <w:t xml:space="preserve"> of the last resident case</w:t>
            </w:r>
            <w:r w:rsidRPr="000D0BFA">
              <w:t>, whichever</w:t>
            </w:r>
            <w:r w:rsidR="00A13E95">
              <w:t xml:space="preserve"> is</w:t>
            </w:r>
            <w:r w:rsidRPr="000D0BFA">
              <w:t xml:space="preserve"> longer</w:t>
            </w:r>
            <w:r w:rsidR="00A13E95">
              <w:t xml:space="preserve">, </w:t>
            </w:r>
            <w:r>
              <w:t xml:space="preserve">or later at </w:t>
            </w:r>
            <w:r w:rsidRPr="000D0BFA">
              <w:t>LPHU discretion</w:t>
            </w:r>
            <w:r w:rsidR="00823300">
              <w:t>.</w:t>
            </w:r>
          </w:p>
          <w:p w14:paraId="1F06533B" w14:textId="2F93F286" w:rsidR="006A33A3" w:rsidRPr="00595D36" w:rsidRDefault="00823300" w:rsidP="00C87317">
            <w:pPr>
              <w:pStyle w:val="Tablebullet1"/>
            </w:pPr>
            <w:r>
              <w:t>R</w:t>
            </w:r>
            <w:r w:rsidR="006A33A3" w:rsidRPr="000D0BFA">
              <w:t xml:space="preserve">eopen </w:t>
            </w:r>
            <w:r w:rsidR="006A33A3">
              <w:t xml:space="preserve">outbreak </w:t>
            </w:r>
            <w:r w:rsidR="006A33A3" w:rsidRPr="000D0BFA">
              <w:t>if new case occurs within 14 days</w:t>
            </w:r>
            <w:r w:rsidR="005B22E4">
              <w:t xml:space="preserve"> of the most recent case returning a positive test</w:t>
            </w:r>
            <w:r w:rsidR="006A33A3">
              <w:t xml:space="preserve">. </w:t>
            </w:r>
          </w:p>
        </w:tc>
        <w:tc>
          <w:tcPr>
            <w:tcW w:w="1752" w:type="pct"/>
          </w:tcPr>
          <w:p w14:paraId="50B3BA4D" w14:textId="6453A034" w:rsidR="006A33A3" w:rsidRPr="00595D36" w:rsidRDefault="006A33A3" w:rsidP="00555BB4">
            <w:pPr>
              <w:pStyle w:val="Tabletext"/>
            </w:pPr>
          </w:p>
        </w:tc>
      </w:tr>
      <w:tr w:rsidR="006A33A3" w14:paraId="4C7A0B3C" w14:textId="77777777" w:rsidTr="00FA461D">
        <w:tc>
          <w:tcPr>
            <w:tcW w:w="1018" w:type="pct"/>
          </w:tcPr>
          <w:p w14:paraId="65E99591" w14:textId="79080C05" w:rsidR="006A33A3" w:rsidRDefault="006A33A3" w:rsidP="00555BB4">
            <w:pPr>
              <w:pStyle w:val="Tablecolhead"/>
            </w:pPr>
            <w:r>
              <w:t>End</w:t>
            </w:r>
            <w:r w:rsidR="006E2E8E">
              <w:t>-</w:t>
            </w:r>
            <w:r>
              <w:t>of</w:t>
            </w:r>
            <w:r w:rsidR="006E2E8E">
              <w:t>-</w:t>
            </w:r>
            <w:r>
              <w:t>outbreak clean</w:t>
            </w:r>
          </w:p>
        </w:tc>
        <w:tc>
          <w:tcPr>
            <w:tcW w:w="2231" w:type="pct"/>
          </w:tcPr>
          <w:p w14:paraId="7CFF47AC" w14:textId="77777777" w:rsidR="005C6E8A" w:rsidRDefault="006A33A3" w:rsidP="00E376BE">
            <w:pPr>
              <w:pStyle w:val="Tablebullet1"/>
            </w:pPr>
            <w:r>
              <w:t>Final clean required of affected zone(s)</w:t>
            </w:r>
            <w:r w:rsidR="005C6E8A">
              <w:t>.</w:t>
            </w:r>
          </w:p>
          <w:p w14:paraId="4D1BD3DC" w14:textId="69956433" w:rsidR="006A33A3" w:rsidRPr="000D0BFA" w:rsidRDefault="005C6E8A" w:rsidP="008902D6">
            <w:pPr>
              <w:pStyle w:val="Tablebullet1"/>
            </w:pPr>
            <w:r>
              <w:t>T</w:t>
            </w:r>
            <w:r w:rsidR="006A33A3">
              <w:t>horough disinfection of affected residents’ rooms, high-touch surfaces and communal spaces</w:t>
            </w:r>
            <w:r>
              <w:t>.</w:t>
            </w:r>
          </w:p>
        </w:tc>
        <w:tc>
          <w:tcPr>
            <w:tcW w:w="1752" w:type="pct"/>
          </w:tcPr>
          <w:p w14:paraId="3F9B8640" w14:textId="7735C434" w:rsidR="006A33A3" w:rsidRDefault="006A33A3" w:rsidP="00555BB4">
            <w:pPr>
              <w:pStyle w:val="Tabletext"/>
            </w:pPr>
          </w:p>
        </w:tc>
      </w:tr>
      <w:tr w:rsidR="006A33A3" w14:paraId="0FC39B72" w14:textId="77777777" w:rsidTr="00FA461D">
        <w:tc>
          <w:tcPr>
            <w:tcW w:w="1018" w:type="pct"/>
          </w:tcPr>
          <w:p w14:paraId="010DC94E" w14:textId="77777777" w:rsidR="006A33A3" w:rsidRDefault="006A33A3" w:rsidP="00555BB4">
            <w:pPr>
              <w:pStyle w:val="Tablecolhead"/>
            </w:pPr>
            <w:r>
              <w:t>Final case list</w:t>
            </w:r>
          </w:p>
        </w:tc>
        <w:tc>
          <w:tcPr>
            <w:tcW w:w="2231" w:type="pct"/>
          </w:tcPr>
          <w:p w14:paraId="08F053E9" w14:textId="4C44CF80" w:rsidR="006A33A3" w:rsidRPr="000D0BFA" w:rsidRDefault="006A33A3" w:rsidP="008902D6">
            <w:pPr>
              <w:pStyle w:val="Tablebullet1"/>
            </w:pPr>
            <w:r>
              <w:t>See pathogen-specific guidance</w:t>
            </w:r>
            <w:r w:rsidR="005C6E8A">
              <w:t>.</w:t>
            </w:r>
            <w:r>
              <w:t xml:space="preserve"> </w:t>
            </w:r>
          </w:p>
        </w:tc>
        <w:tc>
          <w:tcPr>
            <w:tcW w:w="1752" w:type="pct"/>
          </w:tcPr>
          <w:p w14:paraId="6C6B0C31" w14:textId="6E45E4F8" w:rsidR="006A33A3" w:rsidRPr="00E75E94" w:rsidRDefault="00D17642" w:rsidP="00F9103D">
            <w:pPr>
              <w:pStyle w:val="Tabletext"/>
            </w:pPr>
            <w:r w:rsidRPr="00725689">
              <w:t>For</w:t>
            </w:r>
            <w:r>
              <w:t xml:space="preserve"> </w:t>
            </w:r>
            <w:r w:rsidRPr="00F9103D">
              <w:rPr>
                <w:b/>
                <w:bCs/>
              </w:rPr>
              <w:t>COVID-19, influenza and RSV</w:t>
            </w:r>
            <w:r>
              <w:t>, s</w:t>
            </w:r>
            <w:r w:rsidR="006A33A3" w:rsidRPr="00E75E94">
              <w:t xml:space="preserve">end </w:t>
            </w:r>
            <w:r>
              <w:t xml:space="preserve">a </w:t>
            </w:r>
            <w:r w:rsidR="006A33A3" w:rsidRPr="00E75E94">
              <w:t>final case list to LPHU</w:t>
            </w:r>
            <w:r>
              <w:t>.</w:t>
            </w:r>
          </w:p>
          <w:p w14:paraId="0BEAB3A1" w14:textId="0F64B272" w:rsidR="00D17642" w:rsidRDefault="00D17642" w:rsidP="00D17642">
            <w:pPr>
              <w:pStyle w:val="Tablebullet1"/>
              <w:numPr>
                <w:ilvl w:val="0"/>
                <w:numId w:val="0"/>
              </w:numPr>
              <w:ind w:left="284" w:hanging="284"/>
            </w:pPr>
            <w:r>
              <w:t>F</w:t>
            </w:r>
            <w:r w:rsidRPr="00725689">
              <w:t>or</w:t>
            </w:r>
            <w:r>
              <w:rPr>
                <w:b/>
                <w:bCs/>
              </w:rPr>
              <w:t xml:space="preserve"> other respiratory pathogens</w:t>
            </w:r>
            <w:proofErr w:type="gramStart"/>
            <w:r>
              <w:t>, :</w:t>
            </w:r>
            <w:proofErr w:type="gramEnd"/>
          </w:p>
          <w:p w14:paraId="666317DC" w14:textId="251E86AC" w:rsidR="006A33A3" w:rsidRDefault="00D17642" w:rsidP="00D17642">
            <w:pPr>
              <w:pStyle w:val="Tablebullet1"/>
            </w:pPr>
            <w:r>
              <w:t>a f</w:t>
            </w:r>
            <w:r w:rsidR="006A33A3" w:rsidRPr="00956C1B">
              <w:t xml:space="preserve">inal case list </w:t>
            </w:r>
            <w:r>
              <w:t xml:space="preserve">is </w:t>
            </w:r>
            <w:r w:rsidR="006A33A3" w:rsidRPr="00956C1B">
              <w:t>not required to be sent to LPHU</w:t>
            </w:r>
          </w:p>
          <w:p w14:paraId="1119399B" w14:textId="1F21445C" w:rsidR="00A92A10" w:rsidRPr="00956C1B" w:rsidRDefault="00D17642" w:rsidP="006A33A3">
            <w:pPr>
              <w:pStyle w:val="Tablebullet1"/>
            </w:pPr>
            <w:r>
              <w:t xml:space="preserve">a </w:t>
            </w:r>
            <w:r w:rsidR="00650A5E">
              <w:t xml:space="preserve">summary of </w:t>
            </w:r>
            <w:r w:rsidR="00583E66">
              <w:t xml:space="preserve">final case numbers should be </w:t>
            </w:r>
            <w:r w:rsidR="00554A69">
              <w:t xml:space="preserve">sent to LPHU (follow LPHU </w:t>
            </w:r>
            <w:r w:rsidR="004B2D64">
              <w:t>advice)</w:t>
            </w:r>
            <w:r>
              <w:t>.</w:t>
            </w:r>
          </w:p>
        </w:tc>
      </w:tr>
      <w:tr w:rsidR="006A33A3" w14:paraId="4198A1A2" w14:textId="77777777" w:rsidTr="00FA461D">
        <w:tc>
          <w:tcPr>
            <w:tcW w:w="1018" w:type="pct"/>
          </w:tcPr>
          <w:p w14:paraId="5E2F175D" w14:textId="77777777" w:rsidR="006A33A3" w:rsidRDefault="006A33A3" w:rsidP="00555BB4">
            <w:pPr>
              <w:pStyle w:val="Tablecolhead"/>
            </w:pPr>
            <w:r>
              <w:t>Communication</w:t>
            </w:r>
          </w:p>
        </w:tc>
        <w:tc>
          <w:tcPr>
            <w:tcW w:w="2231" w:type="pct"/>
          </w:tcPr>
          <w:p w14:paraId="3CEDA97D" w14:textId="22264F96" w:rsidR="005C6E8A" w:rsidRDefault="006A33A3" w:rsidP="00E376BE">
            <w:pPr>
              <w:pStyle w:val="Tablebullet1"/>
            </w:pPr>
            <w:r>
              <w:t>Inform residents, GPs</w:t>
            </w:r>
            <w:r w:rsidR="00D17642">
              <w:t xml:space="preserve">, </w:t>
            </w:r>
            <w:r>
              <w:t>NP</w:t>
            </w:r>
            <w:r w:rsidR="00B449C1">
              <w:t>s</w:t>
            </w:r>
            <w:r>
              <w:t>, staff, contractors, volunteers, NOK and visitors of outbreak closure</w:t>
            </w:r>
            <w:r w:rsidR="005C6E8A">
              <w:t>.</w:t>
            </w:r>
          </w:p>
          <w:p w14:paraId="4FA03868" w14:textId="5D7ACF2B" w:rsidR="006A33A3" w:rsidRPr="000D0BFA" w:rsidRDefault="005C6E8A" w:rsidP="008902D6">
            <w:pPr>
              <w:pStyle w:val="Tablebullet1"/>
            </w:pPr>
            <w:r>
              <w:t>R</w:t>
            </w:r>
            <w:r w:rsidR="006A33A3">
              <w:t>emove signage.</w:t>
            </w:r>
          </w:p>
        </w:tc>
        <w:tc>
          <w:tcPr>
            <w:tcW w:w="1752" w:type="pct"/>
          </w:tcPr>
          <w:p w14:paraId="50A0BDA7" w14:textId="64B4EC82" w:rsidR="006A33A3" w:rsidRDefault="006A33A3" w:rsidP="00555BB4">
            <w:pPr>
              <w:pStyle w:val="Tabletext"/>
            </w:pPr>
          </w:p>
        </w:tc>
      </w:tr>
    </w:tbl>
    <w:p w14:paraId="712F6E93" w14:textId="0B3984BA" w:rsidR="00D17642" w:rsidRDefault="00D17642" w:rsidP="00F9103D">
      <w:pPr>
        <w:pStyle w:val="Tablecaption"/>
      </w:pPr>
      <w:r>
        <w:t xml:space="preserve">Table </w:t>
      </w:r>
      <w:fldSimple w:instr=" SEQ Table \* ARABIC ">
        <w:r w:rsidR="0031298E">
          <w:rPr>
            <w:noProof/>
          </w:rPr>
          <w:t>14</w:t>
        </w:r>
      </w:fldSimple>
      <w:r>
        <w:t xml:space="preserve">. </w:t>
      </w:r>
      <w:r w:rsidRPr="00803AC8">
        <w:t>Debrief</w:t>
      </w:r>
    </w:p>
    <w:tbl>
      <w:tblPr>
        <w:tblStyle w:val="TableGrid"/>
        <w:tblW w:w="5000" w:type="pct"/>
        <w:tblLook w:val="04A0" w:firstRow="1" w:lastRow="0" w:firstColumn="1" w:lastColumn="0" w:noHBand="0" w:noVBand="1"/>
      </w:tblPr>
      <w:tblGrid>
        <w:gridCol w:w="2960"/>
        <w:gridCol w:w="6319"/>
        <w:gridCol w:w="4997"/>
      </w:tblGrid>
      <w:tr w:rsidR="00DE3AF2" w:rsidRPr="001C1288" w14:paraId="5409E710" w14:textId="77777777" w:rsidTr="0014789C">
        <w:trPr>
          <w:tblHeader/>
        </w:trPr>
        <w:tc>
          <w:tcPr>
            <w:tcW w:w="1037" w:type="pct"/>
            <w:shd w:val="clear" w:color="auto" w:fill="4F81BD" w:themeFill="accent1"/>
          </w:tcPr>
          <w:p w14:paraId="0451D61E" w14:textId="77777777" w:rsidR="00DE3AF2" w:rsidRPr="00027E09" w:rsidRDefault="00DE3AF2" w:rsidP="00555BB4">
            <w:pPr>
              <w:pStyle w:val="Tabletext"/>
              <w:rPr>
                <w:color w:val="FFFFFF" w:themeColor="background1"/>
              </w:rPr>
            </w:pPr>
          </w:p>
        </w:tc>
        <w:tc>
          <w:tcPr>
            <w:tcW w:w="2213" w:type="pct"/>
            <w:shd w:val="clear" w:color="auto" w:fill="4F81BD" w:themeFill="accent1"/>
          </w:tcPr>
          <w:p w14:paraId="528FF6AB" w14:textId="4E6FA702" w:rsidR="00DE3AF2" w:rsidRPr="00027E09" w:rsidRDefault="005B61F3" w:rsidP="00555BB4">
            <w:pPr>
              <w:pStyle w:val="Tablecolhead"/>
              <w:rPr>
                <w:color w:val="FFFFFF" w:themeColor="background1"/>
              </w:rPr>
            </w:pPr>
            <w:r>
              <w:rPr>
                <w:color w:val="FFFFFF" w:themeColor="background1"/>
              </w:rPr>
              <w:t>Core actions for all respiratory outbreaks</w:t>
            </w:r>
          </w:p>
        </w:tc>
        <w:tc>
          <w:tcPr>
            <w:tcW w:w="1751" w:type="pct"/>
            <w:shd w:val="clear" w:color="auto" w:fill="4F81BD" w:themeFill="accent1"/>
          </w:tcPr>
          <w:p w14:paraId="77F6D9AE" w14:textId="77777777" w:rsidR="00DE3AF2" w:rsidRPr="00027E09" w:rsidRDefault="00DE3AF2" w:rsidP="00555BB4">
            <w:pPr>
              <w:pStyle w:val="Tablecolhead"/>
              <w:rPr>
                <w:color w:val="FFFFFF" w:themeColor="background1"/>
              </w:rPr>
            </w:pPr>
            <w:r>
              <w:rPr>
                <w:color w:val="FFFFFF" w:themeColor="background1"/>
              </w:rPr>
              <w:t>Pathogen-specific considerations</w:t>
            </w:r>
          </w:p>
        </w:tc>
      </w:tr>
      <w:tr w:rsidR="00DE3AF2" w:rsidRPr="00595D36" w14:paraId="772ADECB" w14:textId="77777777" w:rsidTr="00FA461D">
        <w:tc>
          <w:tcPr>
            <w:tcW w:w="1037" w:type="pct"/>
          </w:tcPr>
          <w:p w14:paraId="1AF23E96" w14:textId="77777777" w:rsidR="00DE3AF2" w:rsidRPr="00595D36" w:rsidRDefault="00DE3AF2" w:rsidP="00555BB4">
            <w:pPr>
              <w:pStyle w:val="Tablecolhead"/>
            </w:pPr>
            <w:r>
              <w:t>Review outbreak management</w:t>
            </w:r>
          </w:p>
        </w:tc>
        <w:tc>
          <w:tcPr>
            <w:tcW w:w="2213" w:type="pct"/>
          </w:tcPr>
          <w:p w14:paraId="49EF48EA" w14:textId="24326072" w:rsidR="005C6E8A" w:rsidRDefault="00DE3AF2" w:rsidP="00E376BE">
            <w:pPr>
              <w:pStyle w:val="Tablebullet1"/>
            </w:pPr>
            <w:r>
              <w:t xml:space="preserve">Consider </w:t>
            </w:r>
            <w:r w:rsidR="00D17642">
              <w:t xml:space="preserve">a </w:t>
            </w:r>
            <w:r w:rsidRPr="00315FFA">
              <w:t>debrief</w:t>
            </w:r>
            <w:r w:rsidR="00D17642">
              <w:t>,</w:t>
            </w:r>
            <w:r w:rsidRPr="00315FFA">
              <w:t xml:space="preserve"> </w:t>
            </w:r>
            <w:r>
              <w:t>reflect</w:t>
            </w:r>
            <w:r w:rsidR="00D17642">
              <w:t>ing</w:t>
            </w:r>
            <w:r>
              <w:t xml:space="preserve"> on strengths</w:t>
            </w:r>
            <w:r w:rsidR="00D17642">
              <w:t xml:space="preserve"> and </w:t>
            </w:r>
            <w:r>
              <w:t xml:space="preserve">weaknesses of </w:t>
            </w:r>
            <w:r w:rsidR="00D17642">
              <w:t xml:space="preserve">the </w:t>
            </w:r>
            <w:r>
              <w:t>outbreak response and management</w:t>
            </w:r>
            <w:r w:rsidR="005C6E8A">
              <w:t>.</w:t>
            </w:r>
          </w:p>
          <w:p w14:paraId="6145FD2D" w14:textId="060A0C76" w:rsidR="005C6E8A" w:rsidRDefault="005C6E8A" w:rsidP="00E376BE">
            <w:pPr>
              <w:pStyle w:val="Tablebullet1"/>
            </w:pPr>
            <w:r>
              <w:t>C</w:t>
            </w:r>
            <w:r w:rsidR="00DE3AF2">
              <w:t xml:space="preserve">apture </w:t>
            </w:r>
            <w:r w:rsidR="00D17642">
              <w:t xml:space="preserve">the </w:t>
            </w:r>
            <w:r w:rsidR="00DE3AF2">
              <w:t>lessons learned</w:t>
            </w:r>
            <w:r>
              <w:t>.</w:t>
            </w:r>
          </w:p>
          <w:p w14:paraId="5A57B7F0" w14:textId="463FD65E" w:rsidR="00DE3AF2" w:rsidRPr="00595D36" w:rsidRDefault="005C6E8A" w:rsidP="008902D6">
            <w:pPr>
              <w:pStyle w:val="Tablebullet1"/>
            </w:pPr>
            <w:r>
              <w:t>I</w:t>
            </w:r>
            <w:r w:rsidR="00DE3AF2">
              <w:t xml:space="preserve">mplement actions to enhance quality control.  </w:t>
            </w:r>
          </w:p>
        </w:tc>
        <w:tc>
          <w:tcPr>
            <w:tcW w:w="1751" w:type="pct"/>
          </w:tcPr>
          <w:p w14:paraId="72385BE9" w14:textId="0BE22D8B" w:rsidR="00DE3AF2" w:rsidRPr="00595D36" w:rsidRDefault="00DE3AF2" w:rsidP="00555BB4">
            <w:pPr>
              <w:pStyle w:val="Tabletext"/>
            </w:pPr>
          </w:p>
        </w:tc>
      </w:tr>
    </w:tbl>
    <w:p w14:paraId="5A28209E" w14:textId="77777777" w:rsidR="00287694" w:rsidRDefault="00287694" w:rsidP="00284DB6">
      <w:pPr>
        <w:pStyle w:val="Body"/>
        <w:sectPr w:rsidR="00287694" w:rsidSect="00287694">
          <w:pgSz w:w="16838" w:h="11906" w:orient="landscape" w:code="9"/>
          <w:pgMar w:top="1304" w:right="1418" w:bottom="1304" w:left="1134" w:header="680" w:footer="851" w:gutter="0"/>
          <w:cols w:space="340"/>
          <w:titlePg/>
          <w:docGrid w:linePitch="360"/>
        </w:sectPr>
      </w:pPr>
    </w:p>
    <w:p w14:paraId="75176E9C" w14:textId="0CBD46D3" w:rsidR="00F81922" w:rsidRPr="00027E09" w:rsidRDefault="00F81922" w:rsidP="00E376BE">
      <w:pPr>
        <w:pStyle w:val="Heading1"/>
        <w:numPr>
          <w:ilvl w:val="0"/>
          <w:numId w:val="12"/>
        </w:numPr>
        <w:rPr>
          <w:color w:val="1F497D" w:themeColor="text2"/>
        </w:rPr>
      </w:pPr>
      <w:bookmarkStart w:id="117" w:name="_Mixed_respiratory_pathogen"/>
      <w:bookmarkStart w:id="118" w:name="_Toc229644804"/>
      <w:bookmarkEnd w:id="117"/>
      <w:r w:rsidRPr="00027E09">
        <w:rPr>
          <w:color w:val="1F497D" w:themeColor="text2"/>
        </w:rPr>
        <w:lastRenderedPageBreak/>
        <w:t>Mixed respiratory pathogen outbreak management</w:t>
      </w:r>
      <w:bookmarkEnd w:id="118"/>
    </w:p>
    <w:p w14:paraId="1EFB4737" w14:textId="3BAAAB83" w:rsidR="00F81922" w:rsidRPr="002F6CB0" w:rsidRDefault="00F81922" w:rsidP="00F81922">
      <w:pPr>
        <w:pStyle w:val="Body"/>
      </w:pPr>
      <w:r w:rsidRPr="002F6CB0">
        <w:t>When multiple respiratory pathogens are identified during an outbreak in an RCF, management should prioritise the pathogen requiring the highest level of precautions. Cohorting, isolation and infection prevention measures should be adapted to reduce transmission, while recognising that isolation periods and treatment may differ between pathogens.</w:t>
      </w:r>
    </w:p>
    <w:p w14:paraId="28E7DC3A" w14:textId="1D829FFA" w:rsidR="00F81922" w:rsidRDefault="00F81922" w:rsidP="0058143B">
      <w:pPr>
        <w:pStyle w:val="Heading2"/>
      </w:pPr>
      <w:bookmarkStart w:id="119" w:name="_Toc229644805"/>
      <w:r w:rsidRPr="002F6CB0">
        <w:t>Key management points</w:t>
      </w:r>
      <w:bookmarkEnd w:id="119"/>
    </w:p>
    <w:p w14:paraId="4FA0D7EA" w14:textId="2D057976" w:rsidR="0058143B" w:rsidRPr="0058143B" w:rsidRDefault="0058143B" w:rsidP="00F9103D">
      <w:pPr>
        <w:pStyle w:val="Body"/>
      </w:pPr>
      <w:r>
        <w:t>Key management points include:</w:t>
      </w:r>
    </w:p>
    <w:p w14:paraId="56ACF3E2" w14:textId="2BCF9F27" w:rsidR="00B23B21" w:rsidRPr="002F6CB0" w:rsidRDefault="0058143B" w:rsidP="00B23B21">
      <w:pPr>
        <w:pStyle w:val="Bullet1"/>
      </w:pPr>
      <w:r>
        <w:t>t</w:t>
      </w:r>
      <w:r w:rsidR="00B23B21" w:rsidRPr="002F6CB0">
        <w:t>est</w:t>
      </w:r>
      <w:r>
        <w:t>ing</w:t>
      </w:r>
      <w:r w:rsidR="00B23B21" w:rsidRPr="002F6CB0">
        <w:t xml:space="preserve"> symptomatic residents promptly to confirm the causative pathogen</w:t>
      </w:r>
    </w:p>
    <w:p w14:paraId="61F86F57" w14:textId="6B010BEA" w:rsidR="00F81922" w:rsidRPr="002F6CB0" w:rsidRDefault="0058143B" w:rsidP="007927B7">
      <w:pPr>
        <w:pStyle w:val="Bullet1"/>
      </w:pPr>
      <w:r>
        <w:t>f</w:t>
      </w:r>
      <w:r w:rsidR="00F81922" w:rsidRPr="002F6CB0">
        <w:t>ollow</w:t>
      </w:r>
      <w:r>
        <w:t>ing</w:t>
      </w:r>
      <w:r w:rsidR="00F81922" w:rsidRPr="002F6CB0">
        <w:t xml:space="preserve"> the highest level of IPC precautions required for any pathogen present (</w:t>
      </w:r>
      <w:r>
        <w:t>for example</w:t>
      </w:r>
      <w:r w:rsidR="00F81922" w:rsidRPr="002F6CB0">
        <w:t>, airborne precautions if COVID-19 is involved)</w:t>
      </w:r>
    </w:p>
    <w:p w14:paraId="74C327DB" w14:textId="1AD6DDBF" w:rsidR="00F81922" w:rsidRPr="002F6CB0" w:rsidRDefault="0058143B" w:rsidP="007927B7">
      <w:pPr>
        <w:pStyle w:val="Bullet1"/>
      </w:pPr>
      <w:r>
        <w:t>i</w:t>
      </w:r>
      <w:r w:rsidR="00F81922" w:rsidRPr="002F6CB0">
        <w:t>f COVID-19 is present and the source is unknown, test</w:t>
      </w:r>
      <w:r>
        <w:t>ing</w:t>
      </w:r>
      <w:r w:rsidR="00F81922" w:rsidRPr="002F6CB0">
        <w:t xml:space="preserve"> all residents in the affected zone (by RAT or PCR) to find cases, irrespective of whether they are symptomatic</w:t>
      </w:r>
    </w:p>
    <w:p w14:paraId="7DDCF1AB" w14:textId="31C92400" w:rsidR="00F81922" w:rsidRPr="002F6CB0" w:rsidRDefault="0058143B" w:rsidP="007927B7">
      <w:pPr>
        <w:pStyle w:val="Bullet1"/>
      </w:pPr>
      <w:r>
        <w:t>w</w:t>
      </w:r>
      <w:r w:rsidR="00F81922" w:rsidRPr="002F6CB0">
        <w:t>here a resident is infected with multiple respiratory viruses at the same time, follow</w:t>
      </w:r>
      <w:r>
        <w:t>ing</w:t>
      </w:r>
      <w:r w:rsidR="00F81922" w:rsidRPr="002F6CB0">
        <w:t xml:space="preserve"> the more restrictive isolation period</w:t>
      </w:r>
    </w:p>
    <w:p w14:paraId="203029BB" w14:textId="463DA9BC" w:rsidR="00F81922" w:rsidRPr="002F6CB0" w:rsidRDefault="0058143B" w:rsidP="007927B7">
      <w:pPr>
        <w:pStyle w:val="Bullet1"/>
      </w:pPr>
      <w:r>
        <w:t>a</w:t>
      </w:r>
      <w:r w:rsidR="00F81922" w:rsidRPr="002F6CB0">
        <w:t>pply</w:t>
      </w:r>
      <w:r>
        <w:t>ing</w:t>
      </w:r>
      <w:r w:rsidR="00F81922" w:rsidRPr="002F6CB0">
        <w:t xml:space="preserve"> pathogen-specific antiviral treatment or prophylaxis</w:t>
      </w:r>
      <w:r>
        <w:t>,</w:t>
      </w:r>
      <w:r w:rsidR="00F81922" w:rsidRPr="002F6CB0">
        <w:t xml:space="preserve"> in consultation with </w:t>
      </w:r>
      <w:r>
        <w:t xml:space="preserve">the </w:t>
      </w:r>
      <w:r w:rsidR="00551FFE">
        <w:t>GP</w:t>
      </w:r>
      <w:r>
        <w:t xml:space="preserve"> or </w:t>
      </w:r>
      <w:r w:rsidR="00551FFE">
        <w:t>NP</w:t>
      </w:r>
    </w:p>
    <w:p w14:paraId="72BDA11B" w14:textId="399BD189" w:rsidR="00F81922" w:rsidRPr="002F6CB0" w:rsidRDefault="0058143B" w:rsidP="007927B7">
      <w:pPr>
        <w:pStyle w:val="Bullet1"/>
      </w:pPr>
      <w:r>
        <w:t>t</w:t>
      </w:r>
      <w:r w:rsidR="00F81922" w:rsidRPr="002F6CB0">
        <w:t>ailor</w:t>
      </w:r>
      <w:r>
        <w:t>ing</w:t>
      </w:r>
      <w:r w:rsidR="00F81922" w:rsidRPr="002F6CB0">
        <w:t xml:space="preserve"> isolation periods, staff return-to-work criteria and visitor requirements to each pathogen</w:t>
      </w:r>
    </w:p>
    <w:p w14:paraId="6FDA6F28" w14:textId="7F48703D" w:rsidR="00F81922" w:rsidRPr="002F6CB0" w:rsidRDefault="0058143B" w:rsidP="007927B7">
      <w:pPr>
        <w:pStyle w:val="Bullet1"/>
      </w:pPr>
      <w:r>
        <w:t>m</w:t>
      </w:r>
      <w:r w:rsidR="00F81922" w:rsidRPr="002F6CB0">
        <w:t>aintain</w:t>
      </w:r>
      <w:r>
        <w:t>ing</w:t>
      </w:r>
      <w:r w:rsidR="00F81922" w:rsidRPr="002F6CB0">
        <w:t xml:space="preserve"> clear communication with residents, staff and families about differing requirements</w:t>
      </w:r>
    </w:p>
    <w:p w14:paraId="29E75688" w14:textId="351690A8" w:rsidR="00F81922" w:rsidRDefault="0058143B" w:rsidP="007927B7">
      <w:pPr>
        <w:pStyle w:val="Bullet1"/>
      </w:pPr>
      <w:r>
        <w:t>l</w:t>
      </w:r>
      <w:r w:rsidR="00F81922" w:rsidRPr="002F6CB0">
        <w:t>iais</w:t>
      </w:r>
      <w:r>
        <w:t>ing</w:t>
      </w:r>
      <w:r w:rsidR="00F81922" w:rsidRPr="002F6CB0">
        <w:t xml:space="preserve"> with the </w:t>
      </w:r>
      <w:r w:rsidR="006500E4">
        <w:t>LPHU</w:t>
      </w:r>
      <w:r w:rsidR="00BC0862">
        <w:t xml:space="preserve"> </w:t>
      </w:r>
      <w:r w:rsidR="00F81922" w:rsidRPr="002F6CB0">
        <w:t xml:space="preserve">for </w:t>
      </w:r>
      <w:r w:rsidR="00F81922">
        <w:t>support with</w:t>
      </w:r>
      <w:r w:rsidR="00F81922" w:rsidRPr="002F6CB0">
        <w:t xml:space="preserve"> outbreak management</w:t>
      </w:r>
    </w:p>
    <w:p w14:paraId="2AEF62C5" w14:textId="608281DE" w:rsidR="00F81922" w:rsidRPr="002F6CB0" w:rsidRDefault="002E3E21" w:rsidP="007927B7">
      <w:pPr>
        <w:pStyle w:val="Bullet1"/>
      </w:pPr>
      <w:r>
        <w:t xml:space="preserve">that </w:t>
      </w:r>
      <w:r w:rsidR="0058143B">
        <w:t>m</w:t>
      </w:r>
      <w:r w:rsidR="00F81922">
        <w:t xml:space="preserve">ixed-pathogen outbreaks can be declared over </w:t>
      </w:r>
      <w:r w:rsidR="0058143B">
        <w:t>seven</w:t>
      </w:r>
      <w:r w:rsidR="00F81922" w:rsidRPr="000D0BFA">
        <w:t xml:space="preserve"> days after </w:t>
      </w:r>
      <w:r>
        <w:t xml:space="preserve">the </w:t>
      </w:r>
      <w:r w:rsidR="00F81922" w:rsidRPr="000D0BFA">
        <w:t xml:space="preserve">last </w:t>
      </w:r>
      <w:r w:rsidR="00F81922">
        <w:t>resident</w:t>
      </w:r>
      <w:r w:rsidR="00F81922" w:rsidRPr="000D0BFA">
        <w:t xml:space="preserve"> case tests positive or </w:t>
      </w:r>
      <w:r>
        <w:t xml:space="preserve">from the </w:t>
      </w:r>
      <w:r w:rsidR="00F81922">
        <w:t>date of</w:t>
      </w:r>
      <w:r w:rsidR="00F81922" w:rsidRPr="000D0BFA">
        <w:t xml:space="preserve"> isolation</w:t>
      </w:r>
      <w:r w:rsidR="00F81922">
        <w:t xml:space="preserve"> of the last resident case</w:t>
      </w:r>
      <w:r w:rsidR="00F81922" w:rsidRPr="000D0BFA">
        <w:t>, whichever</w:t>
      </w:r>
      <w:r w:rsidR="001245ED">
        <w:t xml:space="preserve"> is</w:t>
      </w:r>
      <w:r w:rsidR="00F81922" w:rsidRPr="000D0BFA">
        <w:t xml:space="preserve"> longer</w:t>
      </w:r>
      <w:r w:rsidR="001245ED">
        <w:t>,</w:t>
      </w:r>
      <w:r w:rsidR="00F81922" w:rsidRPr="000D0BFA">
        <w:t xml:space="preserve"> </w:t>
      </w:r>
      <w:r w:rsidR="00F81922">
        <w:t xml:space="preserve">or later at </w:t>
      </w:r>
      <w:r w:rsidR="00F956A5">
        <w:t xml:space="preserve">the </w:t>
      </w:r>
      <w:r w:rsidR="00F81922" w:rsidRPr="000D0BFA">
        <w:t>LPHU discretion</w:t>
      </w:r>
      <w:r w:rsidR="00F81922">
        <w:t xml:space="preserve">. </w:t>
      </w:r>
    </w:p>
    <w:p w14:paraId="1B2DF511" w14:textId="029BBD76" w:rsidR="007D4B2F" w:rsidRDefault="007D4B2F">
      <w:pPr>
        <w:spacing w:after="0" w:line="240" w:lineRule="auto"/>
        <w:rPr>
          <w:rFonts w:eastAsia="Times"/>
        </w:rPr>
      </w:pPr>
      <w:r>
        <w:br w:type="page"/>
      </w:r>
    </w:p>
    <w:p w14:paraId="03D5E5BF" w14:textId="77777777" w:rsidR="007D4B2F" w:rsidRPr="00027E09" w:rsidRDefault="007D4B2F" w:rsidP="00E376BE">
      <w:pPr>
        <w:pStyle w:val="Heading1"/>
        <w:numPr>
          <w:ilvl w:val="0"/>
          <w:numId w:val="12"/>
        </w:numPr>
        <w:spacing w:before="0"/>
        <w:ind w:left="567" w:hanging="360"/>
        <w:rPr>
          <w:color w:val="1F497D" w:themeColor="text2"/>
        </w:rPr>
      </w:pPr>
      <w:bookmarkStart w:id="120" w:name="_Toc197948681"/>
      <w:bookmarkStart w:id="121" w:name="_Toc229644806"/>
      <w:r w:rsidRPr="00027E09">
        <w:rPr>
          <w:color w:val="1F497D" w:themeColor="text2"/>
        </w:rPr>
        <w:lastRenderedPageBreak/>
        <w:t>Appendices</w:t>
      </w:r>
      <w:bookmarkEnd w:id="120"/>
      <w:bookmarkEnd w:id="121"/>
    </w:p>
    <w:p w14:paraId="3FDB8D3B" w14:textId="300B7984" w:rsidR="007D4B2F" w:rsidRPr="00027E09" w:rsidRDefault="007D4B2F" w:rsidP="007D4B2F">
      <w:pPr>
        <w:pStyle w:val="Heading2"/>
        <w:rPr>
          <w:color w:val="1F497D" w:themeColor="text2"/>
        </w:rPr>
      </w:pPr>
      <w:bookmarkStart w:id="122" w:name="Appendix1"/>
      <w:bookmarkStart w:id="123" w:name="_Toc229644807"/>
      <w:bookmarkEnd w:id="122"/>
      <w:r w:rsidRPr="00027E09">
        <w:rPr>
          <w:color w:val="1F497D" w:themeColor="text2"/>
        </w:rPr>
        <w:t>Appendix 1:</w:t>
      </w:r>
      <w:r w:rsidR="00A60D84">
        <w:rPr>
          <w:color w:val="1F497D" w:themeColor="text2"/>
        </w:rPr>
        <w:t xml:space="preserve"> Key documents and resources</w:t>
      </w:r>
      <w:bookmarkEnd w:id="123"/>
    </w:p>
    <w:p w14:paraId="14CDF2BB" w14:textId="7FA32AE4" w:rsidR="007D4B2F" w:rsidRPr="002F4B96" w:rsidRDefault="007D4B2F" w:rsidP="007D4B2F">
      <w:pPr>
        <w:pStyle w:val="Body"/>
      </w:pPr>
      <w:r w:rsidRPr="002F4B96">
        <w:t xml:space="preserve">This appendix </w:t>
      </w:r>
      <w:r w:rsidR="00561E2D">
        <w:t>collates</w:t>
      </w:r>
      <w:r w:rsidRPr="002F4B96">
        <w:t xml:space="preserve"> key clinical, public health and regulatory resources supporting prevention</w:t>
      </w:r>
      <w:r w:rsidR="009D0701">
        <w:t xml:space="preserve">, </w:t>
      </w:r>
      <w:r w:rsidRPr="002F4B96">
        <w:t xml:space="preserve">preparedness </w:t>
      </w:r>
      <w:r w:rsidR="009D0701">
        <w:t xml:space="preserve">and management </w:t>
      </w:r>
      <w:r w:rsidRPr="002F4B96">
        <w:t>for respiratory outbreaks in residential care facilities (RCFs).</w:t>
      </w:r>
    </w:p>
    <w:p w14:paraId="73420A3F" w14:textId="09C80AF4" w:rsidR="007D4B2F" w:rsidRDefault="007D4B2F" w:rsidP="00F9103D">
      <w:pPr>
        <w:pStyle w:val="Heading3"/>
      </w:pPr>
      <w:r>
        <w:t xml:space="preserve">National </w:t>
      </w:r>
      <w:r w:rsidR="00F94A57">
        <w:t>p</w:t>
      </w:r>
      <w:r>
        <w:t xml:space="preserve">ublic </w:t>
      </w:r>
      <w:r w:rsidR="00F94A57">
        <w:t>h</w:t>
      </w:r>
      <w:r>
        <w:t xml:space="preserve">ealth </w:t>
      </w:r>
      <w:r w:rsidR="00F94A57">
        <w:t>g</w:t>
      </w:r>
      <w:r>
        <w:t>uidance</w:t>
      </w:r>
    </w:p>
    <w:p w14:paraId="478FFFE8" w14:textId="1BD07300" w:rsidR="007D4B2F" w:rsidRPr="00162002" w:rsidRDefault="007D4B2F" w:rsidP="007927B7">
      <w:pPr>
        <w:pStyle w:val="Bullet1"/>
      </w:pPr>
      <w:hyperlink r:id="rId36" w:history="1">
        <w:r w:rsidRPr="00162002">
          <w:rPr>
            <w:rStyle w:val="Hyperlink"/>
          </w:rPr>
          <w:t xml:space="preserve">CDNA National </w:t>
        </w:r>
        <w:r w:rsidR="002E3E21">
          <w:rPr>
            <w:rStyle w:val="Hyperlink"/>
          </w:rPr>
          <w:t xml:space="preserve">Outbreak Management </w:t>
        </w:r>
        <w:r w:rsidRPr="00162002">
          <w:rPr>
            <w:rStyle w:val="Hyperlink"/>
          </w:rPr>
          <w:t xml:space="preserve">Guideline </w:t>
        </w:r>
        <w:r w:rsidR="002E3E21">
          <w:rPr>
            <w:rStyle w:val="Hyperlink"/>
          </w:rPr>
          <w:t xml:space="preserve">for </w:t>
        </w:r>
        <w:r w:rsidRPr="00162002">
          <w:rPr>
            <w:rStyle w:val="Hyperlink"/>
          </w:rPr>
          <w:t xml:space="preserve">Acute Respiratory Infection (including COVID-19 and Influenza) in Residential </w:t>
        </w:r>
        <w:r w:rsidR="002E3E21">
          <w:rPr>
            <w:rStyle w:val="Hyperlink"/>
          </w:rPr>
          <w:t xml:space="preserve">Aged </w:t>
        </w:r>
        <w:r w:rsidRPr="00162002">
          <w:rPr>
            <w:rStyle w:val="Hyperlink"/>
          </w:rPr>
          <w:t xml:space="preserve">Care </w:t>
        </w:r>
        <w:r w:rsidR="002E3E21">
          <w:rPr>
            <w:rStyle w:val="Hyperlink"/>
          </w:rPr>
          <w:t>Homes</w:t>
        </w:r>
      </w:hyperlink>
      <w:r w:rsidRPr="00162002">
        <w:t xml:space="preserve"> &lt;</w:t>
      </w:r>
      <w:r w:rsidR="002E3E21" w:rsidRPr="00F9103D">
        <w:t>https://www.health.gov.au/resources/publications/national-guidelines-for-the-prevention-control-and-public-health-management-of-outbreaks-of-acute-respiratory-infection-including-covid-19-and-influenza-in-residential-care-facilities</w:t>
      </w:r>
      <w:r w:rsidRPr="00162002">
        <w:t>&gt;</w:t>
      </w:r>
    </w:p>
    <w:p w14:paraId="7A594C35" w14:textId="2CA05CBB" w:rsidR="007D4B2F" w:rsidRDefault="007D4B2F" w:rsidP="007927B7">
      <w:pPr>
        <w:pStyle w:val="Bullet1"/>
      </w:pPr>
      <w:hyperlink r:id="rId37" w:anchor=":~:text=be%20well%20and%20free%20of,Quality%20and%20Safety%20Commission%20for:" w:history="1">
        <w:r w:rsidRPr="00D21385">
          <w:rPr>
            <w:rStyle w:val="Hyperlink"/>
          </w:rPr>
          <w:t>Managing infectious respiratory diseases in aged care | Australian Government Department of Health, Disability and Ageing</w:t>
        </w:r>
      </w:hyperlink>
      <w:r>
        <w:t xml:space="preserve"> </w:t>
      </w:r>
      <w:r w:rsidR="001C15D9">
        <w:t>&lt;</w:t>
      </w:r>
      <w:r w:rsidR="001C15D9" w:rsidRPr="00FA461D">
        <w:t>https://www.health.gov.au/topics/aged-care/managing-respiratory-infection?language=en#:~:text=be%20well%20and%20free%20of,Quality%20and%20Safety%20Commission%20for:</w:t>
      </w:r>
      <w:r w:rsidR="001C15D9">
        <w:t>&gt;</w:t>
      </w:r>
    </w:p>
    <w:p w14:paraId="3CD2C92F" w14:textId="5D632383" w:rsidR="007D4B2F" w:rsidRDefault="007D4B2F" w:rsidP="00F9103D">
      <w:pPr>
        <w:pStyle w:val="Heading3"/>
      </w:pPr>
      <w:r>
        <w:t xml:space="preserve">Regulatory and </w:t>
      </w:r>
      <w:r w:rsidR="00F94A57">
        <w:t>q</w:t>
      </w:r>
      <w:r>
        <w:t xml:space="preserve">uality </w:t>
      </w:r>
      <w:r w:rsidR="00F94A57">
        <w:t>g</w:t>
      </w:r>
      <w:r>
        <w:t>overnance</w:t>
      </w:r>
    </w:p>
    <w:p w14:paraId="7D7CD6F4" w14:textId="6AF2FF72" w:rsidR="007D4B2F" w:rsidRDefault="00E80751" w:rsidP="007927B7">
      <w:pPr>
        <w:pStyle w:val="Bullet1"/>
      </w:pPr>
      <w:hyperlink r:id="rId38" w:history="1">
        <w:r>
          <w:rPr>
            <w:rStyle w:val="Hyperlink"/>
          </w:rPr>
          <w:t>Quality Standards | Aged Care Quality and Safety Commission</w:t>
        </w:r>
      </w:hyperlink>
      <w:r w:rsidR="007D4B2F">
        <w:t xml:space="preserve"> </w:t>
      </w:r>
      <w:r w:rsidR="00F86CF8" w:rsidRPr="00FA461D">
        <w:t>&lt;https://www.agedcarequality.gov.au/providers/quality-standards</w:t>
      </w:r>
      <w:r w:rsidR="00F86CF8">
        <w:t>&gt;</w:t>
      </w:r>
    </w:p>
    <w:p w14:paraId="53E37250" w14:textId="3F954AED" w:rsidR="00B80FA8" w:rsidRDefault="00B80FA8" w:rsidP="007927B7">
      <w:pPr>
        <w:pStyle w:val="Bullet1"/>
      </w:pPr>
      <w:hyperlink r:id="rId39" w:history="1">
        <w:r w:rsidRPr="00B80FA8">
          <w:rPr>
            <w:rStyle w:val="Hyperlink"/>
          </w:rPr>
          <w:t>Strengthening the Aged Care Quality Standards | Australian Government Department of Health, Disability and Ageing</w:t>
        </w:r>
      </w:hyperlink>
      <w:r w:rsidR="00A35E50">
        <w:t xml:space="preserve"> &lt;</w:t>
      </w:r>
      <w:r w:rsidR="00A35E50" w:rsidRPr="00A35E50">
        <w:t>https://www.health.gov.au/our-work/strengthening-aged-care-quality-standards?language=en</w:t>
      </w:r>
      <w:r w:rsidR="00A35E50">
        <w:t>&gt;</w:t>
      </w:r>
    </w:p>
    <w:p w14:paraId="394F4866" w14:textId="5DD3960D" w:rsidR="007D4B2F" w:rsidRDefault="007D4B2F" w:rsidP="007927B7">
      <w:pPr>
        <w:pStyle w:val="Bullet1"/>
      </w:pPr>
      <w:hyperlink r:id="rId40" w:history="1">
        <w:r w:rsidRPr="00E01E01">
          <w:rPr>
            <w:rStyle w:val="Hyperlink"/>
          </w:rPr>
          <w:t>Government support for providers and workers | Australian Government Department of Health, Disability and Ageing</w:t>
        </w:r>
      </w:hyperlink>
      <w:r>
        <w:t xml:space="preserve"> </w:t>
      </w:r>
      <w:r w:rsidR="00ED18C8" w:rsidRPr="00E0729D">
        <w:rPr>
          <w:rStyle w:val="BodyChar"/>
        </w:rPr>
        <w:t>&lt;</w:t>
      </w:r>
      <w:r w:rsidR="00ED18C8" w:rsidRPr="001F7CCC">
        <w:t>https://www.health.gov.au/topics/aged-care/managing-respiratory-infection/government-support?language=en</w:t>
      </w:r>
      <w:r w:rsidR="00ED18C8">
        <w:t>&gt;</w:t>
      </w:r>
    </w:p>
    <w:p w14:paraId="06F0D050" w14:textId="4A865F32" w:rsidR="005F457E" w:rsidRDefault="005F457E" w:rsidP="007927B7">
      <w:pPr>
        <w:pStyle w:val="Bullet1"/>
      </w:pPr>
      <w:hyperlink r:id="rId41" w:history="1">
        <w:r w:rsidRPr="005F457E">
          <w:rPr>
            <w:rStyle w:val="Hyperlink"/>
          </w:rPr>
          <w:t>Rules and standards | NDIS Quality and Safeguards Commission</w:t>
        </w:r>
      </w:hyperlink>
      <w:r w:rsidR="00ED18C8">
        <w:t xml:space="preserve"> &lt;</w:t>
      </w:r>
      <w:r w:rsidR="00ED18C8" w:rsidRPr="00ED18C8">
        <w:t>https://www.ndiscommission.gov.au/rules-and-standards</w:t>
      </w:r>
      <w:r w:rsidR="00ED18C8">
        <w:t>&gt;</w:t>
      </w:r>
    </w:p>
    <w:p w14:paraId="0BB349A6" w14:textId="38B30149" w:rsidR="009C5CF3" w:rsidRDefault="009C5CF3" w:rsidP="00F9103D">
      <w:pPr>
        <w:pStyle w:val="Heading3"/>
      </w:pPr>
      <w:r>
        <w:t>COVID-19</w:t>
      </w:r>
    </w:p>
    <w:p w14:paraId="54E6E545" w14:textId="3768FF6D" w:rsidR="005449F5" w:rsidRDefault="00181830" w:rsidP="00350609">
      <w:pPr>
        <w:pStyle w:val="Bullet1"/>
      </w:pPr>
      <w:hyperlink r:id="rId42" w:history="1">
        <w:r w:rsidRPr="00181830">
          <w:rPr>
            <w:rStyle w:val="Hyperlink"/>
          </w:rPr>
          <w:t>Coronavirus (COVID-19) Victoria | Better Health Channel</w:t>
        </w:r>
      </w:hyperlink>
      <w:r>
        <w:t xml:space="preserve"> </w:t>
      </w:r>
      <w:r w:rsidR="00810C07">
        <w:t>&lt;</w:t>
      </w:r>
      <w:r w:rsidR="00810C07" w:rsidRPr="00A80967">
        <w:t>https://www.betterhealth.vic.gov.au/coronavirus-covid-19-victoria</w:t>
      </w:r>
      <w:r w:rsidR="00810C07">
        <w:t>&gt;</w:t>
      </w:r>
    </w:p>
    <w:p w14:paraId="633B96D6" w14:textId="073EB4CC" w:rsidR="00810C07" w:rsidRDefault="00B51ED3" w:rsidP="00350609">
      <w:pPr>
        <w:pStyle w:val="Bullet1"/>
      </w:pPr>
      <w:hyperlink r:id="rId43" w:history="1">
        <w:r w:rsidRPr="00B51ED3">
          <w:rPr>
            <w:rStyle w:val="Hyperlink"/>
          </w:rPr>
          <w:t xml:space="preserve">COVID-19 (Coronavirus disease 2019) | </w:t>
        </w:r>
        <w:r w:rsidR="006925C0">
          <w:rPr>
            <w:rStyle w:val="Hyperlink"/>
          </w:rPr>
          <w:t>Victorian Department of Health</w:t>
        </w:r>
      </w:hyperlink>
      <w:r>
        <w:t xml:space="preserve"> &lt;</w:t>
      </w:r>
      <w:r w:rsidRPr="0042564C">
        <w:t>https://www.health.vic.gov.au/infectious-diseases/covid-19-coronavirus-disease-2019</w:t>
      </w:r>
      <w:r>
        <w:t>&gt;</w:t>
      </w:r>
    </w:p>
    <w:p w14:paraId="4894509F" w14:textId="37EEC34F" w:rsidR="00B51ED3" w:rsidRDefault="00B51ED3" w:rsidP="00F9103D">
      <w:pPr>
        <w:pStyle w:val="Heading3"/>
      </w:pPr>
      <w:r>
        <w:t>Influenza</w:t>
      </w:r>
    </w:p>
    <w:p w14:paraId="1B1B4975" w14:textId="0133AE98" w:rsidR="002F409F" w:rsidRDefault="005256AE" w:rsidP="00350609">
      <w:pPr>
        <w:pStyle w:val="Bullet1"/>
      </w:pPr>
      <w:hyperlink r:id="rId44" w:history="1">
        <w:r w:rsidRPr="005256AE">
          <w:rPr>
            <w:rStyle w:val="Hyperlink"/>
          </w:rPr>
          <w:t>Influenza (flu) | Better Health Channel</w:t>
        </w:r>
      </w:hyperlink>
      <w:r>
        <w:t xml:space="preserve"> </w:t>
      </w:r>
      <w:r w:rsidRPr="0042564C">
        <w:t>&lt;https://www.betterhealth.vic.gov.au/health/conditionsandtreatments/flu-influenza</w:t>
      </w:r>
      <w:r>
        <w:t>&gt;</w:t>
      </w:r>
    </w:p>
    <w:p w14:paraId="631E2276" w14:textId="0E19BCC9" w:rsidR="005256AE" w:rsidRPr="002F409F" w:rsidRDefault="00EE1412" w:rsidP="0042564C">
      <w:pPr>
        <w:pStyle w:val="Bullet1"/>
      </w:pPr>
      <w:hyperlink r:id="rId45" w:history="1">
        <w:r w:rsidRPr="00EE1412">
          <w:rPr>
            <w:rStyle w:val="Hyperlink"/>
          </w:rPr>
          <w:t>Influenza</w:t>
        </w:r>
      </w:hyperlink>
      <w:r w:rsidR="00DC0AE0">
        <w:t xml:space="preserve"> </w:t>
      </w:r>
      <w:r w:rsidR="00A861F3">
        <w:t>&lt;</w:t>
      </w:r>
      <w:r w:rsidR="00A861F3" w:rsidRPr="00A861F3">
        <w:t>https://www.health.vic.gov.au/infectious-diseases/influenza</w:t>
      </w:r>
      <w:r w:rsidR="00A861F3">
        <w:t>&gt;</w:t>
      </w:r>
      <w:r w:rsidR="003B6574">
        <w:t xml:space="preserve"> </w:t>
      </w:r>
    </w:p>
    <w:p w14:paraId="2B6FEEDD" w14:textId="40270A66" w:rsidR="000343FE" w:rsidRDefault="000343FE" w:rsidP="00F9103D">
      <w:pPr>
        <w:pStyle w:val="Heading3"/>
      </w:pPr>
      <w:r>
        <w:lastRenderedPageBreak/>
        <w:t>RSV</w:t>
      </w:r>
    </w:p>
    <w:p w14:paraId="18DCFD3A" w14:textId="6BF52AB7" w:rsidR="000343FE" w:rsidRPr="00DD423E" w:rsidRDefault="00DD4C92" w:rsidP="00350609">
      <w:pPr>
        <w:pStyle w:val="Bullet1"/>
      </w:pPr>
      <w:hyperlink r:id="rId46" w:history="1">
        <w:r w:rsidRPr="00DD4C92">
          <w:rPr>
            <w:rStyle w:val="Hyperlink"/>
            <w:rFonts w:eastAsia="Times New Roman"/>
          </w:rPr>
          <w:t>Respiratory syncytial virus (RSV) | Better Health Channel</w:t>
        </w:r>
      </w:hyperlink>
      <w:r>
        <w:rPr>
          <w:rFonts w:eastAsia="Times New Roman"/>
        </w:rPr>
        <w:t xml:space="preserve"> </w:t>
      </w:r>
      <w:r w:rsidRPr="00DD423E">
        <w:t>&lt;https://www.betterhealth.vic.gov.au/respiratory-syncytial-virus-rsv&gt;</w:t>
      </w:r>
    </w:p>
    <w:p w14:paraId="69B03517" w14:textId="0BAABDAB" w:rsidR="00DD4C92" w:rsidRDefault="009C5CF3" w:rsidP="00350609">
      <w:pPr>
        <w:pStyle w:val="Bullet1"/>
      </w:pPr>
      <w:hyperlink r:id="rId47" w:history="1">
        <w:r w:rsidRPr="009C5CF3">
          <w:rPr>
            <w:rStyle w:val="Hyperlink"/>
          </w:rPr>
          <w:t xml:space="preserve">Respiratory Syncytial Virus (RSV) | </w:t>
        </w:r>
        <w:r w:rsidR="006925C0">
          <w:rPr>
            <w:rStyle w:val="Hyperlink"/>
          </w:rPr>
          <w:t>Victorian Department of Health</w:t>
        </w:r>
      </w:hyperlink>
      <w:r>
        <w:t xml:space="preserve"> &lt;</w:t>
      </w:r>
      <w:r w:rsidRPr="00DD423E">
        <w:t>https://www.health.vic.gov.au/infectious-diseases/respiratory-syncytial-virus-rsv</w:t>
      </w:r>
      <w:r>
        <w:t>&gt;</w:t>
      </w:r>
    </w:p>
    <w:p w14:paraId="31995157" w14:textId="7D331314" w:rsidR="007D4B2F" w:rsidRDefault="007D4B2F" w:rsidP="00F9103D">
      <w:pPr>
        <w:pStyle w:val="Heading3"/>
      </w:pPr>
      <w:r>
        <w:t>Vaccination</w:t>
      </w:r>
    </w:p>
    <w:p w14:paraId="27A4625A" w14:textId="36444EC7" w:rsidR="005F5CD0" w:rsidRDefault="005F5CD0" w:rsidP="007927B7">
      <w:pPr>
        <w:pStyle w:val="Bullet1"/>
      </w:pPr>
      <w:hyperlink r:id="rId48" w:history="1">
        <w:r w:rsidRPr="005F5CD0">
          <w:rPr>
            <w:rStyle w:val="Hyperlink"/>
          </w:rPr>
          <w:t>The Australian Immunisation Handbook</w:t>
        </w:r>
      </w:hyperlink>
      <w:r>
        <w:t xml:space="preserve"> &lt;</w:t>
      </w:r>
      <w:r w:rsidRPr="005F5CD0">
        <w:t>https://immunisationhandbook.health.gov.au/</w:t>
      </w:r>
      <w:r>
        <w:t>&gt;</w:t>
      </w:r>
    </w:p>
    <w:p w14:paraId="04DA15CD" w14:textId="1C4A1A37" w:rsidR="005F5CD0" w:rsidRDefault="003903E3" w:rsidP="007927B7">
      <w:pPr>
        <w:pStyle w:val="Bullet1"/>
      </w:pPr>
      <w:hyperlink r:id="rId49" w:history="1">
        <w:r w:rsidRPr="003903E3">
          <w:rPr>
            <w:rStyle w:val="Hyperlink"/>
          </w:rPr>
          <w:t>Australian Technical Advisory Group on Immunisation (ATAGI) | Australian Government Department of Health, Disability and Ageing</w:t>
        </w:r>
      </w:hyperlink>
      <w:r>
        <w:t xml:space="preserve"> </w:t>
      </w:r>
      <w:r w:rsidR="005F5CD0">
        <w:t>&lt;</w:t>
      </w:r>
      <w:r w:rsidR="005F5CD0" w:rsidRPr="00307AA7">
        <w:t>https://www.health.gov.au/committees-and-groups/atagi?language=und</w:t>
      </w:r>
      <w:r w:rsidR="005F5CD0">
        <w:t>&gt;</w:t>
      </w:r>
    </w:p>
    <w:p w14:paraId="23108B83" w14:textId="49B6E8AD" w:rsidR="007D4B2F" w:rsidRDefault="00275C5B" w:rsidP="007927B7">
      <w:pPr>
        <w:pStyle w:val="Bullet1"/>
      </w:pPr>
      <w:hyperlink r:id="rId50" w:history="1">
        <w:r>
          <w:rPr>
            <w:rStyle w:val="Hyperlink"/>
          </w:rPr>
          <w:t>Vaccination for healthcare workers</w:t>
        </w:r>
      </w:hyperlink>
      <w:r w:rsidR="007D4B2F">
        <w:t xml:space="preserve"> &lt;</w:t>
      </w:r>
      <w:r w:rsidR="007D4B2F" w:rsidRPr="00643B9F">
        <w:t>https://www.health.vic.gov.au/immunisation/vaccination-for-healthcare-workers</w:t>
      </w:r>
      <w:r w:rsidR="007D4B2F">
        <w:t>&gt;</w:t>
      </w:r>
    </w:p>
    <w:p w14:paraId="4CC4F063" w14:textId="77777777" w:rsidR="007D4B2F" w:rsidRPr="002F6CB0" w:rsidRDefault="007D4B2F" w:rsidP="007927B7">
      <w:pPr>
        <w:pStyle w:val="Bullet1"/>
        <w:rPr>
          <w:rStyle w:val="Hyperlink"/>
        </w:rPr>
      </w:pPr>
      <w:hyperlink r:id="rId51" w:history="1">
        <w:r w:rsidRPr="002F6CB0">
          <w:rPr>
            <w:rStyle w:val="Hyperlink"/>
          </w:rPr>
          <w:t>COVID-19 vaccination for residential aged care workers | Australian Government Department of Health, Disability and Ageing</w:t>
        </w:r>
      </w:hyperlink>
      <w:r w:rsidRPr="002F6CB0">
        <w:rPr>
          <w:rStyle w:val="BodyChar"/>
        </w:rPr>
        <w:t xml:space="preserve"> &lt;</w:t>
      </w:r>
      <w:r w:rsidRPr="00DB1CCC">
        <w:rPr>
          <w:rStyle w:val="BodyChar"/>
        </w:rPr>
        <w:t>https://www.health.gov.au/our-work/covid-19-vaccines/information-for-aged-care-providers-workers-and-residents-about-covid-19-vaccines/residential-aged-care-workers</w:t>
      </w:r>
      <w:r>
        <w:rPr>
          <w:rStyle w:val="BodyChar"/>
        </w:rPr>
        <w:t>&gt;</w:t>
      </w:r>
    </w:p>
    <w:p w14:paraId="3A46F0F7" w14:textId="77777777" w:rsidR="007D4B2F" w:rsidRPr="002F6CB0" w:rsidRDefault="007D4B2F" w:rsidP="007927B7">
      <w:pPr>
        <w:pStyle w:val="Bullet1"/>
        <w:rPr>
          <w:rStyle w:val="BodyChar"/>
        </w:rPr>
      </w:pPr>
      <w:hyperlink r:id="rId52" w:history="1">
        <w:r w:rsidRPr="002F6CB0">
          <w:rPr>
            <w:rStyle w:val="Hyperlink"/>
          </w:rPr>
          <w:t>Responsibilities of residential aged care providers | Australian Government Department of Health, Disability and Ageing</w:t>
        </w:r>
      </w:hyperlink>
      <w:r>
        <w:rPr>
          <w:rStyle w:val="Hyperlink"/>
        </w:rPr>
        <w:t xml:space="preserve"> </w:t>
      </w:r>
      <w:r w:rsidRPr="002F6CB0">
        <w:rPr>
          <w:rStyle w:val="BodyChar"/>
        </w:rPr>
        <w:t>&lt;https://www.health.gov.au/our-work/residential-aged-care/responsibilities-of-providers</w:t>
      </w:r>
      <w:r>
        <w:rPr>
          <w:rStyle w:val="BodyChar"/>
        </w:rPr>
        <w:t>&gt;</w:t>
      </w:r>
    </w:p>
    <w:p w14:paraId="4E96F5E4" w14:textId="185B0AA3" w:rsidR="007D4B2F" w:rsidRPr="00E770C1" w:rsidRDefault="007D4B2F" w:rsidP="007927B7">
      <w:pPr>
        <w:pStyle w:val="Bullet1"/>
        <w:rPr>
          <w:szCs w:val="21"/>
        </w:rPr>
      </w:pPr>
      <w:hyperlink r:id="rId53" w:history="1">
        <w:r w:rsidRPr="009F3A28">
          <w:rPr>
            <w:rStyle w:val="Hyperlink"/>
            <w:szCs w:val="21"/>
          </w:rPr>
          <w:t>Aged care on-site pharmacist | Australian Government Department of Health, Disability and Ageing</w:t>
        </w:r>
      </w:hyperlink>
      <w:r>
        <w:rPr>
          <w:szCs w:val="21"/>
        </w:rPr>
        <w:t xml:space="preserve"> &lt;</w:t>
      </w:r>
      <w:r w:rsidRPr="00F67F8A">
        <w:rPr>
          <w:szCs w:val="21"/>
        </w:rPr>
        <w:t>https://www.health.gov.au/our-work/aged-care-on-site-pharmacist</w:t>
      </w:r>
      <w:r>
        <w:rPr>
          <w:szCs w:val="21"/>
        </w:rPr>
        <w:t>&gt;</w:t>
      </w:r>
    </w:p>
    <w:p w14:paraId="10641495" w14:textId="58CE2B0C" w:rsidR="007D4B2F" w:rsidRDefault="007D4B2F" w:rsidP="007927B7">
      <w:pPr>
        <w:pStyle w:val="Bullet1"/>
        <w:rPr>
          <w:szCs w:val="21"/>
        </w:rPr>
      </w:pPr>
      <w:hyperlink r:id="rId54" w:history="1">
        <w:r w:rsidRPr="008E3562">
          <w:rPr>
            <w:rStyle w:val="Hyperlink"/>
            <w:szCs w:val="21"/>
          </w:rPr>
          <w:t>Improving access to vaccination records in aged care | Aged Care Quality and Safety Commission</w:t>
        </w:r>
      </w:hyperlink>
      <w:r>
        <w:rPr>
          <w:szCs w:val="21"/>
        </w:rPr>
        <w:t xml:space="preserve"> </w:t>
      </w:r>
      <w:r w:rsidR="00E9619C">
        <w:rPr>
          <w:szCs w:val="21"/>
        </w:rPr>
        <w:t>&lt;</w:t>
      </w:r>
      <w:r w:rsidR="00E9619C" w:rsidRPr="00BA02E2">
        <w:t>https://www.agedcarequality.gov.au/news-publications/clinical-alerts-and-advice/improving-access-vaccination-records-aged-care</w:t>
      </w:r>
      <w:r w:rsidR="00E9619C">
        <w:rPr>
          <w:szCs w:val="21"/>
        </w:rPr>
        <w:t>&gt;</w:t>
      </w:r>
    </w:p>
    <w:p w14:paraId="536424AF" w14:textId="6D84E558" w:rsidR="005358CE" w:rsidRPr="00CE3674" w:rsidRDefault="00A90392" w:rsidP="007927B7">
      <w:pPr>
        <w:pStyle w:val="Bullet1"/>
        <w:rPr>
          <w:szCs w:val="21"/>
        </w:rPr>
      </w:pPr>
      <w:hyperlink r:id="rId55" w:history="1">
        <w:r w:rsidRPr="00A90392">
          <w:rPr>
            <w:rStyle w:val="Hyperlink"/>
            <w:szCs w:val="21"/>
          </w:rPr>
          <w:t>Your local Primary Health Network | Australian Government Department of Health, Disability and Ageing</w:t>
        </w:r>
      </w:hyperlink>
      <w:r>
        <w:rPr>
          <w:szCs w:val="21"/>
        </w:rPr>
        <w:t xml:space="preserve"> &lt;</w:t>
      </w:r>
      <w:r w:rsidRPr="00A90392">
        <w:rPr>
          <w:szCs w:val="21"/>
        </w:rPr>
        <w:t>https://www.health.gov.au/our-work/phn/your-local-PHN?language=en</w:t>
      </w:r>
      <w:r>
        <w:rPr>
          <w:szCs w:val="21"/>
        </w:rPr>
        <w:t>&gt;</w:t>
      </w:r>
    </w:p>
    <w:p w14:paraId="6A76490E" w14:textId="77777777" w:rsidR="007D4B2F" w:rsidRDefault="007D4B2F" w:rsidP="00F9103D">
      <w:pPr>
        <w:pStyle w:val="Heading3"/>
      </w:pPr>
      <w:r>
        <w:t>Testing</w:t>
      </w:r>
    </w:p>
    <w:p w14:paraId="0CD2484B" w14:textId="6F48F013" w:rsidR="007D4B2F" w:rsidRPr="00B727EE" w:rsidRDefault="007D4B2F" w:rsidP="007927B7">
      <w:pPr>
        <w:pStyle w:val="Bullet1"/>
      </w:pPr>
      <w:hyperlink r:id="rId56" w:history="1">
        <w:r w:rsidRPr="00F45E05">
          <w:rPr>
            <w:rStyle w:val="Hyperlink"/>
          </w:rPr>
          <w:t>Instructions – Collecting nose and throat swabs</w:t>
        </w:r>
      </w:hyperlink>
      <w:r>
        <w:t xml:space="preserve"> &lt;</w:t>
      </w:r>
      <w:r w:rsidRPr="00D2520B">
        <w:t>https://www.health.vic.gov.au/infectious-diseases/acute-respiratory-infection-management-residential-care-facilities</w:t>
      </w:r>
      <w:r>
        <w:t>&gt;</w:t>
      </w:r>
    </w:p>
    <w:p w14:paraId="7A2C26BB" w14:textId="7B716833" w:rsidR="007D4B2F" w:rsidRDefault="00981302" w:rsidP="00F9103D">
      <w:pPr>
        <w:pStyle w:val="Heading3"/>
      </w:pPr>
      <w:r>
        <w:t>T</w:t>
      </w:r>
      <w:r w:rsidR="007D4B2F">
        <w:t>reatment and prophylaxis</w:t>
      </w:r>
    </w:p>
    <w:p w14:paraId="0AD6CAB3" w14:textId="77777777" w:rsidR="007D4B2F" w:rsidRDefault="007D4B2F" w:rsidP="007927B7">
      <w:pPr>
        <w:pStyle w:val="Bullet1"/>
      </w:pPr>
      <w:hyperlink r:id="rId57" w:history="1">
        <w:r w:rsidRPr="00264006">
          <w:rPr>
            <w:rStyle w:val="Hyperlink"/>
          </w:rPr>
          <w:t>Medications for patients with COVID-19</w:t>
        </w:r>
      </w:hyperlink>
      <w:r w:rsidRPr="0014515B">
        <w:t xml:space="preserve"> &lt;https://www.health.vic.gov.au/covid-19/vaccines-and-medications-in-patients-with-covid-19&gt; </w:t>
      </w:r>
    </w:p>
    <w:p w14:paraId="4588D478" w14:textId="31ABC48D" w:rsidR="00E53360" w:rsidRDefault="00732812" w:rsidP="007927B7">
      <w:pPr>
        <w:pStyle w:val="Bullet1"/>
      </w:pPr>
      <w:hyperlink r:id="rId58" w:history="1">
        <w:r w:rsidRPr="00732812">
          <w:rPr>
            <w:rStyle w:val="Hyperlink"/>
          </w:rPr>
          <w:t>Conditions and treatments | Better Health Channel</w:t>
        </w:r>
      </w:hyperlink>
      <w:r>
        <w:t xml:space="preserve"> &lt;</w:t>
      </w:r>
      <w:r w:rsidRPr="00732812">
        <w:t>https://www.betterhealth.vic.gov.au/conditionsandtreatments</w:t>
      </w:r>
    </w:p>
    <w:p w14:paraId="25A0198F" w14:textId="77777777" w:rsidR="00E53360" w:rsidRDefault="00E53360">
      <w:pPr>
        <w:spacing w:after="0" w:line="240" w:lineRule="auto"/>
        <w:rPr>
          <w:rFonts w:eastAsia="Times"/>
        </w:rPr>
      </w:pPr>
      <w:r>
        <w:br w:type="page"/>
      </w:r>
    </w:p>
    <w:p w14:paraId="2DAAA8A1" w14:textId="77777777" w:rsidR="007D4B2F" w:rsidRDefault="007D4B2F" w:rsidP="00F9103D">
      <w:pPr>
        <w:pStyle w:val="Heading3"/>
      </w:pPr>
      <w:r>
        <w:lastRenderedPageBreak/>
        <w:t>Infection prevention and control</w:t>
      </w:r>
    </w:p>
    <w:p w14:paraId="211DF691" w14:textId="303B0E82" w:rsidR="007D4B2F" w:rsidRDefault="007D4B2F" w:rsidP="007927B7">
      <w:pPr>
        <w:pStyle w:val="Bullet1"/>
      </w:pPr>
      <w:hyperlink r:id="rId59" w:history="1">
        <w:r w:rsidRPr="0025169F">
          <w:rPr>
            <w:rStyle w:val="Hyperlink"/>
          </w:rPr>
          <w:t xml:space="preserve">Infection prevention and control in aged care </w:t>
        </w:r>
        <w:r w:rsidR="00BA03D7">
          <w:rPr>
            <w:rStyle w:val="Hyperlink"/>
          </w:rPr>
          <w:t>–</w:t>
        </w:r>
        <w:r w:rsidR="00BA03D7" w:rsidRPr="0025169F">
          <w:rPr>
            <w:rStyle w:val="Hyperlink"/>
          </w:rPr>
          <w:t xml:space="preserve"> </w:t>
        </w:r>
        <w:r w:rsidRPr="0025169F">
          <w:rPr>
            <w:rStyle w:val="Hyperlink"/>
          </w:rPr>
          <w:t>Cognitive decline and dementia | Aged Care Quality and Safety Commission</w:t>
        </w:r>
      </w:hyperlink>
      <w:r>
        <w:t xml:space="preserve"> </w:t>
      </w:r>
      <w:r w:rsidRPr="002F6CB0">
        <w:rPr>
          <w:rStyle w:val="BodyChar"/>
        </w:rPr>
        <w:t>&lt;</w:t>
      </w:r>
      <w:r w:rsidRPr="002F6CB0">
        <w:t>https://www.agedcarequality.gov.au/sites/default/files/media/infection-prevention-and-control-in-aged-care-guidance.pdf</w:t>
      </w:r>
      <w:r>
        <w:t>&gt;</w:t>
      </w:r>
    </w:p>
    <w:p w14:paraId="1588DF1C" w14:textId="64A84C58" w:rsidR="007D4B2F" w:rsidRDefault="007D4B2F" w:rsidP="007927B7">
      <w:pPr>
        <w:pStyle w:val="Bullet1"/>
      </w:pPr>
      <w:hyperlink r:id="rId60" w:history="1">
        <w:r w:rsidRPr="002F276C">
          <w:rPr>
            <w:rStyle w:val="Hyperlink"/>
          </w:rPr>
          <w:t xml:space="preserve">COVID-19 Infection Prevention and Control Guidelines | </w:t>
        </w:r>
        <w:r w:rsidR="00E53360">
          <w:rPr>
            <w:rStyle w:val="Hyperlink"/>
          </w:rPr>
          <w:t>Victorian Department of Health</w:t>
        </w:r>
      </w:hyperlink>
      <w:r>
        <w:t xml:space="preserve"> </w:t>
      </w:r>
      <w:r w:rsidRPr="002F6CB0">
        <w:rPr>
          <w:rStyle w:val="BodyChar"/>
        </w:rPr>
        <w:t>&lt;</w:t>
      </w:r>
      <w:r w:rsidRPr="002F6CB0">
        <w:t>https://www.health.vic.gov.au/covid-19-infection-prevention-control-guidelines</w:t>
      </w:r>
      <w:r>
        <w:t>&gt;</w:t>
      </w:r>
    </w:p>
    <w:p w14:paraId="3EE4051F" w14:textId="71AE29DA" w:rsidR="007D4B2F" w:rsidRDefault="007D4B2F" w:rsidP="007927B7">
      <w:pPr>
        <w:pStyle w:val="Bullet1"/>
      </w:pPr>
      <w:hyperlink r:id="rId61" w:history="1">
        <w:r w:rsidRPr="00296E9E">
          <w:rPr>
            <w:rStyle w:val="Hyperlink"/>
          </w:rPr>
          <w:t>The Aged Care Infection Prevention and Control Guide | Australian Commission on Safety and Quality in Health Care</w:t>
        </w:r>
      </w:hyperlink>
      <w:r>
        <w:t xml:space="preserve"> &lt;</w:t>
      </w:r>
      <w:r w:rsidRPr="00455FFE">
        <w:t>https://www.safetyandquality.gov.au/publications-and-resources/resource-library/aged-care-infection-prevention-and-control-guide</w:t>
      </w:r>
      <w:r w:rsidR="00E53360">
        <w:t>&gt;</w:t>
      </w:r>
    </w:p>
    <w:p w14:paraId="7BE7F3A9" w14:textId="2785B1DF" w:rsidR="007D4B2F" w:rsidRDefault="007D4B2F" w:rsidP="007927B7">
      <w:pPr>
        <w:pStyle w:val="Bullet1"/>
      </w:pPr>
      <w:hyperlink r:id="rId62" w:history="1">
        <w:r w:rsidRPr="00FA461D">
          <w:rPr>
            <w:rStyle w:val="Hyperlink"/>
          </w:rPr>
          <w:t>Clinical and related industrial waste | epa.vic.gov.au</w:t>
        </w:r>
      </w:hyperlink>
      <w:r w:rsidRPr="00FA461D">
        <w:t xml:space="preserve"> </w:t>
      </w:r>
      <w:r w:rsidR="00E53360">
        <w:t>&lt;</w:t>
      </w:r>
      <w:r w:rsidR="00E53360" w:rsidRPr="00F9103D">
        <w:t>https://www.epa.vic.gov.au/clinical-and-related-industrial-waste</w:t>
      </w:r>
      <w:r w:rsidR="00E53360">
        <w:t>&gt;</w:t>
      </w:r>
    </w:p>
    <w:p w14:paraId="79AEAEB1" w14:textId="1852149C" w:rsidR="00202250" w:rsidRPr="00FA461D" w:rsidRDefault="00BA03D7" w:rsidP="007927B7">
      <w:pPr>
        <w:pStyle w:val="Bullet1"/>
      </w:pPr>
      <w:hyperlink r:id="rId63" w:history="1">
        <w:r w:rsidRPr="00BA03D7">
          <w:rPr>
            <w:rStyle w:val="Hyperlink"/>
          </w:rPr>
          <w:t>VICNISS – Ventilation in Residential Care</w:t>
        </w:r>
      </w:hyperlink>
      <w:r w:rsidR="00202250">
        <w:t xml:space="preserve"> &lt;</w:t>
      </w:r>
      <w:r w:rsidR="00202250" w:rsidRPr="00202250">
        <w:t xml:space="preserve"> https://www.vicniss.org.au/department-of-health-resources/ventilation-in-residential-care/</w:t>
      </w:r>
      <w:r w:rsidR="00202250">
        <w:t>&gt;</w:t>
      </w:r>
    </w:p>
    <w:p w14:paraId="0C7B83E6" w14:textId="77777777" w:rsidR="007D4B2F" w:rsidRDefault="007D4B2F" w:rsidP="00F9103D">
      <w:pPr>
        <w:pStyle w:val="Heading3"/>
      </w:pPr>
      <w:r>
        <w:t>Communication</w:t>
      </w:r>
    </w:p>
    <w:p w14:paraId="797FB870" w14:textId="32D6BDEB" w:rsidR="007D4B2F" w:rsidRDefault="005A465E" w:rsidP="007927B7">
      <w:pPr>
        <w:pStyle w:val="Bullet1"/>
      </w:pPr>
      <w:hyperlink r:id="rId64" w:history="1">
        <w:r>
          <w:rPr>
            <w:rStyle w:val="Hyperlink"/>
          </w:rPr>
          <w:t>Letter to GP – Outbreak in Facility, Pre-season information for GPs, Visitors factsheet</w:t>
        </w:r>
      </w:hyperlink>
      <w:r w:rsidR="007D4B2F">
        <w:t xml:space="preserve"> &lt;</w:t>
      </w:r>
      <w:r w:rsidR="007D4B2F" w:rsidRPr="00E8258D">
        <w:t>https://www.health.vic.gov.au/infectious-diseases/acute-respiratory-infection-management-residential-care-facilities</w:t>
      </w:r>
      <w:r w:rsidR="007D4B2F">
        <w:t>&gt;</w:t>
      </w:r>
    </w:p>
    <w:p w14:paraId="2BB7EB8C" w14:textId="23E727CD" w:rsidR="007D4B2F" w:rsidRPr="0014515B" w:rsidRDefault="007D4B2F" w:rsidP="007927B7">
      <w:pPr>
        <w:pStyle w:val="Bullet1"/>
        <w:rPr>
          <w:rStyle w:val="normaltextrun"/>
          <w:lang w:eastAsia="en-AU"/>
        </w:rPr>
      </w:pPr>
      <w:hyperlink r:id="rId65">
        <w:r w:rsidRPr="00403484">
          <w:rPr>
            <w:rStyle w:val="normaltextrun"/>
            <w:rFonts w:cs="Arial"/>
            <w:color w:val="004C97"/>
            <w:u w:val="dotted"/>
          </w:rPr>
          <w:t xml:space="preserve">Coronavirus (COVID-19) Easy Read </w:t>
        </w:r>
        <w:r w:rsidR="001042FB">
          <w:rPr>
            <w:rStyle w:val="normaltextrun"/>
            <w:rFonts w:cs="Arial"/>
            <w:color w:val="004C97"/>
            <w:u w:val="dotted"/>
          </w:rPr>
          <w:t>resources</w:t>
        </w:r>
      </w:hyperlink>
      <w:r w:rsidRPr="0014515B">
        <w:rPr>
          <w:rStyle w:val="normaltextrun"/>
          <w:rFonts w:cs="Arial"/>
          <w:color w:val="004C97"/>
          <w:u w:val="single"/>
        </w:rPr>
        <w:t xml:space="preserve"> </w:t>
      </w:r>
      <w:r w:rsidRPr="55F1DA72">
        <w:rPr>
          <w:rStyle w:val="normaltextrun"/>
          <w:rFonts w:cs="Arial"/>
          <w:color w:val="000000" w:themeColor="text1"/>
        </w:rPr>
        <w:t>&lt;https://www.health.gov.au/resources/collections/</w:t>
      </w:r>
      <w:r w:rsidRPr="008B5AF3">
        <w:rPr>
          <w:rStyle w:val="normaltextrun"/>
        </w:rPr>
        <w:t>coronavirus</w:t>
      </w:r>
      <w:r w:rsidRPr="55F1DA72">
        <w:rPr>
          <w:rStyle w:val="normaltextrun"/>
          <w:rFonts w:cs="Arial"/>
          <w:color w:val="000000" w:themeColor="text1"/>
        </w:rPr>
        <w:t>-covid-19-easy-read-resources&gt;</w:t>
      </w:r>
    </w:p>
    <w:p w14:paraId="49D413C7" w14:textId="4B44CFE1" w:rsidR="007D4B2F" w:rsidRPr="00301A84" w:rsidRDefault="007D4B2F" w:rsidP="007927B7">
      <w:pPr>
        <w:pStyle w:val="Bullet1"/>
        <w:rPr>
          <w:rStyle w:val="normaltextrun"/>
          <w:lang w:eastAsia="en-AU"/>
        </w:rPr>
      </w:pPr>
      <w:hyperlink r:id="rId66" w:history="1">
        <w:r w:rsidRPr="00970532">
          <w:rPr>
            <w:rStyle w:val="Hyperlink"/>
            <w:rFonts w:cs="Arial"/>
          </w:rPr>
          <w:t>COVID-19 information for people with disability</w:t>
        </w:r>
      </w:hyperlink>
      <w:r w:rsidRPr="0014515B">
        <w:rPr>
          <w:rStyle w:val="normaltextrun"/>
          <w:rFonts w:cs="Arial"/>
          <w:color w:val="000000" w:themeColor="text1"/>
        </w:rPr>
        <w:t xml:space="preserve"> </w:t>
      </w:r>
      <w:r w:rsidRPr="00403484">
        <w:rPr>
          <w:rStyle w:val="normaltextrun"/>
          <w:rFonts w:cs="Arial"/>
        </w:rPr>
        <w:t>&lt;</w:t>
      </w:r>
      <w:r w:rsidRPr="00970532">
        <w:rPr>
          <w:rStyle w:val="normaltextrun"/>
          <w:rFonts w:cs="Arial"/>
          <w:color w:val="000000" w:themeColor="text1"/>
        </w:rPr>
        <w:t>https://www.betterhealth.vic.gov.au/covid-19/covid-19-information-people-disability</w:t>
      </w:r>
      <w:r>
        <w:rPr>
          <w:rStyle w:val="normaltextrun"/>
          <w:rFonts w:cs="Arial"/>
          <w:color w:val="000000" w:themeColor="text1"/>
        </w:rPr>
        <w:t>&gt;</w:t>
      </w:r>
    </w:p>
    <w:p w14:paraId="6807A2CA" w14:textId="77777777" w:rsidR="007D4B2F" w:rsidRDefault="007D4B2F" w:rsidP="00F9103D">
      <w:pPr>
        <w:pStyle w:val="Heading3"/>
      </w:pPr>
      <w:r>
        <w:t>Visitors</w:t>
      </w:r>
    </w:p>
    <w:p w14:paraId="07FD15FF" w14:textId="77777777" w:rsidR="007D4B2F" w:rsidRDefault="007D4B2F" w:rsidP="007927B7">
      <w:pPr>
        <w:pStyle w:val="Bullet1"/>
      </w:pPr>
      <w:hyperlink r:id="rId67" w:history="1">
        <w:r w:rsidRPr="00664F3E">
          <w:rPr>
            <w:rStyle w:val="Hyperlink"/>
          </w:rPr>
          <w:t>Supporting visitors and partners in care with IPC | Aged Care Quality and Safety Commission</w:t>
        </w:r>
      </w:hyperlink>
      <w:r>
        <w:t xml:space="preserve"> </w:t>
      </w:r>
      <w:r w:rsidRPr="00CC658D">
        <w:t>&lt;https://www.agedcarequality.gov.au/providers/clinical-governance/infection-prevention-control/supporting-visitors-and-partners-care-ipc</w:t>
      </w:r>
      <w:r>
        <w:t xml:space="preserve">&gt; </w:t>
      </w:r>
    </w:p>
    <w:p w14:paraId="5BC8AA18" w14:textId="431C30E4" w:rsidR="00A31AAB" w:rsidRPr="00506FF7" w:rsidRDefault="00A31AAB" w:rsidP="007927B7">
      <w:pPr>
        <w:pStyle w:val="Bullet1"/>
        <w:rPr>
          <w:rStyle w:val="Hyperlink"/>
          <w:color w:val="auto"/>
          <w:u w:val="none"/>
        </w:rPr>
      </w:pPr>
      <w:hyperlink r:id="rId68" w:history="1">
        <w:r w:rsidRPr="00A31AAB">
          <w:rPr>
            <w:rStyle w:val="Hyperlink"/>
          </w:rPr>
          <w:t>Visitor restrictions | Aged Care Quality and Safety Commission</w:t>
        </w:r>
      </w:hyperlink>
      <w:r>
        <w:t xml:space="preserve"> &lt;</w:t>
      </w:r>
      <w:r w:rsidRPr="00A31AAB">
        <w:t>https://www.agedcarequality.gov.au/providers/clinical-governance/dealing-infectious-outbreaks/visitor-restrictions</w:t>
      </w:r>
      <w:r>
        <w:t>&gt;</w:t>
      </w:r>
    </w:p>
    <w:p w14:paraId="2BC01AEE" w14:textId="77777777" w:rsidR="00D97F4C" w:rsidRPr="0014515B" w:rsidRDefault="00D97F4C" w:rsidP="00284DB6">
      <w:pPr>
        <w:pStyle w:val="Body"/>
      </w:pPr>
    </w:p>
    <w:sectPr w:rsidR="00D97F4C" w:rsidRPr="0014515B" w:rsidSect="00454A7D">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F20B" w14:textId="77777777" w:rsidR="006F24D7" w:rsidRDefault="006F24D7">
      <w:r>
        <w:separator/>
      </w:r>
    </w:p>
    <w:p w14:paraId="119D4294" w14:textId="77777777" w:rsidR="006F24D7" w:rsidRDefault="006F24D7"/>
  </w:endnote>
  <w:endnote w:type="continuationSeparator" w:id="0">
    <w:p w14:paraId="4FD20A56" w14:textId="77777777" w:rsidR="006F24D7" w:rsidRDefault="006F24D7">
      <w:r>
        <w:continuationSeparator/>
      </w:r>
    </w:p>
    <w:p w14:paraId="47E3586A" w14:textId="77777777" w:rsidR="006F24D7" w:rsidRDefault="006F2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E821"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17F57EBE" wp14:editId="400BF9B1">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6406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F57EBE"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46406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1803" w14:textId="53A6F90E" w:rsidR="00431A70" w:rsidRDefault="00000000">
    <w:pPr>
      <w:pStyle w:val="Footer"/>
    </w:pPr>
    <w:sdt>
      <w:sdtPr>
        <w:id w:val="969400743"/>
        <w:placeholder>
          <w:docPart w:val="A78E86E8C9DC46F3A76681A1783AFF88"/>
        </w:placeholder>
        <w:temporary/>
        <w:showingPlcHdr/>
        <w15:appearance w15:val="hidden"/>
      </w:sdtPr>
      <w:sdtContent>
        <w:r w:rsidR="001D366E">
          <w:t>[Type here]</w:t>
        </w:r>
      </w:sdtContent>
    </w:sdt>
    <w:r w:rsidR="001D366E">
      <w:ptab w:relativeTo="margin" w:alignment="center" w:leader="none"/>
    </w:r>
    <w:sdt>
      <w:sdtPr>
        <w:id w:val="969400748"/>
        <w:placeholder>
          <w:docPart w:val="A78E86E8C9DC46F3A76681A1783AFF88"/>
        </w:placeholder>
        <w:temporary/>
        <w:showingPlcHdr/>
        <w15:appearance w15:val="hidden"/>
      </w:sdtPr>
      <w:sdtContent>
        <w:r w:rsidR="001D366E">
          <w:t>[Type here]</w:t>
        </w:r>
      </w:sdtContent>
    </w:sdt>
    <w:r w:rsidR="001D366E">
      <w:ptab w:relativeTo="margin" w:alignment="right" w:leader="none"/>
    </w:r>
    <w:sdt>
      <w:sdtPr>
        <w:id w:val="969400753"/>
        <w:placeholder>
          <w:docPart w:val="A78E86E8C9DC46F3A76681A1783AFF88"/>
        </w:placeholder>
        <w:temporary/>
        <w:showingPlcHdr/>
        <w15:appearance w15:val="hidden"/>
      </w:sdtPr>
      <w:sdtContent>
        <w:r w:rsidR="001D366E">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97030"/>
      <w:docPartObj>
        <w:docPartGallery w:val="Page Numbers (Bottom of Page)"/>
        <w:docPartUnique/>
      </w:docPartObj>
    </w:sdtPr>
    <w:sdtEndPr>
      <w:rPr>
        <w:noProof/>
      </w:rPr>
    </w:sdtEndPr>
    <w:sdtContent>
      <w:p w14:paraId="2C421EBE" w14:textId="12321A98" w:rsidR="00EC727E" w:rsidRDefault="00EC727E">
        <w:pPr>
          <w:pStyle w:val="Footer"/>
        </w:pPr>
        <w:r>
          <w:fldChar w:fldCharType="begin"/>
        </w:r>
        <w:r>
          <w:instrText xml:space="preserve"> PAGE   \* MERGEFORMAT </w:instrText>
        </w:r>
        <w:r>
          <w:fldChar w:fldCharType="separate"/>
        </w:r>
        <w:r>
          <w:rPr>
            <w:noProof/>
          </w:rPr>
          <w:t>2</w:t>
        </w:r>
        <w:r>
          <w:rPr>
            <w:noProof/>
          </w:rPr>
          <w:fldChar w:fldCharType="end"/>
        </w:r>
      </w:p>
    </w:sdtContent>
  </w:sdt>
  <w:p w14:paraId="4839BB6E" w14:textId="16DCB616"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8A2E" w14:textId="77777777" w:rsidR="00D63636" w:rsidRDefault="002C5B7C">
    <w:pPr>
      <w:pStyle w:val="Footer"/>
    </w:pPr>
    <w:r>
      <w:rPr>
        <w:noProof/>
        <w:lang w:eastAsia="en-AU"/>
      </w:rPr>
      <mc:AlternateContent>
        <mc:Choice Requires="wps">
          <w:drawing>
            <wp:anchor distT="0" distB="0" distL="114300" distR="114300" simplePos="0" relativeHeight="251658241" behindDoc="0" locked="0" layoutInCell="0" allowOverlap="1" wp14:anchorId="67DA8C85" wp14:editId="464DC59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656B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DA8C85" id="_x0000_t202" coordsize="21600,21600" o:spt="202" path="m,l,21600r21600,l21600,xe">
              <v:stroke joinstyle="miter"/>
              <v:path gradientshapeok="t" o:connecttype="rect"/>
            </v:shapetype>
            <v:shape id="MSIPCMd3f54469bd0204c6fb2f3fa8" o:spid="_x0000_s102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5E656B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69776"/>
      <w:docPartObj>
        <w:docPartGallery w:val="Page Numbers (Bottom of Page)"/>
        <w:docPartUnique/>
      </w:docPartObj>
    </w:sdtPr>
    <w:sdtEndPr>
      <w:rPr>
        <w:noProof/>
      </w:rPr>
    </w:sdtEndPr>
    <w:sdtContent>
      <w:p w14:paraId="6FE5CB7B" w14:textId="154A7A6B" w:rsidR="005000B4" w:rsidRDefault="005000B4">
        <w:pPr>
          <w:pStyle w:val="Footer"/>
        </w:pPr>
        <w:r>
          <w:fldChar w:fldCharType="begin"/>
        </w:r>
        <w:r>
          <w:instrText xml:space="preserve"> PAGE   \* MERGEFORMAT </w:instrText>
        </w:r>
        <w:r>
          <w:fldChar w:fldCharType="separate"/>
        </w:r>
        <w:r>
          <w:rPr>
            <w:noProof/>
          </w:rPr>
          <w:t>2</w:t>
        </w:r>
        <w:r>
          <w:rPr>
            <w:noProof/>
          </w:rPr>
          <w:fldChar w:fldCharType="end"/>
        </w:r>
      </w:p>
    </w:sdtContent>
  </w:sdt>
  <w:p w14:paraId="54D40A30" w14:textId="2EB1A3CD" w:rsidR="00431A70" w:rsidRDefault="004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DDFF" w14:textId="77777777" w:rsidR="006F24D7" w:rsidRDefault="006F24D7" w:rsidP="00207717">
      <w:pPr>
        <w:spacing w:before="120"/>
      </w:pPr>
      <w:r>
        <w:separator/>
      </w:r>
    </w:p>
  </w:footnote>
  <w:footnote w:type="continuationSeparator" w:id="0">
    <w:p w14:paraId="37B87356" w14:textId="77777777" w:rsidR="006F24D7" w:rsidRDefault="006F24D7">
      <w:r>
        <w:continuationSeparator/>
      </w:r>
    </w:p>
    <w:p w14:paraId="3A2D8DE6" w14:textId="77777777" w:rsidR="006F24D7" w:rsidRDefault="006F2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2CC4" w14:textId="024AD276" w:rsidR="00E376BE" w:rsidRDefault="00E37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A0F3" w14:textId="0B78BD21" w:rsidR="00E376BE" w:rsidRDefault="00E37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FA65" w14:textId="485BBC12" w:rsidR="00E376BE" w:rsidRDefault="00E376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FFF5" w14:textId="3A159478"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58C3" w14:textId="68EDA30F" w:rsidR="00562811" w:rsidRPr="0051568D" w:rsidRDefault="00562811" w:rsidP="001767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8B69" w14:textId="31FC60AD" w:rsidR="00E376BE" w:rsidRDefault="00E37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E28"/>
    <w:multiLevelType w:val="multilevel"/>
    <w:tmpl w:val="B2E23F7A"/>
    <w:lvl w:ilvl="0">
      <w:numFmt w:val="bullet"/>
      <w:lvlText w:val="-"/>
      <w:lvlJc w:val="left"/>
      <w:pPr>
        <w:ind w:left="284" w:hanging="284"/>
      </w:pPr>
      <w:rPr>
        <w:rFonts w:ascii="Arial" w:eastAsia="Times" w:hAnsi="Arial" w:cs="Aria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0E3D9A"/>
    <w:multiLevelType w:val="multilevel"/>
    <w:tmpl w:val="A0CE8A82"/>
    <w:lvl w:ilvl="0">
      <w:start w:val="1"/>
      <w:numFmt w:val="decimal"/>
      <w:lvlText w:val="%1."/>
      <w:lvlJc w:val="left"/>
      <w:pPr>
        <w:ind w:left="1004" w:hanging="720"/>
      </w:pPr>
      <w:rPr>
        <w:rFonts w:hint="default"/>
        <w:color w:val="1F497D" w:themeColor="text2"/>
      </w:rPr>
    </w:lvl>
    <w:lvl w:ilvl="1">
      <w:start w:val="2"/>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856" w:hanging="1440"/>
      </w:pPr>
      <w:rPr>
        <w:rFonts w:hint="default"/>
      </w:rPr>
    </w:lvl>
    <w:lvl w:ilvl="5">
      <w:start w:val="1"/>
      <w:numFmt w:val="decimal"/>
      <w:isLgl/>
      <w:lvlText w:val="%1.%2.%3.%4.%5.%6"/>
      <w:lvlJc w:val="left"/>
      <w:pPr>
        <w:ind w:left="3499" w:hanging="180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425" w:hanging="2160"/>
      </w:pPr>
      <w:rPr>
        <w:rFonts w:hint="default"/>
      </w:rPr>
    </w:lvl>
    <w:lvl w:ilvl="8">
      <w:start w:val="1"/>
      <w:numFmt w:val="decimal"/>
      <w:isLgl/>
      <w:lvlText w:val="%1.%2.%3.%4.%5.%6.%7.%8.%9"/>
      <w:lvlJc w:val="left"/>
      <w:pPr>
        <w:ind w:left="5068" w:hanging="2520"/>
      </w:pPr>
      <w:rPr>
        <w:rFonts w:hint="default"/>
      </w:rPr>
    </w:lvl>
  </w:abstractNum>
  <w:abstractNum w:abstractNumId="2" w15:restartNumberingAfterBreak="0">
    <w:nsid w:val="09CD2680"/>
    <w:multiLevelType w:val="hybridMultilevel"/>
    <w:tmpl w:val="6C0EE1E6"/>
    <w:lvl w:ilvl="0" w:tplc="E33AC416">
      <w:start w:val="1"/>
      <w:numFmt w:val="bullet"/>
      <w:lvlText w:val=""/>
      <w:lvlJc w:val="left"/>
      <w:pPr>
        <w:ind w:left="1080" w:hanging="360"/>
      </w:pPr>
      <w:rPr>
        <w:rFonts w:ascii="Symbol" w:hAnsi="Symbol"/>
      </w:rPr>
    </w:lvl>
    <w:lvl w:ilvl="1" w:tplc="FBDCCB16">
      <w:start w:val="1"/>
      <w:numFmt w:val="bullet"/>
      <w:lvlText w:val=""/>
      <w:lvlJc w:val="left"/>
      <w:pPr>
        <w:ind w:left="1080" w:hanging="360"/>
      </w:pPr>
      <w:rPr>
        <w:rFonts w:ascii="Symbol" w:hAnsi="Symbol"/>
      </w:rPr>
    </w:lvl>
    <w:lvl w:ilvl="2" w:tplc="B41065F4">
      <w:start w:val="1"/>
      <w:numFmt w:val="bullet"/>
      <w:lvlText w:val=""/>
      <w:lvlJc w:val="left"/>
      <w:pPr>
        <w:ind w:left="1080" w:hanging="360"/>
      </w:pPr>
      <w:rPr>
        <w:rFonts w:ascii="Symbol" w:hAnsi="Symbol"/>
      </w:rPr>
    </w:lvl>
    <w:lvl w:ilvl="3" w:tplc="A37E9DCC">
      <w:start w:val="1"/>
      <w:numFmt w:val="bullet"/>
      <w:lvlText w:val=""/>
      <w:lvlJc w:val="left"/>
      <w:pPr>
        <w:ind w:left="1080" w:hanging="360"/>
      </w:pPr>
      <w:rPr>
        <w:rFonts w:ascii="Symbol" w:hAnsi="Symbol"/>
      </w:rPr>
    </w:lvl>
    <w:lvl w:ilvl="4" w:tplc="1EFAA4DA">
      <w:start w:val="1"/>
      <w:numFmt w:val="bullet"/>
      <w:lvlText w:val=""/>
      <w:lvlJc w:val="left"/>
      <w:pPr>
        <w:ind w:left="1080" w:hanging="360"/>
      </w:pPr>
      <w:rPr>
        <w:rFonts w:ascii="Symbol" w:hAnsi="Symbol"/>
      </w:rPr>
    </w:lvl>
    <w:lvl w:ilvl="5" w:tplc="CDACEF98">
      <w:start w:val="1"/>
      <w:numFmt w:val="bullet"/>
      <w:lvlText w:val=""/>
      <w:lvlJc w:val="left"/>
      <w:pPr>
        <w:ind w:left="1080" w:hanging="360"/>
      </w:pPr>
      <w:rPr>
        <w:rFonts w:ascii="Symbol" w:hAnsi="Symbol"/>
      </w:rPr>
    </w:lvl>
    <w:lvl w:ilvl="6" w:tplc="4F9A3706">
      <w:start w:val="1"/>
      <w:numFmt w:val="bullet"/>
      <w:lvlText w:val=""/>
      <w:lvlJc w:val="left"/>
      <w:pPr>
        <w:ind w:left="1080" w:hanging="360"/>
      </w:pPr>
      <w:rPr>
        <w:rFonts w:ascii="Symbol" w:hAnsi="Symbol"/>
      </w:rPr>
    </w:lvl>
    <w:lvl w:ilvl="7" w:tplc="3572CBA6">
      <w:start w:val="1"/>
      <w:numFmt w:val="bullet"/>
      <w:lvlText w:val=""/>
      <w:lvlJc w:val="left"/>
      <w:pPr>
        <w:ind w:left="1080" w:hanging="360"/>
      </w:pPr>
      <w:rPr>
        <w:rFonts w:ascii="Symbol" w:hAnsi="Symbol"/>
      </w:rPr>
    </w:lvl>
    <w:lvl w:ilvl="8" w:tplc="35463C7E">
      <w:start w:val="1"/>
      <w:numFmt w:val="bullet"/>
      <w:lvlText w:val=""/>
      <w:lvlJc w:val="left"/>
      <w:pPr>
        <w:ind w:left="1080" w:hanging="360"/>
      </w:pPr>
      <w:rPr>
        <w:rFonts w:ascii="Symbol" w:hAnsi="Symbol"/>
      </w:rPr>
    </w:lvl>
  </w:abstractNum>
  <w:abstractNum w:abstractNumId="3"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C5255C"/>
    <w:multiLevelType w:val="hybridMultilevel"/>
    <w:tmpl w:val="C868DA9C"/>
    <w:lvl w:ilvl="0" w:tplc="039000FE">
      <w:start w:val="4"/>
      <w:numFmt w:val="decimal"/>
      <w:lvlText w:val="%1."/>
      <w:lvlJc w:val="left"/>
      <w:pPr>
        <w:ind w:left="10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1D0AE6"/>
    <w:multiLevelType w:val="multilevel"/>
    <w:tmpl w:val="F57AE14C"/>
    <w:lvl w:ilvl="0">
      <w:numFmt w:val="bullet"/>
      <w:lvlText w:val="-"/>
      <w:lvlJc w:val="left"/>
      <w:pPr>
        <w:ind w:left="227" w:hanging="227"/>
      </w:pPr>
      <w:rPr>
        <w:rFonts w:ascii="Arial" w:eastAsia="Times"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0D01526"/>
    <w:multiLevelType w:val="multilevel"/>
    <w:tmpl w:val="1F069AF2"/>
    <w:lvl w:ilvl="0">
      <w:numFmt w:val="bullet"/>
      <w:lvlText w:val="-"/>
      <w:lvlJc w:val="left"/>
      <w:pPr>
        <w:ind w:left="227" w:hanging="227"/>
      </w:pPr>
      <w:rPr>
        <w:rFonts w:ascii="Arial" w:eastAsia="Times"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4371A79"/>
    <w:multiLevelType w:val="multilevel"/>
    <w:tmpl w:val="A0289D86"/>
    <w:numStyleLink w:val="ZZNumbersdigit"/>
  </w:abstractNum>
  <w:abstractNum w:abstractNumId="8" w15:restartNumberingAfterBreak="0">
    <w:nsid w:val="25FB4B9C"/>
    <w:multiLevelType w:val="multilevel"/>
    <w:tmpl w:val="995839BC"/>
    <w:lvl w:ilvl="0">
      <w:numFmt w:val="bullet"/>
      <w:lvlText w:val="-"/>
      <w:lvlJc w:val="left"/>
      <w:pPr>
        <w:ind w:left="284" w:hanging="284"/>
      </w:pPr>
      <w:rPr>
        <w:rFonts w:ascii="Arial" w:eastAsia="Times" w:hAnsi="Arial" w:cs="Aria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B9061AD"/>
    <w:multiLevelType w:val="multilevel"/>
    <w:tmpl w:val="C96A8084"/>
    <w:lvl w:ilvl="0">
      <w:numFmt w:val="bullet"/>
      <w:lvlText w:val="-"/>
      <w:lvlJc w:val="left"/>
      <w:pPr>
        <w:ind w:left="227" w:hanging="227"/>
      </w:pPr>
      <w:rPr>
        <w:rFonts w:ascii="Arial" w:eastAsia="Times"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2162550"/>
    <w:multiLevelType w:val="multilevel"/>
    <w:tmpl w:val="239EC688"/>
    <w:lvl w:ilvl="0">
      <w:numFmt w:val="bullet"/>
      <w:lvlText w:val="-"/>
      <w:lvlJc w:val="left"/>
      <w:pPr>
        <w:ind w:left="227" w:hanging="227"/>
      </w:pPr>
      <w:rPr>
        <w:rFonts w:ascii="Arial" w:eastAsia="Times"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E6C68D4"/>
    <w:multiLevelType w:val="multilevel"/>
    <w:tmpl w:val="B33A2DBC"/>
    <w:styleLink w:val="ZZBullets"/>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8B3CE87A"/>
    <w:styleLink w:val="ZZNumbersloweralpha"/>
    <w:lvl w:ilvl="0">
      <w:start w:val="1"/>
      <w:numFmt w:val="bullet"/>
      <w:pStyle w:val="Numberlowerroman"/>
      <w:lvlText w:val="•"/>
      <w:lvlJc w:val="left"/>
      <w:pPr>
        <w:ind w:left="680" w:hanging="283"/>
      </w:pPr>
      <w:rPr>
        <w:rFonts w:ascii="Calibri" w:hAnsi="Calibri" w:hint="default"/>
        <w:color w:val="auto"/>
      </w:rPr>
    </w:lvl>
    <w:lvl w:ilvl="1">
      <w:start w:val="1"/>
      <w:numFmt w:val="bullet"/>
      <w:lvlRestart w:val="0"/>
      <w:pStyle w:val="Numberlowerromanindent"/>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9421FC2"/>
    <w:multiLevelType w:val="multilevel"/>
    <w:tmpl w:val="A0289D86"/>
    <w:styleLink w:val="ZZNumbersdigit"/>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F05C78C0"/>
    <w:styleLink w:val="ZZQuotebullets"/>
    <w:lvl w:ilvl="0">
      <w:start w:val="1"/>
      <w:numFmt w:val="bullet"/>
      <w:pStyle w:val="Tablebullet1"/>
      <w:lvlText w:val="•"/>
      <w:lvlJc w:val="left"/>
      <w:pPr>
        <w:ind w:left="284" w:hanging="284"/>
      </w:pPr>
      <w:rPr>
        <w:rFonts w:ascii="Calibri" w:hAnsi="Calibri" w:hint="default"/>
      </w:rPr>
    </w:lvl>
    <w:lvl w:ilvl="1">
      <w:start w:val="1"/>
      <w:numFmt w:val="bullet"/>
      <w:lvlRestart w:val="0"/>
      <w:pStyle w:val="Table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F05C78C0"/>
    <w:styleLink w:val="ZZTable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BA05797"/>
    <w:multiLevelType w:val="hybridMultilevel"/>
    <w:tmpl w:val="E5EC1568"/>
    <w:lvl w:ilvl="0" w:tplc="99249DB6">
      <w:start w:val="1"/>
      <w:numFmt w:val="bullet"/>
      <w:lvlText w:val=""/>
      <w:lvlJc w:val="left"/>
      <w:pPr>
        <w:ind w:left="720" w:hanging="360"/>
      </w:pPr>
      <w:rPr>
        <w:rFonts w:ascii="Symbol" w:hAnsi="Symbol"/>
      </w:rPr>
    </w:lvl>
    <w:lvl w:ilvl="1" w:tplc="C922DA22">
      <w:start w:val="1"/>
      <w:numFmt w:val="bullet"/>
      <w:lvlText w:val=""/>
      <w:lvlJc w:val="left"/>
      <w:pPr>
        <w:ind w:left="720" w:hanging="360"/>
      </w:pPr>
      <w:rPr>
        <w:rFonts w:ascii="Symbol" w:hAnsi="Symbol"/>
      </w:rPr>
    </w:lvl>
    <w:lvl w:ilvl="2" w:tplc="0726C180">
      <w:start w:val="1"/>
      <w:numFmt w:val="bullet"/>
      <w:lvlText w:val=""/>
      <w:lvlJc w:val="left"/>
      <w:pPr>
        <w:ind w:left="720" w:hanging="360"/>
      </w:pPr>
      <w:rPr>
        <w:rFonts w:ascii="Symbol" w:hAnsi="Symbol"/>
      </w:rPr>
    </w:lvl>
    <w:lvl w:ilvl="3" w:tplc="CB3C3B48">
      <w:start w:val="1"/>
      <w:numFmt w:val="bullet"/>
      <w:lvlText w:val=""/>
      <w:lvlJc w:val="left"/>
      <w:pPr>
        <w:ind w:left="720" w:hanging="360"/>
      </w:pPr>
      <w:rPr>
        <w:rFonts w:ascii="Symbol" w:hAnsi="Symbol"/>
      </w:rPr>
    </w:lvl>
    <w:lvl w:ilvl="4" w:tplc="9D904488">
      <w:start w:val="1"/>
      <w:numFmt w:val="bullet"/>
      <w:lvlText w:val=""/>
      <w:lvlJc w:val="left"/>
      <w:pPr>
        <w:ind w:left="720" w:hanging="360"/>
      </w:pPr>
      <w:rPr>
        <w:rFonts w:ascii="Symbol" w:hAnsi="Symbol"/>
      </w:rPr>
    </w:lvl>
    <w:lvl w:ilvl="5" w:tplc="95D6C916">
      <w:start w:val="1"/>
      <w:numFmt w:val="bullet"/>
      <w:lvlText w:val=""/>
      <w:lvlJc w:val="left"/>
      <w:pPr>
        <w:ind w:left="720" w:hanging="360"/>
      </w:pPr>
      <w:rPr>
        <w:rFonts w:ascii="Symbol" w:hAnsi="Symbol"/>
      </w:rPr>
    </w:lvl>
    <w:lvl w:ilvl="6" w:tplc="D03AD1CC">
      <w:start w:val="1"/>
      <w:numFmt w:val="bullet"/>
      <w:lvlText w:val=""/>
      <w:lvlJc w:val="left"/>
      <w:pPr>
        <w:ind w:left="720" w:hanging="360"/>
      </w:pPr>
      <w:rPr>
        <w:rFonts w:ascii="Symbol" w:hAnsi="Symbol"/>
      </w:rPr>
    </w:lvl>
    <w:lvl w:ilvl="7" w:tplc="FACA9A58">
      <w:start w:val="1"/>
      <w:numFmt w:val="bullet"/>
      <w:lvlText w:val=""/>
      <w:lvlJc w:val="left"/>
      <w:pPr>
        <w:ind w:left="720" w:hanging="360"/>
      </w:pPr>
      <w:rPr>
        <w:rFonts w:ascii="Symbol" w:hAnsi="Symbol"/>
      </w:rPr>
    </w:lvl>
    <w:lvl w:ilvl="8" w:tplc="BB60EABA">
      <w:start w:val="1"/>
      <w:numFmt w:val="bullet"/>
      <w:lvlText w:val=""/>
      <w:lvlJc w:val="left"/>
      <w:pPr>
        <w:ind w:left="720" w:hanging="360"/>
      </w:pPr>
      <w:rPr>
        <w:rFonts w:ascii="Symbol" w:hAnsi="Symbol"/>
      </w:rPr>
    </w:lvl>
  </w:abstractNum>
  <w:abstractNum w:abstractNumId="17" w15:restartNumberingAfterBreak="0">
    <w:nsid w:val="6309259F"/>
    <w:multiLevelType w:val="multilevel"/>
    <w:tmpl w:val="350ED9F2"/>
    <w:styleLink w:val="ZZNumberslowerroman"/>
    <w:lvl w:ilvl="0">
      <w:start w:val="1"/>
      <w:numFmt w:val="bullet"/>
      <w:pStyle w:val="Quotebullet1"/>
      <w:lvlText w:val="•"/>
      <w:lvlJc w:val="left"/>
      <w:pPr>
        <w:ind w:left="227" w:hanging="227"/>
      </w:pPr>
      <w:rPr>
        <w:rFonts w:ascii="Calibri" w:hAnsi="Calibri" w:hint="default"/>
      </w:rPr>
    </w:lvl>
    <w:lvl w:ilvl="1">
      <w:start w:val="1"/>
      <w:numFmt w:val="bullet"/>
      <w:lvlRestart w:val="0"/>
      <w:pStyle w:val="Quot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3803E1A"/>
    <w:multiLevelType w:val="multilevel"/>
    <w:tmpl w:val="915A9F0A"/>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9" w15:restartNumberingAfterBreak="0">
    <w:nsid w:val="75FE74BC"/>
    <w:multiLevelType w:val="hybridMultilevel"/>
    <w:tmpl w:val="E0EA1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C2C78C8"/>
    <w:multiLevelType w:val="multilevel"/>
    <w:tmpl w:val="14EE7540"/>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1" w15:restartNumberingAfterBreak="0">
    <w:nsid w:val="7CDF4DAB"/>
    <w:multiLevelType w:val="multilevel"/>
    <w:tmpl w:val="A92EC16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bullet"/>
      <w:lvlRestart w:val="0"/>
      <w:lvlText w:val="o"/>
      <w:lvlJc w:val="left"/>
      <w:pPr>
        <w:ind w:left="851" w:hanging="284"/>
      </w:pPr>
      <w:rPr>
        <w:rFonts w:ascii="Courier New" w:hAnsi="Courier New"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36146695">
    <w:abstractNumId w:val="11"/>
    <w:lvlOverride w:ilvl="0">
      <w:lvl w:ilvl="0">
        <w:start w:val="1"/>
        <w:numFmt w:val="decimal"/>
        <w:lvlText w:val="%1."/>
        <w:lvlJc w:val="left"/>
        <w:pPr>
          <w:tabs>
            <w:tab w:val="num" w:pos="397"/>
          </w:tabs>
          <w:ind w:left="397" w:hanging="397"/>
        </w:pPr>
        <w:rPr>
          <w:rFonts w:hint="default"/>
        </w:rPr>
      </w:lvl>
    </w:lvlOverride>
  </w:num>
  <w:num w:numId="2" w16cid:durableId="1255163122">
    <w:abstractNumId w:val="15"/>
  </w:num>
  <w:num w:numId="3" w16cid:durableId="567308325">
    <w:abstractNumId w:val="14"/>
  </w:num>
  <w:num w:numId="4" w16cid:durableId="138303801">
    <w:abstractNumId w:val="17"/>
  </w:num>
  <w:num w:numId="5" w16cid:durableId="1464470184">
    <w:abstractNumId w:val="12"/>
  </w:num>
  <w:num w:numId="6" w16cid:durableId="635065018">
    <w:abstractNumId w:val="3"/>
  </w:num>
  <w:num w:numId="7" w16cid:durableId="1059396997">
    <w:abstractNumId w:val="15"/>
    <w:lvlOverride w:ilvl="0">
      <w:lvl w:ilvl="0">
        <w:start w:val="1"/>
        <w:numFmt w:val="bullet"/>
        <w:pStyle w:val="Bullet1"/>
        <w:lvlText w:val="•"/>
        <w:lvlJc w:val="left"/>
        <w:pPr>
          <w:ind w:left="284" w:hanging="284"/>
        </w:pPr>
        <w:rPr>
          <w:rFonts w:ascii="Calibri" w:hAnsi="Calibri" w:hint="default"/>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16cid:durableId="996222353">
    <w:abstractNumId w:val="13"/>
  </w:num>
  <w:num w:numId="9" w16cid:durableId="207571307">
    <w:abstractNumId w:val="19"/>
  </w:num>
  <w:num w:numId="10" w16cid:durableId="438836113">
    <w:abstractNumId w:val="4"/>
  </w:num>
  <w:num w:numId="11" w16cid:durableId="583994075">
    <w:abstractNumId w:val="7"/>
    <w:lvlOverride w:ilvl="0">
      <w:lvl w:ilvl="0">
        <w:start w:val="1"/>
        <w:numFmt w:val="decimal"/>
        <w:lvlText w:val="%1."/>
        <w:lvlJc w:val="left"/>
        <w:pPr>
          <w:tabs>
            <w:tab w:val="num" w:pos="397"/>
          </w:tabs>
          <w:ind w:left="397" w:hanging="397"/>
        </w:pPr>
        <w:rPr>
          <w:rFonts w:hint="default"/>
        </w:rPr>
      </w:lvl>
    </w:lvlOverride>
  </w:num>
  <w:num w:numId="12" w16cid:durableId="192380036">
    <w:abstractNumId w:val="1"/>
  </w:num>
  <w:num w:numId="13" w16cid:durableId="1453934355">
    <w:abstractNumId w:val="21"/>
  </w:num>
  <w:num w:numId="14" w16cid:durableId="405692439">
    <w:abstractNumId w:val="6"/>
  </w:num>
  <w:num w:numId="15" w16cid:durableId="629939778">
    <w:abstractNumId w:val="10"/>
  </w:num>
  <w:num w:numId="16" w16cid:durableId="984821829">
    <w:abstractNumId w:val="5"/>
  </w:num>
  <w:num w:numId="17" w16cid:durableId="1741251159">
    <w:abstractNumId w:val="9"/>
  </w:num>
  <w:num w:numId="18" w16cid:durableId="1963338919">
    <w:abstractNumId w:val="8"/>
  </w:num>
  <w:num w:numId="19" w16cid:durableId="1127547905">
    <w:abstractNumId w:val="0"/>
  </w:num>
  <w:num w:numId="20" w16cid:durableId="971597028">
    <w:abstractNumId w:val="11"/>
  </w:num>
  <w:num w:numId="21" w16cid:durableId="523784958">
    <w:abstractNumId w:val="2"/>
  </w:num>
  <w:num w:numId="22" w16cid:durableId="1961062617">
    <w:abstractNumId w:val="20"/>
  </w:num>
  <w:num w:numId="23" w16cid:durableId="598022113">
    <w:abstractNumId w:val="18"/>
  </w:num>
  <w:num w:numId="24" w16cid:durableId="851721574">
    <w:abstractNumId w:val="16"/>
  </w:num>
  <w:num w:numId="25" w16cid:durableId="1168860572">
    <w:abstractNumId w:val="15"/>
    <w:lvlOverride w:ilvl="0">
      <w:lvl w:ilvl="0">
        <w:start w:val="1"/>
        <w:numFmt w:val="bullet"/>
        <w:pStyle w:val="Bullet1"/>
        <w:lvlText w:val="•"/>
        <w:lvlJc w:val="left"/>
        <w:pPr>
          <w:ind w:left="284" w:hanging="284"/>
        </w:pPr>
        <w:rPr>
          <w:rFonts w:ascii="Calibri" w:hAnsi="Calibri" w:hint="default"/>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8E"/>
    <w:rsid w:val="000001EC"/>
    <w:rsid w:val="00000511"/>
    <w:rsid w:val="00000719"/>
    <w:rsid w:val="00000EB0"/>
    <w:rsid w:val="00001E4E"/>
    <w:rsid w:val="00002D68"/>
    <w:rsid w:val="00002F68"/>
    <w:rsid w:val="000033F7"/>
    <w:rsid w:val="00003403"/>
    <w:rsid w:val="00005347"/>
    <w:rsid w:val="000053C7"/>
    <w:rsid w:val="000054DB"/>
    <w:rsid w:val="00005903"/>
    <w:rsid w:val="0000620C"/>
    <w:rsid w:val="00006EB9"/>
    <w:rsid w:val="000072B6"/>
    <w:rsid w:val="00007BA3"/>
    <w:rsid w:val="00007C04"/>
    <w:rsid w:val="000100EF"/>
    <w:rsid w:val="0001021B"/>
    <w:rsid w:val="0001094B"/>
    <w:rsid w:val="000113F1"/>
    <w:rsid w:val="00011AFE"/>
    <w:rsid w:val="00011D89"/>
    <w:rsid w:val="00012244"/>
    <w:rsid w:val="00012B48"/>
    <w:rsid w:val="00012FBF"/>
    <w:rsid w:val="000131B4"/>
    <w:rsid w:val="00013A67"/>
    <w:rsid w:val="00013B23"/>
    <w:rsid w:val="00013C61"/>
    <w:rsid w:val="000153B7"/>
    <w:rsid w:val="000154FD"/>
    <w:rsid w:val="00015922"/>
    <w:rsid w:val="00016486"/>
    <w:rsid w:val="00016D18"/>
    <w:rsid w:val="00016E05"/>
    <w:rsid w:val="00016F58"/>
    <w:rsid w:val="00017CBA"/>
    <w:rsid w:val="00017EF8"/>
    <w:rsid w:val="0002115E"/>
    <w:rsid w:val="0002167E"/>
    <w:rsid w:val="00022271"/>
    <w:rsid w:val="000235E8"/>
    <w:rsid w:val="00023923"/>
    <w:rsid w:val="000240E1"/>
    <w:rsid w:val="000240FA"/>
    <w:rsid w:val="00024485"/>
    <w:rsid w:val="000249B5"/>
    <w:rsid w:val="00024D89"/>
    <w:rsid w:val="000250B6"/>
    <w:rsid w:val="0002523C"/>
    <w:rsid w:val="00025E0A"/>
    <w:rsid w:val="00026540"/>
    <w:rsid w:val="00027206"/>
    <w:rsid w:val="00027D7E"/>
    <w:rsid w:val="00027E09"/>
    <w:rsid w:val="000300F0"/>
    <w:rsid w:val="00030159"/>
    <w:rsid w:val="00030B6C"/>
    <w:rsid w:val="00030CDD"/>
    <w:rsid w:val="00030F8A"/>
    <w:rsid w:val="00031C53"/>
    <w:rsid w:val="000320DA"/>
    <w:rsid w:val="00032176"/>
    <w:rsid w:val="00032967"/>
    <w:rsid w:val="00033144"/>
    <w:rsid w:val="000333EF"/>
    <w:rsid w:val="000337F5"/>
    <w:rsid w:val="00033AD6"/>
    <w:rsid w:val="00033B67"/>
    <w:rsid w:val="00033D81"/>
    <w:rsid w:val="00033DC9"/>
    <w:rsid w:val="000343FE"/>
    <w:rsid w:val="0003483D"/>
    <w:rsid w:val="0003485A"/>
    <w:rsid w:val="00034F51"/>
    <w:rsid w:val="00035558"/>
    <w:rsid w:val="00036381"/>
    <w:rsid w:val="00036459"/>
    <w:rsid w:val="00036FD0"/>
    <w:rsid w:val="00037366"/>
    <w:rsid w:val="00037E28"/>
    <w:rsid w:val="000405C7"/>
    <w:rsid w:val="000407B2"/>
    <w:rsid w:val="00040EC6"/>
    <w:rsid w:val="00041298"/>
    <w:rsid w:val="00041BF0"/>
    <w:rsid w:val="00042167"/>
    <w:rsid w:val="000423AA"/>
    <w:rsid w:val="000425D2"/>
    <w:rsid w:val="00042C8A"/>
    <w:rsid w:val="000439B5"/>
    <w:rsid w:val="00043EC0"/>
    <w:rsid w:val="000443BF"/>
    <w:rsid w:val="000449F1"/>
    <w:rsid w:val="000452F5"/>
    <w:rsid w:val="0004536B"/>
    <w:rsid w:val="00045B20"/>
    <w:rsid w:val="0004615C"/>
    <w:rsid w:val="00046329"/>
    <w:rsid w:val="000464AD"/>
    <w:rsid w:val="00046B68"/>
    <w:rsid w:val="00047336"/>
    <w:rsid w:val="000473F8"/>
    <w:rsid w:val="0004740F"/>
    <w:rsid w:val="0004778E"/>
    <w:rsid w:val="00050672"/>
    <w:rsid w:val="00051048"/>
    <w:rsid w:val="00051862"/>
    <w:rsid w:val="000520FD"/>
    <w:rsid w:val="000527DD"/>
    <w:rsid w:val="000528F5"/>
    <w:rsid w:val="00052FC8"/>
    <w:rsid w:val="00053E8C"/>
    <w:rsid w:val="00053F1A"/>
    <w:rsid w:val="00053FAA"/>
    <w:rsid w:val="00054CEB"/>
    <w:rsid w:val="00054EB6"/>
    <w:rsid w:val="000552C2"/>
    <w:rsid w:val="000558A8"/>
    <w:rsid w:val="0005636C"/>
    <w:rsid w:val="00056371"/>
    <w:rsid w:val="00056EC4"/>
    <w:rsid w:val="000578B2"/>
    <w:rsid w:val="000578E1"/>
    <w:rsid w:val="00057D57"/>
    <w:rsid w:val="00057F0D"/>
    <w:rsid w:val="000607E7"/>
    <w:rsid w:val="00060959"/>
    <w:rsid w:val="00060C8F"/>
    <w:rsid w:val="00060D4C"/>
    <w:rsid w:val="00061CD0"/>
    <w:rsid w:val="00061F4A"/>
    <w:rsid w:val="00062533"/>
    <w:rsid w:val="00062623"/>
    <w:rsid w:val="0006298A"/>
    <w:rsid w:val="00063B1B"/>
    <w:rsid w:val="00063E9A"/>
    <w:rsid w:val="00064E64"/>
    <w:rsid w:val="0006555A"/>
    <w:rsid w:val="00065B4D"/>
    <w:rsid w:val="00065E4D"/>
    <w:rsid w:val="00065ED8"/>
    <w:rsid w:val="00066171"/>
    <w:rsid w:val="000663CD"/>
    <w:rsid w:val="0006696B"/>
    <w:rsid w:val="00067474"/>
    <w:rsid w:val="000676C3"/>
    <w:rsid w:val="00067C38"/>
    <w:rsid w:val="0007256B"/>
    <w:rsid w:val="0007287D"/>
    <w:rsid w:val="000733FE"/>
    <w:rsid w:val="000738DF"/>
    <w:rsid w:val="000741AE"/>
    <w:rsid w:val="00074219"/>
    <w:rsid w:val="00074ED5"/>
    <w:rsid w:val="00075304"/>
    <w:rsid w:val="0007597B"/>
    <w:rsid w:val="00075B66"/>
    <w:rsid w:val="00075EAE"/>
    <w:rsid w:val="000762BC"/>
    <w:rsid w:val="00076633"/>
    <w:rsid w:val="00076840"/>
    <w:rsid w:val="00076BBF"/>
    <w:rsid w:val="00077D72"/>
    <w:rsid w:val="00077EA0"/>
    <w:rsid w:val="00077ED4"/>
    <w:rsid w:val="00077EF4"/>
    <w:rsid w:val="0008023A"/>
    <w:rsid w:val="00080625"/>
    <w:rsid w:val="00080F55"/>
    <w:rsid w:val="00081BA2"/>
    <w:rsid w:val="00081BA6"/>
    <w:rsid w:val="0008204A"/>
    <w:rsid w:val="00082106"/>
    <w:rsid w:val="0008224F"/>
    <w:rsid w:val="00082C4E"/>
    <w:rsid w:val="00082F69"/>
    <w:rsid w:val="00083684"/>
    <w:rsid w:val="00083B1A"/>
    <w:rsid w:val="00084E7C"/>
    <w:rsid w:val="00084ECD"/>
    <w:rsid w:val="0008508E"/>
    <w:rsid w:val="00085622"/>
    <w:rsid w:val="0008573C"/>
    <w:rsid w:val="0008585B"/>
    <w:rsid w:val="00085F6D"/>
    <w:rsid w:val="0008674E"/>
    <w:rsid w:val="00086DD3"/>
    <w:rsid w:val="00086EAB"/>
    <w:rsid w:val="00087137"/>
    <w:rsid w:val="0008741A"/>
    <w:rsid w:val="00087951"/>
    <w:rsid w:val="000902B5"/>
    <w:rsid w:val="0009113B"/>
    <w:rsid w:val="00091B24"/>
    <w:rsid w:val="00091C5C"/>
    <w:rsid w:val="00092712"/>
    <w:rsid w:val="00092AB4"/>
    <w:rsid w:val="00093402"/>
    <w:rsid w:val="00093410"/>
    <w:rsid w:val="00093A2C"/>
    <w:rsid w:val="00093C61"/>
    <w:rsid w:val="0009405C"/>
    <w:rsid w:val="000940CC"/>
    <w:rsid w:val="0009411F"/>
    <w:rsid w:val="00094172"/>
    <w:rsid w:val="0009499C"/>
    <w:rsid w:val="00094DA3"/>
    <w:rsid w:val="000951F7"/>
    <w:rsid w:val="00095B85"/>
    <w:rsid w:val="00095CDF"/>
    <w:rsid w:val="0009657A"/>
    <w:rsid w:val="000966E2"/>
    <w:rsid w:val="00096CD1"/>
    <w:rsid w:val="00096F08"/>
    <w:rsid w:val="0009728B"/>
    <w:rsid w:val="000972B0"/>
    <w:rsid w:val="00097500"/>
    <w:rsid w:val="00097795"/>
    <w:rsid w:val="00097D62"/>
    <w:rsid w:val="00097E75"/>
    <w:rsid w:val="000A012C"/>
    <w:rsid w:val="000A0837"/>
    <w:rsid w:val="000A0EB9"/>
    <w:rsid w:val="000A0ED5"/>
    <w:rsid w:val="000A0F0D"/>
    <w:rsid w:val="000A186C"/>
    <w:rsid w:val="000A19C5"/>
    <w:rsid w:val="000A1A9A"/>
    <w:rsid w:val="000A1DD4"/>
    <w:rsid w:val="000A1EA4"/>
    <w:rsid w:val="000A2476"/>
    <w:rsid w:val="000A310D"/>
    <w:rsid w:val="000A3C2D"/>
    <w:rsid w:val="000A3D79"/>
    <w:rsid w:val="000A3DF8"/>
    <w:rsid w:val="000A5076"/>
    <w:rsid w:val="000A562A"/>
    <w:rsid w:val="000A5F91"/>
    <w:rsid w:val="000A641A"/>
    <w:rsid w:val="000A71DD"/>
    <w:rsid w:val="000A7C1B"/>
    <w:rsid w:val="000B1868"/>
    <w:rsid w:val="000B1FFF"/>
    <w:rsid w:val="000B28E1"/>
    <w:rsid w:val="000B2C49"/>
    <w:rsid w:val="000B2F6D"/>
    <w:rsid w:val="000B3128"/>
    <w:rsid w:val="000B35C1"/>
    <w:rsid w:val="000B3EDB"/>
    <w:rsid w:val="000B453E"/>
    <w:rsid w:val="000B4E07"/>
    <w:rsid w:val="000B519C"/>
    <w:rsid w:val="000B51A3"/>
    <w:rsid w:val="000B543D"/>
    <w:rsid w:val="000B55F9"/>
    <w:rsid w:val="000B5BF7"/>
    <w:rsid w:val="000B5BFB"/>
    <w:rsid w:val="000B5FD8"/>
    <w:rsid w:val="000B6BC8"/>
    <w:rsid w:val="000B6C62"/>
    <w:rsid w:val="000B6DC9"/>
    <w:rsid w:val="000B79F7"/>
    <w:rsid w:val="000C0012"/>
    <w:rsid w:val="000C0303"/>
    <w:rsid w:val="000C04EE"/>
    <w:rsid w:val="000C064C"/>
    <w:rsid w:val="000C08C4"/>
    <w:rsid w:val="000C0A28"/>
    <w:rsid w:val="000C111E"/>
    <w:rsid w:val="000C1941"/>
    <w:rsid w:val="000C1B15"/>
    <w:rsid w:val="000C2661"/>
    <w:rsid w:val="000C2922"/>
    <w:rsid w:val="000C35A8"/>
    <w:rsid w:val="000C3DF3"/>
    <w:rsid w:val="000C42EA"/>
    <w:rsid w:val="000C4546"/>
    <w:rsid w:val="000C45C1"/>
    <w:rsid w:val="000C49BC"/>
    <w:rsid w:val="000C5431"/>
    <w:rsid w:val="000C61BB"/>
    <w:rsid w:val="000C76EE"/>
    <w:rsid w:val="000C77F9"/>
    <w:rsid w:val="000C7DA2"/>
    <w:rsid w:val="000D033F"/>
    <w:rsid w:val="000D057B"/>
    <w:rsid w:val="000D0E89"/>
    <w:rsid w:val="000D1242"/>
    <w:rsid w:val="000D1BF4"/>
    <w:rsid w:val="000D1C8B"/>
    <w:rsid w:val="000D216A"/>
    <w:rsid w:val="000D2A4F"/>
    <w:rsid w:val="000D2ABA"/>
    <w:rsid w:val="000D2ED9"/>
    <w:rsid w:val="000D31D5"/>
    <w:rsid w:val="000D3285"/>
    <w:rsid w:val="000D3306"/>
    <w:rsid w:val="000D49C9"/>
    <w:rsid w:val="000D5CF8"/>
    <w:rsid w:val="000D5D70"/>
    <w:rsid w:val="000D7AE9"/>
    <w:rsid w:val="000D7C8B"/>
    <w:rsid w:val="000E0970"/>
    <w:rsid w:val="000E0A5F"/>
    <w:rsid w:val="000E0B76"/>
    <w:rsid w:val="000E12E1"/>
    <w:rsid w:val="000E1D5D"/>
    <w:rsid w:val="000E24A9"/>
    <w:rsid w:val="000E2D1C"/>
    <w:rsid w:val="000E3B6C"/>
    <w:rsid w:val="000E3CC7"/>
    <w:rsid w:val="000E3F95"/>
    <w:rsid w:val="000E413B"/>
    <w:rsid w:val="000E4EFB"/>
    <w:rsid w:val="000E5569"/>
    <w:rsid w:val="000E5ACF"/>
    <w:rsid w:val="000E637F"/>
    <w:rsid w:val="000E67A3"/>
    <w:rsid w:val="000E6BD4"/>
    <w:rsid w:val="000E6D63"/>
    <w:rsid w:val="000E6D6D"/>
    <w:rsid w:val="000E76E8"/>
    <w:rsid w:val="000E792D"/>
    <w:rsid w:val="000E7F7D"/>
    <w:rsid w:val="000F0461"/>
    <w:rsid w:val="000F0F88"/>
    <w:rsid w:val="000F1D27"/>
    <w:rsid w:val="000F1D29"/>
    <w:rsid w:val="000F1F1E"/>
    <w:rsid w:val="000F2259"/>
    <w:rsid w:val="000F2DDA"/>
    <w:rsid w:val="000F2EA0"/>
    <w:rsid w:val="000F358D"/>
    <w:rsid w:val="000F44A3"/>
    <w:rsid w:val="000F4688"/>
    <w:rsid w:val="000F4AAB"/>
    <w:rsid w:val="000F4B5C"/>
    <w:rsid w:val="000F4C63"/>
    <w:rsid w:val="000F5213"/>
    <w:rsid w:val="000F54B2"/>
    <w:rsid w:val="000F5753"/>
    <w:rsid w:val="000F5981"/>
    <w:rsid w:val="000F6090"/>
    <w:rsid w:val="000F614C"/>
    <w:rsid w:val="000F6673"/>
    <w:rsid w:val="000F688C"/>
    <w:rsid w:val="000F7556"/>
    <w:rsid w:val="000F7C80"/>
    <w:rsid w:val="001000E8"/>
    <w:rsid w:val="00100572"/>
    <w:rsid w:val="00101001"/>
    <w:rsid w:val="001013F3"/>
    <w:rsid w:val="001013FB"/>
    <w:rsid w:val="001017B2"/>
    <w:rsid w:val="00101C25"/>
    <w:rsid w:val="00102787"/>
    <w:rsid w:val="00102BAB"/>
    <w:rsid w:val="00103276"/>
    <w:rsid w:val="00103721"/>
    <w:rsid w:val="00103757"/>
    <w:rsid w:val="0010392D"/>
    <w:rsid w:val="00103C4A"/>
    <w:rsid w:val="00103C5D"/>
    <w:rsid w:val="00103F3F"/>
    <w:rsid w:val="001042FB"/>
    <w:rsid w:val="0010447F"/>
    <w:rsid w:val="00104FE3"/>
    <w:rsid w:val="00105BB0"/>
    <w:rsid w:val="00106A06"/>
    <w:rsid w:val="0010714F"/>
    <w:rsid w:val="00107586"/>
    <w:rsid w:val="001075D2"/>
    <w:rsid w:val="0010761E"/>
    <w:rsid w:val="00110397"/>
    <w:rsid w:val="001109E1"/>
    <w:rsid w:val="00110C38"/>
    <w:rsid w:val="00110EC9"/>
    <w:rsid w:val="001116C9"/>
    <w:rsid w:val="00111718"/>
    <w:rsid w:val="00111C9F"/>
    <w:rsid w:val="001120C5"/>
    <w:rsid w:val="00112938"/>
    <w:rsid w:val="00112FD8"/>
    <w:rsid w:val="00114071"/>
    <w:rsid w:val="00114121"/>
    <w:rsid w:val="0011469B"/>
    <w:rsid w:val="001146A8"/>
    <w:rsid w:val="0011500D"/>
    <w:rsid w:val="0011534C"/>
    <w:rsid w:val="001166EF"/>
    <w:rsid w:val="0011734B"/>
    <w:rsid w:val="001173C5"/>
    <w:rsid w:val="00117ADD"/>
    <w:rsid w:val="00117BD0"/>
    <w:rsid w:val="001205CD"/>
    <w:rsid w:val="00120BD3"/>
    <w:rsid w:val="00120F74"/>
    <w:rsid w:val="0012153C"/>
    <w:rsid w:val="00121D8E"/>
    <w:rsid w:val="00122FEA"/>
    <w:rsid w:val="0012323C"/>
    <w:rsid w:val="001232BD"/>
    <w:rsid w:val="001236DC"/>
    <w:rsid w:val="00123B83"/>
    <w:rsid w:val="001243DD"/>
    <w:rsid w:val="001245B0"/>
    <w:rsid w:val="001245ED"/>
    <w:rsid w:val="00124E21"/>
    <w:rsid w:val="00124ED5"/>
    <w:rsid w:val="00125263"/>
    <w:rsid w:val="00125B03"/>
    <w:rsid w:val="0012633C"/>
    <w:rsid w:val="001263C1"/>
    <w:rsid w:val="001276F3"/>
    <w:rsid w:val="001276FA"/>
    <w:rsid w:val="0012797C"/>
    <w:rsid w:val="00127B46"/>
    <w:rsid w:val="00127F00"/>
    <w:rsid w:val="00130C62"/>
    <w:rsid w:val="0013169B"/>
    <w:rsid w:val="00131898"/>
    <w:rsid w:val="00131DD4"/>
    <w:rsid w:val="00132605"/>
    <w:rsid w:val="00132C03"/>
    <w:rsid w:val="00132C2C"/>
    <w:rsid w:val="00132E47"/>
    <w:rsid w:val="0013351B"/>
    <w:rsid w:val="00133734"/>
    <w:rsid w:val="001343EB"/>
    <w:rsid w:val="001347C0"/>
    <w:rsid w:val="0013483A"/>
    <w:rsid w:val="00135B42"/>
    <w:rsid w:val="0013674E"/>
    <w:rsid w:val="001368A8"/>
    <w:rsid w:val="001370EA"/>
    <w:rsid w:val="001371D9"/>
    <w:rsid w:val="0013732C"/>
    <w:rsid w:val="00137704"/>
    <w:rsid w:val="001405D3"/>
    <w:rsid w:val="00140AE7"/>
    <w:rsid w:val="00140B37"/>
    <w:rsid w:val="00141F68"/>
    <w:rsid w:val="00142A60"/>
    <w:rsid w:val="00142AD2"/>
    <w:rsid w:val="00144716"/>
    <w:rsid w:val="001447B3"/>
    <w:rsid w:val="0014480C"/>
    <w:rsid w:val="00144C95"/>
    <w:rsid w:val="00144E85"/>
    <w:rsid w:val="00145137"/>
    <w:rsid w:val="00145FC3"/>
    <w:rsid w:val="00146B80"/>
    <w:rsid w:val="001470A7"/>
    <w:rsid w:val="0014758A"/>
    <w:rsid w:val="0014789C"/>
    <w:rsid w:val="001506A0"/>
    <w:rsid w:val="00151254"/>
    <w:rsid w:val="0015125D"/>
    <w:rsid w:val="00152073"/>
    <w:rsid w:val="001520CE"/>
    <w:rsid w:val="00152329"/>
    <w:rsid w:val="0015289B"/>
    <w:rsid w:val="00152C6F"/>
    <w:rsid w:val="00153117"/>
    <w:rsid w:val="001536E8"/>
    <w:rsid w:val="00154E40"/>
    <w:rsid w:val="001551CF"/>
    <w:rsid w:val="0015535E"/>
    <w:rsid w:val="00155A40"/>
    <w:rsid w:val="00155E67"/>
    <w:rsid w:val="0015619B"/>
    <w:rsid w:val="00156598"/>
    <w:rsid w:val="00156725"/>
    <w:rsid w:val="00156AEB"/>
    <w:rsid w:val="00156C37"/>
    <w:rsid w:val="001570D1"/>
    <w:rsid w:val="00157DF2"/>
    <w:rsid w:val="001607C8"/>
    <w:rsid w:val="00160BAD"/>
    <w:rsid w:val="00161939"/>
    <w:rsid w:val="00161A0D"/>
    <w:rsid w:val="00161AA0"/>
    <w:rsid w:val="00161D2E"/>
    <w:rsid w:val="00161F3E"/>
    <w:rsid w:val="00162093"/>
    <w:rsid w:val="00162935"/>
    <w:rsid w:val="00162CA9"/>
    <w:rsid w:val="00163A12"/>
    <w:rsid w:val="001644CD"/>
    <w:rsid w:val="001644E4"/>
    <w:rsid w:val="0016453F"/>
    <w:rsid w:val="00165459"/>
    <w:rsid w:val="001659A3"/>
    <w:rsid w:val="00165A57"/>
    <w:rsid w:val="0016617C"/>
    <w:rsid w:val="001663B5"/>
    <w:rsid w:val="00166E8D"/>
    <w:rsid w:val="001670D4"/>
    <w:rsid w:val="001704F0"/>
    <w:rsid w:val="00170E7F"/>
    <w:rsid w:val="001712C2"/>
    <w:rsid w:val="001716C4"/>
    <w:rsid w:val="00171738"/>
    <w:rsid w:val="00171BCB"/>
    <w:rsid w:val="00172BAF"/>
    <w:rsid w:val="0017329E"/>
    <w:rsid w:val="00173D9F"/>
    <w:rsid w:val="00174AF3"/>
    <w:rsid w:val="001752EA"/>
    <w:rsid w:val="0017629F"/>
    <w:rsid w:val="001763CC"/>
    <w:rsid w:val="0017674D"/>
    <w:rsid w:val="001771DD"/>
    <w:rsid w:val="00177995"/>
    <w:rsid w:val="00177A8C"/>
    <w:rsid w:val="00180125"/>
    <w:rsid w:val="00180E04"/>
    <w:rsid w:val="0018138F"/>
    <w:rsid w:val="0018178F"/>
    <w:rsid w:val="00181830"/>
    <w:rsid w:val="00181EBC"/>
    <w:rsid w:val="00182263"/>
    <w:rsid w:val="0018244E"/>
    <w:rsid w:val="0018286D"/>
    <w:rsid w:val="001830E9"/>
    <w:rsid w:val="00184229"/>
    <w:rsid w:val="00184520"/>
    <w:rsid w:val="00184A02"/>
    <w:rsid w:val="00184FF7"/>
    <w:rsid w:val="00185D16"/>
    <w:rsid w:val="00185EDA"/>
    <w:rsid w:val="001867FF"/>
    <w:rsid w:val="00186B33"/>
    <w:rsid w:val="00186C55"/>
    <w:rsid w:val="00186C72"/>
    <w:rsid w:val="00187ABB"/>
    <w:rsid w:val="00187AFF"/>
    <w:rsid w:val="00187FCE"/>
    <w:rsid w:val="00190B33"/>
    <w:rsid w:val="00192CEE"/>
    <w:rsid w:val="00192DF4"/>
    <w:rsid w:val="00192F9D"/>
    <w:rsid w:val="0019316C"/>
    <w:rsid w:val="00193474"/>
    <w:rsid w:val="00193A4E"/>
    <w:rsid w:val="00194CE7"/>
    <w:rsid w:val="00195C3C"/>
    <w:rsid w:val="00195F6A"/>
    <w:rsid w:val="001968FA"/>
    <w:rsid w:val="00196EB8"/>
    <w:rsid w:val="00196EFB"/>
    <w:rsid w:val="00197083"/>
    <w:rsid w:val="00197152"/>
    <w:rsid w:val="001979FF"/>
    <w:rsid w:val="00197B17"/>
    <w:rsid w:val="00197D25"/>
    <w:rsid w:val="001A0373"/>
    <w:rsid w:val="001A03A4"/>
    <w:rsid w:val="001A1523"/>
    <w:rsid w:val="001A1950"/>
    <w:rsid w:val="001A1C54"/>
    <w:rsid w:val="001A25DE"/>
    <w:rsid w:val="001A31BE"/>
    <w:rsid w:val="001A38C1"/>
    <w:rsid w:val="001A3ACE"/>
    <w:rsid w:val="001A40BC"/>
    <w:rsid w:val="001A468D"/>
    <w:rsid w:val="001A46C8"/>
    <w:rsid w:val="001A4801"/>
    <w:rsid w:val="001A49FD"/>
    <w:rsid w:val="001A4C9F"/>
    <w:rsid w:val="001A50CC"/>
    <w:rsid w:val="001A5695"/>
    <w:rsid w:val="001A6272"/>
    <w:rsid w:val="001A7594"/>
    <w:rsid w:val="001A7A91"/>
    <w:rsid w:val="001A7D21"/>
    <w:rsid w:val="001A7FCB"/>
    <w:rsid w:val="001B00F6"/>
    <w:rsid w:val="001B058F"/>
    <w:rsid w:val="001B0B51"/>
    <w:rsid w:val="001B0B64"/>
    <w:rsid w:val="001B152E"/>
    <w:rsid w:val="001B2DF8"/>
    <w:rsid w:val="001B40AF"/>
    <w:rsid w:val="001B4114"/>
    <w:rsid w:val="001B41FE"/>
    <w:rsid w:val="001B4898"/>
    <w:rsid w:val="001B55CF"/>
    <w:rsid w:val="001B61EA"/>
    <w:rsid w:val="001B6ABF"/>
    <w:rsid w:val="001B6B96"/>
    <w:rsid w:val="001B6D55"/>
    <w:rsid w:val="001B6FDF"/>
    <w:rsid w:val="001B725A"/>
    <w:rsid w:val="001B738B"/>
    <w:rsid w:val="001B73DB"/>
    <w:rsid w:val="001C09DB"/>
    <w:rsid w:val="001C0D51"/>
    <w:rsid w:val="001C143E"/>
    <w:rsid w:val="001C15D9"/>
    <w:rsid w:val="001C1F0B"/>
    <w:rsid w:val="001C277E"/>
    <w:rsid w:val="001C27FC"/>
    <w:rsid w:val="001C2A72"/>
    <w:rsid w:val="001C31B7"/>
    <w:rsid w:val="001C36B1"/>
    <w:rsid w:val="001C3D42"/>
    <w:rsid w:val="001C3D5B"/>
    <w:rsid w:val="001C461E"/>
    <w:rsid w:val="001C5278"/>
    <w:rsid w:val="001C54EB"/>
    <w:rsid w:val="001C696A"/>
    <w:rsid w:val="001C6B79"/>
    <w:rsid w:val="001C6F69"/>
    <w:rsid w:val="001C74CF"/>
    <w:rsid w:val="001C7E0B"/>
    <w:rsid w:val="001C7ECB"/>
    <w:rsid w:val="001D0409"/>
    <w:rsid w:val="001D0B75"/>
    <w:rsid w:val="001D10D8"/>
    <w:rsid w:val="001D1C52"/>
    <w:rsid w:val="001D2132"/>
    <w:rsid w:val="001D2519"/>
    <w:rsid w:val="001D2706"/>
    <w:rsid w:val="001D29B6"/>
    <w:rsid w:val="001D366E"/>
    <w:rsid w:val="001D38BC"/>
    <w:rsid w:val="001D39A5"/>
    <w:rsid w:val="001D3C09"/>
    <w:rsid w:val="001D3C0B"/>
    <w:rsid w:val="001D44E8"/>
    <w:rsid w:val="001D4726"/>
    <w:rsid w:val="001D5178"/>
    <w:rsid w:val="001D5809"/>
    <w:rsid w:val="001D59D9"/>
    <w:rsid w:val="001D5B50"/>
    <w:rsid w:val="001D60EC"/>
    <w:rsid w:val="001D65FE"/>
    <w:rsid w:val="001D6B2D"/>
    <w:rsid w:val="001D6F59"/>
    <w:rsid w:val="001D7C87"/>
    <w:rsid w:val="001E06CA"/>
    <w:rsid w:val="001E2848"/>
    <w:rsid w:val="001E2861"/>
    <w:rsid w:val="001E3903"/>
    <w:rsid w:val="001E4132"/>
    <w:rsid w:val="001E42D4"/>
    <w:rsid w:val="001E44DF"/>
    <w:rsid w:val="001E4B2F"/>
    <w:rsid w:val="001E4CBB"/>
    <w:rsid w:val="001E509C"/>
    <w:rsid w:val="001E5D1A"/>
    <w:rsid w:val="001E680E"/>
    <w:rsid w:val="001E68A5"/>
    <w:rsid w:val="001E69D3"/>
    <w:rsid w:val="001E6BB0"/>
    <w:rsid w:val="001E7282"/>
    <w:rsid w:val="001E732B"/>
    <w:rsid w:val="001E75E6"/>
    <w:rsid w:val="001E7F98"/>
    <w:rsid w:val="001F0830"/>
    <w:rsid w:val="001F0971"/>
    <w:rsid w:val="001F1991"/>
    <w:rsid w:val="001F1C04"/>
    <w:rsid w:val="001F1F3B"/>
    <w:rsid w:val="001F3826"/>
    <w:rsid w:val="001F4690"/>
    <w:rsid w:val="001F4810"/>
    <w:rsid w:val="001F540B"/>
    <w:rsid w:val="001F574C"/>
    <w:rsid w:val="001F5C07"/>
    <w:rsid w:val="001F6E46"/>
    <w:rsid w:val="001F7174"/>
    <w:rsid w:val="001F78EB"/>
    <w:rsid w:val="001F7AED"/>
    <w:rsid w:val="001F7C91"/>
    <w:rsid w:val="001F7CCC"/>
    <w:rsid w:val="0020084F"/>
    <w:rsid w:val="00200B53"/>
    <w:rsid w:val="00201663"/>
    <w:rsid w:val="0020202C"/>
    <w:rsid w:val="00202238"/>
    <w:rsid w:val="00202250"/>
    <w:rsid w:val="0020300A"/>
    <w:rsid w:val="002032A1"/>
    <w:rsid w:val="0020330D"/>
    <w:rsid w:val="002033B7"/>
    <w:rsid w:val="00203C48"/>
    <w:rsid w:val="00203FF5"/>
    <w:rsid w:val="002040F5"/>
    <w:rsid w:val="0020436D"/>
    <w:rsid w:val="00204444"/>
    <w:rsid w:val="002052B9"/>
    <w:rsid w:val="00206463"/>
    <w:rsid w:val="002069A2"/>
    <w:rsid w:val="00206AED"/>
    <w:rsid w:val="00206F2F"/>
    <w:rsid w:val="00207717"/>
    <w:rsid w:val="00207BC6"/>
    <w:rsid w:val="00207D67"/>
    <w:rsid w:val="0021053D"/>
    <w:rsid w:val="00210723"/>
    <w:rsid w:val="002107CC"/>
    <w:rsid w:val="00210A92"/>
    <w:rsid w:val="00210EC8"/>
    <w:rsid w:val="00211A01"/>
    <w:rsid w:val="00212B95"/>
    <w:rsid w:val="00213171"/>
    <w:rsid w:val="0021419F"/>
    <w:rsid w:val="002146FA"/>
    <w:rsid w:val="00215171"/>
    <w:rsid w:val="00215B9F"/>
    <w:rsid w:val="00215CC8"/>
    <w:rsid w:val="00215FA4"/>
    <w:rsid w:val="00216164"/>
    <w:rsid w:val="00216ADF"/>
    <w:rsid w:val="00216BFA"/>
    <w:rsid w:val="00216C03"/>
    <w:rsid w:val="00216E36"/>
    <w:rsid w:val="00217563"/>
    <w:rsid w:val="002203B6"/>
    <w:rsid w:val="00220A1A"/>
    <w:rsid w:val="00220C04"/>
    <w:rsid w:val="002214EC"/>
    <w:rsid w:val="0022278D"/>
    <w:rsid w:val="00222A46"/>
    <w:rsid w:val="00222DE0"/>
    <w:rsid w:val="0022355B"/>
    <w:rsid w:val="002238F4"/>
    <w:rsid w:val="00223D18"/>
    <w:rsid w:val="00224788"/>
    <w:rsid w:val="00224D60"/>
    <w:rsid w:val="0022546A"/>
    <w:rsid w:val="0022572D"/>
    <w:rsid w:val="00226869"/>
    <w:rsid w:val="0022701F"/>
    <w:rsid w:val="00227C68"/>
    <w:rsid w:val="00230D15"/>
    <w:rsid w:val="0023135E"/>
    <w:rsid w:val="00231C64"/>
    <w:rsid w:val="0023259B"/>
    <w:rsid w:val="00232D82"/>
    <w:rsid w:val="002333F5"/>
    <w:rsid w:val="00233724"/>
    <w:rsid w:val="0023409D"/>
    <w:rsid w:val="0023496C"/>
    <w:rsid w:val="00234FB8"/>
    <w:rsid w:val="00235F68"/>
    <w:rsid w:val="0023600F"/>
    <w:rsid w:val="002364CC"/>
    <w:rsid w:val="002365B4"/>
    <w:rsid w:val="002368D0"/>
    <w:rsid w:val="00236DA6"/>
    <w:rsid w:val="002370E7"/>
    <w:rsid w:val="002371C7"/>
    <w:rsid w:val="002375A8"/>
    <w:rsid w:val="00237F74"/>
    <w:rsid w:val="00240C35"/>
    <w:rsid w:val="00240C67"/>
    <w:rsid w:val="00241684"/>
    <w:rsid w:val="0024281C"/>
    <w:rsid w:val="00243142"/>
    <w:rsid w:val="0024315E"/>
    <w:rsid w:val="002432E1"/>
    <w:rsid w:val="00243D5D"/>
    <w:rsid w:val="00244030"/>
    <w:rsid w:val="002443A0"/>
    <w:rsid w:val="00244931"/>
    <w:rsid w:val="00246207"/>
    <w:rsid w:val="002463CB"/>
    <w:rsid w:val="00246A12"/>
    <w:rsid w:val="00246C5E"/>
    <w:rsid w:val="00246EBC"/>
    <w:rsid w:val="00247119"/>
    <w:rsid w:val="00247179"/>
    <w:rsid w:val="002472A5"/>
    <w:rsid w:val="0024798D"/>
    <w:rsid w:val="00247D60"/>
    <w:rsid w:val="00250960"/>
    <w:rsid w:val="002511A1"/>
    <w:rsid w:val="00251343"/>
    <w:rsid w:val="00253035"/>
    <w:rsid w:val="002536A4"/>
    <w:rsid w:val="002537D4"/>
    <w:rsid w:val="00254200"/>
    <w:rsid w:val="00254927"/>
    <w:rsid w:val="00254C8B"/>
    <w:rsid w:val="00254CCF"/>
    <w:rsid w:val="00254F58"/>
    <w:rsid w:val="00256072"/>
    <w:rsid w:val="00256279"/>
    <w:rsid w:val="00256873"/>
    <w:rsid w:val="0025749F"/>
    <w:rsid w:val="002578CD"/>
    <w:rsid w:val="00257F73"/>
    <w:rsid w:val="0026115F"/>
    <w:rsid w:val="00261163"/>
    <w:rsid w:val="0026138A"/>
    <w:rsid w:val="00261BE0"/>
    <w:rsid w:val="002620BC"/>
    <w:rsid w:val="00262802"/>
    <w:rsid w:val="00263A90"/>
    <w:rsid w:val="00263B36"/>
    <w:rsid w:val="0026408B"/>
    <w:rsid w:val="002643C9"/>
    <w:rsid w:val="00264651"/>
    <w:rsid w:val="00264CC2"/>
    <w:rsid w:val="00264D36"/>
    <w:rsid w:val="00264EFD"/>
    <w:rsid w:val="00265972"/>
    <w:rsid w:val="00265C0E"/>
    <w:rsid w:val="002663B5"/>
    <w:rsid w:val="00266568"/>
    <w:rsid w:val="002666FD"/>
    <w:rsid w:val="00266839"/>
    <w:rsid w:val="002679CB"/>
    <w:rsid w:val="00267AA6"/>
    <w:rsid w:val="00267ADD"/>
    <w:rsid w:val="00267C3E"/>
    <w:rsid w:val="002702B6"/>
    <w:rsid w:val="002709BB"/>
    <w:rsid w:val="0027107A"/>
    <w:rsid w:val="0027131C"/>
    <w:rsid w:val="00271515"/>
    <w:rsid w:val="00271B32"/>
    <w:rsid w:val="00272288"/>
    <w:rsid w:val="00273BAC"/>
    <w:rsid w:val="0027414E"/>
    <w:rsid w:val="002747FC"/>
    <w:rsid w:val="00275C3E"/>
    <w:rsid w:val="00275C5B"/>
    <w:rsid w:val="002763B3"/>
    <w:rsid w:val="00276B2A"/>
    <w:rsid w:val="00276DCF"/>
    <w:rsid w:val="00277808"/>
    <w:rsid w:val="002778C8"/>
    <w:rsid w:val="002802E3"/>
    <w:rsid w:val="00280401"/>
    <w:rsid w:val="00280CAC"/>
    <w:rsid w:val="00281380"/>
    <w:rsid w:val="00281407"/>
    <w:rsid w:val="00281AFC"/>
    <w:rsid w:val="00281BE6"/>
    <w:rsid w:val="00281D6D"/>
    <w:rsid w:val="0028213D"/>
    <w:rsid w:val="0028274B"/>
    <w:rsid w:val="00282CD9"/>
    <w:rsid w:val="00282E94"/>
    <w:rsid w:val="00283415"/>
    <w:rsid w:val="00284AFA"/>
    <w:rsid w:val="00284DB6"/>
    <w:rsid w:val="0028545C"/>
    <w:rsid w:val="00285652"/>
    <w:rsid w:val="00285937"/>
    <w:rsid w:val="00285DCE"/>
    <w:rsid w:val="00285F88"/>
    <w:rsid w:val="002862D5"/>
    <w:rsid w:val="002862F1"/>
    <w:rsid w:val="0028630A"/>
    <w:rsid w:val="002870FA"/>
    <w:rsid w:val="0028730E"/>
    <w:rsid w:val="00287694"/>
    <w:rsid w:val="00287A37"/>
    <w:rsid w:val="00287B0C"/>
    <w:rsid w:val="00290597"/>
    <w:rsid w:val="00290BC4"/>
    <w:rsid w:val="00290DB3"/>
    <w:rsid w:val="00291373"/>
    <w:rsid w:val="00292414"/>
    <w:rsid w:val="00292B46"/>
    <w:rsid w:val="002930E3"/>
    <w:rsid w:val="002931F3"/>
    <w:rsid w:val="00293BCC"/>
    <w:rsid w:val="00293CD6"/>
    <w:rsid w:val="00293E36"/>
    <w:rsid w:val="00293F37"/>
    <w:rsid w:val="00294650"/>
    <w:rsid w:val="00294AB8"/>
    <w:rsid w:val="002950C7"/>
    <w:rsid w:val="0029597D"/>
    <w:rsid w:val="00295CD3"/>
    <w:rsid w:val="002960B3"/>
    <w:rsid w:val="00296290"/>
    <w:rsid w:val="002962C3"/>
    <w:rsid w:val="00296A5A"/>
    <w:rsid w:val="00296CE9"/>
    <w:rsid w:val="0029752B"/>
    <w:rsid w:val="002976CF"/>
    <w:rsid w:val="00297C19"/>
    <w:rsid w:val="00297D1F"/>
    <w:rsid w:val="002A001C"/>
    <w:rsid w:val="002A042A"/>
    <w:rsid w:val="002A0747"/>
    <w:rsid w:val="002A0A65"/>
    <w:rsid w:val="002A0A9C"/>
    <w:rsid w:val="002A0D72"/>
    <w:rsid w:val="002A16F2"/>
    <w:rsid w:val="002A17C0"/>
    <w:rsid w:val="002A1B1B"/>
    <w:rsid w:val="002A2823"/>
    <w:rsid w:val="002A2D85"/>
    <w:rsid w:val="002A483C"/>
    <w:rsid w:val="002A4B96"/>
    <w:rsid w:val="002A5C07"/>
    <w:rsid w:val="002A6BDA"/>
    <w:rsid w:val="002A7C67"/>
    <w:rsid w:val="002B0C7C"/>
    <w:rsid w:val="002B15B9"/>
    <w:rsid w:val="002B1729"/>
    <w:rsid w:val="002B2DC8"/>
    <w:rsid w:val="002B2FBD"/>
    <w:rsid w:val="002B36C7"/>
    <w:rsid w:val="002B4DD4"/>
    <w:rsid w:val="002B51B8"/>
    <w:rsid w:val="002B5277"/>
    <w:rsid w:val="002B5375"/>
    <w:rsid w:val="002B590E"/>
    <w:rsid w:val="002B6B09"/>
    <w:rsid w:val="002B6CE3"/>
    <w:rsid w:val="002B74D1"/>
    <w:rsid w:val="002B77C1"/>
    <w:rsid w:val="002B7B0A"/>
    <w:rsid w:val="002C01B6"/>
    <w:rsid w:val="002C04BB"/>
    <w:rsid w:val="002C0ED7"/>
    <w:rsid w:val="002C1342"/>
    <w:rsid w:val="002C14DE"/>
    <w:rsid w:val="002C19A6"/>
    <w:rsid w:val="002C1AA5"/>
    <w:rsid w:val="002C1D2A"/>
    <w:rsid w:val="002C20CE"/>
    <w:rsid w:val="002C21A2"/>
    <w:rsid w:val="002C2728"/>
    <w:rsid w:val="002C33D1"/>
    <w:rsid w:val="002C344A"/>
    <w:rsid w:val="002C5B7C"/>
    <w:rsid w:val="002C5D57"/>
    <w:rsid w:val="002C6637"/>
    <w:rsid w:val="002C6985"/>
    <w:rsid w:val="002C6A9D"/>
    <w:rsid w:val="002C6B3B"/>
    <w:rsid w:val="002C75AE"/>
    <w:rsid w:val="002C7612"/>
    <w:rsid w:val="002C7925"/>
    <w:rsid w:val="002D0A09"/>
    <w:rsid w:val="002D17F1"/>
    <w:rsid w:val="002D1E0D"/>
    <w:rsid w:val="002D30DF"/>
    <w:rsid w:val="002D31A6"/>
    <w:rsid w:val="002D34FC"/>
    <w:rsid w:val="002D367A"/>
    <w:rsid w:val="002D37CF"/>
    <w:rsid w:val="002D405A"/>
    <w:rsid w:val="002D5006"/>
    <w:rsid w:val="002D505B"/>
    <w:rsid w:val="002D57D7"/>
    <w:rsid w:val="002D5991"/>
    <w:rsid w:val="002D5EF2"/>
    <w:rsid w:val="002D7C61"/>
    <w:rsid w:val="002E01D0"/>
    <w:rsid w:val="002E04FF"/>
    <w:rsid w:val="002E0923"/>
    <w:rsid w:val="002E102E"/>
    <w:rsid w:val="002E161D"/>
    <w:rsid w:val="002E1E8D"/>
    <w:rsid w:val="002E28A2"/>
    <w:rsid w:val="002E28DF"/>
    <w:rsid w:val="002E29D8"/>
    <w:rsid w:val="002E3100"/>
    <w:rsid w:val="002E3760"/>
    <w:rsid w:val="002E38CA"/>
    <w:rsid w:val="002E3E21"/>
    <w:rsid w:val="002E3F8C"/>
    <w:rsid w:val="002E407C"/>
    <w:rsid w:val="002E4302"/>
    <w:rsid w:val="002E46F2"/>
    <w:rsid w:val="002E56A9"/>
    <w:rsid w:val="002E581A"/>
    <w:rsid w:val="002E5A94"/>
    <w:rsid w:val="002E5AF7"/>
    <w:rsid w:val="002E5B9C"/>
    <w:rsid w:val="002E5C14"/>
    <w:rsid w:val="002E6061"/>
    <w:rsid w:val="002E6C95"/>
    <w:rsid w:val="002E6D69"/>
    <w:rsid w:val="002E7335"/>
    <w:rsid w:val="002E770E"/>
    <w:rsid w:val="002E7C36"/>
    <w:rsid w:val="002E7CF3"/>
    <w:rsid w:val="002F0C58"/>
    <w:rsid w:val="002F196E"/>
    <w:rsid w:val="002F31AE"/>
    <w:rsid w:val="002F3D32"/>
    <w:rsid w:val="002F3F00"/>
    <w:rsid w:val="002F409F"/>
    <w:rsid w:val="002F5558"/>
    <w:rsid w:val="002F5F31"/>
    <w:rsid w:val="002F5F46"/>
    <w:rsid w:val="002F6CC2"/>
    <w:rsid w:val="002F792A"/>
    <w:rsid w:val="00300428"/>
    <w:rsid w:val="00300841"/>
    <w:rsid w:val="00300AA5"/>
    <w:rsid w:val="0030190C"/>
    <w:rsid w:val="00302216"/>
    <w:rsid w:val="00302C59"/>
    <w:rsid w:val="003036C6"/>
    <w:rsid w:val="00303E53"/>
    <w:rsid w:val="0030542D"/>
    <w:rsid w:val="0030556B"/>
    <w:rsid w:val="00305A06"/>
    <w:rsid w:val="00305CC1"/>
    <w:rsid w:val="00306329"/>
    <w:rsid w:val="003064C9"/>
    <w:rsid w:val="00306933"/>
    <w:rsid w:val="00306E5F"/>
    <w:rsid w:val="00307AA7"/>
    <w:rsid w:val="00307C6A"/>
    <w:rsid w:val="00307E14"/>
    <w:rsid w:val="00307E8B"/>
    <w:rsid w:val="00310060"/>
    <w:rsid w:val="00310F84"/>
    <w:rsid w:val="00310FE0"/>
    <w:rsid w:val="003110F2"/>
    <w:rsid w:val="00311795"/>
    <w:rsid w:val="00311E68"/>
    <w:rsid w:val="0031264C"/>
    <w:rsid w:val="0031270F"/>
    <w:rsid w:val="0031298E"/>
    <w:rsid w:val="00312C79"/>
    <w:rsid w:val="00314054"/>
    <w:rsid w:val="003143D9"/>
    <w:rsid w:val="00314666"/>
    <w:rsid w:val="0031484C"/>
    <w:rsid w:val="00314D7E"/>
    <w:rsid w:val="00314E49"/>
    <w:rsid w:val="003159AA"/>
    <w:rsid w:val="00316620"/>
    <w:rsid w:val="003167D6"/>
    <w:rsid w:val="0031688B"/>
    <w:rsid w:val="00316F27"/>
    <w:rsid w:val="003177C5"/>
    <w:rsid w:val="00317AF4"/>
    <w:rsid w:val="0032027D"/>
    <w:rsid w:val="00320D0F"/>
    <w:rsid w:val="003212C3"/>
    <w:rsid w:val="003214F1"/>
    <w:rsid w:val="00321AB8"/>
    <w:rsid w:val="00321FB3"/>
    <w:rsid w:val="00322990"/>
    <w:rsid w:val="00322E4B"/>
    <w:rsid w:val="00324B99"/>
    <w:rsid w:val="00324CBA"/>
    <w:rsid w:val="00325B41"/>
    <w:rsid w:val="00326384"/>
    <w:rsid w:val="00326556"/>
    <w:rsid w:val="00327870"/>
    <w:rsid w:val="003308B0"/>
    <w:rsid w:val="00330E69"/>
    <w:rsid w:val="00331198"/>
    <w:rsid w:val="003312C9"/>
    <w:rsid w:val="003319DF"/>
    <w:rsid w:val="00331CDF"/>
    <w:rsid w:val="0033259D"/>
    <w:rsid w:val="0033321A"/>
    <w:rsid w:val="003333D2"/>
    <w:rsid w:val="00334686"/>
    <w:rsid w:val="0033504D"/>
    <w:rsid w:val="003355C8"/>
    <w:rsid w:val="00336274"/>
    <w:rsid w:val="003362AC"/>
    <w:rsid w:val="00336623"/>
    <w:rsid w:val="00336930"/>
    <w:rsid w:val="00336D7D"/>
    <w:rsid w:val="00337339"/>
    <w:rsid w:val="003378EF"/>
    <w:rsid w:val="00340188"/>
    <w:rsid w:val="00340345"/>
    <w:rsid w:val="003403B7"/>
    <w:rsid w:val="0034045C"/>
    <w:rsid w:val="003406C6"/>
    <w:rsid w:val="0034084C"/>
    <w:rsid w:val="003410AE"/>
    <w:rsid w:val="0034181C"/>
    <w:rsid w:val="003418CC"/>
    <w:rsid w:val="00341A82"/>
    <w:rsid w:val="00341C37"/>
    <w:rsid w:val="00342C67"/>
    <w:rsid w:val="003434EE"/>
    <w:rsid w:val="003439DB"/>
    <w:rsid w:val="00343FBA"/>
    <w:rsid w:val="00344037"/>
    <w:rsid w:val="003450F1"/>
    <w:rsid w:val="003457AB"/>
    <w:rsid w:val="003459BD"/>
    <w:rsid w:val="00345A99"/>
    <w:rsid w:val="00345D7B"/>
    <w:rsid w:val="00346409"/>
    <w:rsid w:val="0034679D"/>
    <w:rsid w:val="00346944"/>
    <w:rsid w:val="00346D9D"/>
    <w:rsid w:val="00347EA7"/>
    <w:rsid w:val="00350609"/>
    <w:rsid w:val="00350D38"/>
    <w:rsid w:val="00351B36"/>
    <w:rsid w:val="00351BD4"/>
    <w:rsid w:val="00351BFE"/>
    <w:rsid w:val="0035234D"/>
    <w:rsid w:val="0035251D"/>
    <w:rsid w:val="00352E8E"/>
    <w:rsid w:val="0035306A"/>
    <w:rsid w:val="00353106"/>
    <w:rsid w:val="00354B9F"/>
    <w:rsid w:val="00354C9B"/>
    <w:rsid w:val="00354D86"/>
    <w:rsid w:val="00355E67"/>
    <w:rsid w:val="003560FC"/>
    <w:rsid w:val="0035620E"/>
    <w:rsid w:val="003569EA"/>
    <w:rsid w:val="00356B04"/>
    <w:rsid w:val="00356F49"/>
    <w:rsid w:val="00356FD3"/>
    <w:rsid w:val="00357B4E"/>
    <w:rsid w:val="003601F8"/>
    <w:rsid w:val="00360212"/>
    <w:rsid w:val="00360E08"/>
    <w:rsid w:val="00361696"/>
    <w:rsid w:val="00361BDC"/>
    <w:rsid w:val="00363675"/>
    <w:rsid w:val="00363964"/>
    <w:rsid w:val="00363E89"/>
    <w:rsid w:val="00364043"/>
    <w:rsid w:val="003641F1"/>
    <w:rsid w:val="00364236"/>
    <w:rsid w:val="00364AF4"/>
    <w:rsid w:val="00364E1B"/>
    <w:rsid w:val="00364E28"/>
    <w:rsid w:val="00365099"/>
    <w:rsid w:val="003650C2"/>
    <w:rsid w:val="00365631"/>
    <w:rsid w:val="00365720"/>
    <w:rsid w:val="00365E61"/>
    <w:rsid w:val="003662D4"/>
    <w:rsid w:val="00367DD3"/>
    <w:rsid w:val="003700D9"/>
    <w:rsid w:val="00370589"/>
    <w:rsid w:val="003706E5"/>
    <w:rsid w:val="003716FD"/>
    <w:rsid w:val="00371EC1"/>
    <w:rsid w:val="00371F9F"/>
    <w:rsid w:val="0037204B"/>
    <w:rsid w:val="0037256C"/>
    <w:rsid w:val="00373919"/>
    <w:rsid w:val="00373A1B"/>
    <w:rsid w:val="003743F7"/>
    <w:rsid w:val="003744CF"/>
    <w:rsid w:val="00374717"/>
    <w:rsid w:val="00374A97"/>
    <w:rsid w:val="003763D3"/>
    <w:rsid w:val="0037676C"/>
    <w:rsid w:val="003769EC"/>
    <w:rsid w:val="00377453"/>
    <w:rsid w:val="00377AFD"/>
    <w:rsid w:val="00377FB6"/>
    <w:rsid w:val="00380432"/>
    <w:rsid w:val="00380A2F"/>
    <w:rsid w:val="00381043"/>
    <w:rsid w:val="0038144B"/>
    <w:rsid w:val="003819E6"/>
    <w:rsid w:val="00382516"/>
    <w:rsid w:val="003829E5"/>
    <w:rsid w:val="003838CA"/>
    <w:rsid w:val="00383CC9"/>
    <w:rsid w:val="003848B8"/>
    <w:rsid w:val="0038496C"/>
    <w:rsid w:val="00384B67"/>
    <w:rsid w:val="00384E0D"/>
    <w:rsid w:val="00385862"/>
    <w:rsid w:val="00386109"/>
    <w:rsid w:val="00386526"/>
    <w:rsid w:val="00386944"/>
    <w:rsid w:val="00386B1C"/>
    <w:rsid w:val="00386F63"/>
    <w:rsid w:val="003870C4"/>
    <w:rsid w:val="003870CA"/>
    <w:rsid w:val="003874FD"/>
    <w:rsid w:val="0038755C"/>
    <w:rsid w:val="0038762E"/>
    <w:rsid w:val="003903E3"/>
    <w:rsid w:val="00390C0E"/>
    <w:rsid w:val="00392159"/>
    <w:rsid w:val="003921D3"/>
    <w:rsid w:val="0039220C"/>
    <w:rsid w:val="00392ADB"/>
    <w:rsid w:val="00392FD0"/>
    <w:rsid w:val="003935FB"/>
    <w:rsid w:val="003956CC"/>
    <w:rsid w:val="0039597C"/>
    <w:rsid w:val="003959B0"/>
    <w:rsid w:val="00395C9A"/>
    <w:rsid w:val="00395E8E"/>
    <w:rsid w:val="003A06E2"/>
    <w:rsid w:val="003A0853"/>
    <w:rsid w:val="003A0FBD"/>
    <w:rsid w:val="003A17F1"/>
    <w:rsid w:val="003A1AC4"/>
    <w:rsid w:val="003A3534"/>
    <w:rsid w:val="003A4041"/>
    <w:rsid w:val="003A4EE4"/>
    <w:rsid w:val="003A5BE6"/>
    <w:rsid w:val="003A6969"/>
    <w:rsid w:val="003A6B67"/>
    <w:rsid w:val="003A70A3"/>
    <w:rsid w:val="003B04AF"/>
    <w:rsid w:val="003B0B2A"/>
    <w:rsid w:val="003B0B3A"/>
    <w:rsid w:val="003B0C1A"/>
    <w:rsid w:val="003B13B6"/>
    <w:rsid w:val="003B14C3"/>
    <w:rsid w:val="003B1586"/>
    <w:rsid w:val="003B15E6"/>
    <w:rsid w:val="003B22EF"/>
    <w:rsid w:val="003B26E6"/>
    <w:rsid w:val="003B3318"/>
    <w:rsid w:val="003B3568"/>
    <w:rsid w:val="003B3B36"/>
    <w:rsid w:val="003B3F6E"/>
    <w:rsid w:val="003B408A"/>
    <w:rsid w:val="003B43EB"/>
    <w:rsid w:val="003B44F1"/>
    <w:rsid w:val="003B47A7"/>
    <w:rsid w:val="003B4893"/>
    <w:rsid w:val="003B48A2"/>
    <w:rsid w:val="003B4D6F"/>
    <w:rsid w:val="003B53AE"/>
    <w:rsid w:val="003B5BB6"/>
    <w:rsid w:val="003B5F72"/>
    <w:rsid w:val="003B6361"/>
    <w:rsid w:val="003B6574"/>
    <w:rsid w:val="003B6BFF"/>
    <w:rsid w:val="003B6D7D"/>
    <w:rsid w:val="003B6D87"/>
    <w:rsid w:val="003B7A1C"/>
    <w:rsid w:val="003B7E04"/>
    <w:rsid w:val="003C05F4"/>
    <w:rsid w:val="003C08A2"/>
    <w:rsid w:val="003C0AC9"/>
    <w:rsid w:val="003C131B"/>
    <w:rsid w:val="003C176D"/>
    <w:rsid w:val="003C1DA9"/>
    <w:rsid w:val="003C2045"/>
    <w:rsid w:val="003C24FA"/>
    <w:rsid w:val="003C35F2"/>
    <w:rsid w:val="003C3B10"/>
    <w:rsid w:val="003C3DA6"/>
    <w:rsid w:val="003C43A1"/>
    <w:rsid w:val="003C43C9"/>
    <w:rsid w:val="003C44C2"/>
    <w:rsid w:val="003C483D"/>
    <w:rsid w:val="003C4892"/>
    <w:rsid w:val="003C4FC0"/>
    <w:rsid w:val="003C55F4"/>
    <w:rsid w:val="003C5823"/>
    <w:rsid w:val="003C5A54"/>
    <w:rsid w:val="003C64E9"/>
    <w:rsid w:val="003C672E"/>
    <w:rsid w:val="003C6CD6"/>
    <w:rsid w:val="003C725B"/>
    <w:rsid w:val="003C7620"/>
    <w:rsid w:val="003C7870"/>
    <w:rsid w:val="003C7897"/>
    <w:rsid w:val="003C7A3F"/>
    <w:rsid w:val="003C7B4E"/>
    <w:rsid w:val="003D2766"/>
    <w:rsid w:val="003D2A74"/>
    <w:rsid w:val="003D3030"/>
    <w:rsid w:val="003D34CD"/>
    <w:rsid w:val="003D3D88"/>
    <w:rsid w:val="003D3E8F"/>
    <w:rsid w:val="003D4881"/>
    <w:rsid w:val="003D48FA"/>
    <w:rsid w:val="003D4A6F"/>
    <w:rsid w:val="003D4C1B"/>
    <w:rsid w:val="003D4C66"/>
    <w:rsid w:val="003D61AB"/>
    <w:rsid w:val="003D6475"/>
    <w:rsid w:val="003D65D1"/>
    <w:rsid w:val="003D67A7"/>
    <w:rsid w:val="003D6851"/>
    <w:rsid w:val="003D69EC"/>
    <w:rsid w:val="003D6B81"/>
    <w:rsid w:val="003D6EE6"/>
    <w:rsid w:val="003D731C"/>
    <w:rsid w:val="003D7604"/>
    <w:rsid w:val="003E0FCF"/>
    <w:rsid w:val="003E136F"/>
    <w:rsid w:val="003E188F"/>
    <w:rsid w:val="003E1FE7"/>
    <w:rsid w:val="003E2050"/>
    <w:rsid w:val="003E2FC1"/>
    <w:rsid w:val="003E375C"/>
    <w:rsid w:val="003E3760"/>
    <w:rsid w:val="003E4086"/>
    <w:rsid w:val="003E4CAD"/>
    <w:rsid w:val="003E639E"/>
    <w:rsid w:val="003E65E5"/>
    <w:rsid w:val="003E6A4F"/>
    <w:rsid w:val="003E709A"/>
    <w:rsid w:val="003E71E5"/>
    <w:rsid w:val="003F000D"/>
    <w:rsid w:val="003F0445"/>
    <w:rsid w:val="003F072A"/>
    <w:rsid w:val="003F0785"/>
    <w:rsid w:val="003F0CF0"/>
    <w:rsid w:val="003F0E96"/>
    <w:rsid w:val="003F1179"/>
    <w:rsid w:val="003F14B1"/>
    <w:rsid w:val="003F1D56"/>
    <w:rsid w:val="003F1DE4"/>
    <w:rsid w:val="003F20BC"/>
    <w:rsid w:val="003F21F8"/>
    <w:rsid w:val="003F25FC"/>
    <w:rsid w:val="003F2B20"/>
    <w:rsid w:val="003F3289"/>
    <w:rsid w:val="003F39F0"/>
    <w:rsid w:val="003F3C62"/>
    <w:rsid w:val="003F3F59"/>
    <w:rsid w:val="003F5CA2"/>
    <w:rsid w:val="003F5CB9"/>
    <w:rsid w:val="003F6433"/>
    <w:rsid w:val="003F7474"/>
    <w:rsid w:val="003F7D0A"/>
    <w:rsid w:val="003F7E17"/>
    <w:rsid w:val="003F7E2E"/>
    <w:rsid w:val="00400117"/>
    <w:rsid w:val="00400384"/>
    <w:rsid w:val="004013C7"/>
    <w:rsid w:val="00401D40"/>
    <w:rsid w:val="00401FCF"/>
    <w:rsid w:val="0040222F"/>
    <w:rsid w:val="004025A6"/>
    <w:rsid w:val="00402FA0"/>
    <w:rsid w:val="00404B8C"/>
    <w:rsid w:val="00404BC8"/>
    <w:rsid w:val="00404C7F"/>
    <w:rsid w:val="0040597F"/>
    <w:rsid w:val="00405CD6"/>
    <w:rsid w:val="00406030"/>
    <w:rsid w:val="0040622A"/>
    <w:rsid w:val="00406285"/>
    <w:rsid w:val="00406959"/>
    <w:rsid w:val="00406B50"/>
    <w:rsid w:val="00406E37"/>
    <w:rsid w:val="0040767B"/>
    <w:rsid w:val="00407F3F"/>
    <w:rsid w:val="004100EF"/>
    <w:rsid w:val="00410ACB"/>
    <w:rsid w:val="00410C82"/>
    <w:rsid w:val="004115A2"/>
    <w:rsid w:val="00411D1C"/>
    <w:rsid w:val="00412089"/>
    <w:rsid w:val="004128A5"/>
    <w:rsid w:val="00412911"/>
    <w:rsid w:val="00412950"/>
    <w:rsid w:val="00412B6E"/>
    <w:rsid w:val="00412FC7"/>
    <w:rsid w:val="00413174"/>
    <w:rsid w:val="00414004"/>
    <w:rsid w:val="0041421C"/>
    <w:rsid w:val="004146D6"/>
    <w:rsid w:val="004148F9"/>
    <w:rsid w:val="00414A77"/>
    <w:rsid w:val="00414FCC"/>
    <w:rsid w:val="00415A65"/>
    <w:rsid w:val="00415BA8"/>
    <w:rsid w:val="00417B35"/>
    <w:rsid w:val="0042084E"/>
    <w:rsid w:val="00421EEF"/>
    <w:rsid w:val="00422185"/>
    <w:rsid w:val="004228CD"/>
    <w:rsid w:val="00422AB0"/>
    <w:rsid w:val="00422EB6"/>
    <w:rsid w:val="0042314A"/>
    <w:rsid w:val="00423458"/>
    <w:rsid w:val="004243F3"/>
    <w:rsid w:val="0042446C"/>
    <w:rsid w:val="00424D65"/>
    <w:rsid w:val="00424D8E"/>
    <w:rsid w:val="00425382"/>
    <w:rsid w:val="0042564C"/>
    <w:rsid w:val="0042699C"/>
    <w:rsid w:val="00426F96"/>
    <w:rsid w:val="004273F7"/>
    <w:rsid w:val="004277E4"/>
    <w:rsid w:val="004278D8"/>
    <w:rsid w:val="004300B4"/>
    <w:rsid w:val="00430393"/>
    <w:rsid w:val="004305D0"/>
    <w:rsid w:val="00430DE9"/>
    <w:rsid w:val="00431806"/>
    <w:rsid w:val="00431A70"/>
    <w:rsid w:val="00431E2B"/>
    <w:rsid w:val="00431F42"/>
    <w:rsid w:val="00432D4F"/>
    <w:rsid w:val="004340A5"/>
    <w:rsid w:val="004346BB"/>
    <w:rsid w:val="00434C91"/>
    <w:rsid w:val="00435B5E"/>
    <w:rsid w:val="00435ECD"/>
    <w:rsid w:val="00436623"/>
    <w:rsid w:val="004368A5"/>
    <w:rsid w:val="004372E7"/>
    <w:rsid w:val="00437BA7"/>
    <w:rsid w:val="00437BF0"/>
    <w:rsid w:val="00440766"/>
    <w:rsid w:val="00440D1F"/>
    <w:rsid w:val="00441995"/>
    <w:rsid w:val="00442C6C"/>
    <w:rsid w:val="004434AC"/>
    <w:rsid w:val="00443CBE"/>
    <w:rsid w:val="00443E8A"/>
    <w:rsid w:val="004441BB"/>
    <w:rsid w:val="004441BC"/>
    <w:rsid w:val="004456FE"/>
    <w:rsid w:val="00445F3A"/>
    <w:rsid w:val="004468B4"/>
    <w:rsid w:val="00446D86"/>
    <w:rsid w:val="00447441"/>
    <w:rsid w:val="004500B6"/>
    <w:rsid w:val="00450265"/>
    <w:rsid w:val="004511BE"/>
    <w:rsid w:val="00451245"/>
    <w:rsid w:val="00451656"/>
    <w:rsid w:val="00451B0D"/>
    <w:rsid w:val="0045230A"/>
    <w:rsid w:val="00452807"/>
    <w:rsid w:val="0045292D"/>
    <w:rsid w:val="004529D3"/>
    <w:rsid w:val="00452CD7"/>
    <w:rsid w:val="00453122"/>
    <w:rsid w:val="00454223"/>
    <w:rsid w:val="004546C0"/>
    <w:rsid w:val="00454A7D"/>
    <w:rsid w:val="00454AD0"/>
    <w:rsid w:val="00454D3F"/>
    <w:rsid w:val="004553A5"/>
    <w:rsid w:val="004560A9"/>
    <w:rsid w:val="0045624B"/>
    <w:rsid w:val="00456E37"/>
    <w:rsid w:val="00457337"/>
    <w:rsid w:val="00457358"/>
    <w:rsid w:val="00460020"/>
    <w:rsid w:val="004602B2"/>
    <w:rsid w:val="00460DF4"/>
    <w:rsid w:val="00462728"/>
    <w:rsid w:val="004629FB"/>
    <w:rsid w:val="00462E3D"/>
    <w:rsid w:val="00463216"/>
    <w:rsid w:val="004635C1"/>
    <w:rsid w:val="00463601"/>
    <w:rsid w:val="00463697"/>
    <w:rsid w:val="00464C69"/>
    <w:rsid w:val="00465774"/>
    <w:rsid w:val="00465905"/>
    <w:rsid w:val="00465EDA"/>
    <w:rsid w:val="00465FCF"/>
    <w:rsid w:val="00466CE5"/>
    <w:rsid w:val="00466E79"/>
    <w:rsid w:val="00467784"/>
    <w:rsid w:val="004679BC"/>
    <w:rsid w:val="00467D5C"/>
    <w:rsid w:val="00467D76"/>
    <w:rsid w:val="0047037E"/>
    <w:rsid w:val="00470D7D"/>
    <w:rsid w:val="00471081"/>
    <w:rsid w:val="00471282"/>
    <w:rsid w:val="004715D2"/>
    <w:rsid w:val="0047294D"/>
    <w:rsid w:val="0047372D"/>
    <w:rsid w:val="0047389A"/>
    <w:rsid w:val="00473B0A"/>
    <w:rsid w:val="00473BA3"/>
    <w:rsid w:val="00473ED8"/>
    <w:rsid w:val="004743DD"/>
    <w:rsid w:val="00474CEA"/>
    <w:rsid w:val="004751BE"/>
    <w:rsid w:val="0047573D"/>
    <w:rsid w:val="00475978"/>
    <w:rsid w:val="00476847"/>
    <w:rsid w:val="00480291"/>
    <w:rsid w:val="004802F9"/>
    <w:rsid w:val="004809AE"/>
    <w:rsid w:val="004811CC"/>
    <w:rsid w:val="00481353"/>
    <w:rsid w:val="004814E6"/>
    <w:rsid w:val="004815DB"/>
    <w:rsid w:val="004819BC"/>
    <w:rsid w:val="00481FC4"/>
    <w:rsid w:val="0048217E"/>
    <w:rsid w:val="00483968"/>
    <w:rsid w:val="00483C43"/>
    <w:rsid w:val="00484004"/>
    <w:rsid w:val="004841BE"/>
    <w:rsid w:val="00484B91"/>
    <w:rsid w:val="00484F86"/>
    <w:rsid w:val="0048502A"/>
    <w:rsid w:val="004860D8"/>
    <w:rsid w:val="004867EE"/>
    <w:rsid w:val="0048770C"/>
    <w:rsid w:val="00490746"/>
    <w:rsid w:val="00490852"/>
    <w:rsid w:val="00490FE5"/>
    <w:rsid w:val="00491C9C"/>
    <w:rsid w:val="00491D60"/>
    <w:rsid w:val="004924B4"/>
    <w:rsid w:val="00492F30"/>
    <w:rsid w:val="004933D9"/>
    <w:rsid w:val="0049347E"/>
    <w:rsid w:val="004946F4"/>
    <w:rsid w:val="0049487E"/>
    <w:rsid w:val="00494B7F"/>
    <w:rsid w:val="004966B1"/>
    <w:rsid w:val="00496759"/>
    <w:rsid w:val="00496DA2"/>
    <w:rsid w:val="004977A2"/>
    <w:rsid w:val="004A160D"/>
    <w:rsid w:val="004A2195"/>
    <w:rsid w:val="004A30CE"/>
    <w:rsid w:val="004A3E81"/>
    <w:rsid w:val="004A4195"/>
    <w:rsid w:val="004A4A7B"/>
    <w:rsid w:val="004A4B5F"/>
    <w:rsid w:val="004A53D7"/>
    <w:rsid w:val="004A5C62"/>
    <w:rsid w:val="004A5CE5"/>
    <w:rsid w:val="004A6737"/>
    <w:rsid w:val="004A707D"/>
    <w:rsid w:val="004A7AA7"/>
    <w:rsid w:val="004B07B4"/>
    <w:rsid w:val="004B0974"/>
    <w:rsid w:val="004B0C99"/>
    <w:rsid w:val="004B11EC"/>
    <w:rsid w:val="004B1375"/>
    <w:rsid w:val="004B26E0"/>
    <w:rsid w:val="004B2D64"/>
    <w:rsid w:val="004B3071"/>
    <w:rsid w:val="004B371A"/>
    <w:rsid w:val="004B39E1"/>
    <w:rsid w:val="004B3D61"/>
    <w:rsid w:val="004B4185"/>
    <w:rsid w:val="004B4862"/>
    <w:rsid w:val="004B54F5"/>
    <w:rsid w:val="004B5750"/>
    <w:rsid w:val="004B64C3"/>
    <w:rsid w:val="004B651A"/>
    <w:rsid w:val="004B668B"/>
    <w:rsid w:val="004B6A8A"/>
    <w:rsid w:val="004B6BEE"/>
    <w:rsid w:val="004B75C7"/>
    <w:rsid w:val="004B79AA"/>
    <w:rsid w:val="004B79E3"/>
    <w:rsid w:val="004C17CC"/>
    <w:rsid w:val="004C1E14"/>
    <w:rsid w:val="004C2C50"/>
    <w:rsid w:val="004C3F35"/>
    <w:rsid w:val="004C4B96"/>
    <w:rsid w:val="004C5541"/>
    <w:rsid w:val="004C693D"/>
    <w:rsid w:val="004C6C6E"/>
    <w:rsid w:val="004C6E51"/>
    <w:rsid w:val="004C6EEE"/>
    <w:rsid w:val="004C702B"/>
    <w:rsid w:val="004C73D9"/>
    <w:rsid w:val="004C7D42"/>
    <w:rsid w:val="004D0033"/>
    <w:rsid w:val="004D016B"/>
    <w:rsid w:val="004D042A"/>
    <w:rsid w:val="004D1A07"/>
    <w:rsid w:val="004D1B22"/>
    <w:rsid w:val="004D21A5"/>
    <w:rsid w:val="004D23CC"/>
    <w:rsid w:val="004D36F2"/>
    <w:rsid w:val="004D39D2"/>
    <w:rsid w:val="004D3A93"/>
    <w:rsid w:val="004D3D3C"/>
    <w:rsid w:val="004D4429"/>
    <w:rsid w:val="004D4A7D"/>
    <w:rsid w:val="004D4E75"/>
    <w:rsid w:val="004D522A"/>
    <w:rsid w:val="004D5816"/>
    <w:rsid w:val="004D5BF9"/>
    <w:rsid w:val="004D6633"/>
    <w:rsid w:val="004E0CEA"/>
    <w:rsid w:val="004E1106"/>
    <w:rsid w:val="004E11E6"/>
    <w:rsid w:val="004E138F"/>
    <w:rsid w:val="004E17F6"/>
    <w:rsid w:val="004E1FA7"/>
    <w:rsid w:val="004E2B12"/>
    <w:rsid w:val="004E4154"/>
    <w:rsid w:val="004E4598"/>
    <w:rsid w:val="004E4649"/>
    <w:rsid w:val="004E48B8"/>
    <w:rsid w:val="004E5582"/>
    <w:rsid w:val="004E56F1"/>
    <w:rsid w:val="004E5C2B"/>
    <w:rsid w:val="004E69FC"/>
    <w:rsid w:val="004E71E5"/>
    <w:rsid w:val="004E76A8"/>
    <w:rsid w:val="004E7B1B"/>
    <w:rsid w:val="004E7D6D"/>
    <w:rsid w:val="004F00DD"/>
    <w:rsid w:val="004F00FF"/>
    <w:rsid w:val="004F02FF"/>
    <w:rsid w:val="004F0BE9"/>
    <w:rsid w:val="004F1412"/>
    <w:rsid w:val="004F141D"/>
    <w:rsid w:val="004F1515"/>
    <w:rsid w:val="004F1BC6"/>
    <w:rsid w:val="004F2133"/>
    <w:rsid w:val="004F230D"/>
    <w:rsid w:val="004F2623"/>
    <w:rsid w:val="004F2A9D"/>
    <w:rsid w:val="004F4282"/>
    <w:rsid w:val="004F49F7"/>
    <w:rsid w:val="004F4C57"/>
    <w:rsid w:val="004F5398"/>
    <w:rsid w:val="004F55F1"/>
    <w:rsid w:val="004F5AD5"/>
    <w:rsid w:val="004F5CA9"/>
    <w:rsid w:val="004F5E72"/>
    <w:rsid w:val="004F64D3"/>
    <w:rsid w:val="004F676A"/>
    <w:rsid w:val="004F6936"/>
    <w:rsid w:val="004F6A6C"/>
    <w:rsid w:val="004F705E"/>
    <w:rsid w:val="005000B4"/>
    <w:rsid w:val="00500AEF"/>
    <w:rsid w:val="00501E72"/>
    <w:rsid w:val="00501F37"/>
    <w:rsid w:val="00502044"/>
    <w:rsid w:val="00502328"/>
    <w:rsid w:val="005024E8"/>
    <w:rsid w:val="00502F73"/>
    <w:rsid w:val="0050328C"/>
    <w:rsid w:val="005035CB"/>
    <w:rsid w:val="00503DC6"/>
    <w:rsid w:val="00504642"/>
    <w:rsid w:val="00505014"/>
    <w:rsid w:val="0050524C"/>
    <w:rsid w:val="0050569D"/>
    <w:rsid w:val="00505F84"/>
    <w:rsid w:val="0050606F"/>
    <w:rsid w:val="00506F5D"/>
    <w:rsid w:val="005074BC"/>
    <w:rsid w:val="00507E20"/>
    <w:rsid w:val="00510234"/>
    <w:rsid w:val="00510C37"/>
    <w:rsid w:val="00511896"/>
    <w:rsid w:val="00511F61"/>
    <w:rsid w:val="005125E1"/>
    <w:rsid w:val="005126D0"/>
    <w:rsid w:val="00512CE9"/>
    <w:rsid w:val="00513366"/>
    <w:rsid w:val="00513A09"/>
    <w:rsid w:val="00513F7D"/>
    <w:rsid w:val="005142C2"/>
    <w:rsid w:val="005142CB"/>
    <w:rsid w:val="00514449"/>
    <w:rsid w:val="00514667"/>
    <w:rsid w:val="00514EC0"/>
    <w:rsid w:val="005155FE"/>
    <w:rsid w:val="0051568D"/>
    <w:rsid w:val="00515885"/>
    <w:rsid w:val="0051625F"/>
    <w:rsid w:val="005167EB"/>
    <w:rsid w:val="005169D7"/>
    <w:rsid w:val="00516D9D"/>
    <w:rsid w:val="00517C8C"/>
    <w:rsid w:val="0052062E"/>
    <w:rsid w:val="00521038"/>
    <w:rsid w:val="00521BC7"/>
    <w:rsid w:val="00521E9A"/>
    <w:rsid w:val="00521E9F"/>
    <w:rsid w:val="00521FC9"/>
    <w:rsid w:val="00522599"/>
    <w:rsid w:val="00522786"/>
    <w:rsid w:val="00522C47"/>
    <w:rsid w:val="005234AD"/>
    <w:rsid w:val="005243A6"/>
    <w:rsid w:val="005243E2"/>
    <w:rsid w:val="0052452D"/>
    <w:rsid w:val="00524573"/>
    <w:rsid w:val="005246B1"/>
    <w:rsid w:val="00525557"/>
    <w:rsid w:val="005256AE"/>
    <w:rsid w:val="00525BF9"/>
    <w:rsid w:val="00526AC7"/>
    <w:rsid w:val="00526C15"/>
    <w:rsid w:val="0052727B"/>
    <w:rsid w:val="00527D6E"/>
    <w:rsid w:val="005307A4"/>
    <w:rsid w:val="005309E4"/>
    <w:rsid w:val="00530EC1"/>
    <w:rsid w:val="005315FD"/>
    <w:rsid w:val="00531744"/>
    <w:rsid w:val="00531A8F"/>
    <w:rsid w:val="005323FA"/>
    <w:rsid w:val="00532FC4"/>
    <w:rsid w:val="0053303E"/>
    <w:rsid w:val="005337EF"/>
    <w:rsid w:val="00533842"/>
    <w:rsid w:val="00533A1A"/>
    <w:rsid w:val="00534114"/>
    <w:rsid w:val="005353B2"/>
    <w:rsid w:val="0053563C"/>
    <w:rsid w:val="005358CE"/>
    <w:rsid w:val="00535DB8"/>
    <w:rsid w:val="00536499"/>
    <w:rsid w:val="00536661"/>
    <w:rsid w:val="00536748"/>
    <w:rsid w:val="005372E1"/>
    <w:rsid w:val="00537D26"/>
    <w:rsid w:val="0054087C"/>
    <w:rsid w:val="00540BE5"/>
    <w:rsid w:val="005419F6"/>
    <w:rsid w:val="00541D43"/>
    <w:rsid w:val="00542007"/>
    <w:rsid w:val="00542216"/>
    <w:rsid w:val="005425A1"/>
    <w:rsid w:val="00542A03"/>
    <w:rsid w:val="00542D43"/>
    <w:rsid w:val="00543244"/>
    <w:rsid w:val="00543903"/>
    <w:rsid w:val="00543BCC"/>
    <w:rsid w:val="00543F11"/>
    <w:rsid w:val="00543F17"/>
    <w:rsid w:val="00544135"/>
    <w:rsid w:val="005449F5"/>
    <w:rsid w:val="00544A6D"/>
    <w:rsid w:val="00545769"/>
    <w:rsid w:val="00545966"/>
    <w:rsid w:val="00546305"/>
    <w:rsid w:val="00546BF1"/>
    <w:rsid w:val="00546DB3"/>
    <w:rsid w:val="00547415"/>
    <w:rsid w:val="00547430"/>
    <w:rsid w:val="00547671"/>
    <w:rsid w:val="0054776E"/>
    <w:rsid w:val="00547A11"/>
    <w:rsid w:val="00547A95"/>
    <w:rsid w:val="00547F48"/>
    <w:rsid w:val="00550809"/>
    <w:rsid w:val="00550E8E"/>
    <w:rsid w:val="00550F82"/>
    <w:rsid w:val="0055119B"/>
    <w:rsid w:val="00551848"/>
    <w:rsid w:val="00551F25"/>
    <w:rsid w:val="00551FFE"/>
    <w:rsid w:val="005526AD"/>
    <w:rsid w:val="00552D80"/>
    <w:rsid w:val="00553F2C"/>
    <w:rsid w:val="00553F32"/>
    <w:rsid w:val="005540F0"/>
    <w:rsid w:val="00554A69"/>
    <w:rsid w:val="00555644"/>
    <w:rsid w:val="00555BB4"/>
    <w:rsid w:val="00556E00"/>
    <w:rsid w:val="005572E3"/>
    <w:rsid w:val="00560B12"/>
    <w:rsid w:val="00561202"/>
    <w:rsid w:val="005614F8"/>
    <w:rsid w:val="0056183C"/>
    <w:rsid w:val="00561CE0"/>
    <w:rsid w:val="00561E2D"/>
    <w:rsid w:val="0056216E"/>
    <w:rsid w:val="00562507"/>
    <w:rsid w:val="00562811"/>
    <w:rsid w:val="00563304"/>
    <w:rsid w:val="005635C9"/>
    <w:rsid w:val="005638EE"/>
    <w:rsid w:val="00564404"/>
    <w:rsid w:val="0056458B"/>
    <w:rsid w:val="0056536C"/>
    <w:rsid w:val="00565900"/>
    <w:rsid w:val="00565912"/>
    <w:rsid w:val="005659D9"/>
    <w:rsid w:val="00565E70"/>
    <w:rsid w:val="00566672"/>
    <w:rsid w:val="00567E82"/>
    <w:rsid w:val="00567E8A"/>
    <w:rsid w:val="00570192"/>
    <w:rsid w:val="0057038A"/>
    <w:rsid w:val="00570D2E"/>
    <w:rsid w:val="0057135B"/>
    <w:rsid w:val="00571409"/>
    <w:rsid w:val="005716BB"/>
    <w:rsid w:val="005716C3"/>
    <w:rsid w:val="0057196B"/>
    <w:rsid w:val="00571984"/>
    <w:rsid w:val="00572031"/>
    <w:rsid w:val="0057216C"/>
    <w:rsid w:val="00572282"/>
    <w:rsid w:val="00572708"/>
    <w:rsid w:val="005729DE"/>
    <w:rsid w:val="00573CE3"/>
    <w:rsid w:val="00576459"/>
    <w:rsid w:val="00576E84"/>
    <w:rsid w:val="00577CD9"/>
    <w:rsid w:val="00580394"/>
    <w:rsid w:val="005805DC"/>
    <w:rsid w:val="005809CD"/>
    <w:rsid w:val="005810D4"/>
    <w:rsid w:val="00581201"/>
    <w:rsid w:val="0058143B"/>
    <w:rsid w:val="0058232E"/>
    <w:rsid w:val="00582377"/>
    <w:rsid w:val="00582B8C"/>
    <w:rsid w:val="005830BB"/>
    <w:rsid w:val="0058358E"/>
    <w:rsid w:val="00583D60"/>
    <w:rsid w:val="00583E66"/>
    <w:rsid w:val="005840CE"/>
    <w:rsid w:val="005842D9"/>
    <w:rsid w:val="00585A56"/>
    <w:rsid w:val="00585BA6"/>
    <w:rsid w:val="005860C0"/>
    <w:rsid w:val="005861AF"/>
    <w:rsid w:val="005861EC"/>
    <w:rsid w:val="00586531"/>
    <w:rsid w:val="00586F1F"/>
    <w:rsid w:val="0058757E"/>
    <w:rsid w:val="005878F8"/>
    <w:rsid w:val="005903A0"/>
    <w:rsid w:val="00590CA8"/>
    <w:rsid w:val="00590E2D"/>
    <w:rsid w:val="00591BC1"/>
    <w:rsid w:val="00591F80"/>
    <w:rsid w:val="00592BFB"/>
    <w:rsid w:val="00592DA8"/>
    <w:rsid w:val="005934A4"/>
    <w:rsid w:val="00595648"/>
    <w:rsid w:val="005957B6"/>
    <w:rsid w:val="00595C38"/>
    <w:rsid w:val="00596765"/>
    <w:rsid w:val="00596A4B"/>
    <w:rsid w:val="00596C50"/>
    <w:rsid w:val="00597507"/>
    <w:rsid w:val="0059783E"/>
    <w:rsid w:val="005A05EF"/>
    <w:rsid w:val="005A0EF3"/>
    <w:rsid w:val="005A1E8A"/>
    <w:rsid w:val="005A2270"/>
    <w:rsid w:val="005A271E"/>
    <w:rsid w:val="005A2A6D"/>
    <w:rsid w:val="005A2AB5"/>
    <w:rsid w:val="005A3497"/>
    <w:rsid w:val="005A3523"/>
    <w:rsid w:val="005A3C7C"/>
    <w:rsid w:val="005A465E"/>
    <w:rsid w:val="005A479D"/>
    <w:rsid w:val="005A4985"/>
    <w:rsid w:val="005A64BC"/>
    <w:rsid w:val="005A6642"/>
    <w:rsid w:val="005A6D6D"/>
    <w:rsid w:val="005A7433"/>
    <w:rsid w:val="005A76DB"/>
    <w:rsid w:val="005B1507"/>
    <w:rsid w:val="005B1C6D"/>
    <w:rsid w:val="005B2070"/>
    <w:rsid w:val="005B21B6"/>
    <w:rsid w:val="005B226B"/>
    <w:rsid w:val="005B22E4"/>
    <w:rsid w:val="005B28CC"/>
    <w:rsid w:val="005B3A08"/>
    <w:rsid w:val="005B542B"/>
    <w:rsid w:val="005B61F3"/>
    <w:rsid w:val="005B67F0"/>
    <w:rsid w:val="005B6A91"/>
    <w:rsid w:val="005B6E21"/>
    <w:rsid w:val="005B7549"/>
    <w:rsid w:val="005B79C2"/>
    <w:rsid w:val="005B7A63"/>
    <w:rsid w:val="005C0955"/>
    <w:rsid w:val="005C0BCE"/>
    <w:rsid w:val="005C1129"/>
    <w:rsid w:val="005C1266"/>
    <w:rsid w:val="005C1CAC"/>
    <w:rsid w:val="005C1CF3"/>
    <w:rsid w:val="005C23AC"/>
    <w:rsid w:val="005C3A45"/>
    <w:rsid w:val="005C3A5B"/>
    <w:rsid w:val="005C42B6"/>
    <w:rsid w:val="005C43BD"/>
    <w:rsid w:val="005C49DA"/>
    <w:rsid w:val="005C4A8B"/>
    <w:rsid w:val="005C4B46"/>
    <w:rsid w:val="005C50F3"/>
    <w:rsid w:val="005C54B5"/>
    <w:rsid w:val="005C5539"/>
    <w:rsid w:val="005C55DE"/>
    <w:rsid w:val="005C5D80"/>
    <w:rsid w:val="005C5D91"/>
    <w:rsid w:val="005C6DB4"/>
    <w:rsid w:val="005C6E8A"/>
    <w:rsid w:val="005C72BC"/>
    <w:rsid w:val="005C78E2"/>
    <w:rsid w:val="005C7B30"/>
    <w:rsid w:val="005C7D39"/>
    <w:rsid w:val="005D0088"/>
    <w:rsid w:val="005D00AA"/>
    <w:rsid w:val="005D0267"/>
    <w:rsid w:val="005D05AA"/>
    <w:rsid w:val="005D07B8"/>
    <w:rsid w:val="005D0F07"/>
    <w:rsid w:val="005D1466"/>
    <w:rsid w:val="005D1E21"/>
    <w:rsid w:val="005D2A71"/>
    <w:rsid w:val="005D2F08"/>
    <w:rsid w:val="005D4CFC"/>
    <w:rsid w:val="005D548A"/>
    <w:rsid w:val="005D5B38"/>
    <w:rsid w:val="005D6597"/>
    <w:rsid w:val="005D673E"/>
    <w:rsid w:val="005D7647"/>
    <w:rsid w:val="005D7BB1"/>
    <w:rsid w:val="005D7E6D"/>
    <w:rsid w:val="005E059A"/>
    <w:rsid w:val="005E0731"/>
    <w:rsid w:val="005E078E"/>
    <w:rsid w:val="005E0937"/>
    <w:rsid w:val="005E098F"/>
    <w:rsid w:val="005E14E7"/>
    <w:rsid w:val="005E1B9E"/>
    <w:rsid w:val="005E26A3"/>
    <w:rsid w:val="005E2848"/>
    <w:rsid w:val="005E2ECB"/>
    <w:rsid w:val="005E2F45"/>
    <w:rsid w:val="005E33F1"/>
    <w:rsid w:val="005E447E"/>
    <w:rsid w:val="005E4BFE"/>
    <w:rsid w:val="005E4DEF"/>
    <w:rsid w:val="005E4FD1"/>
    <w:rsid w:val="005E5343"/>
    <w:rsid w:val="005E5B48"/>
    <w:rsid w:val="005E5B78"/>
    <w:rsid w:val="005E6319"/>
    <w:rsid w:val="005E6532"/>
    <w:rsid w:val="005E65ED"/>
    <w:rsid w:val="005E71B8"/>
    <w:rsid w:val="005F03A6"/>
    <w:rsid w:val="005F0775"/>
    <w:rsid w:val="005F0CF5"/>
    <w:rsid w:val="005F1250"/>
    <w:rsid w:val="005F1734"/>
    <w:rsid w:val="005F178F"/>
    <w:rsid w:val="005F21EB"/>
    <w:rsid w:val="005F2579"/>
    <w:rsid w:val="005F2EA9"/>
    <w:rsid w:val="005F39F4"/>
    <w:rsid w:val="005F3C79"/>
    <w:rsid w:val="005F40E1"/>
    <w:rsid w:val="005F424B"/>
    <w:rsid w:val="005F457E"/>
    <w:rsid w:val="005F46AD"/>
    <w:rsid w:val="005F5291"/>
    <w:rsid w:val="005F5BE9"/>
    <w:rsid w:val="005F5CD0"/>
    <w:rsid w:val="005F5CF6"/>
    <w:rsid w:val="005F5E40"/>
    <w:rsid w:val="005F64CF"/>
    <w:rsid w:val="005F7264"/>
    <w:rsid w:val="005F7399"/>
    <w:rsid w:val="005F74A3"/>
    <w:rsid w:val="005F7B4F"/>
    <w:rsid w:val="00600129"/>
    <w:rsid w:val="006023F5"/>
    <w:rsid w:val="00602658"/>
    <w:rsid w:val="006027EE"/>
    <w:rsid w:val="00602969"/>
    <w:rsid w:val="00602995"/>
    <w:rsid w:val="006029AF"/>
    <w:rsid w:val="00602F1E"/>
    <w:rsid w:val="006041AD"/>
    <w:rsid w:val="00604240"/>
    <w:rsid w:val="0060438E"/>
    <w:rsid w:val="0060443D"/>
    <w:rsid w:val="00604738"/>
    <w:rsid w:val="00604A5A"/>
    <w:rsid w:val="00604EF1"/>
    <w:rsid w:val="006052B3"/>
    <w:rsid w:val="00605908"/>
    <w:rsid w:val="00605F8D"/>
    <w:rsid w:val="00605FE3"/>
    <w:rsid w:val="00607850"/>
    <w:rsid w:val="00607CDF"/>
    <w:rsid w:val="00607EF7"/>
    <w:rsid w:val="00610375"/>
    <w:rsid w:val="006105DA"/>
    <w:rsid w:val="006109A7"/>
    <w:rsid w:val="00610B54"/>
    <w:rsid w:val="00610D7C"/>
    <w:rsid w:val="00611272"/>
    <w:rsid w:val="0061147F"/>
    <w:rsid w:val="00612E1B"/>
    <w:rsid w:val="006130C3"/>
    <w:rsid w:val="00613414"/>
    <w:rsid w:val="00613EC7"/>
    <w:rsid w:val="00614FA3"/>
    <w:rsid w:val="00615451"/>
    <w:rsid w:val="0061548E"/>
    <w:rsid w:val="00615898"/>
    <w:rsid w:val="0061714E"/>
    <w:rsid w:val="00620154"/>
    <w:rsid w:val="00620292"/>
    <w:rsid w:val="00620740"/>
    <w:rsid w:val="0062185D"/>
    <w:rsid w:val="00623307"/>
    <w:rsid w:val="0062345B"/>
    <w:rsid w:val="0062371A"/>
    <w:rsid w:val="00623AAE"/>
    <w:rsid w:val="00623BCE"/>
    <w:rsid w:val="0062408D"/>
    <w:rsid w:val="006240CC"/>
    <w:rsid w:val="00624940"/>
    <w:rsid w:val="00624C1D"/>
    <w:rsid w:val="006254F8"/>
    <w:rsid w:val="00625ACB"/>
    <w:rsid w:val="00625EF9"/>
    <w:rsid w:val="006268AB"/>
    <w:rsid w:val="00626D55"/>
    <w:rsid w:val="00627663"/>
    <w:rsid w:val="00627A75"/>
    <w:rsid w:val="00627C96"/>
    <w:rsid w:val="00627DA7"/>
    <w:rsid w:val="00630DA4"/>
    <w:rsid w:val="00631251"/>
    <w:rsid w:val="00631465"/>
    <w:rsid w:val="006318A8"/>
    <w:rsid w:val="00631CD4"/>
    <w:rsid w:val="006321AD"/>
    <w:rsid w:val="00632597"/>
    <w:rsid w:val="00632621"/>
    <w:rsid w:val="006331E7"/>
    <w:rsid w:val="00633822"/>
    <w:rsid w:val="00634D13"/>
    <w:rsid w:val="00634D2C"/>
    <w:rsid w:val="00634F93"/>
    <w:rsid w:val="006357CE"/>
    <w:rsid w:val="006358B4"/>
    <w:rsid w:val="00636506"/>
    <w:rsid w:val="00636FD9"/>
    <w:rsid w:val="00637AF4"/>
    <w:rsid w:val="0064023C"/>
    <w:rsid w:val="00640618"/>
    <w:rsid w:val="00640B35"/>
    <w:rsid w:val="00641724"/>
    <w:rsid w:val="006419AA"/>
    <w:rsid w:val="0064227E"/>
    <w:rsid w:val="00642ABF"/>
    <w:rsid w:val="0064304C"/>
    <w:rsid w:val="00643385"/>
    <w:rsid w:val="00643ABF"/>
    <w:rsid w:val="0064412B"/>
    <w:rsid w:val="006444BF"/>
    <w:rsid w:val="00644B1F"/>
    <w:rsid w:val="00644B7E"/>
    <w:rsid w:val="00644D56"/>
    <w:rsid w:val="006454E6"/>
    <w:rsid w:val="00645777"/>
    <w:rsid w:val="00645B33"/>
    <w:rsid w:val="00646235"/>
    <w:rsid w:val="006468E4"/>
    <w:rsid w:val="00646A68"/>
    <w:rsid w:val="00647253"/>
    <w:rsid w:val="006474FA"/>
    <w:rsid w:val="00647A65"/>
    <w:rsid w:val="006500E4"/>
    <w:rsid w:val="006505BD"/>
    <w:rsid w:val="006508EA"/>
    <w:rsid w:val="0065092E"/>
    <w:rsid w:val="00650A5E"/>
    <w:rsid w:val="00650CBD"/>
    <w:rsid w:val="00651813"/>
    <w:rsid w:val="006521AA"/>
    <w:rsid w:val="0065248E"/>
    <w:rsid w:val="006525BD"/>
    <w:rsid w:val="0065316B"/>
    <w:rsid w:val="00653541"/>
    <w:rsid w:val="0065387A"/>
    <w:rsid w:val="00653B2E"/>
    <w:rsid w:val="00653C99"/>
    <w:rsid w:val="006544F6"/>
    <w:rsid w:val="006549C9"/>
    <w:rsid w:val="00655021"/>
    <w:rsid w:val="006550E0"/>
    <w:rsid w:val="006555C0"/>
    <w:rsid w:val="006557A7"/>
    <w:rsid w:val="00656290"/>
    <w:rsid w:val="006568ED"/>
    <w:rsid w:val="0065715A"/>
    <w:rsid w:val="00657216"/>
    <w:rsid w:val="006577AB"/>
    <w:rsid w:val="00657AD4"/>
    <w:rsid w:val="00657AF8"/>
    <w:rsid w:val="006600ED"/>
    <w:rsid w:val="006601C9"/>
    <w:rsid w:val="00660819"/>
    <w:rsid w:val="006608D8"/>
    <w:rsid w:val="00660BB6"/>
    <w:rsid w:val="00661D2A"/>
    <w:rsid w:val="00661EAC"/>
    <w:rsid w:val="006621D7"/>
    <w:rsid w:val="006628F8"/>
    <w:rsid w:val="00662BB7"/>
    <w:rsid w:val="0066302A"/>
    <w:rsid w:val="00663A0C"/>
    <w:rsid w:val="00663E42"/>
    <w:rsid w:val="006647F2"/>
    <w:rsid w:val="00664A3A"/>
    <w:rsid w:val="00664B2B"/>
    <w:rsid w:val="00665DCF"/>
    <w:rsid w:val="0066607E"/>
    <w:rsid w:val="00666833"/>
    <w:rsid w:val="0066719B"/>
    <w:rsid w:val="00667770"/>
    <w:rsid w:val="00667936"/>
    <w:rsid w:val="00670050"/>
    <w:rsid w:val="0067035E"/>
    <w:rsid w:val="00670597"/>
    <w:rsid w:val="00670645"/>
    <w:rsid w:val="006706D0"/>
    <w:rsid w:val="00670CF1"/>
    <w:rsid w:val="0067194D"/>
    <w:rsid w:val="00672013"/>
    <w:rsid w:val="00672038"/>
    <w:rsid w:val="0067230F"/>
    <w:rsid w:val="00672BA2"/>
    <w:rsid w:val="00673711"/>
    <w:rsid w:val="00674B44"/>
    <w:rsid w:val="00675790"/>
    <w:rsid w:val="006766D4"/>
    <w:rsid w:val="0067671B"/>
    <w:rsid w:val="00677574"/>
    <w:rsid w:val="006804F3"/>
    <w:rsid w:val="006805F7"/>
    <w:rsid w:val="00680DFE"/>
    <w:rsid w:val="006812ED"/>
    <w:rsid w:val="00682EFE"/>
    <w:rsid w:val="006834D4"/>
    <w:rsid w:val="0068355A"/>
    <w:rsid w:val="00683878"/>
    <w:rsid w:val="00683BFF"/>
    <w:rsid w:val="00683FC5"/>
    <w:rsid w:val="00684380"/>
    <w:rsid w:val="0068454C"/>
    <w:rsid w:val="00684FEE"/>
    <w:rsid w:val="0068510D"/>
    <w:rsid w:val="0068587E"/>
    <w:rsid w:val="006863E9"/>
    <w:rsid w:val="0069138D"/>
    <w:rsid w:val="00691B62"/>
    <w:rsid w:val="006925C0"/>
    <w:rsid w:val="006926C6"/>
    <w:rsid w:val="006929CC"/>
    <w:rsid w:val="00692E54"/>
    <w:rsid w:val="00692FC9"/>
    <w:rsid w:val="006933B5"/>
    <w:rsid w:val="006934C3"/>
    <w:rsid w:val="00693D14"/>
    <w:rsid w:val="00695706"/>
    <w:rsid w:val="00695C97"/>
    <w:rsid w:val="0069689B"/>
    <w:rsid w:val="00696B70"/>
    <w:rsid w:val="00696CD2"/>
    <w:rsid w:val="00696D08"/>
    <w:rsid w:val="00696DF7"/>
    <w:rsid w:val="00696F27"/>
    <w:rsid w:val="00697097"/>
    <w:rsid w:val="0069725C"/>
    <w:rsid w:val="006972BA"/>
    <w:rsid w:val="006A05D4"/>
    <w:rsid w:val="006A0662"/>
    <w:rsid w:val="006A11FE"/>
    <w:rsid w:val="006A164A"/>
    <w:rsid w:val="006A18C1"/>
    <w:rsid w:val="006A18C2"/>
    <w:rsid w:val="006A1A81"/>
    <w:rsid w:val="006A2546"/>
    <w:rsid w:val="006A25F6"/>
    <w:rsid w:val="006A2632"/>
    <w:rsid w:val="006A2A8F"/>
    <w:rsid w:val="006A2FAA"/>
    <w:rsid w:val="006A30F8"/>
    <w:rsid w:val="006A3383"/>
    <w:rsid w:val="006A33A3"/>
    <w:rsid w:val="006A5E6E"/>
    <w:rsid w:val="006A6A32"/>
    <w:rsid w:val="006A7736"/>
    <w:rsid w:val="006B077C"/>
    <w:rsid w:val="006B15A7"/>
    <w:rsid w:val="006B168C"/>
    <w:rsid w:val="006B1D22"/>
    <w:rsid w:val="006B21B3"/>
    <w:rsid w:val="006B23E5"/>
    <w:rsid w:val="006B259A"/>
    <w:rsid w:val="006B2AFC"/>
    <w:rsid w:val="006B2F8D"/>
    <w:rsid w:val="006B36FE"/>
    <w:rsid w:val="006B37A7"/>
    <w:rsid w:val="006B397B"/>
    <w:rsid w:val="006B4368"/>
    <w:rsid w:val="006B5C2B"/>
    <w:rsid w:val="006B6803"/>
    <w:rsid w:val="006B6F0B"/>
    <w:rsid w:val="006B7FAE"/>
    <w:rsid w:val="006C1587"/>
    <w:rsid w:val="006C251F"/>
    <w:rsid w:val="006C32C9"/>
    <w:rsid w:val="006C450E"/>
    <w:rsid w:val="006C5131"/>
    <w:rsid w:val="006C630F"/>
    <w:rsid w:val="006C660D"/>
    <w:rsid w:val="006C6B5D"/>
    <w:rsid w:val="006C770B"/>
    <w:rsid w:val="006C7A2E"/>
    <w:rsid w:val="006C7B02"/>
    <w:rsid w:val="006D0AA2"/>
    <w:rsid w:val="006D0F16"/>
    <w:rsid w:val="006D0FF5"/>
    <w:rsid w:val="006D12B9"/>
    <w:rsid w:val="006D13E6"/>
    <w:rsid w:val="006D157B"/>
    <w:rsid w:val="006D2A3F"/>
    <w:rsid w:val="006D2D6D"/>
    <w:rsid w:val="006D2FBC"/>
    <w:rsid w:val="006D3CB3"/>
    <w:rsid w:val="006D5277"/>
    <w:rsid w:val="006D527A"/>
    <w:rsid w:val="006D603C"/>
    <w:rsid w:val="006D6108"/>
    <w:rsid w:val="006D6A1B"/>
    <w:rsid w:val="006D6E34"/>
    <w:rsid w:val="006D7CD1"/>
    <w:rsid w:val="006E0AA5"/>
    <w:rsid w:val="006E138B"/>
    <w:rsid w:val="006E1867"/>
    <w:rsid w:val="006E2228"/>
    <w:rsid w:val="006E2E8E"/>
    <w:rsid w:val="006E340D"/>
    <w:rsid w:val="006E3B51"/>
    <w:rsid w:val="006E46A7"/>
    <w:rsid w:val="006E6912"/>
    <w:rsid w:val="006E712F"/>
    <w:rsid w:val="006E772E"/>
    <w:rsid w:val="006E78E4"/>
    <w:rsid w:val="006E7AFA"/>
    <w:rsid w:val="006E7F05"/>
    <w:rsid w:val="006F0330"/>
    <w:rsid w:val="006F054E"/>
    <w:rsid w:val="006F114F"/>
    <w:rsid w:val="006F1D53"/>
    <w:rsid w:val="006F1DA3"/>
    <w:rsid w:val="006F1FDC"/>
    <w:rsid w:val="006F24D7"/>
    <w:rsid w:val="006F26BF"/>
    <w:rsid w:val="006F2D58"/>
    <w:rsid w:val="006F3167"/>
    <w:rsid w:val="006F33E2"/>
    <w:rsid w:val="006F3C0F"/>
    <w:rsid w:val="006F3D55"/>
    <w:rsid w:val="006F3E42"/>
    <w:rsid w:val="006F4203"/>
    <w:rsid w:val="006F4A2E"/>
    <w:rsid w:val="006F4AFB"/>
    <w:rsid w:val="006F4D1D"/>
    <w:rsid w:val="006F5570"/>
    <w:rsid w:val="006F62D1"/>
    <w:rsid w:val="006F6734"/>
    <w:rsid w:val="006F6B8C"/>
    <w:rsid w:val="006F7B91"/>
    <w:rsid w:val="007001CE"/>
    <w:rsid w:val="007003E2"/>
    <w:rsid w:val="00700560"/>
    <w:rsid w:val="007013EF"/>
    <w:rsid w:val="00701D2B"/>
    <w:rsid w:val="0070220F"/>
    <w:rsid w:val="00703672"/>
    <w:rsid w:val="00704B52"/>
    <w:rsid w:val="007055BD"/>
    <w:rsid w:val="0070579C"/>
    <w:rsid w:val="00705E4D"/>
    <w:rsid w:val="00705EB0"/>
    <w:rsid w:val="0070605B"/>
    <w:rsid w:val="00706A83"/>
    <w:rsid w:val="00706D30"/>
    <w:rsid w:val="00706D60"/>
    <w:rsid w:val="007077D2"/>
    <w:rsid w:val="007100B2"/>
    <w:rsid w:val="00711142"/>
    <w:rsid w:val="00711164"/>
    <w:rsid w:val="00711254"/>
    <w:rsid w:val="00711B58"/>
    <w:rsid w:val="00712B26"/>
    <w:rsid w:val="00712CAA"/>
    <w:rsid w:val="0071351C"/>
    <w:rsid w:val="00715AAF"/>
    <w:rsid w:val="00715B36"/>
    <w:rsid w:val="00715C29"/>
    <w:rsid w:val="00716B8F"/>
    <w:rsid w:val="007172AA"/>
    <w:rsid w:val="007173CA"/>
    <w:rsid w:val="00717F03"/>
    <w:rsid w:val="00720476"/>
    <w:rsid w:val="00720BCC"/>
    <w:rsid w:val="00720E18"/>
    <w:rsid w:val="00720E7C"/>
    <w:rsid w:val="0072118A"/>
    <w:rsid w:val="007215C4"/>
    <w:rsid w:val="00721652"/>
    <w:rsid w:val="007216AA"/>
    <w:rsid w:val="007217E5"/>
    <w:rsid w:val="007217F4"/>
    <w:rsid w:val="00721AB5"/>
    <w:rsid w:val="00721CFB"/>
    <w:rsid w:val="00721DEF"/>
    <w:rsid w:val="00722424"/>
    <w:rsid w:val="00723C14"/>
    <w:rsid w:val="00724A43"/>
    <w:rsid w:val="00725113"/>
    <w:rsid w:val="007256EB"/>
    <w:rsid w:val="00725FDC"/>
    <w:rsid w:val="00726C29"/>
    <w:rsid w:val="007273AC"/>
    <w:rsid w:val="007277AF"/>
    <w:rsid w:val="007279A0"/>
    <w:rsid w:val="00727F74"/>
    <w:rsid w:val="00727FAB"/>
    <w:rsid w:val="00730007"/>
    <w:rsid w:val="00730049"/>
    <w:rsid w:val="007300C9"/>
    <w:rsid w:val="007302E4"/>
    <w:rsid w:val="00730B29"/>
    <w:rsid w:val="00730BFE"/>
    <w:rsid w:val="007314D8"/>
    <w:rsid w:val="007318BA"/>
    <w:rsid w:val="00731AD4"/>
    <w:rsid w:val="007324B7"/>
    <w:rsid w:val="00732812"/>
    <w:rsid w:val="0073303F"/>
    <w:rsid w:val="007346E4"/>
    <w:rsid w:val="00734D6E"/>
    <w:rsid w:val="00735564"/>
    <w:rsid w:val="00735E26"/>
    <w:rsid w:val="00735FCA"/>
    <w:rsid w:val="0073631B"/>
    <w:rsid w:val="0073639B"/>
    <w:rsid w:val="007364B1"/>
    <w:rsid w:val="00736B32"/>
    <w:rsid w:val="00737229"/>
    <w:rsid w:val="007372B3"/>
    <w:rsid w:val="00737DDD"/>
    <w:rsid w:val="0074003D"/>
    <w:rsid w:val="00740F22"/>
    <w:rsid w:val="00741073"/>
    <w:rsid w:val="00741CF0"/>
    <w:rsid w:val="00741EDB"/>
    <w:rsid w:val="00741F1A"/>
    <w:rsid w:val="007426BF"/>
    <w:rsid w:val="00742F8B"/>
    <w:rsid w:val="00742FC5"/>
    <w:rsid w:val="00743037"/>
    <w:rsid w:val="00743076"/>
    <w:rsid w:val="00743BCB"/>
    <w:rsid w:val="00743DDB"/>
    <w:rsid w:val="007445D7"/>
    <w:rsid w:val="007447DA"/>
    <w:rsid w:val="00744B27"/>
    <w:rsid w:val="00744F54"/>
    <w:rsid w:val="007450D0"/>
    <w:rsid w:val="007450F8"/>
    <w:rsid w:val="007451A8"/>
    <w:rsid w:val="0074537F"/>
    <w:rsid w:val="00745693"/>
    <w:rsid w:val="00745821"/>
    <w:rsid w:val="007463F2"/>
    <w:rsid w:val="0074696E"/>
    <w:rsid w:val="0074733D"/>
    <w:rsid w:val="0074769D"/>
    <w:rsid w:val="00747906"/>
    <w:rsid w:val="00747B4D"/>
    <w:rsid w:val="00747C82"/>
    <w:rsid w:val="00750135"/>
    <w:rsid w:val="0075029B"/>
    <w:rsid w:val="007506BB"/>
    <w:rsid w:val="0075096C"/>
    <w:rsid w:val="00750B7F"/>
    <w:rsid w:val="00750EC2"/>
    <w:rsid w:val="00750F36"/>
    <w:rsid w:val="00750FBD"/>
    <w:rsid w:val="00751554"/>
    <w:rsid w:val="00751728"/>
    <w:rsid w:val="00751732"/>
    <w:rsid w:val="00751C9D"/>
    <w:rsid w:val="00752662"/>
    <w:rsid w:val="00752B28"/>
    <w:rsid w:val="00752E7D"/>
    <w:rsid w:val="0075359B"/>
    <w:rsid w:val="007536BC"/>
    <w:rsid w:val="007541A9"/>
    <w:rsid w:val="00754609"/>
    <w:rsid w:val="00754E36"/>
    <w:rsid w:val="00755052"/>
    <w:rsid w:val="00755354"/>
    <w:rsid w:val="007563DE"/>
    <w:rsid w:val="007566BE"/>
    <w:rsid w:val="00756A89"/>
    <w:rsid w:val="007608B9"/>
    <w:rsid w:val="00760B80"/>
    <w:rsid w:val="00761C77"/>
    <w:rsid w:val="007630F4"/>
    <w:rsid w:val="00763139"/>
    <w:rsid w:val="00763204"/>
    <w:rsid w:val="0076332E"/>
    <w:rsid w:val="00763923"/>
    <w:rsid w:val="0076458B"/>
    <w:rsid w:val="00764667"/>
    <w:rsid w:val="00764B55"/>
    <w:rsid w:val="007656F8"/>
    <w:rsid w:val="00765717"/>
    <w:rsid w:val="0076734F"/>
    <w:rsid w:val="00767DB9"/>
    <w:rsid w:val="00770035"/>
    <w:rsid w:val="00770B20"/>
    <w:rsid w:val="00770F37"/>
    <w:rsid w:val="007711A0"/>
    <w:rsid w:val="00771499"/>
    <w:rsid w:val="00771C45"/>
    <w:rsid w:val="00772013"/>
    <w:rsid w:val="00772B8F"/>
    <w:rsid w:val="00772D5E"/>
    <w:rsid w:val="007731A5"/>
    <w:rsid w:val="00773C41"/>
    <w:rsid w:val="0077463E"/>
    <w:rsid w:val="007748CE"/>
    <w:rsid w:val="00775BE7"/>
    <w:rsid w:val="00776139"/>
    <w:rsid w:val="00776610"/>
    <w:rsid w:val="00776915"/>
    <w:rsid w:val="00776928"/>
    <w:rsid w:val="00776D56"/>
    <w:rsid w:val="00776E0F"/>
    <w:rsid w:val="007774A1"/>
    <w:rsid w:val="007774B1"/>
    <w:rsid w:val="007777A9"/>
    <w:rsid w:val="00777BE1"/>
    <w:rsid w:val="00780D2D"/>
    <w:rsid w:val="00780DC1"/>
    <w:rsid w:val="00780FC5"/>
    <w:rsid w:val="00781842"/>
    <w:rsid w:val="00782222"/>
    <w:rsid w:val="00782846"/>
    <w:rsid w:val="00782A25"/>
    <w:rsid w:val="00782C70"/>
    <w:rsid w:val="007833D8"/>
    <w:rsid w:val="007834FE"/>
    <w:rsid w:val="00783B9A"/>
    <w:rsid w:val="007840BF"/>
    <w:rsid w:val="00785258"/>
    <w:rsid w:val="00785677"/>
    <w:rsid w:val="00785CFF"/>
    <w:rsid w:val="007864B7"/>
    <w:rsid w:val="00786989"/>
    <w:rsid w:val="00786F16"/>
    <w:rsid w:val="00790447"/>
    <w:rsid w:val="00790FC4"/>
    <w:rsid w:val="00791BD7"/>
    <w:rsid w:val="007923C5"/>
    <w:rsid w:val="007927B7"/>
    <w:rsid w:val="007933F7"/>
    <w:rsid w:val="007937E1"/>
    <w:rsid w:val="007944C4"/>
    <w:rsid w:val="00795E03"/>
    <w:rsid w:val="0079681A"/>
    <w:rsid w:val="00796BA6"/>
    <w:rsid w:val="00796E20"/>
    <w:rsid w:val="00796F14"/>
    <w:rsid w:val="00797459"/>
    <w:rsid w:val="00797BB2"/>
    <w:rsid w:val="00797C32"/>
    <w:rsid w:val="007A0362"/>
    <w:rsid w:val="007A093E"/>
    <w:rsid w:val="007A0AE0"/>
    <w:rsid w:val="007A0FBA"/>
    <w:rsid w:val="007A0FDB"/>
    <w:rsid w:val="007A101A"/>
    <w:rsid w:val="007A11E8"/>
    <w:rsid w:val="007A133F"/>
    <w:rsid w:val="007A1BD0"/>
    <w:rsid w:val="007A2134"/>
    <w:rsid w:val="007A2283"/>
    <w:rsid w:val="007A27A0"/>
    <w:rsid w:val="007A27CF"/>
    <w:rsid w:val="007A2EFD"/>
    <w:rsid w:val="007A3E38"/>
    <w:rsid w:val="007A5438"/>
    <w:rsid w:val="007A5865"/>
    <w:rsid w:val="007A6AFE"/>
    <w:rsid w:val="007A7364"/>
    <w:rsid w:val="007A758F"/>
    <w:rsid w:val="007A7F61"/>
    <w:rsid w:val="007B0625"/>
    <w:rsid w:val="007B0914"/>
    <w:rsid w:val="007B1374"/>
    <w:rsid w:val="007B1848"/>
    <w:rsid w:val="007B2009"/>
    <w:rsid w:val="007B2950"/>
    <w:rsid w:val="007B2DD0"/>
    <w:rsid w:val="007B32E5"/>
    <w:rsid w:val="007B376C"/>
    <w:rsid w:val="007B3AE7"/>
    <w:rsid w:val="007B3DA3"/>
    <w:rsid w:val="007B3DB9"/>
    <w:rsid w:val="007B3E54"/>
    <w:rsid w:val="007B404A"/>
    <w:rsid w:val="007B46C8"/>
    <w:rsid w:val="007B46FA"/>
    <w:rsid w:val="007B4809"/>
    <w:rsid w:val="007B4EE1"/>
    <w:rsid w:val="007B4FCA"/>
    <w:rsid w:val="007B50D0"/>
    <w:rsid w:val="007B589F"/>
    <w:rsid w:val="007B5908"/>
    <w:rsid w:val="007B6186"/>
    <w:rsid w:val="007B6979"/>
    <w:rsid w:val="007B6AAA"/>
    <w:rsid w:val="007B7258"/>
    <w:rsid w:val="007B73BC"/>
    <w:rsid w:val="007B7892"/>
    <w:rsid w:val="007B7F06"/>
    <w:rsid w:val="007C0BD8"/>
    <w:rsid w:val="007C0C71"/>
    <w:rsid w:val="007C1838"/>
    <w:rsid w:val="007C20B9"/>
    <w:rsid w:val="007C3B45"/>
    <w:rsid w:val="007C3BC3"/>
    <w:rsid w:val="007C42C9"/>
    <w:rsid w:val="007C4EB0"/>
    <w:rsid w:val="007C53D6"/>
    <w:rsid w:val="007C5555"/>
    <w:rsid w:val="007C577E"/>
    <w:rsid w:val="007C698D"/>
    <w:rsid w:val="007C6C5F"/>
    <w:rsid w:val="007C7278"/>
    <w:rsid w:val="007C7301"/>
    <w:rsid w:val="007C7859"/>
    <w:rsid w:val="007C7978"/>
    <w:rsid w:val="007C7A46"/>
    <w:rsid w:val="007C7B0D"/>
    <w:rsid w:val="007C7C2C"/>
    <w:rsid w:val="007C7F28"/>
    <w:rsid w:val="007D00DA"/>
    <w:rsid w:val="007D0BB2"/>
    <w:rsid w:val="007D0CD1"/>
    <w:rsid w:val="007D1466"/>
    <w:rsid w:val="007D22BE"/>
    <w:rsid w:val="007D2BDE"/>
    <w:rsid w:val="007D2FB6"/>
    <w:rsid w:val="007D3162"/>
    <w:rsid w:val="007D33D3"/>
    <w:rsid w:val="007D466C"/>
    <w:rsid w:val="007D49EB"/>
    <w:rsid w:val="007D4B2F"/>
    <w:rsid w:val="007D5E1C"/>
    <w:rsid w:val="007D6057"/>
    <w:rsid w:val="007D6322"/>
    <w:rsid w:val="007D681E"/>
    <w:rsid w:val="007D6914"/>
    <w:rsid w:val="007D6923"/>
    <w:rsid w:val="007D7DBE"/>
    <w:rsid w:val="007E023A"/>
    <w:rsid w:val="007E0DE2"/>
    <w:rsid w:val="007E1446"/>
    <w:rsid w:val="007E1F19"/>
    <w:rsid w:val="007E266A"/>
    <w:rsid w:val="007E2E7F"/>
    <w:rsid w:val="007E3667"/>
    <w:rsid w:val="007E3816"/>
    <w:rsid w:val="007E3B98"/>
    <w:rsid w:val="007E417A"/>
    <w:rsid w:val="007E4C60"/>
    <w:rsid w:val="007E5154"/>
    <w:rsid w:val="007E544C"/>
    <w:rsid w:val="007E548D"/>
    <w:rsid w:val="007E60B5"/>
    <w:rsid w:val="007E6542"/>
    <w:rsid w:val="007E6693"/>
    <w:rsid w:val="007E70AF"/>
    <w:rsid w:val="007E7626"/>
    <w:rsid w:val="007E76C0"/>
    <w:rsid w:val="007E77E7"/>
    <w:rsid w:val="007E7E75"/>
    <w:rsid w:val="007F0F87"/>
    <w:rsid w:val="007F2A96"/>
    <w:rsid w:val="007F31B6"/>
    <w:rsid w:val="007F3E85"/>
    <w:rsid w:val="007F44D6"/>
    <w:rsid w:val="007F546C"/>
    <w:rsid w:val="007F5954"/>
    <w:rsid w:val="007F5C94"/>
    <w:rsid w:val="007F6201"/>
    <w:rsid w:val="007F625F"/>
    <w:rsid w:val="007F665E"/>
    <w:rsid w:val="007F723D"/>
    <w:rsid w:val="007F75A1"/>
    <w:rsid w:val="007F7A02"/>
    <w:rsid w:val="008002AE"/>
    <w:rsid w:val="00800412"/>
    <w:rsid w:val="00800A95"/>
    <w:rsid w:val="00800AC0"/>
    <w:rsid w:val="00800BEC"/>
    <w:rsid w:val="00802112"/>
    <w:rsid w:val="008026A8"/>
    <w:rsid w:val="008027AC"/>
    <w:rsid w:val="0080287E"/>
    <w:rsid w:val="00802CEB"/>
    <w:rsid w:val="0080319F"/>
    <w:rsid w:val="0080394F"/>
    <w:rsid w:val="00803A6A"/>
    <w:rsid w:val="0080587B"/>
    <w:rsid w:val="00806468"/>
    <w:rsid w:val="00806E5A"/>
    <w:rsid w:val="00806F75"/>
    <w:rsid w:val="008077AC"/>
    <w:rsid w:val="008079B8"/>
    <w:rsid w:val="00810C07"/>
    <w:rsid w:val="00811154"/>
    <w:rsid w:val="008119CA"/>
    <w:rsid w:val="00811A51"/>
    <w:rsid w:val="00812D62"/>
    <w:rsid w:val="008130C4"/>
    <w:rsid w:val="00813253"/>
    <w:rsid w:val="008143FD"/>
    <w:rsid w:val="008145E6"/>
    <w:rsid w:val="00814764"/>
    <w:rsid w:val="008147CC"/>
    <w:rsid w:val="00814E95"/>
    <w:rsid w:val="008155F0"/>
    <w:rsid w:val="00815A73"/>
    <w:rsid w:val="00815ECA"/>
    <w:rsid w:val="00815F9F"/>
    <w:rsid w:val="008163DC"/>
    <w:rsid w:val="00816735"/>
    <w:rsid w:val="00816D0E"/>
    <w:rsid w:val="00817559"/>
    <w:rsid w:val="00817724"/>
    <w:rsid w:val="00820141"/>
    <w:rsid w:val="00820D4D"/>
    <w:rsid w:val="00820E0C"/>
    <w:rsid w:val="00821967"/>
    <w:rsid w:val="00821DBA"/>
    <w:rsid w:val="008222AE"/>
    <w:rsid w:val="00822705"/>
    <w:rsid w:val="00822A57"/>
    <w:rsid w:val="00822FB3"/>
    <w:rsid w:val="008230C5"/>
    <w:rsid w:val="00823275"/>
    <w:rsid w:val="00823300"/>
    <w:rsid w:val="0082334C"/>
    <w:rsid w:val="0082366F"/>
    <w:rsid w:val="00823EB2"/>
    <w:rsid w:val="00823EF7"/>
    <w:rsid w:val="00823FD1"/>
    <w:rsid w:val="00823FD2"/>
    <w:rsid w:val="00824638"/>
    <w:rsid w:val="00826017"/>
    <w:rsid w:val="008265BC"/>
    <w:rsid w:val="00827567"/>
    <w:rsid w:val="00827BB4"/>
    <w:rsid w:val="00827C19"/>
    <w:rsid w:val="00827E8A"/>
    <w:rsid w:val="00831244"/>
    <w:rsid w:val="008312FB"/>
    <w:rsid w:val="00831A7D"/>
    <w:rsid w:val="00831C60"/>
    <w:rsid w:val="0083271F"/>
    <w:rsid w:val="00832ECB"/>
    <w:rsid w:val="008338A2"/>
    <w:rsid w:val="008343C9"/>
    <w:rsid w:val="008343E6"/>
    <w:rsid w:val="00836972"/>
    <w:rsid w:val="00840041"/>
    <w:rsid w:val="00840C85"/>
    <w:rsid w:val="00840CC4"/>
    <w:rsid w:val="00840DF5"/>
    <w:rsid w:val="008412A9"/>
    <w:rsid w:val="008416B0"/>
    <w:rsid w:val="00841795"/>
    <w:rsid w:val="00841930"/>
    <w:rsid w:val="00841AA9"/>
    <w:rsid w:val="00841C61"/>
    <w:rsid w:val="00842E24"/>
    <w:rsid w:val="00843141"/>
    <w:rsid w:val="0084340E"/>
    <w:rsid w:val="00843AD3"/>
    <w:rsid w:val="00843F57"/>
    <w:rsid w:val="008440B7"/>
    <w:rsid w:val="008448C8"/>
    <w:rsid w:val="00844A12"/>
    <w:rsid w:val="0084606F"/>
    <w:rsid w:val="008474FE"/>
    <w:rsid w:val="00847A72"/>
    <w:rsid w:val="00850815"/>
    <w:rsid w:val="00850AF5"/>
    <w:rsid w:val="00850ED5"/>
    <w:rsid w:val="00852E19"/>
    <w:rsid w:val="00853117"/>
    <w:rsid w:val="00853661"/>
    <w:rsid w:val="00853751"/>
    <w:rsid w:val="00853C6B"/>
    <w:rsid w:val="00853EE4"/>
    <w:rsid w:val="00853F78"/>
    <w:rsid w:val="00854194"/>
    <w:rsid w:val="00854D1D"/>
    <w:rsid w:val="00855124"/>
    <w:rsid w:val="00855204"/>
    <w:rsid w:val="00855535"/>
    <w:rsid w:val="00855642"/>
    <w:rsid w:val="008557EC"/>
    <w:rsid w:val="00855BB2"/>
    <w:rsid w:val="0085651E"/>
    <w:rsid w:val="008572CD"/>
    <w:rsid w:val="00857C5A"/>
    <w:rsid w:val="00857CBA"/>
    <w:rsid w:val="00857DC6"/>
    <w:rsid w:val="00860A1B"/>
    <w:rsid w:val="00860A87"/>
    <w:rsid w:val="00860E6F"/>
    <w:rsid w:val="0086116C"/>
    <w:rsid w:val="008619F5"/>
    <w:rsid w:val="0086255E"/>
    <w:rsid w:val="00862BED"/>
    <w:rsid w:val="00862FA4"/>
    <w:rsid w:val="00863299"/>
    <w:rsid w:val="008633F0"/>
    <w:rsid w:val="00863874"/>
    <w:rsid w:val="00864006"/>
    <w:rsid w:val="008644A4"/>
    <w:rsid w:val="008645FC"/>
    <w:rsid w:val="00865EE0"/>
    <w:rsid w:val="00867D9D"/>
    <w:rsid w:val="00867F0A"/>
    <w:rsid w:val="00870E37"/>
    <w:rsid w:val="008713B9"/>
    <w:rsid w:val="0087140A"/>
    <w:rsid w:val="00871647"/>
    <w:rsid w:val="00871E4E"/>
    <w:rsid w:val="0087221A"/>
    <w:rsid w:val="00872650"/>
    <w:rsid w:val="00872E0A"/>
    <w:rsid w:val="0087345E"/>
    <w:rsid w:val="00873594"/>
    <w:rsid w:val="0087405E"/>
    <w:rsid w:val="00875285"/>
    <w:rsid w:val="008779AB"/>
    <w:rsid w:val="00877E1A"/>
    <w:rsid w:val="00877E7A"/>
    <w:rsid w:val="00880A07"/>
    <w:rsid w:val="00881981"/>
    <w:rsid w:val="00883009"/>
    <w:rsid w:val="00883E09"/>
    <w:rsid w:val="00883FD6"/>
    <w:rsid w:val="00884252"/>
    <w:rsid w:val="00884B62"/>
    <w:rsid w:val="00884DCD"/>
    <w:rsid w:val="008850EC"/>
    <w:rsid w:val="0088529C"/>
    <w:rsid w:val="00885B1F"/>
    <w:rsid w:val="0088666C"/>
    <w:rsid w:val="00886AE3"/>
    <w:rsid w:val="00886DB7"/>
    <w:rsid w:val="00887903"/>
    <w:rsid w:val="008902D6"/>
    <w:rsid w:val="00890471"/>
    <w:rsid w:val="00890A9D"/>
    <w:rsid w:val="00890D1F"/>
    <w:rsid w:val="00891393"/>
    <w:rsid w:val="0089152F"/>
    <w:rsid w:val="00891636"/>
    <w:rsid w:val="00891905"/>
    <w:rsid w:val="0089270A"/>
    <w:rsid w:val="00892814"/>
    <w:rsid w:val="00892E17"/>
    <w:rsid w:val="00893AF6"/>
    <w:rsid w:val="008944B0"/>
    <w:rsid w:val="00894BC4"/>
    <w:rsid w:val="00894C02"/>
    <w:rsid w:val="00895DE7"/>
    <w:rsid w:val="00896021"/>
    <w:rsid w:val="0089636D"/>
    <w:rsid w:val="008966E3"/>
    <w:rsid w:val="00896890"/>
    <w:rsid w:val="00897448"/>
    <w:rsid w:val="00897482"/>
    <w:rsid w:val="008977D1"/>
    <w:rsid w:val="008A01AF"/>
    <w:rsid w:val="008A0882"/>
    <w:rsid w:val="008A1C02"/>
    <w:rsid w:val="008A2264"/>
    <w:rsid w:val="008A241F"/>
    <w:rsid w:val="008A2617"/>
    <w:rsid w:val="008A2631"/>
    <w:rsid w:val="008A2821"/>
    <w:rsid w:val="008A28A8"/>
    <w:rsid w:val="008A32CB"/>
    <w:rsid w:val="008A3370"/>
    <w:rsid w:val="008A4A94"/>
    <w:rsid w:val="008A51DB"/>
    <w:rsid w:val="008A5466"/>
    <w:rsid w:val="008A54AC"/>
    <w:rsid w:val="008A54D6"/>
    <w:rsid w:val="008A5524"/>
    <w:rsid w:val="008A5B32"/>
    <w:rsid w:val="008A5DF0"/>
    <w:rsid w:val="008A7C5A"/>
    <w:rsid w:val="008B07E2"/>
    <w:rsid w:val="008B1269"/>
    <w:rsid w:val="008B2029"/>
    <w:rsid w:val="008B215B"/>
    <w:rsid w:val="008B245D"/>
    <w:rsid w:val="008B29CF"/>
    <w:rsid w:val="008B29FA"/>
    <w:rsid w:val="008B2EE4"/>
    <w:rsid w:val="008B3821"/>
    <w:rsid w:val="008B39EF"/>
    <w:rsid w:val="008B4897"/>
    <w:rsid w:val="008B4B9A"/>
    <w:rsid w:val="008B4D3D"/>
    <w:rsid w:val="008B4D84"/>
    <w:rsid w:val="008B571C"/>
    <w:rsid w:val="008B57C7"/>
    <w:rsid w:val="008B5AE5"/>
    <w:rsid w:val="008B6A1F"/>
    <w:rsid w:val="008B6C06"/>
    <w:rsid w:val="008B7188"/>
    <w:rsid w:val="008B7A83"/>
    <w:rsid w:val="008B7B16"/>
    <w:rsid w:val="008B7C64"/>
    <w:rsid w:val="008C0B2A"/>
    <w:rsid w:val="008C1200"/>
    <w:rsid w:val="008C187E"/>
    <w:rsid w:val="008C1BE0"/>
    <w:rsid w:val="008C1DD2"/>
    <w:rsid w:val="008C20BD"/>
    <w:rsid w:val="008C2952"/>
    <w:rsid w:val="008C2A47"/>
    <w:rsid w:val="008C2F92"/>
    <w:rsid w:val="008C3546"/>
    <w:rsid w:val="008C3DEC"/>
    <w:rsid w:val="008C40C2"/>
    <w:rsid w:val="008C42B8"/>
    <w:rsid w:val="008C589D"/>
    <w:rsid w:val="008C6D51"/>
    <w:rsid w:val="008D043A"/>
    <w:rsid w:val="008D0BBD"/>
    <w:rsid w:val="008D0FD0"/>
    <w:rsid w:val="008D1CD3"/>
    <w:rsid w:val="008D259A"/>
    <w:rsid w:val="008D271A"/>
    <w:rsid w:val="008D2846"/>
    <w:rsid w:val="008D2A26"/>
    <w:rsid w:val="008D30B0"/>
    <w:rsid w:val="008D3767"/>
    <w:rsid w:val="008D41C9"/>
    <w:rsid w:val="008D4236"/>
    <w:rsid w:val="008D462F"/>
    <w:rsid w:val="008D539B"/>
    <w:rsid w:val="008D53B1"/>
    <w:rsid w:val="008D5A1F"/>
    <w:rsid w:val="008D5D7A"/>
    <w:rsid w:val="008D5E21"/>
    <w:rsid w:val="008D5F84"/>
    <w:rsid w:val="008D6B8C"/>
    <w:rsid w:val="008D6DCF"/>
    <w:rsid w:val="008E00BA"/>
    <w:rsid w:val="008E068D"/>
    <w:rsid w:val="008E1064"/>
    <w:rsid w:val="008E1235"/>
    <w:rsid w:val="008E1574"/>
    <w:rsid w:val="008E1A1C"/>
    <w:rsid w:val="008E1A65"/>
    <w:rsid w:val="008E1C2B"/>
    <w:rsid w:val="008E1C64"/>
    <w:rsid w:val="008E2788"/>
    <w:rsid w:val="008E3205"/>
    <w:rsid w:val="008E4376"/>
    <w:rsid w:val="008E444D"/>
    <w:rsid w:val="008E448B"/>
    <w:rsid w:val="008E55F4"/>
    <w:rsid w:val="008E6257"/>
    <w:rsid w:val="008E7641"/>
    <w:rsid w:val="008E77D0"/>
    <w:rsid w:val="008E7A0A"/>
    <w:rsid w:val="008E7B49"/>
    <w:rsid w:val="008F09F3"/>
    <w:rsid w:val="008F0A40"/>
    <w:rsid w:val="008F0C85"/>
    <w:rsid w:val="008F0CD9"/>
    <w:rsid w:val="008F10F9"/>
    <w:rsid w:val="008F194E"/>
    <w:rsid w:val="008F1C76"/>
    <w:rsid w:val="008F24B8"/>
    <w:rsid w:val="008F3304"/>
    <w:rsid w:val="008F3450"/>
    <w:rsid w:val="008F34CA"/>
    <w:rsid w:val="008F3CA1"/>
    <w:rsid w:val="008F3FE7"/>
    <w:rsid w:val="008F4AD2"/>
    <w:rsid w:val="008F5311"/>
    <w:rsid w:val="008F59F6"/>
    <w:rsid w:val="008F5A2F"/>
    <w:rsid w:val="008F6504"/>
    <w:rsid w:val="008F6747"/>
    <w:rsid w:val="008F784C"/>
    <w:rsid w:val="0090005A"/>
    <w:rsid w:val="00900452"/>
    <w:rsid w:val="00900719"/>
    <w:rsid w:val="00900978"/>
    <w:rsid w:val="00900C21"/>
    <w:rsid w:val="00900C65"/>
    <w:rsid w:val="00900CE6"/>
    <w:rsid w:val="00900FA9"/>
    <w:rsid w:val="00901234"/>
    <w:rsid w:val="009017AC"/>
    <w:rsid w:val="00902A9A"/>
    <w:rsid w:val="00903089"/>
    <w:rsid w:val="0090338A"/>
    <w:rsid w:val="009033E8"/>
    <w:rsid w:val="00903F1B"/>
    <w:rsid w:val="00904276"/>
    <w:rsid w:val="00904A0B"/>
    <w:rsid w:val="00904A1C"/>
    <w:rsid w:val="00904D13"/>
    <w:rsid w:val="00905030"/>
    <w:rsid w:val="0090524E"/>
    <w:rsid w:val="00905544"/>
    <w:rsid w:val="009061A8"/>
    <w:rsid w:val="009062C4"/>
    <w:rsid w:val="00906397"/>
    <w:rsid w:val="00906490"/>
    <w:rsid w:val="00906CA7"/>
    <w:rsid w:val="00906CA9"/>
    <w:rsid w:val="009104DA"/>
    <w:rsid w:val="00911100"/>
    <w:rsid w:val="009111B2"/>
    <w:rsid w:val="00911C95"/>
    <w:rsid w:val="009125BE"/>
    <w:rsid w:val="009131E6"/>
    <w:rsid w:val="00913505"/>
    <w:rsid w:val="00914B01"/>
    <w:rsid w:val="00914F92"/>
    <w:rsid w:val="009151F5"/>
    <w:rsid w:val="00917570"/>
    <w:rsid w:val="00917D7E"/>
    <w:rsid w:val="00920183"/>
    <w:rsid w:val="00920FB1"/>
    <w:rsid w:val="0092108B"/>
    <w:rsid w:val="00921E79"/>
    <w:rsid w:val="009220C2"/>
    <w:rsid w:val="009221AE"/>
    <w:rsid w:val="00922A3E"/>
    <w:rsid w:val="00923300"/>
    <w:rsid w:val="00923B46"/>
    <w:rsid w:val="00924AE1"/>
    <w:rsid w:val="00924E9A"/>
    <w:rsid w:val="00924F83"/>
    <w:rsid w:val="00925174"/>
    <w:rsid w:val="00925970"/>
    <w:rsid w:val="009265EF"/>
    <w:rsid w:val="009269B1"/>
    <w:rsid w:val="0092724D"/>
    <w:rsid w:val="009272B3"/>
    <w:rsid w:val="00927441"/>
    <w:rsid w:val="00927A75"/>
    <w:rsid w:val="009307C5"/>
    <w:rsid w:val="00930D92"/>
    <w:rsid w:val="009313CA"/>
    <w:rsid w:val="009315BE"/>
    <w:rsid w:val="00931EAF"/>
    <w:rsid w:val="009321AD"/>
    <w:rsid w:val="009326DD"/>
    <w:rsid w:val="009329FB"/>
    <w:rsid w:val="0093338F"/>
    <w:rsid w:val="009339A8"/>
    <w:rsid w:val="00933FEB"/>
    <w:rsid w:val="00934009"/>
    <w:rsid w:val="00934C79"/>
    <w:rsid w:val="00935C59"/>
    <w:rsid w:val="00935CE3"/>
    <w:rsid w:val="00935DC4"/>
    <w:rsid w:val="0093639D"/>
    <w:rsid w:val="00936409"/>
    <w:rsid w:val="00936AC8"/>
    <w:rsid w:val="0093728E"/>
    <w:rsid w:val="00937A74"/>
    <w:rsid w:val="00937BD9"/>
    <w:rsid w:val="00940842"/>
    <w:rsid w:val="00940B06"/>
    <w:rsid w:val="00940B1D"/>
    <w:rsid w:val="00940EF2"/>
    <w:rsid w:val="00941620"/>
    <w:rsid w:val="0094184F"/>
    <w:rsid w:val="00941D03"/>
    <w:rsid w:val="009439F7"/>
    <w:rsid w:val="00943B14"/>
    <w:rsid w:val="009445BD"/>
    <w:rsid w:val="009447D8"/>
    <w:rsid w:val="00944B4C"/>
    <w:rsid w:val="00944D30"/>
    <w:rsid w:val="00944E51"/>
    <w:rsid w:val="009451D0"/>
    <w:rsid w:val="00945993"/>
    <w:rsid w:val="00946101"/>
    <w:rsid w:val="009463F1"/>
    <w:rsid w:val="009470AD"/>
    <w:rsid w:val="009504F1"/>
    <w:rsid w:val="00950E2C"/>
    <w:rsid w:val="00950FAA"/>
    <w:rsid w:val="009512E9"/>
    <w:rsid w:val="0095190D"/>
    <w:rsid w:val="00951D50"/>
    <w:rsid w:val="00951EB9"/>
    <w:rsid w:val="009525EB"/>
    <w:rsid w:val="0095299F"/>
    <w:rsid w:val="00952D86"/>
    <w:rsid w:val="0095352E"/>
    <w:rsid w:val="00953BFA"/>
    <w:rsid w:val="00953CF5"/>
    <w:rsid w:val="0095470B"/>
    <w:rsid w:val="00954874"/>
    <w:rsid w:val="009552C9"/>
    <w:rsid w:val="0095586F"/>
    <w:rsid w:val="00955D7B"/>
    <w:rsid w:val="00955EA3"/>
    <w:rsid w:val="0095615A"/>
    <w:rsid w:val="00956329"/>
    <w:rsid w:val="0095656F"/>
    <w:rsid w:val="0096083D"/>
    <w:rsid w:val="00961400"/>
    <w:rsid w:val="009616C9"/>
    <w:rsid w:val="0096207D"/>
    <w:rsid w:val="00962392"/>
    <w:rsid w:val="00962D53"/>
    <w:rsid w:val="00963646"/>
    <w:rsid w:val="00963B01"/>
    <w:rsid w:val="00963BFA"/>
    <w:rsid w:val="00964000"/>
    <w:rsid w:val="00964D39"/>
    <w:rsid w:val="00965499"/>
    <w:rsid w:val="009659F3"/>
    <w:rsid w:val="0096632D"/>
    <w:rsid w:val="009668B2"/>
    <w:rsid w:val="00966C88"/>
    <w:rsid w:val="00966D94"/>
    <w:rsid w:val="00967124"/>
    <w:rsid w:val="00967A35"/>
    <w:rsid w:val="0097015C"/>
    <w:rsid w:val="0097031A"/>
    <w:rsid w:val="0097096C"/>
    <w:rsid w:val="00970FFF"/>
    <w:rsid w:val="00971015"/>
    <w:rsid w:val="0097151B"/>
    <w:rsid w:val="009715DD"/>
    <w:rsid w:val="0097166C"/>
    <w:rsid w:val="009718C7"/>
    <w:rsid w:val="0097211F"/>
    <w:rsid w:val="00972BB4"/>
    <w:rsid w:val="0097321B"/>
    <w:rsid w:val="00974383"/>
    <w:rsid w:val="00974696"/>
    <w:rsid w:val="009746E9"/>
    <w:rsid w:val="00974769"/>
    <w:rsid w:val="009747FD"/>
    <w:rsid w:val="009752A2"/>
    <w:rsid w:val="0097559F"/>
    <w:rsid w:val="009758ED"/>
    <w:rsid w:val="00975D87"/>
    <w:rsid w:val="00975D98"/>
    <w:rsid w:val="009761EA"/>
    <w:rsid w:val="00976558"/>
    <w:rsid w:val="00976688"/>
    <w:rsid w:val="0097761E"/>
    <w:rsid w:val="00977D0F"/>
    <w:rsid w:val="009805BD"/>
    <w:rsid w:val="00981302"/>
    <w:rsid w:val="0098156B"/>
    <w:rsid w:val="00981658"/>
    <w:rsid w:val="00982220"/>
    <w:rsid w:val="0098232F"/>
    <w:rsid w:val="00982454"/>
    <w:rsid w:val="009824D7"/>
    <w:rsid w:val="0098275F"/>
    <w:rsid w:val="0098281D"/>
    <w:rsid w:val="00982CF0"/>
    <w:rsid w:val="0098409B"/>
    <w:rsid w:val="009847BC"/>
    <w:rsid w:val="009847D7"/>
    <w:rsid w:val="0098498A"/>
    <w:rsid w:val="00984FC3"/>
    <w:rsid w:val="00984FDF"/>
    <w:rsid w:val="0098527A"/>
    <w:rsid w:val="0098533C"/>
    <w:rsid w:val="009853E1"/>
    <w:rsid w:val="00985C1D"/>
    <w:rsid w:val="00985E14"/>
    <w:rsid w:val="00985FE9"/>
    <w:rsid w:val="00986760"/>
    <w:rsid w:val="009869A8"/>
    <w:rsid w:val="00986E6B"/>
    <w:rsid w:val="00987065"/>
    <w:rsid w:val="009874F9"/>
    <w:rsid w:val="00990032"/>
    <w:rsid w:val="00990043"/>
    <w:rsid w:val="0099030D"/>
    <w:rsid w:val="00990B19"/>
    <w:rsid w:val="00990F9B"/>
    <w:rsid w:val="0099153B"/>
    <w:rsid w:val="00991769"/>
    <w:rsid w:val="009920D2"/>
    <w:rsid w:val="0099232C"/>
    <w:rsid w:val="00992992"/>
    <w:rsid w:val="009936E6"/>
    <w:rsid w:val="00994386"/>
    <w:rsid w:val="009948AA"/>
    <w:rsid w:val="00994FA2"/>
    <w:rsid w:val="00995024"/>
    <w:rsid w:val="0099566C"/>
    <w:rsid w:val="009957A5"/>
    <w:rsid w:val="00995B7D"/>
    <w:rsid w:val="00996181"/>
    <w:rsid w:val="009961DA"/>
    <w:rsid w:val="009974AC"/>
    <w:rsid w:val="0099788E"/>
    <w:rsid w:val="00997E5B"/>
    <w:rsid w:val="009A0439"/>
    <w:rsid w:val="009A09FD"/>
    <w:rsid w:val="009A125B"/>
    <w:rsid w:val="009A13D8"/>
    <w:rsid w:val="009A1EAA"/>
    <w:rsid w:val="009A279E"/>
    <w:rsid w:val="009A27A6"/>
    <w:rsid w:val="009A27F8"/>
    <w:rsid w:val="009A29CD"/>
    <w:rsid w:val="009A3015"/>
    <w:rsid w:val="009A3197"/>
    <w:rsid w:val="009A31A8"/>
    <w:rsid w:val="009A3490"/>
    <w:rsid w:val="009A39AE"/>
    <w:rsid w:val="009A4175"/>
    <w:rsid w:val="009A49F0"/>
    <w:rsid w:val="009A4FB3"/>
    <w:rsid w:val="009A50B4"/>
    <w:rsid w:val="009A5D9A"/>
    <w:rsid w:val="009A76F3"/>
    <w:rsid w:val="009A77D5"/>
    <w:rsid w:val="009A7813"/>
    <w:rsid w:val="009A7EB8"/>
    <w:rsid w:val="009B0715"/>
    <w:rsid w:val="009B0A6F"/>
    <w:rsid w:val="009B0A94"/>
    <w:rsid w:val="009B0C62"/>
    <w:rsid w:val="009B122A"/>
    <w:rsid w:val="009B17A6"/>
    <w:rsid w:val="009B2AE8"/>
    <w:rsid w:val="009B44B7"/>
    <w:rsid w:val="009B4969"/>
    <w:rsid w:val="009B54A3"/>
    <w:rsid w:val="009B54DA"/>
    <w:rsid w:val="009B5622"/>
    <w:rsid w:val="009B59E9"/>
    <w:rsid w:val="009B5DA0"/>
    <w:rsid w:val="009B66EF"/>
    <w:rsid w:val="009B6D54"/>
    <w:rsid w:val="009B70AA"/>
    <w:rsid w:val="009B79D4"/>
    <w:rsid w:val="009C04FD"/>
    <w:rsid w:val="009C056C"/>
    <w:rsid w:val="009C081C"/>
    <w:rsid w:val="009C0D73"/>
    <w:rsid w:val="009C1967"/>
    <w:rsid w:val="009C1CF3"/>
    <w:rsid w:val="009C20A8"/>
    <w:rsid w:val="009C245E"/>
    <w:rsid w:val="009C25DB"/>
    <w:rsid w:val="009C2980"/>
    <w:rsid w:val="009C2E94"/>
    <w:rsid w:val="009C3395"/>
    <w:rsid w:val="009C37C8"/>
    <w:rsid w:val="009C5C62"/>
    <w:rsid w:val="009C5CF3"/>
    <w:rsid w:val="009C5E77"/>
    <w:rsid w:val="009C6553"/>
    <w:rsid w:val="009C7237"/>
    <w:rsid w:val="009C753F"/>
    <w:rsid w:val="009C7A7E"/>
    <w:rsid w:val="009D02E8"/>
    <w:rsid w:val="009D0469"/>
    <w:rsid w:val="009D0701"/>
    <w:rsid w:val="009D1F0C"/>
    <w:rsid w:val="009D2337"/>
    <w:rsid w:val="009D2AEF"/>
    <w:rsid w:val="009D2D02"/>
    <w:rsid w:val="009D30CC"/>
    <w:rsid w:val="009D4107"/>
    <w:rsid w:val="009D42E9"/>
    <w:rsid w:val="009D4FFB"/>
    <w:rsid w:val="009D51D0"/>
    <w:rsid w:val="009D68A0"/>
    <w:rsid w:val="009D6D9A"/>
    <w:rsid w:val="009D70A4"/>
    <w:rsid w:val="009D7484"/>
    <w:rsid w:val="009D7B14"/>
    <w:rsid w:val="009D7E33"/>
    <w:rsid w:val="009E0348"/>
    <w:rsid w:val="009E0874"/>
    <w:rsid w:val="009E08D1"/>
    <w:rsid w:val="009E09E2"/>
    <w:rsid w:val="009E0AF6"/>
    <w:rsid w:val="009E0D96"/>
    <w:rsid w:val="009E156F"/>
    <w:rsid w:val="009E1B95"/>
    <w:rsid w:val="009E1CF7"/>
    <w:rsid w:val="009E2CDD"/>
    <w:rsid w:val="009E3035"/>
    <w:rsid w:val="009E43C5"/>
    <w:rsid w:val="009E496F"/>
    <w:rsid w:val="009E4B0D"/>
    <w:rsid w:val="009E4E9A"/>
    <w:rsid w:val="009E5250"/>
    <w:rsid w:val="009E6395"/>
    <w:rsid w:val="009E697F"/>
    <w:rsid w:val="009E73A3"/>
    <w:rsid w:val="009E74F5"/>
    <w:rsid w:val="009E7660"/>
    <w:rsid w:val="009E76C2"/>
    <w:rsid w:val="009E7A69"/>
    <w:rsid w:val="009E7A75"/>
    <w:rsid w:val="009E7B24"/>
    <w:rsid w:val="009E7F92"/>
    <w:rsid w:val="009F0009"/>
    <w:rsid w:val="009F02A3"/>
    <w:rsid w:val="009F0E68"/>
    <w:rsid w:val="009F0F6E"/>
    <w:rsid w:val="009F17B5"/>
    <w:rsid w:val="009F1A79"/>
    <w:rsid w:val="009F20D2"/>
    <w:rsid w:val="009F2182"/>
    <w:rsid w:val="009F2F27"/>
    <w:rsid w:val="009F328D"/>
    <w:rsid w:val="009F34AA"/>
    <w:rsid w:val="009F4193"/>
    <w:rsid w:val="009F4496"/>
    <w:rsid w:val="009F57D9"/>
    <w:rsid w:val="009F5BAE"/>
    <w:rsid w:val="009F601C"/>
    <w:rsid w:val="009F6BCB"/>
    <w:rsid w:val="009F7522"/>
    <w:rsid w:val="009F75C1"/>
    <w:rsid w:val="009F767E"/>
    <w:rsid w:val="009F7B78"/>
    <w:rsid w:val="009F7CDE"/>
    <w:rsid w:val="009F7EAA"/>
    <w:rsid w:val="00A0057A"/>
    <w:rsid w:val="00A011E0"/>
    <w:rsid w:val="00A0163F"/>
    <w:rsid w:val="00A01BE1"/>
    <w:rsid w:val="00A01C56"/>
    <w:rsid w:val="00A01CE7"/>
    <w:rsid w:val="00A02679"/>
    <w:rsid w:val="00A02FA1"/>
    <w:rsid w:val="00A03078"/>
    <w:rsid w:val="00A03504"/>
    <w:rsid w:val="00A03982"/>
    <w:rsid w:val="00A03DF6"/>
    <w:rsid w:val="00A040D8"/>
    <w:rsid w:val="00A04CCE"/>
    <w:rsid w:val="00A051B3"/>
    <w:rsid w:val="00A056BD"/>
    <w:rsid w:val="00A057AA"/>
    <w:rsid w:val="00A061E1"/>
    <w:rsid w:val="00A06C8C"/>
    <w:rsid w:val="00A07421"/>
    <w:rsid w:val="00A0776B"/>
    <w:rsid w:val="00A07B0D"/>
    <w:rsid w:val="00A103D8"/>
    <w:rsid w:val="00A10845"/>
    <w:rsid w:val="00A10860"/>
    <w:rsid w:val="00A10D26"/>
    <w:rsid w:val="00A10FB9"/>
    <w:rsid w:val="00A11421"/>
    <w:rsid w:val="00A11A6D"/>
    <w:rsid w:val="00A12929"/>
    <w:rsid w:val="00A131E4"/>
    <w:rsid w:val="00A1365A"/>
    <w:rsid w:val="00A1389F"/>
    <w:rsid w:val="00A13900"/>
    <w:rsid w:val="00A13B7A"/>
    <w:rsid w:val="00A13E95"/>
    <w:rsid w:val="00A146B6"/>
    <w:rsid w:val="00A155E1"/>
    <w:rsid w:val="00A15611"/>
    <w:rsid w:val="00A157B1"/>
    <w:rsid w:val="00A15C50"/>
    <w:rsid w:val="00A16799"/>
    <w:rsid w:val="00A17283"/>
    <w:rsid w:val="00A17EE8"/>
    <w:rsid w:val="00A2015A"/>
    <w:rsid w:val="00A20C53"/>
    <w:rsid w:val="00A221C9"/>
    <w:rsid w:val="00A22229"/>
    <w:rsid w:val="00A2374C"/>
    <w:rsid w:val="00A23B53"/>
    <w:rsid w:val="00A23F73"/>
    <w:rsid w:val="00A24442"/>
    <w:rsid w:val="00A24ADA"/>
    <w:rsid w:val="00A25431"/>
    <w:rsid w:val="00A25C14"/>
    <w:rsid w:val="00A25CA5"/>
    <w:rsid w:val="00A265D0"/>
    <w:rsid w:val="00A2693B"/>
    <w:rsid w:val="00A30210"/>
    <w:rsid w:val="00A30FA7"/>
    <w:rsid w:val="00A3172B"/>
    <w:rsid w:val="00A31AAB"/>
    <w:rsid w:val="00A32577"/>
    <w:rsid w:val="00A32624"/>
    <w:rsid w:val="00A3272B"/>
    <w:rsid w:val="00A32DB4"/>
    <w:rsid w:val="00A330BB"/>
    <w:rsid w:val="00A33839"/>
    <w:rsid w:val="00A35E50"/>
    <w:rsid w:val="00A36732"/>
    <w:rsid w:val="00A367C3"/>
    <w:rsid w:val="00A369B1"/>
    <w:rsid w:val="00A36A33"/>
    <w:rsid w:val="00A36ECE"/>
    <w:rsid w:val="00A374E1"/>
    <w:rsid w:val="00A37D2A"/>
    <w:rsid w:val="00A417D8"/>
    <w:rsid w:val="00A42649"/>
    <w:rsid w:val="00A435C3"/>
    <w:rsid w:val="00A442C7"/>
    <w:rsid w:val="00A444D7"/>
    <w:rsid w:val="00A446F5"/>
    <w:rsid w:val="00A44882"/>
    <w:rsid w:val="00A45125"/>
    <w:rsid w:val="00A45531"/>
    <w:rsid w:val="00A45A12"/>
    <w:rsid w:val="00A46012"/>
    <w:rsid w:val="00A46308"/>
    <w:rsid w:val="00A46716"/>
    <w:rsid w:val="00A47281"/>
    <w:rsid w:val="00A477F8"/>
    <w:rsid w:val="00A47A64"/>
    <w:rsid w:val="00A47C37"/>
    <w:rsid w:val="00A47FA9"/>
    <w:rsid w:val="00A47FD2"/>
    <w:rsid w:val="00A500B6"/>
    <w:rsid w:val="00A50E57"/>
    <w:rsid w:val="00A50F90"/>
    <w:rsid w:val="00A5166D"/>
    <w:rsid w:val="00A51A4E"/>
    <w:rsid w:val="00A5206F"/>
    <w:rsid w:val="00A521E0"/>
    <w:rsid w:val="00A52738"/>
    <w:rsid w:val="00A528A7"/>
    <w:rsid w:val="00A52D2A"/>
    <w:rsid w:val="00A52EF3"/>
    <w:rsid w:val="00A53477"/>
    <w:rsid w:val="00A538D4"/>
    <w:rsid w:val="00A5411D"/>
    <w:rsid w:val="00A5422F"/>
    <w:rsid w:val="00A542E4"/>
    <w:rsid w:val="00A54715"/>
    <w:rsid w:val="00A54FDB"/>
    <w:rsid w:val="00A5713F"/>
    <w:rsid w:val="00A57484"/>
    <w:rsid w:val="00A574E5"/>
    <w:rsid w:val="00A5772A"/>
    <w:rsid w:val="00A6061C"/>
    <w:rsid w:val="00A6091A"/>
    <w:rsid w:val="00A60D84"/>
    <w:rsid w:val="00A6126A"/>
    <w:rsid w:val="00A61352"/>
    <w:rsid w:val="00A617CC"/>
    <w:rsid w:val="00A62528"/>
    <w:rsid w:val="00A62782"/>
    <w:rsid w:val="00A62B72"/>
    <w:rsid w:val="00A62D44"/>
    <w:rsid w:val="00A634B1"/>
    <w:rsid w:val="00A64C27"/>
    <w:rsid w:val="00A64F41"/>
    <w:rsid w:val="00A65536"/>
    <w:rsid w:val="00A65694"/>
    <w:rsid w:val="00A65CAE"/>
    <w:rsid w:val="00A6710F"/>
    <w:rsid w:val="00A67263"/>
    <w:rsid w:val="00A67D51"/>
    <w:rsid w:val="00A70CD4"/>
    <w:rsid w:val="00A71225"/>
    <w:rsid w:val="00A715E1"/>
    <w:rsid w:val="00A7161C"/>
    <w:rsid w:val="00A71AC0"/>
    <w:rsid w:val="00A71BE5"/>
    <w:rsid w:val="00A71C88"/>
    <w:rsid w:val="00A71CE4"/>
    <w:rsid w:val="00A722FF"/>
    <w:rsid w:val="00A72511"/>
    <w:rsid w:val="00A72CBE"/>
    <w:rsid w:val="00A74164"/>
    <w:rsid w:val="00A7457F"/>
    <w:rsid w:val="00A748F0"/>
    <w:rsid w:val="00A74A5A"/>
    <w:rsid w:val="00A752F7"/>
    <w:rsid w:val="00A75767"/>
    <w:rsid w:val="00A75BD8"/>
    <w:rsid w:val="00A7687A"/>
    <w:rsid w:val="00A76A99"/>
    <w:rsid w:val="00A76B50"/>
    <w:rsid w:val="00A76B95"/>
    <w:rsid w:val="00A76CC6"/>
    <w:rsid w:val="00A77335"/>
    <w:rsid w:val="00A77911"/>
    <w:rsid w:val="00A77AA3"/>
    <w:rsid w:val="00A77C27"/>
    <w:rsid w:val="00A80967"/>
    <w:rsid w:val="00A80F4F"/>
    <w:rsid w:val="00A81BB7"/>
    <w:rsid w:val="00A821F7"/>
    <w:rsid w:val="00A8236D"/>
    <w:rsid w:val="00A82B6A"/>
    <w:rsid w:val="00A83182"/>
    <w:rsid w:val="00A836AD"/>
    <w:rsid w:val="00A839FD"/>
    <w:rsid w:val="00A83B31"/>
    <w:rsid w:val="00A83C11"/>
    <w:rsid w:val="00A83C3A"/>
    <w:rsid w:val="00A84315"/>
    <w:rsid w:val="00A854E6"/>
    <w:rsid w:val="00A854EB"/>
    <w:rsid w:val="00A858A9"/>
    <w:rsid w:val="00A8595F"/>
    <w:rsid w:val="00A86199"/>
    <w:rsid w:val="00A861F3"/>
    <w:rsid w:val="00A863CB"/>
    <w:rsid w:val="00A87107"/>
    <w:rsid w:val="00A872E5"/>
    <w:rsid w:val="00A90392"/>
    <w:rsid w:val="00A90659"/>
    <w:rsid w:val="00A91406"/>
    <w:rsid w:val="00A91D1A"/>
    <w:rsid w:val="00A92663"/>
    <w:rsid w:val="00A92A10"/>
    <w:rsid w:val="00A92CEE"/>
    <w:rsid w:val="00A937B6"/>
    <w:rsid w:val="00A94358"/>
    <w:rsid w:val="00A9519A"/>
    <w:rsid w:val="00A95835"/>
    <w:rsid w:val="00A96A09"/>
    <w:rsid w:val="00A96BDE"/>
    <w:rsid w:val="00A96E65"/>
    <w:rsid w:val="00A96ECE"/>
    <w:rsid w:val="00A97492"/>
    <w:rsid w:val="00A9774D"/>
    <w:rsid w:val="00A9785C"/>
    <w:rsid w:val="00A97BB1"/>
    <w:rsid w:val="00A97C72"/>
    <w:rsid w:val="00A97CF3"/>
    <w:rsid w:val="00AA079B"/>
    <w:rsid w:val="00AA0FAA"/>
    <w:rsid w:val="00AA1FE0"/>
    <w:rsid w:val="00AA2605"/>
    <w:rsid w:val="00AA2BD6"/>
    <w:rsid w:val="00AA310B"/>
    <w:rsid w:val="00AA3486"/>
    <w:rsid w:val="00AA3BC7"/>
    <w:rsid w:val="00AA43A4"/>
    <w:rsid w:val="00AA4EB2"/>
    <w:rsid w:val="00AA56E5"/>
    <w:rsid w:val="00AA57C7"/>
    <w:rsid w:val="00AA63D4"/>
    <w:rsid w:val="00AA6841"/>
    <w:rsid w:val="00AA68F8"/>
    <w:rsid w:val="00AA6E34"/>
    <w:rsid w:val="00AA6F0D"/>
    <w:rsid w:val="00AA72D6"/>
    <w:rsid w:val="00AB0174"/>
    <w:rsid w:val="00AB06E8"/>
    <w:rsid w:val="00AB1A80"/>
    <w:rsid w:val="00AB1CD3"/>
    <w:rsid w:val="00AB1E0D"/>
    <w:rsid w:val="00AB2CAD"/>
    <w:rsid w:val="00AB3278"/>
    <w:rsid w:val="00AB352F"/>
    <w:rsid w:val="00AB3616"/>
    <w:rsid w:val="00AB3635"/>
    <w:rsid w:val="00AB3661"/>
    <w:rsid w:val="00AB3C48"/>
    <w:rsid w:val="00AB45CC"/>
    <w:rsid w:val="00AB48E2"/>
    <w:rsid w:val="00AB554C"/>
    <w:rsid w:val="00AB5B01"/>
    <w:rsid w:val="00AB6DD6"/>
    <w:rsid w:val="00AB6E1D"/>
    <w:rsid w:val="00AB71B7"/>
    <w:rsid w:val="00AB7572"/>
    <w:rsid w:val="00AC114A"/>
    <w:rsid w:val="00AC134C"/>
    <w:rsid w:val="00AC13BB"/>
    <w:rsid w:val="00AC1A3A"/>
    <w:rsid w:val="00AC1C55"/>
    <w:rsid w:val="00AC1E88"/>
    <w:rsid w:val="00AC250F"/>
    <w:rsid w:val="00AC2551"/>
    <w:rsid w:val="00AC274B"/>
    <w:rsid w:val="00AC344B"/>
    <w:rsid w:val="00AC3FAE"/>
    <w:rsid w:val="00AC4764"/>
    <w:rsid w:val="00AC4AF5"/>
    <w:rsid w:val="00AC4C5B"/>
    <w:rsid w:val="00AC52A9"/>
    <w:rsid w:val="00AC5700"/>
    <w:rsid w:val="00AC5848"/>
    <w:rsid w:val="00AC5B3E"/>
    <w:rsid w:val="00AC5FCB"/>
    <w:rsid w:val="00AC6036"/>
    <w:rsid w:val="00AC6368"/>
    <w:rsid w:val="00AC6481"/>
    <w:rsid w:val="00AC6D36"/>
    <w:rsid w:val="00AC7C6B"/>
    <w:rsid w:val="00AD02D4"/>
    <w:rsid w:val="00AD0768"/>
    <w:rsid w:val="00AD0CBA"/>
    <w:rsid w:val="00AD19E3"/>
    <w:rsid w:val="00AD204B"/>
    <w:rsid w:val="00AD224D"/>
    <w:rsid w:val="00AD22EF"/>
    <w:rsid w:val="00AD26E2"/>
    <w:rsid w:val="00AD2CCF"/>
    <w:rsid w:val="00AD2EB5"/>
    <w:rsid w:val="00AD2F33"/>
    <w:rsid w:val="00AD30C6"/>
    <w:rsid w:val="00AD32D5"/>
    <w:rsid w:val="00AD3ED6"/>
    <w:rsid w:val="00AD4451"/>
    <w:rsid w:val="00AD47D3"/>
    <w:rsid w:val="00AD48B0"/>
    <w:rsid w:val="00AD51C8"/>
    <w:rsid w:val="00AD5825"/>
    <w:rsid w:val="00AD7396"/>
    <w:rsid w:val="00AD784C"/>
    <w:rsid w:val="00AE027E"/>
    <w:rsid w:val="00AE0BAD"/>
    <w:rsid w:val="00AE126A"/>
    <w:rsid w:val="00AE1B15"/>
    <w:rsid w:val="00AE1BAE"/>
    <w:rsid w:val="00AE26CA"/>
    <w:rsid w:val="00AE26EE"/>
    <w:rsid w:val="00AE278C"/>
    <w:rsid w:val="00AE2AB8"/>
    <w:rsid w:val="00AE2D8A"/>
    <w:rsid w:val="00AE3005"/>
    <w:rsid w:val="00AE32CF"/>
    <w:rsid w:val="00AE36A0"/>
    <w:rsid w:val="00AE3BD5"/>
    <w:rsid w:val="00AE4155"/>
    <w:rsid w:val="00AE4505"/>
    <w:rsid w:val="00AE47C9"/>
    <w:rsid w:val="00AE506F"/>
    <w:rsid w:val="00AE59A0"/>
    <w:rsid w:val="00AE5A12"/>
    <w:rsid w:val="00AE60FA"/>
    <w:rsid w:val="00AE6BC1"/>
    <w:rsid w:val="00AE72F1"/>
    <w:rsid w:val="00AE7B8B"/>
    <w:rsid w:val="00AE7FD2"/>
    <w:rsid w:val="00AF04B0"/>
    <w:rsid w:val="00AF0C57"/>
    <w:rsid w:val="00AF1A74"/>
    <w:rsid w:val="00AF1E73"/>
    <w:rsid w:val="00AF2338"/>
    <w:rsid w:val="00AF2499"/>
    <w:rsid w:val="00AF26F3"/>
    <w:rsid w:val="00AF283D"/>
    <w:rsid w:val="00AF32CC"/>
    <w:rsid w:val="00AF350E"/>
    <w:rsid w:val="00AF3763"/>
    <w:rsid w:val="00AF3A49"/>
    <w:rsid w:val="00AF4281"/>
    <w:rsid w:val="00AF5A63"/>
    <w:rsid w:val="00AF5E71"/>
    <w:rsid w:val="00AF5F04"/>
    <w:rsid w:val="00AF691C"/>
    <w:rsid w:val="00AF7289"/>
    <w:rsid w:val="00AF74DC"/>
    <w:rsid w:val="00AF75A3"/>
    <w:rsid w:val="00AF7DEC"/>
    <w:rsid w:val="00B00672"/>
    <w:rsid w:val="00B012F1"/>
    <w:rsid w:val="00B01B4D"/>
    <w:rsid w:val="00B01BBF"/>
    <w:rsid w:val="00B01C74"/>
    <w:rsid w:val="00B0276F"/>
    <w:rsid w:val="00B0280E"/>
    <w:rsid w:val="00B02B8B"/>
    <w:rsid w:val="00B02C53"/>
    <w:rsid w:val="00B02F6D"/>
    <w:rsid w:val="00B0356C"/>
    <w:rsid w:val="00B035B1"/>
    <w:rsid w:val="00B04135"/>
    <w:rsid w:val="00B04489"/>
    <w:rsid w:val="00B04729"/>
    <w:rsid w:val="00B04737"/>
    <w:rsid w:val="00B04F8D"/>
    <w:rsid w:val="00B05BBC"/>
    <w:rsid w:val="00B06322"/>
    <w:rsid w:val="00B06571"/>
    <w:rsid w:val="00B06766"/>
    <w:rsid w:val="00B068BA"/>
    <w:rsid w:val="00B07217"/>
    <w:rsid w:val="00B07379"/>
    <w:rsid w:val="00B07435"/>
    <w:rsid w:val="00B0754D"/>
    <w:rsid w:val="00B075BA"/>
    <w:rsid w:val="00B07831"/>
    <w:rsid w:val="00B07D20"/>
    <w:rsid w:val="00B07DDF"/>
    <w:rsid w:val="00B10D59"/>
    <w:rsid w:val="00B111D8"/>
    <w:rsid w:val="00B113CF"/>
    <w:rsid w:val="00B115F1"/>
    <w:rsid w:val="00B1163E"/>
    <w:rsid w:val="00B1226D"/>
    <w:rsid w:val="00B123FC"/>
    <w:rsid w:val="00B12652"/>
    <w:rsid w:val="00B12E6E"/>
    <w:rsid w:val="00B12E98"/>
    <w:rsid w:val="00B1300C"/>
    <w:rsid w:val="00B1326D"/>
    <w:rsid w:val="00B13851"/>
    <w:rsid w:val="00B13B1C"/>
    <w:rsid w:val="00B13CE2"/>
    <w:rsid w:val="00B14499"/>
    <w:rsid w:val="00B1477F"/>
    <w:rsid w:val="00B14B5F"/>
    <w:rsid w:val="00B14C27"/>
    <w:rsid w:val="00B14D31"/>
    <w:rsid w:val="00B14EC6"/>
    <w:rsid w:val="00B15E0E"/>
    <w:rsid w:val="00B20B98"/>
    <w:rsid w:val="00B20E89"/>
    <w:rsid w:val="00B2173F"/>
    <w:rsid w:val="00B21F90"/>
    <w:rsid w:val="00B22291"/>
    <w:rsid w:val="00B23988"/>
    <w:rsid w:val="00B23B21"/>
    <w:rsid w:val="00B23F9A"/>
    <w:rsid w:val="00B2417B"/>
    <w:rsid w:val="00B249DA"/>
    <w:rsid w:val="00B24E6F"/>
    <w:rsid w:val="00B2530F"/>
    <w:rsid w:val="00B25AC4"/>
    <w:rsid w:val="00B25B29"/>
    <w:rsid w:val="00B26199"/>
    <w:rsid w:val="00B2674B"/>
    <w:rsid w:val="00B26922"/>
    <w:rsid w:val="00B26CB5"/>
    <w:rsid w:val="00B274F2"/>
    <w:rsid w:val="00B2752E"/>
    <w:rsid w:val="00B30385"/>
    <w:rsid w:val="00B3060A"/>
    <w:rsid w:val="00B307CC"/>
    <w:rsid w:val="00B31410"/>
    <w:rsid w:val="00B314A4"/>
    <w:rsid w:val="00B31B3B"/>
    <w:rsid w:val="00B32467"/>
    <w:rsid w:val="00B326B7"/>
    <w:rsid w:val="00B3293F"/>
    <w:rsid w:val="00B33AF9"/>
    <w:rsid w:val="00B33DE0"/>
    <w:rsid w:val="00B34235"/>
    <w:rsid w:val="00B3588E"/>
    <w:rsid w:val="00B35B6C"/>
    <w:rsid w:val="00B35D24"/>
    <w:rsid w:val="00B35D74"/>
    <w:rsid w:val="00B35FEE"/>
    <w:rsid w:val="00B37895"/>
    <w:rsid w:val="00B37A11"/>
    <w:rsid w:val="00B37C25"/>
    <w:rsid w:val="00B37F0B"/>
    <w:rsid w:val="00B40517"/>
    <w:rsid w:val="00B4070B"/>
    <w:rsid w:val="00B4110E"/>
    <w:rsid w:val="00B4198F"/>
    <w:rsid w:val="00B41DB8"/>
    <w:rsid w:val="00B41F3D"/>
    <w:rsid w:val="00B42D65"/>
    <w:rsid w:val="00B42F2D"/>
    <w:rsid w:val="00B431E8"/>
    <w:rsid w:val="00B433C1"/>
    <w:rsid w:val="00B4356E"/>
    <w:rsid w:val="00B449C1"/>
    <w:rsid w:val="00B44A4D"/>
    <w:rsid w:val="00B45141"/>
    <w:rsid w:val="00B46AF9"/>
    <w:rsid w:val="00B47663"/>
    <w:rsid w:val="00B4797D"/>
    <w:rsid w:val="00B50013"/>
    <w:rsid w:val="00B504A4"/>
    <w:rsid w:val="00B505A6"/>
    <w:rsid w:val="00B50A7B"/>
    <w:rsid w:val="00B50C7A"/>
    <w:rsid w:val="00B51574"/>
    <w:rsid w:val="00B516C8"/>
    <w:rsid w:val="00B516FA"/>
    <w:rsid w:val="00B519CD"/>
    <w:rsid w:val="00B51ED3"/>
    <w:rsid w:val="00B5273A"/>
    <w:rsid w:val="00B527EC"/>
    <w:rsid w:val="00B52CC4"/>
    <w:rsid w:val="00B53CF7"/>
    <w:rsid w:val="00B54064"/>
    <w:rsid w:val="00B5461F"/>
    <w:rsid w:val="00B546F4"/>
    <w:rsid w:val="00B54A33"/>
    <w:rsid w:val="00B54D94"/>
    <w:rsid w:val="00B5503F"/>
    <w:rsid w:val="00B55A15"/>
    <w:rsid w:val="00B56340"/>
    <w:rsid w:val="00B56962"/>
    <w:rsid w:val="00B56A0D"/>
    <w:rsid w:val="00B56B5C"/>
    <w:rsid w:val="00B57329"/>
    <w:rsid w:val="00B574ED"/>
    <w:rsid w:val="00B60518"/>
    <w:rsid w:val="00B60E61"/>
    <w:rsid w:val="00B62B3F"/>
    <w:rsid w:val="00B62B50"/>
    <w:rsid w:val="00B62DAA"/>
    <w:rsid w:val="00B635B7"/>
    <w:rsid w:val="00B63992"/>
    <w:rsid w:val="00B63A66"/>
    <w:rsid w:val="00B63AE8"/>
    <w:rsid w:val="00B64499"/>
    <w:rsid w:val="00B644D8"/>
    <w:rsid w:val="00B64586"/>
    <w:rsid w:val="00B64663"/>
    <w:rsid w:val="00B65253"/>
    <w:rsid w:val="00B65950"/>
    <w:rsid w:val="00B65DF5"/>
    <w:rsid w:val="00B668D0"/>
    <w:rsid w:val="00B66B65"/>
    <w:rsid w:val="00B66D83"/>
    <w:rsid w:val="00B672C0"/>
    <w:rsid w:val="00B676FD"/>
    <w:rsid w:val="00B678B6"/>
    <w:rsid w:val="00B700B4"/>
    <w:rsid w:val="00B702DA"/>
    <w:rsid w:val="00B71481"/>
    <w:rsid w:val="00B71C54"/>
    <w:rsid w:val="00B71F77"/>
    <w:rsid w:val="00B72926"/>
    <w:rsid w:val="00B7317A"/>
    <w:rsid w:val="00B7394B"/>
    <w:rsid w:val="00B739BF"/>
    <w:rsid w:val="00B74972"/>
    <w:rsid w:val="00B74B3C"/>
    <w:rsid w:val="00B7507C"/>
    <w:rsid w:val="00B75646"/>
    <w:rsid w:val="00B7616B"/>
    <w:rsid w:val="00B7629E"/>
    <w:rsid w:val="00B7677B"/>
    <w:rsid w:val="00B804EA"/>
    <w:rsid w:val="00B80A87"/>
    <w:rsid w:val="00B80B5F"/>
    <w:rsid w:val="00B80B7B"/>
    <w:rsid w:val="00B80FA8"/>
    <w:rsid w:val="00B81A01"/>
    <w:rsid w:val="00B82192"/>
    <w:rsid w:val="00B82ED0"/>
    <w:rsid w:val="00B82F86"/>
    <w:rsid w:val="00B83022"/>
    <w:rsid w:val="00B8371C"/>
    <w:rsid w:val="00B8376A"/>
    <w:rsid w:val="00B83E6E"/>
    <w:rsid w:val="00B83F36"/>
    <w:rsid w:val="00B84EC6"/>
    <w:rsid w:val="00B85609"/>
    <w:rsid w:val="00B864A2"/>
    <w:rsid w:val="00B86F0C"/>
    <w:rsid w:val="00B871A3"/>
    <w:rsid w:val="00B87870"/>
    <w:rsid w:val="00B87B62"/>
    <w:rsid w:val="00B87FAA"/>
    <w:rsid w:val="00B90729"/>
    <w:rsid w:val="00B907DA"/>
    <w:rsid w:val="00B90984"/>
    <w:rsid w:val="00B90B09"/>
    <w:rsid w:val="00B9184D"/>
    <w:rsid w:val="00B91878"/>
    <w:rsid w:val="00B91FD2"/>
    <w:rsid w:val="00B9221C"/>
    <w:rsid w:val="00B92C76"/>
    <w:rsid w:val="00B92DE7"/>
    <w:rsid w:val="00B94060"/>
    <w:rsid w:val="00B94C5E"/>
    <w:rsid w:val="00B950BC"/>
    <w:rsid w:val="00B95314"/>
    <w:rsid w:val="00B95433"/>
    <w:rsid w:val="00B958EE"/>
    <w:rsid w:val="00B95B0A"/>
    <w:rsid w:val="00B95B8D"/>
    <w:rsid w:val="00B9642D"/>
    <w:rsid w:val="00B96A3E"/>
    <w:rsid w:val="00B9714C"/>
    <w:rsid w:val="00B971CF"/>
    <w:rsid w:val="00B972BE"/>
    <w:rsid w:val="00B97B74"/>
    <w:rsid w:val="00BA01BA"/>
    <w:rsid w:val="00BA02E2"/>
    <w:rsid w:val="00BA03D7"/>
    <w:rsid w:val="00BA1264"/>
    <w:rsid w:val="00BA200E"/>
    <w:rsid w:val="00BA2031"/>
    <w:rsid w:val="00BA26F6"/>
    <w:rsid w:val="00BA272C"/>
    <w:rsid w:val="00BA29AD"/>
    <w:rsid w:val="00BA33CF"/>
    <w:rsid w:val="00BA3F8D"/>
    <w:rsid w:val="00BA454F"/>
    <w:rsid w:val="00BA5483"/>
    <w:rsid w:val="00BA54B0"/>
    <w:rsid w:val="00BA55C5"/>
    <w:rsid w:val="00BA55DD"/>
    <w:rsid w:val="00BA59C9"/>
    <w:rsid w:val="00BA6F8C"/>
    <w:rsid w:val="00BA71B8"/>
    <w:rsid w:val="00BB06E6"/>
    <w:rsid w:val="00BB078E"/>
    <w:rsid w:val="00BB1131"/>
    <w:rsid w:val="00BB122F"/>
    <w:rsid w:val="00BB18B6"/>
    <w:rsid w:val="00BB31FD"/>
    <w:rsid w:val="00BB3529"/>
    <w:rsid w:val="00BB38BC"/>
    <w:rsid w:val="00BB3B46"/>
    <w:rsid w:val="00BB4161"/>
    <w:rsid w:val="00BB4ACF"/>
    <w:rsid w:val="00BB4D8D"/>
    <w:rsid w:val="00BB58B3"/>
    <w:rsid w:val="00BB5DCA"/>
    <w:rsid w:val="00BB5E5F"/>
    <w:rsid w:val="00BB749B"/>
    <w:rsid w:val="00BB74AB"/>
    <w:rsid w:val="00BB74AC"/>
    <w:rsid w:val="00BB7A10"/>
    <w:rsid w:val="00BB7CA9"/>
    <w:rsid w:val="00BC0862"/>
    <w:rsid w:val="00BC0CE6"/>
    <w:rsid w:val="00BC30B9"/>
    <w:rsid w:val="00BC312D"/>
    <w:rsid w:val="00BC3834"/>
    <w:rsid w:val="00BC43DF"/>
    <w:rsid w:val="00BC60BE"/>
    <w:rsid w:val="00BC62C5"/>
    <w:rsid w:val="00BC6420"/>
    <w:rsid w:val="00BC657A"/>
    <w:rsid w:val="00BC672D"/>
    <w:rsid w:val="00BC6DBA"/>
    <w:rsid w:val="00BC732E"/>
    <w:rsid w:val="00BC73A6"/>
    <w:rsid w:val="00BC7468"/>
    <w:rsid w:val="00BC7D4F"/>
    <w:rsid w:val="00BC7ED5"/>
    <w:rsid w:val="00BC7ED7"/>
    <w:rsid w:val="00BD189C"/>
    <w:rsid w:val="00BD2233"/>
    <w:rsid w:val="00BD2850"/>
    <w:rsid w:val="00BD2887"/>
    <w:rsid w:val="00BD2EEF"/>
    <w:rsid w:val="00BD556B"/>
    <w:rsid w:val="00BD5A5A"/>
    <w:rsid w:val="00BD5E44"/>
    <w:rsid w:val="00BD60FF"/>
    <w:rsid w:val="00BD643E"/>
    <w:rsid w:val="00BD6877"/>
    <w:rsid w:val="00BD6B90"/>
    <w:rsid w:val="00BD6B9D"/>
    <w:rsid w:val="00BD74A3"/>
    <w:rsid w:val="00BD7BE4"/>
    <w:rsid w:val="00BD7E59"/>
    <w:rsid w:val="00BE0487"/>
    <w:rsid w:val="00BE075B"/>
    <w:rsid w:val="00BE0BE6"/>
    <w:rsid w:val="00BE0CDA"/>
    <w:rsid w:val="00BE0FD7"/>
    <w:rsid w:val="00BE1259"/>
    <w:rsid w:val="00BE1DE3"/>
    <w:rsid w:val="00BE28D2"/>
    <w:rsid w:val="00BE2B57"/>
    <w:rsid w:val="00BE322C"/>
    <w:rsid w:val="00BE3F6C"/>
    <w:rsid w:val="00BE4A64"/>
    <w:rsid w:val="00BE5010"/>
    <w:rsid w:val="00BE5A67"/>
    <w:rsid w:val="00BE5E28"/>
    <w:rsid w:val="00BE5E43"/>
    <w:rsid w:val="00BE5FFF"/>
    <w:rsid w:val="00BE6605"/>
    <w:rsid w:val="00BE694B"/>
    <w:rsid w:val="00BE6F7A"/>
    <w:rsid w:val="00BE76B1"/>
    <w:rsid w:val="00BF0508"/>
    <w:rsid w:val="00BF0ABE"/>
    <w:rsid w:val="00BF0EF5"/>
    <w:rsid w:val="00BF1F58"/>
    <w:rsid w:val="00BF318D"/>
    <w:rsid w:val="00BF3A73"/>
    <w:rsid w:val="00BF3DE4"/>
    <w:rsid w:val="00BF557D"/>
    <w:rsid w:val="00BF5683"/>
    <w:rsid w:val="00BF6553"/>
    <w:rsid w:val="00BF658D"/>
    <w:rsid w:val="00BF751A"/>
    <w:rsid w:val="00BF753A"/>
    <w:rsid w:val="00BF7F58"/>
    <w:rsid w:val="00C00163"/>
    <w:rsid w:val="00C00C5C"/>
    <w:rsid w:val="00C01381"/>
    <w:rsid w:val="00C0186B"/>
    <w:rsid w:val="00C01AB1"/>
    <w:rsid w:val="00C026A0"/>
    <w:rsid w:val="00C0305B"/>
    <w:rsid w:val="00C03EB9"/>
    <w:rsid w:val="00C04076"/>
    <w:rsid w:val="00C04B43"/>
    <w:rsid w:val="00C04E82"/>
    <w:rsid w:val="00C06137"/>
    <w:rsid w:val="00C06929"/>
    <w:rsid w:val="00C07521"/>
    <w:rsid w:val="00C079B8"/>
    <w:rsid w:val="00C07D2E"/>
    <w:rsid w:val="00C07EBA"/>
    <w:rsid w:val="00C10037"/>
    <w:rsid w:val="00C105BD"/>
    <w:rsid w:val="00C114E9"/>
    <w:rsid w:val="00C115E1"/>
    <w:rsid w:val="00C1187B"/>
    <w:rsid w:val="00C119CE"/>
    <w:rsid w:val="00C11EA1"/>
    <w:rsid w:val="00C1208C"/>
    <w:rsid w:val="00C123EA"/>
    <w:rsid w:val="00C12A49"/>
    <w:rsid w:val="00C12E3B"/>
    <w:rsid w:val="00C13190"/>
    <w:rsid w:val="00C133EE"/>
    <w:rsid w:val="00C14027"/>
    <w:rsid w:val="00C149D0"/>
    <w:rsid w:val="00C1530F"/>
    <w:rsid w:val="00C15A0F"/>
    <w:rsid w:val="00C1611B"/>
    <w:rsid w:val="00C161D6"/>
    <w:rsid w:val="00C162A6"/>
    <w:rsid w:val="00C16570"/>
    <w:rsid w:val="00C16701"/>
    <w:rsid w:val="00C20137"/>
    <w:rsid w:val="00C204EC"/>
    <w:rsid w:val="00C20DEF"/>
    <w:rsid w:val="00C20FD1"/>
    <w:rsid w:val="00C22BD6"/>
    <w:rsid w:val="00C24006"/>
    <w:rsid w:val="00C255EA"/>
    <w:rsid w:val="00C25DF5"/>
    <w:rsid w:val="00C263F4"/>
    <w:rsid w:val="00C26588"/>
    <w:rsid w:val="00C267F5"/>
    <w:rsid w:val="00C27210"/>
    <w:rsid w:val="00C27658"/>
    <w:rsid w:val="00C27710"/>
    <w:rsid w:val="00C27DE9"/>
    <w:rsid w:val="00C30BE8"/>
    <w:rsid w:val="00C31481"/>
    <w:rsid w:val="00C31A66"/>
    <w:rsid w:val="00C31E85"/>
    <w:rsid w:val="00C32425"/>
    <w:rsid w:val="00C32989"/>
    <w:rsid w:val="00C331F6"/>
    <w:rsid w:val="00C33388"/>
    <w:rsid w:val="00C33872"/>
    <w:rsid w:val="00C33F6D"/>
    <w:rsid w:val="00C3435D"/>
    <w:rsid w:val="00C345A9"/>
    <w:rsid w:val="00C3538D"/>
    <w:rsid w:val="00C353A3"/>
    <w:rsid w:val="00C35484"/>
    <w:rsid w:val="00C354F9"/>
    <w:rsid w:val="00C35E94"/>
    <w:rsid w:val="00C35F2C"/>
    <w:rsid w:val="00C368B2"/>
    <w:rsid w:val="00C369BC"/>
    <w:rsid w:val="00C40A69"/>
    <w:rsid w:val="00C414B6"/>
    <w:rsid w:val="00C4173A"/>
    <w:rsid w:val="00C419C9"/>
    <w:rsid w:val="00C419DE"/>
    <w:rsid w:val="00C41D1F"/>
    <w:rsid w:val="00C4387D"/>
    <w:rsid w:val="00C43EAE"/>
    <w:rsid w:val="00C43EF9"/>
    <w:rsid w:val="00C44140"/>
    <w:rsid w:val="00C44A4A"/>
    <w:rsid w:val="00C45E0F"/>
    <w:rsid w:val="00C466FF"/>
    <w:rsid w:val="00C46FE6"/>
    <w:rsid w:val="00C47F2B"/>
    <w:rsid w:val="00C50574"/>
    <w:rsid w:val="00C50DED"/>
    <w:rsid w:val="00C5116D"/>
    <w:rsid w:val="00C518A9"/>
    <w:rsid w:val="00C518FF"/>
    <w:rsid w:val="00C52104"/>
    <w:rsid w:val="00C52217"/>
    <w:rsid w:val="00C52C21"/>
    <w:rsid w:val="00C531D7"/>
    <w:rsid w:val="00C542F4"/>
    <w:rsid w:val="00C55C0C"/>
    <w:rsid w:val="00C55C9B"/>
    <w:rsid w:val="00C56054"/>
    <w:rsid w:val="00C56528"/>
    <w:rsid w:val="00C56649"/>
    <w:rsid w:val="00C56F7F"/>
    <w:rsid w:val="00C57034"/>
    <w:rsid w:val="00C57B4D"/>
    <w:rsid w:val="00C57FD1"/>
    <w:rsid w:val="00C602FF"/>
    <w:rsid w:val="00C60411"/>
    <w:rsid w:val="00C60CDA"/>
    <w:rsid w:val="00C61174"/>
    <w:rsid w:val="00C612C3"/>
    <w:rsid w:val="00C6148F"/>
    <w:rsid w:val="00C61A63"/>
    <w:rsid w:val="00C61DDC"/>
    <w:rsid w:val="00C621B1"/>
    <w:rsid w:val="00C626D2"/>
    <w:rsid w:val="00C62D5D"/>
    <w:rsid w:val="00C62F7A"/>
    <w:rsid w:val="00C63B9C"/>
    <w:rsid w:val="00C64B41"/>
    <w:rsid w:val="00C64DF3"/>
    <w:rsid w:val="00C6507D"/>
    <w:rsid w:val="00C652B4"/>
    <w:rsid w:val="00C65AD6"/>
    <w:rsid w:val="00C66252"/>
    <w:rsid w:val="00C665D2"/>
    <w:rsid w:val="00C6682F"/>
    <w:rsid w:val="00C66F02"/>
    <w:rsid w:val="00C67BF4"/>
    <w:rsid w:val="00C70F30"/>
    <w:rsid w:val="00C719ED"/>
    <w:rsid w:val="00C722D1"/>
    <w:rsid w:val="00C7275E"/>
    <w:rsid w:val="00C72B99"/>
    <w:rsid w:val="00C731AF"/>
    <w:rsid w:val="00C732B1"/>
    <w:rsid w:val="00C7333B"/>
    <w:rsid w:val="00C74C5D"/>
    <w:rsid w:val="00C75040"/>
    <w:rsid w:val="00C766B4"/>
    <w:rsid w:val="00C76C8B"/>
    <w:rsid w:val="00C76F57"/>
    <w:rsid w:val="00C76FC3"/>
    <w:rsid w:val="00C773D3"/>
    <w:rsid w:val="00C77D8D"/>
    <w:rsid w:val="00C809C2"/>
    <w:rsid w:val="00C81087"/>
    <w:rsid w:val="00C8148C"/>
    <w:rsid w:val="00C81842"/>
    <w:rsid w:val="00C81870"/>
    <w:rsid w:val="00C81C95"/>
    <w:rsid w:val="00C830E2"/>
    <w:rsid w:val="00C83359"/>
    <w:rsid w:val="00C83DC6"/>
    <w:rsid w:val="00C84862"/>
    <w:rsid w:val="00C84CC0"/>
    <w:rsid w:val="00C84FFB"/>
    <w:rsid w:val="00C85745"/>
    <w:rsid w:val="00C85ED3"/>
    <w:rsid w:val="00C85F32"/>
    <w:rsid w:val="00C861A4"/>
    <w:rsid w:val="00C863C4"/>
    <w:rsid w:val="00C86BF2"/>
    <w:rsid w:val="00C87317"/>
    <w:rsid w:val="00C875E6"/>
    <w:rsid w:val="00C9011A"/>
    <w:rsid w:val="00C909B8"/>
    <w:rsid w:val="00C90DAB"/>
    <w:rsid w:val="00C90F78"/>
    <w:rsid w:val="00C91CF4"/>
    <w:rsid w:val="00C91ED9"/>
    <w:rsid w:val="00C920EA"/>
    <w:rsid w:val="00C924AC"/>
    <w:rsid w:val="00C927E2"/>
    <w:rsid w:val="00C931BF"/>
    <w:rsid w:val="00C93708"/>
    <w:rsid w:val="00C93C30"/>
    <w:rsid w:val="00C93C3E"/>
    <w:rsid w:val="00C93ED8"/>
    <w:rsid w:val="00C94453"/>
    <w:rsid w:val="00C9489C"/>
    <w:rsid w:val="00C94AB1"/>
    <w:rsid w:val="00C950F7"/>
    <w:rsid w:val="00C95651"/>
    <w:rsid w:val="00C95D33"/>
    <w:rsid w:val="00C95F73"/>
    <w:rsid w:val="00C962E4"/>
    <w:rsid w:val="00C96432"/>
    <w:rsid w:val="00C96716"/>
    <w:rsid w:val="00C9692A"/>
    <w:rsid w:val="00C96AF9"/>
    <w:rsid w:val="00C9750C"/>
    <w:rsid w:val="00CA03A4"/>
    <w:rsid w:val="00CA053B"/>
    <w:rsid w:val="00CA078F"/>
    <w:rsid w:val="00CA12E3"/>
    <w:rsid w:val="00CA1476"/>
    <w:rsid w:val="00CA1522"/>
    <w:rsid w:val="00CA1839"/>
    <w:rsid w:val="00CA2209"/>
    <w:rsid w:val="00CA2A96"/>
    <w:rsid w:val="00CA36A2"/>
    <w:rsid w:val="00CA3B9A"/>
    <w:rsid w:val="00CA41F7"/>
    <w:rsid w:val="00CA45F3"/>
    <w:rsid w:val="00CA4950"/>
    <w:rsid w:val="00CA498C"/>
    <w:rsid w:val="00CA4B52"/>
    <w:rsid w:val="00CA4C9B"/>
    <w:rsid w:val="00CA4F56"/>
    <w:rsid w:val="00CA5F42"/>
    <w:rsid w:val="00CA6611"/>
    <w:rsid w:val="00CA6AE6"/>
    <w:rsid w:val="00CA6C7B"/>
    <w:rsid w:val="00CA7136"/>
    <w:rsid w:val="00CA76A3"/>
    <w:rsid w:val="00CA782F"/>
    <w:rsid w:val="00CA7B94"/>
    <w:rsid w:val="00CB01FE"/>
    <w:rsid w:val="00CB187B"/>
    <w:rsid w:val="00CB27F4"/>
    <w:rsid w:val="00CB2835"/>
    <w:rsid w:val="00CB3285"/>
    <w:rsid w:val="00CB357C"/>
    <w:rsid w:val="00CB3721"/>
    <w:rsid w:val="00CB4500"/>
    <w:rsid w:val="00CB4B50"/>
    <w:rsid w:val="00CB4C86"/>
    <w:rsid w:val="00CB532F"/>
    <w:rsid w:val="00CB59B9"/>
    <w:rsid w:val="00CB69AF"/>
    <w:rsid w:val="00CB6CDB"/>
    <w:rsid w:val="00CB7C4E"/>
    <w:rsid w:val="00CC0C72"/>
    <w:rsid w:val="00CC0EAF"/>
    <w:rsid w:val="00CC2BFD"/>
    <w:rsid w:val="00CC2E3A"/>
    <w:rsid w:val="00CC300C"/>
    <w:rsid w:val="00CC386E"/>
    <w:rsid w:val="00CC38A7"/>
    <w:rsid w:val="00CC3BB0"/>
    <w:rsid w:val="00CC42C8"/>
    <w:rsid w:val="00CC4F4B"/>
    <w:rsid w:val="00CC508B"/>
    <w:rsid w:val="00CC61D8"/>
    <w:rsid w:val="00CC6BCA"/>
    <w:rsid w:val="00CC6F29"/>
    <w:rsid w:val="00CC6F40"/>
    <w:rsid w:val="00CC70A0"/>
    <w:rsid w:val="00CD0313"/>
    <w:rsid w:val="00CD18C4"/>
    <w:rsid w:val="00CD2D94"/>
    <w:rsid w:val="00CD2F8C"/>
    <w:rsid w:val="00CD2FD9"/>
    <w:rsid w:val="00CD3476"/>
    <w:rsid w:val="00CD37C8"/>
    <w:rsid w:val="00CD39FA"/>
    <w:rsid w:val="00CD3AA0"/>
    <w:rsid w:val="00CD3CDD"/>
    <w:rsid w:val="00CD3E24"/>
    <w:rsid w:val="00CD3F1D"/>
    <w:rsid w:val="00CD4231"/>
    <w:rsid w:val="00CD46B1"/>
    <w:rsid w:val="00CD4BA3"/>
    <w:rsid w:val="00CD56D3"/>
    <w:rsid w:val="00CD5C28"/>
    <w:rsid w:val="00CD5D33"/>
    <w:rsid w:val="00CD64DF"/>
    <w:rsid w:val="00CD6797"/>
    <w:rsid w:val="00CD6B64"/>
    <w:rsid w:val="00CE0397"/>
    <w:rsid w:val="00CE06C1"/>
    <w:rsid w:val="00CE0747"/>
    <w:rsid w:val="00CE111C"/>
    <w:rsid w:val="00CE18D1"/>
    <w:rsid w:val="00CE1CED"/>
    <w:rsid w:val="00CE225F"/>
    <w:rsid w:val="00CE26A6"/>
    <w:rsid w:val="00CE346F"/>
    <w:rsid w:val="00CE3B93"/>
    <w:rsid w:val="00CE3BB8"/>
    <w:rsid w:val="00CE40B8"/>
    <w:rsid w:val="00CE4824"/>
    <w:rsid w:val="00CE4826"/>
    <w:rsid w:val="00CE4875"/>
    <w:rsid w:val="00CE5A7A"/>
    <w:rsid w:val="00CE5BCA"/>
    <w:rsid w:val="00CE6AE0"/>
    <w:rsid w:val="00CE6CC0"/>
    <w:rsid w:val="00CE71AB"/>
    <w:rsid w:val="00CE7206"/>
    <w:rsid w:val="00CF0802"/>
    <w:rsid w:val="00CF137C"/>
    <w:rsid w:val="00CF1AB5"/>
    <w:rsid w:val="00CF2E35"/>
    <w:rsid w:val="00CF2F14"/>
    <w:rsid w:val="00CF2F50"/>
    <w:rsid w:val="00CF2FF5"/>
    <w:rsid w:val="00CF3779"/>
    <w:rsid w:val="00CF400E"/>
    <w:rsid w:val="00CF59C1"/>
    <w:rsid w:val="00CF6198"/>
    <w:rsid w:val="00CF61A4"/>
    <w:rsid w:val="00CF6705"/>
    <w:rsid w:val="00D0029A"/>
    <w:rsid w:val="00D00E15"/>
    <w:rsid w:val="00D01AF1"/>
    <w:rsid w:val="00D02919"/>
    <w:rsid w:val="00D03C9C"/>
    <w:rsid w:val="00D046BC"/>
    <w:rsid w:val="00D04B3E"/>
    <w:rsid w:val="00D04C61"/>
    <w:rsid w:val="00D05383"/>
    <w:rsid w:val="00D0549A"/>
    <w:rsid w:val="00D0555D"/>
    <w:rsid w:val="00D05B8D"/>
    <w:rsid w:val="00D05B9B"/>
    <w:rsid w:val="00D05C28"/>
    <w:rsid w:val="00D062BC"/>
    <w:rsid w:val="00D065A2"/>
    <w:rsid w:val="00D067E5"/>
    <w:rsid w:val="00D06BBE"/>
    <w:rsid w:val="00D06DF1"/>
    <w:rsid w:val="00D06E6B"/>
    <w:rsid w:val="00D07752"/>
    <w:rsid w:val="00D079AA"/>
    <w:rsid w:val="00D07B24"/>
    <w:rsid w:val="00D07F00"/>
    <w:rsid w:val="00D07FAC"/>
    <w:rsid w:val="00D1037C"/>
    <w:rsid w:val="00D10402"/>
    <w:rsid w:val="00D10C46"/>
    <w:rsid w:val="00D10EE1"/>
    <w:rsid w:val="00D1130F"/>
    <w:rsid w:val="00D12822"/>
    <w:rsid w:val="00D13170"/>
    <w:rsid w:val="00D13971"/>
    <w:rsid w:val="00D144C7"/>
    <w:rsid w:val="00D14BAA"/>
    <w:rsid w:val="00D14E43"/>
    <w:rsid w:val="00D1533B"/>
    <w:rsid w:val="00D159C9"/>
    <w:rsid w:val="00D15AEC"/>
    <w:rsid w:val="00D16038"/>
    <w:rsid w:val="00D17070"/>
    <w:rsid w:val="00D17642"/>
    <w:rsid w:val="00D17B72"/>
    <w:rsid w:val="00D20AEE"/>
    <w:rsid w:val="00D21C40"/>
    <w:rsid w:val="00D21CA3"/>
    <w:rsid w:val="00D21E79"/>
    <w:rsid w:val="00D22A88"/>
    <w:rsid w:val="00D22AA8"/>
    <w:rsid w:val="00D230B6"/>
    <w:rsid w:val="00D2333E"/>
    <w:rsid w:val="00D24172"/>
    <w:rsid w:val="00D244D5"/>
    <w:rsid w:val="00D245DB"/>
    <w:rsid w:val="00D246C9"/>
    <w:rsid w:val="00D24771"/>
    <w:rsid w:val="00D2478E"/>
    <w:rsid w:val="00D249C2"/>
    <w:rsid w:val="00D25159"/>
    <w:rsid w:val="00D263BC"/>
    <w:rsid w:val="00D26EB8"/>
    <w:rsid w:val="00D27243"/>
    <w:rsid w:val="00D27622"/>
    <w:rsid w:val="00D27795"/>
    <w:rsid w:val="00D27D9F"/>
    <w:rsid w:val="00D27F8E"/>
    <w:rsid w:val="00D30988"/>
    <w:rsid w:val="00D30A8C"/>
    <w:rsid w:val="00D30CD5"/>
    <w:rsid w:val="00D30D72"/>
    <w:rsid w:val="00D3185C"/>
    <w:rsid w:val="00D3205F"/>
    <w:rsid w:val="00D3318E"/>
    <w:rsid w:val="00D333A6"/>
    <w:rsid w:val="00D33D80"/>
    <w:rsid w:val="00D33E72"/>
    <w:rsid w:val="00D346C8"/>
    <w:rsid w:val="00D35708"/>
    <w:rsid w:val="00D35A96"/>
    <w:rsid w:val="00D35BD6"/>
    <w:rsid w:val="00D35F06"/>
    <w:rsid w:val="00D361B5"/>
    <w:rsid w:val="00D366F0"/>
    <w:rsid w:val="00D3673F"/>
    <w:rsid w:val="00D36E07"/>
    <w:rsid w:val="00D370AD"/>
    <w:rsid w:val="00D37966"/>
    <w:rsid w:val="00D37A76"/>
    <w:rsid w:val="00D37DC5"/>
    <w:rsid w:val="00D402DF"/>
    <w:rsid w:val="00D40D19"/>
    <w:rsid w:val="00D40EA7"/>
    <w:rsid w:val="00D40EF8"/>
    <w:rsid w:val="00D411A2"/>
    <w:rsid w:val="00D41766"/>
    <w:rsid w:val="00D42066"/>
    <w:rsid w:val="00D42187"/>
    <w:rsid w:val="00D423A9"/>
    <w:rsid w:val="00D434CC"/>
    <w:rsid w:val="00D43B71"/>
    <w:rsid w:val="00D44BA4"/>
    <w:rsid w:val="00D44F8D"/>
    <w:rsid w:val="00D451BA"/>
    <w:rsid w:val="00D45300"/>
    <w:rsid w:val="00D454F0"/>
    <w:rsid w:val="00D45587"/>
    <w:rsid w:val="00D45BC1"/>
    <w:rsid w:val="00D4606D"/>
    <w:rsid w:val="00D46A01"/>
    <w:rsid w:val="00D46DBD"/>
    <w:rsid w:val="00D4707E"/>
    <w:rsid w:val="00D479A9"/>
    <w:rsid w:val="00D47B09"/>
    <w:rsid w:val="00D50439"/>
    <w:rsid w:val="00D5084A"/>
    <w:rsid w:val="00D50B9C"/>
    <w:rsid w:val="00D510F2"/>
    <w:rsid w:val="00D513AF"/>
    <w:rsid w:val="00D5166F"/>
    <w:rsid w:val="00D51D4D"/>
    <w:rsid w:val="00D51F91"/>
    <w:rsid w:val="00D52036"/>
    <w:rsid w:val="00D525EB"/>
    <w:rsid w:val="00D52754"/>
    <w:rsid w:val="00D52D73"/>
    <w:rsid w:val="00D52E58"/>
    <w:rsid w:val="00D5331F"/>
    <w:rsid w:val="00D535FD"/>
    <w:rsid w:val="00D53677"/>
    <w:rsid w:val="00D53A50"/>
    <w:rsid w:val="00D53D3C"/>
    <w:rsid w:val="00D53FA8"/>
    <w:rsid w:val="00D54FEA"/>
    <w:rsid w:val="00D5588A"/>
    <w:rsid w:val="00D5598D"/>
    <w:rsid w:val="00D569AE"/>
    <w:rsid w:val="00D56B20"/>
    <w:rsid w:val="00D57412"/>
    <w:rsid w:val="00D576D7"/>
    <w:rsid w:val="00D578B3"/>
    <w:rsid w:val="00D603DB"/>
    <w:rsid w:val="00D60D05"/>
    <w:rsid w:val="00D6110C"/>
    <w:rsid w:val="00D618F4"/>
    <w:rsid w:val="00D619AD"/>
    <w:rsid w:val="00D623FB"/>
    <w:rsid w:val="00D62B28"/>
    <w:rsid w:val="00D63357"/>
    <w:rsid w:val="00D63636"/>
    <w:rsid w:val="00D645D7"/>
    <w:rsid w:val="00D647BE"/>
    <w:rsid w:val="00D648C0"/>
    <w:rsid w:val="00D64AEC"/>
    <w:rsid w:val="00D64C85"/>
    <w:rsid w:val="00D65252"/>
    <w:rsid w:val="00D66148"/>
    <w:rsid w:val="00D66F1A"/>
    <w:rsid w:val="00D6726E"/>
    <w:rsid w:val="00D675D0"/>
    <w:rsid w:val="00D67BBF"/>
    <w:rsid w:val="00D7050B"/>
    <w:rsid w:val="00D70EED"/>
    <w:rsid w:val="00D714CC"/>
    <w:rsid w:val="00D7233E"/>
    <w:rsid w:val="00D72FC4"/>
    <w:rsid w:val="00D7411A"/>
    <w:rsid w:val="00D747E0"/>
    <w:rsid w:val="00D74C68"/>
    <w:rsid w:val="00D756FE"/>
    <w:rsid w:val="00D75EA7"/>
    <w:rsid w:val="00D75FB1"/>
    <w:rsid w:val="00D76ECC"/>
    <w:rsid w:val="00D77055"/>
    <w:rsid w:val="00D77425"/>
    <w:rsid w:val="00D8017E"/>
    <w:rsid w:val="00D801CF"/>
    <w:rsid w:val="00D80388"/>
    <w:rsid w:val="00D80B1E"/>
    <w:rsid w:val="00D81ADF"/>
    <w:rsid w:val="00D81D36"/>
    <w:rsid w:val="00D81F21"/>
    <w:rsid w:val="00D820A5"/>
    <w:rsid w:val="00D844EA"/>
    <w:rsid w:val="00D84572"/>
    <w:rsid w:val="00D845FD"/>
    <w:rsid w:val="00D84C83"/>
    <w:rsid w:val="00D84CB0"/>
    <w:rsid w:val="00D84EE3"/>
    <w:rsid w:val="00D84F9C"/>
    <w:rsid w:val="00D85AA8"/>
    <w:rsid w:val="00D864F2"/>
    <w:rsid w:val="00D86B77"/>
    <w:rsid w:val="00D86FC3"/>
    <w:rsid w:val="00D875F5"/>
    <w:rsid w:val="00D879DF"/>
    <w:rsid w:val="00D87D84"/>
    <w:rsid w:val="00D902F1"/>
    <w:rsid w:val="00D904AC"/>
    <w:rsid w:val="00D92CC1"/>
    <w:rsid w:val="00D937C0"/>
    <w:rsid w:val="00D943F8"/>
    <w:rsid w:val="00D94F9C"/>
    <w:rsid w:val="00D95470"/>
    <w:rsid w:val="00D955D7"/>
    <w:rsid w:val="00D95A2C"/>
    <w:rsid w:val="00D95DD4"/>
    <w:rsid w:val="00D95F56"/>
    <w:rsid w:val="00D95FF0"/>
    <w:rsid w:val="00D96134"/>
    <w:rsid w:val="00D96B55"/>
    <w:rsid w:val="00D97F4C"/>
    <w:rsid w:val="00DA0357"/>
    <w:rsid w:val="00DA057E"/>
    <w:rsid w:val="00DA0742"/>
    <w:rsid w:val="00DA0983"/>
    <w:rsid w:val="00DA0EC4"/>
    <w:rsid w:val="00DA187A"/>
    <w:rsid w:val="00DA2619"/>
    <w:rsid w:val="00DA2770"/>
    <w:rsid w:val="00DA2A86"/>
    <w:rsid w:val="00DA3149"/>
    <w:rsid w:val="00DA322A"/>
    <w:rsid w:val="00DA325B"/>
    <w:rsid w:val="00DA3503"/>
    <w:rsid w:val="00DA40CC"/>
    <w:rsid w:val="00DA4239"/>
    <w:rsid w:val="00DA46E6"/>
    <w:rsid w:val="00DA588C"/>
    <w:rsid w:val="00DA5BE4"/>
    <w:rsid w:val="00DA65DE"/>
    <w:rsid w:val="00DA65F1"/>
    <w:rsid w:val="00DA6D6F"/>
    <w:rsid w:val="00DA7114"/>
    <w:rsid w:val="00DA7397"/>
    <w:rsid w:val="00DA77A5"/>
    <w:rsid w:val="00DA7D37"/>
    <w:rsid w:val="00DB0396"/>
    <w:rsid w:val="00DB0694"/>
    <w:rsid w:val="00DB0B61"/>
    <w:rsid w:val="00DB1175"/>
    <w:rsid w:val="00DB1474"/>
    <w:rsid w:val="00DB2962"/>
    <w:rsid w:val="00DB34E0"/>
    <w:rsid w:val="00DB3A74"/>
    <w:rsid w:val="00DB485B"/>
    <w:rsid w:val="00DB4DEB"/>
    <w:rsid w:val="00DB52FB"/>
    <w:rsid w:val="00DB58A8"/>
    <w:rsid w:val="00DB5D9A"/>
    <w:rsid w:val="00DB6F26"/>
    <w:rsid w:val="00DB7259"/>
    <w:rsid w:val="00DB726D"/>
    <w:rsid w:val="00DB7D04"/>
    <w:rsid w:val="00DB7D99"/>
    <w:rsid w:val="00DC0046"/>
    <w:rsid w:val="00DC00E2"/>
    <w:rsid w:val="00DC013B"/>
    <w:rsid w:val="00DC0175"/>
    <w:rsid w:val="00DC05B2"/>
    <w:rsid w:val="00DC090B"/>
    <w:rsid w:val="00DC0AE0"/>
    <w:rsid w:val="00DC1679"/>
    <w:rsid w:val="00DC1E7D"/>
    <w:rsid w:val="00DC219B"/>
    <w:rsid w:val="00DC22C1"/>
    <w:rsid w:val="00DC2C85"/>
    <w:rsid w:val="00DC2CF1"/>
    <w:rsid w:val="00DC2DC7"/>
    <w:rsid w:val="00DC2EA0"/>
    <w:rsid w:val="00DC3A7C"/>
    <w:rsid w:val="00DC445D"/>
    <w:rsid w:val="00DC4DB4"/>
    <w:rsid w:val="00DC4DB6"/>
    <w:rsid w:val="00DC4FCF"/>
    <w:rsid w:val="00DC5087"/>
    <w:rsid w:val="00DC50E0"/>
    <w:rsid w:val="00DC55EB"/>
    <w:rsid w:val="00DC6098"/>
    <w:rsid w:val="00DC62B1"/>
    <w:rsid w:val="00DC635B"/>
    <w:rsid w:val="00DC6386"/>
    <w:rsid w:val="00DC6A3F"/>
    <w:rsid w:val="00DC77C0"/>
    <w:rsid w:val="00DD09EC"/>
    <w:rsid w:val="00DD1130"/>
    <w:rsid w:val="00DD11B0"/>
    <w:rsid w:val="00DD1951"/>
    <w:rsid w:val="00DD2732"/>
    <w:rsid w:val="00DD2839"/>
    <w:rsid w:val="00DD3E7F"/>
    <w:rsid w:val="00DD423E"/>
    <w:rsid w:val="00DD466C"/>
    <w:rsid w:val="00DD487D"/>
    <w:rsid w:val="00DD4C92"/>
    <w:rsid w:val="00DD4E83"/>
    <w:rsid w:val="00DD5C17"/>
    <w:rsid w:val="00DD5C94"/>
    <w:rsid w:val="00DD6628"/>
    <w:rsid w:val="00DD678F"/>
    <w:rsid w:val="00DD6945"/>
    <w:rsid w:val="00DD6A1E"/>
    <w:rsid w:val="00DD7281"/>
    <w:rsid w:val="00DD7BFA"/>
    <w:rsid w:val="00DD7D0B"/>
    <w:rsid w:val="00DD7F2D"/>
    <w:rsid w:val="00DE0610"/>
    <w:rsid w:val="00DE09DB"/>
    <w:rsid w:val="00DE10CC"/>
    <w:rsid w:val="00DE1E10"/>
    <w:rsid w:val="00DE2966"/>
    <w:rsid w:val="00DE2D04"/>
    <w:rsid w:val="00DE3250"/>
    <w:rsid w:val="00DE3AF2"/>
    <w:rsid w:val="00DE4147"/>
    <w:rsid w:val="00DE49FF"/>
    <w:rsid w:val="00DE5164"/>
    <w:rsid w:val="00DE531A"/>
    <w:rsid w:val="00DE54A7"/>
    <w:rsid w:val="00DE6028"/>
    <w:rsid w:val="00DE6C85"/>
    <w:rsid w:val="00DE712A"/>
    <w:rsid w:val="00DE78A3"/>
    <w:rsid w:val="00DF03C0"/>
    <w:rsid w:val="00DF0A6E"/>
    <w:rsid w:val="00DF0CB7"/>
    <w:rsid w:val="00DF111D"/>
    <w:rsid w:val="00DF19DF"/>
    <w:rsid w:val="00DF1A71"/>
    <w:rsid w:val="00DF23E5"/>
    <w:rsid w:val="00DF2708"/>
    <w:rsid w:val="00DF355A"/>
    <w:rsid w:val="00DF50FC"/>
    <w:rsid w:val="00DF52F8"/>
    <w:rsid w:val="00DF5374"/>
    <w:rsid w:val="00DF630B"/>
    <w:rsid w:val="00DF68C7"/>
    <w:rsid w:val="00DF6D60"/>
    <w:rsid w:val="00DF731A"/>
    <w:rsid w:val="00E004C7"/>
    <w:rsid w:val="00E0177D"/>
    <w:rsid w:val="00E0328D"/>
    <w:rsid w:val="00E03365"/>
    <w:rsid w:val="00E033A7"/>
    <w:rsid w:val="00E03EBC"/>
    <w:rsid w:val="00E04280"/>
    <w:rsid w:val="00E047E4"/>
    <w:rsid w:val="00E04C74"/>
    <w:rsid w:val="00E06135"/>
    <w:rsid w:val="00E06B75"/>
    <w:rsid w:val="00E0729D"/>
    <w:rsid w:val="00E0750C"/>
    <w:rsid w:val="00E07629"/>
    <w:rsid w:val="00E07CFD"/>
    <w:rsid w:val="00E10FE7"/>
    <w:rsid w:val="00E11332"/>
    <w:rsid w:val="00E11352"/>
    <w:rsid w:val="00E11D36"/>
    <w:rsid w:val="00E11FD8"/>
    <w:rsid w:val="00E1272D"/>
    <w:rsid w:val="00E12773"/>
    <w:rsid w:val="00E1282F"/>
    <w:rsid w:val="00E1294A"/>
    <w:rsid w:val="00E12DC4"/>
    <w:rsid w:val="00E1327A"/>
    <w:rsid w:val="00E13863"/>
    <w:rsid w:val="00E14110"/>
    <w:rsid w:val="00E1592E"/>
    <w:rsid w:val="00E1638B"/>
    <w:rsid w:val="00E1698F"/>
    <w:rsid w:val="00E16AF2"/>
    <w:rsid w:val="00E170DC"/>
    <w:rsid w:val="00E1719B"/>
    <w:rsid w:val="00E171AB"/>
    <w:rsid w:val="00E17546"/>
    <w:rsid w:val="00E2018D"/>
    <w:rsid w:val="00E20835"/>
    <w:rsid w:val="00E2093D"/>
    <w:rsid w:val="00E210B5"/>
    <w:rsid w:val="00E22806"/>
    <w:rsid w:val="00E22A16"/>
    <w:rsid w:val="00E230DA"/>
    <w:rsid w:val="00E23160"/>
    <w:rsid w:val="00E2330B"/>
    <w:rsid w:val="00E235D6"/>
    <w:rsid w:val="00E23B1E"/>
    <w:rsid w:val="00E23CB8"/>
    <w:rsid w:val="00E2411D"/>
    <w:rsid w:val="00E24489"/>
    <w:rsid w:val="00E247CF"/>
    <w:rsid w:val="00E24F26"/>
    <w:rsid w:val="00E257D3"/>
    <w:rsid w:val="00E261B3"/>
    <w:rsid w:val="00E265E5"/>
    <w:rsid w:val="00E26818"/>
    <w:rsid w:val="00E26933"/>
    <w:rsid w:val="00E26EE8"/>
    <w:rsid w:val="00E27FFC"/>
    <w:rsid w:val="00E300F7"/>
    <w:rsid w:val="00E30A13"/>
    <w:rsid w:val="00E30B03"/>
    <w:rsid w:val="00E30B15"/>
    <w:rsid w:val="00E310A4"/>
    <w:rsid w:val="00E314AF"/>
    <w:rsid w:val="00E31661"/>
    <w:rsid w:val="00E317B0"/>
    <w:rsid w:val="00E32389"/>
    <w:rsid w:val="00E32539"/>
    <w:rsid w:val="00E3294E"/>
    <w:rsid w:val="00E33237"/>
    <w:rsid w:val="00E336C2"/>
    <w:rsid w:val="00E339D1"/>
    <w:rsid w:val="00E33B23"/>
    <w:rsid w:val="00E34864"/>
    <w:rsid w:val="00E34A6A"/>
    <w:rsid w:val="00E35019"/>
    <w:rsid w:val="00E35340"/>
    <w:rsid w:val="00E359B6"/>
    <w:rsid w:val="00E35BB4"/>
    <w:rsid w:val="00E36358"/>
    <w:rsid w:val="00E36A7A"/>
    <w:rsid w:val="00E373CD"/>
    <w:rsid w:val="00E3766B"/>
    <w:rsid w:val="00E376BE"/>
    <w:rsid w:val="00E3787F"/>
    <w:rsid w:val="00E4003C"/>
    <w:rsid w:val="00E40181"/>
    <w:rsid w:val="00E41559"/>
    <w:rsid w:val="00E4228E"/>
    <w:rsid w:val="00E4264D"/>
    <w:rsid w:val="00E4304A"/>
    <w:rsid w:val="00E43B05"/>
    <w:rsid w:val="00E43FC0"/>
    <w:rsid w:val="00E44135"/>
    <w:rsid w:val="00E44BD5"/>
    <w:rsid w:val="00E44C0D"/>
    <w:rsid w:val="00E4502F"/>
    <w:rsid w:val="00E4526C"/>
    <w:rsid w:val="00E457BA"/>
    <w:rsid w:val="00E465C3"/>
    <w:rsid w:val="00E4740C"/>
    <w:rsid w:val="00E47D6B"/>
    <w:rsid w:val="00E47E6D"/>
    <w:rsid w:val="00E5088E"/>
    <w:rsid w:val="00E50DF1"/>
    <w:rsid w:val="00E50FDF"/>
    <w:rsid w:val="00E51A76"/>
    <w:rsid w:val="00E51B35"/>
    <w:rsid w:val="00E52189"/>
    <w:rsid w:val="00E527FD"/>
    <w:rsid w:val="00E52A28"/>
    <w:rsid w:val="00E5304A"/>
    <w:rsid w:val="00E53360"/>
    <w:rsid w:val="00E53BA3"/>
    <w:rsid w:val="00E53BCE"/>
    <w:rsid w:val="00E54685"/>
    <w:rsid w:val="00E54787"/>
    <w:rsid w:val="00E54950"/>
    <w:rsid w:val="00E54ACD"/>
    <w:rsid w:val="00E55045"/>
    <w:rsid w:val="00E55FB3"/>
    <w:rsid w:val="00E56A01"/>
    <w:rsid w:val="00E56F3C"/>
    <w:rsid w:val="00E572F6"/>
    <w:rsid w:val="00E5784D"/>
    <w:rsid w:val="00E57B7F"/>
    <w:rsid w:val="00E57BD3"/>
    <w:rsid w:val="00E603F3"/>
    <w:rsid w:val="00E6041C"/>
    <w:rsid w:val="00E61447"/>
    <w:rsid w:val="00E61B6F"/>
    <w:rsid w:val="00E61F80"/>
    <w:rsid w:val="00E629A1"/>
    <w:rsid w:val="00E62D4B"/>
    <w:rsid w:val="00E63C73"/>
    <w:rsid w:val="00E63DED"/>
    <w:rsid w:val="00E6508D"/>
    <w:rsid w:val="00E651CC"/>
    <w:rsid w:val="00E653F3"/>
    <w:rsid w:val="00E659F2"/>
    <w:rsid w:val="00E65A29"/>
    <w:rsid w:val="00E662FA"/>
    <w:rsid w:val="00E668A6"/>
    <w:rsid w:val="00E668DC"/>
    <w:rsid w:val="00E66B2C"/>
    <w:rsid w:val="00E66F70"/>
    <w:rsid w:val="00E67180"/>
    <w:rsid w:val="00E672DF"/>
    <w:rsid w:val="00E6794C"/>
    <w:rsid w:val="00E71591"/>
    <w:rsid w:val="00E71CEB"/>
    <w:rsid w:val="00E72186"/>
    <w:rsid w:val="00E723DC"/>
    <w:rsid w:val="00E72486"/>
    <w:rsid w:val="00E72534"/>
    <w:rsid w:val="00E72B20"/>
    <w:rsid w:val="00E72B27"/>
    <w:rsid w:val="00E73000"/>
    <w:rsid w:val="00E73349"/>
    <w:rsid w:val="00E733B7"/>
    <w:rsid w:val="00E7340E"/>
    <w:rsid w:val="00E7353D"/>
    <w:rsid w:val="00E73540"/>
    <w:rsid w:val="00E73624"/>
    <w:rsid w:val="00E739BA"/>
    <w:rsid w:val="00E7474F"/>
    <w:rsid w:val="00E74C51"/>
    <w:rsid w:val="00E74CEB"/>
    <w:rsid w:val="00E75AC5"/>
    <w:rsid w:val="00E75D56"/>
    <w:rsid w:val="00E76993"/>
    <w:rsid w:val="00E76A98"/>
    <w:rsid w:val="00E80751"/>
    <w:rsid w:val="00E80DE3"/>
    <w:rsid w:val="00E80F6E"/>
    <w:rsid w:val="00E82C55"/>
    <w:rsid w:val="00E83D74"/>
    <w:rsid w:val="00E84009"/>
    <w:rsid w:val="00E84DE3"/>
    <w:rsid w:val="00E853DF"/>
    <w:rsid w:val="00E853EB"/>
    <w:rsid w:val="00E85825"/>
    <w:rsid w:val="00E8787E"/>
    <w:rsid w:val="00E9042A"/>
    <w:rsid w:val="00E9099F"/>
    <w:rsid w:val="00E913C6"/>
    <w:rsid w:val="00E91B78"/>
    <w:rsid w:val="00E91EA3"/>
    <w:rsid w:val="00E92456"/>
    <w:rsid w:val="00E928E2"/>
    <w:rsid w:val="00E92AC3"/>
    <w:rsid w:val="00E92ADA"/>
    <w:rsid w:val="00E92AE0"/>
    <w:rsid w:val="00E93224"/>
    <w:rsid w:val="00E93656"/>
    <w:rsid w:val="00E93EEB"/>
    <w:rsid w:val="00E9405E"/>
    <w:rsid w:val="00E94E32"/>
    <w:rsid w:val="00E94E51"/>
    <w:rsid w:val="00E95026"/>
    <w:rsid w:val="00E95C72"/>
    <w:rsid w:val="00E95F59"/>
    <w:rsid w:val="00E960C7"/>
    <w:rsid w:val="00E9619C"/>
    <w:rsid w:val="00E962CD"/>
    <w:rsid w:val="00E962EF"/>
    <w:rsid w:val="00E965C3"/>
    <w:rsid w:val="00E97002"/>
    <w:rsid w:val="00E979D7"/>
    <w:rsid w:val="00E97B29"/>
    <w:rsid w:val="00E97E3D"/>
    <w:rsid w:val="00EA01AE"/>
    <w:rsid w:val="00EA01E7"/>
    <w:rsid w:val="00EA0816"/>
    <w:rsid w:val="00EA177A"/>
    <w:rsid w:val="00EA1D9A"/>
    <w:rsid w:val="00EA212F"/>
    <w:rsid w:val="00EA2BD6"/>
    <w:rsid w:val="00EA2D81"/>
    <w:rsid w:val="00EA2E96"/>
    <w:rsid w:val="00EA2F6A"/>
    <w:rsid w:val="00EA2FD9"/>
    <w:rsid w:val="00EA411F"/>
    <w:rsid w:val="00EA440D"/>
    <w:rsid w:val="00EA44A3"/>
    <w:rsid w:val="00EA48F7"/>
    <w:rsid w:val="00EA5066"/>
    <w:rsid w:val="00EA50B2"/>
    <w:rsid w:val="00EA5B0E"/>
    <w:rsid w:val="00EA72CC"/>
    <w:rsid w:val="00EA76F3"/>
    <w:rsid w:val="00EA794D"/>
    <w:rsid w:val="00EB00E0"/>
    <w:rsid w:val="00EB01CF"/>
    <w:rsid w:val="00EB02F5"/>
    <w:rsid w:val="00EB05D5"/>
    <w:rsid w:val="00EB0C22"/>
    <w:rsid w:val="00EB165B"/>
    <w:rsid w:val="00EB1F12"/>
    <w:rsid w:val="00EB1FBF"/>
    <w:rsid w:val="00EB27FC"/>
    <w:rsid w:val="00EB2A13"/>
    <w:rsid w:val="00EB2BE7"/>
    <w:rsid w:val="00EB2C5B"/>
    <w:rsid w:val="00EB2FA2"/>
    <w:rsid w:val="00EB32F8"/>
    <w:rsid w:val="00EB3F2F"/>
    <w:rsid w:val="00EB48A6"/>
    <w:rsid w:val="00EB4BC7"/>
    <w:rsid w:val="00EB4F85"/>
    <w:rsid w:val="00EB56B9"/>
    <w:rsid w:val="00EB7354"/>
    <w:rsid w:val="00EC059F"/>
    <w:rsid w:val="00EC0A64"/>
    <w:rsid w:val="00EC1374"/>
    <w:rsid w:val="00EC1AC1"/>
    <w:rsid w:val="00EC1F24"/>
    <w:rsid w:val="00EC22F6"/>
    <w:rsid w:val="00EC2E23"/>
    <w:rsid w:val="00EC3248"/>
    <w:rsid w:val="00EC38D2"/>
    <w:rsid w:val="00EC3942"/>
    <w:rsid w:val="00EC3DB9"/>
    <w:rsid w:val="00EC5851"/>
    <w:rsid w:val="00EC5D20"/>
    <w:rsid w:val="00EC5ED7"/>
    <w:rsid w:val="00EC692D"/>
    <w:rsid w:val="00EC69EF"/>
    <w:rsid w:val="00EC6F1B"/>
    <w:rsid w:val="00EC71C2"/>
    <w:rsid w:val="00EC727E"/>
    <w:rsid w:val="00EC7298"/>
    <w:rsid w:val="00EC7ADF"/>
    <w:rsid w:val="00ED032B"/>
    <w:rsid w:val="00ED0660"/>
    <w:rsid w:val="00ED0A17"/>
    <w:rsid w:val="00ED0BA6"/>
    <w:rsid w:val="00ED154E"/>
    <w:rsid w:val="00ED18C8"/>
    <w:rsid w:val="00ED2DA6"/>
    <w:rsid w:val="00ED360C"/>
    <w:rsid w:val="00ED396A"/>
    <w:rsid w:val="00ED413A"/>
    <w:rsid w:val="00ED42BE"/>
    <w:rsid w:val="00ED45E0"/>
    <w:rsid w:val="00ED52BA"/>
    <w:rsid w:val="00ED5339"/>
    <w:rsid w:val="00ED5B9B"/>
    <w:rsid w:val="00ED6B8E"/>
    <w:rsid w:val="00ED6BAD"/>
    <w:rsid w:val="00ED717D"/>
    <w:rsid w:val="00ED7447"/>
    <w:rsid w:val="00ED7472"/>
    <w:rsid w:val="00ED7762"/>
    <w:rsid w:val="00ED78CE"/>
    <w:rsid w:val="00ED7F17"/>
    <w:rsid w:val="00EE00D6"/>
    <w:rsid w:val="00EE047E"/>
    <w:rsid w:val="00EE11E7"/>
    <w:rsid w:val="00EE1412"/>
    <w:rsid w:val="00EE1488"/>
    <w:rsid w:val="00EE1906"/>
    <w:rsid w:val="00EE2028"/>
    <w:rsid w:val="00EE29AD"/>
    <w:rsid w:val="00EE36D0"/>
    <w:rsid w:val="00EE388B"/>
    <w:rsid w:val="00EE3E24"/>
    <w:rsid w:val="00EE43C3"/>
    <w:rsid w:val="00EE4571"/>
    <w:rsid w:val="00EE4787"/>
    <w:rsid w:val="00EE4D5D"/>
    <w:rsid w:val="00EE5131"/>
    <w:rsid w:val="00EE5CE4"/>
    <w:rsid w:val="00EE6A74"/>
    <w:rsid w:val="00EE758D"/>
    <w:rsid w:val="00EE7AB2"/>
    <w:rsid w:val="00EF0099"/>
    <w:rsid w:val="00EF0B8A"/>
    <w:rsid w:val="00EF109B"/>
    <w:rsid w:val="00EF10F1"/>
    <w:rsid w:val="00EF19BB"/>
    <w:rsid w:val="00EF1D64"/>
    <w:rsid w:val="00EF201C"/>
    <w:rsid w:val="00EF2C72"/>
    <w:rsid w:val="00EF36AF"/>
    <w:rsid w:val="00EF38FC"/>
    <w:rsid w:val="00EF3AB9"/>
    <w:rsid w:val="00EF3B0D"/>
    <w:rsid w:val="00EF3BE8"/>
    <w:rsid w:val="00EF4371"/>
    <w:rsid w:val="00EF4AC2"/>
    <w:rsid w:val="00EF5104"/>
    <w:rsid w:val="00EF59A3"/>
    <w:rsid w:val="00EF6675"/>
    <w:rsid w:val="00EF66B9"/>
    <w:rsid w:val="00EF7457"/>
    <w:rsid w:val="00F004E4"/>
    <w:rsid w:val="00F0063D"/>
    <w:rsid w:val="00F00EDD"/>
    <w:rsid w:val="00F00F9C"/>
    <w:rsid w:val="00F01551"/>
    <w:rsid w:val="00F01610"/>
    <w:rsid w:val="00F01CE1"/>
    <w:rsid w:val="00F01E5F"/>
    <w:rsid w:val="00F01F63"/>
    <w:rsid w:val="00F024F3"/>
    <w:rsid w:val="00F02993"/>
    <w:rsid w:val="00F02ABA"/>
    <w:rsid w:val="00F02D96"/>
    <w:rsid w:val="00F03D25"/>
    <w:rsid w:val="00F0437A"/>
    <w:rsid w:val="00F0455B"/>
    <w:rsid w:val="00F066C7"/>
    <w:rsid w:val="00F068DF"/>
    <w:rsid w:val="00F06A86"/>
    <w:rsid w:val="00F06EFB"/>
    <w:rsid w:val="00F07DBA"/>
    <w:rsid w:val="00F1003A"/>
    <w:rsid w:val="00F101B8"/>
    <w:rsid w:val="00F11037"/>
    <w:rsid w:val="00F11436"/>
    <w:rsid w:val="00F1150E"/>
    <w:rsid w:val="00F11971"/>
    <w:rsid w:val="00F11FC5"/>
    <w:rsid w:val="00F1258D"/>
    <w:rsid w:val="00F12B11"/>
    <w:rsid w:val="00F14853"/>
    <w:rsid w:val="00F14A7C"/>
    <w:rsid w:val="00F16A9E"/>
    <w:rsid w:val="00F16AB6"/>
    <w:rsid w:val="00F16B1D"/>
    <w:rsid w:val="00F16F1B"/>
    <w:rsid w:val="00F174A7"/>
    <w:rsid w:val="00F17CBD"/>
    <w:rsid w:val="00F17D69"/>
    <w:rsid w:val="00F17F27"/>
    <w:rsid w:val="00F2069F"/>
    <w:rsid w:val="00F21CB5"/>
    <w:rsid w:val="00F221DB"/>
    <w:rsid w:val="00F223B7"/>
    <w:rsid w:val="00F2316E"/>
    <w:rsid w:val="00F23760"/>
    <w:rsid w:val="00F24767"/>
    <w:rsid w:val="00F24F33"/>
    <w:rsid w:val="00F250A9"/>
    <w:rsid w:val="00F267AF"/>
    <w:rsid w:val="00F26A81"/>
    <w:rsid w:val="00F26C40"/>
    <w:rsid w:val="00F26DD7"/>
    <w:rsid w:val="00F26F16"/>
    <w:rsid w:val="00F27024"/>
    <w:rsid w:val="00F27673"/>
    <w:rsid w:val="00F3079A"/>
    <w:rsid w:val="00F30D9F"/>
    <w:rsid w:val="00F30E3A"/>
    <w:rsid w:val="00F30FF4"/>
    <w:rsid w:val="00F3122E"/>
    <w:rsid w:val="00F31804"/>
    <w:rsid w:val="00F31E4D"/>
    <w:rsid w:val="00F32368"/>
    <w:rsid w:val="00F330A0"/>
    <w:rsid w:val="00F331AD"/>
    <w:rsid w:val="00F33437"/>
    <w:rsid w:val="00F33A21"/>
    <w:rsid w:val="00F33D1E"/>
    <w:rsid w:val="00F33F29"/>
    <w:rsid w:val="00F34080"/>
    <w:rsid w:val="00F343A4"/>
    <w:rsid w:val="00F34594"/>
    <w:rsid w:val="00F34F46"/>
    <w:rsid w:val="00F35287"/>
    <w:rsid w:val="00F359E2"/>
    <w:rsid w:val="00F36029"/>
    <w:rsid w:val="00F3639C"/>
    <w:rsid w:val="00F40436"/>
    <w:rsid w:val="00F40534"/>
    <w:rsid w:val="00F4067B"/>
    <w:rsid w:val="00F40A70"/>
    <w:rsid w:val="00F419A4"/>
    <w:rsid w:val="00F41AC9"/>
    <w:rsid w:val="00F41B3F"/>
    <w:rsid w:val="00F42972"/>
    <w:rsid w:val="00F429A8"/>
    <w:rsid w:val="00F42EEE"/>
    <w:rsid w:val="00F43107"/>
    <w:rsid w:val="00F43793"/>
    <w:rsid w:val="00F43A37"/>
    <w:rsid w:val="00F43E23"/>
    <w:rsid w:val="00F43EF6"/>
    <w:rsid w:val="00F443CB"/>
    <w:rsid w:val="00F44506"/>
    <w:rsid w:val="00F4463B"/>
    <w:rsid w:val="00F46091"/>
    <w:rsid w:val="00F4641B"/>
    <w:rsid w:val="00F46EB8"/>
    <w:rsid w:val="00F473C4"/>
    <w:rsid w:val="00F4753A"/>
    <w:rsid w:val="00F47C31"/>
    <w:rsid w:val="00F50539"/>
    <w:rsid w:val="00F5087C"/>
    <w:rsid w:val="00F50CD1"/>
    <w:rsid w:val="00F50FA5"/>
    <w:rsid w:val="00F511E4"/>
    <w:rsid w:val="00F513BF"/>
    <w:rsid w:val="00F52D09"/>
    <w:rsid w:val="00F52E08"/>
    <w:rsid w:val="00F53533"/>
    <w:rsid w:val="00F53A66"/>
    <w:rsid w:val="00F53CCA"/>
    <w:rsid w:val="00F53F71"/>
    <w:rsid w:val="00F5462D"/>
    <w:rsid w:val="00F54C5A"/>
    <w:rsid w:val="00F5508C"/>
    <w:rsid w:val="00F55847"/>
    <w:rsid w:val="00F55B21"/>
    <w:rsid w:val="00F5615D"/>
    <w:rsid w:val="00F56516"/>
    <w:rsid w:val="00F56629"/>
    <w:rsid w:val="00F56EF6"/>
    <w:rsid w:val="00F57271"/>
    <w:rsid w:val="00F572E2"/>
    <w:rsid w:val="00F60082"/>
    <w:rsid w:val="00F6188B"/>
    <w:rsid w:val="00F61A9F"/>
    <w:rsid w:val="00F61B5F"/>
    <w:rsid w:val="00F632BD"/>
    <w:rsid w:val="00F64696"/>
    <w:rsid w:val="00F64F72"/>
    <w:rsid w:val="00F65303"/>
    <w:rsid w:val="00F6571F"/>
    <w:rsid w:val="00F658CB"/>
    <w:rsid w:val="00F65AA9"/>
    <w:rsid w:val="00F65CE1"/>
    <w:rsid w:val="00F667C7"/>
    <w:rsid w:val="00F66C8C"/>
    <w:rsid w:val="00F66C95"/>
    <w:rsid w:val="00F6768F"/>
    <w:rsid w:val="00F679BE"/>
    <w:rsid w:val="00F67F7F"/>
    <w:rsid w:val="00F67F8C"/>
    <w:rsid w:val="00F70614"/>
    <w:rsid w:val="00F708DD"/>
    <w:rsid w:val="00F71105"/>
    <w:rsid w:val="00F714E3"/>
    <w:rsid w:val="00F7227A"/>
    <w:rsid w:val="00F72BC9"/>
    <w:rsid w:val="00F72C2C"/>
    <w:rsid w:val="00F73709"/>
    <w:rsid w:val="00F739CD"/>
    <w:rsid w:val="00F73A16"/>
    <w:rsid w:val="00F73C9F"/>
    <w:rsid w:val="00F73FE6"/>
    <w:rsid w:val="00F74103"/>
    <w:rsid w:val="00F741F2"/>
    <w:rsid w:val="00F74DE8"/>
    <w:rsid w:val="00F751DD"/>
    <w:rsid w:val="00F7641D"/>
    <w:rsid w:val="00F7663E"/>
    <w:rsid w:val="00F76BC2"/>
    <w:rsid w:val="00F76CAB"/>
    <w:rsid w:val="00F76FEC"/>
    <w:rsid w:val="00F772C6"/>
    <w:rsid w:val="00F7768C"/>
    <w:rsid w:val="00F77AB3"/>
    <w:rsid w:val="00F77CEA"/>
    <w:rsid w:val="00F80285"/>
    <w:rsid w:val="00F806FD"/>
    <w:rsid w:val="00F80AC8"/>
    <w:rsid w:val="00F8133B"/>
    <w:rsid w:val="00F815B5"/>
    <w:rsid w:val="00F81868"/>
    <w:rsid w:val="00F81922"/>
    <w:rsid w:val="00F822CE"/>
    <w:rsid w:val="00F82DC7"/>
    <w:rsid w:val="00F84AEA"/>
    <w:rsid w:val="00F85195"/>
    <w:rsid w:val="00F85375"/>
    <w:rsid w:val="00F8554B"/>
    <w:rsid w:val="00F85F84"/>
    <w:rsid w:val="00F868E3"/>
    <w:rsid w:val="00F86A5C"/>
    <w:rsid w:val="00F86C07"/>
    <w:rsid w:val="00F86CF8"/>
    <w:rsid w:val="00F86DB9"/>
    <w:rsid w:val="00F86E36"/>
    <w:rsid w:val="00F86ECA"/>
    <w:rsid w:val="00F877D3"/>
    <w:rsid w:val="00F904E8"/>
    <w:rsid w:val="00F9103D"/>
    <w:rsid w:val="00F916D0"/>
    <w:rsid w:val="00F918D5"/>
    <w:rsid w:val="00F923BA"/>
    <w:rsid w:val="00F9318A"/>
    <w:rsid w:val="00F93226"/>
    <w:rsid w:val="00F938BA"/>
    <w:rsid w:val="00F94A57"/>
    <w:rsid w:val="00F94DA8"/>
    <w:rsid w:val="00F95385"/>
    <w:rsid w:val="00F954A9"/>
    <w:rsid w:val="00F956A5"/>
    <w:rsid w:val="00F968EE"/>
    <w:rsid w:val="00F97074"/>
    <w:rsid w:val="00F97766"/>
    <w:rsid w:val="00F97919"/>
    <w:rsid w:val="00F97ADF"/>
    <w:rsid w:val="00F97C2E"/>
    <w:rsid w:val="00F97D20"/>
    <w:rsid w:val="00FA0B73"/>
    <w:rsid w:val="00FA122E"/>
    <w:rsid w:val="00FA17D4"/>
    <w:rsid w:val="00FA1824"/>
    <w:rsid w:val="00FA211C"/>
    <w:rsid w:val="00FA227E"/>
    <w:rsid w:val="00FA2C46"/>
    <w:rsid w:val="00FA3525"/>
    <w:rsid w:val="00FA43AA"/>
    <w:rsid w:val="00FA461D"/>
    <w:rsid w:val="00FA4A59"/>
    <w:rsid w:val="00FA4CC2"/>
    <w:rsid w:val="00FA4F3C"/>
    <w:rsid w:val="00FA5A53"/>
    <w:rsid w:val="00FA5B98"/>
    <w:rsid w:val="00FA698A"/>
    <w:rsid w:val="00FB0097"/>
    <w:rsid w:val="00FB0180"/>
    <w:rsid w:val="00FB0CAC"/>
    <w:rsid w:val="00FB0D07"/>
    <w:rsid w:val="00FB10CF"/>
    <w:rsid w:val="00FB1899"/>
    <w:rsid w:val="00FB1F6E"/>
    <w:rsid w:val="00FB22C8"/>
    <w:rsid w:val="00FB2AE0"/>
    <w:rsid w:val="00FB33A2"/>
    <w:rsid w:val="00FB35CF"/>
    <w:rsid w:val="00FB3CF0"/>
    <w:rsid w:val="00FB3D3D"/>
    <w:rsid w:val="00FB404B"/>
    <w:rsid w:val="00FB4769"/>
    <w:rsid w:val="00FB4CDA"/>
    <w:rsid w:val="00FB4D80"/>
    <w:rsid w:val="00FB4F1F"/>
    <w:rsid w:val="00FB5A65"/>
    <w:rsid w:val="00FB614C"/>
    <w:rsid w:val="00FB62ED"/>
    <w:rsid w:val="00FB6481"/>
    <w:rsid w:val="00FB6D36"/>
    <w:rsid w:val="00FB72D3"/>
    <w:rsid w:val="00FB7AF5"/>
    <w:rsid w:val="00FB7D6D"/>
    <w:rsid w:val="00FC0965"/>
    <w:rsid w:val="00FC0D6B"/>
    <w:rsid w:val="00FC0F5E"/>
    <w:rsid w:val="00FC0F81"/>
    <w:rsid w:val="00FC252F"/>
    <w:rsid w:val="00FC395C"/>
    <w:rsid w:val="00FC43A6"/>
    <w:rsid w:val="00FC4CB0"/>
    <w:rsid w:val="00FC517E"/>
    <w:rsid w:val="00FC577F"/>
    <w:rsid w:val="00FC5E8E"/>
    <w:rsid w:val="00FC6EF1"/>
    <w:rsid w:val="00FC720F"/>
    <w:rsid w:val="00FC79ED"/>
    <w:rsid w:val="00FC7C2F"/>
    <w:rsid w:val="00FD006E"/>
    <w:rsid w:val="00FD08A8"/>
    <w:rsid w:val="00FD0D7A"/>
    <w:rsid w:val="00FD0EDC"/>
    <w:rsid w:val="00FD15D9"/>
    <w:rsid w:val="00FD191C"/>
    <w:rsid w:val="00FD241D"/>
    <w:rsid w:val="00FD27C3"/>
    <w:rsid w:val="00FD2B88"/>
    <w:rsid w:val="00FD2CD3"/>
    <w:rsid w:val="00FD2EDC"/>
    <w:rsid w:val="00FD3642"/>
    <w:rsid w:val="00FD3766"/>
    <w:rsid w:val="00FD3D05"/>
    <w:rsid w:val="00FD3D64"/>
    <w:rsid w:val="00FD3F37"/>
    <w:rsid w:val="00FD47C4"/>
    <w:rsid w:val="00FD5FA9"/>
    <w:rsid w:val="00FD652C"/>
    <w:rsid w:val="00FD7994"/>
    <w:rsid w:val="00FD79E7"/>
    <w:rsid w:val="00FE0498"/>
    <w:rsid w:val="00FE110A"/>
    <w:rsid w:val="00FE168B"/>
    <w:rsid w:val="00FE1C03"/>
    <w:rsid w:val="00FE2192"/>
    <w:rsid w:val="00FE2DCF"/>
    <w:rsid w:val="00FE352C"/>
    <w:rsid w:val="00FE38BA"/>
    <w:rsid w:val="00FE3FA7"/>
    <w:rsid w:val="00FE4081"/>
    <w:rsid w:val="00FE4F94"/>
    <w:rsid w:val="00FE6190"/>
    <w:rsid w:val="00FE61D4"/>
    <w:rsid w:val="00FE64E7"/>
    <w:rsid w:val="00FE6896"/>
    <w:rsid w:val="00FE7B23"/>
    <w:rsid w:val="00FF0FA9"/>
    <w:rsid w:val="00FF10E1"/>
    <w:rsid w:val="00FF12E8"/>
    <w:rsid w:val="00FF12F4"/>
    <w:rsid w:val="00FF14AA"/>
    <w:rsid w:val="00FF1515"/>
    <w:rsid w:val="00FF15FD"/>
    <w:rsid w:val="00FF2A4E"/>
    <w:rsid w:val="00FF2FCE"/>
    <w:rsid w:val="00FF3D44"/>
    <w:rsid w:val="00FF3FD6"/>
    <w:rsid w:val="00FF4F7D"/>
    <w:rsid w:val="00FF5A5E"/>
    <w:rsid w:val="00FF6D84"/>
    <w:rsid w:val="00FF6D9D"/>
    <w:rsid w:val="00FF70F5"/>
    <w:rsid w:val="00FF7397"/>
    <w:rsid w:val="00FF7620"/>
    <w:rsid w:val="00FF79C0"/>
    <w:rsid w:val="00FF7D46"/>
    <w:rsid w:val="00FF7DD5"/>
    <w:rsid w:val="00FF7F10"/>
    <w:rsid w:val="14B9CFBE"/>
    <w:rsid w:val="2B58AE01"/>
    <w:rsid w:val="2B964902"/>
    <w:rsid w:val="3E48703E"/>
    <w:rsid w:val="4CF88922"/>
    <w:rsid w:val="4E9A257C"/>
    <w:rsid w:val="53DD093C"/>
    <w:rsid w:val="6150C4B8"/>
    <w:rsid w:val="62DFADE2"/>
    <w:rsid w:val="6D2440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44159D"/>
  <w15:docId w15:val="{5326FF96-D0A9-4FFA-9C81-F1D9BDE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56340"/>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B56340"/>
    <w:rPr>
      <w:color w:val="1F497D" w:themeColor="text2"/>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qFormat/>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tabs>
        <w:tab w:val="num" w:pos="227"/>
      </w:tabs>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2"/>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2160" w:hanging="36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0"/>
      </w:numPr>
    </w:pPr>
  </w:style>
  <w:style w:type="numbering" w:customStyle="1" w:styleId="ZZNumbersdigit">
    <w:name w:val="ZZ Numbers digit"/>
    <w:rsid w:val="00C60411"/>
    <w:pPr>
      <w:numPr>
        <w:numId w:val="8"/>
      </w:numPr>
    </w:pPr>
  </w:style>
  <w:style w:type="numbering" w:customStyle="1" w:styleId="ZZQuotebullets">
    <w:name w:val="ZZ Quote bullets"/>
    <w:basedOn w:val="ZZNumbersdigit"/>
    <w:rsid w:val="00C60411"/>
    <w:pPr>
      <w:numPr>
        <w:numId w:val="3"/>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ilvl w:val="0"/>
        <w:numId w:val="0"/>
      </w:numPr>
      <w:ind w:left="1440" w:hanging="360"/>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5"/>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tabs>
        <w:tab w:val="num" w:pos="794"/>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qForma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normaltextrun">
    <w:name w:val="normaltextrun"/>
    <w:basedOn w:val="DefaultParagraphFont"/>
    <w:rsid w:val="0058358E"/>
  </w:style>
  <w:style w:type="character" w:styleId="Mention">
    <w:name w:val="Mention"/>
    <w:basedOn w:val="DefaultParagraphFont"/>
    <w:uiPriority w:val="99"/>
    <w:unhideWhenUsed/>
    <w:rsid w:val="003A4EE4"/>
    <w:rPr>
      <w:color w:val="2B579A"/>
      <w:shd w:val="clear" w:color="auto" w:fill="E1DFDD"/>
    </w:rPr>
  </w:style>
  <w:style w:type="paragraph" w:customStyle="1" w:styleId="TableParagraph">
    <w:name w:val="Table Paragraph"/>
    <w:basedOn w:val="Normal"/>
    <w:uiPriority w:val="1"/>
    <w:qFormat/>
    <w:rsid w:val="005A2A6D"/>
    <w:pPr>
      <w:widowControl w:val="0"/>
      <w:autoSpaceDE w:val="0"/>
      <w:autoSpaceDN w:val="0"/>
      <w:spacing w:after="0" w:line="240" w:lineRule="auto"/>
      <w:ind w:left="108"/>
    </w:pPr>
    <w:rPr>
      <w:rFonts w:eastAsia="Arial" w:cs="Arial"/>
      <w:sz w:val="22"/>
      <w:szCs w:val="22"/>
      <w:lang w:val="en-US"/>
    </w:rPr>
  </w:style>
  <w:style w:type="paragraph" w:styleId="ListParagraph">
    <w:name w:val="List Paragraph"/>
    <w:aliases w:val="Bullet List,List Paragraph1,Recommendation,List Paragraph11,Bullet point,List Paragraph111,L,F5 List Paragraph,Dot pt,CV text,Medium Grid 1 - Accent 21,Numbered Paragraph,List Paragraph2,NFP GP Bulleted List,FooterText,numbered,列出段,列,列出段落"/>
    <w:basedOn w:val="Normal"/>
    <w:link w:val="ListParagraphChar"/>
    <w:uiPriority w:val="34"/>
    <w:qFormat/>
    <w:rsid w:val="005A2A6D"/>
    <w:pPr>
      <w:ind w:left="720"/>
      <w:contextualSpacing/>
    </w:pPr>
  </w:style>
  <w:style w:type="character" w:customStyle="1" w:styleId="ListParagraphChar">
    <w:name w:val="List Paragraph Char"/>
    <w:aliases w:val="Bullet List Char,List Paragraph1 Char,Recommendation Char,List Paragraph11 Char,Bullet point Char,List Paragraph111 Char,L Char,F5 List Paragraph Char,Dot pt Char,CV text Char,Medium Grid 1 - Accent 21 Char,Numbered Paragraph Char"/>
    <w:link w:val="ListParagraph"/>
    <w:uiPriority w:val="34"/>
    <w:qFormat/>
    <w:locked/>
    <w:rsid w:val="005A2A6D"/>
    <w:rPr>
      <w:rFonts w:ascii="Arial" w:hAnsi="Arial"/>
      <w:sz w:val="21"/>
      <w:lang w:eastAsia="en-US"/>
    </w:rPr>
  </w:style>
  <w:style w:type="paragraph" w:customStyle="1" w:styleId="DHHSbody">
    <w:name w:val="DHHS body"/>
    <w:link w:val="DHHSbodyChar"/>
    <w:qFormat/>
    <w:rsid w:val="005A2A6D"/>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5A2A6D"/>
    <w:rPr>
      <w:rFonts w:ascii="Arial" w:eastAsia="Times" w:hAnsi="Arial"/>
      <w:lang w:eastAsia="en-US"/>
    </w:rPr>
  </w:style>
  <w:style w:type="character" w:customStyle="1" w:styleId="FooterChar">
    <w:name w:val="Footer Char"/>
    <w:basedOn w:val="DefaultParagraphFont"/>
    <w:link w:val="Footer"/>
    <w:uiPriority w:val="99"/>
    <w:rsid w:val="002370E7"/>
    <w:rPr>
      <w:rFonts w:ascii="Arial" w:hAnsi="Arial" w:cs="Arial"/>
      <w:szCs w:val="18"/>
      <w:lang w:eastAsia="en-US"/>
    </w:rPr>
  </w:style>
  <w:style w:type="table" w:styleId="GridTable1Light">
    <w:name w:val="Grid Table 1 Light"/>
    <w:basedOn w:val="TableNormal"/>
    <w:uiPriority w:val="46"/>
    <w:rsid w:val="00B7317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170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1704F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1704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4">
    <w:name w:val="Grid Table 2 Accent 4"/>
    <w:basedOn w:val="TableNormal"/>
    <w:uiPriority w:val="47"/>
    <w:rsid w:val="001704F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3">
    <w:name w:val="Plain Table 3"/>
    <w:basedOn w:val="TableNormal"/>
    <w:uiPriority w:val="43"/>
    <w:rsid w:val="001704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ZZTablebullets1">
    <w:name w:val="ZZ Table bullets1"/>
    <w:basedOn w:val="NoList"/>
    <w:rsid w:val="003B26E6"/>
  </w:style>
  <w:style w:type="numbering" w:customStyle="1" w:styleId="ZZTablebullets2">
    <w:name w:val="ZZ Table bullets2"/>
    <w:basedOn w:val="NoList"/>
    <w:rsid w:val="00A37D2A"/>
  </w:style>
  <w:style w:type="numbering" w:customStyle="1" w:styleId="ZZTablebullets3">
    <w:name w:val="ZZ Table bullets3"/>
    <w:basedOn w:val="NoList"/>
    <w:rsid w:val="00D60D05"/>
  </w:style>
  <w:style w:type="numbering" w:customStyle="1" w:styleId="ZZTablebullets4">
    <w:name w:val="ZZ Table bullets4"/>
    <w:basedOn w:val="NoList"/>
    <w:rsid w:val="000A310D"/>
  </w:style>
  <w:style w:type="numbering" w:customStyle="1" w:styleId="ZZTablebullets5">
    <w:name w:val="ZZ Table bullets5"/>
    <w:basedOn w:val="NoList"/>
    <w:rsid w:val="006F3C0F"/>
  </w:style>
  <w:style w:type="numbering" w:customStyle="1" w:styleId="ZZTablebullets6">
    <w:name w:val="ZZ Table bullets6"/>
    <w:basedOn w:val="NoList"/>
    <w:rsid w:val="00463216"/>
  </w:style>
  <w:style w:type="numbering" w:customStyle="1" w:styleId="ZZTablebullets7">
    <w:name w:val="ZZ Table bullets7"/>
    <w:basedOn w:val="NoList"/>
    <w:rsid w:val="006A33A3"/>
  </w:style>
  <w:style w:type="table" w:styleId="TableGridLight">
    <w:name w:val="Grid Table Light"/>
    <w:basedOn w:val="TableNormal"/>
    <w:uiPriority w:val="40"/>
    <w:rsid w:val="003E2F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95E8E"/>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topics/immunisation/when-to-get-vaccinated/national-immunisation-program-schedule?language=en" TargetMode="External"/><Relationship Id="rId21" Type="http://schemas.openxmlformats.org/officeDocument/2006/relationships/hyperlink" Target="https://www.safetyandquality.gov.au/publications-and-resources/resource-library/australian-guidelines-prevention-and-control-infection-healthcare" TargetMode="External"/><Relationship Id="rId42" Type="http://schemas.openxmlformats.org/officeDocument/2006/relationships/hyperlink" Target="https://www.betterhealth.vic.gov.au/coronavirus-covid-19-victoria" TargetMode="External"/><Relationship Id="rId47" Type="http://schemas.openxmlformats.org/officeDocument/2006/relationships/hyperlink" Target="https://www.health.vic.gov.au/infectious-diseases/respiratory-syncytial-virus-rsv" TargetMode="External"/><Relationship Id="rId63" Type="http://schemas.openxmlformats.org/officeDocument/2006/relationships/hyperlink" Target="file:///C:\Users\vicgcqk\AppData\Local\Microsoft\Windows\INetCache\Content.Outlook\3KKZ6QAK\VICNISS%20&#8211;%20Ventilation%20in%20Residential%20Care" TargetMode="External"/><Relationship Id="rId68" Type="http://schemas.openxmlformats.org/officeDocument/2006/relationships/hyperlink" Target="https://www.agedcarequality.gov.au/providers/clinical-governance/dealing-infectious-outbreaks/visitor-restriction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vic.gov.au/infectious-diseases/acute-respiratory-infection-management-residential-care-facilities" TargetMode="External"/><Relationship Id="rId11" Type="http://schemas.openxmlformats.org/officeDocument/2006/relationships/image" Target="media/image1.jpg"/><Relationship Id="rId24" Type="http://schemas.openxmlformats.org/officeDocument/2006/relationships/hyperlink" Target="https://www.servicesaustralia.gov.au/im004" TargetMode="External"/><Relationship Id="rId32" Type="http://schemas.openxmlformats.org/officeDocument/2006/relationships/footer" Target="footer4.xml"/><Relationship Id="rId37" Type="http://schemas.openxmlformats.org/officeDocument/2006/relationships/hyperlink" Target="https://www.health.gov.au/topics/aged-care/managing-respiratory-infection?language=en" TargetMode="External"/><Relationship Id="rId40" Type="http://schemas.openxmlformats.org/officeDocument/2006/relationships/hyperlink" Target="https://www.health.gov.au/topics/aged-care/managing-respiratory-infection/government-support?language=en" TargetMode="External"/><Relationship Id="rId45" Type="http://schemas.openxmlformats.org/officeDocument/2006/relationships/hyperlink" Target="https://www.health.vic.gov.au/infectious-diseases/influenza" TargetMode="External"/><Relationship Id="rId53" Type="http://schemas.openxmlformats.org/officeDocument/2006/relationships/hyperlink" Target="https://www.health.gov.au/our-work/aged-care-on-site-pharmacist" TargetMode="External"/><Relationship Id="rId58" Type="http://schemas.openxmlformats.org/officeDocument/2006/relationships/hyperlink" Target="https://www.betterhealth.vic.gov.au/conditionsandtreatments" TargetMode="External"/><Relationship Id="rId66" Type="http://schemas.openxmlformats.org/officeDocument/2006/relationships/hyperlink" Target="https://www.betterhealth.vic.gov.au/covid-19/covid-19-information-people-disability" TargetMode="External"/><Relationship Id="rId5" Type="http://schemas.openxmlformats.org/officeDocument/2006/relationships/numbering" Target="numbering.xml"/><Relationship Id="rId61" Type="http://schemas.openxmlformats.org/officeDocument/2006/relationships/hyperlink" Target="https://www.safetyandquality.gov.au/publications-and-resources/resource-library/aged-care-infection-prevention-and-control-guide" TargetMode="External"/><Relationship Id="rId19" Type="http://schemas.openxmlformats.org/officeDocument/2006/relationships/hyperlink" Target="https://www.health.vic.gov.au/infectious-diseases/acute-respiratory-infection-management-rcf" TargetMode="External"/><Relationship Id="rId14" Type="http://schemas.openxmlformats.org/officeDocument/2006/relationships/footer" Target="footer1.xml"/><Relationship Id="rId22" Type="http://schemas.openxmlformats.org/officeDocument/2006/relationships/hyperlink" Target="https://www.safetyandquality.gov.au/publications-and-resources/resource-library/aged-care-infection-prevention-and-control-guide" TargetMode="External"/><Relationship Id="rId27" Type="http://schemas.openxmlformats.org/officeDocument/2006/relationships/hyperlink" Target="https://www.agedcarequality.gov.au/resource-library/infection-prevention-and-control-aged-care-cognitive-decline-and-dementia" TargetMode="External"/><Relationship Id="rId30" Type="http://schemas.openxmlformats.org/officeDocument/2006/relationships/header" Target="header4.xml"/><Relationship Id="rId35" Type="http://schemas.openxmlformats.org/officeDocument/2006/relationships/hyperlink" Target="https://www.health.gov.au/committees-and-groups/atagi?language=und" TargetMode="External"/><Relationship Id="rId43" Type="http://schemas.openxmlformats.org/officeDocument/2006/relationships/hyperlink" Target="https://www.health.vic.gov.au/infectious-diseases/covid-19-coronavirus-disease-2019" TargetMode="External"/><Relationship Id="rId48" Type="http://schemas.openxmlformats.org/officeDocument/2006/relationships/hyperlink" Target="https://immunisationhandbook.health.gov.au/" TargetMode="External"/><Relationship Id="rId56" Type="http://schemas.openxmlformats.org/officeDocument/2006/relationships/hyperlink" Target="https://www.health.vic.gov.au/infectious-diseases/acute-respiratory-infection-management-residential-care-facilities" TargetMode="External"/><Relationship Id="rId64" Type="http://schemas.openxmlformats.org/officeDocument/2006/relationships/hyperlink" Target="https://www.health.vic.gov.au/infectious-diseases/acute-respiratory-infection-management-residential-care-facilitie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health.gov.au/our-work/covid-19-vaccines/information-for-aged-care-providers-workers-and-residents-about-covid-19-vaccines/residential-aged-care-work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mmunisationhandbook.health.gov.au/contents/vaccine-preventable-diseases" TargetMode="External"/><Relationship Id="rId33" Type="http://schemas.openxmlformats.org/officeDocument/2006/relationships/footer" Target="footer5.xml"/><Relationship Id="rId38" Type="http://schemas.openxmlformats.org/officeDocument/2006/relationships/hyperlink" Target="https://www.agedcarequality.gov.au/providers/quality-standards" TargetMode="External"/><Relationship Id="rId46" Type="http://schemas.openxmlformats.org/officeDocument/2006/relationships/hyperlink" Target="https://www.betterhealth.vic.gov.au/respiratory-syncytial-virus-rsv" TargetMode="External"/><Relationship Id="rId59" Type="http://schemas.openxmlformats.org/officeDocument/2006/relationships/hyperlink" Target="https://www.agedcarequality.gov.au/resource-library/infection-prevention-and-control-aged-care-cognitive-decline-and-dementia" TargetMode="External"/><Relationship Id="rId67" Type="http://schemas.openxmlformats.org/officeDocument/2006/relationships/hyperlink" Target="https://www.agedcarequality.gov.au/providers/clinical-governance/infection-prevention-control/supporting-visitors-and-partners-care-ipc" TargetMode="External"/><Relationship Id="rId20" Type="http://schemas.openxmlformats.org/officeDocument/2006/relationships/hyperlink" Target="https://www.health.vic.gov.au/infectious-diseases/acute-respiratory-infection-management-rcf" TargetMode="External"/><Relationship Id="rId41" Type="http://schemas.openxmlformats.org/officeDocument/2006/relationships/hyperlink" Target="https://www.ndiscommission.gov.au/rules-and-standards" TargetMode="External"/><Relationship Id="rId54" Type="http://schemas.openxmlformats.org/officeDocument/2006/relationships/hyperlink" Target="https://www.agedcarequality.gov.au/news-publications/clinical-alerts-and-advice/improving-access-vaccination-records-aged-care" TargetMode="External"/><Relationship Id="rId62" Type="http://schemas.openxmlformats.org/officeDocument/2006/relationships/hyperlink" Target="https://www.epa.vic.gov.au/clinical-and-related-industrial-waste"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vic.gov.au/infectious-diseases/victorian-respiratory-surveillance-report" TargetMode="External"/><Relationship Id="rId28" Type="http://schemas.openxmlformats.org/officeDocument/2006/relationships/hyperlink" Target="file:///C:\Users\vicgcqk\AppData\Local\Microsoft\Windows\INetCache\Content.Outlook\3KKZ6QAK\LPHUs" TargetMode="External"/><Relationship Id="rId36" Type="http://schemas.openxmlformats.org/officeDocument/2006/relationships/hyperlink" Target="https://www.health.gov.au/resources/publications/national-guidelines-for-the-prevention-control-and-public-health-management-of-outbreaks-of-acute-respiratory-infection-including-covid-19-and-influenza-in-residential-care-facilities" TargetMode="External"/><Relationship Id="rId49" Type="http://schemas.openxmlformats.org/officeDocument/2006/relationships/hyperlink" Target="https://www.health.gov.au/committees-and-groups/atagi?language=und%3E" TargetMode="External"/><Relationship Id="rId57" Type="http://schemas.openxmlformats.org/officeDocument/2006/relationships/hyperlink" Target="https://www.health.vic.gov.au/covid-19/vaccines-and-medications-in-patients-with-covid-19" TargetMode="Externa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www.betterhealth.vic.gov.au/health/conditionsandtreatments/flu-influenza" TargetMode="External"/><Relationship Id="rId52" Type="http://schemas.openxmlformats.org/officeDocument/2006/relationships/hyperlink" Target="https://www.health.gov.au/our-work/residential-aged-care/responsibilities-of-providers" TargetMode="External"/><Relationship Id="rId60" Type="http://schemas.openxmlformats.org/officeDocument/2006/relationships/hyperlink" Target="https://www.health.vic.gov.au/covid-19-infection-prevention-control-guidelines" TargetMode="External"/><Relationship Id="rId65" Type="http://schemas.openxmlformats.org/officeDocument/2006/relationships/hyperlink" Target="https://www.health.gov.au/resources/collections/coronavirus-covid-19-easy-read-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infectious.diseases@health.vic.gov.au" TargetMode="External"/><Relationship Id="rId39" Type="http://schemas.openxmlformats.org/officeDocument/2006/relationships/hyperlink" Target="https://www.health.gov.au/our-work/strengthening-aged-care-quality-standards?language=en" TargetMode="External"/><Relationship Id="rId34" Type="http://schemas.openxmlformats.org/officeDocument/2006/relationships/header" Target="header6.xml"/><Relationship Id="rId50" Type="http://schemas.openxmlformats.org/officeDocument/2006/relationships/hyperlink" Target="https://www.health.vic.gov.au/immunisation/vaccination-for-healthcare-workers" TargetMode="External"/><Relationship Id="rId55" Type="http://schemas.openxmlformats.org/officeDocument/2006/relationships/hyperlink" Target="https://www.health.gov.au/our-work/phn/your-local-PHN?language=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8E86E8C9DC46F3A76681A1783AFF88"/>
        <w:category>
          <w:name w:val="General"/>
          <w:gallery w:val="placeholder"/>
        </w:category>
        <w:types>
          <w:type w:val="bbPlcHdr"/>
        </w:types>
        <w:behaviors>
          <w:behavior w:val="content"/>
        </w:behaviors>
        <w:guid w:val="{FF4AC52A-9210-41D9-AF27-FE14813A7C96}"/>
      </w:docPartPr>
      <w:docPartBody>
        <w:p w:rsidR="00BD7E59" w:rsidRDefault="00BD7E59">
          <w:pPr>
            <w:pStyle w:val="A78E86E8C9DC46F3A76681A1783AFF8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59"/>
    <w:rsid w:val="000E5569"/>
    <w:rsid w:val="000F2DE0"/>
    <w:rsid w:val="00383DA5"/>
    <w:rsid w:val="005160E4"/>
    <w:rsid w:val="005B2070"/>
    <w:rsid w:val="00604F81"/>
    <w:rsid w:val="006645FA"/>
    <w:rsid w:val="00664B2B"/>
    <w:rsid w:val="007E413D"/>
    <w:rsid w:val="00853F78"/>
    <w:rsid w:val="008A5466"/>
    <w:rsid w:val="0096083D"/>
    <w:rsid w:val="00963BFA"/>
    <w:rsid w:val="009936E6"/>
    <w:rsid w:val="009D0469"/>
    <w:rsid w:val="009D42E9"/>
    <w:rsid w:val="00A444D7"/>
    <w:rsid w:val="00AD3AA1"/>
    <w:rsid w:val="00BD7E59"/>
    <w:rsid w:val="00C754A2"/>
    <w:rsid w:val="00C96AC7"/>
    <w:rsid w:val="00DA5D02"/>
    <w:rsid w:val="00DC5033"/>
    <w:rsid w:val="00E23160"/>
    <w:rsid w:val="00F81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8E86E8C9DC46F3A76681A1783AFF88">
    <w:name w:val="A78E86E8C9DC46F3A76681A1783AF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56240B292FB4D831F8C9E7B76B1EB" ma:contentTypeVersion="15" ma:contentTypeDescription="Create a new document." ma:contentTypeScope="" ma:versionID="949643c1ef827ee4da91b6072b04fb31">
  <xsd:schema xmlns:xsd="http://www.w3.org/2001/XMLSchema" xmlns:xs="http://www.w3.org/2001/XMLSchema" xmlns:p="http://schemas.microsoft.com/office/2006/metadata/properties" xmlns:ns2="41c17d80-103f-4f3b-9d2a-70ea00c58074" xmlns:ns3="705f59b1-56fe-4783-98af-b7f2a7ce34bb" xmlns:ns4="5ce0f2b5-5be5-4508-bce9-d7011ece0659" targetNamespace="http://schemas.microsoft.com/office/2006/metadata/properties" ma:root="true" ma:fieldsID="186f37f97883c40bc9c7b9a51ef2aebd" ns2:_="" ns3:_="" ns4:_="">
    <xsd:import namespace="41c17d80-103f-4f3b-9d2a-70ea00c58074"/>
    <xsd:import namespace="705f59b1-56fe-4783-98af-b7f2a7ce34bb"/>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7d80-103f-4f3b-9d2a-70ea00c580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f59b1-56fe-4783-98af-b7f2a7ce34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ca2cd9f-c720-41e9-805e-925b1a17d705}" ma:internalName="TaxCatchAll" ma:showField="CatchAllData" ma:web="41c17d80-103f-4f3b-9d2a-70ea00c58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5f59b1-56fe-4783-98af-b7f2a7ce34bb">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D5C2E510-E19C-4577-9D85-794FE2EA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7d80-103f-4f3b-9d2a-70ea00c58074"/>
    <ds:schemaRef ds:uri="705f59b1-56fe-4783-98af-b7f2a7ce34b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05f59b1-56fe-4783-98af-b7f2a7ce34bb"/>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9349</Words>
  <Characters>53292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Management of acute respiratory infection outbreaks in residential care facilities</vt:lpstr>
    </vt:vector>
  </TitlesOfParts>
  <Manager/>
  <Company>Victoria State Government, Department of Health</Company>
  <LinksUpToDate>false</LinksUpToDate>
  <CharactersWithSpaces>62516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acute respiratory infection outbreaks in residential care facilities</dc:title>
  <dc:subject/>
  <dc:creator>Community and publich health</dc:creator>
  <cp:keywords/>
  <dc:description/>
  <cp:lastModifiedBy>Tyler McPherson (Health)</cp:lastModifiedBy>
  <cp:revision>2</cp:revision>
  <cp:lastPrinted>2026-05-18T05:26:00Z</cp:lastPrinted>
  <dcterms:created xsi:type="dcterms:W3CDTF">2026-05-25T00:40:00Z</dcterms:created>
  <dcterms:modified xsi:type="dcterms:W3CDTF">2026-05-25T00:40:00Z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0x010100C8656240B292FB4D831F8C9E7B76B1EB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