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3FAB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DC80857" wp14:editId="2DF4D24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7556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5FC06110" w14:textId="77777777" w:rsidTr="004E2FC5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823C81B" w14:textId="1882BCB0" w:rsidR="003B5733" w:rsidRPr="003B5733" w:rsidRDefault="005E0C66" w:rsidP="003B5733">
            <w:pPr>
              <w:pStyle w:val="Documenttitle"/>
            </w:pPr>
            <w:r>
              <w:t xml:space="preserve">Hyperhaemolysis </w:t>
            </w:r>
          </w:p>
        </w:tc>
      </w:tr>
      <w:tr w:rsidR="003B5733" w14:paraId="4BC93544" w14:textId="77777777" w:rsidTr="004E2FC5">
        <w:tc>
          <w:tcPr>
            <w:tcW w:w="10348" w:type="dxa"/>
          </w:tcPr>
          <w:p w14:paraId="725897EC" w14:textId="5FD5AAF1" w:rsidR="003B5733" w:rsidRPr="00A1389F" w:rsidRDefault="005E0C66" w:rsidP="005F44C0">
            <w:pPr>
              <w:pStyle w:val="Documentsubtitle"/>
            </w:pPr>
            <w:r w:rsidRPr="005E0C66">
              <w:t>Serious Transfusion Incident Report (STIR): Bulletin No. 14</w:t>
            </w:r>
          </w:p>
        </w:tc>
      </w:tr>
      <w:tr w:rsidR="003B5733" w14:paraId="7576EC68" w14:textId="77777777" w:rsidTr="004E2FC5">
        <w:tc>
          <w:tcPr>
            <w:tcW w:w="10348" w:type="dxa"/>
          </w:tcPr>
          <w:p w14:paraId="010D475A" w14:textId="77777777" w:rsidR="003B5733" w:rsidRPr="001E5058" w:rsidRDefault="002A519E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33DF7A7D" w14:textId="77777777" w:rsidR="005E0C66" w:rsidRDefault="005E0C66">
      <w:pPr>
        <w:spacing w:after="0" w:line="240" w:lineRule="auto"/>
      </w:pPr>
    </w:p>
    <w:p w14:paraId="20E48B62" w14:textId="3469C1D3" w:rsidR="005E0C66" w:rsidRDefault="005E0C66" w:rsidP="005E0C66">
      <w:pPr>
        <w:jc w:val="both"/>
        <w:rPr>
          <w:rFonts w:cs="Arial"/>
        </w:rPr>
      </w:pPr>
      <w:r w:rsidRPr="00EF6068">
        <w:rPr>
          <w:rFonts w:cs="Arial"/>
        </w:rPr>
        <w:t xml:space="preserve">Hyperhaemolysis is an uncommon but potentially fatal </w:t>
      </w:r>
      <w:r>
        <w:rPr>
          <w:rFonts w:cs="Arial"/>
        </w:rPr>
        <w:t xml:space="preserve">severe </w:t>
      </w:r>
      <w:r w:rsidRPr="00EF6068">
        <w:rPr>
          <w:rFonts w:cs="Arial"/>
        </w:rPr>
        <w:t>haemolytic transfusion reaction characterised by a drop in haemoglobin to below the pretransfusion levels</w:t>
      </w:r>
      <w:r>
        <w:rPr>
          <w:rFonts w:cs="Arial"/>
        </w:rPr>
        <w:t xml:space="preserve"> (or Hb drop &gt;25% from pretransfusion level)</w:t>
      </w:r>
      <w:r w:rsidRPr="00EF6068">
        <w:rPr>
          <w:rFonts w:cs="Arial"/>
        </w:rPr>
        <w:t xml:space="preserve"> due to haemolysis of both </w:t>
      </w:r>
      <w:r w:rsidRPr="006B27E1">
        <w:rPr>
          <w:rFonts w:cs="Arial"/>
          <w:b/>
          <w:bCs/>
        </w:rPr>
        <w:t>donor</w:t>
      </w:r>
      <w:r w:rsidRPr="00EF6068">
        <w:rPr>
          <w:rFonts w:cs="Arial"/>
        </w:rPr>
        <w:t xml:space="preserve"> </w:t>
      </w:r>
      <w:r w:rsidRPr="006B27E1">
        <w:rPr>
          <w:rFonts w:cs="Arial"/>
          <w:b/>
          <w:bCs/>
        </w:rPr>
        <w:t>and recipient</w:t>
      </w:r>
      <w:r w:rsidRPr="00EF6068">
        <w:rPr>
          <w:rFonts w:cs="Arial"/>
        </w:rPr>
        <w:t xml:space="preserve"> red cells</w:t>
      </w:r>
      <w:r>
        <w:rPr>
          <w:rFonts w:cs="Arial"/>
        </w:rPr>
        <w:t>.</w:t>
      </w:r>
      <w:r w:rsidR="00284405">
        <w:rPr>
          <w:rFonts w:cs="Arial"/>
        </w:rPr>
        <w:t xml:space="preserve"> It has been a rare report to STIR but Serious Hazards of Transfusion UK</w:t>
      </w:r>
      <w:r w:rsidR="0025012A">
        <w:rPr>
          <w:rFonts w:cs="Arial"/>
        </w:rPr>
        <w:t xml:space="preserve"> recorded 14 reported cases in </w:t>
      </w:r>
      <w:r w:rsidR="00B421BA">
        <w:rPr>
          <w:rFonts w:cs="Arial"/>
        </w:rPr>
        <w:t xml:space="preserve">their </w:t>
      </w:r>
      <w:r w:rsidR="0025012A">
        <w:rPr>
          <w:rFonts w:cs="Arial"/>
        </w:rPr>
        <w:t>2024</w:t>
      </w:r>
      <w:r w:rsidR="00B421BA">
        <w:rPr>
          <w:rFonts w:cs="Arial"/>
        </w:rPr>
        <w:t xml:space="preserve"> annual report</w:t>
      </w:r>
      <w:r w:rsidR="0025012A">
        <w:rPr>
          <w:rFonts w:cs="Arial"/>
        </w:rPr>
        <w:t>.</w:t>
      </w:r>
      <w:r w:rsidR="00284405">
        <w:rPr>
          <w:rFonts w:cs="Arial"/>
        </w:rPr>
        <w:t xml:space="preserve"> </w:t>
      </w:r>
    </w:p>
    <w:p w14:paraId="7AC3E572" w14:textId="77777777" w:rsidR="005E0C66" w:rsidRDefault="005E0C66" w:rsidP="005E0C66">
      <w:pPr>
        <w:jc w:val="both"/>
        <w:rPr>
          <w:rFonts w:cs="Arial"/>
        </w:rPr>
      </w:pPr>
      <w:r>
        <w:rPr>
          <w:rFonts w:cs="Arial"/>
        </w:rPr>
        <w:t xml:space="preserve">Unlike traditional haemolytic reactions, hyperhaemolysis </w:t>
      </w:r>
      <w:r w:rsidRPr="00F6580D">
        <w:rPr>
          <w:rFonts w:cs="Arial"/>
        </w:rPr>
        <w:t>is often associated with a reticulocytopenia</w:t>
      </w:r>
      <w:r>
        <w:rPr>
          <w:rFonts w:cs="Arial"/>
        </w:rPr>
        <w:t xml:space="preserve"> (absolute or reticulocyte count below pre-transfusion baseline)</w:t>
      </w:r>
      <w:r w:rsidRPr="00F6580D">
        <w:rPr>
          <w:rFonts w:cs="Arial"/>
        </w:rPr>
        <w:t xml:space="preserve">. </w:t>
      </w:r>
    </w:p>
    <w:p w14:paraId="4846451E" w14:textId="496BA8DE" w:rsidR="005E0C66" w:rsidRDefault="005E0C66" w:rsidP="005E0C66">
      <w:pPr>
        <w:jc w:val="both"/>
        <w:rPr>
          <w:rFonts w:cs="Arial"/>
        </w:rPr>
      </w:pPr>
      <w:r>
        <w:rPr>
          <w:rFonts w:cs="Arial"/>
        </w:rPr>
        <w:t>I</w:t>
      </w:r>
      <w:r w:rsidRPr="00EF6068">
        <w:rPr>
          <w:rFonts w:cs="Arial"/>
        </w:rPr>
        <w:t xml:space="preserve">t is </w:t>
      </w:r>
      <w:r>
        <w:rPr>
          <w:rFonts w:cs="Arial"/>
        </w:rPr>
        <w:t>typ</w:t>
      </w:r>
      <w:r w:rsidRPr="00EF6068">
        <w:rPr>
          <w:rFonts w:cs="Arial"/>
        </w:rPr>
        <w:t xml:space="preserve">ically </w:t>
      </w:r>
      <w:r>
        <w:rPr>
          <w:rFonts w:cs="Arial"/>
        </w:rPr>
        <w:t>but not exclusively</w:t>
      </w:r>
      <w:r w:rsidRPr="00EF6068">
        <w:rPr>
          <w:rFonts w:cs="Arial"/>
        </w:rPr>
        <w:t xml:space="preserve"> seen in sickle cell disease</w:t>
      </w:r>
      <w:r>
        <w:rPr>
          <w:rFonts w:cs="Arial"/>
        </w:rPr>
        <w:t xml:space="preserve"> (SCD).</w:t>
      </w:r>
      <w:r w:rsidRPr="00233283">
        <w:rPr>
          <w:rFonts w:cs="Arial"/>
        </w:rPr>
        <w:t xml:space="preserve"> </w:t>
      </w:r>
      <w:r>
        <w:rPr>
          <w:rFonts w:cs="Arial"/>
        </w:rPr>
        <w:t>There is usually a significant decrease in HbA percentage in patients with SCD or beta thalassaemia</w:t>
      </w:r>
      <w:r w:rsidR="00AD6BA0">
        <w:rPr>
          <w:rFonts w:cs="Arial"/>
        </w:rPr>
        <w:t xml:space="preserve"> major</w:t>
      </w:r>
      <w:r>
        <w:rPr>
          <w:rFonts w:cs="Arial"/>
        </w:rPr>
        <w:t>.</w:t>
      </w:r>
      <w:r w:rsidRPr="00EF6068">
        <w:rPr>
          <w:rFonts w:cs="Arial"/>
        </w:rPr>
        <w:t xml:space="preserve"> </w:t>
      </w:r>
    </w:p>
    <w:p w14:paraId="4AD66FBB" w14:textId="77777777" w:rsidR="005E0C66" w:rsidRDefault="005E0C66" w:rsidP="005E0C66">
      <w:pPr>
        <w:jc w:val="both"/>
        <w:rPr>
          <w:rFonts w:cs="Arial"/>
        </w:rPr>
      </w:pPr>
      <w:r w:rsidRPr="00F6580D">
        <w:rPr>
          <w:rFonts w:cs="Arial"/>
        </w:rPr>
        <w:t xml:space="preserve">It may be triggered by a new red cell alloantibody, but frequently no new red cell antibody is identified. </w:t>
      </w:r>
      <w:r>
        <w:rPr>
          <w:rFonts w:cs="Arial"/>
        </w:rPr>
        <w:t>Similarly, the DAT (Direct Antiglobulin Test) may be positive or negative. It may reoccur in the same patient on subsequent transfusion.</w:t>
      </w:r>
    </w:p>
    <w:p w14:paraId="1F893EFD" w14:textId="353CD2D0" w:rsidR="005E0C66" w:rsidRDefault="005E0C66" w:rsidP="005E0C66">
      <w:pPr>
        <w:jc w:val="both"/>
        <w:rPr>
          <w:rFonts w:cs="Arial"/>
        </w:rPr>
      </w:pPr>
      <w:r w:rsidRPr="00F6580D">
        <w:rPr>
          <w:rFonts w:cs="Arial"/>
        </w:rPr>
        <w:t xml:space="preserve">Hyperhaemolysis can be </w:t>
      </w:r>
      <w:r>
        <w:rPr>
          <w:rFonts w:cs="Arial"/>
        </w:rPr>
        <w:t xml:space="preserve">classified as </w:t>
      </w:r>
      <w:r w:rsidRPr="00F6580D">
        <w:rPr>
          <w:rFonts w:cs="Arial"/>
        </w:rPr>
        <w:t>acute</w:t>
      </w:r>
      <w:r>
        <w:rPr>
          <w:rFonts w:cs="Arial"/>
        </w:rPr>
        <w:t>, within seven days,</w:t>
      </w:r>
      <w:r w:rsidRPr="00F6580D">
        <w:rPr>
          <w:rFonts w:cs="Arial"/>
        </w:rPr>
        <w:t xml:space="preserve"> </w:t>
      </w:r>
      <w:r>
        <w:rPr>
          <w:rFonts w:cs="Arial"/>
        </w:rPr>
        <w:t>or</w:t>
      </w:r>
      <w:r w:rsidRPr="00F6580D">
        <w:rPr>
          <w:rFonts w:cs="Arial"/>
        </w:rPr>
        <w:t xml:space="preserve"> delayed</w:t>
      </w:r>
      <w:r>
        <w:rPr>
          <w:rFonts w:cs="Arial"/>
        </w:rPr>
        <w:t>, more than seven days post transfusion</w:t>
      </w:r>
      <w:r w:rsidR="00273376">
        <w:rPr>
          <w:rFonts w:cs="Arial"/>
        </w:rPr>
        <w:t>.</w:t>
      </w:r>
      <w:r w:rsidR="00273376" w:rsidRPr="00F6580D">
        <w:rPr>
          <w:rFonts w:cs="Arial"/>
        </w:rPr>
        <w:t xml:space="preserve"> </w:t>
      </w:r>
      <w:r>
        <w:rPr>
          <w:rFonts w:cs="Arial"/>
        </w:rPr>
        <w:t>This differs from the timeframe used to classify traditional acute vs delayed haemolytic transfusion reactions (within 24 hours or later than</w:t>
      </w:r>
      <w:r w:rsidR="00490333">
        <w:rPr>
          <w:rFonts w:cs="Arial"/>
        </w:rPr>
        <w:t xml:space="preserve"> </w:t>
      </w:r>
      <w:r>
        <w:rPr>
          <w:rFonts w:cs="Arial"/>
        </w:rPr>
        <w:t>24 hours, respectively).</w:t>
      </w:r>
      <w:r w:rsidR="00032589">
        <w:rPr>
          <w:rFonts w:cs="Arial"/>
        </w:rPr>
        <w:t xml:space="preserve"> </w:t>
      </w:r>
    </w:p>
    <w:p w14:paraId="7AC4E28F" w14:textId="77777777" w:rsidR="005E0C66" w:rsidRPr="006B27E1" w:rsidRDefault="005E0C66" w:rsidP="005E0C66">
      <w:pPr>
        <w:pStyle w:val="Heading3"/>
        <w:rPr>
          <w:bCs w:val="0"/>
        </w:rPr>
      </w:pPr>
      <w:r w:rsidRPr="006B27E1">
        <w:t>Differentiating Haemolytic Reactions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815"/>
        <w:gridCol w:w="2716"/>
        <w:gridCol w:w="2552"/>
        <w:gridCol w:w="2977"/>
      </w:tblGrid>
      <w:tr w:rsidR="005E0C66" w14:paraId="011BD788" w14:textId="77777777" w:rsidTr="00D7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89D9E14" w14:textId="77777777" w:rsidR="005E0C66" w:rsidRDefault="005E0C66" w:rsidP="00D72A2A">
            <w:pPr>
              <w:pStyle w:val="Body"/>
            </w:pPr>
          </w:p>
        </w:tc>
        <w:tc>
          <w:tcPr>
            <w:tcW w:w="2716" w:type="dxa"/>
          </w:tcPr>
          <w:p w14:paraId="31C649E5" w14:textId="77777777" w:rsidR="005E0C66" w:rsidRDefault="005E0C66" w:rsidP="00D72A2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Acute Haemolytic</w:t>
            </w:r>
          </w:p>
          <w:p w14:paraId="1F0DADDC" w14:textId="77777777" w:rsidR="005E0C66" w:rsidRPr="002B74E0" w:rsidRDefault="005E0C66" w:rsidP="00D72A2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Reactions (AHTR)</w:t>
            </w:r>
          </w:p>
        </w:tc>
        <w:tc>
          <w:tcPr>
            <w:tcW w:w="2552" w:type="dxa"/>
          </w:tcPr>
          <w:p w14:paraId="6AD39854" w14:textId="77777777" w:rsidR="005E0C66" w:rsidRPr="007872E9" w:rsidRDefault="005E0C66" w:rsidP="00D72A2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2E9">
              <w:t>Delayed</w:t>
            </w:r>
            <w:r>
              <w:t xml:space="preserve"> </w:t>
            </w:r>
            <w:r w:rsidRPr="007872E9">
              <w:t xml:space="preserve">Haemolytic </w:t>
            </w:r>
          </w:p>
          <w:p w14:paraId="5287AC53" w14:textId="77777777" w:rsidR="005E0C66" w:rsidRDefault="005E0C66" w:rsidP="00D72A2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2E9">
              <w:t>Reactions (DHTR)</w:t>
            </w:r>
          </w:p>
        </w:tc>
        <w:tc>
          <w:tcPr>
            <w:tcW w:w="2977" w:type="dxa"/>
          </w:tcPr>
          <w:p w14:paraId="39EAD5E0" w14:textId="77777777" w:rsidR="005E0C66" w:rsidRDefault="005E0C66" w:rsidP="00D72A2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Hyperhaemolysis syndrome</w:t>
            </w:r>
          </w:p>
        </w:tc>
      </w:tr>
      <w:tr w:rsidR="005E0C66" w14:paraId="7B23D61C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24283820" w14:textId="77777777" w:rsidR="005E0C66" w:rsidRDefault="005E0C66" w:rsidP="008B7AE8">
            <w:pPr>
              <w:pStyle w:val="Body"/>
            </w:pPr>
            <w:r>
              <w:t>Mechanism</w:t>
            </w:r>
          </w:p>
        </w:tc>
        <w:tc>
          <w:tcPr>
            <w:tcW w:w="2716" w:type="dxa"/>
          </w:tcPr>
          <w:p w14:paraId="35FDF48D" w14:textId="77777777" w:rsidR="005E0C66" w:rsidRDefault="005E0C66" w:rsidP="0025012A">
            <w:pPr>
              <w:pStyle w:val="Body"/>
              <w:tabs>
                <w:tab w:val="center" w:pos="125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Immune mediated</w:t>
            </w:r>
          </w:p>
          <w:p w14:paraId="6A9B8ACB" w14:textId="77777777" w:rsidR="005E0C66" w:rsidRDefault="005E0C66" w:rsidP="0025012A">
            <w:pPr>
              <w:pStyle w:val="Body"/>
              <w:numPr>
                <w:ilvl w:val="0"/>
                <w:numId w:val="40"/>
              </w:numPr>
              <w:tabs>
                <w:tab w:val="center" w:pos="1250"/>
              </w:tabs>
              <w:spacing w:after="0"/>
              <w:ind w:left="34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ABO/RhD mismatch</w:t>
            </w:r>
          </w:p>
          <w:p w14:paraId="6C286D81" w14:textId="77777777" w:rsidR="005E0C66" w:rsidRDefault="005E0C66" w:rsidP="0025012A">
            <w:pPr>
              <w:pStyle w:val="Body"/>
              <w:numPr>
                <w:ilvl w:val="0"/>
                <w:numId w:val="40"/>
              </w:numPr>
              <w:tabs>
                <w:tab w:val="center" w:pos="1250"/>
              </w:tabs>
              <w:spacing w:after="0"/>
              <w:ind w:left="34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cell alloantibodies</w:t>
            </w:r>
          </w:p>
          <w:p w14:paraId="65FDCCF2" w14:textId="77777777" w:rsidR="005E0C66" w:rsidRDefault="005E0C66" w:rsidP="0025012A">
            <w:pPr>
              <w:pStyle w:val="Body"/>
              <w:numPr>
                <w:ilvl w:val="0"/>
                <w:numId w:val="40"/>
              </w:numPr>
              <w:tabs>
                <w:tab w:val="center" w:pos="1250"/>
              </w:tabs>
              <w:ind w:left="34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 donors with high anti-A/B titres (rare)</w:t>
            </w:r>
          </w:p>
          <w:p w14:paraId="54AC4D15" w14:textId="77777777" w:rsidR="005E0C66" w:rsidRDefault="005E0C66" w:rsidP="0025012A">
            <w:pPr>
              <w:pStyle w:val="Body"/>
              <w:tabs>
                <w:tab w:val="center" w:pos="125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Non-Immune mediated</w:t>
            </w:r>
          </w:p>
          <w:p w14:paraId="7116116B" w14:textId="77777777" w:rsidR="005E0C66" w:rsidRDefault="005E0C66" w:rsidP="0025012A">
            <w:pPr>
              <w:pStyle w:val="Body"/>
              <w:numPr>
                <w:ilvl w:val="0"/>
                <w:numId w:val="40"/>
              </w:numPr>
              <w:tabs>
                <w:tab w:val="center" w:pos="1250"/>
              </w:tabs>
              <w:ind w:left="34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6068">
              <w:rPr>
                <w:rFonts w:cs="Arial"/>
              </w:rPr>
              <w:t>physical or chemical destruction</w:t>
            </w:r>
          </w:p>
        </w:tc>
        <w:tc>
          <w:tcPr>
            <w:tcW w:w="2552" w:type="dxa"/>
          </w:tcPr>
          <w:p w14:paraId="76A71A32" w14:textId="77777777" w:rsidR="005E0C66" w:rsidRPr="00EF6068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F6068">
              <w:rPr>
                <w:rFonts w:cs="Arial"/>
              </w:rPr>
              <w:t>econdary immune response (anamnestic) to a red cell antibody that was undetected prior to transfusion.</w:t>
            </w:r>
          </w:p>
        </w:tc>
        <w:tc>
          <w:tcPr>
            <w:tcW w:w="2977" w:type="dxa"/>
          </w:tcPr>
          <w:p w14:paraId="03A4F8C3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Poorly understood</w:t>
            </w:r>
          </w:p>
          <w:p w14:paraId="6AE80969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Involves destruction of transfused as well as recipient autologous RBCs</w:t>
            </w:r>
          </w:p>
          <w:p w14:paraId="62BDE04D" w14:textId="77777777" w:rsidR="005E0C66" w:rsidRDefault="005E0C66" w:rsidP="0025012A">
            <w:pPr>
              <w:pStyle w:val="Body"/>
              <w:spacing w:after="0"/>
              <w:ind w:right="-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Proposed Mechanisms</w:t>
            </w:r>
          </w:p>
          <w:p w14:paraId="2952DE30" w14:textId="77777777" w:rsidR="005E0C66" w:rsidRDefault="005E0C66" w:rsidP="0025012A">
            <w:pPr>
              <w:pStyle w:val="Body"/>
              <w:numPr>
                <w:ilvl w:val="0"/>
                <w:numId w:val="40"/>
              </w:numPr>
              <w:spacing w:after="0"/>
              <w:ind w:left="172" w:right="-106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Complement hyperactivation </w:t>
            </w:r>
          </w:p>
          <w:p w14:paraId="6B22A6B6" w14:textId="40A6A851" w:rsidR="005E0C66" w:rsidRDefault="005E0C66" w:rsidP="0025012A">
            <w:pPr>
              <w:pStyle w:val="Body"/>
              <w:numPr>
                <w:ilvl w:val="0"/>
                <w:numId w:val="40"/>
              </w:numPr>
              <w:spacing w:after="0"/>
              <w:ind w:left="172" w:right="-106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Macrophage </w:t>
            </w:r>
            <w:r w:rsidR="00284405">
              <w:t>a</w:t>
            </w:r>
            <w:r>
              <w:t>ctivation</w:t>
            </w:r>
          </w:p>
          <w:p w14:paraId="2B6274B4" w14:textId="4C9DDEC1" w:rsidR="005E0C66" w:rsidRDefault="005E0C66" w:rsidP="0025012A">
            <w:pPr>
              <w:pStyle w:val="Body"/>
              <w:numPr>
                <w:ilvl w:val="0"/>
                <w:numId w:val="40"/>
              </w:numPr>
              <w:spacing w:after="0"/>
              <w:ind w:left="172" w:right="-106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Oxidative </w:t>
            </w:r>
            <w:r w:rsidR="00284405">
              <w:t>s</w:t>
            </w:r>
            <w:r>
              <w:t>tress</w:t>
            </w:r>
          </w:p>
        </w:tc>
      </w:tr>
      <w:tr w:rsidR="005E0C66" w14:paraId="4BC1A5FB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28D9DD45" w14:textId="77777777" w:rsidR="005E0C66" w:rsidRDefault="005E0C66" w:rsidP="008B7AE8">
            <w:pPr>
              <w:pStyle w:val="Body"/>
            </w:pPr>
            <w:r>
              <w:t>Incidence</w:t>
            </w:r>
          </w:p>
        </w:tc>
        <w:tc>
          <w:tcPr>
            <w:tcW w:w="2716" w:type="dxa"/>
          </w:tcPr>
          <w:p w14:paraId="490A6586" w14:textId="77777777" w:rsidR="005E0C66" w:rsidRDefault="005E0C66" w:rsidP="008B7AE8">
            <w:pPr>
              <w:pStyle w:val="Body"/>
              <w:tabs>
                <w:tab w:val="center" w:pos="1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068">
              <w:rPr>
                <w:rFonts w:cs="Arial"/>
              </w:rPr>
              <w:t>ABO-incompatibility</w:t>
            </w:r>
            <w:r>
              <w:rPr>
                <w:rFonts w:cs="Arial"/>
              </w:rPr>
              <w:t xml:space="preserve"> </w:t>
            </w:r>
            <w:r w:rsidRPr="00EF6068">
              <w:rPr>
                <w:rFonts w:cs="Arial"/>
              </w:rPr>
              <w:t>1:40,000 transfusions</w:t>
            </w:r>
          </w:p>
        </w:tc>
        <w:tc>
          <w:tcPr>
            <w:tcW w:w="2552" w:type="dxa"/>
          </w:tcPr>
          <w:p w14:paraId="2EE5AE22" w14:textId="77777777" w:rsidR="005E0C66" w:rsidRDefault="005E0C66" w:rsidP="0025012A">
            <w:pPr>
              <w:pStyle w:val="Body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F6068">
              <w:rPr>
                <w:rFonts w:cs="Arial"/>
              </w:rPr>
              <w:t>1:2500</w:t>
            </w:r>
          </w:p>
        </w:tc>
        <w:tc>
          <w:tcPr>
            <w:tcW w:w="2977" w:type="dxa"/>
          </w:tcPr>
          <w:p w14:paraId="3C5609C5" w14:textId="77777777" w:rsidR="005E0C66" w:rsidRDefault="005E0C66" w:rsidP="008B7AE8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rare</w:t>
            </w:r>
          </w:p>
        </w:tc>
      </w:tr>
      <w:tr w:rsidR="005E0C66" w14:paraId="4A0C59B8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F0958BC" w14:textId="77777777" w:rsidR="005E0C66" w:rsidRDefault="005E0C66" w:rsidP="008B7AE8">
            <w:pPr>
              <w:pStyle w:val="Body"/>
            </w:pPr>
            <w:r>
              <w:t>Onset</w:t>
            </w:r>
          </w:p>
        </w:tc>
        <w:tc>
          <w:tcPr>
            <w:tcW w:w="2716" w:type="dxa"/>
          </w:tcPr>
          <w:p w14:paraId="049E1A3D" w14:textId="77777777" w:rsidR="005E0C66" w:rsidRDefault="005E0C66" w:rsidP="008B7AE8">
            <w:pPr>
              <w:pStyle w:val="Body"/>
              <w:tabs>
                <w:tab w:val="center" w:pos="12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>
              <w:rPr>
                <w:rFonts w:cs="Arial"/>
              </w:rPr>
              <w:t>ithin 24hrs</w:t>
            </w:r>
          </w:p>
        </w:tc>
        <w:tc>
          <w:tcPr>
            <w:tcW w:w="2552" w:type="dxa"/>
          </w:tcPr>
          <w:p w14:paraId="406145E4" w14:textId="77777777" w:rsidR="005E0C66" w:rsidRDefault="005E0C66" w:rsidP="008B7AE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6068">
              <w:rPr>
                <w:rFonts w:cs="Arial"/>
              </w:rPr>
              <w:t xml:space="preserve">24hrs </w:t>
            </w:r>
            <w:r>
              <w:rPr>
                <w:rFonts w:cs="Arial"/>
              </w:rPr>
              <w:t xml:space="preserve">to </w:t>
            </w:r>
            <w:r w:rsidRPr="00EF6068">
              <w:rPr>
                <w:rFonts w:cs="Arial"/>
              </w:rPr>
              <w:t>28 days</w:t>
            </w:r>
          </w:p>
        </w:tc>
        <w:tc>
          <w:tcPr>
            <w:tcW w:w="2977" w:type="dxa"/>
          </w:tcPr>
          <w:p w14:paraId="6EC30A5A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Acute – within 7 days</w:t>
            </w:r>
          </w:p>
          <w:p w14:paraId="4B710652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Delayed – longer than 7 days</w:t>
            </w:r>
          </w:p>
        </w:tc>
      </w:tr>
      <w:tr w:rsidR="005E0C66" w14:paraId="5E47FCF3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6DAD131" w14:textId="77777777" w:rsidR="005E0C66" w:rsidRDefault="005E0C66" w:rsidP="008B7AE8">
            <w:pPr>
              <w:pStyle w:val="Body"/>
            </w:pPr>
            <w:r>
              <w:t>Clinical Features</w:t>
            </w:r>
          </w:p>
        </w:tc>
        <w:tc>
          <w:tcPr>
            <w:tcW w:w="2716" w:type="dxa"/>
          </w:tcPr>
          <w:p w14:paraId="23982D7A" w14:textId="77777777" w:rsidR="005E0C66" w:rsidRDefault="005E0C66" w:rsidP="002501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Acutely unwell, fever, pain, jaundice, haemoglobinuria</w:t>
            </w:r>
          </w:p>
        </w:tc>
        <w:tc>
          <w:tcPr>
            <w:tcW w:w="2552" w:type="dxa"/>
          </w:tcPr>
          <w:p w14:paraId="201571A5" w14:textId="77777777" w:rsidR="005E0C66" w:rsidRDefault="005E0C66" w:rsidP="008B7AE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Similar to AHTR but usually less severe, general malaise</w:t>
            </w:r>
          </w:p>
        </w:tc>
        <w:tc>
          <w:tcPr>
            <w:tcW w:w="2977" w:type="dxa"/>
          </w:tcPr>
          <w:p w14:paraId="71B595FD" w14:textId="77777777" w:rsidR="005E0C66" w:rsidRDefault="005E0C66" w:rsidP="0025012A">
            <w:pPr>
              <w:pStyle w:val="Body"/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unwell, pain, fever, haemoglobinuria, shortness of breath, chest pain, jaundice</w:t>
            </w:r>
          </w:p>
        </w:tc>
      </w:tr>
      <w:tr w:rsidR="005E0C66" w14:paraId="12B2B426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0ABFE1CE" w14:textId="77777777" w:rsidR="005E0C66" w:rsidRDefault="005E0C66" w:rsidP="008B7AE8">
            <w:pPr>
              <w:pStyle w:val="Body"/>
            </w:pPr>
            <w:r>
              <w:lastRenderedPageBreak/>
              <w:t>Culprit Red Cell Alloantibody</w:t>
            </w:r>
          </w:p>
        </w:tc>
        <w:tc>
          <w:tcPr>
            <w:tcW w:w="2716" w:type="dxa"/>
          </w:tcPr>
          <w:p w14:paraId="7E46420C" w14:textId="77777777" w:rsidR="005E0C66" w:rsidRDefault="005E0C66" w:rsidP="008B7AE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Commonly present and detectable pre-transfusion</w:t>
            </w:r>
          </w:p>
        </w:tc>
        <w:tc>
          <w:tcPr>
            <w:tcW w:w="2552" w:type="dxa"/>
          </w:tcPr>
          <w:p w14:paraId="6860B89F" w14:textId="77777777" w:rsidR="005E0C66" w:rsidRDefault="005E0C66" w:rsidP="008B7AE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Likely present pre-transfusion but below level of detection</w:t>
            </w:r>
          </w:p>
        </w:tc>
        <w:tc>
          <w:tcPr>
            <w:tcW w:w="2977" w:type="dxa"/>
          </w:tcPr>
          <w:p w14:paraId="6197AC1D" w14:textId="77777777" w:rsidR="005E0C66" w:rsidRDefault="005E0C66" w:rsidP="008B7AE8">
            <w:pPr>
              <w:pStyle w:val="Body"/>
              <w:ind w:right="-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new red cell alloantibody is detected in less than half of cases</w:t>
            </w:r>
          </w:p>
        </w:tc>
      </w:tr>
      <w:tr w:rsidR="005E0C66" w14:paraId="50AA92EC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6CB5C096" w14:textId="77777777" w:rsidR="005E0C66" w:rsidRDefault="005E0C66" w:rsidP="008B7AE8">
            <w:pPr>
              <w:pStyle w:val="Body"/>
            </w:pPr>
            <w:r>
              <w:t>Positive DAT</w:t>
            </w:r>
          </w:p>
        </w:tc>
        <w:tc>
          <w:tcPr>
            <w:tcW w:w="2716" w:type="dxa"/>
          </w:tcPr>
          <w:p w14:paraId="13AA2FD5" w14:textId="77777777" w:rsidR="005E0C66" w:rsidRDefault="005E0C66" w:rsidP="002501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552" w:type="dxa"/>
          </w:tcPr>
          <w:p w14:paraId="02F9C33E" w14:textId="77777777" w:rsidR="005E0C66" w:rsidRDefault="005E0C66" w:rsidP="002501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977" w:type="dxa"/>
          </w:tcPr>
          <w:p w14:paraId="42C3D23A" w14:textId="77777777" w:rsidR="005E0C66" w:rsidRDefault="005E0C66" w:rsidP="002501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Acute: DAT usually negative</w:t>
            </w:r>
          </w:p>
          <w:p w14:paraId="6D64D775" w14:textId="77777777" w:rsidR="005E0C66" w:rsidRDefault="005E0C66" w:rsidP="002501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Delayed: DAT often positive </w:t>
            </w:r>
          </w:p>
        </w:tc>
      </w:tr>
      <w:tr w:rsidR="005E0C66" w14:paraId="42BABBE6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AD34578" w14:textId="77777777" w:rsidR="005E0C66" w:rsidRDefault="005E0C66" w:rsidP="008B7AE8">
            <w:pPr>
              <w:pStyle w:val="Body"/>
            </w:pPr>
            <w:r>
              <w:t>Reticulocytes</w:t>
            </w:r>
          </w:p>
        </w:tc>
        <w:tc>
          <w:tcPr>
            <w:tcW w:w="2716" w:type="dxa"/>
          </w:tcPr>
          <w:p w14:paraId="561CEF59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2552" w:type="dxa"/>
          </w:tcPr>
          <w:p w14:paraId="2F17129C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2977" w:type="dxa"/>
          </w:tcPr>
          <w:p w14:paraId="2331A604" w14:textId="77777777" w:rsidR="005E0C66" w:rsidRDefault="005E0C66" w:rsidP="0025012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Lower than pre-transfusion</w:t>
            </w:r>
          </w:p>
        </w:tc>
      </w:tr>
    </w:tbl>
    <w:p w14:paraId="097AC284" w14:textId="77777777" w:rsidR="005E0C66" w:rsidRPr="006B27E1" w:rsidRDefault="005E0C66" w:rsidP="005E0C66">
      <w:pPr>
        <w:pStyle w:val="Heading3"/>
        <w:rPr>
          <w:bCs w:val="0"/>
        </w:rPr>
      </w:pPr>
      <w:r w:rsidRPr="006B27E1">
        <w:t xml:space="preserve">Risk </w:t>
      </w:r>
      <w:r>
        <w:rPr>
          <w:bCs w:val="0"/>
        </w:rPr>
        <w:t>f</w:t>
      </w:r>
      <w:r w:rsidRPr="006B27E1">
        <w:t>actors associated with Hyperhaemolysis syndrome</w:t>
      </w:r>
    </w:p>
    <w:tbl>
      <w:tblPr>
        <w:tblStyle w:val="GridTable4-Accent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0C66" w14:paraId="6D622AD7" w14:textId="77777777" w:rsidTr="00D7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FAF9133" w14:textId="77777777" w:rsidR="005E0C66" w:rsidRDefault="005E0C66" w:rsidP="00D72A2A">
            <w:pPr>
              <w:pStyle w:val="Body"/>
              <w:jc w:val="center"/>
            </w:pPr>
            <w:r>
              <w:t xml:space="preserve">Patients at greatest risk </w:t>
            </w:r>
          </w:p>
        </w:tc>
      </w:tr>
      <w:tr w:rsidR="005E0C66" w14:paraId="5F221A84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A1267B9" w14:textId="77777777" w:rsidR="005E0C66" w:rsidRPr="00741BDF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Haemoglobinopathies e.g. Sickle Cell Disease, Thalassaemia </w:t>
            </w:r>
          </w:p>
        </w:tc>
      </w:tr>
      <w:tr w:rsidR="005E0C66" w14:paraId="178D0EC0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A6032E3" w14:textId="77777777" w:rsidR="005E0C66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Prior history of alloantibodies</w:t>
            </w:r>
          </w:p>
        </w:tc>
      </w:tr>
      <w:tr w:rsidR="005E0C66" w14:paraId="368B3AB7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97B9EE3" w14:textId="77777777" w:rsidR="005E0C66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Systemic inflammation at time of transfusion e.g. inter-current infection or pain crisis</w:t>
            </w:r>
          </w:p>
        </w:tc>
      </w:tr>
    </w:tbl>
    <w:p w14:paraId="6FA0873E" w14:textId="77777777" w:rsidR="005E0C66" w:rsidRDefault="005E0C66">
      <w:pPr>
        <w:spacing w:after="0" w:line="240" w:lineRule="auto"/>
      </w:pPr>
    </w:p>
    <w:p w14:paraId="73B659BF" w14:textId="77777777" w:rsidR="0025012A" w:rsidRDefault="00F23236" w:rsidP="0025012A">
      <w:pPr>
        <w:jc w:val="both"/>
        <w:rPr>
          <w:rFonts w:cs="Arial"/>
        </w:rPr>
      </w:pPr>
      <w:r>
        <w:rPr>
          <w:rFonts w:eastAsia="MS Gothic"/>
          <w:bCs/>
          <w:color w:val="53565A"/>
          <w:sz w:val="27"/>
          <w:szCs w:val="26"/>
        </w:rPr>
        <w:t>Management</w:t>
      </w:r>
      <w:r w:rsidR="0025012A" w:rsidRPr="0025012A">
        <w:rPr>
          <w:rFonts w:cs="Arial"/>
        </w:rPr>
        <w:t xml:space="preserve"> </w:t>
      </w:r>
    </w:p>
    <w:p w14:paraId="302BC3BA" w14:textId="2D2B6E9E" w:rsidR="005E0C66" w:rsidRDefault="0025012A" w:rsidP="008B7AE8">
      <w:pPr>
        <w:jc w:val="both"/>
        <w:rPr>
          <w:rFonts w:eastAsia="MS Gothic"/>
          <w:bCs/>
          <w:color w:val="53565A"/>
          <w:sz w:val="27"/>
          <w:szCs w:val="26"/>
        </w:rPr>
      </w:pPr>
      <w:r>
        <w:rPr>
          <w:rFonts w:cs="Arial"/>
        </w:rPr>
        <w:t xml:space="preserve">The following information is </w:t>
      </w:r>
      <w:r w:rsidRPr="00F23236">
        <w:rPr>
          <w:rFonts w:cs="Arial"/>
          <w:b/>
          <w:bCs/>
        </w:rPr>
        <w:t>not a guideline</w:t>
      </w:r>
      <w:r>
        <w:rPr>
          <w:rFonts w:cs="Arial"/>
        </w:rPr>
        <w:t xml:space="preserve"> but provides information on the currently available treatment options for these patients. As this is a rare condition, management should include early referral to a Haematologist for expert opinion.</w:t>
      </w:r>
    </w:p>
    <w:tbl>
      <w:tblPr>
        <w:tblStyle w:val="GridTable4-Accent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0C66" w14:paraId="0EC4FF3C" w14:textId="77777777" w:rsidTr="00D72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9FBDFC9" w14:textId="47B997C1" w:rsidR="005E0C66" w:rsidRDefault="005E0C66" w:rsidP="00D72A2A">
            <w:pPr>
              <w:pStyle w:val="Body"/>
              <w:jc w:val="center"/>
            </w:pPr>
            <w:r>
              <w:t xml:space="preserve">Treatment of </w:t>
            </w:r>
            <w:r w:rsidR="00F23236">
              <w:t>h</w:t>
            </w:r>
            <w:r>
              <w:t>yperhaemolysis syndrome</w:t>
            </w:r>
            <w:r w:rsidR="00F23236">
              <w:t xml:space="preserve"> &amp; prevention of further haemolysis</w:t>
            </w:r>
          </w:p>
        </w:tc>
      </w:tr>
      <w:tr w:rsidR="00341225" w14:paraId="55E76292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9FD8B58" w14:textId="77777777" w:rsidR="00341225" w:rsidRDefault="00341225" w:rsidP="00341225">
            <w:pPr>
              <w:pStyle w:val="Body"/>
              <w:numPr>
                <w:ilvl w:val="0"/>
                <w:numId w:val="43"/>
              </w:numPr>
            </w:pPr>
            <w:r>
              <w:rPr>
                <w:b w:val="0"/>
                <w:bCs w:val="0"/>
              </w:rPr>
              <w:t>Management should be undertaken under the supervision of a Haematologist</w:t>
            </w:r>
          </w:p>
          <w:p w14:paraId="41077384" w14:textId="0FC960DC" w:rsidR="00284405" w:rsidRDefault="00284405" w:rsidP="00341225">
            <w:pPr>
              <w:pStyle w:val="Body"/>
              <w:numPr>
                <w:ilvl w:val="0"/>
                <w:numId w:val="43"/>
              </w:numPr>
            </w:pPr>
            <w:r w:rsidRPr="00284405">
              <w:rPr>
                <w:i/>
                <w:iCs/>
              </w:rPr>
              <w:t>NB: There are no randomised trials comparing outcomes from various treatment approaches</w:t>
            </w:r>
          </w:p>
        </w:tc>
      </w:tr>
      <w:tr w:rsidR="005E0C66" w14:paraId="78335269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68052C6" w14:textId="382E9DB9" w:rsidR="005E0C66" w:rsidRPr="002D5429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Immunosuppressive </w:t>
            </w:r>
            <w:r w:rsidR="00F23236">
              <w:rPr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herapy</w:t>
            </w:r>
            <w:r w:rsidR="000A0A14">
              <w:rPr>
                <w:b w:val="0"/>
                <w:bCs w:val="0"/>
              </w:rPr>
              <w:t>, consider</w:t>
            </w:r>
          </w:p>
          <w:p w14:paraId="78F5AEC7" w14:textId="475298D5" w:rsidR="000A0A14" w:rsidRPr="000A0A14" w:rsidRDefault="000A0A14" w:rsidP="008B7AE8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Corticosteroids in conjunction with</w:t>
            </w:r>
            <w:r w:rsidR="008B7AE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Intravenous immunoglobulin (</w:t>
            </w:r>
            <w:r w:rsidRPr="000A0A14">
              <w:rPr>
                <w:b w:val="0"/>
                <w:bCs w:val="0"/>
              </w:rPr>
              <w:t>Criteria for Clinical Use of Immunoglobulin in Australia</w:t>
            </w:r>
            <w:r>
              <w:rPr>
                <w:b w:val="0"/>
                <w:bCs w:val="0"/>
              </w:rPr>
              <w:t>)</w:t>
            </w:r>
          </w:p>
          <w:p w14:paraId="24414CFD" w14:textId="6EA123F5" w:rsidR="000A0A14" w:rsidRPr="00741BDF" w:rsidRDefault="000A0A14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Other immunosuppressive treatments </w:t>
            </w:r>
            <w:r w:rsidR="00EE424C">
              <w:rPr>
                <w:b w:val="0"/>
                <w:bCs w:val="0"/>
              </w:rPr>
              <w:t xml:space="preserve">such as Monoclonal antibodies </w:t>
            </w:r>
            <w:r>
              <w:rPr>
                <w:b w:val="0"/>
                <w:bCs w:val="0"/>
              </w:rPr>
              <w:t>should be determined with advice from a Haematologist</w:t>
            </w:r>
          </w:p>
        </w:tc>
      </w:tr>
      <w:tr w:rsidR="005E0C66" w14:paraId="29F5FAC5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3ED7171" w14:textId="146528C2" w:rsidR="005E0C66" w:rsidRPr="008536E0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Supportive </w:t>
            </w:r>
            <w:r w:rsidR="00F23236">
              <w:rPr>
                <w:b w:val="0"/>
                <w:bCs w:val="0"/>
              </w:rPr>
              <w:t>c</w:t>
            </w:r>
            <w:r>
              <w:rPr>
                <w:b w:val="0"/>
                <w:bCs w:val="0"/>
              </w:rPr>
              <w:t>are</w:t>
            </w:r>
            <w:r w:rsidR="00F23236">
              <w:rPr>
                <w:b w:val="0"/>
                <w:bCs w:val="0"/>
              </w:rPr>
              <w:t xml:space="preserve"> may include</w:t>
            </w:r>
          </w:p>
          <w:p w14:paraId="2725DA16" w14:textId="77777777" w:rsidR="005E0C66" w:rsidRPr="002748E0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General: Hydration, Oxygenation, Analgesia</w:t>
            </w:r>
          </w:p>
          <w:p w14:paraId="722C5641" w14:textId="77777777" w:rsidR="005E0C66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Supporting Erythropoiesis: Erythropoietin, Folate, Vitamin B12, IV iron as needed</w:t>
            </w:r>
          </w:p>
        </w:tc>
      </w:tr>
      <w:tr w:rsidR="005E0C66" w14:paraId="2A906FD4" w14:textId="77777777" w:rsidTr="00D72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D15C9D4" w14:textId="77777777" w:rsidR="005E0C66" w:rsidRPr="008536E0" w:rsidRDefault="005E0C66" w:rsidP="005E0C66">
            <w:pPr>
              <w:pStyle w:val="Body"/>
              <w:numPr>
                <w:ilvl w:val="0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Further Red Cell Transfusions</w:t>
            </w:r>
          </w:p>
          <w:p w14:paraId="07EC8FC7" w14:textId="77777777" w:rsidR="005E0C66" w:rsidRPr="00E16C26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Should be avoided, if possible, as may exacerbate haemolysis</w:t>
            </w:r>
          </w:p>
          <w:p w14:paraId="19547CE4" w14:textId="77777777" w:rsidR="005E0C66" w:rsidRPr="004C4227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However, should not be withheld if anaemia is life-threatening</w:t>
            </w:r>
          </w:p>
          <w:p w14:paraId="59480820" w14:textId="77777777" w:rsidR="005E0C66" w:rsidRPr="0032660E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required, aim to provide extended phenotype-matched blood (ABO, Rh, K, Jk, Fy, Ss)</w:t>
            </w:r>
          </w:p>
          <w:p w14:paraId="3B6C9089" w14:textId="0FEA9402" w:rsidR="005E0C66" w:rsidRPr="004D43D3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 when antibodies are present: target antigen negative blood</w:t>
            </w:r>
          </w:p>
          <w:p w14:paraId="4EF1BA99" w14:textId="77777777" w:rsidR="005E0C66" w:rsidRDefault="005E0C66" w:rsidP="005E0C66">
            <w:pPr>
              <w:pStyle w:val="Body"/>
              <w:numPr>
                <w:ilvl w:val="1"/>
                <w:numId w:val="4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Monitor very closely for haemolysis in these patients</w:t>
            </w:r>
          </w:p>
        </w:tc>
      </w:tr>
      <w:tr w:rsidR="00490333" w14:paraId="2FDEEF38" w14:textId="77777777" w:rsidTr="00D72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87C9EA6" w14:textId="36C098DD" w:rsidR="00490333" w:rsidRDefault="00490333" w:rsidP="005E0C66">
            <w:pPr>
              <w:pStyle w:val="Body"/>
              <w:numPr>
                <w:ilvl w:val="0"/>
                <w:numId w:val="41"/>
              </w:numPr>
            </w:pPr>
            <w:r>
              <w:t>See references for guidelines and further information</w:t>
            </w:r>
          </w:p>
        </w:tc>
      </w:tr>
    </w:tbl>
    <w:p w14:paraId="312A532D" w14:textId="77777777" w:rsidR="005E0C66" w:rsidRDefault="005E0C66" w:rsidP="005E0C66">
      <w:pPr>
        <w:rPr>
          <w:rFonts w:eastAsia="Times"/>
        </w:rPr>
      </w:pPr>
      <w:r>
        <w:rPr>
          <w:rFonts w:eastAsia="Times"/>
        </w:rPr>
        <w:lastRenderedPageBreak/>
        <w:t xml:space="preserve">There is yet a lot we do not know about the pathophysiology and optimal treatment of hyperhaemolysis syndrome. Therefore, it is </w:t>
      </w:r>
      <w:r w:rsidRPr="00567815">
        <w:rPr>
          <w:rFonts w:eastAsia="Times"/>
          <w:b/>
          <w:bCs/>
          <w:u w:val="single"/>
        </w:rPr>
        <w:t>critical</w:t>
      </w:r>
      <w:r>
        <w:rPr>
          <w:rFonts w:eastAsia="Times"/>
        </w:rPr>
        <w:t xml:space="preserve"> that all suspected cases of hyperhaemolysis be reported to STIR so that we may share our experiences and improve our collective understanding.</w:t>
      </w:r>
    </w:p>
    <w:p w14:paraId="206FB401" w14:textId="77777777" w:rsidR="00490333" w:rsidRDefault="00490333" w:rsidP="005E0C66">
      <w:pPr>
        <w:rPr>
          <w:rFonts w:eastAsia="Times"/>
        </w:rPr>
      </w:pPr>
    </w:p>
    <w:p w14:paraId="3FC5BDEA" w14:textId="77777777" w:rsidR="005E0C66" w:rsidRPr="006B27E1" w:rsidRDefault="005E0C66" w:rsidP="005E0C66">
      <w:pPr>
        <w:pStyle w:val="Heading3"/>
        <w:rPr>
          <w:bCs w:val="0"/>
        </w:rPr>
      </w:pPr>
      <w:r w:rsidRPr="006B27E1">
        <w:t>References:</w:t>
      </w:r>
    </w:p>
    <w:p w14:paraId="6BA83EED" w14:textId="0148D905" w:rsidR="0025012A" w:rsidRDefault="0025012A" w:rsidP="0025012A">
      <w:pPr>
        <w:pStyle w:val="Body"/>
        <w:numPr>
          <w:ilvl w:val="0"/>
          <w:numId w:val="48"/>
        </w:numPr>
      </w:pPr>
      <w:r w:rsidRPr="008B7AE8">
        <w:t xml:space="preserve">Jacobs </w:t>
      </w:r>
      <w:r>
        <w:t xml:space="preserve">JW, Stephens LD, Allen ES, Binns TC, Booth GS, Hendrickson JE, et al. Epidemiological and clinical features, therapeutic strategies and outcomes in patients with hyperhaemolysis: a systematic review. British Journal of Haematology. 2023;201(6):1025–1032. Available from: </w:t>
      </w:r>
      <w:hyperlink r:id="rId15" w:history="1">
        <w:r w:rsidRPr="00E679DE">
          <w:rPr>
            <w:rStyle w:val="Hyperlink"/>
          </w:rPr>
          <w:t>https://doi.org/10.1111/bjh.18825</w:t>
        </w:r>
      </w:hyperlink>
      <w:r>
        <w:t xml:space="preserve"> </w:t>
      </w:r>
    </w:p>
    <w:p w14:paraId="4AAA57A0" w14:textId="5AD275C7" w:rsidR="0025012A" w:rsidRDefault="0025012A" w:rsidP="0025012A">
      <w:pPr>
        <w:pStyle w:val="Body"/>
        <w:numPr>
          <w:ilvl w:val="0"/>
          <w:numId w:val="48"/>
        </w:numPr>
      </w:pPr>
      <w:proofErr w:type="spellStart"/>
      <w:r>
        <w:t>Pirenne</w:t>
      </w:r>
      <w:proofErr w:type="spellEnd"/>
      <w:r>
        <w:t xml:space="preserve"> F, </w:t>
      </w:r>
      <w:proofErr w:type="spellStart"/>
      <w:r>
        <w:t>Pondarré</w:t>
      </w:r>
      <w:proofErr w:type="spellEnd"/>
      <w:r>
        <w:t xml:space="preserve"> C. Alloimmunization and </w:t>
      </w:r>
      <w:proofErr w:type="spellStart"/>
      <w:r>
        <w:t>hyperhemolysis</w:t>
      </w:r>
      <w:proofErr w:type="spellEnd"/>
      <w:r>
        <w:t xml:space="preserve"> in sickle cell disease. Hematology: American Society of Hematology Education Program. 2023;2023(1):653–659. Available from: </w:t>
      </w:r>
      <w:hyperlink r:id="rId16" w:history="1">
        <w:r w:rsidRPr="00E679DE">
          <w:rPr>
            <w:rStyle w:val="Hyperlink"/>
          </w:rPr>
          <w:t>https://doi.org/10.1182/hematology.2023000499</w:t>
        </w:r>
      </w:hyperlink>
      <w:r>
        <w:t xml:space="preserve"> </w:t>
      </w:r>
    </w:p>
    <w:p w14:paraId="03F07F4D" w14:textId="756E35B4" w:rsidR="0025012A" w:rsidRDefault="0025012A" w:rsidP="0025012A">
      <w:pPr>
        <w:pStyle w:val="Body"/>
        <w:numPr>
          <w:ilvl w:val="0"/>
          <w:numId w:val="48"/>
        </w:numPr>
      </w:pPr>
      <w:r>
        <w:t xml:space="preserve">Chou ST, et al. American Society of Hematology 2020 guidelines for sickle cell disease: transfusion support. Blood Advances. 2020;4(2):327–355. Available from: </w:t>
      </w:r>
      <w:hyperlink r:id="rId17" w:history="1">
        <w:r w:rsidRPr="00E679DE">
          <w:rPr>
            <w:rStyle w:val="Hyperlink"/>
          </w:rPr>
          <w:t>https://doi.org/10.1182/bloodadvances.2019001143</w:t>
        </w:r>
      </w:hyperlink>
      <w:r>
        <w:t xml:space="preserve"> </w:t>
      </w:r>
    </w:p>
    <w:p w14:paraId="1921AAA1" w14:textId="6CC413EC" w:rsidR="0025012A" w:rsidRDefault="0025012A" w:rsidP="0025012A">
      <w:pPr>
        <w:pStyle w:val="Body"/>
        <w:numPr>
          <w:ilvl w:val="0"/>
          <w:numId w:val="48"/>
        </w:numPr>
      </w:pPr>
      <w:r>
        <w:t xml:space="preserve">Serious Hazards of Transfusion (SHOT). SHOT Bite No. 15: Hyperhaemolysis. Manchester: SHOT; 2021 Jan. Available from: </w:t>
      </w:r>
      <w:hyperlink r:id="rId18" w:history="1">
        <w:r w:rsidRPr="00E679DE">
          <w:rPr>
            <w:rStyle w:val="Hyperlink"/>
          </w:rPr>
          <w:t>https://www.shotuk.org/wp-content/uploads/2025/11/SHOT-Bite-No.15-Hyperhaemolysis-January-2021.pdf</w:t>
        </w:r>
      </w:hyperlink>
      <w:r>
        <w:t xml:space="preserve"> </w:t>
      </w:r>
    </w:p>
    <w:p w14:paraId="0F0203D3" w14:textId="32812A08" w:rsidR="0025012A" w:rsidRDefault="0025012A" w:rsidP="0025012A">
      <w:pPr>
        <w:pStyle w:val="Body"/>
        <w:numPr>
          <w:ilvl w:val="0"/>
          <w:numId w:val="48"/>
        </w:numPr>
      </w:pPr>
      <w:r>
        <w:t xml:space="preserve">Serious Hazards of Transfusion (SHOT). Haemolytic transfusion reactions. In: The 2024 Annual SHOT Report. Manchester: SHOT; 2024. Available from: </w:t>
      </w:r>
      <w:hyperlink r:id="rId19" w:history="1">
        <w:r w:rsidRPr="00E679DE">
          <w:rPr>
            <w:rStyle w:val="Hyperlink"/>
          </w:rPr>
          <w:t>https://www.shotuk.org/wp-content/uploads/2025/07/21.-Haemolytic-Transfusion-Reactions-HTR-2024.pdf</w:t>
        </w:r>
      </w:hyperlink>
      <w:r>
        <w:t xml:space="preserve"> </w:t>
      </w:r>
    </w:p>
    <w:p w14:paraId="733CD0BB" w14:textId="3708E1E9" w:rsidR="0025012A" w:rsidRDefault="0025012A" w:rsidP="0025012A">
      <w:pPr>
        <w:pStyle w:val="Body"/>
        <w:numPr>
          <w:ilvl w:val="0"/>
          <w:numId w:val="48"/>
        </w:numPr>
      </w:pPr>
      <w:r>
        <w:t xml:space="preserve">Adkins BD, Kaylani SZ, Nero A, Ibrahim IF, Shen YM, Sarode R. How do we manage </w:t>
      </w:r>
      <w:proofErr w:type="spellStart"/>
      <w:r>
        <w:t>hyperhemolysis</w:t>
      </w:r>
      <w:proofErr w:type="spellEnd"/>
      <w:r>
        <w:t xml:space="preserve"> syndrome? Transfusion. 2024;64(10):1822–1829. Available from: </w:t>
      </w:r>
      <w:hyperlink r:id="rId20" w:history="1">
        <w:r w:rsidRPr="00E679DE">
          <w:rPr>
            <w:rStyle w:val="Hyperlink"/>
          </w:rPr>
          <w:t>https://doi.org/10.1111/trf.17995</w:t>
        </w:r>
      </w:hyperlink>
      <w:r>
        <w:t xml:space="preserve"> </w:t>
      </w:r>
    </w:p>
    <w:p w14:paraId="316D9C04" w14:textId="5741B085" w:rsidR="0025012A" w:rsidRDefault="0025012A" w:rsidP="0025012A">
      <w:pPr>
        <w:pStyle w:val="Body"/>
        <w:numPr>
          <w:ilvl w:val="0"/>
          <w:numId w:val="48"/>
        </w:numPr>
      </w:pPr>
      <w:r>
        <w:t xml:space="preserve">Narayan S, et al. The 2024 Annual SHOT Report. Manchester: Serious Hazards of Transfusion (SHOT) Steering Group; 2025. Available from: </w:t>
      </w:r>
      <w:hyperlink r:id="rId21" w:history="1">
        <w:r w:rsidR="00855239" w:rsidRPr="00E679DE">
          <w:rPr>
            <w:rStyle w:val="Hyperlink"/>
          </w:rPr>
          <w:t>https://www.shotuk.org/shot-reports/annual-shot-report-2024/</w:t>
        </w:r>
      </w:hyperlink>
      <w:r w:rsidR="00855239">
        <w:t xml:space="preserve"> </w:t>
      </w:r>
    </w:p>
    <w:p w14:paraId="43C21BB5" w14:textId="77777777" w:rsidR="0025012A" w:rsidRPr="0025012A" w:rsidRDefault="0025012A" w:rsidP="0025012A">
      <w:pPr>
        <w:pStyle w:val="Body"/>
        <w:numPr>
          <w:ilvl w:val="0"/>
          <w:numId w:val="48"/>
        </w:numPr>
      </w:pPr>
      <w:r>
        <w:t xml:space="preserve">Scottish Paediatric &amp; Adult Haemoglobinopathy Network. Paediatric and adult guideline: management of hyperhaemolysis in patients with sickle cell disease. Scotland: Scottish Paediatric &amp; Adult Haemoglobinopathy Network; 2002. Available from: </w:t>
      </w:r>
      <w:hyperlink r:id="rId22" w:history="1">
        <w:r w:rsidRPr="0025012A">
          <w:rPr>
            <w:rStyle w:val="Hyperlink"/>
          </w:rPr>
          <w:t>NSD610-017.19-Management-of-Hyperhaemolysis-in-patients-with-Sickle-Cell-Disease-1.pdf</w:t>
        </w:r>
      </w:hyperlink>
    </w:p>
    <w:p w14:paraId="1E126AF2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5BAF1D2" w14:textId="77777777" w:rsidTr="00EC40D5">
        <w:tc>
          <w:tcPr>
            <w:tcW w:w="10194" w:type="dxa"/>
          </w:tcPr>
          <w:p w14:paraId="439D8AA0" w14:textId="0FA69256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5E0C66">
              <w:t xml:space="preserve"> </w:t>
            </w:r>
            <w:r w:rsidR="005E0C66" w:rsidRPr="005E0C66">
              <w:t>03 9694 0102</w:t>
            </w:r>
            <w:r w:rsidRPr="0055119B">
              <w:t xml:space="preserve">, using the National Relay Service 13 36 77 if required, or email </w:t>
            </w:r>
            <w:r w:rsidR="005E0C66" w:rsidRPr="005E0C66">
              <w:t>Blood Matters &lt;bloodmatters@redcrossblood.org.au&gt;.</w:t>
            </w:r>
          </w:p>
          <w:p w14:paraId="0DDBE542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7F6D33E" w14:textId="6FD314D1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5E0C66">
              <w:t xml:space="preserve"> March 2026</w:t>
            </w:r>
          </w:p>
          <w:p w14:paraId="0D22E311" w14:textId="02014DD3" w:rsidR="0055119B" w:rsidRPr="0055119B" w:rsidRDefault="0055119B" w:rsidP="00E33237">
            <w:pPr>
              <w:pStyle w:val="Imprint"/>
            </w:pPr>
            <w:r w:rsidRPr="0055119B">
              <w:t xml:space="preserve">ISBN/ISSN </w:t>
            </w:r>
            <w:r w:rsidR="00E56363" w:rsidRPr="00E56363">
              <w:t>2652-6212</w:t>
            </w:r>
            <w:r w:rsidRPr="00E33237">
              <w:rPr>
                <w:color w:val="004C97"/>
              </w:rPr>
              <w:t xml:space="preserve"> </w:t>
            </w:r>
            <w:r w:rsidRPr="0055119B">
              <w:t>(online/PDF/Word) or (print)</w:t>
            </w:r>
          </w:p>
          <w:p w14:paraId="24665AED" w14:textId="3E25DBB1" w:rsidR="0055119B" w:rsidRDefault="0055119B" w:rsidP="005E0C66">
            <w:pPr>
              <w:pStyle w:val="Imprint"/>
            </w:pPr>
            <w:r w:rsidRPr="0055119B">
              <w:t xml:space="preserve">Available at </w:t>
            </w:r>
            <w:hyperlink r:id="rId23" w:history="1">
              <w:r w:rsidR="005E0C66" w:rsidRPr="00561515">
                <w:rPr>
                  <w:rStyle w:val="Hyperlink"/>
                </w:rPr>
                <w:t>Blood Matters</w:t>
              </w:r>
            </w:hyperlink>
            <w:r w:rsidR="005E0C66" w:rsidRPr="005E0C66">
              <w:t xml:space="preserve"> &lt;https://www.health.vic.gov.au/patient-care/blood-matters-program&gt;</w:t>
            </w:r>
          </w:p>
        </w:tc>
      </w:tr>
      <w:bookmarkEnd w:id="0"/>
    </w:tbl>
    <w:p w14:paraId="6FDBAFD9" w14:textId="77777777" w:rsidR="00162CA9" w:rsidRDefault="00162CA9" w:rsidP="00162CA9">
      <w:pPr>
        <w:pStyle w:val="Body"/>
      </w:pPr>
    </w:p>
    <w:sectPr w:rsidR="00162CA9" w:rsidSect="0001677A">
      <w:footerReference w:type="default" r:id="rId24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40F2" w14:textId="77777777" w:rsidR="00CD3051" w:rsidRDefault="00CD3051">
      <w:r>
        <w:separator/>
      </w:r>
    </w:p>
  </w:endnote>
  <w:endnote w:type="continuationSeparator" w:id="0">
    <w:p w14:paraId="0350D894" w14:textId="77777777" w:rsidR="00CD3051" w:rsidRDefault="00CD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E7D1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73B5017A" wp14:editId="63C10524">
          <wp:simplePos x="0" y="0"/>
          <wp:positionH relativeFrom="page">
            <wp:posOffset>0</wp:posOffset>
          </wp:positionH>
          <wp:positionV relativeFrom="page">
            <wp:posOffset>9535795</wp:posOffset>
          </wp:positionV>
          <wp:extent cx="7559675" cy="115633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54" b="45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19073E1" wp14:editId="2DBA51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28B4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073E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BD28B4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CE6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5FC2BB80" wp14:editId="4CA00E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EE9BB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2BB8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6EE9BB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D3A5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3355EE72" wp14:editId="7EEF23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15506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70E86C1" wp14:editId="43545B6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2BC1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E86C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A42BC1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0158" w14:textId="77777777" w:rsidR="00CD3051" w:rsidRDefault="00CD3051" w:rsidP="002862F1">
      <w:pPr>
        <w:spacing w:before="120"/>
      </w:pPr>
      <w:r>
        <w:separator/>
      </w:r>
    </w:p>
  </w:footnote>
  <w:footnote w:type="continuationSeparator" w:id="0">
    <w:p w14:paraId="454D9C47" w14:textId="77777777" w:rsidR="00CD3051" w:rsidRDefault="00CD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BEB3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5457B3"/>
    <w:multiLevelType w:val="hybridMultilevel"/>
    <w:tmpl w:val="513AAF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4AD1564"/>
    <w:multiLevelType w:val="hybridMultilevel"/>
    <w:tmpl w:val="3CDC2916"/>
    <w:lvl w:ilvl="0" w:tplc="CBCCD0A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447F"/>
    <w:multiLevelType w:val="multilevel"/>
    <w:tmpl w:val="F4D8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6BA61B5"/>
    <w:multiLevelType w:val="hybridMultilevel"/>
    <w:tmpl w:val="759671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2864A4"/>
    <w:multiLevelType w:val="hybridMultilevel"/>
    <w:tmpl w:val="57D063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5B2AB0"/>
    <w:multiLevelType w:val="hybridMultilevel"/>
    <w:tmpl w:val="E70EA2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0F2623"/>
    <w:multiLevelType w:val="hybridMultilevel"/>
    <w:tmpl w:val="4828A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FD46CA"/>
    <w:multiLevelType w:val="hybridMultilevel"/>
    <w:tmpl w:val="0164D1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2011"/>
    <w:multiLevelType w:val="hybridMultilevel"/>
    <w:tmpl w:val="BC3017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767992">
    <w:abstractNumId w:val="10"/>
  </w:num>
  <w:num w:numId="2" w16cid:durableId="2126192117">
    <w:abstractNumId w:val="19"/>
  </w:num>
  <w:num w:numId="3" w16cid:durableId="821509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837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086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6203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800288">
    <w:abstractNumId w:val="24"/>
  </w:num>
  <w:num w:numId="8" w16cid:durableId="1432123552">
    <w:abstractNumId w:val="18"/>
  </w:num>
  <w:num w:numId="9" w16cid:durableId="829756288">
    <w:abstractNumId w:val="23"/>
  </w:num>
  <w:num w:numId="10" w16cid:durableId="1679963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77026">
    <w:abstractNumId w:val="28"/>
  </w:num>
  <w:num w:numId="12" w16cid:durableId="20933559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794263">
    <w:abstractNumId w:val="20"/>
  </w:num>
  <w:num w:numId="14" w16cid:durableId="13773889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072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1276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8705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2376601">
    <w:abstractNumId w:val="31"/>
  </w:num>
  <w:num w:numId="19" w16cid:durableId="2634630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229079">
    <w:abstractNumId w:val="16"/>
  </w:num>
  <w:num w:numId="21" w16cid:durableId="823862086">
    <w:abstractNumId w:val="13"/>
  </w:num>
  <w:num w:numId="22" w16cid:durableId="576132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1949">
    <w:abstractNumId w:val="17"/>
  </w:num>
  <w:num w:numId="24" w16cid:durableId="1226792266">
    <w:abstractNumId w:val="33"/>
  </w:num>
  <w:num w:numId="25" w16cid:durableId="1293557536">
    <w:abstractNumId w:val="30"/>
  </w:num>
  <w:num w:numId="26" w16cid:durableId="535653529">
    <w:abstractNumId w:val="21"/>
  </w:num>
  <w:num w:numId="27" w16cid:durableId="700128855">
    <w:abstractNumId w:val="12"/>
  </w:num>
  <w:num w:numId="28" w16cid:durableId="630596401">
    <w:abstractNumId w:val="35"/>
  </w:num>
  <w:num w:numId="29" w16cid:durableId="2117285927">
    <w:abstractNumId w:val="9"/>
  </w:num>
  <w:num w:numId="30" w16cid:durableId="630482965">
    <w:abstractNumId w:val="7"/>
  </w:num>
  <w:num w:numId="31" w16cid:durableId="1745831329">
    <w:abstractNumId w:val="6"/>
  </w:num>
  <w:num w:numId="32" w16cid:durableId="929699439">
    <w:abstractNumId w:val="5"/>
  </w:num>
  <w:num w:numId="33" w16cid:durableId="264654260">
    <w:abstractNumId w:val="4"/>
  </w:num>
  <w:num w:numId="34" w16cid:durableId="1747221933">
    <w:abstractNumId w:val="8"/>
  </w:num>
  <w:num w:numId="35" w16cid:durableId="501237712">
    <w:abstractNumId w:val="3"/>
  </w:num>
  <w:num w:numId="36" w16cid:durableId="932204399">
    <w:abstractNumId w:val="2"/>
  </w:num>
  <w:num w:numId="37" w16cid:durableId="2011366036">
    <w:abstractNumId w:val="1"/>
  </w:num>
  <w:num w:numId="38" w16cid:durableId="718896366">
    <w:abstractNumId w:val="0"/>
  </w:num>
  <w:num w:numId="39" w16cid:durableId="1955944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9416155">
    <w:abstractNumId w:val="14"/>
  </w:num>
  <w:num w:numId="41" w16cid:durableId="1241060558">
    <w:abstractNumId w:val="29"/>
  </w:num>
  <w:num w:numId="42" w16cid:durableId="967512901">
    <w:abstractNumId w:val="27"/>
  </w:num>
  <w:num w:numId="43" w16cid:durableId="1553225825">
    <w:abstractNumId w:val="26"/>
  </w:num>
  <w:num w:numId="44" w16cid:durableId="1037508814">
    <w:abstractNumId w:val="22"/>
  </w:num>
  <w:num w:numId="45" w16cid:durableId="296642736">
    <w:abstractNumId w:val="32"/>
  </w:num>
  <w:num w:numId="46" w16cid:durableId="133526301">
    <w:abstractNumId w:val="11"/>
  </w:num>
  <w:num w:numId="47" w16cid:durableId="1865440655">
    <w:abstractNumId w:val="34"/>
  </w:num>
  <w:num w:numId="48" w16cid:durableId="1668449">
    <w:abstractNumId w:val="25"/>
  </w:num>
  <w:num w:numId="49" w16cid:durableId="15433964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9E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2589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12AD"/>
    <w:rsid w:val="000835C6"/>
    <w:rsid w:val="0008508E"/>
    <w:rsid w:val="00087951"/>
    <w:rsid w:val="0009113B"/>
    <w:rsid w:val="00093402"/>
    <w:rsid w:val="00094DA3"/>
    <w:rsid w:val="00096CD1"/>
    <w:rsid w:val="000A012C"/>
    <w:rsid w:val="000A0A14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39F0"/>
    <w:rsid w:val="0010447F"/>
    <w:rsid w:val="00104FE3"/>
    <w:rsid w:val="0010714F"/>
    <w:rsid w:val="001120C5"/>
    <w:rsid w:val="0011701A"/>
    <w:rsid w:val="00117AEF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12A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376"/>
    <w:rsid w:val="00273BAC"/>
    <w:rsid w:val="00274B5C"/>
    <w:rsid w:val="002763B3"/>
    <w:rsid w:val="002802E3"/>
    <w:rsid w:val="0028213D"/>
    <w:rsid w:val="00284405"/>
    <w:rsid w:val="002862F1"/>
    <w:rsid w:val="00291373"/>
    <w:rsid w:val="0029597D"/>
    <w:rsid w:val="002962C3"/>
    <w:rsid w:val="0029752B"/>
    <w:rsid w:val="002A0A9C"/>
    <w:rsid w:val="002A483C"/>
    <w:rsid w:val="002A519E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225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E26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7A08"/>
    <w:rsid w:val="00442C6C"/>
    <w:rsid w:val="00443CBE"/>
    <w:rsid w:val="00443E8A"/>
    <w:rsid w:val="004441BC"/>
    <w:rsid w:val="004468B4"/>
    <w:rsid w:val="0045230A"/>
    <w:rsid w:val="00454AD0"/>
    <w:rsid w:val="004554AD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333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4590"/>
    <w:rsid w:val="004E1106"/>
    <w:rsid w:val="004E138F"/>
    <w:rsid w:val="004E2FC5"/>
    <w:rsid w:val="004E4649"/>
    <w:rsid w:val="004E5C2B"/>
    <w:rsid w:val="004E6415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151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C66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6E38"/>
    <w:rsid w:val="00617D61"/>
    <w:rsid w:val="00620154"/>
    <w:rsid w:val="00622B2E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5641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3E74"/>
    <w:rsid w:val="008155F0"/>
    <w:rsid w:val="00816735"/>
    <w:rsid w:val="00820141"/>
    <w:rsid w:val="00820E0C"/>
    <w:rsid w:val="008213F0"/>
    <w:rsid w:val="00823275"/>
    <w:rsid w:val="0082366F"/>
    <w:rsid w:val="00832528"/>
    <w:rsid w:val="008338A2"/>
    <w:rsid w:val="00835FAF"/>
    <w:rsid w:val="00841AA9"/>
    <w:rsid w:val="008474FE"/>
    <w:rsid w:val="00853EE4"/>
    <w:rsid w:val="00855239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B3"/>
    <w:rsid w:val="00893AF6"/>
    <w:rsid w:val="00894BC4"/>
    <w:rsid w:val="008A28A8"/>
    <w:rsid w:val="008A5B32"/>
    <w:rsid w:val="008B2EE4"/>
    <w:rsid w:val="008B4D3D"/>
    <w:rsid w:val="008B57C7"/>
    <w:rsid w:val="008B7AE8"/>
    <w:rsid w:val="008C12E0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D28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6BA0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0AF"/>
    <w:rsid w:val="00B01A9A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0FA"/>
    <w:rsid w:val="00B2417B"/>
    <w:rsid w:val="00B24E6F"/>
    <w:rsid w:val="00B26CB5"/>
    <w:rsid w:val="00B2752E"/>
    <w:rsid w:val="00B307CC"/>
    <w:rsid w:val="00B326B7"/>
    <w:rsid w:val="00B3588E"/>
    <w:rsid w:val="00B41F3D"/>
    <w:rsid w:val="00B421BA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7F4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5B1"/>
    <w:rsid w:val="00C7275E"/>
    <w:rsid w:val="00C74C5D"/>
    <w:rsid w:val="00C863C4"/>
    <w:rsid w:val="00C8746D"/>
    <w:rsid w:val="00C920EA"/>
    <w:rsid w:val="00C93C3E"/>
    <w:rsid w:val="00C94C78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051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0B07"/>
    <w:rsid w:val="00D92F95"/>
    <w:rsid w:val="00D943F8"/>
    <w:rsid w:val="00D95470"/>
    <w:rsid w:val="00D95658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CD4"/>
    <w:rsid w:val="00E261B3"/>
    <w:rsid w:val="00E26818"/>
    <w:rsid w:val="00E27FFC"/>
    <w:rsid w:val="00E30B15"/>
    <w:rsid w:val="00E33237"/>
    <w:rsid w:val="00E36ED5"/>
    <w:rsid w:val="00E40181"/>
    <w:rsid w:val="00E54950"/>
    <w:rsid w:val="00E56363"/>
    <w:rsid w:val="00E56A01"/>
    <w:rsid w:val="00E6061F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1D04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24C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154D"/>
    <w:rsid w:val="00F23236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66A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52F7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3A3A4"/>
  <w15:docId w15:val="{05987ABB-5558-41BD-990A-A1114B9C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table" w:styleId="GridTable4-Accent2">
    <w:name w:val="Grid Table 4 Accent 2"/>
    <w:basedOn w:val="TableNormal"/>
    <w:uiPriority w:val="49"/>
    <w:rsid w:val="005E0C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50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25012A"/>
    <w:rPr>
      <w:i/>
      <w:iCs/>
    </w:rPr>
  </w:style>
  <w:style w:type="paragraph" w:styleId="ListParagraph">
    <w:name w:val="List Paragraph"/>
    <w:basedOn w:val="Normal"/>
    <w:uiPriority w:val="72"/>
    <w:semiHidden/>
    <w:qFormat/>
    <w:rsid w:val="0025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hotuk.org/wp-content/uploads/2025/11/SHOT-Bite-No.15-Hyperhaemolysis-January-2021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hotuk.org/shot-reports/annual-shot-report-2024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oi.org/10.1182/bloodadvances.201900114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2/hematology.2023000499" TargetMode="External"/><Relationship Id="rId20" Type="http://schemas.openxmlformats.org/officeDocument/2006/relationships/hyperlink" Target="https://doi.org/10.1111/trf.179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doi.org/10.1111/bjh.18825" TargetMode="External"/><Relationship Id="rId23" Type="http://schemas.openxmlformats.org/officeDocument/2006/relationships/hyperlink" Target="https://www.health.vic.gov.au/patient-care/blood-matters-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hotuk.org/wp-content/uploads/2025/07/21.-Haemolytic-Transfusion-Reactions-HTR-202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nn.nhs.scot/spah/wp-content/uploads/sites/5/2022/12/NSD610-017.19-Management-of-Hyperhaemolysis-in-patients-with-Sickle-Cell-Disease-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Branding_templates\Updated%20templates%20September%202025\05.%20Blood%20Matters%20DH%20red%20factsheet_updat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achment Document" ma:contentTypeID="0x010100ADB6A493CB944449B507A6E62846B95F00F2A0041703D6FF45A30F0C362BA05595" ma:contentTypeVersion="8" ma:contentTypeDescription="Attachment Document" ma:contentTypeScope="" ma:versionID="472a18ffddc5bab18b38aa86567dc7de">
  <xsd:schema xmlns:xsd="http://www.w3.org/2001/XMLSchema" xmlns:xs="http://www.w3.org/2001/XMLSchema" xmlns:p="http://schemas.microsoft.com/office/2006/metadata/properties" xmlns:ns2="f28b482d-bc24-4068-8020-36fb06b1ef6a" xmlns:ns3="8a15d570-9db8-4fbf-83ad-9cd1e55a733b" targetNamespace="http://schemas.microsoft.com/office/2006/metadata/properties" ma:root="true" ma:fieldsID="732e9b4ca6a43af3520016126fd5166b" ns2:_="" ns3:_="">
    <xsd:import namespace="f28b482d-bc24-4068-8020-36fb06b1ef6a"/>
    <xsd:import namespace="8a15d570-9db8-4fbf-83ad-9cd1e55a733b"/>
    <xsd:element name="properties">
      <xsd:complexType>
        <xsd:sequence>
          <xsd:element name="documentManagement">
            <xsd:complexType>
              <xsd:all>
                <xsd:element ref="ns2:ABCSignatureRequired" minOccurs="0"/>
                <xsd:element ref="ns2:ABCSignatureInstructions" minOccurs="0"/>
                <xsd:element ref="ns2:ABCDocument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b482d-bc24-4068-8020-36fb06b1ef6a" elementFormDefault="qualified">
    <xsd:import namespace="http://schemas.microsoft.com/office/2006/documentManagement/types"/>
    <xsd:import namespace="http://schemas.microsoft.com/office/infopath/2007/PartnerControls"/>
    <xsd:element name="ABCSignatureRequired" ma:index="1" nillable="true" ma:displayName="Signature Required" ma:default="0" ma:internalName="ABCSignatureRequired">
      <xsd:simpleType>
        <xsd:restriction base="dms:Boolean"/>
      </xsd:simpleType>
    </xsd:element>
    <xsd:element name="ABCSignatureInstructions" ma:index="2" nillable="true" ma:displayName="Signature Instructions" ma:internalName="ABCSignatureInstructions">
      <xsd:simpleType>
        <xsd:restriction base="dms:Note">
          <xsd:maxLength value="255"/>
        </xsd:restriction>
      </xsd:simpleType>
    </xsd:element>
    <xsd:element name="ABCDocumentMetadata" ma:index="10" nillable="true" ma:displayName="Document Metadata" ma:internalName="ABCDocumentMetadat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d570-9db8-4fbf-83ad-9cd1e55a73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5d570-9db8-4fbf-83ad-9cd1e55a733b" xsi:nil="true"/>
    <ABCSignatureInstructions xmlns="f28b482d-bc24-4068-8020-36fb06b1ef6a" xsi:nil="true"/>
    <ABCSignatureRequired xmlns="f28b482d-bc24-4068-8020-36fb06b1ef6a">false</ABCSignatureRequired>
    <ABCDocumentMetadata xmlns="f28b482d-bc24-4068-8020-36fb06b1ef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74253-675F-4D9E-AACF-D93A0882C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b482d-bc24-4068-8020-36fb06b1ef6a"/>
    <ds:schemaRef ds:uri="8a15d570-9db8-4fbf-83ad-9cd1e55a7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a15d570-9db8-4fbf-83ad-9cd1e55a733b"/>
    <ds:schemaRef ds:uri="f28b482d-bc24-4068-8020-36fb06b1ef6a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05. Blood Matters DH red factsheet_updated logo.dotx</Template>
  <TotalTime>11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</vt:lpstr>
    </vt:vector>
  </TitlesOfParts>
  <Manager/>
  <Company>Victoria State Government, Department of Health, Blood Matters</Company>
  <LinksUpToDate>false</LinksUpToDate>
  <CharactersWithSpaces>7794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Akers</dc:creator>
  <cp:keywords/>
  <dc:description/>
  <cp:lastModifiedBy>Serge Catson (Health)</cp:lastModifiedBy>
  <cp:revision>5</cp:revision>
  <cp:lastPrinted>2020-03-30T03:28:00Z</cp:lastPrinted>
  <dcterms:created xsi:type="dcterms:W3CDTF">2026-04-28T02:09:00Z</dcterms:created>
  <dcterms:modified xsi:type="dcterms:W3CDTF">2026-05-26T05:24:00Z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0x010100ADB6A493CB944449B507A6E62846B95F00F2A0041703D6FF45A30F0C362BA05595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ABCDecisionCategory">
    <vt:lpwstr/>
  </property>
  <property fmtid="{D5CDD505-2E9C-101B-9397-08002B2CF9AE}" pid="14" name="ABCRequestFrom_0">
    <vt:lpwstr/>
  </property>
  <property fmtid="{D5CDD505-2E9C-101B-9397-08002B2CF9AE}" pid="15" name="ABCAccessCaveats_0">
    <vt:lpwstr/>
  </property>
  <property fmtid="{D5CDD505-2E9C-101B-9397-08002B2CF9AE}" pid="16" name="ABCSecurityClassification">
    <vt:lpwstr/>
  </property>
  <property fmtid="{D5CDD505-2E9C-101B-9397-08002B2CF9AE}" pid="17" name="ABCAdvisoryAgencies">
    <vt:lpwstr/>
  </property>
  <property fmtid="{D5CDD505-2E9C-101B-9397-08002B2CF9AE}" pid="18" name="ABCDecisionCategory_0">
    <vt:lpwstr/>
  </property>
  <property fmtid="{D5CDD505-2E9C-101B-9397-08002B2CF9AE}" pid="19" name="ABCRequestFrom">
    <vt:lpwstr/>
  </property>
  <property fmtid="{D5CDD505-2E9C-101B-9397-08002B2CF9AE}" pid="20" name="ABCCommentAgencies">
    <vt:lpwstr/>
  </property>
  <property fmtid="{D5CDD505-2E9C-101B-9397-08002B2CF9AE}" pid="21" name="ABCRecordFlags_0">
    <vt:lpwstr/>
  </property>
  <property fmtid="{D5CDD505-2E9C-101B-9397-08002B2CF9AE}" pid="22" name="ABCReplyFormat_0">
    <vt:lpwstr/>
  </property>
  <property fmtid="{D5CDD505-2E9C-101B-9397-08002B2CF9AE}" pid="23" name="ABCRecordFlags">
    <vt:lpwstr/>
  </property>
  <property fmtid="{D5CDD505-2E9C-101B-9397-08002B2CF9AE}" pid="24" name="ABCAutoResponseTemplates">
    <vt:lpwstr/>
  </property>
  <property fmtid="{D5CDD505-2E9C-101B-9397-08002B2CF9AE}" pid="25" name="ABCTimeframe">
    <vt:lpwstr/>
  </property>
  <property fmtid="{D5CDD505-2E9C-101B-9397-08002B2CF9AE}" pid="26" name="ABCTimeframe_0">
    <vt:lpwstr/>
  </property>
  <property fmtid="{D5CDD505-2E9C-101B-9397-08002B2CF9AE}" pid="27" name="ABCSecurityClassification_0">
    <vt:lpwstr/>
  </property>
  <property fmtid="{D5CDD505-2E9C-101B-9397-08002B2CF9AE}" pid="28" name="ABCAccessCaveats">
    <vt:lpwstr/>
  </property>
  <property fmtid="{D5CDD505-2E9C-101B-9397-08002B2CF9AE}" pid="29" name="ABCReplyType_0">
    <vt:lpwstr/>
  </property>
  <property fmtid="{D5CDD505-2E9C-101B-9397-08002B2CF9AE}" pid="30" name="ABCAutoResponseTemplates_0">
    <vt:lpwstr/>
  </property>
  <property fmtid="{D5CDD505-2E9C-101B-9397-08002B2CF9AE}" pid="31" name="ABCReplyType">
    <vt:lpwstr/>
  </property>
  <property fmtid="{D5CDD505-2E9C-101B-9397-08002B2CF9AE}" pid="32" name="TaxCatchAll">
    <vt:lpwstr/>
  </property>
  <property fmtid="{D5CDD505-2E9C-101B-9397-08002B2CF9AE}" pid="33" name="ABCCommentAgencies_0">
    <vt:lpwstr/>
  </property>
  <property fmtid="{D5CDD505-2E9C-101B-9397-08002B2CF9AE}" pid="34" name="ABCReplyFormat">
    <vt:lpwstr/>
  </property>
  <property fmtid="{D5CDD505-2E9C-101B-9397-08002B2CF9AE}" pid="35" name="ABCAdvisoryAgencies_0">
    <vt:lpwstr/>
  </property>
</Properties>
</file>