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7003"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78125816" wp14:editId="72CA48B0">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265CF031"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C628854" w14:textId="77777777" w:rsidTr="00B07FF7">
        <w:trPr>
          <w:trHeight w:val="622"/>
        </w:trPr>
        <w:tc>
          <w:tcPr>
            <w:tcW w:w="10348" w:type="dxa"/>
            <w:tcMar>
              <w:top w:w="1531" w:type="dxa"/>
              <w:left w:w="0" w:type="dxa"/>
              <w:right w:w="0" w:type="dxa"/>
            </w:tcMar>
          </w:tcPr>
          <w:p w14:paraId="56775E1E" w14:textId="29B24587" w:rsidR="003B5733" w:rsidRPr="003B5733" w:rsidRDefault="00DB68C8" w:rsidP="003B5733">
            <w:pPr>
              <w:pStyle w:val="Documenttitle"/>
            </w:pPr>
            <w:r>
              <w:t xml:space="preserve">Linkages – </w:t>
            </w:r>
            <w:r w:rsidR="00292AF6">
              <w:t>Freque</w:t>
            </w:r>
            <w:r w:rsidR="00FB59BA">
              <w:t>ntly Asked Questions</w:t>
            </w:r>
          </w:p>
        </w:tc>
      </w:tr>
      <w:tr w:rsidR="003B5733" w14:paraId="59F38A46" w14:textId="77777777" w:rsidTr="00B07FF7">
        <w:tc>
          <w:tcPr>
            <w:tcW w:w="10348" w:type="dxa"/>
          </w:tcPr>
          <w:p w14:paraId="2B14D9C8" w14:textId="140322F8" w:rsidR="003B5733" w:rsidRPr="00A1389F" w:rsidRDefault="00110326">
            <w:pPr>
              <w:pStyle w:val="Documentsubtitle"/>
            </w:pPr>
            <w:r>
              <w:t>Home and Community Care Program for Younger People – Linkages</w:t>
            </w:r>
            <w:r w:rsidR="008E0048">
              <w:t xml:space="preserve"> (</w:t>
            </w:r>
            <w:r w:rsidR="00DB68C8">
              <w:t>May</w:t>
            </w:r>
            <w:r w:rsidR="008E0048">
              <w:t xml:space="preserve"> 2026)</w:t>
            </w:r>
          </w:p>
        </w:tc>
      </w:tr>
      <w:tr w:rsidR="003B5733" w14:paraId="4C47813B" w14:textId="77777777" w:rsidTr="00B07FF7">
        <w:tc>
          <w:tcPr>
            <w:tcW w:w="10348" w:type="dxa"/>
          </w:tcPr>
          <w:p w14:paraId="6F0C773E" w14:textId="77777777" w:rsidR="003B5733" w:rsidRPr="001E5058" w:rsidRDefault="00950C9D" w:rsidP="001E5058">
            <w:pPr>
              <w:pStyle w:val="Bannermarking"/>
            </w:pPr>
            <w:fldSimple w:instr="FILLIN  &quot;Type the protective marking&quot; \d OFFICIAL \o  \* MERGEFORMAT">
              <w:r>
                <w:t>OFFICIAL</w:t>
              </w:r>
            </w:fldSimple>
          </w:p>
        </w:tc>
      </w:tr>
    </w:tbl>
    <w:p w14:paraId="6E358A13" w14:textId="77777777" w:rsidR="00AD784C" w:rsidRPr="00B57329" w:rsidRDefault="00AD784C" w:rsidP="002365B4">
      <w:pPr>
        <w:pStyle w:val="TOCheadingfactsheet"/>
      </w:pPr>
      <w:r w:rsidRPr="00B57329">
        <w:t>Contents</w:t>
      </w:r>
    </w:p>
    <w:p w14:paraId="713920A6" w14:textId="0569E257" w:rsidR="004239A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5416275" w:history="1">
        <w:r w:rsidR="004239AC" w:rsidRPr="003A049E">
          <w:rPr>
            <w:rStyle w:val="Hyperlink"/>
          </w:rPr>
          <w:t>Introduction</w:t>
        </w:r>
        <w:r w:rsidR="004239AC">
          <w:rPr>
            <w:webHidden/>
          </w:rPr>
          <w:tab/>
        </w:r>
        <w:r w:rsidR="004239AC">
          <w:rPr>
            <w:webHidden/>
          </w:rPr>
          <w:fldChar w:fldCharType="begin"/>
        </w:r>
        <w:r w:rsidR="004239AC">
          <w:rPr>
            <w:webHidden/>
          </w:rPr>
          <w:instrText xml:space="preserve"> PAGEREF _Toc225416275 \h </w:instrText>
        </w:r>
        <w:r w:rsidR="004239AC">
          <w:rPr>
            <w:webHidden/>
          </w:rPr>
        </w:r>
        <w:r w:rsidR="004239AC">
          <w:rPr>
            <w:webHidden/>
          </w:rPr>
          <w:fldChar w:fldCharType="separate"/>
        </w:r>
        <w:r w:rsidR="004239AC">
          <w:rPr>
            <w:webHidden/>
          </w:rPr>
          <w:t>1</w:t>
        </w:r>
        <w:r w:rsidR="004239AC">
          <w:rPr>
            <w:webHidden/>
          </w:rPr>
          <w:fldChar w:fldCharType="end"/>
        </w:r>
      </w:hyperlink>
    </w:p>
    <w:p w14:paraId="37A66B14" w14:textId="4F5D1356" w:rsidR="004239AC" w:rsidRDefault="004239AC">
      <w:pPr>
        <w:pStyle w:val="TOC1"/>
        <w:rPr>
          <w:rFonts w:asciiTheme="minorHAnsi" w:eastAsiaTheme="minorEastAsia" w:hAnsiTheme="minorHAnsi" w:cstheme="minorBidi"/>
          <w:b w:val="0"/>
          <w:kern w:val="2"/>
          <w:sz w:val="24"/>
          <w:szCs w:val="24"/>
          <w:lang w:eastAsia="en-AU"/>
          <w14:ligatures w14:val="standardContextual"/>
        </w:rPr>
      </w:pPr>
      <w:hyperlink w:anchor="_Toc225416276" w:history="1">
        <w:r w:rsidRPr="003A049E">
          <w:rPr>
            <w:rStyle w:val="Hyperlink"/>
          </w:rPr>
          <w:t>Frequently asked questions (FAQs)</w:t>
        </w:r>
        <w:r>
          <w:rPr>
            <w:webHidden/>
          </w:rPr>
          <w:tab/>
        </w:r>
        <w:r>
          <w:rPr>
            <w:webHidden/>
          </w:rPr>
          <w:fldChar w:fldCharType="begin"/>
        </w:r>
        <w:r>
          <w:rPr>
            <w:webHidden/>
          </w:rPr>
          <w:instrText xml:space="preserve"> PAGEREF _Toc225416276 \h </w:instrText>
        </w:r>
        <w:r>
          <w:rPr>
            <w:webHidden/>
          </w:rPr>
        </w:r>
        <w:r>
          <w:rPr>
            <w:webHidden/>
          </w:rPr>
          <w:fldChar w:fldCharType="separate"/>
        </w:r>
        <w:r>
          <w:rPr>
            <w:webHidden/>
          </w:rPr>
          <w:t>2</w:t>
        </w:r>
        <w:r>
          <w:rPr>
            <w:webHidden/>
          </w:rPr>
          <w:fldChar w:fldCharType="end"/>
        </w:r>
      </w:hyperlink>
    </w:p>
    <w:p w14:paraId="0666B1F7" w14:textId="78B25563" w:rsidR="004239AC" w:rsidRDefault="004239AC">
      <w:pPr>
        <w:pStyle w:val="TOC2"/>
        <w:rPr>
          <w:rFonts w:asciiTheme="minorHAnsi" w:eastAsiaTheme="minorEastAsia" w:hAnsiTheme="minorHAnsi" w:cstheme="minorBidi"/>
          <w:kern w:val="2"/>
          <w:sz w:val="24"/>
          <w:szCs w:val="24"/>
          <w:lang w:eastAsia="en-AU"/>
          <w14:ligatures w14:val="standardContextual"/>
        </w:rPr>
      </w:pPr>
      <w:hyperlink w:anchor="_Toc225416277" w:history="1">
        <w:r w:rsidRPr="003A049E">
          <w:rPr>
            <w:rStyle w:val="Hyperlink"/>
          </w:rPr>
          <w:t>General</w:t>
        </w:r>
        <w:r>
          <w:rPr>
            <w:webHidden/>
          </w:rPr>
          <w:tab/>
        </w:r>
        <w:r>
          <w:rPr>
            <w:webHidden/>
          </w:rPr>
          <w:fldChar w:fldCharType="begin"/>
        </w:r>
        <w:r>
          <w:rPr>
            <w:webHidden/>
          </w:rPr>
          <w:instrText xml:space="preserve"> PAGEREF _Toc225416277 \h </w:instrText>
        </w:r>
        <w:r>
          <w:rPr>
            <w:webHidden/>
          </w:rPr>
        </w:r>
        <w:r>
          <w:rPr>
            <w:webHidden/>
          </w:rPr>
          <w:fldChar w:fldCharType="separate"/>
        </w:r>
        <w:r>
          <w:rPr>
            <w:webHidden/>
          </w:rPr>
          <w:t>2</w:t>
        </w:r>
        <w:r>
          <w:rPr>
            <w:webHidden/>
          </w:rPr>
          <w:fldChar w:fldCharType="end"/>
        </w:r>
      </w:hyperlink>
    </w:p>
    <w:p w14:paraId="2CC60016" w14:textId="6A166844" w:rsidR="004239AC" w:rsidRDefault="004239AC">
      <w:pPr>
        <w:pStyle w:val="TOC2"/>
        <w:rPr>
          <w:rFonts w:asciiTheme="minorHAnsi" w:eastAsiaTheme="minorEastAsia" w:hAnsiTheme="minorHAnsi" w:cstheme="minorBidi"/>
          <w:kern w:val="2"/>
          <w:sz w:val="24"/>
          <w:szCs w:val="24"/>
          <w:lang w:eastAsia="en-AU"/>
          <w14:ligatures w14:val="standardContextual"/>
        </w:rPr>
      </w:pPr>
      <w:hyperlink w:anchor="_Toc225416278" w:history="1">
        <w:r w:rsidRPr="003A049E">
          <w:rPr>
            <w:rStyle w:val="Hyperlink"/>
          </w:rPr>
          <w:t>Brokerage funding</w:t>
        </w:r>
        <w:r>
          <w:rPr>
            <w:webHidden/>
          </w:rPr>
          <w:tab/>
        </w:r>
        <w:r>
          <w:rPr>
            <w:webHidden/>
          </w:rPr>
          <w:fldChar w:fldCharType="begin"/>
        </w:r>
        <w:r>
          <w:rPr>
            <w:webHidden/>
          </w:rPr>
          <w:instrText xml:space="preserve"> PAGEREF _Toc225416278 \h </w:instrText>
        </w:r>
        <w:r>
          <w:rPr>
            <w:webHidden/>
          </w:rPr>
        </w:r>
        <w:r>
          <w:rPr>
            <w:webHidden/>
          </w:rPr>
          <w:fldChar w:fldCharType="separate"/>
        </w:r>
        <w:r>
          <w:rPr>
            <w:webHidden/>
          </w:rPr>
          <w:t>3</w:t>
        </w:r>
        <w:r>
          <w:rPr>
            <w:webHidden/>
          </w:rPr>
          <w:fldChar w:fldCharType="end"/>
        </w:r>
      </w:hyperlink>
    </w:p>
    <w:p w14:paraId="42FE1E0A" w14:textId="51F92F81" w:rsidR="004239AC" w:rsidRDefault="004239AC">
      <w:pPr>
        <w:pStyle w:val="TOC2"/>
        <w:rPr>
          <w:rFonts w:asciiTheme="minorHAnsi" w:eastAsiaTheme="minorEastAsia" w:hAnsiTheme="minorHAnsi" w:cstheme="minorBidi"/>
          <w:kern w:val="2"/>
          <w:sz w:val="24"/>
          <w:szCs w:val="24"/>
          <w:lang w:eastAsia="en-AU"/>
          <w14:ligatures w14:val="standardContextual"/>
        </w:rPr>
      </w:pPr>
      <w:hyperlink w:anchor="_Toc225416279" w:history="1">
        <w:r w:rsidRPr="003A049E">
          <w:rPr>
            <w:rStyle w:val="Hyperlink"/>
          </w:rPr>
          <w:t>Transition and exit from services</w:t>
        </w:r>
        <w:r>
          <w:rPr>
            <w:webHidden/>
          </w:rPr>
          <w:tab/>
        </w:r>
        <w:r>
          <w:rPr>
            <w:webHidden/>
          </w:rPr>
          <w:fldChar w:fldCharType="begin"/>
        </w:r>
        <w:r>
          <w:rPr>
            <w:webHidden/>
          </w:rPr>
          <w:instrText xml:space="preserve"> PAGEREF _Toc225416279 \h </w:instrText>
        </w:r>
        <w:r>
          <w:rPr>
            <w:webHidden/>
          </w:rPr>
        </w:r>
        <w:r>
          <w:rPr>
            <w:webHidden/>
          </w:rPr>
          <w:fldChar w:fldCharType="separate"/>
        </w:r>
        <w:r>
          <w:rPr>
            <w:webHidden/>
          </w:rPr>
          <w:t>4</w:t>
        </w:r>
        <w:r>
          <w:rPr>
            <w:webHidden/>
          </w:rPr>
          <w:fldChar w:fldCharType="end"/>
        </w:r>
      </w:hyperlink>
    </w:p>
    <w:p w14:paraId="29D33B81" w14:textId="23A35571" w:rsidR="004239AC" w:rsidRDefault="004239AC">
      <w:pPr>
        <w:pStyle w:val="TOC2"/>
        <w:rPr>
          <w:rFonts w:asciiTheme="minorHAnsi" w:eastAsiaTheme="minorEastAsia" w:hAnsiTheme="minorHAnsi" w:cstheme="minorBidi"/>
          <w:kern w:val="2"/>
          <w:sz w:val="24"/>
          <w:szCs w:val="24"/>
          <w:lang w:eastAsia="en-AU"/>
          <w14:ligatures w14:val="standardContextual"/>
        </w:rPr>
      </w:pPr>
      <w:hyperlink w:anchor="_Toc225416280" w:history="1">
        <w:r w:rsidRPr="003A049E">
          <w:rPr>
            <w:rStyle w:val="Hyperlink"/>
          </w:rPr>
          <w:t>Performance and reporting</w:t>
        </w:r>
        <w:r>
          <w:rPr>
            <w:webHidden/>
          </w:rPr>
          <w:tab/>
        </w:r>
        <w:r>
          <w:rPr>
            <w:webHidden/>
          </w:rPr>
          <w:fldChar w:fldCharType="begin"/>
        </w:r>
        <w:r>
          <w:rPr>
            <w:webHidden/>
          </w:rPr>
          <w:instrText xml:space="preserve"> PAGEREF _Toc225416280 \h </w:instrText>
        </w:r>
        <w:r>
          <w:rPr>
            <w:webHidden/>
          </w:rPr>
        </w:r>
        <w:r>
          <w:rPr>
            <w:webHidden/>
          </w:rPr>
          <w:fldChar w:fldCharType="separate"/>
        </w:r>
        <w:r>
          <w:rPr>
            <w:webHidden/>
          </w:rPr>
          <w:t>4</w:t>
        </w:r>
        <w:r>
          <w:rPr>
            <w:webHidden/>
          </w:rPr>
          <w:fldChar w:fldCharType="end"/>
        </w:r>
      </w:hyperlink>
    </w:p>
    <w:p w14:paraId="699B2544" w14:textId="279E7D7C" w:rsidR="00580394" w:rsidRPr="00B519CD" w:rsidRDefault="00AD784C"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r>
        <w:fldChar w:fldCharType="end"/>
      </w:r>
    </w:p>
    <w:p w14:paraId="746D0187" w14:textId="4A3F7E8E" w:rsidR="00200176" w:rsidRDefault="002E5853" w:rsidP="002E5853">
      <w:pPr>
        <w:pStyle w:val="Heading1"/>
      </w:pPr>
      <w:bookmarkStart w:id="0" w:name="_Toc225416275"/>
      <w:r>
        <w:t>Introduction</w:t>
      </w:r>
      <w:bookmarkEnd w:id="0"/>
    </w:p>
    <w:p w14:paraId="33E4A24F" w14:textId="42EBDAC6" w:rsidR="002E5853" w:rsidRDefault="004A79A1" w:rsidP="002E5853">
      <w:pPr>
        <w:pStyle w:val="Body"/>
      </w:pPr>
      <w:r w:rsidRPr="004A79A1">
        <w:t>These frequently asked questions (FAQs) have been developed in response to questions from Home and Community Care Program for Younger People (HACC PYP) consumers and service providers, as well as a recent Department of Health (department) review of Linkages providers’ brokerage funding expenditure.</w:t>
      </w:r>
    </w:p>
    <w:p w14:paraId="74727663" w14:textId="77777777" w:rsidR="00E20E21" w:rsidRDefault="00E20E21" w:rsidP="00E20E21">
      <w:pPr>
        <w:pStyle w:val="Body"/>
      </w:pPr>
      <w:r>
        <w:t>This document should be read in conjunction with:</w:t>
      </w:r>
    </w:p>
    <w:p w14:paraId="6634ACD2" w14:textId="30407911" w:rsidR="00E20E21" w:rsidRDefault="00E20E21" w:rsidP="00E20E21">
      <w:pPr>
        <w:pStyle w:val="Body"/>
        <w:numPr>
          <w:ilvl w:val="0"/>
          <w:numId w:val="40"/>
        </w:numPr>
      </w:pPr>
      <w:r>
        <w:t>HACC PYP Linkages Guidance (</w:t>
      </w:r>
      <w:r w:rsidR="00537966">
        <w:t xml:space="preserve">May </w:t>
      </w:r>
      <w:r>
        <w:t>2026)</w:t>
      </w:r>
      <w:r w:rsidR="00AE6CF3">
        <w:t xml:space="preserve"> </w:t>
      </w:r>
      <w:r w:rsidR="009264B6">
        <w:t xml:space="preserve">available at </w:t>
      </w:r>
      <w:hyperlink r:id="rId16" w:history="1">
        <w:r w:rsidR="009264B6" w:rsidRPr="00D1408D">
          <w:rPr>
            <w:rStyle w:val="Hyperlink"/>
          </w:rPr>
          <w:t>HACC Program for Younger People</w:t>
        </w:r>
      </w:hyperlink>
      <w:r w:rsidR="009264B6">
        <w:t xml:space="preserve"> </w:t>
      </w:r>
      <w:r w:rsidR="009264B6" w:rsidRPr="0043611E">
        <w:rPr>
          <w:rFonts w:ascii="Segoe UI" w:hAnsi="Segoe UI" w:cs="Segoe UI"/>
          <w:szCs w:val="21"/>
          <w:lang w:eastAsia="en-AU"/>
        </w:rPr>
        <w:t xml:space="preserve"> </w:t>
      </w:r>
      <w:r w:rsidR="009264B6">
        <w:rPr>
          <w:rFonts w:ascii="Segoe UI" w:hAnsi="Segoe UI" w:cs="Segoe UI"/>
          <w:szCs w:val="21"/>
          <w:lang w:eastAsia="en-AU"/>
        </w:rPr>
        <w:t>&lt;</w:t>
      </w:r>
      <w:r w:rsidR="009264B6" w:rsidRPr="0043611E">
        <w:t>http://www.health.vic.gov.au/home-and-community-care/hacc-program-for-younger-people</w:t>
      </w:r>
      <w:r w:rsidR="009264B6">
        <w:t>&gt;.</w:t>
      </w:r>
    </w:p>
    <w:p w14:paraId="0DD6F40C" w14:textId="3231FE8F" w:rsidR="00E20E21" w:rsidRPr="009A2DC9" w:rsidRDefault="00E20E21" w:rsidP="00E20E21">
      <w:pPr>
        <w:pStyle w:val="Body"/>
        <w:numPr>
          <w:ilvl w:val="0"/>
          <w:numId w:val="40"/>
        </w:numPr>
      </w:pPr>
      <w:r w:rsidRPr="009A2DC9">
        <w:t>HACC PYP Interim Guidelines (2023)</w:t>
      </w:r>
      <w:r w:rsidR="008C553C">
        <w:t xml:space="preserve">, available at </w:t>
      </w:r>
      <w:hyperlink r:id="rId17" w:history="1">
        <w:r w:rsidR="00D1408D" w:rsidRPr="00D1408D">
          <w:rPr>
            <w:rStyle w:val="Hyperlink"/>
          </w:rPr>
          <w:t>HACC Program for Younger People</w:t>
        </w:r>
      </w:hyperlink>
      <w:r w:rsidR="0043611E">
        <w:t xml:space="preserve"> </w:t>
      </w:r>
      <w:r w:rsidR="0043611E" w:rsidRPr="0043611E">
        <w:rPr>
          <w:rFonts w:ascii="Segoe UI" w:hAnsi="Segoe UI" w:cs="Segoe UI"/>
          <w:szCs w:val="21"/>
          <w:lang w:eastAsia="en-AU"/>
        </w:rPr>
        <w:t xml:space="preserve"> </w:t>
      </w:r>
      <w:r w:rsidR="0043611E">
        <w:rPr>
          <w:rFonts w:ascii="Segoe UI" w:hAnsi="Segoe UI" w:cs="Segoe UI"/>
          <w:szCs w:val="21"/>
          <w:lang w:eastAsia="en-AU"/>
        </w:rPr>
        <w:t>&lt;</w:t>
      </w:r>
      <w:r w:rsidR="0043611E" w:rsidRPr="0043611E">
        <w:t>http://www.health.vic.gov.au/home-and-community-care/hacc-program-for-younger-people</w:t>
      </w:r>
      <w:r w:rsidR="0043611E">
        <w:t>&gt;</w:t>
      </w:r>
      <w:r w:rsidR="009264B6">
        <w:t>.</w:t>
      </w:r>
    </w:p>
    <w:p w14:paraId="0A5D183A" w14:textId="77777777" w:rsidR="00E20E21" w:rsidRDefault="00E20E21" w:rsidP="00E20E21">
      <w:pPr>
        <w:pStyle w:val="Body"/>
        <w:numPr>
          <w:ilvl w:val="0"/>
          <w:numId w:val="40"/>
        </w:numPr>
      </w:pPr>
      <w:r>
        <w:t>Activity Description for HACC PYP</w:t>
      </w:r>
      <w:r w:rsidRPr="0011363C">
        <w:t xml:space="preserve"> </w:t>
      </w:r>
      <w:r>
        <w:t>-</w:t>
      </w:r>
      <w:r w:rsidRPr="0011363C">
        <w:t xml:space="preserve"> Linkages Packages 13015</w:t>
      </w:r>
      <w:r>
        <w:t xml:space="preserve">, available for search and download at </w:t>
      </w:r>
      <w:hyperlink r:id="rId18" w:history="1">
        <w:r w:rsidRPr="00F51A3B">
          <w:rPr>
            <w:rStyle w:val="Hyperlink"/>
          </w:rPr>
          <w:t>Department of Families, Fairness and Housing and Department of Health activity search - DFFH Service Providers</w:t>
        </w:r>
      </w:hyperlink>
      <w:r>
        <w:t xml:space="preserve"> &lt;</w:t>
      </w:r>
      <w:r w:rsidRPr="001D01B0">
        <w:t>https://providers.dffh.vic.gov.au/families-fairness-housing-health-activity-search</w:t>
      </w:r>
      <w:r>
        <w:t>&gt;.</w:t>
      </w:r>
    </w:p>
    <w:p w14:paraId="44D7EA8C" w14:textId="15028CD7" w:rsidR="00BF7871" w:rsidRDefault="00BF7871" w:rsidP="00BF7871">
      <w:pPr>
        <w:pStyle w:val="Body"/>
      </w:pPr>
      <w:r>
        <w:t xml:space="preserve">These FAQs support service providers to deliver </w:t>
      </w:r>
      <w:r w:rsidR="001E4BE5">
        <w:t>Linkages</w:t>
      </w:r>
      <w:r>
        <w:t xml:space="preserve"> in line with departmental requirements, while also clarifying common questions on eligibility, access, and case management</w:t>
      </w:r>
      <w:r w:rsidR="001E4BE5">
        <w:t xml:space="preserve"> for both providers and consumers.</w:t>
      </w:r>
    </w:p>
    <w:p w14:paraId="46C6A631" w14:textId="618C168F" w:rsidR="004A79A1" w:rsidRDefault="00BF7871" w:rsidP="00BF7871">
      <w:pPr>
        <w:pStyle w:val="Body"/>
      </w:pPr>
      <w:r>
        <w:t xml:space="preserve">The information reflects current program guidelines and aims to ensure consistent, equitable service delivery across Victoria. For detailed requirements, refer to the </w:t>
      </w:r>
      <w:r w:rsidRPr="00BF7871">
        <w:rPr>
          <w:b/>
          <w:bCs/>
        </w:rPr>
        <w:t>HACC PYP Linkages Guidance (</w:t>
      </w:r>
      <w:r w:rsidR="00567A3D">
        <w:rPr>
          <w:b/>
          <w:bCs/>
        </w:rPr>
        <w:t>May</w:t>
      </w:r>
      <w:r w:rsidRPr="00BF7871">
        <w:rPr>
          <w:b/>
          <w:bCs/>
        </w:rPr>
        <w:t xml:space="preserve"> 2026)</w:t>
      </w:r>
      <w:r>
        <w:t xml:space="preserve"> and </w:t>
      </w:r>
      <w:r w:rsidRPr="00BF7871">
        <w:rPr>
          <w:b/>
          <w:bCs/>
        </w:rPr>
        <w:t>HACC PYP Interim Guidelines (2023)</w:t>
      </w:r>
      <w:r>
        <w:t>.</w:t>
      </w:r>
    </w:p>
    <w:p w14:paraId="1B0115CA" w14:textId="69FC3D3A" w:rsidR="00BF7871" w:rsidRDefault="006B7133" w:rsidP="00BF7871">
      <w:pPr>
        <w:pStyle w:val="Body"/>
      </w:pPr>
      <w:r w:rsidRPr="006B7133">
        <w:t xml:space="preserve">If the information you are looking for is not answered in this or the documents referenced above, please email your query to </w:t>
      </w:r>
      <w:hyperlink r:id="rId19" w:history="1">
        <w:r w:rsidRPr="0077056F">
          <w:rPr>
            <w:rStyle w:val="Hyperlink"/>
          </w:rPr>
          <w:t>hacc-pyp@health.vic.gov.au</w:t>
        </w:r>
      </w:hyperlink>
      <w:r w:rsidRPr="006B7133">
        <w:t>.</w:t>
      </w:r>
    </w:p>
    <w:p w14:paraId="2CAA46A8" w14:textId="2F14667E" w:rsidR="006B7133" w:rsidRDefault="006B7133" w:rsidP="006B7133">
      <w:pPr>
        <w:pStyle w:val="Heading1"/>
      </w:pPr>
      <w:bookmarkStart w:id="1" w:name="_Toc225416276"/>
      <w:r>
        <w:lastRenderedPageBreak/>
        <w:t>Frequently asked questions (FAQs)</w:t>
      </w:r>
      <w:bookmarkEnd w:id="1"/>
    </w:p>
    <w:p w14:paraId="4BB3DE39" w14:textId="178216BB" w:rsidR="006B7133" w:rsidRDefault="006B7133" w:rsidP="006B7133">
      <w:pPr>
        <w:pStyle w:val="Heading2"/>
      </w:pPr>
      <w:bookmarkStart w:id="2" w:name="_Toc225416277"/>
      <w:r>
        <w:t>General</w:t>
      </w:r>
      <w:bookmarkEnd w:id="2"/>
    </w:p>
    <w:p w14:paraId="717F1D9E" w14:textId="480D1F49" w:rsidR="006B7133" w:rsidRDefault="006B7133" w:rsidP="007315ED">
      <w:pPr>
        <w:pStyle w:val="Heading3"/>
      </w:pPr>
      <w:r>
        <w:t>Is the Victorian Government making changes to HACC PYP Linkages?</w:t>
      </w:r>
    </w:p>
    <w:p w14:paraId="517A2937" w14:textId="26735068" w:rsidR="00FF6D4C" w:rsidRPr="00FF6D4C" w:rsidRDefault="00470F04" w:rsidP="00FF6D4C">
      <w:pPr>
        <w:pStyle w:val="Body"/>
      </w:pPr>
      <w:r w:rsidRPr="00470F04">
        <w:t xml:space="preserve">No. </w:t>
      </w:r>
      <w:r w:rsidR="001342A4">
        <w:t>The Victorian Government is not making any changes to the operation or policy intent of HACC</w:t>
      </w:r>
      <w:r w:rsidR="003C642B">
        <w:t xml:space="preserve"> PYP Linkages. </w:t>
      </w:r>
      <w:r w:rsidRPr="00470F04">
        <w:t xml:space="preserve">Linkages Case Management and Linkages </w:t>
      </w:r>
      <w:r w:rsidR="003D5650">
        <w:t>(B</w:t>
      </w:r>
      <w:r w:rsidRPr="00470F04">
        <w:t>rokerage</w:t>
      </w:r>
      <w:r w:rsidR="003D5650">
        <w:t>)</w:t>
      </w:r>
      <w:r w:rsidRPr="00470F04">
        <w:t xml:space="preserve"> funding</w:t>
      </w:r>
      <w:r w:rsidR="004239AC">
        <w:t xml:space="preserve"> will</w:t>
      </w:r>
      <w:r w:rsidRPr="00470F04">
        <w:t xml:space="preserve"> continue to operate </w:t>
      </w:r>
      <w:r w:rsidR="00C006C4">
        <w:t xml:space="preserve">as established, with the same purpose, scope and responsibilities. </w:t>
      </w:r>
      <w:r w:rsidR="00D11C4B">
        <w:t xml:space="preserve">The </w:t>
      </w:r>
      <w:r w:rsidRPr="00470F04">
        <w:t xml:space="preserve">existing guidelines and the </w:t>
      </w:r>
      <w:r w:rsidR="00896EA4">
        <w:t xml:space="preserve">recently issued </w:t>
      </w:r>
      <w:r w:rsidRPr="00470F04">
        <w:t>Linkages Guidance (</w:t>
      </w:r>
      <w:r w:rsidR="00FB6423">
        <w:t>May</w:t>
      </w:r>
      <w:r w:rsidR="0059039B">
        <w:t xml:space="preserve"> 2026</w:t>
      </w:r>
      <w:r w:rsidRPr="00470F04">
        <w:t xml:space="preserve">), provide additional details </w:t>
      </w:r>
      <w:r w:rsidR="00513822">
        <w:t>that are</w:t>
      </w:r>
      <w:r w:rsidRPr="00470F04">
        <w:t xml:space="preserve"> consistent with the HACC PYP Interim Guidelines (2023).</w:t>
      </w:r>
      <w:r w:rsidR="001547E2">
        <w:t xml:space="preserve"> </w:t>
      </w:r>
      <w:r w:rsidR="0059039B">
        <w:t>Details</w:t>
      </w:r>
      <w:r w:rsidR="007E1AB3">
        <w:t xml:space="preserve"> provi</w:t>
      </w:r>
      <w:r w:rsidR="0059039B">
        <w:t xml:space="preserve">ded in the Linkages Guidance and </w:t>
      </w:r>
      <w:r w:rsidR="00204DA4">
        <w:t xml:space="preserve">in this FAQ are </w:t>
      </w:r>
      <w:r w:rsidR="001547E2">
        <w:t xml:space="preserve">also consistent with the previous </w:t>
      </w:r>
      <w:r w:rsidR="001547E2" w:rsidRPr="001547E2">
        <w:t xml:space="preserve">Victorian Home and Community Care </w:t>
      </w:r>
      <w:r w:rsidR="0059039B">
        <w:t>P</w:t>
      </w:r>
      <w:r w:rsidR="001547E2" w:rsidRPr="001547E2">
        <w:t xml:space="preserve">rogram manual </w:t>
      </w:r>
      <w:r w:rsidR="001547E2">
        <w:t>(</w:t>
      </w:r>
      <w:r w:rsidR="001547E2" w:rsidRPr="001547E2">
        <w:t>2013</w:t>
      </w:r>
      <w:r w:rsidR="0031094A">
        <w:t>)</w:t>
      </w:r>
      <w:r w:rsidR="0059039B">
        <w:t>.</w:t>
      </w:r>
    </w:p>
    <w:p w14:paraId="5C1C88EA" w14:textId="71712518" w:rsidR="006B7133" w:rsidRPr="007315ED" w:rsidRDefault="00646031" w:rsidP="007315ED">
      <w:pPr>
        <w:pStyle w:val="Heading3"/>
      </w:pPr>
      <w:r w:rsidRPr="007315ED">
        <w:t>What is Linkages and how do I/a consumer in my care access it?</w:t>
      </w:r>
    </w:p>
    <w:p w14:paraId="32D9ACFA" w14:textId="77777777" w:rsidR="00916D66" w:rsidRDefault="00916D66" w:rsidP="00916D66">
      <w:pPr>
        <w:pStyle w:val="Body"/>
      </w:pPr>
      <w:r>
        <w:t>A consumer who meets the HACC PYP eligibility criteria, requires case management, and has complex needs which cannot be fully met by the usual level of HACC PYP services may be eligible to access Linkages.</w:t>
      </w:r>
    </w:p>
    <w:p w14:paraId="71B7040F" w14:textId="63CDB55B" w:rsidR="00916D66" w:rsidRDefault="00916D66" w:rsidP="00916D66">
      <w:pPr>
        <w:pStyle w:val="Body"/>
      </w:pPr>
      <w:r>
        <w:t>HACC PYP Linkages aims to:</w:t>
      </w:r>
    </w:p>
    <w:p w14:paraId="15003A06" w14:textId="34BDE9F4" w:rsidR="00D940D6" w:rsidRDefault="00D940D6" w:rsidP="00D940D6">
      <w:pPr>
        <w:pStyle w:val="Bullet1"/>
      </w:pPr>
      <w:r>
        <w:t>Provide individually tailored case management to consumers who have more complex support needs than can be met through a standard HACC PYP service.</w:t>
      </w:r>
    </w:p>
    <w:p w14:paraId="30126681" w14:textId="4E08510E" w:rsidR="00FF45C1" w:rsidRDefault="00FF45C1" w:rsidP="003764C8">
      <w:pPr>
        <w:pStyle w:val="Bullet1"/>
      </w:pPr>
      <w:r>
        <w:t xml:space="preserve">Improve and maintain the consumer’s independence and capacity to live safely at home and participate in </w:t>
      </w:r>
      <w:r w:rsidR="005865C3">
        <w:t xml:space="preserve">the </w:t>
      </w:r>
      <w:r>
        <w:t>community.</w:t>
      </w:r>
    </w:p>
    <w:p w14:paraId="4CF342B2" w14:textId="1859BE9A" w:rsidR="00FF45C1" w:rsidRDefault="00FF45C1" w:rsidP="00471C87">
      <w:pPr>
        <w:pStyle w:val="Bullet1"/>
        <w:spacing w:before="120" w:after="120"/>
      </w:pPr>
      <w:r>
        <w:t xml:space="preserve">Strengthen the capacity of the consumer’s carer to maintain their care role. </w:t>
      </w:r>
    </w:p>
    <w:p w14:paraId="65871C8F" w14:textId="77777777" w:rsidR="00E010CE" w:rsidRDefault="003764C8" w:rsidP="00471C87">
      <w:pPr>
        <w:pStyle w:val="Body"/>
        <w:spacing w:before="120"/>
      </w:pPr>
      <w:r w:rsidRPr="003764C8">
        <w:t xml:space="preserve">Linkages providers may have access to brokerage funding to purchase additional hours and/or a greater range of services than would otherwise be available to the consumer. </w:t>
      </w:r>
    </w:p>
    <w:p w14:paraId="1D3FBBF9" w14:textId="228C5825" w:rsidR="00E010CE" w:rsidRDefault="00695017" w:rsidP="00FF45C1">
      <w:pPr>
        <w:pStyle w:val="Body"/>
      </w:pPr>
      <w:r>
        <w:t>Brokerage</w:t>
      </w:r>
      <w:r w:rsidR="003764C8" w:rsidRPr="003764C8">
        <w:t xml:space="preserve"> funding should be used to</w:t>
      </w:r>
      <w:r w:rsidR="00E010CE">
        <w:t>:</w:t>
      </w:r>
    </w:p>
    <w:p w14:paraId="2F0F2928" w14:textId="05001D05" w:rsidR="00E010CE" w:rsidRDefault="00695017" w:rsidP="00E010CE">
      <w:pPr>
        <w:pStyle w:val="Body"/>
        <w:numPr>
          <w:ilvl w:val="0"/>
          <w:numId w:val="42"/>
        </w:numPr>
      </w:pPr>
      <w:r>
        <w:t>D</w:t>
      </w:r>
      <w:r w:rsidR="003764C8" w:rsidRPr="003764C8">
        <w:t>eliver case management</w:t>
      </w:r>
      <w:r>
        <w:t>.</w:t>
      </w:r>
    </w:p>
    <w:p w14:paraId="75D99A63" w14:textId="7065E955" w:rsidR="00471C87" w:rsidRDefault="00695017" w:rsidP="00E010CE">
      <w:pPr>
        <w:pStyle w:val="Body"/>
        <w:numPr>
          <w:ilvl w:val="0"/>
          <w:numId w:val="42"/>
        </w:numPr>
      </w:pPr>
      <w:r>
        <w:t>E</w:t>
      </w:r>
      <w:r w:rsidR="003764C8" w:rsidRPr="003764C8">
        <w:t>mploy staff or deliver additional staff hours</w:t>
      </w:r>
      <w:r>
        <w:t>.</w:t>
      </w:r>
    </w:p>
    <w:p w14:paraId="685408A5" w14:textId="10B55BA4" w:rsidR="00471C87" w:rsidRDefault="00695017" w:rsidP="00E010CE">
      <w:pPr>
        <w:pStyle w:val="Body"/>
        <w:numPr>
          <w:ilvl w:val="0"/>
          <w:numId w:val="42"/>
        </w:numPr>
      </w:pPr>
      <w:r>
        <w:t>P</w:t>
      </w:r>
      <w:r w:rsidR="003764C8" w:rsidRPr="003764C8">
        <w:t>urchase or subcontract other HACC PYP services</w:t>
      </w:r>
      <w:r>
        <w:t xml:space="preserve"> at or below the HACC PYP unit price for those services.</w:t>
      </w:r>
    </w:p>
    <w:p w14:paraId="3100694B" w14:textId="18895C80" w:rsidR="00FF45C1" w:rsidRPr="00916D66" w:rsidRDefault="00695017" w:rsidP="00471C87">
      <w:pPr>
        <w:pStyle w:val="Body"/>
        <w:numPr>
          <w:ilvl w:val="0"/>
          <w:numId w:val="42"/>
        </w:numPr>
      </w:pPr>
      <w:r>
        <w:t>B</w:t>
      </w:r>
      <w:r w:rsidR="003764C8" w:rsidRPr="003764C8">
        <w:t>uy equipment that is not available through other Commonwealth- or State-funded programs</w:t>
      </w:r>
      <w:r>
        <w:t>.</w:t>
      </w:r>
    </w:p>
    <w:p w14:paraId="08E93AA6" w14:textId="6F233F46" w:rsidR="00595CCD" w:rsidRDefault="00595CCD" w:rsidP="007315ED">
      <w:pPr>
        <w:pStyle w:val="Heading3"/>
      </w:pPr>
      <w:r w:rsidRPr="00595CCD">
        <w:t>Who is eligible for HACC PYP Linkages?</w:t>
      </w:r>
    </w:p>
    <w:p w14:paraId="6006FC55" w14:textId="42EA6C6E" w:rsidR="00D44FA1" w:rsidRDefault="0005209C" w:rsidP="00F94AD2">
      <w:pPr>
        <w:pStyle w:val="Body"/>
      </w:pPr>
      <w:r>
        <w:t>Eligible c</w:t>
      </w:r>
      <w:r w:rsidRPr="00F94AD2">
        <w:t xml:space="preserve">onsumers </w:t>
      </w:r>
      <w:r>
        <w:t xml:space="preserve">are those who meet </w:t>
      </w:r>
      <w:r w:rsidR="00F94AD2" w:rsidRPr="00F94AD2">
        <w:t>HACC PYP</w:t>
      </w:r>
      <w:r>
        <w:t xml:space="preserve"> eligibility criteria</w:t>
      </w:r>
      <w:r w:rsidR="00F94AD2" w:rsidRPr="00F94AD2">
        <w:t>, have complex support needs that require case management, and already receive standard HACC PYP services. Eligibility is determined by the HACC PYP Assessment provider in the consumer’s Local Government Area (LGA).</w:t>
      </w:r>
    </w:p>
    <w:p w14:paraId="52564395" w14:textId="0395DA2C" w:rsidR="00A81357" w:rsidRDefault="00A81357" w:rsidP="007315ED">
      <w:pPr>
        <w:pStyle w:val="Heading3"/>
      </w:pPr>
      <w:r w:rsidRPr="00A81357">
        <w:t>Do all HACC PYP consumers with complex needs require Linkages?</w:t>
      </w:r>
    </w:p>
    <w:p w14:paraId="5D14566E" w14:textId="5697805D" w:rsidR="00F94AD2" w:rsidRDefault="005B068B" w:rsidP="00F94AD2">
      <w:pPr>
        <w:pStyle w:val="Body"/>
      </w:pPr>
      <w:r w:rsidRPr="005B068B">
        <w:t>No. Linkages is for consumers who require case management and additional supports beyond usual HACC PYP service levels.</w:t>
      </w:r>
    </w:p>
    <w:p w14:paraId="72739D34" w14:textId="7C2B5999" w:rsidR="0027780A" w:rsidRDefault="0027780A" w:rsidP="007315ED">
      <w:pPr>
        <w:pStyle w:val="Heading3"/>
      </w:pPr>
      <w:r w:rsidRPr="0027780A">
        <w:t>How is access to Linkages initiated?</w:t>
      </w:r>
    </w:p>
    <w:p w14:paraId="1F2AB327" w14:textId="057FC7B4" w:rsidR="008C476A" w:rsidRPr="008C476A" w:rsidRDefault="008C476A" w:rsidP="008C476A">
      <w:pPr>
        <w:pStyle w:val="Body"/>
      </w:pPr>
      <w:r w:rsidRPr="008C476A">
        <w:t>Referral and access are coordinated through the local HACC PYP Assessment provider. A warm handover should be made to relevant providers to ensure networked supports.</w:t>
      </w:r>
    </w:p>
    <w:p w14:paraId="036E6AEA" w14:textId="4DF594D8" w:rsidR="00170567" w:rsidRDefault="00170567" w:rsidP="007315ED">
      <w:pPr>
        <w:pStyle w:val="Heading3"/>
      </w:pPr>
      <w:r w:rsidRPr="00170567">
        <w:lastRenderedPageBreak/>
        <w:t xml:space="preserve">What does Linkages </w:t>
      </w:r>
      <w:r w:rsidR="00854AB3">
        <w:t>C</w:t>
      </w:r>
      <w:r w:rsidRPr="00170567">
        <w:t xml:space="preserve">ase </w:t>
      </w:r>
      <w:r w:rsidR="00854AB3">
        <w:t>M</w:t>
      </w:r>
      <w:r w:rsidRPr="00170567">
        <w:t>anagement include?</w:t>
      </w:r>
    </w:p>
    <w:p w14:paraId="4F392256" w14:textId="768DEDAE" w:rsidR="00E0243B" w:rsidRPr="00661846" w:rsidRDefault="00854AB3" w:rsidP="00E0243B">
      <w:pPr>
        <w:rPr>
          <w:rFonts w:cs="Arial"/>
          <w:color w:val="000000"/>
        </w:rPr>
      </w:pPr>
      <w:r>
        <w:rPr>
          <w:rFonts w:cs="Arial"/>
          <w:color w:val="000000"/>
        </w:rPr>
        <w:t>Case management</w:t>
      </w:r>
      <w:r w:rsidR="00E0243B" w:rsidRPr="00661846">
        <w:rPr>
          <w:rFonts w:cs="Arial"/>
          <w:color w:val="000000"/>
        </w:rPr>
        <w:t xml:space="preserve"> includes reviewing current services</w:t>
      </w:r>
      <w:r w:rsidR="009D5536">
        <w:rPr>
          <w:rFonts w:cs="Arial"/>
          <w:color w:val="000000"/>
        </w:rPr>
        <w:t xml:space="preserve"> delivered to the consumer</w:t>
      </w:r>
      <w:r w:rsidR="00E0243B" w:rsidRPr="00661846">
        <w:rPr>
          <w:rFonts w:cs="Arial"/>
          <w:color w:val="000000"/>
        </w:rPr>
        <w:t xml:space="preserve"> (including HACC PYP), identifying additional needs, and partnering with the consumer to create a care plan that supports independent living. The plan </w:t>
      </w:r>
      <w:r>
        <w:rPr>
          <w:rFonts w:cs="Arial"/>
          <w:color w:val="000000"/>
        </w:rPr>
        <w:t xml:space="preserve">should </w:t>
      </w:r>
      <w:r w:rsidR="00E0243B" w:rsidRPr="00661846">
        <w:rPr>
          <w:rFonts w:cs="Arial"/>
          <w:color w:val="000000"/>
        </w:rPr>
        <w:t>set review timelines, monitor progress, manage</w:t>
      </w:r>
      <w:r>
        <w:rPr>
          <w:rFonts w:cs="Arial"/>
          <w:color w:val="000000"/>
        </w:rPr>
        <w:t xml:space="preserve"> </w:t>
      </w:r>
      <w:r w:rsidR="00E0243B" w:rsidRPr="00661846">
        <w:rPr>
          <w:rFonts w:cs="Arial"/>
          <w:color w:val="000000"/>
        </w:rPr>
        <w:t xml:space="preserve">transitions, and coordinate </w:t>
      </w:r>
      <w:r>
        <w:rPr>
          <w:rFonts w:cs="Arial"/>
          <w:color w:val="000000"/>
        </w:rPr>
        <w:t>service delivery</w:t>
      </w:r>
      <w:r w:rsidR="00E0243B" w:rsidRPr="00661846">
        <w:rPr>
          <w:rFonts w:cs="Arial"/>
          <w:color w:val="000000"/>
        </w:rPr>
        <w:t xml:space="preserve">. Goals and services </w:t>
      </w:r>
      <w:r>
        <w:rPr>
          <w:rFonts w:cs="Arial"/>
          <w:color w:val="000000"/>
        </w:rPr>
        <w:t>should be regularly</w:t>
      </w:r>
      <w:r w:rsidR="00E0243B" w:rsidRPr="00661846">
        <w:rPr>
          <w:rFonts w:cs="Arial"/>
          <w:color w:val="000000"/>
        </w:rPr>
        <w:t xml:space="preserve"> adjusted as needed</w:t>
      </w:r>
      <w:r>
        <w:rPr>
          <w:rFonts w:cs="Arial"/>
          <w:color w:val="000000"/>
        </w:rPr>
        <w:t>, and L</w:t>
      </w:r>
      <w:r w:rsidR="00E0243B" w:rsidRPr="00661846">
        <w:rPr>
          <w:rFonts w:cs="Arial"/>
          <w:color w:val="000000"/>
        </w:rPr>
        <w:t xml:space="preserve">inkages providers </w:t>
      </w:r>
      <w:r>
        <w:rPr>
          <w:rFonts w:cs="Arial"/>
          <w:color w:val="000000"/>
        </w:rPr>
        <w:t xml:space="preserve">should </w:t>
      </w:r>
      <w:r w:rsidR="00E0243B" w:rsidRPr="00661846">
        <w:rPr>
          <w:rFonts w:cs="Arial"/>
          <w:color w:val="000000"/>
        </w:rPr>
        <w:t>collaborate with health and community organi</w:t>
      </w:r>
      <w:r>
        <w:rPr>
          <w:rFonts w:cs="Arial"/>
          <w:color w:val="000000"/>
        </w:rPr>
        <w:t>s</w:t>
      </w:r>
      <w:r w:rsidR="00E0243B" w:rsidRPr="00661846">
        <w:rPr>
          <w:rFonts w:cs="Arial"/>
          <w:color w:val="000000"/>
        </w:rPr>
        <w:t>ations for integrated, short- or long-term services to promote independence.</w:t>
      </w:r>
    </w:p>
    <w:p w14:paraId="40B36A7E" w14:textId="78D32AC2" w:rsidR="00FF6D4C" w:rsidRDefault="00FF6D4C" w:rsidP="007315ED">
      <w:pPr>
        <w:pStyle w:val="Heading3"/>
      </w:pPr>
      <w:r w:rsidRPr="00FF6D4C">
        <w:t>How are supports prioritised when demand is high?</w:t>
      </w:r>
    </w:p>
    <w:p w14:paraId="7FABFD10" w14:textId="6A24EB74" w:rsidR="00B93F9E" w:rsidRPr="00B93F9E" w:rsidRDefault="00B93F9E" w:rsidP="00B93F9E">
      <w:pPr>
        <w:pStyle w:val="Body"/>
      </w:pPr>
      <w:r w:rsidRPr="00B93F9E">
        <w:t xml:space="preserve">Providers </w:t>
      </w:r>
      <w:r w:rsidR="009D5536">
        <w:t xml:space="preserve">should </w:t>
      </w:r>
      <w:r w:rsidRPr="00B93F9E">
        <w:t xml:space="preserve">equitably prioritise access based on relative consumer need and capacity to benefit from support, using local demand management approaches and </w:t>
      </w:r>
      <w:r w:rsidR="00B97C6C">
        <w:t>support</w:t>
      </w:r>
      <w:r w:rsidR="00854AB3">
        <w:t>ing</w:t>
      </w:r>
      <w:r w:rsidR="00B97C6C">
        <w:t xml:space="preserve"> </w:t>
      </w:r>
      <w:r w:rsidRPr="00B93F9E">
        <w:t>onward referral where appropriate.</w:t>
      </w:r>
    </w:p>
    <w:p w14:paraId="51F4E871" w14:textId="49061603" w:rsidR="00FF6D4C" w:rsidRDefault="00FF6D4C" w:rsidP="00FF6D4C">
      <w:pPr>
        <w:pStyle w:val="Heading2"/>
      </w:pPr>
      <w:bookmarkStart w:id="3" w:name="_Toc225416278"/>
      <w:r>
        <w:t>Brokerage funding</w:t>
      </w:r>
      <w:bookmarkEnd w:id="3"/>
    </w:p>
    <w:p w14:paraId="5AF943C0" w14:textId="77777777" w:rsidR="00827B7A" w:rsidRDefault="00827B7A" w:rsidP="007315ED">
      <w:pPr>
        <w:pStyle w:val="Heading3"/>
      </w:pPr>
      <w:r>
        <w:t>Does a consumer receive a set amount of brokerage funding?</w:t>
      </w:r>
    </w:p>
    <w:p w14:paraId="27A900EE" w14:textId="1DF0616F" w:rsidR="00827B7A" w:rsidRDefault="00827B7A" w:rsidP="00827B7A">
      <w:pPr>
        <w:pStyle w:val="Body"/>
      </w:pPr>
      <w:r>
        <w:t xml:space="preserve">No. Consumers are not allocated a </w:t>
      </w:r>
      <w:r w:rsidR="00E07ECC">
        <w:t>specific monetary value</w:t>
      </w:r>
      <w:r>
        <w:t xml:space="preserve"> </w:t>
      </w:r>
      <w:r w:rsidR="009813C7">
        <w:t xml:space="preserve">or ‘package’ </w:t>
      </w:r>
      <w:r>
        <w:t xml:space="preserve">of brokerage funding. The term </w:t>
      </w:r>
      <w:r w:rsidR="009813C7">
        <w:t>‘</w:t>
      </w:r>
      <w:r>
        <w:t>package</w:t>
      </w:r>
      <w:r w:rsidR="009813C7">
        <w:t>’</w:t>
      </w:r>
      <w:r>
        <w:t xml:space="preserve"> refers to the mix of supports coordinated by a Linkages case manager, not a fixed funding amount.</w:t>
      </w:r>
    </w:p>
    <w:p w14:paraId="19957EAF" w14:textId="0C09A247" w:rsidR="00827B7A" w:rsidRDefault="00827B7A" w:rsidP="007315ED">
      <w:pPr>
        <w:pStyle w:val="Heading3"/>
      </w:pPr>
      <w:r>
        <w:t>Wh</w:t>
      </w:r>
      <w:r w:rsidR="00E07ECC">
        <w:t>ich</w:t>
      </w:r>
      <w:r>
        <w:t xml:space="preserve"> HACC PYP services can brokerage funding purchase?</w:t>
      </w:r>
    </w:p>
    <w:p w14:paraId="1729B959" w14:textId="16E92BCD" w:rsidR="00827B7A" w:rsidRDefault="00E07ECC" w:rsidP="00827B7A">
      <w:pPr>
        <w:pStyle w:val="Body"/>
      </w:pPr>
      <w:r>
        <w:t xml:space="preserve">Brokerage funding may be used to purchase </w:t>
      </w:r>
      <w:r w:rsidR="00827B7A">
        <w:t>HACC PYP services (e.g., clinical community nursing, allied health</w:t>
      </w:r>
      <w:r>
        <w:t>, community care</w:t>
      </w:r>
      <w:r w:rsidR="00827B7A">
        <w:t xml:space="preserve"> within the scope of HACC PYP) in addition to standard HACC</w:t>
      </w:r>
      <w:r w:rsidR="00545874">
        <w:t xml:space="preserve"> </w:t>
      </w:r>
      <w:r w:rsidR="00827B7A">
        <w:t>PYP supports already being provided.</w:t>
      </w:r>
    </w:p>
    <w:p w14:paraId="36B84088" w14:textId="6261AEF6" w:rsidR="00827B7A" w:rsidRDefault="00827B7A" w:rsidP="007315ED">
      <w:pPr>
        <w:pStyle w:val="Heading3"/>
      </w:pPr>
      <w:r>
        <w:t xml:space="preserve">Which health </w:t>
      </w:r>
      <w:r w:rsidR="00E07ECC">
        <w:t>supports</w:t>
      </w:r>
      <w:r>
        <w:t xml:space="preserve"> are not in scope for brokerage?</w:t>
      </w:r>
    </w:p>
    <w:p w14:paraId="559079E5" w14:textId="51CC4A59" w:rsidR="00827B7A" w:rsidRDefault="00E07ECC" w:rsidP="00827B7A">
      <w:pPr>
        <w:pStyle w:val="Body"/>
      </w:pPr>
      <w:r>
        <w:t>Any s</w:t>
      </w:r>
      <w:r w:rsidR="00827B7A">
        <w:t>ervices outside HACC PYP activity descriptions</w:t>
      </w:r>
      <w:r>
        <w:t xml:space="preserve"> including (but not limited to)</w:t>
      </w:r>
      <w:r w:rsidR="00827B7A">
        <w:t xml:space="preserve"> osteopathy, chiropractic, acupuncture, medical expense</w:t>
      </w:r>
      <w:r w:rsidR="00283AFE">
        <w:t>s</w:t>
      </w:r>
      <w:r>
        <w:t xml:space="preserve"> including specialist or General Practitioner fees, </w:t>
      </w:r>
      <w:r w:rsidR="00827B7A">
        <w:t xml:space="preserve">and NDIS </w:t>
      </w:r>
      <w:r>
        <w:t>assessments.</w:t>
      </w:r>
    </w:p>
    <w:p w14:paraId="4993CB28" w14:textId="76CC198C" w:rsidR="000F6D0B" w:rsidRDefault="0018718F" w:rsidP="000F6D0B">
      <w:pPr>
        <w:pStyle w:val="Heading3"/>
      </w:pPr>
      <w:r>
        <w:t xml:space="preserve">Can brokerage funding be used </w:t>
      </w:r>
      <w:r w:rsidR="003F2829">
        <w:t>to deliver services whilst waiting to access o</w:t>
      </w:r>
      <w:r w:rsidR="000F6D0B">
        <w:t>ther programs or mainstream HACC PYP services?</w:t>
      </w:r>
    </w:p>
    <w:p w14:paraId="323B511C" w14:textId="2F332B33" w:rsidR="00C9047F" w:rsidRDefault="00283AFE" w:rsidP="00C9047F">
      <w:pPr>
        <w:pStyle w:val="Body"/>
      </w:pPr>
      <w:r>
        <w:t xml:space="preserve">No. </w:t>
      </w:r>
      <w:r w:rsidR="00C9047F">
        <w:t>HACC PYP (including Linkages) must not deliver services that are the responsibility of other programs to provide. In line with this policy, Linkages brokerage funding cannot provide services available through other Commonwealth- or State-funded programs, including as a replacement for mainstream HACC PYP services where they are unable to be provided to some consumers due to demand, priority of access, or other reasons.</w:t>
      </w:r>
    </w:p>
    <w:p w14:paraId="22A133E3" w14:textId="77777777" w:rsidR="00827B7A" w:rsidRDefault="00827B7A" w:rsidP="007315ED">
      <w:pPr>
        <w:pStyle w:val="Heading3"/>
      </w:pPr>
      <w:r>
        <w:t>Can brokerage be used for personal/in-home supports beyond usual care?</w:t>
      </w:r>
    </w:p>
    <w:p w14:paraId="1D50624F" w14:textId="6918B012" w:rsidR="00827B7A" w:rsidRDefault="00827B7A" w:rsidP="00827B7A">
      <w:pPr>
        <w:pStyle w:val="Body"/>
      </w:pPr>
      <w:r>
        <w:t>Yes</w:t>
      </w:r>
      <w:r w:rsidR="005A2E17">
        <w:t>.</w:t>
      </w:r>
      <w:r>
        <w:t xml:space="preserve"> </w:t>
      </w:r>
      <w:r w:rsidR="005A2E17">
        <w:t>In cases w</w:t>
      </w:r>
      <w:r>
        <w:t>here these supports are in addition to standard HACC PYP services and aligned with the care plan</w:t>
      </w:r>
      <w:r w:rsidR="005A2E17">
        <w:t>,</w:t>
      </w:r>
      <w:r>
        <w:t xml:space="preserve"> subcontracting may be used </w:t>
      </w:r>
      <w:r w:rsidR="005A2E17">
        <w:t xml:space="preserve">to purchase additional supports, </w:t>
      </w:r>
      <w:r>
        <w:t>under written agreements. Sub-contracting of services must be at or below the HACC PYP unit price for that activity.</w:t>
      </w:r>
    </w:p>
    <w:p w14:paraId="2FD8382F" w14:textId="77777777" w:rsidR="00827B7A" w:rsidRDefault="00827B7A" w:rsidP="007315ED">
      <w:pPr>
        <w:pStyle w:val="Heading3"/>
      </w:pPr>
      <w:r>
        <w:t>Can brokerage funding be used for NDIS assessments?</w:t>
      </w:r>
    </w:p>
    <w:p w14:paraId="14F0217E" w14:textId="77777777" w:rsidR="00827B7A" w:rsidRDefault="00827B7A" w:rsidP="00827B7A">
      <w:pPr>
        <w:pStyle w:val="Body"/>
      </w:pPr>
      <w:r>
        <w:t>No. Brokerage funding is not intended for NDIS assessments. Linkages case managers can assist with connecting consumers to services and preparing paperwork for NDIS applications. NDIS allied health assessments are funded through some community health providers and health services.</w:t>
      </w:r>
    </w:p>
    <w:p w14:paraId="5B419E03" w14:textId="77777777" w:rsidR="00827B7A" w:rsidRDefault="00827B7A" w:rsidP="007315ED">
      <w:pPr>
        <w:pStyle w:val="Heading3"/>
      </w:pPr>
      <w:r>
        <w:lastRenderedPageBreak/>
        <w:t>Can brokerage funding be used for gardening or property maintenance?</w:t>
      </w:r>
    </w:p>
    <w:p w14:paraId="6352C5E2" w14:textId="048899A9" w:rsidR="00F8471E" w:rsidRDefault="00D73EF7" w:rsidP="00914E9C">
      <w:pPr>
        <w:pStyle w:val="Body"/>
      </w:pPr>
      <w:r>
        <w:t>Linkages funding should never be used for aesthetic gardening purposes or property modifications</w:t>
      </w:r>
      <w:r w:rsidR="000976BD">
        <w:t xml:space="preserve">, such as </w:t>
      </w:r>
      <w:r w:rsidR="0098129B">
        <w:t>bathroom installations or installations of handrails</w:t>
      </w:r>
      <w:r>
        <w:t xml:space="preserve">. </w:t>
      </w:r>
      <w:r w:rsidR="00914E9C">
        <w:t xml:space="preserve">In </w:t>
      </w:r>
      <w:r>
        <w:t>almost all</w:t>
      </w:r>
      <w:r w:rsidR="00914E9C">
        <w:t xml:space="preserve"> cases, Linkages should not be used for gardening or property maintenance. </w:t>
      </w:r>
      <w:r w:rsidR="00540DF2">
        <w:t xml:space="preserve">If </w:t>
      </w:r>
      <w:r w:rsidR="00FE16A8">
        <w:t xml:space="preserve">property maintenance is required </w:t>
      </w:r>
      <w:r w:rsidR="002D016E">
        <w:t>so that HACC PYP service providers can safely access the property, the HACC PYP property maintenance provider should fulfil this function</w:t>
      </w:r>
      <w:r>
        <w:t xml:space="preserve"> where it is not the responsibility of the rental provider or relevant housing authority, as applicable.</w:t>
      </w:r>
      <w:r w:rsidR="0098129B">
        <w:t xml:space="preserve"> </w:t>
      </w:r>
    </w:p>
    <w:p w14:paraId="30B6BBB5" w14:textId="5DA8E694" w:rsidR="00914E9C" w:rsidRDefault="0098129B" w:rsidP="00914E9C">
      <w:pPr>
        <w:pStyle w:val="Body"/>
      </w:pPr>
      <w:r>
        <w:t xml:space="preserve">In specific circumstances where a consumer requires a greater level of property maintenance, to permit safe access for HACC PYP service providers, than would be </w:t>
      </w:r>
      <w:r w:rsidR="00F8471E">
        <w:t>available through the HACC PYP property maintenance provider (e.g., specialised equipment is required to clear an entrance to a home), Linkages brokerage funding may be used</w:t>
      </w:r>
      <w:r w:rsidR="00991E46">
        <w:t xml:space="preserve"> to supplement the services available through the HACC PYP property maintenance provider in the consumer’s LGA.</w:t>
      </w:r>
    </w:p>
    <w:p w14:paraId="643891F5" w14:textId="77777777" w:rsidR="00827B7A" w:rsidRDefault="00827B7A" w:rsidP="00FE16A8">
      <w:pPr>
        <w:pStyle w:val="Heading3"/>
      </w:pPr>
      <w:r>
        <w:t>Can brokerage funding be used to purchase a mobility scooter?</w:t>
      </w:r>
    </w:p>
    <w:p w14:paraId="694446D5" w14:textId="77777777" w:rsidR="00827B7A" w:rsidRDefault="00827B7A" w:rsidP="00827B7A">
      <w:pPr>
        <w:pStyle w:val="Body"/>
      </w:pPr>
      <w:r>
        <w:t>No. Mobility scooters and a wide range of aids and equipment and home modifications are provided under the Victorian Aids and Equipment Program, not through Linkages brokerage funding.</w:t>
      </w:r>
    </w:p>
    <w:p w14:paraId="7B5E499E" w14:textId="77777777" w:rsidR="00827B7A" w:rsidRDefault="00827B7A" w:rsidP="007315ED">
      <w:pPr>
        <w:pStyle w:val="Heading3"/>
      </w:pPr>
      <w:r>
        <w:t>What equipment can be purchased with brokerage funding?</w:t>
      </w:r>
    </w:p>
    <w:p w14:paraId="6B3B3658" w14:textId="17EBED06" w:rsidR="00827B7A" w:rsidRDefault="00827B7A" w:rsidP="00827B7A">
      <w:pPr>
        <w:pStyle w:val="Body"/>
      </w:pPr>
      <w:r>
        <w:t xml:space="preserve">Brokerage funding may be used for equipment essential to support independence at home and in the community, provided it is not available through other programs. Linkages providers should consider value for money and obtain multiple quotes. Equipment </w:t>
      </w:r>
      <w:r w:rsidR="00F8471E">
        <w:t>generally should</w:t>
      </w:r>
      <w:r>
        <w:t xml:space="preserve"> remain</w:t>
      </w:r>
      <w:r w:rsidR="00F8471E">
        <w:t xml:space="preserve"> </w:t>
      </w:r>
      <w:r>
        <w:t>the property of the Linkages service provider and should generally be returned when the consumer exits Linkages, wherever possible</w:t>
      </w:r>
      <w:r w:rsidR="00D26551">
        <w:t>,</w:t>
      </w:r>
      <w:r>
        <w:t xml:space="preserve"> to continue to support others in need.</w:t>
      </w:r>
    </w:p>
    <w:p w14:paraId="59A0C939" w14:textId="77777777" w:rsidR="00827B7A" w:rsidRDefault="00827B7A" w:rsidP="007315ED">
      <w:pPr>
        <w:pStyle w:val="Heading3"/>
      </w:pPr>
      <w:r>
        <w:t>How much funding am I eligible for in my Linkages package?</w:t>
      </w:r>
    </w:p>
    <w:p w14:paraId="2A3D735D" w14:textId="08548845" w:rsidR="00B93F9E" w:rsidRDefault="00827B7A" w:rsidP="00827B7A">
      <w:pPr>
        <w:pStyle w:val="Body"/>
      </w:pPr>
      <w:r>
        <w:t>No individual consumer is allocated a package of funding under Linkages. The term ‘packages’, as used in the Linkages activity descriptor, is intended to describe the package of supports a Linkages consumer receives through HACC PYP and other services, facilitated by their Linkages case manager; it does not refer to a package of funding.</w:t>
      </w:r>
    </w:p>
    <w:p w14:paraId="30D4F075" w14:textId="67654A36" w:rsidR="006014FE" w:rsidRDefault="00FA63DB" w:rsidP="00FA63DB">
      <w:pPr>
        <w:pStyle w:val="Heading2"/>
      </w:pPr>
      <w:bookmarkStart w:id="4" w:name="_Toc225416279"/>
      <w:r>
        <w:t>Transition and exit from services</w:t>
      </w:r>
      <w:bookmarkEnd w:id="4"/>
    </w:p>
    <w:p w14:paraId="60BC3215" w14:textId="78738375" w:rsidR="00A6025F" w:rsidRDefault="00A6025F" w:rsidP="007315ED">
      <w:pPr>
        <w:pStyle w:val="Heading3"/>
      </w:pPr>
      <w:r>
        <w:t xml:space="preserve">When should a consumer </w:t>
      </w:r>
      <w:r w:rsidR="00B3367D">
        <w:t>exit</w:t>
      </w:r>
      <w:r>
        <w:t xml:space="preserve"> Linkages?</w:t>
      </w:r>
    </w:p>
    <w:p w14:paraId="2EDA3FCC" w14:textId="384F958C" w:rsidR="00A6025F" w:rsidRDefault="008B6FDD" w:rsidP="00A6025F">
      <w:pPr>
        <w:pStyle w:val="Body"/>
      </w:pPr>
      <w:r>
        <w:t>Exit</w:t>
      </w:r>
      <w:r w:rsidRPr="009F691B">
        <w:t xml:space="preserve"> planning is integral to care planning</w:t>
      </w:r>
      <w:r>
        <w:t xml:space="preserve"> </w:t>
      </w:r>
      <w:r w:rsidR="00106E0D">
        <w:t xml:space="preserve">and considered when </w:t>
      </w:r>
      <w:r w:rsidR="00A6025F">
        <w:t xml:space="preserve">needs are met through standard services, eligibility changes (e.g., </w:t>
      </w:r>
      <w:r w:rsidR="00D26551">
        <w:t>consumer ages above 65</w:t>
      </w:r>
      <w:r w:rsidR="00A6025F">
        <w:t>), or needs are better met by other programs (e.g., NDIS, Mental Health Community Support Services,</w:t>
      </w:r>
      <w:r w:rsidR="00FB4FB6" w:rsidRPr="00FB4FB6">
        <w:t xml:space="preserve"> </w:t>
      </w:r>
      <w:r w:rsidR="00FB4FB6">
        <w:t>Multiple and Complex Needs Initiative (MACNI), or Victorians Ineligible for NDIS (VIN) program</w:t>
      </w:r>
      <w:r w:rsidR="00A6025F">
        <w:t xml:space="preserve">). </w:t>
      </w:r>
    </w:p>
    <w:p w14:paraId="05CE4BBB" w14:textId="77777777" w:rsidR="00A6025F" w:rsidRDefault="00A6025F" w:rsidP="007315ED">
      <w:pPr>
        <w:pStyle w:val="Heading3"/>
      </w:pPr>
      <w:r>
        <w:t>What happens to equipment on exit?</w:t>
      </w:r>
    </w:p>
    <w:p w14:paraId="3B4F8E2A" w14:textId="26BC24FC" w:rsidR="00FA63DB" w:rsidRDefault="00A6025F" w:rsidP="00A6025F">
      <w:pPr>
        <w:pStyle w:val="Body"/>
      </w:pPr>
      <w:r>
        <w:t>Equipment</w:t>
      </w:r>
      <w:r w:rsidR="00D26551">
        <w:t>, in most cases,</w:t>
      </w:r>
      <w:r>
        <w:t xml:space="preserve"> </w:t>
      </w:r>
      <w:r w:rsidR="00F8471E">
        <w:t xml:space="preserve">should </w:t>
      </w:r>
      <w:r>
        <w:t xml:space="preserve">remain the property of the </w:t>
      </w:r>
      <w:r w:rsidR="00D26551">
        <w:t xml:space="preserve">Linkages </w:t>
      </w:r>
      <w:r>
        <w:t>provider and be returned wherever possible.</w:t>
      </w:r>
    </w:p>
    <w:p w14:paraId="2BC75749" w14:textId="67CC2C4B" w:rsidR="00A50013" w:rsidRDefault="00A50013" w:rsidP="00A50013">
      <w:pPr>
        <w:pStyle w:val="Heading2"/>
      </w:pPr>
      <w:bookmarkStart w:id="5" w:name="_Toc225416280"/>
      <w:r>
        <w:t>Performance and reporting</w:t>
      </w:r>
      <w:bookmarkEnd w:id="5"/>
    </w:p>
    <w:p w14:paraId="2BE8DFE6" w14:textId="77777777" w:rsidR="002017E3" w:rsidRDefault="002017E3" w:rsidP="007315ED">
      <w:pPr>
        <w:pStyle w:val="Heading3"/>
      </w:pPr>
      <w:r>
        <w:t>How should Linkages activity be reported?</w:t>
      </w:r>
    </w:p>
    <w:p w14:paraId="1FE256A5" w14:textId="77777777" w:rsidR="002017E3" w:rsidRDefault="002017E3" w:rsidP="002017E3">
      <w:pPr>
        <w:pStyle w:val="Body"/>
      </w:pPr>
      <w:r>
        <w:t>Report via the HACC Minimum Dataset (MDS) using relevant activity types (e.g., case management, community care) and the Linkages outlet ID. There is no MDS activity type named “Linkages.”</w:t>
      </w:r>
    </w:p>
    <w:p w14:paraId="4922B47C" w14:textId="4FCAA6E6" w:rsidR="002017E3" w:rsidRDefault="002017E3" w:rsidP="007315ED">
      <w:pPr>
        <w:pStyle w:val="Heading3"/>
      </w:pPr>
      <w:r>
        <w:lastRenderedPageBreak/>
        <w:t>Do</w:t>
      </w:r>
      <w:r w:rsidR="00F749E5">
        <w:t>es</w:t>
      </w:r>
      <w:r>
        <w:t xml:space="preserve"> brokerage fund</w:t>
      </w:r>
      <w:r w:rsidR="00F749E5">
        <w:t>ing</w:t>
      </w:r>
      <w:r>
        <w:t xml:space="preserve"> have service hourly targets?</w:t>
      </w:r>
    </w:p>
    <w:p w14:paraId="64D10AEA" w14:textId="1F339278" w:rsidR="009B72F6" w:rsidRPr="00A50013" w:rsidRDefault="002017E3" w:rsidP="002017E3">
      <w:pPr>
        <w:pStyle w:val="Body"/>
      </w:pPr>
      <w:r>
        <w:t xml:space="preserve">Generally, brokerage funding does not carry hourly targets; however, </w:t>
      </w:r>
      <w:r w:rsidR="00F749E5">
        <w:t>the C</w:t>
      </w:r>
      <w:r>
        <w:t xml:space="preserve">ase </w:t>
      </w:r>
      <w:r w:rsidR="00F749E5">
        <w:t>M</w:t>
      </w:r>
      <w:r>
        <w:t>anagement sub-activity is unit-priced with annual service hour targets.</w:t>
      </w:r>
    </w:p>
    <w:tbl>
      <w:tblPr>
        <w:tblStyle w:val="TableGrid"/>
        <w:tblW w:w="0" w:type="auto"/>
        <w:tblCellMar>
          <w:bottom w:w="108" w:type="dxa"/>
        </w:tblCellMar>
        <w:tblLook w:val="0600" w:firstRow="0" w:lastRow="0" w:firstColumn="0" w:lastColumn="0" w:noHBand="1" w:noVBand="1"/>
      </w:tblPr>
      <w:tblGrid>
        <w:gridCol w:w="10194"/>
      </w:tblGrid>
      <w:tr w:rsidR="0055119B" w14:paraId="55F6745F" w14:textId="77777777" w:rsidTr="00EC40D5">
        <w:tc>
          <w:tcPr>
            <w:tcW w:w="10194" w:type="dxa"/>
          </w:tcPr>
          <w:p w14:paraId="1DB978B9" w14:textId="5DF311BA" w:rsidR="0055119B" w:rsidRPr="00EA5151" w:rsidRDefault="0055119B" w:rsidP="0055119B">
            <w:pPr>
              <w:pStyle w:val="Accessibilitypara"/>
            </w:pPr>
            <w:bookmarkStart w:id="6" w:name="_Hlk37240926"/>
            <w:r w:rsidRPr="00EA5151">
              <w:t>To receive this document in another format email</w:t>
            </w:r>
            <w:r w:rsidR="00EA5151" w:rsidRPr="00EA5151">
              <w:t xml:space="preserve"> the </w:t>
            </w:r>
            <w:hyperlink r:id="rId20" w:history="1">
              <w:r w:rsidR="005E36B4" w:rsidRPr="0017198A">
                <w:rPr>
                  <w:rStyle w:val="Hyperlink"/>
                </w:rPr>
                <w:t>HACC PYP team</w:t>
              </w:r>
            </w:hyperlink>
            <w:r w:rsidRPr="00EA5151">
              <w:t xml:space="preserve"> </w:t>
            </w:r>
            <w:r w:rsidR="00F749E5" w:rsidRPr="00EA5151">
              <w:t>&lt;hacc-pyp@health.vic.gov.au&gt;.</w:t>
            </w:r>
          </w:p>
          <w:p w14:paraId="6F590C9F" w14:textId="77777777" w:rsidR="0055119B" w:rsidRPr="00EA5151" w:rsidRDefault="0055119B" w:rsidP="00E33237">
            <w:pPr>
              <w:pStyle w:val="Imprint"/>
            </w:pPr>
            <w:r w:rsidRPr="00EA5151">
              <w:t>Authorised and published by the Victorian Government, 1 Treasury Place, Melbourne.</w:t>
            </w:r>
          </w:p>
          <w:p w14:paraId="4646318A" w14:textId="441666B2" w:rsidR="0055119B" w:rsidRPr="00EA5151" w:rsidRDefault="0055119B" w:rsidP="00E33237">
            <w:pPr>
              <w:pStyle w:val="Imprint"/>
            </w:pPr>
            <w:r w:rsidRPr="00EA5151">
              <w:t xml:space="preserve">© State of Victoria, Australia, </w:t>
            </w:r>
            <w:r w:rsidR="001E2A36" w:rsidRPr="00EA5151">
              <w:t>Department of Health</w:t>
            </w:r>
            <w:r w:rsidRPr="00EA5151">
              <w:t xml:space="preserve">, </w:t>
            </w:r>
            <w:r w:rsidR="00F749E5" w:rsidRPr="00EA5151">
              <w:rPr>
                <w:color w:val="004C97"/>
              </w:rPr>
              <w:t>March 2026</w:t>
            </w:r>
            <w:r w:rsidRPr="00EA5151">
              <w:t>.</w:t>
            </w:r>
          </w:p>
          <w:p w14:paraId="38D81DA7" w14:textId="5E5698BD" w:rsidR="0055119B" w:rsidRPr="00EA5151" w:rsidRDefault="0055119B" w:rsidP="00E33237">
            <w:pPr>
              <w:pStyle w:val="Imprint"/>
            </w:pPr>
            <w:r w:rsidRPr="00EA5151">
              <w:t xml:space="preserve">Available at </w:t>
            </w:r>
            <w:hyperlink r:id="rId21" w:history="1">
              <w:r w:rsidR="00EA5151" w:rsidRPr="00EA5151">
                <w:rPr>
                  <w:rStyle w:val="Hyperlink"/>
                </w:rPr>
                <w:t>Home and Community Care Program for Younger</w:t>
              </w:r>
            </w:hyperlink>
            <w:r w:rsidR="00EA5151" w:rsidRPr="00EA5151">
              <w:rPr>
                <w:color w:val="auto"/>
              </w:rPr>
              <w:t xml:space="preserve"> People &lt; </w:t>
            </w:r>
            <w:r w:rsidR="00EA5151" w:rsidRPr="00EA5151">
              <w:rPr>
                <w:color w:val="auto"/>
              </w:rPr>
              <w:t>https://www.health.vic.gov.au/home-and-community-care/hacc-program-for-younger-people</w:t>
            </w:r>
            <w:r w:rsidR="00EA5151" w:rsidRPr="00EA5151">
              <w:rPr>
                <w:color w:val="auto"/>
              </w:rPr>
              <w:t xml:space="preserve"> &gt;</w:t>
            </w:r>
          </w:p>
        </w:tc>
      </w:tr>
      <w:bookmarkEnd w:id="6"/>
    </w:tbl>
    <w:p w14:paraId="6ADB3F25" w14:textId="5C78199E"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A20F" w14:textId="77777777" w:rsidR="00607F9F" w:rsidRDefault="00607F9F">
      <w:r>
        <w:separator/>
      </w:r>
    </w:p>
  </w:endnote>
  <w:endnote w:type="continuationSeparator" w:id="0">
    <w:p w14:paraId="607177FA" w14:textId="77777777" w:rsidR="00607F9F" w:rsidRDefault="0060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8909"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C673BB8" wp14:editId="4F6AE905">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37A434D" wp14:editId="1474BCB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1938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7A434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9B1938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5155"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5D776C00" wp14:editId="4977217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7004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776C0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D7004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13B5"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7A4B36BB" wp14:editId="327F8AB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D747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4B36BB"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8CD747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22A4" w14:textId="77777777" w:rsidR="00607F9F" w:rsidRDefault="00607F9F" w:rsidP="002862F1">
      <w:pPr>
        <w:spacing w:before="120"/>
      </w:pPr>
      <w:r>
        <w:separator/>
      </w:r>
    </w:p>
  </w:footnote>
  <w:footnote w:type="continuationSeparator" w:id="0">
    <w:p w14:paraId="087C8B2A" w14:textId="77777777" w:rsidR="00607F9F" w:rsidRDefault="00607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8456"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33D8" w14:textId="555C0560" w:rsidR="00E261B3" w:rsidRPr="0051568D" w:rsidRDefault="00780363" w:rsidP="0011701A">
    <w:pPr>
      <w:pStyle w:val="Header"/>
    </w:pPr>
    <w:r>
      <w:t>HACC PYP Linkages FAQs</w:t>
    </w:r>
    <w:r w:rsidR="00BC4ED4">
      <w:t xml:space="preserve"> (</w:t>
    </w:r>
    <w:r w:rsidR="00537966">
      <w:t xml:space="preserve">May </w:t>
    </w:r>
    <w:r w:rsidR="00BC4ED4">
      <w:t>2026)</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281689"/>
    <w:multiLevelType w:val="multilevel"/>
    <w:tmpl w:val="82B8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6A0E64"/>
    <w:multiLevelType w:val="hybridMultilevel"/>
    <w:tmpl w:val="6D247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ADC7545"/>
    <w:multiLevelType w:val="hybridMultilevel"/>
    <w:tmpl w:val="7320EE1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583734">
    <w:abstractNumId w:val="10"/>
  </w:num>
  <w:num w:numId="2" w16cid:durableId="1182819353">
    <w:abstractNumId w:val="19"/>
  </w:num>
  <w:num w:numId="3" w16cid:durableId="636032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965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391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1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2417572">
    <w:abstractNumId w:val="23"/>
  </w:num>
  <w:num w:numId="8" w16cid:durableId="814951338">
    <w:abstractNumId w:val="18"/>
  </w:num>
  <w:num w:numId="9" w16cid:durableId="429619256">
    <w:abstractNumId w:val="22"/>
  </w:num>
  <w:num w:numId="10" w16cid:durableId="1427537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8361358">
    <w:abstractNumId w:val="25"/>
  </w:num>
  <w:num w:numId="12" w16cid:durableId="1709475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4375808">
    <w:abstractNumId w:val="20"/>
  </w:num>
  <w:num w:numId="14" w16cid:durableId="20430490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1038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325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36835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407998">
    <w:abstractNumId w:val="27"/>
  </w:num>
  <w:num w:numId="19" w16cid:durableId="18348335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3875500">
    <w:abstractNumId w:val="14"/>
  </w:num>
  <w:num w:numId="21" w16cid:durableId="1691295567">
    <w:abstractNumId w:val="12"/>
  </w:num>
  <w:num w:numId="22" w16cid:durableId="115411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2047025">
    <w:abstractNumId w:val="15"/>
  </w:num>
  <w:num w:numId="24" w16cid:durableId="2012834393">
    <w:abstractNumId w:val="28"/>
  </w:num>
  <w:num w:numId="25" w16cid:durableId="1662192865">
    <w:abstractNumId w:val="26"/>
  </w:num>
  <w:num w:numId="26" w16cid:durableId="1730112343">
    <w:abstractNumId w:val="21"/>
  </w:num>
  <w:num w:numId="27" w16cid:durableId="1244532385">
    <w:abstractNumId w:val="11"/>
  </w:num>
  <w:num w:numId="28" w16cid:durableId="1191407291">
    <w:abstractNumId w:val="29"/>
  </w:num>
  <w:num w:numId="29" w16cid:durableId="1826362468">
    <w:abstractNumId w:val="9"/>
  </w:num>
  <w:num w:numId="30" w16cid:durableId="1665667525">
    <w:abstractNumId w:val="7"/>
  </w:num>
  <w:num w:numId="31" w16cid:durableId="1195540131">
    <w:abstractNumId w:val="6"/>
  </w:num>
  <w:num w:numId="32" w16cid:durableId="2014187484">
    <w:abstractNumId w:val="5"/>
  </w:num>
  <w:num w:numId="33" w16cid:durableId="1786000763">
    <w:abstractNumId w:val="4"/>
  </w:num>
  <w:num w:numId="34" w16cid:durableId="1133526556">
    <w:abstractNumId w:val="8"/>
  </w:num>
  <w:num w:numId="35" w16cid:durableId="1198466085">
    <w:abstractNumId w:val="3"/>
  </w:num>
  <w:num w:numId="36" w16cid:durableId="874005376">
    <w:abstractNumId w:val="2"/>
  </w:num>
  <w:num w:numId="37" w16cid:durableId="1923756534">
    <w:abstractNumId w:val="1"/>
  </w:num>
  <w:num w:numId="38" w16cid:durableId="887572466">
    <w:abstractNumId w:val="0"/>
  </w:num>
  <w:num w:numId="39" w16cid:durableId="1773085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1688229">
    <w:abstractNumId w:val="17"/>
  </w:num>
  <w:num w:numId="41" w16cid:durableId="1370568933">
    <w:abstractNumId w:val="16"/>
  </w:num>
  <w:num w:numId="42" w16cid:durableId="116859493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9D"/>
    <w:rsid w:val="00000719"/>
    <w:rsid w:val="00003403"/>
    <w:rsid w:val="00005347"/>
    <w:rsid w:val="000072B6"/>
    <w:rsid w:val="0001021B"/>
    <w:rsid w:val="00011D89"/>
    <w:rsid w:val="000154FD"/>
    <w:rsid w:val="0001623A"/>
    <w:rsid w:val="00016FBF"/>
    <w:rsid w:val="00022271"/>
    <w:rsid w:val="000235E8"/>
    <w:rsid w:val="00024D89"/>
    <w:rsid w:val="000250B6"/>
    <w:rsid w:val="00025183"/>
    <w:rsid w:val="00031DFC"/>
    <w:rsid w:val="00033D81"/>
    <w:rsid w:val="0003698E"/>
    <w:rsid w:val="00037366"/>
    <w:rsid w:val="00041BF0"/>
    <w:rsid w:val="00042A4D"/>
    <w:rsid w:val="00042C8A"/>
    <w:rsid w:val="000451C7"/>
    <w:rsid w:val="0004536B"/>
    <w:rsid w:val="00046B68"/>
    <w:rsid w:val="0005161E"/>
    <w:rsid w:val="0005209C"/>
    <w:rsid w:val="00052153"/>
    <w:rsid w:val="000527DD"/>
    <w:rsid w:val="00056AEC"/>
    <w:rsid w:val="000578B2"/>
    <w:rsid w:val="00060959"/>
    <w:rsid w:val="00060C8F"/>
    <w:rsid w:val="0006298A"/>
    <w:rsid w:val="00065909"/>
    <w:rsid w:val="000663CD"/>
    <w:rsid w:val="000710CA"/>
    <w:rsid w:val="000733FE"/>
    <w:rsid w:val="00074219"/>
    <w:rsid w:val="00074ED5"/>
    <w:rsid w:val="00080D31"/>
    <w:rsid w:val="000835C6"/>
    <w:rsid w:val="00083FC5"/>
    <w:rsid w:val="0008508E"/>
    <w:rsid w:val="00087951"/>
    <w:rsid w:val="0009113B"/>
    <w:rsid w:val="00093402"/>
    <w:rsid w:val="00094DA3"/>
    <w:rsid w:val="00096CD1"/>
    <w:rsid w:val="000976BD"/>
    <w:rsid w:val="000A012C"/>
    <w:rsid w:val="000A0EB9"/>
    <w:rsid w:val="000A186C"/>
    <w:rsid w:val="000A1EA4"/>
    <w:rsid w:val="000A2476"/>
    <w:rsid w:val="000A38A9"/>
    <w:rsid w:val="000A641A"/>
    <w:rsid w:val="000A692E"/>
    <w:rsid w:val="000B16A9"/>
    <w:rsid w:val="000B3D5D"/>
    <w:rsid w:val="000B3EDB"/>
    <w:rsid w:val="000B4F69"/>
    <w:rsid w:val="000B543D"/>
    <w:rsid w:val="000B55F9"/>
    <w:rsid w:val="000B5BF7"/>
    <w:rsid w:val="000B6BC8"/>
    <w:rsid w:val="000B7678"/>
    <w:rsid w:val="000C0303"/>
    <w:rsid w:val="000C157F"/>
    <w:rsid w:val="000C375B"/>
    <w:rsid w:val="000C42EA"/>
    <w:rsid w:val="000C4546"/>
    <w:rsid w:val="000C6C51"/>
    <w:rsid w:val="000C728F"/>
    <w:rsid w:val="000D1242"/>
    <w:rsid w:val="000E08A6"/>
    <w:rsid w:val="000E0970"/>
    <w:rsid w:val="000E162E"/>
    <w:rsid w:val="000E1910"/>
    <w:rsid w:val="000E203B"/>
    <w:rsid w:val="000E3CC7"/>
    <w:rsid w:val="000E511D"/>
    <w:rsid w:val="000E6BD4"/>
    <w:rsid w:val="000E6D6D"/>
    <w:rsid w:val="000F1F1E"/>
    <w:rsid w:val="000F2259"/>
    <w:rsid w:val="000F2DDA"/>
    <w:rsid w:val="000F5213"/>
    <w:rsid w:val="000F6D0B"/>
    <w:rsid w:val="00101001"/>
    <w:rsid w:val="00103276"/>
    <w:rsid w:val="0010392D"/>
    <w:rsid w:val="0010447F"/>
    <w:rsid w:val="00104FE3"/>
    <w:rsid w:val="00106E0D"/>
    <w:rsid w:val="0010714F"/>
    <w:rsid w:val="001102B3"/>
    <w:rsid w:val="00110326"/>
    <w:rsid w:val="001120C5"/>
    <w:rsid w:val="00114746"/>
    <w:rsid w:val="0011701A"/>
    <w:rsid w:val="00120BD3"/>
    <w:rsid w:val="00122FEA"/>
    <w:rsid w:val="001232BD"/>
    <w:rsid w:val="00123915"/>
    <w:rsid w:val="00124ED5"/>
    <w:rsid w:val="001276FA"/>
    <w:rsid w:val="0013010C"/>
    <w:rsid w:val="001342A4"/>
    <w:rsid w:val="0014255B"/>
    <w:rsid w:val="001447B3"/>
    <w:rsid w:val="00152073"/>
    <w:rsid w:val="001547E2"/>
    <w:rsid w:val="00154E2D"/>
    <w:rsid w:val="00156598"/>
    <w:rsid w:val="00161939"/>
    <w:rsid w:val="00161AA0"/>
    <w:rsid w:val="00161D2E"/>
    <w:rsid w:val="00161F3E"/>
    <w:rsid w:val="00162093"/>
    <w:rsid w:val="00162CA9"/>
    <w:rsid w:val="00165424"/>
    <w:rsid w:val="00165459"/>
    <w:rsid w:val="001658DB"/>
    <w:rsid w:val="00165A57"/>
    <w:rsid w:val="00170567"/>
    <w:rsid w:val="001712C2"/>
    <w:rsid w:val="0017153B"/>
    <w:rsid w:val="00172BAF"/>
    <w:rsid w:val="001771DD"/>
    <w:rsid w:val="00177995"/>
    <w:rsid w:val="00177A8C"/>
    <w:rsid w:val="00186B33"/>
    <w:rsid w:val="0018718F"/>
    <w:rsid w:val="00187944"/>
    <w:rsid w:val="00192F9D"/>
    <w:rsid w:val="00194BD2"/>
    <w:rsid w:val="00196EB8"/>
    <w:rsid w:val="00196EFB"/>
    <w:rsid w:val="001979FF"/>
    <w:rsid w:val="00197B17"/>
    <w:rsid w:val="001A1950"/>
    <w:rsid w:val="001A1C54"/>
    <w:rsid w:val="001A3ACE"/>
    <w:rsid w:val="001A41BF"/>
    <w:rsid w:val="001B058F"/>
    <w:rsid w:val="001B3159"/>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3ED1"/>
    <w:rsid w:val="001E44DF"/>
    <w:rsid w:val="001E464A"/>
    <w:rsid w:val="001E4BE5"/>
    <w:rsid w:val="001E5058"/>
    <w:rsid w:val="001E68A5"/>
    <w:rsid w:val="001E6BB0"/>
    <w:rsid w:val="001E7282"/>
    <w:rsid w:val="001F3826"/>
    <w:rsid w:val="001F6E46"/>
    <w:rsid w:val="001F7186"/>
    <w:rsid w:val="001F7C91"/>
    <w:rsid w:val="00200176"/>
    <w:rsid w:val="002017E3"/>
    <w:rsid w:val="002033B7"/>
    <w:rsid w:val="00204DA4"/>
    <w:rsid w:val="00205821"/>
    <w:rsid w:val="00206463"/>
    <w:rsid w:val="00206F2F"/>
    <w:rsid w:val="0021053D"/>
    <w:rsid w:val="00210A92"/>
    <w:rsid w:val="00212CB9"/>
    <w:rsid w:val="00216C03"/>
    <w:rsid w:val="0021768A"/>
    <w:rsid w:val="00220C04"/>
    <w:rsid w:val="002214E0"/>
    <w:rsid w:val="0022278D"/>
    <w:rsid w:val="0022701F"/>
    <w:rsid w:val="00227C68"/>
    <w:rsid w:val="002310DA"/>
    <w:rsid w:val="00232D98"/>
    <w:rsid w:val="002330C8"/>
    <w:rsid w:val="002333F5"/>
    <w:rsid w:val="00233724"/>
    <w:rsid w:val="0023624F"/>
    <w:rsid w:val="002365B4"/>
    <w:rsid w:val="00237DF5"/>
    <w:rsid w:val="0024252F"/>
    <w:rsid w:val="0024295E"/>
    <w:rsid w:val="002432E1"/>
    <w:rsid w:val="00246207"/>
    <w:rsid w:val="00246C5E"/>
    <w:rsid w:val="00250960"/>
    <w:rsid w:val="00251343"/>
    <w:rsid w:val="002536A4"/>
    <w:rsid w:val="00254BCD"/>
    <w:rsid w:val="00254F58"/>
    <w:rsid w:val="002620BC"/>
    <w:rsid w:val="00262802"/>
    <w:rsid w:val="00263A90"/>
    <w:rsid w:val="00263C1F"/>
    <w:rsid w:val="0026408B"/>
    <w:rsid w:val="00267C3E"/>
    <w:rsid w:val="002709BB"/>
    <w:rsid w:val="0027113F"/>
    <w:rsid w:val="00272B6C"/>
    <w:rsid w:val="00273BAC"/>
    <w:rsid w:val="002763B3"/>
    <w:rsid w:val="0027780A"/>
    <w:rsid w:val="002802E3"/>
    <w:rsid w:val="00281E47"/>
    <w:rsid w:val="0028213D"/>
    <w:rsid w:val="00283AFE"/>
    <w:rsid w:val="00283FDE"/>
    <w:rsid w:val="00285844"/>
    <w:rsid w:val="002862F1"/>
    <w:rsid w:val="00291373"/>
    <w:rsid w:val="00292AF6"/>
    <w:rsid w:val="0029597D"/>
    <w:rsid w:val="002962C3"/>
    <w:rsid w:val="002963D3"/>
    <w:rsid w:val="002969D9"/>
    <w:rsid w:val="0029752B"/>
    <w:rsid w:val="002A0A9C"/>
    <w:rsid w:val="002A483C"/>
    <w:rsid w:val="002A5FCF"/>
    <w:rsid w:val="002B0C7C"/>
    <w:rsid w:val="002B1729"/>
    <w:rsid w:val="002B2AB4"/>
    <w:rsid w:val="002B36C7"/>
    <w:rsid w:val="002B3FC3"/>
    <w:rsid w:val="002B4DD4"/>
    <w:rsid w:val="002B5277"/>
    <w:rsid w:val="002B5375"/>
    <w:rsid w:val="002B76BE"/>
    <w:rsid w:val="002B77C1"/>
    <w:rsid w:val="002C0ED7"/>
    <w:rsid w:val="002C2728"/>
    <w:rsid w:val="002D016E"/>
    <w:rsid w:val="002D1B42"/>
    <w:rsid w:val="002D1E0D"/>
    <w:rsid w:val="002D5006"/>
    <w:rsid w:val="002D5200"/>
    <w:rsid w:val="002D601B"/>
    <w:rsid w:val="002E01D0"/>
    <w:rsid w:val="002E161D"/>
    <w:rsid w:val="002E3100"/>
    <w:rsid w:val="002E3567"/>
    <w:rsid w:val="002E5853"/>
    <w:rsid w:val="002E6C95"/>
    <w:rsid w:val="002E7C36"/>
    <w:rsid w:val="002F0107"/>
    <w:rsid w:val="002F3D32"/>
    <w:rsid w:val="002F4BAF"/>
    <w:rsid w:val="002F5F31"/>
    <w:rsid w:val="002F5F46"/>
    <w:rsid w:val="00302216"/>
    <w:rsid w:val="00303E53"/>
    <w:rsid w:val="00305CC1"/>
    <w:rsid w:val="00306E5F"/>
    <w:rsid w:val="00307E14"/>
    <w:rsid w:val="0031094A"/>
    <w:rsid w:val="00314054"/>
    <w:rsid w:val="00315BD8"/>
    <w:rsid w:val="00316F27"/>
    <w:rsid w:val="003178E8"/>
    <w:rsid w:val="003214F1"/>
    <w:rsid w:val="00321A0D"/>
    <w:rsid w:val="00322E4B"/>
    <w:rsid w:val="00326089"/>
    <w:rsid w:val="00327870"/>
    <w:rsid w:val="00331219"/>
    <w:rsid w:val="0033259D"/>
    <w:rsid w:val="003333D2"/>
    <w:rsid w:val="003406C6"/>
    <w:rsid w:val="003418CC"/>
    <w:rsid w:val="0034257F"/>
    <w:rsid w:val="00343108"/>
    <w:rsid w:val="0034400B"/>
    <w:rsid w:val="003459BD"/>
    <w:rsid w:val="00350D38"/>
    <w:rsid w:val="003519E1"/>
    <w:rsid w:val="00351B36"/>
    <w:rsid w:val="00356314"/>
    <w:rsid w:val="00357B4E"/>
    <w:rsid w:val="00365880"/>
    <w:rsid w:val="003716FD"/>
    <w:rsid w:val="0037204B"/>
    <w:rsid w:val="00373890"/>
    <w:rsid w:val="003744CF"/>
    <w:rsid w:val="00374717"/>
    <w:rsid w:val="003755F0"/>
    <w:rsid w:val="003759CB"/>
    <w:rsid w:val="003764C8"/>
    <w:rsid w:val="0037676C"/>
    <w:rsid w:val="00381043"/>
    <w:rsid w:val="003829E5"/>
    <w:rsid w:val="00386109"/>
    <w:rsid w:val="00386944"/>
    <w:rsid w:val="00387225"/>
    <w:rsid w:val="003940A5"/>
    <w:rsid w:val="00394E9B"/>
    <w:rsid w:val="003956CC"/>
    <w:rsid w:val="00395C9A"/>
    <w:rsid w:val="00396FF8"/>
    <w:rsid w:val="003A0853"/>
    <w:rsid w:val="003A6A6B"/>
    <w:rsid w:val="003A6B67"/>
    <w:rsid w:val="003B13B6"/>
    <w:rsid w:val="003B15E6"/>
    <w:rsid w:val="003B1E84"/>
    <w:rsid w:val="003B408A"/>
    <w:rsid w:val="003B5733"/>
    <w:rsid w:val="003C08A2"/>
    <w:rsid w:val="003C2045"/>
    <w:rsid w:val="003C43A1"/>
    <w:rsid w:val="003C4FC0"/>
    <w:rsid w:val="003C55F4"/>
    <w:rsid w:val="003C642B"/>
    <w:rsid w:val="003C7897"/>
    <w:rsid w:val="003C7A3F"/>
    <w:rsid w:val="003D2766"/>
    <w:rsid w:val="003D2A74"/>
    <w:rsid w:val="003D3E8F"/>
    <w:rsid w:val="003D5650"/>
    <w:rsid w:val="003D6475"/>
    <w:rsid w:val="003D76AA"/>
    <w:rsid w:val="003E375C"/>
    <w:rsid w:val="003E4086"/>
    <w:rsid w:val="003E639E"/>
    <w:rsid w:val="003E71E5"/>
    <w:rsid w:val="003E742E"/>
    <w:rsid w:val="003F0445"/>
    <w:rsid w:val="003F0CF0"/>
    <w:rsid w:val="003F14B1"/>
    <w:rsid w:val="003F2829"/>
    <w:rsid w:val="003F2B20"/>
    <w:rsid w:val="003F3289"/>
    <w:rsid w:val="003F4B31"/>
    <w:rsid w:val="003F5B3A"/>
    <w:rsid w:val="003F5CB9"/>
    <w:rsid w:val="004013C7"/>
    <w:rsid w:val="00401FCF"/>
    <w:rsid w:val="0040248F"/>
    <w:rsid w:val="004050EB"/>
    <w:rsid w:val="004051BF"/>
    <w:rsid w:val="00406285"/>
    <w:rsid w:val="004112C6"/>
    <w:rsid w:val="004148F9"/>
    <w:rsid w:val="00414D4A"/>
    <w:rsid w:val="004178AE"/>
    <w:rsid w:val="0042084E"/>
    <w:rsid w:val="00421EEF"/>
    <w:rsid w:val="004239AC"/>
    <w:rsid w:val="00424D65"/>
    <w:rsid w:val="0043611E"/>
    <w:rsid w:val="00442C6C"/>
    <w:rsid w:val="00443CBE"/>
    <w:rsid w:val="00443E8A"/>
    <w:rsid w:val="004441BC"/>
    <w:rsid w:val="004468B4"/>
    <w:rsid w:val="0045230A"/>
    <w:rsid w:val="00454AD0"/>
    <w:rsid w:val="00456BEA"/>
    <w:rsid w:val="00457337"/>
    <w:rsid w:val="00460870"/>
    <w:rsid w:val="00462E3D"/>
    <w:rsid w:val="00466E79"/>
    <w:rsid w:val="00470D7D"/>
    <w:rsid w:val="00470F04"/>
    <w:rsid w:val="00471C87"/>
    <w:rsid w:val="0047372D"/>
    <w:rsid w:val="00473BA3"/>
    <w:rsid w:val="004743DD"/>
    <w:rsid w:val="00474CEA"/>
    <w:rsid w:val="00483968"/>
    <w:rsid w:val="00484F86"/>
    <w:rsid w:val="00490746"/>
    <w:rsid w:val="00490852"/>
    <w:rsid w:val="00491C9C"/>
    <w:rsid w:val="00491CCF"/>
    <w:rsid w:val="004922F8"/>
    <w:rsid w:val="00492F30"/>
    <w:rsid w:val="004946F4"/>
    <w:rsid w:val="0049487E"/>
    <w:rsid w:val="004A160D"/>
    <w:rsid w:val="004A1C45"/>
    <w:rsid w:val="004A3E81"/>
    <w:rsid w:val="004A4195"/>
    <w:rsid w:val="004A4F6B"/>
    <w:rsid w:val="004A5C62"/>
    <w:rsid w:val="004A5CE5"/>
    <w:rsid w:val="004A707D"/>
    <w:rsid w:val="004A79A1"/>
    <w:rsid w:val="004C192E"/>
    <w:rsid w:val="004C3E02"/>
    <w:rsid w:val="004C5541"/>
    <w:rsid w:val="004C6938"/>
    <w:rsid w:val="004C6EEE"/>
    <w:rsid w:val="004C702B"/>
    <w:rsid w:val="004C7ABD"/>
    <w:rsid w:val="004D0033"/>
    <w:rsid w:val="004D0040"/>
    <w:rsid w:val="004D016B"/>
    <w:rsid w:val="004D1B22"/>
    <w:rsid w:val="004D23CC"/>
    <w:rsid w:val="004D259A"/>
    <w:rsid w:val="004D36F2"/>
    <w:rsid w:val="004E1106"/>
    <w:rsid w:val="004E138F"/>
    <w:rsid w:val="004E4649"/>
    <w:rsid w:val="004E5C2B"/>
    <w:rsid w:val="004E62A2"/>
    <w:rsid w:val="004F00DD"/>
    <w:rsid w:val="004F0FB2"/>
    <w:rsid w:val="004F2133"/>
    <w:rsid w:val="004F3670"/>
    <w:rsid w:val="004F5060"/>
    <w:rsid w:val="004F5398"/>
    <w:rsid w:val="004F55F1"/>
    <w:rsid w:val="004F6936"/>
    <w:rsid w:val="00503D11"/>
    <w:rsid w:val="00503DC6"/>
    <w:rsid w:val="00506F5D"/>
    <w:rsid w:val="00510C37"/>
    <w:rsid w:val="005126D0"/>
    <w:rsid w:val="00512F70"/>
    <w:rsid w:val="00513822"/>
    <w:rsid w:val="0051568D"/>
    <w:rsid w:val="00526AC7"/>
    <w:rsid w:val="00526C15"/>
    <w:rsid w:val="00536395"/>
    <w:rsid w:val="00536499"/>
    <w:rsid w:val="00537966"/>
    <w:rsid w:val="00540DF2"/>
    <w:rsid w:val="00543903"/>
    <w:rsid w:val="00543F11"/>
    <w:rsid w:val="00545874"/>
    <w:rsid w:val="00546305"/>
    <w:rsid w:val="00547A95"/>
    <w:rsid w:val="0055119B"/>
    <w:rsid w:val="005548B5"/>
    <w:rsid w:val="00563C67"/>
    <w:rsid w:val="00564429"/>
    <w:rsid w:val="00567A3D"/>
    <w:rsid w:val="00570650"/>
    <w:rsid w:val="00572031"/>
    <w:rsid w:val="00572282"/>
    <w:rsid w:val="00573CE3"/>
    <w:rsid w:val="00576E84"/>
    <w:rsid w:val="00580394"/>
    <w:rsid w:val="005809CD"/>
    <w:rsid w:val="00582B8C"/>
    <w:rsid w:val="005865C3"/>
    <w:rsid w:val="0058757E"/>
    <w:rsid w:val="0059039B"/>
    <w:rsid w:val="005907DE"/>
    <w:rsid w:val="0059190A"/>
    <w:rsid w:val="005957C0"/>
    <w:rsid w:val="00595CCD"/>
    <w:rsid w:val="00596A4B"/>
    <w:rsid w:val="00597507"/>
    <w:rsid w:val="00597CD7"/>
    <w:rsid w:val="005A2E17"/>
    <w:rsid w:val="005A43F8"/>
    <w:rsid w:val="005A479D"/>
    <w:rsid w:val="005B068B"/>
    <w:rsid w:val="005B093C"/>
    <w:rsid w:val="005B1C6D"/>
    <w:rsid w:val="005B21B6"/>
    <w:rsid w:val="005B3A08"/>
    <w:rsid w:val="005B3ACA"/>
    <w:rsid w:val="005B7A63"/>
    <w:rsid w:val="005C0955"/>
    <w:rsid w:val="005C49DA"/>
    <w:rsid w:val="005C50F3"/>
    <w:rsid w:val="005C54B5"/>
    <w:rsid w:val="005C5D80"/>
    <w:rsid w:val="005C5D91"/>
    <w:rsid w:val="005D07B8"/>
    <w:rsid w:val="005D0EF8"/>
    <w:rsid w:val="005D45A0"/>
    <w:rsid w:val="005D6597"/>
    <w:rsid w:val="005D6628"/>
    <w:rsid w:val="005E14E7"/>
    <w:rsid w:val="005E26A3"/>
    <w:rsid w:val="005E2ECB"/>
    <w:rsid w:val="005E36B4"/>
    <w:rsid w:val="005E447E"/>
    <w:rsid w:val="005E4FD1"/>
    <w:rsid w:val="005F0775"/>
    <w:rsid w:val="005F0CF5"/>
    <w:rsid w:val="005F21EB"/>
    <w:rsid w:val="005F69A7"/>
    <w:rsid w:val="005F74DC"/>
    <w:rsid w:val="006014FE"/>
    <w:rsid w:val="00601527"/>
    <w:rsid w:val="00604AFF"/>
    <w:rsid w:val="00605908"/>
    <w:rsid w:val="00607F9F"/>
    <w:rsid w:val="00610D7C"/>
    <w:rsid w:val="00611CEE"/>
    <w:rsid w:val="00613414"/>
    <w:rsid w:val="00613D29"/>
    <w:rsid w:val="00615FF3"/>
    <w:rsid w:val="00616B0E"/>
    <w:rsid w:val="00620154"/>
    <w:rsid w:val="006205F9"/>
    <w:rsid w:val="00622B6C"/>
    <w:rsid w:val="00623422"/>
    <w:rsid w:val="0062408D"/>
    <w:rsid w:val="006240CC"/>
    <w:rsid w:val="00624940"/>
    <w:rsid w:val="006254F8"/>
    <w:rsid w:val="00627DA7"/>
    <w:rsid w:val="00630DA4"/>
    <w:rsid w:val="00632597"/>
    <w:rsid w:val="00634AA6"/>
    <w:rsid w:val="006358B4"/>
    <w:rsid w:val="00637CCB"/>
    <w:rsid w:val="006419AA"/>
    <w:rsid w:val="00642653"/>
    <w:rsid w:val="00644B1F"/>
    <w:rsid w:val="00644B7E"/>
    <w:rsid w:val="006454E6"/>
    <w:rsid w:val="00646031"/>
    <w:rsid w:val="00646235"/>
    <w:rsid w:val="00646A68"/>
    <w:rsid w:val="006505BD"/>
    <w:rsid w:val="006508EA"/>
    <w:rsid w:val="0065092E"/>
    <w:rsid w:val="006557A7"/>
    <w:rsid w:val="00656290"/>
    <w:rsid w:val="0065773C"/>
    <w:rsid w:val="006608D8"/>
    <w:rsid w:val="00661424"/>
    <w:rsid w:val="006621D7"/>
    <w:rsid w:val="0066302A"/>
    <w:rsid w:val="00665705"/>
    <w:rsid w:val="00667770"/>
    <w:rsid w:val="00670597"/>
    <w:rsid w:val="006706D0"/>
    <w:rsid w:val="00677574"/>
    <w:rsid w:val="0068454C"/>
    <w:rsid w:val="00691B62"/>
    <w:rsid w:val="00692838"/>
    <w:rsid w:val="006933B5"/>
    <w:rsid w:val="00693D14"/>
    <w:rsid w:val="00695017"/>
    <w:rsid w:val="006955E0"/>
    <w:rsid w:val="00696F27"/>
    <w:rsid w:val="006A18C2"/>
    <w:rsid w:val="006A3383"/>
    <w:rsid w:val="006B077C"/>
    <w:rsid w:val="006B29EC"/>
    <w:rsid w:val="006B679B"/>
    <w:rsid w:val="006B6803"/>
    <w:rsid w:val="006B7133"/>
    <w:rsid w:val="006D0F16"/>
    <w:rsid w:val="006D2A3F"/>
    <w:rsid w:val="006D2FBC"/>
    <w:rsid w:val="006D30F8"/>
    <w:rsid w:val="006D619C"/>
    <w:rsid w:val="006E0541"/>
    <w:rsid w:val="006E138B"/>
    <w:rsid w:val="006F0330"/>
    <w:rsid w:val="006F1FDC"/>
    <w:rsid w:val="006F6B8C"/>
    <w:rsid w:val="006F7533"/>
    <w:rsid w:val="007013EF"/>
    <w:rsid w:val="00702FA1"/>
    <w:rsid w:val="00704FC5"/>
    <w:rsid w:val="007055BD"/>
    <w:rsid w:val="0071012E"/>
    <w:rsid w:val="00716544"/>
    <w:rsid w:val="007173CA"/>
    <w:rsid w:val="007216AA"/>
    <w:rsid w:val="007218C5"/>
    <w:rsid w:val="00721AB5"/>
    <w:rsid w:val="00721CFB"/>
    <w:rsid w:val="00721D6E"/>
    <w:rsid w:val="00721DEF"/>
    <w:rsid w:val="0072251A"/>
    <w:rsid w:val="007242BB"/>
    <w:rsid w:val="00724A43"/>
    <w:rsid w:val="007273AC"/>
    <w:rsid w:val="00731470"/>
    <w:rsid w:val="007315ED"/>
    <w:rsid w:val="00731AD4"/>
    <w:rsid w:val="007346E4"/>
    <w:rsid w:val="00734FCA"/>
    <w:rsid w:val="0073582E"/>
    <w:rsid w:val="0073616A"/>
    <w:rsid w:val="007362E6"/>
    <w:rsid w:val="00740941"/>
    <w:rsid w:val="00740F22"/>
    <w:rsid w:val="00741CF0"/>
    <w:rsid w:val="00741F1A"/>
    <w:rsid w:val="007447DA"/>
    <w:rsid w:val="007450F8"/>
    <w:rsid w:val="0074696E"/>
    <w:rsid w:val="00750135"/>
    <w:rsid w:val="00750199"/>
    <w:rsid w:val="00750EC2"/>
    <w:rsid w:val="00752B28"/>
    <w:rsid w:val="00753699"/>
    <w:rsid w:val="007541A9"/>
    <w:rsid w:val="00754E36"/>
    <w:rsid w:val="00760087"/>
    <w:rsid w:val="0076190A"/>
    <w:rsid w:val="00763139"/>
    <w:rsid w:val="00765A81"/>
    <w:rsid w:val="00766C27"/>
    <w:rsid w:val="00770F37"/>
    <w:rsid w:val="007711A0"/>
    <w:rsid w:val="00772D5E"/>
    <w:rsid w:val="0077463E"/>
    <w:rsid w:val="00776928"/>
    <w:rsid w:val="00776E0F"/>
    <w:rsid w:val="007774B1"/>
    <w:rsid w:val="00777BE1"/>
    <w:rsid w:val="00780363"/>
    <w:rsid w:val="007833D8"/>
    <w:rsid w:val="00785677"/>
    <w:rsid w:val="00786F16"/>
    <w:rsid w:val="00791090"/>
    <w:rsid w:val="00791BD7"/>
    <w:rsid w:val="007933F7"/>
    <w:rsid w:val="00796E20"/>
    <w:rsid w:val="00797C32"/>
    <w:rsid w:val="007A11E8"/>
    <w:rsid w:val="007B0914"/>
    <w:rsid w:val="007B1374"/>
    <w:rsid w:val="007B32E5"/>
    <w:rsid w:val="007B3CF4"/>
    <w:rsid w:val="007B3DB9"/>
    <w:rsid w:val="007B589F"/>
    <w:rsid w:val="007B6186"/>
    <w:rsid w:val="007B73BC"/>
    <w:rsid w:val="007C1838"/>
    <w:rsid w:val="007C20B9"/>
    <w:rsid w:val="007C7301"/>
    <w:rsid w:val="007C7859"/>
    <w:rsid w:val="007C7F28"/>
    <w:rsid w:val="007D1466"/>
    <w:rsid w:val="007D2BDE"/>
    <w:rsid w:val="007D2FB6"/>
    <w:rsid w:val="007D3F64"/>
    <w:rsid w:val="007D49EB"/>
    <w:rsid w:val="007D5E1C"/>
    <w:rsid w:val="007E0DE2"/>
    <w:rsid w:val="007E1227"/>
    <w:rsid w:val="007E1AB3"/>
    <w:rsid w:val="007E361D"/>
    <w:rsid w:val="007E3B98"/>
    <w:rsid w:val="007E417A"/>
    <w:rsid w:val="007F0032"/>
    <w:rsid w:val="007F1E3A"/>
    <w:rsid w:val="007F31B6"/>
    <w:rsid w:val="007F546C"/>
    <w:rsid w:val="007F625F"/>
    <w:rsid w:val="007F665E"/>
    <w:rsid w:val="00800412"/>
    <w:rsid w:val="00803B14"/>
    <w:rsid w:val="00804715"/>
    <w:rsid w:val="0080587B"/>
    <w:rsid w:val="00806468"/>
    <w:rsid w:val="00807537"/>
    <w:rsid w:val="008119CA"/>
    <w:rsid w:val="008130C4"/>
    <w:rsid w:val="00813DC7"/>
    <w:rsid w:val="008155F0"/>
    <w:rsid w:val="00816735"/>
    <w:rsid w:val="00820141"/>
    <w:rsid w:val="00820E0C"/>
    <w:rsid w:val="008213F0"/>
    <w:rsid w:val="00823275"/>
    <w:rsid w:val="0082366F"/>
    <w:rsid w:val="00827B7A"/>
    <w:rsid w:val="008338A2"/>
    <w:rsid w:val="00835FAF"/>
    <w:rsid w:val="00841AA9"/>
    <w:rsid w:val="008474FE"/>
    <w:rsid w:val="008530C3"/>
    <w:rsid w:val="00853EE4"/>
    <w:rsid w:val="00854AB3"/>
    <w:rsid w:val="00855535"/>
    <w:rsid w:val="00855920"/>
    <w:rsid w:val="00857C5A"/>
    <w:rsid w:val="0086255E"/>
    <w:rsid w:val="008633F0"/>
    <w:rsid w:val="00865E3A"/>
    <w:rsid w:val="00867D9D"/>
    <w:rsid w:val="00872E0A"/>
    <w:rsid w:val="00873594"/>
    <w:rsid w:val="00875285"/>
    <w:rsid w:val="00875BA2"/>
    <w:rsid w:val="0088438C"/>
    <w:rsid w:val="00884B62"/>
    <w:rsid w:val="0088529C"/>
    <w:rsid w:val="008857FF"/>
    <w:rsid w:val="00887903"/>
    <w:rsid w:val="0089270A"/>
    <w:rsid w:val="00893AF6"/>
    <w:rsid w:val="00894BC4"/>
    <w:rsid w:val="008962D8"/>
    <w:rsid w:val="00896EA4"/>
    <w:rsid w:val="00896FF2"/>
    <w:rsid w:val="008A0857"/>
    <w:rsid w:val="008A133A"/>
    <w:rsid w:val="008A1993"/>
    <w:rsid w:val="008A28A8"/>
    <w:rsid w:val="008A4B0E"/>
    <w:rsid w:val="008A5B32"/>
    <w:rsid w:val="008B0C69"/>
    <w:rsid w:val="008B27AF"/>
    <w:rsid w:val="008B2EE4"/>
    <w:rsid w:val="008B4D3D"/>
    <w:rsid w:val="008B57C7"/>
    <w:rsid w:val="008B6B58"/>
    <w:rsid w:val="008B6FDD"/>
    <w:rsid w:val="008C1F13"/>
    <w:rsid w:val="008C2F92"/>
    <w:rsid w:val="008C3697"/>
    <w:rsid w:val="008C476A"/>
    <w:rsid w:val="008C553C"/>
    <w:rsid w:val="008C5557"/>
    <w:rsid w:val="008C589D"/>
    <w:rsid w:val="008C6D51"/>
    <w:rsid w:val="008C7E75"/>
    <w:rsid w:val="008D2846"/>
    <w:rsid w:val="008D34D4"/>
    <w:rsid w:val="008D3513"/>
    <w:rsid w:val="008D4236"/>
    <w:rsid w:val="008D462F"/>
    <w:rsid w:val="008D6DCF"/>
    <w:rsid w:val="008E0048"/>
    <w:rsid w:val="008E3DE9"/>
    <w:rsid w:val="008E4376"/>
    <w:rsid w:val="008E7A0A"/>
    <w:rsid w:val="008E7B49"/>
    <w:rsid w:val="008F59F6"/>
    <w:rsid w:val="008F73B3"/>
    <w:rsid w:val="008F7596"/>
    <w:rsid w:val="00900719"/>
    <w:rsid w:val="009017AC"/>
    <w:rsid w:val="00902A9A"/>
    <w:rsid w:val="00904157"/>
    <w:rsid w:val="00904A1C"/>
    <w:rsid w:val="00905030"/>
    <w:rsid w:val="00906490"/>
    <w:rsid w:val="009111B2"/>
    <w:rsid w:val="00912121"/>
    <w:rsid w:val="00914E9C"/>
    <w:rsid w:val="009151F5"/>
    <w:rsid w:val="0091597A"/>
    <w:rsid w:val="00916D66"/>
    <w:rsid w:val="009220CA"/>
    <w:rsid w:val="00924AE1"/>
    <w:rsid w:val="009254A7"/>
    <w:rsid w:val="00925DDA"/>
    <w:rsid w:val="00925E04"/>
    <w:rsid w:val="009264B6"/>
    <w:rsid w:val="009269B1"/>
    <w:rsid w:val="0092724D"/>
    <w:rsid w:val="009272B3"/>
    <w:rsid w:val="009315BE"/>
    <w:rsid w:val="0093338F"/>
    <w:rsid w:val="00934108"/>
    <w:rsid w:val="00937BD9"/>
    <w:rsid w:val="00950C9D"/>
    <w:rsid w:val="00950E2C"/>
    <w:rsid w:val="00951D50"/>
    <w:rsid w:val="009525EB"/>
    <w:rsid w:val="00952869"/>
    <w:rsid w:val="0095470B"/>
    <w:rsid w:val="00954874"/>
    <w:rsid w:val="0095615A"/>
    <w:rsid w:val="0095726F"/>
    <w:rsid w:val="00961400"/>
    <w:rsid w:val="00963646"/>
    <w:rsid w:val="0096632D"/>
    <w:rsid w:val="009705EC"/>
    <w:rsid w:val="009718C7"/>
    <w:rsid w:val="0097559F"/>
    <w:rsid w:val="0097761E"/>
    <w:rsid w:val="00980367"/>
    <w:rsid w:val="0098129B"/>
    <w:rsid w:val="009813C7"/>
    <w:rsid w:val="00982454"/>
    <w:rsid w:val="00982CF0"/>
    <w:rsid w:val="009853E1"/>
    <w:rsid w:val="00986E6B"/>
    <w:rsid w:val="00990032"/>
    <w:rsid w:val="00990B19"/>
    <w:rsid w:val="0099153B"/>
    <w:rsid w:val="00991769"/>
    <w:rsid w:val="00991E05"/>
    <w:rsid w:val="00991E46"/>
    <w:rsid w:val="0099232C"/>
    <w:rsid w:val="00994386"/>
    <w:rsid w:val="0099488C"/>
    <w:rsid w:val="009A13D8"/>
    <w:rsid w:val="009A279E"/>
    <w:rsid w:val="009A2DC9"/>
    <w:rsid w:val="009A3015"/>
    <w:rsid w:val="009A3490"/>
    <w:rsid w:val="009A6C30"/>
    <w:rsid w:val="009B0A6F"/>
    <w:rsid w:val="009B0A94"/>
    <w:rsid w:val="009B2AE8"/>
    <w:rsid w:val="009B59E9"/>
    <w:rsid w:val="009B5DFD"/>
    <w:rsid w:val="009B6866"/>
    <w:rsid w:val="009B70AA"/>
    <w:rsid w:val="009B72F6"/>
    <w:rsid w:val="009C5E77"/>
    <w:rsid w:val="009C646C"/>
    <w:rsid w:val="009C7A7E"/>
    <w:rsid w:val="009D02E8"/>
    <w:rsid w:val="009D1D29"/>
    <w:rsid w:val="009D2402"/>
    <w:rsid w:val="009D40F9"/>
    <w:rsid w:val="009D51D0"/>
    <w:rsid w:val="009D5536"/>
    <w:rsid w:val="009D70A4"/>
    <w:rsid w:val="009D7B14"/>
    <w:rsid w:val="009E02F8"/>
    <w:rsid w:val="009E08D1"/>
    <w:rsid w:val="009E08FC"/>
    <w:rsid w:val="009E1B95"/>
    <w:rsid w:val="009E1B9E"/>
    <w:rsid w:val="009E496F"/>
    <w:rsid w:val="009E4B0D"/>
    <w:rsid w:val="009E5250"/>
    <w:rsid w:val="009E629D"/>
    <w:rsid w:val="009E7F92"/>
    <w:rsid w:val="009F02A3"/>
    <w:rsid w:val="009F09E0"/>
    <w:rsid w:val="009F2F27"/>
    <w:rsid w:val="009F34AA"/>
    <w:rsid w:val="009F5ACA"/>
    <w:rsid w:val="009F6620"/>
    <w:rsid w:val="009F6BCB"/>
    <w:rsid w:val="009F7B78"/>
    <w:rsid w:val="00A0057A"/>
    <w:rsid w:val="00A008A5"/>
    <w:rsid w:val="00A02FA1"/>
    <w:rsid w:val="00A04CCE"/>
    <w:rsid w:val="00A06353"/>
    <w:rsid w:val="00A07421"/>
    <w:rsid w:val="00A0776B"/>
    <w:rsid w:val="00A10FB9"/>
    <w:rsid w:val="00A11421"/>
    <w:rsid w:val="00A11CE7"/>
    <w:rsid w:val="00A1389F"/>
    <w:rsid w:val="00A1438E"/>
    <w:rsid w:val="00A15708"/>
    <w:rsid w:val="00A157B1"/>
    <w:rsid w:val="00A20D3C"/>
    <w:rsid w:val="00A21A4F"/>
    <w:rsid w:val="00A22229"/>
    <w:rsid w:val="00A24442"/>
    <w:rsid w:val="00A27E2A"/>
    <w:rsid w:val="00A330BB"/>
    <w:rsid w:val="00A3397B"/>
    <w:rsid w:val="00A35AC2"/>
    <w:rsid w:val="00A43CFE"/>
    <w:rsid w:val="00A4423F"/>
    <w:rsid w:val="00A44882"/>
    <w:rsid w:val="00A45125"/>
    <w:rsid w:val="00A50013"/>
    <w:rsid w:val="00A54715"/>
    <w:rsid w:val="00A6025F"/>
    <w:rsid w:val="00A60359"/>
    <w:rsid w:val="00A6061C"/>
    <w:rsid w:val="00A62B4D"/>
    <w:rsid w:val="00A62D44"/>
    <w:rsid w:val="00A67263"/>
    <w:rsid w:val="00A7161C"/>
    <w:rsid w:val="00A7233F"/>
    <w:rsid w:val="00A74395"/>
    <w:rsid w:val="00A75BE8"/>
    <w:rsid w:val="00A77AA3"/>
    <w:rsid w:val="00A77F0B"/>
    <w:rsid w:val="00A81357"/>
    <w:rsid w:val="00A8236D"/>
    <w:rsid w:val="00A854EB"/>
    <w:rsid w:val="00A872E5"/>
    <w:rsid w:val="00A91406"/>
    <w:rsid w:val="00A96E65"/>
    <w:rsid w:val="00A97C72"/>
    <w:rsid w:val="00AA08A7"/>
    <w:rsid w:val="00AA268E"/>
    <w:rsid w:val="00AA310B"/>
    <w:rsid w:val="00AA63D4"/>
    <w:rsid w:val="00AB04BB"/>
    <w:rsid w:val="00AB06E8"/>
    <w:rsid w:val="00AB1CD3"/>
    <w:rsid w:val="00AB352F"/>
    <w:rsid w:val="00AB6832"/>
    <w:rsid w:val="00AC274B"/>
    <w:rsid w:val="00AC4764"/>
    <w:rsid w:val="00AC6D36"/>
    <w:rsid w:val="00AD0CBA"/>
    <w:rsid w:val="00AD177A"/>
    <w:rsid w:val="00AD25D4"/>
    <w:rsid w:val="00AD26E2"/>
    <w:rsid w:val="00AD784C"/>
    <w:rsid w:val="00AE126A"/>
    <w:rsid w:val="00AE1BAE"/>
    <w:rsid w:val="00AE3005"/>
    <w:rsid w:val="00AE3BD5"/>
    <w:rsid w:val="00AE59A0"/>
    <w:rsid w:val="00AE6CF3"/>
    <w:rsid w:val="00AF0C57"/>
    <w:rsid w:val="00AF26F3"/>
    <w:rsid w:val="00AF58A9"/>
    <w:rsid w:val="00AF5F04"/>
    <w:rsid w:val="00AF60BC"/>
    <w:rsid w:val="00AF7011"/>
    <w:rsid w:val="00B00672"/>
    <w:rsid w:val="00B016F7"/>
    <w:rsid w:val="00B01B4D"/>
    <w:rsid w:val="00B052C6"/>
    <w:rsid w:val="00B06571"/>
    <w:rsid w:val="00B068BA"/>
    <w:rsid w:val="00B0704B"/>
    <w:rsid w:val="00B07FF7"/>
    <w:rsid w:val="00B101B5"/>
    <w:rsid w:val="00B13851"/>
    <w:rsid w:val="00B13B1C"/>
    <w:rsid w:val="00B14780"/>
    <w:rsid w:val="00B21F90"/>
    <w:rsid w:val="00B22291"/>
    <w:rsid w:val="00B23A85"/>
    <w:rsid w:val="00B23F9A"/>
    <w:rsid w:val="00B2417B"/>
    <w:rsid w:val="00B24E6F"/>
    <w:rsid w:val="00B25473"/>
    <w:rsid w:val="00B26CB5"/>
    <w:rsid w:val="00B2752E"/>
    <w:rsid w:val="00B307CC"/>
    <w:rsid w:val="00B326B7"/>
    <w:rsid w:val="00B3367D"/>
    <w:rsid w:val="00B3588E"/>
    <w:rsid w:val="00B37DDD"/>
    <w:rsid w:val="00B41F3D"/>
    <w:rsid w:val="00B431E8"/>
    <w:rsid w:val="00B45141"/>
    <w:rsid w:val="00B46DE7"/>
    <w:rsid w:val="00B519CD"/>
    <w:rsid w:val="00B5273A"/>
    <w:rsid w:val="00B5325E"/>
    <w:rsid w:val="00B57329"/>
    <w:rsid w:val="00B57FAA"/>
    <w:rsid w:val="00B60E61"/>
    <w:rsid w:val="00B62B50"/>
    <w:rsid w:val="00B635B7"/>
    <w:rsid w:val="00B63AE8"/>
    <w:rsid w:val="00B65950"/>
    <w:rsid w:val="00B66D83"/>
    <w:rsid w:val="00B672C0"/>
    <w:rsid w:val="00B676FD"/>
    <w:rsid w:val="00B70277"/>
    <w:rsid w:val="00B72F22"/>
    <w:rsid w:val="00B75646"/>
    <w:rsid w:val="00B81393"/>
    <w:rsid w:val="00B90729"/>
    <w:rsid w:val="00B907DA"/>
    <w:rsid w:val="00B93F9E"/>
    <w:rsid w:val="00B94CD5"/>
    <w:rsid w:val="00B94FCF"/>
    <w:rsid w:val="00B950BC"/>
    <w:rsid w:val="00B9714C"/>
    <w:rsid w:val="00B97C6C"/>
    <w:rsid w:val="00BA29AD"/>
    <w:rsid w:val="00BA2D0E"/>
    <w:rsid w:val="00BA33CF"/>
    <w:rsid w:val="00BA3F8D"/>
    <w:rsid w:val="00BA580E"/>
    <w:rsid w:val="00BB7A10"/>
    <w:rsid w:val="00BC3E8F"/>
    <w:rsid w:val="00BC4558"/>
    <w:rsid w:val="00BC4ED4"/>
    <w:rsid w:val="00BC60BE"/>
    <w:rsid w:val="00BC7468"/>
    <w:rsid w:val="00BC7D4F"/>
    <w:rsid w:val="00BC7ED7"/>
    <w:rsid w:val="00BD11C6"/>
    <w:rsid w:val="00BD2850"/>
    <w:rsid w:val="00BD3E50"/>
    <w:rsid w:val="00BE0185"/>
    <w:rsid w:val="00BE1BCB"/>
    <w:rsid w:val="00BE28D2"/>
    <w:rsid w:val="00BE4A64"/>
    <w:rsid w:val="00BE5E43"/>
    <w:rsid w:val="00BE62AC"/>
    <w:rsid w:val="00BF30B2"/>
    <w:rsid w:val="00BF401D"/>
    <w:rsid w:val="00BF557D"/>
    <w:rsid w:val="00BF69B5"/>
    <w:rsid w:val="00BF7871"/>
    <w:rsid w:val="00BF7F58"/>
    <w:rsid w:val="00C006C4"/>
    <w:rsid w:val="00C01381"/>
    <w:rsid w:val="00C01AB1"/>
    <w:rsid w:val="00C026A0"/>
    <w:rsid w:val="00C06137"/>
    <w:rsid w:val="00C079B8"/>
    <w:rsid w:val="00C10037"/>
    <w:rsid w:val="00C110D8"/>
    <w:rsid w:val="00C11A6E"/>
    <w:rsid w:val="00C123EA"/>
    <w:rsid w:val="00C12A49"/>
    <w:rsid w:val="00C133EE"/>
    <w:rsid w:val="00C149D0"/>
    <w:rsid w:val="00C150FD"/>
    <w:rsid w:val="00C17C08"/>
    <w:rsid w:val="00C2578D"/>
    <w:rsid w:val="00C257F7"/>
    <w:rsid w:val="00C26000"/>
    <w:rsid w:val="00C26588"/>
    <w:rsid w:val="00C27DE9"/>
    <w:rsid w:val="00C32989"/>
    <w:rsid w:val="00C33388"/>
    <w:rsid w:val="00C34334"/>
    <w:rsid w:val="00C35484"/>
    <w:rsid w:val="00C3733A"/>
    <w:rsid w:val="00C4173A"/>
    <w:rsid w:val="00C41AB8"/>
    <w:rsid w:val="00C44769"/>
    <w:rsid w:val="00C4605B"/>
    <w:rsid w:val="00C50DED"/>
    <w:rsid w:val="00C51F0A"/>
    <w:rsid w:val="00C55DEF"/>
    <w:rsid w:val="00C602FF"/>
    <w:rsid w:val="00C60D7C"/>
    <w:rsid w:val="00C61174"/>
    <w:rsid w:val="00C6148F"/>
    <w:rsid w:val="00C621B1"/>
    <w:rsid w:val="00C62F7A"/>
    <w:rsid w:val="00C63B9C"/>
    <w:rsid w:val="00C644B7"/>
    <w:rsid w:val="00C6682F"/>
    <w:rsid w:val="00C67BF4"/>
    <w:rsid w:val="00C7275E"/>
    <w:rsid w:val="00C74C5D"/>
    <w:rsid w:val="00C863C4"/>
    <w:rsid w:val="00C8746D"/>
    <w:rsid w:val="00C901FC"/>
    <w:rsid w:val="00C9047F"/>
    <w:rsid w:val="00C920EA"/>
    <w:rsid w:val="00C923E4"/>
    <w:rsid w:val="00C93C3E"/>
    <w:rsid w:val="00C958C2"/>
    <w:rsid w:val="00CA12E3"/>
    <w:rsid w:val="00CA1476"/>
    <w:rsid w:val="00CA4A93"/>
    <w:rsid w:val="00CA6611"/>
    <w:rsid w:val="00CA6AE6"/>
    <w:rsid w:val="00CA782F"/>
    <w:rsid w:val="00CB187B"/>
    <w:rsid w:val="00CB2835"/>
    <w:rsid w:val="00CB3285"/>
    <w:rsid w:val="00CB3C08"/>
    <w:rsid w:val="00CB4500"/>
    <w:rsid w:val="00CB6842"/>
    <w:rsid w:val="00CB7800"/>
    <w:rsid w:val="00CC0C72"/>
    <w:rsid w:val="00CC1AAB"/>
    <w:rsid w:val="00CC2BFD"/>
    <w:rsid w:val="00CC61F3"/>
    <w:rsid w:val="00CD3476"/>
    <w:rsid w:val="00CD4AB0"/>
    <w:rsid w:val="00CD64DF"/>
    <w:rsid w:val="00CE0837"/>
    <w:rsid w:val="00CE1E6C"/>
    <w:rsid w:val="00CE225F"/>
    <w:rsid w:val="00CF2F50"/>
    <w:rsid w:val="00CF6198"/>
    <w:rsid w:val="00CF7E3E"/>
    <w:rsid w:val="00D00BE5"/>
    <w:rsid w:val="00D02919"/>
    <w:rsid w:val="00D04C61"/>
    <w:rsid w:val="00D05B8D"/>
    <w:rsid w:val="00D065A2"/>
    <w:rsid w:val="00D079AA"/>
    <w:rsid w:val="00D07F00"/>
    <w:rsid w:val="00D1130F"/>
    <w:rsid w:val="00D11C4B"/>
    <w:rsid w:val="00D13DE9"/>
    <w:rsid w:val="00D1408D"/>
    <w:rsid w:val="00D1779D"/>
    <w:rsid w:val="00D17B72"/>
    <w:rsid w:val="00D26551"/>
    <w:rsid w:val="00D2792D"/>
    <w:rsid w:val="00D315A0"/>
    <w:rsid w:val="00D3185C"/>
    <w:rsid w:val="00D3205F"/>
    <w:rsid w:val="00D32389"/>
    <w:rsid w:val="00D3318E"/>
    <w:rsid w:val="00D33E72"/>
    <w:rsid w:val="00D35BD6"/>
    <w:rsid w:val="00D361B5"/>
    <w:rsid w:val="00D405AC"/>
    <w:rsid w:val="00D411A2"/>
    <w:rsid w:val="00D446EE"/>
    <w:rsid w:val="00D44FA1"/>
    <w:rsid w:val="00D45B36"/>
    <w:rsid w:val="00D4606D"/>
    <w:rsid w:val="00D46C92"/>
    <w:rsid w:val="00D50B9C"/>
    <w:rsid w:val="00D52D73"/>
    <w:rsid w:val="00D52E58"/>
    <w:rsid w:val="00D56B20"/>
    <w:rsid w:val="00D578B3"/>
    <w:rsid w:val="00D60CCA"/>
    <w:rsid w:val="00D61628"/>
    <w:rsid w:val="00D618D7"/>
    <w:rsid w:val="00D618F4"/>
    <w:rsid w:val="00D624F2"/>
    <w:rsid w:val="00D66CCE"/>
    <w:rsid w:val="00D676A0"/>
    <w:rsid w:val="00D714CC"/>
    <w:rsid w:val="00D73AED"/>
    <w:rsid w:val="00D73EF7"/>
    <w:rsid w:val="00D75EA7"/>
    <w:rsid w:val="00D81ADF"/>
    <w:rsid w:val="00D81F21"/>
    <w:rsid w:val="00D864F2"/>
    <w:rsid w:val="00D92B8A"/>
    <w:rsid w:val="00D92F95"/>
    <w:rsid w:val="00D940D6"/>
    <w:rsid w:val="00D943F8"/>
    <w:rsid w:val="00D95470"/>
    <w:rsid w:val="00D96B55"/>
    <w:rsid w:val="00DA2619"/>
    <w:rsid w:val="00DA4239"/>
    <w:rsid w:val="00DA65DE"/>
    <w:rsid w:val="00DB0B61"/>
    <w:rsid w:val="00DB1474"/>
    <w:rsid w:val="00DB2962"/>
    <w:rsid w:val="00DB52FB"/>
    <w:rsid w:val="00DB68C8"/>
    <w:rsid w:val="00DB709A"/>
    <w:rsid w:val="00DC013B"/>
    <w:rsid w:val="00DC090B"/>
    <w:rsid w:val="00DC0DBF"/>
    <w:rsid w:val="00DC1679"/>
    <w:rsid w:val="00DC219B"/>
    <w:rsid w:val="00DC2CF1"/>
    <w:rsid w:val="00DC4FCF"/>
    <w:rsid w:val="00DC50E0"/>
    <w:rsid w:val="00DC6386"/>
    <w:rsid w:val="00DC79D7"/>
    <w:rsid w:val="00DC7F07"/>
    <w:rsid w:val="00DD1130"/>
    <w:rsid w:val="00DD1951"/>
    <w:rsid w:val="00DD487D"/>
    <w:rsid w:val="00DD4E83"/>
    <w:rsid w:val="00DD6389"/>
    <w:rsid w:val="00DD6628"/>
    <w:rsid w:val="00DD6945"/>
    <w:rsid w:val="00DE2D04"/>
    <w:rsid w:val="00DE3250"/>
    <w:rsid w:val="00DE451A"/>
    <w:rsid w:val="00DE50CC"/>
    <w:rsid w:val="00DE6028"/>
    <w:rsid w:val="00DE78A3"/>
    <w:rsid w:val="00DF1A71"/>
    <w:rsid w:val="00DF50FC"/>
    <w:rsid w:val="00DF68C7"/>
    <w:rsid w:val="00DF731A"/>
    <w:rsid w:val="00E010CE"/>
    <w:rsid w:val="00E015E7"/>
    <w:rsid w:val="00E0243B"/>
    <w:rsid w:val="00E06B75"/>
    <w:rsid w:val="00E07ECC"/>
    <w:rsid w:val="00E11332"/>
    <w:rsid w:val="00E11352"/>
    <w:rsid w:val="00E16D6C"/>
    <w:rsid w:val="00E170DC"/>
    <w:rsid w:val="00E17546"/>
    <w:rsid w:val="00E20E21"/>
    <w:rsid w:val="00E210B5"/>
    <w:rsid w:val="00E22E33"/>
    <w:rsid w:val="00E261B3"/>
    <w:rsid w:val="00E26818"/>
    <w:rsid w:val="00E26896"/>
    <w:rsid w:val="00E27FFC"/>
    <w:rsid w:val="00E304BF"/>
    <w:rsid w:val="00E30B15"/>
    <w:rsid w:val="00E33237"/>
    <w:rsid w:val="00E34399"/>
    <w:rsid w:val="00E359E9"/>
    <w:rsid w:val="00E40181"/>
    <w:rsid w:val="00E41148"/>
    <w:rsid w:val="00E467C8"/>
    <w:rsid w:val="00E50659"/>
    <w:rsid w:val="00E54950"/>
    <w:rsid w:val="00E56A01"/>
    <w:rsid w:val="00E62622"/>
    <w:rsid w:val="00E629A1"/>
    <w:rsid w:val="00E64823"/>
    <w:rsid w:val="00E64C47"/>
    <w:rsid w:val="00E6574D"/>
    <w:rsid w:val="00E6794C"/>
    <w:rsid w:val="00E71591"/>
    <w:rsid w:val="00E71CEB"/>
    <w:rsid w:val="00E7474F"/>
    <w:rsid w:val="00E775D8"/>
    <w:rsid w:val="00E80DE3"/>
    <w:rsid w:val="00E82C55"/>
    <w:rsid w:val="00E846D8"/>
    <w:rsid w:val="00E8787E"/>
    <w:rsid w:val="00E905B1"/>
    <w:rsid w:val="00E92AC3"/>
    <w:rsid w:val="00E9511A"/>
    <w:rsid w:val="00E96689"/>
    <w:rsid w:val="00E97602"/>
    <w:rsid w:val="00EA0EF9"/>
    <w:rsid w:val="00EA1360"/>
    <w:rsid w:val="00EA2F6A"/>
    <w:rsid w:val="00EA3A7C"/>
    <w:rsid w:val="00EA3FD5"/>
    <w:rsid w:val="00EA5151"/>
    <w:rsid w:val="00EA7E0C"/>
    <w:rsid w:val="00EB00E0"/>
    <w:rsid w:val="00EC059F"/>
    <w:rsid w:val="00EC1F24"/>
    <w:rsid w:val="00EC22F6"/>
    <w:rsid w:val="00EC40D5"/>
    <w:rsid w:val="00EC7E47"/>
    <w:rsid w:val="00ED185B"/>
    <w:rsid w:val="00ED5B9B"/>
    <w:rsid w:val="00ED6BAD"/>
    <w:rsid w:val="00ED712F"/>
    <w:rsid w:val="00ED7447"/>
    <w:rsid w:val="00EE00D6"/>
    <w:rsid w:val="00EE11E7"/>
    <w:rsid w:val="00EE1488"/>
    <w:rsid w:val="00EE29AD"/>
    <w:rsid w:val="00EE3E24"/>
    <w:rsid w:val="00EE4D5D"/>
    <w:rsid w:val="00EE5131"/>
    <w:rsid w:val="00EF1076"/>
    <w:rsid w:val="00EF109B"/>
    <w:rsid w:val="00EF201C"/>
    <w:rsid w:val="00EF36AF"/>
    <w:rsid w:val="00EF48D4"/>
    <w:rsid w:val="00EF59A3"/>
    <w:rsid w:val="00EF6675"/>
    <w:rsid w:val="00EF6983"/>
    <w:rsid w:val="00F00676"/>
    <w:rsid w:val="00F00F9C"/>
    <w:rsid w:val="00F01CB2"/>
    <w:rsid w:val="00F01E5F"/>
    <w:rsid w:val="00F024F3"/>
    <w:rsid w:val="00F02ABA"/>
    <w:rsid w:val="00F0437A"/>
    <w:rsid w:val="00F04738"/>
    <w:rsid w:val="00F04B7C"/>
    <w:rsid w:val="00F101B8"/>
    <w:rsid w:val="00F11037"/>
    <w:rsid w:val="00F16F1B"/>
    <w:rsid w:val="00F250A9"/>
    <w:rsid w:val="00F267AF"/>
    <w:rsid w:val="00F30FF4"/>
    <w:rsid w:val="00F3122E"/>
    <w:rsid w:val="00F32368"/>
    <w:rsid w:val="00F331AD"/>
    <w:rsid w:val="00F35287"/>
    <w:rsid w:val="00F40775"/>
    <w:rsid w:val="00F40A70"/>
    <w:rsid w:val="00F43A37"/>
    <w:rsid w:val="00F451AB"/>
    <w:rsid w:val="00F4641B"/>
    <w:rsid w:val="00F46EB8"/>
    <w:rsid w:val="00F472F0"/>
    <w:rsid w:val="00F50CD1"/>
    <w:rsid w:val="00F511E4"/>
    <w:rsid w:val="00F52D09"/>
    <w:rsid w:val="00F52E08"/>
    <w:rsid w:val="00F53836"/>
    <w:rsid w:val="00F53A66"/>
    <w:rsid w:val="00F53DDD"/>
    <w:rsid w:val="00F53E9E"/>
    <w:rsid w:val="00F5462D"/>
    <w:rsid w:val="00F55B21"/>
    <w:rsid w:val="00F55E15"/>
    <w:rsid w:val="00F56EF6"/>
    <w:rsid w:val="00F60082"/>
    <w:rsid w:val="00F61A9F"/>
    <w:rsid w:val="00F61B5F"/>
    <w:rsid w:val="00F62952"/>
    <w:rsid w:val="00F64696"/>
    <w:rsid w:val="00F65AA9"/>
    <w:rsid w:val="00F6768F"/>
    <w:rsid w:val="00F72C2C"/>
    <w:rsid w:val="00F749E5"/>
    <w:rsid w:val="00F76CAB"/>
    <w:rsid w:val="00F772C6"/>
    <w:rsid w:val="00F812C6"/>
    <w:rsid w:val="00F815B5"/>
    <w:rsid w:val="00F81D48"/>
    <w:rsid w:val="00F8471E"/>
    <w:rsid w:val="00F84FA0"/>
    <w:rsid w:val="00F85195"/>
    <w:rsid w:val="00F86345"/>
    <w:rsid w:val="00F868E3"/>
    <w:rsid w:val="00F938BA"/>
    <w:rsid w:val="00F94AD2"/>
    <w:rsid w:val="00F94EDF"/>
    <w:rsid w:val="00F97919"/>
    <w:rsid w:val="00FA0129"/>
    <w:rsid w:val="00FA2C46"/>
    <w:rsid w:val="00FA3525"/>
    <w:rsid w:val="00FA5A53"/>
    <w:rsid w:val="00FA63DB"/>
    <w:rsid w:val="00FA6D5B"/>
    <w:rsid w:val="00FB2551"/>
    <w:rsid w:val="00FB4769"/>
    <w:rsid w:val="00FB4CDA"/>
    <w:rsid w:val="00FB4FB6"/>
    <w:rsid w:val="00FB5941"/>
    <w:rsid w:val="00FB59BA"/>
    <w:rsid w:val="00FB6423"/>
    <w:rsid w:val="00FB6481"/>
    <w:rsid w:val="00FB6D36"/>
    <w:rsid w:val="00FB7C66"/>
    <w:rsid w:val="00FC0965"/>
    <w:rsid w:val="00FC0F81"/>
    <w:rsid w:val="00FC1441"/>
    <w:rsid w:val="00FC252F"/>
    <w:rsid w:val="00FC395C"/>
    <w:rsid w:val="00FC5E8E"/>
    <w:rsid w:val="00FC60EE"/>
    <w:rsid w:val="00FD3766"/>
    <w:rsid w:val="00FD47C4"/>
    <w:rsid w:val="00FD4D2C"/>
    <w:rsid w:val="00FD722A"/>
    <w:rsid w:val="00FD7749"/>
    <w:rsid w:val="00FE16A8"/>
    <w:rsid w:val="00FE20C2"/>
    <w:rsid w:val="00FE2DCF"/>
    <w:rsid w:val="00FE3FA7"/>
    <w:rsid w:val="00FE7B0F"/>
    <w:rsid w:val="00FF2A4E"/>
    <w:rsid w:val="00FF2FCE"/>
    <w:rsid w:val="00FF38EF"/>
    <w:rsid w:val="00FF45C1"/>
    <w:rsid w:val="00FF4DE4"/>
    <w:rsid w:val="00FF4F7D"/>
    <w:rsid w:val="00FF54DF"/>
    <w:rsid w:val="00FF6D4C"/>
    <w:rsid w:val="00FF6D9D"/>
    <w:rsid w:val="00FF7DD5"/>
    <w:rsid w:val="07374075"/>
    <w:rsid w:val="0F877516"/>
    <w:rsid w:val="14188D5D"/>
    <w:rsid w:val="211BF852"/>
    <w:rsid w:val="31708234"/>
    <w:rsid w:val="34B847F3"/>
    <w:rsid w:val="377E6F8E"/>
    <w:rsid w:val="37AFAB8D"/>
    <w:rsid w:val="3DFB033D"/>
    <w:rsid w:val="4C89A6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A1205D"/>
  <w15:docId w15:val="{1E12FC71-4692-4EE6-B100-376BE164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basedOn w:val="Heading1"/>
    <w:next w:val="Body"/>
    <w:link w:val="Heading3Char"/>
    <w:uiPriority w:val="1"/>
    <w:qFormat/>
    <w:rsid w:val="007315ED"/>
    <w:pPr>
      <w:spacing w:before="0" w:after="120" w:line="360" w:lineRule="atLeast"/>
      <w:outlineLvl w:val="2"/>
    </w:pPr>
    <w:rPr>
      <w:sz w:val="28"/>
      <w:szCs w:val="28"/>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7315ED"/>
    <w:rPr>
      <w:rFonts w:ascii="Arial" w:eastAsia="MS Gothic" w:hAnsi="Arial" w:cs="Arial"/>
      <w:bCs/>
      <w:color w:val="C5511A"/>
      <w:kern w:val="32"/>
      <w:sz w:val="28"/>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semiHidden/>
    <w:unhideWhenUsed/>
    <w:rsid w:val="00F472F0"/>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link w:val="DHHSbodyChar"/>
    <w:qFormat/>
    <w:rsid w:val="006955E0"/>
    <w:pPr>
      <w:spacing w:after="120" w:line="270" w:lineRule="atLeast"/>
    </w:pPr>
    <w:rPr>
      <w:rFonts w:ascii="Arial" w:eastAsia="Times" w:hAnsi="Arial"/>
      <w:lang w:eastAsia="en-US"/>
    </w:rPr>
  </w:style>
  <w:style w:type="character" w:customStyle="1" w:styleId="DHHSbodyChar">
    <w:name w:val="DHHS body Char"/>
    <w:link w:val="DHHSbody"/>
    <w:locked/>
    <w:rsid w:val="006955E0"/>
    <w:rPr>
      <w:rFonts w:ascii="Arial" w:eastAsia="Times" w:hAnsi="Arial"/>
      <w:lang w:eastAsia="en-US"/>
    </w:rPr>
  </w:style>
  <w:style w:type="paragraph" w:customStyle="1" w:styleId="DHHSbullet1">
    <w:name w:val="DHHS bullet 1"/>
    <w:basedOn w:val="DHHSbody"/>
    <w:qFormat/>
    <w:rsid w:val="00394E9B"/>
    <w:pPr>
      <w:spacing w:after="40"/>
      <w:ind w:left="284" w:hanging="284"/>
    </w:pPr>
  </w:style>
  <w:style w:type="paragraph" w:customStyle="1" w:styleId="DHHSbullet2">
    <w:name w:val="DHHS bullet 2"/>
    <w:basedOn w:val="DHHSbody"/>
    <w:uiPriority w:val="2"/>
    <w:qFormat/>
    <w:rsid w:val="00394E9B"/>
    <w:pPr>
      <w:spacing w:after="40"/>
      <w:ind w:left="567" w:hanging="283"/>
    </w:pPr>
  </w:style>
  <w:style w:type="paragraph" w:customStyle="1" w:styleId="DHHStablebullet">
    <w:name w:val="DHHS table bullet"/>
    <w:basedOn w:val="Normal"/>
    <w:uiPriority w:val="3"/>
    <w:qFormat/>
    <w:rsid w:val="00394E9B"/>
    <w:pPr>
      <w:spacing w:before="80" w:after="60" w:line="240" w:lineRule="auto"/>
      <w:ind w:left="227" w:hanging="227"/>
    </w:pPr>
    <w:rPr>
      <w:sz w:val="20"/>
    </w:rPr>
  </w:style>
  <w:style w:type="paragraph" w:customStyle="1" w:styleId="DHHSbulletindent">
    <w:name w:val="DHHS bullet indent"/>
    <w:basedOn w:val="DHHSbody"/>
    <w:uiPriority w:val="4"/>
    <w:rsid w:val="00394E9B"/>
    <w:pPr>
      <w:spacing w:after="40"/>
      <w:ind w:left="680" w:hanging="283"/>
    </w:pPr>
  </w:style>
  <w:style w:type="paragraph" w:customStyle="1" w:styleId="DHHSbullet1lastline">
    <w:name w:val="DHHS bullet 1 last line"/>
    <w:basedOn w:val="DHHSbullet1"/>
    <w:qFormat/>
    <w:rsid w:val="00394E9B"/>
    <w:pPr>
      <w:spacing w:after="120"/>
    </w:pPr>
  </w:style>
  <w:style w:type="paragraph" w:customStyle="1" w:styleId="DHHSbullet2lastline">
    <w:name w:val="DHHS bullet 2 last line"/>
    <w:basedOn w:val="DHHSbullet2"/>
    <w:uiPriority w:val="2"/>
    <w:qFormat/>
    <w:rsid w:val="00394E9B"/>
    <w:pPr>
      <w:spacing w:after="120"/>
    </w:pPr>
  </w:style>
  <w:style w:type="paragraph" w:customStyle="1" w:styleId="DHHSbulletindentlastline">
    <w:name w:val="DHHS bullet indent last line"/>
    <w:basedOn w:val="DHHSbody"/>
    <w:uiPriority w:val="4"/>
    <w:rsid w:val="00394E9B"/>
    <w:pPr>
      <w:ind w:left="680" w:hanging="283"/>
    </w:pPr>
  </w:style>
  <w:style w:type="character" w:styleId="Mention">
    <w:name w:val="Mention"/>
    <w:basedOn w:val="DefaultParagraphFont"/>
    <w:uiPriority w:val="99"/>
    <w:unhideWhenUsed/>
    <w:rsid w:val="001E46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roviders.dffh.vic.gov.au/families-fairness-housing-health-activity-search" TargetMode="External"/><Relationship Id="rId3" Type="http://schemas.openxmlformats.org/officeDocument/2006/relationships/customXml" Target="../customXml/item3.xml"/><Relationship Id="rId21" Type="http://schemas.openxmlformats.org/officeDocument/2006/relationships/hyperlink" Target="https://www.health.vic.gov.au/home-and-community-care/hacc-program-for-younger-peopl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home-and-community-care/hacc-program-for-younger-people" TargetMode="External"/><Relationship Id="rId2" Type="http://schemas.openxmlformats.org/officeDocument/2006/relationships/customXml" Target="../customXml/item2.xml"/><Relationship Id="rId16" Type="http://schemas.openxmlformats.org/officeDocument/2006/relationships/hyperlink" Target="https://www.health.vic.gov.au/home-and-community-care/hacc-program-for-younger-people" TargetMode="External"/><Relationship Id="rId20" Type="http://schemas.openxmlformats.org/officeDocument/2006/relationships/hyperlink" Target="mailto:HACC%20PYP%20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acc-pyp@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7DF597B294F4A98F36C861432EF9F" ma:contentTypeVersion="13" ma:contentTypeDescription="Create a new document." ma:contentTypeScope="" ma:versionID="846dd2459f0c56eaaaed0dc2a5a6f4fe">
  <xsd:schema xmlns:xsd="http://www.w3.org/2001/XMLSchema" xmlns:xs="http://www.w3.org/2001/XMLSchema" xmlns:p="http://schemas.microsoft.com/office/2006/metadata/properties" xmlns:ns2="42389d11-c36f-4541-ad74-ff3ea5d48b7b" xmlns:ns3="df84df6a-26bb-47b5-ae68-96484668070c" targetNamespace="http://schemas.microsoft.com/office/2006/metadata/properties" ma:root="true" ma:fieldsID="a070d2dc52ea083283eef48f44479f23" ns2:_="" ns3:_="">
    <xsd:import namespace="42389d11-c36f-4541-ad74-ff3ea5d48b7b"/>
    <xsd:import namespace="df84df6a-26bb-47b5-ae68-9648466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89d11-c36f-4541-ad74-ff3ea5d48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4df6a-26bb-47b5-ae68-9648466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fd89-13b7-4319-8f23-ae245fe09404}" ma:internalName="TaxCatchAll" ma:showField="CatchAllData" ma:web="df84df6a-26bb-47b5-ae68-9648466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84df6a-26bb-47b5-ae68-96484668070c" xsi:nil="true"/>
    <lcf76f155ced4ddcb4097134ff3c332f xmlns="42389d11-c36f-4541-ad74-ff3ea5d48b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6E4D5-E4AA-4DA9-B3F2-90191499E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89d11-c36f-4541-ad74-ff3ea5d48b7b"/>
    <ds:schemaRef ds:uri="df84df6a-26bb-47b5-ae68-9648466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f84df6a-26bb-47b5-ae68-96484668070c"/>
    <ds:schemaRef ds:uri="42389d11-c36f-4541-ad74-ff3ea5d48b7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HACC PYP Linkages Information </vt:lpstr>
    </vt:vector>
  </TitlesOfParts>
  <Manager/>
  <Company>Victoria State Government, Department of Health</Company>
  <LinksUpToDate>false</LinksUpToDate>
  <CharactersWithSpaces>11893</CharactersWithSpaces>
  <SharedDoc>false</SharedDoc>
  <HyperlinkBase/>
  <HLinks>
    <vt:vector size="60" baseType="variant">
      <vt:variant>
        <vt:i4>7929885</vt:i4>
      </vt:variant>
      <vt:variant>
        <vt:i4>51</vt:i4>
      </vt:variant>
      <vt:variant>
        <vt:i4>0</vt:i4>
      </vt:variant>
      <vt:variant>
        <vt:i4>5</vt:i4>
      </vt:variant>
      <vt:variant>
        <vt:lpwstr>mailto:hacc-pyp@health.vic.gov.au</vt:lpwstr>
      </vt:variant>
      <vt:variant>
        <vt:lpwstr/>
      </vt:variant>
      <vt:variant>
        <vt:i4>7929885</vt:i4>
      </vt:variant>
      <vt:variant>
        <vt:i4>48</vt:i4>
      </vt:variant>
      <vt:variant>
        <vt:i4>0</vt:i4>
      </vt:variant>
      <vt:variant>
        <vt:i4>5</vt:i4>
      </vt:variant>
      <vt:variant>
        <vt:lpwstr>mailto:hacc-pyp@health.vic.gov.au</vt:lpwstr>
      </vt:variant>
      <vt:variant>
        <vt:lpwstr/>
      </vt:variant>
      <vt:variant>
        <vt:i4>4128893</vt:i4>
      </vt:variant>
      <vt:variant>
        <vt:i4>45</vt:i4>
      </vt:variant>
      <vt:variant>
        <vt:i4>0</vt:i4>
      </vt:variant>
      <vt:variant>
        <vt:i4>5</vt:i4>
      </vt:variant>
      <vt:variant>
        <vt:lpwstr>https://providers.dffh.vic.gov.au/families-fairness-housing-health-activity-search</vt:lpwstr>
      </vt:variant>
      <vt:variant>
        <vt:lpwstr/>
      </vt:variant>
      <vt:variant>
        <vt:i4>4522075</vt:i4>
      </vt:variant>
      <vt:variant>
        <vt:i4>42</vt:i4>
      </vt:variant>
      <vt:variant>
        <vt:i4>0</vt:i4>
      </vt:variant>
      <vt:variant>
        <vt:i4>5</vt:i4>
      </vt:variant>
      <vt:variant>
        <vt:lpwstr>https://www.health.vic.gov.au/home-and-community-care/hacc-program-for-younger-people</vt:lpwstr>
      </vt:variant>
      <vt:variant>
        <vt:lpwstr/>
      </vt:variant>
      <vt:variant>
        <vt:i4>2031668</vt:i4>
      </vt:variant>
      <vt:variant>
        <vt:i4>35</vt:i4>
      </vt:variant>
      <vt:variant>
        <vt:i4>0</vt:i4>
      </vt:variant>
      <vt:variant>
        <vt:i4>5</vt:i4>
      </vt:variant>
      <vt:variant>
        <vt:lpwstr/>
      </vt:variant>
      <vt:variant>
        <vt:lpwstr>_Toc225416280</vt:lpwstr>
      </vt:variant>
      <vt:variant>
        <vt:i4>1048628</vt:i4>
      </vt:variant>
      <vt:variant>
        <vt:i4>29</vt:i4>
      </vt:variant>
      <vt:variant>
        <vt:i4>0</vt:i4>
      </vt:variant>
      <vt:variant>
        <vt:i4>5</vt:i4>
      </vt:variant>
      <vt:variant>
        <vt:lpwstr/>
      </vt:variant>
      <vt:variant>
        <vt:lpwstr>_Toc225416279</vt:lpwstr>
      </vt:variant>
      <vt:variant>
        <vt:i4>1048628</vt:i4>
      </vt:variant>
      <vt:variant>
        <vt:i4>23</vt:i4>
      </vt:variant>
      <vt:variant>
        <vt:i4>0</vt:i4>
      </vt:variant>
      <vt:variant>
        <vt:i4>5</vt:i4>
      </vt:variant>
      <vt:variant>
        <vt:lpwstr/>
      </vt:variant>
      <vt:variant>
        <vt:lpwstr>_Toc225416278</vt:lpwstr>
      </vt:variant>
      <vt:variant>
        <vt:i4>1048628</vt:i4>
      </vt:variant>
      <vt:variant>
        <vt:i4>17</vt:i4>
      </vt:variant>
      <vt:variant>
        <vt:i4>0</vt:i4>
      </vt:variant>
      <vt:variant>
        <vt:i4>5</vt:i4>
      </vt:variant>
      <vt:variant>
        <vt:lpwstr/>
      </vt:variant>
      <vt:variant>
        <vt:lpwstr>_Toc225416277</vt:lpwstr>
      </vt:variant>
      <vt:variant>
        <vt:i4>1048628</vt:i4>
      </vt:variant>
      <vt:variant>
        <vt:i4>11</vt:i4>
      </vt:variant>
      <vt:variant>
        <vt:i4>0</vt:i4>
      </vt:variant>
      <vt:variant>
        <vt:i4>5</vt:i4>
      </vt:variant>
      <vt:variant>
        <vt:lpwstr/>
      </vt:variant>
      <vt:variant>
        <vt:lpwstr>_Toc225416276</vt:lpwstr>
      </vt:variant>
      <vt:variant>
        <vt:i4>1048628</vt:i4>
      </vt:variant>
      <vt:variant>
        <vt:i4>5</vt:i4>
      </vt:variant>
      <vt:variant>
        <vt:i4>0</vt:i4>
      </vt:variant>
      <vt:variant>
        <vt:i4>5</vt:i4>
      </vt:variant>
      <vt:variant>
        <vt:lpwstr/>
      </vt:variant>
      <vt:variant>
        <vt:lpwstr>_Toc225416275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 PYP Linkages Information </dc:title>
  <dc:subject/>
  <dc:creator>HACC PYP</dc:creator>
  <cp:keywords/>
  <dc:description/>
  <cp:lastModifiedBy>Tyler McPherson (Health)</cp:lastModifiedBy>
  <cp:revision>3</cp:revision>
  <cp:lastPrinted>2020-03-30T21:28:00Z</cp:lastPrinted>
  <dcterms:created xsi:type="dcterms:W3CDTF">2026-05-20T04:39:00Z</dcterms:created>
  <dcterms:modified xsi:type="dcterms:W3CDTF">2026-05-20T04:39:00Z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0x0101008BA7DF597B294F4A98F36C861432EF9F</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2021-03-15T04:36:44Z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