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729E" w14:textId="4EEC28B0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176DA2E9" wp14:editId="76DEBDE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610F48" w14:textId="77777777" w:rsidR="00A62D44" w:rsidRPr="004C6EEE" w:rsidRDefault="00A62D44" w:rsidP="00EC40D5">
      <w:pPr>
        <w:pStyle w:val="Sectionbreakfirstpage"/>
        <w:sectPr w:rsidR="00A62D44" w:rsidRPr="004C6EEE" w:rsidSect="003C396B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1020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0FDADCED" w14:textId="77777777" w:rsidTr="00ED641B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0942EF9" w14:textId="77777777" w:rsidR="003B5733" w:rsidRPr="003B5733" w:rsidRDefault="00886938" w:rsidP="003B5733">
            <w:pPr>
              <w:pStyle w:val="Documenttitle"/>
            </w:pPr>
            <w:bookmarkStart w:id="0" w:name="_Hlk205976161"/>
            <w:r>
              <w:t>Blood Matters on the Bench and Beyond</w:t>
            </w:r>
          </w:p>
        </w:tc>
      </w:tr>
      <w:tr w:rsidR="003B5733" w14:paraId="529A2777" w14:textId="77777777" w:rsidTr="00ED641B">
        <w:tc>
          <w:tcPr>
            <w:tcW w:w="10348" w:type="dxa"/>
          </w:tcPr>
          <w:p w14:paraId="5A5A3B19" w14:textId="3F5B37CF" w:rsidR="003B5733" w:rsidRPr="00A1389F" w:rsidRDefault="00886938" w:rsidP="005F44C0">
            <w:pPr>
              <w:pStyle w:val="Documentsubtitle"/>
            </w:pPr>
            <w:r>
              <w:t xml:space="preserve">Issue </w:t>
            </w:r>
            <w:r w:rsidR="00470D65">
              <w:t>2</w:t>
            </w:r>
            <w:r w:rsidR="00DB35E8">
              <w:t>6</w:t>
            </w:r>
            <w:r>
              <w:t xml:space="preserve"> –</w:t>
            </w:r>
            <w:r w:rsidR="001C7DF7">
              <w:t xml:space="preserve"> </w:t>
            </w:r>
            <w:r w:rsidR="00DB35E8">
              <w:t>May</w:t>
            </w:r>
            <w:r w:rsidR="001D517C">
              <w:t xml:space="preserve"> 202</w:t>
            </w:r>
            <w:r w:rsidR="002F3A22">
              <w:t>6</w:t>
            </w:r>
          </w:p>
        </w:tc>
      </w:tr>
      <w:tr w:rsidR="003B5733" w14:paraId="477E2524" w14:textId="77777777" w:rsidTr="00ED641B">
        <w:tc>
          <w:tcPr>
            <w:tcW w:w="10348" w:type="dxa"/>
          </w:tcPr>
          <w:p w14:paraId="7EE8E3F5" w14:textId="52CA47C8" w:rsidR="003B5733" w:rsidRPr="001E5058" w:rsidRDefault="006B55FB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4D63A8B9" w14:textId="77777777" w:rsidR="00580394" w:rsidRPr="00234D63" w:rsidRDefault="00580394" w:rsidP="00234D63">
      <w:pPr>
        <w:pStyle w:val="Body"/>
        <w:sectPr w:rsidR="00580394" w:rsidRPr="00234D63" w:rsidSect="003C396B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34CA876" w14:textId="334FF085" w:rsidR="0050221C" w:rsidRDefault="0050221C" w:rsidP="00A50C79">
      <w:pPr>
        <w:pStyle w:val="Body"/>
        <w:ind w:left="142"/>
      </w:pPr>
      <w:r w:rsidRPr="00234D63">
        <w:t xml:space="preserve">Welcome to the Blood Matters newsletter for Scientists. </w:t>
      </w:r>
    </w:p>
    <w:p w14:paraId="26E4C1B5" w14:textId="1D694B1A" w:rsidR="00747DB1" w:rsidRDefault="00DE2E3B" w:rsidP="00A50C79">
      <w:pPr>
        <w:pStyle w:val="Heading2"/>
        <w:ind w:left="142"/>
      </w:pPr>
      <w:r>
        <w:t xml:space="preserve">Save the date: </w:t>
      </w:r>
      <w:r w:rsidR="00747DB1">
        <w:t xml:space="preserve">Blood Management Summit for Scientists </w:t>
      </w:r>
    </w:p>
    <w:p w14:paraId="412EE1E0" w14:textId="1B9F0CB1" w:rsidR="00DE2E3B" w:rsidRPr="00DE2E3B" w:rsidRDefault="00DE2E3B" w:rsidP="00A50C79">
      <w:pPr>
        <w:pStyle w:val="Heading3"/>
        <w:ind w:left="14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2E6801D" wp14:editId="1BC57598">
            <wp:simplePos x="0" y="0"/>
            <wp:positionH relativeFrom="column">
              <wp:posOffset>127138</wp:posOffset>
            </wp:positionH>
            <wp:positionV relativeFrom="paragraph">
              <wp:posOffset>143510</wp:posOffset>
            </wp:positionV>
            <wp:extent cx="886460" cy="914400"/>
            <wp:effectExtent l="0" t="0" r="8890" b="0"/>
            <wp:wrapTight wrapText="bothSides">
              <wp:wrapPolygon edited="0">
                <wp:start x="2321" y="0"/>
                <wp:lineTo x="0" y="1350"/>
                <wp:lineTo x="0" y="18450"/>
                <wp:lineTo x="11140" y="21150"/>
                <wp:lineTo x="18567" y="21150"/>
                <wp:lineTo x="21352" y="18450"/>
                <wp:lineTo x="21352" y="11250"/>
                <wp:lineTo x="18103" y="7200"/>
                <wp:lineTo x="17639" y="1800"/>
                <wp:lineTo x="14390" y="0"/>
                <wp:lineTo x="2321" y="0"/>
              </wp:wrapPolygon>
            </wp:wrapTight>
            <wp:docPr id="655581183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81183" name="Picture 65558118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0C79">
        <w:t xml:space="preserve">  </w:t>
      </w:r>
      <w:r w:rsidRPr="00DE2E3B">
        <w:t>Wednesday 1</w:t>
      </w:r>
      <w:r>
        <w:t>8</w:t>
      </w:r>
      <w:r w:rsidRPr="00DE2E3B">
        <w:t xml:space="preserve"> </w:t>
      </w:r>
      <w:r>
        <w:t>November 2026</w:t>
      </w:r>
    </w:p>
    <w:p w14:paraId="3E9C3208" w14:textId="77777777" w:rsidR="00DE2E3B" w:rsidRPr="00DE2E3B" w:rsidRDefault="00DE2E3B" w:rsidP="00A50C79">
      <w:pPr>
        <w:pStyle w:val="Body"/>
        <w:ind w:left="142"/>
        <w:rPr>
          <w:bCs/>
        </w:rPr>
      </w:pPr>
      <w:r w:rsidRPr="00DE2E3B">
        <w:rPr>
          <w:bCs/>
        </w:rPr>
        <w:t>10.00am – 3.30pm (time TBC)</w:t>
      </w:r>
    </w:p>
    <w:p w14:paraId="093826B7" w14:textId="77777777" w:rsidR="00DE2E3B" w:rsidRPr="00DE2E3B" w:rsidRDefault="00DE2E3B" w:rsidP="00A50C79">
      <w:pPr>
        <w:pStyle w:val="Body"/>
        <w:ind w:left="142"/>
      </w:pPr>
      <w:r w:rsidRPr="00DE2E3B">
        <w:t>Australian Red Cross Lifeblood, Melbourne Processing Centre, West Melbourne</w:t>
      </w:r>
    </w:p>
    <w:p w14:paraId="3E630878" w14:textId="6DE7A361" w:rsidR="00DE2E3B" w:rsidRPr="00DE2E3B" w:rsidRDefault="00DE2E3B" w:rsidP="00A50C79">
      <w:pPr>
        <w:pStyle w:val="Body"/>
        <w:ind w:left="142"/>
        <w:rPr>
          <w:b/>
          <w:bCs/>
        </w:rPr>
      </w:pPr>
      <w:r w:rsidRPr="00DE2E3B">
        <w:rPr>
          <w:b/>
          <w:bCs/>
        </w:rPr>
        <w:t>Mark the date in your calendar, further details to follow later in the year.</w:t>
      </w:r>
    </w:p>
    <w:p w14:paraId="52202762" w14:textId="4D7E14ED" w:rsidR="00DB35E8" w:rsidRDefault="00DB35E8" w:rsidP="00A50C79">
      <w:pPr>
        <w:pStyle w:val="Heading2"/>
        <w:ind w:left="142"/>
      </w:pPr>
      <w:r>
        <w:t>Traceability and fate of blood and blood products</w:t>
      </w:r>
    </w:p>
    <w:p w14:paraId="43C87052" w14:textId="11D7CEA3" w:rsidR="00DB35E8" w:rsidRDefault="008078DE" w:rsidP="00161D5C">
      <w:pPr>
        <w:pStyle w:val="Body"/>
        <w:ind w:left="284" w:hanging="142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6BC7F25" wp14:editId="3687CF5B">
            <wp:simplePos x="0" y="0"/>
            <wp:positionH relativeFrom="column">
              <wp:posOffset>3924300</wp:posOffset>
            </wp:positionH>
            <wp:positionV relativeFrom="paragraph">
              <wp:posOffset>201930</wp:posOffset>
            </wp:positionV>
            <wp:extent cx="1854835" cy="1854835"/>
            <wp:effectExtent l="0" t="0" r="0" b="0"/>
            <wp:wrapNone/>
            <wp:docPr id="131074428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74428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54835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5B7">
        <w:t>B</w:t>
      </w:r>
      <w:r w:rsidR="00DB35E8">
        <w:t>lood and blood product</w:t>
      </w:r>
      <w:r w:rsidR="007605B7">
        <w:t>s</w:t>
      </w:r>
      <w:r w:rsidR="00DB35E8">
        <w:t xml:space="preserve"> </w:t>
      </w:r>
      <w:r w:rsidR="00DB35E8" w:rsidRPr="007605B7">
        <w:rPr>
          <w:b/>
          <w:bCs/>
        </w:rPr>
        <w:t>must</w:t>
      </w:r>
      <w:r w:rsidR="00DB35E8">
        <w:t xml:space="preserve"> be </w:t>
      </w:r>
      <w:r w:rsidR="00294D55" w:rsidRPr="006851CB">
        <w:rPr>
          <w:b/>
          <w:bCs/>
        </w:rPr>
        <w:t>traceable</w:t>
      </w:r>
      <w:r w:rsidR="00294D55">
        <w:t xml:space="preserve"> </w:t>
      </w:r>
      <w:r w:rsidR="00DB35E8" w:rsidRPr="007605B7">
        <w:rPr>
          <w:b/>
          <w:bCs/>
        </w:rPr>
        <w:t xml:space="preserve">throughout </w:t>
      </w:r>
      <w:r w:rsidR="00E577E2" w:rsidRPr="007605B7">
        <w:rPr>
          <w:b/>
          <w:bCs/>
        </w:rPr>
        <w:t>every step</w:t>
      </w:r>
      <w:r w:rsidR="00E577E2">
        <w:t xml:space="preserve"> of </w:t>
      </w:r>
      <w:r w:rsidR="00DB35E8">
        <w:t>the blood supply chain</w:t>
      </w:r>
      <w:r w:rsidR="00294D55">
        <w:t xml:space="preserve"> including</w:t>
      </w:r>
      <w:r w:rsidR="00DB35E8">
        <w:t xml:space="preserve">: </w:t>
      </w:r>
    </w:p>
    <w:p w14:paraId="3899FDC0" w14:textId="4C9F2F8A" w:rsidR="00DB35E8" w:rsidRDefault="00DB35E8" w:rsidP="008078DE">
      <w:pPr>
        <w:pStyle w:val="Body"/>
        <w:numPr>
          <w:ilvl w:val="0"/>
          <w:numId w:val="12"/>
        </w:numPr>
        <w:ind w:left="567"/>
      </w:pPr>
      <w:r>
        <w:t>From the time of donation to dispatch by Lifeblood</w:t>
      </w:r>
    </w:p>
    <w:p w14:paraId="475FE27F" w14:textId="74EAE03F" w:rsidR="00DB35E8" w:rsidRDefault="00DB35E8" w:rsidP="008078DE">
      <w:pPr>
        <w:pStyle w:val="Body"/>
        <w:numPr>
          <w:ilvl w:val="0"/>
          <w:numId w:val="12"/>
        </w:numPr>
        <w:ind w:left="567"/>
      </w:pPr>
      <w:r>
        <w:t>To initial receipt by the transfusion laboratory, along with:</w:t>
      </w:r>
    </w:p>
    <w:p w14:paraId="210511E0" w14:textId="4FBDE1C3" w:rsidR="00DB35E8" w:rsidRDefault="00294D55" w:rsidP="008078DE">
      <w:pPr>
        <w:pStyle w:val="Body"/>
        <w:numPr>
          <w:ilvl w:val="1"/>
          <w:numId w:val="14"/>
        </w:numPr>
        <w:ind w:left="851"/>
      </w:pPr>
      <w:r>
        <w:t>r</w:t>
      </w:r>
      <w:r w:rsidR="00DB35E8">
        <w:t>ecording</w:t>
      </w:r>
      <w:r>
        <w:t xml:space="preserve"> movement</w:t>
      </w:r>
      <w:r w:rsidR="00DB35E8">
        <w:t xml:space="preserve"> in and out of remote blood fridges</w:t>
      </w:r>
    </w:p>
    <w:p w14:paraId="3BACC590" w14:textId="351DCAA3" w:rsidR="00DB35E8" w:rsidRDefault="00DB35E8" w:rsidP="008078DE">
      <w:pPr>
        <w:pStyle w:val="Body"/>
        <w:numPr>
          <w:ilvl w:val="1"/>
          <w:numId w:val="14"/>
        </w:numPr>
        <w:ind w:left="851"/>
      </w:pPr>
      <w:r>
        <w:t>any subsequent transfers to another facility</w:t>
      </w:r>
    </w:p>
    <w:p w14:paraId="7A59C1EC" w14:textId="6F711FF3" w:rsidR="00DB35E8" w:rsidRDefault="00DB35E8" w:rsidP="008078DE">
      <w:pPr>
        <w:pStyle w:val="Body"/>
        <w:numPr>
          <w:ilvl w:val="0"/>
          <w:numId w:val="12"/>
        </w:numPr>
        <w:ind w:left="567"/>
      </w:pPr>
      <w:r>
        <w:t xml:space="preserve">To its </w:t>
      </w:r>
      <w:proofErr w:type="gramStart"/>
      <w:r>
        <w:t>ultimate fate</w:t>
      </w:r>
      <w:proofErr w:type="gramEnd"/>
      <w:r>
        <w:t>:</w:t>
      </w:r>
    </w:p>
    <w:p w14:paraId="77AC5F98" w14:textId="0C9F7E9B" w:rsidR="00DB35E8" w:rsidRDefault="00294D55" w:rsidP="008078DE">
      <w:pPr>
        <w:pStyle w:val="Body"/>
        <w:numPr>
          <w:ilvl w:val="1"/>
          <w:numId w:val="15"/>
        </w:numPr>
        <w:ind w:left="851"/>
      </w:pPr>
      <w:r>
        <w:t>t</w:t>
      </w:r>
      <w:r w:rsidR="00DB35E8">
        <w:t>ransfused to a patient</w:t>
      </w:r>
    </w:p>
    <w:p w14:paraId="26438ABF" w14:textId="3D6478C9" w:rsidR="00DB35E8" w:rsidRDefault="00294D55" w:rsidP="008078DE">
      <w:pPr>
        <w:pStyle w:val="Body"/>
        <w:numPr>
          <w:ilvl w:val="1"/>
          <w:numId w:val="15"/>
        </w:numPr>
        <w:ind w:left="851"/>
      </w:pPr>
      <w:r>
        <w:t>d</w:t>
      </w:r>
      <w:r w:rsidR="00DB35E8">
        <w:t>iscarded (</w:t>
      </w:r>
      <w:r w:rsidR="007605B7">
        <w:t xml:space="preserve">along </w:t>
      </w:r>
      <w:r w:rsidR="00DB35E8">
        <w:t>with discard reason)</w:t>
      </w:r>
      <w:r>
        <w:t>.</w:t>
      </w:r>
    </w:p>
    <w:p w14:paraId="1EC59BDF" w14:textId="77777777" w:rsidR="00C44C1C" w:rsidRDefault="00DB35E8" w:rsidP="00161D5C">
      <w:pPr>
        <w:pStyle w:val="Body"/>
        <w:ind w:left="142"/>
      </w:pPr>
      <w:r>
        <w:t>In the event of an adverse event or recall, the blood or</w:t>
      </w:r>
      <w:r w:rsidR="007605B7">
        <w:t xml:space="preserve"> blood</w:t>
      </w:r>
      <w:r>
        <w:t xml:space="preserve"> product </w:t>
      </w:r>
      <w:r w:rsidRPr="007605B7">
        <w:t xml:space="preserve">must </w:t>
      </w:r>
      <w:r>
        <w:t xml:space="preserve">be able to be traced. </w:t>
      </w:r>
      <w:r w:rsidR="00C44C1C" w:rsidRPr="00C44C1C">
        <w:t>Maintaining traceable transfusion records ensures clinicians can promptly identify and manage patients who have received blood or blood products, supporting patient safety.</w:t>
      </w:r>
    </w:p>
    <w:p w14:paraId="7929C2A1" w14:textId="5F2EBAEA" w:rsidR="00161D5C" w:rsidRDefault="00161D5C" w:rsidP="00161D5C">
      <w:pPr>
        <w:pStyle w:val="Body"/>
        <w:ind w:left="142"/>
      </w:pPr>
      <w:r>
        <w:t xml:space="preserve">Where there has been </w:t>
      </w:r>
      <w:r w:rsidRPr="00161D5C">
        <w:rPr>
          <w:b/>
          <w:bCs/>
        </w:rPr>
        <w:t>partial transfusion</w:t>
      </w:r>
      <w:r>
        <w:t xml:space="preserve"> of blood components or products (even only </w:t>
      </w:r>
      <w:r w:rsidR="003227E3">
        <w:t>0.5</w:t>
      </w:r>
      <w:r>
        <w:t xml:space="preserve">mL), the final fate must be recorded as </w:t>
      </w:r>
      <w:r w:rsidRPr="007605B7">
        <w:rPr>
          <w:b/>
          <w:bCs/>
        </w:rPr>
        <w:t>transfused to the patient</w:t>
      </w:r>
      <w:r>
        <w:t xml:space="preserve">. Any partially transfused blood or blood products </w:t>
      </w:r>
      <w:r w:rsidRPr="00161D5C">
        <w:rPr>
          <w:b/>
          <w:bCs/>
        </w:rPr>
        <w:t>must not be discarded</w:t>
      </w:r>
      <w:r>
        <w:t xml:space="preserve"> in BloodNet</w:t>
      </w:r>
      <w:r w:rsidR="007605B7">
        <w:t>, even if most of the bag is discarded</w:t>
      </w:r>
      <w:r>
        <w:t xml:space="preserve">. </w:t>
      </w:r>
    </w:p>
    <w:p w14:paraId="0BC02F4E" w14:textId="0B5AC6C0" w:rsidR="00161D5C" w:rsidRDefault="00161D5C" w:rsidP="00161D5C">
      <w:pPr>
        <w:pStyle w:val="Body"/>
        <w:ind w:left="142"/>
      </w:pPr>
      <w:r>
        <w:t xml:space="preserve">More information on traceability is available on the </w:t>
      </w:r>
      <w:hyperlink r:id="rId18" w:history="1">
        <w:r w:rsidRPr="00161D5C">
          <w:rPr>
            <w:rStyle w:val="Hyperlink"/>
          </w:rPr>
          <w:t>Lifeblood webpage</w:t>
        </w:r>
      </w:hyperlink>
      <w:r>
        <w:rPr>
          <w:rStyle w:val="FootnoteReference"/>
        </w:rPr>
        <w:footnoteReference w:id="1"/>
      </w:r>
      <w:r>
        <w:t>.</w:t>
      </w:r>
    </w:p>
    <w:p w14:paraId="7DDE9C0F" w14:textId="0D539C76" w:rsidR="00161D5C" w:rsidRDefault="006D64AD" w:rsidP="00161D5C">
      <w:pPr>
        <w:pStyle w:val="Heading2"/>
        <w:ind w:left="142"/>
      </w:pPr>
      <w:r>
        <w:t>BloodNet comments - m</w:t>
      </w:r>
      <w:r w:rsidR="002468B1">
        <w:t>aintaining p</w:t>
      </w:r>
      <w:r w:rsidR="00161D5C">
        <w:t>atient confidentiality</w:t>
      </w:r>
      <w:r>
        <w:t xml:space="preserve"> </w:t>
      </w:r>
    </w:p>
    <w:p w14:paraId="1A8F9211" w14:textId="0BC5F562" w:rsidR="00161D5C" w:rsidRDefault="00161D5C" w:rsidP="00161D5C">
      <w:pPr>
        <w:pStyle w:val="Body"/>
        <w:ind w:left="142"/>
      </w:pPr>
      <w:r>
        <w:t xml:space="preserve">There are circumstances where patient details need to be entered into BloodNet (for example when </w:t>
      </w:r>
      <w:r w:rsidR="002468B1">
        <w:t xml:space="preserve">placing a special order for </w:t>
      </w:r>
      <w:r>
        <w:t xml:space="preserve">patient specific blood components). </w:t>
      </w:r>
    </w:p>
    <w:p w14:paraId="34ACBD4F" w14:textId="748E083C" w:rsidR="002468B1" w:rsidRDefault="002468B1" w:rsidP="00161D5C">
      <w:pPr>
        <w:pStyle w:val="Body"/>
        <w:ind w:left="142"/>
      </w:pPr>
      <w:r>
        <w:lastRenderedPageBreak/>
        <w:t xml:space="preserve">Blood Sector Systems (including BloodNet and BloodPortal) comply with </w:t>
      </w:r>
      <w:hyperlink r:id="rId19" w:history="1">
        <w:r w:rsidRPr="002468B1">
          <w:rPr>
            <w:rStyle w:val="Hyperlink"/>
          </w:rPr>
          <w:t>Australian Government’s security strategies</w:t>
        </w:r>
      </w:hyperlink>
      <w:r>
        <w:rPr>
          <w:rStyle w:val="FootnoteReference"/>
        </w:rPr>
        <w:footnoteReference w:id="2"/>
      </w:r>
      <w:r>
        <w:t xml:space="preserve"> to </w:t>
      </w:r>
      <w:r w:rsidR="00EC1C6D">
        <w:t xml:space="preserve">keep sensitive health information stored in the </w:t>
      </w:r>
      <w:r w:rsidR="00B06872">
        <w:t xml:space="preserve">secure </w:t>
      </w:r>
      <w:r w:rsidR="00EC1C6D">
        <w:t>systems</w:t>
      </w:r>
      <w:r>
        <w:t>.</w:t>
      </w:r>
    </w:p>
    <w:p w14:paraId="57A226F5" w14:textId="77777777" w:rsidR="00124AB7" w:rsidRDefault="00EC1C6D" w:rsidP="008078DE">
      <w:pPr>
        <w:pStyle w:val="Body"/>
        <w:ind w:left="142"/>
        <w:rPr>
          <w:b/>
          <w:bCs/>
        </w:rPr>
      </w:pPr>
      <w:r w:rsidRPr="00EE08D8">
        <w:rPr>
          <w:b/>
          <w:bCs/>
        </w:rPr>
        <w:t>Patient i</w:t>
      </w:r>
      <w:r w:rsidR="008078DE">
        <w:rPr>
          <w:b/>
          <w:bCs/>
        </w:rPr>
        <w:t>dentifiers</w:t>
      </w:r>
      <w:r w:rsidRPr="00EE08D8">
        <w:rPr>
          <w:b/>
          <w:bCs/>
        </w:rPr>
        <w:t xml:space="preserve"> should only be entered </w:t>
      </w:r>
      <w:r w:rsidR="008078DE">
        <w:rPr>
          <w:b/>
          <w:bCs/>
        </w:rPr>
        <w:t xml:space="preserve">in BloodNet </w:t>
      </w:r>
      <w:r w:rsidRPr="00EE08D8">
        <w:rPr>
          <w:b/>
          <w:bCs/>
        </w:rPr>
        <w:t xml:space="preserve">when </w:t>
      </w:r>
      <w:r w:rsidR="008078DE" w:rsidRPr="00EE08D8">
        <w:rPr>
          <w:b/>
          <w:bCs/>
        </w:rPr>
        <w:t>ne</w:t>
      </w:r>
      <w:r w:rsidR="008078DE">
        <w:rPr>
          <w:b/>
          <w:bCs/>
        </w:rPr>
        <w:t>cessary to place orders</w:t>
      </w:r>
      <w:r w:rsidR="00124AB7">
        <w:rPr>
          <w:b/>
          <w:bCs/>
        </w:rPr>
        <w:t>.</w:t>
      </w:r>
    </w:p>
    <w:p w14:paraId="002DCBF3" w14:textId="10D7BE76" w:rsidR="00EC1C6D" w:rsidRDefault="00124AB7" w:rsidP="008078DE">
      <w:pPr>
        <w:pStyle w:val="Body"/>
        <w:ind w:left="142"/>
      </w:pPr>
      <w:r>
        <w:rPr>
          <w:b/>
          <w:bCs/>
        </w:rPr>
        <w:t>P</w:t>
      </w:r>
      <w:r w:rsidR="008078DE" w:rsidRPr="008078DE">
        <w:rPr>
          <w:b/>
          <w:bCs/>
        </w:rPr>
        <w:t>atient names should not</w:t>
      </w:r>
      <w:r w:rsidR="008078DE">
        <w:rPr>
          <w:b/>
          <w:bCs/>
        </w:rPr>
        <w:t xml:space="preserve"> be</w:t>
      </w:r>
      <w:r w:rsidR="008078DE" w:rsidRPr="008078DE">
        <w:rPr>
          <w:b/>
          <w:bCs/>
        </w:rPr>
        <w:t xml:space="preserve"> used when discarding blood and blood products</w:t>
      </w:r>
      <w:r w:rsidR="008078DE">
        <w:t xml:space="preserve">. </w:t>
      </w:r>
      <w:r w:rsidR="00EC1C6D">
        <w:t xml:space="preserve">Unique Record Numbers (URN) or </w:t>
      </w:r>
      <w:r w:rsidR="008078DE">
        <w:t>Laboratory Accession Numbers</w:t>
      </w:r>
      <w:r w:rsidR="00EC1C6D">
        <w:t xml:space="preserve"> can be used if needed, as these can then be entered into your Laboratory Information System (LIS) to provide further patient information</w:t>
      </w:r>
      <w:r w:rsidR="008078DE">
        <w:t xml:space="preserve"> for follow-up</w:t>
      </w:r>
      <w:r w:rsidR="00EC1C6D">
        <w:t xml:space="preserve">. </w:t>
      </w:r>
    </w:p>
    <w:p w14:paraId="212AC88C" w14:textId="6956E7E2" w:rsidR="00EC1C6D" w:rsidRDefault="00EC1C6D" w:rsidP="00161D5C">
      <w:pPr>
        <w:pStyle w:val="Body"/>
        <w:ind w:left="142"/>
      </w:pPr>
      <w:r>
        <w:t xml:space="preserve">Likewise, staff member’s names should not be entered into BloodNet notes – use initials if required which can then be linked back to your internal reporting systems (for example Riskman) if needed. </w:t>
      </w:r>
    </w:p>
    <w:p w14:paraId="2577F6EB" w14:textId="00F1B670" w:rsidR="00EC1C6D" w:rsidRPr="00DB35E8" w:rsidRDefault="008078DE" w:rsidP="00161D5C">
      <w:pPr>
        <w:pStyle w:val="Body"/>
        <w:ind w:left="142"/>
      </w:pPr>
      <w:r>
        <w:t>Providing</w:t>
      </w:r>
      <w:r w:rsidR="00EC1C6D">
        <w:t xml:space="preserve"> patient details only when </w:t>
      </w:r>
      <w:proofErr w:type="gramStart"/>
      <w:r w:rsidR="00EC1C6D">
        <w:t>necessary</w:t>
      </w:r>
      <w:proofErr w:type="gramEnd"/>
      <w:r w:rsidR="00EC1C6D">
        <w:t xml:space="preserve"> </w:t>
      </w:r>
      <w:r>
        <w:t>h</w:t>
      </w:r>
      <w:r w:rsidR="00EC1C6D">
        <w:t xml:space="preserve">elps minimise the risk of sensitive </w:t>
      </w:r>
      <w:r>
        <w:t>information</w:t>
      </w:r>
      <w:r w:rsidR="00EC1C6D">
        <w:t xml:space="preserve"> being accessed. </w:t>
      </w:r>
    </w:p>
    <w:p w14:paraId="629B70B9" w14:textId="02129B15" w:rsidR="00371551" w:rsidRPr="00371551" w:rsidRDefault="00AA0AA2" w:rsidP="00A50C79">
      <w:pPr>
        <w:pStyle w:val="Heading2"/>
        <w:ind w:left="142"/>
      </w:pPr>
      <w:r>
        <w:t>‘STOP the waste’ festive campaign 2025-26</w:t>
      </w:r>
      <w:r w:rsidR="00E577E2">
        <w:t xml:space="preserve"> summary</w:t>
      </w:r>
    </w:p>
    <w:p w14:paraId="5BE4FC90" w14:textId="07E1F221" w:rsidR="00E577E2" w:rsidRDefault="00E577E2" w:rsidP="00E577E2">
      <w:pPr>
        <w:pStyle w:val="Body"/>
        <w:ind w:left="142"/>
      </w:pPr>
      <w:r w:rsidRPr="00E577E2">
        <w:t xml:space="preserve">Despite the inventory management challenges faced by transfusion and health services </w:t>
      </w:r>
      <w:r>
        <w:t>resulting from</w:t>
      </w:r>
      <w:r w:rsidRPr="00E577E2">
        <w:t xml:space="preserve"> the surge in donations after the Bondi incident, the 2025/26 festive campaign was once again successful in maintaining minimal RBC wastage over this period. </w:t>
      </w:r>
    </w:p>
    <w:p w14:paraId="4BBD295D" w14:textId="6A56DFB3" w:rsidR="00E577E2" w:rsidRDefault="00E577E2" w:rsidP="00E577E2">
      <w:pPr>
        <w:pStyle w:val="Body"/>
        <w:ind w:left="142"/>
      </w:pPr>
      <w:r w:rsidRPr="00E577E2">
        <w:rPr>
          <w:noProof/>
        </w:rPr>
        <w:drawing>
          <wp:inline distT="0" distB="0" distL="0" distR="0" wp14:anchorId="21D0C539" wp14:editId="30DBF3BB">
            <wp:extent cx="6645910" cy="2707005"/>
            <wp:effectExtent l="0" t="0" r="2540" b="17145"/>
            <wp:docPr id="395052498" name="Chart 1" descr="Graph showing Victorian and National red blood cell wastage over the festive period (November to February) from 2014-15 to 2025-26. A steady decrease in wastage rates over this time from a peak Victorian rate of 5.5% to 1.1% in February 2026.">
              <a:extLst xmlns:a="http://schemas.openxmlformats.org/drawingml/2006/main">
                <a:ext uri="{FF2B5EF4-FFF2-40B4-BE49-F238E27FC236}">
                  <a16:creationId xmlns:a16="http://schemas.microsoft.com/office/drawing/2014/main" id="{25D0DA28-2B3D-79BB-7AEE-77C2967601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C57CD6A" w14:textId="3A6B7589" w:rsidR="00E577E2" w:rsidRDefault="00E577E2" w:rsidP="00A50C79">
      <w:pPr>
        <w:pStyle w:val="Body"/>
        <w:ind w:left="142"/>
      </w:pPr>
      <w:r>
        <w:t>The average Victorian red cell wastage rate over this festive season was 1.1%, well below the average festive period wastage rate over the past 10 years of 1.6%.</w:t>
      </w:r>
    </w:p>
    <w:p w14:paraId="34FCBDE3" w14:textId="1CA09F72" w:rsidR="00E577E2" w:rsidRPr="00E577E2" w:rsidRDefault="00E577E2" w:rsidP="00E577E2">
      <w:pPr>
        <w:pStyle w:val="Body"/>
        <w:ind w:left="142"/>
      </w:pPr>
      <w:r w:rsidRPr="00E577E2">
        <w:rPr>
          <w:b/>
          <w:bCs/>
        </w:rPr>
        <w:t>We are grateful for your ongoing stewardship of blood and commitment to our patients and donors</w:t>
      </w:r>
      <w:r w:rsidRPr="00E577E2">
        <w:t>, particularly during this difficult period</w:t>
      </w:r>
      <w:r w:rsidR="00397E59" w:rsidRPr="00E577E2">
        <w:t xml:space="preserve">. </w:t>
      </w:r>
    </w:p>
    <w:p w14:paraId="5F0D7997" w14:textId="194E36C0" w:rsidR="00E577E2" w:rsidRPr="00E577E2" w:rsidRDefault="00E577E2" w:rsidP="00E577E2">
      <w:pPr>
        <w:pStyle w:val="Body"/>
        <w:ind w:left="142"/>
      </w:pPr>
      <w:r w:rsidRPr="00E577E2">
        <w:t xml:space="preserve">As we continue into 2026, we ask health services to continue to monitor changes to activity within your organisations which may impact blood use and adjust the inventory accordingly. </w:t>
      </w:r>
    </w:p>
    <w:p w14:paraId="69534D60" w14:textId="6EC765B2" w:rsidR="00E577E2" w:rsidRDefault="00E577E2" w:rsidP="00E577E2">
      <w:pPr>
        <w:pStyle w:val="Body"/>
        <w:ind w:left="142"/>
      </w:pPr>
      <w:r w:rsidRPr="00E577E2">
        <w:t xml:space="preserve">Of particular importance is reviewing O RhD negative RBC inventory as O RhD positive RBC for emergency use </w:t>
      </w:r>
      <w:r w:rsidR="00124AB7">
        <w:t>is</w:t>
      </w:r>
      <w:r w:rsidRPr="00E577E2">
        <w:t xml:space="preserve"> implemented across health services, in line with the National Statement for the Emergency Use of Group O RBC (more information available on the </w:t>
      </w:r>
      <w:hyperlink r:id="rId21" w:history="1">
        <w:r w:rsidRPr="00E577E2">
          <w:rPr>
            <w:rStyle w:val="Hyperlink"/>
          </w:rPr>
          <w:t>Blood Matters webpage</w:t>
        </w:r>
      </w:hyperlink>
      <w:r>
        <w:rPr>
          <w:rStyle w:val="FootnoteReference"/>
        </w:rPr>
        <w:footnoteReference w:id="3"/>
      </w:r>
      <w:r w:rsidR="00124AB7">
        <w:t>)</w:t>
      </w:r>
      <w:r>
        <w:t>.</w:t>
      </w:r>
    </w:p>
    <w:p w14:paraId="0D6B034E" w14:textId="2D7D2F8B" w:rsidR="00DD6FDA" w:rsidRPr="00DD6FDA" w:rsidRDefault="00DD6FDA" w:rsidP="00A50C79">
      <w:pPr>
        <w:pStyle w:val="Body"/>
        <w:ind w:left="142"/>
        <w:rPr>
          <w:b/>
          <w:bCs/>
        </w:rPr>
      </w:pPr>
      <w:r w:rsidRPr="00DD6FDA">
        <w:rPr>
          <w:b/>
          <w:bCs/>
        </w:rPr>
        <w:t xml:space="preserve">Your continued support of the ‘STOP the waste’ campaign is </w:t>
      </w:r>
      <w:r w:rsidR="00E577E2">
        <w:rPr>
          <w:b/>
          <w:bCs/>
        </w:rPr>
        <w:t xml:space="preserve">greatly </w:t>
      </w:r>
      <w:r w:rsidRPr="00DD6FDA">
        <w:rPr>
          <w:b/>
          <w:bCs/>
        </w:rPr>
        <w:t>appreciated.</w:t>
      </w:r>
    </w:p>
    <w:p w14:paraId="392C7257" w14:textId="70BFA291" w:rsidR="00236210" w:rsidRPr="00C335AA" w:rsidRDefault="00236210" w:rsidP="00A50C79">
      <w:pPr>
        <w:pStyle w:val="Heading2"/>
        <w:ind w:left="142"/>
      </w:pPr>
      <w:r w:rsidRPr="00C335AA">
        <w:lastRenderedPageBreak/>
        <w:t xml:space="preserve">National </w:t>
      </w:r>
      <w:r w:rsidR="00E73587">
        <w:t xml:space="preserve">medical scientist </w:t>
      </w:r>
      <w:r w:rsidRPr="00C335AA">
        <w:t xml:space="preserve">certification </w:t>
      </w:r>
    </w:p>
    <w:p w14:paraId="06AABF7A" w14:textId="4855F956" w:rsidR="00107B03" w:rsidRDefault="00236210" w:rsidP="00A50C79">
      <w:pPr>
        <w:pStyle w:val="Body"/>
        <w:ind w:left="142"/>
        <w:rPr>
          <w:rStyle w:val="Hyperlink"/>
          <w:color w:val="auto"/>
          <w:u w:val="none"/>
        </w:rPr>
      </w:pPr>
      <w:r w:rsidRPr="00234D63">
        <w:t>The Australian Council for Certification of the Medical Laboratory Scientific Workforce</w:t>
      </w:r>
      <w:r w:rsidR="00B36404">
        <w:t xml:space="preserve"> (CMLS) </w:t>
      </w:r>
      <w:r w:rsidR="005466D0">
        <w:t xml:space="preserve">is </w:t>
      </w:r>
      <w:r w:rsidR="00E75DD0">
        <w:t>a voluntary</w:t>
      </w:r>
      <w:r w:rsidR="00B36404">
        <w:t xml:space="preserve"> national professional certification scheme for </w:t>
      </w:r>
      <w:r w:rsidR="00A5377C">
        <w:t>M</w:t>
      </w:r>
      <w:r w:rsidR="00B36404">
        <w:t xml:space="preserve">edical </w:t>
      </w:r>
      <w:r w:rsidR="00A5377C">
        <w:t>L</w:t>
      </w:r>
      <w:r w:rsidR="00B36404">
        <w:t xml:space="preserve">aboratory </w:t>
      </w:r>
      <w:r w:rsidR="00A5377C">
        <w:t>S</w:t>
      </w:r>
      <w:r w:rsidR="00B36404">
        <w:t>cientists.</w:t>
      </w:r>
      <w:r w:rsidRPr="00234D63">
        <w:t xml:space="preserve"> </w:t>
      </w:r>
      <w:r w:rsidR="00A5377C">
        <w:rPr>
          <w:rStyle w:val="Hyperlink"/>
          <w:color w:val="auto"/>
          <w:u w:val="none"/>
        </w:rPr>
        <w:t xml:space="preserve">New applications for certification </w:t>
      </w:r>
      <w:r w:rsidR="00E75DD0">
        <w:rPr>
          <w:rStyle w:val="Hyperlink"/>
          <w:color w:val="auto"/>
          <w:u w:val="none"/>
        </w:rPr>
        <w:t xml:space="preserve">and renewals are processed by the professional bodies providing CPD. More information and links can be found at </w:t>
      </w:r>
      <w:hyperlink r:id="rId22" w:history="1">
        <w:r w:rsidR="001363CA" w:rsidRPr="00426EF9">
          <w:rPr>
            <w:rStyle w:val="Hyperlink"/>
          </w:rPr>
          <w:t>www.cmls.org.au</w:t>
        </w:r>
      </w:hyperlink>
      <w:r w:rsidR="009C273A">
        <w:rPr>
          <w:rStyle w:val="FootnoteReference"/>
        </w:rPr>
        <w:footnoteReference w:id="4"/>
      </w:r>
      <w:r w:rsidR="004456DC">
        <w:t>.</w:t>
      </w:r>
      <w:r w:rsidR="00D631F3">
        <w:rPr>
          <w:rStyle w:val="Hyperlink"/>
          <w:color w:val="auto"/>
          <w:u w:val="none"/>
        </w:rPr>
        <w:t xml:space="preserve"> </w:t>
      </w:r>
    </w:p>
    <w:p w14:paraId="511D1827" w14:textId="16E37A29" w:rsidR="00236210" w:rsidRPr="00C335AA" w:rsidRDefault="00236210" w:rsidP="00A50C79">
      <w:pPr>
        <w:pStyle w:val="Heading2"/>
        <w:ind w:left="142"/>
      </w:pPr>
      <w:r w:rsidRPr="00C335AA">
        <w:t>How can Blood Matters help you?</w:t>
      </w:r>
    </w:p>
    <w:p w14:paraId="4B86BE1E" w14:textId="1FAC2421" w:rsidR="00236210" w:rsidRDefault="00236210" w:rsidP="00A50C79">
      <w:pPr>
        <w:pStyle w:val="Body"/>
        <w:ind w:left="142"/>
        <w:rPr>
          <w:rFonts w:eastAsia="Times New Roman" w:cs="Arial"/>
          <w:szCs w:val="21"/>
        </w:rPr>
      </w:pPr>
      <w:r w:rsidRPr="0067506D">
        <w:t>Blood Matters are here to assist health services and laboratories</w:t>
      </w:r>
      <w:r w:rsidR="00D631F3">
        <w:t xml:space="preserve"> with</w:t>
      </w:r>
      <w:r w:rsidRPr="0067506D">
        <w:t xml:space="preserve"> education and provi</w:t>
      </w:r>
      <w:r w:rsidR="00D631F3">
        <w:t xml:space="preserve">sion of </w:t>
      </w:r>
      <w:r w:rsidRPr="0067506D">
        <w:t xml:space="preserve">resources. </w:t>
      </w:r>
      <w:r w:rsidRPr="0067506D">
        <w:rPr>
          <w:rFonts w:eastAsia="Times New Roman" w:cs="Arial"/>
        </w:rPr>
        <w:t xml:space="preserve">If you have suggestions for tools and resources please </w:t>
      </w:r>
      <w:r w:rsidR="004D6D7B">
        <w:rPr>
          <w:rFonts w:eastAsia="Times New Roman" w:cs="Arial"/>
        </w:rPr>
        <w:t>contact</w:t>
      </w:r>
      <w:r w:rsidRPr="0067506D">
        <w:rPr>
          <w:rFonts w:eastAsia="Times New Roman" w:cs="Arial"/>
        </w:rPr>
        <w:t xml:space="preserve"> Rae French </w:t>
      </w:r>
      <w:hyperlink r:id="rId23" w:history="1">
        <w:r w:rsidRPr="0067506D">
          <w:rPr>
            <w:rStyle w:val="Hyperlink"/>
            <w:rFonts w:eastAsia="Times New Roman" w:cs="Arial"/>
            <w:sz w:val="22"/>
            <w:szCs w:val="22"/>
          </w:rPr>
          <w:t>rfrench@redcrossblood.org.au</w:t>
        </w:r>
      </w:hyperlink>
      <w:r w:rsidRPr="0067506D">
        <w:rPr>
          <w:rFonts w:eastAsia="Times New Roman" w:cs="Arial"/>
        </w:rPr>
        <w:t xml:space="preserve"> </w:t>
      </w:r>
      <w:r w:rsidR="00A621C1">
        <w:rPr>
          <w:rFonts w:eastAsia="Times New Roman" w:cs="Arial"/>
        </w:rPr>
        <w:t xml:space="preserve">&lt;rfrench@redcrossblood.org.au&gt; </w:t>
      </w:r>
      <w:r w:rsidRPr="0067506D">
        <w:rPr>
          <w:rFonts w:eastAsia="Times New Roman" w:cs="Arial"/>
        </w:rPr>
        <w:t>or</w:t>
      </w:r>
      <w:r w:rsidR="008544D8">
        <w:rPr>
          <w:rFonts w:eastAsia="Times New Roman" w:cs="Arial"/>
        </w:rPr>
        <w:t xml:space="preserve"> the Blood Matters team</w:t>
      </w:r>
      <w:r w:rsidRPr="0067506D">
        <w:rPr>
          <w:rFonts w:eastAsia="Times New Roman" w:cs="Arial"/>
        </w:rPr>
        <w:t xml:space="preserve"> </w:t>
      </w:r>
      <w:hyperlink r:id="rId24" w:history="1">
        <w:r w:rsidRPr="0067506D">
          <w:rPr>
            <w:rStyle w:val="Hyperlink"/>
            <w:rFonts w:eastAsia="Times New Roman" w:cs="Arial"/>
            <w:sz w:val="22"/>
            <w:szCs w:val="22"/>
          </w:rPr>
          <w:t>bloodmatters@redcrossblood.org.au</w:t>
        </w:r>
      </w:hyperlink>
      <w:r w:rsidRPr="0067506D">
        <w:rPr>
          <w:rFonts w:eastAsia="Times New Roman" w:cs="Arial"/>
        </w:rPr>
        <w:t xml:space="preserve"> </w:t>
      </w:r>
      <w:r w:rsidR="00A621C1">
        <w:rPr>
          <w:rFonts w:eastAsia="Times New Roman" w:cs="Arial"/>
        </w:rPr>
        <w:t xml:space="preserve">&lt;bloodmatters@redcrossblood.org.au&gt; </w:t>
      </w:r>
      <w:r w:rsidR="00E06B05">
        <w:rPr>
          <w:rFonts w:eastAsia="Times New Roman" w:cs="Arial"/>
        </w:rPr>
        <w:t xml:space="preserve">via email </w:t>
      </w:r>
      <w:r w:rsidRPr="0067506D">
        <w:rPr>
          <w:rFonts w:eastAsia="Times New Roman" w:cs="Arial"/>
        </w:rPr>
        <w:t>or phone 03 9694 3524</w:t>
      </w:r>
      <w:r w:rsidRPr="00BE7F06">
        <w:rPr>
          <w:rFonts w:eastAsia="Times New Roman" w:cs="Arial"/>
          <w:szCs w:val="21"/>
        </w:rPr>
        <w:t>.</w:t>
      </w:r>
    </w:p>
    <w:tbl>
      <w:tblPr>
        <w:tblStyle w:val="TableGrid"/>
        <w:tblpPr w:leftFromText="180" w:rightFromText="180" w:vertAnchor="text" w:horzAnchor="margin" w:tblpX="137" w:tblpY="21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057"/>
      </w:tblGrid>
      <w:tr w:rsidR="00C3437D" w14:paraId="1D0EEA0B" w14:textId="77777777" w:rsidTr="00A50C79">
        <w:tc>
          <w:tcPr>
            <w:tcW w:w="10057" w:type="dxa"/>
          </w:tcPr>
          <w:p w14:paraId="467435BE" w14:textId="77777777" w:rsidR="00C3437D" w:rsidRPr="0055119B" w:rsidRDefault="00C3437D" w:rsidP="00A50C79">
            <w:pPr>
              <w:pStyle w:val="Accessibilitypara"/>
              <w:spacing w:before="60" w:after="60"/>
            </w:pPr>
            <w:bookmarkStart w:id="1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>
              <w:rPr>
                <w:color w:val="004C97"/>
              </w:rPr>
              <w:t>03 9694 0102</w:t>
            </w:r>
            <w:r w:rsidRPr="0055119B">
              <w:t xml:space="preserve">, using the National Relay Service 13 36 77 if required, or </w:t>
            </w:r>
            <w:hyperlink r:id="rId25" w:history="1">
              <w:r w:rsidRPr="00B650D2">
                <w:rPr>
                  <w:rStyle w:val="Hyperlink"/>
                </w:rPr>
                <w:t>email Blood Matters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>
              <w:t>bloodmatters@redcrossblood.org.au</w:t>
            </w:r>
            <w:r w:rsidRPr="0055119B">
              <w:t>&gt;.</w:t>
            </w:r>
          </w:p>
          <w:p w14:paraId="733E9EA6" w14:textId="77777777" w:rsidR="00C3437D" w:rsidRPr="0067506D" w:rsidRDefault="00C3437D" w:rsidP="00A50C79">
            <w:pPr>
              <w:pStyle w:val="Imprint"/>
              <w:rPr>
                <w:sz w:val="22"/>
                <w:szCs w:val="22"/>
              </w:rPr>
            </w:pPr>
            <w:r w:rsidRPr="0067506D">
              <w:rPr>
                <w:sz w:val="22"/>
                <w:szCs w:val="22"/>
              </w:rPr>
              <w:t>Authorised and published by the Victorian Government, 1 Treasury Place, Melbourne.</w:t>
            </w:r>
          </w:p>
          <w:p w14:paraId="44594456" w14:textId="2192FC02" w:rsidR="00C3437D" w:rsidRPr="0067506D" w:rsidRDefault="00C3437D" w:rsidP="00A50C79">
            <w:pPr>
              <w:pStyle w:val="Imprint"/>
              <w:rPr>
                <w:sz w:val="22"/>
                <w:szCs w:val="22"/>
              </w:rPr>
            </w:pPr>
            <w:r w:rsidRPr="0067506D">
              <w:rPr>
                <w:sz w:val="22"/>
                <w:szCs w:val="22"/>
              </w:rPr>
              <w:t>© State of Victoria, Australia, Department of Health</w:t>
            </w:r>
            <w:r w:rsidRPr="0067506D">
              <w:rPr>
                <w:color w:val="auto"/>
                <w:sz w:val="22"/>
                <w:szCs w:val="22"/>
              </w:rPr>
              <w:t xml:space="preserve">, </w:t>
            </w:r>
            <w:r w:rsidR="00124AB7">
              <w:rPr>
                <w:color w:val="auto"/>
                <w:sz w:val="22"/>
                <w:szCs w:val="22"/>
              </w:rPr>
              <w:t>Ma</w:t>
            </w:r>
            <w:r w:rsidR="009C3D87">
              <w:rPr>
                <w:color w:val="auto"/>
                <w:sz w:val="22"/>
                <w:szCs w:val="22"/>
              </w:rPr>
              <w:t>y 2026</w:t>
            </w:r>
            <w:r>
              <w:rPr>
                <w:color w:val="auto"/>
                <w:sz w:val="22"/>
                <w:szCs w:val="22"/>
              </w:rPr>
              <w:t>.</w:t>
            </w:r>
          </w:p>
          <w:p w14:paraId="2F9F5ECD" w14:textId="77777777" w:rsidR="00C3437D" w:rsidRPr="0067506D" w:rsidRDefault="00C3437D" w:rsidP="00A50C79">
            <w:pPr>
              <w:pStyle w:val="Imprint"/>
              <w:rPr>
                <w:sz w:val="22"/>
                <w:szCs w:val="22"/>
              </w:rPr>
            </w:pPr>
            <w:r w:rsidRPr="0067506D">
              <w:rPr>
                <w:b/>
                <w:sz w:val="22"/>
                <w:szCs w:val="22"/>
              </w:rPr>
              <w:t>ISSN</w:t>
            </w:r>
            <w:r w:rsidRPr="0067506D">
              <w:rPr>
                <w:sz w:val="22"/>
                <w:szCs w:val="22"/>
              </w:rPr>
              <w:t xml:space="preserve"> 2652-7278 –</w:t>
            </w:r>
            <w:r w:rsidRPr="0067506D">
              <w:rPr>
                <w:color w:val="004C97"/>
                <w:sz w:val="22"/>
                <w:szCs w:val="22"/>
              </w:rPr>
              <w:t xml:space="preserve"> </w:t>
            </w:r>
            <w:r w:rsidRPr="0067506D">
              <w:rPr>
                <w:b/>
                <w:color w:val="auto"/>
                <w:sz w:val="22"/>
                <w:szCs w:val="22"/>
              </w:rPr>
              <w:t>Online (pdf / word)</w:t>
            </w:r>
            <w:r w:rsidRPr="0067506D">
              <w:rPr>
                <w:color w:val="auto"/>
                <w:sz w:val="22"/>
                <w:szCs w:val="22"/>
              </w:rPr>
              <w:t xml:space="preserve"> </w:t>
            </w:r>
          </w:p>
          <w:p w14:paraId="1004A3DC" w14:textId="77777777" w:rsidR="00C3437D" w:rsidRDefault="00C3437D" w:rsidP="00A50C79">
            <w:pPr>
              <w:pStyle w:val="Imprint"/>
            </w:pPr>
            <w:r w:rsidRPr="0067506D">
              <w:rPr>
                <w:sz w:val="22"/>
                <w:szCs w:val="22"/>
              </w:rPr>
              <w:t xml:space="preserve">Available at </w:t>
            </w:r>
            <w:hyperlink r:id="rId26" w:history="1">
              <w:r w:rsidRPr="0067506D">
                <w:rPr>
                  <w:rStyle w:val="Hyperlink"/>
                  <w:sz w:val="22"/>
                  <w:szCs w:val="22"/>
                </w:rPr>
                <w:t>Blood Matters</w:t>
              </w:r>
            </w:hyperlink>
            <w:r w:rsidRPr="0067506D">
              <w:rPr>
                <w:sz w:val="22"/>
                <w:szCs w:val="22"/>
              </w:rPr>
              <w:t xml:space="preserve"> &lt;</w:t>
            </w:r>
            <w:r w:rsidRPr="003F2127">
              <w:rPr>
                <w:color w:val="auto"/>
                <w:sz w:val="22"/>
                <w:szCs w:val="22"/>
              </w:rPr>
              <w:t>https://www.health.vic.gov.au/patient-care/transfusion-science-and-blood-stewardship&gt;</w:t>
            </w:r>
          </w:p>
        </w:tc>
      </w:tr>
      <w:bookmarkEnd w:id="1"/>
    </w:tbl>
    <w:p w14:paraId="4D0C9B48" w14:textId="0B386662" w:rsidR="00D62A6A" w:rsidRPr="004D1791" w:rsidRDefault="00D62A6A" w:rsidP="004D1791">
      <w:pPr>
        <w:pStyle w:val="DHHSbody"/>
        <w:spacing w:after="0" w:line="240" w:lineRule="auto"/>
        <w:rPr>
          <w:rFonts w:cs="Arial"/>
          <w:sz w:val="16"/>
          <w:szCs w:val="16"/>
        </w:rPr>
        <w:sectPr w:rsidR="00D62A6A" w:rsidRPr="004D1791" w:rsidSect="003C396B">
          <w:headerReference w:type="default" r:id="rId27"/>
          <w:footerReference w:type="default" r:id="rId28"/>
          <w:endnotePr>
            <w:numFmt w:val="decimal"/>
          </w:endnotePr>
          <w:type w:val="continuous"/>
          <w:pgSz w:w="11906" w:h="16838" w:code="9"/>
          <w:pgMar w:top="720" w:right="720" w:bottom="1560" w:left="720" w:header="567" w:footer="934" w:gutter="0"/>
          <w:cols w:space="340"/>
          <w:titlePg/>
          <w:docGrid w:linePitch="360"/>
        </w:sectPr>
      </w:pPr>
    </w:p>
    <w:bookmarkEnd w:id="0"/>
    <w:p w14:paraId="19D13095" w14:textId="77777777" w:rsidR="00CA181F" w:rsidRDefault="00CA181F" w:rsidP="00664C61">
      <w:pPr>
        <w:pStyle w:val="Body"/>
      </w:pPr>
    </w:p>
    <w:sectPr w:rsidR="00CA181F" w:rsidSect="003C396B">
      <w:footerReference w:type="default" r:id="rId29"/>
      <w:type w:val="continuous"/>
      <w:pgSz w:w="11906" w:h="16838" w:code="9"/>
      <w:pgMar w:top="1418" w:right="851" w:bottom="1985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3C8D9" w14:textId="77777777" w:rsidR="002F72B5" w:rsidRDefault="002F72B5">
      <w:r>
        <w:separator/>
      </w:r>
    </w:p>
  </w:endnote>
  <w:endnote w:type="continuationSeparator" w:id="0">
    <w:p w14:paraId="5AC94DEA" w14:textId="77777777" w:rsidR="002F72B5" w:rsidRDefault="002F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C0305" w14:textId="5AB5117F" w:rsidR="00E261B3" w:rsidRPr="00F65AA9" w:rsidRDefault="0016456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9472" behindDoc="0" locked="0" layoutInCell="0" allowOverlap="1" wp14:anchorId="6F6D271A" wp14:editId="263EC536">
              <wp:simplePos x="0" y="0"/>
              <wp:positionH relativeFrom="page">
                <wp:posOffset>-1270</wp:posOffset>
              </wp:positionH>
              <wp:positionV relativeFrom="page">
                <wp:posOffset>10301605</wp:posOffset>
              </wp:positionV>
              <wp:extent cx="7560310" cy="311785"/>
              <wp:effectExtent l="0" t="0" r="0" b="12065"/>
              <wp:wrapNone/>
              <wp:docPr id="859557465" name="MSIPCMc3054336811d08b680b9289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0C9DF2" w14:textId="77777777" w:rsidR="00164565" w:rsidRPr="00B21F90" w:rsidRDefault="00164565" w:rsidP="0016456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  <w:p w14:paraId="1C141F6A" w14:textId="77777777" w:rsidR="00164565" w:rsidRPr="00B21F90" w:rsidRDefault="00164565" w:rsidP="0016456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  <w:p w14:paraId="4B05D875" w14:textId="77777777" w:rsidR="00164565" w:rsidRPr="00B21F90" w:rsidRDefault="00164565" w:rsidP="0016456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6D271A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&quot;&quot;" style="position:absolute;left:0;text-align:left;margin-left:-.1pt;margin-top:811.15pt;width:595.3pt;height:24.5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" o:allowincell="f" filled="f" stroked="f" strokeweight=".5pt">
              <v:textbox inset=",0,,0">
                <w:txbxContent>
                  <w:p w14:paraId="410C9DF2" w14:textId="77777777" w:rsidR="00164565" w:rsidRPr="00B21F90" w:rsidRDefault="00164565" w:rsidP="00164565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  <w:p w14:paraId="1C141F6A" w14:textId="77777777" w:rsidR="00164565" w:rsidRPr="00B21F90" w:rsidRDefault="00164565" w:rsidP="00164565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  <w:p w14:paraId="4B05D875" w14:textId="77777777" w:rsidR="00164565" w:rsidRPr="00B21F90" w:rsidRDefault="00164565" w:rsidP="00164565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7424" behindDoc="1" locked="1" layoutInCell="1" allowOverlap="1" wp14:anchorId="3785AFBD" wp14:editId="353824F1">
          <wp:simplePos x="0" y="0"/>
          <wp:positionH relativeFrom="page">
            <wp:posOffset>-2540</wp:posOffset>
          </wp:positionH>
          <wp:positionV relativeFrom="page">
            <wp:posOffset>9545955</wp:posOffset>
          </wp:positionV>
          <wp:extent cx="7559675" cy="1155065"/>
          <wp:effectExtent l="0" t="0" r="0" b="0"/>
          <wp:wrapNone/>
          <wp:docPr id="398218089" name="Picture 39821808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218089" name="Picture 39821808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 t="488" b="488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55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5E69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A08E54F" wp14:editId="25E4198A">
              <wp:extent cx="7560310" cy="311785"/>
              <wp:effectExtent l="0" t="0" r="0" b="12065"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555806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A08E54F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width:595.3pt;height:2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" filled="f" stroked="f" strokeweight=".5pt">
              <v:textbox inset=",0,,0">
                <w:txbxContent>
                  <w:p w14:paraId="28555806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D8AA" w14:textId="79BCAF5E" w:rsidR="00236210" w:rsidRPr="00A11421" w:rsidRDefault="00164565" w:rsidP="0051568D">
    <w:pPr>
      <w:pStyle w:val="DHHS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5376" behindDoc="0" locked="0" layoutInCell="0" allowOverlap="1" wp14:anchorId="308AE014" wp14:editId="25D27261">
              <wp:simplePos x="0" y="0"/>
              <wp:positionH relativeFrom="page">
                <wp:posOffset>-1905</wp:posOffset>
              </wp:positionH>
              <wp:positionV relativeFrom="page">
                <wp:posOffset>10280015</wp:posOffset>
              </wp:positionV>
              <wp:extent cx="7560310" cy="311785"/>
              <wp:effectExtent l="0" t="0" r="0" b="12065"/>
              <wp:wrapNone/>
              <wp:docPr id="5" name="MSIPCMc3054336811d08b680b9289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5D99CF" w14:textId="77777777" w:rsidR="00164565" w:rsidRPr="00B21F90" w:rsidRDefault="00164565" w:rsidP="0016456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  <w:p w14:paraId="6265975D" w14:textId="77777777" w:rsidR="00164565" w:rsidRPr="00B21F90" w:rsidRDefault="00164565" w:rsidP="0016456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  <w:p w14:paraId="3002BAD8" w14:textId="45A7470D" w:rsidR="00E261B3" w:rsidRPr="00B21F90" w:rsidRDefault="00E261B3" w:rsidP="00164565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AE01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margin-left:-.15pt;margin-top:809.45pt;width:595.3pt;height:24.55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HAKVL3wAAAAwBAAAPAAAAAAAAAAAAAAAAAHIEAABkcnMvZG93bnJldi54bWxQSwUG&#10;AAAAAAQABADzAAAAfgUAAAAA&#10;" o:allowincell="f" filled="f" stroked="f" strokeweight=".5pt">
              <v:textbox inset=",0,,0">
                <w:txbxContent>
                  <w:p w14:paraId="3D5D99CF" w14:textId="77777777" w:rsidR="00164565" w:rsidRPr="00B21F90" w:rsidRDefault="00164565" w:rsidP="00164565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  <w:p w14:paraId="6265975D" w14:textId="77777777" w:rsidR="00164565" w:rsidRPr="00B21F90" w:rsidRDefault="00164565" w:rsidP="00164565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  <w:p w14:paraId="3002BAD8" w14:textId="45A7470D" w:rsidR="00E261B3" w:rsidRPr="00B21F90" w:rsidRDefault="00E261B3" w:rsidP="00164565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84352" behindDoc="1" locked="1" layoutInCell="1" allowOverlap="1" wp14:anchorId="62BAF2DF" wp14:editId="45EDFE47">
          <wp:simplePos x="0" y="0"/>
          <wp:positionH relativeFrom="page">
            <wp:posOffset>0</wp:posOffset>
          </wp:positionH>
          <wp:positionV relativeFrom="page">
            <wp:posOffset>9548495</wp:posOffset>
          </wp:positionV>
          <wp:extent cx="7559675" cy="1155065"/>
          <wp:effectExtent l="0" t="0" r="0" b="0"/>
          <wp:wrapNone/>
          <wp:docPr id="909913533" name="Picture 9099135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212033" name="Picture 8242120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 t="488" b="488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155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6DA5" w14:textId="51DF2AAF" w:rsidR="00373890" w:rsidRPr="00D4202F" w:rsidRDefault="00373890" w:rsidP="00D42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5985A" w14:textId="77777777" w:rsidR="002F72B5" w:rsidRDefault="002F72B5" w:rsidP="002862F1">
      <w:pPr>
        <w:spacing w:before="120"/>
      </w:pPr>
      <w:r>
        <w:separator/>
      </w:r>
    </w:p>
  </w:footnote>
  <w:footnote w:type="continuationSeparator" w:id="0">
    <w:p w14:paraId="395148A5" w14:textId="77777777" w:rsidR="002F72B5" w:rsidRDefault="002F72B5">
      <w:r>
        <w:continuationSeparator/>
      </w:r>
    </w:p>
  </w:footnote>
  <w:footnote w:id="1">
    <w:p w14:paraId="3487673A" w14:textId="716B3F82" w:rsidR="00161D5C" w:rsidRPr="00161D5C" w:rsidRDefault="00161D5C">
      <w:pPr>
        <w:pStyle w:val="FootnoteText"/>
        <w:rPr>
          <w:rFonts w:ascii="Arial" w:hAnsi="Arial"/>
        </w:rPr>
      </w:pPr>
      <w:r w:rsidRPr="00161D5C">
        <w:rPr>
          <w:rStyle w:val="FootnoteReference"/>
          <w:rFonts w:ascii="Arial" w:hAnsi="Arial"/>
        </w:rPr>
        <w:footnoteRef/>
      </w:r>
      <w:r w:rsidRPr="00161D5C">
        <w:rPr>
          <w:rFonts w:ascii="Arial" w:hAnsi="Arial"/>
        </w:rPr>
        <w:t xml:space="preserve"> </w:t>
      </w:r>
      <w:hyperlink r:id="rId1" w:history="1">
        <w:r w:rsidRPr="00161D5C">
          <w:rPr>
            <w:rStyle w:val="Hyperlink"/>
            <w:rFonts w:ascii="Arial" w:hAnsi="Arial"/>
          </w:rPr>
          <w:t>https://www.lifeblood.com.au/health-professionals/clinical-practice/transfusion-process/documentation-traceability</w:t>
        </w:r>
      </w:hyperlink>
      <w:r w:rsidRPr="00161D5C">
        <w:rPr>
          <w:rFonts w:ascii="Arial" w:hAnsi="Arial"/>
        </w:rPr>
        <w:t xml:space="preserve"> </w:t>
      </w:r>
    </w:p>
  </w:footnote>
  <w:footnote w:id="2">
    <w:p w14:paraId="5DADC0A4" w14:textId="4DDE0234" w:rsidR="002468B1" w:rsidRDefault="002468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2468B1">
          <w:rPr>
            <w:rStyle w:val="Hyperlink"/>
            <w:rFonts w:ascii="Arial" w:hAnsi="Arial"/>
          </w:rPr>
          <w:t>https://www.cyber.gov.au/business-government/asds-cyber-security-frameworks/essential-eight</w:t>
        </w:r>
      </w:hyperlink>
      <w:r>
        <w:t xml:space="preserve"> </w:t>
      </w:r>
    </w:p>
  </w:footnote>
  <w:footnote w:id="3">
    <w:p w14:paraId="3104BBC1" w14:textId="08920D8B" w:rsidR="00E577E2" w:rsidRDefault="00E577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E577E2">
          <w:rPr>
            <w:rStyle w:val="Hyperlink"/>
            <w:rFonts w:ascii="Arial" w:hAnsi="Arial"/>
          </w:rPr>
          <w:t>https://www.health.vic.gov.au/patient-care/emergency-use-of-group-o-red-blood-cells</w:t>
        </w:r>
      </w:hyperlink>
      <w:r>
        <w:t xml:space="preserve"> </w:t>
      </w:r>
    </w:p>
  </w:footnote>
  <w:footnote w:id="4">
    <w:p w14:paraId="254B38E7" w14:textId="03F27B3D" w:rsidR="009C273A" w:rsidRPr="009C273A" w:rsidRDefault="009C273A" w:rsidP="00A50C79">
      <w:pPr>
        <w:pStyle w:val="FootnoteText"/>
        <w:ind w:left="142"/>
        <w:rPr>
          <w:rFonts w:ascii="Arial" w:hAnsi="Arial"/>
        </w:rPr>
      </w:pPr>
      <w:r w:rsidRPr="009203BF">
        <w:rPr>
          <w:rStyle w:val="FootnoteReference"/>
          <w:rFonts w:ascii="Arial" w:hAnsi="Arial"/>
        </w:rPr>
        <w:footnoteRef/>
      </w:r>
      <w:r w:rsidRPr="009203BF">
        <w:rPr>
          <w:rFonts w:ascii="Arial" w:hAnsi="Arial"/>
        </w:rPr>
        <w:t xml:space="preserve"> </w:t>
      </w:r>
      <w:hyperlink r:id="rId4" w:history="1">
        <w:r w:rsidRPr="009203BF">
          <w:rPr>
            <w:rStyle w:val="Hyperlink"/>
            <w:rFonts w:ascii="Arial" w:hAnsi="Arial"/>
          </w:rPr>
          <w:t>www.cmls.org.au</w:t>
        </w:r>
      </w:hyperlink>
      <w:r w:rsidRPr="009C273A">
        <w:rPr>
          <w:rFonts w:ascii="Arial" w:hAnsi="Aria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7F1CB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529EA" w14:textId="77777777" w:rsidR="00E261B3" w:rsidRPr="0051568D" w:rsidRDefault="00B650D2" w:rsidP="0011701A">
    <w:pPr>
      <w:pStyle w:val="Header"/>
    </w:pPr>
    <w:r>
      <w:t>Blood Matters on the Bench and Beyond. Issue 8 – October 2021.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71B4E" w14:textId="77777777" w:rsidR="00236210" w:rsidRPr="00D4202F" w:rsidRDefault="00236210" w:rsidP="00D42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935"/>
    <w:multiLevelType w:val="hybridMultilevel"/>
    <w:tmpl w:val="8F74CF6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6A600">
      <w:numFmt w:val="bullet"/>
      <w:lvlText w:val="-"/>
      <w:lvlJc w:val="left"/>
      <w:pPr>
        <w:ind w:left="1440" w:hanging="360"/>
      </w:pPr>
      <w:rPr>
        <w:rFonts w:ascii="Aptos" w:eastAsia="Calibri" w:hAnsi="Aptos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60C"/>
    <w:multiLevelType w:val="hybridMultilevel"/>
    <w:tmpl w:val="E4C27240"/>
    <w:lvl w:ilvl="0" w:tplc="DC449A66"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60E27"/>
    <w:multiLevelType w:val="hybridMultilevel"/>
    <w:tmpl w:val="05BC4D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D0B38C4"/>
    <w:multiLevelType w:val="hybridMultilevel"/>
    <w:tmpl w:val="A2065C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8814B5C"/>
    <w:multiLevelType w:val="hybridMultilevel"/>
    <w:tmpl w:val="BCFCB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727EF0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C60C30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1501035"/>
    <w:multiLevelType w:val="hybridMultilevel"/>
    <w:tmpl w:val="7794FD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727EF0">
      <w:start w:val="1"/>
      <w:numFmt w:val="bullet"/>
      <w:lvlText w:val=""/>
      <w:lvlJc w:val="left"/>
      <w:pPr>
        <w:ind w:left="1440" w:hanging="360"/>
      </w:pPr>
      <w:rPr>
        <w:rFonts w:ascii="Wingdings" w:hAnsi="Wingdings" w:hint="default"/>
        <w:color w:val="C60C30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A9C2CDB"/>
    <w:multiLevelType w:val="hybridMultilevel"/>
    <w:tmpl w:val="23FCFE9E"/>
    <w:lvl w:ilvl="0" w:tplc="0C09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13" w15:restartNumberingAfterBreak="0">
    <w:nsid w:val="6B986E0B"/>
    <w:multiLevelType w:val="multilevel"/>
    <w:tmpl w:val="C066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75862256">
    <w:abstractNumId w:val="5"/>
  </w:num>
  <w:num w:numId="2" w16cid:durableId="633147195">
    <w:abstractNumId w:val="9"/>
  </w:num>
  <w:num w:numId="3" w16cid:durableId="58790387">
    <w:abstractNumId w:val="8"/>
  </w:num>
  <w:num w:numId="4" w16cid:durableId="1523782431">
    <w:abstractNumId w:val="11"/>
  </w:num>
  <w:num w:numId="5" w16cid:durableId="1167130810">
    <w:abstractNumId w:val="6"/>
  </w:num>
  <w:num w:numId="6" w16cid:durableId="1510632121">
    <w:abstractNumId w:val="3"/>
  </w:num>
  <w:num w:numId="7" w16cid:durableId="1849952462">
    <w:abstractNumId w:val="1"/>
  </w:num>
  <w:num w:numId="8" w16cid:durableId="513961910">
    <w:abstractNumId w:val="13"/>
  </w:num>
  <w:num w:numId="9" w16cid:durableId="1646885510">
    <w:abstractNumId w:val="0"/>
  </w:num>
  <w:num w:numId="10" w16cid:durableId="2087342091">
    <w:abstractNumId w:val="12"/>
  </w:num>
  <w:num w:numId="11" w16cid:durableId="885407440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5319199">
    <w:abstractNumId w:val="2"/>
  </w:num>
  <w:num w:numId="13" w16cid:durableId="1511292740">
    <w:abstractNumId w:val="4"/>
  </w:num>
  <w:num w:numId="14" w16cid:durableId="1242981221">
    <w:abstractNumId w:val="7"/>
  </w:num>
  <w:num w:numId="15" w16cid:durableId="165475112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FB"/>
    <w:rsid w:val="00000719"/>
    <w:rsid w:val="00003403"/>
    <w:rsid w:val="00005347"/>
    <w:rsid w:val="000058C2"/>
    <w:rsid w:val="000072B6"/>
    <w:rsid w:val="0001021B"/>
    <w:rsid w:val="00011D89"/>
    <w:rsid w:val="000154FD"/>
    <w:rsid w:val="0001677A"/>
    <w:rsid w:val="00016FBF"/>
    <w:rsid w:val="00020F0F"/>
    <w:rsid w:val="00022271"/>
    <w:rsid w:val="00022560"/>
    <w:rsid w:val="000235E5"/>
    <w:rsid w:val="000235E8"/>
    <w:rsid w:val="00024D89"/>
    <w:rsid w:val="000250B6"/>
    <w:rsid w:val="00026A57"/>
    <w:rsid w:val="00033D81"/>
    <w:rsid w:val="00037366"/>
    <w:rsid w:val="00041BF0"/>
    <w:rsid w:val="00042C8A"/>
    <w:rsid w:val="0004536B"/>
    <w:rsid w:val="00046B68"/>
    <w:rsid w:val="000527DD"/>
    <w:rsid w:val="00054927"/>
    <w:rsid w:val="00054EE3"/>
    <w:rsid w:val="00057712"/>
    <w:rsid w:val="000578B2"/>
    <w:rsid w:val="00060959"/>
    <w:rsid w:val="00060C69"/>
    <w:rsid w:val="00060C8F"/>
    <w:rsid w:val="00061F92"/>
    <w:rsid w:val="0006298A"/>
    <w:rsid w:val="00064447"/>
    <w:rsid w:val="000663CD"/>
    <w:rsid w:val="00066B36"/>
    <w:rsid w:val="0006704B"/>
    <w:rsid w:val="00070447"/>
    <w:rsid w:val="00072AD1"/>
    <w:rsid w:val="000731BA"/>
    <w:rsid w:val="000733FE"/>
    <w:rsid w:val="00074219"/>
    <w:rsid w:val="00074CC7"/>
    <w:rsid w:val="00074ED5"/>
    <w:rsid w:val="00077309"/>
    <w:rsid w:val="0008123D"/>
    <w:rsid w:val="0008352D"/>
    <w:rsid w:val="000835C6"/>
    <w:rsid w:val="0008508E"/>
    <w:rsid w:val="000865AF"/>
    <w:rsid w:val="00087951"/>
    <w:rsid w:val="0009113B"/>
    <w:rsid w:val="000928F5"/>
    <w:rsid w:val="00093402"/>
    <w:rsid w:val="00094DA3"/>
    <w:rsid w:val="00096A20"/>
    <w:rsid w:val="00096CD1"/>
    <w:rsid w:val="000A012C"/>
    <w:rsid w:val="000A0EB9"/>
    <w:rsid w:val="000A15C0"/>
    <w:rsid w:val="000A186C"/>
    <w:rsid w:val="000A1E4E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76"/>
    <w:rsid w:val="000C42EA"/>
    <w:rsid w:val="000C4546"/>
    <w:rsid w:val="000C4907"/>
    <w:rsid w:val="000C7C18"/>
    <w:rsid w:val="000D1242"/>
    <w:rsid w:val="000E0836"/>
    <w:rsid w:val="000E0970"/>
    <w:rsid w:val="000E1910"/>
    <w:rsid w:val="000E2F85"/>
    <w:rsid w:val="000E3A57"/>
    <w:rsid w:val="000E3CC7"/>
    <w:rsid w:val="000E4877"/>
    <w:rsid w:val="000E5FFC"/>
    <w:rsid w:val="000E65A4"/>
    <w:rsid w:val="000E6BD4"/>
    <w:rsid w:val="000E6D6D"/>
    <w:rsid w:val="000F1F1E"/>
    <w:rsid w:val="000F2259"/>
    <w:rsid w:val="000F2DDA"/>
    <w:rsid w:val="000F49DB"/>
    <w:rsid w:val="000F5213"/>
    <w:rsid w:val="000F5F32"/>
    <w:rsid w:val="000F6711"/>
    <w:rsid w:val="000F7D97"/>
    <w:rsid w:val="00101001"/>
    <w:rsid w:val="001031A1"/>
    <w:rsid w:val="00103276"/>
    <w:rsid w:val="0010392D"/>
    <w:rsid w:val="0010447F"/>
    <w:rsid w:val="00104910"/>
    <w:rsid w:val="00104FE3"/>
    <w:rsid w:val="0010714F"/>
    <w:rsid w:val="00107B03"/>
    <w:rsid w:val="00107CBB"/>
    <w:rsid w:val="00112049"/>
    <w:rsid w:val="001120C5"/>
    <w:rsid w:val="0011701A"/>
    <w:rsid w:val="00120BD3"/>
    <w:rsid w:val="00122771"/>
    <w:rsid w:val="00122FEA"/>
    <w:rsid w:val="001232BD"/>
    <w:rsid w:val="00124AB7"/>
    <w:rsid w:val="00124ED5"/>
    <w:rsid w:val="001276FA"/>
    <w:rsid w:val="00134D5E"/>
    <w:rsid w:val="001360A8"/>
    <w:rsid w:val="001363CA"/>
    <w:rsid w:val="0014255B"/>
    <w:rsid w:val="001447B3"/>
    <w:rsid w:val="0014492C"/>
    <w:rsid w:val="001473AC"/>
    <w:rsid w:val="00147AC2"/>
    <w:rsid w:val="00152073"/>
    <w:rsid w:val="0015427F"/>
    <w:rsid w:val="00154E2D"/>
    <w:rsid w:val="00155BF9"/>
    <w:rsid w:val="00156598"/>
    <w:rsid w:val="00160460"/>
    <w:rsid w:val="00161939"/>
    <w:rsid w:val="00161AA0"/>
    <w:rsid w:val="00161D2E"/>
    <w:rsid w:val="00161D5C"/>
    <w:rsid w:val="00161F3E"/>
    <w:rsid w:val="00162093"/>
    <w:rsid w:val="00162CA9"/>
    <w:rsid w:val="00164565"/>
    <w:rsid w:val="00165459"/>
    <w:rsid w:val="00165A57"/>
    <w:rsid w:val="001712C2"/>
    <w:rsid w:val="00171367"/>
    <w:rsid w:val="00172BAF"/>
    <w:rsid w:val="0017387A"/>
    <w:rsid w:val="001771DD"/>
    <w:rsid w:val="00177995"/>
    <w:rsid w:val="00177A8C"/>
    <w:rsid w:val="0018502F"/>
    <w:rsid w:val="00186B33"/>
    <w:rsid w:val="00187777"/>
    <w:rsid w:val="00192F9D"/>
    <w:rsid w:val="00195F29"/>
    <w:rsid w:val="00196EB8"/>
    <w:rsid w:val="00196EFB"/>
    <w:rsid w:val="00196FC3"/>
    <w:rsid w:val="001979FF"/>
    <w:rsid w:val="00197B17"/>
    <w:rsid w:val="001A1950"/>
    <w:rsid w:val="001A1C54"/>
    <w:rsid w:val="001A3ACE"/>
    <w:rsid w:val="001A498D"/>
    <w:rsid w:val="001A73C6"/>
    <w:rsid w:val="001B058F"/>
    <w:rsid w:val="001B2435"/>
    <w:rsid w:val="001B250A"/>
    <w:rsid w:val="001B31FC"/>
    <w:rsid w:val="001B4CAE"/>
    <w:rsid w:val="001B6B82"/>
    <w:rsid w:val="001B738B"/>
    <w:rsid w:val="001C09DB"/>
    <w:rsid w:val="001C277E"/>
    <w:rsid w:val="001C2A72"/>
    <w:rsid w:val="001C31B7"/>
    <w:rsid w:val="001C7880"/>
    <w:rsid w:val="001C7DF7"/>
    <w:rsid w:val="001D0B75"/>
    <w:rsid w:val="001D39A5"/>
    <w:rsid w:val="001D3C09"/>
    <w:rsid w:val="001D3D59"/>
    <w:rsid w:val="001D44E8"/>
    <w:rsid w:val="001D517C"/>
    <w:rsid w:val="001D5D56"/>
    <w:rsid w:val="001D60EC"/>
    <w:rsid w:val="001D6F59"/>
    <w:rsid w:val="001E09F0"/>
    <w:rsid w:val="001E0C5D"/>
    <w:rsid w:val="001E2A36"/>
    <w:rsid w:val="001E44DF"/>
    <w:rsid w:val="001E5058"/>
    <w:rsid w:val="001E68A5"/>
    <w:rsid w:val="001E6BB0"/>
    <w:rsid w:val="001E7282"/>
    <w:rsid w:val="001E750B"/>
    <w:rsid w:val="001E7B85"/>
    <w:rsid w:val="001F3826"/>
    <w:rsid w:val="001F6E46"/>
    <w:rsid w:val="001F7186"/>
    <w:rsid w:val="001F7C91"/>
    <w:rsid w:val="00200176"/>
    <w:rsid w:val="00201411"/>
    <w:rsid w:val="002033B7"/>
    <w:rsid w:val="0020390B"/>
    <w:rsid w:val="00204F78"/>
    <w:rsid w:val="00206463"/>
    <w:rsid w:val="00206F2F"/>
    <w:rsid w:val="0021053D"/>
    <w:rsid w:val="00210A92"/>
    <w:rsid w:val="00216C03"/>
    <w:rsid w:val="00220371"/>
    <w:rsid w:val="00220C04"/>
    <w:rsid w:val="0022181E"/>
    <w:rsid w:val="0022278D"/>
    <w:rsid w:val="0022701F"/>
    <w:rsid w:val="00227C68"/>
    <w:rsid w:val="00230965"/>
    <w:rsid w:val="002333F5"/>
    <w:rsid w:val="00233724"/>
    <w:rsid w:val="00234D63"/>
    <w:rsid w:val="00236210"/>
    <w:rsid w:val="002365B4"/>
    <w:rsid w:val="0023720D"/>
    <w:rsid w:val="002432E1"/>
    <w:rsid w:val="00246207"/>
    <w:rsid w:val="002468B1"/>
    <w:rsid w:val="00246C5E"/>
    <w:rsid w:val="00250042"/>
    <w:rsid w:val="00250960"/>
    <w:rsid w:val="00251343"/>
    <w:rsid w:val="002536A4"/>
    <w:rsid w:val="00254F58"/>
    <w:rsid w:val="002600CC"/>
    <w:rsid w:val="002620BC"/>
    <w:rsid w:val="00262802"/>
    <w:rsid w:val="00263A90"/>
    <w:rsid w:val="00263C1F"/>
    <w:rsid w:val="0026408B"/>
    <w:rsid w:val="00267C3E"/>
    <w:rsid w:val="002709BB"/>
    <w:rsid w:val="0027113F"/>
    <w:rsid w:val="002730A5"/>
    <w:rsid w:val="00273BAC"/>
    <w:rsid w:val="00274B5C"/>
    <w:rsid w:val="0027544D"/>
    <w:rsid w:val="00275BCF"/>
    <w:rsid w:val="002763B3"/>
    <w:rsid w:val="002802E3"/>
    <w:rsid w:val="0028213D"/>
    <w:rsid w:val="002862F1"/>
    <w:rsid w:val="002878DF"/>
    <w:rsid w:val="00291373"/>
    <w:rsid w:val="00292814"/>
    <w:rsid w:val="0029453E"/>
    <w:rsid w:val="00294D55"/>
    <w:rsid w:val="00294F83"/>
    <w:rsid w:val="0029597D"/>
    <w:rsid w:val="002962C3"/>
    <w:rsid w:val="0029752B"/>
    <w:rsid w:val="002A0A9C"/>
    <w:rsid w:val="002A40A2"/>
    <w:rsid w:val="002A45B4"/>
    <w:rsid w:val="002A483C"/>
    <w:rsid w:val="002A5D39"/>
    <w:rsid w:val="002B0418"/>
    <w:rsid w:val="002B0C7C"/>
    <w:rsid w:val="002B1729"/>
    <w:rsid w:val="002B36C7"/>
    <w:rsid w:val="002B4DD4"/>
    <w:rsid w:val="002B5277"/>
    <w:rsid w:val="002B5375"/>
    <w:rsid w:val="002B765B"/>
    <w:rsid w:val="002B77C1"/>
    <w:rsid w:val="002C0ED7"/>
    <w:rsid w:val="002C2728"/>
    <w:rsid w:val="002D1E0D"/>
    <w:rsid w:val="002D5006"/>
    <w:rsid w:val="002D7239"/>
    <w:rsid w:val="002E01D0"/>
    <w:rsid w:val="002E161D"/>
    <w:rsid w:val="002E3100"/>
    <w:rsid w:val="002E6C95"/>
    <w:rsid w:val="002E7C36"/>
    <w:rsid w:val="002F0107"/>
    <w:rsid w:val="002F3A22"/>
    <w:rsid w:val="002F3D32"/>
    <w:rsid w:val="002F3D7C"/>
    <w:rsid w:val="002F5F31"/>
    <w:rsid w:val="002F5F40"/>
    <w:rsid w:val="002F5F46"/>
    <w:rsid w:val="002F72B5"/>
    <w:rsid w:val="003012D9"/>
    <w:rsid w:val="00302216"/>
    <w:rsid w:val="00303309"/>
    <w:rsid w:val="00303E53"/>
    <w:rsid w:val="003044DA"/>
    <w:rsid w:val="003050B2"/>
    <w:rsid w:val="00305CC1"/>
    <w:rsid w:val="00306E5F"/>
    <w:rsid w:val="00307E14"/>
    <w:rsid w:val="00312451"/>
    <w:rsid w:val="00314054"/>
    <w:rsid w:val="00315BD8"/>
    <w:rsid w:val="00316F27"/>
    <w:rsid w:val="003214F1"/>
    <w:rsid w:val="003227E3"/>
    <w:rsid w:val="00322923"/>
    <w:rsid w:val="00322E4B"/>
    <w:rsid w:val="00327870"/>
    <w:rsid w:val="0033259D"/>
    <w:rsid w:val="00332A06"/>
    <w:rsid w:val="003333D2"/>
    <w:rsid w:val="00335D70"/>
    <w:rsid w:val="003361DC"/>
    <w:rsid w:val="003406C6"/>
    <w:rsid w:val="003406CB"/>
    <w:rsid w:val="003418CC"/>
    <w:rsid w:val="00344C4D"/>
    <w:rsid w:val="003451C7"/>
    <w:rsid w:val="003459BD"/>
    <w:rsid w:val="00346BA9"/>
    <w:rsid w:val="00350D38"/>
    <w:rsid w:val="00351B36"/>
    <w:rsid w:val="00354ABA"/>
    <w:rsid w:val="00356F17"/>
    <w:rsid w:val="00357B4E"/>
    <w:rsid w:val="0036391A"/>
    <w:rsid w:val="00363E98"/>
    <w:rsid w:val="00371551"/>
    <w:rsid w:val="003716FD"/>
    <w:rsid w:val="00371B53"/>
    <w:rsid w:val="0037204B"/>
    <w:rsid w:val="00373890"/>
    <w:rsid w:val="003744CF"/>
    <w:rsid w:val="00374717"/>
    <w:rsid w:val="003760F7"/>
    <w:rsid w:val="0037676C"/>
    <w:rsid w:val="00381043"/>
    <w:rsid w:val="00381838"/>
    <w:rsid w:val="003829E5"/>
    <w:rsid w:val="00383438"/>
    <w:rsid w:val="00386109"/>
    <w:rsid w:val="00386944"/>
    <w:rsid w:val="00387225"/>
    <w:rsid w:val="00387950"/>
    <w:rsid w:val="00391585"/>
    <w:rsid w:val="003942DB"/>
    <w:rsid w:val="003956CC"/>
    <w:rsid w:val="00395C9A"/>
    <w:rsid w:val="00397E59"/>
    <w:rsid w:val="00397ED3"/>
    <w:rsid w:val="003A0853"/>
    <w:rsid w:val="003A52C2"/>
    <w:rsid w:val="003A6B67"/>
    <w:rsid w:val="003B13B6"/>
    <w:rsid w:val="003B15E6"/>
    <w:rsid w:val="003B408A"/>
    <w:rsid w:val="003B5733"/>
    <w:rsid w:val="003C08A2"/>
    <w:rsid w:val="003C2045"/>
    <w:rsid w:val="003C396B"/>
    <w:rsid w:val="003C43A1"/>
    <w:rsid w:val="003C4FC0"/>
    <w:rsid w:val="003C55F4"/>
    <w:rsid w:val="003C5B91"/>
    <w:rsid w:val="003C7897"/>
    <w:rsid w:val="003C7A3F"/>
    <w:rsid w:val="003D0DFD"/>
    <w:rsid w:val="003D2766"/>
    <w:rsid w:val="003D2A74"/>
    <w:rsid w:val="003D352C"/>
    <w:rsid w:val="003D3E8F"/>
    <w:rsid w:val="003D6475"/>
    <w:rsid w:val="003D6FCF"/>
    <w:rsid w:val="003E0010"/>
    <w:rsid w:val="003E254E"/>
    <w:rsid w:val="003E375C"/>
    <w:rsid w:val="003E4086"/>
    <w:rsid w:val="003E439D"/>
    <w:rsid w:val="003E639E"/>
    <w:rsid w:val="003E71E5"/>
    <w:rsid w:val="003F0445"/>
    <w:rsid w:val="003F0CF0"/>
    <w:rsid w:val="003F14B1"/>
    <w:rsid w:val="003F2127"/>
    <w:rsid w:val="003F2B20"/>
    <w:rsid w:val="003F3259"/>
    <w:rsid w:val="003F3289"/>
    <w:rsid w:val="003F4A2C"/>
    <w:rsid w:val="003F4F59"/>
    <w:rsid w:val="003F5965"/>
    <w:rsid w:val="003F5CB9"/>
    <w:rsid w:val="004013C7"/>
    <w:rsid w:val="00401FCF"/>
    <w:rsid w:val="0040248F"/>
    <w:rsid w:val="0040381D"/>
    <w:rsid w:val="00404A62"/>
    <w:rsid w:val="00405989"/>
    <w:rsid w:val="00406285"/>
    <w:rsid w:val="004112C6"/>
    <w:rsid w:val="00412763"/>
    <w:rsid w:val="00413B29"/>
    <w:rsid w:val="00413D07"/>
    <w:rsid w:val="004148F9"/>
    <w:rsid w:val="00414D4A"/>
    <w:rsid w:val="0042084E"/>
    <w:rsid w:val="00421EEF"/>
    <w:rsid w:val="00424917"/>
    <w:rsid w:val="00424D65"/>
    <w:rsid w:val="00425233"/>
    <w:rsid w:val="0042648C"/>
    <w:rsid w:val="0042685E"/>
    <w:rsid w:val="00427A56"/>
    <w:rsid w:val="00435CF5"/>
    <w:rsid w:val="004364C5"/>
    <w:rsid w:val="00437652"/>
    <w:rsid w:val="0044083F"/>
    <w:rsid w:val="00442C6C"/>
    <w:rsid w:val="00443CBE"/>
    <w:rsid w:val="00443E8A"/>
    <w:rsid w:val="0044419E"/>
    <w:rsid w:val="004441BC"/>
    <w:rsid w:val="004442FF"/>
    <w:rsid w:val="004456DC"/>
    <w:rsid w:val="004468B4"/>
    <w:rsid w:val="00450B25"/>
    <w:rsid w:val="0045230A"/>
    <w:rsid w:val="00454329"/>
    <w:rsid w:val="004545D8"/>
    <w:rsid w:val="00454AD0"/>
    <w:rsid w:val="00457337"/>
    <w:rsid w:val="00460041"/>
    <w:rsid w:val="00462E3D"/>
    <w:rsid w:val="00466DC1"/>
    <w:rsid w:val="00466E79"/>
    <w:rsid w:val="00470D65"/>
    <w:rsid w:val="00470D7D"/>
    <w:rsid w:val="00471B23"/>
    <w:rsid w:val="0047372D"/>
    <w:rsid w:val="00473BA3"/>
    <w:rsid w:val="004743DD"/>
    <w:rsid w:val="00474CEA"/>
    <w:rsid w:val="00476677"/>
    <w:rsid w:val="00482144"/>
    <w:rsid w:val="00483968"/>
    <w:rsid w:val="00483D49"/>
    <w:rsid w:val="00484F86"/>
    <w:rsid w:val="004874D5"/>
    <w:rsid w:val="00490746"/>
    <w:rsid w:val="00490852"/>
    <w:rsid w:val="00491C9C"/>
    <w:rsid w:val="00492F30"/>
    <w:rsid w:val="004946F4"/>
    <w:rsid w:val="0049487E"/>
    <w:rsid w:val="00495551"/>
    <w:rsid w:val="00495F74"/>
    <w:rsid w:val="00497400"/>
    <w:rsid w:val="004A0538"/>
    <w:rsid w:val="004A0B4A"/>
    <w:rsid w:val="004A160D"/>
    <w:rsid w:val="004A3E81"/>
    <w:rsid w:val="004A4195"/>
    <w:rsid w:val="004A5C62"/>
    <w:rsid w:val="004A5CE5"/>
    <w:rsid w:val="004A707D"/>
    <w:rsid w:val="004B2C1A"/>
    <w:rsid w:val="004C371F"/>
    <w:rsid w:val="004C4402"/>
    <w:rsid w:val="004C5541"/>
    <w:rsid w:val="004C6EEE"/>
    <w:rsid w:val="004C702B"/>
    <w:rsid w:val="004D0033"/>
    <w:rsid w:val="004D016B"/>
    <w:rsid w:val="004D1791"/>
    <w:rsid w:val="004D1B22"/>
    <w:rsid w:val="004D23CC"/>
    <w:rsid w:val="004D36F2"/>
    <w:rsid w:val="004D5B29"/>
    <w:rsid w:val="004D6D7B"/>
    <w:rsid w:val="004E1106"/>
    <w:rsid w:val="004E138F"/>
    <w:rsid w:val="004E4649"/>
    <w:rsid w:val="004E5C2B"/>
    <w:rsid w:val="004F00DD"/>
    <w:rsid w:val="004F2133"/>
    <w:rsid w:val="004F5398"/>
    <w:rsid w:val="004F55F1"/>
    <w:rsid w:val="004F5B3A"/>
    <w:rsid w:val="004F68EF"/>
    <w:rsid w:val="004F6936"/>
    <w:rsid w:val="0050221C"/>
    <w:rsid w:val="00503DC6"/>
    <w:rsid w:val="005042CE"/>
    <w:rsid w:val="00506426"/>
    <w:rsid w:val="00506F5D"/>
    <w:rsid w:val="00510261"/>
    <w:rsid w:val="00510C37"/>
    <w:rsid w:val="005126D0"/>
    <w:rsid w:val="00513AF5"/>
    <w:rsid w:val="00515614"/>
    <w:rsid w:val="0051568D"/>
    <w:rsid w:val="00515DE7"/>
    <w:rsid w:val="005206B7"/>
    <w:rsid w:val="00520B4F"/>
    <w:rsid w:val="00521C34"/>
    <w:rsid w:val="005230D7"/>
    <w:rsid w:val="00526AC7"/>
    <w:rsid w:val="00526C15"/>
    <w:rsid w:val="00530313"/>
    <w:rsid w:val="00536395"/>
    <w:rsid w:val="00536499"/>
    <w:rsid w:val="005427A2"/>
    <w:rsid w:val="00543903"/>
    <w:rsid w:val="00543F11"/>
    <w:rsid w:val="00544140"/>
    <w:rsid w:val="00546305"/>
    <w:rsid w:val="005466D0"/>
    <w:rsid w:val="00547A95"/>
    <w:rsid w:val="0055119B"/>
    <w:rsid w:val="00552A29"/>
    <w:rsid w:val="005548B5"/>
    <w:rsid w:val="00560AA0"/>
    <w:rsid w:val="00562E37"/>
    <w:rsid w:val="00562F84"/>
    <w:rsid w:val="005651AA"/>
    <w:rsid w:val="00567787"/>
    <w:rsid w:val="0057060F"/>
    <w:rsid w:val="00572031"/>
    <w:rsid w:val="00572282"/>
    <w:rsid w:val="00572884"/>
    <w:rsid w:val="00573CE3"/>
    <w:rsid w:val="005766A0"/>
    <w:rsid w:val="00576E84"/>
    <w:rsid w:val="00580394"/>
    <w:rsid w:val="005806CC"/>
    <w:rsid w:val="005809CD"/>
    <w:rsid w:val="00582B8C"/>
    <w:rsid w:val="0058426B"/>
    <w:rsid w:val="0058757E"/>
    <w:rsid w:val="00591C1F"/>
    <w:rsid w:val="00596A4B"/>
    <w:rsid w:val="00597507"/>
    <w:rsid w:val="005A330F"/>
    <w:rsid w:val="005A3612"/>
    <w:rsid w:val="005A37D7"/>
    <w:rsid w:val="005A479D"/>
    <w:rsid w:val="005A47B3"/>
    <w:rsid w:val="005A68CE"/>
    <w:rsid w:val="005B0E93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CBF"/>
    <w:rsid w:val="005D3A45"/>
    <w:rsid w:val="005D6597"/>
    <w:rsid w:val="005D6A94"/>
    <w:rsid w:val="005D7E48"/>
    <w:rsid w:val="005E14E7"/>
    <w:rsid w:val="005E26A3"/>
    <w:rsid w:val="005E2ECB"/>
    <w:rsid w:val="005E447E"/>
    <w:rsid w:val="005E4FD1"/>
    <w:rsid w:val="005F0775"/>
    <w:rsid w:val="005F0CF5"/>
    <w:rsid w:val="005F21EB"/>
    <w:rsid w:val="005F3ED5"/>
    <w:rsid w:val="005F40B8"/>
    <w:rsid w:val="005F7303"/>
    <w:rsid w:val="005F74F9"/>
    <w:rsid w:val="00605908"/>
    <w:rsid w:val="00610D7C"/>
    <w:rsid w:val="00613414"/>
    <w:rsid w:val="00617832"/>
    <w:rsid w:val="00620154"/>
    <w:rsid w:val="0062408D"/>
    <w:rsid w:val="006240CC"/>
    <w:rsid w:val="00624940"/>
    <w:rsid w:val="006254F8"/>
    <w:rsid w:val="00625A7C"/>
    <w:rsid w:val="00625F2C"/>
    <w:rsid w:val="00627DA7"/>
    <w:rsid w:val="00630DA4"/>
    <w:rsid w:val="00632597"/>
    <w:rsid w:val="00633B21"/>
    <w:rsid w:val="006358B4"/>
    <w:rsid w:val="006419AA"/>
    <w:rsid w:val="00643185"/>
    <w:rsid w:val="00644B1F"/>
    <w:rsid w:val="00644B7E"/>
    <w:rsid w:val="006454E6"/>
    <w:rsid w:val="00646235"/>
    <w:rsid w:val="00646A68"/>
    <w:rsid w:val="006505BD"/>
    <w:rsid w:val="006508EA"/>
    <w:rsid w:val="0065092E"/>
    <w:rsid w:val="00653FF2"/>
    <w:rsid w:val="006557A7"/>
    <w:rsid w:val="00656290"/>
    <w:rsid w:val="006562B4"/>
    <w:rsid w:val="006608D8"/>
    <w:rsid w:val="006615C9"/>
    <w:rsid w:val="006621D7"/>
    <w:rsid w:val="0066302A"/>
    <w:rsid w:val="00664C61"/>
    <w:rsid w:val="0066514C"/>
    <w:rsid w:val="00665469"/>
    <w:rsid w:val="00665C17"/>
    <w:rsid w:val="006666AD"/>
    <w:rsid w:val="00667770"/>
    <w:rsid w:val="00670597"/>
    <w:rsid w:val="006706D0"/>
    <w:rsid w:val="0067151A"/>
    <w:rsid w:val="0067506D"/>
    <w:rsid w:val="00677574"/>
    <w:rsid w:val="00681C92"/>
    <w:rsid w:val="00683301"/>
    <w:rsid w:val="0068454C"/>
    <w:rsid w:val="006851CB"/>
    <w:rsid w:val="0068584D"/>
    <w:rsid w:val="006908EB"/>
    <w:rsid w:val="00691B62"/>
    <w:rsid w:val="006933B5"/>
    <w:rsid w:val="00693D14"/>
    <w:rsid w:val="00695719"/>
    <w:rsid w:val="006969C4"/>
    <w:rsid w:val="00696F27"/>
    <w:rsid w:val="006A18C2"/>
    <w:rsid w:val="006A3383"/>
    <w:rsid w:val="006B077C"/>
    <w:rsid w:val="006B4343"/>
    <w:rsid w:val="006B4708"/>
    <w:rsid w:val="006B55FB"/>
    <w:rsid w:val="006B6803"/>
    <w:rsid w:val="006C5B8F"/>
    <w:rsid w:val="006C7E6F"/>
    <w:rsid w:val="006D0F16"/>
    <w:rsid w:val="006D2A3F"/>
    <w:rsid w:val="006D2FBC"/>
    <w:rsid w:val="006D64AD"/>
    <w:rsid w:val="006D6BFF"/>
    <w:rsid w:val="006E0541"/>
    <w:rsid w:val="006E138B"/>
    <w:rsid w:val="006E3EDB"/>
    <w:rsid w:val="006F0330"/>
    <w:rsid w:val="006F0866"/>
    <w:rsid w:val="006F1FDC"/>
    <w:rsid w:val="006F6426"/>
    <w:rsid w:val="006F65C2"/>
    <w:rsid w:val="006F6960"/>
    <w:rsid w:val="006F6B8C"/>
    <w:rsid w:val="007004FD"/>
    <w:rsid w:val="007013EF"/>
    <w:rsid w:val="00702B1C"/>
    <w:rsid w:val="007055BD"/>
    <w:rsid w:val="00707B06"/>
    <w:rsid w:val="00714D10"/>
    <w:rsid w:val="00715AE4"/>
    <w:rsid w:val="00715E01"/>
    <w:rsid w:val="00717349"/>
    <w:rsid w:val="007173CA"/>
    <w:rsid w:val="007216AA"/>
    <w:rsid w:val="00721AB5"/>
    <w:rsid w:val="00721CFB"/>
    <w:rsid w:val="00721DEF"/>
    <w:rsid w:val="0072251A"/>
    <w:rsid w:val="00723031"/>
    <w:rsid w:val="00724A43"/>
    <w:rsid w:val="00725D3B"/>
    <w:rsid w:val="007273AC"/>
    <w:rsid w:val="00731A39"/>
    <w:rsid w:val="00731AD4"/>
    <w:rsid w:val="007346E4"/>
    <w:rsid w:val="00734FCA"/>
    <w:rsid w:val="0073582E"/>
    <w:rsid w:val="00740F22"/>
    <w:rsid w:val="00741CF0"/>
    <w:rsid w:val="00741F1A"/>
    <w:rsid w:val="007447DA"/>
    <w:rsid w:val="00744FCC"/>
    <w:rsid w:val="007450F8"/>
    <w:rsid w:val="00745602"/>
    <w:rsid w:val="0074649C"/>
    <w:rsid w:val="0074696E"/>
    <w:rsid w:val="00746CAC"/>
    <w:rsid w:val="00747DB1"/>
    <w:rsid w:val="00750135"/>
    <w:rsid w:val="00750EC2"/>
    <w:rsid w:val="00752B28"/>
    <w:rsid w:val="00753127"/>
    <w:rsid w:val="007541A9"/>
    <w:rsid w:val="00754E36"/>
    <w:rsid w:val="0075755C"/>
    <w:rsid w:val="007605B7"/>
    <w:rsid w:val="00760B0C"/>
    <w:rsid w:val="00763139"/>
    <w:rsid w:val="00764143"/>
    <w:rsid w:val="00770F37"/>
    <w:rsid w:val="007711A0"/>
    <w:rsid w:val="00772D5E"/>
    <w:rsid w:val="007736F9"/>
    <w:rsid w:val="007743F7"/>
    <w:rsid w:val="0077463E"/>
    <w:rsid w:val="00776928"/>
    <w:rsid w:val="00776E0F"/>
    <w:rsid w:val="007774B1"/>
    <w:rsid w:val="00777BE1"/>
    <w:rsid w:val="007833D8"/>
    <w:rsid w:val="00785677"/>
    <w:rsid w:val="00785CD8"/>
    <w:rsid w:val="00786F16"/>
    <w:rsid w:val="00791BD7"/>
    <w:rsid w:val="00791F8C"/>
    <w:rsid w:val="007933F7"/>
    <w:rsid w:val="007940CF"/>
    <w:rsid w:val="00796E20"/>
    <w:rsid w:val="00797C32"/>
    <w:rsid w:val="007A11E8"/>
    <w:rsid w:val="007A3DE9"/>
    <w:rsid w:val="007A75BE"/>
    <w:rsid w:val="007B0883"/>
    <w:rsid w:val="007B0914"/>
    <w:rsid w:val="007B1374"/>
    <w:rsid w:val="007B1E9B"/>
    <w:rsid w:val="007B32E5"/>
    <w:rsid w:val="007B3DB9"/>
    <w:rsid w:val="007B589F"/>
    <w:rsid w:val="007B5FAD"/>
    <w:rsid w:val="007B6186"/>
    <w:rsid w:val="007B73BC"/>
    <w:rsid w:val="007C1838"/>
    <w:rsid w:val="007C1930"/>
    <w:rsid w:val="007C1F0D"/>
    <w:rsid w:val="007C20B9"/>
    <w:rsid w:val="007C5264"/>
    <w:rsid w:val="007C542F"/>
    <w:rsid w:val="007C62FC"/>
    <w:rsid w:val="007C6E2E"/>
    <w:rsid w:val="007C7301"/>
    <w:rsid w:val="007C7720"/>
    <w:rsid w:val="007C7859"/>
    <w:rsid w:val="007C7F28"/>
    <w:rsid w:val="007D0919"/>
    <w:rsid w:val="007D0D90"/>
    <w:rsid w:val="007D1466"/>
    <w:rsid w:val="007D1A80"/>
    <w:rsid w:val="007D2BDE"/>
    <w:rsid w:val="007D2FB6"/>
    <w:rsid w:val="007D49EB"/>
    <w:rsid w:val="007D583E"/>
    <w:rsid w:val="007D5E1C"/>
    <w:rsid w:val="007D6870"/>
    <w:rsid w:val="007E0DE2"/>
    <w:rsid w:val="007E1227"/>
    <w:rsid w:val="007E3B98"/>
    <w:rsid w:val="007E417A"/>
    <w:rsid w:val="007E6D71"/>
    <w:rsid w:val="007E79F4"/>
    <w:rsid w:val="007F31B6"/>
    <w:rsid w:val="007F546C"/>
    <w:rsid w:val="007F625F"/>
    <w:rsid w:val="007F665E"/>
    <w:rsid w:val="00800412"/>
    <w:rsid w:val="008041B0"/>
    <w:rsid w:val="0080579C"/>
    <w:rsid w:val="0080587B"/>
    <w:rsid w:val="00806468"/>
    <w:rsid w:val="008078DE"/>
    <w:rsid w:val="008115FB"/>
    <w:rsid w:val="008119CA"/>
    <w:rsid w:val="008130C4"/>
    <w:rsid w:val="00814DF5"/>
    <w:rsid w:val="008155F0"/>
    <w:rsid w:val="00816735"/>
    <w:rsid w:val="008173B4"/>
    <w:rsid w:val="00820141"/>
    <w:rsid w:val="008201B8"/>
    <w:rsid w:val="00820E0C"/>
    <w:rsid w:val="008213F0"/>
    <w:rsid w:val="00823275"/>
    <w:rsid w:val="00823465"/>
    <w:rsid w:val="0082366F"/>
    <w:rsid w:val="00823E6F"/>
    <w:rsid w:val="00826DEA"/>
    <w:rsid w:val="00831BE2"/>
    <w:rsid w:val="00832284"/>
    <w:rsid w:val="008338A2"/>
    <w:rsid w:val="00833F0A"/>
    <w:rsid w:val="00835FAF"/>
    <w:rsid w:val="00836A3E"/>
    <w:rsid w:val="00837648"/>
    <w:rsid w:val="00841AA9"/>
    <w:rsid w:val="008446A1"/>
    <w:rsid w:val="008474FE"/>
    <w:rsid w:val="00852595"/>
    <w:rsid w:val="00852E60"/>
    <w:rsid w:val="00853EE4"/>
    <w:rsid w:val="008544D8"/>
    <w:rsid w:val="00855535"/>
    <w:rsid w:val="00855920"/>
    <w:rsid w:val="00857C5A"/>
    <w:rsid w:val="0086255E"/>
    <w:rsid w:val="008633F0"/>
    <w:rsid w:val="00867D9D"/>
    <w:rsid w:val="00870633"/>
    <w:rsid w:val="00872E0A"/>
    <w:rsid w:val="00873594"/>
    <w:rsid w:val="00873FA4"/>
    <w:rsid w:val="00875285"/>
    <w:rsid w:val="00875568"/>
    <w:rsid w:val="008770B1"/>
    <w:rsid w:val="008829B3"/>
    <w:rsid w:val="00882C4C"/>
    <w:rsid w:val="00884B62"/>
    <w:rsid w:val="0088529C"/>
    <w:rsid w:val="008868DC"/>
    <w:rsid w:val="00886938"/>
    <w:rsid w:val="0088776A"/>
    <w:rsid w:val="00887903"/>
    <w:rsid w:val="0089149C"/>
    <w:rsid w:val="0089270A"/>
    <w:rsid w:val="00893AD8"/>
    <w:rsid w:val="00893AF6"/>
    <w:rsid w:val="00894BC4"/>
    <w:rsid w:val="008A28A8"/>
    <w:rsid w:val="008A5B32"/>
    <w:rsid w:val="008A65E8"/>
    <w:rsid w:val="008A77B8"/>
    <w:rsid w:val="008B2EE4"/>
    <w:rsid w:val="008B4D3D"/>
    <w:rsid w:val="008B572B"/>
    <w:rsid w:val="008B57C7"/>
    <w:rsid w:val="008C2F92"/>
    <w:rsid w:val="008C3697"/>
    <w:rsid w:val="008C4E1A"/>
    <w:rsid w:val="008C5557"/>
    <w:rsid w:val="008C589D"/>
    <w:rsid w:val="008C6CF3"/>
    <w:rsid w:val="008C6D51"/>
    <w:rsid w:val="008C7CB1"/>
    <w:rsid w:val="008C7F37"/>
    <w:rsid w:val="008D2846"/>
    <w:rsid w:val="008D4236"/>
    <w:rsid w:val="008D4601"/>
    <w:rsid w:val="008D462F"/>
    <w:rsid w:val="008D4F30"/>
    <w:rsid w:val="008D6DCF"/>
    <w:rsid w:val="008E2E78"/>
    <w:rsid w:val="008E3D31"/>
    <w:rsid w:val="008E3DE9"/>
    <w:rsid w:val="008E4376"/>
    <w:rsid w:val="008E6AF4"/>
    <w:rsid w:val="008E6F7D"/>
    <w:rsid w:val="008E7A0A"/>
    <w:rsid w:val="008E7B49"/>
    <w:rsid w:val="008F29DB"/>
    <w:rsid w:val="008F59F6"/>
    <w:rsid w:val="008F7180"/>
    <w:rsid w:val="00900719"/>
    <w:rsid w:val="009017AC"/>
    <w:rsid w:val="00902A9A"/>
    <w:rsid w:val="00904A1C"/>
    <w:rsid w:val="00905030"/>
    <w:rsid w:val="00906490"/>
    <w:rsid w:val="009111B2"/>
    <w:rsid w:val="009131A8"/>
    <w:rsid w:val="009151F5"/>
    <w:rsid w:val="009203BF"/>
    <w:rsid w:val="009220CA"/>
    <w:rsid w:val="00924AE1"/>
    <w:rsid w:val="00924C0F"/>
    <w:rsid w:val="0092697D"/>
    <w:rsid w:val="009269B1"/>
    <w:rsid w:val="0092724D"/>
    <w:rsid w:val="009272B3"/>
    <w:rsid w:val="009300D9"/>
    <w:rsid w:val="009315BE"/>
    <w:rsid w:val="0093171D"/>
    <w:rsid w:val="00931DD0"/>
    <w:rsid w:val="0093338F"/>
    <w:rsid w:val="00937BD9"/>
    <w:rsid w:val="009446D3"/>
    <w:rsid w:val="009447CB"/>
    <w:rsid w:val="009477B0"/>
    <w:rsid w:val="00950A62"/>
    <w:rsid w:val="00950E2C"/>
    <w:rsid w:val="00951D50"/>
    <w:rsid w:val="009525EB"/>
    <w:rsid w:val="00953879"/>
    <w:rsid w:val="009539FB"/>
    <w:rsid w:val="0095427F"/>
    <w:rsid w:val="0095470B"/>
    <w:rsid w:val="00954874"/>
    <w:rsid w:val="00955FC7"/>
    <w:rsid w:val="0095615A"/>
    <w:rsid w:val="00957D8E"/>
    <w:rsid w:val="00961400"/>
    <w:rsid w:val="00963111"/>
    <w:rsid w:val="00963646"/>
    <w:rsid w:val="00964355"/>
    <w:rsid w:val="0096632D"/>
    <w:rsid w:val="009718C7"/>
    <w:rsid w:val="0097559F"/>
    <w:rsid w:val="0097761E"/>
    <w:rsid w:val="00982454"/>
    <w:rsid w:val="00982CF0"/>
    <w:rsid w:val="009853E1"/>
    <w:rsid w:val="00985BC6"/>
    <w:rsid w:val="00986E6B"/>
    <w:rsid w:val="00990032"/>
    <w:rsid w:val="00990B19"/>
    <w:rsid w:val="0099153B"/>
    <w:rsid w:val="00991769"/>
    <w:rsid w:val="0099232C"/>
    <w:rsid w:val="00993F23"/>
    <w:rsid w:val="009942B4"/>
    <w:rsid w:val="00994386"/>
    <w:rsid w:val="0099535D"/>
    <w:rsid w:val="009977F7"/>
    <w:rsid w:val="009A13D8"/>
    <w:rsid w:val="009A16F7"/>
    <w:rsid w:val="009A1C3F"/>
    <w:rsid w:val="009A279E"/>
    <w:rsid w:val="009A3015"/>
    <w:rsid w:val="009A3490"/>
    <w:rsid w:val="009A535A"/>
    <w:rsid w:val="009A6287"/>
    <w:rsid w:val="009B0A6F"/>
    <w:rsid w:val="009B0A94"/>
    <w:rsid w:val="009B2AE8"/>
    <w:rsid w:val="009B3E0B"/>
    <w:rsid w:val="009B59E9"/>
    <w:rsid w:val="009B5CC1"/>
    <w:rsid w:val="009B70AA"/>
    <w:rsid w:val="009C15CF"/>
    <w:rsid w:val="009C1787"/>
    <w:rsid w:val="009C273A"/>
    <w:rsid w:val="009C3D87"/>
    <w:rsid w:val="009C5E77"/>
    <w:rsid w:val="009C6C70"/>
    <w:rsid w:val="009C7A7E"/>
    <w:rsid w:val="009D02E8"/>
    <w:rsid w:val="009D1704"/>
    <w:rsid w:val="009D51D0"/>
    <w:rsid w:val="009D70A4"/>
    <w:rsid w:val="009D7B14"/>
    <w:rsid w:val="009E0791"/>
    <w:rsid w:val="009E08D1"/>
    <w:rsid w:val="009E1B95"/>
    <w:rsid w:val="009E297C"/>
    <w:rsid w:val="009E496F"/>
    <w:rsid w:val="009E4B0D"/>
    <w:rsid w:val="009E5250"/>
    <w:rsid w:val="009E585B"/>
    <w:rsid w:val="009E6D88"/>
    <w:rsid w:val="009E7F92"/>
    <w:rsid w:val="009F02A3"/>
    <w:rsid w:val="009F21BC"/>
    <w:rsid w:val="009F221E"/>
    <w:rsid w:val="009F2CCB"/>
    <w:rsid w:val="009F2F27"/>
    <w:rsid w:val="009F34AA"/>
    <w:rsid w:val="009F4374"/>
    <w:rsid w:val="009F4906"/>
    <w:rsid w:val="009F543F"/>
    <w:rsid w:val="009F5E8B"/>
    <w:rsid w:val="009F6BCB"/>
    <w:rsid w:val="009F7B78"/>
    <w:rsid w:val="00A0057A"/>
    <w:rsid w:val="00A02FA1"/>
    <w:rsid w:val="00A03633"/>
    <w:rsid w:val="00A04CCE"/>
    <w:rsid w:val="00A07421"/>
    <w:rsid w:val="00A0776B"/>
    <w:rsid w:val="00A10FB9"/>
    <w:rsid w:val="00A11421"/>
    <w:rsid w:val="00A12A0E"/>
    <w:rsid w:val="00A1389F"/>
    <w:rsid w:val="00A157B1"/>
    <w:rsid w:val="00A16AA8"/>
    <w:rsid w:val="00A17F6F"/>
    <w:rsid w:val="00A22229"/>
    <w:rsid w:val="00A24442"/>
    <w:rsid w:val="00A30C3B"/>
    <w:rsid w:val="00A30FC1"/>
    <w:rsid w:val="00A330BB"/>
    <w:rsid w:val="00A3584B"/>
    <w:rsid w:val="00A35D3F"/>
    <w:rsid w:val="00A44882"/>
    <w:rsid w:val="00A45125"/>
    <w:rsid w:val="00A50C79"/>
    <w:rsid w:val="00A5377C"/>
    <w:rsid w:val="00A54715"/>
    <w:rsid w:val="00A6061C"/>
    <w:rsid w:val="00A621C1"/>
    <w:rsid w:val="00A62684"/>
    <w:rsid w:val="00A62D44"/>
    <w:rsid w:val="00A670BB"/>
    <w:rsid w:val="00A67263"/>
    <w:rsid w:val="00A7161C"/>
    <w:rsid w:val="00A7456C"/>
    <w:rsid w:val="00A74760"/>
    <w:rsid w:val="00A77AA3"/>
    <w:rsid w:val="00A80421"/>
    <w:rsid w:val="00A81E86"/>
    <w:rsid w:val="00A8236D"/>
    <w:rsid w:val="00A82974"/>
    <w:rsid w:val="00A841E9"/>
    <w:rsid w:val="00A854EB"/>
    <w:rsid w:val="00A872E5"/>
    <w:rsid w:val="00A91406"/>
    <w:rsid w:val="00A91C74"/>
    <w:rsid w:val="00A9267A"/>
    <w:rsid w:val="00A96E00"/>
    <w:rsid w:val="00A96E65"/>
    <w:rsid w:val="00A97C72"/>
    <w:rsid w:val="00AA0AA2"/>
    <w:rsid w:val="00AA268E"/>
    <w:rsid w:val="00AA310B"/>
    <w:rsid w:val="00AA63D4"/>
    <w:rsid w:val="00AB06E8"/>
    <w:rsid w:val="00AB1CD3"/>
    <w:rsid w:val="00AB352F"/>
    <w:rsid w:val="00AB6601"/>
    <w:rsid w:val="00AC274B"/>
    <w:rsid w:val="00AC4764"/>
    <w:rsid w:val="00AC5007"/>
    <w:rsid w:val="00AC6D36"/>
    <w:rsid w:val="00AD0CBA"/>
    <w:rsid w:val="00AD0FB2"/>
    <w:rsid w:val="00AD177A"/>
    <w:rsid w:val="00AD26E2"/>
    <w:rsid w:val="00AD784C"/>
    <w:rsid w:val="00AE126A"/>
    <w:rsid w:val="00AE1B02"/>
    <w:rsid w:val="00AE1BAE"/>
    <w:rsid w:val="00AE2DEE"/>
    <w:rsid w:val="00AE3005"/>
    <w:rsid w:val="00AE3BD5"/>
    <w:rsid w:val="00AE59A0"/>
    <w:rsid w:val="00AE6C8C"/>
    <w:rsid w:val="00AF0C57"/>
    <w:rsid w:val="00AF26F3"/>
    <w:rsid w:val="00AF3580"/>
    <w:rsid w:val="00AF5F04"/>
    <w:rsid w:val="00AF6EE6"/>
    <w:rsid w:val="00B00672"/>
    <w:rsid w:val="00B01B4D"/>
    <w:rsid w:val="00B06571"/>
    <w:rsid w:val="00B06872"/>
    <w:rsid w:val="00B068BA"/>
    <w:rsid w:val="00B07FF7"/>
    <w:rsid w:val="00B127E6"/>
    <w:rsid w:val="00B13851"/>
    <w:rsid w:val="00B13B1C"/>
    <w:rsid w:val="00B14780"/>
    <w:rsid w:val="00B20799"/>
    <w:rsid w:val="00B21F90"/>
    <w:rsid w:val="00B22291"/>
    <w:rsid w:val="00B23F9A"/>
    <w:rsid w:val="00B2417B"/>
    <w:rsid w:val="00B24E6F"/>
    <w:rsid w:val="00B260DB"/>
    <w:rsid w:val="00B26CB5"/>
    <w:rsid w:val="00B2752E"/>
    <w:rsid w:val="00B307CC"/>
    <w:rsid w:val="00B326B7"/>
    <w:rsid w:val="00B32EA2"/>
    <w:rsid w:val="00B34B76"/>
    <w:rsid w:val="00B3588E"/>
    <w:rsid w:val="00B36404"/>
    <w:rsid w:val="00B41F3D"/>
    <w:rsid w:val="00B431E8"/>
    <w:rsid w:val="00B45141"/>
    <w:rsid w:val="00B46DE7"/>
    <w:rsid w:val="00B471FC"/>
    <w:rsid w:val="00B519CD"/>
    <w:rsid w:val="00B5273A"/>
    <w:rsid w:val="00B57329"/>
    <w:rsid w:val="00B576D3"/>
    <w:rsid w:val="00B603C4"/>
    <w:rsid w:val="00B60E61"/>
    <w:rsid w:val="00B62B50"/>
    <w:rsid w:val="00B635B7"/>
    <w:rsid w:val="00B63AE8"/>
    <w:rsid w:val="00B6466D"/>
    <w:rsid w:val="00B650D2"/>
    <w:rsid w:val="00B65950"/>
    <w:rsid w:val="00B66D83"/>
    <w:rsid w:val="00B6710C"/>
    <w:rsid w:val="00B672C0"/>
    <w:rsid w:val="00B676FD"/>
    <w:rsid w:val="00B7029D"/>
    <w:rsid w:val="00B74EFF"/>
    <w:rsid w:val="00B75646"/>
    <w:rsid w:val="00B80CA1"/>
    <w:rsid w:val="00B90029"/>
    <w:rsid w:val="00B90729"/>
    <w:rsid w:val="00B907DA"/>
    <w:rsid w:val="00B937F3"/>
    <w:rsid w:val="00B945E5"/>
    <w:rsid w:val="00B94CD5"/>
    <w:rsid w:val="00B950BC"/>
    <w:rsid w:val="00B9714C"/>
    <w:rsid w:val="00B974F6"/>
    <w:rsid w:val="00BA29AD"/>
    <w:rsid w:val="00BA33CF"/>
    <w:rsid w:val="00BA3F8D"/>
    <w:rsid w:val="00BA5775"/>
    <w:rsid w:val="00BB7A10"/>
    <w:rsid w:val="00BC0423"/>
    <w:rsid w:val="00BC39C7"/>
    <w:rsid w:val="00BC3E8F"/>
    <w:rsid w:val="00BC5BAC"/>
    <w:rsid w:val="00BC60BE"/>
    <w:rsid w:val="00BC7468"/>
    <w:rsid w:val="00BC79BA"/>
    <w:rsid w:val="00BC7D4F"/>
    <w:rsid w:val="00BC7ED7"/>
    <w:rsid w:val="00BD2850"/>
    <w:rsid w:val="00BD5345"/>
    <w:rsid w:val="00BD71F3"/>
    <w:rsid w:val="00BE1A3A"/>
    <w:rsid w:val="00BE28D2"/>
    <w:rsid w:val="00BE2B66"/>
    <w:rsid w:val="00BE322A"/>
    <w:rsid w:val="00BE4A64"/>
    <w:rsid w:val="00BE5A12"/>
    <w:rsid w:val="00BE5E43"/>
    <w:rsid w:val="00BE77E5"/>
    <w:rsid w:val="00BE7F06"/>
    <w:rsid w:val="00BF081C"/>
    <w:rsid w:val="00BF254F"/>
    <w:rsid w:val="00BF30B2"/>
    <w:rsid w:val="00BF3AB1"/>
    <w:rsid w:val="00BF557D"/>
    <w:rsid w:val="00BF7621"/>
    <w:rsid w:val="00BF7F58"/>
    <w:rsid w:val="00C00717"/>
    <w:rsid w:val="00C01381"/>
    <w:rsid w:val="00C01AB1"/>
    <w:rsid w:val="00C026A0"/>
    <w:rsid w:val="00C06137"/>
    <w:rsid w:val="00C079B8"/>
    <w:rsid w:val="00C10037"/>
    <w:rsid w:val="00C121A2"/>
    <w:rsid w:val="00C123EA"/>
    <w:rsid w:val="00C12A49"/>
    <w:rsid w:val="00C133EE"/>
    <w:rsid w:val="00C1362D"/>
    <w:rsid w:val="00C14411"/>
    <w:rsid w:val="00C149D0"/>
    <w:rsid w:val="00C20283"/>
    <w:rsid w:val="00C22335"/>
    <w:rsid w:val="00C261B8"/>
    <w:rsid w:val="00C26588"/>
    <w:rsid w:val="00C27DE9"/>
    <w:rsid w:val="00C327FE"/>
    <w:rsid w:val="00C32989"/>
    <w:rsid w:val="00C33388"/>
    <w:rsid w:val="00C3437D"/>
    <w:rsid w:val="00C35484"/>
    <w:rsid w:val="00C367AE"/>
    <w:rsid w:val="00C4173A"/>
    <w:rsid w:val="00C44C1C"/>
    <w:rsid w:val="00C4692C"/>
    <w:rsid w:val="00C50DED"/>
    <w:rsid w:val="00C5780E"/>
    <w:rsid w:val="00C602FF"/>
    <w:rsid w:val="00C60635"/>
    <w:rsid w:val="00C61174"/>
    <w:rsid w:val="00C6148F"/>
    <w:rsid w:val="00C621B1"/>
    <w:rsid w:val="00C62F7A"/>
    <w:rsid w:val="00C638AD"/>
    <w:rsid w:val="00C63B9C"/>
    <w:rsid w:val="00C6682F"/>
    <w:rsid w:val="00C67397"/>
    <w:rsid w:val="00C67BF4"/>
    <w:rsid w:val="00C7275E"/>
    <w:rsid w:val="00C74C5D"/>
    <w:rsid w:val="00C8373D"/>
    <w:rsid w:val="00C863C4"/>
    <w:rsid w:val="00C8746D"/>
    <w:rsid w:val="00C920EA"/>
    <w:rsid w:val="00C92DB4"/>
    <w:rsid w:val="00C934CF"/>
    <w:rsid w:val="00C93C3E"/>
    <w:rsid w:val="00C96370"/>
    <w:rsid w:val="00C969E0"/>
    <w:rsid w:val="00CA12E3"/>
    <w:rsid w:val="00CA1476"/>
    <w:rsid w:val="00CA181F"/>
    <w:rsid w:val="00CA50CB"/>
    <w:rsid w:val="00CA6611"/>
    <w:rsid w:val="00CA6AE6"/>
    <w:rsid w:val="00CA782F"/>
    <w:rsid w:val="00CB056B"/>
    <w:rsid w:val="00CB0FC9"/>
    <w:rsid w:val="00CB187B"/>
    <w:rsid w:val="00CB2835"/>
    <w:rsid w:val="00CB3285"/>
    <w:rsid w:val="00CB4500"/>
    <w:rsid w:val="00CB7800"/>
    <w:rsid w:val="00CC0C72"/>
    <w:rsid w:val="00CC236B"/>
    <w:rsid w:val="00CC2BFD"/>
    <w:rsid w:val="00CC6500"/>
    <w:rsid w:val="00CC7C22"/>
    <w:rsid w:val="00CC7F95"/>
    <w:rsid w:val="00CD0E97"/>
    <w:rsid w:val="00CD3476"/>
    <w:rsid w:val="00CD64DF"/>
    <w:rsid w:val="00CD6FA1"/>
    <w:rsid w:val="00CE225F"/>
    <w:rsid w:val="00CF2F50"/>
    <w:rsid w:val="00CF5A41"/>
    <w:rsid w:val="00CF6198"/>
    <w:rsid w:val="00CF6D93"/>
    <w:rsid w:val="00D019C9"/>
    <w:rsid w:val="00D02919"/>
    <w:rsid w:val="00D02EC3"/>
    <w:rsid w:val="00D04C61"/>
    <w:rsid w:val="00D05B8D"/>
    <w:rsid w:val="00D065A2"/>
    <w:rsid w:val="00D0674D"/>
    <w:rsid w:val="00D079AA"/>
    <w:rsid w:val="00D07D7D"/>
    <w:rsid w:val="00D07F00"/>
    <w:rsid w:val="00D1130F"/>
    <w:rsid w:val="00D13AAE"/>
    <w:rsid w:val="00D14333"/>
    <w:rsid w:val="00D17B72"/>
    <w:rsid w:val="00D23D98"/>
    <w:rsid w:val="00D2467D"/>
    <w:rsid w:val="00D301A6"/>
    <w:rsid w:val="00D30F4B"/>
    <w:rsid w:val="00D3185C"/>
    <w:rsid w:val="00D3205F"/>
    <w:rsid w:val="00D3257A"/>
    <w:rsid w:val="00D32615"/>
    <w:rsid w:val="00D3279C"/>
    <w:rsid w:val="00D3318E"/>
    <w:rsid w:val="00D33E72"/>
    <w:rsid w:val="00D35BD6"/>
    <w:rsid w:val="00D361B5"/>
    <w:rsid w:val="00D405AC"/>
    <w:rsid w:val="00D411A2"/>
    <w:rsid w:val="00D4202F"/>
    <w:rsid w:val="00D4606D"/>
    <w:rsid w:val="00D46C92"/>
    <w:rsid w:val="00D470F9"/>
    <w:rsid w:val="00D47ECC"/>
    <w:rsid w:val="00D50B9C"/>
    <w:rsid w:val="00D52D73"/>
    <w:rsid w:val="00D52E58"/>
    <w:rsid w:val="00D56B20"/>
    <w:rsid w:val="00D578B3"/>
    <w:rsid w:val="00D618F4"/>
    <w:rsid w:val="00D6261F"/>
    <w:rsid w:val="00D62A6A"/>
    <w:rsid w:val="00D631F3"/>
    <w:rsid w:val="00D66B79"/>
    <w:rsid w:val="00D66C75"/>
    <w:rsid w:val="00D714CC"/>
    <w:rsid w:val="00D7215A"/>
    <w:rsid w:val="00D75EA7"/>
    <w:rsid w:val="00D81ADF"/>
    <w:rsid w:val="00D81F21"/>
    <w:rsid w:val="00D84F83"/>
    <w:rsid w:val="00D864F2"/>
    <w:rsid w:val="00D86AA1"/>
    <w:rsid w:val="00D91768"/>
    <w:rsid w:val="00D929EA"/>
    <w:rsid w:val="00D92F95"/>
    <w:rsid w:val="00D943F8"/>
    <w:rsid w:val="00D95470"/>
    <w:rsid w:val="00D95C92"/>
    <w:rsid w:val="00D96B55"/>
    <w:rsid w:val="00DA1A2E"/>
    <w:rsid w:val="00DA202B"/>
    <w:rsid w:val="00DA2619"/>
    <w:rsid w:val="00DA2677"/>
    <w:rsid w:val="00DA4239"/>
    <w:rsid w:val="00DA65DE"/>
    <w:rsid w:val="00DB0B61"/>
    <w:rsid w:val="00DB1474"/>
    <w:rsid w:val="00DB2962"/>
    <w:rsid w:val="00DB35E8"/>
    <w:rsid w:val="00DB52FB"/>
    <w:rsid w:val="00DB541D"/>
    <w:rsid w:val="00DC013B"/>
    <w:rsid w:val="00DC090B"/>
    <w:rsid w:val="00DC1679"/>
    <w:rsid w:val="00DC219B"/>
    <w:rsid w:val="00DC2501"/>
    <w:rsid w:val="00DC2CF1"/>
    <w:rsid w:val="00DC4FCF"/>
    <w:rsid w:val="00DC50E0"/>
    <w:rsid w:val="00DC6386"/>
    <w:rsid w:val="00DC7FFC"/>
    <w:rsid w:val="00DD1130"/>
    <w:rsid w:val="00DD1951"/>
    <w:rsid w:val="00DD1954"/>
    <w:rsid w:val="00DD487D"/>
    <w:rsid w:val="00DD4E83"/>
    <w:rsid w:val="00DD52E7"/>
    <w:rsid w:val="00DD6628"/>
    <w:rsid w:val="00DD6945"/>
    <w:rsid w:val="00DD6FDA"/>
    <w:rsid w:val="00DD7233"/>
    <w:rsid w:val="00DD7921"/>
    <w:rsid w:val="00DE2AF4"/>
    <w:rsid w:val="00DE2D04"/>
    <w:rsid w:val="00DE2E3B"/>
    <w:rsid w:val="00DE3250"/>
    <w:rsid w:val="00DE451A"/>
    <w:rsid w:val="00DE6028"/>
    <w:rsid w:val="00DE78A3"/>
    <w:rsid w:val="00DF1A71"/>
    <w:rsid w:val="00DF242B"/>
    <w:rsid w:val="00DF38B5"/>
    <w:rsid w:val="00DF50FC"/>
    <w:rsid w:val="00DF68C7"/>
    <w:rsid w:val="00DF731A"/>
    <w:rsid w:val="00E033E3"/>
    <w:rsid w:val="00E0606A"/>
    <w:rsid w:val="00E06566"/>
    <w:rsid w:val="00E06B05"/>
    <w:rsid w:val="00E06B75"/>
    <w:rsid w:val="00E11332"/>
    <w:rsid w:val="00E11352"/>
    <w:rsid w:val="00E12D66"/>
    <w:rsid w:val="00E170DC"/>
    <w:rsid w:val="00E17546"/>
    <w:rsid w:val="00E210B5"/>
    <w:rsid w:val="00E261B3"/>
    <w:rsid w:val="00E26818"/>
    <w:rsid w:val="00E26DCE"/>
    <w:rsid w:val="00E27FFC"/>
    <w:rsid w:val="00E30B15"/>
    <w:rsid w:val="00E33237"/>
    <w:rsid w:val="00E338C6"/>
    <w:rsid w:val="00E368F8"/>
    <w:rsid w:val="00E36A4C"/>
    <w:rsid w:val="00E371CD"/>
    <w:rsid w:val="00E40181"/>
    <w:rsid w:val="00E419C8"/>
    <w:rsid w:val="00E50795"/>
    <w:rsid w:val="00E54950"/>
    <w:rsid w:val="00E56A01"/>
    <w:rsid w:val="00E577E2"/>
    <w:rsid w:val="00E601B1"/>
    <w:rsid w:val="00E62622"/>
    <w:rsid w:val="00E629A1"/>
    <w:rsid w:val="00E633BF"/>
    <w:rsid w:val="00E66491"/>
    <w:rsid w:val="00E6794C"/>
    <w:rsid w:val="00E71037"/>
    <w:rsid w:val="00E713DA"/>
    <w:rsid w:val="00E71591"/>
    <w:rsid w:val="00E71CEB"/>
    <w:rsid w:val="00E73587"/>
    <w:rsid w:val="00E73A2C"/>
    <w:rsid w:val="00E7438A"/>
    <w:rsid w:val="00E7474F"/>
    <w:rsid w:val="00E75DD0"/>
    <w:rsid w:val="00E80DE3"/>
    <w:rsid w:val="00E82C55"/>
    <w:rsid w:val="00E8787E"/>
    <w:rsid w:val="00E90DEB"/>
    <w:rsid w:val="00E918E8"/>
    <w:rsid w:val="00E92AC3"/>
    <w:rsid w:val="00E96EBC"/>
    <w:rsid w:val="00EA1360"/>
    <w:rsid w:val="00EA2F6A"/>
    <w:rsid w:val="00EA6850"/>
    <w:rsid w:val="00EB00E0"/>
    <w:rsid w:val="00EB2AA6"/>
    <w:rsid w:val="00EC059F"/>
    <w:rsid w:val="00EC1C6D"/>
    <w:rsid w:val="00EC1E27"/>
    <w:rsid w:val="00EC1F24"/>
    <w:rsid w:val="00EC22F6"/>
    <w:rsid w:val="00EC40D5"/>
    <w:rsid w:val="00EC5DF4"/>
    <w:rsid w:val="00ED2643"/>
    <w:rsid w:val="00ED50E6"/>
    <w:rsid w:val="00ED5B9B"/>
    <w:rsid w:val="00ED641B"/>
    <w:rsid w:val="00ED6BAD"/>
    <w:rsid w:val="00ED7447"/>
    <w:rsid w:val="00ED7E7C"/>
    <w:rsid w:val="00EE00D6"/>
    <w:rsid w:val="00EE08D8"/>
    <w:rsid w:val="00EE0FF9"/>
    <w:rsid w:val="00EE11E7"/>
    <w:rsid w:val="00EE1488"/>
    <w:rsid w:val="00EE29AD"/>
    <w:rsid w:val="00EE3978"/>
    <w:rsid w:val="00EE3E24"/>
    <w:rsid w:val="00EE4D5D"/>
    <w:rsid w:val="00EE5131"/>
    <w:rsid w:val="00EE7723"/>
    <w:rsid w:val="00EF109B"/>
    <w:rsid w:val="00EF201C"/>
    <w:rsid w:val="00EF3431"/>
    <w:rsid w:val="00EF36AF"/>
    <w:rsid w:val="00EF59A3"/>
    <w:rsid w:val="00EF6592"/>
    <w:rsid w:val="00EF6675"/>
    <w:rsid w:val="00EF6B52"/>
    <w:rsid w:val="00EF7E63"/>
    <w:rsid w:val="00F008D0"/>
    <w:rsid w:val="00F00F9C"/>
    <w:rsid w:val="00F01D0B"/>
    <w:rsid w:val="00F01E5F"/>
    <w:rsid w:val="00F024F3"/>
    <w:rsid w:val="00F02ABA"/>
    <w:rsid w:val="00F0437A"/>
    <w:rsid w:val="00F0568B"/>
    <w:rsid w:val="00F101B8"/>
    <w:rsid w:val="00F11037"/>
    <w:rsid w:val="00F16F1B"/>
    <w:rsid w:val="00F250A9"/>
    <w:rsid w:val="00F267AF"/>
    <w:rsid w:val="00F30FF4"/>
    <w:rsid w:val="00F3122E"/>
    <w:rsid w:val="00F32368"/>
    <w:rsid w:val="00F32B41"/>
    <w:rsid w:val="00F32F51"/>
    <w:rsid w:val="00F331AD"/>
    <w:rsid w:val="00F35287"/>
    <w:rsid w:val="00F3591B"/>
    <w:rsid w:val="00F40A70"/>
    <w:rsid w:val="00F43A37"/>
    <w:rsid w:val="00F44A3C"/>
    <w:rsid w:val="00F451AB"/>
    <w:rsid w:val="00F4641B"/>
    <w:rsid w:val="00F46EB8"/>
    <w:rsid w:val="00F506D6"/>
    <w:rsid w:val="00F50CD1"/>
    <w:rsid w:val="00F511E4"/>
    <w:rsid w:val="00F52D09"/>
    <w:rsid w:val="00F52E08"/>
    <w:rsid w:val="00F5324C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3E62"/>
    <w:rsid w:val="00F64696"/>
    <w:rsid w:val="00F64C7F"/>
    <w:rsid w:val="00F65AA9"/>
    <w:rsid w:val="00F65C70"/>
    <w:rsid w:val="00F6768F"/>
    <w:rsid w:val="00F72C2C"/>
    <w:rsid w:val="00F75177"/>
    <w:rsid w:val="00F7606A"/>
    <w:rsid w:val="00F76CAB"/>
    <w:rsid w:val="00F772C6"/>
    <w:rsid w:val="00F7786B"/>
    <w:rsid w:val="00F804E3"/>
    <w:rsid w:val="00F815B5"/>
    <w:rsid w:val="00F84FA0"/>
    <w:rsid w:val="00F85195"/>
    <w:rsid w:val="00F868E3"/>
    <w:rsid w:val="00F87FD4"/>
    <w:rsid w:val="00F938BA"/>
    <w:rsid w:val="00F97919"/>
    <w:rsid w:val="00FA1B81"/>
    <w:rsid w:val="00FA2C46"/>
    <w:rsid w:val="00FA2F1A"/>
    <w:rsid w:val="00FA3525"/>
    <w:rsid w:val="00FA5A53"/>
    <w:rsid w:val="00FA7268"/>
    <w:rsid w:val="00FB1756"/>
    <w:rsid w:val="00FB2551"/>
    <w:rsid w:val="00FB4769"/>
    <w:rsid w:val="00FB4CDA"/>
    <w:rsid w:val="00FB6481"/>
    <w:rsid w:val="00FB6D36"/>
    <w:rsid w:val="00FB6E88"/>
    <w:rsid w:val="00FC0965"/>
    <w:rsid w:val="00FC0F81"/>
    <w:rsid w:val="00FC252F"/>
    <w:rsid w:val="00FC395C"/>
    <w:rsid w:val="00FC543E"/>
    <w:rsid w:val="00FC5E8E"/>
    <w:rsid w:val="00FC6D26"/>
    <w:rsid w:val="00FD3766"/>
    <w:rsid w:val="00FD47C4"/>
    <w:rsid w:val="00FD5A71"/>
    <w:rsid w:val="00FD722A"/>
    <w:rsid w:val="00FD735B"/>
    <w:rsid w:val="00FD7A5B"/>
    <w:rsid w:val="00FE2DCF"/>
    <w:rsid w:val="00FE3FA7"/>
    <w:rsid w:val="00FF0A59"/>
    <w:rsid w:val="00FF188F"/>
    <w:rsid w:val="00FF2A4E"/>
    <w:rsid w:val="00FF2E19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F5F7F0"/>
  <w15:docId w15:val="{96B4B3F3-0E5E-4D4C-8B07-A90BC2DE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qFormat/>
    <w:rsid w:val="00CC6500"/>
    <w:rPr>
      <w:rFonts w:ascii="Calibri" w:eastAsiaTheme="minorHAnsi" w:hAnsi="Calibri" w:cs="Calibr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uiPriority w:val="99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uiPriority w:val="99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customStyle="1" w:styleId="DHHSbody">
    <w:name w:val="DHHS body"/>
    <w:uiPriority w:val="99"/>
    <w:qFormat/>
    <w:rsid w:val="008173B4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uiPriority w:val="99"/>
    <w:qFormat/>
    <w:rsid w:val="00236210"/>
    <w:pPr>
      <w:spacing w:after="40"/>
      <w:ind w:left="284" w:hanging="284"/>
    </w:pPr>
  </w:style>
  <w:style w:type="paragraph" w:customStyle="1" w:styleId="DHHSbullet2">
    <w:name w:val="DHHS bullet 2"/>
    <w:basedOn w:val="DHHSbody"/>
    <w:uiPriority w:val="2"/>
    <w:qFormat/>
    <w:rsid w:val="00236210"/>
    <w:pPr>
      <w:spacing w:after="40"/>
      <w:ind w:left="567" w:hanging="283"/>
    </w:pPr>
  </w:style>
  <w:style w:type="paragraph" w:customStyle="1" w:styleId="DHHSfooter">
    <w:name w:val="DHHS footer"/>
    <w:uiPriority w:val="11"/>
    <w:rsid w:val="00236210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236210"/>
  </w:style>
  <w:style w:type="paragraph" w:styleId="ListParagraph">
    <w:name w:val="List Paragraph"/>
    <w:basedOn w:val="Normal"/>
    <w:uiPriority w:val="34"/>
    <w:qFormat/>
    <w:rsid w:val="000865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490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AU"/>
    </w:rPr>
  </w:style>
  <w:style w:type="character" w:customStyle="1" w:styleId="font-avenir">
    <w:name w:val="font-avenir"/>
    <w:basedOn w:val="DefaultParagraphFont"/>
    <w:rsid w:val="00CC6500"/>
  </w:style>
  <w:style w:type="paragraph" w:customStyle="1" w:styleId="size-141">
    <w:name w:val="size-141"/>
    <w:basedOn w:val="Normal"/>
    <w:uiPriority w:val="99"/>
    <w:rsid w:val="00CC6500"/>
    <w:pPr>
      <w:spacing w:before="100" w:beforeAutospacing="1" w:after="100" w:afterAutospacing="1" w:line="315" w:lineRule="atLeast"/>
    </w:pPr>
    <w:rPr>
      <w:rFonts w:ascii="Times New Roman" w:hAnsi="Times New Roman" w:cs="Times New Roman"/>
      <w:sz w:val="21"/>
      <w:szCs w:val="21"/>
      <w:lang w:eastAsia="en-AU"/>
    </w:rPr>
  </w:style>
  <w:style w:type="character" w:customStyle="1" w:styleId="rpl-text-label">
    <w:name w:val="rpl-text-label"/>
    <w:basedOn w:val="DefaultParagraphFont"/>
    <w:rsid w:val="0099535D"/>
  </w:style>
  <w:style w:type="character" w:customStyle="1" w:styleId="rpl-text-icongroup">
    <w:name w:val="rpl-text-icon__group"/>
    <w:basedOn w:val="DefaultParagraphFont"/>
    <w:rsid w:val="0099535D"/>
  </w:style>
  <w:style w:type="character" w:customStyle="1" w:styleId="rpl-document-linktitle">
    <w:name w:val="rpl-document-link__title"/>
    <w:basedOn w:val="DefaultParagraphFont"/>
    <w:rsid w:val="0099535D"/>
  </w:style>
  <w:style w:type="character" w:customStyle="1" w:styleId="rpl-document-linktype">
    <w:name w:val="rpl-document-link__type"/>
    <w:basedOn w:val="DefaultParagraphFont"/>
    <w:rsid w:val="0099535D"/>
  </w:style>
  <w:style w:type="character" w:customStyle="1" w:styleId="rpl-document-linksize">
    <w:name w:val="rpl-document-link__size"/>
    <w:basedOn w:val="DefaultParagraphFont"/>
    <w:rsid w:val="0099535D"/>
  </w:style>
  <w:style w:type="paragraph" w:customStyle="1" w:styleId="Default">
    <w:name w:val="Default"/>
    <w:rsid w:val="00E371C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uthor">
    <w:name w:val="author"/>
    <w:basedOn w:val="DefaultParagraphFont"/>
    <w:rsid w:val="008D4601"/>
  </w:style>
  <w:style w:type="character" w:customStyle="1" w:styleId="articletitle">
    <w:name w:val="articletitle"/>
    <w:basedOn w:val="DefaultParagraphFont"/>
    <w:rsid w:val="008D4601"/>
  </w:style>
  <w:style w:type="character" w:customStyle="1" w:styleId="pubyear">
    <w:name w:val="pubyear"/>
    <w:basedOn w:val="DefaultParagraphFont"/>
    <w:rsid w:val="008D4601"/>
  </w:style>
  <w:style w:type="character" w:customStyle="1" w:styleId="vol">
    <w:name w:val="vol"/>
    <w:basedOn w:val="DefaultParagraphFont"/>
    <w:rsid w:val="008D4601"/>
  </w:style>
  <w:style w:type="character" w:customStyle="1" w:styleId="pagefirst">
    <w:name w:val="pagefirst"/>
    <w:basedOn w:val="DefaultParagraphFont"/>
    <w:rsid w:val="008D4601"/>
  </w:style>
  <w:style w:type="character" w:customStyle="1" w:styleId="pagelast">
    <w:name w:val="pagelast"/>
    <w:basedOn w:val="DefaultParagraphFont"/>
    <w:rsid w:val="008D4601"/>
  </w:style>
  <w:style w:type="paragraph" w:customStyle="1" w:styleId="DHHStablecaption">
    <w:name w:val="DHHS table caption"/>
    <w:next w:val="DHHSbody"/>
    <w:uiPriority w:val="3"/>
    <w:qFormat/>
    <w:rsid w:val="0018502F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size-121">
    <w:name w:val="size-121"/>
    <w:basedOn w:val="Normal"/>
    <w:uiPriority w:val="99"/>
    <w:semiHidden/>
    <w:rsid w:val="00D23D98"/>
    <w:pPr>
      <w:spacing w:before="100" w:beforeAutospacing="1" w:after="100" w:afterAutospacing="1" w:line="285" w:lineRule="atLeast"/>
    </w:pPr>
    <w:rPr>
      <w:rFonts w:ascii="Aptos" w:hAnsi="Aptos" w:cs="Aptos"/>
      <w:sz w:val="18"/>
      <w:szCs w:val="18"/>
      <w:lang w:eastAsia="en-AU"/>
    </w:rPr>
  </w:style>
  <w:style w:type="character" w:customStyle="1" w:styleId="font-arial">
    <w:name w:val="font-arial"/>
    <w:basedOn w:val="DefaultParagraphFont"/>
    <w:rsid w:val="00D2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0699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63663"/>
                        <w:left w:val="none" w:sz="0" w:space="0" w:color="auto"/>
                        <w:bottom w:val="none" w:sz="0" w:space="0" w:color="C63663"/>
                        <w:right w:val="none" w:sz="0" w:space="0" w:color="C63663"/>
                      </w:divBdr>
                    </w:div>
                  </w:divsChild>
                </w:div>
              </w:divsChild>
            </w:div>
          </w:divsChild>
        </w:div>
        <w:div w:id="12346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87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28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8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5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1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3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1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0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17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54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7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5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5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4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8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8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94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4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4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7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490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4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49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3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6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8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000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216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0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72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0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71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lifeblood.com.au/health-professionals/clinical-practice/transfusion-process/documentation-traceability" TargetMode="External"/><Relationship Id="rId26" Type="http://schemas.openxmlformats.org/officeDocument/2006/relationships/hyperlink" Target="https://www.health.vic.gov.au/patient-care/transfusion-science-and-blood-stewardsh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patient-care/emergency-use-of-group-o-red-blood-cell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mailto:bloodmatters@redcrossblood.org.au?subject=Accessible%20documen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chart" Target="charts/chart1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bloodmatters@redcrossblood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mailto:rfrench@redcrossblood.org.au" TargetMode="Externa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cyber.gov.au/business-government/asds-cyber-security-frameworks/essential-eight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cmls.org.au" TargetMode="External"/><Relationship Id="rId27" Type="http://schemas.openxmlformats.org/officeDocument/2006/relationships/header" Target="header3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health.vic.gov.au/patient-care/emergency-use-of-group-o-red-blood-cells" TargetMode="External"/><Relationship Id="rId2" Type="http://schemas.openxmlformats.org/officeDocument/2006/relationships/hyperlink" Target="https://www.cyber.gov.au/business-government/asds-cyber-security-frameworks/essential-eight" TargetMode="External"/><Relationship Id="rId1" Type="http://schemas.openxmlformats.org/officeDocument/2006/relationships/hyperlink" Target="https://www.lifeblood.com.au/health-professionals/clinical-practice/transfusion-process/documentation-traceability" TargetMode="External"/><Relationship Id="rId4" Type="http://schemas.openxmlformats.org/officeDocument/2006/relationships/hyperlink" Target="http://www.cmls.org.au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5" Type="http://schemas.openxmlformats.org/officeDocument/2006/relationships/chartUserShapes" Target="../drawings/drawing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261920384951881E-2"/>
          <c:y val="4.0894228264146855E-2"/>
          <c:w val="0.85460881452318449"/>
          <c:h val="0.692566734872501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DATA!$C$1</c:f>
              <c:strCache>
                <c:ptCount val="1"/>
                <c:pt idx="0">
                  <c:v>RBC discarded</c:v>
                </c:pt>
              </c:strCache>
            </c:strRef>
          </c:tx>
          <c:spPr>
            <a:gradFill flip="none" rotWithShape="1">
              <a:gsLst>
                <a:gs pos="0">
                  <a:srgbClr val="C00000">
                    <a:tint val="66000"/>
                    <a:satMod val="160000"/>
                  </a:srgbClr>
                </a:gs>
                <a:gs pos="50000">
                  <a:srgbClr val="C00000">
                    <a:tint val="44500"/>
                    <a:satMod val="160000"/>
                  </a:srgbClr>
                </a:gs>
                <a:gs pos="100000">
                  <a:srgbClr val="C00000">
                    <a:tint val="23500"/>
                    <a:satMod val="160000"/>
                  </a:srgbClr>
                </a:gs>
              </a:gsLst>
              <a:lin ang="8100000" scaled="1"/>
              <a:tileRect/>
            </a:gradFill>
            <a:ln>
              <a:noFill/>
            </a:ln>
            <a:effectLst/>
          </c:spPr>
          <c:invertIfNegative val="0"/>
          <c:cat>
            <c:multiLvlStrRef>
              <c:f>DATA!$A$2:$B$49</c:f>
              <c:multiLvlStrCache>
                <c:ptCount val="48"/>
                <c:lvl>
                  <c:pt idx="0">
                    <c:v>Nov</c:v>
                  </c:pt>
                  <c:pt idx="1">
                    <c:v>Dec</c:v>
                  </c:pt>
                  <c:pt idx="2">
                    <c:v>Jan</c:v>
                  </c:pt>
                  <c:pt idx="3">
                    <c:v>Feb</c:v>
                  </c:pt>
                  <c:pt idx="4">
                    <c:v>Nov</c:v>
                  </c:pt>
                  <c:pt idx="5">
                    <c:v>Dec</c:v>
                  </c:pt>
                  <c:pt idx="6">
                    <c:v>Jan</c:v>
                  </c:pt>
                  <c:pt idx="7">
                    <c:v>Feb</c:v>
                  </c:pt>
                  <c:pt idx="8">
                    <c:v>Nov</c:v>
                  </c:pt>
                  <c:pt idx="9">
                    <c:v>Dec</c:v>
                  </c:pt>
                  <c:pt idx="10">
                    <c:v>Jan</c:v>
                  </c:pt>
                  <c:pt idx="11">
                    <c:v>Feb</c:v>
                  </c:pt>
                  <c:pt idx="12">
                    <c:v>Nov</c:v>
                  </c:pt>
                  <c:pt idx="13">
                    <c:v>Dec</c:v>
                  </c:pt>
                  <c:pt idx="14">
                    <c:v>Jan</c:v>
                  </c:pt>
                  <c:pt idx="15">
                    <c:v>Feb</c:v>
                  </c:pt>
                  <c:pt idx="16">
                    <c:v>Nov</c:v>
                  </c:pt>
                  <c:pt idx="17">
                    <c:v>Dec</c:v>
                  </c:pt>
                  <c:pt idx="18">
                    <c:v>Jan</c:v>
                  </c:pt>
                  <c:pt idx="19">
                    <c:v>Feb</c:v>
                  </c:pt>
                  <c:pt idx="20">
                    <c:v>Nov</c:v>
                  </c:pt>
                  <c:pt idx="21">
                    <c:v>Dec</c:v>
                  </c:pt>
                  <c:pt idx="22">
                    <c:v>Jan</c:v>
                  </c:pt>
                  <c:pt idx="23">
                    <c:v>Feb</c:v>
                  </c:pt>
                  <c:pt idx="24">
                    <c:v>Nov</c:v>
                  </c:pt>
                  <c:pt idx="25">
                    <c:v>Dec</c:v>
                  </c:pt>
                  <c:pt idx="26">
                    <c:v>Jan</c:v>
                  </c:pt>
                  <c:pt idx="27">
                    <c:v>Feb</c:v>
                  </c:pt>
                  <c:pt idx="28">
                    <c:v>Nov</c:v>
                  </c:pt>
                  <c:pt idx="29">
                    <c:v>Dec</c:v>
                  </c:pt>
                  <c:pt idx="30">
                    <c:v>Jan</c:v>
                  </c:pt>
                  <c:pt idx="31">
                    <c:v>Feb</c:v>
                  </c:pt>
                  <c:pt idx="32">
                    <c:v>Nov</c:v>
                  </c:pt>
                  <c:pt idx="33">
                    <c:v>Dec</c:v>
                  </c:pt>
                  <c:pt idx="34">
                    <c:v>Jan</c:v>
                  </c:pt>
                  <c:pt idx="35">
                    <c:v>Feb</c:v>
                  </c:pt>
                  <c:pt idx="36">
                    <c:v>Nov</c:v>
                  </c:pt>
                  <c:pt idx="37">
                    <c:v>Dec</c:v>
                  </c:pt>
                  <c:pt idx="38">
                    <c:v>Jan</c:v>
                  </c:pt>
                  <c:pt idx="39">
                    <c:v>Feb</c:v>
                  </c:pt>
                  <c:pt idx="40">
                    <c:v>Nov</c:v>
                  </c:pt>
                  <c:pt idx="41">
                    <c:v>Dec</c:v>
                  </c:pt>
                  <c:pt idx="42">
                    <c:v>Jan</c:v>
                  </c:pt>
                  <c:pt idx="43">
                    <c:v>Feb</c:v>
                  </c:pt>
                  <c:pt idx="44">
                    <c:v>Nov</c:v>
                  </c:pt>
                  <c:pt idx="45">
                    <c:v>Dec</c:v>
                  </c:pt>
                  <c:pt idx="46">
                    <c:v>Jan</c:v>
                  </c:pt>
                  <c:pt idx="47">
                    <c:v>Feb</c:v>
                  </c:pt>
                </c:lvl>
                <c:lvl>
                  <c:pt idx="0">
                    <c:v>FY15</c:v>
                  </c:pt>
                  <c:pt idx="4">
                    <c:v>FY16</c:v>
                  </c:pt>
                  <c:pt idx="8">
                    <c:v>FY17</c:v>
                  </c:pt>
                  <c:pt idx="12">
                    <c:v>FY18</c:v>
                  </c:pt>
                  <c:pt idx="16">
                    <c:v>FY19</c:v>
                  </c:pt>
                  <c:pt idx="20">
                    <c:v>FY20</c:v>
                  </c:pt>
                  <c:pt idx="24">
                    <c:v>FY21</c:v>
                  </c:pt>
                  <c:pt idx="28">
                    <c:v>FY22</c:v>
                  </c:pt>
                  <c:pt idx="32">
                    <c:v>FY23</c:v>
                  </c:pt>
                  <c:pt idx="36">
                    <c:v>FY24</c:v>
                  </c:pt>
                  <c:pt idx="40">
                    <c:v>FY25</c:v>
                  </c:pt>
                  <c:pt idx="44">
                    <c:v>FY26</c:v>
                  </c:pt>
                </c:lvl>
              </c:multiLvlStrCache>
            </c:multiLvlStrRef>
          </c:cat>
          <c:val>
            <c:numRef>
              <c:f>DATA!$C$2:$C$49</c:f>
              <c:numCache>
                <c:formatCode>General</c:formatCode>
                <c:ptCount val="48"/>
                <c:pt idx="0">
                  <c:v>640</c:v>
                </c:pt>
                <c:pt idx="1">
                  <c:v>757</c:v>
                </c:pt>
                <c:pt idx="2">
                  <c:v>820</c:v>
                </c:pt>
                <c:pt idx="3">
                  <c:v>673</c:v>
                </c:pt>
                <c:pt idx="4">
                  <c:v>512</c:v>
                </c:pt>
                <c:pt idx="5">
                  <c:v>522</c:v>
                </c:pt>
                <c:pt idx="6">
                  <c:v>575</c:v>
                </c:pt>
                <c:pt idx="7">
                  <c:v>524</c:v>
                </c:pt>
                <c:pt idx="8">
                  <c:v>286</c:v>
                </c:pt>
                <c:pt idx="9">
                  <c:v>300</c:v>
                </c:pt>
                <c:pt idx="10">
                  <c:v>261</c:v>
                </c:pt>
                <c:pt idx="11">
                  <c:v>315</c:v>
                </c:pt>
                <c:pt idx="12">
                  <c:v>300</c:v>
                </c:pt>
                <c:pt idx="13">
                  <c:v>311</c:v>
                </c:pt>
                <c:pt idx="14">
                  <c:v>324</c:v>
                </c:pt>
                <c:pt idx="15">
                  <c:v>239</c:v>
                </c:pt>
                <c:pt idx="16">
                  <c:v>267</c:v>
                </c:pt>
                <c:pt idx="17">
                  <c:v>274</c:v>
                </c:pt>
                <c:pt idx="18">
                  <c:v>289</c:v>
                </c:pt>
                <c:pt idx="19">
                  <c:v>261</c:v>
                </c:pt>
                <c:pt idx="20">
                  <c:v>294</c:v>
                </c:pt>
                <c:pt idx="21">
                  <c:v>243</c:v>
                </c:pt>
                <c:pt idx="22">
                  <c:v>327</c:v>
                </c:pt>
                <c:pt idx="23">
                  <c:v>284</c:v>
                </c:pt>
                <c:pt idx="24">
                  <c:v>219</c:v>
                </c:pt>
                <c:pt idx="25">
                  <c:v>223</c:v>
                </c:pt>
                <c:pt idx="26">
                  <c:v>240</c:v>
                </c:pt>
                <c:pt idx="27">
                  <c:v>209</c:v>
                </c:pt>
                <c:pt idx="28">
                  <c:v>205</c:v>
                </c:pt>
                <c:pt idx="29">
                  <c:v>192</c:v>
                </c:pt>
                <c:pt idx="30">
                  <c:v>222</c:v>
                </c:pt>
                <c:pt idx="31">
                  <c:v>167</c:v>
                </c:pt>
                <c:pt idx="32">
                  <c:v>233</c:v>
                </c:pt>
                <c:pt idx="33">
                  <c:v>217</c:v>
                </c:pt>
                <c:pt idx="34">
                  <c:v>226</c:v>
                </c:pt>
                <c:pt idx="35">
                  <c:v>188</c:v>
                </c:pt>
                <c:pt idx="36">
                  <c:v>170</c:v>
                </c:pt>
                <c:pt idx="37">
                  <c:v>154</c:v>
                </c:pt>
                <c:pt idx="38">
                  <c:v>219</c:v>
                </c:pt>
                <c:pt idx="39">
                  <c:v>181</c:v>
                </c:pt>
                <c:pt idx="40">
                  <c:v>157</c:v>
                </c:pt>
                <c:pt idx="41">
                  <c:v>170</c:v>
                </c:pt>
                <c:pt idx="42">
                  <c:v>154</c:v>
                </c:pt>
                <c:pt idx="43">
                  <c:v>159</c:v>
                </c:pt>
                <c:pt idx="44">
                  <c:v>148</c:v>
                </c:pt>
                <c:pt idx="45">
                  <c:v>191</c:v>
                </c:pt>
                <c:pt idx="46">
                  <c:v>172</c:v>
                </c:pt>
                <c:pt idx="47">
                  <c:v>164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55-48C3-A6B0-6C483556CE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747904143"/>
        <c:axId val="747915183"/>
      </c:barChart>
      <c:lineChart>
        <c:grouping val="standard"/>
        <c:varyColors val="0"/>
        <c:ser>
          <c:idx val="1"/>
          <c:order val="1"/>
          <c:tx>
            <c:strRef>
              <c:f>DATA!$E$1</c:f>
              <c:strCache>
                <c:ptCount val="1"/>
                <c:pt idx="0">
                  <c:v>Victorian RBC Loss Rate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DATA!$A$2:$B$49</c:f>
              <c:multiLvlStrCache>
                <c:ptCount val="48"/>
                <c:lvl>
                  <c:pt idx="0">
                    <c:v>Nov</c:v>
                  </c:pt>
                  <c:pt idx="1">
                    <c:v>Dec</c:v>
                  </c:pt>
                  <c:pt idx="2">
                    <c:v>Jan</c:v>
                  </c:pt>
                  <c:pt idx="3">
                    <c:v>Feb</c:v>
                  </c:pt>
                  <c:pt idx="4">
                    <c:v>Nov</c:v>
                  </c:pt>
                  <c:pt idx="5">
                    <c:v>Dec</c:v>
                  </c:pt>
                  <c:pt idx="6">
                    <c:v>Jan</c:v>
                  </c:pt>
                  <c:pt idx="7">
                    <c:v>Feb</c:v>
                  </c:pt>
                  <c:pt idx="8">
                    <c:v>Nov</c:v>
                  </c:pt>
                  <c:pt idx="9">
                    <c:v>Dec</c:v>
                  </c:pt>
                  <c:pt idx="10">
                    <c:v>Jan</c:v>
                  </c:pt>
                  <c:pt idx="11">
                    <c:v>Feb</c:v>
                  </c:pt>
                  <c:pt idx="12">
                    <c:v>Nov</c:v>
                  </c:pt>
                  <c:pt idx="13">
                    <c:v>Dec</c:v>
                  </c:pt>
                  <c:pt idx="14">
                    <c:v>Jan</c:v>
                  </c:pt>
                  <c:pt idx="15">
                    <c:v>Feb</c:v>
                  </c:pt>
                  <c:pt idx="16">
                    <c:v>Nov</c:v>
                  </c:pt>
                  <c:pt idx="17">
                    <c:v>Dec</c:v>
                  </c:pt>
                  <c:pt idx="18">
                    <c:v>Jan</c:v>
                  </c:pt>
                  <c:pt idx="19">
                    <c:v>Feb</c:v>
                  </c:pt>
                  <c:pt idx="20">
                    <c:v>Nov</c:v>
                  </c:pt>
                  <c:pt idx="21">
                    <c:v>Dec</c:v>
                  </c:pt>
                  <c:pt idx="22">
                    <c:v>Jan</c:v>
                  </c:pt>
                  <c:pt idx="23">
                    <c:v>Feb</c:v>
                  </c:pt>
                  <c:pt idx="24">
                    <c:v>Nov</c:v>
                  </c:pt>
                  <c:pt idx="25">
                    <c:v>Dec</c:v>
                  </c:pt>
                  <c:pt idx="26">
                    <c:v>Jan</c:v>
                  </c:pt>
                  <c:pt idx="27">
                    <c:v>Feb</c:v>
                  </c:pt>
                  <c:pt idx="28">
                    <c:v>Nov</c:v>
                  </c:pt>
                  <c:pt idx="29">
                    <c:v>Dec</c:v>
                  </c:pt>
                  <c:pt idx="30">
                    <c:v>Jan</c:v>
                  </c:pt>
                  <c:pt idx="31">
                    <c:v>Feb</c:v>
                  </c:pt>
                  <c:pt idx="32">
                    <c:v>Nov</c:v>
                  </c:pt>
                  <c:pt idx="33">
                    <c:v>Dec</c:v>
                  </c:pt>
                  <c:pt idx="34">
                    <c:v>Jan</c:v>
                  </c:pt>
                  <c:pt idx="35">
                    <c:v>Feb</c:v>
                  </c:pt>
                  <c:pt idx="36">
                    <c:v>Nov</c:v>
                  </c:pt>
                  <c:pt idx="37">
                    <c:v>Dec</c:v>
                  </c:pt>
                  <c:pt idx="38">
                    <c:v>Jan</c:v>
                  </c:pt>
                  <c:pt idx="39">
                    <c:v>Feb</c:v>
                  </c:pt>
                  <c:pt idx="40">
                    <c:v>Nov</c:v>
                  </c:pt>
                  <c:pt idx="41">
                    <c:v>Dec</c:v>
                  </c:pt>
                  <c:pt idx="42">
                    <c:v>Jan</c:v>
                  </c:pt>
                  <c:pt idx="43">
                    <c:v>Feb</c:v>
                  </c:pt>
                  <c:pt idx="44">
                    <c:v>Nov</c:v>
                  </c:pt>
                  <c:pt idx="45">
                    <c:v>Dec</c:v>
                  </c:pt>
                  <c:pt idx="46">
                    <c:v>Jan</c:v>
                  </c:pt>
                  <c:pt idx="47">
                    <c:v>Feb</c:v>
                  </c:pt>
                </c:lvl>
                <c:lvl>
                  <c:pt idx="0">
                    <c:v>FY15</c:v>
                  </c:pt>
                  <c:pt idx="4">
                    <c:v>FY16</c:v>
                  </c:pt>
                  <c:pt idx="8">
                    <c:v>FY17</c:v>
                  </c:pt>
                  <c:pt idx="12">
                    <c:v>FY18</c:v>
                  </c:pt>
                  <c:pt idx="16">
                    <c:v>FY19</c:v>
                  </c:pt>
                  <c:pt idx="20">
                    <c:v>FY20</c:v>
                  </c:pt>
                  <c:pt idx="24">
                    <c:v>FY21</c:v>
                  </c:pt>
                  <c:pt idx="28">
                    <c:v>FY22</c:v>
                  </c:pt>
                  <c:pt idx="32">
                    <c:v>FY23</c:v>
                  </c:pt>
                  <c:pt idx="36">
                    <c:v>FY24</c:v>
                  </c:pt>
                  <c:pt idx="40">
                    <c:v>FY25</c:v>
                  </c:pt>
                  <c:pt idx="44">
                    <c:v>FY26</c:v>
                  </c:pt>
                </c:lvl>
              </c:multiLvlStrCache>
            </c:multiLvlStrRef>
          </c:cat>
          <c:val>
            <c:numRef>
              <c:f>DATA!$E$2:$E$49</c:f>
              <c:numCache>
                <c:formatCode>0.0%</c:formatCode>
                <c:ptCount val="48"/>
                <c:pt idx="0">
                  <c:v>4.2999999999999997E-2</c:v>
                </c:pt>
                <c:pt idx="1">
                  <c:v>4.9000000000000002E-2</c:v>
                </c:pt>
                <c:pt idx="2">
                  <c:v>5.5E-2</c:v>
                </c:pt>
                <c:pt idx="3">
                  <c:v>4.8000000000000001E-2</c:v>
                </c:pt>
                <c:pt idx="4">
                  <c:v>3.5000000000000003E-2</c:v>
                </c:pt>
                <c:pt idx="5">
                  <c:v>3.5000000000000003E-2</c:v>
                </c:pt>
                <c:pt idx="6">
                  <c:v>4.1000000000000002E-2</c:v>
                </c:pt>
                <c:pt idx="7">
                  <c:v>3.5999999999999997E-2</c:v>
                </c:pt>
                <c:pt idx="8">
                  <c:v>1.9E-2</c:v>
                </c:pt>
                <c:pt idx="9">
                  <c:v>2.1000000000000001E-2</c:v>
                </c:pt>
                <c:pt idx="10">
                  <c:v>1.7999999999999999E-2</c:v>
                </c:pt>
                <c:pt idx="11">
                  <c:v>2.1999999999999999E-2</c:v>
                </c:pt>
                <c:pt idx="12">
                  <c:v>2.1000000000000001E-2</c:v>
                </c:pt>
                <c:pt idx="13">
                  <c:v>2.1999999999999999E-2</c:v>
                </c:pt>
                <c:pt idx="14">
                  <c:v>2.1000000000000001E-2</c:v>
                </c:pt>
                <c:pt idx="15">
                  <c:v>1.7000000000000001E-2</c:v>
                </c:pt>
                <c:pt idx="16">
                  <c:v>1.7999999999999999E-2</c:v>
                </c:pt>
                <c:pt idx="17">
                  <c:v>1.9E-2</c:v>
                </c:pt>
                <c:pt idx="18">
                  <c:v>0.02</c:v>
                </c:pt>
                <c:pt idx="19">
                  <c:v>1.9E-2</c:v>
                </c:pt>
                <c:pt idx="20">
                  <c:v>2.1000000000000001E-2</c:v>
                </c:pt>
                <c:pt idx="21">
                  <c:v>1.6E-2</c:v>
                </c:pt>
                <c:pt idx="22">
                  <c:v>2.1999999999999999E-2</c:v>
                </c:pt>
                <c:pt idx="23">
                  <c:v>0.02</c:v>
                </c:pt>
                <c:pt idx="24">
                  <c:v>1.4E-2</c:v>
                </c:pt>
                <c:pt idx="25">
                  <c:v>1.4E-2</c:v>
                </c:pt>
                <c:pt idx="26">
                  <c:v>1.7000000000000001E-2</c:v>
                </c:pt>
                <c:pt idx="27">
                  <c:v>1.4999999999999999E-2</c:v>
                </c:pt>
                <c:pt idx="28">
                  <c:v>1.32E-2</c:v>
                </c:pt>
                <c:pt idx="29">
                  <c:v>1.2E-2</c:v>
                </c:pt>
                <c:pt idx="30">
                  <c:v>1.6E-2</c:v>
                </c:pt>
                <c:pt idx="31">
                  <c:v>1.2E-2</c:v>
                </c:pt>
                <c:pt idx="32">
                  <c:v>1.4999999999999999E-2</c:v>
                </c:pt>
                <c:pt idx="33">
                  <c:v>1.3999999999999999E-2</c:v>
                </c:pt>
                <c:pt idx="34">
                  <c:v>1.4999999999999999E-2</c:v>
                </c:pt>
                <c:pt idx="35">
                  <c:v>1.2999999999999999E-2</c:v>
                </c:pt>
                <c:pt idx="36">
                  <c:v>1.0999999999999999E-2</c:v>
                </c:pt>
                <c:pt idx="37">
                  <c:v>1.4999999999999999E-2</c:v>
                </c:pt>
                <c:pt idx="38">
                  <c:v>1.4E-2</c:v>
                </c:pt>
                <c:pt idx="39">
                  <c:v>1.2999999999999999E-2</c:v>
                </c:pt>
                <c:pt idx="40">
                  <c:v>0.01</c:v>
                </c:pt>
                <c:pt idx="41">
                  <c:v>0.01</c:v>
                </c:pt>
                <c:pt idx="42">
                  <c:v>8.9999999999999993E-3</c:v>
                </c:pt>
                <c:pt idx="43">
                  <c:v>0.01</c:v>
                </c:pt>
                <c:pt idx="44">
                  <c:v>0.01</c:v>
                </c:pt>
                <c:pt idx="45">
                  <c:v>1.0999999999999999E-2</c:v>
                </c:pt>
                <c:pt idx="46">
                  <c:v>0.01</c:v>
                </c:pt>
                <c:pt idx="47">
                  <c:v>1.0999999999999999E-2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55-48C3-A6B0-6C483556CEBD}"/>
            </c:ext>
          </c:extLst>
        </c:ser>
        <c:ser>
          <c:idx val="2"/>
          <c:order val="2"/>
          <c:tx>
            <c:strRef>
              <c:f>DATA!$F$1</c:f>
              <c:strCache>
                <c:ptCount val="1"/>
                <c:pt idx="0">
                  <c:v>National RBC Loss Rate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none"/>
          </c:marker>
          <c:cat>
            <c:multiLvlStrRef>
              <c:f>DATA!$A$2:$B$49</c:f>
              <c:multiLvlStrCache>
                <c:ptCount val="48"/>
                <c:lvl>
                  <c:pt idx="0">
                    <c:v>Nov</c:v>
                  </c:pt>
                  <c:pt idx="1">
                    <c:v>Dec</c:v>
                  </c:pt>
                  <c:pt idx="2">
                    <c:v>Jan</c:v>
                  </c:pt>
                  <c:pt idx="3">
                    <c:v>Feb</c:v>
                  </c:pt>
                  <c:pt idx="4">
                    <c:v>Nov</c:v>
                  </c:pt>
                  <c:pt idx="5">
                    <c:v>Dec</c:v>
                  </c:pt>
                  <c:pt idx="6">
                    <c:v>Jan</c:v>
                  </c:pt>
                  <c:pt idx="7">
                    <c:v>Feb</c:v>
                  </c:pt>
                  <c:pt idx="8">
                    <c:v>Nov</c:v>
                  </c:pt>
                  <c:pt idx="9">
                    <c:v>Dec</c:v>
                  </c:pt>
                  <c:pt idx="10">
                    <c:v>Jan</c:v>
                  </c:pt>
                  <c:pt idx="11">
                    <c:v>Feb</c:v>
                  </c:pt>
                  <c:pt idx="12">
                    <c:v>Nov</c:v>
                  </c:pt>
                  <c:pt idx="13">
                    <c:v>Dec</c:v>
                  </c:pt>
                  <c:pt idx="14">
                    <c:v>Jan</c:v>
                  </c:pt>
                  <c:pt idx="15">
                    <c:v>Feb</c:v>
                  </c:pt>
                  <c:pt idx="16">
                    <c:v>Nov</c:v>
                  </c:pt>
                  <c:pt idx="17">
                    <c:v>Dec</c:v>
                  </c:pt>
                  <c:pt idx="18">
                    <c:v>Jan</c:v>
                  </c:pt>
                  <c:pt idx="19">
                    <c:v>Feb</c:v>
                  </c:pt>
                  <c:pt idx="20">
                    <c:v>Nov</c:v>
                  </c:pt>
                  <c:pt idx="21">
                    <c:v>Dec</c:v>
                  </c:pt>
                  <c:pt idx="22">
                    <c:v>Jan</c:v>
                  </c:pt>
                  <c:pt idx="23">
                    <c:v>Feb</c:v>
                  </c:pt>
                  <c:pt idx="24">
                    <c:v>Nov</c:v>
                  </c:pt>
                  <c:pt idx="25">
                    <c:v>Dec</c:v>
                  </c:pt>
                  <c:pt idx="26">
                    <c:v>Jan</c:v>
                  </c:pt>
                  <c:pt idx="27">
                    <c:v>Feb</c:v>
                  </c:pt>
                  <c:pt idx="28">
                    <c:v>Nov</c:v>
                  </c:pt>
                  <c:pt idx="29">
                    <c:v>Dec</c:v>
                  </c:pt>
                  <c:pt idx="30">
                    <c:v>Jan</c:v>
                  </c:pt>
                  <c:pt idx="31">
                    <c:v>Feb</c:v>
                  </c:pt>
                  <c:pt idx="32">
                    <c:v>Nov</c:v>
                  </c:pt>
                  <c:pt idx="33">
                    <c:v>Dec</c:v>
                  </c:pt>
                  <c:pt idx="34">
                    <c:v>Jan</c:v>
                  </c:pt>
                  <c:pt idx="35">
                    <c:v>Feb</c:v>
                  </c:pt>
                  <c:pt idx="36">
                    <c:v>Nov</c:v>
                  </c:pt>
                  <c:pt idx="37">
                    <c:v>Dec</c:v>
                  </c:pt>
                  <c:pt idx="38">
                    <c:v>Jan</c:v>
                  </c:pt>
                  <c:pt idx="39">
                    <c:v>Feb</c:v>
                  </c:pt>
                  <c:pt idx="40">
                    <c:v>Nov</c:v>
                  </c:pt>
                  <c:pt idx="41">
                    <c:v>Dec</c:v>
                  </c:pt>
                  <c:pt idx="42">
                    <c:v>Jan</c:v>
                  </c:pt>
                  <c:pt idx="43">
                    <c:v>Feb</c:v>
                  </c:pt>
                  <c:pt idx="44">
                    <c:v>Nov</c:v>
                  </c:pt>
                  <c:pt idx="45">
                    <c:v>Dec</c:v>
                  </c:pt>
                  <c:pt idx="46">
                    <c:v>Jan</c:v>
                  </c:pt>
                  <c:pt idx="47">
                    <c:v>Feb</c:v>
                  </c:pt>
                </c:lvl>
                <c:lvl>
                  <c:pt idx="0">
                    <c:v>FY15</c:v>
                  </c:pt>
                  <c:pt idx="4">
                    <c:v>FY16</c:v>
                  </c:pt>
                  <c:pt idx="8">
                    <c:v>FY17</c:v>
                  </c:pt>
                  <c:pt idx="12">
                    <c:v>FY18</c:v>
                  </c:pt>
                  <c:pt idx="16">
                    <c:v>FY19</c:v>
                  </c:pt>
                  <c:pt idx="20">
                    <c:v>FY20</c:v>
                  </c:pt>
                  <c:pt idx="24">
                    <c:v>FY21</c:v>
                  </c:pt>
                  <c:pt idx="28">
                    <c:v>FY22</c:v>
                  </c:pt>
                  <c:pt idx="32">
                    <c:v>FY23</c:v>
                  </c:pt>
                  <c:pt idx="36">
                    <c:v>FY24</c:v>
                  </c:pt>
                  <c:pt idx="40">
                    <c:v>FY25</c:v>
                  </c:pt>
                  <c:pt idx="44">
                    <c:v>FY26</c:v>
                  </c:pt>
                </c:lvl>
              </c:multiLvlStrCache>
            </c:multiLvlStrRef>
          </c:cat>
          <c:val>
            <c:numRef>
              <c:f>DATA!$F$2:$F$49</c:f>
              <c:numCache>
                <c:formatCode>0.0%</c:formatCode>
                <c:ptCount val="48"/>
                <c:pt idx="0">
                  <c:v>3.9E-2</c:v>
                </c:pt>
                <c:pt idx="1">
                  <c:v>4.3999999999999997E-2</c:v>
                </c:pt>
                <c:pt idx="2">
                  <c:v>5.0999999999999997E-2</c:v>
                </c:pt>
                <c:pt idx="3">
                  <c:v>4.1000000000000002E-2</c:v>
                </c:pt>
                <c:pt idx="4">
                  <c:v>2.9000000000000001E-2</c:v>
                </c:pt>
                <c:pt idx="5">
                  <c:v>0.03</c:v>
                </c:pt>
                <c:pt idx="6">
                  <c:v>3.6999999999999998E-2</c:v>
                </c:pt>
                <c:pt idx="7">
                  <c:v>0.03</c:v>
                </c:pt>
                <c:pt idx="8">
                  <c:v>2.4E-2</c:v>
                </c:pt>
                <c:pt idx="9">
                  <c:v>2.1999999999999999E-2</c:v>
                </c:pt>
                <c:pt idx="10">
                  <c:v>2.5999999999999999E-2</c:v>
                </c:pt>
                <c:pt idx="11">
                  <c:v>2.5000000000000001E-2</c:v>
                </c:pt>
                <c:pt idx="12">
                  <c:v>2.3E-2</c:v>
                </c:pt>
                <c:pt idx="13">
                  <c:v>2.4E-2</c:v>
                </c:pt>
                <c:pt idx="14">
                  <c:v>2.7E-2</c:v>
                </c:pt>
                <c:pt idx="15">
                  <c:v>2.5000000000000001E-2</c:v>
                </c:pt>
                <c:pt idx="16">
                  <c:v>2.1000000000000001E-2</c:v>
                </c:pt>
                <c:pt idx="17">
                  <c:v>2.1999999999999999E-2</c:v>
                </c:pt>
                <c:pt idx="18">
                  <c:v>2.3E-2</c:v>
                </c:pt>
                <c:pt idx="19">
                  <c:v>2.1999999999999999E-2</c:v>
                </c:pt>
                <c:pt idx="20">
                  <c:v>2.1000000000000001E-2</c:v>
                </c:pt>
                <c:pt idx="21">
                  <c:v>1.9E-2</c:v>
                </c:pt>
                <c:pt idx="22">
                  <c:v>2.5000000000000001E-2</c:v>
                </c:pt>
                <c:pt idx="23">
                  <c:v>2.1000000000000001E-2</c:v>
                </c:pt>
                <c:pt idx="24">
                  <c:v>1.6E-2</c:v>
                </c:pt>
                <c:pt idx="25">
                  <c:v>1.4999999999999999E-2</c:v>
                </c:pt>
                <c:pt idx="26">
                  <c:v>1.9E-2</c:v>
                </c:pt>
                <c:pt idx="27">
                  <c:v>1.7000000000000001E-2</c:v>
                </c:pt>
                <c:pt idx="28">
                  <c:v>1.7000000000000001E-2</c:v>
                </c:pt>
                <c:pt idx="29">
                  <c:v>1.7999999999999999E-2</c:v>
                </c:pt>
                <c:pt idx="30">
                  <c:v>0.02</c:v>
                </c:pt>
                <c:pt idx="31">
                  <c:v>1.6E-2</c:v>
                </c:pt>
                <c:pt idx="32">
                  <c:v>1.4999999999999999E-2</c:v>
                </c:pt>
                <c:pt idx="33">
                  <c:v>1.3999999999999999E-2</c:v>
                </c:pt>
                <c:pt idx="34">
                  <c:v>1.4999999999999999E-2</c:v>
                </c:pt>
                <c:pt idx="35">
                  <c:v>1.4999999999999999E-2</c:v>
                </c:pt>
                <c:pt idx="36">
                  <c:v>1.4E-2</c:v>
                </c:pt>
                <c:pt idx="37">
                  <c:v>1.4999999999999999E-2</c:v>
                </c:pt>
                <c:pt idx="38">
                  <c:v>1.6E-2</c:v>
                </c:pt>
                <c:pt idx="39">
                  <c:v>1.4999999999999999E-2</c:v>
                </c:pt>
                <c:pt idx="40">
                  <c:v>1.3999999999999999E-2</c:v>
                </c:pt>
                <c:pt idx="41">
                  <c:v>1.4E-2</c:v>
                </c:pt>
                <c:pt idx="42">
                  <c:v>1.4999999999999999E-2</c:v>
                </c:pt>
                <c:pt idx="43">
                  <c:v>1.2999999999999999E-2</c:v>
                </c:pt>
                <c:pt idx="44">
                  <c:v>1.2999999999999999E-2</c:v>
                </c:pt>
                <c:pt idx="45">
                  <c:v>1.4E-2</c:v>
                </c:pt>
                <c:pt idx="46">
                  <c:v>1.4999999999999999E-2</c:v>
                </c:pt>
                <c:pt idx="47">
                  <c:v>1.2999999999999999E-2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55-48C3-A6B0-6C483556CE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1547807"/>
        <c:axId val="1001549727"/>
      </c:lineChart>
      <c:catAx>
        <c:axId val="7479041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8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47915183"/>
        <c:crosses val="autoZero"/>
        <c:auto val="1"/>
        <c:lblAlgn val="ctr"/>
        <c:lblOffset val="100"/>
        <c:noMultiLvlLbl val="0"/>
      </c:catAx>
      <c:valAx>
        <c:axId val="7479151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 sz="800"/>
                  <a:t>Number of RBC discarded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ctr" rtl="0">
              <a:defRPr lang="en-US" sz="8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47904143"/>
        <c:crosses val="autoZero"/>
        <c:crossBetween val="between"/>
      </c:valAx>
      <c:valAx>
        <c:axId val="1001549727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800" b="0" i="0" u="none" strike="noStrike" kern="1200" baseline="0">
                    <a:solidFill>
                      <a:sysClr val="windowText" lastClr="000000">
                        <a:lumMod val="65000"/>
                        <a:lumOff val="35000"/>
                      </a:sys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AU" sz="800"/>
                  <a:t>Loss 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800" b="0" i="0" u="none" strike="noStrike" kern="1200" baseline="0">
                  <a:solidFill>
                    <a:sysClr val="windowText" lastClr="000000">
                      <a:lumMod val="65000"/>
                      <a:lumOff val="35000"/>
                    </a:sysClr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n-US"/>
            </a:p>
          </c:txPr>
        </c:title>
        <c:numFmt formatCode="0.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800" b="0" i="0" u="none" strike="noStrike" kern="120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001547807"/>
        <c:crosses val="max"/>
        <c:crossBetween val="between"/>
      </c:valAx>
      <c:catAx>
        <c:axId val="1001547807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001549727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 rtl="0">
            <a:defRPr lang="en-US" sz="800" b="0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ctr" rtl="0">
        <a:defRPr lang="en-US" sz="900" b="0" i="0" u="none" strike="noStrike" kern="1200" baseline="0">
          <a:solidFill>
            <a:sysClr val="windowText" lastClr="000000">
              <a:lumMod val="65000"/>
              <a:lumOff val="35000"/>
            </a:sysClr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4">
    <c:autoUpdate val="0"/>
  </c:externalData>
  <c:userShapes r:id="rId5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0.14382</cdr:x>
      <cdr:y>0.04211</cdr:y>
    </cdr:from>
    <cdr:to>
      <cdr:x>0.14382</cdr:x>
      <cdr:y>0.80752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:a16="http://schemas.microsoft.com/office/drawing/2014/main" id="{BE54BBFC-F005-010A-DF5C-9E5F48C5460C}"/>
            </a:ext>
          </a:extLst>
        </cdr:cNvPr>
        <cdr:cNvCxnSpPr/>
      </cdr:nvCxnSpPr>
      <cdr:spPr>
        <a:xfrm xmlns:a="http://schemas.openxmlformats.org/drawingml/2006/main">
          <a:off x="1315092" y="143839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0.21567</cdr:x>
      <cdr:y>0.03893</cdr:y>
    </cdr:from>
    <cdr:to>
      <cdr:x>0.21567</cdr:x>
      <cdr:y>0.80434</cdr:y>
    </cdr:to>
    <cdr:cxnSp macro="">
      <cdr:nvCxnSpPr>
        <cdr:cNvPr id="4" name="Straight Connector 3">
          <a:extLst xmlns:a="http://schemas.openxmlformats.org/drawingml/2006/main">
            <a:ext uri="{FF2B5EF4-FFF2-40B4-BE49-F238E27FC236}">
              <a16:creationId xmlns:a16="http://schemas.microsoft.com/office/drawing/2014/main" id="{76A5AAC2-8802-8855-A5B6-510E72F4471B}"/>
            </a:ext>
          </a:extLst>
        </cdr:cNvPr>
        <cdr:cNvCxnSpPr/>
      </cdr:nvCxnSpPr>
      <cdr:spPr>
        <a:xfrm xmlns:a="http://schemas.openxmlformats.org/drawingml/2006/main">
          <a:off x="1972067" y="132994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0.07297</cdr:x>
      <cdr:y>0.03893</cdr:y>
    </cdr:from>
    <cdr:to>
      <cdr:x>0.07297</cdr:x>
      <cdr:y>0.80434</cdr:y>
    </cdr:to>
    <cdr:cxnSp macro="">
      <cdr:nvCxnSpPr>
        <cdr:cNvPr id="5" name="Straight Connector 4">
          <a:extLst xmlns:a="http://schemas.openxmlformats.org/drawingml/2006/main">
            <a:ext uri="{FF2B5EF4-FFF2-40B4-BE49-F238E27FC236}">
              <a16:creationId xmlns:a16="http://schemas.microsoft.com/office/drawing/2014/main" id="{C1BACCF8-0A20-E4C1-A79A-8FF04934C6EA}"/>
            </a:ext>
          </a:extLst>
        </cdr:cNvPr>
        <cdr:cNvCxnSpPr/>
      </cdr:nvCxnSpPr>
      <cdr:spPr>
        <a:xfrm xmlns:a="http://schemas.openxmlformats.org/drawingml/2006/main">
          <a:off x="667249" y="132994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0.28414</cdr:x>
      <cdr:y>0.04177</cdr:y>
    </cdr:from>
    <cdr:to>
      <cdr:x>0.28414</cdr:x>
      <cdr:y>0.80718</cdr:y>
    </cdr:to>
    <cdr:cxnSp macro="">
      <cdr:nvCxnSpPr>
        <cdr:cNvPr id="6" name="Straight Connector 5">
          <a:extLst xmlns:a="http://schemas.openxmlformats.org/drawingml/2006/main">
            <a:ext uri="{FF2B5EF4-FFF2-40B4-BE49-F238E27FC236}">
              <a16:creationId xmlns:a16="http://schemas.microsoft.com/office/drawing/2014/main" id="{C67AD162-46F2-0F11-B70F-5051F78BD0FD}"/>
            </a:ext>
          </a:extLst>
        </cdr:cNvPr>
        <cdr:cNvCxnSpPr/>
      </cdr:nvCxnSpPr>
      <cdr:spPr>
        <a:xfrm xmlns:a="http://schemas.openxmlformats.org/drawingml/2006/main">
          <a:off x="2598219" y="142697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0.35712</cdr:x>
      <cdr:y>0.04461</cdr:y>
    </cdr:from>
    <cdr:to>
      <cdr:x>0.35712</cdr:x>
      <cdr:y>0.81002</cdr:y>
    </cdr:to>
    <cdr:cxnSp macro="">
      <cdr:nvCxnSpPr>
        <cdr:cNvPr id="7" name="Straight Connector 6">
          <a:extLst xmlns:a="http://schemas.openxmlformats.org/drawingml/2006/main">
            <a:ext uri="{FF2B5EF4-FFF2-40B4-BE49-F238E27FC236}">
              <a16:creationId xmlns:a16="http://schemas.microsoft.com/office/drawing/2014/main" id="{191612EC-3B95-95A2-2D82-89A78481F483}"/>
            </a:ext>
          </a:extLst>
        </cdr:cNvPr>
        <cdr:cNvCxnSpPr/>
      </cdr:nvCxnSpPr>
      <cdr:spPr>
        <a:xfrm xmlns:a="http://schemas.openxmlformats.org/drawingml/2006/main">
          <a:off x="3265468" y="152400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0.42784</cdr:x>
      <cdr:y>0.04444</cdr:y>
    </cdr:from>
    <cdr:to>
      <cdr:x>0.42784</cdr:x>
      <cdr:y>0.80986</cdr:y>
    </cdr:to>
    <cdr:cxnSp macro="">
      <cdr:nvCxnSpPr>
        <cdr:cNvPr id="8" name="Straight Connector 7">
          <a:extLst xmlns:a="http://schemas.openxmlformats.org/drawingml/2006/main">
            <a:ext uri="{FF2B5EF4-FFF2-40B4-BE49-F238E27FC236}">
              <a16:creationId xmlns:a16="http://schemas.microsoft.com/office/drawing/2014/main" id="{22ABDEB8-BCCE-6820-6236-5775BA60D18F}"/>
            </a:ext>
          </a:extLst>
        </cdr:cNvPr>
        <cdr:cNvCxnSpPr/>
      </cdr:nvCxnSpPr>
      <cdr:spPr>
        <a:xfrm xmlns:a="http://schemas.openxmlformats.org/drawingml/2006/main">
          <a:off x="3912169" y="151829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0.49856</cdr:x>
      <cdr:y>0.04428</cdr:y>
    </cdr:from>
    <cdr:to>
      <cdr:x>0.49856</cdr:x>
      <cdr:y>0.80969</cdr:y>
    </cdr:to>
    <cdr:cxnSp macro="">
      <cdr:nvCxnSpPr>
        <cdr:cNvPr id="9" name="Straight Connector 8">
          <a:extLst xmlns:a="http://schemas.openxmlformats.org/drawingml/2006/main">
            <a:ext uri="{FF2B5EF4-FFF2-40B4-BE49-F238E27FC236}">
              <a16:creationId xmlns:a16="http://schemas.microsoft.com/office/drawing/2014/main" id="{0452D37C-E994-AB15-72C0-7C29EE360B5B}"/>
            </a:ext>
          </a:extLst>
        </cdr:cNvPr>
        <cdr:cNvCxnSpPr/>
      </cdr:nvCxnSpPr>
      <cdr:spPr>
        <a:xfrm xmlns:a="http://schemas.openxmlformats.org/drawingml/2006/main">
          <a:off x="4558870" y="151259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0.57041</cdr:x>
      <cdr:y>0.0411</cdr:y>
    </cdr:from>
    <cdr:to>
      <cdr:x>0.57041</cdr:x>
      <cdr:y>0.80651</cdr:y>
    </cdr:to>
    <cdr:cxnSp macro="">
      <cdr:nvCxnSpPr>
        <cdr:cNvPr id="10" name="Straight Connector 9">
          <a:extLst xmlns:a="http://schemas.openxmlformats.org/drawingml/2006/main">
            <a:ext uri="{FF2B5EF4-FFF2-40B4-BE49-F238E27FC236}">
              <a16:creationId xmlns:a16="http://schemas.microsoft.com/office/drawing/2014/main" id="{67A3DA2F-55E6-2BA0-69E4-D77102B1E4BD}"/>
            </a:ext>
          </a:extLst>
        </cdr:cNvPr>
        <cdr:cNvCxnSpPr/>
      </cdr:nvCxnSpPr>
      <cdr:spPr>
        <a:xfrm xmlns:a="http://schemas.openxmlformats.org/drawingml/2006/main">
          <a:off x="5215845" y="140414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0.64114</cdr:x>
      <cdr:y>0.04394</cdr:y>
    </cdr:from>
    <cdr:to>
      <cdr:x>0.64114</cdr:x>
      <cdr:y>0.80936</cdr:y>
    </cdr:to>
    <cdr:cxnSp macro="">
      <cdr:nvCxnSpPr>
        <cdr:cNvPr id="11" name="Straight Connector 10">
          <a:extLst xmlns:a="http://schemas.openxmlformats.org/drawingml/2006/main">
            <a:ext uri="{FF2B5EF4-FFF2-40B4-BE49-F238E27FC236}">
              <a16:creationId xmlns:a16="http://schemas.microsoft.com/office/drawing/2014/main" id="{DE971B7F-61AC-5745-1E45-1CC1F357BC00}"/>
            </a:ext>
          </a:extLst>
        </cdr:cNvPr>
        <cdr:cNvCxnSpPr/>
      </cdr:nvCxnSpPr>
      <cdr:spPr>
        <a:xfrm xmlns:a="http://schemas.openxmlformats.org/drawingml/2006/main">
          <a:off x="5862546" y="150117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0.71298</cdr:x>
      <cdr:y>0.04077</cdr:y>
    </cdr:from>
    <cdr:to>
      <cdr:x>0.71298</cdr:x>
      <cdr:y>0.80618</cdr:y>
    </cdr:to>
    <cdr:cxnSp macro="">
      <cdr:nvCxnSpPr>
        <cdr:cNvPr id="12" name="Straight Connector 11">
          <a:extLst xmlns:a="http://schemas.openxmlformats.org/drawingml/2006/main">
            <a:ext uri="{FF2B5EF4-FFF2-40B4-BE49-F238E27FC236}">
              <a16:creationId xmlns:a16="http://schemas.microsoft.com/office/drawing/2014/main" id="{E1F00501-DCDA-CCF7-B44B-4FC5D6F00732}"/>
            </a:ext>
          </a:extLst>
        </cdr:cNvPr>
        <cdr:cNvCxnSpPr/>
      </cdr:nvCxnSpPr>
      <cdr:spPr>
        <a:xfrm xmlns:a="http://schemas.openxmlformats.org/drawingml/2006/main">
          <a:off x="6519521" y="139272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0.78483</cdr:x>
      <cdr:y>0.0406</cdr:y>
    </cdr:from>
    <cdr:to>
      <cdr:x>0.78483</cdr:x>
      <cdr:y>0.80601</cdr:y>
    </cdr:to>
    <cdr:cxnSp macro="">
      <cdr:nvCxnSpPr>
        <cdr:cNvPr id="13" name="Straight Connector 12">
          <a:extLst xmlns:a="http://schemas.openxmlformats.org/drawingml/2006/main">
            <a:ext uri="{FF2B5EF4-FFF2-40B4-BE49-F238E27FC236}">
              <a16:creationId xmlns:a16="http://schemas.microsoft.com/office/drawing/2014/main" id="{09AC8950-E876-82E8-AFB2-C8F22580E07E}"/>
            </a:ext>
          </a:extLst>
        </cdr:cNvPr>
        <cdr:cNvCxnSpPr/>
      </cdr:nvCxnSpPr>
      <cdr:spPr>
        <a:xfrm xmlns:a="http://schemas.openxmlformats.org/drawingml/2006/main">
          <a:off x="7176496" y="138701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0.85556</cdr:x>
      <cdr:y>0.04043</cdr:y>
    </cdr:from>
    <cdr:to>
      <cdr:x>0.85556</cdr:x>
      <cdr:y>0.80585</cdr:y>
    </cdr:to>
    <cdr:cxnSp macro="">
      <cdr:nvCxnSpPr>
        <cdr:cNvPr id="14" name="Straight Connector 13">
          <a:extLst xmlns:a="http://schemas.openxmlformats.org/drawingml/2006/main">
            <a:ext uri="{FF2B5EF4-FFF2-40B4-BE49-F238E27FC236}">
              <a16:creationId xmlns:a16="http://schemas.microsoft.com/office/drawing/2014/main" id="{27991862-EB5D-ED9D-9D17-753551027393}"/>
            </a:ext>
          </a:extLst>
        </cdr:cNvPr>
        <cdr:cNvCxnSpPr/>
      </cdr:nvCxnSpPr>
      <cdr:spPr>
        <a:xfrm xmlns:a="http://schemas.openxmlformats.org/drawingml/2006/main">
          <a:off x="7823197" y="138130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0.9274</cdr:x>
      <cdr:y>0.03726</cdr:y>
    </cdr:from>
    <cdr:to>
      <cdr:x>0.9274</cdr:x>
      <cdr:y>0.80267</cdr:y>
    </cdr:to>
    <cdr:cxnSp macro="">
      <cdr:nvCxnSpPr>
        <cdr:cNvPr id="15" name="Straight Connector 14">
          <a:extLst xmlns:a="http://schemas.openxmlformats.org/drawingml/2006/main">
            <a:ext uri="{FF2B5EF4-FFF2-40B4-BE49-F238E27FC236}">
              <a16:creationId xmlns:a16="http://schemas.microsoft.com/office/drawing/2014/main" id="{BA7993D6-00BB-2EF4-0AA1-53C2AC9A4CDF}"/>
            </a:ext>
          </a:extLst>
        </cdr:cNvPr>
        <cdr:cNvCxnSpPr/>
      </cdr:nvCxnSpPr>
      <cdr:spPr>
        <a:xfrm xmlns:a="http://schemas.openxmlformats.org/drawingml/2006/main">
          <a:off x="8480172" y="127285"/>
          <a:ext cx="0" cy="2614746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tx1"/>
          </a:solidFill>
        </a:ln>
      </cdr:spPr>
      <cdr:style>
        <a:lnRef xmlns:a="http://schemas.openxmlformats.org/drawingml/2006/main" idx="2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1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Ra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C00000"/>
    </a:accent2>
    <a:accent3>
      <a:srgbClr val="A5A5A5"/>
    </a:accent3>
    <a:accent4>
      <a:srgbClr val="FFC000"/>
    </a:accent4>
    <a:accent5>
      <a:srgbClr val="70AD47"/>
    </a:accent5>
    <a:accent6>
      <a:srgbClr val="ED7D31"/>
    </a:accent6>
    <a:hlink>
      <a:srgbClr val="0563C1"/>
    </a:hlink>
    <a:folHlink>
      <a:srgbClr val="0563C1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D63BA-B351-43B1-A975-E7FD9CE6B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on the Bench and Beyond May 2026</vt:lpstr>
    </vt:vector>
  </TitlesOfParts>
  <Manager/>
  <Company>Victoria State Government, Department of Health, Blood Matters</Company>
  <LinksUpToDate>false</LinksUpToDate>
  <CharactersWithSpaces>5722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Matters on the Bench and Beyond May 2026</dc:title>
  <dc:subject/>
  <dc:creator>Blood Matters (VIC)</dc:creator>
  <cp:keywords>Bench and Beyond newsletter</cp:keywords>
  <dc:description/>
  <cp:lastModifiedBy>Rae French</cp:lastModifiedBy>
  <cp:revision>3</cp:revision>
  <cp:lastPrinted>2026-05-12T04:13:00Z</cp:lastPrinted>
  <dcterms:created xsi:type="dcterms:W3CDTF">2026-05-12T04:13:00Z</dcterms:created>
  <dcterms:modified xsi:type="dcterms:W3CDTF">2026-05-19T03:01:00Z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SIP_Label_8b70b9b4-4e86-47ad-ba30-80a481ff8f08_Enabled">
    <vt:lpwstr>true</vt:lpwstr>
  </property>
  <property fmtid="{D5CDD505-2E9C-101B-9397-08002B2CF9AE}" pid="13" name="MSIP_Label_8b70b9b4-4e86-47ad-ba30-80a481ff8f08_SetDate">
    <vt:lpwstr>2022-11-03T22:38:49Z</vt:lpwstr>
  </property>
  <property fmtid="{D5CDD505-2E9C-101B-9397-08002B2CF9AE}" pid="14" name="MSIP_Label_8b70b9b4-4e86-47ad-ba30-80a481ff8f08_Method">
    <vt:lpwstr>Privileged</vt:lpwstr>
  </property>
  <property fmtid="{D5CDD505-2E9C-101B-9397-08002B2CF9AE}" pid="15" name="MSIP_Label_8b70b9b4-4e86-47ad-ba30-80a481ff8f08_Name">
    <vt:lpwstr>Internal</vt:lpwstr>
  </property>
  <property fmtid="{D5CDD505-2E9C-101B-9397-08002B2CF9AE}" pid="16" name="MSIP_Label_8b70b9b4-4e86-47ad-ba30-80a481ff8f08_SiteId">
    <vt:lpwstr>957b3627-a629-4769-908d-ff92d7d3323d</vt:lpwstr>
  </property>
  <property fmtid="{D5CDD505-2E9C-101B-9397-08002B2CF9AE}" pid="17" name="MSIP_Label_8b70b9b4-4e86-47ad-ba30-80a481ff8f08_ActionId">
    <vt:lpwstr>b8875933-66ac-43a4-b6ff-2f8eb16abc4b</vt:lpwstr>
  </property>
  <property fmtid="{D5CDD505-2E9C-101B-9397-08002B2CF9AE}" pid="18" name="MSIP_Label_8b70b9b4-4e86-47ad-ba30-80a481ff8f08_ContentBits">
    <vt:lpwstr>0</vt:lpwstr>
  </property>
</Properties>
</file>