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FE79A" w14:textId="77777777" w:rsidR="00EB6D5A" w:rsidRDefault="00287E27">
      <w:pPr>
        <w:pStyle w:val="BodyText"/>
        <w:ind w:left="0"/>
        <w:rPr>
          <w:rFonts w:ascii="Times New Roman" w:hAnsi="Times New Roman"/>
          <w:sz w:val="20"/>
        </w:rPr>
      </w:pPr>
      <w:r>
        <w:rPr>
          <w:rFonts w:ascii="Times New Roman" w:hAnsi="Times New Roman"/>
          <w:noProof/>
          <w:sz w:val="20"/>
        </w:rPr>
        <w:drawing>
          <wp:anchor distT="0" distB="0" distL="0" distR="0" simplePos="0" relativeHeight="15728640" behindDoc="0" locked="0" layoutInCell="1" allowOverlap="1" wp14:anchorId="2D429A80" wp14:editId="6F2DF325">
            <wp:simplePos x="0" y="0"/>
            <wp:positionH relativeFrom="page">
              <wp:posOffset>539541</wp:posOffset>
            </wp:positionH>
            <wp:positionV relativeFrom="page">
              <wp:posOffset>9991573</wp:posOffset>
            </wp:positionV>
            <wp:extent cx="1604906" cy="47768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604906" cy="477688"/>
                    </a:xfrm>
                    <a:prstGeom prst="rect">
                      <a:avLst/>
                    </a:prstGeom>
                  </pic:spPr>
                </pic:pic>
              </a:graphicData>
            </a:graphic>
          </wp:anchor>
        </w:drawing>
      </w:r>
      <w:r>
        <w:rPr>
          <w:rFonts w:ascii="Times New Roman" w:hAnsi="Times New Roman"/>
          <w:noProof/>
          <w:sz w:val="20"/>
        </w:rPr>
        <w:drawing>
          <wp:anchor distT="0" distB="0" distL="0" distR="0" simplePos="0" relativeHeight="15729152" behindDoc="0" locked="0" layoutInCell="1" allowOverlap="1" wp14:anchorId="50D5B9B1" wp14:editId="3241A0D4">
            <wp:simplePos x="0" y="0"/>
            <wp:positionH relativeFrom="page">
              <wp:posOffset>0</wp:posOffset>
            </wp:positionH>
            <wp:positionV relativeFrom="page">
              <wp:posOffset>0</wp:posOffset>
            </wp:positionV>
            <wp:extent cx="7552943" cy="1341851"/>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7552943" cy="1341851"/>
                    </a:xfrm>
                    <a:prstGeom prst="rect">
                      <a:avLst/>
                    </a:prstGeom>
                  </pic:spPr>
                </pic:pic>
              </a:graphicData>
            </a:graphic>
          </wp:anchor>
        </w:drawing>
      </w:r>
    </w:p>
    <w:p w14:paraId="20F50897" w14:textId="77777777" w:rsidR="00EB6D5A" w:rsidRDefault="00EB6D5A">
      <w:pPr>
        <w:pStyle w:val="BodyText"/>
        <w:ind w:left="0"/>
        <w:rPr>
          <w:rFonts w:ascii="Times New Roman" w:hAnsi="Times New Roman"/>
          <w:sz w:val="20"/>
        </w:rPr>
      </w:pPr>
    </w:p>
    <w:p w14:paraId="73575641" w14:textId="77777777" w:rsidR="00EB6D5A" w:rsidRDefault="00EB6D5A">
      <w:pPr>
        <w:pStyle w:val="BodyText"/>
        <w:ind w:left="0"/>
        <w:rPr>
          <w:rFonts w:ascii="Times New Roman" w:hAnsi="Times New Roman"/>
          <w:sz w:val="20"/>
        </w:rPr>
      </w:pPr>
    </w:p>
    <w:p w14:paraId="7894EDCD" w14:textId="77777777" w:rsidR="00EB6D5A" w:rsidRDefault="00EB6D5A">
      <w:pPr>
        <w:pStyle w:val="BodyText"/>
        <w:ind w:left="0"/>
        <w:rPr>
          <w:rFonts w:ascii="Times New Roman" w:hAnsi="Times New Roman"/>
          <w:sz w:val="20"/>
        </w:rPr>
      </w:pPr>
    </w:p>
    <w:p w14:paraId="0473CAC9" w14:textId="77777777" w:rsidR="00EB6D5A" w:rsidRDefault="00EB6D5A">
      <w:pPr>
        <w:pStyle w:val="BodyText"/>
        <w:ind w:left="0"/>
        <w:rPr>
          <w:rFonts w:ascii="Times New Roman" w:hAnsi="Times New Roman"/>
          <w:sz w:val="20"/>
        </w:rPr>
      </w:pPr>
    </w:p>
    <w:p w14:paraId="6937377D" w14:textId="77777777" w:rsidR="00EB6D5A" w:rsidRDefault="00EB6D5A">
      <w:pPr>
        <w:pStyle w:val="BodyText"/>
        <w:ind w:left="0"/>
        <w:rPr>
          <w:rFonts w:ascii="Times New Roman" w:hAnsi="Times New Roman"/>
          <w:sz w:val="20"/>
        </w:rPr>
      </w:pPr>
    </w:p>
    <w:p w14:paraId="0658B8A4" w14:textId="77777777" w:rsidR="00EB6D5A" w:rsidRDefault="00EB6D5A">
      <w:pPr>
        <w:pStyle w:val="BodyText"/>
        <w:ind w:left="0"/>
        <w:rPr>
          <w:rFonts w:ascii="Times New Roman" w:hAnsi="Times New Roman"/>
          <w:sz w:val="20"/>
        </w:rPr>
      </w:pPr>
    </w:p>
    <w:p w14:paraId="14B01338" w14:textId="77777777" w:rsidR="00EB6D5A" w:rsidRDefault="00EB6D5A">
      <w:pPr>
        <w:pStyle w:val="BodyText"/>
        <w:ind w:left="0"/>
        <w:rPr>
          <w:rFonts w:ascii="Times New Roman" w:hAnsi="Times New Roman"/>
          <w:sz w:val="20"/>
        </w:rPr>
      </w:pPr>
    </w:p>
    <w:p w14:paraId="41DE0231" w14:textId="77777777" w:rsidR="00EB6D5A" w:rsidRDefault="00EB6D5A">
      <w:pPr>
        <w:pStyle w:val="BodyText"/>
        <w:spacing w:before="151"/>
        <w:ind w:left="0"/>
        <w:rPr>
          <w:rFonts w:ascii="Times New Roman" w:hAnsi="Times New Roman"/>
          <w:sz w:val="20"/>
        </w:rPr>
      </w:pPr>
    </w:p>
    <w:tbl>
      <w:tblPr>
        <w:tblW w:w="0" w:type="auto"/>
        <w:tblInd w:w="101" w:type="dxa"/>
        <w:tblLayout w:type="fixed"/>
        <w:tblCellMar>
          <w:left w:w="0" w:type="dxa"/>
          <w:right w:w="0" w:type="dxa"/>
        </w:tblCellMar>
        <w:tblLook w:val="01E0" w:firstRow="1" w:lastRow="1" w:firstColumn="1" w:lastColumn="1" w:noHBand="0" w:noVBand="0"/>
      </w:tblPr>
      <w:tblGrid>
        <w:gridCol w:w="6636"/>
      </w:tblGrid>
      <w:tr w:rsidR="00EB6D5A" w14:paraId="0D5146D7" w14:textId="77777777">
        <w:trPr>
          <w:trHeight w:val="660"/>
        </w:trPr>
        <w:tc>
          <w:tcPr>
            <w:tcW w:w="6636" w:type="dxa"/>
          </w:tcPr>
          <w:p w14:paraId="7D06EA23" w14:textId="77777777" w:rsidR="00EB6D5A" w:rsidRDefault="00287E27">
            <w:pPr>
              <w:pStyle w:val="TableParagraph"/>
              <w:spacing w:line="536" w:lineRule="exact"/>
              <w:rPr>
                <w:b/>
                <w:sz w:val="48"/>
              </w:rPr>
            </w:pPr>
            <w:r>
              <w:rPr>
                <w:b/>
                <w:color w:val="C53662"/>
                <w:spacing w:val="-1"/>
                <w:sz w:val="48"/>
              </w:rPr>
              <w:t>হাম, মাম্পস এবং রুবেলা</w:t>
            </w:r>
          </w:p>
        </w:tc>
      </w:tr>
      <w:tr w:rsidR="00EB6D5A" w14:paraId="55A3717D" w14:textId="77777777">
        <w:trPr>
          <w:trHeight w:val="519"/>
        </w:trPr>
        <w:tc>
          <w:tcPr>
            <w:tcW w:w="6636" w:type="dxa"/>
          </w:tcPr>
          <w:p w14:paraId="02175EFB" w14:textId="77777777" w:rsidR="00EB6D5A" w:rsidRDefault="00287E27">
            <w:pPr>
              <w:pStyle w:val="TableParagraph"/>
              <w:spacing w:before="116"/>
              <w:rPr>
                <w:sz w:val="28"/>
              </w:rPr>
            </w:pPr>
            <w:r>
              <w:rPr>
                <w:color w:val="52555A"/>
                <w:spacing w:val="-5"/>
                <w:sz w:val="28"/>
              </w:rPr>
              <w:t>টিকাদান তথ্য</w:t>
            </w:r>
          </w:p>
        </w:tc>
      </w:tr>
      <w:tr w:rsidR="00EB6D5A" w14:paraId="5DE4091C" w14:textId="77777777">
        <w:trPr>
          <w:trHeight w:val="317"/>
        </w:trPr>
        <w:tc>
          <w:tcPr>
            <w:tcW w:w="6636" w:type="dxa"/>
          </w:tcPr>
          <w:p w14:paraId="7A45ABFD" w14:textId="77777777" w:rsidR="00EB6D5A" w:rsidRDefault="00287E27">
            <w:pPr>
              <w:pStyle w:val="TableParagraph"/>
              <w:spacing w:before="75" w:line="222" w:lineRule="exact"/>
              <w:rPr>
                <w:b/>
                <w:sz w:val="21"/>
              </w:rPr>
            </w:pPr>
            <w:r>
              <w:rPr>
                <w:b/>
                <w:spacing w:val="-2"/>
                <w:sz w:val="21"/>
              </w:rPr>
              <w:t>দাপ্তরিক</w:t>
            </w:r>
          </w:p>
        </w:tc>
      </w:tr>
    </w:tbl>
    <w:p w14:paraId="103E6F49" w14:textId="77777777" w:rsidR="00EB6D5A" w:rsidRDefault="00287E27">
      <w:pPr>
        <w:spacing w:before="281" w:line="242" w:lineRule="auto"/>
        <w:ind w:left="144"/>
        <w:rPr>
          <w:sz w:val="27"/>
        </w:rPr>
      </w:pPr>
      <w:r>
        <w:rPr>
          <w:color w:val="52555A"/>
          <w:spacing w:val="-2"/>
          <w:sz w:val="27"/>
        </w:rPr>
        <w:t>জাতীয় টিকাদান কর্মসূচির সময়সূচী ১২ মাস এবং ১৮ মাস বয়সী শিশুদের বিনামূল্যে হাম-মাম্পস-রুবেলা (MMR) টিকা প্রদান করে।</w:t>
      </w:r>
    </w:p>
    <w:p w14:paraId="463FFD84" w14:textId="77777777" w:rsidR="00EB6D5A" w:rsidRPr="00287E27" w:rsidRDefault="00EB6D5A">
      <w:pPr>
        <w:pStyle w:val="BodyText"/>
        <w:spacing w:before="6"/>
        <w:ind w:left="0"/>
        <w:rPr>
          <w:sz w:val="22"/>
          <w:szCs w:val="18"/>
        </w:rPr>
      </w:pPr>
    </w:p>
    <w:p w14:paraId="1FED7B0F" w14:textId="77777777" w:rsidR="00EB6D5A" w:rsidRDefault="00287E27">
      <w:pPr>
        <w:pStyle w:val="Heading1"/>
      </w:pPr>
      <w:r>
        <w:rPr>
          <w:color w:val="C53662"/>
          <w:spacing w:val="-2"/>
        </w:rPr>
        <w:t xml:space="preserve">হাম (মীজেলস) </w:t>
      </w:r>
    </w:p>
    <w:p w14:paraId="7496BA93" w14:textId="77777777" w:rsidR="00EB6D5A" w:rsidRDefault="00287E27">
      <w:pPr>
        <w:pStyle w:val="BodyText"/>
        <w:spacing w:before="237" w:line="278" w:lineRule="auto"/>
      </w:pPr>
      <w:r>
        <w:rPr>
          <w:spacing w:val="-1"/>
        </w:rPr>
        <w:t xml:space="preserve">হাম একটি গুরুতর এবং অত্যন্ত সংক্রামক ভাইরাসজনিত রোগ যার ফলে জ্বর, নাক দিয়ে পানি পড়া, কাশি এবং চোখ লাল হয়ে যায়, তারপরে ফুসকুড়ি দেখা দেয়। হাম কখনও কখনও নিউমোনিয়া </w:t>
      </w:r>
      <w:r>
        <w:rPr>
          <w:color w:val="2A2736"/>
        </w:rPr>
        <w:t xml:space="preserve">এবং </w:t>
      </w:r>
      <w:r>
        <w:rPr>
          <w:spacing w:val="-2"/>
        </w:rPr>
        <w:t>মস্তিষ্কপ্রদাহের (এনসেফালাইটিস) মতো বিপজ্জনক জটিলতা সৃষ্টি করতে পারে।</w:t>
      </w:r>
    </w:p>
    <w:p w14:paraId="55808838" w14:textId="77777777" w:rsidR="00EB6D5A" w:rsidRDefault="00287E27">
      <w:pPr>
        <w:pStyle w:val="BodyText"/>
        <w:spacing w:before="120" w:line="278" w:lineRule="auto"/>
        <w:ind w:right="72"/>
      </w:pPr>
      <w:r>
        <w:rPr>
          <w:spacing w:val="-3"/>
        </w:rPr>
        <w:t>হামে আক্রান্ত প্রতি ১,০০০ জনের মধ্যে ১ জনের মস্তিষ্ক প্রদাহ (এনসেফালাইটিস) ঘটে। হামে আক্রান্ত হয়ে এনসেফালাইটিস (মস্তিষ্কের প্রদাহ) হওয়া প্রতি ১০ জন শিশুর মধ্যে ১ জন মারা যাবে এবং অনেকের মস্তিষ্কের স্থায়ী ক্ষতি হবে।</w:t>
      </w:r>
    </w:p>
    <w:p w14:paraId="3EF6BF0F" w14:textId="77777777" w:rsidR="00EB6D5A" w:rsidRDefault="00287E27">
      <w:pPr>
        <w:pStyle w:val="BodyText"/>
        <w:spacing w:before="119" w:line="278" w:lineRule="auto"/>
      </w:pPr>
      <w:r>
        <w:rPr>
          <w:spacing w:val="-1"/>
        </w:rPr>
        <w:t>হামের সংক্রমণের কয়েক বছর পরে সাবঅ্যাকিউট স্ক্লেরোজিং প্যানেন্সফালাইটিস (SSPE, মস্তিষ্কের অবক্ষয়) নামক একটি বিরল অবস্থা দেখা দিতে পারে। SSPE দ্রুত মস্তিষ্ককে ধ্বংস করে দেয় এবং সর্বদা মারাত্মক।</w:t>
      </w:r>
    </w:p>
    <w:p w14:paraId="1B0C7FD0" w14:textId="77777777" w:rsidR="00EB6D5A" w:rsidRDefault="00287E27">
      <w:pPr>
        <w:pStyle w:val="BodyText"/>
        <w:spacing w:before="121" w:line="278" w:lineRule="auto"/>
      </w:pPr>
      <w:r>
        <w:rPr>
          <w:spacing w:val="-1"/>
        </w:rPr>
        <w:t>কোনো ব্যক্তি অসুস্থ বুঝতে পারার আগেই সংক্রমিত ব্যক্তির কাশি বা হাঁচির মাধ্যমে হাম ছড়াতে পারে।</w:t>
      </w:r>
    </w:p>
    <w:p w14:paraId="49900E7A" w14:textId="77777777" w:rsidR="00EB6D5A" w:rsidRPr="00287E27" w:rsidRDefault="00EB6D5A">
      <w:pPr>
        <w:pStyle w:val="BodyText"/>
        <w:spacing w:before="40"/>
        <w:ind w:left="0"/>
        <w:rPr>
          <w:sz w:val="18"/>
          <w:szCs w:val="18"/>
        </w:rPr>
      </w:pPr>
    </w:p>
    <w:p w14:paraId="368835D6" w14:textId="77777777" w:rsidR="00EB6D5A" w:rsidRDefault="00287E27">
      <w:pPr>
        <w:pStyle w:val="Heading1"/>
      </w:pPr>
      <w:r>
        <w:rPr>
          <w:color w:val="C53662"/>
          <w:spacing w:val="-2"/>
        </w:rPr>
        <w:t>মাম্পস</w:t>
      </w:r>
    </w:p>
    <w:p w14:paraId="22863294" w14:textId="77777777" w:rsidR="00EB6D5A" w:rsidRDefault="00287E27">
      <w:pPr>
        <w:pStyle w:val="BodyText"/>
        <w:spacing w:before="237" w:line="278" w:lineRule="auto"/>
      </w:pPr>
      <w:r>
        <w:rPr>
          <w:spacing w:val="-1"/>
        </w:rPr>
        <w:t>মাম্পসের কারণে জ্বর, মাথাব্যথা এবং লালা গ্রন্থির প্রদাহ হয়। প্রায় প্রতি ৫,০০০ শিশুর মধ্যে ১ জনের এনসেফালাইটিসে (মস্তিষ্কের প্রদাহ) আক্রান্ত হয়। এই রোগ বন্ধ্যাত্ব এবং স্থায়ী বধিরতা সৃষ্টি করতে পারে।</w:t>
      </w:r>
    </w:p>
    <w:p w14:paraId="114F1775" w14:textId="77777777" w:rsidR="00EB6D5A" w:rsidRDefault="00287E27">
      <w:pPr>
        <w:pStyle w:val="BodyText"/>
        <w:spacing w:before="122" w:line="278" w:lineRule="auto"/>
      </w:pPr>
      <w:r>
        <w:rPr>
          <w:spacing w:val="-1"/>
        </w:rPr>
        <w:t>মাম্পস আক্রান্ত প্রতি ৫ জন কিশোর বা প্রাপ্তবয়স্ক পুরুষের মধ্যে ১ জনের অণ্ডকোষে ব্যথাজনক প্রদাহ এবং ফোলাভাব দেখা দেয়। এই রোগে আক্রান্ত পুরুষরা সাধারণত সম্পূর্ণ সুস্থ হয়ে ওঠেন, তবে বিরল ক্ষেত্রে এটি বন্ধ্যাত্বের কারণ হতে পারে।</w:t>
      </w:r>
    </w:p>
    <w:p w14:paraId="2243A61E" w14:textId="77777777" w:rsidR="00EB6D5A" w:rsidRDefault="00287E27">
      <w:pPr>
        <w:pStyle w:val="BodyText"/>
        <w:spacing w:before="119" w:line="278" w:lineRule="auto"/>
        <w:ind w:right="38"/>
      </w:pPr>
      <w:r>
        <w:rPr>
          <w:spacing w:val="-1"/>
        </w:rPr>
        <w:t>সংক্রমিত ব্যক্তি অসুস্থ বুঝতে পারার আগেই তার কাশি বা হাঁচির মাধ্যমে মাম্পস ছড়াতে পারে।</w:t>
      </w:r>
    </w:p>
    <w:p w14:paraId="184892BC" w14:textId="77777777" w:rsidR="00EB6D5A" w:rsidRPr="00287E27" w:rsidRDefault="00EB6D5A">
      <w:pPr>
        <w:pStyle w:val="BodyText"/>
        <w:spacing w:before="40"/>
        <w:ind w:left="0"/>
        <w:rPr>
          <w:sz w:val="18"/>
          <w:szCs w:val="18"/>
        </w:rPr>
      </w:pPr>
    </w:p>
    <w:p w14:paraId="3331F4DD" w14:textId="77777777" w:rsidR="00EB6D5A" w:rsidRDefault="00287E27">
      <w:pPr>
        <w:pStyle w:val="Heading1"/>
      </w:pPr>
      <w:r>
        <w:rPr>
          <w:color w:val="C53662"/>
          <w:spacing w:val="-2"/>
        </w:rPr>
        <w:t>রুবেলা</w:t>
      </w:r>
    </w:p>
    <w:p w14:paraId="1E8B8F77" w14:textId="77777777" w:rsidR="00EB6D5A" w:rsidRDefault="00287E27">
      <w:pPr>
        <w:pStyle w:val="BodyText"/>
        <w:spacing w:before="237" w:line="278" w:lineRule="auto"/>
      </w:pPr>
      <w:r>
        <w:rPr>
          <w:spacing w:val="-1"/>
        </w:rPr>
        <w:t>এটি একটি হালকা শৈশব রোগ, তবে এটি কিশোর-কিশোরী এবং প্রাপ্তবয়স্কদেরও আক্রান্ত করতে পারে। এই রোগের ফলে গ্রন্থি ফুলে যায়, জয়েন্টে ব্যথা হয় এবং মুখ ও ঘাড়ে ফুসকুড়ি হয় যা ২ থেকে ৩ দিন স্থায়ী হয়। আরোগ্য সর্বদা দ্রুত এবং সম্পূর্ণ হয়।</w:t>
      </w:r>
    </w:p>
    <w:p w14:paraId="6B0B7F27" w14:textId="77777777" w:rsidR="00EB6D5A" w:rsidRDefault="00287E27">
      <w:pPr>
        <w:pStyle w:val="BodyText"/>
        <w:spacing w:before="120" w:line="278" w:lineRule="auto"/>
      </w:pPr>
      <w:r>
        <w:rPr>
          <w:spacing w:val="-2"/>
        </w:rPr>
        <w:t>গর্ভাবস্থার প্রথম ২০ সপ্তাহে যখন একজন মহিলা রুবেলা রোগে আক্রান্ত হন, তখন এটি সবচেয়ে বিপজ্জনক। এর ফলে নবজাতক শিশুর মধ্যে গুরুতর অস্বাভাবিকতা দেখা দিতে পারে। বধিরতা, অন্ধত্ব, হৃদরোগ এবং বুদ্ধিবৃত্তিক অক্ষমতা দেখা দিতে পারে।</w:t>
      </w:r>
    </w:p>
    <w:p w14:paraId="3319DA7A" w14:textId="77777777" w:rsidR="00EB6D5A" w:rsidRDefault="00287E27">
      <w:pPr>
        <w:pStyle w:val="BodyText"/>
        <w:spacing w:before="120" w:line="278" w:lineRule="auto"/>
      </w:pPr>
      <w:r>
        <w:rPr>
          <w:spacing w:val="-1"/>
        </w:rPr>
        <w:t>সংক্রমিত ব্যক্তি অসুস্থ বুঝতে পারার আগেই তার কাশি বা হাঁচির মাধ্যমে রুবেলা ছড়াতে পারে।</w:t>
      </w:r>
    </w:p>
    <w:p w14:paraId="01DF55F6" w14:textId="77777777" w:rsidR="00EB6D5A" w:rsidRDefault="00EB6D5A">
      <w:pPr>
        <w:pStyle w:val="BodyText"/>
        <w:spacing w:line="278" w:lineRule="auto"/>
        <w:rPr>
          <w:rFonts w:cs="Vrinda"/>
          <w:cs/>
          <w:lang w:bidi="bn-IN"/>
        </w:rPr>
        <w:sectPr w:rsidR="00EB6D5A" w:rsidSect="00287E27">
          <w:footerReference w:type="default" r:id="rId9"/>
          <w:type w:val="continuous"/>
          <w:pgSz w:w="11910" w:h="16840"/>
          <w:pgMar w:top="0" w:right="850" w:bottom="426" w:left="708" w:header="0" w:footer="385" w:gutter="0"/>
          <w:pgNumType w:start="1"/>
          <w:cols w:space="720"/>
        </w:sectPr>
      </w:pPr>
    </w:p>
    <w:p w14:paraId="6FF17776" w14:textId="77777777" w:rsidR="00EB6D5A" w:rsidRDefault="00287E27">
      <w:pPr>
        <w:pStyle w:val="BodyText"/>
        <w:spacing w:before="76" w:line="278" w:lineRule="auto"/>
      </w:pPr>
      <w:r>
        <w:rPr>
          <w:spacing w:val="-1"/>
        </w:rPr>
        <w:lastRenderedPageBreak/>
        <w:t>রুবেলা অত্যন্ত সংক্রামক এবং গর্ভবতী মা এবং তাদের শিশুদের সুরক্ষার সর্বোত্তম উপায় হল গর্ভবতী হওয়ার আগে মহিলাদের টিকা দেওয়া নিশ্চিত করা।</w:t>
      </w:r>
    </w:p>
    <w:p w14:paraId="1D80D372" w14:textId="77777777" w:rsidR="00EB6D5A" w:rsidRDefault="00287E27">
      <w:pPr>
        <w:pStyle w:val="BodyText"/>
        <w:spacing w:before="121"/>
      </w:pPr>
      <w:r>
        <w:rPr>
          <w:spacing w:val="-3"/>
        </w:rPr>
        <w:t>*টিকাদানের পর এক মাস গর্ভধারণ এড়িয়ে চলা উচিত।</w:t>
      </w:r>
    </w:p>
    <w:p w14:paraId="723C8444" w14:textId="77777777" w:rsidR="00EB6D5A" w:rsidRDefault="00EB6D5A">
      <w:pPr>
        <w:pStyle w:val="BodyText"/>
        <w:spacing w:before="81"/>
        <w:ind w:left="0"/>
      </w:pPr>
    </w:p>
    <w:p w14:paraId="16AB2C54" w14:textId="77777777" w:rsidR="00EB6D5A" w:rsidRDefault="00287E27">
      <w:pPr>
        <w:pStyle w:val="Heading1"/>
      </w:pPr>
      <w:r>
        <w:rPr>
          <w:color w:val="C53662"/>
          <w:spacing w:val="-5"/>
        </w:rPr>
        <w:t>হাম-মাম্পস-রুবেলা (MMR) টিকা</w:t>
      </w:r>
    </w:p>
    <w:p w14:paraId="3FD03D4D" w14:textId="77777777" w:rsidR="00EB6D5A" w:rsidRDefault="00287E27">
      <w:pPr>
        <w:pStyle w:val="BodyText"/>
        <w:spacing w:before="236" w:line="278" w:lineRule="auto"/>
        <w:ind w:right="38"/>
      </w:pPr>
      <w:r>
        <w:rPr>
          <w:spacing w:val="-1"/>
        </w:rPr>
        <w:t>১৮ মাস বয়সী শিশুদের জন্য চিকেনপক্স (MMRV) এর সাথে MMR টিকাও পাওয়া যায় এবং এতে প্রতিটি ভাইরাসের অল্প পরিমাণে এবং শক্তি কম থাকে এবং অ্যান্টিবায়োটিক নিওমাইসিন অল্প পরিমাণে থাকে।</w:t>
      </w:r>
    </w:p>
    <w:p w14:paraId="32CC81F3" w14:textId="77777777" w:rsidR="00EB6D5A" w:rsidRDefault="00EB6D5A">
      <w:pPr>
        <w:pStyle w:val="BodyText"/>
        <w:spacing w:before="41"/>
        <w:ind w:left="0"/>
      </w:pPr>
    </w:p>
    <w:p w14:paraId="6AA20BFC" w14:textId="77777777" w:rsidR="00EB6D5A" w:rsidRDefault="00287E27">
      <w:pPr>
        <w:pStyle w:val="Heading1"/>
      </w:pPr>
      <w:r>
        <w:rPr>
          <w:color w:val="C53662"/>
          <w:spacing w:val="-3"/>
        </w:rPr>
        <w:t>MMR ভ্যাকসিনের সম্ভাব্য পার্শ্বপ্রতিক্রিয়া</w:t>
      </w:r>
    </w:p>
    <w:p w14:paraId="65B2B20A" w14:textId="77777777" w:rsidR="00EB6D5A" w:rsidRDefault="00287E27">
      <w:pPr>
        <w:pStyle w:val="BodyText"/>
        <w:spacing w:before="237"/>
      </w:pPr>
      <w:r>
        <w:rPr>
          <w:spacing w:val="-3"/>
        </w:rPr>
        <w:t>রোগের জটিলতার তুলনায় MMR ভ্যাকসিনের প্রতিক্রিয়া অনেক কম দেখা যায়।</w:t>
      </w:r>
    </w:p>
    <w:p w14:paraId="13650E44" w14:textId="77777777" w:rsidR="00EB6D5A" w:rsidRDefault="00EB6D5A">
      <w:pPr>
        <w:pStyle w:val="BodyText"/>
        <w:ind w:left="0"/>
      </w:pPr>
    </w:p>
    <w:p w14:paraId="26E0F802" w14:textId="77777777" w:rsidR="00EB6D5A" w:rsidRDefault="00287E27">
      <w:pPr>
        <w:pStyle w:val="Heading2"/>
      </w:pPr>
      <w:r>
        <w:rPr>
          <w:color w:val="52555A"/>
          <w:spacing w:val="-5"/>
        </w:rPr>
        <w:t>সাধারণ পার্শ্বপ্রতিক্রিয়া</w:t>
      </w:r>
    </w:p>
    <w:p w14:paraId="1F972C23" w14:textId="77777777" w:rsidR="00EB6D5A" w:rsidRDefault="00287E27">
      <w:pPr>
        <w:pStyle w:val="BodyText"/>
        <w:spacing w:before="129"/>
      </w:pPr>
      <w:r>
        <w:rPr>
          <w:spacing w:val="-2"/>
        </w:rPr>
        <w:t>টিকা দেওয়ার ৭ থেকে ১০ দিন পরে দেখা যায়:</w:t>
      </w:r>
    </w:p>
    <w:p w14:paraId="0584F22A" w14:textId="77777777" w:rsidR="00EB6D5A" w:rsidRDefault="00287E27">
      <w:pPr>
        <w:pStyle w:val="ListParagraph"/>
        <w:numPr>
          <w:ilvl w:val="0"/>
          <w:numId w:val="2"/>
        </w:numPr>
        <w:tabs>
          <w:tab w:val="left" w:pos="864"/>
        </w:tabs>
        <w:ind w:hanging="360"/>
        <w:rPr>
          <w:sz w:val="21"/>
        </w:rPr>
      </w:pPr>
      <w:r>
        <w:rPr>
          <w:spacing w:val="-2"/>
          <w:sz w:val="21"/>
        </w:rPr>
        <w:t>৩৯ ডিগ্রি সেলসিয়াসের বেশি জ্বর</w:t>
      </w:r>
    </w:p>
    <w:p w14:paraId="584AF89E" w14:textId="77777777" w:rsidR="00EB6D5A" w:rsidRDefault="00287E27">
      <w:pPr>
        <w:pStyle w:val="ListParagraph"/>
        <w:numPr>
          <w:ilvl w:val="0"/>
          <w:numId w:val="2"/>
        </w:numPr>
        <w:tabs>
          <w:tab w:val="left" w:pos="864"/>
        </w:tabs>
        <w:spacing w:before="157"/>
        <w:ind w:hanging="360"/>
        <w:rPr>
          <w:sz w:val="21"/>
        </w:rPr>
      </w:pPr>
      <w:r>
        <w:rPr>
          <w:spacing w:val="-2"/>
          <w:sz w:val="21"/>
        </w:rPr>
        <w:t>হালকা লাল ফুসকুড়ি (সংক্রামক নয়)</w:t>
      </w:r>
    </w:p>
    <w:p w14:paraId="4F30AA8D" w14:textId="77777777" w:rsidR="00EB6D5A" w:rsidRDefault="00287E27">
      <w:pPr>
        <w:pStyle w:val="ListParagraph"/>
        <w:numPr>
          <w:ilvl w:val="0"/>
          <w:numId w:val="2"/>
        </w:numPr>
        <w:tabs>
          <w:tab w:val="left" w:pos="864"/>
        </w:tabs>
        <w:ind w:hanging="360"/>
        <w:rPr>
          <w:sz w:val="21"/>
        </w:rPr>
      </w:pPr>
      <w:r>
        <w:rPr>
          <w:spacing w:val="-2"/>
          <w:sz w:val="21"/>
        </w:rPr>
        <w:t>মাথা ঠান্ডা এবং/অথবা নাক দিয়ে পানি পড়া</w:t>
      </w:r>
    </w:p>
    <w:p w14:paraId="190BC54E" w14:textId="77777777" w:rsidR="00EB6D5A" w:rsidRDefault="00287E27">
      <w:pPr>
        <w:pStyle w:val="ListParagraph"/>
        <w:numPr>
          <w:ilvl w:val="0"/>
          <w:numId w:val="2"/>
        </w:numPr>
        <w:tabs>
          <w:tab w:val="left" w:pos="864"/>
        </w:tabs>
        <w:spacing w:before="160"/>
        <w:ind w:hanging="360"/>
        <w:rPr>
          <w:sz w:val="21"/>
        </w:rPr>
      </w:pPr>
      <w:r>
        <w:rPr>
          <w:spacing w:val="-2"/>
          <w:sz w:val="21"/>
        </w:rPr>
        <w:t>কাশি এবং/অথবা চোখ ফোলা</w:t>
      </w:r>
    </w:p>
    <w:p w14:paraId="739D1241" w14:textId="77777777" w:rsidR="00EB6D5A" w:rsidRDefault="00287E27">
      <w:pPr>
        <w:pStyle w:val="ListParagraph"/>
        <w:numPr>
          <w:ilvl w:val="0"/>
          <w:numId w:val="2"/>
        </w:numPr>
        <w:tabs>
          <w:tab w:val="left" w:pos="864"/>
        </w:tabs>
        <w:spacing w:before="156"/>
        <w:ind w:hanging="360"/>
        <w:rPr>
          <w:sz w:val="21"/>
        </w:rPr>
      </w:pPr>
      <w:r>
        <w:rPr>
          <w:spacing w:val="-3"/>
          <w:sz w:val="21"/>
        </w:rPr>
        <w:t>তন্দ্রা বা ক্লান্তি</w:t>
      </w:r>
    </w:p>
    <w:p w14:paraId="6BD24E68" w14:textId="77777777" w:rsidR="00EB6D5A" w:rsidRDefault="00287E27">
      <w:pPr>
        <w:pStyle w:val="ListParagraph"/>
        <w:numPr>
          <w:ilvl w:val="0"/>
          <w:numId w:val="2"/>
        </w:numPr>
        <w:tabs>
          <w:tab w:val="left" w:pos="864"/>
        </w:tabs>
        <w:spacing w:before="160"/>
        <w:ind w:hanging="360"/>
        <w:rPr>
          <w:sz w:val="21"/>
        </w:rPr>
      </w:pPr>
      <w:r>
        <w:rPr>
          <w:spacing w:val="-3"/>
          <w:sz w:val="21"/>
        </w:rPr>
        <w:t>লালা গ্রন্থি ফুলে যাওয়া</w:t>
      </w:r>
    </w:p>
    <w:p w14:paraId="7E16E34A" w14:textId="77777777" w:rsidR="00EB6D5A" w:rsidRDefault="00287E27">
      <w:pPr>
        <w:pStyle w:val="ListParagraph"/>
        <w:numPr>
          <w:ilvl w:val="0"/>
          <w:numId w:val="2"/>
        </w:numPr>
        <w:tabs>
          <w:tab w:val="left" w:pos="864"/>
        </w:tabs>
        <w:ind w:hanging="360"/>
        <w:rPr>
          <w:sz w:val="21"/>
        </w:rPr>
      </w:pPr>
      <w:r>
        <w:rPr>
          <w:spacing w:val="-3"/>
          <w:sz w:val="21"/>
        </w:rPr>
        <w:t>ইনজেকশনের স্থানে একটি অস্থায়ী ছোট পিণ্ড।</w:t>
      </w:r>
    </w:p>
    <w:p w14:paraId="4F1A834B" w14:textId="77777777" w:rsidR="00EB6D5A" w:rsidRDefault="00287E27">
      <w:pPr>
        <w:pStyle w:val="Heading2"/>
        <w:spacing w:before="239"/>
      </w:pPr>
      <w:r>
        <w:rPr>
          <w:color w:val="52555A"/>
          <w:spacing w:val="-5"/>
        </w:rPr>
        <w:t>অস্বাভাবিক পার্শ্বপ্রতিক্রিয়া</w:t>
      </w:r>
    </w:p>
    <w:p w14:paraId="472BC65D" w14:textId="77777777" w:rsidR="00EB6D5A" w:rsidRDefault="00287E27">
      <w:pPr>
        <w:pStyle w:val="ListParagraph"/>
        <w:numPr>
          <w:ilvl w:val="0"/>
          <w:numId w:val="2"/>
        </w:numPr>
        <w:tabs>
          <w:tab w:val="left" w:pos="864"/>
        </w:tabs>
        <w:spacing w:before="129"/>
        <w:ind w:hanging="360"/>
        <w:rPr>
          <w:sz w:val="21"/>
        </w:rPr>
      </w:pPr>
      <w:r>
        <w:rPr>
          <w:spacing w:val="-4"/>
          <w:sz w:val="21"/>
        </w:rPr>
        <w:t>জ্বরের কারণে খিঁচুনি (জ্বরজনিত খিঁচুনি)</w:t>
      </w:r>
    </w:p>
    <w:p w14:paraId="7565A9C2" w14:textId="77777777" w:rsidR="00EB6D5A" w:rsidRDefault="00287E27">
      <w:pPr>
        <w:pStyle w:val="ListParagraph"/>
        <w:numPr>
          <w:ilvl w:val="0"/>
          <w:numId w:val="2"/>
        </w:numPr>
        <w:tabs>
          <w:tab w:val="left" w:pos="864"/>
        </w:tabs>
        <w:ind w:hanging="360"/>
        <w:rPr>
          <w:sz w:val="21"/>
        </w:rPr>
      </w:pPr>
      <w:r>
        <w:rPr>
          <w:color w:val="212121"/>
          <w:spacing w:val="-3"/>
          <w:sz w:val="21"/>
        </w:rPr>
        <w:t>জয়েন্টগুলোতে অস্থায়ী ব্যথা এবং শক্ত হয়ে যাওয়া</w:t>
      </w:r>
    </w:p>
    <w:p w14:paraId="582E7EB9" w14:textId="77777777" w:rsidR="00EB6D5A" w:rsidRDefault="00287E27">
      <w:pPr>
        <w:pStyle w:val="ListParagraph"/>
        <w:numPr>
          <w:ilvl w:val="0"/>
          <w:numId w:val="2"/>
        </w:numPr>
        <w:tabs>
          <w:tab w:val="left" w:pos="864"/>
        </w:tabs>
        <w:spacing w:before="157"/>
        <w:ind w:hanging="360"/>
        <w:rPr>
          <w:sz w:val="21"/>
        </w:rPr>
      </w:pPr>
      <w:r>
        <w:rPr>
          <w:spacing w:val="-3"/>
          <w:sz w:val="21"/>
        </w:rPr>
        <w:t>অস্থায়ীভাবে প্লেটলেটের সংখ্যা কমে যাওয়া, যার ফলে রক্তপাত বা ক্ষত দেখা দেয়।</w:t>
      </w:r>
    </w:p>
    <w:p w14:paraId="0AC053CE" w14:textId="77777777" w:rsidR="00EB6D5A" w:rsidRDefault="00287E27">
      <w:pPr>
        <w:pStyle w:val="Heading2"/>
        <w:spacing w:before="241"/>
      </w:pPr>
      <w:r>
        <w:rPr>
          <w:color w:val="52555A"/>
          <w:spacing w:val="-6"/>
        </w:rPr>
        <w:t>অত্যন্ত বিরল পার্শ্বপ্রতিক্রিয়া</w:t>
      </w:r>
    </w:p>
    <w:p w14:paraId="0F5BBC16" w14:textId="77777777" w:rsidR="00EB6D5A" w:rsidRDefault="00287E27">
      <w:pPr>
        <w:pStyle w:val="BodyText"/>
        <w:spacing w:before="129"/>
      </w:pPr>
      <w:r>
        <w:rPr>
          <w:spacing w:val="-2"/>
        </w:rPr>
        <w:t>একটি তীব্র অ্যালার্জির প্রতিক্রিয়া।</w:t>
      </w:r>
    </w:p>
    <w:p w14:paraId="4D4B5EF3" w14:textId="77777777" w:rsidR="00EB6D5A" w:rsidRDefault="00287E27">
      <w:pPr>
        <w:pStyle w:val="BodyText"/>
        <w:spacing w:before="159"/>
      </w:pPr>
      <w:r>
        <w:rPr>
          <w:spacing w:val="-2"/>
        </w:rPr>
        <w:t>যদি হালকা প্রতিক্রিয়া দেখা দেয়, তবে তা ২ থেকে ৩ দিন স্থায়ী হতে পারে। পার্শ্ব প্রতিক্রিয়াগুলি কমানো যেতে পারে:</w:t>
      </w:r>
    </w:p>
    <w:p w14:paraId="5F866AA4" w14:textId="77777777" w:rsidR="00EB6D5A" w:rsidRDefault="00287E27">
      <w:pPr>
        <w:pStyle w:val="ListParagraph"/>
        <w:numPr>
          <w:ilvl w:val="0"/>
          <w:numId w:val="2"/>
        </w:numPr>
        <w:tabs>
          <w:tab w:val="left" w:pos="864"/>
        </w:tabs>
        <w:spacing w:before="157"/>
        <w:ind w:hanging="360"/>
        <w:rPr>
          <w:sz w:val="21"/>
        </w:rPr>
      </w:pPr>
      <w:r>
        <w:rPr>
          <w:spacing w:val="-2"/>
          <w:sz w:val="21"/>
        </w:rPr>
        <w:t>ইনজেকশনের স্থানে ঠান্ডা ভেজা কাপড় রাখা</w:t>
      </w:r>
    </w:p>
    <w:p w14:paraId="42B5F1AA" w14:textId="77777777" w:rsidR="00EB6D5A" w:rsidRDefault="00287E27">
      <w:pPr>
        <w:pStyle w:val="ListParagraph"/>
        <w:numPr>
          <w:ilvl w:val="0"/>
          <w:numId w:val="2"/>
        </w:numPr>
        <w:tabs>
          <w:tab w:val="left" w:pos="864"/>
        </w:tabs>
        <w:spacing w:before="160"/>
        <w:ind w:hanging="360"/>
        <w:rPr>
          <w:sz w:val="21"/>
        </w:rPr>
      </w:pPr>
      <w:r>
        <w:rPr>
          <w:spacing w:val="-2"/>
          <w:sz w:val="21"/>
        </w:rPr>
        <w:t>জ্বর হলে অতিরিক্ত তরল পান করা এবং অতিরিক্ত পোশাক না পরা</w:t>
      </w:r>
    </w:p>
    <w:p w14:paraId="5904E9A9" w14:textId="77777777" w:rsidR="00EB6D5A" w:rsidRDefault="00287E27">
      <w:pPr>
        <w:pStyle w:val="ListParagraph"/>
        <w:numPr>
          <w:ilvl w:val="0"/>
          <w:numId w:val="2"/>
        </w:numPr>
        <w:tabs>
          <w:tab w:val="left" w:pos="864"/>
        </w:tabs>
        <w:spacing w:before="157" w:line="278" w:lineRule="auto"/>
        <w:ind w:right="339"/>
        <w:rPr>
          <w:sz w:val="21"/>
        </w:rPr>
      </w:pPr>
      <w:r>
        <w:rPr>
          <w:spacing w:val="-1"/>
          <w:sz w:val="21"/>
        </w:rPr>
        <w:t>অস্বস্তি কমাতে প্যারাসিটামল খাওয়া (অথবা আপনার সন্তানকে দেওয়া) (আপনার সন্তানের বয়স অনুসারে প্রস্তাবিত ডোজটি লক্ষ্য করুন)।</w:t>
      </w:r>
    </w:p>
    <w:p w14:paraId="2C84EF9B" w14:textId="77777777" w:rsidR="00EB6D5A" w:rsidRDefault="00287E27">
      <w:pPr>
        <w:pStyle w:val="BodyText"/>
        <w:spacing w:before="121" w:line="398" w:lineRule="auto"/>
        <w:ind w:right="1632"/>
      </w:pPr>
      <w:r>
        <w:rPr>
          <w:spacing w:val="-1"/>
        </w:rPr>
        <w:t>যদি প্রতিক্রিয়াগুলি তীব্র বা স্থায়ী হয়, অথবা আপনি যদি চিন্তিত হন, তাহলে আপনার ডাক্তার বা হাসপাতালের সাথে যোগাযোগ করুন। আপনি ভিক্টোরিয়ান ভ্যাকসিন সুরক্ষা পরিষেবাতে ১৩০০ ৮৮২ ৯২৪ নম্বরে অপশন ১ এ কল করতে পারেন।</w:t>
      </w:r>
    </w:p>
    <w:p w14:paraId="02E8E6C7" w14:textId="77777777" w:rsidR="00EB6D5A" w:rsidRDefault="00EB6D5A">
      <w:pPr>
        <w:pStyle w:val="BodyText"/>
        <w:spacing w:line="398" w:lineRule="auto"/>
        <w:rPr>
          <w:rFonts w:cs="Vrinda"/>
          <w:cs/>
          <w:lang w:bidi="bn-IN"/>
        </w:rPr>
        <w:sectPr w:rsidR="00EB6D5A">
          <w:pgSz w:w="11910" w:h="16840"/>
          <w:pgMar w:top="1360" w:right="850" w:bottom="580" w:left="708" w:header="0" w:footer="385" w:gutter="0"/>
          <w:cols w:space="720"/>
        </w:sectPr>
      </w:pPr>
    </w:p>
    <w:p w14:paraId="3BEA0F20" w14:textId="77777777" w:rsidR="00EB6D5A" w:rsidRDefault="00287E27">
      <w:pPr>
        <w:pStyle w:val="Heading1"/>
        <w:spacing w:before="59"/>
      </w:pPr>
      <w:r>
        <w:rPr>
          <w:color w:val="C53662"/>
          <w:spacing w:val="-6"/>
        </w:rPr>
        <w:lastRenderedPageBreak/>
        <w:t>টিকা গ্রহণের পূর্বে চেকলিস্ট</w:t>
      </w:r>
    </w:p>
    <w:p w14:paraId="1D530643" w14:textId="77777777" w:rsidR="00EB6D5A" w:rsidRDefault="00287E27">
      <w:pPr>
        <w:pStyle w:val="BodyText"/>
        <w:spacing w:before="239"/>
      </w:pPr>
      <w:r>
        <w:rPr>
          <w:spacing w:val="-2"/>
        </w:rPr>
        <w:t>আপনার বা আপনার শিশুকে টিকা দেওয়ার আগে, নিম্নলিখিতগুলির মধ্যে কোনটি প্রযোজ্য হলে ডাক্তার বা নার্সকে বলুন:</w:t>
      </w:r>
    </w:p>
    <w:p w14:paraId="1523F556" w14:textId="77777777" w:rsidR="00EB6D5A" w:rsidRDefault="00287E27">
      <w:pPr>
        <w:pStyle w:val="ListParagraph"/>
        <w:numPr>
          <w:ilvl w:val="0"/>
          <w:numId w:val="1"/>
        </w:numPr>
        <w:tabs>
          <w:tab w:val="left" w:pos="863"/>
        </w:tabs>
        <w:spacing w:before="157"/>
        <w:ind w:left="863" w:hanging="359"/>
        <w:rPr>
          <w:sz w:val="21"/>
        </w:rPr>
      </w:pPr>
      <w:r>
        <w:rPr>
          <w:spacing w:val="-3"/>
          <w:sz w:val="21"/>
        </w:rPr>
        <w:t>গত মাসে জীবন্ত ভাইরাসযুক্ত টিকা (যেমন MMR, চিকেনপক্স বা BCG) নিয়েছেন কি?</w:t>
      </w:r>
    </w:p>
    <w:p w14:paraId="1F87922D" w14:textId="77777777" w:rsidR="00EB6D5A" w:rsidRDefault="00287E27">
      <w:pPr>
        <w:pStyle w:val="ListParagraph"/>
        <w:numPr>
          <w:ilvl w:val="0"/>
          <w:numId w:val="1"/>
        </w:numPr>
        <w:tabs>
          <w:tab w:val="left" w:pos="863"/>
        </w:tabs>
        <w:spacing w:before="160"/>
        <w:ind w:left="863" w:hanging="359"/>
        <w:rPr>
          <w:sz w:val="21"/>
        </w:rPr>
      </w:pPr>
      <w:r>
        <w:rPr>
          <w:spacing w:val="-3"/>
          <w:sz w:val="21"/>
        </w:rPr>
        <w:t>টিকাদানের দিন অসুস্থ (তাপমাত্রা ৩৮.৫ ডিগ্রি সেলসিয়াসের বেশি)</w:t>
      </w:r>
    </w:p>
    <w:p w14:paraId="2EFF8916" w14:textId="77777777" w:rsidR="00EB6D5A" w:rsidRDefault="00287E27">
      <w:pPr>
        <w:pStyle w:val="ListParagraph"/>
        <w:numPr>
          <w:ilvl w:val="0"/>
          <w:numId w:val="1"/>
        </w:numPr>
        <w:tabs>
          <w:tab w:val="left" w:pos="863"/>
        </w:tabs>
        <w:ind w:left="863" w:hanging="359"/>
        <w:rPr>
          <w:sz w:val="21"/>
        </w:rPr>
      </w:pPr>
      <w:r>
        <w:rPr>
          <w:spacing w:val="-2"/>
          <w:sz w:val="21"/>
        </w:rPr>
        <w:t>পূর্ববর্তী MMR টিকার তীব্র প্রতিক্রিয়া হয়েছে</w:t>
      </w:r>
    </w:p>
    <w:p w14:paraId="1C3AE870" w14:textId="77777777" w:rsidR="00EB6D5A" w:rsidRDefault="00287E27">
      <w:pPr>
        <w:pStyle w:val="ListParagraph"/>
        <w:numPr>
          <w:ilvl w:val="0"/>
          <w:numId w:val="1"/>
        </w:numPr>
        <w:tabs>
          <w:tab w:val="left" w:pos="863"/>
        </w:tabs>
        <w:spacing w:before="157"/>
        <w:ind w:left="863" w:hanging="359"/>
        <w:rPr>
          <w:sz w:val="21"/>
        </w:rPr>
      </w:pPr>
      <w:r>
        <w:rPr>
          <w:spacing w:val="-3"/>
          <w:sz w:val="21"/>
        </w:rPr>
        <w:t>কোনও টিকার উপাদান, যেমন নিওমাইসিনের প্রতি তীব্র অ্যালার্জি আছে কিনা</w:t>
      </w:r>
    </w:p>
    <w:p w14:paraId="1AF3C331" w14:textId="77777777" w:rsidR="00EB6D5A" w:rsidRDefault="00287E27">
      <w:pPr>
        <w:pStyle w:val="ListParagraph"/>
        <w:numPr>
          <w:ilvl w:val="0"/>
          <w:numId w:val="1"/>
        </w:numPr>
        <w:tabs>
          <w:tab w:val="left" w:pos="862"/>
          <w:tab w:val="left" w:pos="864"/>
        </w:tabs>
        <w:spacing w:line="278" w:lineRule="auto"/>
        <w:ind w:right="737"/>
        <w:rPr>
          <w:sz w:val="21"/>
        </w:rPr>
      </w:pPr>
      <w:r>
        <w:rPr>
          <w:spacing w:val="-1"/>
          <w:sz w:val="21"/>
        </w:rPr>
        <w:t>শ্বাস-প্রশ্বাসের মাধ্যমে নেওয়া হাঁপানির স্প্রে বা স্টেরয়েড ক্রিম (যেমন, কর্টিসোন বা প্রেডনিসোন) ছাড়া অন্য কোনও ধরণের স্টেরয়েড গ্রহণ করছেন?</w:t>
      </w:r>
    </w:p>
    <w:p w14:paraId="1493F29D" w14:textId="77777777" w:rsidR="00EB6D5A" w:rsidRDefault="00287E27">
      <w:pPr>
        <w:pStyle w:val="ListParagraph"/>
        <w:numPr>
          <w:ilvl w:val="0"/>
          <w:numId w:val="1"/>
        </w:numPr>
        <w:tabs>
          <w:tab w:val="left" w:pos="863"/>
        </w:tabs>
        <w:spacing w:before="119"/>
        <w:ind w:left="863" w:hanging="359"/>
        <w:rPr>
          <w:sz w:val="21"/>
        </w:rPr>
      </w:pPr>
      <w:r>
        <w:rPr>
          <w:spacing w:val="-3"/>
          <w:sz w:val="21"/>
        </w:rPr>
        <w:t>গত এক বছরে ইমিউনোগ্লোবুলিন বা রক্তের কোনও পণ্য গ্রহণ করেছেন</w:t>
      </w:r>
    </w:p>
    <w:p w14:paraId="0ACF3346" w14:textId="77777777" w:rsidR="00EB6D5A" w:rsidRDefault="00287E27">
      <w:pPr>
        <w:pStyle w:val="ListParagraph"/>
        <w:numPr>
          <w:ilvl w:val="0"/>
          <w:numId w:val="1"/>
        </w:numPr>
        <w:tabs>
          <w:tab w:val="left" w:pos="862"/>
          <w:tab w:val="left" w:pos="864"/>
        </w:tabs>
        <w:spacing w:line="280" w:lineRule="auto"/>
        <w:ind w:right="371"/>
        <w:rPr>
          <w:sz w:val="21"/>
        </w:rPr>
      </w:pPr>
      <w:r>
        <w:rPr>
          <w:spacing w:val="-1"/>
          <w:sz w:val="21"/>
        </w:rPr>
        <w:t>এমন কোনও রোগ আছে অথবা চিকিৎসাধীন আছেন যার কারণে রোগ প্রতিরোধ ক্ষমতা কমে যায় (যেমন, লিউকেমিয়া, ক্যান্সার, এইচআইভি/এইডস, রেডিওথেরাপি বা কেমোথেরাপি)</w:t>
      </w:r>
    </w:p>
    <w:p w14:paraId="49EECDC9" w14:textId="77777777" w:rsidR="00EB6D5A" w:rsidRDefault="00287E27">
      <w:pPr>
        <w:pStyle w:val="ListParagraph"/>
        <w:numPr>
          <w:ilvl w:val="0"/>
          <w:numId w:val="1"/>
        </w:numPr>
        <w:tabs>
          <w:tab w:val="left" w:pos="863"/>
        </w:tabs>
        <w:spacing w:before="115"/>
        <w:ind w:left="863" w:hanging="359"/>
        <w:rPr>
          <w:sz w:val="21"/>
        </w:rPr>
      </w:pPr>
      <w:r>
        <w:rPr>
          <w:spacing w:val="-3"/>
          <w:sz w:val="21"/>
        </w:rPr>
        <w:t>টিকাদানের এক মাসের মধ্যে গর্ভবতী হন অথবা গর্ভবতী হওয়ার পরিকল্পনা করেন।</w:t>
      </w:r>
    </w:p>
    <w:p w14:paraId="69596B30" w14:textId="77777777" w:rsidR="00EB6D5A" w:rsidRDefault="00EB6D5A">
      <w:pPr>
        <w:pStyle w:val="BodyText"/>
        <w:spacing w:before="80"/>
        <w:ind w:left="0"/>
      </w:pPr>
    </w:p>
    <w:p w14:paraId="2672021B" w14:textId="77777777" w:rsidR="00EB6D5A" w:rsidRDefault="00287E27">
      <w:pPr>
        <w:pStyle w:val="Heading1"/>
        <w:spacing w:before="1"/>
      </w:pPr>
      <w:r>
        <w:rPr>
          <w:color w:val="C53662"/>
          <w:spacing w:val="-4"/>
        </w:rPr>
        <w:t>আরও তথ্য</w:t>
      </w:r>
    </w:p>
    <w:p w14:paraId="7EC78E56" w14:textId="77777777" w:rsidR="00EB6D5A" w:rsidRDefault="00287E27">
      <w:pPr>
        <w:pStyle w:val="ListParagraph"/>
        <w:numPr>
          <w:ilvl w:val="0"/>
          <w:numId w:val="2"/>
        </w:numPr>
        <w:tabs>
          <w:tab w:val="left" w:pos="864"/>
        </w:tabs>
        <w:spacing w:before="236"/>
        <w:ind w:hanging="360"/>
        <w:rPr>
          <w:sz w:val="21"/>
        </w:rPr>
      </w:pPr>
      <w:hyperlink r:id="rId10">
        <w:r>
          <w:rPr>
            <w:spacing w:val="-2"/>
            <w:sz w:val="21"/>
          </w:rPr>
          <w:t>www.betterhealth.vic.gov.au</w:t>
        </w:r>
      </w:hyperlink>
    </w:p>
    <w:p w14:paraId="48AC72DA" w14:textId="77777777" w:rsidR="00EB6D5A" w:rsidRDefault="00287E27">
      <w:pPr>
        <w:pStyle w:val="ListParagraph"/>
        <w:numPr>
          <w:ilvl w:val="0"/>
          <w:numId w:val="2"/>
        </w:numPr>
        <w:tabs>
          <w:tab w:val="left" w:pos="864"/>
        </w:tabs>
        <w:spacing w:before="160"/>
        <w:ind w:hanging="360"/>
        <w:rPr>
          <w:sz w:val="21"/>
        </w:rPr>
      </w:pPr>
      <w:hyperlink r:id="rId11">
        <w:r>
          <w:rPr>
            <w:spacing w:val="-2"/>
            <w:sz w:val="21"/>
          </w:rPr>
          <w:t>www.immunise.health.gov.au</w:t>
        </w:r>
      </w:hyperlink>
    </w:p>
    <w:p w14:paraId="1ABEE78B" w14:textId="77777777" w:rsidR="00EB6D5A" w:rsidRDefault="00287E27">
      <w:pPr>
        <w:pStyle w:val="ListParagraph"/>
        <w:numPr>
          <w:ilvl w:val="0"/>
          <w:numId w:val="2"/>
        </w:numPr>
        <w:tabs>
          <w:tab w:val="left" w:pos="864"/>
        </w:tabs>
        <w:ind w:hanging="360"/>
        <w:rPr>
          <w:sz w:val="21"/>
        </w:rPr>
      </w:pPr>
      <w:r>
        <w:rPr>
          <w:spacing w:val="-3"/>
          <w:sz w:val="21"/>
        </w:rPr>
        <w:t>ট্রান্সলেটিং এন্ড ইন্টারপ্রেটিং সার্ভিস (Translating and interpreting service), পেতে কল করুন ১৩১ ৪৫০</w:t>
      </w:r>
    </w:p>
    <w:p w14:paraId="28C58AE0" w14:textId="77777777" w:rsidR="00EB6D5A" w:rsidRDefault="00EB6D5A">
      <w:pPr>
        <w:pStyle w:val="BodyText"/>
        <w:spacing w:before="3"/>
        <w:ind w:left="0"/>
        <w:rPr>
          <w:sz w:val="10"/>
        </w:rPr>
      </w:pPr>
    </w:p>
    <w:p w14:paraId="3D6D82E0" w14:textId="77777777" w:rsidR="00EB6D5A" w:rsidRDefault="00287E27">
      <w:pPr>
        <w:ind w:left="143" w:right="-72"/>
        <w:rPr>
          <w:sz w:val="20"/>
        </w:rPr>
      </w:pPr>
      <w:r>
        <w:rPr>
          <w:noProof/>
          <w:sz w:val="20"/>
        </w:rPr>
        <mc:AlternateContent>
          <mc:Choice Requires="wps">
            <w:drawing>
              <wp:inline distT="0" distB="0" distL="0" distR="0" wp14:anchorId="1AC3C394" wp14:editId="6332C115">
                <wp:extent cx="6475730" cy="1015365"/>
                <wp:effectExtent l="9525" t="0" r="1270" b="3809"/>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5730" cy="1015365"/>
                        </a:xfrm>
                        <a:prstGeom prst="rect">
                          <a:avLst/>
                        </a:prstGeom>
                        <a:ln w="6096">
                          <a:solidFill>
                            <a:srgbClr val="000000"/>
                          </a:solidFill>
                          <a:prstDash val="solid"/>
                        </a:ln>
                      </wps:spPr>
                      <wps:txbx>
                        <w:txbxContent>
                          <w:p w14:paraId="0A1FB157" w14:textId="77777777" w:rsidR="00EB6D5A" w:rsidRDefault="00287E27">
                            <w:pPr>
                              <w:pStyle w:val="BodyText"/>
                              <w:spacing w:before="38"/>
                              <w:ind w:left="103"/>
                            </w:pPr>
                            <w:r>
                              <w:rPr>
                                <w:spacing w:val="-3"/>
                              </w:rPr>
                              <w:t xml:space="preserve">এই ডকুমেন্টটি অন্য ফর্ম্যাটে পেতে, </w:t>
                            </w:r>
                            <w:hyperlink r:id="rId12">
                              <w:r>
                                <w:rPr>
                                  <w:color w:val="004B96"/>
                                  <w:spacing w:val="-3"/>
                                  <w:u w:val="dotted" w:color="004B96"/>
                                </w:rPr>
                                <w:t>টিকাদান ইউনিটে ইমেল করুন</w:t>
                              </w:r>
                            </w:hyperlink>
                          </w:p>
                          <w:p w14:paraId="7CE305E2" w14:textId="77777777" w:rsidR="00EB6D5A" w:rsidRDefault="00287E27">
                            <w:pPr>
                              <w:pStyle w:val="BodyText"/>
                              <w:spacing w:before="39"/>
                              <w:ind w:left="103"/>
                            </w:pPr>
                            <w:r>
                              <w:rPr>
                                <w:spacing w:val="-2"/>
                              </w:rPr>
                              <w:t>&lt;</w:t>
                            </w:r>
                            <w:hyperlink r:id="rId13">
                              <w:r>
                                <w:rPr>
                                  <w:color w:val="004B96"/>
                                  <w:spacing w:val="-2"/>
                                  <w:u w:val="dotted" w:color="004B96"/>
                                </w:rPr>
                                <w:t>immunisation@health.vic.gov.au</w:t>
                              </w:r>
                            </w:hyperlink>
                            <w:r>
                              <w:rPr>
                                <w:spacing w:val="-2"/>
                              </w:rPr>
                              <w:t>&gt;.</w:t>
                            </w:r>
                          </w:p>
                          <w:p w14:paraId="2C65A08B" w14:textId="77777777" w:rsidR="00EB6D5A" w:rsidRDefault="00287E27">
                            <w:pPr>
                              <w:pStyle w:val="BodyText"/>
                              <w:spacing w:before="160"/>
                              <w:ind w:left="103"/>
                            </w:pPr>
                            <w:r>
                              <w:rPr>
                                <w:spacing w:val="-3"/>
                              </w:rPr>
                              <w:t>ভিক্টোরিয়ান সরকার কর্তৃক অনুমোদিত এবং প্রকাশিত, ১ ট্রেজারি প্লেস, মেলবোর্ন।</w:t>
                            </w:r>
                          </w:p>
                          <w:p w14:paraId="51CCCEA2" w14:textId="77777777" w:rsidR="00EB6D5A" w:rsidRDefault="00287E27">
                            <w:pPr>
                              <w:pStyle w:val="BodyText"/>
                              <w:spacing w:before="159"/>
                              <w:ind w:left="103"/>
                            </w:pPr>
                            <w:r>
                              <w:rPr>
                                <w:spacing w:val="-3"/>
                              </w:rPr>
                              <w:t>© স্টেট অফ ভিক্টোরিয়া, অস্ট্রেলিয়া, স্বাস্থ্য অধিদপ্তর, ডিসেম্বর ২০২২।</w:t>
                            </w:r>
                          </w:p>
                        </w:txbxContent>
                      </wps:txbx>
                      <wps:bodyPr wrap="square" lIns="0" tIns="0" rIns="0" bIns="0" rtlCol="0">
                        <a:noAutofit/>
                      </wps:bodyPr>
                    </wps:wsp>
                  </a:graphicData>
                </a:graphic>
              </wp:inline>
            </w:drawing>
          </mc:Choice>
          <mc:Fallback>
            <w:pict>
              <v:shapetype w14:anchorId="1AC3C394" id="_x0000_t202" coordsize="21600,21600" o:spt="202" path="m,l,21600r21600,l21600,xe">
                <v:stroke joinstyle="miter"/>
                <v:path gradientshapeok="t" o:connecttype="rect"/>
              </v:shapetype>
              <v:shape id="Textbox 4" o:spid="_x0000_s1026" type="#_x0000_t202" style="width:509.9pt;height:7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" filled="f" strokeweight=".48pt">
                <v:path arrowok="t"/>
                <v:textbox inset="0,0,0,0">
                  <w:txbxContent>
                    <w:p w14:paraId="0A1FB157" w14:textId="77777777" w:rsidR="00EB6D5A" w:rsidRDefault="00287E27">
                      <w:pPr>
                        <w:pStyle w:val="BodyText"/>
                        <w:spacing w:before="38"/>
                        <w:ind w:left="103"/>
                      </w:pPr>
                      <w:r>
                        <w:rPr>
                          <w:spacing w:val="-3"/>
                        </w:rPr>
                        <w:t xml:space="preserve">এই ডকুমেন্টটি অন্য ফর্ম্যাটে পেতে, </w:t>
                      </w:r>
                      <w:hyperlink r:id="rId14">
                        <w:r>
                          <w:rPr>
                            <w:color w:val="004B96"/>
                            <w:spacing w:val="-3"/>
                            <w:u w:val="dotted" w:color="004B96"/>
                          </w:rPr>
                          <w:t>টিকাদান ইউনিটে ইমেল করুন</w:t>
                        </w:r>
                      </w:hyperlink>
                    </w:p>
                    <w:p w14:paraId="7CE305E2" w14:textId="77777777" w:rsidR="00EB6D5A" w:rsidRDefault="00287E27">
                      <w:pPr>
                        <w:pStyle w:val="BodyText"/>
                        <w:spacing w:before="39"/>
                        <w:ind w:left="103"/>
                      </w:pPr>
                      <w:r>
                        <w:rPr>
                          <w:spacing w:val="-2"/>
                        </w:rPr>
                        <w:t>&lt;</w:t>
                      </w:r>
                      <w:hyperlink r:id="rId15">
                        <w:r>
                          <w:rPr>
                            <w:color w:val="004B96"/>
                            <w:spacing w:val="-2"/>
                            <w:u w:val="dotted" w:color="004B96"/>
                          </w:rPr>
                          <w:t>immunisation@health.vic.gov.au</w:t>
                        </w:r>
                      </w:hyperlink>
                      <w:r>
                        <w:rPr>
                          <w:spacing w:val="-2"/>
                        </w:rPr>
                        <w:t>&gt;.</w:t>
                      </w:r>
                    </w:p>
                    <w:p w14:paraId="2C65A08B" w14:textId="77777777" w:rsidR="00EB6D5A" w:rsidRDefault="00287E27">
                      <w:pPr>
                        <w:pStyle w:val="BodyText"/>
                        <w:spacing w:before="160"/>
                        <w:ind w:left="103"/>
                      </w:pPr>
                      <w:r>
                        <w:rPr>
                          <w:spacing w:val="-3"/>
                        </w:rPr>
                        <w:t>ভিক্টোরিয়ান সরকার কর্তৃক অনুমোদিত এবং প্রকাশিত, ১ ট্রেজারি প্লেস, মেলবোর্ন।</w:t>
                      </w:r>
                    </w:p>
                    <w:p w14:paraId="51CCCEA2" w14:textId="77777777" w:rsidR="00EB6D5A" w:rsidRDefault="00287E27">
                      <w:pPr>
                        <w:pStyle w:val="BodyText"/>
                        <w:spacing w:before="159"/>
                        <w:ind w:left="103"/>
                      </w:pPr>
                      <w:r>
                        <w:rPr>
                          <w:spacing w:val="-3"/>
                        </w:rPr>
                        <w:t>© স্টেট অফ ভিক্টোরিয়া, অস্ট্রেলিয়া, স্বাস্থ্য অধিদপ্তর, ডিসেম্বর ২০২২।</w:t>
                      </w:r>
                    </w:p>
                  </w:txbxContent>
                </v:textbox>
                <w10:anchorlock/>
              </v:shape>
            </w:pict>
          </mc:Fallback>
        </mc:AlternateContent>
      </w:r>
    </w:p>
    <w:sectPr w:rsidR="00EB6D5A">
      <w:pgSz w:w="11910" w:h="16840"/>
      <w:pgMar w:top="1340" w:right="850" w:bottom="580" w:left="708" w:header="0" w:footer="3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FF886" w14:textId="77777777" w:rsidR="00287E27" w:rsidRDefault="00287E27">
      <w:r>
        <w:separator/>
      </w:r>
    </w:p>
  </w:endnote>
  <w:endnote w:type="continuationSeparator" w:id="0">
    <w:p w14:paraId="66C4DFB5" w14:textId="77777777" w:rsidR="00287E27" w:rsidRDefault="00287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altName w:val="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B90C5" w14:textId="77777777" w:rsidR="00EB6D5A" w:rsidRDefault="00287E27">
    <w:pPr>
      <w:pStyle w:val="BodyText"/>
      <w:spacing w:line="14" w:lineRule="auto"/>
      <w:ind w:left="0"/>
      <w:rPr>
        <w:sz w:val="20"/>
      </w:rPr>
    </w:pPr>
    <w:r>
      <w:rPr>
        <w:noProof/>
        <w:sz w:val="20"/>
      </w:rPr>
      <mc:AlternateContent>
        <mc:Choice Requires="wps">
          <w:drawing>
            <wp:anchor distT="0" distB="0" distL="0" distR="0" simplePos="0" relativeHeight="487516672" behindDoc="1" locked="0" layoutInCell="1" allowOverlap="1" wp14:anchorId="599CB87F" wp14:editId="6C5EC104">
              <wp:simplePos x="0" y="0"/>
              <wp:positionH relativeFrom="page">
                <wp:posOffset>3439795</wp:posOffset>
              </wp:positionH>
              <wp:positionV relativeFrom="page">
                <wp:posOffset>10308515</wp:posOffset>
              </wp:positionV>
              <wp:extent cx="681355" cy="2038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1355" cy="203835"/>
                      </a:xfrm>
                      <a:prstGeom prst="rect">
                        <a:avLst/>
                      </a:prstGeom>
                    </wps:spPr>
                    <wps:txbx>
                      <w:txbxContent>
                        <w:p w14:paraId="1673B418" w14:textId="77777777" w:rsidR="00EB6D5A" w:rsidRDefault="00287E27">
                          <w:pPr>
                            <w:spacing w:before="19"/>
                            <w:ind w:left="20"/>
                            <w:rPr>
                              <w:rFonts w:ascii="Arial Black" w:hAnsi="Arial Black"/>
                              <w:sz w:val="20"/>
                            </w:rPr>
                          </w:pPr>
                          <w:r>
                            <w:rPr>
                              <w:rFonts w:ascii="Arial Black" w:hAnsi="Arial Black"/>
                              <w:spacing w:val="-2"/>
                              <w:sz w:val="20"/>
                            </w:rPr>
                            <w:t>দাপ্তরিক</w:t>
                          </w:r>
                        </w:p>
                      </w:txbxContent>
                    </wps:txbx>
                    <wps:bodyPr wrap="square" lIns="0" tIns="0" rIns="0" bIns="0" rtlCol="0">
                      <a:noAutofit/>
                    </wps:bodyPr>
                  </wps:wsp>
                </a:graphicData>
              </a:graphic>
            </wp:anchor>
          </w:drawing>
        </mc:Choice>
        <mc:Fallback>
          <w:pict>
            <v:shapetype w14:anchorId="599CB87F" id="_x0000_t202" coordsize="21600,21600" o:spt="202" path="m,l,21600r21600,l21600,xe">
              <v:stroke joinstyle="miter"/>
              <v:path gradientshapeok="t" o:connecttype="rect"/>
            </v:shapetype>
            <v:shape id="Textbox 1" o:spid="_x0000_s1027" type="#_x0000_t202" style="position:absolute;margin-left:270.85pt;margin-top:811.7pt;width:53.65pt;height:16.05pt;z-index:-1579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" filled="f" stroked="f">
              <v:textbox inset="0,0,0,0">
                <w:txbxContent>
                  <w:p w14:paraId="1673B418" w14:textId="77777777" w:rsidR="00EB6D5A" w:rsidRDefault="00287E27">
                    <w:pPr>
                      <w:spacing w:before="19"/>
                      <w:ind w:left="20"/>
                      <w:rPr>
                        <w:rFonts w:ascii="Arial Black" w:hAnsi="Arial Black"/>
                        <w:sz w:val="20"/>
                      </w:rPr>
                    </w:pPr>
                    <w:r>
                      <w:rPr>
                        <w:rFonts w:ascii="Arial Black" w:hAnsi="Arial Black"/>
                        <w:spacing w:val="-2"/>
                        <w:sz w:val="20"/>
                      </w:rPr>
                      <w:t>দাপ্তরিক</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3CAA7" w14:textId="77777777" w:rsidR="00287E27" w:rsidRDefault="00287E27">
      <w:r>
        <w:separator/>
      </w:r>
    </w:p>
  </w:footnote>
  <w:footnote w:type="continuationSeparator" w:id="0">
    <w:p w14:paraId="09C0F0DC" w14:textId="77777777" w:rsidR="00287E27" w:rsidRDefault="00287E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4612C"/>
    <w:multiLevelType w:val="hybridMultilevel"/>
    <w:tmpl w:val="514E75D2"/>
    <w:lvl w:ilvl="0" w:tplc="56C4F966">
      <w:numFmt w:val="bullet"/>
      <w:lvlText w:val=""/>
      <w:lvlJc w:val="left"/>
      <w:pPr>
        <w:ind w:left="864" w:hanging="361"/>
      </w:pPr>
      <w:rPr>
        <w:rFonts w:ascii="Wingdings 2" w:eastAsia="Wingdings 2" w:hAnsi="Wingdings 2" w:cs="Wingdings 2" w:hint="default"/>
        <w:b w:val="0"/>
        <w:bCs w:val="0"/>
        <w:i w:val="0"/>
        <w:iCs w:val="0"/>
        <w:spacing w:val="0"/>
        <w:w w:val="100"/>
        <w:sz w:val="21"/>
        <w:szCs w:val="21"/>
        <w:lang w:val="bn-IN" w:eastAsia="en-US" w:bidi="ar-SA"/>
      </w:rPr>
    </w:lvl>
    <w:lvl w:ilvl="1" w:tplc="799854BC">
      <w:numFmt w:val="bullet"/>
      <w:lvlText w:val="•"/>
      <w:lvlJc w:val="left"/>
      <w:pPr>
        <w:ind w:left="1808" w:hanging="361"/>
      </w:pPr>
      <w:rPr>
        <w:rFonts w:hint="default"/>
        <w:lang w:val="bn-IN" w:eastAsia="en-US" w:bidi="ar-SA"/>
      </w:rPr>
    </w:lvl>
    <w:lvl w:ilvl="2" w:tplc="3E90780A">
      <w:numFmt w:val="bullet"/>
      <w:lvlText w:val="•"/>
      <w:lvlJc w:val="left"/>
      <w:pPr>
        <w:ind w:left="2757" w:hanging="361"/>
      </w:pPr>
      <w:rPr>
        <w:rFonts w:hint="default"/>
        <w:lang w:val="bn-IN" w:eastAsia="en-US" w:bidi="ar-SA"/>
      </w:rPr>
    </w:lvl>
    <w:lvl w:ilvl="3" w:tplc="86724D0C">
      <w:numFmt w:val="bullet"/>
      <w:lvlText w:val="•"/>
      <w:lvlJc w:val="left"/>
      <w:pPr>
        <w:ind w:left="3706" w:hanging="361"/>
      </w:pPr>
      <w:rPr>
        <w:rFonts w:hint="default"/>
        <w:lang w:val="bn-IN" w:eastAsia="en-US" w:bidi="ar-SA"/>
      </w:rPr>
    </w:lvl>
    <w:lvl w:ilvl="4" w:tplc="16FC1678">
      <w:numFmt w:val="bullet"/>
      <w:lvlText w:val="•"/>
      <w:lvlJc w:val="left"/>
      <w:pPr>
        <w:ind w:left="4655" w:hanging="361"/>
      </w:pPr>
      <w:rPr>
        <w:rFonts w:hint="default"/>
        <w:lang w:val="bn-IN" w:eastAsia="en-US" w:bidi="ar-SA"/>
      </w:rPr>
    </w:lvl>
    <w:lvl w:ilvl="5" w:tplc="5EB83BEE">
      <w:numFmt w:val="bullet"/>
      <w:lvlText w:val="•"/>
      <w:lvlJc w:val="left"/>
      <w:pPr>
        <w:ind w:left="5604" w:hanging="361"/>
      </w:pPr>
      <w:rPr>
        <w:rFonts w:hint="default"/>
        <w:lang w:val="bn-IN" w:eastAsia="en-US" w:bidi="ar-SA"/>
      </w:rPr>
    </w:lvl>
    <w:lvl w:ilvl="6" w:tplc="61FEA8FE">
      <w:numFmt w:val="bullet"/>
      <w:lvlText w:val="•"/>
      <w:lvlJc w:val="left"/>
      <w:pPr>
        <w:ind w:left="6553" w:hanging="361"/>
      </w:pPr>
      <w:rPr>
        <w:rFonts w:hint="default"/>
        <w:lang w:val="bn-IN" w:eastAsia="en-US" w:bidi="ar-SA"/>
      </w:rPr>
    </w:lvl>
    <w:lvl w:ilvl="7" w:tplc="9C840528">
      <w:numFmt w:val="bullet"/>
      <w:lvlText w:val="•"/>
      <w:lvlJc w:val="left"/>
      <w:pPr>
        <w:ind w:left="7501" w:hanging="361"/>
      </w:pPr>
      <w:rPr>
        <w:rFonts w:hint="default"/>
        <w:lang w:val="bn-IN" w:eastAsia="en-US" w:bidi="ar-SA"/>
      </w:rPr>
    </w:lvl>
    <w:lvl w:ilvl="8" w:tplc="41B8C072">
      <w:numFmt w:val="bullet"/>
      <w:lvlText w:val="•"/>
      <w:lvlJc w:val="left"/>
      <w:pPr>
        <w:ind w:left="8450" w:hanging="361"/>
      </w:pPr>
      <w:rPr>
        <w:rFonts w:hint="default"/>
        <w:lang w:val="bn-IN" w:eastAsia="en-US" w:bidi="ar-SA"/>
      </w:rPr>
    </w:lvl>
  </w:abstractNum>
  <w:abstractNum w:abstractNumId="1" w15:restartNumberingAfterBreak="0">
    <w:nsid w:val="47E607B5"/>
    <w:multiLevelType w:val="hybridMultilevel"/>
    <w:tmpl w:val="B75A6F1A"/>
    <w:lvl w:ilvl="0" w:tplc="B532CFAE">
      <w:numFmt w:val="bullet"/>
      <w:lvlText w:val="•"/>
      <w:lvlJc w:val="left"/>
      <w:pPr>
        <w:ind w:left="864" w:hanging="361"/>
      </w:pPr>
      <w:rPr>
        <w:rFonts w:ascii="Arial" w:eastAsia="Arial" w:hAnsi="Arial" w:cs="Arial" w:hint="default"/>
        <w:b w:val="0"/>
        <w:bCs w:val="0"/>
        <w:i w:val="0"/>
        <w:iCs w:val="0"/>
        <w:spacing w:val="0"/>
        <w:w w:val="100"/>
        <w:sz w:val="21"/>
        <w:szCs w:val="21"/>
        <w:lang w:val="bn-IN" w:eastAsia="en-US" w:bidi="ar-SA"/>
      </w:rPr>
    </w:lvl>
    <w:lvl w:ilvl="1" w:tplc="04BCDE14">
      <w:numFmt w:val="bullet"/>
      <w:lvlText w:val="•"/>
      <w:lvlJc w:val="left"/>
      <w:pPr>
        <w:ind w:left="1808" w:hanging="361"/>
      </w:pPr>
      <w:rPr>
        <w:rFonts w:hint="default"/>
        <w:lang w:val="bn-IN" w:eastAsia="en-US" w:bidi="ar-SA"/>
      </w:rPr>
    </w:lvl>
    <w:lvl w:ilvl="2" w:tplc="3A18338E">
      <w:numFmt w:val="bullet"/>
      <w:lvlText w:val="•"/>
      <w:lvlJc w:val="left"/>
      <w:pPr>
        <w:ind w:left="2757" w:hanging="361"/>
      </w:pPr>
      <w:rPr>
        <w:rFonts w:hint="default"/>
        <w:lang w:val="bn-IN" w:eastAsia="en-US" w:bidi="ar-SA"/>
      </w:rPr>
    </w:lvl>
    <w:lvl w:ilvl="3" w:tplc="5336C5BA">
      <w:numFmt w:val="bullet"/>
      <w:lvlText w:val="•"/>
      <w:lvlJc w:val="left"/>
      <w:pPr>
        <w:ind w:left="3706" w:hanging="361"/>
      </w:pPr>
      <w:rPr>
        <w:rFonts w:hint="default"/>
        <w:lang w:val="bn-IN" w:eastAsia="en-US" w:bidi="ar-SA"/>
      </w:rPr>
    </w:lvl>
    <w:lvl w:ilvl="4" w:tplc="EE84DF8A">
      <w:numFmt w:val="bullet"/>
      <w:lvlText w:val="•"/>
      <w:lvlJc w:val="left"/>
      <w:pPr>
        <w:ind w:left="4655" w:hanging="361"/>
      </w:pPr>
      <w:rPr>
        <w:rFonts w:hint="default"/>
        <w:lang w:val="bn-IN" w:eastAsia="en-US" w:bidi="ar-SA"/>
      </w:rPr>
    </w:lvl>
    <w:lvl w:ilvl="5" w:tplc="729EAC2A">
      <w:numFmt w:val="bullet"/>
      <w:lvlText w:val="•"/>
      <w:lvlJc w:val="left"/>
      <w:pPr>
        <w:ind w:left="5604" w:hanging="361"/>
      </w:pPr>
      <w:rPr>
        <w:rFonts w:hint="default"/>
        <w:lang w:val="bn-IN" w:eastAsia="en-US" w:bidi="ar-SA"/>
      </w:rPr>
    </w:lvl>
    <w:lvl w:ilvl="6" w:tplc="7084054A">
      <w:numFmt w:val="bullet"/>
      <w:lvlText w:val="•"/>
      <w:lvlJc w:val="left"/>
      <w:pPr>
        <w:ind w:left="6553" w:hanging="361"/>
      </w:pPr>
      <w:rPr>
        <w:rFonts w:hint="default"/>
        <w:lang w:val="bn-IN" w:eastAsia="en-US" w:bidi="ar-SA"/>
      </w:rPr>
    </w:lvl>
    <w:lvl w:ilvl="7" w:tplc="26003B3E">
      <w:numFmt w:val="bullet"/>
      <w:lvlText w:val="•"/>
      <w:lvlJc w:val="left"/>
      <w:pPr>
        <w:ind w:left="7501" w:hanging="361"/>
      </w:pPr>
      <w:rPr>
        <w:rFonts w:hint="default"/>
        <w:lang w:val="bn-IN" w:eastAsia="en-US" w:bidi="ar-SA"/>
      </w:rPr>
    </w:lvl>
    <w:lvl w:ilvl="8" w:tplc="32D8EDCA">
      <w:numFmt w:val="bullet"/>
      <w:lvlText w:val="•"/>
      <w:lvlJc w:val="left"/>
      <w:pPr>
        <w:ind w:left="8450" w:hanging="361"/>
      </w:pPr>
      <w:rPr>
        <w:rFonts w:hint="default"/>
        <w:lang w:val="bn-IN" w:eastAsia="en-US" w:bidi="ar-SA"/>
      </w:rPr>
    </w:lvl>
  </w:abstractNum>
  <w:num w:numId="1" w16cid:durableId="1384014022">
    <w:abstractNumId w:val="0"/>
  </w:num>
  <w:num w:numId="2" w16cid:durableId="860704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B6D5A"/>
    <w:rsid w:val="00287E27"/>
    <w:rsid w:val="00BB4ACE"/>
    <w:rsid w:val="00E80884"/>
    <w:rsid w:val="00EB6D5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E17E5"/>
  <w15:docId w15:val="{D9F4B3F7-752E-4510-9818-D9D289206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n-IN"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4"/>
      <w:outlineLvl w:val="0"/>
    </w:pPr>
    <w:rPr>
      <w:sz w:val="40"/>
      <w:szCs w:val="40"/>
    </w:rPr>
  </w:style>
  <w:style w:type="paragraph" w:styleId="Heading2">
    <w:name w:val="heading 2"/>
    <w:basedOn w:val="Normal"/>
    <w:uiPriority w:val="9"/>
    <w:unhideWhenUsed/>
    <w:qFormat/>
    <w:pPr>
      <w:ind w:left="144"/>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4"/>
    </w:pPr>
    <w:rPr>
      <w:sz w:val="21"/>
      <w:szCs w:val="21"/>
    </w:rPr>
  </w:style>
  <w:style w:type="paragraph" w:styleId="ListParagraph">
    <w:name w:val="List Paragraph"/>
    <w:basedOn w:val="Normal"/>
    <w:uiPriority w:val="1"/>
    <w:qFormat/>
    <w:pPr>
      <w:spacing w:before="159"/>
      <w:ind w:left="864" w:hanging="360"/>
    </w:pPr>
  </w:style>
  <w:style w:type="paragraph" w:customStyle="1" w:styleId="TableParagraph">
    <w:name w:val="Table Paragraph"/>
    <w:basedOn w:val="Normal"/>
    <w:uiPriority w:val="1"/>
    <w:qFormat/>
    <w:pPr>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immunisation@health.vic.gov.a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mmunisation@health.vic.gov.a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mmunise.health.gov.au/" TargetMode="External"/><Relationship Id="rId5" Type="http://schemas.openxmlformats.org/officeDocument/2006/relationships/footnotes" Target="footnotes.xml"/><Relationship Id="rId15" Type="http://schemas.openxmlformats.org/officeDocument/2006/relationships/hyperlink" Target="mailto:immunisation@health.vic.gov.au" TargetMode="External"/><Relationship Id="rId10" Type="http://schemas.openxmlformats.org/officeDocument/2006/relationships/hyperlink" Target="http://www.betterhealth.vic.gov.a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immunisation@health.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757</Words>
  <Characters>3954</Characters>
  <Application>Microsoft Office Word</Application>
  <DocSecurity>0</DocSecurity>
  <Lines>87</Lines>
  <Paragraphs>54</Paragraphs>
  <ScaleCrop>false</ScaleCrop>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হাম, মাম্পস এবং রুবেলা (Measles, mumps and rubella immunisation - Bengali)</dc:title>
  <dc:subject>হাম, মাম্পস এবং রুবেলা</dc:subject>
  <dc:creator>Department of Health</dc:creator>
  <dcterms:created xsi:type="dcterms:W3CDTF">2026-02-17T00:14:00Z</dcterms:created>
  <dcterms:modified xsi:type="dcterms:W3CDTF">2026-03-10T04:49:00Z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2022-12-09T00:00:00Z</vt:filetime>
  </property>
  <property fmtid="{D5CDD505-2E9C-101B-9397-08002B2CF9AE}" pid="3" name="LastSaved">
    <vt:filetime>2026-02-17T00:00:00Z</vt:filetime>
  </property>
</Properties>
</file>