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34944" w14:textId="77777777" w:rsidR="006A497A" w:rsidRPr="00B67C15" w:rsidRDefault="006A497A">
      <w:pPr>
        <w:pStyle w:val="BodyText"/>
        <w:rPr>
          <w:rFonts w:ascii="Times New Roman" w:hAnsi="Times New Roman"/>
          <w:sz w:val="44"/>
          <w:szCs w:val="20"/>
        </w:rPr>
      </w:pPr>
    </w:p>
    <w:p w14:paraId="527E8EF1" w14:textId="77777777" w:rsidR="006A497A" w:rsidRPr="00B67C15" w:rsidRDefault="006A497A">
      <w:pPr>
        <w:pStyle w:val="BodyText"/>
        <w:rPr>
          <w:rFonts w:ascii="Times New Roman" w:hAnsi="Times New Roman"/>
          <w:sz w:val="44"/>
          <w:szCs w:val="20"/>
        </w:rPr>
      </w:pPr>
    </w:p>
    <w:p w14:paraId="5C3E9A33" w14:textId="77777777" w:rsidR="006A497A" w:rsidRPr="00B67C15" w:rsidRDefault="006A497A">
      <w:pPr>
        <w:pStyle w:val="BodyText"/>
        <w:rPr>
          <w:rFonts w:ascii="Times New Roman" w:hAnsi="Times New Roman"/>
          <w:sz w:val="44"/>
          <w:szCs w:val="20"/>
        </w:rPr>
      </w:pPr>
    </w:p>
    <w:p w14:paraId="0BF91FB2" w14:textId="77777777" w:rsidR="006A497A" w:rsidRPr="00B67C15" w:rsidRDefault="00B67C15">
      <w:pPr>
        <w:pStyle w:val="Heading1"/>
        <w:rPr>
          <w:sz w:val="44"/>
          <w:szCs w:val="44"/>
        </w:rPr>
      </w:pPr>
      <w:r w:rsidRPr="00B67C15">
        <w:rPr>
          <w:color w:val="1F1446"/>
          <w:spacing w:val="-2"/>
          <w:sz w:val="44"/>
          <w:szCs w:val="44"/>
        </w:rPr>
        <w:t>হাম (মীজেলস)</w:t>
      </w:r>
    </w:p>
    <w:p w14:paraId="6F41B139" w14:textId="77777777" w:rsidR="006A497A" w:rsidRPr="00B67C15" w:rsidRDefault="006A497A">
      <w:pPr>
        <w:pStyle w:val="BodyText"/>
        <w:rPr>
          <w:b/>
          <w:sz w:val="18"/>
          <w:szCs w:val="20"/>
        </w:rPr>
      </w:pPr>
    </w:p>
    <w:p w14:paraId="4638D570" w14:textId="77777777" w:rsidR="006A497A" w:rsidRPr="00B67C15" w:rsidRDefault="006A497A">
      <w:pPr>
        <w:pStyle w:val="BodyText"/>
        <w:spacing w:before="42"/>
        <w:rPr>
          <w:b/>
          <w:sz w:val="18"/>
          <w:szCs w:val="20"/>
        </w:rPr>
      </w:pPr>
    </w:p>
    <w:p w14:paraId="0D60FBBD" w14:textId="77777777" w:rsidR="006A497A" w:rsidRPr="00B67C15" w:rsidRDefault="006A497A">
      <w:pPr>
        <w:pStyle w:val="BodyText"/>
        <w:rPr>
          <w:rFonts w:cs="Vrinda"/>
          <w:b/>
          <w:sz w:val="18"/>
          <w:szCs w:val="20"/>
          <w:cs/>
          <w:lang w:bidi="bn-IN"/>
        </w:rPr>
        <w:sectPr w:rsidR="006A497A" w:rsidRPr="00B67C15" w:rsidSect="00B67C15">
          <w:footerReference w:type="default" r:id="rId7"/>
          <w:type w:val="continuous"/>
          <w:pgSz w:w="11910" w:h="16840"/>
          <w:pgMar w:top="0" w:right="708" w:bottom="0" w:left="708" w:header="0" w:footer="939" w:gutter="0"/>
          <w:pgNumType w:start="1"/>
          <w:cols w:space="720"/>
        </w:sectPr>
      </w:pPr>
    </w:p>
    <w:p w14:paraId="5CA6312A" w14:textId="77777777" w:rsidR="006A497A" w:rsidRPr="00B67C15" w:rsidRDefault="00B67C15">
      <w:pPr>
        <w:pStyle w:val="BodyText"/>
        <w:spacing w:before="94" w:line="278" w:lineRule="auto"/>
        <w:ind w:left="12"/>
        <w:rPr>
          <w:sz w:val="20"/>
          <w:szCs w:val="20"/>
        </w:rPr>
      </w:pPr>
      <w:r w:rsidRPr="00B67C15">
        <w:rPr>
          <w:spacing w:val="-2"/>
          <w:sz w:val="20"/>
          <w:szCs w:val="20"/>
        </w:rPr>
        <w:t>ভিক্টোরিয়া এবং সারা বিশ্বে হামের ঘটনা বৃদ্ধি পেয়েছে।</w:t>
      </w:r>
    </w:p>
    <w:p w14:paraId="6EB8F83D" w14:textId="77777777" w:rsidR="006A497A" w:rsidRPr="00B67C15" w:rsidRDefault="00B67C15">
      <w:pPr>
        <w:pStyle w:val="BodyText"/>
        <w:spacing w:before="119" w:line="278" w:lineRule="auto"/>
        <w:ind w:left="12"/>
        <w:rPr>
          <w:sz w:val="20"/>
          <w:szCs w:val="20"/>
        </w:rPr>
      </w:pPr>
      <w:r w:rsidRPr="00B67C15">
        <w:rPr>
          <w:spacing w:val="-2"/>
          <w:sz w:val="20"/>
          <w:szCs w:val="20"/>
        </w:rPr>
        <w:t>হামের বিরুদ্ধে নিজেকে, আপনার পরিবার এবং সম্প্রদায়কে রক্ষা করার জন্য হাম-মাম্পস-রুবেলা (MMR) টিকার দুই ডোজ নেয়া হল সর্বোত্তম উপায়।</w:t>
      </w:r>
    </w:p>
    <w:p w14:paraId="49183026" w14:textId="77777777" w:rsidR="006A497A" w:rsidRPr="00B67C15" w:rsidRDefault="006A497A">
      <w:pPr>
        <w:pStyle w:val="BodyText"/>
        <w:spacing w:before="43"/>
        <w:rPr>
          <w:sz w:val="20"/>
          <w:szCs w:val="20"/>
        </w:rPr>
      </w:pPr>
    </w:p>
    <w:p w14:paraId="3FFC028A" w14:textId="77777777" w:rsidR="006A497A" w:rsidRPr="00B67C15" w:rsidRDefault="00B67C15">
      <w:pPr>
        <w:pStyle w:val="Heading2"/>
        <w:spacing w:before="1"/>
        <w:rPr>
          <w:sz w:val="36"/>
          <w:szCs w:val="36"/>
        </w:rPr>
      </w:pPr>
      <w:bookmarkStart w:id="0" w:name="What_is_measles?"/>
      <w:bookmarkEnd w:id="0"/>
      <w:r w:rsidRPr="00B67C15">
        <w:rPr>
          <w:color w:val="1F1446"/>
          <w:spacing w:val="-1"/>
          <w:sz w:val="36"/>
          <w:szCs w:val="36"/>
        </w:rPr>
        <w:t>হাম (মীজেলস)কী?</w:t>
      </w:r>
    </w:p>
    <w:p w14:paraId="41FA2EB7" w14:textId="77777777" w:rsidR="006A497A" w:rsidRPr="00B67C15" w:rsidRDefault="00B67C15">
      <w:pPr>
        <w:pStyle w:val="BodyText"/>
        <w:spacing w:before="236" w:line="278" w:lineRule="auto"/>
        <w:ind w:left="12"/>
        <w:rPr>
          <w:sz w:val="20"/>
          <w:szCs w:val="20"/>
        </w:rPr>
      </w:pPr>
      <w:r w:rsidRPr="00B67C15">
        <w:rPr>
          <w:spacing w:val="-2"/>
          <w:sz w:val="20"/>
          <w:szCs w:val="20"/>
        </w:rPr>
        <w:t>হাম একটি অত্যন্ত সংক্রামক ভাইরাল রোগ যা আক্রান্ত ব্যক্তির শ্বাস-প্রশ্বাস, কাশি বা হাঁচির মাধ্যমে সহজেই বাতাসের মাধ্যমে ছড়িয়ে পড়ে।</w:t>
      </w:r>
    </w:p>
    <w:p w14:paraId="35DF005E" w14:textId="77777777" w:rsidR="006A497A" w:rsidRPr="00B67C15" w:rsidRDefault="00B67C15">
      <w:pPr>
        <w:pStyle w:val="BodyText"/>
        <w:spacing w:before="120" w:line="278" w:lineRule="auto"/>
        <w:ind w:left="12"/>
        <w:rPr>
          <w:sz w:val="20"/>
          <w:szCs w:val="20"/>
        </w:rPr>
      </w:pPr>
      <w:r w:rsidRPr="00B67C15">
        <w:rPr>
          <w:spacing w:val="-2"/>
          <w:sz w:val="20"/>
          <w:szCs w:val="20"/>
        </w:rPr>
        <w:t>হাম বিপজ্জনক হতে পারে, বিশেষ করে শিশু, ছোট শিশু, গর্ভবতী এবং দুর্বল রোগ প্রতিরোধ ক্ষমতা সম্পন্ন ব্যক্তিদের জন্য।</w:t>
      </w:r>
    </w:p>
    <w:p w14:paraId="471DE07A" w14:textId="77777777" w:rsidR="006A497A" w:rsidRPr="00B67C15" w:rsidRDefault="00B67C15">
      <w:pPr>
        <w:pStyle w:val="BodyText"/>
        <w:spacing w:before="119"/>
        <w:ind w:left="12"/>
        <w:rPr>
          <w:sz w:val="20"/>
          <w:szCs w:val="20"/>
        </w:rPr>
      </w:pPr>
      <w:r w:rsidRPr="00B67C15">
        <w:rPr>
          <w:spacing w:val="-3"/>
          <w:sz w:val="20"/>
          <w:szCs w:val="20"/>
        </w:rPr>
        <w:t>গুরুতর হাম হলে হাসপাতালে ভর্তি হতে হতে পারে এবং মৃত্যু পর্যন্ত ঘটতে পারে।</w:t>
      </w:r>
    </w:p>
    <w:p w14:paraId="6039895A" w14:textId="77777777" w:rsidR="006A497A" w:rsidRPr="00B67C15" w:rsidRDefault="006A497A">
      <w:pPr>
        <w:pStyle w:val="BodyText"/>
        <w:spacing w:before="81"/>
        <w:rPr>
          <w:sz w:val="20"/>
          <w:szCs w:val="20"/>
        </w:rPr>
      </w:pPr>
    </w:p>
    <w:p w14:paraId="1A572427" w14:textId="77777777" w:rsidR="006A497A" w:rsidRPr="00B67C15" w:rsidRDefault="00B67C15">
      <w:pPr>
        <w:pStyle w:val="Heading2"/>
        <w:rPr>
          <w:sz w:val="36"/>
          <w:szCs w:val="36"/>
        </w:rPr>
      </w:pPr>
      <w:bookmarkStart w:id="1" w:name="What_are_the_symptoms_of_measles?"/>
      <w:bookmarkEnd w:id="1"/>
      <w:r w:rsidRPr="00B67C15">
        <w:rPr>
          <w:color w:val="1F1446"/>
          <w:spacing w:val="-4"/>
          <w:sz w:val="36"/>
          <w:szCs w:val="36"/>
        </w:rPr>
        <w:t>হামের লক্ষণগুলি কী কী?</w:t>
      </w:r>
    </w:p>
    <w:p w14:paraId="1C12B992" w14:textId="77777777" w:rsidR="006A497A" w:rsidRPr="00B67C15" w:rsidRDefault="00B67C15">
      <w:pPr>
        <w:pStyle w:val="BodyText"/>
        <w:spacing w:before="235" w:line="278" w:lineRule="auto"/>
        <w:ind w:left="12"/>
        <w:rPr>
          <w:sz w:val="20"/>
          <w:szCs w:val="20"/>
        </w:rPr>
      </w:pPr>
      <w:r w:rsidRPr="00B67C15">
        <w:rPr>
          <w:spacing w:val="-2"/>
          <w:sz w:val="20"/>
          <w:szCs w:val="20"/>
        </w:rPr>
        <w:t>সাধারণত সংস্পর্শে আসার ৭ থেকে ১৮ দিন পরে লক্ষণগুলি দেখা দেয় এবং এর মধ্যে জ্বর, কাশি, নাক দিয়ে পানি পড়া, চোখ লাল-জলযুক্ত হওয়া এবং ফুসকুড়ি অন্তর্ভুক্ত থাকতে পারে।</w:t>
      </w:r>
    </w:p>
    <w:p w14:paraId="1565E1DF" w14:textId="77777777" w:rsidR="006A497A" w:rsidRPr="00B67C15" w:rsidRDefault="00B67C15">
      <w:pPr>
        <w:spacing w:before="120" w:line="278" w:lineRule="auto"/>
        <w:ind w:left="12"/>
        <w:rPr>
          <w:b/>
          <w:sz w:val="20"/>
          <w:szCs w:val="20"/>
        </w:rPr>
      </w:pPr>
      <w:r w:rsidRPr="00B67C15">
        <w:rPr>
          <w:b/>
          <w:spacing w:val="-2"/>
          <w:sz w:val="20"/>
          <w:szCs w:val="20"/>
        </w:rPr>
        <w:t>যদি আপনার মনে হয় আপনার হাম হয়েছে, তাহলে পরীক্ষা করান। আপনার হাম হতে পারে বলে স্বাস্থ্যসেবা প্রদানকারী সংস্থাকে ফোন করুন এবং সংক্রমণ ছড়িয়ে পড়া রোধ করার জন্য একটি ফিটেড ফেস মাস্ক পরুন।</w:t>
      </w:r>
    </w:p>
    <w:p w14:paraId="0096D499" w14:textId="77777777" w:rsidR="006A497A" w:rsidRPr="00B67C15" w:rsidRDefault="006A497A">
      <w:pPr>
        <w:pStyle w:val="BodyText"/>
        <w:spacing w:before="41"/>
        <w:rPr>
          <w:b/>
          <w:sz w:val="20"/>
          <w:szCs w:val="20"/>
        </w:rPr>
      </w:pPr>
    </w:p>
    <w:p w14:paraId="3566A7FB" w14:textId="77777777" w:rsidR="006A497A" w:rsidRPr="00B67C15" w:rsidRDefault="00B67C15">
      <w:pPr>
        <w:pStyle w:val="Heading2"/>
        <w:rPr>
          <w:sz w:val="36"/>
          <w:szCs w:val="36"/>
        </w:rPr>
      </w:pPr>
      <w:bookmarkStart w:id="2" w:name="How_to_protect_yourself"/>
      <w:bookmarkEnd w:id="2"/>
      <w:r w:rsidRPr="00B67C15">
        <w:rPr>
          <w:color w:val="1F1446"/>
          <w:spacing w:val="-1"/>
          <w:sz w:val="36"/>
          <w:szCs w:val="36"/>
        </w:rPr>
        <w:t>কিভাবে নিজেকে রক্ষা করবেন</w:t>
      </w:r>
    </w:p>
    <w:p w14:paraId="3E471D14" w14:textId="77777777" w:rsidR="006A497A" w:rsidRPr="00B67C15" w:rsidRDefault="00B67C15">
      <w:pPr>
        <w:pStyle w:val="BodyText"/>
        <w:spacing w:before="237" w:line="278" w:lineRule="auto"/>
        <w:ind w:left="12" w:right="197"/>
        <w:rPr>
          <w:sz w:val="20"/>
          <w:szCs w:val="20"/>
        </w:rPr>
      </w:pPr>
      <w:r w:rsidRPr="00B67C15">
        <w:rPr>
          <w:spacing w:val="-2"/>
          <w:sz w:val="20"/>
          <w:szCs w:val="20"/>
        </w:rPr>
        <w:t>রোগ প্রতিরোধ ক্ষমতার জন্য MMR টিকার দুটি ডোজ প্রয়োজন। যদি আপনার দুটি ডোজ দেয়া না থাকে, অথবা আপনি জানেন না, তাহলে টিকা নিন।</w:t>
      </w:r>
    </w:p>
    <w:p w14:paraId="493365DA" w14:textId="77777777" w:rsidR="006A497A" w:rsidRPr="00B67C15" w:rsidRDefault="00B67C15">
      <w:pPr>
        <w:pStyle w:val="BodyText"/>
        <w:spacing w:before="94" w:line="278" w:lineRule="auto"/>
        <w:ind w:left="12" w:right="46"/>
        <w:jc w:val="both"/>
        <w:rPr>
          <w:sz w:val="20"/>
          <w:szCs w:val="20"/>
        </w:rPr>
      </w:pPr>
      <w:r w:rsidRPr="00B67C15">
        <w:rPr>
          <w:sz w:val="20"/>
          <w:szCs w:val="20"/>
        </w:rPr>
        <w:br w:type="column"/>
      </w:r>
      <w:r w:rsidRPr="00B67C15">
        <w:rPr>
          <w:sz w:val="20"/>
          <w:szCs w:val="20"/>
        </w:rPr>
        <w:t xml:space="preserve">আপনার এবং আপনার পরিবারের সকলেই দুটি ডোজ গ্রহণ করেছেন কিনা তা নিশ্চিত করতে আপনার জিপি বা স্থানীয় ফার্মাসিস্টের সাথে কথা বলুন, অথবা এখানে </w:t>
      </w:r>
      <w:hyperlink r:id="rId8">
        <w:r w:rsidRPr="00B67C15">
          <w:rPr>
            <w:color w:val="004B96"/>
            <w:sz w:val="20"/>
            <w:szCs w:val="20"/>
            <w:u w:val="dotted" w:color="004B96"/>
          </w:rPr>
          <w:t>দেখুন</w:t>
        </w:r>
        <w:r w:rsidRPr="00B67C15">
          <w:rPr>
            <w:spacing w:val="-3"/>
            <w:sz w:val="20"/>
            <w:szCs w:val="20"/>
          </w:rPr>
          <w:t>: &lt;https://www.betterhealth.vic.gov.au/health/heal thyliving/how-to-find-your-immunisation-records&gt;</w:t>
        </w:r>
      </w:hyperlink>
    </w:p>
    <w:p w14:paraId="53D73103" w14:textId="77777777" w:rsidR="006A497A" w:rsidRPr="00B67C15" w:rsidRDefault="006A497A">
      <w:pPr>
        <w:pStyle w:val="BodyText"/>
        <w:spacing w:before="157"/>
        <w:rPr>
          <w:sz w:val="20"/>
          <w:szCs w:val="20"/>
        </w:rPr>
      </w:pPr>
    </w:p>
    <w:p w14:paraId="0180319C" w14:textId="77777777" w:rsidR="006A497A" w:rsidRPr="00B67C15" w:rsidRDefault="00B67C15">
      <w:pPr>
        <w:pStyle w:val="BodyText"/>
        <w:spacing w:before="1" w:line="278" w:lineRule="auto"/>
        <w:ind w:left="12" w:right="284"/>
        <w:rPr>
          <w:sz w:val="20"/>
          <w:szCs w:val="20"/>
        </w:rPr>
      </w:pPr>
      <w:r w:rsidRPr="00B67C15">
        <w:rPr>
          <w:spacing w:val="-2"/>
          <w:sz w:val="20"/>
          <w:szCs w:val="20"/>
        </w:rPr>
        <w:t>যদি আপনি কোথাও ভ্রমণ করেন, তাহলে নিশ্চিত করুন যে আপনি MMR টিকার দুটি ডোজ নিয়েছেন। যদি আপনি বন্ধুবান্ধব এবং পরিবারের সাথে দেখা করতে যান, তাহলে নিশ্চিত করুন যে আপনার টিকাগুলি হালনাগাদ করা হয়েছে।</w:t>
      </w:r>
    </w:p>
    <w:p w14:paraId="2DFBE844" w14:textId="77777777" w:rsidR="006A497A" w:rsidRPr="00B67C15" w:rsidRDefault="00B67C15">
      <w:pPr>
        <w:pStyle w:val="BodyText"/>
        <w:spacing w:before="122"/>
        <w:ind w:left="12"/>
        <w:rPr>
          <w:sz w:val="20"/>
          <w:szCs w:val="20"/>
        </w:rPr>
      </w:pPr>
      <w:r w:rsidRPr="00B67C15">
        <w:rPr>
          <w:spacing w:val="-2"/>
          <w:sz w:val="20"/>
          <w:szCs w:val="20"/>
        </w:rPr>
        <w:t>ভিক্টোরিয়ায়, MMR টিকা বিনামূল্যে পাওয়া যায় যদি আপনি:</w:t>
      </w:r>
    </w:p>
    <w:p w14:paraId="340A5431" w14:textId="77777777" w:rsidR="006A497A" w:rsidRPr="00B67C15" w:rsidRDefault="00B67C15">
      <w:pPr>
        <w:pStyle w:val="ListParagraph"/>
        <w:numPr>
          <w:ilvl w:val="0"/>
          <w:numId w:val="1"/>
        </w:numPr>
        <w:tabs>
          <w:tab w:val="left" w:pos="371"/>
        </w:tabs>
        <w:spacing w:before="142"/>
        <w:ind w:left="371" w:hanging="359"/>
        <w:rPr>
          <w:sz w:val="20"/>
          <w:szCs w:val="20"/>
        </w:rPr>
      </w:pPr>
      <w:r w:rsidRPr="00B67C15">
        <w:rPr>
          <w:spacing w:val="-3"/>
          <w:sz w:val="20"/>
          <w:szCs w:val="20"/>
        </w:rPr>
        <w:t>জাতীয় টিকাদান কর্মসূচির অধীনে যোগ্য বিবেচিত হবেন:</w:t>
      </w:r>
    </w:p>
    <w:p w14:paraId="0B4CB8D4" w14:textId="77777777" w:rsidR="006A497A" w:rsidRPr="00B67C15" w:rsidRDefault="00B67C15">
      <w:pPr>
        <w:pStyle w:val="ListParagraph"/>
        <w:numPr>
          <w:ilvl w:val="1"/>
          <w:numId w:val="1"/>
        </w:numPr>
        <w:tabs>
          <w:tab w:val="left" w:pos="577"/>
        </w:tabs>
        <w:spacing w:before="158"/>
        <w:ind w:left="577" w:hanging="282"/>
        <w:rPr>
          <w:sz w:val="20"/>
          <w:szCs w:val="20"/>
        </w:rPr>
      </w:pPr>
      <w:r w:rsidRPr="00B67C15">
        <w:rPr>
          <w:spacing w:val="-2"/>
          <w:sz w:val="20"/>
          <w:szCs w:val="20"/>
        </w:rPr>
        <w:t>১২ এবং ১৮ মাস বয়সী শিশুরা</w:t>
      </w:r>
    </w:p>
    <w:p w14:paraId="195B50C2" w14:textId="77777777" w:rsidR="006A497A" w:rsidRPr="00B67C15" w:rsidRDefault="00B67C15">
      <w:pPr>
        <w:pStyle w:val="ListParagraph"/>
        <w:numPr>
          <w:ilvl w:val="1"/>
          <w:numId w:val="1"/>
        </w:numPr>
        <w:tabs>
          <w:tab w:val="left" w:pos="576"/>
          <w:tab w:val="left" w:pos="578"/>
        </w:tabs>
        <w:spacing w:line="259" w:lineRule="auto"/>
        <w:ind w:right="148"/>
        <w:rPr>
          <w:sz w:val="20"/>
          <w:szCs w:val="20"/>
        </w:rPr>
      </w:pPr>
      <w:r w:rsidRPr="00B67C15">
        <w:rPr>
          <w:spacing w:val="-2"/>
          <w:sz w:val="20"/>
          <w:szCs w:val="20"/>
        </w:rPr>
        <w:t>২০ বছরের কম বয়সী ব্যক্তিদের যাদের ক্যাচ-আপ (আরেকটি) টিকা প্রয়োজন</w:t>
      </w:r>
    </w:p>
    <w:p w14:paraId="5F35D2FE" w14:textId="77777777" w:rsidR="006A497A" w:rsidRPr="00B67C15" w:rsidRDefault="00B67C15">
      <w:pPr>
        <w:pStyle w:val="ListParagraph"/>
        <w:numPr>
          <w:ilvl w:val="1"/>
          <w:numId w:val="1"/>
        </w:numPr>
        <w:tabs>
          <w:tab w:val="left" w:pos="577"/>
        </w:tabs>
        <w:spacing w:before="141"/>
        <w:ind w:left="577" w:hanging="282"/>
        <w:rPr>
          <w:sz w:val="20"/>
          <w:szCs w:val="20"/>
        </w:rPr>
      </w:pPr>
      <w:r w:rsidRPr="00B67C15">
        <w:rPr>
          <w:spacing w:val="-2"/>
          <w:sz w:val="20"/>
          <w:szCs w:val="20"/>
        </w:rPr>
        <w:t>যেকোনো বয়সের শরণার্থী এবং মানবিক অনুপ্রবেশকারী।</w:t>
      </w:r>
    </w:p>
    <w:p w14:paraId="2EEC386C" w14:textId="77777777" w:rsidR="006A497A" w:rsidRPr="00B67C15" w:rsidRDefault="00B67C15">
      <w:pPr>
        <w:pStyle w:val="ListParagraph"/>
        <w:numPr>
          <w:ilvl w:val="0"/>
          <w:numId w:val="1"/>
        </w:numPr>
        <w:tabs>
          <w:tab w:val="left" w:pos="372"/>
        </w:tabs>
        <w:spacing w:before="124" w:line="276" w:lineRule="auto"/>
        <w:ind w:right="426"/>
        <w:rPr>
          <w:sz w:val="20"/>
          <w:szCs w:val="20"/>
        </w:rPr>
      </w:pPr>
      <w:r w:rsidRPr="00B67C15">
        <w:rPr>
          <w:spacing w:val="-3"/>
          <w:sz w:val="20"/>
          <w:szCs w:val="20"/>
        </w:rPr>
        <w:t>ভিক্টোরিয়া প্রদেশ-অর্থায়িত MMR প্রোগ্রামের অধীনে যোগ্য বিবেচিত হবেন:</w:t>
      </w:r>
    </w:p>
    <w:p w14:paraId="373D56CF" w14:textId="77777777" w:rsidR="006A497A" w:rsidRPr="00B67C15" w:rsidRDefault="00B67C15">
      <w:pPr>
        <w:pStyle w:val="ListParagraph"/>
        <w:numPr>
          <w:ilvl w:val="1"/>
          <w:numId w:val="1"/>
        </w:numPr>
        <w:tabs>
          <w:tab w:val="left" w:pos="576"/>
          <w:tab w:val="left" w:pos="578"/>
        </w:tabs>
        <w:spacing w:before="122" w:line="259" w:lineRule="auto"/>
        <w:ind w:right="205"/>
        <w:rPr>
          <w:sz w:val="20"/>
          <w:szCs w:val="20"/>
        </w:rPr>
      </w:pPr>
      <w:r w:rsidRPr="00B67C15">
        <w:rPr>
          <w:spacing w:val="-2"/>
          <w:sz w:val="20"/>
          <w:szCs w:val="20"/>
        </w:rPr>
        <w:t>১৯৬৬ সালের মধ্যে বা তার পর থেকে জন্মগ্রহণকারী এবং MMR ভ্যাকসিনের দুটি ডোজ গ্রহণ করেননি এমন যে কেউ।</w:t>
      </w:r>
    </w:p>
    <w:p w14:paraId="4738194B" w14:textId="77777777" w:rsidR="006A497A" w:rsidRPr="00B67C15" w:rsidRDefault="00B67C15">
      <w:pPr>
        <w:pStyle w:val="ListParagraph"/>
        <w:numPr>
          <w:ilvl w:val="1"/>
          <w:numId w:val="1"/>
        </w:numPr>
        <w:tabs>
          <w:tab w:val="left" w:pos="576"/>
          <w:tab w:val="left" w:pos="578"/>
        </w:tabs>
        <w:spacing w:line="259" w:lineRule="auto"/>
        <w:ind w:right="230"/>
        <w:rPr>
          <w:sz w:val="20"/>
          <w:szCs w:val="20"/>
        </w:rPr>
      </w:pPr>
      <w:r w:rsidRPr="00B67C15">
        <w:rPr>
          <w:spacing w:val="-2"/>
          <w:sz w:val="20"/>
          <w:szCs w:val="20"/>
        </w:rPr>
        <w:t>বিদেশ ভ্রমণের আগে ৬-১১ মাস বয়সী শিশুরা</w:t>
      </w:r>
    </w:p>
    <w:p w14:paraId="4E2F20C5" w14:textId="77777777" w:rsidR="006A497A" w:rsidRPr="00B67C15" w:rsidRDefault="00B67C15">
      <w:pPr>
        <w:pStyle w:val="BodyText"/>
        <w:spacing w:before="139" w:line="278" w:lineRule="auto"/>
        <w:ind w:left="12"/>
        <w:rPr>
          <w:sz w:val="20"/>
          <w:szCs w:val="20"/>
        </w:rPr>
      </w:pPr>
      <w:r w:rsidRPr="00B67C15">
        <w:rPr>
          <w:spacing w:val="-2"/>
          <w:sz w:val="20"/>
          <w:szCs w:val="20"/>
        </w:rPr>
        <w:t>প্রদেশ-অর্থায়নে পরিচালিত MMR ভ্যাকসিন পেতে কোনও মেডিকেয়ার কার্ডের প্রয়োজন নেই।</w:t>
      </w:r>
    </w:p>
    <w:p w14:paraId="01090D32" w14:textId="77777777" w:rsidR="006A497A" w:rsidRPr="00B67C15" w:rsidRDefault="00B67C15">
      <w:pPr>
        <w:pStyle w:val="BodyText"/>
        <w:spacing w:before="122" w:line="278" w:lineRule="auto"/>
        <w:ind w:left="12"/>
        <w:rPr>
          <w:sz w:val="20"/>
          <w:szCs w:val="20"/>
        </w:rPr>
      </w:pPr>
      <w:r w:rsidRPr="00B67C15">
        <w:rPr>
          <w:spacing w:val="-2"/>
          <w:sz w:val="20"/>
          <w:szCs w:val="20"/>
        </w:rPr>
        <w:t xml:space="preserve">হাম এবং নিজেকে এবং অন্যদের কীভাবে রক্ষা করবেন সে সম্পর্কে আরও তথ্যের জন্য দেখুন </w:t>
      </w:r>
      <w:hyperlink r:id="rId9">
        <w:r w:rsidRPr="00B67C15">
          <w:rPr>
            <w:color w:val="004B96"/>
            <w:sz w:val="20"/>
            <w:szCs w:val="20"/>
            <w:u w:val="dotted" w:color="004B96"/>
          </w:rPr>
          <w:t xml:space="preserve">Better Health Channel – </w:t>
        </w:r>
      </w:hyperlink>
      <w:r w:rsidRPr="00B67C15">
        <w:rPr>
          <w:color w:val="004B96"/>
          <w:sz w:val="20"/>
          <w:szCs w:val="20"/>
        </w:rPr>
        <w:t xml:space="preserve"> </w:t>
      </w:r>
      <w:hyperlink r:id="rId10">
        <w:r w:rsidRPr="00B67C15">
          <w:rPr>
            <w:color w:val="004B96"/>
            <w:spacing w:val="-2"/>
            <w:sz w:val="20"/>
            <w:szCs w:val="20"/>
            <w:u w:val="dotted" w:color="004B96"/>
          </w:rPr>
          <w:t>হাম (মীজেলস)</w:t>
        </w:r>
      </w:hyperlink>
    </w:p>
    <w:p w14:paraId="534BF2A8" w14:textId="77777777" w:rsidR="006A497A" w:rsidRPr="00B67C15" w:rsidRDefault="00B67C15">
      <w:pPr>
        <w:pStyle w:val="BodyText"/>
        <w:spacing w:line="278" w:lineRule="auto"/>
        <w:ind w:left="12"/>
        <w:rPr>
          <w:sz w:val="20"/>
          <w:szCs w:val="20"/>
        </w:rPr>
      </w:pPr>
      <w:hyperlink r:id="rId11">
        <w:r w:rsidRPr="00B67C15">
          <w:rPr>
            <w:spacing w:val="-2"/>
            <w:sz w:val="20"/>
            <w:szCs w:val="20"/>
          </w:rPr>
          <w:t>&lt;https://www.betterhealth.vic.gov.au/health/condition sandtreatments/measles&gt;</w:t>
        </w:r>
      </w:hyperlink>
    </w:p>
    <w:p w14:paraId="23A8F96A" w14:textId="77777777" w:rsidR="006A497A" w:rsidRPr="00B67C15" w:rsidRDefault="006A497A">
      <w:pPr>
        <w:pStyle w:val="BodyText"/>
        <w:spacing w:line="278" w:lineRule="auto"/>
        <w:rPr>
          <w:rFonts w:cs="Vrinda"/>
          <w:sz w:val="20"/>
          <w:szCs w:val="20"/>
          <w:cs/>
          <w:lang w:bidi="bn-IN"/>
        </w:rPr>
        <w:sectPr w:rsidR="006A497A" w:rsidRPr="00B67C15">
          <w:type w:val="continuous"/>
          <w:pgSz w:w="11910" w:h="16840"/>
          <w:pgMar w:top="0" w:right="708" w:bottom="1120" w:left="708" w:header="0" w:footer="939" w:gutter="0"/>
          <w:cols w:num="2" w:space="720" w:equalWidth="0">
            <w:col w:w="5047" w:space="356"/>
            <w:col w:w="5091"/>
          </w:cols>
        </w:sectPr>
      </w:pPr>
    </w:p>
    <w:p w14:paraId="24752968" w14:textId="77777777" w:rsidR="006A497A" w:rsidRPr="00B67C15" w:rsidRDefault="00B67C15">
      <w:pPr>
        <w:pStyle w:val="BodyText"/>
        <w:spacing w:before="3"/>
        <w:rPr>
          <w:sz w:val="5"/>
          <w:szCs w:val="20"/>
        </w:rPr>
      </w:pPr>
      <w:r w:rsidRPr="00B67C15">
        <w:rPr>
          <w:noProof/>
          <w:sz w:val="5"/>
          <w:szCs w:val="20"/>
        </w:rPr>
        <w:drawing>
          <wp:anchor distT="0" distB="0" distL="0" distR="0" simplePos="0" relativeHeight="15729152" behindDoc="0" locked="0" layoutInCell="1" allowOverlap="1" wp14:anchorId="60862857" wp14:editId="15C684D9">
            <wp:simplePos x="0" y="0"/>
            <wp:positionH relativeFrom="page">
              <wp:posOffset>0</wp:posOffset>
            </wp:positionH>
            <wp:positionV relativeFrom="page">
              <wp:posOffset>1</wp:posOffset>
            </wp:positionV>
            <wp:extent cx="7545321" cy="133821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7545321" cy="1338213"/>
                    </a:xfrm>
                    <a:prstGeom prst="rect">
                      <a:avLst/>
                    </a:prstGeom>
                  </pic:spPr>
                </pic:pic>
              </a:graphicData>
            </a:graphic>
          </wp:anchor>
        </w:drawing>
      </w:r>
    </w:p>
    <w:p w14:paraId="3DC242B6" w14:textId="77777777" w:rsidR="006A497A" w:rsidRPr="00B67C15" w:rsidRDefault="00B67C15">
      <w:pPr>
        <w:ind w:left="143"/>
        <w:rPr>
          <w:sz w:val="18"/>
          <w:szCs w:val="20"/>
        </w:rPr>
      </w:pPr>
      <w:r w:rsidRPr="00B67C15">
        <w:rPr>
          <w:noProof/>
          <w:sz w:val="18"/>
          <w:szCs w:val="20"/>
        </w:rPr>
        <mc:AlternateContent>
          <mc:Choice Requires="wps">
            <w:drawing>
              <wp:inline distT="0" distB="0" distL="0" distR="0" wp14:anchorId="7BE33A3E" wp14:editId="5C3F49E0">
                <wp:extent cx="6474460" cy="1203960"/>
                <wp:effectExtent l="0" t="0" r="21590" b="1524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4460" cy="1203960"/>
                        </a:xfrm>
                        <a:prstGeom prst="rect">
                          <a:avLst/>
                        </a:prstGeom>
                        <a:ln w="6095">
                          <a:solidFill>
                            <a:srgbClr val="000000"/>
                          </a:solidFill>
                          <a:prstDash val="solid"/>
                        </a:ln>
                      </wps:spPr>
                      <wps:txbx>
                        <w:txbxContent>
                          <w:p w14:paraId="38DE4898" w14:textId="77777777" w:rsidR="006A497A" w:rsidRDefault="006A497A">
                            <w:pPr>
                              <w:pStyle w:val="BodyText"/>
                              <w:spacing w:before="79"/>
                              <w:rPr>
                                <w:sz w:val="20"/>
                              </w:rPr>
                            </w:pPr>
                          </w:p>
                          <w:p w14:paraId="4293AFA8" w14:textId="77777777" w:rsidR="006A497A" w:rsidRDefault="00B67C15">
                            <w:pPr>
                              <w:spacing w:line="312" w:lineRule="auto"/>
                              <w:ind w:left="103"/>
                              <w:rPr>
                                <w:sz w:val="20"/>
                              </w:rPr>
                            </w:pPr>
                            <w:r>
                              <w:rPr>
                                <w:spacing w:val="-1"/>
                                <w:sz w:val="20"/>
                              </w:rPr>
                              <w:t xml:space="preserve">এই ডকুমেন্টটি অন্য ফর্ম্যাটে পেতে, ফোন করুন </w:t>
                            </w:r>
                            <w:r>
                              <w:rPr>
                                <w:color w:val="004B96"/>
                                <w:spacing w:val="-2"/>
                                <w:sz w:val="20"/>
                              </w:rPr>
                              <w:t>1300 651 160</w:t>
                            </w:r>
                            <w:r>
                              <w:rPr>
                                <w:spacing w:val="-2"/>
                                <w:sz w:val="20"/>
                              </w:rPr>
                              <w:t xml:space="preserve"> নম্বরে, প্রয়োজনে ন্যাশনাল রিলে সার্ভিস ব্যবহার করে 13 36 77 নম্বরে, অথবা ইমেইল করে </w:t>
                            </w:r>
                            <w:hyperlink r:id="rId13">
                              <w:r>
                                <w:rPr>
                                  <w:color w:val="004B96"/>
                                  <w:sz w:val="20"/>
                                  <w:u w:val="dotted" w:color="004B96"/>
                                </w:rPr>
                                <w:t>infectious.diseases@health.vic.gov.au</w:t>
                              </w:r>
                              <w:r>
                                <w:rPr>
                                  <w:sz w:val="20"/>
                                </w:rPr>
                                <w:t xml:space="preserve"> &lt;infectious.diseases@health.vic.gov.au&gt;</w:t>
                              </w:r>
                            </w:hyperlink>
                            <w:r>
                              <w:rPr>
                                <w:sz w:val="20"/>
                              </w:rPr>
                              <w:t>।</w:t>
                            </w:r>
                          </w:p>
                          <w:p w14:paraId="36C6A1F7" w14:textId="77777777" w:rsidR="006A497A" w:rsidRDefault="00B67C15">
                            <w:pPr>
                              <w:spacing w:before="172"/>
                              <w:ind w:left="103"/>
                              <w:rPr>
                                <w:sz w:val="20"/>
                              </w:rPr>
                            </w:pPr>
                            <w:r>
                              <w:rPr>
                                <w:spacing w:val="-4"/>
                                <w:sz w:val="20"/>
                              </w:rPr>
                              <w:t>ভিক্টোরিয়ান সরকার কর্তৃক অনুমোদিত এবং প্রকাশিত, ১ ট্রেজারি প্লেস, মেলবোর্ন।</w:t>
                            </w:r>
                          </w:p>
                          <w:p w14:paraId="7D4043B7" w14:textId="77777777" w:rsidR="006A497A" w:rsidRDefault="00B67C15">
                            <w:pPr>
                              <w:spacing w:before="101"/>
                              <w:ind w:left="103"/>
                              <w:rPr>
                                <w:sz w:val="20"/>
                              </w:rPr>
                            </w:pPr>
                            <w:r>
                              <w:rPr>
                                <w:spacing w:val="-3"/>
                                <w:sz w:val="20"/>
                              </w:rPr>
                              <w:t>© স্টেট অফ ভিক্টোরিয়া, অস্ট্রেলিয়া, স্বাস্থ্য অধিদপ্তর, মে ২০২৫।</w:t>
                            </w:r>
                          </w:p>
                        </w:txbxContent>
                      </wps:txbx>
                      <wps:bodyPr wrap="square" lIns="0" tIns="0" rIns="0" bIns="0" rtlCol="0">
                        <a:noAutofit/>
                      </wps:bodyPr>
                    </wps:wsp>
                  </a:graphicData>
                </a:graphic>
              </wp:inline>
            </w:drawing>
          </mc:Choice>
          <mc:Fallback>
            <w:pict>
              <v:shapetype w14:anchorId="7BE33A3E" id="_x0000_t202" coordsize="21600,21600" o:spt="202" path="m,l,21600r21600,l21600,xe">
                <v:stroke joinstyle="miter"/>
                <v:path gradientshapeok="t" o:connecttype="rect"/>
              </v:shapetype>
              <v:shape id="Textbox 4" o:spid="_x0000_s1026" type="#_x0000_t202" style="width:509.8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" filled="f" strokeweight=".16931mm">
                <v:path arrowok="t"/>
                <v:textbox inset="0,0,0,0">
                  <w:txbxContent>
                    <w:p w14:paraId="38DE4898" w14:textId="77777777" w:rsidR="006A497A" w:rsidRDefault="006A497A">
                      <w:pPr>
                        <w:pStyle w:val="BodyText"/>
                        <w:spacing w:before="79"/>
                        <w:rPr>
                          <w:sz w:val="20"/>
                        </w:rPr>
                      </w:pPr>
                    </w:p>
                    <w:p w14:paraId="4293AFA8" w14:textId="77777777" w:rsidR="006A497A" w:rsidRDefault="00B67C15">
                      <w:pPr>
                        <w:spacing w:line="312" w:lineRule="auto"/>
                        <w:ind w:left="103"/>
                        <w:rPr>
                          <w:sz w:val="20"/>
                        </w:rPr>
                      </w:pPr>
                      <w:r>
                        <w:rPr>
                          <w:spacing w:val="-1"/>
                          <w:sz w:val="20"/>
                        </w:rPr>
                        <w:t xml:space="preserve">এই ডকুমেন্টটি অন্য ফর্ম্যাটে পেতে, ফোন করুন </w:t>
                      </w:r>
                      <w:r>
                        <w:rPr>
                          <w:color w:val="004B96"/>
                          <w:spacing w:val="-2"/>
                          <w:sz w:val="20"/>
                        </w:rPr>
                        <w:t>1300 651 160</w:t>
                      </w:r>
                      <w:r>
                        <w:rPr>
                          <w:spacing w:val="-2"/>
                          <w:sz w:val="20"/>
                        </w:rPr>
                        <w:t xml:space="preserve"> নম্বরে, প্রয়োজনে ন্যাশনাল রিলে সার্ভিস ব্যবহার করে 13 36 77 নম্বরে, অথবা ইমেইল করে </w:t>
                      </w:r>
                      <w:hyperlink r:id="rId14">
                        <w:r>
                          <w:rPr>
                            <w:color w:val="004B96"/>
                            <w:sz w:val="20"/>
                            <w:u w:val="dotted" w:color="004B96"/>
                          </w:rPr>
                          <w:t>infectious.diseases@health.vic.gov.au</w:t>
                        </w:r>
                        <w:r>
                          <w:rPr>
                            <w:sz w:val="20"/>
                          </w:rPr>
                          <w:t xml:space="preserve"> &lt;infectious.diseases@health.vic.gov.au&gt;</w:t>
                        </w:r>
                      </w:hyperlink>
                      <w:r>
                        <w:rPr>
                          <w:sz w:val="20"/>
                        </w:rPr>
                        <w:t>।</w:t>
                      </w:r>
                    </w:p>
                    <w:p w14:paraId="36C6A1F7" w14:textId="77777777" w:rsidR="006A497A" w:rsidRDefault="00B67C15">
                      <w:pPr>
                        <w:spacing w:before="172"/>
                        <w:ind w:left="103"/>
                        <w:rPr>
                          <w:sz w:val="20"/>
                        </w:rPr>
                      </w:pPr>
                      <w:r>
                        <w:rPr>
                          <w:spacing w:val="-4"/>
                          <w:sz w:val="20"/>
                        </w:rPr>
                        <w:t>ভিক্টোরিয়ান সরকার কর্তৃক অনুমোদিত এবং প্রকাশিত, ১ ট্রেজারি প্লেস, মেলবোর্ন।</w:t>
                      </w:r>
                    </w:p>
                    <w:p w14:paraId="7D4043B7" w14:textId="77777777" w:rsidR="006A497A" w:rsidRDefault="00B67C15">
                      <w:pPr>
                        <w:spacing w:before="101"/>
                        <w:ind w:left="103"/>
                        <w:rPr>
                          <w:sz w:val="20"/>
                        </w:rPr>
                      </w:pPr>
                      <w:r>
                        <w:rPr>
                          <w:spacing w:val="-3"/>
                          <w:sz w:val="20"/>
                        </w:rPr>
                        <w:t>© স্টেট অফ ভিক্টোরিয়া, অস্ট্রেলিয়া, স্বাস্থ্য অধিদপ্তর, মে ২০২৫।</w:t>
                      </w:r>
                    </w:p>
                  </w:txbxContent>
                </v:textbox>
                <w10:anchorlock/>
              </v:shape>
            </w:pict>
          </mc:Fallback>
        </mc:AlternateContent>
      </w:r>
    </w:p>
    <w:sectPr w:rsidR="006A497A" w:rsidRPr="00B67C15">
      <w:type w:val="continuous"/>
      <w:pgSz w:w="11910" w:h="16840"/>
      <w:pgMar w:top="0" w:right="708" w:bottom="1120" w:left="708" w:header="0" w:footer="9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887F1" w14:textId="77777777" w:rsidR="007B5AF7" w:rsidRDefault="007B5AF7">
      <w:r>
        <w:separator/>
      </w:r>
    </w:p>
  </w:endnote>
  <w:endnote w:type="continuationSeparator" w:id="0">
    <w:p w14:paraId="718A141A" w14:textId="77777777" w:rsidR="007B5AF7" w:rsidRDefault="007B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26AC" w14:textId="77777777" w:rsidR="006A497A" w:rsidRDefault="00B67C15">
    <w:pPr>
      <w:pStyle w:val="BodyText"/>
      <w:spacing w:line="14" w:lineRule="auto"/>
      <w:rPr>
        <w:sz w:val="20"/>
      </w:rPr>
    </w:pPr>
    <w:r>
      <w:rPr>
        <w:noProof/>
        <w:sz w:val="20"/>
      </w:rPr>
      <w:drawing>
        <wp:anchor distT="0" distB="0" distL="0" distR="0" simplePos="0" relativeHeight="251657216" behindDoc="1" locked="0" layoutInCell="1" allowOverlap="1" wp14:anchorId="67DB4A69" wp14:editId="62C279DB">
          <wp:simplePos x="0" y="0"/>
          <wp:positionH relativeFrom="page">
            <wp:posOffset>536231</wp:posOffset>
          </wp:positionH>
          <wp:positionV relativeFrom="page">
            <wp:posOffset>9970004</wp:posOffset>
          </wp:positionV>
          <wp:extent cx="1687910" cy="518153"/>
          <wp:effectExtent l="0" t="0" r="0" b="0"/>
          <wp:wrapNone/>
          <wp:docPr id="88601475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87910" cy="518153"/>
                  </a:xfrm>
                  <a:prstGeom prst="rect">
                    <a:avLst/>
                  </a:prstGeom>
                </pic:spPr>
              </pic:pic>
            </a:graphicData>
          </a:graphic>
        </wp:anchor>
      </w:drawing>
    </w:r>
    <w:r>
      <w:rPr>
        <w:noProof/>
        <w:sz w:val="20"/>
      </w:rPr>
      <mc:AlternateContent>
        <mc:Choice Requires="wps">
          <w:drawing>
            <wp:anchor distT="0" distB="0" distL="0" distR="0" simplePos="0" relativeHeight="251660288" behindDoc="1" locked="0" layoutInCell="1" allowOverlap="1" wp14:anchorId="59C9ACFC" wp14:editId="28FE2500">
              <wp:simplePos x="0" y="0"/>
              <wp:positionH relativeFrom="page">
                <wp:posOffset>3439157</wp:posOffset>
              </wp:positionH>
              <wp:positionV relativeFrom="page">
                <wp:posOffset>10293707</wp:posOffset>
              </wp:positionV>
              <wp:extent cx="681355"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355" cy="203835"/>
                      </a:xfrm>
                      <a:prstGeom prst="rect">
                        <a:avLst/>
                      </a:prstGeom>
                    </wps:spPr>
                    <wps:txbx>
                      <w:txbxContent>
                        <w:p w14:paraId="1F9E627B" w14:textId="77777777" w:rsidR="006A497A" w:rsidRDefault="00B67C15">
                          <w:pPr>
                            <w:spacing w:before="19"/>
                            <w:ind w:left="20"/>
                            <w:rPr>
                              <w:rFonts w:ascii="Arial Black" w:hAnsi="Arial Black"/>
                              <w:sz w:val="20"/>
                            </w:rPr>
                          </w:pPr>
                          <w:r>
                            <w:rPr>
                              <w:rFonts w:ascii="Arial Black" w:hAnsi="Arial Black"/>
                              <w:spacing w:val="-2"/>
                              <w:sz w:val="20"/>
                            </w:rPr>
                            <w:t>দাপ্তরিক</w:t>
                          </w:r>
                        </w:p>
                      </w:txbxContent>
                    </wps:txbx>
                    <wps:bodyPr wrap="square" lIns="0" tIns="0" rIns="0" bIns="0" rtlCol="0">
                      <a:noAutofit/>
                    </wps:bodyPr>
                  </wps:wsp>
                </a:graphicData>
              </a:graphic>
            </wp:anchor>
          </w:drawing>
        </mc:Choice>
        <mc:Fallback>
          <w:pict>
            <v:shapetype w14:anchorId="59C9ACFC" id="_x0000_t202" coordsize="21600,21600" o:spt="202" path="m,l,21600r21600,l21600,xe">
              <v:stroke joinstyle="miter"/>
              <v:path gradientshapeok="t" o:connecttype="rect"/>
            </v:shapetype>
            <v:shape id="Textbox 2" o:spid="_x0000_s1027" type="#_x0000_t202" style="position:absolute;margin-left:270.8pt;margin-top:810.55pt;width:53.65pt;height:16.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" filled="f" stroked="f">
              <v:textbox inset="0,0,0,0">
                <w:txbxContent>
                  <w:p w14:paraId="1F9E627B" w14:textId="77777777" w:rsidR="006A497A" w:rsidRDefault="00B67C15">
                    <w:pPr>
                      <w:spacing w:before="19"/>
                      <w:ind w:left="20"/>
                      <w:rPr>
                        <w:rFonts w:ascii="Arial Black" w:hAnsi="Arial Black"/>
                        <w:sz w:val="20"/>
                      </w:rPr>
                    </w:pPr>
                    <w:r>
                      <w:rPr>
                        <w:rFonts w:ascii="Arial Black" w:hAnsi="Arial Black"/>
                        <w:spacing w:val="-2"/>
                        <w:sz w:val="20"/>
                      </w:rPr>
                      <w:t>দাপ্তরিক</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D5D9" w14:textId="77777777" w:rsidR="007B5AF7" w:rsidRDefault="007B5AF7">
      <w:r>
        <w:separator/>
      </w:r>
    </w:p>
  </w:footnote>
  <w:footnote w:type="continuationSeparator" w:id="0">
    <w:p w14:paraId="5B2CA436" w14:textId="77777777" w:rsidR="007B5AF7" w:rsidRDefault="007B5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43611"/>
    <w:multiLevelType w:val="hybridMultilevel"/>
    <w:tmpl w:val="94B09BFE"/>
    <w:lvl w:ilvl="0" w:tplc="01DA56DA">
      <w:numFmt w:val="bullet"/>
      <w:lvlText w:val=""/>
      <w:lvlJc w:val="left"/>
      <w:pPr>
        <w:ind w:left="372" w:hanging="360"/>
      </w:pPr>
      <w:rPr>
        <w:rFonts w:ascii="Symbol" w:eastAsia="Symbol" w:hAnsi="Symbol" w:cs="Symbol" w:hint="default"/>
        <w:b w:val="0"/>
        <w:bCs w:val="0"/>
        <w:i w:val="0"/>
        <w:iCs w:val="0"/>
        <w:spacing w:val="0"/>
        <w:w w:val="100"/>
        <w:sz w:val="21"/>
        <w:szCs w:val="21"/>
        <w:lang w:val="bn-IN" w:eastAsia="en-US" w:bidi="ar-SA"/>
      </w:rPr>
    </w:lvl>
    <w:lvl w:ilvl="1" w:tplc="7E74CB18">
      <w:numFmt w:val="bullet"/>
      <w:lvlText w:val="o"/>
      <w:lvlJc w:val="left"/>
      <w:pPr>
        <w:ind w:left="578" w:hanging="284"/>
      </w:pPr>
      <w:rPr>
        <w:rFonts w:ascii="Courier New" w:eastAsia="Courier New" w:hAnsi="Courier New" w:cs="Courier New" w:hint="default"/>
        <w:b w:val="0"/>
        <w:bCs w:val="0"/>
        <w:i w:val="0"/>
        <w:iCs w:val="0"/>
        <w:spacing w:val="0"/>
        <w:w w:val="100"/>
        <w:sz w:val="21"/>
        <w:szCs w:val="21"/>
        <w:lang w:val="bn-IN" w:eastAsia="en-US" w:bidi="ar-SA"/>
      </w:rPr>
    </w:lvl>
    <w:lvl w:ilvl="2" w:tplc="D78CBD0C">
      <w:numFmt w:val="bullet"/>
      <w:lvlText w:val="•"/>
      <w:lvlJc w:val="left"/>
      <w:pPr>
        <w:ind w:left="1080" w:hanging="284"/>
      </w:pPr>
      <w:rPr>
        <w:rFonts w:hint="default"/>
        <w:lang w:val="bn-IN" w:eastAsia="en-US" w:bidi="ar-SA"/>
      </w:rPr>
    </w:lvl>
    <w:lvl w:ilvl="3" w:tplc="1CB25E10">
      <w:numFmt w:val="bullet"/>
      <w:lvlText w:val="•"/>
      <w:lvlJc w:val="left"/>
      <w:pPr>
        <w:ind w:left="1581" w:hanging="284"/>
      </w:pPr>
      <w:rPr>
        <w:rFonts w:hint="default"/>
        <w:lang w:val="bn-IN" w:eastAsia="en-US" w:bidi="ar-SA"/>
      </w:rPr>
    </w:lvl>
    <w:lvl w:ilvl="4" w:tplc="E87C9AC0">
      <w:numFmt w:val="bullet"/>
      <w:lvlText w:val="•"/>
      <w:lvlJc w:val="left"/>
      <w:pPr>
        <w:ind w:left="2082" w:hanging="284"/>
      </w:pPr>
      <w:rPr>
        <w:rFonts w:hint="default"/>
        <w:lang w:val="bn-IN" w:eastAsia="en-US" w:bidi="ar-SA"/>
      </w:rPr>
    </w:lvl>
    <w:lvl w:ilvl="5" w:tplc="53624E32">
      <w:numFmt w:val="bullet"/>
      <w:lvlText w:val="•"/>
      <w:lvlJc w:val="left"/>
      <w:pPr>
        <w:ind w:left="2582" w:hanging="284"/>
      </w:pPr>
      <w:rPr>
        <w:rFonts w:hint="default"/>
        <w:lang w:val="bn-IN" w:eastAsia="en-US" w:bidi="ar-SA"/>
      </w:rPr>
    </w:lvl>
    <w:lvl w:ilvl="6" w:tplc="38A208D0">
      <w:numFmt w:val="bullet"/>
      <w:lvlText w:val="•"/>
      <w:lvlJc w:val="left"/>
      <w:pPr>
        <w:ind w:left="3083" w:hanging="284"/>
      </w:pPr>
      <w:rPr>
        <w:rFonts w:hint="default"/>
        <w:lang w:val="bn-IN" w:eastAsia="en-US" w:bidi="ar-SA"/>
      </w:rPr>
    </w:lvl>
    <w:lvl w:ilvl="7" w:tplc="8FC85B92">
      <w:numFmt w:val="bullet"/>
      <w:lvlText w:val="•"/>
      <w:lvlJc w:val="left"/>
      <w:pPr>
        <w:ind w:left="3584" w:hanging="284"/>
      </w:pPr>
      <w:rPr>
        <w:rFonts w:hint="default"/>
        <w:lang w:val="bn-IN" w:eastAsia="en-US" w:bidi="ar-SA"/>
      </w:rPr>
    </w:lvl>
    <w:lvl w:ilvl="8" w:tplc="4CD4E3FE">
      <w:numFmt w:val="bullet"/>
      <w:lvlText w:val="•"/>
      <w:lvlJc w:val="left"/>
      <w:pPr>
        <w:ind w:left="4084" w:hanging="284"/>
      </w:pPr>
      <w:rPr>
        <w:rFonts w:hint="default"/>
        <w:lang w:val="bn-IN" w:eastAsia="en-US" w:bidi="ar-SA"/>
      </w:rPr>
    </w:lvl>
  </w:abstractNum>
  <w:num w:numId="1" w16cid:durableId="21019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A497A"/>
    <w:rsid w:val="004A38B2"/>
    <w:rsid w:val="004E4AE9"/>
    <w:rsid w:val="006A497A"/>
    <w:rsid w:val="006C3896"/>
    <w:rsid w:val="007B5AF7"/>
    <w:rsid w:val="00A56ABF"/>
    <w:rsid w:val="00A60832"/>
    <w:rsid w:val="00A91B79"/>
    <w:rsid w:val="00B601F4"/>
    <w:rsid w:val="00B67C15"/>
    <w:rsid w:val="00C52166"/>
    <w:rsid w:val="00D55A13"/>
    <w:rsid w:val="00D803F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E6D2"/>
  <w15:docId w15:val="{69129E34-1A80-44F3-B59E-EBA90BDB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n-I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43"/>
      <w:outlineLvl w:val="0"/>
    </w:pPr>
    <w:rPr>
      <w:b/>
      <w:bCs/>
      <w:sz w:val="48"/>
      <w:szCs w:val="48"/>
    </w:rPr>
  </w:style>
  <w:style w:type="paragraph" w:styleId="Heading2">
    <w:name w:val="heading 2"/>
    <w:basedOn w:val="Normal"/>
    <w:uiPriority w:val="9"/>
    <w:unhideWhenUsed/>
    <w:qFormat/>
    <w:pPr>
      <w:ind w:left="12"/>
      <w:outlineLvl w:val="1"/>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39"/>
      <w:ind w:left="578" w:hanging="28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etterhealth.vic.gov.au/health/healthyliving/how-to-find-your-immunisation-records" TargetMode="External"/><Relationship Id="rId13" Type="http://schemas.openxmlformats.org/officeDocument/2006/relationships/hyperlink" Target="mailto:infectious.diseases@health.vic.gov.a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tterhealth.vic.gov.au/health/conditionsandtreatments/measl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etterhealth.vic.gov.au/health/conditionsandtreatments/measles" TargetMode="External"/><Relationship Id="rId4" Type="http://schemas.openxmlformats.org/officeDocument/2006/relationships/webSettings" Target="webSettings.xml"/><Relationship Id="rId9" Type="http://schemas.openxmlformats.org/officeDocument/2006/relationships/hyperlink" Target="https://www.betterhealth.vic.gov.au/health/conditionsandtreatments/measles" TargetMode="External"/><Relationship Id="rId14" Type="http://schemas.openxmlformats.org/officeDocument/2006/relationships/hyperlink" Target="mailto:infectious.diseases@healt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399</Words>
  <Characters>2244</Characters>
  <Application>Microsoft Office Word</Application>
  <DocSecurity>0</DocSecurity>
  <Lines>86</Lines>
  <Paragraphs>34</Paragraphs>
  <ScaleCrop>false</ScaleCrop>
  <Company>Victoria State Government, Department of Health</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হামের তথ্যপত্র - বাংলা (Measles fact sheet - Bengali)</dc:title>
  <dc:subject>হাম (মীজেলস)</dc:subject>
  <dc:creator>Department of Health</dc:creator>
  <dcterms:created xsi:type="dcterms:W3CDTF">2026-02-17T00:12:00Z</dcterms:created>
  <dcterms:modified xsi:type="dcterms:W3CDTF">2026-04-13T05:11:00Z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0x010100C0E5D618FF0E8D4280E3D0D634247E79</vt:lpwstr>
  </property>
  <property fmtid="{D5CDD505-2E9C-101B-9397-08002B2CF9AE}" pid="3" name="Created">
    <vt:filetime>2025-06-27T00:00:00Z</vt:filetime>
  </property>
  <property fmtid="{D5CDD505-2E9C-101B-9397-08002B2CF9AE}" pid="4" name="Creator">
    <vt:lpwstr>Power PDF Create</vt:lpwstr>
  </property>
  <property fmtid="{D5CDD505-2E9C-101B-9397-08002B2CF9AE}" pid="5" name="Language">
    <vt:lpwstr>English</vt:lpwstr>
  </property>
  <property fmtid="{D5CDD505-2E9C-101B-9397-08002B2CF9AE}" pid="6" name="LastSaved">
    <vt:filetime>2026-02-17T00:00:00Z</vt:filetime>
  </property>
  <property fmtid="{D5CDD505-2E9C-101B-9397-08002B2CF9AE}" pid="7" name="MSIP_Label_43e64453-338c-4f93-8a4d-0039a0a41f2a_ActionId">
    <vt:lpwstr>54912b29-25c0-467c-aeba-e810dbabbcec</vt:lpwstr>
  </property>
  <property fmtid="{D5CDD505-2E9C-101B-9397-08002B2CF9AE}" pid="8" name="MSIP_Label_43e64453-338c-4f93-8a4d-0039a0a41f2a_ContentBits">
    <vt:lpwstr>2</vt:lpwstr>
  </property>
  <property fmtid="{D5CDD505-2E9C-101B-9397-08002B2CF9AE}" pid="9" name="MSIP_Label_43e64453-338c-4f93-8a4d-0039a0a41f2a_Enabled">
    <vt:lpwstr>true</vt:lpwstr>
  </property>
  <property fmtid="{D5CDD505-2E9C-101B-9397-08002B2CF9AE}" pid="10" name="MSIP_Label_43e64453-338c-4f93-8a4d-0039a0a41f2a_Method">
    <vt:lpwstr>Privileged</vt:lpwstr>
  </property>
  <property fmtid="{D5CDD505-2E9C-101B-9397-08002B2CF9AE}" pid="11" name="MSIP_Label_43e64453-338c-4f93-8a4d-0039a0a41f2a_Name">
    <vt:lpwstr>43e64453-338c-4f93-8a4d-0039a0a41f2a</vt:lpwstr>
  </property>
  <property fmtid="{D5CDD505-2E9C-101B-9397-08002B2CF9AE}" pid="12" name="MSIP_Label_43e64453-338c-4f93-8a4d-0039a0a41f2a_SetDate">
    <vt:lpwstr>2021-03-12T01:24:49Z</vt:lpwstr>
  </property>
  <property fmtid="{D5CDD505-2E9C-101B-9397-08002B2CF9AE}" pid="13" name="MSIP_Label_43e64453-338c-4f93-8a4d-0039a0a41f2a_SiteId">
    <vt:lpwstr>c0e0601f-0fac-449c-9c88-a104c4eb9f28</vt:lpwstr>
  </property>
  <property fmtid="{D5CDD505-2E9C-101B-9397-08002B2CF9AE}" pid="14" name="MediaServiceImageTags">
    <vt:lpwstr/>
  </property>
  <property fmtid="{D5CDD505-2E9C-101B-9397-08002B2CF9AE}" pid="15" name="Producer">
    <vt:lpwstr>Power PDF Create</vt:lpwstr>
  </property>
  <property fmtid="{D5CDD505-2E9C-101B-9397-08002B2CF9AE}" pid="16" name="version">
    <vt:lpwstr>v5 12032021</vt:lpwstr>
  </property>
</Properties>
</file>