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137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EB9ED50" wp14:editId="7DD1DB1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DA8B5EA"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A51768A" w14:textId="77777777" w:rsidTr="00B07FF7">
        <w:trPr>
          <w:trHeight w:val="622"/>
        </w:trPr>
        <w:tc>
          <w:tcPr>
            <w:tcW w:w="10348" w:type="dxa"/>
            <w:tcMar>
              <w:top w:w="1531" w:type="dxa"/>
              <w:left w:w="0" w:type="dxa"/>
              <w:right w:w="0" w:type="dxa"/>
            </w:tcMar>
          </w:tcPr>
          <w:p w14:paraId="2C57AB40" w14:textId="4EBF7548" w:rsidR="003B5733" w:rsidRPr="003B5733" w:rsidRDefault="00FE014D" w:rsidP="003B5733">
            <w:pPr>
              <w:pStyle w:val="Documenttitle"/>
            </w:pPr>
            <w:r>
              <w:t xml:space="preserve">Program Guidelines for Funded Agencies </w:t>
            </w:r>
          </w:p>
        </w:tc>
      </w:tr>
      <w:tr w:rsidR="003B5733" w14:paraId="679D9D37" w14:textId="77777777" w:rsidTr="00B07FF7">
        <w:tc>
          <w:tcPr>
            <w:tcW w:w="10348" w:type="dxa"/>
          </w:tcPr>
          <w:p w14:paraId="1774B25C" w14:textId="77777777" w:rsidR="003B5733" w:rsidRDefault="00FE014D">
            <w:pPr>
              <w:pStyle w:val="Documentsubtitle"/>
            </w:pPr>
            <w:r>
              <w:t>Blood Borne Viruses and Sexually Transmissible Infections</w:t>
            </w:r>
          </w:p>
          <w:p w14:paraId="623D6020" w14:textId="7A0704A0" w:rsidR="00B829AA" w:rsidRPr="00A1389F" w:rsidRDefault="00C91069">
            <w:pPr>
              <w:pStyle w:val="Documentsubtitle"/>
            </w:pPr>
            <w:r>
              <w:t>November</w:t>
            </w:r>
            <w:r w:rsidR="00B829AA">
              <w:t xml:space="preserve"> 2025</w:t>
            </w:r>
          </w:p>
        </w:tc>
      </w:tr>
      <w:tr w:rsidR="003B5733" w14:paraId="700551A5" w14:textId="77777777" w:rsidTr="00B07FF7">
        <w:tc>
          <w:tcPr>
            <w:tcW w:w="10348" w:type="dxa"/>
          </w:tcPr>
          <w:p w14:paraId="24A52EE8" w14:textId="77777777" w:rsidR="003B5733" w:rsidRPr="001E5058" w:rsidRDefault="00620D59" w:rsidP="001E5058">
            <w:pPr>
              <w:pStyle w:val="Bannermarking"/>
            </w:pPr>
            <w:fldSimple w:instr="FILLIN  &quot;Type the protective marking&quot; \d OFFICIAL \o  \* MERGEFORMAT">
              <w:r>
                <w:t>OFFICIAL</w:t>
              </w:r>
            </w:fldSimple>
          </w:p>
        </w:tc>
      </w:tr>
    </w:tbl>
    <w:p w14:paraId="171A1F34" w14:textId="77777777" w:rsidR="00AD784C" w:rsidRPr="00B57329" w:rsidRDefault="00AD784C" w:rsidP="002365B4">
      <w:pPr>
        <w:pStyle w:val="TOCheadingfactsheet"/>
      </w:pPr>
      <w:r w:rsidRPr="00B57329">
        <w:t>Contents</w:t>
      </w:r>
    </w:p>
    <w:p w14:paraId="7D5B2CD5" w14:textId="4112D040" w:rsidR="00CB59C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4378200" w:history="1">
        <w:r w:rsidR="00CB59C9" w:rsidRPr="00C137EC">
          <w:rPr>
            <w:rStyle w:val="Hyperlink"/>
          </w:rPr>
          <w:t>Introduction</w:t>
        </w:r>
        <w:r w:rsidR="00CB59C9">
          <w:rPr>
            <w:webHidden/>
          </w:rPr>
          <w:tab/>
        </w:r>
        <w:r w:rsidR="00CB59C9">
          <w:rPr>
            <w:webHidden/>
          </w:rPr>
          <w:fldChar w:fldCharType="begin"/>
        </w:r>
        <w:r w:rsidR="00CB59C9">
          <w:rPr>
            <w:webHidden/>
          </w:rPr>
          <w:instrText xml:space="preserve"> PAGEREF _Toc214378200 \h </w:instrText>
        </w:r>
        <w:r w:rsidR="00CB59C9">
          <w:rPr>
            <w:webHidden/>
          </w:rPr>
        </w:r>
        <w:r w:rsidR="00CB59C9">
          <w:rPr>
            <w:webHidden/>
          </w:rPr>
          <w:fldChar w:fldCharType="separate"/>
        </w:r>
        <w:r w:rsidR="00CB59C9">
          <w:rPr>
            <w:webHidden/>
          </w:rPr>
          <w:t>2</w:t>
        </w:r>
        <w:r w:rsidR="00CB59C9">
          <w:rPr>
            <w:webHidden/>
          </w:rPr>
          <w:fldChar w:fldCharType="end"/>
        </w:r>
      </w:hyperlink>
    </w:p>
    <w:p w14:paraId="2DD3D527" w14:textId="70C5F2DF" w:rsidR="00CB59C9" w:rsidRDefault="00CB59C9">
      <w:pPr>
        <w:pStyle w:val="TOC2"/>
        <w:rPr>
          <w:rFonts w:asciiTheme="minorHAnsi" w:eastAsiaTheme="minorEastAsia" w:hAnsiTheme="minorHAnsi" w:cstheme="minorBidi"/>
          <w:kern w:val="2"/>
          <w:sz w:val="24"/>
          <w:szCs w:val="24"/>
          <w:lang w:eastAsia="en-AU"/>
          <w14:ligatures w14:val="standardContextual"/>
        </w:rPr>
      </w:pPr>
      <w:hyperlink w:anchor="_Toc214378201" w:history="1">
        <w:r w:rsidRPr="00C137EC">
          <w:rPr>
            <w:rStyle w:val="Hyperlink"/>
          </w:rPr>
          <w:t>Victorian sexual and reproductive health and viral hepatitis strategy 2022–30</w:t>
        </w:r>
        <w:r>
          <w:rPr>
            <w:webHidden/>
          </w:rPr>
          <w:tab/>
        </w:r>
        <w:r>
          <w:rPr>
            <w:webHidden/>
          </w:rPr>
          <w:fldChar w:fldCharType="begin"/>
        </w:r>
        <w:r>
          <w:rPr>
            <w:webHidden/>
          </w:rPr>
          <w:instrText xml:space="preserve"> PAGEREF _Toc214378201 \h </w:instrText>
        </w:r>
        <w:r>
          <w:rPr>
            <w:webHidden/>
          </w:rPr>
        </w:r>
        <w:r>
          <w:rPr>
            <w:webHidden/>
          </w:rPr>
          <w:fldChar w:fldCharType="separate"/>
        </w:r>
        <w:r>
          <w:rPr>
            <w:webHidden/>
          </w:rPr>
          <w:t>2</w:t>
        </w:r>
        <w:r>
          <w:rPr>
            <w:webHidden/>
          </w:rPr>
          <w:fldChar w:fldCharType="end"/>
        </w:r>
      </w:hyperlink>
    </w:p>
    <w:p w14:paraId="32A4FF14" w14:textId="1AD4FD25" w:rsidR="00CB59C9" w:rsidRDefault="00CB59C9">
      <w:pPr>
        <w:pStyle w:val="TOC2"/>
        <w:rPr>
          <w:rFonts w:asciiTheme="minorHAnsi" w:eastAsiaTheme="minorEastAsia" w:hAnsiTheme="minorHAnsi" w:cstheme="minorBidi"/>
          <w:kern w:val="2"/>
          <w:sz w:val="24"/>
          <w:szCs w:val="24"/>
          <w:lang w:eastAsia="en-AU"/>
          <w14:ligatures w14:val="standardContextual"/>
        </w:rPr>
      </w:pPr>
      <w:hyperlink w:anchor="_Toc214378202" w:history="1">
        <w:r w:rsidRPr="00C137EC">
          <w:rPr>
            <w:rStyle w:val="Hyperlink"/>
          </w:rPr>
          <w:t>Acknowledgment and publicity guidelines for Victorian Government funding support</w:t>
        </w:r>
        <w:r>
          <w:rPr>
            <w:webHidden/>
          </w:rPr>
          <w:tab/>
        </w:r>
        <w:r>
          <w:rPr>
            <w:webHidden/>
          </w:rPr>
          <w:fldChar w:fldCharType="begin"/>
        </w:r>
        <w:r>
          <w:rPr>
            <w:webHidden/>
          </w:rPr>
          <w:instrText xml:space="preserve"> PAGEREF _Toc214378202 \h </w:instrText>
        </w:r>
        <w:r>
          <w:rPr>
            <w:webHidden/>
          </w:rPr>
        </w:r>
        <w:r>
          <w:rPr>
            <w:webHidden/>
          </w:rPr>
          <w:fldChar w:fldCharType="separate"/>
        </w:r>
        <w:r>
          <w:rPr>
            <w:webHidden/>
          </w:rPr>
          <w:t>3</w:t>
        </w:r>
        <w:r>
          <w:rPr>
            <w:webHidden/>
          </w:rPr>
          <w:fldChar w:fldCharType="end"/>
        </w:r>
      </w:hyperlink>
    </w:p>
    <w:p w14:paraId="7EDA67CC" w14:textId="3BD113F9" w:rsidR="00CB59C9" w:rsidRDefault="00CB59C9">
      <w:pPr>
        <w:pStyle w:val="TOC1"/>
        <w:rPr>
          <w:rFonts w:asciiTheme="minorHAnsi" w:eastAsiaTheme="minorEastAsia" w:hAnsiTheme="minorHAnsi" w:cstheme="minorBidi"/>
          <w:b w:val="0"/>
          <w:kern w:val="2"/>
          <w:sz w:val="24"/>
          <w:szCs w:val="24"/>
          <w:lang w:eastAsia="en-AU"/>
          <w14:ligatures w14:val="standardContextual"/>
        </w:rPr>
      </w:pPr>
      <w:hyperlink w:anchor="_Toc214378203" w:history="1">
        <w:r w:rsidRPr="00C137EC">
          <w:rPr>
            <w:rStyle w:val="Hyperlink"/>
          </w:rPr>
          <w:t>Planning and Reporting Requirements by Activity</w:t>
        </w:r>
        <w:r>
          <w:rPr>
            <w:webHidden/>
          </w:rPr>
          <w:tab/>
        </w:r>
        <w:r>
          <w:rPr>
            <w:webHidden/>
          </w:rPr>
          <w:fldChar w:fldCharType="begin"/>
        </w:r>
        <w:r>
          <w:rPr>
            <w:webHidden/>
          </w:rPr>
          <w:instrText xml:space="preserve"> PAGEREF _Toc214378203 \h </w:instrText>
        </w:r>
        <w:r>
          <w:rPr>
            <w:webHidden/>
          </w:rPr>
        </w:r>
        <w:r>
          <w:rPr>
            <w:webHidden/>
          </w:rPr>
          <w:fldChar w:fldCharType="separate"/>
        </w:r>
        <w:r>
          <w:rPr>
            <w:webHidden/>
          </w:rPr>
          <w:t>4</w:t>
        </w:r>
        <w:r>
          <w:rPr>
            <w:webHidden/>
          </w:rPr>
          <w:fldChar w:fldCharType="end"/>
        </w:r>
      </w:hyperlink>
    </w:p>
    <w:p w14:paraId="1BCCEC88" w14:textId="6A020D37" w:rsidR="00CB59C9" w:rsidRDefault="00CB59C9">
      <w:pPr>
        <w:pStyle w:val="TOC2"/>
        <w:rPr>
          <w:rFonts w:asciiTheme="minorHAnsi" w:eastAsiaTheme="minorEastAsia" w:hAnsiTheme="minorHAnsi" w:cstheme="minorBidi"/>
          <w:kern w:val="2"/>
          <w:sz w:val="24"/>
          <w:szCs w:val="24"/>
          <w:lang w:eastAsia="en-AU"/>
          <w14:ligatures w14:val="standardContextual"/>
        </w:rPr>
      </w:pPr>
      <w:hyperlink w:anchor="_Toc214378204" w:history="1">
        <w:r w:rsidRPr="00C137EC">
          <w:rPr>
            <w:rStyle w:val="Hyperlink"/>
          </w:rPr>
          <w:t>16505: Training and Development</w:t>
        </w:r>
        <w:r>
          <w:rPr>
            <w:webHidden/>
          </w:rPr>
          <w:tab/>
        </w:r>
        <w:r>
          <w:rPr>
            <w:webHidden/>
          </w:rPr>
          <w:fldChar w:fldCharType="begin"/>
        </w:r>
        <w:r>
          <w:rPr>
            <w:webHidden/>
          </w:rPr>
          <w:instrText xml:space="preserve"> PAGEREF _Toc214378204 \h </w:instrText>
        </w:r>
        <w:r>
          <w:rPr>
            <w:webHidden/>
          </w:rPr>
        </w:r>
        <w:r>
          <w:rPr>
            <w:webHidden/>
          </w:rPr>
          <w:fldChar w:fldCharType="separate"/>
        </w:r>
        <w:r>
          <w:rPr>
            <w:webHidden/>
          </w:rPr>
          <w:t>6</w:t>
        </w:r>
        <w:r>
          <w:rPr>
            <w:webHidden/>
          </w:rPr>
          <w:fldChar w:fldCharType="end"/>
        </w:r>
      </w:hyperlink>
    </w:p>
    <w:p w14:paraId="1F9AD4C8" w14:textId="0934EEC5" w:rsidR="00CB59C9" w:rsidRDefault="00CB59C9">
      <w:pPr>
        <w:pStyle w:val="TOC2"/>
        <w:rPr>
          <w:rFonts w:asciiTheme="minorHAnsi" w:eastAsiaTheme="minorEastAsia" w:hAnsiTheme="minorHAnsi" w:cstheme="minorBidi"/>
          <w:kern w:val="2"/>
          <w:sz w:val="24"/>
          <w:szCs w:val="24"/>
          <w:lang w:eastAsia="en-AU"/>
          <w14:ligatures w14:val="standardContextual"/>
        </w:rPr>
      </w:pPr>
      <w:hyperlink w:anchor="_Toc214378205" w:history="1">
        <w:r w:rsidRPr="00C137EC">
          <w:rPr>
            <w:rStyle w:val="Hyperlink"/>
          </w:rPr>
          <w:t>16508 Health Promotion and Prevention</w:t>
        </w:r>
        <w:r>
          <w:rPr>
            <w:webHidden/>
          </w:rPr>
          <w:tab/>
        </w:r>
        <w:r>
          <w:rPr>
            <w:webHidden/>
          </w:rPr>
          <w:fldChar w:fldCharType="begin"/>
        </w:r>
        <w:r>
          <w:rPr>
            <w:webHidden/>
          </w:rPr>
          <w:instrText xml:space="preserve"> PAGEREF _Toc214378205 \h </w:instrText>
        </w:r>
        <w:r>
          <w:rPr>
            <w:webHidden/>
          </w:rPr>
        </w:r>
        <w:r>
          <w:rPr>
            <w:webHidden/>
          </w:rPr>
          <w:fldChar w:fldCharType="separate"/>
        </w:r>
        <w:r>
          <w:rPr>
            <w:webHidden/>
          </w:rPr>
          <w:t>8</w:t>
        </w:r>
        <w:r>
          <w:rPr>
            <w:webHidden/>
          </w:rPr>
          <w:fldChar w:fldCharType="end"/>
        </w:r>
      </w:hyperlink>
    </w:p>
    <w:p w14:paraId="11E1B90D" w14:textId="1EC1036E" w:rsidR="00CB59C9" w:rsidRDefault="00CB59C9">
      <w:pPr>
        <w:pStyle w:val="TOC2"/>
        <w:rPr>
          <w:rFonts w:asciiTheme="minorHAnsi" w:eastAsiaTheme="minorEastAsia" w:hAnsiTheme="minorHAnsi" w:cstheme="minorBidi"/>
          <w:kern w:val="2"/>
          <w:sz w:val="24"/>
          <w:szCs w:val="24"/>
          <w:lang w:eastAsia="en-AU"/>
          <w14:ligatures w14:val="standardContextual"/>
        </w:rPr>
      </w:pPr>
      <w:hyperlink w:anchor="_Toc214378206" w:history="1">
        <w:r w:rsidRPr="00C137EC">
          <w:rPr>
            <w:rStyle w:val="Hyperlink"/>
          </w:rPr>
          <w:t>16509 BBVSTI Community Based Care and Support</w:t>
        </w:r>
        <w:r>
          <w:rPr>
            <w:webHidden/>
          </w:rPr>
          <w:tab/>
        </w:r>
        <w:r>
          <w:rPr>
            <w:webHidden/>
          </w:rPr>
          <w:fldChar w:fldCharType="begin"/>
        </w:r>
        <w:r>
          <w:rPr>
            <w:webHidden/>
          </w:rPr>
          <w:instrText xml:space="preserve"> PAGEREF _Toc214378206 \h </w:instrText>
        </w:r>
        <w:r>
          <w:rPr>
            <w:webHidden/>
          </w:rPr>
        </w:r>
        <w:r>
          <w:rPr>
            <w:webHidden/>
          </w:rPr>
          <w:fldChar w:fldCharType="separate"/>
        </w:r>
        <w:r>
          <w:rPr>
            <w:webHidden/>
          </w:rPr>
          <w:t>10</w:t>
        </w:r>
        <w:r>
          <w:rPr>
            <w:webHidden/>
          </w:rPr>
          <w:fldChar w:fldCharType="end"/>
        </w:r>
      </w:hyperlink>
    </w:p>
    <w:p w14:paraId="1B84EAA3" w14:textId="2B4BCA2C" w:rsidR="00CB59C9" w:rsidRDefault="00CB59C9">
      <w:pPr>
        <w:pStyle w:val="TOC2"/>
        <w:rPr>
          <w:rFonts w:asciiTheme="minorHAnsi" w:eastAsiaTheme="minorEastAsia" w:hAnsiTheme="minorHAnsi" w:cstheme="minorBidi"/>
          <w:kern w:val="2"/>
          <w:sz w:val="24"/>
          <w:szCs w:val="24"/>
          <w:lang w:eastAsia="en-AU"/>
          <w14:ligatures w14:val="standardContextual"/>
        </w:rPr>
      </w:pPr>
      <w:hyperlink w:anchor="_Toc214378207" w:history="1">
        <w:r w:rsidRPr="00C137EC">
          <w:rPr>
            <w:rStyle w:val="Hyperlink"/>
          </w:rPr>
          <w:t>16373 Clinical Services</w:t>
        </w:r>
        <w:r>
          <w:rPr>
            <w:webHidden/>
          </w:rPr>
          <w:tab/>
        </w:r>
        <w:r>
          <w:rPr>
            <w:webHidden/>
          </w:rPr>
          <w:fldChar w:fldCharType="begin"/>
        </w:r>
        <w:r>
          <w:rPr>
            <w:webHidden/>
          </w:rPr>
          <w:instrText xml:space="preserve"> PAGEREF _Toc214378207 \h </w:instrText>
        </w:r>
        <w:r>
          <w:rPr>
            <w:webHidden/>
          </w:rPr>
        </w:r>
        <w:r>
          <w:rPr>
            <w:webHidden/>
          </w:rPr>
          <w:fldChar w:fldCharType="separate"/>
        </w:r>
        <w:r>
          <w:rPr>
            <w:webHidden/>
          </w:rPr>
          <w:t>13</w:t>
        </w:r>
        <w:r>
          <w:rPr>
            <w:webHidden/>
          </w:rPr>
          <w:fldChar w:fldCharType="end"/>
        </w:r>
      </w:hyperlink>
    </w:p>
    <w:p w14:paraId="552A2A8F" w14:textId="79BAB8F2" w:rsidR="00CB59C9" w:rsidRDefault="00CB59C9">
      <w:pPr>
        <w:pStyle w:val="TOC2"/>
        <w:rPr>
          <w:rFonts w:asciiTheme="minorHAnsi" w:eastAsiaTheme="minorEastAsia" w:hAnsiTheme="minorHAnsi" w:cstheme="minorBidi"/>
          <w:kern w:val="2"/>
          <w:sz w:val="24"/>
          <w:szCs w:val="24"/>
          <w:lang w:eastAsia="en-AU"/>
          <w14:ligatures w14:val="standardContextual"/>
        </w:rPr>
      </w:pPr>
      <w:hyperlink w:anchor="_Toc214378208" w:history="1">
        <w:r w:rsidRPr="00C137EC">
          <w:rPr>
            <w:rStyle w:val="Hyperlink"/>
          </w:rPr>
          <w:t>16507 Laboratory Services</w:t>
        </w:r>
        <w:r>
          <w:rPr>
            <w:webHidden/>
          </w:rPr>
          <w:tab/>
        </w:r>
        <w:r>
          <w:rPr>
            <w:webHidden/>
          </w:rPr>
          <w:fldChar w:fldCharType="begin"/>
        </w:r>
        <w:r>
          <w:rPr>
            <w:webHidden/>
          </w:rPr>
          <w:instrText xml:space="preserve"> PAGEREF _Toc214378208 \h </w:instrText>
        </w:r>
        <w:r>
          <w:rPr>
            <w:webHidden/>
          </w:rPr>
        </w:r>
        <w:r>
          <w:rPr>
            <w:webHidden/>
          </w:rPr>
          <w:fldChar w:fldCharType="separate"/>
        </w:r>
        <w:r>
          <w:rPr>
            <w:webHidden/>
          </w:rPr>
          <w:t>16</w:t>
        </w:r>
        <w:r>
          <w:rPr>
            <w:webHidden/>
          </w:rPr>
          <w:fldChar w:fldCharType="end"/>
        </w:r>
      </w:hyperlink>
    </w:p>
    <w:p w14:paraId="4DAF8465" w14:textId="0108C215" w:rsidR="00CB59C9" w:rsidRDefault="00CB59C9">
      <w:pPr>
        <w:pStyle w:val="TOC2"/>
        <w:rPr>
          <w:rFonts w:asciiTheme="minorHAnsi" w:eastAsiaTheme="minorEastAsia" w:hAnsiTheme="minorHAnsi" w:cstheme="minorBidi"/>
          <w:kern w:val="2"/>
          <w:sz w:val="24"/>
          <w:szCs w:val="24"/>
          <w:lang w:eastAsia="en-AU"/>
          <w14:ligatures w14:val="standardContextual"/>
        </w:rPr>
      </w:pPr>
      <w:hyperlink w:anchor="_Toc214378209" w:history="1">
        <w:r w:rsidRPr="00C137EC">
          <w:rPr>
            <w:rStyle w:val="Hyperlink"/>
          </w:rPr>
          <w:t>16506 Research</w:t>
        </w:r>
        <w:r>
          <w:rPr>
            <w:webHidden/>
          </w:rPr>
          <w:tab/>
        </w:r>
        <w:r>
          <w:rPr>
            <w:webHidden/>
          </w:rPr>
          <w:fldChar w:fldCharType="begin"/>
        </w:r>
        <w:r>
          <w:rPr>
            <w:webHidden/>
          </w:rPr>
          <w:instrText xml:space="preserve"> PAGEREF _Toc214378209 \h </w:instrText>
        </w:r>
        <w:r>
          <w:rPr>
            <w:webHidden/>
          </w:rPr>
        </w:r>
        <w:r>
          <w:rPr>
            <w:webHidden/>
          </w:rPr>
          <w:fldChar w:fldCharType="separate"/>
        </w:r>
        <w:r>
          <w:rPr>
            <w:webHidden/>
          </w:rPr>
          <w:t>18</w:t>
        </w:r>
        <w:r>
          <w:rPr>
            <w:webHidden/>
          </w:rPr>
          <w:fldChar w:fldCharType="end"/>
        </w:r>
      </w:hyperlink>
    </w:p>
    <w:p w14:paraId="6176E55D" w14:textId="4D4E7990" w:rsidR="00CB59C9" w:rsidRDefault="00CB59C9">
      <w:pPr>
        <w:pStyle w:val="TOC1"/>
        <w:rPr>
          <w:rFonts w:asciiTheme="minorHAnsi" w:eastAsiaTheme="minorEastAsia" w:hAnsiTheme="minorHAnsi" w:cstheme="minorBidi"/>
          <w:b w:val="0"/>
          <w:kern w:val="2"/>
          <w:sz w:val="24"/>
          <w:szCs w:val="24"/>
          <w:lang w:eastAsia="en-AU"/>
          <w14:ligatures w14:val="standardContextual"/>
        </w:rPr>
      </w:pPr>
      <w:hyperlink w:anchor="_Toc214378210" w:history="1">
        <w:r w:rsidRPr="00C137EC">
          <w:rPr>
            <w:rStyle w:val="Hyperlink"/>
          </w:rPr>
          <w:t>Appendix 1: Planning and Reporting Template</w:t>
        </w:r>
        <w:r>
          <w:rPr>
            <w:webHidden/>
          </w:rPr>
          <w:tab/>
        </w:r>
        <w:r>
          <w:rPr>
            <w:webHidden/>
          </w:rPr>
          <w:fldChar w:fldCharType="begin"/>
        </w:r>
        <w:r>
          <w:rPr>
            <w:webHidden/>
          </w:rPr>
          <w:instrText xml:space="preserve"> PAGEREF _Toc214378210 \h </w:instrText>
        </w:r>
        <w:r>
          <w:rPr>
            <w:webHidden/>
          </w:rPr>
        </w:r>
        <w:r>
          <w:rPr>
            <w:webHidden/>
          </w:rPr>
          <w:fldChar w:fldCharType="separate"/>
        </w:r>
        <w:r>
          <w:rPr>
            <w:webHidden/>
          </w:rPr>
          <w:t>20</w:t>
        </w:r>
        <w:r>
          <w:rPr>
            <w:webHidden/>
          </w:rPr>
          <w:fldChar w:fldCharType="end"/>
        </w:r>
      </w:hyperlink>
    </w:p>
    <w:p w14:paraId="294A1659" w14:textId="7AAFAE49" w:rsidR="00CB59C9" w:rsidRDefault="00CB59C9">
      <w:pPr>
        <w:pStyle w:val="TOC1"/>
        <w:rPr>
          <w:rFonts w:asciiTheme="minorHAnsi" w:eastAsiaTheme="minorEastAsia" w:hAnsiTheme="minorHAnsi" w:cstheme="minorBidi"/>
          <w:b w:val="0"/>
          <w:kern w:val="2"/>
          <w:sz w:val="24"/>
          <w:szCs w:val="24"/>
          <w:lang w:eastAsia="en-AU"/>
          <w14:ligatures w14:val="standardContextual"/>
        </w:rPr>
      </w:pPr>
      <w:hyperlink w:anchor="_Toc214378211" w:history="1">
        <w:r w:rsidRPr="00C137EC">
          <w:rPr>
            <w:rStyle w:val="Hyperlink"/>
          </w:rPr>
          <w:t>Appendix 2: Financial Acquittal</w:t>
        </w:r>
        <w:r>
          <w:rPr>
            <w:webHidden/>
          </w:rPr>
          <w:tab/>
        </w:r>
        <w:r>
          <w:rPr>
            <w:webHidden/>
          </w:rPr>
          <w:fldChar w:fldCharType="begin"/>
        </w:r>
        <w:r>
          <w:rPr>
            <w:webHidden/>
          </w:rPr>
          <w:instrText xml:space="preserve"> PAGEREF _Toc214378211 \h </w:instrText>
        </w:r>
        <w:r>
          <w:rPr>
            <w:webHidden/>
          </w:rPr>
        </w:r>
        <w:r>
          <w:rPr>
            <w:webHidden/>
          </w:rPr>
          <w:fldChar w:fldCharType="separate"/>
        </w:r>
        <w:r>
          <w:rPr>
            <w:webHidden/>
          </w:rPr>
          <w:t>22</w:t>
        </w:r>
        <w:r>
          <w:rPr>
            <w:webHidden/>
          </w:rPr>
          <w:fldChar w:fldCharType="end"/>
        </w:r>
      </w:hyperlink>
    </w:p>
    <w:p w14:paraId="1A482DF3" w14:textId="5ACC0E59" w:rsidR="00CB59C9" w:rsidRDefault="00CB59C9">
      <w:pPr>
        <w:pStyle w:val="TOC1"/>
        <w:rPr>
          <w:rFonts w:asciiTheme="minorHAnsi" w:eastAsiaTheme="minorEastAsia" w:hAnsiTheme="minorHAnsi" w:cstheme="minorBidi"/>
          <w:b w:val="0"/>
          <w:kern w:val="2"/>
          <w:sz w:val="24"/>
          <w:szCs w:val="24"/>
          <w:lang w:eastAsia="en-AU"/>
          <w14:ligatures w14:val="standardContextual"/>
        </w:rPr>
      </w:pPr>
      <w:hyperlink w:anchor="_Toc214378212" w:history="1">
        <w:r w:rsidRPr="00C137EC">
          <w:rPr>
            <w:rStyle w:val="Hyperlink"/>
          </w:rPr>
          <w:t>Appendix 3: Victorian BBVSTI policy framework – Victorian sexual and reproductive health and viral hepatitis strategy 2022–30</w:t>
        </w:r>
        <w:r>
          <w:rPr>
            <w:webHidden/>
          </w:rPr>
          <w:tab/>
        </w:r>
        <w:r>
          <w:rPr>
            <w:webHidden/>
          </w:rPr>
          <w:fldChar w:fldCharType="begin"/>
        </w:r>
        <w:r>
          <w:rPr>
            <w:webHidden/>
          </w:rPr>
          <w:instrText xml:space="preserve"> PAGEREF _Toc214378212 \h </w:instrText>
        </w:r>
        <w:r>
          <w:rPr>
            <w:webHidden/>
          </w:rPr>
        </w:r>
        <w:r>
          <w:rPr>
            <w:webHidden/>
          </w:rPr>
          <w:fldChar w:fldCharType="separate"/>
        </w:r>
        <w:r>
          <w:rPr>
            <w:webHidden/>
          </w:rPr>
          <w:t>23</w:t>
        </w:r>
        <w:r>
          <w:rPr>
            <w:webHidden/>
          </w:rPr>
          <w:fldChar w:fldCharType="end"/>
        </w:r>
      </w:hyperlink>
    </w:p>
    <w:p w14:paraId="5E17800B" w14:textId="3B579FBB" w:rsidR="00CB59C9" w:rsidRDefault="00CB59C9">
      <w:pPr>
        <w:pStyle w:val="TOC1"/>
        <w:rPr>
          <w:rFonts w:asciiTheme="minorHAnsi" w:eastAsiaTheme="minorEastAsia" w:hAnsiTheme="minorHAnsi" w:cstheme="minorBidi"/>
          <w:b w:val="0"/>
          <w:kern w:val="2"/>
          <w:sz w:val="24"/>
          <w:szCs w:val="24"/>
          <w:lang w:eastAsia="en-AU"/>
          <w14:ligatures w14:val="standardContextual"/>
        </w:rPr>
      </w:pPr>
      <w:hyperlink w:anchor="_Toc214378213" w:history="1">
        <w:r w:rsidRPr="00C137EC">
          <w:rPr>
            <w:rStyle w:val="Hyperlink"/>
          </w:rPr>
          <w:t>Appendix 4: Terminology for use in template – planning, reporting and evaluating</w:t>
        </w:r>
        <w:r>
          <w:rPr>
            <w:webHidden/>
          </w:rPr>
          <w:tab/>
        </w:r>
        <w:r>
          <w:rPr>
            <w:webHidden/>
          </w:rPr>
          <w:fldChar w:fldCharType="begin"/>
        </w:r>
        <w:r>
          <w:rPr>
            <w:webHidden/>
          </w:rPr>
          <w:instrText xml:space="preserve"> PAGEREF _Toc214378213 \h </w:instrText>
        </w:r>
        <w:r>
          <w:rPr>
            <w:webHidden/>
          </w:rPr>
        </w:r>
        <w:r>
          <w:rPr>
            <w:webHidden/>
          </w:rPr>
          <w:fldChar w:fldCharType="separate"/>
        </w:r>
        <w:r>
          <w:rPr>
            <w:webHidden/>
          </w:rPr>
          <w:t>30</w:t>
        </w:r>
        <w:r>
          <w:rPr>
            <w:webHidden/>
          </w:rPr>
          <w:fldChar w:fldCharType="end"/>
        </w:r>
      </w:hyperlink>
    </w:p>
    <w:p w14:paraId="46980BC0" w14:textId="73F5EFF8" w:rsidR="00CB59C9" w:rsidRDefault="00CB59C9">
      <w:pPr>
        <w:pStyle w:val="TOC1"/>
        <w:rPr>
          <w:rFonts w:asciiTheme="minorHAnsi" w:eastAsiaTheme="minorEastAsia" w:hAnsiTheme="minorHAnsi" w:cstheme="minorBidi"/>
          <w:b w:val="0"/>
          <w:kern w:val="2"/>
          <w:sz w:val="24"/>
          <w:szCs w:val="24"/>
          <w:lang w:eastAsia="en-AU"/>
          <w14:ligatures w14:val="standardContextual"/>
        </w:rPr>
      </w:pPr>
      <w:hyperlink w:anchor="_Toc214378214" w:history="1">
        <w:r w:rsidRPr="00C137EC">
          <w:rPr>
            <w:rStyle w:val="Hyperlink"/>
          </w:rPr>
          <w:t>Appendix 5: Links to useful resources</w:t>
        </w:r>
        <w:r>
          <w:rPr>
            <w:webHidden/>
          </w:rPr>
          <w:tab/>
        </w:r>
        <w:r>
          <w:rPr>
            <w:webHidden/>
          </w:rPr>
          <w:fldChar w:fldCharType="begin"/>
        </w:r>
        <w:r>
          <w:rPr>
            <w:webHidden/>
          </w:rPr>
          <w:instrText xml:space="preserve"> PAGEREF _Toc214378214 \h </w:instrText>
        </w:r>
        <w:r>
          <w:rPr>
            <w:webHidden/>
          </w:rPr>
        </w:r>
        <w:r>
          <w:rPr>
            <w:webHidden/>
          </w:rPr>
          <w:fldChar w:fldCharType="separate"/>
        </w:r>
        <w:r>
          <w:rPr>
            <w:webHidden/>
          </w:rPr>
          <w:t>31</w:t>
        </w:r>
        <w:r>
          <w:rPr>
            <w:webHidden/>
          </w:rPr>
          <w:fldChar w:fldCharType="end"/>
        </w:r>
      </w:hyperlink>
    </w:p>
    <w:p w14:paraId="01C0818D" w14:textId="520791DA" w:rsidR="00CB7A3A" w:rsidRDefault="00AD784C" w:rsidP="00D079AA">
      <w:pPr>
        <w:pStyle w:val="Body"/>
      </w:pPr>
      <w:r>
        <w:fldChar w:fldCharType="end"/>
      </w:r>
    </w:p>
    <w:tbl>
      <w:tblPr>
        <w:tblStyle w:val="TableGrid"/>
        <w:tblW w:w="0" w:type="auto"/>
        <w:jc w:val="center"/>
        <w:tblLook w:val="04A0" w:firstRow="1" w:lastRow="0" w:firstColumn="1" w:lastColumn="0" w:noHBand="0" w:noVBand="1"/>
      </w:tblPr>
      <w:tblGrid>
        <w:gridCol w:w="1413"/>
        <w:gridCol w:w="5383"/>
        <w:gridCol w:w="3398"/>
      </w:tblGrid>
      <w:tr w:rsidR="00BA53AE" w:rsidRPr="00D1143F" w14:paraId="3C5990DD" w14:textId="77777777" w:rsidTr="00D1143F">
        <w:trPr>
          <w:trHeight w:val="284"/>
          <w:jc w:val="center"/>
        </w:trPr>
        <w:tc>
          <w:tcPr>
            <w:tcW w:w="1413" w:type="dxa"/>
          </w:tcPr>
          <w:p w14:paraId="1C985FD4" w14:textId="00E7B34A" w:rsidR="00BA53AE" w:rsidRPr="00D1143F" w:rsidRDefault="00476131" w:rsidP="00D1143F">
            <w:pPr>
              <w:spacing w:after="0" w:line="240" w:lineRule="auto"/>
              <w:jc w:val="center"/>
              <w:rPr>
                <w:b/>
                <w:bCs/>
              </w:rPr>
            </w:pPr>
            <w:r w:rsidRPr="00D1143F">
              <w:rPr>
                <w:b/>
                <w:bCs/>
              </w:rPr>
              <w:t>Version</w:t>
            </w:r>
          </w:p>
        </w:tc>
        <w:tc>
          <w:tcPr>
            <w:tcW w:w="5383" w:type="dxa"/>
          </w:tcPr>
          <w:p w14:paraId="1CA1157E" w14:textId="0E50D151" w:rsidR="00BA53AE" w:rsidRPr="00D1143F" w:rsidRDefault="00476131" w:rsidP="00D1143F">
            <w:pPr>
              <w:spacing w:after="0" w:line="240" w:lineRule="auto"/>
              <w:jc w:val="center"/>
              <w:rPr>
                <w:b/>
                <w:bCs/>
              </w:rPr>
            </w:pPr>
            <w:r w:rsidRPr="00D1143F">
              <w:rPr>
                <w:b/>
                <w:bCs/>
              </w:rPr>
              <w:t>Comment</w:t>
            </w:r>
          </w:p>
        </w:tc>
        <w:tc>
          <w:tcPr>
            <w:tcW w:w="3398" w:type="dxa"/>
          </w:tcPr>
          <w:p w14:paraId="6AC25591" w14:textId="4D7ABAE9" w:rsidR="00BA53AE" w:rsidRPr="00D1143F" w:rsidRDefault="001036DC" w:rsidP="00D1143F">
            <w:pPr>
              <w:spacing w:after="0" w:line="240" w:lineRule="auto"/>
              <w:jc w:val="center"/>
              <w:rPr>
                <w:b/>
                <w:bCs/>
              </w:rPr>
            </w:pPr>
            <w:r w:rsidRPr="00D1143F">
              <w:rPr>
                <w:b/>
                <w:bCs/>
              </w:rPr>
              <w:t>Date of Approval</w:t>
            </w:r>
          </w:p>
        </w:tc>
      </w:tr>
      <w:tr w:rsidR="00BA53AE" w14:paraId="29786D26" w14:textId="77777777" w:rsidTr="00D1143F">
        <w:trPr>
          <w:trHeight w:val="284"/>
          <w:jc w:val="center"/>
        </w:trPr>
        <w:tc>
          <w:tcPr>
            <w:tcW w:w="1413" w:type="dxa"/>
          </w:tcPr>
          <w:p w14:paraId="53174B6C" w14:textId="23ADAE48" w:rsidR="00BA53AE" w:rsidRDefault="001036DC" w:rsidP="00D1143F">
            <w:pPr>
              <w:spacing w:after="0" w:line="240" w:lineRule="auto"/>
              <w:jc w:val="center"/>
            </w:pPr>
            <w:r>
              <w:t>1</w:t>
            </w:r>
          </w:p>
        </w:tc>
        <w:tc>
          <w:tcPr>
            <w:tcW w:w="5383" w:type="dxa"/>
          </w:tcPr>
          <w:p w14:paraId="3FB53F9B" w14:textId="4BCB9E99" w:rsidR="00BA53AE" w:rsidRDefault="00D1143F">
            <w:pPr>
              <w:spacing w:after="0" w:line="240" w:lineRule="auto"/>
            </w:pPr>
            <w:r>
              <w:t xml:space="preserve">Funding guidelines development </w:t>
            </w:r>
          </w:p>
        </w:tc>
        <w:tc>
          <w:tcPr>
            <w:tcW w:w="3398" w:type="dxa"/>
          </w:tcPr>
          <w:p w14:paraId="27560131" w14:textId="68331826" w:rsidR="00BA53AE" w:rsidRDefault="00F63607">
            <w:pPr>
              <w:spacing w:after="0" w:line="240" w:lineRule="auto"/>
            </w:pPr>
            <w:r>
              <w:t>2024</w:t>
            </w:r>
          </w:p>
        </w:tc>
      </w:tr>
      <w:tr w:rsidR="00BA53AE" w14:paraId="70CCB0B8" w14:textId="77777777" w:rsidTr="00D1143F">
        <w:trPr>
          <w:trHeight w:val="284"/>
          <w:jc w:val="center"/>
        </w:trPr>
        <w:tc>
          <w:tcPr>
            <w:tcW w:w="1413" w:type="dxa"/>
          </w:tcPr>
          <w:p w14:paraId="0C001510" w14:textId="5903D56C" w:rsidR="00BA53AE" w:rsidRDefault="001036DC" w:rsidP="00D1143F">
            <w:pPr>
              <w:spacing w:after="0" w:line="240" w:lineRule="auto"/>
              <w:jc w:val="center"/>
            </w:pPr>
            <w:r>
              <w:t>2</w:t>
            </w:r>
          </w:p>
        </w:tc>
        <w:tc>
          <w:tcPr>
            <w:tcW w:w="5383" w:type="dxa"/>
          </w:tcPr>
          <w:p w14:paraId="7A34BA83" w14:textId="3A5C77EB" w:rsidR="00BA53AE" w:rsidRDefault="001036DC">
            <w:pPr>
              <w:spacing w:after="0" w:line="240" w:lineRule="auto"/>
            </w:pPr>
            <w:r>
              <w:t>Full review</w:t>
            </w:r>
            <w:r w:rsidR="008958B8">
              <w:t xml:space="preserve">, </w:t>
            </w:r>
            <w:r w:rsidR="00D87153">
              <w:t>consolidated planning and reporting template</w:t>
            </w:r>
          </w:p>
        </w:tc>
        <w:tc>
          <w:tcPr>
            <w:tcW w:w="3398" w:type="dxa"/>
          </w:tcPr>
          <w:p w14:paraId="53E41A2A" w14:textId="09D4BC60" w:rsidR="00BA53AE" w:rsidRDefault="00C91069">
            <w:pPr>
              <w:spacing w:after="0" w:line="240" w:lineRule="auto"/>
            </w:pPr>
            <w:r>
              <w:t>November</w:t>
            </w:r>
            <w:r w:rsidR="00E33C49">
              <w:t xml:space="preserve"> 2025</w:t>
            </w:r>
          </w:p>
        </w:tc>
      </w:tr>
    </w:tbl>
    <w:p w14:paraId="63571444" w14:textId="77777777" w:rsidR="00E33C49" w:rsidRDefault="00E33C49">
      <w:pPr>
        <w:spacing w:after="0" w:line="240" w:lineRule="auto"/>
      </w:pPr>
    </w:p>
    <w:p w14:paraId="6ED7804D" w14:textId="39D7384C" w:rsidR="00CB7A3A" w:rsidRDefault="00F30B03">
      <w:pPr>
        <w:spacing w:after="0" w:line="240" w:lineRule="auto"/>
        <w:rPr>
          <w:rFonts w:eastAsia="Times"/>
        </w:rPr>
      </w:pPr>
      <w:r>
        <w:t>For comments or feedback relating to these guidelines, please email: bbvsti</w:t>
      </w:r>
      <w:r w:rsidR="00564C93">
        <w:t>.information@health.vic.gov.au</w:t>
      </w:r>
      <w:r w:rsidR="00E33C49">
        <w:t xml:space="preserve"> </w:t>
      </w:r>
      <w:r w:rsidR="00CB7A3A">
        <w:br w:type="page"/>
      </w:r>
    </w:p>
    <w:p w14:paraId="5AF9F192" w14:textId="77777777" w:rsidR="001A5806" w:rsidRDefault="001A5806" w:rsidP="001A5806">
      <w:pPr>
        <w:pStyle w:val="Heading1"/>
      </w:pPr>
      <w:bookmarkStart w:id="0" w:name="_Toc206763610"/>
      <w:bookmarkStart w:id="1" w:name="_Toc214378200"/>
      <w:r>
        <w:lastRenderedPageBreak/>
        <w:t>Introduction</w:t>
      </w:r>
      <w:bookmarkEnd w:id="0"/>
      <w:bookmarkEnd w:id="1"/>
    </w:p>
    <w:p w14:paraId="23361D33" w14:textId="5542F708" w:rsidR="007B1E1D" w:rsidRPr="000527C8" w:rsidRDefault="007B1E1D" w:rsidP="0016095D">
      <w:pPr>
        <w:pStyle w:val="Body"/>
      </w:pPr>
      <w:r w:rsidRPr="000527C8">
        <w:t xml:space="preserve">These guidelines </w:t>
      </w:r>
      <w:r>
        <w:t xml:space="preserve">are for funded agencies and </w:t>
      </w:r>
      <w:r w:rsidRPr="000527C8">
        <w:t xml:space="preserve">apply to </w:t>
      </w:r>
      <w:r>
        <w:t>blood borne viruses</w:t>
      </w:r>
      <w:r w:rsidR="00A40BD1">
        <w:t xml:space="preserve"> and </w:t>
      </w:r>
      <w:r>
        <w:t>sexually transmissible infections (</w:t>
      </w:r>
      <w:r w:rsidRPr="000527C8">
        <w:t>BBVSTI</w:t>
      </w:r>
      <w:r>
        <w:t>)</w:t>
      </w:r>
      <w:r w:rsidRPr="000527C8">
        <w:t xml:space="preserve"> activity funding as per Schedule 2 of the standard service agreement between the Victorian Department of Health </w:t>
      </w:r>
      <w:r>
        <w:t xml:space="preserve">(the department) </w:t>
      </w:r>
      <w:r w:rsidRPr="000527C8">
        <w:t>and funded agencies</w:t>
      </w:r>
      <w:r w:rsidR="009E36C0">
        <w:t xml:space="preserve">. </w:t>
      </w:r>
    </w:p>
    <w:p w14:paraId="6E0AF648" w14:textId="77777777" w:rsidR="007B1E1D" w:rsidRDefault="007B1E1D" w:rsidP="0016095D">
      <w:pPr>
        <w:pStyle w:val="Body"/>
      </w:pPr>
      <w:r w:rsidRPr="000527C8">
        <w:t xml:space="preserve">These guidelines are designed for activities which are </w:t>
      </w:r>
      <w:r>
        <w:t xml:space="preserve">both </w:t>
      </w:r>
      <w:r w:rsidRPr="000527C8">
        <w:t xml:space="preserve">recurrently </w:t>
      </w:r>
      <w:r>
        <w:t xml:space="preserve">and non-recurrently </w:t>
      </w:r>
      <w:r w:rsidRPr="000527C8">
        <w:t>funded.</w:t>
      </w:r>
    </w:p>
    <w:p w14:paraId="3597104F" w14:textId="77777777" w:rsidR="007B1E1D" w:rsidRDefault="007B1E1D" w:rsidP="0016095D">
      <w:pPr>
        <w:pStyle w:val="Body"/>
      </w:pPr>
      <w:r>
        <w:t xml:space="preserve">Short- and long-term projects should have goals broadly consistent with the relevant state BBVSTI strategy and plans. </w:t>
      </w:r>
    </w:p>
    <w:p w14:paraId="7F596CC1" w14:textId="33282907" w:rsidR="007B1E1D" w:rsidRDefault="007B1E1D" w:rsidP="0016095D">
      <w:pPr>
        <w:pStyle w:val="Body"/>
      </w:pPr>
      <w:r>
        <w:t xml:space="preserve">Agencies are expected to include evaluation as part of their project proposals. The scope and type of evaluation is to be negotiated with your </w:t>
      </w:r>
      <w:r w:rsidR="0046114C">
        <w:t>BBVSTI policy lead</w:t>
      </w:r>
      <w:r>
        <w:t xml:space="preserve"> in recognition that not all programs and services can or should be evaluated. </w:t>
      </w:r>
    </w:p>
    <w:p w14:paraId="24AE21F3" w14:textId="77777777" w:rsidR="007B1E1D" w:rsidRDefault="007B1E1D" w:rsidP="0016095D">
      <w:pPr>
        <w:pStyle w:val="Body"/>
      </w:pPr>
      <w:r>
        <w:t>Agencies need to communicate with the department any changes to service delivery or service demand.</w:t>
      </w:r>
    </w:p>
    <w:p w14:paraId="4759283D" w14:textId="6AA8EADC" w:rsidR="007B1E1D" w:rsidRPr="00723078" w:rsidRDefault="007B1E1D" w:rsidP="0016095D">
      <w:pPr>
        <w:pStyle w:val="Body"/>
      </w:pPr>
      <w:r>
        <w:t xml:space="preserve">Agencies are expected to spend their allocated funding within the financial </w:t>
      </w:r>
      <w:r w:rsidR="0068356E">
        <w:t>year.</w:t>
      </w:r>
      <w:r>
        <w:t xml:space="preserve"> </w:t>
      </w:r>
      <w:r w:rsidR="00E83BB1">
        <w:t>This</w:t>
      </w:r>
      <w:r>
        <w:t xml:space="preserve"> should be detailed in a financial acquittal</w:t>
      </w:r>
      <w:r w:rsidR="00437EFA">
        <w:t xml:space="preserve"> as per </w:t>
      </w:r>
      <w:r w:rsidR="00437EFA" w:rsidRPr="00437EFA">
        <w:rPr>
          <w:b/>
          <w:bCs/>
        </w:rPr>
        <w:t>Appendix 2</w:t>
      </w:r>
      <w:r w:rsidR="00452A85">
        <w:rPr>
          <w:b/>
          <w:bCs/>
        </w:rPr>
        <w:t xml:space="preserve">. </w:t>
      </w:r>
    </w:p>
    <w:p w14:paraId="42699882" w14:textId="071304D1" w:rsidR="007B1E1D" w:rsidRPr="000527C8" w:rsidRDefault="007B1E1D" w:rsidP="0016095D">
      <w:pPr>
        <w:pStyle w:val="Body"/>
      </w:pPr>
      <w:r w:rsidRPr="000527C8">
        <w:t>Funded agencies should be fa</w:t>
      </w:r>
      <w:r w:rsidRPr="00E6296C">
        <w:t xml:space="preserve">miliar with the </w:t>
      </w:r>
      <w:r w:rsidRPr="00E6296C">
        <w:rPr>
          <w:b/>
          <w:bCs/>
          <w:iCs/>
        </w:rPr>
        <w:t>Service Agreement requirements</w:t>
      </w:r>
      <w:r w:rsidRPr="00E6296C">
        <w:rPr>
          <w:i/>
        </w:rPr>
        <w:t xml:space="preserve"> </w:t>
      </w:r>
      <w:r w:rsidRPr="00E6296C">
        <w:t xml:space="preserve">available on the Funded Agency </w:t>
      </w:r>
      <w:r w:rsidRPr="005B242F">
        <w:t xml:space="preserve">Channel (links at </w:t>
      </w:r>
      <w:r w:rsidRPr="005B242F">
        <w:rPr>
          <w:b/>
        </w:rPr>
        <w:t xml:space="preserve">Appendix </w:t>
      </w:r>
      <w:r w:rsidR="005B242F" w:rsidRPr="005B242F">
        <w:rPr>
          <w:b/>
        </w:rPr>
        <w:t>5</w:t>
      </w:r>
      <w:r w:rsidRPr="005B242F">
        <w:t>).</w:t>
      </w:r>
      <w:r w:rsidRPr="000527C8">
        <w:t xml:space="preserve"> These provide guidance on standard service agreements, governance, privacy, financial reporting and related issues.</w:t>
      </w:r>
      <w:r w:rsidRPr="000724A0">
        <w:t xml:space="preserve"> </w:t>
      </w:r>
      <w:r>
        <w:t xml:space="preserve">Key contacts in the department for liaison, program reporting and financial reporting requirements can also be found on the Channel. </w:t>
      </w:r>
    </w:p>
    <w:p w14:paraId="428CEDDE" w14:textId="56A50F8A" w:rsidR="007B1E1D" w:rsidRDefault="007B1E1D" w:rsidP="0016095D">
      <w:pPr>
        <w:pStyle w:val="Body"/>
      </w:pPr>
      <w:r w:rsidRPr="000527C8">
        <w:t xml:space="preserve">These BBVSTI activity funding guidelines </w:t>
      </w:r>
      <w:r>
        <w:t xml:space="preserve">reflect the department’s move towards </w:t>
      </w:r>
      <w:r w:rsidRPr="000527C8">
        <w:t>outcomes planning and reporting for all recurrent and non-recurrent BBVSTI funding.</w:t>
      </w:r>
    </w:p>
    <w:p w14:paraId="338E3BAF" w14:textId="1B9D6891" w:rsidR="007B1E1D" w:rsidRDefault="007B1E1D" w:rsidP="0016095D">
      <w:pPr>
        <w:pStyle w:val="Body"/>
      </w:pPr>
      <w:r>
        <w:t xml:space="preserve">These guidelines will be provided to funded agencies annually. For any feedback or queries </w:t>
      </w:r>
      <w:hyperlink r:id="rId15" w:history="1">
        <w:r>
          <w:rPr>
            <w:rStyle w:val="Hyperlink"/>
          </w:rPr>
          <w:t>contact the Sexual Health and Viral Hepatitis team</w:t>
        </w:r>
      </w:hyperlink>
      <w:r>
        <w:t xml:space="preserve"> &lt;bbvsti.information@health.vic.gov.au&gt;.</w:t>
      </w:r>
    </w:p>
    <w:p w14:paraId="34E12A17" w14:textId="076A390E" w:rsidR="006861BF" w:rsidRDefault="006861BF" w:rsidP="0016095D">
      <w:pPr>
        <w:pStyle w:val="Body"/>
      </w:pPr>
      <w:r>
        <w:t xml:space="preserve">Please provide plans and reports to your </w:t>
      </w:r>
      <w:r w:rsidR="0046114C">
        <w:t>BBVSTI policy lead</w:t>
      </w:r>
      <w:r>
        <w:t xml:space="preserve"> and copy in bbvsti.information@health.vic.gov.au</w:t>
      </w:r>
    </w:p>
    <w:p w14:paraId="28D58021" w14:textId="77777777" w:rsidR="007D43AC" w:rsidRDefault="007D43AC" w:rsidP="00064A8A">
      <w:pPr>
        <w:pStyle w:val="Heading2"/>
      </w:pPr>
      <w:bookmarkStart w:id="2" w:name="_Toc206763611"/>
      <w:bookmarkStart w:id="3" w:name="_Toc214378201"/>
      <w:r w:rsidRPr="0010341D">
        <w:t xml:space="preserve">Victorian </w:t>
      </w:r>
      <w:r w:rsidRPr="00F5448F">
        <w:t>sexual and reproductive health and viral hepatitis strategy 2022–30</w:t>
      </w:r>
      <w:bookmarkEnd w:id="2"/>
      <w:bookmarkEnd w:id="3"/>
    </w:p>
    <w:p w14:paraId="69EFD6D7" w14:textId="3F382C60" w:rsidR="0060474B" w:rsidRPr="00A960AC" w:rsidRDefault="0060474B" w:rsidP="0016095D">
      <w:pPr>
        <w:pStyle w:val="Body"/>
      </w:pPr>
      <w:r w:rsidRPr="00A960AC">
        <w:t xml:space="preserve">The Victorian Government is committed to reducing rates of </w:t>
      </w:r>
      <w:r>
        <w:t xml:space="preserve">BBVSTI </w:t>
      </w:r>
      <w:r w:rsidRPr="00A960AC">
        <w:t>in Victoria, achieving optimal sexual and reproductive health outcomes for Victorians, ensuring people have the care they require where they live and eliminating any stigma and discrimination associated with different viruses and risk practices. </w:t>
      </w:r>
    </w:p>
    <w:p w14:paraId="3111E959" w14:textId="690B230F" w:rsidR="0060474B" w:rsidRDefault="0060474B" w:rsidP="0016095D">
      <w:pPr>
        <w:pStyle w:val="Body"/>
      </w:pPr>
      <w:r w:rsidRPr="000C551C">
        <w:t>The </w:t>
      </w:r>
      <w:r w:rsidRPr="00264884">
        <w:rPr>
          <w:i/>
          <w:iCs/>
        </w:rPr>
        <w:t>Victorian sexual and reproductive health and viral hepatitis strategy 2022–30</w:t>
      </w:r>
      <w:r>
        <w:t xml:space="preserve"> (the strategy) can be accessed on the </w:t>
      </w:r>
      <w:hyperlink r:id="rId16" w:history="1">
        <w:r>
          <w:rPr>
            <w:rStyle w:val="Hyperlink"/>
          </w:rPr>
          <w:t>Department of Health website</w:t>
        </w:r>
      </w:hyperlink>
      <w:r>
        <w:t xml:space="preserve"> &lt;</w:t>
      </w:r>
      <w:r w:rsidRPr="00F5448F">
        <w:t>https://www.health.vic.gov.au/victorian-sexual-reproductive-health-viral-hepatitis-strategy-2022-30</w:t>
      </w:r>
      <w:r>
        <w:t xml:space="preserve">&gt;. It sets the overarching direction for BBVSTI and reproductive health prevention, screening/testing, treatment and care. </w:t>
      </w:r>
    </w:p>
    <w:p w14:paraId="1731BCBF" w14:textId="1029363F" w:rsidR="0060474B" w:rsidRDefault="0060474B" w:rsidP="0016095D">
      <w:pPr>
        <w:pStyle w:val="Body"/>
      </w:pPr>
      <w:r>
        <w:t>The strategy</w:t>
      </w:r>
      <w:r w:rsidRPr="005C20A7">
        <w:t xml:space="preserve"> includes dedicated plans </w:t>
      </w:r>
      <w:r>
        <w:t>for</w:t>
      </w:r>
      <w:r w:rsidRPr="005C20A7">
        <w:t xml:space="preserve"> HIV, </w:t>
      </w:r>
      <w:r>
        <w:t>STI</w:t>
      </w:r>
      <w:r w:rsidRPr="005C20A7">
        <w:t>, viral hepatitis</w:t>
      </w:r>
      <w:r>
        <w:t>, Aboriginal sexual and reproductive health and women’s sexual and reproductive health. It</w:t>
      </w:r>
      <w:r w:rsidRPr="005C20A7">
        <w:t xml:space="preserve"> also includes a </w:t>
      </w:r>
      <w:r>
        <w:t>s</w:t>
      </w:r>
      <w:r w:rsidRPr="005C20A7">
        <w:t xml:space="preserve">ystem </w:t>
      </w:r>
      <w:r>
        <w:t>e</w:t>
      </w:r>
      <w:r w:rsidRPr="005C20A7">
        <w:t xml:space="preserve">nablers plan, outlining common </w:t>
      </w:r>
      <w:r>
        <w:t>system priorities:</w:t>
      </w:r>
      <w:r w:rsidRPr="005C20A7">
        <w:t> </w:t>
      </w:r>
      <w:r>
        <w:t xml:space="preserve">reducing </w:t>
      </w:r>
      <w:r w:rsidRPr="005C20A7">
        <w:t>stigma, racism and discrimination</w:t>
      </w:r>
      <w:r>
        <w:t>; fostering</w:t>
      </w:r>
      <w:r w:rsidRPr="005C20A7">
        <w:t xml:space="preserve"> partnerships</w:t>
      </w:r>
      <w:r>
        <w:t xml:space="preserve"> and collaboration;</w:t>
      </w:r>
      <w:r w:rsidRPr="005C20A7">
        <w:t xml:space="preserve"> </w:t>
      </w:r>
      <w:r>
        <w:t xml:space="preserve">strengthening </w:t>
      </w:r>
      <w:r w:rsidRPr="005C20A7">
        <w:t>workforce</w:t>
      </w:r>
      <w:r>
        <w:t xml:space="preserve"> capacity;</w:t>
      </w:r>
      <w:r w:rsidRPr="005C20A7">
        <w:t xml:space="preserve"> </w:t>
      </w:r>
      <w:r>
        <w:t xml:space="preserve">and strengthening and supporting data and </w:t>
      </w:r>
      <w:r w:rsidR="00D810D8">
        <w:t>research.</w:t>
      </w:r>
      <w:r w:rsidRPr="005C20A7">
        <w:t xml:space="preserve"> This approach seeks to strengthen our shared system building blocks to support targeted </w:t>
      </w:r>
      <w:r>
        <w:t>and</w:t>
      </w:r>
      <w:r w:rsidRPr="005C20A7">
        <w:t xml:space="preserve"> tailored actions for each epidemic and condition response.  </w:t>
      </w:r>
    </w:p>
    <w:p w14:paraId="6A22B4D0" w14:textId="00D5113B" w:rsidR="0060474B" w:rsidRPr="00F5448F" w:rsidRDefault="0060474B" w:rsidP="0016095D">
      <w:pPr>
        <w:pStyle w:val="Body"/>
      </w:pPr>
      <w:r w:rsidRPr="00F5448F">
        <w:rPr>
          <w:rStyle w:val="Hyperlink"/>
          <w:color w:val="auto"/>
          <w:u w:val="none"/>
        </w:rPr>
        <w:t xml:space="preserve">A summary of the </w:t>
      </w:r>
      <w:r w:rsidRPr="00F5448F">
        <w:t xml:space="preserve">strategy and plans is at </w:t>
      </w:r>
      <w:r w:rsidRPr="00264884">
        <w:rPr>
          <w:b/>
          <w:bCs/>
        </w:rPr>
        <w:t xml:space="preserve">Appendix </w:t>
      </w:r>
      <w:r w:rsidR="00BE7E61">
        <w:rPr>
          <w:b/>
          <w:bCs/>
        </w:rPr>
        <w:t>3</w:t>
      </w:r>
      <w:r w:rsidRPr="00264884">
        <w:rPr>
          <w:b/>
          <w:bCs/>
        </w:rPr>
        <w:t>.</w:t>
      </w:r>
      <w:r w:rsidRPr="00F5448F">
        <w:t xml:space="preserve"> </w:t>
      </w:r>
    </w:p>
    <w:p w14:paraId="507F9010" w14:textId="3D5105D5" w:rsidR="0060474B" w:rsidRPr="005C20A7" w:rsidRDefault="0060474B" w:rsidP="0016095D">
      <w:pPr>
        <w:pStyle w:val="Body"/>
      </w:pPr>
      <w:r w:rsidRPr="00F5448F">
        <w:t>The strategy aligns with other</w:t>
      </w:r>
      <w:r w:rsidRPr="005C20A7">
        <w:t xml:space="preserve"> key Victorian Government strategies as well as the suite of national </w:t>
      </w:r>
      <w:r>
        <w:t>BBVSTI</w:t>
      </w:r>
      <w:r w:rsidRPr="005C20A7">
        <w:t xml:space="preserve"> strategies</w:t>
      </w:r>
      <w:r>
        <w:t>.</w:t>
      </w:r>
    </w:p>
    <w:p w14:paraId="48C6A35C" w14:textId="77777777" w:rsidR="0060474B" w:rsidRPr="005C20A7" w:rsidRDefault="0060474B" w:rsidP="0016095D">
      <w:pPr>
        <w:pStyle w:val="Body"/>
      </w:pPr>
      <w:r>
        <w:lastRenderedPageBreak/>
        <w:t>S</w:t>
      </w:r>
      <w:r w:rsidRPr="005C20A7">
        <w:t>exual and reproductive health continues to be a priority for the Victorian Government</w:t>
      </w:r>
      <w:r>
        <w:t xml:space="preserve"> a</w:t>
      </w:r>
      <w:r w:rsidRPr="005C20A7">
        <w:t xml:space="preserve">s outlined in the </w:t>
      </w:r>
      <w:r w:rsidRPr="00996A09">
        <w:rPr>
          <w:i/>
          <w:iCs/>
        </w:rPr>
        <w:t>Victorian Public Health and Wellbeing Plan 2023 – 27</w:t>
      </w:r>
      <w:r>
        <w:t>.</w:t>
      </w:r>
    </w:p>
    <w:p w14:paraId="4FAA8920" w14:textId="77777777" w:rsidR="00E337A1" w:rsidRDefault="00E337A1" w:rsidP="00E337A1">
      <w:pPr>
        <w:pStyle w:val="Heading2"/>
      </w:pPr>
      <w:bookmarkStart w:id="4" w:name="_Toc45109762"/>
      <w:bookmarkStart w:id="5" w:name="_Toc206763612"/>
      <w:bookmarkStart w:id="6" w:name="_Toc214378202"/>
      <w:r w:rsidRPr="17F7BB6A">
        <w:t>Acknowledgment and publicity guidelines for Victorian Government funding support</w:t>
      </w:r>
      <w:bookmarkEnd w:id="4"/>
      <w:bookmarkEnd w:id="5"/>
      <w:bookmarkEnd w:id="6"/>
    </w:p>
    <w:p w14:paraId="70A89DDC" w14:textId="77777777" w:rsidR="001161E9" w:rsidRDefault="001161E9" w:rsidP="0016095D">
      <w:pPr>
        <w:pStyle w:val="Body"/>
      </w:pPr>
      <w:r>
        <w:t>Organisations are required to acknowledge the funding support provided by the Victorian Government, as part of the ‘Funding acknowledgement’ condition of service or funding</w:t>
      </w:r>
      <w:r w:rsidRPr="0009289B">
        <w:t> </w:t>
      </w:r>
      <w:r>
        <w:t>agreement.</w:t>
      </w:r>
      <w:r w:rsidRPr="00CD60F7">
        <w:t xml:space="preserve"> </w:t>
      </w:r>
      <w:r>
        <w:t xml:space="preserve">The funding acknowledgement applies to organisations with a service or funding agreement with the Department of Health and most other Departments. </w:t>
      </w:r>
    </w:p>
    <w:p w14:paraId="0FBCE51B" w14:textId="77777777" w:rsidR="001161E9" w:rsidRDefault="001161E9" w:rsidP="0016095D">
      <w:pPr>
        <w:pStyle w:val="Body"/>
      </w:pPr>
      <w:r>
        <w:t>This acknowledgement must be made in publications and publicity related to services funded, for example, websites, media releases, print and electronic documents, speeches/launches and an organisation’s annual report.</w:t>
      </w:r>
    </w:p>
    <w:p w14:paraId="5CADEABD" w14:textId="77777777" w:rsidR="001161E9" w:rsidRDefault="001161E9" w:rsidP="0016095D">
      <w:pPr>
        <w:pStyle w:val="Body"/>
      </w:pPr>
      <w:r>
        <w:t>The guidelines have been developed to assist funded organisations in the use of the Brand Victoria logo and must be used in conjunction with the logo instructions and logo files.</w:t>
      </w:r>
    </w:p>
    <w:p w14:paraId="17133BC4" w14:textId="77777777" w:rsidR="001161E9" w:rsidRDefault="001161E9" w:rsidP="0016095D">
      <w:pPr>
        <w:pStyle w:val="Body"/>
      </w:pPr>
      <w:r>
        <w:t>The guidelines, logo instructions and logo files are available through the Funded Agency Channel as follows:</w:t>
      </w:r>
    </w:p>
    <w:p w14:paraId="57E87F48" w14:textId="77777777" w:rsidR="001161E9" w:rsidRPr="0009289B" w:rsidRDefault="001161E9" w:rsidP="0016095D">
      <w:pPr>
        <w:pStyle w:val="Body"/>
      </w:pPr>
      <w:r w:rsidRPr="0009289B">
        <w:rPr>
          <w:b/>
          <w:bCs/>
        </w:rPr>
        <w:t>Guidelines</w:t>
      </w:r>
      <w:r w:rsidRPr="0009289B">
        <w:t> </w:t>
      </w:r>
      <w:r>
        <w:t>-</w:t>
      </w:r>
      <w:r w:rsidRPr="0009289B">
        <w:t> </w:t>
      </w:r>
      <w:hyperlink r:id="rId17" w:history="1">
        <w:r w:rsidRPr="0009289B">
          <w:t>Acknowledgement and publicity guidelines for Victorian Government funding support</w:t>
        </w:r>
      </w:hyperlink>
      <w:r w:rsidRPr="0009289B">
        <w:t> </w:t>
      </w:r>
      <w:r>
        <w:t>&lt;</w:t>
      </w:r>
      <w:hyperlink r:id="rId18" w:history="1">
        <w:r w:rsidRPr="0009289B">
          <w:t>https://fac.dffh.vic.gov.au/acknowledgement-and-publicity-guidelines-victorian-government-funding-support</w:t>
        </w:r>
      </w:hyperlink>
      <w:r>
        <w:t>&gt;</w:t>
      </w:r>
    </w:p>
    <w:p w14:paraId="0D67C606" w14:textId="77777777" w:rsidR="001161E9" w:rsidRDefault="001161E9" w:rsidP="0016095D">
      <w:pPr>
        <w:pStyle w:val="Body"/>
      </w:pPr>
      <w:r w:rsidRPr="0009289B">
        <w:rPr>
          <w:b/>
          <w:bCs/>
        </w:rPr>
        <w:t>Logo instructions and logo files</w:t>
      </w:r>
      <w:r w:rsidRPr="0009289B">
        <w:t> </w:t>
      </w:r>
      <w:r>
        <w:t xml:space="preserve">- My Agency </w:t>
      </w:r>
      <w:r w:rsidRPr="0009289B">
        <w:t>–</w:t>
      </w:r>
      <w:r>
        <w:t xml:space="preserve"> Resources </w:t>
      </w:r>
      <w:r w:rsidRPr="0009289B">
        <w:t>–</w:t>
      </w:r>
      <w:r>
        <w:t xml:space="preserve"> Other Resources - Victorian Government insignia - logo for acknowledgement of funding support &lt;</w:t>
      </w:r>
      <w:hyperlink r:id="rId19" w:history="1">
        <w:r w:rsidRPr="0009289B">
          <w:t>https://fac.dffh.vic.gov.au/my-agency</w:t>
        </w:r>
      </w:hyperlink>
      <w:r>
        <w:t>&gt;</w:t>
      </w:r>
    </w:p>
    <w:p w14:paraId="612497FD" w14:textId="77777777" w:rsidR="001161E9" w:rsidRDefault="001161E9" w:rsidP="0016095D">
      <w:pPr>
        <w:pStyle w:val="Body"/>
      </w:pPr>
      <w:r w:rsidRPr="0009289B">
        <w:rPr>
          <w:b/>
          <w:bCs/>
        </w:rPr>
        <w:t>Accessing My Agency </w:t>
      </w:r>
      <w:r>
        <w:t>- My Agency is a secure website. To access My Agency, staff members of funded</w:t>
      </w:r>
      <w:r w:rsidRPr="0009289B">
        <w:t> </w:t>
      </w:r>
      <w:r>
        <w:t>organisations are required to be registered for eBusiness. Further information about registering for eBusiness is on My Agency for non-DFFH and DH</w:t>
      </w:r>
      <w:r w:rsidRPr="0009289B">
        <w:t> </w:t>
      </w:r>
      <w:r>
        <w:t>staff &lt;</w:t>
      </w:r>
      <w:hyperlink r:id="rId20" w:history="1">
        <w:r w:rsidRPr="0009289B">
          <w:t>https://fac.dffh.vic.gov.au/my-agency-non-dffh-and-dh-staff</w:t>
        </w:r>
      </w:hyperlink>
      <w:r>
        <w:t>&gt;</w:t>
      </w:r>
    </w:p>
    <w:p w14:paraId="53E7AD82" w14:textId="77777777" w:rsidR="001161E9" w:rsidRDefault="001161E9" w:rsidP="0016095D">
      <w:pPr>
        <w:pStyle w:val="Body"/>
      </w:pPr>
      <w:r>
        <w:t xml:space="preserve">Visit the Funded Agency Channel for </w:t>
      </w:r>
      <w:hyperlink r:id="rId21">
        <w:r w:rsidRPr="24CE8D16">
          <w:rPr>
            <w:rStyle w:val="Hyperlink"/>
          </w:rPr>
          <w:t>Service Agreemen</w:t>
        </w:r>
      </w:hyperlink>
      <w:r w:rsidRPr="24CE8D16">
        <w:rPr>
          <w:rStyle w:val="Hyperlink"/>
        </w:rPr>
        <w:t>t Requirements</w:t>
      </w:r>
      <w:r>
        <w:t xml:space="preserve"> &lt; https://fac.dffh.vic.gov.au/service-agreement-requirements &gt;.</w:t>
      </w:r>
    </w:p>
    <w:p w14:paraId="79F843F1" w14:textId="77777777" w:rsidR="001161E9" w:rsidRDefault="001161E9" w:rsidP="0016095D">
      <w:pPr>
        <w:pStyle w:val="Body"/>
      </w:pPr>
      <w:r w:rsidRPr="00BB606F">
        <w:t xml:space="preserve">Please note: No acknowledgement is required for general administrative notices or messages such as weekly newsletters relating to operational aspects of the business. These guidelines are focused on publications that directly relate to services funded by the Victorian Government. By acknowledging this support, organisations are informing the community </w:t>
      </w:r>
      <w:r w:rsidRPr="0016095D">
        <w:t>about</w:t>
      </w:r>
      <w:r w:rsidRPr="00BB606F">
        <w:t xml:space="preserve"> how public funding is spent.</w:t>
      </w:r>
    </w:p>
    <w:p w14:paraId="024AB894" w14:textId="0797AF0E" w:rsidR="00426AC7" w:rsidRDefault="00426AC7">
      <w:pPr>
        <w:spacing w:after="0" w:line="240" w:lineRule="auto"/>
        <w:rPr>
          <w:rFonts w:eastAsia="Times"/>
          <w:sz w:val="20"/>
        </w:rPr>
      </w:pPr>
      <w:r>
        <w:br w:type="page"/>
      </w:r>
    </w:p>
    <w:p w14:paraId="722702B5" w14:textId="77777777" w:rsidR="00426AC7" w:rsidRDefault="00426AC7" w:rsidP="00426AC7">
      <w:pPr>
        <w:pStyle w:val="Heading1"/>
      </w:pPr>
      <w:bookmarkStart w:id="7" w:name="_Toc45109763"/>
      <w:bookmarkStart w:id="8" w:name="_Toc206763613"/>
      <w:bookmarkStart w:id="9" w:name="_Toc214378203"/>
      <w:r w:rsidRPr="00875561">
        <w:lastRenderedPageBreak/>
        <w:t>Planning and Reporting Requirements by Activity</w:t>
      </w:r>
      <w:bookmarkEnd w:id="7"/>
      <w:bookmarkEnd w:id="8"/>
      <w:bookmarkEnd w:id="9"/>
    </w:p>
    <w:p w14:paraId="156E0003" w14:textId="48B7B25E" w:rsidR="0095575D" w:rsidRDefault="00D1517F" w:rsidP="00086356">
      <w:pPr>
        <w:pStyle w:val="Tablecaption"/>
      </w:pPr>
      <w:r>
        <w:t>All funded agencies are required to in</w:t>
      </w:r>
      <w:r w:rsidR="0095575D">
        <w:t>clude the following components in their submission</w:t>
      </w:r>
      <w:r w:rsidR="004D5A6B">
        <w:t xml:space="preserve"> as per their funding activity. </w:t>
      </w:r>
      <w:r w:rsidR="0095575D">
        <w:t xml:space="preserve"> </w:t>
      </w:r>
    </w:p>
    <w:tbl>
      <w:tblPr>
        <w:tblStyle w:val="TableGrid"/>
        <w:tblW w:w="0" w:type="auto"/>
        <w:jc w:val="center"/>
        <w:tblLook w:val="04A0" w:firstRow="1" w:lastRow="0" w:firstColumn="1" w:lastColumn="0" w:noHBand="0" w:noVBand="1"/>
      </w:tblPr>
      <w:tblGrid>
        <w:gridCol w:w="1980"/>
        <w:gridCol w:w="1701"/>
        <w:gridCol w:w="1701"/>
        <w:gridCol w:w="1701"/>
      </w:tblGrid>
      <w:tr w:rsidR="00340D7A" w14:paraId="54130F41" w14:textId="54F17E61" w:rsidTr="00E74296">
        <w:trPr>
          <w:jc w:val="center"/>
        </w:trPr>
        <w:tc>
          <w:tcPr>
            <w:tcW w:w="1980" w:type="dxa"/>
          </w:tcPr>
          <w:p w14:paraId="4D9B9565" w14:textId="70826D14" w:rsidR="00340D7A" w:rsidRDefault="00340D7A" w:rsidP="00677871">
            <w:pPr>
              <w:pStyle w:val="Tablecolhead"/>
              <w:jc w:val="center"/>
            </w:pPr>
            <w:r>
              <w:t>BBVSTI Activity</w:t>
            </w:r>
          </w:p>
        </w:tc>
        <w:tc>
          <w:tcPr>
            <w:tcW w:w="1701" w:type="dxa"/>
          </w:tcPr>
          <w:p w14:paraId="12DCBC15" w14:textId="4E921467" w:rsidR="00340D7A" w:rsidRDefault="00340D7A" w:rsidP="00677871">
            <w:pPr>
              <w:pStyle w:val="Tablecolhead"/>
              <w:jc w:val="center"/>
            </w:pPr>
            <w:r>
              <w:t>Annual Plan</w:t>
            </w:r>
          </w:p>
        </w:tc>
        <w:tc>
          <w:tcPr>
            <w:tcW w:w="1701" w:type="dxa"/>
          </w:tcPr>
          <w:p w14:paraId="392824A8" w14:textId="41A0BCD3" w:rsidR="00340D7A" w:rsidRDefault="00340D7A" w:rsidP="00677871">
            <w:pPr>
              <w:pStyle w:val="Tablecolhead"/>
              <w:jc w:val="center"/>
            </w:pPr>
            <w:r>
              <w:t>Annual Report</w:t>
            </w:r>
          </w:p>
        </w:tc>
        <w:tc>
          <w:tcPr>
            <w:tcW w:w="1701" w:type="dxa"/>
          </w:tcPr>
          <w:p w14:paraId="4F8A35AA" w14:textId="1384ABF8" w:rsidR="00340D7A" w:rsidRDefault="00340D7A" w:rsidP="00677871">
            <w:pPr>
              <w:pStyle w:val="Tablecolhead"/>
              <w:jc w:val="center"/>
            </w:pPr>
            <w:r>
              <w:t xml:space="preserve">Financial Acquittal </w:t>
            </w:r>
            <w:r w:rsidR="00D86086">
              <w:t xml:space="preserve">with Report </w:t>
            </w:r>
          </w:p>
        </w:tc>
      </w:tr>
      <w:tr w:rsidR="00340D7A" w14:paraId="23FBEABE" w14:textId="49884B0E" w:rsidTr="00E74296">
        <w:trPr>
          <w:jc w:val="center"/>
        </w:trPr>
        <w:tc>
          <w:tcPr>
            <w:tcW w:w="1980" w:type="dxa"/>
          </w:tcPr>
          <w:p w14:paraId="7A3D22BA" w14:textId="6CA52426" w:rsidR="00340D7A" w:rsidRDefault="00340D7A" w:rsidP="0044575D">
            <w:pPr>
              <w:pStyle w:val="Body"/>
              <w:jc w:val="center"/>
            </w:pPr>
            <w:r>
              <w:t>16505</w:t>
            </w:r>
          </w:p>
        </w:tc>
        <w:tc>
          <w:tcPr>
            <w:tcW w:w="1701" w:type="dxa"/>
          </w:tcPr>
          <w:p w14:paraId="02236AAE" w14:textId="03D5942A" w:rsidR="00340D7A" w:rsidRDefault="00340D7A" w:rsidP="00AC150C">
            <w:pPr>
              <w:pStyle w:val="Body"/>
              <w:jc w:val="center"/>
            </w:pPr>
            <w:r>
              <w:t>Y</w:t>
            </w:r>
          </w:p>
        </w:tc>
        <w:tc>
          <w:tcPr>
            <w:tcW w:w="1701" w:type="dxa"/>
          </w:tcPr>
          <w:p w14:paraId="23C0514E" w14:textId="6954AD1F" w:rsidR="00340D7A" w:rsidRDefault="00340D7A" w:rsidP="00AC150C">
            <w:pPr>
              <w:pStyle w:val="Body"/>
              <w:jc w:val="center"/>
            </w:pPr>
            <w:r>
              <w:t>Y</w:t>
            </w:r>
          </w:p>
        </w:tc>
        <w:tc>
          <w:tcPr>
            <w:tcW w:w="1701" w:type="dxa"/>
          </w:tcPr>
          <w:p w14:paraId="0CB43A05" w14:textId="63C615F8" w:rsidR="00340D7A" w:rsidRDefault="00D86086" w:rsidP="00AC150C">
            <w:pPr>
              <w:pStyle w:val="Body"/>
              <w:jc w:val="center"/>
            </w:pPr>
            <w:r>
              <w:t>Y</w:t>
            </w:r>
          </w:p>
        </w:tc>
      </w:tr>
      <w:tr w:rsidR="00340D7A" w14:paraId="254DB97B" w14:textId="033C3335" w:rsidTr="00E74296">
        <w:trPr>
          <w:jc w:val="center"/>
        </w:trPr>
        <w:tc>
          <w:tcPr>
            <w:tcW w:w="1980" w:type="dxa"/>
          </w:tcPr>
          <w:p w14:paraId="1269377E" w14:textId="3DC33627" w:rsidR="00340D7A" w:rsidRDefault="00340D7A" w:rsidP="0044575D">
            <w:pPr>
              <w:pStyle w:val="Body"/>
              <w:jc w:val="center"/>
            </w:pPr>
            <w:r>
              <w:t>16508</w:t>
            </w:r>
          </w:p>
        </w:tc>
        <w:tc>
          <w:tcPr>
            <w:tcW w:w="1701" w:type="dxa"/>
          </w:tcPr>
          <w:p w14:paraId="54403241" w14:textId="33A1C1E9" w:rsidR="00340D7A" w:rsidRDefault="00340D7A" w:rsidP="00AC150C">
            <w:pPr>
              <w:pStyle w:val="Body"/>
              <w:jc w:val="center"/>
            </w:pPr>
            <w:r>
              <w:t>Y</w:t>
            </w:r>
          </w:p>
        </w:tc>
        <w:tc>
          <w:tcPr>
            <w:tcW w:w="1701" w:type="dxa"/>
          </w:tcPr>
          <w:p w14:paraId="3DD4BC6F" w14:textId="6525770A" w:rsidR="00340D7A" w:rsidRDefault="00340D7A" w:rsidP="00AC150C">
            <w:pPr>
              <w:pStyle w:val="Body"/>
              <w:jc w:val="center"/>
            </w:pPr>
            <w:r>
              <w:t>Y</w:t>
            </w:r>
          </w:p>
        </w:tc>
        <w:tc>
          <w:tcPr>
            <w:tcW w:w="1701" w:type="dxa"/>
          </w:tcPr>
          <w:p w14:paraId="378527E9" w14:textId="4145B2DF" w:rsidR="00340D7A" w:rsidRDefault="00D86086" w:rsidP="00AC150C">
            <w:pPr>
              <w:pStyle w:val="Body"/>
              <w:jc w:val="center"/>
            </w:pPr>
            <w:r>
              <w:t>Y</w:t>
            </w:r>
          </w:p>
        </w:tc>
      </w:tr>
      <w:tr w:rsidR="00340D7A" w14:paraId="4D9DE239" w14:textId="2050AC36" w:rsidTr="00E74296">
        <w:trPr>
          <w:jc w:val="center"/>
        </w:trPr>
        <w:tc>
          <w:tcPr>
            <w:tcW w:w="1980" w:type="dxa"/>
          </w:tcPr>
          <w:p w14:paraId="31D15E47" w14:textId="0C4C66AD" w:rsidR="00340D7A" w:rsidRDefault="00340D7A" w:rsidP="0044575D">
            <w:pPr>
              <w:pStyle w:val="Body"/>
              <w:jc w:val="center"/>
            </w:pPr>
            <w:r>
              <w:t>16509</w:t>
            </w:r>
          </w:p>
        </w:tc>
        <w:tc>
          <w:tcPr>
            <w:tcW w:w="1701" w:type="dxa"/>
          </w:tcPr>
          <w:p w14:paraId="41438CAE" w14:textId="5F98D964" w:rsidR="00340D7A" w:rsidRDefault="00340D7A" w:rsidP="00AC150C">
            <w:pPr>
              <w:pStyle w:val="Body"/>
              <w:jc w:val="center"/>
            </w:pPr>
            <w:r>
              <w:t>Y</w:t>
            </w:r>
          </w:p>
        </w:tc>
        <w:tc>
          <w:tcPr>
            <w:tcW w:w="1701" w:type="dxa"/>
          </w:tcPr>
          <w:p w14:paraId="5778BAAA" w14:textId="05D8B1B1" w:rsidR="00340D7A" w:rsidRDefault="00340D7A" w:rsidP="00AC150C">
            <w:pPr>
              <w:pStyle w:val="Body"/>
              <w:jc w:val="center"/>
            </w:pPr>
            <w:r>
              <w:t>Y</w:t>
            </w:r>
          </w:p>
        </w:tc>
        <w:tc>
          <w:tcPr>
            <w:tcW w:w="1701" w:type="dxa"/>
          </w:tcPr>
          <w:p w14:paraId="51EB53FB" w14:textId="29EBDE71" w:rsidR="00340D7A" w:rsidRDefault="00D86086" w:rsidP="00AC150C">
            <w:pPr>
              <w:pStyle w:val="Body"/>
              <w:jc w:val="center"/>
            </w:pPr>
            <w:r>
              <w:t>Y</w:t>
            </w:r>
          </w:p>
        </w:tc>
      </w:tr>
      <w:tr w:rsidR="00340D7A" w14:paraId="5A2A1CDC" w14:textId="2F5E41F2" w:rsidTr="00E74296">
        <w:trPr>
          <w:jc w:val="center"/>
        </w:trPr>
        <w:tc>
          <w:tcPr>
            <w:tcW w:w="1980" w:type="dxa"/>
          </w:tcPr>
          <w:p w14:paraId="3CFC9613" w14:textId="38F78493" w:rsidR="00340D7A" w:rsidRDefault="00340D7A" w:rsidP="0044575D">
            <w:pPr>
              <w:pStyle w:val="Body"/>
              <w:jc w:val="center"/>
            </w:pPr>
            <w:r>
              <w:t>16373</w:t>
            </w:r>
          </w:p>
        </w:tc>
        <w:tc>
          <w:tcPr>
            <w:tcW w:w="1701" w:type="dxa"/>
          </w:tcPr>
          <w:p w14:paraId="0A532678" w14:textId="3B35C005" w:rsidR="00340D7A" w:rsidRDefault="00340D7A" w:rsidP="00AC150C">
            <w:pPr>
              <w:pStyle w:val="Body"/>
              <w:jc w:val="center"/>
            </w:pPr>
            <w:r>
              <w:t>N</w:t>
            </w:r>
          </w:p>
        </w:tc>
        <w:tc>
          <w:tcPr>
            <w:tcW w:w="1701" w:type="dxa"/>
          </w:tcPr>
          <w:p w14:paraId="32F77401" w14:textId="26F5B537" w:rsidR="00340D7A" w:rsidRDefault="00340D7A" w:rsidP="00AC150C">
            <w:pPr>
              <w:pStyle w:val="Body"/>
              <w:jc w:val="center"/>
            </w:pPr>
            <w:r>
              <w:t>Y</w:t>
            </w:r>
          </w:p>
        </w:tc>
        <w:tc>
          <w:tcPr>
            <w:tcW w:w="1701" w:type="dxa"/>
          </w:tcPr>
          <w:p w14:paraId="4E14B4C2" w14:textId="58C16F30" w:rsidR="00340D7A" w:rsidRDefault="00D86086" w:rsidP="00AC150C">
            <w:pPr>
              <w:pStyle w:val="Body"/>
              <w:jc w:val="center"/>
            </w:pPr>
            <w:r>
              <w:t>Y</w:t>
            </w:r>
          </w:p>
        </w:tc>
      </w:tr>
      <w:tr w:rsidR="00340D7A" w14:paraId="61280C50" w14:textId="7FB59925" w:rsidTr="00E74296">
        <w:trPr>
          <w:jc w:val="center"/>
        </w:trPr>
        <w:tc>
          <w:tcPr>
            <w:tcW w:w="1980" w:type="dxa"/>
          </w:tcPr>
          <w:p w14:paraId="1CA1FD3D" w14:textId="26B5C280" w:rsidR="00340D7A" w:rsidRDefault="00340D7A" w:rsidP="004C5567">
            <w:pPr>
              <w:pStyle w:val="Body"/>
              <w:jc w:val="center"/>
            </w:pPr>
            <w:r>
              <w:t>16507</w:t>
            </w:r>
          </w:p>
        </w:tc>
        <w:tc>
          <w:tcPr>
            <w:tcW w:w="1701" w:type="dxa"/>
          </w:tcPr>
          <w:p w14:paraId="08EDDCC0" w14:textId="0FAA2D5C" w:rsidR="00340D7A" w:rsidRDefault="00340D7A" w:rsidP="004C5567">
            <w:pPr>
              <w:pStyle w:val="Body"/>
              <w:jc w:val="center"/>
            </w:pPr>
            <w:r>
              <w:t>N</w:t>
            </w:r>
          </w:p>
        </w:tc>
        <w:tc>
          <w:tcPr>
            <w:tcW w:w="1701" w:type="dxa"/>
          </w:tcPr>
          <w:p w14:paraId="283A56FE" w14:textId="0E9ADFDE" w:rsidR="00340D7A" w:rsidRDefault="00340D7A" w:rsidP="004C5567">
            <w:pPr>
              <w:pStyle w:val="Body"/>
              <w:jc w:val="center"/>
            </w:pPr>
            <w:r>
              <w:t>Y</w:t>
            </w:r>
          </w:p>
        </w:tc>
        <w:tc>
          <w:tcPr>
            <w:tcW w:w="1701" w:type="dxa"/>
          </w:tcPr>
          <w:p w14:paraId="74C11FBE" w14:textId="0FD371FC" w:rsidR="00340D7A" w:rsidRDefault="00D86086" w:rsidP="004C5567">
            <w:pPr>
              <w:pStyle w:val="Body"/>
              <w:jc w:val="center"/>
            </w:pPr>
            <w:r>
              <w:t>Y</w:t>
            </w:r>
          </w:p>
        </w:tc>
      </w:tr>
      <w:tr w:rsidR="00340D7A" w14:paraId="37908965" w14:textId="6A284E26" w:rsidTr="00E74296">
        <w:trPr>
          <w:jc w:val="center"/>
        </w:trPr>
        <w:tc>
          <w:tcPr>
            <w:tcW w:w="1980" w:type="dxa"/>
          </w:tcPr>
          <w:p w14:paraId="4AA2E49B" w14:textId="6A8409FA" w:rsidR="00340D7A" w:rsidRDefault="00340D7A" w:rsidP="0044575D">
            <w:pPr>
              <w:pStyle w:val="Body"/>
              <w:jc w:val="center"/>
            </w:pPr>
            <w:r>
              <w:t>16506</w:t>
            </w:r>
          </w:p>
        </w:tc>
        <w:tc>
          <w:tcPr>
            <w:tcW w:w="1701" w:type="dxa"/>
          </w:tcPr>
          <w:p w14:paraId="49C39276" w14:textId="497CD3A3" w:rsidR="00340D7A" w:rsidRDefault="00340D7A" w:rsidP="00AC150C">
            <w:pPr>
              <w:pStyle w:val="Body"/>
              <w:jc w:val="center"/>
            </w:pPr>
            <w:r>
              <w:t>N</w:t>
            </w:r>
          </w:p>
        </w:tc>
        <w:tc>
          <w:tcPr>
            <w:tcW w:w="1701" w:type="dxa"/>
          </w:tcPr>
          <w:p w14:paraId="6ED68A9D" w14:textId="136EB094" w:rsidR="00340D7A" w:rsidRDefault="00340D7A" w:rsidP="00AC150C">
            <w:pPr>
              <w:pStyle w:val="Body"/>
              <w:jc w:val="center"/>
            </w:pPr>
            <w:r>
              <w:t>Determined on a case-by-case basis</w:t>
            </w:r>
          </w:p>
        </w:tc>
        <w:tc>
          <w:tcPr>
            <w:tcW w:w="1701" w:type="dxa"/>
          </w:tcPr>
          <w:p w14:paraId="274AFA39" w14:textId="53B3C6DD" w:rsidR="00340D7A" w:rsidRDefault="00D86086" w:rsidP="00AC150C">
            <w:pPr>
              <w:pStyle w:val="Body"/>
              <w:jc w:val="center"/>
            </w:pPr>
            <w:r>
              <w:t>Determined on a case-by-case basis</w:t>
            </w:r>
          </w:p>
        </w:tc>
      </w:tr>
    </w:tbl>
    <w:p w14:paraId="2CFB1F31" w14:textId="77777777" w:rsidR="00086356" w:rsidRDefault="00086356" w:rsidP="001161E9">
      <w:pPr>
        <w:pStyle w:val="Body"/>
      </w:pPr>
    </w:p>
    <w:p w14:paraId="23D69A52" w14:textId="1196C57A" w:rsidR="003F6146" w:rsidRPr="00AC41E1" w:rsidRDefault="006500C9" w:rsidP="001161E9">
      <w:pPr>
        <w:pStyle w:val="Body"/>
        <w:rPr>
          <w:u w:val="single"/>
        </w:rPr>
      </w:pPr>
      <w:r w:rsidRPr="00AC41E1">
        <w:rPr>
          <w:u w:val="single"/>
        </w:rPr>
        <w:t xml:space="preserve">Annual Plan </w:t>
      </w:r>
    </w:p>
    <w:p w14:paraId="1251D8D4" w14:textId="03C6DCF7" w:rsidR="00610124" w:rsidRDefault="00610124" w:rsidP="001161E9">
      <w:pPr>
        <w:pStyle w:val="Body"/>
      </w:pPr>
      <w:r>
        <w:t xml:space="preserve">A single </w:t>
      </w:r>
      <w:r w:rsidR="00D811A0">
        <w:t xml:space="preserve">report </w:t>
      </w:r>
      <w:r>
        <w:t xml:space="preserve">which includes: </w:t>
      </w:r>
    </w:p>
    <w:p w14:paraId="2CE5332D" w14:textId="77777777" w:rsidR="0068059E" w:rsidRDefault="6A131C26" w:rsidP="00750CA5">
      <w:pPr>
        <w:pStyle w:val="Bullet1"/>
      </w:pPr>
      <w:r>
        <w:t xml:space="preserve">An </w:t>
      </w:r>
      <w:r w:rsidR="37FC5A04">
        <w:t xml:space="preserve">Executive Summary (no more than 1 x A4 page) </w:t>
      </w:r>
      <w:r w:rsidR="41CC43E7">
        <w:t>that</w:t>
      </w:r>
      <w:r w:rsidR="5639E4A4">
        <w:t xml:space="preserve"> </w:t>
      </w:r>
      <w:r w:rsidR="0068059E">
        <w:t xml:space="preserve">describes forward-looking priorities and planned activities: </w:t>
      </w:r>
    </w:p>
    <w:p w14:paraId="60CC90D6" w14:textId="77777777" w:rsidR="006E3D57" w:rsidRPr="006E3D57" w:rsidRDefault="006E3D57" w:rsidP="0014571D">
      <w:pPr>
        <w:ind w:firstLine="284"/>
        <w:rPr>
          <w:rFonts w:ascii="Aptos" w:hAnsi="Aptos"/>
          <w:sz w:val="24"/>
        </w:rPr>
      </w:pPr>
      <w:r w:rsidRPr="006E3D57">
        <w:t>Recommended Content:</w:t>
      </w:r>
    </w:p>
    <w:p w14:paraId="22DD5E80" w14:textId="77777777" w:rsidR="006E3D57" w:rsidRDefault="006E3D57" w:rsidP="00787C2B">
      <w:pPr>
        <w:pStyle w:val="Bullet2"/>
      </w:pPr>
      <w:r>
        <w:rPr>
          <w:b/>
          <w:bCs/>
        </w:rPr>
        <w:t>Agency Overview:</w:t>
      </w:r>
      <w:r>
        <w:t xml:space="preserve"> Brief description of your organisation, including service areas and target populations.</w:t>
      </w:r>
    </w:p>
    <w:p w14:paraId="217F1889" w14:textId="77777777" w:rsidR="006E3D57" w:rsidRDefault="006E3D57" w:rsidP="00787C2B">
      <w:pPr>
        <w:pStyle w:val="Bullet2"/>
      </w:pPr>
      <w:r>
        <w:rPr>
          <w:b/>
          <w:bCs/>
        </w:rPr>
        <w:t>Strategic Priorities:</w:t>
      </w:r>
      <w:r>
        <w:t xml:space="preserve"> Outline key goals and objectives for the upcoming year.</w:t>
      </w:r>
    </w:p>
    <w:p w14:paraId="23DD16EA" w14:textId="77777777" w:rsidR="006E3D57" w:rsidRDefault="006E3D57" w:rsidP="00787C2B">
      <w:pPr>
        <w:pStyle w:val="Bullet2"/>
      </w:pPr>
      <w:r>
        <w:rPr>
          <w:b/>
          <w:bCs/>
        </w:rPr>
        <w:t>Alignment with DH Priorities:</w:t>
      </w:r>
      <w:r>
        <w:t xml:space="preserve"> Highlight how your plan supports DH strategic directions, policies, or reforms.</w:t>
      </w:r>
    </w:p>
    <w:p w14:paraId="73C4CBFF" w14:textId="77777777" w:rsidR="006E3D57" w:rsidRDefault="006E3D57" w:rsidP="00787C2B">
      <w:pPr>
        <w:pStyle w:val="Bullet2"/>
      </w:pPr>
      <w:r>
        <w:rPr>
          <w:b/>
          <w:bCs/>
        </w:rPr>
        <w:t>Key Initiatives:</w:t>
      </w:r>
      <w:r>
        <w:t xml:space="preserve"> Summarise major programs or service developments planned.</w:t>
      </w:r>
    </w:p>
    <w:p w14:paraId="5FD2F04B" w14:textId="77777777" w:rsidR="006E3D57" w:rsidRDefault="006E3D57" w:rsidP="00787C2B">
      <w:pPr>
        <w:pStyle w:val="Bullet2"/>
      </w:pPr>
      <w:r>
        <w:rPr>
          <w:b/>
          <w:bCs/>
        </w:rPr>
        <w:t>Equity and Inclusion:</w:t>
      </w:r>
      <w:r>
        <w:t xml:space="preserve"> Note any specific actions to improve access, equity, or outcomes for priority populations.</w:t>
      </w:r>
    </w:p>
    <w:p w14:paraId="4402787A" w14:textId="0072A2E7" w:rsidR="00787C2B" w:rsidRDefault="006E3D57" w:rsidP="0014571D">
      <w:pPr>
        <w:pStyle w:val="Bullet2"/>
      </w:pPr>
      <w:r>
        <w:rPr>
          <w:b/>
          <w:bCs/>
        </w:rPr>
        <w:t>Partnerships:</w:t>
      </w:r>
      <w:r>
        <w:t xml:space="preserve"> Mention any significant collaborations or sector engagement.</w:t>
      </w:r>
    </w:p>
    <w:p w14:paraId="274108AA" w14:textId="5685358C" w:rsidR="0087508C" w:rsidRDefault="0087508C" w:rsidP="00787C2B">
      <w:pPr>
        <w:pStyle w:val="Bullet1"/>
      </w:pPr>
      <w:r>
        <w:t xml:space="preserve">The items in the Planning and Reporting template at </w:t>
      </w:r>
      <w:r w:rsidRPr="00666A4E">
        <w:rPr>
          <w:b/>
          <w:bCs/>
        </w:rPr>
        <w:t xml:space="preserve">Appendix </w:t>
      </w:r>
      <w:r w:rsidR="00100DCD">
        <w:rPr>
          <w:b/>
          <w:bCs/>
        </w:rPr>
        <w:t>1</w:t>
      </w:r>
      <w:r>
        <w:t xml:space="preserve"> </w:t>
      </w:r>
      <w:r w:rsidR="003F6146">
        <w:t>which</w:t>
      </w:r>
      <w:r>
        <w:t xml:space="preserve"> relate to planning. </w:t>
      </w:r>
    </w:p>
    <w:p w14:paraId="19DD5594" w14:textId="015E001A" w:rsidR="00A62D44" w:rsidRPr="00B57329" w:rsidRDefault="00A62D44" w:rsidP="005C18EA">
      <w:pPr>
        <w:pStyle w:val="Bullet1"/>
        <w:numPr>
          <w:ilvl w:val="0"/>
          <w:numId w:val="0"/>
        </w:numPr>
        <w:ind w:left="284"/>
      </w:pPr>
    </w:p>
    <w:p w14:paraId="6D25DD05" w14:textId="5D25E903" w:rsidR="009E7797" w:rsidRDefault="009E7797" w:rsidP="009E7797">
      <w:pPr>
        <w:pStyle w:val="Body"/>
        <w:rPr>
          <w:u w:val="single"/>
        </w:rPr>
      </w:pPr>
      <w:r w:rsidRPr="00AC41E1">
        <w:rPr>
          <w:u w:val="single"/>
        </w:rPr>
        <w:t xml:space="preserve">Annual </w:t>
      </w:r>
      <w:r w:rsidR="00A373CC">
        <w:rPr>
          <w:u w:val="single"/>
        </w:rPr>
        <w:t xml:space="preserve">Report </w:t>
      </w:r>
      <w:r w:rsidRPr="00AC41E1">
        <w:rPr>
          <w:u w:val="single"/>
        </w:rPr>
        <w:t xml:space="preserve"> </w:t>
      </w:r>
    </w:p>
    <w:p w14:paraId="53D79622" w14:textId="7F17A72D" w:rsidR="009E7797" w:rsidRDefault="009E7797" w:rsidP="009E7797">
      <w:pPr>
        <w:pStyle w:val="Body"/>
      </w:pPr>
      <w:r>
        <w:t xml:space="preserve">A single </w:t>
      </w:r>
      <w:r w:rsidR="00D811A0">
        <w:t xml:space="preserve">report </w:t>
      </w:r>
      <w:r>
        <w:t xml:space="preserve">which includes: </w:t>
      </w:r>
    </w:p>
    <w:p w14:paraId="6192C0EF" w14:textId="77777777" w:rsidR="00845B7F" w:rsidRDefault="6A131C26" w:rsidP="00A373CC">
      <w:pPr>
        <w:pStyle w:val="Bullet1"/>
      </w:pPr>
      <w:r>
        <w:t>An Executive Summary (no more than 1 x A4 page)</w:t>
      </w:r>
      <w:r w:rsidR="2CDEBC7E">
        <w:t xml:space="preserve"> that reflects</w:t>
      </w:r>
      <w:r w:rsidR="000743B5">
        <w:t xml:space="preserve"> on performance and impact</w:t>
      </w:r>
      <w:r w:rsidR="00845B7F">
        <w:t xml:space="preserve">: </w:t>
      </w:r>
    </w:p>
    <w:p w14:paraId="56007753" w14:textId="77777777" w:rsidR="00845B7F" w:rsidRPr="006E3D57" w:rsidRDefault="00845B7F" w:rsidP="00845B7F">
      <w:pPr>
        <w:ind w:firstLine="284"/>
        <w:rPr>
          <w:rFonts w:ascii="Aptos" w:hAnsi="Aptos"/>
          <w:sz w:val="24"/>
        </w:rPr>
      </w:pPr>
      <w:r w:rsidRPr="006E3D57">
        <w:t>Recommended Content:</w:t>
      </w:r>
    </w:p>
    <w:p w14:paraId="2A0118DA" w14:textId="77777777" w:rsidR="0098563B" w:rsidRPr="0098563B" w:rsidRDefault="0098563B" w:rsidP="0098563B">
      <w:pPr>
        <w:pStyle w:val="Bullet2"/>
      </w:pPr>
      <w:r w:rsidRPr="00225C91">
        <w:rPr>
          <w:b/>
          <w:bCs/>
        </w:rPr>
        <w:t>Key Achievements:</w:t>
      </w:r>
      <w:r>
        <w:t xml:space="preserve"> Highlight major outcomes, innovations, or milestones.</w:t>
      </w:r>
    </w:p>
    <w:p w14:paraId="072323B6" w14:textId="77777777" w:rsidR="0098563B" w:rsidRDefault="0098563B" w:rsidP="0098563B">
      <w:pPr>
        <w:pStyle w:val="Bullet2"/>
      </w:pPr>
      <w:r w:rsidRPr="00225C91">
        <w:rPr>
          <w:b/>
          <w:bCs/>
        </w:rPr>
        <w:t>Performance Against Plan:</w:t>
      </w:r>
      <w:r>
        <w:t xml:space="preserve"> Briefly reflect on progress toward planned objectives.</w:t>
      </w:r>
    </w:p>
    <w:p w14:paraId="6A1DBFA7" w14:textId="77777777" w:rsidR="0098563B" w:rsidRDefault="0098563B" w:rsidP="0098563B">
      <w:pPr>
        <w:pStyle w:val="Bullet2"/>
      </w:pPr>
      <w:r w:rsidRPr="00225C91">
        <w:rPr>
          <w:b/>
          <w:bCs/>
        </w:rPr>
        <w:t>Impact on Communities:</w:t>
      </w:r>
      <w:r>
        <w:t xml:space="preserve"> Describe how services have benefited clients or communities, including any data or stories.</w:t>
      </w:r>
    </w:p>
    <w:p w14:paraId="124E4EE6" w14:textId="77777777" w:rsidR="0098563B" w:rsidRDefault="0098563B" w:rsidP="0098563B">
      <w:pPr>
        <w:pStyle w:val="Bullet2"/>
      </w:pPr>
      <w:r w:rsidRPr="00225C91">
        <w:rPr>
          <w:b/>
          <w:bCs/>
        </w:rPr>
        <w:t>Challenges and Learnings:</w:t>
      </w:r>
      <w:r>
        <w:t xml:space="preserve"> Note any significant barriers and how they were addressed.</w:t>
      </w:r>
    </w:p>
    <w:p w14:paraId="17559D3C" w14:textId="36384841" w:rsidR="009E7797" w:rsidRDefault="0012570E" w:rsidP="00A373CC">
      <w:pPr>
        <w:pStyle w:val="Bullet1"/>
      </w:pPr>
      <w:r>
        <w:lastRenderedPageBreak/>
        <w:t xml:space="preserve">The items in the Planning and Reporting template </w:t>
      </w:r>
      <w:r w:rsidR="00666A4E">
        <w:t xml:space="preserve">at </w:t>
      </w:r>
      <w:r w:rsidR="00666A4E" w:rsidRPr="00666A4E">
        <w:rPr>
          <w:b/>
          <w:bCs/>
        </w:rPr>
        <w:t xml:space="preserve">Appendix </w:t>
      </w:r>
      <w:r w:rsidR="00225C91">
        <w:rPr>
          <w:b/>
          <w:bCs/>
        </w:rPr>
        <w:t>1</w:t>
      </w:r>
      <w:r w:rsidR="00666A4E">
        <w:rPr>
          <w:b/>
          <w:bCs/>
        </w:rPr>
        <w:t xml:space="preserve"> </w:t>
      </w:r>
      <w:r>
        <w:t>which relate to</w:t>
      </w:r>
      <w:r w:rsidR="00F44F86">
        <w:t xml:space="preserve"> reporting </w:t>
      </w:r>
      <w:r w:rsidR="00A373CC">
        <w:t xml:space="preserve">and aligned to the planned activities. </w:t>
      </w:r>
      <w:r>
        <w:t xml:space="preserve"> </w:t>
      </w:r>
      <w:r w:rsidR="00122960">
        <w:t xml:space="preserve"> </w:t>
      </w:r>
    </w:p>
    <w:p w14:paraId="097705BA" w14:textId="1BF702DB" w:rsidR="00D7651C" w:rsidRDefault="00D7651C" w:rsidP="00A373CC">
      <w:pPr>
        <w:pStyle w:val="Bullet1"/>
      </w:pPr>
      <w:r>
        <w:t>A financial acquittal (</w:t>
      </w:r>
      <w:r w:rsidRPr="00340D7A">
        <w:rPr>
          <w:b/>
          <w:bCs/>
        </w:rPr>
        <w:t>Appendix 2</w:t>
      </w:r>
      <w:r>
        <w:t>)</w:t>
      </w:r>
    </w:p>
    <w:p w14:paraId="402B5D00" w14:textId="77777777" w:rsidR="00C860A5" w:rsidRDefault="00C860A5" w:rsidP="00C860A5">
      <w:pPr>
        <w:pStyle w:val="Bullet1"/>
        <w:numPr>
          <w:ilvl w:val="0"/>
          <w:numId w:val="0"/>
        </w:numPr>
      </w:pPr>
    </w:p>
    <w:p w14:paraId="1E52F455" w14:textId="79D386BC" w:rsidR="00C860A5" w:rsidRDefault="00C860A5" w:rsidP="00C860A5">
      <w:pPr>
        <w:pStyle w:val="Bullet1"/>
        <w:numPr>
          <w:ilvl w:val="0"/>
          <w:numId w:val="0"/>
        </w:numPr>
      </w:pPr>
      <w:r>
        <w:t xml:space="preserve">See </w:t>
      </w:r>
      <w:r w:rsidRPr="0043047B">
        <w:rPr>
          <w:b/>
          <w:bCs/>
        </w:rPr>
        <w:t xml:space="preserve">Appendix </w:t>
      </w:r>
      <w:r w:rsidR="002B1494">
        <w:rPr>
          <w:b/>
          <w:bCs/>
        </w:rPr>
        <w:t>4</w:t>
      </w:r>
      <w:r>
        <w:t xml:space="preserve"> fo</w:t>
      </w:r>
      <w:r w:rsidR="0043047B">
        <w:t xml:space="preserve">r a description of terminology referred to in the Planning and Reporting template. </w:t>
      </w:r>
    </w:p>
    <w:p w14:paraId="05AB8AA2" w14:textId="77777777" w:rsidR="00964C6C" w:rsidRDefault="00964C6C" w:rsidP="00964C6C">
      <w:pPr>
        <w:pStyle w:val="Bullet1"/>
        <w:numPr>
          <w:ilvl w:val="0"/>
          <w:numId w:val="0"/>
        </w:numPr>
        <w:ind w:left="284" w:hanging="284"/>
      </w:pPr>
    </w:p>
    <w:p w14:paraId="0232DFD5" w14:textId="74C194AA" w:rsidR="00964C6C" w:rsidRDefault="00964C6C">
      <w:pPr>
        <w:spacing w:after="0" w:line="240" w:lineRule="auto"/>
        <w:rPr>
          <w:rFonts w:eastAsia="Times"/>
        </w:rPr>
      </w:pPr>
      <w:r>
        <w:br w:type="page"/>
      </w:r>
    </w:p>
    <w:p w14:paraId="1DFC7E42" w14:textId="535EEADE" w:rsidR="00F51077" w:rsidRPr="00875561" w:rsidRDefault="00081327" w:rsidP="00F51077">
      <w:pPr>
        <w:pStyle w:val="Heading2"/>
      </w:pPr>
      <w:bookmarkStart w:id="10" w:name="_Toc45109764"/>
      <w:bookmarkStart w:id="11" w:name="_Toc206763614"/>
      <w:bookmarkStart w:id="12" w:name="_Toc214378204"/>
      <w:r>
        <w:lastRenderedPageBreak/>
        <w:t xml:space="preserve">16505: </w:t>
      </w:r>
      <w:r w:rsidR="00F51077" w:rsidRPr="00875561">
        <w:t>Training and Development</w:t>
      </w:r>
      <w:bookmarkEnd w:id="10"/>
      <w:bookmarkEnd w:id="11"/>
      <w:bookmarkEnd w:id="12"/>
      <w:r w:rsidR="00F51077" w:rsidRPr="00875561">
        <w:t xml:space="preserve">  </w:t>
      </w:r>
    </w:p>
    <w:p w14:paraId="0EEAC594" w14:textId="77777777" w:rsidR="002E7B16" w:rsidRDefault="002E7B16" w:rsidP="002E7B16">
      <w:pPr>
        <w:pStyle w:val="Body"/>
      </w:pPr>
      <w:r>
        <w:t xml:space="preserve">Outcome objective: Victorians are healthy and well </w:t>
      </w:r>
    </w:p>
    <w:p w14:paraId="5FAA71CA" w14:textId="77777777" w:rsidR="002E7B16" w:rsidRDefault="002E7B16" w:rsidP="002E7B16">
      <w:pPr>
        <w:pStyle w:val="Body"/>
      </w:pPr>
      <w:r>
        <w:t xml:space="preserve">Output group: </w:t>
      </w:r>
      <w:r w:rsidRPr="00177619">
        <w:rPr>
          <w:noProof/>
        </w:rPr>
        <w:t>Public Health</w:t>
      </w:r>
    </w:p>
    <w:p w14:paraId="28DC46F9" w14:textId="77777777" w:rsidR="002E7B16" w:rsidRDefault="002E7B16" w:rsidP="002E7B16">
      <w:pPr>
        <w:pStyle w:val="Body"/>
        <w:rPr>
          <w:noProof/>
        </w:rPr>
      </w:pPr>
      <w:r>
        <w:t xml:space="preserve">Output: </w:t>
      </w:r>
      <w:r w:rsidRPr="00177619">
        <w:rPr>
          <w:noProof/>
        </w:rPr>
        <w:t xml:space="preserve">Health </w:t>
      </w:r>
      <w:r>
        <w:rPr>
          <w:noProof/>
        </w:rPr>
        <w:t>P</w:t>
      </w:r>
      <w:r w:rsidRPr="00177619">
        <w:rPr>
          <w:noProof/>
        </w:rPr>
        <w:t>rotection</w:t>
      </w:r>
    </w:p>
    <w:p w14:paraId="735DA599" w14:textId="77777777" w:rsidR="00330129" w:rsidRPr="00875561" w:rsidRDefault="00330129" w:rsidP="002A01B6">
      <w:pPr>
        <w:pStyle w:val="Heading3"/>
      </w:pPr>
      <w:r w:rsidRPr="00875561">
        <w:t xml:space="preserve">1. Service Objective </w:t>
      </w:r>
    </w:p>
    <w:p w14:paraId="6AA6D2DE" w14:textId="2871E0F5" w:rsidR="00330129" w:rsidRPr="00381580" w:rsidRDefault="00330129" w:rsidP="00330129">
      <w:pPr>
        <w:pStyle w:val="Body"/>
        <w:rPr>
          <w:rFonts w:eastAsia="MS Gothic"/>
          <w:sz w:val="24"/>
          <w:szCs w:val="26"/>
        </w:rPr>
      </w:pPr>
      <w:r w:rsidRPr="00181D35">
        <w:t xml:space="preserve">To provide education and training to the BBVSTI sector, including volunteers, health professionals and organisational staff, and coordinate health information updates. </w:t>
      </w:r>
      <w:r>
        <w:t xml:space="preserve"> </w:t>
      </w:r>
    </w:p>
    <w:p w14:paraId="1CF48B42" w14:textId="77777777" w:rsidR="00330129" w:rsidRPr="00875561" w:rsidRDefault="00330129" w:rsidP="00F305BC">
      <w:pPr>
        <w:pStyle w:val="Heading3"/>
      </w:pPr>
      <w:r w:rsidRPr="00875561">
        <w:t>2. Description of the service</w:t>
      </w:r>
    </w:p>
    <w:p w14:paraId="6C8F1913" w14:textId="037C85C1" w:rsidR="00330129" w:rsidRPr="00381580" w:rsidRDefault="00330129" w:rsidP="00330129">
      <w:pPr>
        <w:pStyle w:val="Body"/>
        <w:rPr>
          <w:rFonts w:eastAsia="MS Gothic"/>
          <w:sz w:val="24"/>
          <w:szCs w:val="26"/>
        </w:rPr>
      </w:pPr>
      <w:r>
        <w:t xml:space="preserve">Training and development of BBVSTI sector </w:t>
      </w:r>
      <w:r w:rsidRPr="000D3F30">
        <w:t>workforce</w:t>
      </w:r>
      <w:r>
        <w:t xml:space="preserve"> through targeted training programs, networking information sharing, communities of practice and mentoring.</w:t>
      </w:r>
    </w:p>
    <w:p w14:paraId="48C1CD49" w14:textId="77777777" w:rsidR="00330129" w:rsidRPr="00875561" w:rsidRDefault="00330129" w:rsidP="00F305BC">
      <w:pPr>
        <w:pStyle w:val="Heading3"/>
      </w:pPr>
      <w:r w:rsidRPr="00875561">
        <w:t>3. Client group</w:t>
      </w:r>
    </w:p>
    <w:p w14:paraId="4DED4C33" w14:textId="3160473A" w:rsidR="00330129" w:rsidRDefault="00330129" w:rsidP="00330129">
      <w:pPr>
        <w:pStyle w:val="Body"/>
      </w:pPr>
      <w:r>
        <w:rPr>
          <w:rStyle w:val="DHHSbodyChar"/>
        </w:rPr>
        <w:t xml:space="preserve">BBVSTI sector workforce including volunteers, health professionals and organisational staff. </w:t>
      </w:r>
    </w:p>
    <w:p w14:paraId="239122D6" w14:textId="77777777" w:rsidR="00330129" w:rsidRPr="00875561" w:rsidRDefault="00330129" w:rsidP="00D65E98">
      <w:pPr>
        <w:pStyle w:val="Heading3"/>
      </w:pPr>
      <w:r w:rsidRPr="00875561">
        <w:t>4. Obligations specific to this activity</w:t>
      </w:r>
    </w:p>
    <w:p w14:paraId="11F22B36" w14:textId="77777777" w:rsidR="00330129" w:rsidRDefault="00330129" w:rsidP="00330129">
      <w:pPr>
        <w:pStyle w:val="Body"/>
      </w:pPr>
      <w:r>
        <w:t>In addition to the obligations listed in the Service Agreement, organisations funded to deliver this activity must comply with the following:</w:t>
      </w:r>
    </w:p>
    <w:p w14:paraId="12706454" w14:textId="77777777" w:rsidR="00330129" w:rsidRPr="00D65E98" w:rsidRDefault="00330129" w:rsidP="00D65E98">
      <w:pPr>
        <w:pStyle w:val="Heading4"/>
      </w:pPr>
      <w:r w:rsidRPr="00D65E98">
        <w:t xml:space="preserve">4a.  Registration and Accreditation </w:t>
      </w:r>
    </w:p>
    <w:p w14:paraId="7CC59658" w14:textId="77777777" w:rsidR="00330129" w:rsidRPr="007B4F12" w:rsidRDefault="00330129" w:rsidP="00330129">
      <w:pPr>
        <w:pStyle w:val="Body"/>
      </w:pPr>
      <w:r w:rsidRPr="007B4F12">
        <w:t>N/A</w:t>
      </w:r>
    </w:p>
    <w:p w14:paraId="4325B823" w14:textId="77777777" w:rsidR="00330129" w:rsidRPr="00D65E98" w:rsidRDefault="00330129" w:rsidP="00D65E98">
      <w:pPr>
        <w:pStyle w:val="Heading4"/>
      </w:pPr>
      <w:r w:rsidRPr="00D65E98">
        <w:t xml:space="preserve">4b. Program requirements and other policy guidelines </w:t>
      </w:r>
    </w:p>
    <w:p w14:paraId="1915EE75" w14:textId="742E2D74" w:rsidR="00330129" w:rsidRPr="00EB237A" w:rsidRDefault="00330129" w:rsidP="00D65E98">
      <w:pPr>
        <w:pStyle w:val="Body"/>
        <w:rPr>
          <w:rStyle w:val="DHHSbodyChar"/>
          <w:b/>
          <w:bCs/>
        </w:rPr>
      </w:pPr>
      <w:r w:rsidRPr="32360E96">
        <w:rPr>
          <w:rStyle w:val="DHHSbodyChar"/>
        </w:rPr>
        <w:t>BBVSTI Program Guidelines for Funded Agencies (current edition).</w:t>
      </w:r>
    </w:p>
    <w:p w14:paraId="7969CCE0" w14:textId="77777777" w:rsidR="00330129" w:rsidRPr="00875561" w:rsidRDefault="00330129" w:rsidP="00D65E98">
      <w:pPr>
        <w:pStyle w:val="Heading3"/>
        <w:rPr>
          <w:rFonts w:cs="Arial"/>
          <w:color w:val="201547"/>
          <w:kern w:val="32"/>
          <w:sz w:val="28"/>
          <w:szCs w:val="40"/>
        </w:rPr>
      </w:pPr>
      <w:r w:rsidRPr="00875561">
        <w:t>5. Performance</w:t>
      </w:r>
    </w:p>
    <w:p w14:paraId="6AE5AD6D" w14:textId="77777777" w:rsidR="00330129" w:rsidRPr="001F1A17" w:rsidRDefault="00330129" w:rsidP="00330129">
      <w:pPr>
        <w:pStyle w:val="Body"/>
      </w:pPr>
      <w:r>
        <w:t>Funding is subject to achieving the</w:t>
      </w:r>
      <w:r w:rsidRPr="00171F04">
        <w:t xml:space="preserve"> </w:t>
      </w:r>
      <w:r>
        <w:t xml:space="preserve">performance targets specified in Schedule 2 of the Service Agreement. Performance is measured as follows:  </w:t>
      </w:r>
    </w:p>
    <w:p w14:paraId="083B18C6" w14:textId="6B2E9668" w:rsidR="00330129" w:rsidRPr="000D3F30" w:rsidRDefault="00330129" w:rsidP="00330129">
      <w:pPr>
        <w:pStyle w:val="Body"/>
      </w:pPr>
      <w:r>
        <w:t>Key performance measure 1: Annual BBVSTI Training and Development Report</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371"/>
      </w:tblGrid>
      <w:tr w:rsidR="00330129" w:rsidRPr="00C237A0" w14:paraId="2AB3BFC3" w14:textId="77777777" w:rsidTr="00DF4F0D">
        <w:trPr>
          <w:cantSplit/>
          <w:trHeight w:hRule="exact" w:val="577"/>
          <w:jc w:val="center"/>
        </w:trPr>
        <w:tc>
          <w:tcPr>
            <w:tcW w:w="1843" w:type="dxa"/>
          </w:tcPr>
          <w:p w14:paraId="5E32263D" w14:textId="77777777" w:rsidR="00330129" w:rsidRPr="00324ED5" w:rsidRDefault="00330129" w:rsidP="00330129">
            <w:pPr>
              <w:pStyle w:val="Body"/>
            </w:pPr>
            <w:r w:rsidRPr="00324ED5">
              <w:t>Aim/objective</w:t>
            </w:r>
          </w:p>
        </w:tc>
        <w:tc>
          <w:tcPr>
            <w:tcW w:w="8371" w:type="dxa"/>
          </w:tcPr>
          <w:p w14:paraId="44F1E8D9" w14:textId="77777777" w:rsidR="00330129" w:rsidRDefault="00330129" w:rsidP="00330129">
            <w:pPr>
              <w:pStyle w:val="Body"/>
            </w:pPr>
            <w:r>
              <w:t>To identify and articulate training and development activities undertaken in the 12-month period.</w:t>
            </w:r>
          </w:p>
          <w:p w14:paraId="0F7E9BE2" w14:textId="77777777" w:rsidR="00330129" w:rsidRDefault="00330129" w:rsidP="00330129">
            <w:pPr>
              <w:pStyle w:val="Body"/>
            </w:pPr>
          </w:p>
          <w:p w14:paraId="072EF8C8" w14:textId="77777777" w:rsidR="00330129" w:rsidRDefault="00330129" w:rsidP="00330129">
            <w:pPr>
              <w:pStyle w:val="Body"/>
            </w:pPr>
          </w:p>
          <w:p w14:paraId="300AD5AB" w14:textId="77777777" w:rsidR="00330129" w:rsidRPr="002F7C4B" w:rsidRDefault="00330129" w:rsidP="00330129">
            <w:pPr>
              <w:pStyle w:val="Body"/>
              <w:rPr>
                <w:color w:val="7030A0"/>
              </w:rPr>
            </w:pPr>
          </w:p>
        </w:tc>
      </w:tr>
      <w:tr w:rsidR="00330129" w:rsidRPr="008A05F2" w14:paraId="024CF8CE" w14:textId="77777777" w:rsidTr="00DF4F0D">
        <w:trPr>
          <w:cantSplit/>
          <w:trHeight w:hRule="exact" w:val="363"/>
          <w:jc w:val="center"/>
        </w:trPr>
        <w:tc>
          <w:tcPr>
            <w:tcW w:w="1843" w:type="dxa"/>
          </w:tcPr>
          <w:p w14:paraId="4CD06FFC" w14:textId="77777777" w:rsidR="00330129" w:rsidRPr="00324ED5" w:rsidRDefault="00330129" w:rsidP="00330129">
            <w:pPr>
              <w:pStyle w:val="Body"/>
            </w:pPr>
            <w:r w:rsidRPr="00324ED5">
              <w:t>Target</w:t>
            </w:r>
          </w:p>
        </w:tc>
        <w:tc>
          <w:tcPr>
            <w:tcW w:w="8371" w:type="dxa"/>
          </w:tcPr>
          <w:p w14:paraId="7364EFB5" w14:textId="77777777" w:rsidR="00330129" w:rsidRPr="008A05F2" w:rsidRDefault="00330129" w:rsidP="00330129">
            <w:pPr>
              <w:pStyle w:val="Body"/>
            </w:pPr>
            <w:r w:rsidRPr="008A05F2">
              <w:t>As per the Service Agreement</w:t>
            </w:r>
          </w:p>
        </w:tc>
      </w:tr>
      <w:tr w:rsidR="00330129" w:rsidRPr="008A05F2" w14:paraId="2AF35319" w14:textId="77777777" w:rsidTr="00DF4F0D">
        <w:trPr>
          <w:cantSplit/>
          <w:trHeight w:hRule="exact" w:val="340"/>
          <w:jc w:val="center"/>
        </w:trPr>
        <w:tc>
          <w:tcPr>
            <w:tcW w:w="1843" w:type="dxa"/>
          </w:tcPr>
          <w:p w14:paraId="5DF1A8A9" w14:textId="77777777" w:rsidR="00330129" w:rsidRPr="00324ED5" w:rsidRDefault="00330129" w:rsidP="00330129">
            <w:pPr>
              <w:pStyle w:val="Body"/>
            </w:pPr>
            <w:r w:rsidRPr="00324ED5">
              <w:t>Type of count</w:t>
            </w:r>
          </w:p>
        </w:tc>
        <w:tc>
          <w:tcPr>
            <w:tcW w:w="8371" w:type="dxa"/>
          </w:tcPr>
          <w:p w14:paraId="1AE05396" w14:textId="77777777" w:rsidR="00330129" w:rsidRPr="008A05F2" w:rsidRDefault="00330129" w:rsidP="00330129">
            <w:pPr>
              <w:pStyle w:val="Body"/>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8A05F2">
              <w:t xml:space="preserve"> Cumulative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8A05F2">
              <w:t xml:space="preserve"> </w:t>
            </w:r>
            <w:proofErr w:type="gramStart"/>
            <w:r w:rsidRPr="008A05F2">
              <w:t>Non-cumulative</w:t>
            </w:r>
            <w:proofErr w:type="gramEnd"/>
          </w:p>
        </w:tc>
      </w:tr>
      <w:tr w:rsidR="00330129" w:rsidRPr="00C237A0" w14:paraId="04E3CEA1" w14:textId="77777777" w:rsidTr="00534B0C">
        <w:trPr>
          <w:cantSplit/>
          <w:trHeight w:hRule="exact" w:val="6808"/>
          <w:jc w:val="center"/>
        </w:trPr>
        <w:tc>
          <w:tcPr>
            <w:tcW w:w="1843" w:type="dxa"/>
            <w:tcBorders>
              <w:top w:val="single" w:sz="4" w:space="0" w:color="auto"/>
              <w:left w:val="single" w:sz="4" w:space="0" w:color="auto"/>
              <w:bottom w:val="single" w:sz="4" w:space="0" w:color="auto"/>
              <w:right w:val="single" w:sz="4" w:space="0" w:color="auto"/>
            </w:tcBorders>
          </w:tcPr>
          <w:p w14:paraId="53C7A2FF" w14:textId="77777777" w:rsidR="00330129" w:rsidRPr="00324ED5" w:rsidRDefault="00330129" w:rsidP="00330129">
            <w:pPr>
              <w:pStyle w:val="Body"/>
            </w:pPr>
            <w:r w:rsidRPr="00324ED5">
              <w:lastRenderedPageBreak/>
              <w:t>Counting rule</w:t>
            </w:r>
          </w:p>
        </w:tc>
        <w:tc>
          <w:tcPr>
            <w:tcW w:w="8371" w:type="dxa"/>
            <w:tcBorders>
              <w:top w:val="single" w:sz="4" w:space="0" w:color="auto"/>
              <w:left w:val="single" w:sz="4" w:space="0" w:color="auto"/>
              <w:bottom w:val="single" w:sz="4" w:space="0" w:color="auto"/>
              <w:right w:val="single" w:sz="4" w:space="0" w:color="auto"/>
            </w:tcBorders>
          </w:tcPr>
          <w:p w14:paraId="2CC50454" w14:textId="092CD2E2" w:rsidR="00330129" w:rsidRPr="00324ED5" w:rsidRDefault="00330129" w:rsidP="00330129">
            <w:pPr>
              <w:pStyle w:val="Body"/>
            </w:pPr>
            <w:r>
              <w:t xml:space="preserve">An </w:t>
            </w:r>
            <w:r w:rsidRPr="12F707E6">
              <w:t>Annual BBVSTI Training and Development Report</w:t>
            </w:r>
            <w:r>
              <w:t xml:space="preserve"> which reports against the Annual Agency Plan will contain the following information (as applicable):</w:t>
            </w:r>
          </w:p>
          <w:p w14:paraId="1D43CF61" w14:textId="77777777" w:rsidR="00330129" w:rsidRPr="002E32C3" w:rsidRDefault="00330129" w:rsidP="00330129">
            <w:pPr>
              <w:pStyle w:val="Body"/>
              <w:rPr>
                <w:i/>
                <w:iCs/>
              </w:rPr>
            </w:pPr>
            <w:r w:rsidRPr="002E32C3">
              <w:rPr>
                <w:i/>
                <w:iCs/>
              </w:rPr>
              <w:t>Training Programs:</w:t>
            </w:r>
          </w:p>
          <w:p w14:paraId="4D776CF1" w14:textId="77777777" w:rsidR="00330129" w:rsidRDefault="00330129" w:rsidP="00750CA5">
            <w:pPr>
              <w:pStyle w:val="Body"/>
              <w:numPr>
                <w:ilvl w:val="0"/>
                <w:numId w:val="8"/>
              </w:numPr>
            </w:pPr>
            <w:r>
              <w:t>number of training sessions offered and delivered per year by type of training, target group and location</w:t>
            </w:r>
          </w:p>
          <w:p w14:paraId="799B35EF" w14:textId="77777777" w:rsidR="00330129" w:rsidRDefault="00330129" w:rsidP="00750CA5">
            <w:pPr>
              <w:pStyle w:val="Body"/>
              <w:numPr>
                <w:ilvl w:val="0"/>
                <w:numId w:val="8"/>
              </w:numPr>
            </w:pPr>
            <w:r>
              <w:t>number of participants by type of training target group and location</w:t>
            </w:r>
          </w:p>
          <w:p w14:paraId="5271109A" w14:textId="77777777" w:rsidR="00330129" w:rsidRDefault="00330129" w:rsidP="00750CA5">
            <w:pPr>
              <w:pStyle w:val="Body"/>
              <w:numPr>
                <w:ilvl w:val="0"/>
                <w:numId w:val="8"/>
              </w:numPr>
            </w:pPr>
            <w:r>
              <w:t xml:space="preserve">impacts and outcomes of the training program </w:t>
            </w:r>
            <w:r w:rsidRPr="00181D35">
              <w:t xml:space="preserve">or </w:t>
            </w:r>
            <w:bookmarkStart w:id="13" w:name="_Hlk43133025"/>
            <w:r w:rsidRPr="00181D35">
              <w:t>program of event</w:t>
            </w:r>
            <w:bookmarkEnd w:id="13"/>
            <w:r>
              <w:t>s</w:t>
            </w:r>
          </w:p>
          <w:p w14:paraId="5696CAAC" w14:textId="77777777" w:rsidR="00330129" w:rsidRDefault="00330129" w:rsidP="00750CA5">
            <w:pPr>
              <w:pStyle w:val="Body"/>
              <w:numPr>
                <w:ilvl w:val="0"/>
                <w:numId w:val="8"/>
              </w:numPr>
            </w:pPr>
            <w:r>
              <w:t xml:space="preserve">budget and expenditure for the training program </w:t>
            </w:r>
            <w:r w:rsidRPr="00181D35">
              <w:t>or program of events</w:t>
            </w:r>
          </w:p>
          <w:p w14:paraId="399319E3" w14:textId="07667898" w:rsidR="00330129" w:rsidRDefault="00330129" w:rsidP="00750CA5">
            <w:pPr>
              <w:pStyle w:val="Body"/>
              <w:numPr>
                <w:ilvl w:val="0"/>
                <w:numId w:val="8"/>
              </w:numPr>
            </w:pPr>
            <w:r>
              <w:t>process and/or impact evaluation for key training programs or events.</w:t>
            </w:r>
          </w:p>
          <w:p w14:paraId="5B54DB7A" w14:textId="77777777" w:rsidR="00330129" w:rsidRPr="002E32C3" w:rsidRDefault="00330129" w:rsidP="00330129">
            <w:pPr>
              <w:pStyle w:val="Body"/>
              <w:rPr>
                <w:i/>
                <w:iCs/>
              </w:rPr>
            </w:pPr>
            <w:r w:rsidRPr="002E32C3">
              <w:rPr>
                <w:i/>
                <w:iCs/>
              </w:rPr>
              <w:t>For networking/mentoring/communities of practice:</w:t>
            </w:r>
          </w:p>
          <w:p w14:paraId="6174B222" w14:textId="77777777" w:rsidR="00330129" w:rsidRDefault="00330129" w:rsidP="00750CA5">
            <w:pPr>
              <w:pStyle w:val="Body"/>
              <w:numPr>
                <w:ilvl w:val="0"/>
                <w:numId w:val="9"/>
              </w:numPr>
            </w:pPr>
            <w:r>
              <w:t xml:space="preserve">number of networking/communities of practice events held. </w:t>
            </w:r>
            <w:r w:rsidRPr="00B72820">
              <w:t xml:space="preserve">Number of participants by type of </w:t>
            </w:r>
            <w:r>
              <w:t>event</w:t>
            </w:r>
            <w:r w:rsidRPr="00B72820">
              <w:t>, target group and location</w:t>
            </w:r>
          </w:p>
          <w:p w14:paraId="54E2A1E2" w14:textId="77777777" w:rsidR="00330129" w:rsidRDefault="00330129" w:rsidP="00750CA5">
            <w:pPr>
              <w:pStyle w:val="Body"/>
              <w:numPr>
                <w:ilvl w:val="0"/>
                <w:numId w:val="9"/>
              </w:numPr>
            </w:pPr>
            <w:r>
              <w:t>number of mentoring placements made</w:t>
            </w:r>
          </w:p>
          <w:p w14:paraId="15694BA6" w14:textId="77777777" w:rsidR="00330129" w:rsidRDefault="00330129" w:rsidP="00750CA5">
            <w:pPr>
              <w:pStyle w:val="Body"/>
              <w:numPr>
                <w:ilvl w:val="0"/>
                <w:numId w:val="9"/>
              </w:numPr>
            </w:pPr>
            <w:r>
              <w:t>number of mentoring relationships established</w:t>
            </w:r>
          </w:p>
          <w:p w14:paraId="0387CC0A" w14:textId="77777777" w:rsidR="00330129" w:rsidRDefault="00330129" w:rsidP="00750CA5">
            <w:pPr>
              <w:pStyle w:val="Body"/>
              <w:numPr>
                <w:ilvl w:val="0"/>
                <w:numId w:val="9"/>
              </w:numPr>
            </w:pPr>
            <w:r>
              <w:t>impacts and outcomes of the networking/mentoring activity</w:t>
            </w:r>
          </w:p>
          <w:p w14:paraId="488D79BF" w14:textId="1F2F37CF" w:rsidR="00330129" w:rsidRDefault="00330129" w:rsidP="00750CA5">
            <w:pPr>
              <w:pStyle w:val="Body"/>
              <w:numPr>
                <w:ilvl w:val="0"/>
                <w:numId w:val="9"/>
              </w:numPr>
            </w:pPr>
            <w:r>
              <w:t>budget and expenditure for the networking/mentoring activity</w:t>
            </w:r>
          </w:p>
          <w:p w14:paraId="76846741" w14:textId="77777777" w:rsidR="00330129" w:rsidRPr="002C1E3F" w:rsidRDefault="00330129" w:rsidP="00330129">
            <w:pPr>
              <w:pStyle w:val="Body"/>
              <w:rPr>
                <w:i/>
                <w:iCs/>
              </w:rPr>
            </w:pPr>
            <w:r w:rsidRPr="002C1E3F">
              <w:rPr>
                <w:i/>
                <w:iCs/>
              </w:rPr>
              <w:t>Other</w:t>
            </w:r>
          </w:p>
          <w:p w14:paraId="507A24C5" w14:textId="4D02A50C" w:rsidR="00330129" w:rsidRDefault="00534B0C" w:rsidP="00750CA5">
            <w:pPr>
              <w:pStyle w:val="Body"/>
              <w:numPr>
                <w:ilvl w:val="0"/>
                <w:numId w:val="9"/>
              </w:numPr>
            </w:pPr>
            <w:r>
              <w:t>A f</w:t>
            </w:r>
            <w:r w:rsidR="00330129">
              <w:t>inancial acquittal for the financial year</w:t>
            </w:r>
          </w:p>
          <w:p w14:paraId="78E172A7" w14:textId="77777777" w:rsidR="00330129" w:rsidRDefault="00330129" w:rsidP="00330129">
            <w:pPr>
              <w:pStyle w:val="Body"/>
            </w:pPr>
          </w:p>
          <w:p w14:paraId="7BF86FBE" w14:textId="77777777" w:rsidR="00330129" w:rsidRPr="00C237A0" w:rsidRDefault="00330129" w:rsidP="00330129">
            <w:pPr>
              <w:pStyle w:val="Body"/>
            </w:pPr>
            <w:r>
              <w:t xml:space="preserve"> </w:t>
            </w:r>
          </w:p>
        </w:tc>
      </w:tr>
      <w:tr w:rsidR="00330129" w:rsidRPr="00C237A0" w14:paraId="49CBF91D" w14:textId="77777777" w:rsidTr="00DF4F0D">
        <w:trPr>
          <w:cantSplit/>
          <w:trHeight w:hRule="exact" w:val="579"/>
          <w:jc w:val="center"/>
        </w:trPr>
        <w:tc>
          <w:tcPr>
            <w:tcW w:w="1843" w:type="dxa"/>
            <w:vAlign w:val="center"/>
          </w:tcPr>
          <w:p w14:paraId="327A9AAE" w14:textId="0032A278" w:rsidR="00330129" w:rsidRPr="00324ED5" w:rsidRDefault="00330129" w:rsidP="00330129">
            <w:pPr>
              <w:pStyle w:val="Body"/>
            </w:pPr>
            <w:r w:rsidRPr="00324ED5">
              <w:t>Data source collection</w:t>
            </w:r>
          </w:p>
        </w:tc>
        <w:tc>
          <w:tcPr>
            <w:tcW w:w="8371" w:type="dxa"/>
            <w:vAlign w:val="center"/>
          </w:tcPr>
          <w:p w14:paraId="248CD4C9" w14:textId="77777777" w:rsidR="00330129" w:rsidRPr="002F7C4B" w:rsidRDefault="00330129" w:rsidP="00330129">
            <w:pPr>
              <w:pStyle w:val="Body"/>
              <w:rPr>
                <w:color w:val="7030A0"/>
              </w:rPr>
            </w:pPr>
            <w:r>
              <w:t xml:space="preserve">Annual BBVSTI Training and Development Report </w:t>
            </w:r>
          </w:p>
        </w:tc>
      </w:tr>
    </w:tbl>
    <w:p w14:paraId="31209C10" w14:textId="77777777" w:rsidR="00330129" w:rsidRDefault="00330129" w:rsidP="00330129">
      <w:pPr>
        <w:pStyle w:val="Body"/>
      </w:pPr>
    </w:p>
    <w:p w14:paraId="4B0FD313" w14:textId="77777777" w:rsidR="00330129" w:rsidRPr="00875561" w:rsidRDefault="00330129" w:rsidP="00592C98">
      <w:pPr>
        <w:pStyle w:val="Heading3"/>
      </w:pPr>
      <w:r w:rsidRPr="00875561">
        <w:t>6. Data collection</w:t>
      </w:r>
    </w:p>
    <w:p w14:paraId="392161C2" w14:textId="77777777" w:rsidR="00330129" w:rsidRDefault="00330129" w:rsidP="00330129">
      <w:pPr>
        <w:pStyle w:val="Body"/>
      </w:pPr>
      <w:r>
        <w:t>The reporting requirements for this service are:</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1956"/>
        <w:gridCol w:w="1418"/>
        <w:gridCol w:w="4294"/>
      </w:tblGrid>
      <w:tr w:rsidR="00330129" w:rsidRPr="00045493" w14:paraId="3F0588E5" w14:textId="77777777" w:rsidTr="002920F6">
        <w:trPr>
          <w:trHeight w:hRule="exact" w:val="631"/>
          <w:tblHeader/>
          <w:jc w:val="center"/>
        </w:trPr>
        <w:tc>
          <w:tcPr>
            <w:tcW w:w="2580" w:type="dxa"/>
            <w:vAlign w:val="center"/>
          </w:tcPr>
          <w:p w14:paraId="50B031DB" w14:textId="77777777" w:rsidR="00330129" w:rsidRPr="00575BC9" w:rsidRDefault="00330129" w:rsidP="00592C98">
            <w:pPr>
              <w:pStyle w:val="Body"/>
              <w:jc w:val="center"/>
            </w:pPr>
            <w:r w:rsidRPr="00575BC9">
              <w:t>Data collection name</w:t>
            </w:r>
          </w:p>
        </w:tc>
        <w:tc>
          <w:tcPr>
            <w:tcW w:w="1956" w:type="dxa"/>
            <w:vAlign w:val="center"/>
          </w:tcPr>
          <w:p w14:paraId="12758B5C" w14:textId="7394FBDA" w:rsidR="00330129" w:rsidRPr="00575BC9" w:rsidRDefault="00330129" w:rsidP="00592C98">
            <w:pPr>
              <w:pStyle w:val="Body"/>
              <w:jc w:val="center"/>
            </w:pPr>
            <w:r w:rsidRPr="00575BC9">
              <w:t>Data system</w:t>
            </w:r>
          </w:p>
        </w:tc>
        <w:tc>
          <w:tcPr>
            <w:tcW w:w="1418" w:type="dxa"/>
            <w:vAlign w:val="center"/>
          </w:tcPr>
          <w:p w14:paraId="426FF202" w14:textId="358EC32C" w:rsidR="00330129" w:rsidRPr="00575BC9" w:rsidRDefault="00330129" w:rsidP="00592C98">
            <w:pPr>
              <w:pStyle w:val="Body"/>
              <w:jc w:val="center"/>
            </w:pPr>
            <w:r w:rsidRPr="00575BC9">
              <w:t>Data set</w:t>
            </w:r>
          </w:p>
        </w:tc>
        <w:tc>
          <w:tcPr>
            <w:tcW w:w="4294" w:type="dxa"/>
            <w:vAlign w:val="center"/>
          </w:tcPr>
          <w:p w14:paraId="5BA4094C" w14:textId="77777777" w:rsidR="00330129" w:rsidRPr="00575BC9" w:rsidRDefault="00330129" w:rsidP="00592C98">
            <w:pPr>
              <w:pStyle w:val="Body"/>
              <w:jc w:val="center"/>
            </w:pPr>
            <w:r w:rsidRPr="00575BC9">
              <w:t>Reporting cycle</w:t>
            </w:r>
          </w:p>
        </w:tc>
      </w:tr>
      <w:tr w:rsidR="00330129" w:rsidRPr="00C237A0" w14:paraId="255EF863" w14:textId="77777777" w:rsidTr="002920F6">
        <w:trPr>
          <w:trHeight w:val="280"/>
          <w:jc w:val="center"/>
        </w:trPr>
        <w:tc>
          <w:tcPr>
            <w:tcW w:w="2580" w:type="dxa"/>
          </w:tcPr>
          <w:p w14:paraId="52617C54" w14:textId="45F6637E" w:rsidR="00330129" w:rsidRDefault="00330129" w:rsidP="00330129">
            <w:pPr>
              <w:pStyle w:val="Body"/>
            </w:pPr>
            <w:r>
              <w:t>Annual Plan</w:t>
            </w:r>
          </w:p>
          <w:p w14:paraId="639E9148" w14:textId="49755312" w:rsidR="00330129" w:rsidRPr="008626B8" w:rsidRDefault="00330129" w:rsidP="00330129">
            <w:pPr>
              <w:pStyle w:val="Body"/>
            </w:pPr>
            <w:r>
              <w:t xml:space="preserve">Use template in </w:t>
            </w:r>
            <w:r w:rsidRPr="006230B6">
              <w:rPr>
                <w:b/>
                <w:bCs/>
              </w:rPr>
              <w:t xml:space="preserve">Appendix </w:t>
            </w:r>
            <w:r w:rsidR="00F6404D">
              <w:rPr>
                <w:b/>
                <w:bCs/>
              </w:rPr>
              <w:t>1</w:t>
            </w:r>
            <w:r>
              <w:t xml:space="preserve"> </w:t>
            </w:r>
          </w:p>
        </w:tc>
        <w:tc>
          <w:tcPr>
            <w:tcW w:w="1956" w:type="dxa"/>
          </w:tcPr>
          <w:p w14:paraId="55386D52" w14:textId="77777777" w:rsidR="00330129" w:rsidRPr="008626B8" w:rsidRDefault="00330129" w:rsidP="00330129">
            <w:pPr>
              <w:pStyle w:val="Body"/>
            </w:pPr>
            <w:r>
              <w:t>Plan</w:t>
            </w:r>
          </w:p>
        </w:tc>
        <w:tc>
          <w:tcPr>
            <w:tcW w:w="1418" w:type="dxa"/>
          </w:tcPr>
          <w:p w14:paraId="70C6B2E2" w14:textId="77777777" w:rsidR="00330129" w:rsidRPr="008626B8" w:rsidRDefault="00330129" w:rsidP="00330129">
            <w:pPr>
              <w:pStyle w:val="Body"/>
            </w:pPr>
            <w:r>
              <w:t>N/A</w:t>
            </w:r>
          </w:p>
        </w:tc>
        <w:tc>
          <w:tcPr>
            <w:tcW w:w="4294" w:type="dxa"/>
          </w:tcPr>
          <w:p w14:paraId="11C98EFA" w14:textId="1D2FF044" w:rsidR="00330129" w:rsidRPr="005C20A7" w:rsidRDefault="00330129" w:rsidP="00330129">
            <w:pPr>
              <w:pStyle w:val="Body"/>
            </w:pPr>
            <w:r>
              <w:t>30 April e.g. 202</w:t>
            </w:r>
            <w:r w:rsidR="008E0E58">
              <w:t>5</w:t>
            </w:r>
            <w:r>
              <w:t xml:space="preserve"> – </w:t>
            </w:r>
            <w:r w:rsidR="008E0E58">
              <w:t>‘</w:t>
            </w:r>
            <w:r>
              <w:t>2</w:t>
            </w:r>
            <w:r w:rsidR="008E0E58">
              <w:t>6</w:t>
            </w:r>
            <w:r>
              <w:t xml:space="preserve"> annual plan is due 30 April 202</w:t>
            </w:r>
            <w:r w:rsidR="00E47908">
              <w:t>5</w:t>
            </w:r>
            <w:r>
              <w:t xml:space="preserve">. </w:t>
            </w:r>
          </w:p>
          <w:p w14:paraId="7C7EBE7F" w14:textId="77777777" w:rsidR="00330129" w:rsidRPr="005C20A7" w:rsidRDefault="00330129" w:rsidP="00330129">
            <w:pPr>
              <w:pStyle w:val="Body"/>
            </w:pPr>
          </w:p>
        </w:tc>
      </w:tr>
      <w:tr w:rsidR="00330129" w:rsidRPr="00C237A0" w14:paraId="4A3DF21D" w14:textId="77777777" w:rsidTr="002920F6">
        <w:trPr>
          <w:jc w:val="center"/>
        </w:trPr>
        <w:tc>
          <w:tcPr>
            <w:tcW w:w="2580" w:type="dxa"/>
          </w:tcPr>
          <w:p w14:paraId="476BB752" w14:textId="53212569" w:rsidR="00330129" w:rsidRDefault="00330129" w:rsidP="00330129">
            <w:pPr>
              <w:pStyle w:val="Body"/>
            </w:pPr>
            <w:r>
              <w:t>Annual Report</w:t>
            </w:r>
          </w:p>
          <w:p w14:paraId="502683AB" w14:textId="3500BEC5" w:rsidR="00330129" w:rsidRPr="008626B8" w:rsidRDefault="00E47908" w:rsidP="00330129">
            <w:pPr>
              <w:pStyle w:val="Body"/>
            </w:pPr>
            <w:r>
              <w:t xml:space="preserve">Use template in </w:t>
            </w:r>
            <w:r w:rsidRPr="006230B6">
              <w:rPr>
                <w:b/>
                <w:bCs/>
              </w:rPr>
              <w:t xml:space="preserve">Appendix </w:t>
            </w:r>
            <w:r w:rsidR="00F6404D">
              <w:rPr>
                <w:b/>
                <w:bCs/>
              </w:rPr>
              <w:t>1</w:t>
            </w:r>
            <w:r>
              <w:rPr>
                <w:b/>
                <w:bCs/>
              </w:rPr>
              <w:t xml:space="preserve"> </w:t>
            </w:r>
          </w:p>
        </w:tc>
        <w:tc>
          <w:tcPr>
            <w:tcW w:w="1956" w:type="dxa"/>
          </w:tcPr>
          <w:p w14:paraId="70962603" w14:textId="77777777" w:rsidR="00330129" w:rsidRPr="008626B8" w:rsidRDefault="00330129" w:rsidP="00330129">
            <w:pPr>
              <w:pStyle w:val="Body"/>
            </w:pPr>
            <w:r w:rsidRPr="008626B8">
              <w:t>Report</w:t>
            </w:r>
          </w:p>
        </w:tc>
        <w:tc>
          <w:tcPr>
            <w:tcW w:w="1418" w:type="dxa"/>
          </w:tcPr>
          <w:p w14:paraId="4B3D3AB3" w14:textId="77777777" w:rsidR="00330129" w:rsidRPr="008626B8" w:rsidRDefault="00330129" w:rsidP="00330129">
            <w:pPr>
              <w:pStyle w:val="Body"/>
            </w:pPr>
            <w:r w:rsidRPr="008626B8">
              <w:t>N/A</w:t>
            </w:r>
          </w:p>
        </w:tc>
        <w:tc>
          <w:tcPr>
            <w:tcW w:w="4294" w:type="dxa"/>
          </w:tcPr>
          <w:p w14:paraId="67E4A940" w14:textId="6F239FF2" w:rsidR="00330129" w:rsidRPr="005C20A7" w:rsidRDefault="00330129" w:rsidP="00E47908">
            <w:pPr>
              <w:pStyle w:val="Body"/>
            </w:pPr>
            <w:r w:rsidRPr="005C20A7">
              <w:t>30 September</w:t>
            </w:r>
            <w:r>
              <w:t xml:space="preserve"> e.g.</w:t>
            </w:r>
            <w:r w:rsidR="00E47908">
              <w:t xml:space="preserve"> </w:t>
            </w:r>
            <w:r w:rsidRPr="005C20A7">
              <w:t>202</w:t>
            </w:r>
            <w:r w:rsidR="00E47908">
              <w:t>5 – ‘</w:t>
            </w:r>
            <w:r w:rsidRPr="005C20A7">
              <w:t>2</w:t>
            </w:r>
            <w:r w:rsidR="00E47908">
              <w:t>6</w:t>
            </w:r>
            <w:r w:rsidRPr="005C20A7">
              <w:t xml:space="preserve"> annual report </w:t>
            </w:r>
            <w:r>
              <w:t xml:space="preserve">(against the previous plan) is </w:t>
            </w:r>
            <w:r w:rsidRPr="005C20A7">
              <w:t>due 30 September 202</w:t>
            </w:r>
            <w:r w:rsidR="00E47908">
              <w:t>6</w:t>
            </w:r>
            <w:r w:rsidRPr="005C20A7">
              <w:t>.</w:t>
            </w:r>
          </w:p>
        </w:tc>
      </w:tr>
    </w:tbl>
    <w:p w14:paraId="457E11A9" w14:textId="77777777" w:rsidR="00330129" w:rsidRDefault="00330129" w:rsidP="00330129">
      <w:pPr>
        <w:pStyle w:val="Body"/>
        <w:rPr>
          <w:rFonts w:ascii="Calibri" w:hAnsi="Calibri" w:cs="Arial"/>
        </w:rPr>
      </w:pPr>
    </w:p>
    <w:p w14:paraId="1078530B" w14:textId="77777777" w:rsidR="00330129" w:rsidRPr="000527C8" w:rsidRDefault="00330129" w:rsidP="00330129">
      <w:pPr>
        <w:pStyle w:val="Body"/>
        <w:rPr>
          <w:rFonts w:ascii="Calibri" w:hAnsi="Calibri" w:cs="Arial"/>
        </w:rPr>
      </w:pPr>
    </w:p>
    <w:p w14:paraId="366C49F2" w14:textId="23E92906" w:rsidR="002920F6" w:rsidRDefault="002920F6">
      <w:pPr>
        <w:spacing w:after="0" w:line="240" w:lineRule="auto"/>
        <w:rPr>
          <w:rFonts w:eastAsia="Times"/>
        </w:rPr>
      </w:pPr>
      <w:r>
        <w:br w:type="page"/>
      </w:r>
    </w:p>
    <w:p w14:paraId="136F2B49" w14:textId="49DF7B53" w:rsidR="00EB0D82" w:rsidRPr="00024C10" w:rsidRDefault="00EB0D82" w:rsidP="00200B0C">
      <w:pPr>
        <w:pStyle w:val="Heading2"/>
      </w:pPr>
      <w:bookmarkStart w:id="14" w:name="_Toc206763616"/>
      <w:bookmarkStart w:id="15" w:name="_Toc214378205"/>
      <w:r w:rsidRPr="00024C10">
        <w:lastRenderedPageBreak/>
        <w:t>16508 Health Promotion and Prevention</w:t>
      </w:r>
      <w:bookmarkEnd w:id="14"/>
      <w:bookmarkEnd w:id="15"/>
    </w:p>
    <w:p w14:paraId="7C8ACBBD" w14:textId="77777777" w:rsidR="00200B0C" w:rsidRDefault="00200B0C" w:rsidP="00200B0C">
      <w:pPr>
        <w:pStyle w:val="Body"/>
      </w:pPr>
      <w:r>
        <w:t xml:space="preserve">Outcome objective: Victorians are healthy and well </w:t>
      </w:r>
    </w:p>
    <w:p w14:paraId="73B70E6A" w14:textId="77777777" w:rsidR="00200B0C" w:rsidRDefault="00200B0C" w:rsidP="00200B0C">
      <w:pPr>
        <w:pStyle w:val="Body"/>
      </w:pPr>
      <w:r>
        <w:t xml:space="preserve">Output group: </w:t>
      </w:r>
      <w:r w:rsidRPr="00177619">
        <w:rPr>
          <w:noProof/>
        </w:rPr>
        <w:t>Public Health</w:t>
      </w:r>
    </w:p>
    <w:p w14:paraId="50B0E2FB" w14:textId="77777777" w:rsidR="00200B0C" w:rsidRDefault="00200B0C" w:rsidP="00200B0C">
      <w:pPr>
        <w:pStyle w:val="Body"/>
        <w:rPr>
          <w:noProof/>
        </w:rPr>
      </w:pPr>
      <w:r>
        <w:t xml:space="preserve">Output: </w:t>
      </w:r>
      <w:r w:rsidRPr="00177619">
        <w:rPr>
          <w:noProof/>
        </w:rPr>
        <w:t>Health protection</w:t>
      </w:r>
    </w:p>
    <w:p w14:paraId="30B6E32B" w14:textId="77777777" w:rsidR="00CF3424" w:rsidRPr="00024C10" w:rsidRDefault="00CF3424" w:rsidP="000B1185">
      <w:pPr>
        <w:pStyle w:val="Heading3"/>
      </w:pPr>
      <w:r w:rsidRPr="00024C10">
        <w:t xml:space="preserve">1. Service Objective </w:t>
      </w:r>
    </w:p>
    <w:p w14:paraId="7335A5AF" w14:textId="772C984D" w:rsidR="00CF3424" w:rsidRPr="00B70F76" w:rsidRDefault="00CF3424" w:rsidP="000B1185">
      <w:pPr>
        <w:pStyle w:val="Body"/>
        <w:rPr>
          <w:rFonts w:eastAsia="MS Gothic"/>
          <w:b/>
          <w:sz w:val="24"/>
          <w:szCs w:val="26"/>
        </w:rPr>
      </w:pPr>
      <w:bookmarkStart w:id="16" w:name="_Hlk43131581"/>
      <w:r>
        <w:t xml:space="preserve">Health promotion and prevention activities to improve prevention, testing and treatment of </w:t>
      </w:r>
      <w:r w:rsidR="00AA29A2">
        <w:t>BBVSTI</w:t>
      </w:r>
      <w:r>
        <w:t xml:space="preserve"> and to help eliminate associated stigma and discrimination</w:t>
      </w:r>
      <w:bookmarkEnd w:id="16"/>
      <w:r>
        <w:t xml:space="preserve">. </w:t>
      </w:r>
      <w:r w:rsidRPr="00B70F76" w:rsidDel="00DF6BAF">
        <w:rPr>
          <w:color w:val="7030A0"/>
        </w:rPr>
        <w:t xml:space="preserve"> </w:t>
      </w:r>
    </w:p>
    <w:p w14:paraId="6C222C33" w14:textId="77777777" w:rsidR="00CF3424" w:rsidRPr="00024C10" w:rsidRDefault="00CF3424" w:rsidP="000B1185">
      <w:pPr>
        <w:pStyle w:val="Heading3"/>
      </w:pPr>
      <w:r w:rsidRPr="00024C10">
        <w:t>2. Description of the service</w:t>
      </w:r>
    </w:p>
    <w:p w14:paraId="760683A8" w14:textId="59755FA6" w:rsidR="00CF3424" w:rsidRPr="00DF6BAF" w:rsidRDefault="00CF3424" w:rsidP="000B1185">
      <w:pPr>
        <w:pStyle w:val="Body"/>
      </w:pPr>
      <w:r>
        <w:rPr>
          <w:noProof/>
        </w:rPr>
        <w:t xml:space="preserve">The provision of health promotion and prevention activities that support prevention, testing and treatment of BBVSTI and address associated stigma and discrimination. </w:t>
      </w:r>
    </w:p>
    <w:p w14:paraId="72F5A9DB" w14:textId="77777777" w:rsidR="00CF3424" w:rsidRPr="00024C10" w:rsidRDefault="00CF3424" w:rsidP="00C75168">
      <w:pPr>
        <w:pStyle w:val="Heading3"/>
      </w:pPr>
      <w:r w:rsidRPr="00024C10">
        <w:t>3. Client group</w:t>
      </w:r>
    </w:p>
    <w:p w14:paraId="55823111" w14:textId="399CC7FB" w:rsidR="00CF3424" w:rsidRPr="002C2B37" w:rsidRDefault="00CF3424" w:rsidP="00832E50">
      <w:pPr>
        <w:pStyle w:val="Bullet1"/>
      </w:pPr>
      <w:r>
        <w:t xml:space="preserve">Priority populations as outlined in the </w:t>
      </w:r>
      <w:r w:rsidR="00C75168">
        <w:t>strategy</w:t>
      </w:r>
      <w:r>
        <w:t>.</w:t>
      </w:r>
    </w:p>
    <w:p w14:paraId="42383684" w14:textId="43273C8A" w:rsidR="00832E50" w:rsidRDefault="00CF3424">
      <w:pPr>
        <w:pStyle w:val="Bullet1"/>
        <w:numPr>
          <w:ilvl w:val="0"/>
          <w:numId w:val="0"/>
        </w:numPr>
        <w:ind w:left="284"/>
      </w:pPr>
      <w:r>
        <w:t xml:space="preserve">All Victorians seeking </w:t>
      </w:r>
      <w:r w:rsidR="00C75168">
        <w:t>BBVSTI</w:t>
      </w:r>
      <w:r>
        <w:t xml:space="preserve"> prevention, testing and treatment information and services.</w:t>
      </w:r>
    </w:p>
    <w:p w14:paraId="0917F32A" w14:textId="77777777" w:rsidR="00CF3424" w:rsidRPr="00024C10" w:rsidRDefault="00CF3424" w:rsidP="00832E50">
      <w:pPr>
        <w:pStyle w:val="Heading3"/>
      </w:pPr>
      <w:r w:rsidRPr="00024C10">
        <w:t>4. Obligations specific to this activity</w:t>
      </w:r>
    </w:p>
    <w:p w14:paraId="76D84009" w14:textId="77777777" w:rsidR="00CF3424" w:rsidRDefault="00CF3424" w:rsidP="000B1185">
      <w:pPr>
        <w:pStyle w:val="Body"/>
      </w:pPr>
      <w:r>
        <w:t>In addition to the obligations listed in the Service Agreement, organisations funded to deliver this activity must comply with the following:</w:t>
      </w:r>
    </w:p>
    <w:p w14:paraId="611D98CC" w14:textId="77777777" w:rsidR="00CF3424" w:rsidRPr="00024C10" w:rsidRDefault="00CF3424" w:rsidP="00832E50">
      <w:pPr>
        <w:pStyle w:val="Heading4"/>
      </w:pPr>
      <w:r w:rsidRPr="00024C10">
        <w:t xml:space="preserve">4a.  Registration and Accreditation </w:t>
      </w:r>
    </w:p>
    <w:p w14:paraId="477BA9F1" w14:textId="77777777" w:rsidR="00CF3424" w:rsidRPr="00754918" w:rsidRDefault="00CF3424" w:rsidP="000B1185">
      <w:pPr>
        <w:pStyle w:val="Body"/>
      </w:pPr>
      <w:r w:rsidRPr="00754918">
        <w:rPr>
          <w:rStyle w:val="DHHSbodyChar"/>
        </w:rPr>
        <w:t>N/A</w:t>
      </w:r>
    </w:p>
    <w:p w14:paraId="6E33689A" w14:textId="77777777" w:rsidR="00CF3424" w:rsidRPr="00024C10" w:rsidRDefault="00CF3424" w:rsidP="00832E50">
      <w:pPr>
        <w:pStyle w:val="Heading4"/>
      </w:pPr>
      <w:r w:rsidRPr="00024C10">
        <w:t xml:space="preserve">4b. Program requirements and other policy guidelines </w:t>
      </w:r>
    </w:p>
    <w:p w14:paraId="4540C4EB" w14:textId="2F1B56B5" w:rsidR="00CF3424" w:rsidRPr="00024C10" w:rsidRDefault="00CF3424" w:rsidP="000B1185">
      <w:pPr>
        <w:pStyle w:val="Body"/>
        <w:rPr>
          <w:b/>
        </w:rPr>
      </w:pPr>
      <w:r w:rsidRPr="41F2022D">
        <w:rPr>
          <w:rStyle w:val="DHHSbodyChar"/>
        </w:rPr>
        <w:t>BBVSTI Program Guidelines for Funded Agencies (current edition).</w:t>
      </w:r>
    </w:p>
    <w:p w14:paraId="60CF57A4" w14:textId="77777777" w:rsidR="00CF3424" w:rsidRPr="00024C10" w:rsidRDefault="00CF3424" w:rsidP="00832E50">
      <w:pPr>
        <w:pStyle w:val="Heading3"/>
      </w:pPr>
      <w:r w:rsidRPr="00024C10">
        <w:t>5. Performance</w:t>
      </w:r>
    </w:p>
    <w:p w14:paraId="0D621A7A" w14:textId="77777777" w:rsidR="00CF3424" w:rsidRPr="001F1A17" w:rsidRDefault="00CF3424" w:rsidP="000B1185">
      <w:pPr>
        <w:pStyle w:val="Body"/>
      </w:pPr>
      <w:r>
        <w:t>Funding is subject to achieving the</w:t>
      </w:r>
      <w:r w:rsidRPr="00171F04">
        <w:t xml:space="preserve"> </w:t>
      </w:r>
      <w:r>
        <w:t xml:space="preserve">performance targets specified in Schedule 2 of the Service Agreement. </w:t>
      </w:r>
      <w:r>
        <w:br/>
        <w:t xml:space="preserve">Performance is measured as follows:  </w:t>
      </w:r>
    </w:p>
    <w:p w14:paraId="079E8361" w14:textId="77777777" w:rsidR="00CF3424" w:rsidRPr="00B43DD0" w:rsidRDefault="00CF3424" w:rsidP="000B1185">
      <w:pPr>
        <w:pStyle w:val="Body"/>
      </w:pPr>
      <w:r>
        <w:t xml:space="preserve">Key performance measure 1: Annual BBVSTI Health Promotion and Prevention Report </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CF3424" w:rsidRPr="00C237A0" w14:paraId="070AFAFC" w14:textId="77777777" w:rsidTr="00F31EBE">
        <w:trPr>
          <w:cantSplit/>
          <w:trHeight w:hRule="exact" w:val="732"/>
          <w:jc w:val="center"/>
        </w:trPr>
        <w:tc>
          <w:tcPr>
            <w:tcW w:w="2835" w:type="dxa"/>
          </w:tcPr>
          <w:p w14:paraId="6722D789" w14:textId="77777777" w:rsidR="00CF3424" w:rsidRPr="0017293C" w:rsidRDefault="00CF3424" w:rsidP="000B1185">
            <w:pPr>
              <w:pStyle w:val="Body"/>
            </w:pPr>
            <w:r w:rsidRPr="00575BC9">
              <w:t>Aim/objective</w:t>
            </w:r>
          </w:p>
        </w:tc>
        <w:tc>
          <w:tcPr>
            <w:tcW w:w="7379" w:type="dxa"/>
          </w:tcPr>
          <w:p w14:paraId="3EB37E8F" w14:textId="77777777" w:rsidR="00CF3424" w:rsidRPr="007F4775" w:rsidRDefault="00CF3424" w:rsidP="000B1185">
            <w:pPr>
              <w:pStyle w:val="Body"/>
            </w:pPr>
            <w:r w:rsidRPr="007F4775">
              <w:t>To identify</w:t>
            </w:r>
            <w:r>
              <w:t xml:space="preserve"> and articulate health promotion and prevention activities undertaken in the 12-month period</w:t>
            </w:r>
            <w:r w:rsidRPr="007F4775">
              <w:t>.</w:t>
            </w:r>
          </w:p>
        </w:tc>
      </w:tr>
      <w:tr w:rsidR="00CF3424" w:rsidRPr="00C237A0" w14:paraId="35D5ADA7" w14:textId="77777777" w:rsidTr="00F31EBE">
        <w:trPr>
          <w:cantSplit/>
          <w:trHeight w:hRule="exact" w:val="477"/>
          <w:jc w:val="center"/>
        </w:trPr>
        <w:tc>
          <w:tcPr>
            <w:tcW w:w="2835" w:type="dxa"/>
          </w:tcPr>
          <w:p w14:paraId="4B4B5084" w14:textId="77777777" w:rsidR="00CF3424" w:rsidRPr="0017293C" w:rsidRDefault="00CF3424" w:rsidP="000B1185">
            <w:pPr>
              <w:pStyle w:val="Body"/>
            </w:pPr>
            <w:r w:rsidRPr="00575BC9">
              <w:t>Target</w:t>
            </w:r>
          </w:p>
        </w:tc>
        <w:tc>
          <w:tcPr>
            <w:tcW w:w="7379" w:type="dxa"/>
          </w:tcPr>
          <w:p w14:paraId="235CAFEC" w14:textId="77777777" w:rsidR="00CF3424" w:rsidRPr="002F7C4B" w:rsidRDefault="00CF3424" w:rsidP="000B1185">
            <w:pPr>
              <w:pStyle w:val="Body"/>
              <w:rPr>
                <w:color w:val="7030A0"/>
              </w:rPr>
            </w:pPr>
            <w:r>
              <w:t>As per the Service Agreement.</w:t>
            </w:r>
          </w:p>
        </w:tc>
      </w:tr>
      <w:tr w:rsidR="00CF3424" w:rsidRPr="00C237A0" w14:paraId="4BB51A34" w14:textId="77777777" w:rsidTr="00F31EBE">
        <w:trPr>
          <w:cantSplit/>
          <w:trHeight w:hRule="exact" w:val="340"/>
          <w:jc w:val="center"/>
        </w:trPr>
        <w:tc>
          <w:tcPr>
            <w:tcW w:w="2835" w:type="dxa"/>
          </w:tcPr>
          <w:p w14:paraId="6173ACFE" w14:textId="77777777" w:rsidR="00CF3424" w:rsidRPr="0017293C" w:rsidRDefault="00CF3424" w:rsidP="000B1185">
            <w:pPr>
              <w:pStyle w:val="Body"/>
            </w:pPr>
            <w:r w:rsidRPr="00575BC9">
              <w:t>Type of count</w:t>
            </w:r>
          </w:p>
        </w:tc>
        <w:tc>
          <w:tcPr>
            <w:tcW w:w="7379" w:type="dxa"/>
          </w:tcPr>
          <w:p w14:paraId="2DC0777F" w14:textId="77777777" w:rsidR="00CF3424" w:rsidRPr="00C237A0" w:rsidRDefault="00CF3424" w:rsidP="000B1185">
            <w:pPr>
              <w:pStyle w:val="Body"/>
            </w:pPr>
            <w:r>
              <w:rPr>
                <w:color w:val="7030A0"/>
              </w:rPr>
              <w:fldChar w:fldCharType="begin">
                <w:ffData>
                  <w:name w:val=""/>
                  <w:enabled/>
                  <w:calcOnExit w:val="0"/>
                  <w:checkBox>
                    <w:sizeAuto/>
                    <w:default w:val="0"/>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r>
              <w:t xml:space="preserve">Cumulative          </w:t>
            </w:r>
            <w:r>
              <w:rPr>
                <w:color w:val="7030A0"/>
              </w:rPr>
              <w:fldChar w:fldCharType="begin">
                <w:ffData>
                  <w:name w:val="Check2"/>
                  <w:enabled/>
                  <w:calcOnExit w:val="0"/>
                  <w:checkBox>
                    <w:sizeAuto/>
                    <w:default w:val="1"/>
                  </w:checkBox>
                </w:ffData>
              </w:fldChar>
            </w:r>
            <w:bookmarkStart w:id="17" w:name="Check2"/>
            <w:r>
              <w:rPr>
                <w:color w:val="7030A0"/>
              </w:rPr>
              <w:instrText xml:space="preserve"> FORMCHECKBOX </w:instrText>
            </w:r>
            <w:r>
              <w:rPr>
                <w:color w:val="7030A0"/>
              </w:rPr>
            </w:r>
            <w:r>
              <w:rPr>
                <w:color w:val="7030A0"/>
              </w:rPr>
              <w:fldChar w:fldCharType="separate"/>
            </w:r>
            <w:r>
              <w:rPr>
                <w:color w:val="7030A0"/>
              </w:rPr>
              <w:fldChar w:fldCharType="end"/>
            </w:r>
            <w:bookmarkEnd w:id="17"/>
            <w:r>
              <w:rPr>
                <w:color w:val="7030A0"/>
              </w:rPr>
              <w:t xml:space="preserve"> </w:t>
            </w:r>
            <w:proofErr w:type="gramStart"/>
            <w:r>
              <w:t>Non-cumulative</w:t>
            </w:r>
            <w:proofErr w:type="gramEnd"/>
          </w:p>
        </w:tc>
      </w:tr>
      <w:tr w:rsidR="00CF3424" w:rsidRPr="00C237A0" w14:paraId="1AACED56" w14:textId="77777777" w:rsidTr="00F31EBE">
        <w:trPr>
          <w:cantSplit/>
          <w:trHeight w:hRule="exact" w:val="439"/>
          <w:jc w:val="center"/>
        </w:trPr>
        <w:tc>
          <w:tcPr>
            <w:tcW w:w="2835" w:type="dxa"/>
          </w:tcPr>
          <w:p w14:paraId="5BF6710D" w14:textId="27D3EDA6" w:rsidR="00CF3424" w:rsidRPr="0017293C" w:rsidRDefault="00CF3424" w:rsidP="000B1185">
            <w:pPr>
              <w:pStyle w:val="Body"/>
            </w:pPr>
            <w:r w:rsidRPr="00575BC9">
              <w:t>Data source collection</w:t>
            </w:r>
          </w:p>
        </w:tc>
        <w:tc>
          <w:tcPr>
            <w:tcW w:w="7379" w:type="dxa"/>
          </w:tcPr>
          <w:p w14:paraId="185BF404" w14:textId="77777777" w:rsidR="00CF3424" w:rsidRPr="002F7C4B" w:rsidRDefault="00CF3424" w:rsidP="000B1185">
            <w:pPr>
              <w:pStyle w:val="Body"/>
              <w:rPr>
                <w:color w:val="7030A0"/>
              </w:rPr>
            </w:pPr>
            <w:r>
              <w:t xml:space="preserve">Annual </w:t>
            </w:r>
            <w:r w:rsidRPr="007650A9">
              <w:t>BBVSTI Health Promotion and Prevention</w:t>
            </w:r>
            <w:r>
              <w:t xml:space="preserve"> Report</w:t>
            </w:r>
          </w:p>
        </w:tc>
      </w:tr>
    </w:tbl>
    <w:p w14:paraId="7719B256" w14:textId="77777777" w:rsidR="00CF3424" w:rsidRDefault="00CF3424" w:rsidP="00CF3424"/>
    <w:p w14:paraId="2FDB92FE" w14:textId="77777777" w:rsidR="00CF3424" w:rsidRDefault="00CF3424" w:rsidP="00CF3424">
      <w:pPr>
        <w:rPr>
          <w:rFonts w:eastAsia="Times"/>
          <w:b/>
          <w:bCs/>
        </w:rPr>
      </w:pPr>
      <w:r>
        <w:rPr>
          <w:b/>
          <w:bCs/>
        </w:rPr>
        <w:br w:type="page"/>
      </w:r>
    </w:p>
    <w:p w14:paraId="15A2D698" w14:textId="77777777" w:rsidR="00CF3424" w:rsidRPr="00024C10" w:rsidRDefault="00CF3424" w:rsidP="007F76A6">
      <w:pPr>
        <w:pStyle w:val="Heading3"/>
      </w:pPr>
      <w:r w:rsidRPr="00024C10">
        <w:lastRenderedPageBreak/>
        <w:t>6. Data collection</w:t>
      </w:r>
    </w:p>
    <w:p w14:paraId="230F412A" w14:textId="77777777" w:rsidR="00CF3424" w:rsidRDefault="00CF3424" w:rsidP="007F76A6">
      <w:pPr>
        <w:pStyle w:val="Body"/>
      </w:pPr>
      <w:r>
        <w:t>The reporting requirements for this service are:</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1956"/>
        <w:gridCol w:w="1418"/>
        <w:gridCol w:w="4294"/>
      </w:tblGrid>
      <w:tr w:rsidR="009915B3" w:rsidRPr="00045493" w14:paraId="3D04826E" w14:textId="77777777" w:rsidTr="009915B3">
        <w:trPr>
          <w:trHeight w:hRule="exact" w:val="631"/>
          <w:tblHeader/>
          <w:jc w:val="center"/>
        </w:trPr>
        <w:tc>
          <w:tcPr>
            <w:tcW w:w="2580" w:type="dxa"/>
            <w:vAlign w:val="center"/>
          </w:tcPr>
          <w:p w14:paraId="009D3FD6" w14:textId="77777777" w:rsidR="009915B3" w:rsidRPr="00575BC9" w:rsidRDefault="009915B3">
            <w:pPr>
              <w:pStyle w:val="Body"/>
              <w:jc w:val="center"/>
            </w:pPr>
            <w:r w:rsidRPr="00575BC9">
              <w:t>Data collection name</w:t>
            </w:r>
          </w:p>
        </w:tc>
        <w:tc>
          <w:tcPr>
            <w:tcW w:w="1956" w:type="dxa"/>
            <w:vAlign w:val="center"/>
          </w:tcPr>
          <w:p w14:paraId="2BA69CFB" w14:textId="77777777" w:rsidR="009915B3" w:rsidRPr="00575BC9" w:rsidRDefault="009915B3">
            <w:pPr>
              <w:pStyle w:val="Body"/>
              <w:jc w:val="center"/>
            </w:pPr>
            <w:r w:rsidRPr="00575BC9">
              <w:t>Data system</w:t>
            </w:r>
          </w:p>
        </w:tc>
        <w:tc>
          <w:tcPr>
            <w:tcW w:w="1418" w:type="dxa"/>
            <w:vAlign w:val="center"/>
          </w:tcPr>
          <w:p w14:paraId="31E1116B" w14:textId="77777777" w:rsidR="009915B3" w:rsidRPr="00575BC9" w:rsidRDefault="009915B3">
            <w:pPr>
              <w:pStyle w:val="Body"/>
              <w:jc w:val="center"/>
            </w:pPr>
            <w:r w:rsidRPr="00575BC9">
              <w:t>Data set</w:t>
            </w:r>
          </w:p>
        </w:tc>
        <w:tc>
          <w:tcPr>
            <w:tcW w:w="4294" w:type="dxa"/>
            <w:vAlign w:val="center"/>
          </w:tcPr>
          <w:p w14:paraId="2265F8BF" w14:textId="77777777" w:rsidR="009915B3" w:rsidRPr="00575BC9" w:rsidRDefault="009915B3">
            <w:pPr>
              <w:pStyle w:val="Body"/>
              <w:jc w:val="center"/>
            </w:pPr>
            <w:r w:rsidRPr="00575BC9">
              <w:t>Reporting cycle</w:t>
            </w:r>
          </w:p>
        </w:tc>
      </w:tr>
      <w:tr w:rsidR="009915B3" w:rsidRPr="00C237A0" w14:paraId="26BC364E" w14:textId="77777777" w:rsidTr="009915B3">
        <w:trPr>
          <w:trHeight w:val="280"/>
          <w:jc w:val="center"/>
        </w:trPr>
        <w:tc>
          <w:tcPr>
            <w:tcW w:w="2580" w:type="dxa"/>
          </w:tcPr>
          <w:p w14:paraId="710C7948" w14:textId="77777777" w:rsidR="009915B3" w:rsidRDefault="009915B3">
            <w:pPr>
              <w:pStyle w:val="Body"/>
            </w:pPr>
            <w:r>
              <w:t>Annual Plan</w:t>
            </w:r>
          </w:p>
          <w:p w14:paraId="0695B40C" w14:textId="78A34E40" w:rsidR="009915B3" w:rsidRPr="008626B8" w:rsidRDefault="009915B3">
            <w:pPr>
              <w:pStyle w:val="Body"/>
            </w:pPr>
            <w:r>
              <w:t xml:space="preserve">Use template in </w:t>
            </w:r>
            <w:r w:rsidRPr="006230B6">
              <w:rPr>
                <w:b/>
                <w:bCs/>
              </w:rPr>
              <w:t xml:space="preserve">Appendix </w:t>
            </w:r>
            <w:r w:rsidR="00F6404D">
              <w:rPr>
                <w:b/>
                <w:bCs/>
              </w:rPr>
              <w:t>1</w:t>
            </w:r>
          </w:p>
        </w:tc>
        <w:tc>
          <w:tcPr>
            <w:tcW w:w="1956" w:type="dxa"/>
          </w:tcPr>
          <w:p w14:paraId="3828F19F" w14:textId="77777777" w:rsidR="009915B3" w:rsidRPr="008626B8" w:rsidRDefault="009915B3">
            <w:pPr>
              <w:pStyle w:val="Body"/>
            </w:pPr>
            <w:r>
              <w:t>Plan</w:t>
            </w:r>
          </w:p>
        </w:tc>
        <w:tc>
          <w:tcPr>
            <w:tcW w:w="1418" w:type="dxa"/>
          </w:tcPr>
          <w:p w14:paraId="15CA429F" w14:textId="77777777" w:rsidR="009915B3" w:rsidRPr="008626B8" w:rsidRDefault="009915B3">
            <w:pPr>
              <w:pStyle w:val="Body"/>
            </w:pPr>
            <w:r>
              <w:t>N/A</w:t>
            </w:r>
          </w:p>
        </w:tc>
        <w:tc>
          <w:tcPr>
            <w:tcW w:w="4294" w:type="dxa"/>
          </w:tcPr>
          <w:p w14:paraId="0B6A89C8" w14:textId="77777777" w:rsidR="009915B3" w:rsidRPr="005C20A7" w:rsidRDefault="009915B3">
            <w:pPr>
              <w:pStyle w:val="Body"/>
            </w:pPr>
            <w:r>
              <w:t xml:space="preserve">30 April e.g. 2025 – ‘26 annual plan is due 30 April 2025. </w:t>
            </w:r>
          </w:p>
          <w:p w14:paraId="11348418" w14:textId="77777777" w:rsidR="009915B3" w:rsidRPr="005C20A7" w:rsidRDefault="009915B3">
            <w:pPr>
              <w:pStyle w:val="Body"/>
            </w:pPr>
          </w:p>
        </w:tc>
      </w:tr>
      <w:tr w:rsidR="009915B3" w:rsidRPr="00C237A0" w14:paraId="23A4D8BE" w14:textId="77777777" w:rsidTr="009915B3">
        <w:trPr>
          <w:jc w:val="center"/>
        </w:trPr>
        <w:tc>
          <w:tcPr>
            <w:tcW w:w="2580" w:type="dxa"/>
          </w:tcPr>
          <w:p w14:paraId="1D7C20E9" w14:textId="77777777" w:rsidR="009915B3" w:rsidRDefault="009915B3">
            <w:pPr>
              <w:pStyle w:val="Body"/>
            </w:pPr>
            <w:r>
              <w:t>Annual Report</w:t>
            </w:r>
          </w:p>
          <w:p w14:paraId="3E074491" w14:textId="2BFDE06B" w:rsidR="009915B3" w:rsidRPr="008626B8" w:rsidRDefault="009915B3">
            <w:pPr>
              <w:pStyle w:val="Body"/>
            </w:pPr>
            <w:r>
              <w:t xml:space="preserve">Use template in </w:t>
            </w:r>
            <w:r w:rsidRPr="006230B6">
              <w:rPr>
                <w:b/>
                <w:bCs/>
              </w:rPr>
              <w:t xml:space="preserve">Appendix </w:t>
            </w:r>
            <w:r w:rsidR="00F6404D">
              <w:rPr>
                <w:b/>
                <w:bCs/>
              </w:rPr>
              <w:t>1</w:t>
            </w:r>
          </w:p>
        </w:tc>
        <w:tc>
          <w:tcPr>
            <w:tcW w:w="1956" w:type="dxa"/>
          </w:tcPr>
          <w:p w14:paraId="37DE31D0" w14:textId="77777777" w:rsidR="009915B3" w:rsidRPr="008626B8" w:rsidRDefault="009915B3">
            <w:pPr>
              <w:pStyle w:val="Body"/>
            </w:pPr>
            <w:r w:rsidRPr="008626B8">
              <w:t>Report</w:t>
            </w:r>
          </w:p>
        </w:tc>
        <w:tc>
          <w:tcPr>
            <w:tcW w:w="1418" w:type="dxa"/>
          </w:tcPr>
          <w:p w14:paraId="6229C8CF" w14:textId="77777777" w:rsidR="009915B3" w:rsidRPr="008626B8" w:rsidRDefault="009915B3">
            <w:pPr>
              <w:pStyle w:val="Body"/>
            </w:pPr>
            <w:r w:rsidRPr="008626B8">
              <w:t>N/A</w:t>
            </w:r>
          </w:p>
        </w:tc>
        <w:tc>
          <w:tcPr>
            <w:tcW w:w="4294" w:type="dxa"/>
          </w:tcPr>
          <w:p w14:paraId="78099BA4" w14:textId="77777777" w:rsidR="009915B3" w:rsidRPr="005C20A7" w:rsidRDefault="009915B3">
            <w:pPr>
              <w:pStyle w:val="Body"/>
            </w:pPr>
            <w:r w:rsidRPr="005C20A7">
              <w:t>30 September</w:t>
            </w:r>
            <w:r>
              <w:t xml:space="preserve"> e.g. </w:t>
            </w:r>
            <w:r w:rsidRPr="005C20A7">
              <w:t>202</w:t>
            </w:r>
            <w:r>
              <w:t>5 – ‘</w:t>
            </w:r>
            <w:r w:rsidRPr="005C20A7">
              <w:t>2</w:t>
            </w:r>
            <w:r>
              <w:t>6</w:t>
            </w:r>
            <w:r w:rsidRPr="005C20A7">
              <w:t xml:space="preserve"> annual report </w:t>
            </w:r>
            <w:r>
              <w:t xml:space="preserve">(against the previous plan) is </w:t>
            </w:r>
            <w:r w:rsidRPr="005C20A7">
              <w:t>due 30 September 202</w:t>
            </w:r>
            <w:r>
              <w:t>6</w:t>
            </w:r>
            <w:r w:rsidRPr="005C20A7">
              <w:t>.</w:t>
            </w:r>
          </w:p>
        </w:tc>
      </w:tr>
    </w:tbl>
    <w:p w14:paraId="03D236D0" w14:textId="77777777" w:rsidR="00CF3424" w:rsidRDefault="00CF3424" w:rsidP="00CF3424">
      <w:pPr>
        <w:rPr>
          <w:sz w:val="18"/>
          <w:szCs w:val="4"/>
        </w:rPr>
      </w:pPr>
    </w:p>
    <w:p w14:paraId="6A7FF7A3" w14:textId="4A4C06C6" w:rsidR="00FA7D04" w:rsidRDefault="00FA7D04">
      <w:pPr>
        <w:spacing w:after="0" w:line="240" w:lineRule="auto"/>
        <w:rPr>
          <w:sz w:val="18"/>
          <w:szCs w:val="4"/>
        </w:rPr>
      </w:pPr>
      <w:r>
        <w:rPr>
          <w:sz w:val="18"/>
          <w:szCs w:val="4"/>
        </w:rPr>
        <w:br w:type="page"/>
      </w:r>
    </w:p>
    <w:p w14:paraId="1E8E5448" w14:textId="0ED59069" w:rsidR="006C7B6C" w:rsidRPr="00064EA3" w:rsidRDefault="006C7B6C" w:rsidP="006C7B6C">
      <w:pPr>
        <w:pStyle w:val="Heading2"/>
      </w:pPr>
      <w:bookmarkStart w:id="18" w:name="_Toc206763617"/>
      <w:bookmarkStart w:id="19" w:name="_Toc214378206"/>
      <w:r w:rsidRPr="00064EA3">
        <w:lastRenderedPageBreak/>
        <w:t>16509 BBVSTI Community Based Care and Support</w:t>
      </w:r>
      <w:bookmarkEnd w:id="18"/>
      <w:bookmarkEnd w:id="19"/>
    </w:p>
    <w:p w14:paraId="433606DA" w14:textId="77777777" w:rsidR="004A4B29" w:rsidRDefault="004A4B29" w:rsidP="004A4B29">
      <w:pPr>
        <w:pStyle w:val="Body"/>
      </w:pPr>
      <w:r>
        <w:t xml:space="preserve">Outcome objective: Victorians are healthy and well </w:t>
      </w:r>
    </w:p>
    <w:p w14:paraId="0AB1ACAB" w14:textId="77777777" w:rsidR="004A4B29" w:rsidRDefault="004A4B29" w:rsidP="004A4B29">
      <w:pPr>
        <w:pStyle w:val="Body"/>
      </w:pPr>
      <w:r>
        <w:t xml:space="preserve">Output group: </w:t>
      </w:r>
      <w:r w:rsidRPr="00177619">
        <w:rPr>
          <w:noProof/>
        </w:rPr>
        <w:t>Public Health</w:t>
      </w:r>
    </w:p>
    <w:p w14:paraId="5D39DCEF" w14:textId="77777777" w:rsidR="004A4B29" w:rsidRDefault="004A4B29" w:rsidP="004A4B29">
      <w:pPr>
        <w:pStyle w:val="Body"/>
        <w:rPr>
          <w:rFonts w:ascii="Calibri" w:hAnsi="Calibri" w:cs="Arial"/>
        </w:rPr>
      </w:pPr>
      <w:r>
        <w:t xml:space="preserve">Output: </w:t>
      </w:r>
      <w:r w:rsidRPr="00177619">
        <w:rPr>
          <w:noProof/>
        </w:rPr>
        <w:t xml:space="preserve">Health </w:t>
      </w:r>
      <w:r>
        <w:rPr>
          <w:noProof/>
        </w:rPr>
        <w:t>P</w:t>
      </w:r>
      <w:r w:rsidRPr="00177619">
        <w:rPr>
          <w:noProof/>
        </w:rPr>
        <w:t>rotection</w:t>
      </w:r>
    </w:p>
    <w:p w14:paraId="17C54A44" w14:textId="77777777" w:rsidR="009A4443" w:rsidRPr="00064EA3" w:rsidRDefault="009A4443" w:rsidP="00B62C24">
      <w:pPr>
        <w:pStyle w:val="Heading3"/>
      </w:pPr>
      <w:r w:rsidRPr="00064EA3">
        <w:t xml:space="preserve">1. Service Objective </w:t>
      </w:r>
    </w:p>
    <w:p w14:paraId="06BED9AA" w14:textId="7D1F9925" w:rsidR="009A4443" w:rsidRPr="008D2AF6" w:rsidRDefault="009A4443" w:rsidP="009A4443">
      <w:pPr>
        <w:pStyle w:val="Body"/>
      </w:pPr>
      <w:r w:rsidRPr="008D2AF6">
        <w:t>To ensure all Victorians, particularly priority populations</w:t>
      </w:r>
      <w:r>
        <w:t>,</w:t>
      </w:r>
      <w:r w:rsidRPr="008D2AF6">
        <w:t xml:space="preserve"> have access to community-based care and support</w:t>
      </w:r>
      <w:r w:rsidRPr="008D2AF6" w:rsidDel="00DF6BAF">
        <w:t xml:space="preserve"> </w:t>
      </w:r>
      <w:r w:rsidRPr="008D2AF6">
        <w:t xml:space="preserve">relating to </w:t>
      </w:r>
      <w:r w:rsidR="006F1CA6">
        <w:t>BBVSTI</w:t>
      </w:r>
      <w:r w:rsidRPr="008D2AF6">
        <w:t xml:space="preserve"> and other sexual health needs.</w:t>
      </w:r>
    </w:p>
    <w:p w14:paraId="62B102C2" w14:textId="77777777" w:rsidR="009A4443" w:rsidRPr="00064EA3" w:rsidRDefault="009A4443" w:rsidP="006F1CA6">
      <w:pPr>
        <w:pStyle w:val="Heading3"/>
      </w:pPr>
      <w:r w:rsidRPr="00064EA3">
        <w:t>2. Description of the service</w:t>
      </w:r>
    </w:p>
    <w:p w14:paraId="3BC3A890" w14:textId="5B945DC5" w:rsidR="009A4443" w:rsidRDefault="009A4443" w:rsidP="009A4443">
      <w:pPr>
        <w:pStyle w:val="Body"/>
        <w:rPr>
          <w:noProof/>
        </w:rPr>
      </w:pPr>
      <w:r w:rsidRPr="00177619">
        <w:rPr>
          <w:noProof/>
        </w:rPr>
        <w:t xml:space="preserve">To provide </w:t>
      </w:r>
      <w:r>
        <w:rPr>
          <w:noProof/>
        </w:rPr>
        <w:t xml:space="preserve">BBVSTI </w:t>
      </w:r>
      <w:r w:rsidRPr="00177619">
        <w:rPr>
          <w:noProof/>
        </w:rPr>
        <w:t xml:space="preserve">community-based care and support </w:t>
      </w:r>
      <w:r>
        <w:rPr>
          <w:noProof/>
        </w:rPr>
        <w:t xml:space="preserve">services </w:t>
      </w:r>
      <w:r w:rsidRPr="00177619">
        <w:rPr>
          <w:noProof/>
        </w:rPr>
        <w:t>to clients, carers and significant others</w:t>
      </w:r>
      <w:r>
        <w:rPr>
          <w:noProof/>
        </w:rPr>
        <w:t xml:space="preserve"> including:</w:t>
      </w:r>
    </w:p>
    <w:p w14:paraId="5C267F37" w14:textId="77777777" w:rsidR="009A4443" w:rsidRDefault="009A4443" w:rsidP="00A858AA">
      <w:pPr>
        <w:pStyle w:val="Bullet1"/>
      </w:pPr>
      <w:r>
        <w:t>client education / information provision</w:t>
      </w:r>
    </w:p>
    <w:p w14:paraId="4BEB5831" w14:textId="77777777" w:rsidR="009A4443" w:rsidRDefault="009A4443" w:rsidP="00A858AA">
      <w:pPr>
        <w:pStyle w:val="Bullet1"/>
      </w:pPr>
      <w:r>
        <w:t>counselling</w:t>
      </w:r>
    </w:p>
    <w:p w14:paraId="1EA32944" w14:textId="77777777" w:rsidR="009A4443" w:rsidRDefault="009A4443" w:rsidP="00A858AA">
      <w:pPr>
        <w:pStyle w:val="Bullet1"/>
      </w:pPr>
      <w:r>
        <w:t>accommodation assistance</w:t>
      </w:r>
    </w:p>
    <w:p w14:paraId="7472EAE5" w14:textId="77777777" w:rsidR="009A4443" w:rsidRDefault="009A4443" w:rsidP="00A858AA">
      <w:pPr>
        <w:pStyle w:val="Bullet1"/>
      </w:pPr>
      <w:r>
        <w:t>client advocacy</w:t>
      </w:r>
    </w:p>
    <w:p w14:paraId="77AA412F" w14:textId="77777777" w:rsidR="009A4443" w:rsidRDefault="009A4443" w:rsidP="00A858AA">
      <w:pPr>
        <w:pStyle w:val="Bullet1"/>
      </w:pPr>
      <w:r>
        <w:t>peer support</w:t>
      </w:r>
    </w:p>
    <w:p w14:paraId="59939ACA" w14:textId="77777777" w:rsidR="009A4443" w:rsidRDefault="009A4443" w:rsidP="00A858AA">
      <w:pPr>
        <w:pStyle w:val="Bullet1"/>
      </w:pPr>
      <w:r>
        <w:t>referral – legal</w:t>
      </w:r>
    </w:p>
    <w:p w14:paraId="0EA614D2" w14:textId="77777777" w:rsidR="009A4443" w:rsidRDefault="009A4443" w:rsidP="00A858AA">
      <w:pPr>
        <w:pStyle w:val="Bullet1"/>
      </w:pPr>
      <w:r>
        <w:t>referral – other service.</w:t>
      </w:r>
    </w:p>
    <w:p w14:paraId="1479832D" w14:textId="77777777" w:rsidR="009A4443" w:rsidRPr="00064EA3" w:rsidRDefault="009A4443" w:rsidP="00A858AA">
      <w:pPr>
        <w:pStyle w:val="Heading3"/>
      </w:pPr>
      <w:r w:rsidRPr="00064EA3">
        <w:t>3. Client group</w:t>
      </w:r>
    </w:p>
    <w:p w14:paraId="14AA0262" w14:textId="5978FEE4" w:rsidR="009A4443" w:rsidRDefault="009A4443" w:rsidP="00A858AA">
      <w:pPr>
        <w:pStyle w:val="Bullet1"/>
      </w:pPr>
      <w:r>
        <w:t xml:space="preserve">Priority populations as outlined in the </w:t>
      </w:r>
      <w:r w:rsidR="00A858AA">
        <w:t>strategy</w:t>
      </w:r>
      <w:r>
        <w:t xml:space="preserve">. </w:t>
      </w:r>
    </w:p>
    <w:p w14:paraId="592A2372" w14:textId="5EA1B04E" w:rsidR="009A4443" w:rsidRDefault="009A4443" w:rsidP="00A858AA">
      <w:pPr>
        <w:pStyle w:val="Bullet1"/>
      </w:pPr>
      <w:r>
        <w:t xml:space="preserve">Any Victorians seeking community-based care and support services for BBVSTI prevention, testing, treatment and support services. </w:t>
      </w:r>
    </w:p>
    <w:p w14:paraId="409EAEF2" w14:textId="77777777" w:rsidR="009A4443" w:rsidRPr="00064EA3" w:rsidRDefault="009A4443" w:rsidP="0098527B">
      <w:pPr>
        <w:pStyle w:val="Heading3"/>
      </w:pPr>
      <w:r w:rsidRPr="00064EA3">
        <w:t>4. Obligations specific to this activity</w:t>
      </w:r>
    </w:p>
    <w:p w14:paraId="22AA4E49" w14:textId="77777777" w:rsidR="009A4443" w:rsidRPr="008D2AF6" w:rsidRDefault="009A4443" w:rsidP="009A4443">
      <w:pPr>
        <w:pStyle w:val="Body"/>
      </w:pPr>
      <w:r w:rsidRPr="008D2AF6">
        <w:t>In addition to the obligations listed in the Service Agreement, organisations funded to deliver this activity must comply with the following:</w:t>
      </w:r>
    </w:p>
    <w:p w14:paraId="7A8A0E39" w14:textId="77777777" w:rsidR="009A4443" w:rsidRPr="00064EA3" w:rsidRDefault="009A4443" w:rsidP="0098527B">
      <w:pPr>
        <w:pStyle w:val="Heading4"/>
      </w:pPr>
      <w:r w:rsidRPr="00064EA3">
        <w:t xml:space="preserve">4a.  Registration and Accreditation </w:t>
      </w:r>
    </w:p>
    <w:p w14:paraId="1D509A65" w14:textId="77777777" w:rsidR="009A4443" w:rsidRPr="00217FBE" w:rsidRDefault="009A4443" w:rsidP="009A4443">
      <w:pPr>
        <w:pStyle w:val="Body"/>
      </w:pPr>
      <w:r w:rsidRPr="00217FBE">
        <w:rPr>
          <w:rStyle w:val="DHHSbodyChar"/>
        </w:rPr>
        <w:t>N/A</w:t>
      </w:r>
    </w:p>
    <w:p w14:paraId="383FC792" w14:textId="77777777" w:rsidR="009A4443" w:rsidRPr="00064EA3" w:rsidRDefault="009A4443" w:rsidP="0098527B">
      <w:pPr>
        <w:pStyle w:val="Heading4"/>
      </w:pPr>
      <w:r w:rsidRPr="00064EA3">
        <w:t xml:space="preserve">4b. Program requirements and other policy guidelines </w:t>
      </w:r>
    </w:p>
    <w:p w14:paraId="01D7EC55" w14:textId="5202C7C1" w:rsidR="009A4443" w:rsidRPr="002F2E43" w:rsidRDefault="009A4443" w:rsidP="009A4443">
      <w:pPr>
        <w:pStyle w:val="Body"/>
        <w:rPr>
          <w:rStyle w:val="DHHSbodyChar"/>
          <w:b/>
          <w:bCs/>
        </w:rPr>
      </w:pPr>
      <w:r w:rsidRPr="002F2E43">
        <w:rPr>
          <w:rStyle w:val="DHHSbodyChar"/>
        </w:rPr>
        <w:t xml:space="preserve">BBVSTI </w:t>
      </w:r>
      <w:r>
        <w:rPr>
          <w:rStyle w:val="DHHSbodyChar"/>
        </w:rPr>
        <w:t xml:space="preserve">Program Guidelines for Funded Agencies </w:t>
      </w:r>
      <w:r w:rsidRPr="002F2E43">
        <w:rPr>
          <w:rStyle w:val="DHHSbodyChar"/>
        </w:rPr>
        <w:t>(current edition)</w:t>
      </w:r>
      <w:r>
        <w:rPr>
          <w:rStyle w:val="DHHSbodyChar"/>
        </w:rPr>
        <w:t>.</w:t>
      </w:r>
    </w:p>
    <w:p w14:paraId="53922682" w14:textId="77777777" w:rsidR="009A4443" w:rsidRPr="00064EA3" w:rsidRDefault="009A4443" w:rsidP="0098527B">
      <w:pPr>
        <w:pStyle w:val="Heading3"/>
        <w:rPr>
          <w:rFonts w:cs="Arial"/>
          <w:color w:val="201547"/>
          <w:kern w:val="32"/>
          <w:sz w:val="28"/>
          <w:szCs w:val="40"/>
        </w:rPr>
      </w:pPr>
      <w:r w:rsidRPr="00064EA3">
        <w:t>5. Performance</w:t>
      </w:r>
    </w:p>
    <w:p w14:paraId="28DC3AD2" w14:textId="77777777" w:rsidR="009A4443" w:rsidRPr="001F1A17" w:rsidRDefault="009A4443" w:rsidP="009A4443">
      <w:pPr>
        <w:pStyle w:val="Body"/>
        <w:rPr>
          <w:lang w:eastAsia="en-AU"/>
        </w:rPr>
      </w:pPr>
      <w:r>
        <w:rPr>
          <w:lang w:eastAsia="en-AU"/>
        </w:rPr>
        <w:t>Funding is subject to achieving the</w:t>
      </w:r>
      <w:r w:rsidRPr="00171F04">
        <w:rPr>
          <w:lang w:eastAsia="en-AU"/>
        </w:rPr>
        <w:t xml:space="preserve"> </w:t>
      </w:r>
      <w:r>
        <w:rPr>
          <w:lang w:eastAsia="en-AU"/>
        </w:rPr>
        <w:t xml:space="preserve">performance targets specified in Schedule 2 of the Service Agreement. Performance is measured as follows:  </w:t>
      </w:r>
    </w:p>
    <w:p w14:paraId="23C962DB" w14:textId="77777777" w:rsidR="009A4443" w:rsidRPr="00447B94" w:rsidRDefault="009A4443" w:rsidP="009A4443">
      <w:pPr>
        <w:pStyle w:val="Body"/>
      </w:pPr>
      <w:r>
        <w:t>Key performance measure 1</w:t>
      </w:r>
      <w:r w:rsidRPr="00575BC9">
        <w:t xml:space="preserve">: </w:t>
      </w:r>
      <w:r>
        <w:t xml:space="preserve">Annual BBVSTI </w:t>
      </w:r>
      <w:r w:rsidRPr="00064EA3">
        <w:t>Community Based Care and Support</w:t>
      </w:r>
      <w:r>
        <w:t xml:space="preserve"> Report</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9A4443" w:rsidRPr="00C237A0" w14:paraId="3A77A4CC" w14:textId="77777777" w:rsidTr="0098527B">
        <w:trPr>
          <w:cantSplit/>
          <w:trHeight w:hRule="exact" w:val="654"/>
          <w:jc w:val="center"/>
        </w:trPr>
        <w:tc>
          <w:tcPr>
            <w:tcW w:w="2835" w:type="dxa"/>
          </w:tcPr>
          <w:p w14:paraId="7FE239DB" w14:textId="77777777" w:rsidR="009A4443" w:rsidRPr="0017293C" w:rsidRDefault="009A4443" w:rsidP="009A4443">
            <w:pPr>
              <w:pStyle w:val="Body"/>
            </w:pPr>
            <w:r w:rsidRPr="00575BC9">
              <w:t>Aim/objective</w:t>
            </w:r>
          </w:p>
        </w:tc>
        <w:tc>
          <w:tcPr>
            <w:tcW w:w="7379" w:type="dxa"/>
          </w:tcPr>
          <w:p w14:paraId="24D27FA5" w14:textId="77777777" w:rsidR="009A4443" w:rsidRPr="007F4775" w:rsidRDefault="009A4443" w:rsidP="009A4443">
            <w:pPr>
              <w:pStyle w:val="Body"/>
            </w:pPr>
            <w:r w:rsidRPr="007F4775">
              <w:t>To identify</w:t>
            </w:r>
            <w:r>
              <w:t xml:space="preserve"> and articulate community-based care and support activities undertaken in the 12-month period.</w:t>
            </w:r>
          </w:p>
        </w:tc>
      </w:tr>
      <w:tr w:rsidR="009A4443" w:rsidRPr="00C237A0" w14:paraId="709CDCD7" w14:textId="77777777" w:rsidTr="0098527B">
        <w:trPr>
          <w:cantSplit/>
          <w:trHeight w:hRule="exact" w:val="477"/>
          <w:jc w:val="center"/>
        </w:trPr>
        <w:tc>
          <w:tcPr>
            <w:tcW w:w="2835" w:type="dxa"/>
          </w:tcPr>
          <w:p w14:paraId="1AFA075E" w14:textId="77777777" w:rsidR="009A4443" w:rsidRPr="0017293C" w:rsidRDefault="009A4443" w:rsidP="009A4443">
            <w:pPr>
              <w:pStyle w:val="Body"/>
            </w:pPr>
            <w:r w:rsidRPr="00575BC9">
              <w:lastRenderedPageBreak/>
              <w:t>Target</w:t>
            </w:r>
          </w:p>
        </w:tc>
        <w:tc>
          <w:tcPr>
            <w:tcW w:w="7379" w:type="dxa"/>
          </w:tcPr>
          <w:p w14:paraId="04F97226" w14:textId="77777777" w:rsidR="009A4443" w:rsidRPr="002F7C4B" w:rsidRDefault="009A4443" w:rsidP="009A4443">
            <w:pPr>
              <w:pStyle w:val="Body"/>
              <w:rPr>
                <w:color w:val="7030A0"/>
              </w:rPr>
            </w:pPr>
            <w:r>
              <w:t>As per the Service Agreement.</w:t>
            </w:r>
          </w:p>
        </w:tc>
      </w:tr>
      <w:tr w:rsidR="009A4443" w:rsidRPr="00C237A0" w14:paraId="187D1C95" w14:textId="77777777" w:rsidTr="0098527B">
        <w:trPr>
          <w:cantSplit/>
          <w:trHeight w:hRule="exact" w:val="340"/>
          <w:jc w:val="center"/>
        </w:trPr>
        <w:tc>
          <w:tcPr>
            <w:tcW w:w="2835" w:type="dxa"/>
          </w:tcPr>
          <w:p w14:paraId="4CD1176B" w14:textId="77777777" w:rsidR="009A4443" w:rsidRPr="0017293C" w:rsidRDefault="009A4443" w:rsidP="009A4443">
            <w:pPr>
              <w:pStyle w:val="Body"/>
            </w:pPr>
            <w:r w:rsidRPr="00575BC9">
              <w:t>Type of count</w:t>
            </w:r>
          </w:p>
        </w:tc>
        <w:tc>
          <w:tcPr>
            <w:tcW w:w="7379" w:type="dxa"/>
          </w:tcPr>
          <w:p w14:paraId="0C7C52B2" w14:textId="77777777" w:rsidR="009A4443" w:rsidRPr="00C237A0" w:rsidRDefault="009A4443" w:rsidP="009A4443">
            <w:pPr>
              <w:pStyle w:val="Body"/>
            </w:pPr>
            <w:r>
              <w:rPr>
                <w:color w:val="7030A0"/>
              </w:rPr>
              <w:fldChar w:fldCharType="begin">
                <w:ffData>
                  <w:name w:val=""/>
                  <w:enabled/>
                  <w:calcOnExit w:val="0"/>
                  <w:checkBox>
                    <w:sizeAuto/>
                    <w:default w:val="0"/>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r>
              <w:t xml:space="preserve">Cumulative          </w:t>
            </w:r>
            <w:r>
              <w:rPr>
                <w:color w:val="7030A0"/>
              </w:rPr>
              <w:fldChar w:fldCharType="begin">
                <w:ffData>
                  <w:name w:val=""/>
                  <w:enabled/>
                  <w:calcOnExit w:val="0"/>
                  <w:checkBox>
                    <w:sizeAuto/>
                    <w:default w:val="1"/>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proofErr w:type="gramStart"/>
            <w:r>
              <w:t>Non-cumulative</w:t>
            </w:r>
            <w:proofErr w:type="gramEnd"/>
          </w:p>
        </w:tc>
      </w:tr>
      <w:tr w:rsidR="009A4443" w:rsidRPr="00C237A0" w14:paraId="19B272DD" w14:textId="77777777" w:rsidTr="00534B0C">
        <w:trPr>
          <w:cantSplit/>
          <w:trHeight w:hRule="exact" w:val="9683"/>
          <w:jc w:val="center"/>
        </w:trPr>
        <w:tc>
          <w:tcPr>
            <w:tcW w:w="2835" w:type="dxa"/>
          </w:tcPr>
          <w:p w14:paraId="12BE3029" w14:textId="77777777" w:rsidR="009A4443" w:rsidRPr="0017293C" w:rsidRDefault="009A4443" w:rsidP="009A4443">
            <w:pPr>
              <w:pStyle w:val="Body"/>
            </w:pPr>
            <w:r w:rsidRPr="00575BC9">
              <w:t>Counting rule</w:t>
            </w:r>
          </w:p>
        </w:tc>
        <w:tc>
          <w:tcPr>
            <w:tcW w:w="7379" w:type="dxa"/>
          </w:tcPr>
          <w:p w14:paraId="254A58EE" w14:textId="59EF15F3" w:rsidR="009A4443" w:rsidRDefault="009A4443" w:rsidP="009A4443">
            <w:pPr>
              <w:pStyle w:val="Body"/>
            </w:pPr>
            <w:r w:rsidRPr="12F707E6">
              <w:t xml:space="preserve">Annual </w:t>
            </w:r>
            <w:r w:rsidR="008F14D0">
              <w:t>report</w:t>
            </w:r>
            <w:r w:rsidRPr="12F707E6">
              <w:t xml:space="preserve"> </w:t>
            </w:r>
            <w:r>
              <w:t xml:space="preserve">which reports against the Annual </w:t>
            </w:r>
            <w:r w:rsidR="008F14D0">
              <w:t>p</w:t>
            </w:r>
            <w:r>
              <w:t>lan should include:</w:t>
            </w:r>
          </w:p>
          <w:p w14:paraId="3042799B" w14:textId="77777777" w:rsidR="009A4443" w:rsidRPr="003F5093" w:rsidRDefault="009A4443" w:rsidP="009A4443">
            <w:pPr>
              <w:pStyle w:val="Body"/>
              <w:rPr>
                <w:i/>
                <w:iCs/>
              </w:rPr>
            </w:pPr>
            <w:r w:rsidRPr="003F5093">
              <w:rPr>
                <w:i/>
                <w:iCs/>
              </w:rPr>
              <w:t>Prevention, Testing and Treatment</w:t>
            </w:r>
          </w:p>
          <w:p w14:paraId="013FEC4E" w14:textId="77777777" w:rsidR="009A4443" w:rsidRDefault="009A4443" w:rsidP="008F14D0">
            <w:pPr>
              <w:pStyle w:val="Tablebullet1"/>
            </w:pPr>
            <w:r>
              <w:t>number of occasions of service by type in the 12-month period.</w:t>
            </w:r>
          </w:p>
          <w:p w14:paraId="0C591A45" w14:textId="77777777" w:rsidR="009A4443" w:rsidRDefault="009A4443" w:rsidP="008F14D0">
            <w:pPr>
              <w:pStyle w:val="Tablebullet1"/>
            </w:pPr>
            <w:r>
              <w:t>number of clients seen in the 12-month period broken down by:</w:t>
            </w:r>
          </w:p>
          <w:p w14:paraId="515189CE" w14:textId="77777777" w:rsidR="009A4443" w:rsidRDefault="009A4443" w:rsidP="008F14D0">
            <w:pPr>
              <w:pStyle w:val="Tablebullet1"/>
            </w:pPr>
            <w:r>
              <w:t>gender</w:t>
            </w:r>
          </w:p>
          <w:p w14:paraId="402086C7" w14:textId="77777777" w:rsidR="009A4443" w:rsidRDefault="009A4443" w:rsidP="008F14D0">
            <w:pPr>
              <w:pStyle w:val="Tablebullet1"/>
            </w:pPr>
            <w:r>
              <w:t>country of birth</w:t>
            </w:r>
          </w:p>
          <w:p w14:paraId="3ADF67D8" w14:textId="77777777" w:rsidR="009A4443" w:rsidRDefault="009A4443" w:rsidP="008F14D0">
            <w:pPr>
              <w:pStyle w:val="Tablebullet1"/>
            </w:pPr>
            <w:r>
              <w:t>age or date of birth</w:t>
            </w:r>
          </w:p>
          <w:p w14:paraId="279FA45C" w14:textId="77777777" w:rsidR="009A4443" w:rsidRDefault="009A4443" w:rsidP="008F14D0">
            <w:pPr>
              <w:pStyle w:val="Tablebullet1"/>
            </w:pPr>
            <w:r>
              <w:t>I</w:t>
            </w:r>
            <w:r w:rsidRPr="00456621">
              <w:t>ndigenous</w:t>
            </w:r>
            <w:r>
              <w:t xml:space="preserve"> status</w:t>
            </w:r>
          </w:p>
          <w:p w14:paraId="32711D90" w14:textId="77777777" w:rsidR="009A4443" w:rsidRDefault="009A4443" w:rsidP="008F14D0">
            <w:pPr>
              <w:pStyle w:val="Tablebullet1"/>
            </w:pPr>
            <w:r>
              <w:t>preferred language</w:t>
            </w:r>
          </w:p>
          <w:p w14:paraId="3887E35F" w14:textId="77777777" w:rsidR="009A4443" w:rsidRDefault="009A4443" w:rsidP="008F14D0">
            <w:pPr>
              <w:pStyle w:val="Tablebullet1"/>
            </w:pPr>
            <w:r>
              <w:t>post code</w:t>
            </w:r>
          </w:p>
          <w:p w14:paraId="502A86FB" w14:textId="77777777" w:rsidR="009A4443" w:rsidRDefault="009A4443" w:rsidP="008F14D0">
            <w:pPr>
              <w:pStyle w:val="Tablebullet1"/>
            </w:pPr>
            <w:r>
              <w:t>promotional activities/information sessions/community campaigns or similar initiatives carried out in the 12-month period.</w:t>
            </w:r>
          </w:p>
          <w:p w14:paraId="0A89325D" w14:textId="77777777" w:rsidR="009A4443" w:rsidRDefault="009A4443" w:rsidP="008F14D0">
            <w:pPr>
              <w:pStyle w:val="Tablebullet1"/>
            </w:pPr>
            <w:r>
              <w:t>examples of partnerships and working relationships with other agencies in the sector:</w:t>
            </w:r>
          </w:p>
          <w:p w14:paraId="4C5DD1D5" w14:textId="77777777" w:rsidR="009A4443" w:rsidRDefault="009A4443" w:rsidP="008F14D0">
            <w:pPr>
              <w:pStyle w:val="Tablebullet1"/>
            </w:pPr>
            <w:r>
              <w:t>impacts and outcomes of the activities</w:t>
            </w:r>
          </w:p>
          <w:p w14:paraId="4647AD1F" w14:textId="77777777" w:rsidR="009A4443" w:rsidRDefault="009A4443" w:rsidP="008F14D0">
            <w:pPr>
              <w:pStyle w:val="Tablebullet1"/>
            </w:pPr>
            <w:r>
              <w:t>budget and expenditure for the activities.</w:t>
            </w:r>
          </w:p>
          <w:p w14:paraId="6F57AF56" w14:textId="77777777" w:rsidR="008F14D0" w:rsidRDefault="008F14D0" w:rsidP="009A4443">
            <w:pPr>
              <w:pStyle w:val="Body"/>
              <w:rPr>
                <w:i/>
                <w:iCs/>
              </w:rPr>
            </w:pPr>
          </w:p>
          <w:p w14:paraId="37C6B247" w14:textId="4C9AF28B" w:rsidR="009A4443" w:rsidRPr="003F5093" w:rsidRDefault="009A4443" w:rsidP="009A4443">
            <w:pPr>
              <w:pStyle w:val="Body"/>
              <w:rPr>
                <w:i/>
                <w:iCs/>
              </w:rPr>
            </w:pPr>
            <w:r w:rsidRPr="003F5093">
              <w:rPr>
                <w:i/>
                <w:iCs/>
              </w:rPr>
              <w:t>Stigma and Discrimination</w:t>
            </w:r>
          </w:p>
          <w:p w14:paraId="5CB228E8" w14:textId="77777777" w:rsidR="009A4443" w:rsidRDefault="009A4443" w:rsidP="008F14D0">
            <w:pPr>
              <w:pStyle w:val="Tablebullet1"/>
            </w:pPr>
            <w:r>
              <w:t>Any activities that might be undertaken by the agency to address stigma and discrimination experienced by service clients.</w:t>
            </w:r>
          </w:p>
          <w:p w14:paraId="39D82153" w14:textId="77777777" w:rsidR="009A4443" w:rsidRDefault="009A4443" w:rsidP="009A4443">
            <w:pPr>
              <w:pStyle w:val="Body"/>
            </w:pPr>
          </w:p>
          <w:p w14:paraId="33834D36" w14:textId="77777777" w:rsidR="009A4443" w:rsidRPr="003F5093" w:rsidRDefault="009A4443" w:rsidP="009A4443">
            <w:pPr>
              <w:pStyle w:val="Body"/>
              <w:rPr>
                <w:i/>
                <w:iCs/>
              </w:rPr>
            </w:pPr>
            <w:r w:rsidRPr="003F5093">
              <w:rPr>
                <w:i/>
                <w:iCs/>
              </w:rPr>
              <w:t>Other</w:t>
            </w:r>
          </w:p>
          <w:p w14:paraId="4F35E536" w14:textId="3F97E188" w:rsidR="009A4443" w:rsidRDefault="009A4443" w:rsidP="00534B0C">
            <w:pPr>
              <w:pStyle w:val="Bullet1"/>
            </w:pPr>
            <w:r>
              <w:t>A section describing the data report and outlining how community-based care and support activities have increased BBVSTI awareness in the priority population(s) over time or improved the integration of BBVSTI services for the priority populations.</w:t>
            </w:r>
          </w:p>
          <w:p w14:paraId="61A7253A" w14:textId="77777777" w:rsidR="009A4443" w:rsidRDefault="009A4443" w:rsidP="00534B0C">
            <w:pPr>
              <w:pStyle w:val="Bullet1"/>
            </w:pPr>
            <w:r>
              <w:t>A section describing the data report and identifying any other issues, emerging trends/changes in demand for services, or case studies.</w:t>
            </w:r>
          </w:p>
          <w:p w14:paraId="644C0F64" w14:textId="77777777" w:rsidR="009A4443" w:rsidRDefault="009A4443" w:rsidP="00534B0C">
            <w:pPr>
              <w:pStyle w:val="Bullet1"/>
            </w:pPr>
            <w:r>
              <w:t>A financial acquittal of the funding by financial year.</w:t>
            </w:r>
          </w:p>
          <w:p w14:paraId="54F749B1" w14:textId="77777777" w:rsidR="009A4443" w:rsidRDefault="009A4443" w:rsidP="009A4443">
            <w:pPr>
              <w:pStyle w:val="Body"/>
            </w:pPr>
          </w:p>
          <w:p w14:paraId="2DD2E764" w14:textId="77777777" w:rsidR="009A4443" w:rsidRDefault="009A4443" w:rsidP="009A4443">
            <w:pPr>
              <w:pStyle w:val="Body"/>
            </w:pPr>
          </w:p>
          <w:p w14:paraId="0F03A3E0" w14:textId="77777777" w:rsidR="009A4443" w:rsidRPr="00C237A0" w:rsidRDefault="009A4443" w:rsidP="009A4443">
            <w:pPr>
              <w:pStyle w:val="Body"/>
            </w:pPr>
          </w:p>
        </w:tc>
      </w:tr>
      <w:tr w:rsidR="009A4443" w:rsidRPr="002F7C4B" w14:paraId="08545E9B" w14:textId="77777777" w:rsidTr="0098527B">
        <w:trPr>
          <w:cantSplit/>
          <w:trHeight w:hRule="exact" w:val="447"/>
          <w:jc w:val="center"/>
        </w:trPr>
        <w:tc>
          <w:tcPr>
            <w:tcW w:w="2835" w:type="dxa"/>
          </w:tcPr>
          <w:p w14:paraId="6DED3B62" w14:textId="469375E8" w:rsidR="009A4443" w:rsidRPr="0017293C" w:rsidRDefault="009A4443" w:rsidP="009A4443">
            <w:pPr>
              <w:pStyle w:val="Body"/>
            </w:pPr>
            <w:r w:rsidRPr="00575BC9">
              <w:t>Data source collection</w:t>
            </w:r>
          </w:p>
        </w:tc>
        <w:tc>
          <w:tcPr>
            <w:tcW w:w="7379" w:type="dxa"/>
          </w:tcPr>
          <w:p w14:paraId="410C1A29" w14:textId="77777777" w:rsidR="009A4443" w:rsidRPr="002F7C4B" w:rsidRDefault="009A4443" w:rsidP="009A4443">
            <w:pPr>
              <w:pStyle w:val="Body"/>
              <w:rPr>
                <w:color w:val="7030A0"/>
              </w:rPr>
            </w:pPr>
            <w:r>
              <w:t>Annual BBVSTI Community Based Care and Support Report</w:t>
            </w:r>
          </w:p>
        </w:tc>
      </w:tr>
    </w:tbl>
    <w:p w14:paraId="410FC2F1" w14:textId="77777777" w:rsidR="009A4443" w:rsidRDefault="009A4443" w:rsidP="009A4443">
      <w:pPr>
        <w:pStyle w:val="Body"/>
        <w:rPr>
          <w:rFonts w:eastAsia="MS Gothic"/>
          <w:sz w:val="24"/>
          <w:szCs w:val="26"/>
        </w:rPr>
      </w:pPr>
    </w:p>
    <w:p w14:paraId="14B67E35" w14:textId="77777777" w:rsidR="009A4443" w:rsidRPr="008410EA" w:rsidRDefault="009A4443" w:rsidP="00B55E34">
      <w:pPr>
        <w:pStyle w:val="Heading3"/>
        <w:rPr>
          <w:rFonts w:cs="Arial"/>
          <w:color w:val="201547"/>
          <w:kern w:val="32"/>
          <w:sz w:val="28"/>
          <w:szCs w:val="40"/>
        </w:rPr>
      </w:pPr>
      <w:r w:rsidRPr="008410EA">
        <w:t>6. Data collection</w:t>
      </w:r>
    </w:p>
    <w:p w14:paraId="381464E3" w14:textId="77777777" w:rsidR="009A4443" w:rsidRDefault="009A4443" w:rsidP="009A4443">
      <w:pPr>
        <w:pStyle w:val="Body"/>
      </w:pPr>
      <w:r>
        <w:t>The reporting requirements for this service are:</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1956"/>
        <w:gridCol w:w="1418"/>
        <w:gridCol w:w="4294"/>
      </w:tblGrid>
      <w:tr w:rsidR="00B55E34" w:rsidRPr="00045493" w14:paraId="5EF75042" w14:textId="77777777" w:rsidTr="00B55E34">
        <w:trPr>
          <w:trHeight w:hRule="exact" w:val="631"/>
          <w:tblHeader/>
          <w:jc w:val="center"/>
        </w:trPr>
        <w:tc>
          <w:tcPr>
            <w:tcW w:w="2580" w:type="dxa"/>
            <w:vAlign w:val="center"/>
          </w:tcPr>
          <w:p w14:paraId="05F6A091" w14:textId="77777777" w:rsidR="00B55E34" w:rsidRPr="00575BC9" w:rsidRDefault="00B55E34">
            <w:pPr>
              <w:pStyle w:val="Body"/>
              <w:jc w:val="center"/>
            </w:pPr>
            <w:r w:rsidRPr="00575BC9">
              <w:t>Data collection name</w:t>
            </w:r>
          </w:p>
        </w:tc>
        <w:tc>
          <w:tcPr>
            <w:tcW w:w="1956" w:type="dxa"/>
            <w:vAlign w:val="center"/>
          </w:tcPr>
          <w:p w14:paraId="617A963E" w14:textId="77777777" w:rsidR="00B55E34" w:rsidRPr="00575BC9" w:rsidRDefault="00B55E34">
            <w:pPr>
              <w:pStyle w:val="Body"/>
              <w:jc w:val="center"/>
            </w:pPr>
            <w:r w:rsidRPr="00575BC9">
              <w:t>Data system</w:t>
            </w:r>
          </w:p>
        </w:tc>
        <w:tc>
          <w:tcPr>
            <w:tcW w:w="1418" w:type="dxa"/>
            <w:vAlign w:val="center"/>
          </w:tcPr>
          <w:p w14:paraId="36E2B1E0" w14:textId="77777777" w:rsidR="00B55E34" w:rsidRPr="00575BC9" w:rsidRDefault="00B55E34">
            <w:pPr>
              <w:pStyle w:val="Body"/>
              <w:jc w:val="center"/>
            </w:pPr>
            <w:r w:rsidRPr="00575BC9">
              <w:t>Data set</w:t>
            </w:r>
          </w:p>
        </w:tc>
        <w:tc>
          <w:tcPr>
            <w:tcW w:w="4294" w:type="dxa"/>
            <w:vAlign w:val="center"/>
          </w:tcPr>
          <w:p w14:paraId="31CEA0B0" w14:textId="77777777" w:rsidR="00B55E34" w:rsidRPr="00575BC9" w:rsidRDefault="00B55E34">
            <w:pPr>
              <w:pStyle w:val="Body"/>
              <w:jc w:val="center"/>
            </w:pPr>
            <w:r w:rsidRPr="00575BC9">
              <w:t>Reporting cycle</w:t>
            </w:r>
          </w:p>
        </w:tc>
      </w:tr>
      <w:tr w:rsidR="00B55E34" w:rsidRPr="00C237A0" w14:paraId="7EA82A7E" w14:textId="77777777" w:rsidTr="00B55E34">
        <w:trPr>
          <w:trHeight w:val="280"/>
          <w:jc w:val="center"/>
        </w:trPr>
        <w:tc>
          <w:tcPr>
            <w:tcW w:w="2580" w:type="dxa"/>
          </w:tcPr>
          <w:p w14:paraId="50CEE963" w14:textId="77777777" w:rsidR="00B55E34" w:rsidRDefault="00B55E34">
            <w:pPr>
              <w:pStyle w:val="Body"/>
            </w:pPr>
            <w:r>
              <w:t>Annual Plan</w:t>
            </w:r>
          </w:p>
          <w:p w14:paraId="2CDC6D02" w14:textId="45972364" w:rsidR="00B55E34" w:rsidRPr="008626B8" w:rsidRDefault="00B55E34">
            <w:pPr>
              <w:pStyle w:val="Body"/>
            </w:pPr>
            <w:r>
              <w:lastRenderedPageBreak/>
              <w:t xml:space="preserve">Use template in </w:t>
            </w:r>
            <w:r w:rsidRPr="006230B6">
              <w:rPr>
                <w:b/>
                <w:bCs/>
              </w:rPr>
              <w:t xml:space="preserve">Appendix </w:t>
            </w:r>
            <w:r w:rsidR="00F6404D">
              <w:rPr>
                <w:b/>
                <w:bCs/>
              </w:rPr>
              <w:t>1</w:t>
            </w:r>
            <w:r>
              <w:t xml:space="preserve"> </w:t>
            </w:r>
          </w:p>
        </w:tc>
        <w:tc>
          <w:tcPr>
            <w:tcW w:w="1956" w:type="dxa"/>
          </w:tcPr>
          <w:p w14:paraId="1F4EAABD" w14:textId="77777777" w:rsidR="00B55E34" w:rsidRPr="008626B8" w:rsidRDefault="00B55E34">
            <w:pPr>
              <w:pStyle w:val="Body"/>
            </w:pPr>
            <w:r>
              <w:lastRenderedPageBreak/>
              <w:t>Plan</w:t>
            </w:r>
          </w:p>
        </w:tc>
        <w:tc>
          <w:tcPr>
            <w:tcW w:w="1418" w:type="dxa"/>
          </w:tcPr>
          <w:p w14:paraId="27F8D34D" w14:textId="77777777" w:rsidR="00B55E34" w:rsidRPr="008626B8" w:rsidRDefault="00B55E34">
            <w:pPr>
              <w:pStyle w:val="Body"/>
            </w:pPr>
            <w:r>
              <w:t>N/A</w:t>
            </w:r>
          </w:p>
        </w:tc>
        <w:tc>
          <w:tcPr>
            <w:tcW w:w="4294" w:type="dxa"/>
          </w:tcPr>
          <w:p w14:paraId="0FCF051F" w14:textId="77777777" w:rsidR="00B55E34" w:rsidRPr="005C20A7" w:rsidRDefault="00B55E34">
            <w:pPr>
              <w:pStyle w:val="Body"/>
            </w:pPr>
            <w:r>
              <w:t xml:space="preserve">30 April e.g. 2025 – ‘26 annual plan is due 30 April 2025. </w:t>
            </w:r>
          </w:p>
          <w:p w14:paraId="14042911" w14:textId="77777777" w:rsidR="00B55E34" w:rsidRPr="005C20A7" w:rsidRDefault="00B55E34">
            <w:pPr>
              <w:pStyle w:val="Body"/>
            </w:pPr>
          </w:p>
        </w:tc>
      </w:tr>
      <w:tr w:rsidR="00B55E34" w:rsidRPr="00C237A0" w14:paraId="471BD89A" w14:textId="77777777" w:rsidTr="00B55E34">
        <w:trPr>
          <w:jc w:val="center"/>
        </w:trPr>
        <w:tc>
          <w:tcPr>
            <w:tcW w:w="2580" w:type="dxa"/>
          </w:tcPr>
          <w:p w14:paraId="46B24FBC" w14:textId="77777777" w:rsidR="00435C30" w:rsidRDefault="00B55E34" w:rsidP="00435C30">
            <w:pPr>
              <w:pStyle w:val="Body"/>
            </w:pPr>
            <w:r>
              <w:lastRenderedPageBreak/>
              <w:t>Annual Report</w:t>
            </w:r>
          </w:p>
          <w:p w14:paraId="1FF5E278" w14:textId="523587D9" w:rsidR="00B55E34" w:rsidRPr="008626B8" w:rsidRDefault="00B55E34" w:rsidP="00435C30">
            <w:pPr>
              <w:pStyle w:val="Body"/>
            </w:pPr>
            <w:r>
              <w:t xml:space="preserve">Use template in </w:t>
            </w:r>
            <w:r w:rsidRPr="006230B6">
              <w:rPr>
                <w:b/>
                <w:bCs/>
              </w:rPr>
              <w:t xml:space="preserve">Appendix </w:t>
            </w:r>
            <w:r w:rsidR="00F6404D">
              <w:rPr>
                <w:b/>
                <w:bCs/>
              </w:rPr>
              <w:t>1</w:t>
            </w:r>
          </w:p>
        </w:tc>
        <w:tc>
          <w:tcPr>
            <w:tcW w:w="1956" w:type="dxa"/>
          </w:tcPr>
          <w:p w14:paraId="36FDDAAE" w14:textId="77777777" w:rsidR="00B55E34" w:rsidRPr="008626B8" w:rsidRDefault="00B55E34">
            <w:pPr>
              <w:pStyle w:val="Body"/>
            </w:pPr>
            <w:r w:rsidRPr="008626B8">
              <w:t>Report</w:t>
            </w:r>
          </w:p>
        </w:tc>
        <w:tc>
          <w:tcPr>
            <w:tcW w:w="1418" w:type="dxa"/>
          </w:tcPr>
          <w:p w14:paraId="43BB0AD2" w14:textId="77777777" w:rsidR="00B55E34" w:rsidRPr="008626B8" w:rsidRDefault="00B55E34">
            <w:pPr>
              <w:pStyle w:val="Body"/>
            </w:pPr>
            <w:r w:rsidRPr="008626B8">
              <w:t>N/A</w:t>
            </w:r>
          </w:p>
        </w:tc>
        <w:tc>
          <w:tcPr>
            <w:tcW w:w="4294" w:type="dxa"/>
          </w:tcPr>
          <w:p w14:paraId="799AEA4F" w14:textId="77777777" w:rsidR="00B55E34" w:rsidRPr="005C20A7" w:rsidRDefault="00B55E34">
            <w:pPr>
              <w:pStyle w:val="Body"/>
            </w:pPr>
            <w:r w:rsidRPr="005C20A7">
              <w:t>30 September</w:t>
            </w:r>
            <w:r>
              <w:t xml:space="preserve"> e.g. </w:t>
            </w:r>
            <w:r w:rsidRPr="005C20A7">
              <w:t>202</w:t>
            </w:r>
            <w:r>
              <w:t>5 – ‘</w:t>
            </w:r>
            <w:r w:rsidRPr="005C20A7">
              <w:t>2</w:t>
            </w:r>
            <w:r>
              <w:t>6</w:t>
            </w:r>
            <w:r w:rsidRPr="005C20A7">
              <w:t xml:space="preserve"> annual report </w:t>
            </w:r>
            <w:r>
              <w:t xml:space="preserve">(against the previous plan) is </w:t>
            </w:r>
            <w:r w:rsidRPr="005C20A7">
              <w:t>due 30 September 202</w:t>
            </w:r>
            <w:r>
              <w:t>6</w:t>
            </w:r>
            <w:r w:rsidRPr="005C20A7">
              <w:t>.</w:t>
            </w:r>
          </w:p>
        </w:tc>
      </w:tr>
    </w:tbl>
    <w:p w14:paraId="328D7BC4" w14:textId="77777777" w:rsidR="00CF3424" w:rsidRDefault="00CF3424" w:rsidP="00CF3424">
      <w:pPr>
        <w:pStyle w:val="DHHSbody"/>
      </w:pPr>
    </w:p>
    <w:p w14:paraId="461C4E02" w14:textId="46E97C31" w:rsidR="005E2D8F" w:rsidRDefault="005E2D8F">
      <w:pPr>
        <w:spacing w:after="0" w:line="240" w:lineRule="auto"/>
        <w:rPr>
          <w:rFonts w:eastAsia="Times"/>
          <w:sz w:val="20"/>
        </w:rPr>
      </w:pPr>
      <w:r>
        <w:br w:type="page"/>
      </w:r>
    </w:p>
    <w:p w14:paraId="1C0272CF" w14:textId="11371D76" w:rsidR="00D6301A" w:rsidRPr="00BF393E" w:rsidRDefault="00D6301A" w:rsidP="00D6301A">
      <w:pPr>
        <w:pStyle w:val="Heading2"/>
        <w:rPr>
          <w:bCs/>
        </w:rPr>
      </w:pPr>
      <w:bookmarkStart w:id="20" w:name="_Toc206763619"/>
      <w:bookmarkStart w:id="21" w:name="_Toc214378207"/>
      <w:r w:rsidRPr="000527C8">
        <w:lastRenderedPageBreak/>
        <w:t>16373 Clinical Services</w:t>
      </w:r>
      <w:bookmarkEnd w:id="20"/>
      <w:bookmarkEnd w:id="21"/>
      <w:r w:rsidRPr="000527C8">
        <w:t xml:space="preserve"> </w:t>
      </w:r>
    </w:p>
    <w:p w14:paraId="6D7DC51B" w14:textId="77777777" w:rsidR="00A3321E" w:rsidRDefault="00A3321E" w:rsidP="00A3321E">
      <w:pPr>
        <w:pStyle w:val="Body"/>
      </w:pPr>
      <w:r>
        <w:t xml:space="preserve">Outcome objective: Victorians are healthy and well </w:t>
      </w:r>
    </w:p>
    <w:p w14:paraId="0CFF8CC1" w14:textId="77777777" w:rsidR="00A3321E" w:rsidRDefault="00A3321E" w:rsidP="00A3321E">
      <w:pPr>
        <w:pStyle w:val="Body"/>
      </w:pPr>
      <w:r>
        <w:t xml:space="preserve">Output group: </w:t>
      </w:r>
      <w:r w:rsidRPr="00177619">
        <w:rPr>
          <w:noProof/>
        </w:rPr>
        <w:t>Public Health</w:t>
      </w:r>
    </w:p>
    <w:p w14:paraId="42C789FA" w14:textId="77777777" w:rsidR="00A3321E" w:rsidRDefault="00A3321E" w:rsidP="00A3321E">
      <w:pPr>
        <w:pStyle w:val="Body"/>
      </w:pPr>
      <w:r>
        <w:t xml:space="preserve">Output: </w:t>
      </w:r>
      <w:r w:rsidRPr="00177619">
        <w:rPr>
          <w:noProof/>
        </w:rPr>
        <w:t xml:space="preserve">Health </w:t>
      </w:r>
      <w:r>
        <w:rPr>
          <w:noProof/>
        </w:rPr>
        <w:t>P</w:t>
      </w:r>
      <w:r w:rsidRPr="00177619">
        <w:rPr>
          <w:noProof/>
        </w:rPr>
        <w:t>rotection</w:t>
      </w:r>
      <w:r>
        <w:t xml:space="preserve"> </w:t>
      </w:r>
    </w:p>
    <w:p w14:paraId="5E77438A" w14:textId="77777777" w:rsidR="00F8546B" w:rsidRPr="00BF393E" w:rsidRDefault="00F8546B" w:rsidP="00405C3C">
      <w:pPr>
        <w:pStyle w:val="Heading3"/>
      </w:pPr>
      <w:r w:rsidRPr="00BF393E">
        <w:t xml:space="preserve">1. Service Objective </w:t>
      </w:r>
    </w:p>
    <w:p w14:paraId="2066F318" w14:textId="369C1820" w:rsidR="00F8546B" w:rsidRPr="00BE16D4" w:rsidRDefault="00F8546B" w:rsidP="00F8546B">
      <w:pPr>
        <w:pStyle w:val="Body"/>
      </w:pPr>
      <w:r>
        <w:t xml:space="preserve">To ensure all Victorians have access to a </w:t>
      </w:r>
      <w:r w:rsidRPr="0066205A">
        <w:t xml:space="preserve">full range of medical, nursing and allied health services relating to </w:t>
      </w:r>
      <w:r w:rsidR="00BF1068">
        <w:t>BBVSTI</w:t>
      </w:r>
      <w:r w:rsidRPr="0066205A">
        <w:t xml:space="preserve"> and other sexual health needs</w:t>
      </w:r>
      <w:r w:rsidRPr="002751AC">
        <w:t>.</w:t>
      </w:r>
      <w:r w:rsidRPr="00BE16D4">
        <w:t xml:space="preserve"> </w:t>
      </w:r>
    </w:p>
    <w:p w14:paraId="2888955F" w14:textId="77777777" w:rsidR="00F8546B" w:rsidRPr="00BF393E" w:rsidRDefault="00F8546B" w:rsidP="00BF1068">
      <w:pPr>
        <w:pStyle w:val="Heading3"/>
      </w:pPr>
      <w:r w:rsidRPr="00BF393E">
        <w:t>2. Description of the service</w:t>
      </w:r>
    </w:p>
    <w:p w14:paraId="1AD71317" w14:textId="084D89D9" w:rsidR="00F8546B" w:rsidRDefault="00F8546B" w:rsidP="00F8546B">
      <w:pPr>
        <w:pStyle w:val="Body"/>
        <w:rPr>
          <w:noProof/>
        </w:rPr>
      </w:pPr>
      <w:r>
        <w:rPr>
          <w:noProof/>
        </w:rPr>
        <w:t xml:space="preserve">The provision of </w:t>
      </w:r>
      <w:r w:rsidRPr="003428A2">
        <w:rPr>
          <w:noProof/>
        </w:rPr>
        <w:t xml:space="preserve">the full range of medical, nursing and allied health services to clients relating to </w:t>
      </w:r>
      <w:r>
        <w:rPr>
          <w:noProof/>
        </w:rPr>
        <w:t xml:space="preserve">BBVSTI </w:t>
      </w:r>
      <w:r w:rsidRPr="003428A2">
        <w:rPr>
          <w:noProof/>
        </w:rPr>
        <w:t xml:space="preserve">and other sexual health needs. </w:t>
      </w:r>
    </w:p>
    <w:p w14:paraId="480407F6" w14:textId="77777777" w:rsidR="00F8546B" w:rsidRPr="00BF393E" w:rsidRDefault="00F8546B" w:rsidP="00BF1068">
      <w:pPr>
        <w:pStyle w:val="Heading3"/>
      </w:pPr>
      <w:r w:rsidRPr="00BF393E">
        <w:t>3. Client group</w:t>
      </w:r>
    </w:p>
    <w:p w14:paraId="5DB24175" w14:textId="7712F80E" w:rsidR="00F8546B" w:rsidRDefault="00F8546B" w:rsidP="00F8546B">
      <w:pPr>
        <w:pStyle w:val="Body"/>
      </w:pPr>
      <w:r>
        <w:t xml:space="preserve">BBVSTI clinical </w:t>
      </w:r>
      <w:r w:rsidRPr="006C7B83">
        <w:t xml:space="preserve">services are available to all </w:t>
      </w:r>
      <w:r>
        <w:t xml:space="preserve">people living in </w:t>
      </w:r>
      <w:r w:rsidRPr="006C7B83">
        <w:t>Victoria</w:t>
      </w:r>
      <w:r>
        <w:t xml:space="preserve"> including priority at-risk populations as outlined in the Victorian </w:t>
      </w:r>
      <w:r w:rsidR="00BF1068">
        <w:t>strategy</w:t>
      </w:r>
      <w:r>
        <w:t>.</w:t>
      </w:r>
    </w:p>
    <w:p w14:paraId="1A85FE39" w14:textId="77777777" w:rsidR="00F8546B" w:rsidRPr="00BF393E" w:rsidRDefault="00F8546B" w:rsidP="00BF1068">
      <w:pPr>
        <w:pStyle w:val="Heading3"/>
      </w:pPr>
      <w:r w:rsidRPr="00BF393E">
        <w:t>4. Obligations specific to this activity</w:t>
      </w:r>
    </w:p>
    <w:p w14:paraId="21768695" w14:textId="77777777" w:rsidR="00F8546B" w:rsidRPr="00250F7F" w:rsidRDefault="00F8546B" w:rsidP="00F8546B">
      <w:pPr>
        <w:pStyle w:val="Body"/>
      </w:pPr>
      <w:r w:rsidRPr="00250F7F">
        <w:t>In addition to the obligations listed in the Service Agreement, organisations funded to deliver this activity must comply with the following:</w:t>
      </w:r>
    </w:p>
    <w:p w14:paraId="5B15CC9B" w14:textId="77777777" w:rsidR="00F8546B" w:rsidRPr="00BF393E" w:rsidRDefault="00F8546B" w:rsidP="00BF1068">
      <w:pPr>
        <w:pStyle w:val="Heading4"/>
      </w:pPr>
      <w:r w:rsidRPr="00BF393E">
        <w:t xml:space="preserve">4a.  Registration and Accreditation </w:t>
      </w:r>
    </w:p>
    <w:p w14:paraId="6E574546" w14:textId="77777777" w:rsidR="00F8546B" w:rsidRPr="00ED282E" w:rsidRDefault="00F8546B" w:rsidP="00F8546B">
      <w:pPr>
        <w:pStyle w:val="Body"/>
        <w:rPr>
          <w:rStyle w:val="DHHSbodyChar"/>
        </w:rPr>
      </w:pPr>
      <w:r w:rsidRPr="00ED282E">
        <w:rPr>
          <w:rStyle w:val="DHHSbodyChar"/>
        </w:rPr>
        <w:t>N/A</w:t>
      </w:r>
    </w:p>
    <w:p w14:paraId="25098F02" w14:textId="77777777" w:rsidR="00F8546B" w:rsidRPr="00BF393E" w:rsidRDefault="00F8546B" w:rsidP="00BF1068">
      <w:pPr>
        <w:pStyle w:val="Heading4"/>
      </w:pPr>
      <w:r w:rsidRPr="00BF393E">
        <w:t xml:space="preserve">4b. Program requirements and other policy guidelines </w:t>
      </w:r>
    </w:p>
    <w:p w14:paraId="7AC00DE0" w14:textId="0199F937" w:rsidR="00F8546B" w:rsidRPr="003D0336" w:rsidRDefault="00F8546B" w:rsidP="00F8546B">
      <w:pPr>
        <w:pStyle w:val="Body"/>
        <w:rPr>
          <w:rStyle w:val="DHHSbodyChar"/>
          <w:b/>
          <w:bCs/>
        </w:rPr>
      </w:pPr>
      <w:r w:rsidRPr="00EE7063">
        <w:rPr>
          <w:noProof/>
        </w:rPr>
        <w:t xml:space="preserve">BBVSTI </w:t>
      </w:r>
      <w:r>
        <w:rPr>
          <w:noProof/>
        </w:rPr>
        <w:t xml:space="preserve">Program Guidelines for Funded Agencies </w:t>
      </w:r>
      <w:r w:rsidRPr="00EE7063">
        <w:rPr>
          <w:noProof/>
        </w:rPr>
        <w:t>(</w:t>
      </w:r>
      <w:r>
        <w:rPr>
          <w:noProof/>
        </w:rPr>
        <w:t>current version</w:t>
      </w:r>
      <w:r w:rsidRPr="00EE7063">
        <w:rPr>
          <w:noProof/>
        </w:rPr>
        <w:t>)</w:t>
      </w:r>
      <w:r>
        <w:rPr>
          <w:noProof/>
        </w:rPr>
        <w:t xml:space="preserve">. </w:t>
      </w:r>
    </w:p>
    <w:p w14:paraId="34E13586" w14:textId="77777777" w:rsidR="00F8546B" w:rsidRPr="00BF393E" w:rsidRDefault="00F8546B" w:rsidP="00BF1068">
      <w:pPr>
        <w:pStyle w:val="Heading3"/>
      </w:pPr>
      <w:r w:rsidRPr="00BF393E">
        <w:t>5. Performance</w:t>
      </w:r>
    </w:p>
    <w:p w14:paraId="3ECF25EE" w14:textId="77777777" w:rsidR="00F8546B" w:rsidRDefault="00F8546B" w:rsidP="00F8546B">
      <w:pPr>
        <w:pStyle w:val="Body"/>
      </w:pPr>
      <w:r>
        <w:t>Funding is subject to achieving the</w:t>
      </w:r>
      <w:r w:rsidRPr="00171F04">
        <w:t xml:space="preserve"> </w:t>
      </w:r>
      <w:r>
        <w:t>performance targets specified in Schedule 2 of the Service Agreement.</w:t>
      </w:r>
    </w:p>
    <w:p w14:paraId="2BEEE38B" w14:textId="77777777" w:rsidR="00F8546B" w:rsidRPr="001F1A17" w:rsidRDefault="00F8546B" w:rsidP="00F8546B">
      <w:pPr>
        <w:pStyle w:val="Body"/>
        <w:rPr>
          <w:lang w:eastAsia="en-AU"/>
        </w:rPr>
      </w:pPr>
      <w:r>
        <w:rPr>
          <w:lang w:eastAsia="en-AU"/>
        </w:rPr>
        <w:t xml:space="preserve">Performance is measured as follows:  </w:t>
      </w:r>
    </w:p>
    <w:p w14:paraId="069C1B4C" w14:textId="77777777" w:rsidR="00F8546B" w:rsidRDefault="00F8546B" w:rsidP="00F8546B">
      <w:pPr>
        <w:pStyle w:val="Body"/>
      </w:pPr>
      <w:r>
        <w:br w:type="page"/>
      </w:r>
    </w:p>
    <w:p w14:paraId="2DCFF73F" w14:textId="79BB3944" w:rsidR="00F8546B" w:rsidRPr="00B43DD0" w:rsidRDefault="00F8546B" w:rsidP="00F8546B">
      <w:pPr>
        <w:pStyle w:val="Body"/>
      </w:pPr>
      <w:r>
        <w:lastRenderedPageBreak/>
        <w:t xml:space="preserve">Key performance measure 1: </w:t>
      </w:r>
      <w:r w:rsidRPr="32360E96">
        <w:rPr>
          <w:rStyle w:val="DHHSbodyChar"/>
        </w:rPr>
        <w:t>Annual Report</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F8546B" w:rsidRPr="00C237A0" w14:paraId="4663A877" w14:textId="77777777" w:rsidTr="00BA1A9F">
        <w:trPr>
          <w:cantSplit/>
          <w:trHeight w:hRule="exact" w:val="748"/>
          <w:jc w:val="center"/>
        </w:trPr>
        <w:tc>
          <w:tcPr>
            <w:tcW w:w="2835" w:type="dxa"/>
          </w:tcPr>
          <w:p w14:paraId="1E4CEE0D" w14:textId="77777777" w:rsidR="00F8546B" w:rsidRPr="0017293C" w:rsidRDefault="00F8546B" w:rsidP="00F8546B">
            <w:pPr>
              <w:pStyle w:val="Body"/>
            </w:pPr>
            <w:r w:rsidRPr="00575BC9">
              <w:t>Aim/objective</w:t>
            </w:r>
          </w:p>
        </w:tc>
        <w:tc>
          <w:tcPr>
            <w:tcW w:w="7379" w:type="dxa"/>
          </w:tcPr>
          <w:p w14:paraId="08552B1D" w14:textId="12C82144" w:rsidR="00F8546B" w:rsidRPr="00FC10C7" w:rsidRDefault="00F8546B" w:rsidP="00F8546B">
            <w:pPr>
              <w:pStyle w:val="Body"/>
            </w:pPr>
            <w:r>
              <w:t>To provide an annual report of clinical services provided over the 12-month</w:t>
            </w:r>
            <w:r w:rsidR="00BA1A9F">
              <w:t xml:space="preserve"> period. </w:t>
            </w:r>
          </w:p>
        </w:tc>
      </w:tr>
      <w:tr w:rsidR="00F8546B" w:rsidRPr="00C237A0" w14:paraId="3B1043D7" w14:textId="77777777" w:rsidTr="00BA1A9F">
        <w:trPr>
          <w:cantSplit/>
          <w:trHeight w:hRule="exact" w:val="425"/>
          <w:jc w:val="center"/>
        </w:trPr>
        <w:tc>
          <w:tcPr>
            <w:tcW w:w="2835" w:type="dxa"/>
          </w:tcPr>
          <w:p w14:paraId="7842A828" w14:textId="77777777" w:rsidR="00F8546B" w:rsidRPr="0017293C" w:rsidRDefault="00F8546B" w:rsidP="00F8546B">
            <w:pPr>
              <w:pStyle w:val="Body"/>
            </w:pPr>
            <w:r w:rsidRPr="00575BC9">
              <w:t>Target</w:t>
            </w:r>
          </w:p>
        </w:tc>
        <w:tc>
          <w:tcPr>
            <w:tcW w:w="7379" w:type="dxa"/>
          </w:tcPr>
          <w:p w14:paraId="3039F8F3" w14:textId="77777777" w:rsidR="00F8546B" w:rsidRPr="002F7C4B" w:rsidRDefault="00F8546B" w:rsidP="00F8546B">
            <w:pPr>
              <w:pStyle w:val="Body"/>
              <w:rPr>
                <w:color w:val="7030A0"/>
              </w:rPr>
            </w:pPr>
            <w:r w:rsidRPr="004D7798">
              <w:t xml:space="preserve">As per </w:t>
            </w:r>
            <w:r>
              <w:t>the S</w:t>
            </w:r>
            <w:r w:rsidRPr="004D7798">
              <w:t xml:space="preserve">ervice </w:t>
            </w:r>
            <w:r>
              <w:t>A</w:t>
            </w:r>
            <w:r w:rsidRPr="004D7798">
              <w:t>greement</w:t>
            </w:r>
          </w:p>
        </w:tc>
      </w:tr>
      <w:tr w:rsidR="00F8546B" w:rsidRPr="00C237A0" w14:paraId="6D9AF690" w14:textId="77777777" w:rsidTr="00BA1A9F">
        <w:trPr>
          <w:cantSplit/>
          <w:trHeight w:hRule="exact" w:val="340"/>
          <w:jc w:val="center"/>
        </w:trPr>
        <w:tc>
          <w:tcPr>
            <w:tcW w:w="2835" w:type="dxa"/>
          </w:tcPr>
          <w:p w14:paraId="7A076678" w14:textId="77777777" w:rsidR="00F8546B" w:rsidRPr="0017293C" w:rsidRDefault="00F8546B" w:rsidP="00F8546B">
            <w:pPr>
              <w:pStyle w:val="Body"/>
            </w:pPr>
            <w:r w:rsidRPr="00575BC9">
              <w:t>Type of count</w:t>
            </w:r>
          </w:p>
        </w:tc>
        <w:tc>
          <w:tcPr>
            <w:tcW w:w="7379" w:type="dxa"/>
          </w:tcPr>
          <w:p w14:paraId="08F301DB" w14:textId="77777777" w:rsidR="00F8546B" w:rsidRPr="00C237A0" w:rsidRDefault="00F8546B" w:rsidP="00F8546B">
            <w:pPr>
              <w:pStyle w:val="Body"/>
            </w:pPr>
            <w:r>
              <w:rPr>
                <w:color w:val="7030A0"/>
              </w:rPr>
              <w:fldChar w:fldCharType="begin">
                <w:ffData>
                  <w:name w:val="Check2"/>
                  <w:enabled/>
                  <w:calcOnExit w:val="0"/>
                  <w:checkBox>
                    <w:sizeAuto/>
                    <w:default w:val="1"/>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r>
              <w:t xml:space="preserve">Cumulative          </w:t>
            </w:r>
            <w:r>
              <w:rPr>
                <w:color w:val="7030A0"/>
              </w:rPr>
              <w:fldChar w:fldCharType="begin">
                <w:ffData>
                  <w:name w:val="Check2"/>
                  <w:enabled/>
                  <w:calcOnExit w:val="0"/>
                  <w:checkBox>
                    <w:sizeAuto/>
                    <w:default w:val="0"/>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proofErr w:type="gramStart"/>
            <w:r>
              <w:t>Non-cumulative</w:t>
            </w:r>
            <w:proofErr w:type="gramEnd"/>
          </w:p>
        </w:tc>
      </w:tr>
      <w:tr w:rsidR="00F8546B" w:rsidRPr="00C237A0" w14:paraId="26A8CDD9" w14:textId="77777777" w:rsidTr="00F0748F">
        <w:trPr>
          <w:cantSplit/>
          <w:trHeight w:hRule="exact" w:val="11285"/>
          <w:jc w:val="center"/>
        </w:trPr>
        <w:tc>
          <w:tcPr>
            <w:tcW w:w="2835" w:type="dxa"/>
          </w:tcPr>
          <w:p w14:paraId="6CF1E181" w14:textId="77777777" w:rsidR="00F8546B" w:rsidRPr="0017293C" w:rsidRDefault="00F8546B" w:rsidP="00F8546B">
            <w:pPr>
              <w:pStyle w:val="Body"/>
            </w:pPr>
            <w:r w:rsidRPr="00575BC9">
              <w:t>Counting rule</w:t>
            </w:r>
          </w:p>
        </w:tc>
        <w:tc>
          <w:tcPr>
            <w:tcW w:w="7379" w:type="dxa"/>
          </w:tcPr>
          <w:p w14:paraId="166500FC" w14:textId="35B4C791" w:rsidR="00F8546B" w:rsidRDefault="00F8546B" w:rsidP="00F8546B">
            <w:pPr>
              <w:pStyle w:val="Body"/>
            </w:pPr>
            <w:r w:rsidRPr="32360E96">
              <w:t>Annual</w:t>
            </w:r>
            <w:r w:rsidRPr="00760FB0">
              <w:t xml:space="preserve"> </w:t>
            </w:r>
            <w:r w:rsidRPr="32360E96">
              <w:t>Report</w:t>
            </w:r>
            <w:r w:rsidRPr="00760FB0">
              <w:t xml:space="preserve"> </w:t>
            </w:r>
            <w:r>
              <w:t>should include:</w:t>
            </w:r>
          </w:p>
          <w:p w14:paraId="3BE38569" w14:textId="77777777" w:rsidR="00F8546B" w:rsidRPr="003428A2" w:rsidRDefault="00F8546B" w:rsidP="00F8546B">
            <w:pPr>
              <w:pStyle w:val="Body"/>
              <w:rPr>
                <w:i/>
                <w:iCs/>
              </w:rPr>
            </w:pPr>
            <w:r w:rsidRPr="003428A2">
              <w:rPr>
                <w:i/>
                <w:iCs/>
              </w:rPr>
              <w:t>Testing and Treatment</w:t>
            </w:r>
          </w:p>
          <w:p w14:paraId="2281DA06" w14:textId="7358C656" w:rsidR="00F8546B" w:rsidRDefault="00F8546B" w:rsidP="0001086F">
            <w:pPr>
              <w:pStyle w:val="Bullet1"/>
            </w:pPr>
            <w:r>
              <w:t>total number of unique BBVSTI clients tested and treated over the 12-month period</w:t>
            </w:r>
          </w:p>
          <w:p w14:paraId="6A95D997" w14:textId="77777777" w:rsidR="00F8546B" w:rsidRPr="000A00D3" w:rsidRDefault="00F8546B" w:rsidP="00F8546B">
            <w:pPr>
              <w:pStyle w:val="Body"/>
            </w:pPr>
            <w:r>
              <w:t>b</w:t>
            </w:r>
            <w:r w:rsidRPr="000A00D3">
              <w:t xml:space="preserve">reakdown of those unique clients by: </w:t>
            </w:r>
          </w:p>
          <w:p w14:paraId="11C965A7" w14:textId="77777777" w:rsidR="00F8546B" w:rsidRPr="00456621" w:rsidRDefault="00F8546B" w:rsidP="0001086F">
            <w:pPr>
              <w:pStyle w:val="Bullet1"/>
            </w:pPr>
            <w:r>
              <w:t>g</w:t>
            </w:r>
            <w:r w:rsidRPr="00456621">
              <w:t>ender</w:t>
            </w:r>
          </w:p>
          <w:p w14:paraId="764D6B71" w14:textId="77777777" w:rsidR="00F8546B" w:rsidRPr="00456621" w:rsidRDefault="00F8546B" w:rsidP="0001086F">
            <w:pPr>
              <w:pStyle w:val="Bullet1"/>
            </w:pPr>
            <w:r>
              <w:t>c</w:t>
            </w:r>
            <w:r w:rsidRPr="00456621">
              <w:t>ountry of birth</w:t>
            </w:r>
          </w:p>
          <w:p w14:paraId="131FBB99" w14:textId="77777777" w:rsidR="00F8546B" w:rsidRPr="00456621" w:rsidRDefault="00F8546B" w:rsidP="0001086F">
            <w:pPr>
              <w:pStyle w:val="Bullet1"/>
            </w:pPr>
            <w:r>
              <w:t>a</w:t>
            </w:r>
            <w:r w:rsidRPr="00456621">
              <w:t xml:space="preserve">ge or date of birth </w:t>
            </w:r>
          </w:p>
          <w:p w14:paraId="436CA5A3" w14:textId="77777777" w:rsidR="00F8546B" w:rsidRPr="00456621" w:rsidRDefault="00F8546B" w:rsidP="0001086F">
            <w:pPr>
              <w:pStyle w:val="Bullet1"/>
            </w:pPr>
            <w:r>
              <w:t>I</w:t>
            </w:r>
            <w:r w:rsidRPr="00456621">
              <w:t>ndigenous status</w:t>
            </w:r>
          </w:p>
          <w:p w14:paraId="3A1B3BE0" w14:textId="77777777" w:rsidR="00F8546B" w:rsidRPr="00456621" w:rsidRDefault="00F8546B" w:rsidP="0001086F">
            <w:pPr>
              <w:pStyle w:val="Bullet1"/>
            </w:pPr>
            <w:r>
              <w:t>p</w:t>
            </w:r>
            <w:r w:rsidRPr="00456621">
              <w:t>referred language</w:t>
            </w:r>
          </w:p>
          <w:p w14:paraId="41D4DC2A" w14:textId="77777777" w:rsidR="00F8546B" w:rsidRPr="00456621" w:rsidRDefault="00F8546B" w:rsidP="0001086F">
            <w:pPr>
              <w:pStyle w:val="Bullet1"/>
            </w:pPr>
            <w:r>
              <w:t>p</w:t>
            </w:r>
            <w:r w:rsidRPr="00456621">
              <w:t>ost code</w:t>
            </w:r>
          </w:p>
          <w:p w14:paraId="1E0EFE4B" w14:textId="77777777" w:rsidR="00F8546B" w:rsidRPr="00456621" w:rsidRDefault="00F8546B" w:rsidP="0001086F">
            <w:pPr>
              <w:pStyle w:val="Bullet1"/>
            </w:pPr>
            <w:r>
              <w:t>s</w:t>
            </w:r>
            <w:r w:rsidRPr="00456621">
              <w:t xml:space="preserve">ervice type </w:t>
            </w:r>
          </w:p>
          <w:p w14:paraId="403E3E37" w14:textId="77777777" w:rsidR="00F8546B" w:rsidRDefault="00F8546B" w:rsidP="0001086F">
            <w:pPr>
              <w:pStyle w:val="Bullet1"/>
            </w:pPr>
            <w:r w:rsidRPr="00456621">
              <w:t xml:space="preserve">clinical consultation with nurse/nurse practitioner </w:t>
            </w:r>
          </w:p>
          <w:p w14:paraId="2EE59BF3" w14:textId="77777777" w:rsidR="00F8546B" w:rsidRPr="00456621" w:rsidRDefault="00F8546B" w:rsidP="0001086F">
            <w:pPr>
              <w:pStyle w:val="Bullet1"/>
            </w:pPr>
            <w:r w:rsidRPr="00456621">
              <w:t>clinical consultation with medical practitioner</w:t>
            </w:r>
          </w:p>
          <w:p w14:paraId="399C7632" w14:textId="77777777" w:rsidR="00F8546B" w:rsidRPr="003428A2" w:rsidRDefault="00F8546B" w:rsidP="00F8546B">
            <w:pPr>
              <w:pStyle w:val="Body"/>
              <w:rPr>
                <w:i/>
                <w:iCs/>
              </w:rPr>
            </w:pPr>
            <w:r w:rsidRPr="003428A2">
              <w:rPr>
                <w:i/>
                <w:iCs/>
              </w:rPr>
              <w:t>Prevention</w:t>
            </w:r>
          </w:p>
          <w:p w14:paraId="426F297E" w14:textId="0F4156B6" w:rsidR="00F8546B" w:rsidRDefault="00F8546B" w:rsidP="00F0748F">
            <w:pPr>
              <w:pStyle w:val="Bullet1"/>
            </w:pPr>
            <w:r>
              <w:t>total number of BBVSTI patient education / information and counselling sessions provided to unique clients in the 12-month period</w:t>
            </w:r>
          </w:p>
          <w:p w14:paraId="3D978BA2" w14:textId="5F9368E4" w:rsidR="00F8546B" w:rsidRPr="000A00D3" w:rsidRDefault="00F8546B" w:rsidP="00F8546B">
            <w:pPr>
              <w:pStyle w:val="Body"/>
            </w:pPr>
            <w:r>
              <w:t>b</w:t>
            </w:r>
            <w:r w:rsidRPr="000A00D3">
              <w:t xml:space="preserve">reakdown of </w:t>
            </w:r>
            <w:r>
              <w:t>services provided in the 12</w:t>
            </w:r>
            <w:r w:rsidR="00595C0B">
              <w:t>-</w:t>
            </w:r>
            <w:r>
              <w:t xml:space="preserve">month period </w:t>
            </w:r>
            <w:r w:rsidRPr="000A00D3">
              <w:t xml:space="preserve">by: </w:t>
            </w:r>
          </w:p>
          <w:p w14:paraId="79D49CEA" w14:textId="77777777" w:rsidR="00F8546B" w:rsidRPr="00456621" w:rsidRDefault="00F8546B" w:rsidP="00595C0B">
            <w:pPr>
              <w:pStyle w:val="Bullet1"/>
            </w:pPr>
            <w:r>
              <w:t>g</w:t>
            </w:r>
            <w:r w:rsidRPr="00456621">
              <w:t>ender</w:t>
            </w:r>
          </w:p>
          <w:p w14:paraId="6C94BFC1" w14:textId="77777777" w:rsidR="00F8546B" w:rsidRPr="00456621" w:rsidRDefault="00F8546B" w:rsidP="00595C0B">
            <w:pPr>
              <w:pStyle w:val="Bullet1"/>
            </w:pPr>
            <w:r>
              <w:t>c</w:t>
            </w:r>
            <w:r w:rsidRPr="00456621">
              <w:t>ountry of birth</w:t>
            </w:r>
          </w:p>
          <w:p w14:paraId="218D4DF8" w14:textId="77777777" w:rsidR="00F8546B" w:rsidRPr="00456621" w:rsidRDefault="00F8546B" w:rsidP="00595C0B">
            <w:pPr>
              <w:pStyle w:val="Bullet1"/>
            </w:pPr>
            <w:r>
              <w:t>a</w:t>
            </w:r>
            <w:r w:rsidRPr="00456621">
              <w:t xml:space="preserve">ge or date of birth </w:t>
            </w:r>
          </w:p>
          <w:p w14:paraId="44F4EA80" w14:textId="77777777" w:rsidR="00F8546B" w:rsidRPr="00456621" w:rsidRDefault="00F8546B" w:rsidP="00595C0B">
            <w:pPr>
              <w:pStyle w:val="Bullet1"/>
            </w:pPr>
            <w:r>
              <w:t>In</w:t>
            </w:r>
            <w:r w:rsidRPr="00456621">
              <w:t>digenous status</w:t>
            </w:r>
          </w:p>
          <w:p w14:paraId="02D50E50" w14:textId="77777777" w:rsidR="00F8546B" w:rsidRPr="00456621" w:rsidRDefault="00F8546B" w:rsidP="00595C0B">
            <w:pPr>
              <w:pStyle w:val="Bullet1"/>
            </w:pPr>
            <w:r>
              <w:t>pr</w:t>
            </w:r>
            <w:r w:rsidRPr="00456621">
              <w:t>eferred language</w:t>
            </w:r>
          </w:p>
          <w:p w14:paraId="4292D66C" w14:textId="77777777" w:rsidR="00F8546B" w:rsidRPr="00456621" w:rsidRDefault="00F8546B" w:rsidP="00595C0B">
            <w:pPr>
              <w:pStyle w:val="Bullet1"/>
            </w:pPr>
            <w:r>
              <w:t>p</w:t>
            </w:r>
            <w:r w:rsidRPr="00456621">
              <w:t>ost code</w:t>
            </w:r>
          </w:p>
          <w:p w14:paraId="1638D265" w14:textId="77777777" w:rsidR="00F8546B" w:rsidRPr="00456621" w:rsidRDefault="00F8546B" w:rsidP="00F0748F">
            <w:pPr>
              <w:pStyle w:val="Bullet1"/>
              <w:numPr>
                <w:ilvl w:val="0"/>
                <w:numId w:val="0"/>
              </w:numPr>
            </w:pPr>
            <w:r>
              <w:t>s</w:t>
            </w:r>
            <w:r w:rsidRPr="00456621">
              <w:t xml:space="preserve">ervice type </w:t>
            </w:r>
          </w:p>
          <w:p w14:paraId="1CEC190D" w14:textId="77777777" w:rsidR="00F8546B" w:rsidRDefault="00F8546B" w:rsidP="00595C0B">
            <w:pPr>
              <w:pStyle w:val="Bullet1"/>
            </w:pPr>
            <w:r w:rsidRPr="00456621">
              <w:t xml:space="preserve">clinical consultation with nurse/nurse practitioner </w:t>
            </w:r>
          </w:p>
          <w:p w14:paraId="2889CF95" w14:textId="77777777" w:rsidR="00F8546B" w:rsidRPr="00456621" w:rsidRDefault="00F8546B" w:rsidP="00595C0B">
            <w:pPr>
              <w:pStyle w:val="Bullet1"/>
            </w:pPr>
            <w:r w:rsidRPr="00456621">
              <w:t>clinical consultation with medical practitioner</w:t>
            </w:r>
          </w:p>
          <w:p w14:paraId="49ED4206" w14:textId="77777777" w:rsidR="00F8546B" w:rsidRPr="003428A2" w:rsidRDefault="00F8546B" w:rsidP="00F8546B">
            <w:pPr>
              <w:pStyle w:val="Body"/>
              <w:rPr>
                <w:i/>
                <w:iCs/>
              </w:rPr>
            </w:pPr>
            <w:r w:rsidRPr="003428A2">
              <w:rPr>
                <w:i/>
                <w:iCs/>
              </w:rPr>
              <w:t xml:space="preserve">Stigma and Discrimination </w:t>
            </w:r>
          </w:p>
          <w:p w14:paraId="2E0AB12E" w14:textId="416573CD" w:rsidR="00F8546B" w:rsidRPr="003428A2" w:rsidRDefault="00F8546B" w:rsidP="00534B0C">
            <w:pPr>
              <w:pStyle w:val="Bullet1"/>
            </w:pPr>
            <w:r w:rsidRPr="003428A2">
              <w:t xml:space="preserve">The report should include (if relevant) any activities that might be undertaken by your agency to address stigma and discrimination experienced by service clients.  </w:t>
            </w:r>
          </w:p>
          <w:p w14:paraId="6B3BF2BF" w14:textId="77777777" w:rsidR="00F8546B" w:rsidRPr="003428A2" w:rsidRDefault="00F8546B" w:rsidP="00F8546B">
            <w:pPr>
              <w:pStyle w:val="Body"/>
              <w:rPr>
                <w:i/>
                <w:iCs/>
              </w:rPr>
            </w:pPr>
            <w:r w:rsidRPr="003428A2">
              <w:rPr>
                <w:i/>
                <w:iCs/>
              </w:rPr>
              <w:t>Other</w:t>
            </w:r>
          </w:p>
          <w:p w14:paraId="75DC7CB3" w14:textId="2D1E4B82" w:rsidR="00F8546B" w:rsidRPr="00C237A0" w:rsidRDefault="00F8546B" w:rsidP="00F8546B">
            <w:pPr>
              <w:pStyle w:val="Body"/>
            </w:pPr>
            <w:r>
              <w:t>A financial acquittal for the financial year.</w:t>
            </w:r>
          </w:p>
        </w:tc>
      </w:tr>
      <w:tr w:rsidR="00F8546B" w:rsidRPr="00C237A0" w14:paraId="389E6A9A" w14:textId="77777777" w:rsidTr="00BA1A9F">
        <w:trPr>
          <w:cantSplit/>
          <w:trHeight w:hRule="exact" w:val="497"/>
          <w:jc w:val="center"/>
        </w:trPr>
        <w:tc>
          <w:tcPr>
            <w:tcW w:w="2835" w:type="dxa"/>
          </w:tcPr>
          <w:p w14:paraId="34EDCA2F" w14:textId="356A9EC6" w:rsidR="00F8546B" w:rsidRPr="0017293C" w:rsidRDefault="00F8546B" w:rsidP="00F8546B">
            <w:pPr>
              <w:pStyle w:val="Body"/>
            </w:pPr>
            <w:r w:rsidRPr="00575BC9">
              <w:t>Data source collection</w:t>
            </w:r>
          </w:p>
        </w:tc>
        <w:tc>
          <w:tcPr>
            <w:tcW w:w="7379" w:type="dxa"/>
          </w:tcPr>
          <w:p w14:paraId="21724A70" w14:textId="77777777" w:rsidR="00F8546B" w:rsidRPr="002A0B5E" w:rsidRDefault="00F8546B" w:rsidP="00F8546B">
            <w:pPr>
              <w:pStyle w:val="Body"/>
              <w:rPr>
                <w:color w:val="7030A0"/>
                <w:highlight w:val="yellow"/>
              </w:rPr>
            </w:pPr>
            <w:r>
              <w:t>Annual BBVSTI Clinical Services Report.</w:t>
            </w:r>
          </w:p>
        </w:tc>
      </w:tr>
    </w:tbl>
    <w:p w14:paraId="306C6D76" w14:textId="77777777" w:rsidR="00F8546B" w:rsidRPr="00D43A7F" w:rsidRDefault="00F8546B" w:rsidP="00F8546B">
      <w:pPr>
        <w:pStyle w:val="Body"/>
      </w:pPr>
    </w:p>
    <w:p w14:paraId="4AB027B3" w14:textId="77777777" w:rsidR="00F8546B" w:rsidRPr="001C03BD" w:rsidRDefault="00F8546B" w:rsidP="00F8546B">
      <w:pPr>
        <w:pStyle w:val="Body"/>
      </w:pPr>
      <w:r w:rsidRPr="001C03BD">
        <w:lastRenderedPageBreak/>
        <w:t>6. Data collection</w:t>
      </w:r>
    </w:p>
    <w:p w14:paraId="62EFE414" w14:textId="77777777" w:rsidR="00F8546B" w:rsidRPr="001C03BD" w:rsidRDefault="00F8546B" w:rsidP="00F8546B">
      <w:pPr>
        <w:pStyle w:val="Body"/>
      </w:pPr>
      <w:r w:rsidRPr="001C03BD">
        <w:t>The reporting requirements for this service are:</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1956"/>
        <w:gridCol w:w="1418"/>
        <w:gridCol w:w="4294"/>
      </w:tblGrid>
      <w:tr w:rsidR="009138F2" w:rsidRPr="00045493" w14:paraId="5BE5F6A6" w14:textId="77777777" w:rsidTr="009138F2">
        <w:trPr>
          <w:trHeight w:hRule="exact" w:val="631"/>
          <w:tblHeader/>
          <w:jc w:val="center"/>
        </w:trPr>
        <w:tc>
          <w:tcPr>
            <w:tcW w:w="2580" w:type="dxa"/>
            <w:vAlign w:val="center"/>
          </w:tcPr>
          <w:p w14:paraId="40F9A950" w14:textId="77777777" w:rsidR="009138F2" w:rsidRPr="00575BC9" w:rsidRDefault="009138F2">
            <w:pPr>
              <w:pStyle w:val="Body"/>
              <w:jc w:val="center"/>
            </w:pPr>
            <w:r w:rsidRPr="00575BC9">
              <w:t>Data collection name</w:t>
            </w:r>
          </w:p>
        </w:tc>
        <w:tc>
          <w:tcPr>
            <w:tcW w:w="1956" w:type="dxa"/>
            <w:vAlign w:val="center"/>
          </w:tcPr>
          <w:p w14:paraId="44E14A83" w14:textId="77777777" w:rsidR="009138F2" w:rsidRPr="00575BC9" w:rsidRDefault="009138F2">
            <w:pPr>
              <w:pStyle w:val="Body"/>
              <w:jc w:val="center"/>
            </w:pPr>
            <w:r w:rsidRPr="00575BC9">
              <w:t>Data system</w:t>
            </w:r>
          </w:p>
        </w:tc>
        <w:tc>
          <w:tcPr>
            <w:tcW w:w="1418" w:type="dxa"/>
            <w:vAlign w:val="center"/>
          </w:tcPr>
          <w:p w14:paraId="11F46560" w14:textId="77777777" w:rsidR="009138F2" w:rsidRPr="00575BC9" w:rsidRDefault="009138F2">
            <w:pPr>
              <w:pStyle w:val="Body"/>
              <w:jc w:val="center"/>
            </w:pPr>
            <w:r w:rsidRPr="00575BC9">
              <w:t>Data set</w:t>
            </w:r>
          </w:p>
        </w:tc>
        <w:tc>
          <w:tcPr>
            <w:tcW w:w="4294" w:type="dxa"/>
            <w:vAlign w:val="center"/>
          </w:tcPr>
          <w:p w14:paraId="67E1C8EC" w14:textId="77777777" w:rsidR="009138F2" w:rsidRPr="00575BC9" w:rsidRDefault="009138F2">
            <w:pPr>
              <w:pStyle w:val="Body"/>
              <w:jc w:val="center"/>
            </w:pPr>
            <w:r w:rsidRPr="00575BC9">
              <w:t>Reporting cycle</w:t>
            </w:r>
          </w:p>
        </w:tc>
      </w:tr>
      <w:tr w:rsidR="009138F2" w:rsidRPr="00C237A0" w14:paraId="0E12954D" w14:textId="77777777" w:rsidTr="009138F2">
        <w:trPr>
          <w:jc w:val="center"/>
        </w:trPr>
        <w:tc>
          <w:tcPr>
            <w:tcW w:w="2580" w:type="dxa"/>
          </w:tcPr>
          <w:p w14:paraId="051FE19C" w14:textId="77777777" w:rsidR="009138F2" w:rsidRDefault="009138F2">
            <w:pPr>
              <w:pStyle w:val="Body"/>
            </w:pPr>
            <w:r>
              <w:t>Annual Report</w:t>
            </w:r>
          </w:p>
          <w:p w14:paraId="331EC9F5" w14:textId="6AA96579" w:rsidR="009138F2" w:rsidRPr="008626B8" w:rsidRDefault="009138F2">
            <w:pPr>
              <w:pStyle w:val="Body"/>
            </w:pPr>
            <w:r>
              <w:t xml:space="preserve">Use template in </w:t>
            </w:r>
            <w:r w:rsidRPr="006230B6">
              <w:rPr>
                <w:b/>
                <w:bCs/>
              </w:rPr>
              <w:t>Appendix</w:t>
            </w:r>
            <w:r w:rsidR="006230B6">
              <w:rPr>
                <w:b/>
                <w:bCs/>
              </w:rPr>
              <w:t xml:space="preserve"> </w:t>
            </w:r>
            <w:r w:rsidR="00F6404D">
              <w:rPr>
                <w:b/>
                <w:bCs/>
              </w:rPr>
              <w:t>1</w:t>
            </w:r>
            <w:r>
              <w:rPr>
                <w:b/>
                <w:bCs/>
              </w:rPr>
              <w:t xml:space="preserve"> </w:t>
            </w:r>
          </w:p>
        </w:tc>
        <w:tc>
          <w:tcPr>
            <w:tcW w:w="1956" w:type="dxa"/>
          </w:tcPr>
          <w:p w14:paraId="3F367CE4" w14:textId="77777777" w:rsidR="009138F2" w:rsidRPr="008626B8" w:rsidRDefault="009138F2">
            <w:pPr>
              <w:pStyle w:val="Body"/>
            </w:pPr>
            <w:r w:rsidRPr="008626B8">
              <w:t>Report</w:t>
            </w:r>
          </w:p>
        </w:tc>
        <w:tc>
          <w:tcPr>
            <w:tcW w:w="1418" w:type="dxa"/>
          </w:tcPr>
          <w:p w14:paraId="28621C35" w14:textId="77777777" w:rsidR="009138F2" w:rsidRPr="008626B8" w:rsidRDefault="009138F2">
            <w:pPr>
              <w:pStyle w:val="Body"/>
            </w:pPr>
            <w:r w:rsidRPr="008626B8">
              <w:t>N/A</w:t>
            </w:r>
          </w:p>
        </w:tc>
        <w:tc>
          <w:tcPr>
            <w:tcW w:w="4294" w:type="dxa"/>
          </w:tcPr>
          <w:p w14:paraId="56E0EDE0" w14:textId="6E0F918F" w:rsidR="009138F2" w:rsidRPr="005C20A7" w:rsidRDefault="009138F2">
            <w:pPr>
              <w:pStyle w:val="Body"/>
            </w:pPr>
            <w:r w:rsidRPr="005C20A7">
              <w:t>30 September</w:t>
            </w:r>
            <w:r>
              <w:t xml:space="preserve"> e.g. </w:t>
            </w:r>
            <w:r w:rsidRPr="005C20A7">
              <w:t>202</w:t>
            </w:r>
            <w:r>
              <w:t>5 – ‘</w:t>
            </w:r>
            <w:r w:rsidRPr="005C20A7">
              <w:t>2</w:t>
            </w:r>
            <w:r>
              <w:t>6</w:t>
            </w:r>
            <w:r w:rsidRPr="005C20A7">
              <w:t xml:space="preserve"> annual report</w:t>
            </w:r>
            <w:r>
              <w:t xml:space="preserve"> is </w:t>
            </w:r>
            <w:r w:rsidRPr="005C20A7">
              <w:t>due 30 September 202</w:t>
            </w:r>
            <w:r>
              <w:t>6</w:t>
            </w:r>
            <w:r w:rsidRPr="005C20A7">
              <w:t>.</w:t>
            </w:r>
          </w:p>
        </w:tc>
      </w:tr>
    </w:tbl>
    <w:p w14:paraId="2E8EA0AD" w14:textId="77777777" w:rsidR="00CF3424" w:rsidRDefault="00CF3424" w:rsidP="00D6301A">
      <w:pPr>
        <w:pStyle w:val="Heading2"/>
      </w:pPr>
    </w:p>
    <w:p w14:paraId="11A8F592" w14:textId="19E18E7A" w:rsidR="009138F2" w:rsidRDefault="009138F2">
      <w:pPr>
        <w:spacing w:after="0" w:line="240" w:lineRule="auto"/>
        <w:rPr>
          <w:rFonts w:eastAsia="Times"/>
        </w:rPr>
      </w:pPr>
      <w:r>
        <w:br w:type="page"/>
      </w:r>
    </w:p>
    <w:p w14:paraId="453D5EED" w14:textId="0DBE845A" w:rsidR="005E2D8F" w:rsidRPr="00C52413" w:rsidRDefault="005E2D8F" w:rsidP="005E2D8F">
      <w:pPr>
        <w:pStyle w:val="Heading2"/>
      </w:pPr>
      <w:bookmarkStart w:id="22" w:name="_Toc206763620"/>
      <w:bookmarkStart w:id="23" w:name="_Toc214378208"/>
      <w:r>
        <w:lastRenderedPageBreak/>
        <w:t>16507 Laboratory Services</w:t>
      </w:r>
      <w:bookmarkEnd w:id="22"/>
      <w:bookmarkEnd w:id="23"/>
      <w:r>
        <w:t xml:space="preserve"> </w:t>
      </w:r>
    </w:p>
    <w:p w14:paraId="46C8A07A" w14:textId="77777777" w:rsidR="00BC30D3" w:rsidRDefault="00BC30D3" w:rsidP="00BC30D3">
      <w:pPr>
        <w:pStyle w:val="Body"/>
      </w:pPr>
      <w:r>
        <w:t xml:space="preserve">Outcome objective: Victorians are healthy and well </w:t>
      </w:r>
    </w:p>
    <w:p w14:paraId="19C138CC" w14:textId="77777777" w:rsidR="00BC30D3" w:rsidRDefault="00BC30D3" w:rsidP="00BC30D3">
      <w:pPr>
        <w:pStyle w:val="Body"/>
      </w:pPr>
      <w:r>
        <w:t xml:space="preserve">Output group: </w:t>
      </w:r>
      <w:r w:rsidRPr="00177619">
        <w:rPr>
          <w:noProof/>
        </w:rPr>
        <w:t>Public Health</w:t>
      </w:r>
    </w:p>
    <w:p w14:paraId="24ACA0BC" w14:textId="77777777" w:rsidR="00BC30D3" w:rsidRDefault="00BC30D3" w:rsidP="00BC30D3">
      <w:pPr>
        <w:pStyle w:val="Body"/>
        <w:rPr>
          <w:noProof/>
        </w:rPr>
      </w:pPr>
      <w:r>
        <w:t xml:space="preserve">Output: </w:t>
      </w:r>
      <w:r w:rsidRPr="00177619">
        <w:rPr>
          <w:noProof/>
        </w:rPr>
        <w:t xml:space="preserve">Health </w:t>
      </w:r>
      <w:r>
        <w:rPr>
          <w:noProof/>
        </w:rPr>
        <w:t>P</w:t>
      </w:r>
      <w:r w:rsidRPr="00177619">
        <w:rPr>
          <w:noProof/>
        </w:rPr>
        <w:t>rotection</w:t>
      </w:r>
    </w:p>
    <w:p w14:paraId="6383B2CC" w14:textId="77777777" w:rsidR="00AD2C99" w:rsidRPr="00A501D2" w:rsidRDefault="00AD2C99" w:rsidP="00AD2C99">
      <w:pPr>
        <w:pStyle w:val="Heading3"/>
      </w:pPr>
      <w:r w:rsidRPr="00A501D2">
        <w:t xml:space="preserve">1. Service Objective </w:t>
      </w:r>
    </w:p>
    <w:p w14:paraId="4E6F1533" w14:textId="21F1E80B" w:rsidR="00AD2C99" w:rsidRPr="00717846" w:rsidRDefault="00AD2C99" w:rsidP="00AD2C99">
      <w:pPr>
        <w:pStyle w:val="Body"/>
        <w:rPr>
          <w:rFonts w:eastAsia="MS Gothic"/>
          <w:sz w:val="24"/>
          <w:szCs w:val="26"/>
        </w:rPr>
      </w:pPr>
      <w:r w:rsidRPr="00717846">
        <w:t>To ensure all Victorians have access to</w:t>
      </w:r>
      <w:r>
        <w:t xml:space="preserve"> </w:t>
      </w:r>
      <w:r w:rsidRPr="00717846">
        <w:t xml:space="preserve">a full range of </w:t>
      </w:r>
      <w:r>
        <w:t>laboratory/</w:t>
      </w:r>
      <w:r w:rsidRPr="00717846">
        <w:t>pathology services</w:t>
      </w:r>
      <w:r>
        <w:t xml:space="preserve"> BBVSTI</w:t>
      </w:r>
      <w:r w:rsidRPr="00717846">
        <w:t xml:space="preserve"> and other sexual health</w:t>
      </w:r>
      <w:r>
        <w:t xml:space="preserve"> needs.</w:t>
      </w:r>
      <w:r w:rsidRPr="00717846" w:rsidDel="00DF6BAF">
        <w:t xml:space="preserve"> </w:t>
      </w:r>
    </w:p>
    <w:p w14:paraId="168D1E3F" w14:textId="77777777" w:rsidR="00AD2C99" w:rsidRPr="00A501D2" w:rsidRDefault="00AD2C99" w:rsidP="00AD2C99">
      <w:pPr>
        <w:pStyle w:val="Heading3"/>
      </w:pPr>
      <w:r w:rsidRPr="00A501D2">
        <w:t>2. Description of the service</w:t>
      </w:r>
    </w:p>
    <w:p w14:paraId="3ECE0CC3" w14:textId="5AA83EF0" w:rsidR="00AD2C99" w:rsidRPr="00DF6BAF" w:rsidRDefault="00AD2C99" w:rsidP="00AD2C99">
      <w:pPr>
        <w:pStyle w:val="Body"/>
      </w:pPr>
      <w:r w:rsidRPr="00177619">
        <w:rPr>
          <w:noProof/>
        </w:rPr>
        <w:t>To provide laboratory</w:t>
      </w:r>
      <w:r>
        <w:rPr>
          <w:noProof/>
        </w:rPr>
        <w:t>/pathology</w:t>
      </w:r>
      <w:r w:rsidRPr="00177619">
        <w:rPr>
          <w:noProof/>
        </w:rPr>
        <w:t>-testing services related to</w:t>
      </w:r>
      <w:r>
        <w:rPr>
          <w:noProof/>
        </w:rPr>
        <w:t xml:space="preserve"> BBVSTI </w:t>
      </w:r>
      <w:r w:rsidRPr="00177619">
        <w:rPr>
          <w:noProof/>
        </w:rPr>
        <w:t>in Victoria.</w:t>
      </w:r>
    </w:p>
    <w:p w14:paraId="01CC5F53" w14:textId="77777777" w:rsidR="00AD2C99" w:rsidRPr="00A501D2" w:rsidRDefault="00AD2C99" w:rsidP="00AD2C99">
      <w:pPr>
        <w:pStyle w:val="Heading3"/>
      </w:pPr>
      <w:r w:rsidRPr="00A501D2">
        <w:t>3. Client group</w:t>
      </w:r>
    </w:p>
    <w:p w14:paraId="18719566" w14:textId="5ABEB8E7" w:rsidR="00AD2C99" w:rsidRDefault="00AD2C99" w:rsidP="00AD2C99">
      <w:pPr>
        <w:pStyle w:val="Body"/>
      </w:pPr>
      <w:r>
        <w:t xml:space="preserve">BBVSTI laboratory/pathology testing services are available to all people living in Victoria including priority populations as outlined in the Victorian strategy. </w:t>
      </w:r>
    </w:p>
    <w:p w14:paraId="587D1DE8" w14:textId="77777777" w:rsidR="00AD2C99" w:rsidRPr="00A501D2" w:rsidRDefault="00AD2C99" w:rsidP="00AD2C99">
      <w:pPr>
        <w:pStyle w:val="Heading3"/>
      </w:pPr>
      <w:r w:rsidRPr="00A501D2">
        <w:t>4. Obligations specific to this activity</w:t>
      </w:r>
    </w:p>
    <w:p w14:paraId="52F1326F" w14:textId="77777777" w:rsidR="00AD2C99" w:rsidRDefault="00AD2C99" w:rsidP="00AD2C99">
      <w:pPr>
        <w:pStyle w:val="Body"/>
      </w:pPr>
      <w:r>
        <w:t>In addition to the obligations listed in the Service Agreement, organisations funded to deliver this activity must comply with the following:</w:t>
      </w:r>
    </w:p>
    <w:p w14:paraId="0A28AE69" w14:textId="77777777" w:rsidR="00AD2C99" w:rsidRPr="00A501D2" w:rsidRDefault="00AD2C99" w:rsidP="00AD2C99">
      <w:pPr>
        <w:pStyle w:val="Heading4"/>
      </w:pPr>
      <w:r w:rsidRPr="00A501D2">
        <w:t xml:space="preserve">4a.  Registration and Accreditation </w:t>
      </w:r>
    </w:p>
    <w:p w14:paraId="55B79CB4" w14:textId="77777777" w:rsidR="00AD2C99" w:rsidRPr="00B92711" w:rsidRDefault="00AD2C99" w:rsidP="00AD2C99">
      <w:pPr>
        <w:pStyle w:val="Body"/>
      </w:pPr>
      <w:r w:rsidRPr="00B92711">
        <w:rPr>
          <w:rStyle w:val="DHHSbodyChar"/>
        </w:rPr>
        <w:t>N/A</w:t>
      </w:r>
    </w:p>
    <w:p w14:paraId="000385D4" w14:textId="77777777" w:rsidR="00AD2C99" w:rsidRPr="001F3DE2" w:rsidRDefault="00AD2C99" w:rsidP="00AD2C99">
      <w:pPr>
        <w:pStyle w:val="Heading4"/>
      </w:pPr>
      <w:r w:rsidRPr="00A501D2">
        <w:t>4b. Program requirements and other policy</w:t>
      </w:r>
      <w:r w:rsidRPr="001F3DE2">
        <w:t xml:space="preserve"> </w:t>
      </w:r>
      <w:r w:rsidRPr="00A501D2">
        <w:t>guidelines</w:t>
      </w:r>
      <w:r w:rsidRPr="001F3DE2">
        <w:t xml:space="preserve"> </w:t>
      </w:r>
    </w:p>
    <w:p w14:paraId="2231C0BA" w14:textId="31519281" w:rsidR="00AD2C99" w:rsidRPr="00E64C82" w:rsidRDefault="00AD2C99" w:rsidP="00AD2C99">
      <w:pPr>
        <w:pStyle w:val="Body"/>
        <w:rPr>
          <w:rStyle w:val="DHHSbodyChar"/>
          <w:b/>
          <w:bCs/>
        </w:rPr>
      </w:pPr>
      <w:r w:rsidRPr="69D03F25">
        <w:rPr>
          <w:noProof/>
        </w:rPr>
        <w:t>BBVSTI Program Guidelines for Funded Agencies (current version)</w:t>
      </w:r>
    </w:p>
    <w:p w14:paraId="69BB6793" w14:textId="77777777" w:rsidR="00AD2C99" w:rsidRPr="00A501D2" w:rsidRDefault="00AD2C99" w:rsidP="00AD2C99">
      <w:pPr>
        <w:pStyle w:val="Heading3"/>
      </w:pPr>
      <w:r w:rsidRPr="00A501D2">
        <w:t>5. Performance</w:t>
      </w:r>
    </w:p>
    <w:p w14:paraId="55816F6B" w14:textId="77777777" w:rsidR="00AD2C99" w:rsidRDefault="00AD2C99" w:rsidP="00AD2C99">
      <w:pPr>
        <w:pStyle w:val="Body"/>
      </w:pPr>
      <w:r>
        <w:t>Funding is subject to achieving the</w:t>
      </w:r>
      <w:r w:rsidRPr="00171F04">
        <w:t xml:space="preserve"> </w:t>
      </w:r>
      <w:r>
        <w:t xml:space="preserve">performance targets specified in Schedule 2 of the Service Agreement. </w:t>
      </w:r>
      <w:r>
        <w:br/>
        <w:t xml:space="preserve">Performance is measured as follows:  </w:t>
      </w:r>
    </w:p>
    <w:p w14:paraId="619C4B83" w14:textId="19E50E15" w:rsidR="00AD2C99" w:rsidRPr="00E53370" w:rsidRDefault="00AD2C99" w:rsidP="00AD2C99">
      <w:pPr>
        <w:pStyle w:val="Body"/>
      </w:pPr>
      <w:bookmarkStart w:id="24" w:name="_Toc206763621"/>
      <w:r w:rsidRPr="00E53370">
        <w:t xml:space="preserve">Key performance measure 1: </w:t>
      </w:r>
      <w:r w:rsidRPr="00E53370">
        <w:rPr>
          <w:rStyle w:val="DHHSbodyChar"/>
          <w:rFonts w:eastAsia="MS Gothic"/>
        </w:rPr>
        <w:t>Annual Report</w:t>
      </w:r>
      <w:bookmarkEnd w:id="24"/>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8484"/>
      </w:tblGrid>
      <w:tr w:rsidR="00AD2C99" w:rsidRPr="00C237A0" w14:paraId="54F1A329" w14:textId="77777777" w:rsidTr="000510D6">
        <w:trPr>
          <w:cantSplit/>
          <w:trHeight w:hRule="exact" w:val="380"/>
          <w:jc w:val="center"/>
        </w:trPr>
        <w:tc>
          <w:tcPr>
            <w:tcW w:w="1730" w:type="dxa"/>
          </w:tcPr>
          <w:p w14:paraId="4409D328" w14:textId="77777777" w:rsidR="00AD2C99" w:rsidRPr="0017293C" w:rsidRDefault="00AD2C99" w:rsidP="00AD2C99">
            <w:pPr>
              <w:pStyle w:val="Body"/>
            </w:pPr>
            <w:r w:rsidRPr="00575BC9">
              <w:t>Aim/objective</w:t>
            </w:r>
          </w:p>
        </w:tc>
        <w:tc>
          <w:tcPr>
            <w:tcW w:w="8484" w:type="dxa"/>
          </w:tcPr>
          <w:p w14:paraId="47F674F5" w14:textId="77777777" w:rsidR="00AD2C99" w:rsidRPr="002F7C4B" w:rsidRDefault="00AD2C99" w:rsidP="00AD2C99">
            <w:pPr>
              <w:pStyle w:val="Body"/>
              <w:rPr>
                <w:color w:val="7030A0"/>
              </w:rPr>
            </w:pPr>
            <w:r>
              <w:t>To report on BBV/STI laboratory services carried out over the 12-month period.</w:t>
            </w:r>
          </w:p>
        </w:tc>
      </w:tr>
      <w:tr w:rsidR="00AD2C99" w:rsidRPr="00C237A0" w14:paraId="77DC93F7" w14:textId="77777777" w:rsidTr="000510D6">
        <w:trPr>
          <w:cantSplit/>
          <w:trHeight w:hRule="exact" w:val="340"/>
          <w:jc w:val="center"/>
        </w:trPr>
        <w:tc>
          <w:tcPr>
            <w:tcW w:w="1730" w:type="dxa"/>
          </w:tcPr>
          <w:p w14:paraId="550D32A9" w14:textId="77777777" w:rsidR="00AD2C99" w:rsidRPr="0017293C" w:rsidRDefault="00AD2C99" w:rsidP="00AD2C99">
            <w:pPr>
              <w:pStyle w:val="Body"/>
            </w:pPr>
            <w:r w:rsidRPr="00575BC9">
              <w:t>Target</w:t>
            </w:r>
          </w:p>
        </w:tc>
        <w:tc>
          <w:tcPr>
            <w:tcW w:w="8484" w:type="dxa"/>
          </w:tcPr>
          <w:p w14:paraId="765D6445" w14:textId="77777777" w:rsidR="00AD2C99" w:rsidRPr="002F7C4B" w:rsidRDefault="00AD2C99" w:rsidP="00AD2C99">
            <w:pPr>
              <w:pStyle w:val="Body"/>
              <w:rPr>
                <w:color w:val="7030A0"/>
              </w:rPr>
            </w:pPr>
            <w:r>
              <w:t>As per the Service Agreement.</w:t>
            </w:r>
          </w:p>
        </w:tc>
      </w:tr>
      <w:tr w:rsidR="00AD2C99" w:rsidRPr="00C237A0" w14:paraId="7776ECC1" w14:textId="77777777" w:rsidTr="000510D6">
        <w:trPr>
          <w:cantSplit/>
          <w:trHeight w:hRule="exact" w:val="340"/>
          <w:jc w:val="center"/>
        </w:trPr>
        <w:tc>
          <w:tcPr>
            <w:tcW w:w="1730" w:type="dxa"/>
          </w:tcPr>
          <w:p w14:paraId="64254FF5" w14:textId="77777777" w:rsidR="00AD2C99" w:rsidRPr="0017293C" w:rsidRDefault="00AD2C99" w:rsidP="00AD2C99">
            <w:pPr>
              <w:pStyle w:val="Body"/>
            </w:pPr>
            <w:r w:rsidRPr="00575BC9">
              <w:t>Type of count</w:t>
            </w:r>
          </w:p>
        </w:tc>
        <w:tc>
          <w:tcPr>
            <w:tcW w:w="8484" w:type="dxa"/>
          </w:tcPr>
          <w:p w14:paraId="06795322" w14:textId="77777777" w:rsidR="00AD2C99" w:rsidRPr="00C237A0" w:rsidRDefault="00AD2C99" w:rsidP="00AD2C99">
            <w:pPr>
              <w:pStyle w:val="Body"/>
            </w:pPr>
            <w:r>
              <w:rPr>
                <w:color w:val="7030A0"/>
              </w:rPr>
              <w:fldChar w:fldCharType="begin">
                <w:ffData>
                  <w:name w:val="Check2"/>
                  <w:enabled/>
                  <w:calcOnExit w:val="0"/>
                  <w:checkBox>
                    <w:sizeAuto/>
                    <w:default w:val="1"/>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r>
              <w:t xml:space="preserve">Cumulative          </w:t>
            </w:r>
            <w:r>
              <w:rPr>
                <w:color w:val="7030A0"/>
              </w:rPr>
              <w:fldChar w:fldCharType="begin">
                <w:ffData>
                  <w:name w:val="Check2"/>
                  <w:enabled/>
                  <w:calcOnExit w:val="0"/>
                  <w:checkBox>
                    <w:sizeAuto/>
                    <w:default w:val="0"/>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proofErr w:type="gramStart"/>
            <w:r>
              <w:t>Non-cumulative</w:t>
            </w:r>
            <w:proofErr w:type="gramEnd"/>
          </w:p>
        </w:tc>
      </w:tr>
      <w:tr w:rsidR="00AD2C99" w:rsidRPr="00C237A0" w14:paraId="7522AE39" w14:textId="77777777" w:rsidTr="000510D6">
        <w:trPr>
          <w:cantSplit/>
          <w:trHeight w:hRule="exact" w:val="5816"/>
          <w:jc w:val="center"/>
        </w:trPr>
        <w:tc>
          <w:tcPr>
            <w:tcW w:w="1730" w:type="dxa"/>
            <w:tcBorders>
              <w:top w:val="single" w:sz="4" w:space="0" w:color="auto"/>
              <w:left w:val="single" w:sz="4" w:space="0" w:color="auto"/>
              <w:bottom w:val="single" w:sz="4" w:space="0" w:color="auto"/>
              <w:right w:val="single" w:sz="4" w:space="0" w:color="auto"/>
            </w:tcBorders>
          </w:tcPr>
          <w:p w14:paraId="2865AB2A" w14:textId="77777777" w:rsidR="00AD2C99" w:rsidRPr="0017293C" w:rsidRDefault="00AD2C99" w:rsidP="00AD2C99">
            <w:pPr>
              <w:pStyle w:val="Body"/>
            </w:pPr>
            <w:r w:rsidRPr="00575BC9">
              <w:lastRenderedPageBreak/>
              <w:t>Counting rule</w:t>
            </w:r>
          </w:p>
        </w:tc>
        <w:tc>
          <w:tcPr>
            <w:tcW w:w="8484" w:type="dxa"/>
            <w:tcBorders>
              <w:top w:val="single" w:sz="4" w:space="0" w:color="auto"/>
              <w:left w:val="single" w:sz="4" w:space="0" w:color="auto"/>
              <w:bottom w:val="single" w:sz="4" w:space="0" w:color="auto"/>
              <w:right w:val="single" w:sz="4" w:space="0" w:color="auto"/>
            </w:tcBorders>
          </w:tcPr>
          <w:p w14:paraId="5F643842" w14:textId="77777777" w:rsidR="00AD2C99" w:rsidRDefault="00AD2C99" w:rsidP="00AD2C99">
            <w:pPr>
              <w:pStyle w:val="Body"/>
            </w:pPr>
            <w:r w:rsidRPr="32360E96">
              <w:t>Annual BBVSTI Laboratory Services report</w:t>
            </w:r>
            <w:r>
              <w:t xml:space="preserve"> should include:</w:t>
            </w:r>
          </w:p>
          <w:p w14:paraId="22CF1931" w14:textId="77777777" w:rsidR="00AD2C99" w:rsidRPr="00544AAB" w:rsidRDefault="00AD2C99" w:rsidP="00AD2C99">
            <w:pPr>
              <w:pStyle w:val="Body"/>
              <w:rPr>
                <w:i/>
                <w:iCs/>
              </w:rPr>
            </w:pPr>
            <w:r w:rsidRPr="00544AAB">
              <w:rPr>
                <w:i/>
                <w:iCs/>
              </w:rPr>
              <w:t>Testing</w:t>
            </w:r>
          </w:p>
          <w:p w14:paraId="7E061EC6" w14:textId="77777777" w:rsidR="00AD2C99" w:rsidRDefault="00AD2C99" w:rsidP="00AD2C99">
            <w:pPr>
              <w:pStyle w:val="Tablebullet1"/>
            </w:pPr>
            <w:r>
              <w:t>total number of unique BBV/STI tests carried out over the 12-month period</w:t>
            </w:r>
          </w:p>
          <w:p w14:paraId="4BD7980D" w14:textId="77777777" w:rsidR="00AD2C99" w:rsidRPr="000A00D3" w:rsidRDefault="00AD2C99" w:rsidP="00AD2C99">
            <w:pPr>
              <w:pStyle w:val="Tablebullet1"/>
            </w:pPr>
            <w:r>
              <w:t>b</w:t>
            </w:r>
            <w:r w:rsidRPr="000A00D3">
              <w:t>reakdown of th</w:t>
            </w:r>
            <w:r>
              <w:t>ese tests</w:t>
            </w:r>
            <w:r w:rsidRPr="000A00D3">
              <w:t xml:space="preserve"> </w:t>
            </w:r>
            <w:r>
              <w:t xml:space="preserve">provided in the 12-month period </w:t>
            </w:r>
            <w:r w:rsidRPr="000A00D3">
              <w:t xml:space="preserve">by: </w:t>
            </w:r>
          </w:p>
          <w:p w14:paraId="28F109F5" w14:textId="77777777" w:rsidR="00AD2C99" w:rsidRDefault="00AD2C99" w:rsidP="00AD2C99">
            <w:pPr>
              <w:pStyle w:val="Tablebullet1"/>
            </w:pPr>
            <w:r>
              <w:t>type</w:t>
            </w:r>
          </w:p>
          <w:p w14:paraId="4217D0AC" w14:textId="77777777" w:rsidR="00AD2C99" w:rsidRDefault="00AD2C99" w:rsidP="00AD2C99">
            <w:pPr>
              <w:pStyle w:val="Tablebullet1"/>
            </w:pPr>
            <w:r>
              <w:t>condition</w:t>
            </w:r>
          </w:p>
          <w:p w14:paraId="26AD3A11" w14:textId="77777777" w:rsidR="00AD2C99" w:rsidRPr="00456621" w:rsidRDefault="00AD2C99" w:rsidP="00AD2C99">
            <w:pPr>
              <w:pStyle w:val="Tablebullet1"/>
            </w:pPr>
            <w:r>
              <w:t>gender</w:t>
            </w:r>
          </w:p>
          <w:p w14:paraId="5E996103" w14:textId="77777777" w:rsidR="00AD2C99" w:rsidRPr="00456621" w:rsidRDefault="00AD2C99" w:rsidP="00AD2C99">
            <w:pPr>
              <w:pStyle w:val="Tablebullet1"/>
            </w:pPr>
            <w:r>
              <w:t>c</w:t>
            </w:r>
            <w:r w:rsidRPr="00456621">
              <w:t>ountry of birth</w:t>
            </w:r>
          </w:p>
          <w:p w14:paraId="3D2B8AD4" w14:textId="77777777" w:rsidR="00AD2C99" w:rsidRPr="00456621" w:rsidRDefault="00AD2C99" w:rsidP="00AD2C99">
            <w:pPr>
              <w:pStyle w:val="Tablebullet1"/>
            </w:pPr>
            <w:r>
              <w:t>a</w:t>
            </w:r>
            <w:r w:rsidRPr="00456621">
              <w:t xml:space="preserve">ge or date of birth </w:t>
            </w:r>
          </w:p>
          <w:p w14:paraId="4A79BF95" w14:textId="77777777" w:rsidR="00AD2C99" w:rsidRPr="00456621" w:rsidRDefault="00AD2C99" w:rsidP="00AD2C99">
            <w:pPr>
              <w:pStyle w:val="Tablebullet1"/>
            </w:pPr>
            <w:r>
              <w:t>I</w:t>
            </w:r>
            <w:r w:rsidRPr="00456621">
              <w:t>ndigenous</w:t>
            </w:r>
            <w:r>
              <w:t xml:space="preserve"> </w:t>
            </w:r>
            <w:r w:rsidRPr="00456621">
              <w:t>status</w:t>
            </w:r>
          </w:p>
          <w:p w14:paraId="3BB7856E" w14:textId="77777777" w:rsidR="00AD2C99" w:rsidRDefault="00AD2C99" w:rsidP="00AD2C99">
            <w:pPr>
              <w:pStyle w:val="Tablebullet1"/>
            </w:pPr>
            <w:r>
              <w:t>p</w:t>
            </w:r>
            <w:r w:rsidRPr="00456621">
              <w:t>referred language</w:t>
            </w:r>
          </w:p>
          <w:p w14:paraId="0A869FAF" w14:textId="77777777" w:rsidR="00AD2C99" w:rsidRDefault="00AD2C99" w:rsidP="00AD2C99">
            <w:pPr>
              <w:pStyle w:val="Tablebullet1"/>
            </w:pPr>
            <w:r>
              <w:t>p</w:t>
            </w:r>
            <w:r w:rsidRPr="00456621">
              <w:t>ost code</w:t>
            </w:r>
          </w:p>
          <w:p w14:paraId="75DFC322" w14:textId="16F361CD" w:rsidR="007147BE" w:rsidRPr="00544AAB" w:rsidRDefault="007147BE" w:rsidP="007147BE">
            <w:pPr>
              <w:pStyle w:val="Body"/>
              <w:rPr>
                <w:i/>
                <w:iCs/>
              </w:rPr>
            </w:pPr>
            <w:r>
              <w:rPr>
                <w:i/>
                <w:iCs/>
              </w:rPr>
              <w:t>Other</w:t>
            </w:r>
          </w:p>
          <w:p w14:paraId="1AC3E258" w14:textId="77777777" w:rsidR="00AD2C99" w:rsidRDefault="00AD2C99" w:rsidP="00AD2C99">
            <w:pPr>
              <w:pStyle w:val="Tablebullet1"/>
            </w:pPr>
            <w:r>
              <w:t>a financial acquittal of the funding for the financial year.</w:t>
            </w:r>
          </w:p>
          <w:p w14:paraId="0CE618AE" w14:textId="77777777" w:rsidR="00AD2C99" w:rsidRPr="00544AAB" w:rsidRDefault="00AD2C99" w:rsidP="00AD2C99">
            <w:pPr>
              <w:pStyle w:val="Body"/>
              <w:rPr>
                <w:i/>
                <w:iCs/>
              </w:rPr>
            </w:pPr>
            <w:r w:rsidRPr="00544AAB">
              <w:rPr>
                <w:i/>
                <w:iCs/>
              </w:rPr>
              <w:t xml:space="preserve">Stigma and Discrimination </w:t>
            </w:r>
          </w:p>
          <w:p w14:paraId="724D9397" w14:textId="70A5E88D" w:rsidR="00AD2C99" w:rsidRDefault="00AD2C99" w:rsidP="007147BE">
            <w:pPr>
              <w:pStyle w:val="Tablebullet1"/>
            </w:pPr>
            <w:r>
              <w:t>The r</w:t>
            </w:r>
            <w:r w:rsidRPr="00993CB7">
              <w:t>eport</w:t>
            </w:r>
            <w:r>
              <w:t xml:space="preserve"> should include (if relevant)</w:t>
            </w:r>
            <w:r w:rsidRPr="00993CB7">
              <w:t xml:space="preserve"> any activities that might be undertaken by your agency to address stigma and discrimination experienced by service clients.  </w:t>
            </w:r>
          </w:p>
          <w:p w14:paraId="5FE87D7B" w14:textId="4C0DC0F6" w:rsidR="00AD2C99" w:rsidRPr="00C237A0" w:rsidRDefault="00AD2C99" w:rsidP="00AD2C99">
            <w:pPr>
              <w:pStyle w:val="Body"/>
            </w:pPr>
          </w:p>
        </w:tc>
      </w:tr>
      <w:tr w:rsidR="00AD2C99" w:rsidRPr="00C237A0" w14:paraId="42E55A09" w14:textId="77777777" w:rsidTr="000510D6">
        <w:trPr>
          <w:cantSplit/>
          <w:trHeight w:hRule="exact" w:val="711"/>
          <w:jc w:val="center"/>
        </w:trPr>
        <w:tc>
          <w:tcPr>
            <w:tcW w:w="1730" w:type="dxa"/>
            <w:tcBorders>
              <w:top w:val="single" w:sz="4" w:space="0" w:color="auto"/>
              <w:left w:val="single" w:sz="4" w:space="0" w:color="auto"/>
              <w:bottom w:val="single" w:sz="4" w:space="0" w:color="auto"/>
              <w:right w:val="single" w:sz="4" w:space="0" w:color="auto"/>
            </w:tcBorders>
          </w:tcPr>
          <w:p w14:paraId="4E82B90B" w14:textId="5EA3C2E9" w:rsidR="00AD2C99" w:rsidRPr="0017293C" w:rsidRDefault="00AD2C99" w:rsidP="00AD2C99">
            <w:pPr>
              <w:pStyle w:val="Body"/>
            </w:pPr>
            <w:r w:rsidRPr="00575BC9">
              <w:t>Data source collection</w:t>
            </w:r>
          </w:p>
        </w:tc>
        <w:tc>
          <w:tcPr>
            <w:tcW w:w="8484" w:type="dxa"/>
            <w:tcBorders>
              <w:top w:val="single" w:sz="4" w:space="0" w:color="auto"/>
              <w:left w:val="single" w:sz="4" w:space="0" w:color="auto"/>
              <w:bottom w:val="single" w:sz="4" w:space="0" w:color="auto"/>
              <w:right w:val="single" w:sz="4" w:space="0" w:color="auto"/>
            </w:tcBorders>
          </w:tcPr>
          <w:p w14:paraId="0801AA0D" w14:textId="4B794035" w:rsidR="00AD2C99" w:rsidRPr="002F7C4B" w:rsidRDefault="00AD2C99" w:rsidP="00AD2C99">
            <w:pPr>
              <w:pStyle w:val="Body"/>
              <w:rPr>
                <w:color w:val="7030A0"/>
              </w:rPr>
            </w:pPr>
            <w:r>
              <w:t>Annual report.</w:t>
            </w:r>
          </w:p>
        </w:tc>
      </w:tr>
    </w:tbl>
    <w:p w14:paraId="73BBF6A4" w14:textId="77777777" w:rsidR="00AD2C99" w:rsidRDefault="00AD2C99" w:rsidP="00AD2C99">
      <w:pPr>
        <w:pStyle w:val="Body"/>
      </w:pPr>
    </w:p>
    <w:p w14:paraId="0CF1D696" w14:textId="77777777" w:rsidR="00AD2C99" w:rsidRPr="00A501D2" w:rsidRDefault="00AD2C99" w:rsidP="00AD2C99">
      <w:pPr>
        <w:pStyle w:val="Body"/>
      </w:pPr>
      <w:r w:rsidRPr="00A501D2">
        <w:t>6. Data collection</w:t>
      </w:r>
    </w:p>
    <w:p w14:paraId="0DABE499" w14:textId="37906823" w:rsidR="00AD2C99" w:rsidRDefault="00AD2C99" w:rsidP="00AD2C99">
      <w:pPr>
        <w:pStyle w:val="Body"/>
      </w:pPr>
      <w:r>
        <w:t>The reporting requirements for this service are:</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1956"/>
        <w:gridCol w:w="1418"/>
        <w:gridCol w:w="4294"/>
      </w:tblGrid>
      <w:tr w:rsidR="00401098" w:rsidRPr="00045493" w14:paraId="2FD00055" w14:textId="77777777" w:rsidTr="00401098">
        <w:trPr>
          <w:trHeight w:hRule="exact" w:val="631"/>
          <w:tblHeader/>
          <w:jc w:val="center"/>
        </w:trPr>
        <w:tc>
          <w:tcPr>
            <w:tcW w:w="2580" w:type="dxa"/>
            <w:vAlign w:val="center"/>
          </w:tcPr>
          <w:p w14:paraId="4E0D26E4" w14:textId="77777777" w:rsidR="00401098" w:rsidRPr="00575BC9" w:rsidRDefault="00401098">
            <w:pPr>
              <w:pStyle w:val="Body"/>
              <w:jc w:val="center"/>
            </w:pPr>
            <w:r w:rsidRPr="00575BC9">
              <w:t>Data collection name</w:t>
            </w:r>
          </w:p>
        </w:tc>
        <w:tc>
          <w:tcPr>
            <w:tcW w:w="1956" w:type="dxa"/>
            <w:vAlign w:val="center"/>
          </w:tcPr>
          <w:p w14:paraId="6999D271" w14:textId="77777777" w:rsidR="00401098" w:rsidRPr="00575BC9" w:rsidRDefault="00401098">
            <w:pPr>
              <w:pStyle w:val="Body"/>
              <w:jc w:val="center"/>
            </w:pPr>
            <w:r w:rsidRPr="00575BC9">
              <w:t>Data system</w:t>
            </w:r>
          </w:p>
        </w:tc>
        <w:tc>
          <w:tcPr>
            <w:tcW w:w="1418" w:type="dxa"/>
            <w:vAlign w:val="center"/>
          </w:tcPr>
          <w:p w14:paraId="4D2B1C2E" w14:textId="77777777" w:rsidR="00401098" w:rsidRPr="00575BC9" w:rsidRDefault="00401098">
            <w:pPr>
              <w:pStyle w:val="Body"/>
              <w:jc w:val="center"/>
            </w:pPr>
            <w:r w:rsidRPr="00575BC9">
              <w:t>Data set</w:t>
            </w:r>
          </w:p>
        </w:tc>
        <w:tc>
          <w:tcPr>
            <w:tcW w:w="4294" w:type="dxa"/>
            <w:vAlign w:val="center"/>
          </w:tcPr>
          <w:p w14:paraId="09E4F678" w14:textId="77777777" w:rsidR="00401098" w:rsidRPr="00575BC9" w:rsidRDefault="00401098">
            <w:pPr>
              <w:pStyle w:val="Body"/>
              <w:jc w:val="center"/>
            </w:pPr>
            <w:r w:rsidRPr="00575BC9">
              <w:t>Reporting cycle</w:t>
            </w:r>
          </w:p>
        </w:tc>
      </w:tr>
      <w:tr w:rsidR="00401098" w:rsidRPr="00C237A0" w14:paraId="485554BF" w14:textId="77777777" w:rsidTr="00401098">
        <w:trPr>
          <w:jc w:val="center"/>
        </w:trPr>
        <w:tc>
          <w:tcPr>
            <w:tcW w:w="2580" w:type="dxa"/>
          </w:tcPr>
          <w:p w14:paraId="59A99332" w14:textId="77777777" w:rsidR="00401098" w:rsidRDefault="00401098">
            <w:pPr>
              <w:pStyle w:val="Body"/>
            </w:pPr>
            <w:r>
              <w:t>Annual Report</w:t>
            </w:r>
          </w:p>
          <w:p w14:paraId="5980C898" w14:textId="7FA6C465" w:rsidR="00401098" w:rsidRPr="008626B8" w:rsidRDefault="00401098">
            <w:pPr>
              <w:pStyle w:val="Body"/>
            </w:pPr>
            <w:r>
              <w:t xml:space="preserve">Use template in </w:t>
            </w:r>
            <w:r w:rsidRPr="006230B6">
              <w:rPr>
                <w:b/>
                <w:bCs/>
              </w:rPr>
              <w:t xml:space="preserve">Appendix </w:t>
            </w:r>
            <w:r w:rsidR="00F6404D">
              <w:rPr>
                <w:b/>
                <w:bCs/>
              </w:rPr>
              <w:t>1</w:t>
            </w:r>
          </w:p>
        </w:tc>
        <w:tc>
          <w:tcPr>
            <w:tcW w:w="1956" w:type="dxa"/>
          </w:tcPr>
          <w:p w14:paraId="3C9C4A7B" w14:textId="77777777" w:rsidR="00401098" w:rsidRPr="008626B8" w:rsidRDefault="00401098">
            <w:pPr>
              <w:pStyle w:val="Body"/>
            </w:pPr>
            <w:r w:rsidRPr="008626B8">
              <w:t>Report</w:t>
            </w:r>
          </w:p>
        </w:tc>
        <w:tc>
          <w:tcPr>
            <w:tcW w:w="1418" w:type="dxa"/>
          </w:tcPr>
          <w:p w14:paraId="52E233AA" w14:textId="77777777" w:rsidR="00401098" w:rsidRPr="008626B8" w:rsidRDefault="00401098">
            <w:pPr>
              <w:pStyle w:val="Body"/>
            </w:pPr>
            <w:r w:rsidRPr="008626B8">
              <w:t>N/A</w:t>
            </w:r>
          </w:p>
        </w:tc>
        <w:tc>
          <w:tcPr>
            <w:tcW w:w="4294" w:type="dxa"/>
          </w:tcPr>
          <w:p w14:paraId="4AE4D893" w14:textId="77777777" w:rsidR="00401098" w:rsidRPr="005C20A7" w:rsidRDefault="00401098">
            <w:pPr>
              <w:pStyle w:val="Body"/>
            </w:pPr>
            <w:r w:rsidRPr="005C20A7">
              <w:t>30 September</w:t>
            </w:r>
            <w:r>
              <w:t xml:space="preserve"> e.g. </w:t>
            </w:r>
            <w:r w:rsidRPr="005C20A7">
              <w:t>202</w:t>
            </w:r>
            <w:r>
              <w:t>5 – ‘</w:t>
            </w:r>
            <w:r w:rsidRPr="005C20A7">
              <w:t>2</w:t>
            </w:r>
            <w:r>
              <w:t>6</w:t>
            </w:r>
            <w:r w:rsidRPr="005C20A7">
              <w:t xml:space="preserve"> annual report </w:t>
            </w:r>
            <w:r>
              <w:t xml:space="preserve">(against the previous plan) is </w:t>
            </w:r>
            <w:r w:rsidRPr="005C20A7">
              <w:t>due 30 September 202</w:t>
            </w:r>
            <w:r>
              <w:t>6</w:t>
            </w:r>
            <w:r w:rsidRPr="005C20A7">
              <w:t>.</w:t>
            </w:r>
          </w:p>
        </w:tc>
      </w:tr>
    </w:tbl>
    <w:p w14:paraId="19FFA3C6" w14:textId="77777777" w:rsidR="00AD2C99" w:rsidRDefault="00AD2C99" w:rsidP="00AD2C99">
      <w:pPr>
        <w:pStyle w:val="Body"/>
        <w:rPr>
          <w:sz w:val="18"/>
          <w:szCs w:val="4"/>
        </w:rPr>
      </w:pPr>
    </w:p>
    <w:p w14:paraId="0D7F2291" w14:textId="615DC59A" w:rsidR="00401098" w:rsidRDefault="00401098">
      <w:pPr>
        <w:spacing w:after="0" w:line="240" w:lineRule="auto"/>
        <w:rPr>
          <w:rFonts w:eastAsia="Times"/>
          <w:sz w:val="18"/>
          <w:szCs w:val="4"/>
        </w:rPr>
      </w:pPr>
      <w:r>
        <w:rPr>
          <w:sz w:val="18"/>
          <w:szCs w:val="4"/>
        </w:rPr>
        <w:br w:type="page"/>
      </w:r>
    </w:p>
    <w:p w14:paraId="4E5F3AF5" w14:textId="1A065D6F" w:rsidR="004A0B29" w:rsidRDefault="004A0B29" w:rsidP="004A0B29">
      <w:pPr>
        <w:pStyle w:val="Heading2"/>
      </w:pPr>
      <w:bookmarkStart w:id="25" w:name="_Toc45109766"/>
      <w:bookmarkStart w:id="26" w:name="_Toc206763622"/>
      <w:bookmarkStart w:id="27" w:name="_Toc214378209"/>
      <w:r w:rsidRPr="000527C8">
        <w:lastRenderedPageBreak/>
        <w:t>16506 Research</w:t>
      </w:r>
      <w:bookmarkEnd w:id="25"/>
      <w:bookmarkEnd w:id="26"/>
      <w:bookmarkEnd w:id="27"/>
      <w:r w:rsidRPr="000527C8">
        <w:t xml:space="preserve"> </w:t>
      </w:r>
    </w:p>
    <w:p w14:paraId="0F2CE721" w14:textId="77777777" w:rsidR="00FE378B" w:rsidRDefault="00FE378B" w:rsidP="00FE378B">
      <w:pPr>
        <w:pStyle w:val="Body"/>
      </w:pPr>
      <w:r>
        <w:t xml:space="preserve">Outcome objective: Victorians are healthy and well </w:t>
      </w:r>
    </w:p>
    <w:p w14:paraId="48ABA212" w14:textId="77777777" w:rsidR="00FE378B" w:rsidRDefault="00FE378B" w:rsidP="00FE378B">
      <w:pPr>
        <w:pStyle w:val="Body"/>
      </w:pPr>
      <w:r>
        <w:t xml:space="preserve">Output group: </w:t>
      </w:r>
      <w:r w:rsidRPr="00177619">
        <w:rPr>
          <w:noProof/>
        </w:rPr>
        <w:t>Public Health</w:t>
      </w:r>
    </w:p>
    <w:p w14:paraId="7B757882" w14:textId="77777777" w:rsidR="00FE378B" w:rsidRDefault="00FE378B" w:rsidP="00FE378B">
      <w:pPr>
        <w:pStyle w:val="Body"/>
      </w:pPr>
      <w:r>
        <w:t xml:space="preserve">Output: </w:t>
      </w:r>
      <w:r>
        <w:rPr>
          <w:noProof/>
        </w:rPr>
        <w:t>Health Protection</w:t>
      </w:r>
      <w:r>
        <w:t xml:space="preserve"> </w:t>
      </w:r>
    </w:p>
    <w:p w14:paraId="5167333C" w14:textId="77777777" w:rsidR="00F30957" w:rsidRPr="00AB03E0" w:rsidRDefault="00F30957" w:rsidP="006134B7">
      <w:pPr>
        <w:pStyle w:val="Heading3"/>
      </w:pPr>
      <w:r w:rsidRPr="00AB03E0">
        <w:t xml:space="preserve">1. Service Objective </w:t>
      </w:r>
    </w:p>
    <w:p w14:paraId="7F257868" w14:textId="6D0EE8E5" w:rsidR="00F30957" w:rsidRPr="00AB03E0" w:rsidRDefault="00F30957" w:rsidP="00F30957">
      <w:pPr>
        <w:pStyle w:val="Body"/>
      </w:pPr>
      <w:r w:rsidRPr="00AB03E0">
        <w:t xml:space="preserve">To ensure all Victorians have access to prevention, testing and treatment for </w:t>
      </w:r>
      <w:r w:rsidR="006134B7">
        <w:t>BBVSTI</w:t>
      </w:r>
      <w:r w:rsidRPr="00AB03E0">
        <w:t xml:space="preserve"> and other sexual health needs, as well as working towards elimination of stigma and discrimination.</w:t>
      </w:r>
    </w:p>
    <w:p w14:paraId="5B893866" w14:textId="77777777" w:rsidR="00F30957" w:rsidRPr="00AB03E0" w:rsidRDefault="00F30957" w:rsidP="006134B7">
      <w:pPr>
        <w:pStyle w:val="Heading3"/>
      </w:pPr>
      <w:r w:rsidRPr="00AB03E0">
        <w:t>2. Description of the service</w:t>
      </w:r>
    </w:p>
    <w:p w14:paraId="3A457C65" w14:textId="3BECDB0A" w:rsidR="00F30957" w:rsidRPr="00AB03E0" w:rsidRDefault="00F30957" w:rsidP="00F30957">
      <w:pPr>
        <w:pStyle w:val="Body"/>
      </w:pPr>
      <w:r>
        <w:t>To support the commissioning and/or undertaking of research projects related to BBVSTI and sexual health needs in Victoria.</w:t>
      </w:r>
    </w:p>
    <w:p w14:paraId="16C1F248" w14:textId="77777777" w:rsidR="00F30957" w:rsidRPr="00AB03E0" w:rsidRDefault="00F30957" w:rsidP="006134B7">
      <w:pPr>
        <w:pStyle w:val="Heading3"/>
      </w:pPr>
      <w:r w:rsidRPr="00AB03E0">
        <w:t>3. Client group</w:t>
      </w:r>
    </w:p>
    <w:p w14:paraId="2978617D" w14:textId="0B00D1F4" w:rsidR="00F30957" w:rsidRPr="00AB03E0" w:rsidRDefault="00F30957" w:rsidP="006134B7">
      <w:pPr>
        <w:pStyle w:val="Bullet1"/>
      </w:pPr>
      <w:r w:rsidRPr="00AB03E0">
        <w:t xml:space="preserve">Priority populations as outlined in the Victorian </w:t>
      </w:r>
      <w:r w:rsidR="006134B7">
        <w:t>strategy</w:t>
      </w:r>
      <w:r w:rsidRPr="00AB03E0">
        <w:t xml:space="preserve">. </w:t>
      </w:r>
    </w:p>
    <w:p w14:paraId="0A40CE22" w14:textId="3983414D" w:rsidR="00F30957" w:rsidRPr="00AB03E0" w:rsidRDefault="00F30957" w:rsidP="006134B7">
      <w:pPr>
        <w:pStyle w:val="Bullet1"/>
      </w:pPr>
      <w:r w:rsidRPr="00AB03E0">
        <w:t xml:space="preserve">All Victorians seeking BBVSTI services, particularly priority populations including those who are ineligible for Medicare. </w:t>
      </w:r>
    </w:p>
    <w:p w14:paraId="73309A08" w14:textId="77777777" w:rsidR="00F30957" w:rsidRPr="00AB03E0" w:rsidRDefault="00F30957" w:rsidP="00101402">
      <w:pPr>
        <w:pStyle w:val="Heading3"/>
      </w:pPr>
      <w:r w:rsidRPr="00AB03E0">
        <w:t>4. Obligations specific to this activity</w:t>
      </w:r>
    </w:p>
    <w:p w14:paraId="2A922124" w14:textId="77777777" w:rsidR="00F30957" w:rsidRPr="00AB03E0" w:rsidRDefault="00F30957" w:rsidP="00F30957">
      <w:pPr>
        <w:pStyle w:val="Body"/>
      </w:pPr>
      <w:r w:rsidRPr="00AB03E0">
        <w:t>In addition to the obligations listed in the Service Agreement, organisations funded to deliver this activity must comply with the following:</w:t>
      </w:r>
    </w:p>
    <w:p w14:paraId="430E1BD9" w14:textId="77777777" w:rsidR="00F30957" w:rsidRPr="00AB03E0" w:rsidRDefault="00F30957" w:rsidP="00101402">
      <w:pPr>
        <w:pStyle w:val="Heading4"/>
      </w:pPr>
      <w:r w:rsidRPr="00AB03E0">
        <w:t xml:space="preserve">4a.  Registration and Accreditation </w:t>
      </w:r>
    </w:p>
    <w:p w14:paraId="0F4F2F66" w14:textId="77777777" w:rsidR="00F30957" w:rsidRPr="00AB03E0" w:rsidRDefault="00F30957" w:rsidP="00F30957">
      <w:pPr>
        <w:pStyle w:val="Body"/>
      </w:pPr>
      <w:r w:rsidRPr="00AB03E0">
        <w:rPr>
          <w:rStyle w:val="DHHSbodyChar"/>
        </w:rPr>
        <w:t>N /A</w:t>
      </w:r>
      <w:r w:rsidRPr="00AB03E0">
        <w:t xml:space="preserve"> </w:t>
      </w:r>
    </w:p>
    <w:p w14:paraId="6BDA0E2E" w14:textId="77777777" w:rsidR="00F30957" w:rsidRPr="00AB03E0" w:rsidRDefault="00F30957" w:rsidP="00101402">
      <w:pPr>
        <w:pStyle w:val="Heading4"/>
      </w:pPr>
      <w:bookmarkStart w:id="28" w:name="_Hlk10715590"/>
      <w:r w:rsidRPr="00AB03E0">
        <w:t xml:space="preserve">4b. Program requirements and other policy guidelines  </w:t>
      </w:r>
    </w:p>
    <w:bookmarkEnd w:id="28"/>
    <w:p w14:paraId="275EE868" w14:textId="60585D28" w:rsidR="00F30957" w:rsidRPr="00AB03E0" w:rsidRDefault="00F30957" w:rsidP="00F30957">
      <w:pPr>
        <w:pStyle w:val="Body"/>
      </w:pPr>
      <w:r w:rsidRPr="00AB03E0">
        <w:rPr>
          <w:rStyle w:val="DHHSbodyChar"/>
        </w:rPr>
        <w:t xml:space="preserve">BBVSTI </w:t>
      </w:r>
      <w:r>
        <w:rPr>
          <w:rStyle w:val="DHHSbodyChar"/>
        </w:rPr>
        <w:t xml:space="preserve">Program Guidelines for Funded Agencies </w:t>
      </w:r>
      <w:r w:rsidRPr="00AB03E0">
        <w:rPr>
          <w:rStyle w:val="DHHSbodyChar"/>
        </w:rPr>
        <w:t>(current edition).</w:t>
      </w:r>
    </w:p>
    <w:p w14:paraId="7F06B49F" w14:textId="77777777" w:rsidR="00F30957" w:rsidRPr="00AB03E0" w:rsidRDefault="00F30957" w:rsidP="00101402">
      <w:pPr>
        <w:pStyle w:val="Heading3"/>
      </w:pPr>
      <w:r w:rsidRPr="00AB03E0">
        <w:t>5. Performance</w:t>
      </w:r>
    </w:p>
    <w:p w14:paraId="3F4C259B" w14:textId="77777777" w:rsidR="00F30957" w:rsidRPr="00AB03E0" w:rsidRDefault="00F30957" w:rsidP="00F30957">
      <w:pPr>
        <w:pStyle w:val="Body"/>
      </w:pPr>
      <w:r w:rsidRPr="00AB03E0">
        <w:t xml:space="preserve">Funding is subject to achieving the performance targets specified in Schedule 2 of the Service Agreement. Performance is measured as follows:  </w:t>
      </w:r>
    </w:p>
    <w:p w14:paraId="674B903C" w14:textId="77777777" w:rsidR="00F30957" w:rsidRPr="00AB03E0" w:rsidRDefault="00F30957" w:rsidP="00F30957">
      <w:pPr>
        <w:pStyle w:val="Body"/>
      </w:pPr>
      <w:r w:rsidRPr="00AB03E0">
        <w:t xml:space="preserve">Key Performance measure 1: Report on Research project(s)  </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520"/>
      </w:tblGrid>
      <w:tr w:rsidR="00F30957" w:rsidRPr="00C237A0" w14:paraId="491CE35A" w14:textId="77777777" w:rsidTr="004C5567">
        <w:trPr>
          <w:cantSplit/>
          <w:trHeight w:hRule="exact" w:val="340"/>
          <w:jc w:val="center"/>
        </w:trPr>
        <w:tc>
          <w:tcPr>
            <w:tcW w:w="2694" w:type="dxa"/>
          </w:tcPr>
          <w:p w14:paraId="58E94156" w14:textId="77777777" w:rsidR="00F30957" w:rsidRPr="0017293C" w:rsidRDefault="00F30957" w:rsidP="00F30957">
            <w:pPr>
              <w:pStyle w:val="Body"/>
            </w:pPr>
            <w:r w:rsidRPr="00575BC9">
              <w:t>Aim/objective</w:t>
            </w:r>
          </w:p>
        </w:tc>
        <w:tc>
          <w:tcPr>
            <w:tcW w:w="7520" w:type="dxa"/>
          </w:tcPr>
          <w:p w14:paraId="077C5D88" w14:textId="77777777" w:rsidR="00F30957" w:rsidRPr="002F7C4B" w:rsidRDefault="00F30957" w:rsidP="00F30957">
            <w:pPr>
              <w:pStyle w:val="Body"/>
              <w:rPr>
                <w:color w:val="7030A0"/>
              </w:rPr>
            </w:pPr>
            <w:r w:rsidRPr="007F4775">
              <w:t xml:space="preserve">To </w:t>
            </w:r>
            <w:r>
              <w:t>prioritise resourcing for research projects and functions</w:t>
            </w:r>
            <w:r w:rsidRPr="007F4775">
              <w:t>.</w:t>
            </w:r>
          </w:p>
        </w:tc>
      </w:tr>
      <w:tr w:rsidR="00F30957" w:rsidRPr="00C237A0" w14:paraId="3B1EFFF7" w14:textId="77777777" w:rsidTr="004C5567">
        <w:trPr>
          <w:cantSplit/>
          <w:trHeight w:hRule="exact" w:val="340"/>
          <w:jc w:val="center"/>
        </w:trPr>
        <w:tc>
          <w:tcPr>
            <w:tcW w:w="2694" w:type="dxa"/>
          </w:tcPr>
          <w:p w14:paraId="744ACF54" w14:textId="77777777" w:rsidR="00F30957" w:rsidRPr="0017293C" w:rsidRDefault="00F30957" w:rsidP="00F30957">
            <w:pPr>
              <w:pStyle w:val="Body"/>
            </w:pPr>
            <w:r w:rsidRPr="00575BC9">
              <w:t>Target</w:t>
            </w:r>
          </w:p>
        </w:tc>
        <w:tc>
          <w:tcPr>
            <w:tcW w:w="7520" w:type="dxa"/>
          </w:tcPr>
          <w:p w14:paraId="7500CF56" w14:textId="77777777" w:rsidR="00F30957" w:rsidRPr="002F7C4B" w:rsidRDefault="00F30957" w:rsidP="00F30957">
            <w:pPr>
              <w:pStyle w:val="Body"/>
              <w:rPr>
                <w:color w:val="7030A0"/>
              </w:rPr>
            </w:pPr>
            <w:r>
              <w:t>As per the Project Agreement.</w:t>
            </w:r>
          </w:p>
        </w:tc>
      </w:tr>
      <w:tr w:rsidR="00F30957" w:rsidRPr="00C237A0" w14:paraId="302028E4" w14:textId="77777777" w:rsidTr="004C5567">
        <w:trPr>
          <w:cantSplit/>
          <w:trHeight w:hRule="exact" w:val="340"/>
          <w:jc w:val="center"/>
        </w:trPr>
        <w:tc>
          <w:tcPr>
            <w:tcW w:w="2694" w:type="dxa"/>
          </w:tcPr>
          <w:p w14:paraId="2F4E8BF6" w14:textId="77777777" w:rsidR="00F30957" w:rsidRPr="0017293C" w:rsidRDefault="00F30957" w:rsidP="00F30957">
            <w:pPr>
              <w:pStyle w:val="Body"/>
            </w:pPr>
            <w:r w:rsidRPr="00575BC9">
              <w:t>Type of count</w:t>
            </w:r>
          </w:p>
        </w:tc>
        <w:tc>
          <w:tcPr>
            <w:tcW w:w="7520" w:type="dxa"/>
          </w:tcPr>
          <w:p w14:paraId="735C1F0D" w14:textId="77777777" w:rsidR="00F30957" w:rsidRPr="00C237A0" w:rsidRDefault="00F30957" w:rsidP="00F30957">
            <w:pPr>
              <w:pStyle w:val="Body"/>
            </w:pPr>
            <w:r>
              <w:rPr>
                <w:color w:val="7030A0"/>
              </w:rPr>
              <w:fldChar w:fldCharType="begin">
                <w:ffData>
                  <w:name w:val="Check2"/>
                  <w:enabled/>
                  <w:calcOnExit w:val="0"/>
                  <w:checkBox>
                    <w:sizeAuto/>
                    <w:default w:val="0"/>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r>
              <w:t xml:space="preserve">Cumulative          </w:t>
            </w:r>
            <w:r>
              <w:rPr>
                <w:color w:val="7030A0"/>
              </w:rPr>
              <w:fldChar w:fldCharType="begin">
                <w:ffData>
                  <w:name w:val="Check2"/>
                  <w:enabled/>
                  <w:calcOnExit w:val="0"/>
                  <w:checkBox>
                    <w:sizeAuto/>
                    <w:default w:val="1"/>
                  </w:checkBox>
                </w:ffData>
              </w:fldChar>
            </w:r>
            <w:r>
              <w:rPr>
                <w:color w:val="7030A0"/>
              </w:rPr>
              <w:instrText xml:space="preserve"> FORMCHECKBOX </w:instrText>
            </w:r>
            <w:r>
              <w:rPr>
                <w:color w:val="7030A0"/>
              </w:rPr>
            </w:r>
            <w:r>
              <w:rPr>
                <w:color w:val="7030A0"/>
              </w:rPr>
              <w:fldChar w:fldCharType="separate"/>
            </w:r>
            <w:r>
              <w:rPr>
                <w:color w:val="7030A0"/>
              </w:rPr>
              <w:fldChar w:fldCharType="end"/>
            </w:r>
            <w:r>
              <w:rPr>
                <w:color w:val="7030A0"/>
              </w:rPr>
              <w:t xml:space="preserve"> </w:t>
            </w:r>
            <w:proofErr w:type="gramStart"/>
            <w:r>
              <w:t>Non-cumulative</w:t>
            </w:r>
            <w:proofErr w:type="gramEnd"/>
          </w:p>
        </w:tc>
      </w:tr>
      <w:tr w:rsidR="00F30957" w:rsidRPr="00C237A0" w14:paraId="0EC44C7A" w14:textId="77777777" w:rsidTr="004C5567">
        <w:trPr>
          <w:cantSplit/>
          <w:trHeight w:hRule="exact" w:val="3265"/>
          <w:jc w:val="center"/>
        </w:trPr>
        <w:tc>
          <w:tcPr>
            <w:tcW w:w="2694" w:type="dxa"/>
          </w:tcPr>
          <w:p w14:paraId="5CCD6D58" w14:textId="77777777" w:rsidR="00F30957" w:rsidRPr="0017293C" w:rsidRDefault="00F30957" w:rsidP="00F30957">
            <w:pPr>
              <w:pStyle w:val="Body"/>
            </w:pPr>
            <w:r w:rsidRPr="00575BC9">
              <w:lastRenderedPageBreak/>
              <w:t>Counting rule</w:t>
            </w:r>
          </w:p>
        </w:tc>
        <w:tc>
          <w:tcPr>
            <w:tcW w:w="7520" w:type="dxa"/>
          </w:tcPr>
          <w:p w14:paraId="4FE8C3DA" w14:textId="77777777" w:rsidR="00F30957" w:rsidRDefault="00F30957" w:rsidP="00F30957">
            <w:pPr>
              <w:pStyle w:val="Body"/>
            </w:pPr>
            <w:r>
              <w:t>Each research project or function will be unique and as such the scope of the project reporting of outcomes will be negotiated with the department on a case-by-case basis.</w:t>
            </w:r>
          </w:p>
          <w:p w14:paraId="2FAE57D7" w14:textId="77777777" w:rsidR="00F30957" w:rsidRDefault="00F30957" w:rsidP="00F30957">
            <w:pPr>
              <w:pStyle w:val="Body"/>
            </w:pPr>
            <w:r>
              <w:t>Each research project or function will need to define its objectives and outcomes, and report in terms of the Victorian prevention, testing, treatment and stigma and discrimination strategy and action plan framework.</w:t>
            </w:r>
          </w:p>
          <w:p w14:paraId="4E6C9E2F" w14:textId="77777777" w:rsidR="00F30957" w:rsidRDefault="00F30957" w:rsidP="00F30957">
            <w:pPr>
              <w:pStyle w:val="Body"/>
            </w:pPr>
            <w:bookmarkStart w:id="29" w:name="_Hlk43132122"/>
            <w:r>
              <w:t xml:space="preserve">If applicable, research agreements (or equivalent) will be entered into by the department and funded agency with a schedule of deliverables, including progress reporting, milestone payments and final report. </w:t>
            </w:r>
          </w:p>
          <w:p w14:paraId="37FD4B10" w14:textId="77777777" w:rsidR="00F30957" w:rsidRPr="00993CB7" w:rsidRDefault="00F30957" w:rsidP="00F30957">
            <w:pPr>
              <w:pStyle w:val="Body"/>
            </w:pPr>
            <w:r>
              <w:t>A financial acquittal of the funding for the financial year</w:t>
            </w:r>
          </w:p>
          <w:p w14:paraId="0B35846D" w14:textId="77777777" w:rsidR="00F30957" w:rsidRDefault="00F30957" w:rsidP="00F30957">
            <w:pPr>
              <w:pStyle w:val="Body"/>
            </w:pPr>
          </w:p>
          <w:bookmarkEnd w:id="29"/>
          <w:p w14:paraId="1F25F462" w14:textId="77777777" w:rsidR="00F30957" w:rsidRDefault="00F30957" w:rsidP="00F30957">
            <w:pPr>
              <w:pStyle w:val="Body"/>
            </w:pPr>
          </w:p>
          <w:p w14:paraId="0E1D2294" w14:textId="77777777" w:rsidR="00F30957" w:rsidRPr="00C237A0" w:rsidRDefault="00F30957" w:rsidP="00F30957">
            <w:pPr>
              <w:pStyle w:val="Body"/>
            </w:pPr>
          </w:p>
        </w:tc>
      </w:tr>
      <w:tr w:rsidR="00F30957" w:rsidRPr="00C237A0" w14:paraId="20F4E273" w14:textId="77777777" w:rsidTr="004C5567">
        <w:trPr>
          <w:cantSplit/>
          <w:trHeight w:hRule="exact" w:val="419"/>
          <w:jc w:val="center"/>
        </w:trPr>
        <w:tc>
          <w:tcPr>
            <w:tcW w:w="2694" w:type="dxa"/>
          </w:tcPr>
          <w:p w14:paraId="1BB6AD74" w14:textId="513FA582" w:rsidR="00F30957" w:rsidRPr="0017293C" w:rsidRDefault="00F30957" w:rsidP="00F30957">
            <w:pPr>
              <w:pStyle w:val="Body"/>
            </w:pPr>
            <w:r w:rsidRPr="00575BC9">
              <w:t>Data source collection</w:t>
            </w:r>
          </w:p>
        </w:tc>
        <w:tc>
          <w:tcPr>
            <w:tcW w:w="7520" w:type="dxa"/>
          </w:tcPr>
          <w:p w14:paraId="4A28F968" w14:textId="77777777" w:rsidR="00F30957" w:rsidRPr="002F7C4B" w:rsidRDefault="00F30957" w:rsidP="00F30957">
            <w:pPr>
              <w:pStyle w:val="Body"/>
              <w:rPr>
                <w:color w:val="7030A0"/>
              </w:rPr>
            </w:pPr>
            <w:r w:rsidRPr="000A68EB">
              <w:t xml:space="preserve">Project </w:t>
            </w:r>
            <w:r>
              <w:t>Report</w:t>
            </w:r>
            <w:r w:rsidRPr="000A68EB">
              <w:t>.</w:t>
            </w:r>
          </w:p>
        </w:tc>
      </w:tr>
    </w:tbl>
    <w:p w14:paraId="6DA01D2E" w14:textId="77777777" w:rsidR="00F30957" w:rsidRDefault="00F30957" w:rsidP="00F30957">
      <w:pPr>
        <w:pStyle w:val="Body"/>
      </w:pPr>
    </w:p>
    <w:p w14:paraId="50F9D4D3" w14:textId="77777777" w:rsidR="00F30957" w:rsidRPr="0074595D" w:rsidRDefault="00F30957" w:rsidP="007F6C50">
      <w:pPr>
        <w:pStyle w:val="Heading3"/>
      </w:pPr>
      <w:r w:rsidRPr="0074595D">
        <w:t>6. Data collection</w:t>
      </w:r>
    </w:p>
    <w:p w14:paraId="1B6687CF" w14:textId="77777777" w:rsidR="00F30957" w:rsidRPr="0074595D" w:rsidRDefault="00F30957" w:rsidP="00F30957">
      <w:pPr>
        <w:pStyle w:val="Body"/>
      </w:pPr>
      <w:r w:rsidRPr="0074595D">
        <w:t>The reporting requirements for this service are:</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1956"/>
        <w:gridCol w:w="1418"/>
        <w:gridCol w:w="4294"/>
      </w:tblGrid>
      <w:tr w:rsidR="004C5567" w:rsidRPr="00045493" w14:paraId="45978666" w14:textId="77777777" w:rsidTr="004C5567">
        <w:trPr>
          <w:trHeight w:hRule="exact" w:val="631"/>
          <w:tblHeader/>
          <w:jc w:val="center"/>
        </w:trPr>
        <w:tc>
          <w:tcPr>
            <w:tcW w:w="2580" w:type="dxa"/>
            <w:vAlign w:val="center"/>
          </w:tcPr>
          <w:p w14:paraId="7BFC325C" w14:textId="77777777" w:rsidR="004C5567" w:rsidRPr="00575BC9" w:rsidRDefault="004C5567">
            <w:pPr>
              <w:pStyle w:val="Body"/>
              <w:jc w:val="center"/>
            </w:pPr>
            <w:r w:rsidRPr="00575BC9">
              <w:t>Data collection name</w:t>
            </w:r>
          </w:p>
        </w:tc>
        <w:tc>
          <w:tcPr>
            <w:tcW w:w="1956" w:type="dxa"/>
            <w:vAlign w:val="center"/>
          </w:tcPr>
          <w:p w14:paraId="1524F32D" w14:textId="77777777" w:rsidR="004C5567" w:rsidRPr="00575BC9" w:rsidRDefault="004C5567">
            <w:pPr>
              <w:pStyle w:val="Body"/>
              <w:jc w:val="center"/>
            </w:pPr>
            <w:r w:rsidRPr="00575BC9">
              <w:t>Data system</w:t>
            </w:r>
          </w:p>
        </w:tc>
        <w:tc>
          <w:tcPr>
            <w:tcW w:w="1418" w:type="dxa"/>
            <w:vAlign w:val="center"/>
          </w:tcPr>
          <w:p w14:paraId="4591D3A6" w14:textId="77777777" w:rsidR="004C5567" w:rsidRPr="00575BC9" w:rsidRDefault="004C5567">
            <w:pPr>
              <w:pStyle w:val="Body"/>
              <w:jc w:val="center"/>
            </w:pPr>
            <w:r w:rsidRPr="00575BC9">
              <w:t>Data set</w:t>
            </w:r>
          </w:p>
        </w:tc>
        <w:tc>
          <w:tcPr>
            <w:tcW w:w="4294" w:type="dxa"/>
            <w:vAlign w:val="center"/>
          </w:tcPr>
          <w:p w14:paraId="06715A08" w14:textId="77777777" w:rsidR="004C5567" w:rsidRPr="00575BC9" w:rsidRDefault="004C5567">
            <w:pPr>
              <w:pStyle w:val="Body"/>
              <w:jc w:val="center"/>
            </w:pPr>
            <w:r w:rsidRPr="00575BC9">
              <w:t>Reporting cycle</w:t>
            </w:r>
          </w:p>
        </w:tc>
      </w:tr>
      <w:tr w:rsidR="004C5567" w:rsidRPr="00C237A0" w14:paraId="02E664C0" w14:textId="77777777" w:rsidTr="004C5567">
        <w:trPr>
          <w:jc w:val="center"/>
        </w:trPr>
        <w:tc>
          <w:tcPr>
            <w:tcW w:w="2580" w:type="dxa"/>
          </w:tcPr>
          <w:p w14:paraId="18F4D7DC" w14:textId="77777777" w:rsidR="004C5567" w:rsidRDefault="004C5567" w:rsidP="004C5567">
            <w:pPr>
              <w:pStyle w:val="Body"/>
            </w:pPr>
            <w:r w:rsidRPr="00831DBA">
              <w:t>Project Report</w:t>
            </w:r>
          </w:p>
          <w:p w14:paraId="1E764610" w14:textId="3BC9570B" w:rsidR="004C5567" w:rsidRPr="008626B8" w:rsidRDefault="004C5567">
            <w:pPr>
              <w:pStyle w:val="Body"/>
            </w:pPr>
            <w:r>
              <w:t xml:space="preserve">Use template in </w:t>
            </w:r>
            <w:r w:rsidRPr="006230B6">
              <w:rPr>
                <w:b/>
                <w:bCs/>
              </w:rPr>
              <w:t xml:space="preserve">Appendix </w:t>
            </w:r>
            <w:r w:rsidR="00F6404D">
              <w:rPr>
                <w:b/>
                <w:bCs/>
              </w:rPr>
              <w:t>1</w:t>
            </w:r>
          </w:p>
        </w:tc>
        <w:tc>
          <w:tcPr>
            <w:tcW w:w="1956" w:type="dxa"/>
          </w:tcPr>
          <w:p w14:paraId="3A6A94DA" w14:textId="77777777" w:rsidR="004C5567" w:rsidRPr="008626B8" w:rsidRDefault="004C5567">
            <w:pPr>
              <w:pStyle w:val="Body"/>
            </w:pPr>
            <w:r w:rsidRPr="008626B8">
              <w:t>Report</w:t>
            </w:r>
          </w:p>
        </w:tc>
        <w:tc>
          <w:tcPr>
            <w:tcW w:w="1418" w:type="dxa"/>
          </w:tcPr>
          <w:p w14:paraId="25DD3C26" w14:textId="77777777" w:rsidR="004C5567" w:rsidRPr="008626B8" w:rsidRDefault="004C5567">
            <w:pPr>
              <w:pStyle w:val="Body"/>
            </w:pPr>
            <w:r w:rsidRPr="008626B8">
              <w:t>N/A</w:t>
            </w:r>
          </w:p>
        </w:tc>
        <w:tc>
          <w:tcPr>
            <w:tcW w:w="4294" w:type="dxa"/>
          </w:tcPr>
          <w:p w14:paraId="33594630" w14:textId="393439C0" w:rsidR="004C5567" w:rsidRPr="005C20A7" w:rsidRDefault="004C5567">
            <w:pPr>
              <w:pStyle w:val="Body"/>
            </w:pPr>
            <w:r w:rsidRPr="00831DBA">
              <w:t>Case-by-case basis.</w:t>
            </w:r>
          </w:p>
        </w:tc>
      </w:tr>
    </w:tbl>
    <w:p w14:paraId="0FDD50E2" w14:textId="77777777" w:rsidR="004A0B29" w:rsidRPr="004A0B29" w:rsidRDefault="004A0B29" w:rsidP="004A0B29">
      <w:pPr>
        <w:pStyle w:val="Body"/>
      </w:pPr>
    </w:p>
    <w:p w14:paraId="206FFC8F" w14:textId="77777777" w:rsidR="001236DD" w:rsidRDefault="004C5567">
      <w:pPr>
        <w:spacing w:after="0" w:line="240" w:lineRule="auto"/>
        <w:sectPr w:rsidR="001236DD" w:rsidSect="00E62622">
          <w:footerReference w:type="default" r:id="rId22"/>
          <w:type w:val="continuous"/>
          <w:pgSz w:w="11906" w:h="16838" w:code="9"/>
          <w:pgMar w:top="1418" w:right="851" w:bottom="1418" w:left="851" w:header="680" w:footer="851" w:gutter="0"/>
          <w:cols w:space="340"/>
          <w:docGrid w:linePitch="360"/>
        </w:sectPr>
      </w:pPr>
      <w:r>
        <w:br w:type="page"/>
      </w:r>
    </w:p>
    <w:p w14:paraId="1F08658D" w14:textId="65F2F7CC" w:rsidR="009B637D" w:rsidRDefault="009B637D" w:rsidP="009B637D">
      <w:pPr>
        <w:pStyle w:val="Heading1"/>
      </w:pPr>
      <w:bookmarkStart w:id="30" w:name="_Toc214378210"/>
      <w:r>
        <w:lastRenderedPageBreak/>
        <w:t xml:space="preserve">Appendix </w:t>
      </w:r>
      <w:r w:rsidR="00D77E3E">
        <w:t>1</w:t>
      </w:r>
      <w:r>
        <w:t>: Planning and Reporting Template</w:t>
      </w:r>
      <w:bookmarkEnd w:id="30"/>
      <w:r>
        <w:t xml:space="preserve"> </w:t>
      </w:r>
    </w:p>
    <w:p w14:paraId="202C9E5A" w14:textId="5DEB8EC0" w:rsidR="009B637D" w:rsidRDefault="009B637D" w:rsidP="009B637D">
      <w:pPr>
        <w:pStyle w:val="Body"/>
      </w:pPr>
      <w:r>
        <w:t>Agency Name:</w:t>
      </w:r>
      <w:r w:rsidR="00225C62">
        <w:t xml:space="preserve"> </w:t>
      </w:r>
      <w:r w:rsidR="00603185" w:rsidRPr="00CC2BF2">
        <w:rPr>
          <w:color w:val="0070C0"/>
        </w:rPr>
        <w:t>BBVSTI Training Cooperation</w:t>
      </w:r>
      <w:r w:rsidR="00640BB9">
        <w:rPr>
          <w:color w:val="0070C0"/>
        </w:rPr>
        <w:t xml:space="preserve"> </w:t>
      </w:r>
      <w:r w:rsidR="009919C0">
        <w:rPr>
          <w:color w:val="0070C0"/>
        </w:rPr>
        <w:t xml:space="preserve">(blue writing is an example only, please remove </w:t>
      </w:r>
      <w:r w:rsidR="00414FD3">
        <w:rPr>
          <w:color w:val="0070C0"/>
        </w:rPr>
        <w:t>prior to submitting)</w:t>
      </w:r>
    </w:p>
    <w:p w14:paraId="6AC3AB26" w14:textId="77777777" w:rsidR="009B637D" w:rsidRDefault="009B637D" w:rsidP="009B637D">
      <w:pPr>
        <w:pStyle w:val="Body"/>
      </w:pPr>
      <w:r>
        <w:t>Executive Summary: (See above for details)</w:t>
      </w:r>
    </w:p>
    <w:p w14:paraId="70FFF30D" w14:textId="77777777" w:rsidR="006C16AF" w:rsidRDefault="006C16AF" w:rsidP="009B637D">
      <w:pPr>
        <w:pStyle w:val="Body"/>
      </w:pPr>
    </w:p>
    <w:tbl>
      <w:tblPr>
        <w:tblStyle w:val="TableGrid"/>
        <w:tblW w:w="0" w:type="auto"/>
        <w:tblLook w:val="04A0" w:firstRow="1" w:lastRow="0" w:firstColumn="1" w:lastColumn="0" w:noHBand="0" w:noVBand="1"/>
      </w:tblPr>
      <w:tblGrid>
        <w:gridCol w:w="2789"/>
        <w:gridCol w:w="2789"/>
        <w:gridCol w:w="2790"/>
        <w:gridCol w:w="2790"/>
        <w:gridCol w:w="2790"/>
      </w:tblGrid>
      <w:tr w:rsidR="006C16AF" w14:paraId="51AF6159" w14:textId="77777777" w:rsidTr="00D01618">
        <w:tc>
          <w:tcPr>
            <w:tcW w:w="2789" w:type="dxa"/>
            <w:shd w:val="clear" w:color="auto" w:fill="DAEEF3" w:themeFill="accent5" w:themeFillTint="33"/>
            <w:vAlign w:val="center"/>
          </w:tcPr>
          <w:p w14:paraId="466CC7F1" w14:textId="77777777" w:rsidR="006C16AF" w:rsidRDefault="006C16AF" w:rsidP="007E18D1">
            <w:r>
              <w:rPr>
                <w:rFonts w:cs="Arial"/>
                <w:b/>
              </w:rPr>
              <w:t>Strategy/Plan</w:t>
            </w:r>
          </w:p>
        </w:tc>
        <w:tc>
          <w:tcPr>
            <w:tcW w:w="11159" w:type="dxa"/>
            <w:gridSpan w:val="4"/>
            <w:vAlign w:val="center"/>
          </w:tcPr>
          <w:p w14:paraId="563F33B4" w14:textId="0BF43D33" w:rsidR="006C16AF" w:rsidRDefault="006C16AF" w:rsidP="007E18D1">
            <w:r w:rsidRPr="00414FD3">
              <w:rPr>
                <w:rFonts w:cs="Arial"/>
                <w:bCs/>
                <w:iCs/>
                <w:color w:val="0070C0"/>
              </w:rPr>
              <w:t>Victorian HIV plan 2022-30, Victorian hepatitis B plan 2022 – 30, System enabler</w:t>
            </w:r>
          </w:p>
        </w:tc>
      </w:tr>
      <w:tr w:rsidR="006C16AF" w14:paraId="490ADA04" w14:textId="77777777" w:rsidTr="00D01618">
        <w:tc>
          <w:tcPr>
            <w:tcW w:w="2789" w:type="dxa"/>
            <w:shd w:val="clear" w:color="auto" w:fill="DAEEF3" w:themeFill="accent5" w:themeFillTint="33"/>
            <w:vAlign w:val="center"/>
          </w:tcPr>
          <w:p w14:paraId="50366ED2" w14:textId="77777777" w:rsidR="006C16AF" w:rsidRDefault="006C16AF" w:rsidP="007E18D1">
            <w:r>
              <w:rPr>
                <w:rFonts w:cs="Arial"/>
                <w:b/>
                <w:bCs/>
              </w:rPr>
              <w:t>Focus</w:t>
            </w:r>
            <w:r w:rsidRPr="38F197FE">
              <w:rPr>
                <w:rFonts w:cs="Arial"/>
                <w:b/>
                <w:bCs/>
              </w:rPr>
              <w:t xml:space="preserve"> areas</w:t>
            </w:r>
            <w:r>
              <w:rPr>
                <w:rFonts w:cs="Arial"/>
                <w:b/>
              </w:rPr>
              <w:t xml:space="preserve"> </w:t>
            </w:r>
          </w:p>
        </w:tc>
        <w:tc>
          <w:tcPr>
            <w:tcW w:w="11159" w:type="dxa"/>
            <w:gridSpan w:val="4"/>
            <w:vAlign w:val="center"/>
          </w:tcPr>
          <w:p w14:paraId="53463FCF" w14:textId="3D7A29C3" w:rsidR="006C16AF" w:rsidRDefault="006C16AF" w:rsidP="007E18D1">
            <w:r w:rsidRPr="00414FD3">
              <w:rPr>
                <w:rFonts w:cs="Arial"/>
                <w:bCs/>
                <w:iCs/>
                <w:color w:val="0070C0"/>
              </w:rPr>
              <w:t>Prevent, Test, Treat</w:t>
            </w:r>
            <w:r w:rsidR="00966929">
              <w:rPr>
                <w:rFonts w:cs="Arial"/>
                <w:bCs/>
                <w:iCs/>
                <w:color w:val="0070C0"/>
              </w:rPr>
              <w:t xml:space="preserve"> and Care</w:t>
            </w:r>
          </w:p>
        </w:tc>
      </w:tr>
      <w:tr w:rsidR="006C16AF" w14:paraId="309D16AF" w14:textId="77777777" w:rsidTr="00D01618">
        <w:tc>
          <w:tcPr>
            <w:tcW w:w="2789" w:type="dxa"/>
            <w:shd w:val="clear" w:color="auto" w:fill="DAEEF3" w:themeFill="accent5" w:themeFillTint="33"/>
            <w:vAlign w:val="center"/>
          </w:tcPr>
          <w:p w14:paraId="405AA1EC" w14:textId="77777777" w:rsidR="006C16AF" w:rsidRDefault="006C16AF" w:rsidP="007E18D1">
            <w:r>
              <w:rPr>
                <w:rFonts w:cs="Arial"/>
                <w:b/>
                <w:bCs/>
              </w:rPr>
              <w:t>Priority actions (from strategy/plan)</w:t>
            </w:r>
          </w:p>
        </w:tc>
        <w:tc>
          <w:tcPr>
            <w:tcW w:w="11159" w:type="dxa"/>
            <w:gridSpan w:val="4"/>
            <w:vAlign w:val="center"/>
          </w:tcPr>
          <w:p w14:paraId="7002A5BC" w14:textId="2D67B3DF" w:rsidR="006C16AF" w:rsidRDefault="006C16AF" w:rsidP="007E18D1">
            <w:r w:rsidRPr="00414FD3">
              <w:rPr>
                <w:rFonts w:cs="Arial"/>
                <w:bCs/>
                <w:iCs/>
                <w:color w:val="0070C0"/>
              </w:rPr>
              <w:t xml:space="preserve">Strengthen the capacity of the health workforce to deliver culturally safe, evidence-based care for people living with or at risk of HIV and hepatitis B.   </w:t>
            </w:r>
          </w:p>
        </w:tc>
      </w:tr>
      <w:tr w:rsidR="006C16AF" w14:paraId="2CAA4CA6" w14:textId="77777777" w:rsidTr="00D01618">
        <w:tc>
          <w:tcPr>
            <w:tcW w:w="2789" w:type="dxa"/>
            <w:shd w:val="clear" w:color="auto" w:fill="DAEEF3" w:themeFill="accent5" w:themeFillTint="33"/>
            <w:vAlign w:val="center"/>
          </w:tcPr>
          <w:p w14:paraId="157BF4F2" w14:textId="77777777" w:rsidR="006C16AF" w:rsidRDefault="006C16AF" w:rsidP="007E18D1">
            <w:r w:rsidRPr="00B90F03">
              <w:rPr>
                <w:rFonts w:cs="Arial"/>
                <w:b/>
              </w:rPr>
              <w:t>Target Group/s</w:t>
            </w:r>
          </w:p>
        </w:tc>
        <w:tc>
          <w:tcPr>
            <w:tcW w:w="11159" w:type="dxa"/>
            <w:gridSpan w:val="4"/>
            <w:vAlign w:val="center"/>
          </w:tcPr>
          <w:p w14:paraId="4F709253" w14:textId="7E6C4CAC" w:rsidR="006C16AF" w:rsidRDefault="006C16AF" w:rsidP="007E18D1">
            <w:r w:rsidRPr="00414FD3">
              <w:rPr>
                <w:rFonts w:cs="Arial"/>
                <w:bCs/>
                <w:iCs/>
                <w:color w:val="0070C0"/>
              </w:rPr>
              <w:t xml:space="preserve">Primary healthcare workforce </w:t>
            </w:r>
          </w:p>
        </w:tc>
      </w:tr>
      <w:tr w:rsidR="006C16AF" w14:paraId="26429BB1" w14:textId="77777777" w:rsidTr="00DF643C">
        <w:tc>
          <w:tcPr>
            <w:tcW w:w="2789" w:type="dxa"/>
            <w:vAlign w:val="center"/>
          </w:tcPr>
          <w:p w14:paraId="1C4B559F" w14:textId="77777777" w:rsidR="006C16AF" w:rsidRDefault="006C16AF" w:rsidP="007E18D1">
            <w:r w:rsidRPr="00B90F03">
              <w:rPr>
                <w:rFonts w:cs="Arial"/>
                <w:b/>
              </w:rPr>
              <w:t>Budget</w:t>
            </w:r>
            <w:r>
              <w:rPr>
                <w:rFonts w:cs="Arial"/>
                <w:b/>
              </w:rPr>
              <w:t xml:space="preserve"> </w:t>
            </w:r>
            <w:r w:rsidRPr="00DF643C">
              <w:rPr>
                <w:rFonts w:cs="Arial"/>
                <w:b/>
              </w:rPr>
              <w:t>(planned)</w:t>
            </w:r>
            <w:r w:rsidRPr="00B90F03">
              <w:rPr>
                <w:rFonts w:cs="Arial"/>
                <w:b/>
              </w:rPr>
              <w:t xml:space="preserve"> </w:t>
            </w:r>
            <w:r w:rsidRPr="00B90F03">
              <w:rPr>
                <w:rFonts w:cs="Arial"/>
                <w:i/>
                <w:color w:val="244061"/>
              </w:rPr>
              <w:t xml:space="preserve">per priority </w:t>
            </w:r>
            <w:r>
              <w:rPr>
                <w:rFonts w:cs="Arial"/>
                <w:i/>
                <w:color w:val="244061"/>
              </w:rPr>
              <w:t>action</w:t>
            </w:r>
          </w:p>
        </w:tc>
        <w:tc>
          <w:tcPr>
            <w:tcW w:w="11159" w:type="dxa"/>
            <w:gridSpan w:val="4"/>
            <w:vAlign w:val="center"/>
          </w:tcPr>
          <w:p w14:paraId="11207C06" w14:textId="2B8D4A83" w:rsidR="006C16AF" w:rsidRDefault="006C16AF" w:rsidP="007E18D1">
            <w:r w:rsidRPr="00414FD3">
              <w:rPr>
                <w:rFonts w:cs="Arial"/>
                <w:bCs/>
                <w:iCs/>
                <w:color w:val="0070C0"/>
              </w:rPr>
              <w:t xml:space="preserve">$300,000.00 </w:t>
            </w:r>
          </w:p>
        </w:tc>
      </w:tr>
      <w:tr w:rsidR="006C16AF" w14:paraId="59B80CEA" w14:textId="77777777" w:rsidTr="00DF643C">
        <w:tc>
          <w:tcPr>
            <w:tcW w:w="2789" w:type="dxa"/>
            <w:vAlign w:val="center"/>
          </w:tcPr>
          <w:p w14:paraId="645BA0E7" w14:textId="77777777" w:rsidR="006C16AF" w:rsidRDefault="006C16AF" w:rsidP="007E18D1">
            <w:r w:rsidRPr="00DF643C">
              <w:rPr>
                <w:rFonts w:cs="Arial"/>
                <w:b/>
              </w:rPr>
              <w:t>Expenditure (reported)</w:t>
            </w:r>
            <w:r w:rsidRPr="00B90F03">
              <w:rPr>
                <w:rFonts w:cs="Arial"/>
                <w:b/>
              </w:rPr>
              <w:t xml:space="preserve"> </w:t>
            </w:r>
            <w:r w:rsidRPr="00B90F03">
              <w:rPr>
                <w:rFonts w:cs="Arial"/>
                <w:i/>
                <w:color w:val="244061"/>
              </w:rPr>
              <w:t>per priority action</w:t>
            </w:r>
          </w:p>
        </w:tc>
        <w:tc>
          <w:tcPr>
            <w:tcW w:w="11159" w:type="dxa"/>
            <w:gridSpan w:val="4"/>
            <w:vAlign w:val="center"/>
          </w:tcPr>
          <w:p w14:paraId="2A38A253" w14:textId="238899EA" w:rsidR="006C16AF" w:rsidRDefault="006C16AF" w:rsidP="007E18D1">
            <w:r w:rsidRPr="00414FD3">
              <w:rPr>
                <w:rFonts w:cs="Arial"/>
                <w:bCs/>
                <w:iCs/>
                <w:color w:val="0070C0"/>
              </w:rPr>
              <w:t xml:space="preserve">$300,000.00 </w:t>
            </w:r>
          </w:p>
        </w:tc>
      </w:tr>
      <w:tr w:rsidR="006C16AF" w:rsidRPr="00D01618" w14:paraId="0D6DE11D" w14:textId="77777777" w:rsidTr="006F755A">
        <w:tc>
          <w:tcPr>
            <w:tcW w:w="8368" w:type="dxa"/>
            <w:gridSpan w:val="3"/>
            <w:shd w:val="clear" w:color="auto" w:fill="E5DFEC" w:themeFill="accent4" w:themeFillTint="33"/>
            <w:vAlign w:val="center"/>
          </w:tcPr>
          <w:p w14:paraId="04D440C8" w14:textId="77777777" w:rsidR="006C16AF" w:rsidRPr="00D01618" w:rsidRDefault="006C16AF" w:rsidP="00D01618">
            <w:pPr>
              <w:jc w:val="center"/>
              <w:rPr>
                <w:b/>
                <w:bCs/>
              </w:rPr>
            </w:pPr>
            <w:r w:rsidRPr="00D01618">
              <w:rPr>
                <w:b/>
                <w:bCs/>
              </w:rPr>
              <w:t>Planned</w:t>
            </w:r>
          </w:p>
        </w:tc>
        <w:tc>
          <w:tcPr>
            <w:tcW w:w="5580" w:type="dxa"/>
            <w:gridSpan w:val="2"/>
            <w:shd w:val="clear" w:color="auto" w:fill="DAEEF3" w:themeFill="accent5" w:themeFillTint="33"/>
          </w:tcPr>
          <w:p w14:paraId="5DC5EEFA" w14:textId="77777777" w:rsidR="006C16AF" w:rsidRPr="00D01618" w:rsidRDefault="006C16AF" w:rsidP="00D01618">
            <w:pPr>
              <w:jc w:val="center"/>
              <w:rPr>
                <w:b/>
                <w:bCs/>
              </w:rPr>
            </w:pPr>
            <w:r w:rsidRPr="00D01618">
              <w:rPr>
                <w:b/>
                <w:bCs/>
              </w:rPr>
              <w:t>Reported</w:t>
            </w:r>
          </w:p>
        </w:tc>
      </w:tr>
      <w:tr w:rsidR="006C16AF" w14:paraId="4817F175" w14:textId="77777777" w:rsidTr="007E18D1">
        <w:tc>
          <w:tcPr>
            <w:tcW w:w="2789" w:type="dxa"/>
            <w:vAlign w:val="center"/>
          </w:tcPr>
          <w:p w14:paraId="4B61C56A" w14:textId="77777777" w:rsidR="006C16AF" w:rsidRDefault="006C16AF" w:rsidP="007E18D1">
            <w:r>
              <w:rPr>
                <w:rFonts w:cs="Arial"/>
                <w:b/>
              </w:rPr>
              <w:t>Objective (intended impact)</w:t>
            </w:r>
          </w:p>
        </w:tc>
        <w:tc>
          <w:tcPr>
            <w:tcW w:w="2789" w:type="dxa"/>
            <w:vAlign w:val="center"/>
          </w:tcPr>
          <w:p w14:paraId="00DF4FF9" w14:textId="77777777" w:rsidR="006C16AF" w:rsidRDefault="006C16AF" w:rsidP="007E18D1">
            <w:r w:rsidRPr="61B64A36">
              <w:rPr>
                <w:rFonts w:cs="Arial"/>
                <w:b/>
                <w:bCs/>
              </w:rPr>
              <w:t>Activity</w:t>
            </w:r>
          </w:p>
        </w:tc>
        <w:tc>
          <w:tcPr>
            <w:tcW w:w="2790" w:type="dxa"/>
            <w:vAlign w:val="center"/>
          </w:tcPr>
          <w:p w14:paraId="120BBC7B" w14:textId="77777777" w:rsidR="006C16AF" w:rsidRDefault="006C16AF" w:rsidP="007E18D1">
            <w:r>
              <w:rPr>
                <w:rFonts w:cs="Arial"/>
                <w:b/>
              </w:rPr>
              <w:t>Timeframe</w:t>
            </w:r>
          </w:p>
        </w:tc>
        <w:tc>
          <w:tcPr>
            <w:tcW w:w="2790" w:type="dxa"/>
            <w:vAlign w:val="center"/>
          </w:tcPr>
          <w:p w14:paraId="674A76ED" w14:textId="77777777" w:rsidR="006C16AF" w:rsidRDefault="006C16AF" w:rsidP="007E18D1">
            <w:r w:rsidRPr="61B64A36">
              <w:rPr>
                <w:rFonts w:cs="Arial"/>
                <w:b/>
                <w:bCs/>
              </w:rPr>
              <w:t xml:space="preserve">Activity </w:t>
            </w:r>
            <w:r>
              <w:rPr>
                <w:rFonts w:cs="Arial"/>
                <w:b/>
                <w:bCs/>
              </w:rPr>
              <w:t>Output</w:t>
            </w:r>
          </w:p>
        </w:tc>
        <w:tc>
          <w:tcPr>
            <w:tcW w:w="2790" w:type="dxa"/>
            <w:vAlign w:val="center"/>
          </w:tcPr>
          <w:p w14:paraId="2EC148F0" w14:textId="77777777" w:rsidR="006C16AF" w:rsidRDefault="006C16AF" w:rsidP="007E18D1">
            <w:r>
              <w:rPr>
                <w:rFonts w:cs="Arial"/>
                <w:b/>
              </w:rPr>
              <w:t xml:space="preserve">Activity Impact </w:t>
            </w:r>
          </w:p>
        </w:tc>
      </w:tr>
      <w:tr w:rsidR="006C16AF" w14:paraId="2F118ABF" w14:textId="77777777" w:rsidTr="007E18D1">
        <w:tc>
          <w:tcPr>
            <w:tcW w:w="2789" w:type="dxa"/>
            <w:vAlign w:val="center"/>
          </w:tcPr>
          <w:p w14:paraId="59970047" w14:textId="4A8558F5" w:rsidR="006C16AF" w:rsidRDefault="006C16AF" w:rsidP="007E18D1">
            <w:pPr>
              <w:pStyle w:val="DHHStabletext"/>
              <w:rPr>
                <w:color w:val="0070C0"/>
              </w:rPr>
            </w:pPr>
            <w:r w:rsidRPr="00CC2BF2">
              <w:rPr>
                <w:color w:val="0070C0"/>
              </w:rPr>
              <w:t>To build a BBVSTI - skilled, confident primary healthcare workforce.</w:t>
            </w:r>
          </w:p>
          <w:p w14:paraId="10F2776B" w14:textId="77777777" w:rsidR="006C16AF" w:rsidRDefault="006C16AF" w:rsidP="007E18D1"/>
        </w:tc>
        <w:tc>
          <w:tcPr>
            <w:tcW w:w="2789" w:type="dxa"/>
            <w:vAlign w:val="center"/>
          </w:tcPr>
          <w:p w14:paraId="40DBEC42" w14:textId="77777777" w:rsidR="006C16AF" w:rsidRDefault="006C16AF" w:rsidP="007E18D1">
            <w:r w:rsidRPr="00CC2BF2">
              <w:rPr>
                <w:color w:val="0070C0"/>
              </w:rPr>
              <w:t xml:space="preserve">Deliver 10 hybrid training courses across metro Victoria and 3 training courses in the regions through GP networks. Training courses to focus on s100 prescribing, stigma reduction toolkit, testing and treating </w:t>
            </w:r>
            <w:proofErr w:type="gramStart"/>
            <w:r w:rsidRPr="00CC2BF2">
              <w:rPr>
                <w:color w:val="0070C0"/>
              </w:rPr>
              <w:t>HIV,HBV</w:t>
            </w:r>
            <w:proofErr w:type="gramEnd"/>
            <w:r w:rsidRPr="00CC2BF2">
              <w:rPr>
                <w:color w:val="0070C0"/>
              </w:rPr>
              <w:t xml:space="preserve">, </w:t>
            </w:r>
            <w:r w:rsidRPr="00CC2BF2">
              <w:rPr>
                <w:color w:val="0070C0"/>
              </w:rPr>
              <w:lastRenderedPageBreak/>
              <w:t xml:space="preserve">especially for priority populations.   </w:t>
            </w:r>
          </w:p>
        </w:tc>
        <w:tc>
          <w:tcPr>
            <w:tcW w:w="2790" w:type="dxa"/>
            <w:vAlign w:val="center"/>
          </w:tcPr>
          <w:p w14:paraId="50037625" w14:textId="77777777" w:rsidR="006C16AF" w:rsidRDefault="006C16AF" w:rsidP="007E18D1">
            <w:r w:rsidRPr="00CC2BF2">
              <w:rPr>
                <w:color w:val="0070C0"/>
              </w:rPr>
              <w:lastRenderedPageBreak/>
              <w:t xml:space="preserve">12 months </w:t>
            </w:r>
          </w:p>
        </w:tc>
        <w:tc>
          <w:tcPr>
            <w:tcW w:w="2790" w:type="dxa"/>
            <w:vAlign w:val="center"/>
          </w:tcPr>
          <w:p w14:paraId="2FD83EF0" w14:textId="77777777" w:rsidR="006C16AF" w:rsidRDefault="006C16AF" w:rsidP="007E18D1">
            <w:r w:rsidRPr="00CC2BF2">
              <w:rPr>
                <w:color w:val="0070C0"/>
              </w:rPr>
              <w:t xml:space="preserve">10 training sessions offered in metro Victoria and 3 across the Regions. 120 GP participants, 40 practicing in the Regions. </w:t>
            </w:r>
          </w:p>
        </w:tc>
        <w:tc>
          <w:tcPr>
            <w:tcW w:w="2790" w:type="dxa"/>
            <w:vAlign w:val="center"/>
          </w:tcPr>
          <w:p w14:paraId="15F33A55" w14:textId="77777777" w:rsidR="006C16AF" w:rsidRDefault="006C16AF" w:rsidP="007E18D1">
            <w:r w:rsidRPr="00CC2BF2">
              <w:rPr>
                <w:color w:val="0070C0"/>
                <w:lang w:eastAsia="en-AU"/>
              </w:rPr>
              <w:t xml:space="preserve">92% of participants reported increased confidence; 78% applied knowledge in practice within 3 months. 62 new s100 HIV prescribers accredited, increased testing rates in regional clinics by 18%, strengthened culturally safe </w:t>
            </w:r>
            <w:r w:rsidRPr="00CC2BF2">
              <w:rPr>
                <w:color w:val="0070C0"/>
                <w:lang w:eastAsia="en-AU"/>
              </w:rPr>
              <w:lastRenderedPageBreak/>
              <w:t xml:space="preserve">care delivery in priority communities. </w:t>
            </w:r>
          </w:p>
        </w:tc>
      </w:tr>
      <w:tr w:rsidR="006C16AF" w14:paraId="14CDC470" w14:textId="77777777" w:rsidTr="007E18D1">
        <w:tc>
          <w:tcPr>
            <w:tcW w:w="2789" w:type="dxa"/>
            <w:vAlign w:val="center"/>
          </w:tcPr>
          <w:p w14:paraId="4F04A03F" w14:textId="77777777" w:rsidR="006C16AF" w:rsidRDefault="006C16AF" w:rsidP="007E18D1">
            <w:pPr>
              <w:pStyle w:val="DHHStabletext"/>
              <w:rPr>
                <w:color w:val="0070C0"/>
              </w:rPr>
            </w:pPr>
          </w:p>
        </w:tc>
        <w:tc>
          <w:tcPr>
            <w:tcW w:w="2789" w:type="dxa"/>
            <w:vAlign w:val="center"/>
          </w:tcPr>
          <w:p w14:paraId="7F846913" w14:textId="77777777" w:rsidR="006C16AF" w:rsidRPr="00CC2BF2" w:rsidRDefault="006C16AF" w:rsidP="007E18D1">
            <w:pPr>
              <w:rPr>
                <w:color w:val="0070C0"/>
              </w:rPr>
            </w:pPr>
          </w:p>
        </w:tc>
        <w:tc>
          <w:tcPr>
            <w:tcW w:w="2790" w:type="dxa"/>
            <w:vAlign w:val="center"/>
          </w:tcPr>
          <w:p w14:paraId="15BFF617" w14:textId="77777777" w:rsidR="006C16AF" w:rsidRPr="00CC2BF2" w:rsidRDefault="006C16AF" w:rsidP="007E18D1">
            <w:pPr>
              <w:rPr>
                <w:color w:val="0070C0"/>
              </w:rPr>
            </w:pPr>
          </w:p>
        </w:tc>
        <w:tc>
          <w:tcPr>
            <w:tcW w:w="2790" w:type="dxa"/>
            <w:vAlign w:val="center"/>
          </w:tcPr>
          <w:p w14:paraId="00509153" w14:textId="77777777" w:rsidR="006C16AF" w:rsidRPr="00CC2BF2" w:rsidRDefault="006C16AF" w:rsidP="007E18D1">
            <w:pPr>
              <w:rPr>
                <w:color w:val="0070C0"/>
              </w:rPr>
            </w:pPr>
          </w:p>
        </w:tc>
        <w:tc>
          <w:tcPr>
            <w:tcW w:w="2790" w:type="dxa"/>
            <w:vAlign w:val="center"/>
          </w:tcPr>
          <w:p w14:paraId="2DE3BCC6" w14:textId="77777777" w:rsidR="006C16AF" w:rsidRPr="00CC2BF2" w:rsidRDefault="006C16AF" w:rsidP="007E18D1">
            <w:pPr>
              <w:rPr>
                <w:color w:val="0070C0"/>
                <w:lang w:eastAsia="en-AU"/>
              </w:rPr>
            </w:pPr>
          </w:p>
        </w:tc>
      </w:tr>
      <w:tr w:rsidR="006C16AF" w14:paraId="1DFA2708" w14:textId="77777777" w:rsidTr="007E18D1">
        <w:tc>
          <w:tcPr>
            <w:tcW w:w="2789" w:type="dxa"/>
            <w:vAlign w:val="center"/>
          </w:tcPr>
          <w:p w14:paraId="34F5A9A5" w14:textId="77777777" w:rsidR="006C16AF" w:rsidRDefault="006C16AF" w:rsidP="007E18D1">
            <w:pPr>
              <w:pStyle w:val="DHHStabletext"/>
              <w:rPr>
                <w:color w:val="0070C0"/>
              </w:rPr>
            </w:pPr>
          </w:p>
        </w:tc>
        <w:tc>
          <w:tcPr>
            <w:tcW w:w="2789" w:type="dxa"/>
            <w:vAlign w:val="center"/>
          </w:tcPr>
          <w:p w14:paraId="4F79F82E" w14:textId="77777777" w:rsidR="006C16AF" w:rsidRPr="00CC2BF2" w:rsidRDefault="006C16AF" w:rsidP="007E18D1">
            <w:pPr>
              <w:rPr>
                <w:color w:val="0070C0"/>
              </w:rPr>
            </w:pPr>
          </w:p>
        </w:tc>
        <w:tc>
          <w:tcPr>
            <w:tcW w:w="2790" w:type="dxa"/>
            <w:vAlign w:val="center"/>
          </w:tcPr>
          <w:p w14:paraId="1532E35E" w14:textId="77777777" w:rsidR="006C16AF" w:rsidRPr="00CC2BF2" w:rsidRDefault="006C16AF" w:rsidP="007E18D1">
            <w:pPr>
              <w:rPr>
                <w:color w:val="0070C0"/>
              </w:rPr>
            </w:pPr>
          </w:p>
        </w:tc>
        <w:tc>
          <w:tcPr>
            <w:tcW w:w="2790" w:type="dxa"/>
            <w:vAlign w:val="center"/>
          </w:tcPr>
          <w:p w14:paraId="5C493AC7" w14:textId="77777777" w:rsidR="006C16AF" w:rsidRPr="00CC2BF2" w:rsidRDefault="006C16AF" w:rsidP="007E18D1">
            <w:pPr>
              <w:rPr>
                <w:color w:val="0070C0"/>
              </w:rPr>
            </w:pPr>
          </w:p>
        </w:tc>
        <w:tc>
          <w:tcPr>
            <w:tcW w:w="2790" w:type="dxa"/>
            <w:vAlign w:val="center"/>
          </w:tcPr>
          <w:p w14:paraId="0060D5E3" w14:textId="77777777" w:rsidR="006C16AF" w:rsidRPr="00CC2BF2" w:rsidRDefault="006C16AF" w:rsidP="007E18D1">
            <w:pPr>
              <w:rPr>
                <w:color w:val="0070C0"/>
                <w:lang w:eastAsia="en-AU"/>
              </w:rPr>
            </w:pPr>
          </w:p>
        </w:tc>
      </w:tr>
      <w:tr w:rsidR="006C16AF" w14:paraId="2A96EBD1" w14:textId="77777777" w:rsidTr="007E18D1">
        <w:tc>
          <w:tcPr>
            <w:tcW w:w="2789" w:type="dxa"/>
            <w:vAlign w:val="center"/>
          </w:tcPr>
          <w:p w14:paraId="20B80EEA" w14:textId="77777777" w:rsidR="006C16AF" w:rsidRDefault="006C16AF" w:rsidP="007E18D1">
            <w:pPr>
              <w:pStyle w:val="DHHStabletext"/>
              <w:rPr>
                <w:color w:val="0070C0"/>
              </w:rPr>
            </w:pPr>
          </w:p>
        </w:tc>
        <w:tc>
          <w:tcPr>
            <w:tcW w:w="2789" w:type="dxa"/>
            <w:vAlign w:val="center"/>
          </w:tcPr>
          <w:p w14:paraId="5020E0ED" w14:textId="77777777" w:rsidR="006C16AF" w:rsidRPr="00CC2BF2" w:rsidRDefault="006C16AF" w:rsidP="007E18D1">
            <w:pPr>
              <w:rPr>
                <w:color w:val="0070C0"/>
              </w:rPr>
            </w:pPr>
          </w:p>
        </w:tc>
        <w:tc>
          <w:tcPr>
            <w:tcW w:w="2790" w:type="dxa"/>
            <w:vAlign w:val="center"/>
          </w:tcPr>
          <w:p w14:paraId="1861CD99" w14:textId="77777777" w:rsidR="006C16AF" w:rsidRPr="00CC2BF2" w:rsidRDefault="006C16AF" w:rsidP="007E18D1">
            <w:pPr>
              <w:rPr>
                <w:color w:val="0070C0"/>
              </w:rPr>
            </w:pPr>
          </w:p>
        </w:tc>
        <w:tc>
          <w:tcPr>
            <w:tcW w:w="2790" w:type="dxa"/>
            <w:vAlign w:val="center"/>
          </w:tcPr>
          <w:p w14:paraId="7B1936D4" w14:textId="77777777" w:rsidR="006C16AF" w:rsidRPr="00CC2BF2" w:rsidRDefault="006C16AF" w:rsidP="007E18D1">
            <w:pPr>
              <w:rPr>
                <w:color w:val="0070C0"/>
              </w:rPr>
            </w:pPr>
          </w:p>
        </w:tc>
        <w:tc>
          <w:tcPr>
            <w:tcW w:w="2790" w:type="dxa"/>
            <w:vAlign w:val="center"/>
          </w:tcPr>
          <w:p w14:paraId="11595177" w14:textId="77777777" w:rsidR="006C16AF" w:rsidRPr="00CC2BF2" w:rsidRDefault="006C16AF" w:rsidP="007E18D1">
            <w:pPr>
              <w:rPr>
                <w:color w:val="0070C0"/>
                <w:lang w:eastAsia="en-AU"/>
              </w:rPr>
            </w:pPr>
          </w:p>
        </w:tc>
      </w:tr>
      <w:tr w:rsidR="006C16AF" w14:paraId="6BD652BC" w14:textId="77777777" w:rsidTr="007E18D1">
        <w:tc>
          <w:tcPr>
            <w:tcW w:w="2789" w:type="dxa"/>
            <w:vAlign w:val="center"/>
          </w:tcPr>
          <w:p w14:paraId="7AE1837E" w14:textId="77777777" w:rsidR="006C16AF" w:rsidRDefault="006C16AF" w:rsidP="007E18D1">
            <w:pPr>
              <w:pStyle w:val="DHHStabletext"/>
              <w:rPr>
                <w:color w:val="0070C0"/>
              </w:rPr>
            </w:pPr>
          </w:p>
        </w:tc>
        <w:tc>
          <w:tcPr>
            <w:tcW w:w="2789" w:type="dxa"/>
            <w:vAlign w:val="center"/>
          </w:tcPr>
          <w:p w14:paraId="387E7F6C" w14:textId="77777777" w:rsidR="006C16AF" w:rsidRPr="00CC2BF2" w:rsidRDefault="006C16AF" w:rsidP="007E18D1">
            <w:pPr>
              <w:rPr>
                <w:color w:val="0070C0"/>
              </w:rPr>
            </w:pPr>
          </w:p>
        </w:tc>
        <w:tc>
          <w:tcPr>
            <w:tcW w:w="2790" w:type="dxa"/>
            <w:vAlign w:val="center"/>
          </w:tcPr>
          <w:p w14:paraId="67EB1571" w14:textId="77777777" w:rsidR="006C16AF" w:rsidRPr="00CC2BF2" w:rsidRDefault="006C16AF" w:rsidP="007E18D1">
            <w:pPr>
              <w:rPr>
                <w:color w:val="0070C0"/>
              </w:rPr>
            </w:pPr>
          </w:p>
        </w:tc>
        <w:tc>
          <w:tcPr>
            <w:tcW w:w="2790" w:type="dxa"/>
            <w:vAlign w:val="center"/>
          </w:tcPr>
          <w:p w14:paraId="40A28DA2" w14:textId="77777777" w:rsidR="006C16AF" w:rsidRPr="00CC2BF2" w:rsidRDefault="006C16AF" w:rsidP="007E18D1">
            <w:pPr>
              <w:rPr>
                <w:color w:val="0070C0"/>
              </w:rPr>
            </w:pPr>
          </w:p>
        </w:tc>
        <w:tc>
          <w:tcPr>
            <w:tcW w:w="2790" w:type="dxa"/>
            <w:vAlign w:val="center"/>
          </w:tcPr>
          <w:p w14:paraId="372043D0" w14:textId="77777777" w:rsidR="006C16AF" w:rsidRPr="00CC2BF2" w:rsidRDefault="006C16AF" w:rsidP="007E18D1">
            <w:pPr>
              <w:rPr>
                <w:color w:val="0070C0"/>
                <w:lang w:eastAsia="en-AU"/>
              </w:rPr>
            </w:pPr>
          </w:p>
        </w:tc>
      </w:tr>
      <w:tr w:rsidR="006C16AF" w14:paraId="7584C1BF" w14:textId="77777777" w:rsidTr="007E18D1">
        <w:tc>
          <w:tcPr>
            <w:tcW w:w="2789" w:type="dxa"/>
            <w:vAlign w:val="center"/>
          </w:tcPr>
          <w:p w14:paraId="1830DDC7" w14:textId="77777777" w:rsidR="006C16AF" w:rsidRDefault="006C16AF" w:rsidP="007E18D1">
            <w:pPr>
              <w:pStyle w:val="DHHStabletext"/>
              <w:rPr>
                <w:color w:val="0070C0"/>
              </w:rPr>
            </w:pPr>
          </w:p>
        </w:tc>
        <w:tc>
          <w:tcPr>
            <w:tcW w:w="2789" w:type="dxa"/>
            <w:vAlign w:val="center"/>
          </w:tcPr>
          <w:p w14:paraId="25B8C8ED" w14:textId="77777777" w:rsidR="006C16AF" w:rsidRPr="00CC2BF2" w:rsidRDefault="006C16AF" w:rsidP="007E18D1">
            <w:pPr>
              <w:rPr>
                <w:color w:val="0070C0"/>
              </w:rPr>
            </w:pPr>
          </w:p>
        </w:tc>
        <w:tc>
          <w:tcPr>
            <w:tcW w:w="2790" w:type="dxa"/>
            <w:vAlign w:val="center"/>
          </w:tcPr>
          <w:p w14:paraId="3D00F753" w14:textId="77777777" w:rsidR="006C16AF" w:rsidRPr="00CC2BF2" w:rsidRDefault="006C16AF" w:rsidP="007E18D1">
            <w:pPr>
              <w:rPr>
                <w:color w:val="0070C0"/>
              </w:rPr>
            </w:pPr>
          </w:p>
        </w:tc>
        <w:tc>
          <w:tcPr>
            <w:tcW w:w="2790" w:type="dxa"/>
            <w:vAlign w:val="center"/>
          </w:tcPr>
          <w:p w14:paraId="691D1313" w14:textId="77777777" w:rsidR="006C16AF" w:rsidRPr="00CC2BF2" w:rsidRDefault="006C16AF" w:rsidP="007E18D1">
            <w:pPr>
              <w:rPr>
                <w:color w:val="0070C0"/>
              </w:rPr>
            </w:pPr>
          </w:p>
        </w:tc>
        <w:tc>
          <w:tcPr>
            <w:tcW w:w="2790" w:type="dxa"/>
            <w:vAlign w:val="center"/>
          </w:tcPr>
          <w:p w14:paraId="1B71BDA2" w14:textId="77777777" w:rsidR="006C16AF" w:rsidRPr="00CC2BF2" w:rsidRDefault="006C16AF" w:rsidP="007E18D1">
            <w:pPr>
              <w:rPr>
                <w:color w:val="0070C0"/>
                <w:lang w:eastAsia="en-AU"/>
              </w:rPr>
            </w:pPr>
          </w:p>
        </w:tc>
      </w:tr>
    </w:tbl>
    <w:p w14:paraId="25BD15F7" w14:textId="77777777" w:rsidR="009B637D" w:rsidRDefault="009B637D" w:rsidP="009B637D">
      <w:pPr>
        <w:pStyle w:val="Body"/>
      </w:pPr>
    </w:p>
    <w:p w14:paraId="62006CBC" w14:textId="77777777" w:rsidR="009B637D" w:rsidRDefault="009B637D" w:rsidP="009B637D">
      <w:pPr>
        <w:pStyle w:val="Body"/>
      </w:pPr>
    </w:p>
    <w:p w14:paraId="4558577E" w14:textId="77777777" w:rsidR="009B637D" w:rsidRDefault="009B637D" w:rsidP="009B637D">
      <w:pPr>
        <w:pStyle w:val="Body"/>
      </w:pPr>
    </w:p>
    <w:p w14:paraId="29E84042" w14:textId="1BAE66C6" w:rsidR="004C5567" w:rsidRDefault="004C5567">
      <w:pPr>
        <w:spacing w:after="0" w:line="240" w:lineRule="auto"/>
        <w:rPr>
          <w:rFonts w:eastAsia="Times"/>
        </w:rPr>
      </w:pPr>
    </w:p>
    <w:p w14:paraId="7DE67CEA" w14:textId="77777777" w:rsidR="009B637D" w:rsidRDefault="009B637D">
      <w:pPr>
        <w:spacing w:after="0" w:line="240" w:lineRule="auto"/>
        <w:rPr>
          <w:rFonts w:eastAsia="Times"/>
        </w:rPr>
      </w:pPr>
    </w:p>
    <w:p w14:paraId="23C48A76" w14:textId="77777777" w:rsidR="00D77E3E" w:rsidRDefault="00D77E3E">
      <w:pPr>
        <w:spacing w:after="0" w:line="240" w:lineRule="auto"/>
        <w:rPr>
          <w:rFonts w:eastAsia="Times"/>
        </w:rPr>
        <w:sectPr w:rsidR="00D77E3E" w:rsidSect="009B637D">
          <w:pgSz w:w="16838" w:h="11906" w:orient="landscape" w:code="9"/>
          <w:pgMar w:top="851" w:right="1418" w:bottom="851" w:left="1418" w:header="680" w:footer="851" w:gutter="0"/>
          <w:cols w:space="340"/>
          <w:docGrid w:linePitch="360"/>
        </w:sectPr>
      </w:pPr>
    </w:p>
    <w:p w14:paraId="6BC9EEAF" w14:textId="4867FC03" w:rsidR="00D7651C" w:rsidRDefault="00D7651C" w:rsidP="00D7651C">
      <w:pPr>
        <w:pStyle w:val="Heading1"/>
      </w:pPr>
      <w:bookmarkStart w:id="31" w:name="_Toc214378211"/>
      <w:r>
        <w:lastRenderedPageBreak/>
        <w:t>Appendix 2: Financial Acquittal</w:t>
      </w:r>
      <w:bookmarkEnd w:id="31"/>
      <w:r w:rsidR="00B46C7B">
        <w:t xml:space="preserve"> </w:t>
      </w:r>
    </w:p>
    <w:p w14:paraId="3CD6AF1A" w14:textId="363B4291" w:rsidR="00D7651C" w:rsidRPr="009402E8" w:rsidRDefault="00D7651C" w:rsidP="00D7651C">
      <w:pPr>
        <w:pStyle w:val="Body"/>
      </w:pPr>
      <w:r w:rsidRPr="009402E8">
        <w:t>Organisation:</w:t>
      </w:r>
      <w:r w:rsidR="00CC2BF2">
        <w:t xml:space="preserve"> </w:t>
      </w:r>
      <w:r w:rsidR="00CC2BF2" w:rsidRPr="00CC2BF2">
        <w:rPr>
          <w:color w:val="0070C0"/>
        </w:rPr>
        <w:t xml:space="preserve">BBVSTI Training Cooperation  </w:t>
      </w:r>
      <w:r w:rsidRPr="00CC2BF2">
        <w:rPr>
          <w:color w:val="0070C0"/>
        </w:rPr>
        <w:t>  </w:t>
      </w:r>
    </w:p>
    <w:p w14:paraId="13085848" w14:textId="2AC9DF16" w:rsidR="00D7651C" w:rsidRDefault="00D7651C" w:rsidP="00D7651C">
      <w:pPr>
        <w:pStyle w:val="Body"/>
      </w:pPr>
      <w:r w:rsidRPr="009402E8">
        <w:t>Financial Year:</w:t>
      </w:r>
      <w:r w:rsidR="00FE75FD">
        <w:t xml:space="preserve"> 2024/25</w:t>
      </w:r>
      <w:r w:rsidRPr="009402E8">
        <w:t>  </w:t>
      </w:r>
    </w:p>
    <w:p w14:paraId="6D8B4773" w14:textId="3C12726B" w:rsidR="00EC7295" w:rsidRPr="009402E8" w:rsidRDefault="00EC7295" w:rsidP="00D7651C">
      <w:pPr>
        <w:pStyle w:val="Body"/>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2409"/>
      </w:tblGrid>
      <w:tr w:rsidR="00D7651C" w:rsidRPr="009402E8" w14:paraId="33952472" w14:textId="77777777" w:rsidTr="00EC7295">
        <w:trPr>
          <w:trHeight w:val="300"/>
        </w:trPr>
        <w:tc>
          <w:tcPr>
            <w:tcW w:w="10198"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22F81D8" w14:textId="77777777" w:rsidR="00D7651C" w:rsidRPr="00302A49" w:rsidRDefault="00D7651C" w:rsidP="00E74296">
            <w:pPr>
              <w:pStyle w:val="Body"/>
              <w:jc w:val="center"/>
              <w:rPr>
                <w:b/>
                <w:bCs/>
              </w:rPr>
            </w:pPr>
            <w:r w:rsidRPr="00302A49">
              <w:rPr>
                <w:b/>
                <w:bCs/>
              </w:rPr>
              <w:t>INCOME</w:t>
            </w:r>
          </w:p>
        </w:tc>
      </w:tr>
      <w:tr w:rsidR="00D7651C" w:rsidRPr="009402E8" w14:paraId="2F10A72E"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7BA3EF3E" w14:textId="3D81E7F2" w:rsidR="00D7651C" w:rsidRPr="009402E8" w:rsidRDefault="00D7651C" w:rsidP="00E74296">
            <w:pPr>
              <w:pStyle w:val="Body"/>
            </w:pPr>
            <w:r>
              <w:t>Activity Code</w:t>
            </w:r>
            <w:r w:rsidR="00FE75FD">
              <w:t xml:space="preserve">: </w:t>
            </w:r>
            <w:r w:rsidR="00FE75FD" w:rsidRPr="00CC2BF2">
              <w:rPr>
                <w:color w:val="0070C0"/>
              </w:rPr>
              <w:t>16508</w:t>
            </w:r>
            <w:r w:rsidRPr="00CC2BF2">
              <w:rPr>
                <w:color w:val="0070C0"/>
              </w:rPr>
              <w:t xml:space="preserve">  </w:t>
            </w:r>
            <w:r w:rsidRPr="009402E8">
              <w:t xml:space="preserve">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5B1E28D0" w14:textId="12A0F522" w:rsidR="00D7651C" w:rsidRPr="00CC2BF2" w:rsidRDefault="00D7651C" w:rsidP="00E74296">
            <w:pPr>
              <w:pStyle w:val="Body"/>
              <w:rPr>
                <w:color w:val="0070C0"/>
              </w:rPr>
            </w:pPr>
            <w:r w:rsidRPr="00CC2BF2">
              <w:rPr>
                <w:color w:val="0070C0"/>
              </w:rPr>
              <w:t>$</w:t>
            </w:r>
            <w:r w:rsidR="00FE75FD" w:rsidRPr="00CC2BF2">
              <w:rPr>
                <w:color w:val="0070C0"/>
              </w:rPr>
              <w:t xml:space="preserve"> </w:t>
            </w:r>
            <w:r w:rsidR="00CC2BF2" w:rsidRPr="00CC2BF2">
              <w:rPr>
                <w:color w:val="0070C0"/>
              </w:rPr>
              <w:t>300,</w:t>
            </w:r>
            <w:r w:rsidR="00FE75FD" w:rsidRPr="00CC2BF2">
              <w:rPr>
                <w:color w:val="0070C0"/>
              </w:rPr>
              <w:t xml:space="preserve">000.00 </w:t>
            </w:r>
            <w:r w:rsidRPr="00CC2BF2">
              <w:rPr>
                <w:color w:val="0070C0"/>
              </w:rPr>
              <w:t> </w:t>
            </w:r>
          </w:p>
        </w:tc>
      </w:tr>
      <w:tr w:rsidR="00D7651C" w:rsidRPr="009402E8" w14:paraId="7E693C5C"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2CEA4D9A" w14:textId="77777777" w:rsidR="00D7651C" w:rsidRPr="009402E8" w:rsidRDefault="00D7651C" w:rsidP="00E74296">
            <w:pPr>
              <w:pStyle w:val="Body"/>
            </w:pPr>
            <w:r>
              <w:t xml:space="preserve">Activity Code </w:t>
            </w:r>
            <w:r w:rsidRPr="009402E8">
              <w:t>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33AFE822" w14:textId="77777777" w:rsidR="00D7651C" w:rsidRPr="00CC2BF2" w:rsidRDefault="00D7651C" w:rsidP="00E74296">
            <w:pPr>
              <w:pStyle w:val="Body"/>
              <w:rPr>
                <w:color w:val="0070C0"/>
              </w:rPr>
            </w:pPr>
            <w:r w:rsidRPr="00CC2BF2">
              <w:rPr>
                <w:color w:val="0070C0"/>
              </w:rPr>
              <w:t>$ </w:t>
            </w:r>
          </w:p>
        </w:tc>
      </w:tr>
      <w:tr w:rsidR="00D7651C" w:rsidRPr="009402E8" w14:paraId="25BC9C4F"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263D97B9" w14:textId="77777777" w:rsidR="00D7651C" w:rsidRPr="00C67B9A" w:rsidRDefault="00D7651C" w:rsidP="00E74296">
            <w:pPr>
              <w:pStyle w:val="Body"/>
              <w:rPr>
                <w:b/>
                <w:bCs/>
              </w:rPr>
            </w:pPr>
            <w:r w:rsidRPr="00C67B9A">
              <w:rPr>
                <w:b/>
                <w:bCs/>
              </w:rPr>
              <w:t>TOTAL INCOME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3F26941" w14:textId="53EE4D2D" w:rsidR="00D7651C" w:rsidRPr="00CC2BF2" w:rsidRDefault="00D7651C" w:rsidP="00E74296">
            <w:pPr>
              <w:pStyle w:val="Body"/>
              <w:rPr>
                <w:b/>
                <w:bCs/>
                <w:color w:val="0070C0"/>
              </w:rPr>
            </w:pPr>
            <w:r w:rsidRPr="00CC2BF2">
              <w:rPr>
                <w:b/>
                <w:bCs/>
                <w:color w:val="0070C0"/>
              </w:rPr>
              <w:t>$ </w:t>
            </w:r>
            <w:r w:rsidR="00CC2BF2" w:rsidRPr="00CC2BF2">
              <w:rPr>
                <w:b/>
                <w:bCs/>
                <w:color w:val="0070C0"/>
              </w:rPr>
              <w:t>300</w:t>
            </w:r>
            <w:r w:rsidR="00FE75FD" w:rsidRPr="00CC2BF2">
              <w:rPr>
                <w:b/>
                <w:bCs/>
                <w:color w:val="0070C0"/>
              </w:rPr>
              <w:t>,000.00</w:t>
            </w:r>
          </w:p>
        </w:tc>
      </w:tr>
      <w:tr w:rsidR="00D7651C" w:rsidRPr="009402E8" w14:paraId="60B2B4DB" w14:textId="77777777" w:rsidTr="00EC7295">
        <w:trPr>
          <w:trHeight w:val="300"/>
        </w:trPr>
        <w:tc>
          <w:tcPr>
            <w:tcW w:w="10198" w:type="dxa"/>
            <w:gridSpan w:val="2"/>
            <w:tcBorders>
              <w:top w:val="single" w:sz="6" w:space="0" w:color="auto"/>
              <w:left w:val="single" w:sz="6" w:space="0" w:color="auto"/>
              <w:bottom w:val="single" w:sz="6" w:space="0" w:color="auto"/>
              <w:right w:val="single" w:sz="6" w:space="0" w:color="auto"/>
            </w:tcBorders>
            <w:vAlign w:val="center"/>
            <w:hideMark/>
          </w:tcPr>
          <w:p w14:paraId="4FC5574B" w14:textId="77777777" w:rsidR="00D7651C" w:rsidRPr="00CC2BF2" w:rsidRDefault="00D7651C" w:rsidP="00E74296">
            <w:pPr>
              <w:pStyle w:val="Body"/>
              <w:rPr>
                <w:color w:val="0070C0"/>
              </w:rPr>
            </w:pPr>
            <w:r w:rsidRPr="00CC2BF2">
              <w:rPr>
                <w:color w:val="0070C0"/>
              </w:rPr>
              <w:t> </w:t>
            </w:r>
          </w:p>
        </w:tc>
      </w:tr>
      <w:tr w:rsidR="00D7651C" w:rsidRPr="009402E8" w14:paraId="6C33EC19" w14:textId="77777777" w:rsidTr="00EC7295">
        <w:trPr>
          <w:trHeight w:val="300"/>
        </w:trPr>
        <w:tc>
          <w:tcPr>
            <w:tcW w:w="10198"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2D122E1" w14:textId="77777777" w:rsidR="00D7651C" w:rsidRPr="00CC2BF2" w:rsidRDefault="00D7651C" w:rsidP="00E74296">
            <w:pPr>
              <w:pStyle w:val="Body"/>
              <w:jc w:val="center"/>
              <w:rPr>
                <w:b/>
                <w:bCs/>
                <w:color w:val="0070C0"/>
              </w:rPr>
            </w:pPr>
            <w:r w:rsidRPr="00CC2BF2">
              <w:rPr>
                <w:b/>
                <w:bCs/>
                <w:color w:val="0070C0"/>
              </w:rPr>
              <w:t>EXPENDITURE</w:t>
            </w:r>
          </w:p>
        </w:tc>
      </w:tr>
      <w:tr w:rsidR="00D7651C" w:rsidRPr="009402E8" w14:paraId="355186C8"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F57D89" w14:textId="00802552" w:rsidR="00D7651C" w:rsidRPr="009402E8" w:rsidRDefault="00D7651C" w:rsidP="00E74296">
            <w:pPr>
              <w:pStyle w:val="Body"/>
            </w:pPr>
            <w:r w:rsidRPr="009402E8">
              <w:t>Staffing (Total equivalent full time and number of positions funded)</w:t>
            </w:r>
            <w:r w:rsidR="004B4838">
              <w:t xml:space="preserve">: </w:t>
            </w:r>
            <w:r w:rsidR="004B4838" w:rsidRPr="00CC2BF2">
              <w:rPr>
                <w:color w:val="0070C0"/>
              </w:rPr>
              <w:t>2 FTE</w:t>
            </w:r>
            <w:r w:rsidRPr="00CC2BF2">
              <w:rPr>
                <w:color w:val="0070C0"/>
              </w:rPr>
              <w:t> </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DDAD63" w14:textId="5175D9B3" w:rsidR="00D7651C" w:rsidRPr="00CC2BF2" w:rsidRDefault="00D7651C" w:rsidP="00E74296">
            <w:pPr>
              <w:pStyle w:val="Body"/>
              <w:rPr>
                <w:color w:val="0070C0"/>
              </w:rPr>
            </w:pPr>
            <w:r w:rsidRPr="00CC2BF2">
              <w:rPr>
                <w:color w:val="0070C0"/>
              </w:rPr>
              <w:t>$</w:t>
            </w:r>
            <w:r w:rsidR="00F7757C" w:rsidRPr="00CC2BF2">
              <w:rPr>
                <w:color w:val="0070C0"/>
              </w:rPr>
              <w:t xml:space="preserve"> </w:t>
            </w:r>
            <w:r w:rsidR="00777EE5" w:rsidRPr="00CC2BF2">
              <w:rPr>
                <w:color w:val="0070C0"/>
              </w:rPr>
              <w:t>120,000.00</w:t>
            </w:r>
            <w:r w:rsidR="00FE75FD" w:rsidRPr="00CC2BF2">
              <w:rPr>
                <w:color w:val="0070C0"/>
              </w:rPr>
              <w:t xml:space="preserve"> </w:t>
            </w:r>
          </w:p>
        </w:tc>
      </w:tr>
      <w:tr w:rsidR="00D7651C" w:rsidRPr="009402E8" w14:paraId="24636227"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13AC7C01" w14:textId="77777777" w:rsidR="00D7651C" w:rsidRPr="009402E8" w:rsidRDefault="00D7651C" w:rsidP="00E74296">
            <w:pPr>
              <w:pStyle w:val="Body"/>
            </w:pPr>
            <w:r w:rsidRPr="009402E8">
              <w:t xml:space="preserve">Salaries and related expenses e.g. </w:t>
            </w:r>
            <w:proofErr w:type="spellStart"/>
            <w:r w:rsidRPr="009402E8">
              <w:t>WorkCover</w:t>
            </w:r>
            <w:proofErr w:type="spellEnd"/>
            <w:r w:rsidRPr="009402E8">
              <w:t>, superannuation, leave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5B1DE191" w14:textId="73F326B5" w:rsidR="00D7651C" w:rsidRPr="00CC2BF2" w:rsidRDefault="00D7651C" w:rsidP="00E74296">
            <w:pPr>
              <w:pStyle w:val="Body"/>
              <w:rPr>
                <w:color w:val="0070C0"/>
              </w:rPr>
            </w:pPr>
            <w:r w:rsidRPr="00CC2BF2">
              <w:rPr>
                <w:color w:val="0070C0"/>
              </w:rPr>
              <w:t>$ </w:t>
            </w:r>
            <w:r w:rsidR="00CF0E68" w:rsidRPr="00CC2BF2">
              <w:rPr>
                <w:color w:val="0070C0"/>
              </w:rPr>
              <w:t>30,000.00</w:t>
            </w:r>
          </w:p>
        </w:tc>
      </w:tr>
      <w:tr w:rsidR="00D7651C" w:rsidRPr="009402E8" w14:paraId="5FC68031"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13B929EB" w14:textId="77777777" w:rsidR="00D7651C" w:rsidRPr="009402E8" w:rsidRDefault="00D7651C" w:rsidP="00E74296">
            <w:pPr>
              <w:pStyle w:val="Body"/>
            </w:pPr>
            <w:r w:rsidRPr="009402E8">
              <w:t>Staff expenses e.g. travel, training, accommodation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189D53E" w14:textId="24E9B504" w:rsidR="00D7651C" w:rsidRPr="00CC2BF2" w:rsidRDefault="00D7651C" w:rsidP="00E74296">
            <w:pPr>
              <w:pStyle w:val="Body"/>
              <w:rPr>
                <w:color w:val="0070C0"/>
              </w:rPr>
            </w:pPr>
            <w:r w:rsidRPr="00CC2BF2">
              <w:rPr>
                <w:color w:val="0070C0"/>
              </w:rPr>
              <w:t>$ </w:t>
            </w:r>
            <w:r w:rsidR="00BF72EE" w:rsidRPr="00CC2BF2">
              <w:rPr>
                <w:color w:val="0070C0"/>
              </w:rPr>
              <w:t>30,000.00</w:t>
            </w:r>
          </w:p>
        </w:tc>
      </w:tr>
      <w:tr w:rsidR="00D7651C" w:rsidRPr="009402E8" w14:paraId="3153E06D"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5D30BB61" w14:textId="77777777" w:rsidR="00D7651C" w:rsidRPr="009402E8" w:rsidRDefault="00D7651C" w:rsidP="00E74296">
            <w:pPr>
              <w:pStyle w:val="Body"/>
            </w:pPr>
            <w:r w:rsidRPr="009402E8">
              <w:t>Supplies/Consumables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31916170" w14:textId="02752E0C" w:rsidR="00D7651C" w:rsidRPr="00CC2BF2" w:rsidRDefault="00D7651C" w:rsidP="00E74296">
            <w:pPr>
              <w:pStyle w:val="Body"/>
              <w:rPr>
                <w:color w:val="0070C0"/>
              </w:rPr>
            </w:pPr>
            <w:r w:rsidRPr="00CC2BF2">
              <w:rPr>
                <w:color w:val="0070C0"/>
              </w:rPr>
              <w:t>$ </w:t>
            </w:r>
            <w:r w:rsidR="00BF72EE" w:rsidRPr="00CC2BF2">
              <w:rPr>
                <w:color w:val="0070C0"/>
              </w:rPr>
              <w:t>10,000.00</w:t>
            </w:r>
          </w:p>
        </w:tc>
      </w:tr>
      <w:tr w:rsidR="00D7651C" w:rsidRPr="009402E8" w14:paraId="0B4AD3C0"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79D58E29" w14:textId="77777777" w:rsidR="00D7651C" w:rsidRPr="009402E8" w:rsidRDefault="00D7651C" w:rsidP="00E74296">
            <w:pPr>
              <w:pStyle w:val="Body"/>
            </w:pPr>
            <w:r w:rsidRPr="009402E8">
              <w:t>Evaluation (best practice is</w:t>
            </w:r>
            <w:r>
              <w:t xml:space="preserve"> allocation of</w:t>
            </w:r>
            <w:r w:rsidRPr="009402E8">
              <w:t xml:space="preserve"> 5 – 10% of funding</w:t>
            </w:r>
            <w:r>
              <w:t>)</w:t>
            </w:r>
            <w:r w:rsidRPr="009402E8">
              <w:t xml:space="preserve">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10BBAF90" w14:textId="6DD3D2E5" w:rsidR="00D7651C" w:rsidRPr="00CC2BF2" w:rsidRDefault="00D7651C" w:rsidP="00E74296">
            <w:pPr>
              <w:pStyle w:val="Body"/>
              <w:rPr>
                <w:color w:val="0070C0"/>
              </w:rPr>
            </w:pPr>
            <w:r w:rsidRPr="00CC2BF2">
              <w:rPr>
                <w:color w:val="0070C0"/>
              </w:rPr>
              <w:t>$ </w:t>
            </w:r>
            <w:r w:rsidR="00BF72EE" w:rsidRPr="00CC2BF2">
              <w:rPr>
                <w:color w:val="0070C0"/>
              </w:rPr>
              <w:t>30,000.00</w:t>
            </w:r>
          </w:p>
        </w:tc>
      </w:tr>
      <w:tr w:rsidR="00D7651C" w:rsidRPr="009402E8" w14:paraId="2009DE7D"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50AA1536" w14:textId="77777777" w:rsidR="00D7651C" w:rsidRPr="009402E8" w:rsidRDefault="00D7651C" w:rsidP="00E74296">
            <w:pPr>
              <w:pStyle w:val="Body"/>
            </w:pPr>
            <w:r w:rsidRPr="009402E8">
              <w:t>Organisational/Administrative Overheads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7FC95C1" w14:textId="7501153C" w:rsidR="00D7651C" w:rsidRPr="00CC2BF2" w:rsidRDefault="00D7651C" w:rsidP="00E74296">
            <w:pPr>
              <w:pStyle w:val="Body"/>
              <w:rPr>
                <w:color w:val="0070C0"/>
              </w:rPr>
            </w:pPr>
            <w:r w:rsidRPr="00CC2BF2">
              <w:rPr>
                <w:color w:val="0070C0"/>
              </w:rPr>
              <w:t>$ </w:t>
            </w:r>
            <w:r w:rsidR="00A37384" w:rsidRPr="00CC2BF2">
              <w:rPr>
                <w:color w:val="0070C0"/>
              </w:rPr>
              <w:t>10,000.00</w:t>
            </w:r>
          </w:p>
        </w:tc>
      </w:tr>
      <w:tr w:rsidR="00D7651C" w:rsidRPr="009402E8" w14:paraId="0939F775"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35A91EED" w14:textId="77777777" w:rsidR="00D7651C" w:rsidRPr="009402E8" w:rsidRDefault="00D7651C" w:rsidP="00E74296">
            <w:pPr>
              <w:pStyle w:val="Body"/>
            </w:pPr>
            <w:r w:rsidRPr="009402E8">
              <w:t>Rent, maintenance, utilities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341448CF" w14:textId="265BF402" w:rsidR="00D7651C" w:rsidRPr="00CC2BF2" w:rsidRDefault="00D7651C" w:rsidP="00E74296">
            <w:pPr>
              <w:pStyle w:val="Body"/>
              <w:rPr>
                <w:color w:val="0070C0"/>
              </w:rPr>
            </w:pPr>
            <w:r w:rsidRPr="00CC2BF2">
              <w:rPr>
                <w:color w:val="0070C0"/>
              </w:rPr>
              <w:t>$ </w:t>
            </w:r>
            <w:r w:rsidR="0057603A" w:rsidRPr="00CC2BF2">
              <w:rPr>
                <w:color w:val="0070C0"/>
              </w:rPr>
              <w:t>60,000.00</w:t>
            </w:r>
          </w:p>
        </w:tc>
      </w:tr>
      <w:tr w:rsidR="00D7651C" w:rsidRPr="009402E8" w14:paraId="710C049E"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0FD6F735" w14:textId="764A07B4" w:rsidR="00D7651C" w:rsidRPr="009402E8" w:rsidRDefault="00D7651C" w:rsidP="00E74296">
            <w:pPr>
              <w:pStyle w:val="Body"/>
            </w:pPr>
            <w:r w:rsidRPr="009402E8">
              <w:t>Services </w:t>
            </w:r>
            <w:r w:rsidR="00A3349F">
              <w:t>(please specify)</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4D66C78" w14:textId="6C36F541" w:rsidR="00D7651C" w:rsidRPr="00CC2BF2" w:rsidRDefault="00D7651C" w:rsidP="00E74296">
            <w:pPr>
              <w:pStyle w:val="Body"/>
              <w:rPr>
                <w:color w:val="0070C0"/>
              </w:rPr>
            </w:pPr>
            <w:r w:rsidRPr="00CC2BF2">
              <w:rPr>
                <w:color w:val="0070C0"/>
              </w:rPr>
              <w:t>$ </w:t>
            </w:r>
            <w:r w:rsidR="0019327F" w:rsidRPr="00CC2BF2">
              <w:rPr>
                <w:color w:val="0070C0"/>
              </w:rPr>
              <w:t xml:space="preserve">10,000.00 </w:t>
            </w:r>
          </w:p>
        </w:tc>
      </w:tr>
      <w:tr w:rsidR="00D7651C" w:rsidRPr="009402E8" w14:paraId="578E980A"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vAlign w:val="center"/>
            <w:hideMark/>
          </w:tcPr>
          <w:p w14:paraId="751A171C" w14:textId="77777777" w:rsidR="00D7651C" w:rsidRPr="009402E8" w:rsidRDefault="00D7651C" w:rsidP="00E74296">
            <w:pPr>
              <w:pStyle w:val="Body"/>
            </w:pPr>
            <w:r w:rsidRPr="009402E8">
              <w:t>Other expenses (please specify) </w:t>
            </w:r>
          </w:p>
        </w:tc>
        <w:tc>
          <w:tcPr>
            <w:tcW w:w="2409" w:type="dxa"/>
            <w:tcBorders>
              <w:top w:val="single" w:sz="6" w:space="0" w:color="auto"/>
              <w:left w:val="single" w:sz="6" w:space="0" w:color="auto"/>
              <w:bottom w:val="single" w:sz="6" w:space="0" w:color="auto"/>
              <w:right w:val="single" w:sz="6" w:space="0" w:color="auto"/>
            </w:tcBorders>
            <w:vAlign w:val="center"/>
            <w:hideMark/>
          </w:tcPr>
          <w:p w14:paraId="04F574CD" w14:textId="77777777" w:rsidR="00D7651C" w:rsidRPr="00CC2BF2" w:rsidRDefault="00D7651C" w:rsidP="00E74296">
            <w:pPr>
              <w:pStyle w:val="Body"/>
              <w:rPr>
                <w:color w:val="0070C0"/>
              </w:rPr>
            </w:pPr>
            <w:r w:rsidRPr="00CC2BF2">
              <w:rPr>
                <w:color w:val="0070C0"/>
              </w:rPr>
              <w:t>$ </w:t>
            </w:r>
          </w:p>
        </w:tc>
      </w:tr>
      <w:tr w:rsidR="00D7651C" w:rsidRPr="00ED3592" w14:paraId="59E6B93E"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6BA0FC" w14:textId="77777777" w:rsidR="00D7651C" w:rsidRPr="00ED3592" w:rsidRDefault="00D7651C" w:rsidP="00E74296">
            <w:pPr>
              <w:pStyle w:val="Body"/>
              <w:rPr>
                <w:b/>
                <w:bCs/>
              </w:rPr>
            </w:pPr>
            <w:r w:rsidRPr="00ED3592">
              <w:rPr>
                <w:b/>
                <w:bCs/>
              </w:rPr>
              <w:t>TOTAL EXPENDITURE  </w:t>
            </w:r>
          </w:p>
        </w:tc>
        <w:tc>
          <w:tcPr>
            <w:tcW w:w="24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00BA5DD" w14:textId="0FF94604" w:rsidR="00D7651C" w:rsidRPr="00CC2BF2" w:rsidRDefault="00D7651C" w:rsidP="00E74296">
            <w:pPr>
              <w:pStyle w:val="Body"/>
              <w:rPr>
                <w:b/>
                <w:bCs/>
                <w:color w:val="0070C0"/>
              </w:rPr>
            </w:pPr>
            <w:r w:rsidRPr="00CC2BF2">
              <w:rPr>
                <w:b/>
                <w:bCs/>
                <w:color w:val="0070C0"/>
              </w:rPr>
              <w:t>$ </w:t>
            </w:r>
            <w:r w:rsidR="00CC2BF2" w:rsidRPr="00CC2BF2">
              <w:rPr>
                <w:b/>
                <w:bCs/>
                <w:color w:val="0070C0"/>
              </w:rPr>
              <w:t>300,000.00</w:t>
            </w:r>
          </w:p>
        </w:tc>
      </w:tr>
      <w:tr w:rsidR="00D7651C" w:rsidRPr="00ED3592" w14:paraId="69BFC01E" w14:textId="77777777" w:rsidTr="00EC7295">
        <w:trPr>
          <w:trHeight w:val="300"/>
        </w:trPr>
        <w:tc>
          <w:tcPr>
            <w:tcW w:w="778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35D74F1" w14:textId="77777777" w:rsidR="00D7651C" w:rsidRPr="00ED3592" w:rsidRDefault="00D7651C" w:rsidP="00E74296">
            <w:pPr>
              <w:pStyle w:val="Body"/>
              <w:rPr>
                <w:b/>
                <w:bCs/>
              </w:rPr>
            </w:pPr>
            <w:r w:rsidRPr="00ED3592">
              <w:rPr>
                <w:b/>
                <w:bCs/>
              </w:rPr>
              <w:t>TOTAL PROGRAM BALANCE – FULL YEAR POSITION </w:t>
            </w:r>
          </w:p>
        </w:tc>
        <w:tc>
          <w:tcPr>
            <w:tcW w:w="24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35BF481" w14:textId="136BC0B1" w:rsidR="00D7651C" w:rsidRPr="00ED3592" w:rsidRDefault="00D7651C" w:rsidP="00E74296">
            <w:pPr>
              <w:pStyle w:val="Body"/>
              <w:rPr>
                <w:b/>
                <w:bCs/>
              </w:rPr>
            </w:pPr>
            <w:r w:rsidRPr="00ED3592">
              <w:rPr>
                <w:b/>
                <w:bCs/>
              </w:rPr>
              <w:t>$ </w:t>
            </w:r>
            <w:r w:rsidR="0019327F">
              <w:rPr>
                <w:b/>
                <w:bCs/>
              </w:rPr>
              <w:t>0</w:t>
            </w:r>
          </w:p>
        </w:tc>
      </w:tr>
    </w:tbl>
    <w:p w14:paraId="7C3A3522" w14:textId="77777777" w:rsidR="00D7651C" w:rsidRDefault="00D7651C" w:rsidP="00D7651C">
      <w:pPr>
        <w:pStyle w:val="Body"/>
      </w:pPr>
    </w:p>
    <w:p w14:paraId="60154B51" w14:textId="77777777" w:rsidR="00D7651C" w:rsidRDefault="00D7651C" w:rsidP="00D7651C">
      <w:pPr>
        <w:pStyle w:val="Body"/>
      </w:pPr>
      <w:r w:rsidRPr="00ED3592">
        <w:t>Comments: </w:t>
      </w:r>
    </w:p>
    <w:p w14:paraId="26410189" w14:textId="77777777" w:rsidR="009B637D" w:rsidRDefault="009B637D">
      <w:pPr>
        <w:spacing w:after="0" w:line="240" w:lineRule="auto"/>
        <w:rPr>
          <w:rFonts w:eastAsia="Times"/>
        </w:rPr>
      </w:pPr>
    </w:p>
    <w:p w14:paraId="54CC085F" w14:textId="77777777" w:rsidR="009B637D" w:rsidRDefault="009B637D">
      <w:pPr>
        <w:spacing w:after="0" w:line="240" w:lineRule="auto"/>
        <w:rPr>
          <w:rFonts w:eastAsia="Times"/>
        </w:rPr>
      </w:pPr>
    </w:p>
    <w:p w14:paraId="3E05DAA3" w14:textId="77777777" w:rsidR="009B637D" w:rsidRDefault="009B637D">
      <w:pPr>
        <w:spacing w:after="0" w:line="240" w:lineRule="auto"/>
        <w:rPr>
          <w:rFonts w:eastAsia="Times"/>
        </w:rPr>
      </w:pPr>
    </w:p>
    <w:p w14:paraId="56CD9EBF" w14:textId="77777777" w:rsidR="009B637D" w:rsidRDefault="009B637D">
      <w:pPr>
        <w:spacing w:after="0" w:line="240" w:lineRule="auto"/>
        <w:rPr>
          <w:rFonts w:eastAsia="Times"/>
        </w:rPr>
      </w:pPr>
    </w:p>
    <w:p w14:paraId="6C372504" w14:textId="77777777" w:rsidR="009B637D" w:rsidRDefault="009B637D">
      <w:pPr>
        <w:spacing w:after="0" w:line="240" w:lineRule="auto"/>
        <w:rPr>
          <w:rFonts w:eastAsia="Times"/>
        </w:rPr>
      </w:pPr>
    </w:p>
    <w:p w14:paraId="3D6F8CC0" w14:textId="77777777" w:rsidR="009B637D" w:rsidRDefault="009B637D">
      <w:pPr>
        <w:spacing w:after="0" w:line="240" w:lineRule="auto"/>
        <w:rPr>
          <w:rFonts w:eastAsia="Times"/>
        </w:rPr>
      </w:pPr>
    </w:p>
    <w:p w14:paraId="1400FAEF" w14:textId="77777777" w:rsidR="009B637D" w:rsidRDefault="009B637D">
      <w:pPr>
        <w:spacing w:after="0" w:line="240" w:lineRule="auto"/>
        <w:rPr>
          <w:rFonts w:eastAsia="Times"/>
        </w:rPr>
      </w:pPr>
    </w:p>
    <w:p w14:paraId="28FEDCEF" w14:textId="77777777" w:rsidR="009B637D" w:rsidRDefault="009B637D">
      <w:pPr>
        <w:spacing w:after="0" w:line="240" w:lineRule="auto"/>
        <w:rPr>
          <w:rFonts w:eastAsia="Times"/>
        </w:rPr>
      </w:pPr>
    </w:p>
    <w:p w14:paraId="15B97D9C" w14:textId="77777777" w:rsidR="009B637D" w:rsidRDefault="009B637D">
      <w:pPr>
        <w:spacing w:after="0" w:line="240" w:lineRule="auto"/>
        <w:rPr>
          <w:rFonts w:eastAsia="Times"/>
        </w:rPr>
      </w:pPr>
    </w:p>
    <w:p w14:paraId="10A06A4C" w14:textId="77777777" w:rsidR="009B637D" w:rsidRDefault="009B637D">
      <w:pPr>
        <w:spacing w:after="0" w:line="240" w:lineRule="auto"/>
        <w:rPr>
          <w:rFonts w:eastAsia="Times"/>
        </w:rPr>
      </w:pPr>
    </w:p>
    <w:p w14:paraId="0BAD201A" w14:textId="77777777" w:rsidR="009B637D" w:rsidRDefault="009B637D">
      <w:pPr>
        <w:spacing w:after="0" w:line="240" w:lineRule="auto"/>
        <w:rPr>
          <w:rFonts w:eastAsia="Times"/>
        </w:rPr>
      </w:pPr>
    </w:p>
    <w:p w14:paraId="380B1AEC" w14:textId="77777777" w:rsidR="009B637D" w:rsidRDefault="009B637D">
      <w:pPr>
        <w:spacing w:after="0" w:line="240" w:lineRule="auto"/>
        <w:rPr>
          <w:rFonts w:eastAsia="Times"/>
        </w:rPr>
      </w:pPr>
    </w:p>
    <w:p w14:paraId="51DEE377" w14:textId="77777777" w:rsidR="009B637D" w:rsidRDefault="009B637D">
      <w:pPr>
        <w:spacing w:after="0" w:line="240" w:lineRule="auto"/>
        <w:rPr>
          <w:rFonts w:eastAsia="Times"/>
        </w:rPr>
      </w:pPr>
    </w:p>
    <w:p w14:paraId="0D85A601" w14:textId="77777777" w:rsidR="009B637D" w:rsidRDefault="009B637D">
      <w:pPr>
        <w:spacing w:after="0" w:line="240" w:lineRule="auto"/>
        <w:rPr>
          <w:rFonts w:eastAsia="Times"/>
        </w:rPr>
      </w:pPr>
    </w:p>
    <w:p w14:paraId="67866A6D" w14:textId="77777777" w:rsidR="009B637D" w:rsidRDefault="009B637D">
      <w:pPr>
        <w:spacing w:after="0" w:line="240" w:lineRule="auto"/>
        <w:rPr>
          <w:rFonts w:eastAsia="Times"/>
        </w:rPr>
      </w:pPr>
    </w:p>
    <w:p w14:paraId="437C19B6" w14:textId="77777777" w:rsidR="009B637D" w:rsidRDefault="009B637D">
      <w:pPr>
        <w:spacing w:after="0" w:line="240" w:lineRule="auto"/>
        <w:rPr>
          <w:rFonts w:eastAsia="Times"/>
        </w:rPr>
      </w:pPr>
    </w:p>
    <w:p w14:paraId="50916432" w14:textId="77777777" w:rsidR="009B637D" w:rsidRDefault="009B637D">
      <w:pPr>
        <w:spacing w:after="0" w:line="240" w:lineRule="auto"/>
        <w:rPr>
          <w:rFonts w:eastAsia="Times"/>
        </w:rPr>
      </w:pPr>
    </w:p>
    <w:p w14:paraId="4B3DB9B9" w14:textId="77777777" w:rsidR="009B637D" w:rsidRDefault="009B637D">
      <w:pPr>
        <w:spacing w:after="0" w:line="240" w:lineRule="auto"/>
        <w:rPr>
          <w:rFonts w:eastAsia="Times"/>
        </w:rPr>
      </w:pPr>
    </w:p>
    <w:p w14:paraId="5B264DFD" w14:textId="78385184" w:rsidR="0075350D" w:rsidRPr="003A2265" w:rsidRDefault="00D80AB8" w:rsidP="007B36E7">
      <w:pPr>
        <w:pStyle w:val="Heading1"/>
      </w:pPr>
      <w:bookmarkStart w:id="32" w:name="_Toc45109767"/>
      <w:bookmarkStart w:id="33" w:name="_Toc214378212"/>
      <w:r>
        <w:t xml:space="preserve">Appendix </w:t>
      </w:r>
      <w:r w:rsidR="00580562">
        <w:t>3</w:t>
      </w:r>
      <w:r>
        <w:t xml:space="preserve">: </w:t>
      </w:r>
      <w:r w:rsidR="0075350D" w:rsidRPr="00FE008A">
        <w:t>Victorian BBVSTI policy framework</w:t>
      </w:r>
      <w:bookmarkEnd w:id="32"/>
      <w:r w:rsidR="0075350D">
        <w:t xml:space="preserve"> – Victorian sexual and reproductive health and viral hepatitis strategy 2022–30</w:t>
      </w:r>
      <w:bookmarkEnd w:id="33"/>
    </w:p>
    <w:p w14:paraId="678AD40D" w14:textId="77777777" w:rsidR="0075350D" w:rsidRPr="000527C8" w:rsidRDefault="0075350D" w:rsidP="0075350D">
      <w:pPr>
        <w:rPr>
          <w:rFonts w:ascii="Calibri" w:hAnsi="Calibri" w:cs="Arial"/>
        </w:rPr>
      </w:pPr>
    </w:p>
    <w:tbl>
      <w:tblPr>
        <w:tblW w:w="0" w:type="auto"/>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679"/>
        <w:gridCol w:w="2852"/>
        <w:gridCol w:w="3402"/>
        <w:gridCol w:w="2261"/>
      </w:tblGrid>
      <w:tr w:rsidR="0075350D" w:rsidRPr="000527C8" w14:paraId="534E5A69" w14:textId="77777777" w:rsidTr="00D80AB8">
        <w:trPr>
          <w:trHeight w:val="464"/>
          <w:jc w:val="center"/>
        </w:trPr>
        <w:tc>
          <w:tcPr>
            <w:tcW w:w="10194" w:type="dxa"/>
            <w:gridSpan w:val="4"/>
            <w:tcBorders>
              <w:top w:val="single" w:sz="6" w:space="0" w:color="999999"/>
              <w:bottom w:val="single" w:sz="6" w:space="0" w:color="999999"/>
            </w:tcBorders>
            <w:shd w:val="clear" w:color="auto" w:fill="E6E6E6"/>
          </w:tcPr>
          <w:p w14:paraId="19E7239F" w14:textId="581240CB" w:rsidR="0075350D" w:rsidRPr="008E12A6" w:rsidRDefault="0075350D" w:rsidP="008E12A6">
            <w:pPr>
              <w:jc w:val="center"/>
              <w:rPr>
                <w:rFonts w:ascii="Calibri" w:hAnsi="Calibri" w:cs="Arial"/>
                <w:b/>
                <w:bCs/>
                <w:iCs/>
                <w:sz w:val="18"/>
                <w:szCs w:val="18"/>
              </w:rPr>
            </w:pPr>
            <w:r w:rsidRPr="008E12A6">
              <w:rPr>
                <w:rFonts w:ascii="Calibri" w:hAnsi="Calibri" w:cs="Arial"/>
                <w:b/>
                <w:bCs/>
                <w:iCs/>
                <w:sz w:val="18"/>
                <w:szCs w:val="18"/>
              </w:rPr>
              <w:t>Victorian sexual and reproductive health and viral hepatitis strategy: System enabler plan 2022–30</w:t>
            </w:r>
          </w:p>
        </w:tc>
      </w:tr>
      <w:tr w:rsidR="0075350D" w:rsidRPr="000527C8" w14:paraId="17B0E71C" w14:textId="77777777" w:rsidTr="00D80AB8">
        <w:trPr>
          <w:jc w:val="center"/>
        </w:trPr>
        <w:tc>
          <w:tcPr>
            <w:tcW w:w="10194" w:type="dxa"/>
            <w:gridSpan w:val="4"/>
            <w:tcBorders>
              <w:bottom w:val="single" w:sz="6" w:space="0" w:color="999999"/>
            </w:tcBorders>
          </w:tcPr>
          <w:p w14:paraId="7FEF4B34" w14:textId="77777777" w:rsidR="0075350D" w:rsidRPr="008E12A6" w:rsidRDefault="0075350D" w:rsidP="009B20E4">
            <w:pPr>
              <w:spacing w:after="0" w:line="240" w:lineRule="auto"/>
              <w:rPr>
                <w:rFonts w:ascii="Calibri" w:hAnsi="Calibri" w:cs="Arial"/>
                <w:b/>
                <w:sz w:val="18"/>
                <w:szCs w:val="18"/>
              </w:rPr>
            </w:pPr>
            <w:r w:rsidRPr="008E12A6">
              <w:rPr>
                <w:rFonts w:ascii="Calibri" w:hAnsi="Calibri" w:cs="Arial"/>
                <w:b/>
                <w:sz w:val="18"/>
                <w:szCs w:val="18"/>
              </w:rPr>
              <w:t>Vision</w:t>
            </w:r>
          </w:p>
          <w:p w14:paraId="1A24FAA9" w14:textId="677E0997" w:rsidR="0075350D" w:rsidRPr="008E12A6" w:rsidRDefault="0075350D" w:rsidP="009B20E4">
            <w:pPr>
              <w:spacing w:after="0" w:line="240" w:lineRule="auto"/>
              <w:rPr>
                <w:rFonts w:ascii="Calibri" w:hAnsi="Calibri" w:cs="Arial"/>
                <w:bCs/>
                <w:sz w:val="18"/>
                <w:szCs w:val="18"/>
              </w:rPr>
            </w:pPr>
            <w:r w:rsidRPr="008E12A6">
              <w:rPr>
                <w:rFonts w:ascii="Calibri" w:hAnsi="Calibri" w:cs="Arial"/>
                <w:bCs/>
                <w:sz w:val="18"/>
                <w:szCs w:val="18"/>
              </w:rPr>
              <w:t xml:space="preserve">The Victorian Government is committed to achieving optimal sexual and reproductive health outcomes and reducing the impact of </w:t>
            </w:r>
            <w:r w:rsidR="00397262" w:rsidRPr="008E12A6">
              <w:rPr>
                <w:rFonts w:ascii="Calibri" w:hAnsi="Calibri" w:cs="Arial"/>
                <w:bCs/>
                <w:sz w:val="18"/>
                <w:szCs w:val="18"/>
              </w:rPr>
              <w:t>BBVSTI</w:t>
            </w:r>
            <w:r w:rsidRPr="008E12A6">
              <w:rPr>
                <w:rFonts w:ascii="Calibri" w:hAnsi="Calibri" w:cs="Arial"/>
                <w:bCs/>
                <w:sz w:val="18"/>
                <w:szCs w:val="18"/>
              </w:rPr>
              <w:t xml:space="preserve"> on all Victorians.</w:t>
            </w:r>
          </w:p>
        </w:tc>
      </w:tr>
      <w:tr w:rsidR="0075350D" w:rsidRPr="000527C8" w14:paraId="5C169D12" w14:textId="77777777" w:rsidTr="00D80AB8">
        <w:trPr>
          <w:jc w:val="center"/>
        </w:trPr>
        <w:tc>
          <w:tcPr>
            <w:tcW w:w="1679" w:type="dxa"/>
            <w:tcBorders>
              <w:bottom w:val="single" w:sz="6" w:space="0" w:color="999999"/>
            </w:tcBorders>
          </w:tcPr>
          <w:p w14:paraId="789EDC1C" w14:textId="77777777" w:rsidR="0075350D" w:rsidRPr="008E12A6" w:rsidRDefault="0075350D">
            <w:pPr>
              <w:rPr>
                <w:rFonts w:ascii="Calibri" w:hAnsi="Calibri" w:cs="Arial"/>
                <w:b/>
                <w:sz w:val="18"/>
                <w:szCs w:val="18"/>
              </w:rPr>
            </w:pPr>
            <w:r w:rsidRPr="008E12A6">
              <w:rPr>
                <w:rFonts w:ascii="Calibri" w:hAnsi="Calibri" w:cs="Arial"/>
                <w:b/>
                <w:sz w:val="18"/>
                <w:szCs w:val="18"/>
              </w:rPr>
              <w:t xml:space="preserve">Priority </w:t>
            </w:r>
            <w:proofErr w:type="gramStart"/>
            <w:r w:rsidRPr="008E12A6">
              <w:rPr>
                <w:rFonts w:ascii="Calibri" w:hAnsi="Calibri" w:cs="Arial"/>
                <w:b/>
                <w:sz w:val="18"/>
                <w:szCs w:val="18"/>
              </w:rPr>
              <w:t>focus</w:t>
            </w:r>
            <w:proofErr w:type="gramEnd"/>
            <w:r w:rsidRPr="008E12A6">
              <w:rPr>
                <w:rFonts w:ascii="Calibri" w:hAnsi="Calibri" w:cs="Arial"/>
                <w:b/>
                <w:sz w:val="18"/>
                <w:szCs w:val="18"/>
              </w:rPr>
              <w:t xml:space="preserve"> areas</w:t>
            </w:r>
          </w:p>
        </w:tc>
        <w:tc>
          <w:tcPr>
            <w:tcW w:w="2852" w:type="dxa"/>
            <w:tcBorders>
              <w:bottom w:val="single" w:sz="6" w:space="0" w:color="999999"/>
            </w:tcBorders>
          </w:tcPr>
          <w:p w14:paraId="016F0E32" w14:textId="77777777" w:rsidR="0075350D" w:rsidRPr="008E12A6" w:rsidRDefault="0075350D">
            <w:pPr>
              <w:rPr>
                <w:rFonts w:ascii="Calibri" w:hAnsi="Calibri" w:cs="Arial"/>
                <w:b/>
                <w:sz w:val="18"/>
                <w:szCs w:val="18"/>
              </w:rPr>
            </w:pPr>
            <w:r w:rsidRPr="008E12A6">
              <w:rPr>
                <w:rFonts w:ascii="Calibri" w:hAnsi="Calibri" w:cs="Arial"/>
                <w:b/>
                <w:sz w:val="18"/>
                <w:szCs w:val="18"/>
              </w:rPr>
              <w:t xml:space="preserve">Goals </w:t>
            </w:r>
          </w:p>
        </w:tc>
        <w:tc>
          <w:tcPr>
            <w:tcW w:w="3402" w:type="dxa"/>
            <w:tcBorders>
              <w:bottom w:val="single" w:sz="6" w:space="0" w:color="999999"/>
            </w:tcBorders>
          </w:tcPr>
          <w:p w14:paraId="1C80368F" w14:textId="77777777" w:rsidR="0075350D" w:rsidRPr="008E12A6" w:rsidRDefault="0075350D">
            <w:pPr>
              <w:rPr>
                <w:rFonts w:ascii="Calibri" w:hAnsi="Calibri" w:cs="Arial"/>
                <w:b/>
                <w:sz w:val="18"/>
                <w:szCs w:val="18"/>
              </w:rPr>
            </w:pPr>
            <w:r w:rsidRPr="008E12A6">
              <w:rPr>
                <w:rFonts w:ascii="Calibri" w:hAnsi="Calibri" w:cs="Arial"/>
                <w:b/>
                <w:sz w:val="18"/>
                <w:szCs w:val="18"/>
              </w:rPr>
              <w:t>Targets for 2025/2030</w:t>
            </w:r>
          </w:p>
        </w:tc>
        <w:tc>
          <w:tcPr>
            <w:tcW w:w="2261" w:type="dxa"/>
            <w:tcBorders>
              <w:bottom w:val="single" w:sz="6" w:space="0" w:color="999999"/>
            </w:tcBorders>
          </w:tcPr>
          <w:p w14:paraId="7DB9CDBC" w14:textId="77777777" w:rsidR="0075350D" w:rsidRPr="008E12A6" w:rsidRDefault="0075350D">
            <w:pPr>
              <w:rPr>
                <w:rFonts w:ascii="Calibri" w:hAnsi="Calibri" w:cs="Arial"/>
                <w:b/>
                <w:sz w:val="18"/>
                <w:szCs w:val="18"/>
              </w:rPr>
            </w:pPr>
            <w:r w:rsidRPr="008E12A6">
              <w:rPr>
                <w:rFonts w:ascii="Calibri" w:hAnsi="Calibri" w:cs="Arial"/>
                <w:b/>
                <w:sz w:val="18"/>
                <w:szCs w:val="18"/>
              </w:rPr>
              <w:t>Priority Population Groups</w:t>
            </w:r>
          </w:p>
        </w:tc>
      </w:tr>
      <w:tr w:rsidR="0075350D" w:rsidRPr="009B20E4" w14:paraId="5122C81D" w14:textId="77777777" w:rsidTr="00D80AB8">
        <w:trPr>
          <w:trHeight w:val="65"/>
          <w:jc w:val="center"/>
        </w:trPr>
        <w:tc>
          <w:tcPr>
            <w:tcW w:w="1679" w:type="dxa"/>
            <w:tcBorders>
              <w:bottom w:val="single" w:sz="6" w:space="0" w:color="999999"/>
            </w:tcBorders>
          </w:tcPr>
          <w:p w14:paraId="6A948FD5" w14:textId="77777777" w:rsidR="0075350D" w:rsidRPr="009B20E4" w:rsidRDefault="0075350D">
            <w:pPr>
              <w:pStyle w:val="Healthtablebullet"/>
              <w:spacing w:after="0" w:line="240" w:lineRule="auto"/>
              <w:rPr>
                <w:rFonts w:ascii="Calibri" w:hAnsi="Calibri" w:cs="Arial"/>
                <w:szCs w:val="18"/>
              </w:rPr>
            </w:pPr>
            <w:r w:rsidRPr="009B20E4">
              <w:rPr>
                <w:rFonts w:ascii="Calibri" w:hAnsi="Calibri" w:cs="Arial"/>
                <w:szCs w:val="18"/>
              </w:rPr>
              <w:t>Reducing stigma, racism and discrimination</w:t>
            </w:r>
          </w:p>
          <w:p w14:paraId="605EC57B" w14:textId="77777777" w:rsidR="0075350D" w:rsidRPr="009B20E4" w:rsidRDefault="0075350D">
            <w:pPr>
              <w:pStyle w:val="Healthtablebullet"/>
              <w:spacing w:after="0" w:line="240" w:lineRule="auto"/>
              <w:rPr>
                <w:rFonts w:ascii="Calibri" w:hAnsi="Calibri" w:cs="Arial"/>
                <w:szCs w:val="18"/>
              </w:rPr>
            </w:pPr>
            <w:r w:rsidRPr="009B20E4">
              <w:rPr>
                <w:rFonts w:ascii="Calibri" w:hAnsi="Calibri" w:cs="Arial"/>
                <w:szCs w:val="18"/>
              </w:rPr>
              <w:t>Strengthening workforce capacity</w:t>
            </w:r>
          </w:p>
          <w:p w14:paraId="2ECAD720" w14:textId="77777777" w:rsidR="0075350D" w:rsidRPr="009B20E4" w:rsidRDefault="0075350D">
            <w:pPr>
              <w:pStyle w:val="Healthtablebullet"/>
              <w:spacing w:after="0" w:line="240" w:lineRule="auto"/>
              <w:rPr>
                <w:rFonts w:ascii="Calibri" w:hAnsi="Calibri" w:cs="Arial"/>
                <w:szCs w:val="18"/>
              </w:rPr>
            </w:pPr>
            <w:r w:rsidRPr="009B20E4">
              <w:rPr>
                <w:rFonts w:ascii="Calibri" w:hAnsi="Calibri" w:cs="Arial"/>
                <w:szCs w:val="18"/>
              </w:rPr>
              <w:t>Fostering partnerships and collaboration</w:t>
            </w:r>
          </w:p>
          <w:p w14:paraId="36ABBF7E" w14:textId="77777777" w:rsidR="0075350D" w:rsidRPr="009B20E4" w:rsidRDefault="0075350D">
            <w:pPr>
              <w:pStyle w:val="Healthtablebullet"/>
              <w:spacing w:after="0" w:line="240" w:lineRule="auto"/>
              <w:rPr>
                <w:rFonts w:ascii="Calibri" w:hAnsi="Calibri" w:cs="Arial"/>
                <w:szCs w:val="18"/>
              </w:rPr>
            </w:pPr>
            <w:r w:rsidRPr="009B20E4">
              <w:rPr>
                <w:rFonts w:ascii="Calibri" w:hAnsi="Calibri" w:cs="Arial"/>
                <w:szCs w:val="18"/>
              </w:rPr>
              <w:t>Strengthening and supporting data and research</w:t>
            </w:r>
          </w:p>
        </w:tc>
        <w:tc>
          <w:tcPr>
            <w:tcW w:w="2852" w:type="dxa"/>
            <w:tcBorders>
              <w:bottom w:val="single" w:sz="6" w:space="0" w:color="999999"/>
            </w:tcBorders>
          </w:tcPr>
          <w:p w14:paraId="75DE0895" w14:textId="77777777" w:rsidR="0075350D" w:rsidRPr="009B20E4" w:rsidRDefault="0075350D">
            <w:pPr>
              <w:pStyle w:val="Healthtablebullet"/>
              <w:spacing w:after="0" w:line="240" w:lineRule="auto"/>
              <w:rPr>
                <w:rFonts w:ascii="Calibri" w:hAnsi="Calibri" w:cs="Arial"/>
                <w:szCs w:val="18"/>
              </w:rPr>
            </w:pPr>
            <w:r w:rsidRPr="009B20E4">
              <w:rPr>
                <w:rFonts w:ascii="Calibri" w:hAnsi="Calibri" w:cs="Arial"/>
                <w:szCs w:val="18"/>
              </w:rPr>
              <w:t>Victorians and affected communities can access the sexual and reproductive health services they need free from stigma, racism and discrimination.</w:t>
            </w:r>
          </w:p>
          <w:p w14:paraId="61FC24BA" w14:textId="77777777" w:rsidR="0075350D" w:rsidRPr="009B20E4" w:rsidRDefault="0075350D">
            <w:pPr>
              <w:pStyle w:val="Healthtablebullet"/>
              <w:spacing w:after="0" w:line="240" w:lineRule="auto"/>
              <w:rPr>
                <w:rFonts w:ascii="Calibri" w:hAnsi="Calibri" w:cs="Arial"/>
                <w:szCs w:val="18"/>
              </w:rPr>
            </w:pPr>
            <w:r w:rsidRPr="009B20E4">
              <w:rPr>
                <w:rFonts w:ascii="Calibri" w:hAnsi="Calibri" w:cs="Arial"/>
                <w:szCs w:val="18"/>
              </w:rPr>
              <w:t>The Victorian workforce has the skills, knowledge and attitudes needed to deliver best practice sexual and reproductive health and viral hepatitis prevention, testing, treatment and care.</w:t>
            </w:r>
          </w:p>
          <w:p w14:paraId="2119E34A" w14:textId="77777777" w:rsidR="0075350D" w:rsidRPr="009B20E4" w:rsidRDefault="0075350D">
            <w:pPr>
              <w:pStyle w:val="Healthtablebullet"/>
              <w:spacing w:after="0" w:line="240" w:lineRule="auto"/>
              <w:rPr>
                <w:rFonts w:ascii="Calibri" w:hAnsi="Calibri" w:cs="Arial"/>
                <w:szCs w:val="18"/>
              </w:rPr>
            </w:pPr>
            <w:r w:rsidRPr="009B20E4">
              <w:rPr>
                <w:rFonts w:ascii="Calibri" w:hAnsi="Calibri" w:cs="Arial"/>
                <w:szCs w:val="18"/>
              </w:rPr>
              <w:t>Partnerships and collaboration are strengthened to meet the needs of people living with BBV or STI or at risk of poor sexual and reproductive health outcomes.</w:t>
            </w:r>
          </w:p>
          <w:p w14:paraId="7931610D" w14:textId="0263C0A9" w:rsidR="0075350D" w:rsidRPr="009B20E4" w:rsidRDefault="0075350D">
            <w:pPr>
              <w:pStyle w:val="Healthtablebullet"/>
              <w:spacing w:after="0" w:line="240" w:lineRule="auto"/>
              <w:rPr>
                <w:rFonts w:ascii="Calibri" w:hAnsi="Calibri" w:cs="Arial"/>
                <w:szCs w:val="18"/>
              </w:rPr>
            </w:pPr>
            <w:r w:rsidRPr="009B20E4">
              <w:rPr>
                <w:rFonts w:ascii="Calibri" w:hAnsi="Calibri" w:cs="Arial"/>
                <w:szCs w:val="18"/>
              </w:rPr>
              <w:t>Sexual and reproductive health and viral hepatitis services and outcomes in Victoria are improved by increasing the quality and completeness of data and supporting research.</w:t>
            </w:r>
          </w:p>
        </w:tc>
        <w:tc>
          <w:tcPr>
            <w:tcW w:w="3402" w:type="dxa"/>
            <w:tcBorders>
              <w:bottom w:val="single" w:sz="6" w:space="0" w:color="999999"/>
            </w:tcBorders>
          </w:tcPr>
          <w:p w14:paraId="76652163" w14:textId="77777777" w:rsidR="0075350D" w:rsidRPr="009B20E4" w:rsidRDefault="0075350D">
            <w:pPr>
              <w:pStyle w:val="Healthtablebullet"/>
              <w:numPr>
                <w:ilvl w:val="0"/>
                <w:numId w:val="0"/>
              </w:numPr>
              <w:spacing w:after="0" w:line="240" w:lineRule="auto"/>
              <w:rPr>
                <w:rFonts w:ascii="Calibri" w:hAnsi="Calibri" w:cs="Arial"/>
                <w:szCs w:val="18"/>
              </w:rPr>
            </w:pPr>
            <w:r w:rsidRPr="009B20E4">
              <w:rPr>
                <w:rFonts w:ascii="Calibri" w:hAnsi="Calibri" w:cs="Arial"/>
                <w:szCs w:val="18"/>
              </w:rPr>
              <w:t>N/A – see specific targets listed for each of the six tailored plans below.</w:t>
            </w:r>
          </w:p>
        </w:tc>
        <w:tc>
          <w:tcPr>
            <w:tcW w:w="2261" w:type="dxa"/>
            <w:tcBorders>
              <w:bottom w:val="single" w:sz="6" w:space="0" w:color="999999"/>
            </w:tcBorders>
          </w:tcPr>
          <w:p w14:paraId="20BEC1F0" w14:textId="77777777" w:rsidR="0075350D" w:rsidRPr="009B20E4" w:rsidRDefault="0075350D">
            <w:pPr>
              <w:pStyle w:val="Healthtablebullet"/>
              <w:numPr>
                <w:ilvl w:val="0"/>
                <w:numId w:val="0"/>
              </w:numPr>
              <w:spacing w:after="0" w:line="240" w:lineRule="auto"/>
              <w:rPr>
                <w:rFonts w:ascii="Calibri" w:hAnsi="Calibri" w:cs="Arial"/>
                <w:szCs w:val="18"/>
              </w:rPr>
            </w:pPr>
            <w:r w:rsidRPr="009B20E4">
              <w:rPr>
                <w:rFonts w:ascii="Calibri" w:hAnsi="Calibri" w:cs="Arial"/>
                <w:szCs w:val="18"/>
              </w:rPr>
              <w:t>N/A – see specific priority populations listed for each of the six tailored plans below.</w:t>
            </w:r>
          </w:p>
        </w:tc>
      </w:tr>
    </w:tbl>
    <w:p w14:paraId="3E63D5A7" w14:textId="77777777" w:rsidR="0075350D" w:rsidRPr="009B20E4" w:rsidRDefault="0075350D" w:rsidP="0075350D">
      <w:pPr>
        <w:rPr>
          <w:rFonts w:ascii="Calibri" w:hAnsi="Calibri" w:cs="Arial"/>
          <w:sz w:val="18"/>
          <w:szCs w:val="18"/>
        </w:rPr>
      </w:pPr>
    </w:p>
    <w:tbl>
      <w:tblPr>
        <w:tblW w:w="10201"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679"/>
        <w:gridCol w:w="2852"/>
        <w:gridCol w:w="3402"/>
        <w:gridCol w:w="2268"/>
      </w:tblGrid>
      <w:tr w:rsidR="0075350D" w:rsidRPr="009B20E4" w14:paraId="172136D4" w14:textId="77777777" w:rsidTr="005D6717">
        <w:trPr>
          <w:jc w:val="center"/>
        </w:trPr>
        <w:tc>
          <w:tcPr>
            <w:tcW w:w="10201" w:type="dxa"/>
            <w:gridSpan w:val="4"/>
            <w:tcBorders>
              <w:top w:val="single" w:sz="6" w:space="0" w:color="999999"/>
            </w:tcBorders>
            <w:shd w:val="clear" w:color="auto" w:fill="F2F2F2"/>
          </w:tcPr>
          <w:p w14:paraId="3E13C2B4" w14:textId="656DA6E6" w:rsidR="0075350D" w:rsidRPr="009B20E4" w:rsidRDefault="0075350D" w:rsidP="009B20E4">
            <w:pPr>
              <w:jc w:val="center"/>
              <w:rPr>
                <w:rFonts w:ascii="Calibri" w:hAnsi="Calibri" w:cs="Arial"/>
                <w:b/>
                <w:bCs/>
                <w:iCs/>
                <w:sz w:val="18"/>
                <w:szCs w:val="18"/>
              </w:rPr>
            </w:pPr>
            <w:r w:rsidRPr="009B20E4">
              <w:rPr>
                <w:rFonts w:ascii="Calibri" w:hAnsi="Calibri" w:cs="Arial"/>
                <w:b/>
                <w:bCs/>
                <w:iCs/>
                <w:sz w:val="18"/>
                <w:szCs w:val="18"/>
              </w:rPr>
              <w:t>Victorian Aboriginal sexual and reproductive health plan 2022–30</w:t>
            </w:r>
          </w:p>
        </w:tc>
      </w:tr>
      <w:tr w:rsidR="0075350D" w:rsidRPr="000527C8" w14:paraId="5FA92946" w14:textId="77777777" w:rsidTr="005D6717">
        <w:trPr>
          <w:jc w:val="center"/>
        </w:trPr>
        <w:tc>
          <w:tcPr>
            <w:tcW w:w="10201" w:type="dxa"/>
            <w:gridSpan w:val="4"/>
            <w:tcBorders>
              <w:top w:val="single" w:sz="6" w:space="0" w:color="999999"/>
            </w:tcBorders>
          </w:tcPr>
          <w:p w14:paraId="704128C5" w14:textId="77777777" w:rsidR="0075350D" w:rsidRPr="009B20E4" w:rsidRDefault="0075350D" w:rsidP="009B20E4">
            <w:pPr>
              <w:spacing w:after="0" w:line="240" w:lineRule="auto"/>
              <w:rPr>
                <w:rFonts w:ascii="Calibri" w:hAnsi="Calibri" w:cs="Arial"/>
                <w:bCs/>
                <w:sz w:val="18"/>
                <w:szCs w:val="18"/>
              </w:rPr>
            </w:pPr>
            <w:r w:rsidRPr="009B20E4">
              <w:rPr>
                <w:rFonts w:ascii="Calibri" w:hAnsi="Calibri" w:cs="Arial"/>
                <w:b/>
                <w:sz w:val="18"/>
                <w:szCs w:val="18"/>
              </w:rPr>
              <w:t>Vision</w:t>
            </w:r>
          </w:p>
          <w:p w14:paraId="0EC611E5" w14:textId="377D2BE8" w:rsidR="0075350D" w:rsidRPr="009B20E4" w:rsidRDefault="0075350D" w:rsidP="009B20E4">
            <w:pPr>
              <w:spacing w:after="0" w:line="240" w:lineRule="auto"/>
              <w:rPr>
                <w:rFonts w:ascii="Calibri" w:hAnsi="Calibri" w:cs="Arial"/>
                <w:bCs/>
                <w:sz w:val="18"/>
                <w:szCs w:val="18"/>
              </w:rPr>
            </w:pPr>
            <w:r w:rsidRPr="009B20E4">
              <w:rPr>
                <w:rFonts w:ascii="Calibri" w:hAnsi="Calibri" w:cs="Arial"/>
                <w:bCs/>
                <w:sz w:val="18"/>
                <w:szCs w:val="18"/>
              </w:rPr>
              <w:t>Aboriginal Victorians are supported to achieve optimal sexual and reproductive health and wellbeing and to reduce the transmission and impact of BBVSTI.</w:t>
            </w:r>
          </w:p>
        </w:tc>
      </w:tr>
      <w:tr w:rsidR="0075350D" w:rsidRPr="000527C8" w14:paraId="1C3BBFB0" w14:textId="77777777" w:rsidTr="005D6717">
        <w:trPr>
          <w:jc w:val="center"/>
        </w:trPr>
        <w:tc>
          <w:tcPr>
            <w:tcW w:w="1679" w:type="dxa"/>
            <w:tcBorders>
              <w:top w:val="single" w:sz="6" w:space="0" w:color="999999"/>
            </w:tcBorders>
          </w:tcPr>
          <w:p w14:paraId="77A14D46" w14:textId="77777777" w:rsidR="0075350D" w:rsidRPr="009B20E4" w:rsidRDefault="0075350D">
            <w:pPr>
              <w:rPr>
                <w:rFonts w:ascii="Calibri" w:hAnsi="Calibri" w:cs="Arial"/>
                <w:b/>
                <w:sz w:val="18"/>
                <w:szCs w:val="18"/>
              </w:rPr>
            </w:pPr>
            <w:r w:rsidRPr="009B20E4">
              <w:rPr>
                <w:rFonts w:ascii="Calibri" w:hAnsi="Calibri" w:cs="Arial"/>
                <w:b/>
                <w:sz w:val="18"/>
                <w:szCs w:val="18"/>
              </w:rPr>
              <w:t xml:space="preserve">Priority </w:t>
            </w:r>
            <w:proofErr w:type="gramStart"/>
            <w:r w:rsidRPr="009B20E4">
              <w:rPr>
                <w:rFonts w:ascii="Calibri" w:hAnsi="Calibri" w:cs="Arial"/>
                <w:b/>
                <w:sz w:val="18"/>
                <w:szCs w:val="18"/>
              </w:rPr>
              <w:t>focus</w:t>
            </w:r>
            <w:proofErr w:type="gramEnd"/>
            <w:r w:rsidRPr="009B20E4">
              <w:rPr>
                <w:rFonts w:ascii="Calibri" w:hAnsi="Calibri" w:cs="Arial"/>
                <w:b/>
                <w:sz w:val="18"/>
                <w:szCs w:val="18"/>
              </w:rPr>
              <w:t xml:space="preserve"> areas </w:t>
            </w:r>
          </w:p>
        </w:tc>
        <w:tc>
          <w:tcPr>
            <w:tcW w:w="2852" w:type="dxa"/>
            <w:tcBorders>
              <w:top w:val="single" w:sz="6" w:space="0" w:color="999999"/>
            </w:tcBorders>
          </w:tcPr>
          <w:p w14:paraId="021E7763" w14:textId="77777777" w:rsidR="0075350D" w:rsidRPr="009B20E4" w:rsidRDefault="0075350D">
            <w:pPr>
              <w:rPr>
                <w:rFonts w:ascii="Calibri" w:hAnsi="Calibri" w:cs="Arial"/>
                <w:b/>
                <w:sz w:val="18"/>
                <w:szCs w:val="18"/>
              </w:rPr>
            </w:pPr>
            <w:r w:rsidRPr="009B20E4">
              <w:rPr>
                <w:rFonts w:ascii="Calibri" w:hAnsi="Calibri" w:cs="Arial"/>
                <w:b/>
                <w:sz w:val="18"/>
                <w:szCs w:val="18"/>
              </w:rPr>
              <w:t xml:space="preserve">Goals </w:t>
            </w:r>
          </w:p>
        </w:tc>
        <w:tc>
          <w:tcPr>
            <w:tcW w:w="3402" w:type="dxa"/>
            <w:tcBorders>
              <w:top w:val="single" w:sz="6" w:space="0" w:color="999999"/>
            </w:tcBorders>
          </w:tcPr>
          <w:p w14:paraId="65D6B54E" w14:textId="77777777" w:rsidR="0075350D" w:rsidRPr="009B20E4" w:rsidRDefault="0075350D">
            <w:pPr>
              <w:rPr>
                <w:rFonts w:ascii="Calibri" w:hAnsi="Calibri" w:cs="Arial"/>
                <w:b/>
                <w:sz w:val="18"/>
                <w:szCs w:val="18"/>
              </w:rPr>
            </w:pPr>
            <w:r w:rsidRPr="009B20E4">
              <w:rPr>
                <w:rFonts w:ascii="Calibri" w:hAnsi="Calibri" w:cs="Arial"/>
                <w:b/>
                <w:sz w:val="18"/>
                <w:szCs w:val="18"/>
              </w:rPr>
              <w:t>Targets for 2025/2030</w:t>
            </w:r>
          </w:p>
        </w:tc>
        <w:tc>
          <w:tcPr>
            <w:tcW w:w="2268" w:type="dxa"/>
            <w:tcBorders>
              <w:top w:val="single" w:sz="6" w:space="0" w:color="999999"/>
            </w:tcBorders>
          </w:tcPr>
          <w:p w14:paraId="78F64ED8" w14:textId="77777777" w:rsidR="0075350D" w:rsidRPr="009B20E4" w:rsidRDefault="0075350D">
            <w:pPr>
              <w:rPr>
                <w:rFonts w:ascii="Calibri" w:hAnsi="Calibri" w:cs="Arial"/>
                <w:b/>
                <w:sz w:val="18"/>
                <w:szCs w:val="18"/>
              </w:rPr>
            </w:pPr>
            <w:r w:rsidRPr="009B20E4">
              <w:rPr>
                <w:rFonts w:ascii="Calibri" w:hAnsi="Calibri" w:cs="Arial"/>
                <w:b/>
                <w:sz w:val="18"/>
                <w:szCs w:val="18"/>
              </w:rPr>
              <w:t>Priority Population Groups</w:t>
            </w:r>
          </w:p>
        </w:tc>
      </w:tr>
      <w:tr w:rsidR="0075350D" w:rsidRPr="000527C8" w14:paraId="0F165B5A" w14:textId="77777777" w:rsidTr="005D6717">
        <w:trPr>
          <w:jc w:val="center"/>
        </w:trPr>
        <w:tc>
          <w:tcPr>
            <w:tcW w:w="1679" w:type="dxa"/>
            <w:tcBorders>
              <w:bottom w:val="single" w:sz="6" w:space="0" w:color="999999"/>
            </w:tcBorders>
          </w:tcPr>
          <w:p w14:paraId="3B35894C"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Access to culturally safe and responsive sexual and reproductive health services</w:t>
            </w:r>
          </w:p>
          <w:p w14:paraId="0FE0F198"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Prevention</w:t>
            </w:r>
          </w:p>
          <w:p w14:paraId="43A1048C"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Testing</w:t>
            </w:r>
          </w:p>
          <w:p w14:paraId="13384EC5"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Treatment and care</w:t>
            </w:r>
          </w:p>
        </w:tc>
        <w:tc>
          <w:tcPr>
            <w:tcW w:w="2852" w:type="dxa"/>
            <w:tcBorders>
              <w:bottom w:val="single" w:sz="6" w:space="0" w:color="999999"/>
            </w:tcBorders>
          </w:tcPr>
          <w:p w14:paraId="7232A239" w14:textId="77777777" w:rsidR="0075350D" w:rsidRPr="004D2478" w:rsidRDefault="0075350D" w:rsidP="00882478">
            <w:pPr>
              <w:pStyle w:val="Healthtablebullet"/>
              <w:spacing w:after="0" w:line="240" w:lineRule="auto"/>
              <w:rPr>
                <w:rFonts w:asciiTheme="minorHAnsi" w:hAnsiTheme="minorHAnsi" w:cstheme="minorHAnsi"/>
                <w:szCs w:val="18"/>
              </w:rPr>
            </w:pPr>
            <w:bookmarkStart w:id="34" w:name="_Hlk106617557"/>
            <w:r w:rsidRPr="004D2478">
              <w:rPr>
                <w:rFonts w:asciiTheme="minorHAnsi" w:hAnsiTheme="minorHAnsi" w:cstheme="minorHAnsi"/>
                <w:szCs w:val="18"/>
              </w:rPr>
              <w:t>Aboriginal Victorians are supported to access high-quality sexual and reproductive health and viral hepatitis services that are inclusive, culturally sensitive and free from stigma, racism and discrimination.</w:t>
            </w:r>
          </w:p>
          <w:p w14:paraId="1B864990"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 xml:space="preserve">Aboriginal Victorians are supported to maintain optimal </w:t>
            </w:r>
            <w:r w:rsidRPr="004D2478">
              <w:rPr>
                <w:rFonts w:asciiTheme="minorHAnsi" w:hAnsiTheme="minorHAnsi" w:cstheme="minorHAnsi"/>
                <w:szCs w:val="18"/>
              </w:rPr>
              <w:lastRenderedPageBreak/>
              <w:t>sexual and reproductive health and reduce their risk of acquiring a BBV or STI.</w:t>
            </w:r>
          </w:p>
          <w:p w14:paraId="09C0DFAC"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Aboriginal Victorians living with a BBV or STI know their status.</w:t>
            </w:r>
          </w:p>
          <w:p w14:paraId="47519277"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Aboriginal Victorians have access to best practice evidence-based sexual and reproductive health treatment and care.</w:t>
            </w:r>
          </w:p>
          <w:p w14:paraId="1F6CB5ED"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The morbidity and mortality associated with STI among Victorians is minimised.</w:t>
            </w:r>
          </w:p>
          <w:bookmarkEnd w:id="34"/>
          <w:p w14:paraId="288BFEA5" w14:textId="77777777" w:rsidR="0075350D" w:rsidRPr="004D2478" w:rsidRDefault="0075350D" w:rsidP="00882478">
            <w:pPr>
              <w:pStyle w:val="Healthtablebullet"/>
              <w:numPr>
                <w:ilvl w:val="0"/>
                <w:numId w:val="0"/>
              </w:numPr>
              <w:spacing w:after="0" w:line="240" w:lineRule="auto"/>
              <w:rPr>
                <w:rFonts w:asciiTheme="minorHAnsi" w:hAnsiTheme="minorHAnsi" w:cstheme="minorHAnsi"/>
                <w:szCs w:val="18"/>
              </w:rPr>
            </w:pPr>
          </w:p>
        </w:tc>
        <w:tc>
          <w:tcPr>
            <w:tcW w:w="3402" w:type="dxa"/>
            <w:tcBorders>
              <w:bottom w:val="single" w:sz="6" w:space="0" w:color="999999"/>
            </w:tcBorders>
          </w:tcPr>
          <w:p w14:paraId="1DB4C69A" w14:textId="77777777" w:rsidR="0075350D" w:rsidRPr="004D2478" w:rsidRDefault="0075350D" w:rsidP="00882478">
            <w:pPr>
              <w:pStyle w:val="Healthtablebullet"/>
              <w:numPr>
                <w:ilvl w:val="0"/>
                <w:numId w:val="0"/>
              </w:numPr>
              <w:spacing w:after="0" w:line="240" w:lineRule="auto"/>
              <w:rPr>
                <w:rFonts w:asciiTheme="minorHAnsi" w:hAnsiTheme="minorHAnsi" w:cstheme="minorHAnsi"/>
                <w:i/>
                <w:iCs/>
                <w:szCs w:val="18"/>
              </w:rPr>
            </w:pPr>
            <w:r w:rsidRPr="004D2478">
              <w:rPr>
                <w:rFonts w:asciiTheme="minorHAnsi" w:hAnsiTheme="minorHAnsi" w:cstheme="minorHAnsi"/>
                <w:b/>
                <w:bCs/>
                <w:szCs w:val="18"/>
              </w:rPr>
              <w:lastRenderedPageBreak/>
              <w:t>2025</w:t>
            </w:r>
            <w:r w:rsidRPr="004D2478">
              <w:rPr>
                <w:rFonts w:asciiTheme="minorHAnsi" w:hAnsiTheme="minorHAnsi" w:cstheme="minorHAnsi"/>
                <w:i/>
                <w:iCs/>
                <w:szCs w:val="18"/>
              </w:rPr>
              <w:br/>
              <w:t>Viral hepatitis</w:t>
            </w:r>
          </w:p>
          <w:p w14:paraId="3B33C070" w14:textId="77777777" w:rsidR="0075350D" w:rsidRPr="004D2478" w:rsidRDefault="0075350D" w:rsidP="00882478">
            <w:pPr>
              <w:pStyle w:val="Body"/>
              <w:spacing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 xml:space="preserve">To partner with Aboriginal Victorians to achieve better outcomes for viral hepatitis: </w:t>
            </w:r>
          </w:p>
          <w:p w14:paraId="4B6A4EE5"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Achieve and maintain childhood vaccination coverage of 95 per cent at birth, 12 and 24 months</w:t>
            </w:r>
          </w:p>
          <w:p w14:paraId="48618899" w14:textId="77777777" w:rsidR="0075350D" w:rsidRPr="004D2478" w:rsidRDefault="0075350D" w:rsidP="00882478">
            <w:pPr>
              <w:pStyle w:val="Bullet1"/>
              <w:numPr>
                <w:ilvl w:val="0"/>
                <w:numId w:val="7"/>
              </w:numPr>
              <w:spacing w:after="0" w:line="240" w:lineRule="auto"/>
              <w:rPr>
                <w:rFonts w:asciiTheme="minorHAnsi" w:eastAsia="MS Mincho" w:hAnsiTheme="minorHAnsi" w:cstheme="minorHAnsi"/>
                <w:sz w:val="18"/>
                <w:szCs w:val="18"/>
              </w:rPr>
            </w:pPr>
            <w:r w:rsidRPr="004D2478">
              <w:rPr>
                <w:rFonts w:asciiTheme="minorHAnsi" w:eastAsia="MS Mincho" w:hAnsiTheme="minorHAnsi" w:cstheme="minorHAnsi"/>
                <w:sz w:val="18"/>
                <w:szCs w:val="18"/>
              </w:rPr>
              <w:t>Achieve and maintain uptake of hepatitis B immune globulin (</w:t>
            </w:r>
            <w:proofErr w:type="spellStart"/>
            <w:r w:rsidRPr="004D2478">
              <w:rPr>
                <w:rFonts w:asciiTheme="minorHAnsi" w:eastAsia="MS Mincho" w:hAnsiTheme="minorHAnsi" w:cstheme="minorHAnsi"/>
                <w:sz w:val="18"/>
                <w:szCs w:val="18"/>
              </w:rPr>
              <w:t>HBIg</w:t>
            </w:r>
            <w:proofErr w:type="spellEnd"/>
            <w:r w:rsidRPr="004D2478">
              <w:rPr>
                <w:rFonts w:asciiTheme="minorHAnsi" w:eastAsia="MS Mincho" w:hAnsiTheme="minorHAnsi" w:cstheme="minorHAnsi"/>
                <w:sz w:val="18"/>
                <w:szCs w:val="18"/>
              </w:rPr>
              <w:t xml:space="preserve">) and birth dose vaccine for all infants born </w:t>
            </w:r>
            <w:r w:rsidRPr="004D2478">
              <w:rPr>
                <w:rFonts w:asciiTheme="minorHAnsi" w:eastAsia="MS Mincho" w:hAnsiTheme="minorHAnsi" w:cstheme="minorHAnsi"/>
                <w:sz w:val="18"/>
                <w:szCs w:val="18"/>
              </w:rPr>
              <w:lastRenderedPageBreak/>
              <w:t>to women with chronic hepatitis B, and access to antiviral therapy in the third trimester of pregnancy for women with high hepatitis B viral load</w:t>
            </w:r>
          </w:p>
          <w:p w14:paraId="60C23484"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Reduce the number of newly acquired hepatitis B infections by 50 per cent</w:t>
            </w:r>
          </w:p>
          <w:p w14:paraId="15658B1D"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Reduce the number of newly acquired hepatitis C infections by 56 per cent (compared with 2015)</w:t>
            </w:r>
          </w:p>
          <w:p w14:paraId="7396A53C"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the proportion of people living with chronic hepatitis B who are diagnosed to 75 per cent</w:t>
            </w:r>
          </w:p>
          <w:p w14:paraId="754DD67F"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the proportion of people living with hepatitis C who are diagnosed to 91 per cent</w:t>
            </w:r>
          </w:p>
          <w:p w14:paraId="462AAEF6"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the total proportion of people living with chronic hepatitis B receiving care to 55 per cent. For people living with chronic hepatitis B and eligible for treatment, increase the proportion receiving antiviral treatment to 21 per cent</w:t>
            </w:r>
          </w:p>
          <w:p w14:paraId="6E86F1B3"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the cumulative proportion of people living with chronic hepatitis C who have initiated direct-acting antiviral treatment to 72 per cent</w:t>
            </w:r>
          </w:p>
          <w:p w14:paraId="49F3542A"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Reduce hepatitis B attributable mortality by 30 per cent (compared with 2017)</w:t>
            </w:r>
          </w:p>
          <w:p w14:paraId="16F0BE14"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Reduce hepatitis C attributable mortality by 16 per cent (compared with 2015)</w:t>
            </w:r>
          </w:p>
          <w:p w14:paraId="2CB8D18B" w14:textId="77777777" w:rsidR="0075350D" w:rsidRPr="004D2478" w:rsidRDefault="0075350D" w:rsidP="00882478">
            <w:pPr>
              <w:pStyle w:val="Healthtablebullet"/>
              <w:numPr>
                <w:ilvl w:val="0"/>
                <w:numId w:val="0"/>
              </w:numPr>
              <w:spacing w:after="0" w:line="240" w:lineRule="auto"/>
              <w:rPr>
                <w:rFonts w:asciiTheme="minorHAnsi" w:hAnsiTheme="minorHAnsi" w:cstheme="minorHAnsi"/>
                <w:szCs w:val="18"/>
              </w:rPr>
            </w:pPr>
            <w:r w:rsidRPr="004D2478">
              <w:rPr>
                <w:rFonts w:asciiTheme="minorHAnsi" w:hAnsiTheme="minorHAnsi" w:cstheme="minorHAnsi"/>
                <w:i/>
                <w:iCs/>
                <w:szCs w:val="18"/>
              </w:rPr>
              <w:t>HIV</w:t>
            </w:r>
          </w:p>
          <w:p w14:paraId="494B97E3" w14:textId="77777777" w:rsidR="0075350D" w:rsidRPr="004D2478" w:rsidRDefault="0075350D" w:rsidP="00882478">
            <w:pPr>
              <w:pStyle w:val="Healthtablebullet"/>
              <w:spacing w:after="0"/>
              <w:rPr>
                <w:rFonts w:asciiTheme="minorHAnsi" w:hAnsiTheme="minorHAnsi" w:cstheme="minorHAnsi"/>
              </w:rPr>
            </w:pPr>
            <w:r w:rsidRPr="004D2478">
              <w:rPr>
                <w:rFonts w:asciiTheme="minorHAnsi" w:hAnsiTheme="minorHAnsi" w:cstheme="minorHAnsi"/>
              </w:rPr>
              <w:t>Support Aboriginal Victorians to achieve health and wellbeing by partnering with local and statewide services:</w:t>
            </w:r>
          </w:p>
          <w:p w14:paraId="740EC9DC" w14:textId="77777777" w:rsidR="0075350D" w:rsidRPr="004D2478" w:rsidRDefault="0075350D" w:rsidP="00882478">
            <w:pPr>
              <w:pStyle w:val="Healthtablebullet"/>
              <w:spacing w:after="0"/>
              <w:rPr>
                <w:rFonts w:asciiTheme="minorHAnsi" w:hAnsiTheme="minorHAnsi" w:cstheme="minorHAnsi"/>
              </w:rPr>
            </w:pPr>
            <w:r w:rsidRPr="004D2478">
              <w:rPr>
                <w:rFonts w:asciiTheme="minorHAnsi" w:hAnsiTheme="minorHAnsi" w:cstheme="minorHAnsi"/>
              </w:rPr>
              <w:t>The proportion of all people with HIV who are diagnosed will be 95 per cent</w:t>
            </w:r>
          </w:p>
          <w:p w14:paraId="7662FA6C" w14:textId="77777777" w:rsidR="0075350D" w:rsidRPr="004D2478" w:rsidRDefault="0075350D" w:rsidP="00882478">
            <w:pPr>
              <w:pStyle w:val="Healthtablebullet"/>
              <w:spacing w:after="0"/>
              <w:rPr>
                <w:rFonts w:asciiTheme="minorHAnsi" w:hAnsiTheme="minorHAnsi" w:cstheme="minorHAnsi"/>
              </w:rPr>
            </w:pPr>
            <w:r w:rsidRPr="004D2478">
              <w:rPr>
                <w:rFonts w:asciiTheme="minorHAnsi" w:hAnsiTheme="minorHAnsi" w:cstheme="minorHAnsi"/>
              </w:rPr>
              <w:t>The proportion of all people living with HIV who are accessing appropriate treatment will be 98 per cent</w:t>
            </w:r>
          </w:p>
          <w:p w14:paraId="4E2E0B07"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The proportion of people living with HIV on treatment with an undetectable viral load will be 98 per cent</w:t>
            </w:r>
          </w:p>
          <w:p w14:paraId="5769E6E1"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75 per cent of people with HIV report having a good quality of life</w:t>
            </w:r>
          </w:p>
          <w:p w14:paraId="14CB2FB1"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95 per cent of people at risk of HIV infection use one or more forms of effective HIV prevention</w:t>
            </w:r>
          </w:p>
          <w:p w14:paraId="51F146A2" w14:textId="77777777" w:rsidR="0075350D" w:rsidRPr="004D2478" w:rsidRDefault="0075350D" w:rsidP="00882478">
            <w:pPr>
              <w:pStyle w:val="Healthtablebullet"/>
              <w:numPr>
                <w:ilvl w:val="0"/>
                <w:numId w:val="0"/>
              </w:numPr>
              <w:spacing w:after="0" w:line="240" w:lineRule="auto"/>
              <w:rPr>
                <w:rFonts w:asciiTheme="minorHAnsi" w:hAnsiTheme="minorHAnsi" w:cstheme="minorHAnsi"/>
                <w:i/>
                <w:iCs/>
                <w:szCs w:val="18"/>
              </w:rPr>
            </w:pPr>
            <w:r w:rsidRPr="004D2478">
              <w:rPr>
                <w:rFonts w:asciiTheme="minorHAnsi" w:hAnsiTheme="minorHAnsi" w:cstheme="minorHAnsi"/>
                <w:b/>
                <w:bCs/>
                <w:szCs w:val="18"/>
              </w:rPr>
              <w:t>2030</w:t>
            </w:r>
            <w:r w:rsidRPr="004D2478">
              <w:rPr>
                <w:rFonts w:asciiTheme="minorHAnsi" w:hAnsiTheme="minorHAnsi" w:cstheme="minorHAnsi"/>
                <w:b/>
                <w:bCs/>
                <w:szCs w:val="18"/>
              </w:rPr>
              <w:br/>
            </w:r>
            <w:r w:rsidRPr="004D2478">
              <w:rPr>
                <w:rFonts w:asciiTheme="minorHAnsi" w:hAnsiTheme="minorHAnsi" w:cstheme="minorHAnsi"/>
                <w:i/>
                <w:iCs/>
                <w:szCs w:val="18"/>
              </w:rPr>
              <w:t>Support Aboriginal Victorians to access culturally safe services</w:t>
            </w:r>
          </w:p>
          <w:p w14:paraId="302F8A92" w14:textId="77777777" w:rsidR="0075350D" w:rsidRPr="004D2478" w:rsidRDefault="0075350D" w:rsidP="00882478">
            <w:pPr>
              <w:pStyle w:val="Tablebullet1"/>
              <w:numPr>
                <w:ilvl w:val="0"/>
                <w:numId w:val="7"/>
              </w:numPr>
              <w:spacing w:before="0" w:after="0"/>
              <w:rPr>
                <w:rFonts w:asciiTheme="minorHAnsi" w:hAnsiTheme="minorHAnsi" w:cstheme="minorHAnsi"/>
                <w:sz w:val="18"/>
                <w:szCs w:val="18"/>
              </w:rPr>
            </w:pPr>
            <w:r w:rsidRPr="004D2478">
              <w:rPr>
                <w:rFonts w:asciiTheme="minorHAnsi" w:eastAsia="MS Mincho" w:hAnsiTheme="minorHAnsi" w:cstheme="minorHAnsi"/>
                <w:sz w:val="18"/>
                <w:szCs w:val="18"/>
              </w:rPr>
              <w:t>Reduce the reported experiences of stigma, racism and discrimination for Aboriginal Victorians living with or affected by BBV or STI in health and social support settings to less than 10 per cent.</w:t>
            </w:r>
          </w:p>
          <w:p w14:paraId="2AE3D516" w14:textId="77777777" w:rsidR="0075350D" w:rsidRPr="004D2478" w:rsidRDefault="0075350D" w:rsidP="00882478">
            <w:pPr>
              <w:pStyle w:val="Healthtablebullet"/>
              <w:numPr>
                <w:ilvl w:val="0"/>
                <w:numId w:val="0"/>
              </w:numPr>
              <w:spacing w:after="0" w:line="240" w:lineRule="auto"/>
              <w:rPr>
                <w:rFonts w:asciiTheme="minorHAnsi" w:hAnsiTheme="minorHAnsi" w:cstheme="minorHAnsi"/>
                <w:szCs w:val="18"/>
              </w:rPr>
            </w:pPr>
            <w:r w:rsidRPr="004D2478">
              <w:rPr>
                <w:rFonts w:asciiTheme="minorHAnsi" w:hAnsiTheme="minorHAnsi" w:cstheme="minorHAnsi"/>
                <w:i/>
                <w:iCs/>
                <w:szCs w:val="18"/>
              </w:rPr>
              <w:t>Viral hepatitis</w:t>
            </w:r>
          </w:p>
          <w:p w14:paraId="017282DD" w14:textId="6F7B1031" w:rsidR="0075350D" w:rsidRPr="00C0167F" w:rsidRDefault="0075350D" w:rsidP="00882478">
            <w:pPr>
              <w:pStyle w:val="Healthtablebullet"/>
              <w:spacing w:after="0"/>
              <w:rPr>
                <w:rFonts w:asciiTheme="minorHAnsi" w:hAnsiTheme="minorHAnsi" w:cstheme="minorHAnsi"/>
              </w:rPr>
            </w:pPr>
            <w:r w:rsidRPr="00C0167F">
              <w:rPr>
                <w:rFonts w:asciiTheme="minorHAnsi" w:hAnsiTheme="minorHAnsi" w:cstheme="minorHAnsi"/>
              </w:rPr>
              <w:t>To partner with Aboriginal Victorians to achieve better outcomes for viral hepatitis</w:t>
            </w:r>
          </w:p>
          <w:p w14:paraId="211311E8" w14:textId="77777777" w:rsidR="0075350D" w:rsidRPr="00C0167F" w:rsidRDefault="0075350D" w:rsidP="00882478">
            <w:pPr>
              <w:pStyle w:val="Healthtablebullet"/>
              <w:spacing w:after="0"/>
              <w:rPr>
                <w:rFonts w:asciiTheme="minorHAnsi" w:hAnsiTheme="minorHAnsi" w:cstheme="minorHAnsi"/>
              </w:rPr>
            </w:pPr>
            <w:r w:rsidRPr="00C0167F">
              <w:rPr>
                <w:rFonts w:asciiTheme="minorHAnsi" w:hAnsiTheme="minorHAnsi" w:cstheme="minorHAnsi"/>
              </w:rPr>
              <w:lastRenderedPageBreak/>
              <w:t>Achieve and maintain childhood vaccination coverage of 95 per cent at birth, 12 and 24 months</w:t>
            </w:r>
          </w:p>
          <w:p w14:paraId="73A2BEE8"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 xml:space="preserve">Achieve and maintain uptake of </w:t>
            </w:r>
            <w:proofErr w:type="spellStart"/>
            <w:r w:rsidRPr="004D2478">
              <w:rPr>
                <w:rFonts w:asciiTheme="minorHAnsi" w:eastAsia="MS Mincho" w:hAnsiTheme="minorHAnsi" w:cstheme="minorHAnsi"/>
                <w:sz w:val="18"/>
                <w:szCs w:val="18"/>
              </w:rPr>
              <w:t>HBIg</w:t>
            </w:r>
            <w:proofErr w:type="spellEnd"/>
            <w:r w:rsidRPr="004D2478">
              <w:rPr>
                <w:rFonts w:asciiTheme="minorHAnsi" w:eastAsia="MS Mincho" w:hAnsiTheme="minorHAnsi" w:cstheme="minorHAnsi"/>
                <w:sz w:val="18"/>
                <w:szCs w:val="18"/>
              </w:rPr>
              <w:t xml:space="preserve"> and birth dose vaccine for all infants born to women with chronic hepatitis B, and access to antiviral therapy in the third trimester of pregnancy for women with high hepatitis B viral load</w:t>
            </w:r>
          </w:p>
          <w:p w14:paraId="4582B684"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Reduce the number of newly acquired hepatitis B infections by 90 per cent</w:t>
            </w:r>
          </w:p>
          <w:p w14:paraId="42A0BB4C"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Reduce the number of newly acquired hepatitis C infections by 90 per cent (compared with 2015)</w:t>
            </w:r>
          </w:p>
          <w:p w14:paraId="2B3E282E"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the proportion of people living with chronic hepatitis B who are diagnosed to 90 per cent</w:t>
            </w:r>
          </w:p>
          <w:p w14:paraId="0A9830D3"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the proportion of people living with hepatitis C who are diagnosed to 97 per cent</w:t>
            </w:r>
          </w:p>
          <w:p w14:paraId="0B95C667"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the total proportion of people living with chronic hepatitis B receiving care to 90 per cent. For people living with chronic hepatitis B and eligible for treatment, increase the proportion receiving antiviral treatment to 27 per cent</w:t>
            </w:r>
          </w:p>
          <w:p w14:paraId="0BE9164B"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the cumulative proportion of people living with chronic hepatitis C who have initiated direct-acting antiviral treatment to 96 per cent</w:t>
            </w:r>
          </w:p>
          <w:p w14:paraId="0808E98E"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Reduce hepatitis B attributable mortality by 35 per cent (compared with 2017)</w:t>
            </w:r>
          </w:p>
          <w:p w14:paraId="58F4A9CD"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Reduce hepatitis C attributable mortality by 67 per cent (compared with 2015)</w:t>
            </w:r>
          </w:p>
          <w:p w14:paraId="3D2306AC"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Eliminate mother-to-child transmission of hepatitis B</w:t>
            </w:r>
          </w:p>
          <w:p w14:paraId="03C3CF3A" w14:textId="77777777" w:rsidR="0075350D" w:rsidRPr="004D2478" w:rsidRDefault="0075350D" w:rsidP="00882478">
            <w:pPr>
              <w:pStyle w:val="Healthtablebullet"/>
              <w:numPr>
                <w:ilvl w:val="0"/>
                <w:numId w:val="0"/>
              </w:numPr>
              <w:spacing w:after="0" w:line="240" w:lineRule="auto"/>
              <w:rPr>
                <w:rFonts w:asciiTheme="minorHAnsi" w:hAnsiTheme="minorHAnsi" w:cstheme="minorHAnsi"/>
                <w:szCs w:val="18"/>
              </w:rPr>
            </w:pPr>
            <w:r w:rsidRPr="004D2478">
              <w:rPr>
                <w:rFonts w:asciiTheme="minorHAnsi" w:hAnsiTheme="minorHAnsi" w:cstheme="minorHAnsi"/>
                <w:i/>
                <w:iCs/>
                <w:szCs w:val="18"/>
              </w:rPr>
              <w:t>STI</w:t>
            </w:r>
          </w:p>
          <w:p w14:paraId="09F19647" w14:textId="77777777" w:rsidR="0075350D" w:rsidRPr="00C14945" w:rsidRDefault="0075350D" w:rsidP="00882478">
            <w:pPr>
              <w:pStyle w:val="Healthtablebullet"/>
              <w:spacing w:after="0"/>
              <w:rPr>
                <w:rFonts w:asciiTheme="minorHAnsi" w:hAnsiTheme="minorHAnsi" w:cstheme="minorHAnsi"/>
              </w:rPr>
            </w:pPr>
            <w:r w:rsidRPr="00C14945">
              <w:rPr>
                <w:rFonts w:asciiTheme="minorHAnsi" w:hAnsiTheme="minorHAnsi" w:cstheme="minorHAnsi"/>
              </w:rPr>
              <w:t>Support Aboriginal Victorians to achieve optimal sexual and reproductive health and wellbeing by partnering with local and statewide services to:</w:t>
            </w:r>
          </w:p>
          <w:p w14:paraId="141EC9BC"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Achieve and maintain HPV adolescent vaccination coverage of 80 per cent</w:t>
            </w:r>
          </w:p>
          <w:p w14:paraId="7C2DDDA7"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Increase STI testing coverage (compared with 2019)</w:t>
            </w:r>
          </w:p>
          <w:p w14:paraId="069D3DE4" w14:textId="77777777" w:rsidR="0075350D" w:rsidRPr="004D2478" w:rsidRDefault="0075350D" w:rsidP="00882478">
            <w:pPr>
              <w:pStyle w:val="Tablebullet1"/>
              <w:numPr>
                <w:ilvl w:val="0"/>
                <w:numId w:val="7"/>
              </w:numPr>
              <w:spacing w:before="0" w:after="0"/>
              <w:rPr>
                <w:rFonts w:asciiTheme="minorHAnsi" w:eastAsia="MS Mincho" w:hAnsiTheme="minorHAnsi" w:cstheme="minorHAnsi"/>
                <w:sz w:val="18"/>
                <w:szCs w:val="18"/>
              </w:rPr>
            </w:pPr>
            <w:r w:rsidRPr="004D2478">
              <w:rPr>
                <w:rFonts w:asciiTheme="minorHAnsi" w:eastAsia="MS Mincho" w:hAnsiTheme="minorHAnsi" w:cstheme="minorHAnsi"/>
                <w:sz w:val="18"/>
                <w:szCs w:val="18"/>
              </w:rPr>
              <w:t>Reduce the incidence and prevalence of infectious syphilis, gonorrhoea and chlamydia (compared with 2019)</w:t>
            </w:r>
          </w:p>
          <w:p w14:paraId="595C0ECC" w14:textId="77777777" w:rsidR="0075350D" w:rsidRPr="004D2478" w:rsidRDefault="0075350D" w:rsidP="00882478">
            <w:pPr>
              <w:pStyle w:val="Tablebullet1"/>
              <w:numPr>
                <w:ilvl w:val="0"/>
                <w:numId w:val="7"/>
              </w:numPr>
              <w:spacing w:before="0" w:after="0"/>
              <w:rPr>
                <w:rFonts w:asciiTheme="minorHAnsi" w:hAnsiTheme="minorHAnsi" w:cstheme="minorHAnsi"/>
                <w:sz w:val="18"/>
                <w:szCs w:val="18"/>
              </w:rPr>
            </w:pPr>
            <w:r w:rsidRPr="004D2478">
              <w:rPr>
                <w:rFonts w:asciiTheme="minorHAnsi" w:eastAsia="MS Mincho" w:hAnsiTheme="minorHAnsi" w:cstheme="minorHAnsi"/>
                <w:sz w:val="18"/>
                <w:szCs w:val="18"/>
              </w:rPr>
              <w:t>Eliminate congenital syphilis by 2030</w:t>
            </w:r>
          </w:p>
        </w:tc>
        <w:tc>
          <w:tcPr>
            <w:tcW w:w="2268" w:type="dxa"/>
            <w:tcBorders>
              <w:bottom w:val="single" w:sz="6" w:space="0" w:color="999999"/>
            </w:tcBorders>
          </w:tcPr>
          <w:p w14:paraId="3BB08013" w14:textId="77777777" w:rsidR="0075350D" w:rsidRPr="004D2478" w:rsidRDefault="0075350D" w:rsidP="00882478">
            <w:pPr>
              <w:pStyle w:val="Healthtablebullet"/>
              <w:numPr>
                <w:ilvl w:val="0"/>
                <w:numId w:val="0"/>
              </w:numPr>
              <w:spacing w:after="0" w:line="240" w:lineRule="auto"/>
              <w:rPr>
                <w:rFonts w:asciiTheme="minorHAnsi" w:hAnsiTheme="minorHAnsi" w:cstheme="minorHAnsi"/>
                <w:szCs w:val="18"/>
              </w:rPr>
            </w:pPr>
            <w:r w:rsidRPr="004D2478">
              <w:rPr>
                <w:rFonts w:asciiTheme="minorHAnsi" w:hAnsiTheme="minorHAnsi" w:cstheme="minorHAnsi"/>
                <w:szCs w:val="18"/>
              </w:rPr>
              <w:lastRenderedPageBreak/>
              <w:t xml:space="preserve">Sub-priority groups within the Aboriginal population include: </w:t>
            </w:r>
          </w:p>
          <w:p w14:paraId="7D2E3C2E"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young people</w:t>
            </w:r>
          </w:p>
          <w:p w14:paraId="71C7A466"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women</w:t>
            </w:r>
          </w:p>
          <w:p w14:paraId="12FAC848"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men who have sex with men and bisexual men</w:t>
            </w:r>
          </w:p>
          <w:p w14:paraId="39E222EF"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 xml:space="preserve">trans and gender diverse people </w:t>
            </w:r>
            <w:r w:rsidRPr="004D2478">
              <w:rPr>
                <w:rFonts w:asciiTheme="minorHAnsi" w:hAnsiTheme="minorHAnsi" w:cstheme="minorHAnsi"/>
                <w:szCs w:val="18"/>
              </w:rPr>
              <w:lastRenderedPageBreak/>
              <w:t>including Sistergirls and Brotherboys</w:t>
            </w:r>
          </w:p>
          <w:p w14:paraId="33630E2E"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sex workers</w:t>
            </w:r>
          </w:p>
          <w:p w14:paraId="7A23CF01"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people living with a BBV</w:t>
            </w:r>
          </w:p>
          <w:p w14:paraId="4AC94077" w14:textId="77777777" w:rsidR="0075350D" w:rsidRPr="004D2478" w:rsidRDefault="0075350D" w:rsidP="00882478">
            <w:pPr>
              <w:pStyle w:val="Healthtablebullet"/>
              <w:spacing w:after="0" w:line="240" w:lineRule="auto"/>
              <w:rPr>
                <w:rFonts w:asciiTheme="minorHAnsi" w:hAnsiTheme="minorHAnsi" w:cstheme="minorHAnsi"/>
                <w:szCs w:val="18"/>
              </w:rPr>
            </w:pPr>
            <w:r w:rsidRPr="004D2478">
              <w:rPr>
                <w:rFonts w:asciiTheme="minorHAnsi" w:hAnsiTheme="minorHAnsi" w:cstheme="minorHAnsi"/>
                <w:szCs w:val="18"/>
              </w:rPr>
              <w:t>people in custodial settings</w:t>
            </w:r>
          </w:p>
          <w:p w14:paraId="25BAECAC" w14:textId="77777777" w:rsidR="0075350D" w:rsidRPr="004D2478" w:rsidRDefault="0075350D" w:rsidP="00882478">
            <w:pPr>
              <w:pStyle w:val="Healthtablebullet"/>
              <w:spacing w:after="0"/>
              <w:rPr>
                <w:rFonts w:asciiTheme="minorHAnsi" w:hAnsiTheme="minorHAnsi" w:cstheme="minorHAnsi"/>
                <w:b/>
                <w:szCs w:val="18"/>
              </w:rPr>
            </w:pPr>
            <w:r w:rsidRPr="004D2478">
              <w:rPr>
                <w:rFonts w:asciiTheme="minorHAnsi" w:hAnsiTheme="minorHAnsi" w:cstheme="minorHAnsi"/>
                <w:szCs w:val="18"/>
              </w:rPr>
              <w:t>people who use drugs (including people who inject drugs)</w:t>
            </w:r>
          </w:p>
        </w:tc>
      </w:tr>
    </w:tbl>
    <w:p w14:paraId="67BB4F81" w14:textId="77777777" w:rsidR="0075350D" w:rsidRPr="009B20E4" w:rsidRDefault="0075350D" w:rsidP="009B20E4">
      <w:pPr>
        <w:spacing w:after="0" w:line="240" w:lineRule="auto"/>
        <w:rPr>
          <w:rFonts w:ascii="Calibri" w:hAnsi="Calibri" w:cs="Arial"/>
          <w:sz w:val="18"/>
          <w:szCs w:val="18"/>
        </w:rPr>
      </w:pPr>
    </w:p>
    <w:tbl>
      <w:tblPr>
        <w:tblW w:w="0" w:type="auto"/>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741"/>
        <w:gridCol w:w="2790"/>
        <w:gridCol w:w="3402"/>
        <w:gridCol w:w="2261"/>
      </w:tblGrid>
      <w:tr w:rsidR="0075350D" w:rsidRPr="009B20E4" w14:paraId="167023AA" w14:textId="77777777">
        <w:tc>
          <w:tcPr>
            <w:tcW w:w="10194" w:type="dxa"/>
            <w:gridSpan w:val="4"/>
            <w:tcBorders>
              <w:top w:val="single" w:sz="6" w:space="0" w:color="999999"/>
              <w:bottom w:val="single" w:sz="6" w:space="0" w:color="999999"/>
            </w:tcBorders>
            <w:shd w:val="clear" w:color="auto" w:fill="E6E6E6"/>
          </w:tcPr>
          <w:p w14:paraId="2B42887D" w14:textId="77777777" w:rsidR="0075350D" w:rsidRDefault="0075350D" w:rsidP="0089654D">
            <w:pPr>
              <w:spacing w:after="0" w:line="240" w:lineRule="auto"/>
              <w:jc w:val="center"/>
              <w:rPr>
                <w:rFonts w:ascii="Calibri" w:hAnsi="Calibri" w:cs="Arial"/>
                <w:b/>
                <w:bCs/>
                <w:iCs/>
                <w:sz w:val="18"/>
                <w:szCs w:val="18"/>
              </w:rPr>
            </w:pPr>
            <w:r w:rsidRPr="009B20E4">
              <w:rPr>
                <w:rFonts w:ascii="Calibri" w:hAnsi="Calibri" w:cs="Arial"/>
                <w:b/>
                <w:bCs/>
                <w:iCs/>
                <w:sz w:val="18"/>
                <w:szCs w:val="18"/>
              </w:rPr>
              <w:t>Victorian hepatitis B plan 2022–30</w:t>
            </w:r>
          </w:p>
          <w:p w14:paraId="6B46CE95" w14:textId="67FFE232" w:rsidR="0089654D" w:rsidRPr="009B20E4" w:rsidRDefault="0089654D" w:rsidP="0089654D">
            <w:pPr>
              <w:spacing w:after="0" w:line="240" w:lineRule="auto"/>
              <w:jc w:val="center"/>
              <w:rPr>
                <w:rFonts w:ascii="Calibri" w:hAnsi="Calibri" w:cs="Arial"/>
                <w:b/>
                <w:sz w:val="18"/>
                <w:szCs w:val="18"/>
              </w:rPr>
            </w:pPr>
          </w:p>
        </w:tc>
      </w:tr>
      <w:tr w:rsidR="0075350D" w:rsidRPr="009B20E4" w14:paraId="7E8468FE" w14:textId="77777777">
        <w:tc>
          <w:tcPr>
            <w:tcW w:w="10194" w:type="dxa"/>
            <w:gridSpan w:val="4"/>
            <w:tcBorders>
              <w:top w:val="single" w:sz="6" w:space="0" w:color="999999"/>
            </w:tcBorders>
          </w:tcPr>
          <w:p w14:paraId="6714FC35" w14:textId="77777777" w:rsidR="0075350D" w:rsidRPr="009B20E4" w:rsidRDefault="0075350D" w:rsidP="009B20E4">
            <w:pPr>
              <w:spacing w:after="0" w:line="240" w:lineRule="auto"/>
              <w:rPr>
                <w:rFonts w:ascii="Calibri" w:hAnsi="Calibri" w:cs="Arial"/>
                <w:b/>
                <w:sz w:val="18"/>
                <w:szCs w:val="18"/>
              </w:rPr>
            </w:pPr>
            <w:r w:rsidRPr="009B20E4">
              <w:rPr>
                <w:rFonts w:ascii="Calibri" w:hAnsi="Calibri" w:cs="Arial"/>
                <w:b/>
                <w:sz w:val="18"/>
                <w:szCs w:val="18"/>
              </w:rPr>
              <w:t>Vision</w:t>
            </w:r>
          </w:p>
          <w:p w14:paraId="2B1C7A16" w14:textId="77777777" w:rsidR="0075350D" w:rsidRPr="009B20E4" w:rsidRDefault="0075350D" w:rsidP="009B20E4">
            <w:pPr>
              <w:spacing w:after="0" w:line="240" w:lineRule="auto"/>
              <w:rPr>
                <w:rFonts w:ascii="Calibri" w:hAnsi="Calibri" w:cs="Arial"/>
                <w:bCs/>
                <w:sz w:val="18"/>
                <w:szCs w:val="18"/>
              </w:rPr>
            </w:pPr>
            <w:r w:rsidRPr="009B20E4">
              <w:rPr>
                <w:rFonts w:ascii="Calibri" w:hAnsi="Calibri" w:cs="Arial"/>
                <w:bCs/>
                <w:sz w:val="18"/>
                <w:szCs w:val="18"/>
              </w:rPr>
              <w:t>Eliminate hepatitis B as a public health concern by 2030.</w:t>
            </w:r>
          </w:p>
        </w:tc>
      </w:tr>
      <w:tr w:rsidR="0075350D" w:rsidRPr="009B20E4" w14:paraId="4EAD91CC" w14:textId="77777777">
        <w:tc>
          <w:tcPr>
            <w:tcW w:w="1741" w:type="dxa"/>
            <w:tcBorders>
              <w:top w:val="single" w:sz="6" w:space="0" w:color="999999"/>
            </w:tcBorders>
          </w:tcPr>
          <w:p w14:paraId="38BCD1A8" w14:textId="77777777" w:rsidR="0075350D" w:rsidRPr="009B20E4" w:rsidRDefault="0075350D" w:rsidP="009B20E4">
            <w:pPr>
              <w:spacing w:after="0" w:line="240" w:lineRule="auto"/>
              <w:rPr>
                <w:rFonts w:ascii="Calibri" w:hAnsi="Calibri" w:cs="Arial"/>
                <w:b/>
                <w:sz w:val="18"/>
                <w:szCs w:val="18"/>
              </w:rPr>
            </w:pPr>
            <w:r w:rsidRPr="009B20E4">
              <w:rPr>
                <w:rFonts w:ascii="Calibri" w:hAnsi="Calibri" w:cs="Arial"/>
                <w:b/>
                <w:sz w:val="18"/>
                <w:szCs w:val="18"/>
              </w:rPr>
              <w:t xml:space="preserve">Priority </w:t>
            </w:r>
            <w:proofErr w:type="gramStart"/>
            <w:r w:rsidRPr="009B20E4">
              <w:rPr>
                <w:rFonts w:ascii="Calibri" w:hAnsi="Calibri" w:cs="Arial"/>
                <w:b/>
                <w:sz w:val="18"/>
                <w:szCs w:val="18"/>
              </w:rPr>
              <w:t>focus</w:t>
            </w:r>
            <w:proofErr w:type="gramEnd"/>
            <w:r w:rsidRPr="009B20E4">
              <w:rPr>
                <w:rFonts w:ascii="Calibri" w:hAnsi="Calibri" w:cs="Arial"/>
                <w:b/>
                <w:sz w:val="18"/>
                <w:szCs w:val="18"/>
              </w:rPr>
              <w:t xml:space="preserve"> areas</w:t>
            </w:r>
          </w:p>
        </w:tc>
        <w:tc>
          <w:tcPr>
            <w:tcW w:w="2790" w:type="dxa"/>
            <w:tcBorders>
              <w:top w:val="single" w:sz="6" w:space="0" w:color="999999"/>
            </w:tcBorders>
          </w:tcPr>
          <w:p w14:paraId="3EC3FDC3" w14:textId="77777777" w:rsidR="0075350D" w:rsidRPr="009B20E4" w:rsidRDefault="0075350D" w:rsidP="009B20E4">
            <w:pPr>
              <w:spacing w:after="0" w:line="240" w:lineRule="auto"/>
              <w:rPr>
                <w:rFonts w:ascii="Calibri" w:hAnsi="Calibri" w:cs="Arial"/>
                <w:b/>
                <w:sz w:val="18"/>
                <w:szCs w:val="18"/>
              </w:rPr>
            </w:pPr>
            <w:r w:rsidRPr="009B20E4">
              <w:rPr>
                <w:rFonts w:ascii="Calibri" w:hAnsi="Calibri" w:cs="Arial"/>
                <w:b/>
                <w:sz w:val="18"/>
                <w:szCs w:val="18"/>
              </w:rPr>
              <w:t xml:space="preserve">Goals </w:t>
            </w:r>
          </w:p>
        </w:tc>
        <w:tc>
          <w:tcPr>
            <w:tcW w:w="3402" w:type="dxa"/>
            <w:tcBorders>
              <w:top w:val="single" w:sz="6" w:space="0" w:color="999999"/>
            </w:tcBorders>
          </w:tcPr>
          <w:p w14:paraId="7FEAF29C" w14:textId="77777777" w:rsidR="0075350D" w:rsidRPr="009B20E4" w:rsidRDefault="0075350D" w:rsidP="009B20E4">
            <w:pPr>
              <w:spacing w:after="0" w:line="240" w:lineRule="auto"/>
              <w:rPr>
                <w:rFonts w:ascii="Calibri" w:hAnsi="Calibri" w:cs="Arial"/>
                <w:b/>
                <w:sz w:val="18"/>
                <w:szCs w:val="18"/>
              </w:rPr>
            </w:pPr>
            <w:r w:rsidRPr="009B20E4">
              <w:rPr>
                <w:rFonts w:ascii="Calibri" w:hAnsi="Calibri" w:cs="Arial"/>
                <w:b/>
                <w:sz w:val="18"/>
                <w:szCs w:val="18"/>
              </w:rPr>
              <w:t>Targets for 2025/2030</w:t>
            </w:r>
          </w:p>
        </w:tc>
        <w:tc>
          <w:tcPr>
            <w:tcW w:w="2261" w:type="dxa"/>
            <w:tcBorders>
              <w:top w:val="single" w:sz="6" w:space="0" w:color="999999"/>
            </w:tcBorders>
          </w:tcPr>
          <w:p w14:paraId="736A4387" w14:textId="77777777" w:rsidR="0075350D" w:rsidRPr="009B20E4" w:rsidRDefault="0075350D" w:rsidP="009B20E4">
            <w:pPr>
              <w:spacing w:after="0" w:line="240" w:lineRule="auto"/>
              <w:rPr>
                <w:rFonts w:ascii="Calibri" w:hAnsi="Calibri" w:cs="Arial"/>
                <w:b/>
                <w:sz w:val="18"/>
                <w:szCs w:val="18"/>
              </w:rPr>
            </w:pPr>
            <w:r w:rsidRPr="009B20E4">
              <w:rPr>
                <w:rFonts w:ascii="Calibri" w:hAnsi="Calibri" w:cs="Arial"/>
                <w:b/>
                <w:sz w:val="18"/>
                <w:szCs w:val="18"/>
              </w:rPr>
              <w:t>Priority Population Groups</w:t>
            </w:r>
          </w:p>
        </w:tc>
      </w:tr>
      <w:tr w:rsidR="0075350D" w:rsidRPr="000527C8" w14:paraId="374F9037" w14:textId="77777777">
        <w:tc>
          <w:tcPr>
            <w:tcW w:w="1741" w:type="dxa"/>
            <w:tcBorders>
              <w:top w:val="single" w:sz="6" w:space="0" w:color="999999"/>
            </w:tcBorders>
          </w:tcPr>
          <w:p w14:paraId="73BF0D68"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Prevention</w:t>
            </w:r>
          </w:p>
          <w:p w14:paraId="037247DF"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Testing</w:t>
            </w:r>
          </w:p>
          <w:p w14:paraId="523BD781"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Treatment and care</w:t>
            </w:r>
          </w:p>
          <w:p w14:paraId="5CC7511E" w14:textId="77777777" w:rsidR="0075350D" w:rsidRPr="00882478" w:rsidRDefault="0075350D" w:rsidP="00287BE7">
            <w:pPr>
              <w:spacing w:after="0"/>
              <w:rPr>
                <w:rFonts w:ascii="Calibri" w:hAnsi="Calibri" w:cs="Arial"/>
                <w:b/>
                <w:sz w:val="18"/>
                <w:szCs w:val="18"/>
              </w:rPr>
            </w:pPr>
          </w:p>
        </w:tc>
        <w:tc>
          <w:tcPr>
            <w:tcW w:w="2790" w:type="dxa"/>
            <w:tcBorders>
              <w:top w:val="single" w:sz="6" w:space="0" w:color="999999"/>
            </w:tcBorders>
          </w:tcPr>
          <w:p w14:paraId="657FE342"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lastRenderedPageBreak/>
              <w:t>Victorians are supported to reduce their risk of acquiring hepatitis B.</w:t>
            </w:r>
          </w:p>
          <w:p w14:paraId="763E4260"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lastRenderedPageBreak/>
              <w:t>Victorians living with hepatitis B know their status.</w:t>
            </w:r>
          </w:p>
          <w:p w14:paraId="4D855030"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Victorians living with hepatitis B have access to best practice evidence-based treatment and care.</w:t>
            </w:r>
          </w:p>
          <w:p w14:paraId="0E623043"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Stigma, racism and discrimination are not a barrier to hepatitis B prevention, testing, treatment and care.</w:t>
            </w:r>
          </w:p>
          <w:p w14:paraId="67E22040" w14:textId="77777777" w:rsidR="0075350D" w:rsidRPr="00882478" w:rsidRDefault="0075350D" w:rsidP="00287BE7">
            <w:pPr>
              <w:pStyle w:val="Healthtablebullet"/>
              <w:numPr>
                <w:ilvl w:val="0"/>
                <w:numId w:val="0"/>
              </w:numPr>
              <w:spacing w:after="0" w:line="240" w:lineRule="auto"/>
              <w:rPr>
                <w:rFonts w:ascii="Calibri" w:hAnsi="Calibri" w:cs="Arial"/>
                <w:szCs w:val="18"/>
              </w:rPr>
            </w:pPr>
          </w:p>
        </w:tc>
        <w:tc>
          <w:tcPr>
            <w:tcW w:w="3402" w:type="dxa"/>
            <w:tcBorders>
              <w:top w:val="single" w:sz="6" w:space="0" w:color="999999"/>
            </w:tcBorders>
          </w:tcPr>
          <w:p w14:paraId="68FC3401" w14:textId="77777777" w:rsidR="0075350D" w:rsidRPr="00882478" w:rsidRDefault="0075350D" w:rsidP="00287BE7">
            <w:pPr>
              <w:pStyle w:val="Healthtablebullet"/>
              <w:numPr>
                <w:ilvl w:val="0"/>
                <w:numId w:val="0"/>
              </w:numPr>
              <w:spacing w:after="0" w:line="240" w:lineRule="auto"/>
              <w:ind w:left="284" w:hanging="284"/>
              <w:rPr>
                <w:rFonts w:ascii="Calibri" w:hAnsi="Calibri" w:cs="Arial"/>
                <w:b/>
                <w:bCs/>
                <w:szCs w:val="18"/>
              </w:rPr>
            </w:pPr>
            <w:r w:rsidRPr="00882478">
              <w:rPr>
                <w:rFonts w:ascii="Calibri" w:hAnsi="Calibri" w:cs="Arial"/>
                <w:b/>
                <w:bCs/>
                <w:szCs w:val="18"/>
              </w:rPr>
              <w:lastRenderedPageBreak/>
              <w:t>2025</w:t>
            </w:r>
          </w:p>
          <w:p w14:paraId="2E63F4C3"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Achieve and maintain childhood vaccination coverage of 95 per cent at birth, 12 and 24 months</w:t>
            </w:r>
          </w:p>
          <w:p w14:paraId="4BB1B3FB"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lastRenderedPageBreak/>
              <w:t xml:space="preserve">Achieve and maintain 100 per cent uptake of </w:t>
            </w:r>
            <w:proofErr w:type="spellStart"/>
            <w:r w:rsidRPr="00882478">
              <w:rPr>
                <w:rFonts w:ascii="Calibri" w:hAnsi="Calibri" w:cs="Arial"/>
                <w:szCs w:val="18"/>
              </w:rPr>
              <w:t>HBIg</w:t>
            </w:r>
            <w:proofErr w:type="spellEnd"/>
            <w:r w:rsidRPr="00882478">
              <w:rPr>
                <w:rFonts w:ascii="Calibri" w:hAnsi="Calibri" w:cs="Arial"/>
                <w:szCs w:val="18"/>
              </w:rPr>
              <w:t xml:space="preserve"> and birth dose vaccine for all infants born to women with chronic hepatitis B, and access to antiviral therapy in the third trimester of pregnancy for women with high hepatitis B viral load </w:t>
            </w:r>
          </w:p>
          <w:p w14:paraId="7B528789"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Reduce the number of new</w:t>
            </w:r>
            <w:r w:rsidRPr="00882478" w:rsidDel="00870A6B">
              <w:rPr>
                <w:rFonts w:ascii="Calibri" w:hAnsi="Calibri" w:cs="Arial"/>
                <w:szCs w:val="18"/>
              </w:rPr>
              <w:t>ly acquired</w:t>
            </w:r>
            <w:r w:rsidRPr="00882478">
              <w:rPr>
                <w:rFonts w:ascii="Calibri" w:hAnsi="Calibri" w:cs="Arial"/>
                <w:szCs w:val="18"/>
              </w:rPr>
              <w:t xml:space="preserve"> hepatitis B infections by 50 per cent, with a focus on priority populations</w:t>
            </w:r>
          </w:p>
          <w:p w14:paraId="28268D6E"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Increase the proportion of people living with chronic hepatitis B who are diagnosed to 75 per cent</w:t>
            </w:r>
          </w:p>
          <w:p w14:paraId="6A0C75C6"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Increase the total proportion of people living with chronic hepatitis B receiving care to 55 per cent. For people living with chronic hepatitis B and eligible for treatment, increase the proportion receiving antiviral treatment to 21 per cent</w:t>
            </w:r>
          </w:p>
          <w:p w14:paraId="7B0F0B56"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 xml:space="preserve">Reduce hepatitis B </w:t>
            </w:r>
            <w:r w:rsidRPr="00882478" w:rsidDel="00EB4E85">
              <w:rPr>
                <w:rFonts w:ascii="Calibri" w:hAnsi="Calibri" w:cs="Arial"/>
                <w:szCs w:val="18"/>
              </w:rPr>
              <w:t>attributable mortality</w:t>
            </w:r>
            <w:r w:rsidRPr="00882478">
              <w:rPr>
                <w:rFonts w:ascii="Calibri" w:hAnsi="Calibri" w:cs="Arial"/>
                <w:szCs w:val="18"/>
              </w:rPr>
              <w:t xml:space="preserve"> by 30 per cent (compared with 2017)</w:t>
            </w:r>
          </w:p>
          <w:p w14:paraId="0B32DD5A"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Reduce the reported experiences of stigma, racism and discrimination among people living with or affected by hepatitis B in health and social support settings to less than 10 per cent</w:t>
            </w:r>
          </w:p>
          <w:p w14:paraId="396289F5" w14:textId="77777777" w:rsidR="0075350D" w:rsidRPr="00882478" w:rsidRDefault="0075350D" w:rsidP="00287BE7">
            <w:pPr>
              <w:pStyle w:val="Healthtablebullet"/>
              <w:numPr>
                <w:ilvl w:val="0"/>
                <w:numId w:val="0"/>
              </w:numPr>
              <w:spacing w:after="0" w:line="240" w:lineRule="auto"/>
              <w:ind w:left="284" w:hanging="284"/>
              <w:rPr>
                <w:rFonts w:ascii="Calibri" w:hAnsi="Calibri" w:cs="Arial"/>
                <w:b/>
                <w:bCs/>
                <w:szCs w:val="18"/>
              </w:rPr>
            </w:pPr>
            <w:r w:rsidRPr="00882478">
              <w:rPr>
                <w:rFonts w:ascii="Calibri" w:hAnsi="Calibri" w:cs="Arial"/>
                <w:b/>
                <w:bCs/>
                <w:szCs w:val="18"/>
              </w:rPr>
              <w:t>2030</w:t>
            </w:r>
          </w:p>
          <w:p w14:paraId="145341B1"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Achieve and maintain childhood vaccination coverage of 95 per cent at birth, 12 and 24 months</w:t>
            </w:r>
          </w:p>
          <w:p w14:paraId="590BD3EE"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 xml:space="preserve">Achieve and maintain 100 per cent uptake of </w:t>
            </w:r>
            <w:proofErr w:type="spellStart"/>
            <w:r w:rsidRPr="00882478">
              <w:rPr>
                <w:rFonts w:ascii="Calibri" w:hAnsi="Calibri" w:cs="Arial"/>
                <w:szCs w:val="18"/>
              </w:rPr>
              <w:t>HBIg</w:t>
            </w:r>
            <w:proofErr w:type="spellEnd"/>
            <w:r w:rsidRPr="00882478">
              <w:rPr>
                <w:rFonts w:ascii="Calibri" w:hAnsi="Calibri" w:cs="Arial"/>
                <w:szCs w:val="18"/>
              </w:rPr>
              <w:t xml:space="preserve"> and birth dose vaccine for all infants born to women with chronic hepatitis B, and access to antiviral therapy in the third trimester of pregnancy for women with high hepatitis B viral load </w:t>
            </w:r>
          </w:p>
          <w:p w14:paraId="35CE26E1"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Reduce the number of new</w:t>
            </w:r>
            <w:r w:rsidRPr="00882478" w:rsidDel="00870A6B">
              <w:rPr>
                <w:rFonts w:ascii="Calibri" w:hAnsi="Calibri" w:cs="Arial"/>
                <w:szCs w:val="18"/>
              </w:rPr>
              <w:t>ly acquired</w:t>
            </w:r>
            <w:r w:rsidRPr="00882478">
              <w:rPr>
                <w:rFonts w:ascii="Calibri" w:hAnsi="Calibri" w:cs="Arial"/>
                <w:szCs w:val="18"/>
              </w:rPr>
              <w:t xml:space="preserve"> hepatitis B infections by 90 per cent, with a focus on priority populations</w:t>
            </w:r>
          </w:p>
          <w:p w14:paraId="40B66246"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Increase the proportion of people living with chronic hepatitis B who are diagnosed to 90 per cent</w:t>
            </w:r>
          </w:p>
          <w:p w14:paraId="2FE4FDC8"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Increase the total proportion of people living with chronic hepatitis B receiving care to 90 per cent. For people living with chronic hepatitis B and eligible for treatment, increase the proportion receiving antiviral treatment to 27 per cent</w:t>
            </w:r>
          </w:p>
          <w:p w14:paraId="7EE8C023"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Reduce hepatitis B-</w:t>
            </w:r>
            <w:r w:rsidRPr="00882478" w:rsidDel="00133026">
              <w:rPr>
                <w:rFonts w:ascii="Calibri" w:hAnsi="Calibri" w:cs="Arial"/>
                <w:szCs w:val="18"/>
              </w:rPr>
              <w:t>attributable mortality</w:t>
            </w:r>
            <w:r w:rsidRPr="00882478">
              <w:rPr>
                <w:rFonts w:ascii="Calibri" w:hAnsi="Calibri" w:cs="Arial"/>
                <w:szCs w:val="18"/>
              </w:rPr>
              <w:t xml:space="preserve"> by 35 per cent (compared with 2017)</w:t>
            </w:r>
          </w:p>
          <w:p w14:paraId="422000CA"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Reduce the reported experiences of stigma, racism and discrimination among people living with or affected by hepatitis B in health and social support settings to less than 10 per cent</w:t>
            </w:r>
          </w:p>
          <w:p w14:paraId="6D5C89A6" w14:textId="71DDEBEA" w:rsidR="0075350D" w:rsidRPr="00882478" w:rsidRDefault="0075350D" w:rsidP="00287BE7">
            <w:pPr>
              <w:pStyle w:val="Healthtablebullet"/>
              <w:spacing w:after="0" w:line="240" w:lineRule="auto"/>
              <w:rPr>
                <w:szCs w:val="18"/>
              </w:rPr>
            </w:pPr>
            <w:r w:rsidRPr="00882478">
              <w:rPr>
                <w:rFonts w:ascii="Calibri" w:hAnsi="Calibri" w:cs="Arial"/>
                <w:szCs w:val="18"/>
              </w:rPr>
              <w:lastRenderedPageBreak/>
              <w:t>Eliminate mother-to-child transmission of hepatitis B</w:t>
            </w:r>
          </w:p>
        </w:tc>
        <w:tc>
          <w:tcPr>
            <w:tcW w:w="2261" w:type="dxa"/>
            <w:tcBorders>
              <w:top w:val="single" w:sz="6" w:space="0" w:color="999999"/>
            </w:tcBorders>
          </w:tcPr>
          <w:p w14:paraId="1219A343"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lastRenderedPageBreak/>
              <w:t>culturally diverse people</w:t>
            </w:r>
          </w:p>
          <w:p w14:paraId="7C9901DA"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people living with hepatitis B</w:t>
            </w:r>
          </w:p>
          <w:p w14:paraId="14E8F119"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lastRenderedPageBreak/>
              <w:t>Aboriginal people</w:t>
            </w:r>
          </w:p>
          <w:p w14:paraId="47760AF2"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pregnant women with hepatitis B and their children, and children with hepatitis B</w:t>
            </w:r>
          </w:p>
          <w:p w14:paraId="168ECEF7" w14:textId="77777777" w:rsidR="0075350D" w:rsidRPr="00882478" w:rsidRDefault="0075350D" w:rsidP="00287BE7">
            <w:pPr>
              <w:pStyle w:val="Healthtablebullet"/>
              <w:spacing w:after="0" w:line="240" w:lineRule="auto"/>
              <w:rPr>
                <w:rFonts w:ascii="Calibri" w:hAnsi="Calibri" w:cs="Arial"/>
                <w:szCs w:val="18"/>
              </w:rPr>
            </w:pPr>
            <w:r w:rsidRPr="00882478">
              <w:rPr>
                <w:rFonts w:ascii="Calibri" w:hAnsi="Calibri" w:cs="Arial"/>
                <w:szCs w:val="18"/>
              </w:rPr>
              <w:t>unvaccinated adults at higher risk of infection</w:t>
            </w:r>
          </w:p>
          <w:p w14:paraId="7FA6A687" w14:textId="77777777" w:rsidR="0075350D" w:rsidRPr="00882478" w:rsidRDefault="0075350D" w:rsidP="00287BE7">
            <w:pPr>
              <w:pStyle w:val="Healthtablebullet"/>
              <w:numPr>
                <w:ilvl w:val="0"/>
                <w:numId w:val="0"/>
              </w:numPr>
              <w:spacing w:after="0" w:line="240" w:lineRule="auto"/>
              <w:ind w:left="284"/>
              <w:rPr>
                <w:rFonts w:ascii="Calibri" w:hAnsi="Calibri" w:cs="Arial"/>
                <w:b/>
                <w:szCs w:val="18"/>
              </w:rPr>
            </w:pPr>
          </w:p>
        </w:tc>
      </w:tr>
    </w:tbl>
    <w:p w14:paraId="025C5B89" w14:textId="77777777" w:rsidR="0075350D" w:rsidRPr="000527C8" w:rsidRDefault="0075350D" w:rsidP="0075350D">
      <w:pPr>
        <w:pStyle w:val="Healthtablebullet"/>
        <w:numPr>
          <w:ilvl w:val="0"/>
          <w:numId w:val="0"/>
        </w:numPr>
        <w:spacing w:after="0" w:line="240" w:lineRule="auto"/>
        <w:rPr>
          <w:rFonts w:ascii="Calibri" w:hAnsi="Calibri" w:cs="Arial"/>
          <w:sz w:val="20"/>
          <w:szCs w:val="20"/>
        </w:rPr>
      </w:pPr>
    </w:p>
    <w:tbl>
      <w:tblPr>
        <w:tblStyle w:val="TableGrid"/>
        <w:tblW w:w="5000" w:type="pct"/>
        <w:tblLook w:val="01E0" w:firstRow="1" w:lastRow="1" w:firstColumn="1" w:lastColumn="1" w:noHBand="0" w:noVBand="0"/>
      </w:tblPr>
      <w:tblGrid>
        <w:gridCol w:w="1691"/>
        <w:gridCol w:w="2835"/>
        <w:gridCol w:w="3401"/>
        <w:gridCol w:w="2257"/>
      </w:tblGrid>
      <w:tr w:rsidR="0075350D" w14:paraId="604A0873" w14:textId="77777777">
        <w:tc>
          <w:tcPr>
            <w:tcW w:w="5000" w:type="pct"/>
            <w:gridSpan w:val="4"/>
            <w:tcBorders>
              <w:top w:val="single" w:sz="8" w:space="0" w:color="999999"/>
              <w:left w:val="single" w:sz="8" w:space="0" w:color="999999"/>
              <w:bottom w:val="single" w:sz="8" w:space="0" w:color="999999"/>
              <w:right w:val="single" w:sz="8" w:space="0" w:color="999999"/>
            </w:tcBorders>
            <w:shd w:val="clear" w:color="auto" w:fill="D9D9D9" w:themeFill="background1" w:themeFillShade="D9"/>
          </w:tcPr>
          <w:p w14:paraId="2C304A2C" w14:textId="77777777" w:rsidR="0075350D" w:rsidRPr="009B20E4" w:rsidRDefault="0075350D" w:rsidP="009B20E4">
            <w:pPr>
              <w:spacing w:after="0" w:line="240" w:lineRule="auto"/>
              <w:jc w:val="center"/>
              <w:rPr>
                <w:sz w:val="18"/>
                <w:szCs w:val="18"/>
              </w:rPr>
            </w:pPr>
            <w:r w:rsidRPr="009B20E4">
              <w:rPr>
                <w:rFonts w:ascii="Calibri" w:eastAsia="Calibri" w:hAnsi="Calibri" w:cs="Calibri"/>
                <w:b/>
                <w:bCs/>
                <w:sz w:val="18"/>
                <w:szCs w:val="18"/>
              </w:rPr>
              <w:t>Victorian hepatitis C plan 2022–30</w:t>
            </w:r>
          </w:p>
          <w:p w14:paraId="539A44B0" w14:textId="77777777" w:rsidR="0075350D" w:rsidRPr="009B20E4" w:rsidRDefault="0075350D" w:rsidP="009B20E4">
            <w:pPr>
              <w:spacing w:after="0" w:line="240" w:lineRule="auto"/>
              <w:rPr>
                <w:sz w:val="18"/>
                <w:szCs w:val="18"/>
              </w:rPr>
            </w:pPr>
          </w:p>
        </w:tc>
      </w:tr>
      <w:tr w:rsidR="0075350D" w14:paraId="5E86E0AC" w14:textId="77777777">
        <w:tc>
          <w:tcPr>
            <w:tcW w:w="5000" w:type="pct"/>
            <w:gridSpan w:val="4"/>
            <w:tcBorders>
              <w:top w:val="single" w:sz="8" w:space="0" w:color="999999"/>
              <w:left w:val="single" w:sz="8" w:space="0" w:color="999999"/>
              <w:bottom w:val="single" w:sz="8" w:space="0" w:color="999999"/>
              <w:right w:val="single" w:sz="8" w:space="0" w:color="999999"/>
            </w:tcBorders>
          </w:tcPr>
          <w:p w14:paraId="13330EEE" w14:textId="77777777" w:rsidR="0075350D" w:rsidRPr="009B20E4" w:rsidRDefault="0075350D" w:rsidP="009B20E4">
            <w:pPr>
              <w:spacing w:after="0" w:line="240" w:lineRule="auto"/>
              <w:rPr>
                <w:rFonts w:ascii="Calibri" w:eastAsia="Calibri" w:hAnsi="Calibri" w:cs="Calibri"/>
                <w:sz w:val="18"/>
                <w:szCs w:val="18"/>
              </w:rPr>
            </w:pPr>
            <w:r w:rsidRPr="009B20E4">
              <w:rPr>
                <w:rFonts w:ascii="Calibri" w:eastAsia="Calibri" w:hAnsi="Calibri" w:cs="Calibri"/>
                <w:b/>
                <w:bCs/>
                <w:sz w:val="18"/>
                <w:szCs w:val="18"/>
              </w:rPr>
              <w:t>Vision</w:t>
            </w:r>
          </w:p>
          <w:p w14:paraId="28D06A33" w14:textId="77777777" w:rsidR="0075350D" w:rsidRPr="009B20E4" w:rsidRDefault="0075350D" w:rsidP="009B20E4">
            <w:pPr>
              <w:spacing w:after="0" w:line="240" w:lineRule="auto"/>
              <w:rPr>
                <w:rFonts w:ascii="Calibri" w:eastAsia="Calibri" w:hAnsi="Calibri" w:cs="Calibri"/>
                <w:sz w:val="18"/>
                <w:szCs w:val="18"/>
              </w:rPr>
            </w:pPr>
            <w:r w:rsidRPr="009B20E4">
              <w:rPr>
                <w:rFonts w:ascii="Calibri" w:eastAsia="Calibri" w:hAnsi="Calibri" w:cs="Calibri"/>
                <w:sz w:val="18"/>
                <w:szCs w:val="18"/>
              </w:rPr>
              <w:t>Eliminate hepatitis C as a public health concern by 2030.</w:t>
            </w:r>
          </w:p>
        </w:tc>
      </w:tr>
      <w:tr w:rsidR="0075350D" w14:paraId="5E149A62" w14:textId="77777777">
        <w:tc>
          <w:tcPr>
            <w:tcW w:w="830" w:type="pct"/>
            <w:tcBorders>
              <w:top w:val="single" w:sz="8" w:space="0" w:color="999999"/>
              <w:left w:val="single" w:sz="8" w:space="0" w:color="999999"/>
              <w:bottom w:val="single" w:sz="8" w:space="0" w:color="999999"/>
              <w:right w:val="single" w:sz="8" w:space="0" w:color="999999"/>
            </w:tcBorders>
          </w:tcPr>
          <w:p w14:paraId="7765FE86" w14:textId="77777777" w:rsidR="0075350D" w:rsidRPr="009B20E4" w:rsidRDefault="0075350D" w:rsidP="009B20E4">
            <w:pPr>
              <w:spacing w:after="0" w:line="240" w:lineRule="auto"/>
              <w:rPr>
                <w:sz w:val="18"/>
                <w:szCs w:val="18"/>
              </w:rPr>
            </w:pPr>
            <w:r w:rsidRPr="009B20E4">
              <w:rPr>
                <w:rFonts w:ascii="Calibri" w:eastAsia="Calibri" w:hAnsi="Calibri" w:cs="Calibri"/>
                <w:b/>
                <w:bCs/>
                <w:sz w:val="18"/>
                <w:szCs w:val="18"/>
              </w:rPr>
              <w:t xml:space="preserve">Priority </w:t>
            </w:r>
            <w:proofErr w:type="gramStart"/>
            <w:r w:rsidRPr="009B20E4">
              <w:rPr>
                <w:rFonts w:ascii="Calibri" w:eastAsia="Calibri" w:hAnsi="Calibri" w:cs="Calibri"/>
                <w:b/>
                <w:bCs/>
                <w:sz w:val="18"/>
                <w:szCs w:val="18"/>
              </w:rPr>
              <w:t>focus</w:t>
            </w:r>
            <w:proofErr w:type="gramEnd"/>
            <w:r w:rsidRPr="009B20E4">
              <w:rPr>
                <w:rFonts w:ascii="Calibri" w:eastAsia="Calibri" w:hAnsi="Calibri" w:cs="Calibri"/>
                <w:b/>
                <w:bCs/>
                <w:sz w:val="18"/>
                <w:szCs w:val="18"/>
              </w:rPr>
              <w:t xml:space="preserve"> areas </w:t>
            </w:r>
          </w:p>
        </w:tc>
        <w:tc>
          <w:tcPr>
            <w:tcW w:w="1392" w:type="pct"/>
            <w:tcBorders>
              <w:top w:val="nil"/>
              <w:left w:val="single" w:sz="8" w:space="0" w:color="999999"/>
              <w:bottom w:val="single" w:sz="8" w:space="0" w:color="999999"/>
              <w:right w:val="single" w:sz="8" w:space="0" w:color="999999"/>
            </w:tcBorders>
          </w:tcPr>
          <w:p w14:paraId="1EE244EE" w14:textId="77777777" w:rsidR="0075350D" w:rsidRPr="009B20E4" w:rsidRDefault="0075350D" w:rsidP="009B20E4">
            <w:pPr>
              <w:spacing w:after="0" w:line="240" w:lineRule="auto"/>
              <w:rPr>
                <w:sz w:val="18"/>
                <w:szCs w:val="18"/>
              </w:rPr>
            </w:pPr>
            <w:r w:rsidRPr="009B20E4">
              <w:rPr>
                <w:rFonts w:ascii="Calibri" w:eastAsia="Calibri" w:hAnsi="Calibri" w:cs="Calibri"/>
                <w:b/>
                <w:bCs/>
                <w:sz w:val="18"/>
                <w:szCs w:val="18"/>
              </w:rPr>
              <w:t>Goals</w:t>
            </w:r>
          </w:p>
        </w:tc>
        <w:tc>
          <w:tcPr>
            <w:tcW w:w="1670" w:type="pct"/>
            <w:tcBorders>
              <w:top w:val="nil"/>
              <w:left w:val="single" w:sz="8" w:space="0" w:color="999999"/>
              <w:bottom w:val="single" w:sz="8" w:space="0" w:color="999999"/>
              <w:right w:val="single" w:sz="8" w:space="0" w:color="999999"/>
            </w:tcBorders>
          </w:tcPr>
          <w:p w14:paraId="697B27D0" w14:textId="77777777" w:rsidR="0075350D" w:rsidRPr="009B20E4" w:rsidRDefault="0075350D" w:rsidP="009B20E4">
            <w:pPr>
              <w:spacing w:after="0" w:line="240" w:lineRule="auto"/>
              <w:rPr>
                <w:rFonts w:ascii="Calibri" w:eastAsia="Calibri" w:hAnsi="Calibri" w:cs="Calibri"/>
                <w:b/>
                <w:bCs/>
                <w:sz w:val="18"/>
                <w:szCs w:val="18"/>
              </w:rPr>
            </w:pPr>
            <w:r w:rsidRPr="009B20E4">
              <w:rPr>
                <w:rFonts w:ascii="Calibri" w:eastAsia="Calibri" w:hAnsi="Calibri" w:cs="Calibri"/>
                <w:b/>
                <w:bCs/>
                <w:sz w:val="18"/>
                <w:szCs w:val="18"/>
              </w:rPr>
              <w:t>Targets for 2025/2030</w:t>
            </w:r>
          </w:p>
        </w:tc>
        <w:tc>
          <w:tcPr>
            <w:tcW w:w="1108" w:type="pct"/>
            <w:tcBorders>
              <w:top w:val="nil"/>
              <w:left w:val="single" w:sz="8" w:space="0" w:color="999999"/>
              <w:bottom w:val="single" w:sz="8" w:space="0" w:color="999999"/>
              <w:right w:val="single" w:sz="8" w:space="0" w:color="999999"/>
            </w:tcBorders>
          </w:tcPr>
          <w:p w14:paraId="34B35019" w14:textId="77777777" w:rsidR="0075350D" w:rsidRPr="009B20E4" w:rsidRDefault="0075350D" w:rsidP="009B20E4">
            <w:pPr>
              <w:spacing w:after="0" w:line="240" w:lineRule="auto"/>
              <w:rPr>
                <w:sz w:val="18"/>
                <w:szCs w:val="18"/>
              </w:rPr>
            </w:pPr>
            <w:r w:rsidRPr="009B20E4">
              <w:rPr>
                <w:rFonts w:ascii="Calibri" w:eastAsia="Calibri" w:hAnsi="Calibri" w:cs="Calibri"/>
                <w:b/>
                <w:bCs/>
                <w:sz w:val="18"/>
                <w:szCs w:val="18"/>
              </w:rPr>
              <w:t>Priority Population Groups</w:t>
            </w:r>
          </w:p>
        </w:tc>
      </w:tr>
      <w:tr w:rsidR="0075350D" w14:paraId="5E342033" w14:textId="77777777">
        <w:trPr>
          <w:trHeight w:val="60"/>
        </w:trPr>
        <w:tc>
          <w:tcPr>
            <w:tcW w:w="830" w:type="pct"/>
            <w:tcBorders>
              <w:top w:val="single" w:sz="8" w:space="0" w:color="999999"/>
              <w:left w:val="single" w:sz="8" w:space="0" w:color="999999"/>
              <w:bottom w:val="single" w:sz="8" w:space="0" w:color="999999"/>
              <w:right w:val="single" w:sz="8" w:space="0" w:color="999999"/>
            </w:tcBorders>
          </w:tcPr>
          <w:p w14:paraId="5773907F"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Prevention</w:t>
            </w:r>
          </w:p>
          <w:p w14:paraId="077B2B63"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Testing</w:t>
            </w:r>
          </w:p>
          <w:p w14:paraId="1B3C20E0" w14:textId="77777777" w:rsidR="0075350D" w:rsidRPr="00287BE7" w:rsidRDefault="0075350D" w:rsidP="0089654D">
            <w:pPr>
              <w:pStyle w:val="Healthtablebullet"/>
              <w:spacing w:after="0" w:line="240" w:lineRule="auto"/>
              <w:rPr>
                <w:szCs w:val="18"/>
              </w:rPr>
            </w:pPr>
            <w:r w:rsidRPr="00287BE7">
              <w:rPr>
                <w:rFonts w:ascii="Calibri" w:hAnsi="Calibri" w:cs="Arial"/>
                <w:szCs w:val="18"/>
              </w:rPr>
              <w:t>Treatment and care</w:t>
            </w:r>
          </w:p>
        </w:tc>
        <w:tc>
          <w:tcPr>
            <w:tcW w:w="1392" w:type="pct"/>
            <w:tcBorders>
              <w:top w:val="single" w:sz="8" w:space="0" w:color="999999"/>
              <w:left w:val="single" w:sz="8" w:space="0" w:color="999999"/>
              <w:bottom w:val="single" w:sz="8" w:space="0" w:color="999999"/>
              <w:right w:val="single" w:sz="8" w:space="0" w:color="999999"/>
            </w:tcBorders>
          </w:tcPr>
          <w:p w14:paraId="6CC5F5C8"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Victorians are supported to reduce their risk of acquiring hepatitis C.</w:t>
            </w:r>
          </w:p>
          <w:p w14:paraId="0172F3A5"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Victorians living with hepatitis C know their status.</w:t>
            </w:r>
          </w:p>
          <w:p w14:paraId="31F9A954"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Victorians living with hepatitis C have access to best practice evidence-based treatment and care.</w:t>
            </w:r>
          </w:p>
          <w:p w14:paraId="51E1D1AF" w14:textId="77777777" w:rsidR="0075350D" w:rsidRPr="00287BE7" w:rsidDel="0047676E" w:rsidRDefault="0075350D" w:rsidP="0089654D">
            <w:pPr>
              <w:pStyle w:val="Healthtablebullet"/>
              <w:spacing w:after="0" w:line="240" w:lineRule="auto"/>
              <w:rPr>
                <w:rFonts w:ascii="Calibri" w:hAnsi="Calibri" w:cs="Arial"/>
                <w:szCs w:val="18"/>
              </w:rPr>
            </w:pPr>
            <w:r w:rsidRPr="00287BE7" w:rsidDel="0047676E">
              <w:rPr>
                <w:rFonts w:ascii="Calibri" w:hAnsi="Calibri" w:cs="Arial"/>
                <w:szCs w:val="18"/>
              </w:rPr>
              <w:t xml:space="preserve">Victorians </w:t>
            </w:r>
            <w:r w:rsidRPr="00287BE7">
              <w:rPr>
                <w:rFonts w:ascii="Calibri" w:hAnsi="Calibri" w:cs="Arial"/>
                <w:szCs w:val="18"/>
              </w:rPr>
              <w:t xml:space="preserve">living </w:t>
            </w:r>
            <w:r w:rsidRPr="00287BE7" w:rsidDel="0047676E">
              <w:rPr>
                <w:rFonts w:ascii="Calibri" w:hAnsi="Calibri" w:cs="Arial"/>
                <w:szCs w:val="18"/>
              </w:rPr>
              <w:t>with hepatitis C are cured of the disease</w:t>
            </w:r>
            <w:r w:rsidRPr="00287BE7">
              <w:rPr>
                <w:rFonts w:ascii="Calibri" w:hAnsi="Calibri" w:cs="Arial"/>
                <w:szCs w:val="18"/>
              </w:rPr>
              <w:t>.</w:t>
            </w:r>
          </w:p>
          <w:p w14:paraId="5F360791" w14:textId="77777777" w:rsidR="0075350D" w:rsidRPr="00287BE7" w:rsidRDefault="0075350D" w:rsidP="0089654D">
            <w:pPr>
              <w:pStyle w:val="Healthtablebullet"/>
              <w:spacing w:after="0" w:line="240" w:lineRule="auto"/>
              <w:rPr>
                <w:szCs w:val="18"/>
              </w:rPr>
            </w:pPr>
            <w:r w:rsidRPr="00287BE7">
              <w:rPr>
                <w:rFonts w:ascii="Calibri" w:hAnsi="Calibri" w:cs="Arial"/>
                <w:szCs w:val="18"/>
              </w:rPr>
              <w:t>Stigma, racism and discrimination are not a barrier to hepatitis C prevention, testing and treatment and care.</w:t>
            </w:r>
          </w:p>
        </w:tc>
        <w:tc>
          <w:tcPr>
            <w:tcW w:w="1670" w:type="pct"/>
            <w:tcBorders>
              <w:top w:val="single" w:sz="8" w:space="0" w:color="999999"/>
              <w:left w:val="single" w:sz="8" w:space="0" w:color="999999"/>
              <w:bottom w:val="single" w:sz="8" w:space="0" w:color="999999"/>
              <w:right w:val="single" w:sz="8" w:space="0" w:color="999999"/>
            </w:tcBorders>
          </w:tcPr>
          <w:p w14:paraId="36CD37DE" w14:textId="77777777" w:rsidR="0075350D" w:rsidRPr="00287BE7" w:rsidRDefault="0075350D" w:rsidP="0089654D">
            <w:pPr>
              <w:spacing w:after="0" w:line="240" w:lineRule="auto"/>
              <w:rPr>
                <w:rFonts w:ascii="Calibri" w:eastAsia="Calibri" w:hAnsi="Calibri" w:cs="Calibri"/>
                <w:b/>
                <w:bCs/>
                <w:sz w:val="18"/>
                <w:szCs w:val="18"/>
              </w:rPr>
            </w:pPr>
            <w:r w:rsidRPr="00287BE7">
              <w:rPr>
                <w:rFonts w:ascii="Calibri" w:eastAsia="Calibri" w:hAnsi="Calibri" w:cs="Calibri"/>
                <w:b/>
                <w:bCs/>
                <w:sz w:val="18"/>
                <w:szCs w:val="18"/>
              </w:rPr>
              <w:t>2025</w:t>
            </w:r>
          </w:p>
          <w:p w14:paraId="79E51297"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Reduce the number of new</w:t>
            </w:r>
            <w:r w:rsidRPr="00287BE7" w:rsidDel="00CE3B0A">
              <w:rPr>
                <w:rFonts w:ascii="Calibri" w:hAnsi="Calibri" w:cs="Arial"/>
                <w:szCs w:val="18"/>
              </w:rPr>
              <w:t>ly acquired</w:t>
            </w:r>
            <w:r w:rsidRPr="00287BE7">
              <w:rPr>
                <w:rFonts w:ascii="Calibri" w:hAnsi="Calibri" w:cs="Arial"/>
                <w:szCs w:val="18"/>
              </w:rPr>
              <w:t xml:space="preserve"> hepatitis C infections, with a focus on priority populations, by 56 per cent (compared with 2015)</w:t>
            </w:r>
          </w:p>
          <w:p w14:paraId="64072DFA"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Increase the proportion of people living with hepatitis C who are diagnosed to 91 per cent</w:t>
            </w:r>
          </w:p>
          <w:p w14:paraId="027BCB3B"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Increase the cumulative proportion of people living with chronic hepatitis C who have initiated DAA treatment to 72 per cent</w:t>
            </w:r>
          </w:p>
          <w:p w14:paraId="62305020"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Reduce hepatitis C–</w:t>
            </w:r>
            <w:r w:rsidRPr="00287BE7" w:rsidDel="00CE3B0A">
              <w:rPr>
                <w:rFonts w:ascii="Calibri" w:hAnsi="Calibri" w:cs="Arial"/>
                <w:szCs w:val="18"/>
              </w:rPr>
              <w:t>attributable mortality</w:t>
            </w:r>
            <w:r w:rsidRPr="00287BE7">
              <w:rPr>
                <w:rFonts w:ascii="Calibri" w:hAnsi="Calibri" w:cs="Arial"/>
                <w:szCs w:val="18"/>
              </w:rPr>
              <w:t xml:space="preserve"> by 16 per cent (compared with 2015)</w:t>
            </w:r>
          </w:p>
          <w:p w14:paraId="727ED695"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Reduce the reported experiences of stigma, racism and discrimination among people living with or affected by hepatitis C in health and social support settings to less than 10</w:t>
            </w:r>
            <w:r w:rsidRPr="00287BE7" w:rsidDel="00996481">
              <w:rPr>
                <w:rFonts w:ascii="Calibri" w:hAnsi="Calibri" w:cs="Arial"/>
                <w:szCs w:val="18"/>
              </w:rPr>
              <w:t xml:space="preserve"> </w:t>
            </w:r>
            <w:r w:rsidRPr="00287BE7">
              <w:rPr>
                <w:rFonts w:ascii="Calibri" w:hAnsi="Calibri" w:cs="Arial"/>
                <w:szCs w:val="18"/>
              </w:rPr>
              <w:t>per cent</w:t>
            </w:r>
          </w:p>
          <w:p w14:paraId="06FB05BF" w14:textId="77777777" w:rsidR="0075350D" w:rsidRPr="00287BE7" w:rsidRDefault="0075350D" w:rsidP="0089654D">
            <w:pPr>
              <w:spacing w:after="0" w:line="240" w:lineRule="auto"/>
              <w:rPr>
                <w:rFonts w:ascii="Calibri" w:eastAsia="Calibri" w:hAnsi="Calibri" w:cs="Calibri"/>
                <w:sz w:val="18"/>
                <w:szCs w:val="18"/>
              </w:rPr>
            </w:pPr>
            <w:r w:rsidRPr="00287BE7">
              <w:rPr>
                <w:rFonts w:ascii="Calibri" w:eastAsia="Calibri" w:hAnsi="Calibri" w:cs="Calibri"/>
                <w:b/>
                <w:bCs/>
                <w:sz w:val="18"/>
                <w:szCs w:val="18"/>
              </w:rPr>
              <w:t>2030</w:t>
            </w:r>
          </w:p>
          <w:p w14:paraId="67182E5A"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Reduce the number of new</w:t>
            </w:r>
            <w:r w:rsidRPr="00287BE7" w:rsidDel="00CE3B0A">
              <w:rPr>
                <w:rFonts w:ascii="Calibri" w:hAnsi="Calibri" w:cs="Arial"/>
                <w:szCs w:val="18"/>
              </w:rPr>
              <w:t>ly acquired</w:t>
            </w:r>
            <w:r w:rsidRPr="00287BE7">
              <w:rPr>
                <w:rFonts w:ascii="Calibri" w:hAnsi="Calibri" w:cs="Arial"/>
                <w:szCs w:val="18"/>
              </w:rPr>
              <w:t xml:space="preserve"> hepatitis C infections, with a focus on priority populations, by 90 per cent (compared with 2015)</w:t>
            </w:r>
          </w:p>
          <w:p w14:paraId="25B714DA"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Increase the proportion of people living with hepatitis C who are diagnosed to 97 per cent</w:t>
            </w:r>
          </w:p>
          <w:p w14:paraId="7BA7C715"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 xml:space="preserve">Increase the cumulative proportion of people living with </w:t>
            </w:r>
            <w:r w:rsidRPr="00287BE7" w:rsidDel="00211122">
              <w:rPr>
                <w:rFonts w:ascii="Calibri" w:hAnsi="Calibri" w:cs="Arial"/>
                <w:szCs w:val="18"/>
              </w:rPr>
              <w:t xml:space="preserve">chronic </w:t>
            </w:r>
            <w:r w:rsidRPr="00287BE7">
              <w:rPr>
                <w:rFonts w:ascii="Calibri" w:hAnsi="Calibri" w:cs="Arial"/>
                <w:szCs w:val="18"/>
              </w:rPr>
              <w:t>hepatitis C who have initiated DAA treatment to 96 per cent</w:t>
            </w:r>
          </w:p>
          <w:p w14:paraId="6E8D734D"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Reduce hepatitis C–</w:t>
            </w:r>
            <w:r w:rsidRPr="00287BE7" w:rsidDel="00F238CF">
              <w:rPr>
                <w:rFonts w:ascii="Calibri" w:hAnsi="Calibri" w:cs="Arial"/>
                <w:szCs w:val="18"/>
              </w:rPr>
              <w:t>attributable mortality</w:t>
            </w:r>
            <w:r w:rsidRPr="00287BE7">
              <w:rPr>
                <w:rFonts w:ascii="Calibri" w:hAnsi="Calibri" w:cs="Arial"/>
                <w:szCs w:val="18"/>
              </w:rPr>
              <w:t xml:space="preserve"> by 67 per cent (compared with 2015)</w:t>
            </w:r>
          </w:p>
          <w:p w14:paraId="1E2E0B95" w14:textId="3340A137" w:rsidR="0075350D" w:rsidRPr="00287BE7" w:rsidRDefault="0075350D" w:rsidP="0089654D">
            <w:pPr>
              <w:pStyle w:val="Healthtablebullet"/>
              <w:spacing w:after="0" w:line="240" w:lineRule="auto"/>
              <w:rPr>
                <w:rFonts w:cs="Calibri"/>
                <w:szCs w:val="18"/>
              </w:rPr>
            </w:pPr>
            <w:r w:rsidRPr="00287BE7">
              <w:rPr>
                <w:rFonts w:ascii="Calibri" w:hAnsi="Calibri" w:cs="Arial"/>
                <w:szCs w:val="18"/>
              </w:rPr>
              <w:t>Reduce the reported experiences of stigma, racism and discrimination among people living with or affected by hepatitis C in health and social support settings to less than 10 per cent</w:t>
            </w:r>
            <w:r w:rsidRPr="00287BE7" w:rsidDel="00AD4364">
              <w:rPr>
                <w:rFonts w:ascii="Calibri" w:hAnsi="Calibri" w:cs="Arial"/>
                <w:szCs w:val="18"/>
              </w:rPr>
              <w:t xml:space="preserve"> </w:t>
            </w:r>
          </w:p>
        </w:tc>
        <w:tc>
          <w:tcPr>
            <w:tcW w:w="1108" w:type="pct"/>
            <w:tcBorders>
              <w:top w:val="single" w:sz="8" w:space="0" w:color="999999"/>
              <w:left w:val="single" w:sz="8" w:space="0" w:color="999999"/>
              <w:bottom w:val="single" w:sz="8" w:space="0" w:color="999999"/>
              <w:right w:val="single" w:sz="8" w:space="0" w:color="999999"/>
            </w:tcBorders>
          </w:tcPr>
          <w:p w14:paraId="677F0E52"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people who use drugs or are accessing a drug treatment program</w:t>
            </w:r>
          </w:p>
          <w:p w14:paraId="10554CAA"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people living with hepatitis C</w:t>
            </w:r>
          </w:p>
          <w:p w14:paraId="336AC650"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Aboriginal people</w:t>
            </w:r>
          </w:p>
          <w:p w14:paraId="2246B984"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people in custodial settings</w:t>
            </w:r>
          </w:p>
          <w:p w14:paraId="0E47B740"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culturally diverse people</w:t>
            </w:r>
          </w:p>
          <w:p w14:paraId="704DD1DD" w14:textId="77777777" w:rsidR="0075350D" w:rsidRPr="00287BE7" w:rsidRDefault="0075350D" w:rsidP="0089654D">
            <w:pPr>
              <w:pStyle w:val="Healthtablebullet"/>
              <w:spacing w:after="0" w:line="240" w:lineRule="auto"/>
              <w:rPr>
                <w:rFonts w:ascii="Calibri" w:hAnsi="Calibri" w:cs="Arial"/>
                <w:szCs w:val="18"/>
              </w:rPr>
            </w:pPr>
            <w:r w:rsidRPr="00287BE7">
              <w:rPr>
                <w:rFonts w:ascii="Calibri" w:hAnsi="Calibri" w:cs="Arial"/>
                <w:szCs w:val="18"/>
              </w:rPr>
              <w:t>HIV-positive men who have sex with men</w:t>
            </w:r>
          </w:p>
          <w:p w14:paraId="7478ED4A" w14:textId="77777777" w:rsidR="0075350D" w:rsidRPr="00287BE7" w:rsidRDefault="0075350D" w:rsidP="0089654D">
            <w:pPr>
              <w:pStyle w:val="Healthtablebullet"/>
              <w:spacing w:after="0" w:line="240" w:lineRule="auto"/>
              <w:rPr>
                <w:rFonts w:ascii="Calibri" w:eastAsia="Calibri" w:hAnsi="Calibri"/>
                <w:szCs w:val="18"/>
              </w:rPr>
            </w:pPr>
            <w:r w:rsidRPr="00287BE7">
              <w:rPr>
                <w:rFonts w:ascii="Calibri" w:hAnsi="Calibri" w:cs="Arial"/>
                <w:szCs w:val="18"/>
              </w:rPr>
              <w:t>Sex workers</w:t>
            </w:r>
          </w:p>
        </w:tc>
      </w:tr>
    </w:tbl>
    <w:p w14:paraId="10C42929" w14:textId="77777777" w:rsidR="0075350D" w:rsidRDefault="0075350D" w:rsidP="0075350D">
      <w:pPr>
        <w:pStyle w:val="Body"/>
      </w:pPr>
    </w:p>
    <w:tbl>
      <w:tblPr>
        <w:tblStyle w:val="TableGrid"/>
        <w:tblW w:w="5000" w:type="pct"/>
        <w:tblLook w:val="01E0" w:firstRow="1" w:lastRow="1" w:firstColumn="1" w:lastColumn="1" w:noHBand="0" w:noVBand="0"/>
      </w:tblPr>
      <w:tblGrid>
        <w:gridCol w:w="1691"/>
        <w:gridCol w:w="2835"/>
        <w:gridCol w:w="3401"/>
        <w:gridCol w:w="2257"/>
      </w:tblGrid>
      <w:tr w:rsidR="0075350D" w14:paraId="2C2260A3" w14:textId="77777777">
        <w:tc>
          <w:tcPr>
            <w:tcW w:w="5000" w:type="pct"/>
            <w:gridSpan w:val="4"/>
            <w:tcBorders>
              <w:top w:val="single" w:sz="8" w:space="0" w:color="999999"/>
              <w:left w:val="single" w:sz="8" w:space="0" w:color="999999"/>
              <w:bottom w:val="single" w:sz="8" w:space="0" w:color="999999"/>
              <w:right w:val="single" w:sz="8" w:space="0" w:color="999999"/>
            </w:tcBorders>
            <w:shd w:val="clear" w:color="auto" w:fill="D9D9D9" w:themeFill="background1" w:themeFillShade="D9"/>
          </w:tcPr>
          <w:p w14:paraId="2EA3A7DA" w14:textId="77777777" w:rsidR="0075350D" w:rsidRDefault="0075350D" w:rsidP="0089654D">
            <w:pPr>
              <w:spacing w:after="0" w:line="240" w:lineRule="auto"/>
              <w:jc w:val="center"/>
              <w:rPr>
                <w:rFonts w:ascii="Calibri" w:eastAsia="Calibri" w:hAnsi="Calibri" w:cs="Calibri"/>
                <w:b/>
                <w:bCs/>
                <w:sz w:val="18"/>
                <w:szCs w:val="18"/>
              </w:rPr>
            </w:pPr>
            <w:r w:rsidRPr="0089654D">
              <w:rPr>
                <w:rFonts w:ascii="Calibri" w:eastAsia="Calibri" w:hAnsi="Calibri" w:cs="Calibri"/>
                <w:b/>
                <w:bCs/>
                <w:sz w:val="18"/>
                <w:szCs w:val="18"/>
              </w:rPr>
              <w:t xml:space="preserve">Victorian HIV plan </w:t>
            </w:r>
            <w:r w:rsidR="008E12A6" w:rsidRPr="0089654D">
              <w:rPr>
                <w:rFonts w:ascii="Calibri" w:eastAsia="Calibri" w:hAnsi="Calibri" w:cs="Calibri"/>
                <w:b/>
                <w:bCs/>
                <w:sz w:val="18"/>
                <w:szCs w:val="18"/>
              </w:rPr>
              <w:t>2022-30</w:t>
            </w:r>
          </w:p>
          <w:p w14:paraId="4FF95AEF" w14:textId="19A70000" w:rsidR="0089654D" w:rsidRPr="0089654D" w:rsidRDefault="0089654D" w:rsidP="0089654D">
            <w:pPr>
              <w:spacing w:after="0" w:line="240" w:lineRule="auto"/>
              <w:jc w:val="center"/>
              <w:rPr>
                <w:sz w:val="18"/>
                <w:szCs w:val="18"/>
              </w:rPr>
            </w:pPr>
          </w:p>
        </w:tc>
      </w:tr>
      <w:tr w:rsidR="0075350D" w14:paraId="122875AC" w14:textId="77777777">
        <w:tc>
          <w:tcPr>
            <w:tcW w:w="5000" w:type="pct"/>
            <w:gridSpan w:val="4"/>
            <w:tcBorders>
              <w:top w:val="single" w:sz="8" w:space="0" w:color="999999"/>
              <w:left w:val="single" w:sz="8" w:space="0" w:color="999999"/>
              <w:bottom w:val="single" w:sz="8" w:space="0" w:color="999999"/>
              <w:right w:val="single" w:sz="8" w:space="0" w:color="999999"/>
            </w:tcBorders>
          </w:tcPr>
          <w:p w14:paraId="3DE21093" w14:textId="77777777" w:rsidR="0075350D" w:rsidRPr="0089654D" w:rsidRDefault="0075350D" w:rsidP="0089654D">
            <w:pPr>
              <w:spacing w:after="0" w:line="240" w:lineRule="auto"/>
              <w:rPr>
                <w:rFonts w:ascii="Calibri" w:eastAsia="Calibri" w:hAnsi="Calibri" w:cs="Calibri"/>
                <w:sz w:val="18"/>
                <w:szCs w:val="18"/>
              </w:rPr>
            </w:pPr>
            <w:r w:rsidRPr="0089654D">
              <w:rPr>
                <w:rFonts w:ascii="Calibri" w:eastAsia="Calibri" w:hAnsi="Calibri" w:cs="Calibri"/>
                <w:b/>
                <w:bCs/>
                <w:sz w:val="18"/>
                <w:szCs w:val="18"/>
              </w:rPr>
              <w:t>Vision</w:t>
            </w:r>
          </w:p>
          <w:p w14:paraId="24A2BC8F" w14:textId="77777777" w:rsidR="0075350D" w:rsidRPr="0089654D" w:rsidRDefault="0075350D" w:rsidP="0089654D">
            <w:pPr>
              <w:spacing w:after="0" w:line="240" w:lineRule="auto"/>
              <w:rPr>
                <w:rFonts w:ascii="Calibri" w:eastAsia="Calibri" w:hAnsi="Calibri" w:cs="Calibri"/>
                <w:sz w:val="18"/>
                <w:szCs w:val="18"/>
              </w:rPr>
            </w:pPr>
            <w:r w:rsidRPr="0089654D">
              <w:rPr>
                <w:rFonts w:ascii="Calibri" w:eastAsia="Calibri" w:hAnsi="Calibri" w:cs="Calibri"/>
                <w:sz w:val="18"/>
                <w:szCs w:val="18"/>
              </w:rPr>
              <w:t>Virtual elimination of new HIV transmissions by 2025.</w:t>
            </w:r>
          </w:p>
        </w:tc>
      </w:tr>
      <w:tr w:rsidR="0075350D" w14:paraId="062C0EB4" w14:textId="77777777">
        <w:tc>
          <w:tcPr>
            <w:tcW w:w="830" w:type="pct"/>
            <w:tcBorders>
              <w:top w:val="single" w:sz="8" w:space="0" w:color="999999"/>
              <w:left w:val="single" w:sz="8" w:space="0" w:color="999999"/>
              <w:bottom w:val="single" w:sz="8" w:space="0" w:color="999999"/>
              <w:right w:val="single" w:sz="8" w:space="0" w:color="999999"/>
            </w:tcBorders>
          </w:tcPr>
          <w:p w14:paraId="3536F20B"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 xml:space="preserve">Priority </w:t>
            </w:r>
            <w:proofErr w:type="gramStart"/>
            <w:r w:rsidRPr="0089654D">
              <w:rPr>
                <w:rFonts w:ascii="Calibri" w:eastAsia="Calibri" w:hAnsi="Calibri" w:cs="Calibri"/>
                <w:b/>
                <w:bCs/>
                <w:sz w:val="18"/>
                <w:szCs w:val="18"/>
              </w:rPr>
              <w:t>focus</w:t>
            </w:r>
            <w:proofErr w:type="gramEnd"/>
            <w:r w:rsidRPr="0089654D">
              <w:rPr>
                <w:rFonts w:ascii="Calibri" w:eastAsia="Calibri" w:hAnsi="Calibri" w:cs="Calibri"/>
                <w:b/>
                <w:bCs/>
                <w:sz w:val="18"/>
                <w:szCs w:val="18"/>
              </w:rPr>
              <w:t xml:space="preserve"> areas </w:t>
            </w:r>
          </w:p>
        </w:tc>
        <w:tc>
          <w:tcPr>
            <w:tcW w:w="1392" w:type="pct"/>
            <w:tcBorders>
              <w:top w:val="nil"/>
              <w:left w:val="single" w:sz="8" w:space="0" w:color="999999"/>
              <w:bottom w:val="single" w:sz="8" w:space="0" w:color="999999"/>
              <w:right w:val="single" w:sz="8" w:space="0" w:color="999999"/>
            </w:tcBorders>
          </w:tcPr>
          <w:p w14:paraId="17F0706E"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Goals</w:t>
            </w:r>
          </w:p>
        </w:tc>
        <w:tc>
          <w:tcPr>
            <w:tcW w:w="1670" w:type="pct"/>
            <w:tcBorders>
              <w:top w:val="nil"/>
              <w:left w:val="single" w:sz="8" w:space="0" w:color="999999"/>
              <w:bottom w:val="single" w:sz="8" w:space="0" w:color="999999"/>
              <w:right w:val="single" w:sz="8" w:space="0" w:color="999999"/>
            </w:tcBorders>
          </w:tcPr>
          <w:p w14:paraId="7E15FD08" w14:textId="77777777" w:rsidR="0075350D" w:rsidRPr="0089654D" w:rsidRDefault="0075350D" w:rsidP="0089654D">
            <w:pPr>
              <w:spacing w:after="0" w:line="240" w:lineRule="auto"/>
              <w:rPr>
                <w:rFonts w:ascii="Calibri" w:eastAsia="Calibri" w:hAnsi="Calibri" w:cs="Calibri"/>
                <w:b/>
                <w:bCs/>
                <w:sz w:val="18"/>
                <w:szCs w:val="18"/>
              </w:rPr>
            </w:pPr>
            <w:r w:rsidRPr="0089654D">
              <w:rPr>
                <w:rFonts w:ascii="Calibri" w:eastAsia="Calibri" w:hAnsi="Calibri" w:cs="Calibri"/>
                <w:b/>
                <w:bCs/>
                <w:sz w:val="18"/>
                <w:szCs w:val="18"/>
              </w:rPr>
              <w:t>Targets for 2025/2030</w:t>
            </w:r>
          </w:p>
        </w:tc>
        <w:tc>
          <w:tcPr>
            <w:tcW w:w="1108" w:type="pct"/>
            <w:tcBorders>
              <w:top w:val="nil"/>
              <w:left w:val="single" w:sz="8" w:space="0" w:color="999999"/>
              <w:bottom w:val="single" w:sz="8" w:space="0" w:color="999999"/>
              <w:right w:val="single" w:sz="8" w:space="0" w:color="999999"/>
            </w:tcBorders>
          </w:tcPr>
          <w:p w14:paraId="2C990A47"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Priority Population Groups</w:t>
            </w:r>
          </w:p>
        </w:tc>
      </w:tr>
      <w:tr w:rsidR="0075350D" w14:paraId="39505E98" w14:textId="77777777">
        <w:trPr>
          <w:trHeight w:val="60"/>
        </w:trPr>
        <w:tc>
          <w:tcPr>
            <w:tcW w:w="830" w:type="pct"/>
            <w:tcBorders>
              <w:top w:val="single" w:sz="8" w:space="0" w:color="999999"/>
              <w:left w:val="single" w:sz="8" w:space="0" w:color="999999"/>
              <w:bottom w:val="single" w:sz="8" w:space="0" w:color="999999"/>
              <w:right w:val="single" w:sz="8" w:space="0" w:color="999999"/>
            </w:tcBorders>
          </w:tcPr>
          <w:p w14:paraId="633CB8C0"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Prevention</w:t>
            </w:r>
          </w:p>
          <w:p w14:paraId="2B8881C8"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Testing</w:t>
            </w:r>
          </w:p>
          <w:p w14:paraId="2EE79BF1"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Treatment and care</w:t>
            </w:r>
          </w:p>
        </w:tc>
        <w:tc>
          <w:tcPr>
            <w:tcW w:w="1392" w:type="pct"/>
            <w:tcBorders>
              <w:top w:val="single" w:sz="8" w:space="0" w:color="999999"/>
              <w:left w:val="single" w:sz="8" w:space="0" w:color="999999"/>
              <w:bottom w:val="single" w:sz="8" w:space="0" w:color="999999"/>
              <w:right w:val="single" w:sz="8" w:space="0" w:color="999999"/>
            </w:tcBorders>
          </w:tcPr>
          <w:p w14:paraId="06562E91"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Victorians are supported to reduce their risk of acquiring HIV</w:t>
            </w:r>
          </w:p>
          <w:p w14:paraId="33452520"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Victorians with HIV know their status</w:t>
            </w:r>
          </w:p>
          <w:p w14:paraId="7EAE1C28"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lastRenderedPageBreak/>
              <w:t>Victorians with HIV have access to best practice evidence-based treatment and care</w:t>
            </w:r>
          </w:p>
          <w:p w14:paraId="787B1B12"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Stigma, racism and discrimination are not a barrier to HIV prevention, testing or treatment and care</w:t>
            </w:r>
          </w:p>
        </w:tc>
        <w:tc>
          <w:tcPr>
            <w:tcW w:w="1670" w:type="pct"/>
            <w:tcBorders>
              <w:top w:val="single" w:sz="8" w:space="0" w:color="999999"/>
              <w:left w:val="single" w:sz="8" w:space="0" w:color="999999"/>
              <w:bottom w:val="single" w:sz="8" w:space="0" w:color="999999"/>
              <w:right w:val="single" w:sz="8" w:space="0" w:color="999999"/>
            </w:tcBorders>
          </w:tcPr>
          <w:p w14:paraId="25CA7B26" w14:textId="77777777" w:rsidR="0075350D" w:rsidRPr="0089654D" w:rsidRDefault="0075350D" w:rsidP="0089654D">
            <w:pPr>
              <w:spacing w:after="0" w:line="240" w:lineRule="auto"/>
              <w:rPr>
                <w:rFonts w:ascii="Calibri" w:eastAsia="Calibri" w:hAnsi="Calibri" w:cs="Calibri"/>
                <w:b/>
                <w:bCs/>
                <w:sz w:val="18"/>
                <w:szCs w:val="18"/>
              </w:rPr>
            </w:pPr>
            <w:r w:rsidRPr="0089654D">
              <w:rPr>
                <w:rFonts w:ascii="Calibri" w:eastAsia="Calibri" w:hAnsi="Calibri" w:cs="Calibri"/>
                <w:b/>
                <w:bCs/>
                <w:sz w:val="18"/>
                <w:szCs w:val="18"/>
              </w:rPr>
              <w:lastRenderedPageBreak/>
              <w:t>2025</w:t>
            </w:r>
          </w:p>
          <w:p w14:paraId="63E33326"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The proportion of all people with HIV who are diagnosed will be 95 per cent</w:t>
            </w:r>
          </w:p>
          <w:p w14:paraId="1E2E2A8C"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lastRenderedPageBreak/>
              <w:t>The proportion of all people living with HIV who are accessing appropriate treatment will be 98 per cent</w:t>
            </w:r>
          </w:p>
          <w:p w14:paraId="6C230C5B"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The proportion of people living with HIV on treatment with an undetectable viral load will be 98 per cent</w:t>
            </w:r>
          </w:p>
          <w:p w14:paraId="179DF48D"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75 per cent of people with HIV report good quality of life</w:t>
            </w:r>
          </w:p>
          <w:p w14:paraId="21BB7182"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95 per cent of people at risk of HIV infection use one or more forms of effective HIV prevention</w:t>
            </w:r>
          </w:p>
          <w:p w14:paraId="2EFE491E" w14:textId="77777777" w:rsidR="0075350D" w:rsidRPr="0089654D" w:rsidRDefault="0075350D" w:rsidP="0089654D">
            <w:pPr>
              <w:spacing w:after="0" w:line="240" w:lineRule="auto"/>
              <w:rPr>
                <w:rFonts w:ascii="Calibri" w:eastAsia="Calibri" w:hAnsi="Calibri" w:cs="Calibri"/>
                <w:sz w:val="18"/>
                <w:szCs w:val="18"/>
              </w:rPr>
            </w:pPr>
            <w:r w:rsidRPr="0089654D">
              <w:rPr>
                <w:rFonts w:ascii="Calibri" w:eastAsia="Calibri" w:hAnsi="Calibri" w:cs="Calibri"/>
                <w:b/>
                <w:bCs/>
                <w:sz w:val="18"/>
                <w:szCs w:val="18"/>
              </w:rPr>
              <w:t>2030</w:t>
            </w:r>
          </w:p>
          <w:p w14:paraId="6C47C2E9"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Experiences of stigma, racism and discrimination among people living with or affected by HIV in health and social support settings to less than 10 per cent</w:t>
            </w:r>
            <w:r w:rsidRPr="0089654D" w:rsidDel="00AD4364">
              <w:rPr>
                <w:rFonts w:ascii="Calibri" w:hAnsi="Calibri" w:cs="Arial"/>
                <w:szCs w:val="18"/>
              </w:rPr>
              <w:t xml:space="preserve"> </w:t>
            </w:r>
          </w:p>
          <w:p w14:paraId="180D5BA2" w14:textId="77777777" w:rsidR="0075350D" w:rsidRPr="0089654D" w:rsidRDefault="0075350D" w:rsidP="0089654D">
            <w:pPr>
              <w:spacing w:after="0" w:line="240" w:lineRule="auto"/>
              <w:rPr>
                <w:rFonts w:cs="Calibri"/>
                <w:sz w:val="18"/>
                <w:szCs w:val="18"/>
              </w:rPr>
            </w:pPr>
          </w:p>
        </w:tc>
        <w:tc>
          <w:tcPr>
            <w:tcW w:w="1108" w:type="pct"/>
            <w:tcBorders>
              <w:top w:val="single" w:sz="8" w:space="0" w:color="999999"/>
              <w:left w:val="single" w:sz="8" w:space="0" w:color="999999"/>
              <w:bottom w:val="single" w:sz="8" w:space="0" w:color="999999"/>
              <w:right w:val="single" w:sz="8" w:space="0" w:color="999999"/>
            </w:tcBorders>
          </w:tcPr>
          <w:p w14:paraId="53811A69"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lastRenderedPageBreak/>
              <w:t>people living with HIV</w:t>
            </w:r>
          </w:p>
          <w:p w14:paraId="1ADF0FB4"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men who have sex with men</w:t>
            </w:r>
          </w:p>
          <w:p w14:paraId="7A6A32E5"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Aboriginal Victorians</w:t>
            </w:r>
          </w:p>
          <w:p w14:paraId="572F7878"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people who use drugs</w:t>
            </w:r>
          </w:p>
          <w:p w14:paraId="532D8868"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lastRenderedPageBreak/>
              <w:t>women</w:t>
            </w:r>
          </w:p>
          <w:p w14:paraId="14D6DE71"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gender diverse people</w:t>
            </w:r>
          </w:p>
          <w:p w14:paraId="122054AB"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culturally diverse and refugee communities</w:t>
            </w:r>
          </w:p>
          <w:p w14:paraId="7D5CDFC3"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 xml:space="preserve">people from, or people who travel to, high–HIV prevalence countries </w:t>
            </w:r>
          </w:p>
          <w:p w14:paraId="6F012C28"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people in custodial settings</w:t>
            </w:r>
          </w:p>
          <w:p w14:paraId="1B07DF2A"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sex workers</w:t>
            </w:r>
          </w:p>
          <w:p w14:paraId="1808FFA3"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people with a blood disorder</w:t>
            </w:r>
          </w:p>
          <w:p w14:paraId="2C43DE97"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young people</w:t>
            </w:r>
          </w:p>
          <w:p w14:paraId="42BF208B" w14:textId="77777777" w:rsidR="0075350D" w:rsidRPr="0089654D" w:rsidRDefault="0075350D" w:rsidP="0089654D">
            <w:pPr>
              <w:pStyle w:val="Healthtablebullet"/>
              <w:spacing w:after="0" w:line="240" w:lineRule="auto"/>
              <w:rPr>
                <w:rFonts w:ascii="Calibri" w:eastAsia="Calibri" w:hAnsi="Calibri"/>
                <w:szCs w:val="18"/>
              </w:rPr>
            </w:pPr>
            <w:r w:rsidRPr="0089654D">
              <w:rPr>
                <w:rFonts w:ascii="Calibri" w:hAnsi="Calibri" w:cs="Arial"/>
                <w:szCs w:val="18"/>
              </w:rPr>
              <w:t>heterosexual-identifying men who intersect with a number of these priority populations</w:t>
            </w:r>
          </w:p>
        </w:tc>
      </w:tr>
    </w:tbl>
    <w:p w14:paraId="5B49CED9" w14:textId="77777777" w:rsidR="0075350D" w:rsidRDefault="0075350D" w:rsidP="0075350D">
      <w:pPr>
        <w:pStyle w:val="Body"/>
      </w:pPr>
    </w:p>
    <w:tbl>
      <w:tblPr>
        <w:tblStyle w:val="TableGrid"/>
        <w:tblW w:w="5000" w:type="pct"/>
        <w:tblLook w:val="01E0" w:firstRow="1" w:lastRow="1" w:firstColumn="1" w:lastColumn="1" w:noHBand="0" w:noVBand="0"/>
      </w:tblPr>
      <w:tblGrid>
        <w:gridCol w:w="1691"/>
        <w:gridCol w:w="2835"/>
        <w:gridCol w:w="3401"/>
        <w:gridCol w:w="2257"/>
      </w:tblGrid>
      <w:tr w:rsidR="0075350D" w14:paraId="5E7F6BFB" w14:textId="77777777">
        <w:tc>
          <w:tcPr>
            <w:tcW w:w="5000" w:type="pct"/>
            <w:gridSpan w:val="4"/>
            <w:tcBorders>
              <w:top w:val="single" w:sz="8" w:space="0" w:color="999999"/>
              <w:left w:val="single" w:sz="8" w:space="0" w:color="999999"/>
              <w:bottom w:val="single" w:sz="8" w:space="0" w:color="999999"/>
              <w:right w:val="single" w:sz="8" w:space="0" w:color="999999"/>
            </w:tcBorders>
            <w:shd w:val="clear" w:color="auto" w:fill="D9D9D9" w:themeFill="background1" w:themeFillShade="D9"/>
          </w:tcPr>
          <w:p w14:paraId="39914EAC" w14:textId="77777777" w:rsidR="0075350D" w:rsidRPr="0089654D" w:rsidRDefault="0075350D" w:rsidP="0089654D">
            <w:pPr>
              <w:spacing w:after="0" w:line="240" w:lineRule="auto"/>
              <w:jc w:val="center"/>
              <w:rPr>
                <w:sz w:val="18"/>
                <w:szCs w:val="18"/>
              </w:rPr>
            </w:pPr>
            <w:r w:rsidRPr="0089654D">
              <w:rPr>
                <w:rFonts w:ascii="Calibri" w:eastAsia="Calibri" w:hAnsi="Calibri" w:cs="Calibri"/>
                <w:b/>
                <w:bCs/>
                <w:sz w:val="18"/>
                <w:szCs w:val="18"/>
              </w:rPr>
              <w:t>Victorian STI plan 2022–30</w:t>
            </w:r>
          </w:p>
          <w:p w14:paraId="1683EF48" w14:textId="77777777" w:rsidR="0075350D" w:rsidRPr="0089654D" w:rsidRDefault="0075350D" w:rsidP="0089654D">
            <w:pPr>
              <w:spacing w:after="0" w:line="240" w:lineRule="auto"/>
              <w:rPr>
                <w:sz w:val="18"/>
                <w:szCs w:val="18"/>
              </w:rPr>
            </w:pPr>
          </w:p>
        </w:tc>
      </w:tr>
      <w:tr w:rsidR="0075350D" w14:paraId="66FCB8C6" w14:textId="77777777">
        <w:tc>
          <w:tcPr>
            <w:tcW w:w="5000" w:type="pct"/>
            <w:gridSpan w:val="4"/>
            <w:tcBorders>
              <w:top w:val="single" w:sz="8" w:space="0" w:color="999999"/>
              <w:left w:val="single" w:sz="8" w:space="0" w:color="999999"/>
              <w:bottom w:val="single" w:sz="8" w:space="0" w:color="999999"/>
              <w:right w:val="single" w:sz="8" w:space="0" w:color="999999"/>
            </w:tcBorders>
          </w:tcPr>
          <w:p w14:paraId="595E5951" w14:textId="77777777" w:rsidR="0075350D" w:rsidRPr="0089654D" w:rsidRDefault="0075350D" w:rsidP="0089654D">
            <w:pPr>
              <w:spacing w:after="0" w:line="240" w:lineRule="auto"/>
              <w:rPr>
                <w:rFonts w:ascii="Calibri" w:eastAsia="Calibri" w:hAnsi="Calibri" w:cs="Calibri"/>
                <w:sz w:val="18"/>
                <w:szCs w:val="18"/>
              </w:rPr>
            </w:pPr>
            <w:r w:rsidRPr="0089654D">
              <w:rPr>
                <w:rFonts w:ascii="Calibri" w:eastAsia="Calibri" w:hAnsi="Calibri" w:cs="Calibri"/>
                <w:b/>
                <w:bCs/>
                <w:sz w:val="18"/>
                <w:szCs w:val="18"/>
              </w:rPr>
              <w:t>Vision</w:t>
            </w:r>
          </w:p>
          <w:p w14:paraId="1395702A" w14:textId="77777777" w:rsidR="0075350D" w:rsidRPr="0089654D" w:rsidRDefault="0075350D" w:rsidP="0089654D">
            <w:pPr>
              <w:spacing w:after="0" w:line="240" w:lineRule="auto"/>
              <w:rPr>
                <w:rFonts w:ascii="Calibri" w:eastAsia="Calibri" w:hAnsi="Calibri" w:cs="Calibri"/>
                <w:sz w:val="18"/>
                <w:szCs w:val="18"/>
              </w:rPr>
            </w:pPr>
            <w:r w:rsidRPr="0089654D">
              <w:rPr>
                <w:rFonts w:ascii="Calibri" w:eastAsia="Calibri" w:hAnsi="Calibri" w:cs="Calibri"/>
                <w:sz w:val="18"/>
                <w:szCs w:val="18"/>
              </w:rPr>
              <w:t>Victorians are supported to achieve optimal sexual health and wellbeing and to reduce the transmission and impact of STI.</w:t>
            </w:r>
          </w:p>
        </w:tc>
      </w:tr>
      <w:tr w:rsidR="0075350D" w14:paraId="2AEAE585" w14:textId="77777777">
        <w:tc>
          <w:tcPr>
            <w:tcW w:w="830" w:type="pct"/>
            <w:tcBorders>
              <w:top w:val="single" w:sz="8" w:space="0" w:color="999999"/>
              <w:left w:val="single" w:sz="8" w:space="0" w:color="999999"/>
              <w:bottom w:val="single" w:sz="8" w:space="0" w:color="999999"/>
              <w:right w:val="single" w:sz="8" w:space="0" w:color="999999"/>
            </w:tcBorders>
          </w:tcPr>
          <w:p w14:paraId="084962A5"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 xml:space="preserve">Priority </w:t>
            </w:r>
            <w:proofErr w:type="gramStart"/>
            <w:r w:rsidRPr="0089654D">
              <w:rPr>
                <w:rFonts w:ascii="Calibri" w:eastAsia="Calibri" w:hAnsi="Calibri" w:cs="Calibri"/>
                <w:b/>
                <w:bCs/>
                <w:sz w:val="18"/>
                <w:szCs w:val="18"/>
              </w:rPr>
              <w:t>focus</w:t>
            </w:r>
            <w:proofErr w:type="gramEnd"/>
            <w:r w:rsidRPr="0089654D">
              <w:rPr>
                <w:rFonts w:ascii="Calibri" w:eastAsia="Calibri" w:hAnsi="Calibri" w:cs="Calibri"/>
                <w:b/>
                <w:bCs/>
                <w:sz w:val="18"/>
                <w:szCs w:val="18"/>
              </w:rPr>
              <w:t xml:space="preserve"> areas </w:t>
            </w:r>
          </w:p>
        </w:tc>
        <w:tc>
          <w:tcPr>
            <w:tcW w:w="1392" w:type="pct"/>
            <w:tcBorders>
              <w:top w:val="nil"/>
              <w:left w:val="single" w:sz="8" w:space="0" w:color="999999"/>
              <w:bottom w:val="single" w:sz="8" w:space="0" w:color="999999"/>
              <w:right w:val="single" w:sz="8" w:space="0" w:color="999999"/>
            </w:tcBorders>
          </w:tcPr>
          <w:p w14:paraId="0259F7D6"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Goals</w:t>
            </w:r>
          </w:p>
        </w:tc>
        <w:tc>
          <w:tcPr>
            <w:tcW w:w="1670" w:type="pct"/>
            <w:tcBorders>
              <w:top w:val="nil"/>
              <w:left w:val="single" w:sz="8" w:space="0" w:color="999999"/>
              <w:bottom w:val="single" w:sz="8" w:space="0" w:color="999999"/>
              <w:right w:val="single" w:sz="8" w:space="0" w:color="999999"/>
            </w:tcBorders>
          </w:tcPr>
          <w:p w14:paraId="50858071" w14:textId="77777777" w:rsidR="0075350D" w:rsidRPr="0089654D" w:rsidRDefault="0075350D" w:rsidP="0089654D">
            <w:pPr>
              <w:spacing w:after="0" w:line="240" w:lineRule="auto"/>
              <w:rPr>
                <w:rFonts w:ascii="Calibri" w:eastAsia="Calibri" w:hAnsi="Calibri" w:cs="Calibri"/>
                <w:b/>
                <w:bCs/>
                <w:sz w:val="18"/>
                <w:szCs w:val="18"/>
              </w:rPr>
            </w:pPr>
            <w:r w:rsidRPr="0089654D">
              <w:rPr>
                <w:rFonts w:ascii="Calibri" w:eastAsia="Calibri" w:hAnsi="Calibri" w:cs="Calibri"/>
                <w:b/>
                <w:bCs/>
                <w:sz w:val="18"/>
                <w:szCs w:val="18"/>
              </w:rPr>
              <w:t>Targets for 2030</w:t>
            </w:r>
          </w:p>
        </w:tc>
        <w:tc>
          <w:tcPr>
            <w:tcW w:w="1108" w:type="pct"/>
            <w:tcBorders>
              <w:top w:val="nil"/>
              <w:left w:val="single" w:sz="8" w:space="0" w:color="999999"/>
              <w:bottom w:val="single" w:sz="8" w:space="0" w:color="999999"/>
              <w:right w:val="single" w:sz="8" w:space="0" w:color="999999"/>
            </w:tcBorders>
          </w:tcPr>
          <w:p w14:paraId="2C9D55A2"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Priority Population Groups</w:t>
            </w:r>
          </w:p>
        </w:tc>
      </w:tr>
      <w:tr w:rsidR="0075350D" w14:paraId="7ECDFAC9" w14:textId="77777777">
        <w:trPr>
          <w:trHeight w:val="60"/>
        </w:trPr>
        <w:tc>
          <w:tcPr>
            <w:tcW w:w="830" w:type="pct"/>
            <w:tcBorders>
              <w:top w:val="single" w:sz="8" w:space="0" w:color="999999"/>
              <w:left w:val="single" w:sz="8" w:space="0" w:color="999999"/>
              <w:bottom w:val="single" w:sz="8" w:space="0" w:color="999999"/>
              <w:right w:val="single" w:sz="8" w:space="0" w:color="999999"/>
            </w:tcBorders>
          </w:tcPr>
          <w:p w14:paraId="1073E59A"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Prevention</w:t>
            </w:r>
          </w:p>
          <w:p w14:paraId="493C06F5"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Testing</w:t>
            </w:r>
          </w:p>
          <w:p w14:paraId="1EE3BFD2" w14:textId="77777777" w:rsidR="0075350D" w:rsidRPr="008E12A6" w:rsidRDefault="0075350D" w:rsidP="0089654D">
            <w:pPr>
              <w:pStyle w:val="Healthtablebullet"/>
              <w:spacing w:after="0" w:line="240" w:lineRule="auto"/>
              <w:rPr>
                <w:szCs w:val="18"/>
              </w:rPr>
            </w:pPr>
            <w:r w:rsidRPr="008E12A6">
              <w:rPr>
                <w:rFonts w:ascii="Calibri" w:hAnsi="Calibri" w:cs="Arial"/>
                <w:szCs w:val="18"/>
              </w:rPr>
              <w:t>Treatment and care</w:t>
            </w:r>
          </w:p>
        </w:tc>
        <w:tc>
          <w:tcPr>
            <w:tcW w:w="1392" w:type="pct"/>
            <w:tcBorders>
              <w:top w:val="single" w:sz="8" w:space="0" w:color="999999"/>
              <w:left w:val="single" w:sz="8" w:space="0" w:color="999999"/>
              <w:bottom w:val="single" w:sz="8" w:space="0" w:color="999999"/>
              <w:right w:val="single" w:sz="8" w:space="0" w:color="999999"/>
            </w:tcBorders>
          </w:tcPr>
          <w:p w14:paraId="22429476"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Systems support individuals and communities to enjoy positive sexual health and wellbeing.</w:t>
            </w:r>
          </w:p>
          <w:p w14:paraId="6F463D0B"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Victorians are supported to reduce their risk of acquiring an STI.</w:t>
            </w:r>
          </w:p>
          <w:p w14:paraId="74A0C874"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Victorians with an STI know their status.</w:t>
            </w:r>
          </w:p>
          <w:p w14:paraId="5736F4EA"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Victorians with an STI have access to best practice evidence-based treatment and care.</w:t>
            </w:r>
          </w:p>
          <w:p w14:paraId="725E88B3"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The morbidity and mortality associated with STI among Victorians is minimised.</w:t>
            </w:r>
          </w:p>
          <w:p w14:paraId="2FAF371C"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Stigma, racism and discrimination are not a barrier to STI prevention, testing or treatment and care.</w:t>
            </w:r>
          </w:p>
        </w:tc>
        <w:tc>
          <w:tcPr>
            <w:tcW w:w="1670" w:type="pct"/>
            <w:tcBorders>
              <w:top w:val="single" w:sz="8" w:space="0" w:color="999999"/>
              <w:left w:val="single" w:sz="8" w:space="0" w:color="999999"/>
              <w:bottom w:val="single" w:sz="8" w:space="0" w:color="999999"/>
              <w:right w:val="single" w:sz="8" w:space="0" w:color="999999"/>
            </w:tcBorders>
          </w:tcPr>
          <w:p w14:paraId="6FE1FF37"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Eliminate congenital syphilis</w:t>
            </w:r>
          </w:p>
          <w:p w14:paraId="4C08DD36"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Achieve and maintain HPV adolescent vaccination coverage of 80 per cent</w:t>
            </w:r>
          </w:p>
          <w:p w14:paraId="0B1B40C1"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Increase STI testing coverage in priority populations (compared with 2019)</w:t>
            </w:r>
          </w:p>
          <w:p w14:paraId="2F8FE150"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Reduce the prevalence of chlamydia, gonorrhoea and infectious syphilis (compared with 2019)</w:t>
            </w:r>
          </w:p>
          <w:p w14:paraId="3DC3928E"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Reduce the reported experiences of stigma, racism and discrimination for people living with or affected by STI in health and social support settings to less than 10 per cent</w:t>
            </w:r>
          </w:p>
        </w:tc>
        <w:tc>
          <w:tcPr>
            <w:tcW w:w="1108" w:type="pct"/>
            <w:tcBorders>
              <w:top w:val="single" w:sz="8" w:space="0" w:color="999999"/>
              <w:left w:val="single" w:sz="8" w:space="0" w:color="999999"/>
              <w:bottom w:val="single" w:sz="8" w:space="0" w:color="999999"/>
              <w:right w:val="single" w:sz="8" w:space="0" w:color="999999"/>
            </w:tcBorders>
          </w:tcPr>
          <w:p w14:paraId="12DA18EC" w14:textId="77777777" w:rsidR="0075350D" w:rsidRPr="008E12A6" w:rsidRDefault="0075350D" w:rsidP="0089654D">
            <w:pPr>
              <w:pStyle w:val="Healthtablebullet"/>
              <w:numPr>
                <w:ilvl w:val="0"/>
                <w:numId w:val="0"/>
              </w:numPr>
              <w:spacing w:after="0" w:line="240" w:lineRule="auto"/>
              <w:rPr>
                <w:rFonts w:ascii="Calibri" w:hAnsi="Calibri"/>
                <w:szCs w:val="18"/>
              </w:rPr>
            </w:pPr>
            <w:r w:rsidRPr="008E12A6">
              <w:rPr>
                <w:rFonts w:ascii="Calibri" w:hAnsi="Calibri"/>
                <w:szCs w:val="18"/>
              </w:rPr>
              <w:t>People who are sexually active, with a particular focus on:</w:t>
            </w:r>
          </w:p>
          <w:p w14:paraId="53FAC636"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young people (15–29 years)</w:t>
            </w:r>
          </w:p>
          <w:p w14:paraId="5692F376"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Aboriginal people</w:t>
            </w:r>
          </w:p>
          <w:p w14:paraId="5E92DAA5"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gay and bisexual men</w:t>
            </w:r>
          </w:p>
          <w:p w14:paraId="42DAD18B"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women of reproductive age</w:t>
            </w:r>
          </w:p>
          <w:p w14:paraId="5FA5A706"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culturally diverse communities</w:t>
            </w:r>
          </w:p>
          <w:p w14:paraId="71056FBD"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trans and gender diverse people</w:t>
            </w:r>
          </w:p>
          <w:p w14:paraId="789C8856"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sex workers</w:t>
            </w:r>
          </w:p>
          <w:p w14:paraId="282753FD" w14:textId="77777777" w:rsidR="0075350D" w:rsidRPr="008E12A6" w:rsidRDefault="0075350D" w:rsidP="0089654D">
            <w:pPr>
              <w:pStyle w:val="Healthtablebullet"/>
              <w:spacing w:after="0" w:line="240" w:lineRule="auto"/>
              <w:rPr>
                <w:rFonts w:ascii="Calibri" w:hAnsi="Calibri" w:cs="Arial"/>
                <w:szCs w:val="18"/>
              </w:rPr>
            </w:pPr>
            <w:r w:rsidRPr="008E12A6">
              <w:rPr>
                <w:rFonts w:ascii="Calibri" w:hAnsi="Calibri" w:cs="Arial"/>
                <w:szCs w:val="18"/>
              </w:rPr>
              <w:t>people living with HIV</w:t>
            </w:r>
          </w:p>
          <w:p w14:paraId="07CDD76C" w14:textId="77777777" w:rsidR="0075350D" w:rsidRPr="008E12A6" w:rsidRDefault="0075350D" w:rsidP="0089654D">
            <w:pPr>
              <w:pStyle w:val="Healthtablebullet"/>
              <w:spacing w:after="0" w:line="240" w:lineRule="auto"/>
              <w:rPr>
                <w:rFonts w:ascii="Calibri" w:eastAsia="Calibri" w:hAnsi="Calibri"/>
                <w:szCs w:val="18"/>
              </w:rPr>
            </w:pPr>
            <w:r w:rsidRPr="008E12A6">
              <w:rPr>
                <w:rFonts w:ascii="Calibri" w:hAnsi="Calibri" w:cs="Arial"/>
                <w:szCs w:val="18"/>
              </w:rPr>
              <w:t>people in custodial settings</w:t>
            </w:r>
          </w:p>
        </w:tc>
      </w:tr>
    </w:tbl>
    <w:p w14:paraId="3F1AE5D5" w14:textId="77777777" w:rsidR="0075350D" w:rsidRDefault="0075350D" w:rsidP="0075350D">
      <w:pPr>
        <w:pStyle w:val="Body"/>
      </w:pPr>
    </w:p>
    <w:tbl>
      <w:tblPr>
        <w:tblStyle w:val="TableGrid"/>
        <w:tblW w:w="5000" w:type="pct"/>
        <w:jc w:val="center"/>
        <w:tblLook w:val="01E0" w:firstRow="1" w:lastRow="1" w:firstColumn="1" w:lastColumn="1" w:noHBand="0" w:noVBand="0"/>
      </w:tblPr>
      <w:tblGrid>
        <w:gridCol w:w="1691"/>
        <w:gridCol w:w="2835"/>
        <w:gridCol w:w="3401"/>
        <w:gridCol w:w="2257"/>
      </w:tblGrid>
      <w:tr w:rsidR="0075350D" w14:paraId="151A44C9" w14:textId="77777777" w:rsidTr="00052AC4">
        <w:trPr>
          <w:jc w:val="center"/>
        </w:trPr>
        <w:tc>
          <w:tcPr>
            <w:tcW w:w="5000" w:type="pct"/>
            <w:gridSpan w:val="4"/>
            <w:tcBorders>
              <w:top w:val="single" w:sz="8" w:space="0" w:color="999999"/>
              <w:left w:val="single" w:sz="8" w:space="0" w:color="999999"/>
              <w:bottom w:val="single" w:sz="8" w:space="0" w:color="999999"/>
              <w:right w:val="single" w:sz="8" w:space="0" w:color="999999"/>
            </w:tcBorders>
            <w:shd w:val="clear" w:color="auto" w:fill="D9D9D9" w:themeFill="background1" w:themeFillShade="D9"/>
          </w:tcPr>
          <w:p w14:paraId="05EFFD1D" w14:textId="77777777" w:rsidR="0075350D" w:rsidRPr="0089654D" w:rsidRDefault="0075350D" w:rsidP="0089654D">
            <w:pPr>
              <w:spacing w:after="0" w:line="240" w:lineRule="auto"/>
              <w:jc w:val="center"/>
              <w:rPr>
                <w:sz w:val="18"/>
                <w:szCs w:val="18"/>
              </w:rPr>
            </w:pPr>
            <w:r w:rsidRPr="0089654D">
              <w:rPr>
                <w:rFonts w:ascii="Calibri" w:eastAsia="Calibri" w:hAnsi="Calibri" w:cs="Calibri"/>
                <w:b/>
                <w:bCs/>
                <w:sz w:val="18"/>
                <w:szCs w:val="18"/>
              </w:rPr>
              <w:t>Victorian women’s sexual and reproductive health plan 2022–30</w:t>
            </w:r>
          </w:p>
          <w:p w14:paraId="62CE081E" w14:textId="77777777" w:rsidR="0075350D" w:rsidRPr="0089654D" w:rsidRDefault="0075350D" w:rsidP="0089654D">
            <w:pPr>
              <w:spacing w:after="0" w:line="240" w:lineRule="auto"/>
              <w:rPr>
                <w:sz w:val="18"/>
                <w:szCs w:val="18"/>
              </w:rPr>
            </w:pPr>
          </w:p>
        </w:tc>
      </w:tr>
      <w:tr w:rsidR="0075350D" w14:paraId="2C24123E" w14:textId="77777777" w:rsidTr="00052AC4">
        <w:trPr>
          <w:jc w:val="center"/>
        </w:trPr>
        <w:tc>
          <w:tcPr>
            <w:tcW w:w="5000" w:type="pct"/>
            <w:gridSpan w:val="4"/>
            <w:tcBorders>
              <w:top w:val="single" w:sz="8" w:space="0" w:color="999999"/>
              <w:left w:val="single" w:sz="8" w:space="0" w:color="999999"/>
              <w:bottom w:val="single" w:sz="8" w:space="0" w:color="999999"/>
              <w:right w:val="single" w:sz="8" w:space="0" w:color="999999"/>
            </w:tcBorders>
          </w:tcPr>
          <w:p w14:paraId="2BCD9D5A" w14:textId="77777777" w:rsidR="0075350D" w:rsidRPr="0089654D" w:rsidRDefault="0075350D" w:rsidP="0089654D">
            <w:pPr>
              <w:spacing w:after="0" w:line="240" w:lineRule="auto"/>
              <w:rPr>
                <w:rFonts w:ascii="Calibri" w:eastAsia="Calibri" w:hAnsi="Calibri" w:cs="Calibri"/>
                <w:sz w:val="18"/>
                <w:szCs w:val="18"/>
              </w:rPr>
            </w:pPr>
            <w:r w:rsidRPr="0089654D">
              <w:rPr>
                <w:rFonts w:ascii="Calibri" w:eastAsia="Calibri" w:hAnsi="Calibri" w:cs="Calibri"/>
                <w:b/>
                <w:bCs/>
                <w:sz w:val="18"/>
                <w:szCs w:val="18"/>
              </w:rPr>
              <w:t>Vision</w:t>
            </w:r>
          </w:p>
          <w:p w14:paraId="0A1A405E" w14:textId="77777777" w:rsidR="0075350D" w:rsidRPr="0089654D" w:rsidRDefault="0075350D" w:rsidP="0089654D">
            <w:pPr>
              <w:spacing w:after="0" w:line="240" w:lineRule="auto"/>
              <w:rPr>
                <w:rFonts w:ascii="Calibri" w:eastAsia="Calibri" w:hAnsi="Calibri" w:cs="Calibri"/>
                <w:sz w:val="18"/>
                <w:szCs w:val="18"/>
              </w:rPr>
            </w:pPr>
            <w:r w:rsidRPr="0089654D">
              <w:rPr>
                <w:rFonts w:ascii="Calibri" w:eastAsia="Calibri" w:hAnsi="Calibri" w:cs="Calibri"/>
                <w:sz w:val="18"/>
                <w:szCs w:val="18"/>
              </w:rPr>
              <w:t>Victorian women, girls and gender diverse people are supported to achieve optimal sexual and reproductive health.</w:t>
            </w:r>
          </w:p>
        </w:tc>
      </w:tr>
      <w:tr w:rsidR="0075350D" w14:paraId="627D4C3D" w14:textId="77777777" w:rsidTr="00052AC4">
        <w:trPr>
          <w:jc w:val="center"/>
        </w:trPr>
        <w:tc>
          <w:tcPr>
            <w:tcW w:w="830" w:type="pct"/>
            <w:tcBorders>
              <w:top w:val="single" w:sz="8" w:space="0" w:color="999999"/>
              <w:left w:val="single" w:sz="8" w:space="0" w:color="999999"/>
              <w:bottom w:val="single" w:sz="8" w:space="0" w:color="999999"/>
              <w:right w:val="single" w:sz="8" w:space="0" w:color="999999"/>
            </w:tcBorders>
          </w:tcPr>
          <w:p w14:paraId="7EDCA1EC"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 xml:space="preserve">Priority </w:t>
            </w:r>
            <w:proofErr w:type="gramStart"/>
            <w:r w:rsidRPr="0089654D">
              <w:rPr>
                <w:rFonts w:ascii="Calibri" w:eastAsia="Calibri" w:hAnsi="Calibri" w:cs="Calibri"/>
                <w:b/>
                <w:bCs/>
                <w:sz w:val="18"/>
                <w:szCs w:val="18"/>
              </w:rPr>
              <w:t>focus</w:t>
            </w:r>
            <w:proofErr w:type="gramEnd"/>
            <w:r w:rsidRPr="0089654D">
              <w:rPr>
                <w:rFonts w:ascii="Calibri" w:eastAsia="Calibri" w:hAnsi="Calibri" w:cs="Calibri"/>
                <w:b/>
                <w:bCs/>
                <w:sz w:val="18"/>
                <w:szCs w:val="18"/>
              </w:rPr>
              <w:t xml:space="preserve"> areas </w:t>
            </w:r>
          </w:p>
        </w:tc>
        <w:tc>
          <w:tcPr>
            <w:tcW w:w="1392" w:type="pct"/>
            <w:tcBorders>
              <w:top w:val="nil"/>
              <w:left w:val="single" w:sz="8" w:space="0" w:color="999999"/>
              <w:bottom w:val="single" w:sz="8" w:space="0" w:color="999999"/>
              <w:right w:val="single" w:sz="8" w:space="0" w:color="999999"/>
            </w:tcBorders>
          </w:tcPr>
          <w:p w14:paraId="713CCCEC"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Goals</w:t>
            </w:r>
          </w:p>
        </w:tc>
        <w:tc>
          <w:tcPr>
            <w:tcW w:w="1670" w:type="pct"/>
            <w:tcBorders>
              <w:top w:val="nil"/>
              <w:left w:val="single" w:sz="8" w:space="0" w:color="999999"/>
              <w:bottom w:val="single" w:sz="8" w:space="0" w:color="999999"/>
              <w:right w:val="single" w:sz="8" w:space="0" w:color="999999"/>
            </w:tcBorders>
          </w:tcPr>
          <w:p w14:paraId="448E730B" w14:textId="77777777" w:rsidR="0075350D" w:rsidRPr="0089654D" w:rsidRDefault="0075350D" w:rsidP="0089654D">
            <w:pPr>
              <w:spacing w:after="0" w:line="240" w:lineRule="auto"/>
              <w:rPr>
                <w:rFonts w:ascii="Calibri" w:eastAsia="Calibri" w:hAnsi="Calibri" w:cs="Calibri"/>
                <w:b/>
                <w:bCs/>
                <w:sz w:val="18"/>
                <w:szCs w:val="18"/>
              </w:rPr>
            </w:pPr>
            <w:r w:rsidRPr="0089654D">
              <w:rPr>
                <w:rFonts w:ascii="Calibri" w:eastAsia="Calibri" w:hAnsi="Calibri" w:cs="Calibri"/>
                <w:b/>
                <w:bCs/>
                <w:sz w:val="18"/>
                <w:szCs w:val="18"/>
              </w:rPr>
              <w:t>Targets for 2030</w:t>
            </w:r>
          </w:p>
        </w:tc>
        <w:tc>
          <w:tcPr>
            <w:tcW w:w="1108" w:type="pct"/>
            <w:tcBorders>
              <w:top w:val="nil"/>
              <w:left w:val="single" w:sz="8" w:space="0" w:color="999999"/>
              <w:bottom w:val="single" w:sz="8" w:space="0" w:color="999999"/>
              <w:right w:val="single" w:sz="8" w:space="0" w:color="999999"/>
            </w:tcBorders>
          </w:tcPr>
          <w:p w14:paraId="27E049D6" w14:textId="77777777" w:rsidR="0075350D" w:rsidRPr="0089654D" w:rsidRDefault="0075350D" w:rsidP="0089654D">
            <w:pPr>
              <w:spacing w:after="0" w:line="240" w:lineRule="auto"/>
              <w:rPr>
                <w:sz w:val="18"/>
                <w:szCs w:val="18"/>
              </w:rPr>
            </w:pPr>
            <w:r w:rsidRPr="0089654D">
              <w:rPr>
                <w:rFonts w:ascii="Calibri" w:eastAsia="Calibri" w:hAnsi="Calibri" w:cs="Calibri"/>
                <w:b/>
                <w:bCs/>
                <w:sz w:val="18"/>
                <w:szCs w:val="18"/>
              </w:rPr>
              <w:t>Priority Population Groups</w:t>
            </w:r>
          </w:p>
        </w:tc>
      </w:tr>
      <w:tr w:rsidR="0075350D" w14:paraId="488990FA" w14:textId="77777777" w:rsidTr="00052AC4">
        <w:trPr>
          <w:trHeight w:val="60"/>
          <w:jc w:val="center"/>
        </w:trPr>
        <w:tc>
          <w:tcPr>
            <w:tcW w:w="830" w:type="pct"/>
            <w:tcBorders>
              <w:top w:val="single" w:sz="8" w:space="0" w:color="999999"/>
              <w:left w:val="single" w:sz="8" w:space="0" w:color="999999"/>
              <w:bottom w:val="single" w:sz="8" w:space="0" w:color="999999"/>
              <w:right w:val="single" w:sz="8" w:space="0" w:color="999999"/>
            </w:tcBorders>
          </w:tcPr>
          <w:p w14:paraId="7BE2B485"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Consumer health information</w:t>
            </w:r>
          </w:p>
          <w:p w14:paraId="433455E4"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Service provision</w:t>
            </w:r>
          </w:p>
          <w:p w14:paraId="49CFE42B" w14:textId="77777777" w:rsidR="0075350D" w:rsidRPr="0089654D" w:rsidRDefault="0075350D" w:rsidP="0089654D">
            <w:pPr>
              <w:pStyle w:val="Healthtablebullet"/>
              <w:spacing w:after="0" w:line="240" w:lineRule="auto"/>
              <w:rPr>
                <w:szCs w:val="18"/>
              </w:rPr>
            </w:pPr>
            <w:r w:rsidRPr="0089654D">
              <w:rPr>
                <w:rFonts w:ascii="Calibri" w:hAnsi="Calibri" w:cs="Arial"/>
                <w:szCs w:val="18"/>
              </w:rPr>
              <w:t>Workforce</w:t>
            </w:r>
          </w:p>
        </w:tc>
        <w:tc>
          <w:tcPr>
            <w:tcW w:w="1392" w:type="pct"/>
            <w:tcBorders>
              <w:top w:val="single" w:sz="8" w:space="0" w:color="999999"/>
              <w:left w:val="single" w:sz="8" w:space="0" w:color="999999"/>
              <w:bottom w:val="single" w:sz="8" w:space="0" w:color="999999"/>
              <w:right w:val="single" w:sz="8" w:space="0" w:color="999999"/>
            </w:tcBorders>
          </w:tcPr>
          <w:p w14:paraId="47712561"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Systems support individuals and communities to enjoy positive sexual health and wellbeing.</w:t>
            </w:r>
          </w:p>
          <w:p w14:paraId="5AB3D952"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Victorian women, girls and gender diverse people have access to information and are empowered to make decisions about their sexual and reproductive health.</w:t>
            </w:r>
          </w:p>
          <w:p w14:paraId="40A50BE3"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lastRenderedPageBreak/>
              <w:t>Victorian women, girls and gender diverse people are supported to access high-quality, safe and respectful sexual and reproductive health services that are free from stigma, racism and discrimination.</w:t>
            </w:r>
          </w:p>
          <w:p w14:paraId="16C5C8ED"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The Victorian workforce has the skills, knowledge and attitudes needed to deliver best practice sexual and reproductive health testing, treatment and care for women, girls and gender diverse people.</w:t>
            </w:r>
          </w:p>
        </w:tc>
        <w:tc>
          <w:tcPr>
            <w:tcW w:w="1670" w:type="pct"/>
            <w:tcBorders>
              <w:top w:val="single" w:sz="8" w:space="0" w:color="999999"/>
              <w:left w:val="single" w:sz="8" w:space="0" w:color="999999"/>
              <w:bottom w:val="single" w:sz="8" w:space="0" w:color="999999"/>
              <w:right w:val="single" w:sz="8" w:space="0" w:color="999999"/>
            </w:tcBorders>
          </w:tcPr>
          <w:p w14:paraId="3CB9EE2F" w14:textId="77777777" w:rsidR="0075350D" w:rsidRPr="0089654D" w:rsidRDefault="0075350D" w:rsidP="0089654D">
            <w:pPr>
              <w:pStyle w:val="Healthtablebullet"/>
              <w:numPr>
                <w:ilvl w:val="0"/>
                <w:numId w:val="0"/>
              </w:numPr>
              <w:spacing w:after="0" w:line="240" w:lineRule="auto"/>
              <w:rPr>
                <w:rFonts w:ascii="Calibri" w:hAnsi="Calibri" w:cs="Arial"/>
                <w:szCs w:val="18"/>
              </w:rPr>
            </w:pPr>
            <w:r w:rsidRPr="0089654D">
              <w:rPr>
                <w:rFonts w:ascii="Calibri" w:hAnsi="Calibri" w:cs="Arial"/>
                <w:szCs w:val="18"/>
              </w:rPr>
              <w:lastRenderedPageBreak/>
              <w:t>There are no targets specific to reproductive health. However, this plan lists complementary targets from the STI and hepatitis B plans:</w:t>
            </w:r>
          </w:p>
          <w:p w14:paraId="43F362DB" w14:textId="77777777" w:rsidR="0075350D" w:rsidRPr="0089654D" w:rsidRDefault="0075350D" w:rsidP="0089654D">
            <w:pPr>
              <w:pStyle w:val="Bullet1"/>
              <w:numPr>
                <w:ilvl w:val="0"/>
                <w:numId w:val="7"/>
              </w:numPr>
              <w:spacing w:after="0" w:line="240" w:lineRule="auto"/>
              <w:rPr>
                <w:rFonts w:ascii="Calibri" w:eastAsia="MS Mincho" w:hAnsi="Calibri" w:cs="Arial"/>
                <w:sz w:val="18"/>
                <w:szCs w:val="18"/>
              </w:rPr>
            </w:pPr>
            <w:r w:rsidRPr="0089654D">
              <w:rPr>
                <w:rFonts w:ascii="Calibri" w:eastAsia="MS Mincho" w:hAnsi="Calibri" w:cs="Arial"/>
                <w:sz w:val="18"/>
                <w:szCs w:val="18"/>
              </w:rPr>
              <w:t>Eliminate congenital syphilis</w:t>
            </w:r>
          </w:p>
          <w:p w14:paraId="6B2446F8" w14:textId="77777777" w:rsidR="0075350D" w:rsidRPr="0089654D" w:rsidRDefault="0075350D" w:rsidP="0089654D">
            <w:pPr>
              <w:pStyle w:val="Bullet1"/>
              <w:numPr>
                <w:ilvl w:val="0"/>
                <w:numId w:val="7"/>
              </w:numPr>
              <w:spacing w:after="0" w:line="240" w:lineRule="auto"/>
              <w:rPr>
                <w:rFonts w:ascii="Calibri" w:eastAsia="MS Mincho" w:hAnsi="Calibri" w:cs="Arial"/>
                <w:sz w:val="18"/>
                <w:szCs w:val="18"/>
              </w:rPr>
            </w:pPr>
            <w:r w:rsidRPr="0089654D">
              <w:rPr>
                <w:rFonts w:ascii="Calibri" w:eastAsia="MS Mincho" w:hAnsi="Calibri" w:cs="Arial"/>
                <w:sz w:val="18"/>
                <w:szCs w:val="18"/>
              </w:rPr>
              <w:t xml:space="preserve">Eliminate mother-to-child </w:t>
            </w:r>
            <w:r w:rsidRPr="0089654D" w:rsidDel="00FB246D">
              <w:rPr>
                <w:rFonts w:ascii="Calibri" w:eastAsia="MS Mincho" w:hAnsi="Calibri" w:cs="Arial"/>
                <w:sz w:val="18"/>
                <w:szCs w:val="18"/>
              </w:rPr>
              <w:t xml:space="preserve">transmission </w:t>
            </w:r>
            <w:r w:rsidRPr="0089654D">
              <w:rPr>
                <w:rFonts w:ascii="Calibri" w:eastAsia="MS Mincho" w:hAnsi="Calibri" w:cs="Arial"/>
                <w:sz w:val="18"/>
                <w:szCs w:val="18"/>
              </w:rPr>
              <w:t>of hepatitis B</w:t>
            </w:r>
          </w:p>
          <w:p w14:paraId="69C38902" w14:textId="77777777" w:rsidR="0075350D" w:rsidRPr="0089654D" w:rsidRDefault="0075350D" w:rsidP="0089654D">
            <w:pPr>
              <w:pStyle w:val="Bullet1"/>
              <w:numPr>
                <w:ilvl w:val="0"/>
                <w:numId w:val="7"/>
              </w:numPr>
              <w:spacing w:after="0" w:line="240" w:lineRule="auto"/>
              <w:rPr>
                <w:rFonts w:ascii="Calibri" w:eastAsia="MS Mincho" w:hAnsi="Calibri" w:cs="Arial"/>
                <w:sz w:val="18"/>
                <w:szCs w:val="18"/>
              </w:rPr>
            </w:pPr>
            <w:r w:rsidRPr="0089654D">
              <w:rPr>
                <w:rFonts w:ascii="Calibri" w:eastAsia="MS Mincho" w:hAnsi="Calibri" w:cs="Arial"/>
                <w:sz w:val="18"/>
                <w:szCs w:val="18"/>
              </w:rPr>
              <w:t>Achieve and maintain HPV adolescent vaccination coverage of 80 per cent</w:t>
            </w:r>
          </w:p>
          <w:p w14:paraId="0D6C07BE" w14:textId="77777777" w:rsidR="0075350D" w:rsidRPr="0089654D" w:rsidRDefault="0075350D" w:rsidP="0089654D">
            <w:pPr>
              <w:pStyle w:val="Bullet1"/>
              <w:numPr>
                <w:ilvl w:val="0"/>
                <w:numId w:val="7"/>
              </w:numPr>
              <w:spacing w:after="0" w:line="240" w:lineRule="auto"/>
              <w:rPr>
                <w:rFonts w:ascii="Calibri" w:eastAsia="MS Mincho" w:hAnsi="Calibri" w:cs="Arial"/>
                <w:sz w:val="18"/>
                <w:szCs w:val="18"/>
              </w:rPr>
            </w:pPr>
            <w:r w:rsidRPr="0089654D">
              <w:rPr>
                <w:rFonts w:ascii="Calibri" w:eastAsia="MS Mincho" w:hAnsi="Calibri" w:cs="Arial"/>
                <w:sz w:val="18"/>
                <w:szCs w:val="18"/>
              </w:rPr>
              <w:lastRenderedPageBreak/>
              <w:t>Achieve and maintain childhood vaccination coverage of 95 per cent at birth, 12 and 24 months</w:t>
            </w:r>
          </w:p>
          <w:p w14:paraId="0471BABA" w14:textId="77777777" w:rsidR="0075350D" w:rsidRPr="0089654D" w:rsidRDefault="0075350D" w:rsidP="0089654D">
            <w:pPr>
              <w:pStyle w:val="Bullet1"/>
              <w:numPr>
                <w:ilvl w:val="0"/>
                <w:numId w:val="7"/>
              </w:numPr>
              <w:spacing w:after="0" w:line="240" w:lineRule="auto"/>
              <w:rPr>
                <w:rFonts w:ascii="Calibri" w:eastAsia="MS Mincho" w:hAnsi="Calibri" w:cs="Arial"/>
                <w:sz w:val="18"/>
                <w:szCs w:val="18"/>
              </w:rPr>
            </w:pPr>
            <w:r w:rsidRPr="0089654D">
              <w:rPr>
                <w:rFonts w:ascii="Calibri" w:eastAsia="MS Mincho" w:hAnsi="Calibri" w:cs="Arial"/>
                <w:sz w:val="18"/>
                <w:szCs w:val="18"/>
              </w:rPr>
              <w:t xml:space="preserve">Achieve and maintain 100 per cent uptake of </w:t>
            </w:r>
            <w:proofErr w:type="spellStart"/>
            <w:r w:rsidRPr="0089654D">
              <w:rPr>
                <w:rFonts w:ascii="Calibri" w:eastAsia="MS Mincho" w:hAnsi="Calibri" w:cs="Arial"/>
                <w:sz w:val="18"/>
                <w:szCs w:val="18"/>
              </w:rPr>
              <w:t>HBIg</w:t>
            </w:r>
            <w:proofErr w:type="spellEnd"/>
            <w:r w:rsidRPr="0089654D">
              <w:rPr>
                <w:rFonts w:ascii="Calibri" w:eastAsia="MS Mincho" w:hAnsi="Calibri" w:cs="Arial"/>
                <w:sz w:val="18"/>
                <w:szCs w:val="18"/>
              </w:rPr>
              <w:t xml:space="preserve"> and birth dose vaccine for all infants born to women with chronic hepatitis B, and access to antiviral therapy in the third trimester of pregnancy for women with high hepatitis B viral load </w:t>
            </w:r>
          </w:p>
          <w:p w14:paraId="1A15159D" w14:textId="77777777" w:rsidR="0075350D" w:rsidRPr="0089654D" w:rsidRDefault="0075350D" w:rsidP="0089654D">
            <w:pPr>
              <w:pStyle w:val="Bullet1"/>
              <w:numPr>
                <w:ilvl w:val="0"/>
                <w:numId w:val="7"/>
              </w:numPr>
              <w:spacing w:after="0" w:line="240" w:lineRule="auto"/>
              <w:rPr>
                <w:rFonts w:ascii="Calibri" w:eastAsia="MS Mincho" w:hAnsi="Calibri" w:cs="Arial"/>
                <w:sz w:val="18"/>
                <w:szCs w:val="18"/>
              </w:rPr>
            </w:pPr>
            <w:r w:rsidRPr="0089654D">
              <w:rPr>
                <w:rFonts w:ascii="Calibri" w:eastAsia="MS Mincho" w:hAnsi="Calibri" w:cs="Arial"/>
                <w:sz w:val="18"/>
                <w:szCs w:val="18"/>
              </w:rPr>
              <w:t>Increase STI testing coverage in priority populations (compared with 2019)</w:t>
            </w:r>
          </w:p>
          <w:p w14:paraId="35EAE9AC" w14:textId="77777777" w:rsidR="0075350D" w:rsidRPr="0089654D" w:rsidRDefault="0075350D" w:rsidP="0089654D">
            <w:pPr>
              <w:pStyle w:val="Bullet1"/>
              <w:numPr>
                <w:ilvl w:val="0"/>
                <w:numId w:val="7"/>
              </w:numPr>
              <w:spacing w:after="0" w:line="240" w:lineRule="auto"/>
              <w:rPr>
                <w:rFonts w:ascii="Calibri" w:eastAsia="MS Mincho" w:hAnsi="Calibri" w:cs="Arial"/>
                <w:sz w:val="18"/>
                <w:szCs w:val="18"/>
              </w:rPr>
            </w:pPr>
            <w:r w:rsidRPr="0089654D">
              <w:rPr>
                <w:rFonts w:ascii="Calibri" w:eastAsia="MS Mincho" w:hAnsi="Calibri" w:cs="Arial"/>
                <w:sz w:val="18"/>
                <w:szCs w:val="18"/>
              </w:rPr>
              <w:t>Reduce the prevalence of chlamydia, gonorrhoea and infectious syphilis (compared with 2019)</w:t>
            </w:r>
          </w:p>
          <w:p w14:paraId="101349D3" w14:textId="77777777" w:rsidR="0075350D" w:rsidRPr="0089654D" w:rsidRDefault="0075350D" w:rsidP="0089654D">
            <w:pPr>
              <w:pStyle w:val="Bullet1"/>
              <w:numPr>
                <w:ilvl w:val="0"/>
                <w:numId w:val="7"/>
              </w:numPr>
              <w:spacing w:after="0" w:line="240" w:lineRule="auto"/>
              <w:rPr>
                <w:rFonts w:ascii="Calibri" w:hAnsi="Calibri" w:cs="Arial"/>
                <w:sz w:val="18"/>
                <w:szCs w:val="18"/>
              </w:rPr>
            </w:pPr>
            <w:r w:rsidRPr="0089654D">
              <w:rPr>
                <w:rFonts w:ascii="Calibri" w:eastAsia="MS Mincho" w:hAnsi="Calibri" w:cs="Arial"/>
                <w:sz w:val="18"/>
                <w:szCs w:val="18"/>
              </w:rPr>
              <w:t>Reduce the reported experiences of stigma, racism and discrimination for people living with or affected by hepatitis B or STI in health and social support settings to less than 10 per cent</w:t>
            </w:r>
          </w:p>
        </w:tc>
        <w:tc>
          <w:tcPr>
            <w:tcW w:w="1108" w:type="pct"/>
            <w:tcBorders>
              <w:top w:val="single" w:sz="8" w:space="0" w:color="999999"/>
              <w:left w:val="single" w:sz="8" w:space="0" w:color="999999"/>
              <w:bottom w:val="single" w:sz="8" w:space="0" w:color="999999"/>
              <w:right w:val="single" w:sz="8" w:space="0" w:color="999999"/>
            </w:tcBorders>
          </w:tcPr>
          <w:p w14:paraId="4F03CB10"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lastRenderedPageBreak/>
              <w:t>all women, girls and gender diverse people across the life course</w:t>
            </w:r>
          </w:p>
          <w:p w14:paraId="5F92137B"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Aboriginal people</w:t>
            </w:r>
          </w:p>
          <w:p w14:paraId="02023A64"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LGBTIQ+ people</w:t>
            </w:r>
          </w:p>
          <w:p w14:paraId="2A86C69A"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culturally, ethnically and linguistically diverse women</w:t>
            </w:r>
          </w:p>
          <w:p w14:paraId="0F7DC53D"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women in custodial settings</w:t>
            </w:r>
          </w:p>
          <w:p w14:paraId="67045D9F"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lastRenderedPageBreak/>
              <w:t>women living with a disability</w:t>
            </w:r>
          </w:p>
          <w:p w14:paraId="2D8879E6" w14:textId="77777777" w:rsidR="0075350D" w:rsidRPr="0089654D" w:rsidRDefault="0075350D" w:rsidP="0089654D">
            <w:pPr>
              <w:pStyle w:val="Healthtablebullet"/>
              <w:spacing w:after="0" w:line="240" w:lineRule="auto"/>
              <w:rPr>
                <w:rFonts w:ascii="Calibri" w:hAnsi="Calibri" w:cs="Arial"/>
                <w:szCs w:val="18"/>
              </w:rPr>
            </w:pPr>
            <w:r w:rsidRPr="0089654D">
              <w:rPr>
                <w:rFonts w:ascii="Calibri" w:hAnsi="Calibri" w:cs="Arial"/>
                <w:szCs w:val="18"/>
              </w:rPr>
              <w:t>women and gender diverse sex workers</w:t>
            </w:r>
          </w:p>
          <w:p w14:paraId="67B93DED" w14:textId="77777777" w:rsidR="0075350D" w:rsidRPr="0089654D" w:rsidRDefault="0075350D" w:rsidP="0089654D">
            <w:pPr>
              <w:pStyle w:val="Healthtablebullet"/>
              <w:spacing w:after="0" w:line="240" w:lineRule="auto"/>
              <w:rPr>
                <w:rFonts w:ascii="Calibri" w:eastAsia="Calibri" w:hAnsi="Calibri"/>
                <w:szCs w:val="18"/>
              </w:rPr>
            </w:pPr>
            <w:r w:rsidRPr="0089654D">
              <w:rPr>
                <w:rFonts w:ascii="Calibri" w:hAnsi="Calibri" w:cs="Arial"/>
                <w:szCs w:val="18"/>
              </w:rPr>
              <w:t>women living with BBV or STI</w:t>
            </w:r>
          </w:p>
        </w:tc>
      </w:tr>
    </w:tbl>
    <w:p w14:paraId="608BA587" w14:textId="48A47629" w:rsidR="0075350D" w:rsidRPr="000E78AC" w:rsidRDefault="0075350D" w:rsidP="0075350D">
      <w:pPr>
        <w:pStyle w:val="Heading1"/>
        <w:jc w:val="right"/>
        <w:rPr>
          <w:szCs w:val="36"/>
        </w:rPr>
      </w:pPr>
      <w:r>
        <w:lastRenderedPageBreak/>
        <w:br w:type="page"/>
      </w:r>
    </w:p>
    <w:p w14:paraId="640A5975" w14:textId="2DC68327" w:rsidR="0075350D" w:rsidRPr="003A2265" w:rsidRDefault="007B36E7" w:rsidP="007B36E7">
      <w:pPr>
        <w:pStyle w:val="Heading1"/>
      </w:pPr>
      <w:bookmarkStart w:id="35" w:name="_Toc214378213"/>
      <w:r>
        <w:lastRenderedPageBreak/>
        <w:t xml:space="preserve">Appendix </w:t>
      </w:r>
      <w:r w:rsidR="00580562">
        <w:t>4</w:t>
      </w:r>
      <w:r>
        <w:t xml:space="preserve">: </w:t>
      </w:r>
      <w:r w:rsidR="0075350D" w:rsidRPr="003A2265">
        <w:t>Terminology</w:t>
      </w:r>
      <w:r w:rsidR="002A4A10">
        <w:t xml:space="preserve"> for use in template</w:t>
      </w:r>
      <w:r w:rsidR="0075350D" w:rsidRPr="003A2265">
        <w:t xml:space="preserve"> – planning, reporting and evaluating</w:t>
      </w:r>
      <w:bookmarkEnd w:id="35"/>
    </w:p>
    <w:p w14:paraId="106D26A9" w14:textId="77777777" w:rsidR="0075350D" w:rsidRPr="00CB59C9" w:rsidRDefault="0075350D" w:rsidP="0006734E">
      <w:pPr>
        <w:pStyle w:val="Body"/>
        <w:rPr>
          <w:rFonts w:cs="Arial"/>
        </w:rPr>
      </w:pPr>
      <w:r w:rsidRPr="00CB59C9">
        <w:rPr>
          <w:rFonts w:cs="Arial"/>
        </w:rPr>
        <w:t xml:space="preserve">In planning and evaluating projects, we use terminology in very specific </w:t>
      </w:r>
      <w:proofErr w:type="gramStart"/>
      <w:r w:rsidRPr="00CB59C9">
        <w:rPr>
          <w:rFonts w:cs="Arial"/>
        </w:rPr>
        <w:t>ways</w:t>
      </w:r>
      <w:proofErr w:type="gramEnd"/>
      <w:r w:rsidRPr="00CB59C9">
        <w:rPr>
          <w:rFonts w:cs="Arial"/>
        </w:rPr>
        <w:t xml:space="preserve"> and this can vary slightly between different reference materials. The definitions below are based on the department’s integrated health promotion guides and all agencies should use the following terminology in their health promotion plans and update reports to ensure consistency across the sector. </w:t>
      </w:r>
    </w:p>
    <w:p w14:paraId="4670CA61" w14:textId="77777777" w:rsidR="0075350D" w:rsidRPr="00CB59C9" w:rsidRDefault="0075350D" w:rsidP="0075350D">
      <w:pPr>
        <w:rPr>
          <w:rFonts w:cs="Arial"/>
          <w:b/>
        </w:rPr>
      </w:pPr>
    </w:p>
    <w:tbl>
      <w:tblPr>
        <w:tblW w:w="0" w:type="auto"/>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2127"/>
        <w:gridCol w:w="8067"/>
      </w:tblGrid>
      <w:tr w:rsidR="00C44DA0" w:rsidRPr="00CB59C9" w14:paraId="15109E72" w14:textId="77777777" w:rsidTr="00D51061">
        <w:trPr>
          <w:jc w:val="center"/>
        </w:trPr>
        <w:tc>
          <w:tcPr>
            <w:tcW w:w="2127" w:type="dxa"/>
          </w:tcPr>
          <w:p w14:paraId="7010D2C9" w14:textId="36CC8659" w:rsidR="00C44DA0" w:rsidRPr="00CB59C9" w:rsidRDefault="00C44DA0">
            <w:pPr>
              <w:rPr>
                <w:rFonts w:cs="Arial"/>
                <w:b/>
              </w:rPr>
            </w:pPr>
            <w:r w:rsidRPr="00CB59C9">
              <w:rPr>
                <w:rFonts w:cs="Arial"/>
                <w:b/>
              </w:rPr>
              <w:t xml:space="preserve">Terminology </w:t>
            </w:r>
          </w:p>
        </w:tc>
        <w:tc>
          <w:tcPr>
            <w:tcW w:w="8092" w:type="dxa"/>
          </w:tcPr>
          <w:p w14:paraId="50736A45" w14:textId="77777777" w:rsidR="00C44DA0" w:rsidRPr="00CB59C9" w:rsidRDefault="00C44DA0">
            <w:pPr>
              <w:rPr>
                <w:rFonts w:cs="Arial"/>
                <w:b/>
              </w:rPr>
            </w:pPr>
            <w:r w:rsidRPr="00CB59C9">
              <w:rPr>
                <w:rFonts w:cs="Arial"/>
                <w:b/>
              </w:rPr>
              <w:t>Definition</w:t>
            </w:r>
          </w:p>
        </w:tc>
      </w:tr>
      <w:tr w:rsidR="00C44DA0" w:rsidRPr="00CB59C9" w14:paraId="6A5D38C6" w14:textId="77777777" w:rsidTr="00D51061">
        <w:trPr>
          <w:jc w:val="center"/>
        </w:trPr>
        <w:tc>
          <w:tcPr>
            <w:tcW w:w="2127" w:type="dxa"/>
          </w:tcPr>
          <w:p w14:paraId="399B3C9A" w14:textId="4B8BD146" w:rsidR="00C44DA0" w:rsidRPr="00CB59C9" w:rsidRDefault="00C44DA0" w:rsidP="000F272E">
            <w:pPr>
              <w:rPr>
                <w:rFonts w:cs="Arial"/>
                <w:b/>
              </w:rPr>
            </w:pPr>
            <w:r w:rsidRPr="00CB59C9">
              <w:rPr>
                <w:rFonts w:cs="Arial"/>
                <w:b/>
              </w:rPr>
              <w:t>Objective</w:t>
            </w:r>
            <w:r w:rsidR="00857C56" w:rsidRPr="00CB59C9">
              <w:rPr>
                <w:rFonts w:cs="Arial"/>
                <w:b/>
              </w:rPr>
              <w:t>/Intended Impact</w:t>
            </w:r>
          </w:p>
        </w:tc>
        <w:tc>
          <w:tcPr>
            <w:tcW w:w="8092" w:type="dxa"/>
          </w:tcPr>
          <w:p w14:paraId="1370BAD6" w14:textId="788E34A2" w:rsidR="00C44DA0" w:rsidRPr="00CB59C9" w:rsidRDefault="00C44DA0" w:rsidP="00B576D2">
            <w:pPr>
              <w:rPr>
                <w:rFonts w:cs="Arial"/>
              </w:rPr>
            </w:pPr>
            <w:r w:rsidRPr="00CB59C9">
              <w:rPr>
                <w:rFonts w:cs="Arial"/>
              </w:rPr>
              <w:t xml:space="preserve">What a program/project is meant to achieve immediately after its completion. Objectives should be SMART: Specific, Measurable, Achievable, Relevant, Time specific.  </w:t>
            </w:r>
          </w:p>
        </w:tc>
      </w:tr>
      <w:tr w:rsidR="00C44DA0" w:rsidRPr="00CB59C9" w14:paraId="69B3B05A" w14:textId="77777777" w:rsidTr="00D51061">
        <w:trPr>
          <w:jc w:val="center"/>
        </w:trPr>
        <w:tc>
          <w:tcPr>
            <w:tcW w:w="2127" w:type="dxa"/>
          </w:tcPr>
          <w:p w14:paraId="6BDFE6D1" w14:textId="296707E9" w:rsidR="00C44DA0" w:rsidRPr="00CB59C9" w:rsidRDefault="00C44DA0" w:rsidP="00B576D2">
            <w:pPr>
              <w:rPr>
                <w:rFonts w:cs="Arial"/>
                <w:b/>
              </w:rPr>
            </w:pPr>
            <w:r w:rsidRPr="00CB59C9">
              <w:rPr>
                <w:rFonts w:cs="Arial"/>
                <w:b/>
              </w:rPr>
              <w:t xml:space="preserve">Activities </w:t>
            </w:r>
          </w:p>
        </w:tc>
        <w:tc>
          <w:tcPr>
            <w:tcW w:w="8092" w:type="dxa"/>
          </w:tcPr>
          <w:p w14:paraId="07A6C502" w14:textId="70A73C99" w:rsidR="00C44DA0" w:rsidRPr="00CB59C9" w:rsidRDefault="00C44DA0" w:rsidP="00B576D2">
            <w:pPr>
              <w:rPr>
                <w:rFonts w:cs="Arial"/>
              </w:rPr>
            </w:pPr>
            <w:r w:rsidRPr="00CB59C9">
              <w:rPr>
                <w:rFonts w:cs="Arial"/>
              </w:rPr>
              <w:t xml:space="preserve">Specific actions that will contribute to achieving the objectives. </w:t>
            </w:r>
          </w:p>
        </w:tc>
      </w:tr>
      <w:tr w:rsidR="00C44DA0" w:rsidRPr="00CB59C9" w14:paraId="41EF0157" w14:textId="77777777" w:rsidTr="00D51061">
        <w:trPr>
          <w:jc w:val="center"/>
        </w:trPr>
        <w:tc>
          <w:tcPr>
            <w:tcW w:w="2127" w:type="dxa"/>
          </w:tcPr>
          <w:p w14:paraId="2D81494F" w14:textId="1C9CE05F" w:rsidR="00C44DA0" w:rsidRPr="00CB59C9" w:rsidRDefault="003E0CAD" w:rsidP="000F272E">
            <w:pPr>
              <w:rPr>
                <w:rFonts w:cs="Arial"/>
                <w:b/>
              </w:rPr>
            </w:pPr>
            <w:r w:rsidRPr="00CB59C9">
              <w:rPr>
                <w:rFonts w:cs="Arial"/>
                <w:b/>
              </w:rPr>
              <w:t>Output</w:t>
            </w:r>
          </w:p>
        </w:tc>
        <w:tc>
          <w:tcPr>
            <w:tcW w:w="8092" w:type="dxa"/>
          </w:tcPr>
          <w:p w14:paraId="53E622A8" w14:textId="49586198" w:rsidR="00C44DA0" w:rsidRPr="00CB59C9" w:rsidRDefault="007C1ACD" w:rsidP="000F272E">
            <w:pPr>
              <w:rPr>
                <w:rFonts w:cs="Arial"/>
              </w:rPr>
            </w:pPr>
            <w:r w:rsidRPr="00CB59C9">
              <w:rPr>
                <w:rFonts w:cs="Arial"/>
              </w:rPr>
              <w:t xml:space="preserve"> </w:t>
            </w:r>
            <w:r w:rsidR="00553E31" w:rsidRPr="00CB59C9">
              <w:rPr>
                <w:rFonts w:cs="Arial"/>
              </w:rPr>
              <w:t>Details of specific activities</w:t>
            </w:r>
            <w:r w:rsidR="00A420F6" w:rsidRPr="00CB59C9">
              <w:rPr>
                <w:rFonts w:cs="Arial"/>
              </w:rPr>
              <w:t xml:space="preserve"> achieved. </w:t>
            </w:r>
          </w:p>
        </w:tc>
      </w:tr>
      <w:tr w:rsidR="00C44DA0" w:rsidRPr="00CB59C9" w14:paraId="0B4C0CD9" w14:textId="77777777" w:rsidTr="00D51061">
        <w:trPr>
          <w:jc w:val="center"/>
        </w:trPr>
        <w:tc>
          <w:tcPr>
            <w:tcW w:w="2127" w:type="dxa"/>
          </w:tcPr>
          <w:p w14:paraId="50EDF4B9" w14:textId="66BC5CC1" w:rsidR="00C44DA0" w:rsidRPr="00CB59C9" w:rsidRDefault="00C44DA0" w:rsidP="00C44DA0">
            <w:pPr>
              <w:rPr>
                <w:rFonts w:cs="Arial"/>
                <w:b/>
              </w:rPr>
            </w:pPr>
            <w:r w:rsidRPr="00CB59C9">
              <w:rPr>
                <w:rFonts w:cs="Arial"/>
                <w:b/>
              </w:rPr>
              <w:t>Impact</w:t>
            </w:r>
          </w:p>
        </w:tc>
        <w:tc>
          <w:tcPr>
            <w:tcW w:w="8092" w:type="dxa"/>
          </w:tcPr>
          <w:p w14:paraId="633F3313" w14:textId="19CB4CC2" w:rsidR="00C44DA0" w:rsidRPr="00CB59C9" w:rsidRDefault="00C44DA0" w:rsidP="00C44DA0">
            <w:pPr>
              <w:rPr>
                <w:rFonts w:cs="Arial"/>
              </w:rPr>
            </w:pPr>
            <w:r w:rsidRPr="00CB59C9">
              <w:rPr>
                <w:rFonts w:cs="Arial"/>
              </w:rPr>
              <w:t>A measurable change impacting on health</w:t>
            </w:r>
            <w:r w:rsidR="003E0CAD" w:rsidRPr="00CB59C9">
              <w:rPr>
                <w:rFonts w:cs="Arial"/>
              </w:rPr>
              <w:t xml:space="preserve"> (</w:t>
            </w:r>
            <w:r w:rsidR="007C1ACD" w:rsidRPr="00CB59C9">
              <w:rPr>
                <w:rFonts w:cs="Arial"/>
              </w:rPr>
              <w:t>e.g. changes to mortality, morbidity, equity, quality of life)</w:t>
            </w:r>
            <w:r w:rsidRPr="00CB59C9">
              <w:rPr>
                <w:rFonts w:cs="Arial"/>
              </w:rPr>
              <w:t>.</w:t>
            </w:r>
          </w:p>
          <w:p w14:paraId="0A974D60" w14:textId="77777777" w:rsidR="00C44DA0" w:rsidRPr="00CB59C9" w:rsidRDefault="00C44DA0" w:rsidP="00C44DA0">
            <w:pPr>
              <w:rPr>
                <w:rFonts w:cs="Arial"/>
              </w:rPr>
            </w:pPr>
            <w:r w:rsidRPr="00CB59C9">
              <w:rPr>
                <w:rFonts w:cs="Arial"/>
              </w:rPr>
              <w:t xml:space="preserve">Assesses the degree to which the objectives were met. </w:t>
            </w:r>
          </w:p>
          <w:p w14:paraId="53D24222" w14:textId="267756B3" w:rsidR="00C44DA0" w:rsidRPr="00CB59C9" w:rsidRDefault="00C44DA0" w:rsidP="000F272E">
            <w:pPr>
              <w:rPr>
                <w:rFonts w:cs="Arial"/>
              </w:rPr>
            </w:pPr>
            <w:r w:rsidRPr="00CB59C9">
              <w:rPr>
                <w:rFonts w:cs="Arial"/>
              </w:rPr>
              <w:t xml:space="preserve">For </w:t>
            </w:r>
            <w:proofErr w:type="gramStart"/>
            <w:r w:rsidRPr="00CB59C9">
              <w:rPr>
                <w:rFonts w:cs="Arial"/>
              </w:rPr>
              <w:t>example;</w:t>
            </w:r>
            <w:proofErr w:type="gramEnd"/>
            <w:r w:rsidRPr="00CB59C9">
              <w:rPr>
                <w:rFonts w:cs="Arial"/>
              </w:rPr>
              <w:t xml:space="preserve"> increased health knowledge, changes to health behaviour, reduced risk taking, changes to the practices of health services, policy or legal change. </w:t>
            </w:r>
          </w:p>
        </w:tc>
      </w:tr>
      <w:tr w:rsidR="00C44DA0" w:rsidRPr="00CB59C9" w14:paraId="5023C802" w14:textId="77777777" w:rsidTr="00D51061">
        <w:trPr>
          <w:jc w:val="center"/>
        </w:trPr>
        <w:tc>
          <w:tcPr>
            <w:tcW w:w="2127" w:type="dxa"/>
          </w:tcPr>
          <w:p w14:paraId="0D1F30FC" w14:textId="4EFD5AA0" w:rsidR="00C44DA0" w:rsidRPr="00CB59C9" w:rsidRDefault="00C44DA0" w:rsidP="00C44DA0">
            <w:pPr>
              <w:rPr>
                <w:rFonts w:cs="Arial"/>
                <w:b/>
              </w:rPr>
            </w:pPr>
            <w:r w:rsidRPr="00CB59C9">
              <w:rPr>
                <w:rFonts w:cs="Arial"/>
                <w:b/>
              </w:rPr>
              <w:t xml:space="preserve">Process </w:t>
            </w:r>
          </w:p>
        </w:tc>
        <w:tc>
          <w:tcPr>
            <w:tcW w:w="8092" w:type="dxa"/>
          </w:tcPr>
          <w:p w14:paraId="688A8151" w14:textId="77777777" w:rsidR="00C44DA0" w:rsidRPr="00CB59C9" w:rsidRDefault="00C44DA0" w:rsidP="00C44DA0">
            <w:pPr>
              <w:rPr>
                <w:rFonts w:cs="Arial"/>
              </w:rPr>
            </w:pPr>
            <w:r w:rsidRPr="00CB59C9">
              <w:rPr>
                <w:rFonts w:cs="Arial"/>
              </w:rPr>
              <w:t xml:space="preserve">Assesses how well the program / activity was implemented. </w:t>
            </w:r>
          </w:p>
          <w:p w14:paraId="248FEE6C" w14:textId="77777777" w:rsidR="00C44DA0" w:rsidRPr="00CB59C9" w:rsidRDefault="00C44DA0" w:rsidP="00C44DA0">
            <w:pPr>
              <w:rPr>
                <w:rFonts w:cs="Arial"/>
              </w:rPr>
            </w:pPr>
            <w:r w:rsidRPr="00CB59C9">
              <w:rPr>
                <w:rFonts w:cs="Arial"/>
              </w:rPr>
              <w:t xml:space="preserve">Usually measures quality, appropriateness and reach. </w:t>
            </w:r>
          </w:p>
          <w:p w14:paraId="00A6EC1F" w14:textId="40BA7196" w:rsidR="00C44DA0" w:rsidRPr="00CB59C9" w:rsidRDefault="00C44DA0" w:rsidP="00C44DA0">
            <w:pPr>
              <w:rPr>
                <w:rFonts w:cs="Arial"/>
              </w:rPr>
            </w:pPr>
            <w:r w:rsidRPr="00CB59C9">
              <w:rPr>
                <w:rFonts w:cs="Arial"/>
              </w:rPr>
              <w:t xml:space="preserve">For </w:t>
            </w:r>
            <w:proofErr w:type="gramStart"/>
            <w:r w:rsidRPr="00CB59C9">
              <w:rPr>
                <w:rFonts w:cs="Arial"/>
              </w:rPr>
              <w:t>example;</w:t>
            </w:r>
            <w:proofErr w:type="gramEnd"/>
            <w:r w:rsidRPr="00CB59C9">
              <w:rPr>
                <w:rFonts w:cs="Arial"/>
              </w:rPr>
              <w:t xml:space="preserve"> level of engagement of participants in a workshop, number of condoms distributed, satisfaction surveys for presentations/training.</w:t>
            </w:r>
          </w:p>
        </w:tc>
      </w:tr>
    </w:tbl>
    <w:p w14:paraId="0CA988FC" w14:textId="77777777" w:rsidR="00200176" w:rsidRDefault="00200176" w:rsidP="00200176">
      <w:pPr>
        <w:pStyle w:val="Body"/>
      </w:pPr>
    </w:p>
    <w:p w14:paraId="38052E64" w14:textId="77777777" w:rsidR="001452DB" w:rsidRDefault="001452DB" w:rsidP="00200176">
      <w:pPr>
        <w:pStyle w:val="Body"/>
        <w:sectPr w:rsidR="001452DB" w:rsidSect="00D77E3E">
          <w:pgSz w:w="11906" w:h="16838" w:code="9"/>
          <w:pgMar w:top="1418" w:right="851" w:bottom="1418" w:left="851" w:header="680" w:footer="851" w:gutter="0"/>
          <w:cols w:space="340"/>
          <w:docGrid w:linePitch="360"/>
        </w:sectPr>
      </w:pPr>
    </w:p>
    <w:p w14:paraId="27474BA7" w14:textId="31D21ED5" w:rsidR="00B33855" w:rsidRDefault="00057122" w:rsidP="00057122">
      <w:pPr>
        <w:pStyle w:val="Heading1"/>
      </w:pPr>
      <w:bookmarkStart w:id="36" w:name="_Toc214378214"/>
      <w:r>
        <w:lastRenderedPageBreak/>
        <w:t>Appendix 5: Links to useful resources</w:t>
      </w:r>
      <w:bookmarkEnd w:id="36"/>
    </w:p>
    <w:p w14:paraId="63FC6414" w14:textId="77777777" w:rsidR="000C4CD6" w:rsidRPr="0035163B" w:rsidRDefault="000C4CD6" w:rsidP="000C4CD6">
      <w:pPr>
        <w:rPr>
          <w:rStyle w:val="Hyperlink"/>
          <w:rFonts w:cs="Arial"/>
        </w:rPr>
      </w:pPr>
      <w:hyperlink r:id="rId23" w:history="1">
        <w:r>
          <w:rPr>
            <w:rStyle w:val="Hyperlink"/>
            <w:rFonts w:cs="Arial"/>
          </w:rPr>
          <w:t>Better Health Channel</w:t>
        </w:r>
      </w:hyperlink>
      <w:r w:rsidRPr="0035163B">
        <w:rPr>
          <w:rStyle w:val="Hyperlink"/>
          <w:rFonts w:cs="Arial"/>
        </w:rPr>
        <w:t xml:space="preserve"> </w:t>
      </w:r>
      <w:r>
        <w:rPr>
          <w:rFonts w:cs="Arial"/>
        </w:rPr>
        <w:t>&lt;</w:t>
      </w:r>
      <w:r w:rsidRPr="00F5448F">
        <w:t>http://www.betterhealth.vic.gov.au</w:t>
      </w:r>
      <w:r>
        <w:rPr>
          <w:rFonts w:cs="Arial"/>
        </w:rPr>
        <w:t>/&gt;</w:t>
      </w:r>
    </w:p>
    <w:p w14:paraId="649848E7" w14:textId="77777777" w:rsidR="000C4CD6" w:rsidRPr="0035163B" w:rsidRDefault="000C4CD6" w:rsidP="000C4CD6">
      <w:pPr>
        <w:rPr>
          <w:rFonts w:cs="Arial"/>
        </w:rPr>
      </w:pPr>
    </w:p>
    <w:p w14:paraId="4131A680" w14:textId="77777777" w:rsidR="000C4CD6" w:rsidRPr="0035163B" w:rsidRDefault="000C4CD6" w:rsidP="000C4CD6">
      <w:pPr>
        <w:rPr>
          <w:rStyle w:val="Hyperlink"/>
          <w:rFonts w:cs="Arial"/>
        </w:rPr>
      </w:pPr>
      <w:hyperlink r:id="rId24" w:history="1">
        <w:r>
          <w:rPr>
            <w:rStyle w:val="Hyperlink"/>
            <w:rFonts w:cs="Arial"/>
          </w:rPr>
          <w:t>Funded Agency Channel</w:t>
        </w:r>
      </w:hyperlink>
      <w:r w:rsidRPr="0035163B">
        <w:rPr>
          <w:rFonts w:cs="Arial"/>
        </w:rPr>
        <w:t xml:space="preserve"> </w:t>
      </w:r>
      <w:r>
        <w:t>&lt;</w:t>
      </w:r>
      <w:r w:rsidRPr="00F5448F">
        <w:t>http://www.dhs.vic.gov.au/funded-agency-channel/hom</w:t>
      </w:r>
      <w:r>
        <w:rPr>
          <w:rFonts w:cs="Arial"/>
        </w:rPr>
        <w:t xml:space="preserve">e&gt; </w:t>
      </w:r>
      <w:r w:rsidRPr="0035163B">
        <w:rPr>
          <w:rFonts w:cs="Arial"/>
        </w:rPr>
        <w:t>(each funded agency should have its own unique log in)</w:t>
      </w:r>
    </w:p>
    <w:p w14:paraId="28CD5B83" w14:textId="77777777" w:rsidR="000C4CD6" w:rsidRPr="0035163B" w:rsidRDefault="000C4CD6" w:rsidP="000C4CD6">
      <w:pPr>
        <w:rPr>
          <w:rFonts w:cs="Arial"/>
          <w:highlight w:val="yellow"/>
        </w:rPr>
      </w:pPr>
    </w:p>
    <w:p w14:paraId="693C705A" w14:textId="77777777" w:rsidR="000C4CD6" w:rsidRPr="0035163B" w:rsidRDefault="000C4CD6" w:rsidP="000C4CD6">
      <w:pPr>
        <w:rPr>
          <w:rStyle w:val="Hyperlink"/>
          <w:rFonts w:cs="Arial"/>
        </w:rPr>
      </w:pPr>
      <w:hyperlink r:id="rId25" w:history="1">
        <w:r>
          <w:rPr>
            <w:rStyle w:val="Hyperlink"/>
            <w:rFonts w:cs="Arial"/>
          </w:rPr>
          <w:t>Service Agreement Requirements</w:t>
        </w:r>
      </w:hyperlink>
      <w:r>
        <w:rPr>
          <w:rFonts w:cs="Arial"/>
        </w:rPr>
        <w:t xml:space="preserve"> &lt;</w:t>
      </w:r>
      <w:r w:rsidRPr="00F5448F">
        <w:t>https://fac.dhhs.vic.gov.au/service-agreement-requirements</w:t>
      </w:r>
      <w:r>
        <w:rPr>
          <w:rFonts w:cs="Arial"/>
        </w:rPr>
        <w:t>&gt;</w:t>
      </w:r>
    </w:p>
    <w:p w14:paraId="4EAF1CA3" w14:textId="77777777" w:rsidR="000C4CD6" w:rsidRPr="0035163B" w:rsidRDefault="000C4CD6" w:rsidP="000C4CD6">
      <w:pPr>
        <w:rPr>
          <w:rFonts w:cs="Arial"/>
          <w:highlight w:val="yellow"/>
        </w:rPr>
      </w:pPr>
    </w:p>
    <w:p w14:paraId="2EEA814B" w14:textId="77777777" w:rsidR="000C4CD6" w:rsidRPr="0035163B" w:rsidRDefault="000C4CD6" w:rsidP="000C4CD6">
      <w:pPr>
        <w:rPr>
          <w:rStyle w:val="Hyperlink"/>
          <w:rFonts w:cs="Arial"/>
        </w:rPr>
      </w:pPr>
      <w:hyperlink r:id="rId26" w:history="1">
        <w:r w:rsidRPr="00F5448F">
          <w:rPr>
            <w:rStyle w:val="Hyperlink"/>
            <w:rFonts w:cs="Arial"/>
          </w:rPr>
          <w:t>Victorian policy and funding guidelines for health services</w:t>
        </w:r>
      </w:hyperlink>
      <w:r>
        <w:t xml:space="preserve"> </w:t>
      </w:r>
      <w:r w:rsidRPr="00F5448F">
        <w:rPr>
          <w:rFonts w:cs="Arial"/>
        </w:rPr>
        <w:t>&lt;https://www.health.vic.gov.au/policy-and-funding-guidelines-for-health-services&gt;</w:t>
      </w:r>
    </w:p>
    <w:p w14:paraId="756ED92F" w14:textId="77777777" w:rsidR="000C4CD6" w:rsidRDefault="000C4CD6" w:rsidP="000C4CD6">
      <w:pPr>
        <w:rPr>
          <w:rFonts w:cs="Arial"/>
        </w:rPr>
      </w:pPr>
    </w:p>
    <w:p w14:paraId="388ED018" w14:textId="77777777" w:rsidR="000C4CD6" w:rsidRDefault="000C4CD6" w:rsidP="000C4CD6">
      <w:pPr>
        <w:rPr>
          <w:rFonts w:cs="Arial"/>
        </w:rPr>
      </w:pPr>
      <w:hyperlink r:id="rId27" w:history="1">
        <w:r>
          <w:rPr>
            <w:rStyle w:val="Hyperlink"/>
            <w:rFonts w:cs="Arial"/>
          </w:rPr>
          <w:t>Activity descriptions</w:t>
        </w:r>
      </w:hyperlink>
      <w:r>
        <w:rPr>
          <w:rFonts w:cs="Arial"/>
        </w:rPr>
        <w:t xml:space="preserve"> &lt;</w:t>
      </w:r>
      <w:r w:rsidRPr="00FC60EC">
        <w:rPr>
          <w:rFonts w:cs="Arial"/>
        </w:rPr>
        <w:t>https://providers.dffh.vic.gov.au/families-fairness-housing-health-activity-search</w:t>
      </w:r>
      <w:r>
        <w:rPr>
          <w:rFonts w:cs="Arial"/>
        </w:rPr>
        <w:t>&gt;</w:t>
      </w:r>
    </w:p>
    <w:p w14:paraId="59D1F179" w14:textId="77777777" w:rsidR="000C4CD6" w:rsidRPr="0035163B" w:rsidRDefault="000C4CD6" w:rsidP="000C4CD6">
      <w:pPr>
        <w:rPr>
          <w:rFonts w:cs="Arial"/>
        </w:rPr>
      </w:pPr>
    </w:p>
    <w:p w14:paraId="6629971B" w14:textId="77777777" w:rsidR="000C4CD6" w:rsidRPr="0035163B" w:rsidRDefault="000C4CD6" w:rsidP="000C4CD6">
      <w:pPr>
        <w:rPr>
          <w:rFonts w:cs="Arial"/>
        </w:rPr>
      </w:pPr>
      <w:hyperlink r:id="rId28" w:history="1">
        <w:r>
          <w:rPr>
            <w:rStyle w:val="Hyperlink"/>
            <w:rFonts w:cs="Arial"/>
          </w:rPr>
          <w:t>Department of Health: Sexual Health page</w:t>
        </w:r>
      </w:hyperlink>
      <w:r>
        <w:rPr>
          <w:rFonts w:cs="Arial"/>
        </w:rPr>
        <w:t xml:space="preserve"> &lt;</w:t>
      </w:r>
      <w:r w:rsidRPr="00FC60EC">
        <w:rPr>
          <w:rFonts w:cs="Arial"/>
        </w:rPr>
        <w:t>https://www.health.vic.gov.au/preventive-health/sexual-health</w:t>
      </w:r>
      <w:r>
        <w:rPr>
          <w:rFonts w:cs="Arial"/>
        </w:rPr>
        <w:t>&gt;</w:t>
      </w:r>
    </w:p>
    <w:p w14:paraId="6496D314" w14:textId="77777777" w:rsidR="000C4CD6" w:rsidRPr="0035163B" w:rsidRDefault="000C4CD6" w:rsidP="000C4CD6">
      <w:pPr>
        <w:rPr>
          <w:rFonts w:cs="Arial"/>
          <w:highlight w:val="yellow"/>
        </w:rPr>
      </w:pPr>
    </w:p>
    <w:p w14:paraId="092C922B" w14:textId="77777777" w:rsidR="000C4CD6" w:rsidRPr="0035163B" w:rsidRDefault="000C4CD6" w:rsidP="000C4CD6">
      <w:pPr>
        <w:rPr>
          <w:rFonts w:cs="Arial"/>
        </w:rPr>
      </w:pPr>
      <w:hyperlink r:id="rId29" w:history="1">
        <w:r>
          <w:rPr>
            <w:rStyle w:val="Hyperlink"/>
            <w:rFonts w:cs="Arial"/>
          </w:rPr>
          <w:t>Department of Health: Infectious Diseases - epidemiology and surveillance</w:t>
        </w:r>
      </w:hyperlink>
      <w:r>
        <w:rPr>
          <w:rFonts w:cs="Arial"/>
        </w:rPr>
        <w:t xml:space="preserve"> &lt;</w:t>
      </w:r>
      <w:r w:rsidRPr="00FC60EC">
        <w:rPr>
          <w:rFonts w:cs="Arial"/>
        </w:rPr>
        <w:t>https://www.health.vic.gov.au/public-health/infectious-diseases</w:t>
      </w:r>
      <w:r>
        <w:rPr>
          <w:rFonts w:cs="Arial"/>
        </w:rPr>
        <w:t>&gt;</w:t>
      </w:r>
    </w:p>
    <w:p w14:paraId="0DF01E51" w14:textId="77777777" w:rsidR="000C4CD6" w:rsidRPr="0035163B" w:rsidRDefault="000C4CD6" w:rsidP="000C4CD6">
      <w:pPr>
        <w:rPr>
          <w:rFonts w:cs="Arial"/>
          <w:highlight w:val="yellow"/>
        </w:rPr>
      </w:pPr>
    </w:p>
    <w:p w14:paraId="4FC7C0B9" w14:textId="77777777" w:rsidR="000C4CD6" w:rsidRPr="0035163B" w:rsidRDefault="000C4CD6" w:rsidP="000C4CD6">
      <w:pPr>
        <w:rPr>
          <w:rFonts w:cs="Arial"/>
        </w:rPr>
      </w:pPr>
      <w:hyperlink r:id="rId30" w:history="1">
        <w:r>
          <w:rPr>
            <w:rStyle w:val="Hyperlink"/>
            <w:rFonts w:cs="Arial"/>
          </w:rPr>
          <w:t>Department of Health: Evaluation framework for health promotion and disease prevention programs</w:t>
        </w:r>
      </w:hyperlink>
      <w:r>
        <w:rPr>
          <w:rFonts w:cs="Arial"/>
        </w:rPr>
        <w:t xml:space="preserve"> &lt;</w:t>
      </w:r>
      <w:r w:rsidRPr="00FC60EC">
        <w:rPr>
          <w:rFonts w:cs="Arial"/>
        </w:rPr>
        <w:t>https://www.health.vic.gov.au/publications/evaluation-framework-for-health-promotion-and-disease-prevention-programs</w:t>
      </w:r>
      <w:r>
        <w:rPr>
          <w:rFonts w:cs="Arial"/>
        </w:rPr>
        <w:t>&gt;</w:t>
      </w:r>
    </w:p>
    <w:p w14:paraId="3D3954FF" w14:textId="77777777" w:rsidR="000C4CD6" w:rsidRPr="0035163B" w:rsidRDefault="000C4CD6" w:rsidP="000C4CD6">
      <w:pPr>
        <w:rPr>
          <w:rFonts w:cs="Arial"/>
          <w:highlight w:val="yellow"/>
        </w:rPr>
      </w:pPr>
    </w:p>
    <w:p w14:paraId="5B7E81AB" w14:textId="5EB091F1" w:rsidR="000C4CD6" w:rsidRPr="002D6024" w:rsidRDefault="427C5C91" w:rsidP="000C4CD6">
      <w:pPr>
        <w:rPr>
          <w:rFonts w:cs="Arial"/>
        </w:rPr>
      </w:pPr>
      <w:r w:rsidRPr="10AA0A2B">
        <w:rPr>
          <w:rFonts w:cs="Arial"/>
        </w:rPr>
        <w:t xml:space="preserve">Department of Health, </w:t>
      </w:r>
      <w:hyperlink r:id="rId31" w:history="1">
        <w:r w:rsidRPr="00321474">
          <w:rPr>
            <w:rStyle w:val="Hyperlink"/>
            <w:rFonts w:cs="Arial"/>
          </w:rPr>
          <w:t>Victorian sexual and reproductive health and viral hepatitis strategy 2022–30</w:t>
        </w:r>
      </w:hyperlink>
      <w:r w:rsidRPr="10AA0A2B">
        <w:rPr>
          <w:rFonts w:cs="Arial"/>
        </w:rPr>
        <w:t xml:space="preserve"> </w:t>
      </w:r>
      <w:r w:rsidR="00321474">
        <w:rPr>
          <w:rFonts w:cs="Arial"/>
        </w:rPr>
        <w:t>&lt;</w:t>
      </w:r>
      <w:r w:rsidRPr="00321474">
        <w:rPr>
          <w:rFonts w:cs="Arial"/>
        </w:rPr>
        <w:t>https://www.health.vic.gov.au/victorian-sexual-reproductive-health-viral-hepatitis-strategy-2022-30</w:t>
      </w:r>
      <w:r w:rsidR="00321474">
        <w:t>&gt;</w:t>
      </w:r>
    </w:p>
    <w:p w14:paraId="1F415E75" w14:textId="77777777" w:rsidR="000C4CD6" w:rsidRPr="0035163B" w:rsidRDefault="000C4CD6" w:rsidP="000C4CD6">
      <w:pPr>
        <w:rPr>
          <w:rFonts w:cs="Arial"/>
          <w:highlight w:val="yellow"/>
        </w:rPr>
      </w:pPr>
    </w:p>
    <w:p w14:paraId="301C0A0A" w14:textId="5C31F648" w:rsidR="00162CA9" w:rsidRDefault="000C4CD6" w:rsidP="00850E22">
      <w:pPr>
        <w:pStyle w:val="DHHSbody"/>
      </w:pPr>
      <w:hyperlink r:id="rId32" w:history="1">
        <w:r>
          <w:rPr>
            <w:rStyle w:val="Hyperlink"/>
          </w:rPr>
          <w:t>Centre for Evaluation and Research Evidence</w:t>
        </w:r>
      </w:hyperlink>
      <w:r>
        <w:rPr>
          <w:rStyle w:val="Hyperlink"/>
        </w:rPr>
        <w:t xml:space="preserve"> </w:t>
      </w:r>
      <w:hyperlink r:id="rId33" w:history="1">
        <w:r w:rsidR="00321474" w:rsidRPr="008C24A3">
          <w:rPr>
            <w:rStyle w:val="Hyperlink"/>
          </w:rPr>
          <w:t>https://www.dffh.vic.gov.au/centre-evaluation-and-research-evidence</w:t>
        </w:r>
      </w:hyperlink>
    </w:p>
    <w:p w14:paraId="769642C8" w14:textId="77777777" w:rsidR="00321474" w:rsidRDefault="00321474" w:rsidP="00850E22">
      <w:pPr>
        <w:pStyle w:val="DHHSbody"/>
      </w:pPr>
    </w:p>
    <w:p w14:paraId="284E74E3" w14:textId="77777777" w:rsidR="00321474" w:rsidRPr="0055119B" w:rsidRDefault="00321474" w:rsidP="00321474">
      <w:pPr>
        <w:pStyle w:val="Accessibilitypara"/>
      </w:pPr>
      <w:r w:rsidRPr="0055119B">
        <w:t>To receive this document in another format</w:t>
      </w:r>
      <w:r>
        <w:t xml:space="preserve"> </w:t>
      </w:r>
      <w:hyperlink r:id="rId34" w:history="1">
        <w:r w:rsidRPr="0061108A">
          <w:rPr>
            <w:rStyle w:val="Hyperlink"/>
          </w:rPr>
          <w:t>email the Non-Emergency Patient Transport and First Aid Services team</w:t>
        </w:r>
      </w:hyperlink>
      <w:r w:rsidRPr="00580672">
        <w:t xml:space="preserve"> </w:t>
      </w:r>
      <w:r w:rsidRPr="0055119B">
        <w:t>&lt;</w:t>
      </w:r>
      <w:r>
        <w:t>NEPTFirstAidRegulation@health.vic.gov.au</w:t>
      </w:r>
      <w:r w:rsidRPr="0055119B">
        <w:t>&gt;.</w:t>
      </w:r>
    </w:p>
    <w:p w14:paraId="4C40900F" w14:textId="77777777" w:rsidR="00321474" w:rsidRDefault="00321474" w:rsidP="00321474">
      <w:pPr>
        <w:pStyle w:val="Imprint"/>
      </w:pPr>
    </w:p>
    <w:p w14:paraId="64E6E2D5" w14:textId="1DA1337A" w:rsidR="00321474" w:rsidRPr="0055119B" w:rsidRDefault="00321474" w:rsidP="00321474">
      <w:pPr>
        <w:pStyle w:val="Imprint"/>
      </w:pPr>
      <w:r w:rsidRPr="0055119B">
        <w:t>Authorised and published by the Victorian Government, 1 Treasury Place, Melbourne.</w:t>
      </w:r>
    </w:p>
    <w:p w14:paraId="0898F254" w14:textId="3B4A36D6" w:rsidR="00321474" w:rsidRPr="0055119B" w:rsidRDefault="00321474" w:rsidP="00321474">
      <w:pPr>
        <w:pStyle w:val="Imprint"/>
      </w:pPr>
      <w:r w:rsidRPr="0055119B">
        <w:t xml:space="preserve">© State of Victoria, Australia, Department </w:t>
      </w:r>
      <w:r w:rsidRPr="001B058F">
        <w:t xml:space="preserve">of </w:t>
      </w:r>
      <w:r>
        <w:t>Health</w:t>
      </w:r>
      <w:r w:rsidRPr="0055119B">
        <w:t>,</w:t>
      </w:r>
      <w:r>
        <w:t xml:space="preserve"> </w:t>
      </w:r>
      <w:r>
        <w:t xml:space="preserve">April </w:t>
      </w:r>
      <w:r>
        <w:t>202</w:t>
      </w:r>
      <w:r>
        <w:t>6</w:t>
      </w:r>
      <w:r>
        <w:t>.</w:t>
      </w:r>
    </w:p>
    <w:p w14:paraId="39B27801" w14:textId="1F97CD06" w:rsidR="00321474" w:rsidRPr="00321474" w:rsidRDefault="00321474" w:rsidP="00321474">
      <w:pPr>
        <w:pStyle w:val="Imprint"/>
        <w:rPr>
          <w:color w:val="auto"/>
        </w:rPr>
      </w:pPr>
      <w:bookmarkStart w:id="37" w:name="_Hlk62746129"/>
      <w:bookmarkStart w:id="38" w:name="OLE_LINK6"/>
      <w:r w:rsidRPr="0055119B">
        <w:t xml:space="preserve">Available at </w:t>
      </w:r>
      <w:r w:rsidRPr="001A0473">
        <w:rPr>
          <w:color w:val="auto"/>
        </w:rPr>
        <w:t xml:space="preserve">the </w:t>
      </w:r>
      <w:hyperlink r:id="rId35" w:history="1">
        <w:r w:rsidRPr="00321474">
          <w:rPr>
            <w:rStyle w:val="Hyperlink"/>
          </w:rPr>
          <w:t>Programs and services for sexual health, viral hepatitis and HIV</w:t>
        </w:r>
      </w:hyperlink>
    </w:p>
    <w:p w14:paraId="6D93A1F6" w14:textId="0EB297D5" w:rsidR="00321474" w:rsidRPr="0055119B" w:rsidRDefault="00321474" w:rsidP="00321474">
      <w:pPr>
        <w:pStyle w:val="Imprint"/>
      </w:pPr>
      <w:r>
        <w:t>&lt;</w:t>
      </w:r>
      <w:r w:rsidRPr="00321474">
        <w:t>https://www.health.vic.gov.au/preventive-health/programs-and-services-for-sexual-health-and-viral-hepatitis</w:t>
      </w:r>
      <w:r w:rsidRPr="0055119B">
        <w:t xml:space="preserve"> </w:t>
      </w:r>
      <w:r w:rsidRPr="0055119B">
        <w:t>&gt;</w:t>
      </w:r>
    </w:p>
    <w:bookmarkEnd w:id="37"/>
    <w:bookmarkEnd w:id="38"/>
    <w:p w14:paraId="443B0C2A" w14:textId="77777777" w:rsidR="00321474" w:rsidRDefault="00321474" w:rsidP="00850E22">
      <w:pPr>
        <w:pStyle w:val="DHHSbody"/>
      </w:pPr>
    </w:p>
    <w:sectPr w:rsidR="00321474" w:rsidSect="009402E8">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EE57" w14:textId="77777777" w:rsidR="000C5E4F" w:rsidRDefault="000C5E4F">
      <w:r>
        <w:separator/>
      </w:r>
    </w:p>
  </w:endnote>
  <w:endnote w:type="continuationSeparator" w:id="0">
    <w:p w14:paraId="21CB68E1" w14:textId="77777777" w:rsidR="000C5E4F" w:rsidRDefault="000C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9BC3"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4738BA87" wp14:editId="6658A94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262F9A2" wp14:editId="5A0FAAD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4C8B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2F9A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BB4C8B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5264"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6191494" wp14:editId="2B3746E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F6D6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191494"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1F6D6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393054"/>
      <w:docPartObj>
        <w:docPartGallery w:val="Page Numbers (Bottom of Page)"/>
        <w:docPartUnique/>
      </w:docPartObj>
    </w:sdtPr>
    <w:sdtEndPr>
      <w:rPr>
        <w:noProof/>
      </w:rPr>
    </w:sdtEndPr>
    <w:sdtContent>
      <w:p w14:paraId="0BF8528F" w14:textId="17659435" w:rsidR="00850E22" w:rsidRDefault="00850E2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331C" w14:textId="77777777" w:rsidR="000C5E4F" w:rsidRDefault="000C5E4F" w:rsidP="002862F1">
      <w:pPr>
        <w:spacing w:before="120"/>
      </w:pPr>
      <w:r>
        <w:separator/>
      </w:r>
    </w:p>
  </w:footnote>
  <w:footnote w:type="continuationSeparator" w:id="0">
    <w:p w14:paraId="0E412E5A" w14:textId="77777777" w:rsidR="000C5E4F" w:rsidRDefault="000C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3CD9" w14:textId="0402D0D9"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4E9"/>
    <w:multiLevelType w:val="hybridMultilevel"/>
    <w:tmpl w:val="BFCCA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B842BD5"/>
    <w:multiLevelType w:val="multilevel"/>
    <w:tmpl w:val="A8A2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67362F2"/>
    <w:multiLevelType w:val="multilevel"/>
    <w:tmpl w:val="504A8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DFF3ED9"/>
    <w:multiLevelType w:val="hybridMultilevel"/>
    <w:tmpl w:val="30FEF268"/>
    <w:lvl w:ilvl="0" w:tplc="4F2CAD14">
      <w:start w:val="1"/>
      <w:numFmt w:val="bullet"/>
      <w:pStyle w:val="Healthtablebullet"/>
      <w:lvlText w:val=""/>
      <w:lvlJc w:val="left"/>
      <w:pPr>
        <w:ind w:left="284" w:hanging="284"/>
      </w:pPr>
      <w:rPr>
        <w:rFonts w:ascii="Symbol" w:hAnsi="Symbol" w:hint="default"/>
        <w:sz w:val="1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1CD1452"/>
    <w:multiLevelType w:val="hybridMultilevel"/>
    <w:tmpl w:val="81F40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028939">
    <w:abstractNumId w:val="3"/>
  </w:num>
  <w:num w:numId="2" w16cid:durableId="431558983">
    <w:abstractNumId w:val="7"/>
  </w:num>
  <w:num w:numId="3" w16cid:durableId="1801418051">
    <w:abstractNumId w:val="6"/>
  </w:num>
  <w:num w:numId="4" w16cid:durableId="1565990384">
    <w:abstractNumId w:val="9"/>
  </w:num>
  <w:num w:numId="5" w16cid:durableId="154689139">
    <w:abstractNumId w:val="4"/>
  </w:num>
  <w:num w:numId="6" w16cid:durableId="1150512875">
    <w:abstractNumId w:val="1"/>
  </w:num>
  <w:num w:numId="7" w16cid:durableId="1704793023">
    <w:abstractNumId w:val="8"/>
  </w:num>
  <w:num w:numId="8" w16cid:durableId="1588341508">
    <w:abstractNumId w:val="0"/>
  </w:num>
  <w:num w:numId="9" w16cid:durableId="2036231498">
    <w:abstractNumId w:val="10"/>
  </w:num>
  <w:num w:numId="10" w16cid:durableId="1738936736">
    <w:abstractNumId w:val="5"/>
  </w:num>
  <w:num w:numId="11" w16cid:durableId="1450776570">
    <w:abstractNumId w:val="2"/>
  </w:num>
  <w:num w:numId="12" w16cid:durableId="207712727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59"/>
    <w:rsid w:val="00000719"/>
    <w:rsid w:val="00003403"/>
    <w:rsid w:val="00005347"/>
    <w:rsid w:val="00005A83"/>
    <w:rsid w:val="00006FF6"/>
    <w:rsid w:val="000072B6"/>
    <w:rsid w:val="0001021B"/>
    <w:rsid w:val="0001086F"/>
    <w:rsid w:val="00010C37"/>
    <w:rsid w:val="00011D89"/>
    <w:rsid w:val="000154FD"/>
    <w:rsid w:val="00016FBF"/>
    <w:rsid w:val="0002053E"/>
    <w:rsid w:val="00022271"/>
    <w:rsid w:val="000235E8"/>
    <w:rsid w:val="00024841"/>
    <w:rsid w:val="00024D89"/>
    <w:rsid w:val="000250B6"/>
    <w:rsid w:val="000271A2"/>
    <w:rsid w:val="0002786E"/>
    <w:rsid w:val="00033D81"/>
    <w:rsid w:val="00035554"/>
    <w:rsid w:val="00037366"/>
    <w:rsid w:val="00040B56"/>
    <w:rsid w:val="00041BF0"/>
    <w:rsid w:val="00042C8A"/>
    <w:rsid w:val="00043B48"/>
    <w:rsid w:val="0004536B"/>
    <w:rsid w:val="00046B68"/>
    <w:rsid w:val="000510D6"/>
    <w:rsid w:val="00051900"/>
    <w:rsid w:val="000527DD"/>
    <w:rsid w:val="00052AC4"/>
    <w:rsid w:val="000556F7"/>
    <w:rsid w:val="00055906"/>
    <w:rsid w:val="00057122"/>
    <w:rsid w:val="000578B2"/>
    <w:rsid w:val="00060450"/>
    <w:rsid w:val="00060594"/>
    <w:rsid w:val="00060959"/>
    <w:rsid w:val="00060C8F"/>
    <w:rsid w:val="0006298A"/>
    <w:rsid w:val="00064A8A"/>
    <w:rsid w:val="000663CD"/>
    <w:rsid w:val="0006734E"/>
    <w:rsid w:val="00072376"/>
    <w:rsid w:val="000733FE"/>
    <w:rsid w:val="00074219"/>
    <w:rsid w:val="000743B5"/>
    <w:rsid w:val="00074ED5"/>
    <w:rsid w:val="0007657B"/>
    <w:rsid w:val="00077A86"/>
    <w:rsid w:val="00081327"/>
    <w:rsid w:val="000835C6"/>
    <w:rsid w:val="0008508E"/>
    <w:rsid w:val="000851BD"/>
    <w:rsid w:val="00086356"/>
    <w:rsid w:val="00087951"/>
    <w:rsid w:val="00090E33"/>
    <w:rsid w:val="0009113B"/>
    <w:rsid w:val="00093402"/>
    <w:rsid w:val="00094DA3"/>
    <w:rsid w:val="00096CD1"/>
    <w:rsid w:val="000A012C"/>
    <w:rsid w:val="000A0EB9"/>
    <w:rsid w:val="000A186C"/>
    <w:rsid w:val="000A1EA4"/>
    <w:rsid w:val="000A2476"/>
    <w:rsid w:val="000A2A6E"/>
    <w:rsid w:val="000A641A"/>
    <w:rsid w:val="000B1185"/>
    <w:rsid w:val="000B2A3E"/>
    <w:rsid w:val="000B3EDB"/>
    <w:rsid w:val="000B4716"/>
    <w:rsid w:val="000B543D"/>
    <w:rsid w:val="000B55F9"/>
    <w:rsid w:val="000B5BF7"/>
    <w:rsid w:val="000B6BC8"/>
    <w:rsid w:val="000C0282"/>
    <w:rsid w:val="000C0303"/>
    <w:rsid w:val="000C42EA"/>
    <w:rsid w:val="000C4546"/>
    <w:rsid w:val="000C4CD6"/>
    <w:rsid w:val="000C57D6"/>
    <w:rsid w:val="000C5E4F"/>
    <w:rsid w:val="000C661E"/>
    <w:rsid w:val="000D1242"/>
    <w:rsid w:val="000E0970"/>
    <w:rsid w:val="000E1910"/>
    <w:rsid w:val="000E1A02"/>
    <w:rsid w:val="000E3CC7"/>
    <w:rsid w:val="000E6BD4"/>
    <w:rsid w:val="000E6D6D"/>
    <w:rsid w:val="000F1F1E"/>
    <w:rsid w:val="000F2259"/>
    <w:rsid w:val="000F272E"/>
    <w:rsid w:val="000F2DDA"/>
    <w:rsid w:val="000F5213"/>
    <w:rsid w:val="00100DCD"/>
    <w:rsid w:val="00101001"/>
    <w:rsid w:val="00101402"/>
    <w:rsid w:val="00101BB3"/>
    <w:rsid w:val="00103276"/>
    <w:rsid w:val="001036DC"/>
    <w:rsid w:val="0010392D"/>
    <w:rsid w:val="0010447F"/>
    <w:rsid w:val="00104FE3"/>
    <w:rsid w:val="0010714F"/>
    <w:rsid w:val="001120C5"/>
    <w:rsid w:val="001161E9"/>
    <w:rsid w:val="0011701A"/>
    <w:rsid w:val="00120BD3"/>
    <w:rsid w:val="00122960"/>
    <w:rsid w:val="00122FEA"/>
    <w:rsid w:val="001232BD"/>
    <w:rsid w:val="001236DD"/>
    <w:rsid w:val="00124ED5"/>
    <w:rsid w:val="0012570E"/>
    <w:rsid w:val="001276FA"/>
    <w:rsid w:val="00141AFC"/>
    <w:rsid w:val="00142013"/>
    <w:rsid w:val="0014255B"/>
    <w:rsid w:val="001447B3"/>
    <w:rsid w:val="001452DB"/>
    <w:rsid w:val="0014571D"/>
    <w:rsid w:val="00146132"/>
    <w:rsid w:val="00150050"/>
    <w:rsid w:val="00152073"/>
    <w:rsid w:val="00154B91"/>
    <w:rsid w:val="00154E2D"/>
    <w:rsid w:val="00156598"/>
    <w:rsid w:val="0016095D"/>
    <w:rsid w:val="00161939"/>
    <w:rsid w:val="00161AA0"/>
    <w:rsid w:val="00161D2E"/>
    <w:rsid w:val="00161F3E"/>
    <w:rsid w:val="00162093"/>
    <w:rsid w:val="00162CA9"/>
    <w:rsid w:val="00165459"/>
    <w:rsid w:val="00165A57"/>
    <w:rsid w:val="001712C2"/>
    <w:rsid w:val="00172BAF"/>
    <w:rsid w:val="00174435"/>
    <w:rsid w:val="001752F2"/>
    <w:rsid w:val="001771DD"/>
    <w:rsid w:val="00177995"/>
    <w:rsid w:val="00177A8C"/>
    <w:rsid w:val="00181A6C"/>
    <w:rsid w:val="00186B33"/>
    <w:rsid w:val="00192A15"/>
    <w:rsid w:val="00192F9D"/>
    <w:rsid w:val="0019327F"/>
    <w:rsid w:val="001963C3"/>
    <w:rsid w:val="00196EB8"/>
    <w:rsid w:val="00196EFB"/>
    <w:rsid w:val="001979FF"/>
    <w:rsid w:val="00197B17"/>
    <w:rsid w:val="001A1950"/>
    <w:rsid w:val="001A1C54"/>
    <w:rsid w:val="001A3ACE"/>
    <w:rsid w:val="001A5806"/>
    <w:rsid w:val="001A60E2"/>
    <w:rsid w:val="001A6227"/>
    <w:rsid w:val="001B058F"/>
    <w:rsid w:val="001B738B"/>
    <w:rsid w:val="001C09DB"/>
    <w:rsid w:val="001C277E"/>
    <w:rsid w:val="001C2A72"/>
    <w:rsid w:val="001C31B7"/>
    <w:rsid w:val="001C4BC4"/>
    <w:rsid w:val="001C57BE"/>
    <w:rsid w:val="001D0B75"/>
    <w:rsid w:val="001D324A"/>
    <w:rsid w:val="001D39A5"/>
    <w:rsid w:val="001D3C09"/>
    <w:rsid w:val="001D44E8"/>
    <w:rsid w:val="001D4D1F"/>
    <w:rsid w:val="001D5D56"/>
    <w:rsid w:val="001D60EC"/>
    <w:rsid w:val="001D6F59"/>
    <w:rsid w:val="001E0C5D"/>
    <w:rsid w:val="001E2A36"/>
    <w:rsid w:val="001E44DF"/>
    <w:rsid w:val="001E5058"/>
    <w:rsid w:val="001E5E1E"/>
    <w:rsid w:val="001E68A5"/>
    <w:rsid w:val="001E6BB0"/>
    <w:rsid w:val="001E7282"/>
    <w:rsid w:val="001F3202"/>
    <w:rsid w:val="001F3826"/>
    <w:rsid w:val="001F6B30"/>
    <w:rsid w:val="001F6E46"/>
    <w:rsid w:val="001F7186"/>
    <w:rsid w:val="001F7C91"/>
    <w:rsid w:val="00200176"/>
    <w:rsid w:val="00200B0C"/>
    <w:rsid w:val="00202CAE"/>
    <w:rsid w:val="002033B7"/>
    <w:rsid w:val="00206463"/>
    <w:rsid w:val="00206F2F"/>
    <w:rsid w:val="002075BC"/>
    <w:rsid w:val="0021053D"/>
    <w:rsid w:val="00210A92"/>
    <w:rsid w:val="00216C03"/>
    <w:rsid w:val="00220C04"/>
    <w:rsid w:val="0022278D"/>
    <w:rsid w:val="00225A75"/>
    <w:rsid w:val="00225C62"/>
    <w:rsid w:val="00225C91"/>
    <w:rsid w:val="0022701F"/>
    <w:rsid w:val="00227C68"/>
    <w:rsid w:val="0023225C"/>
    <w:rsid w:val="00232B92"/>
    <w:rsid w:val="002333F5"/>
    <w:rsid w:val="00233724"/>
    <w:rsid w:val="00233F41"/>
    <w:rsid w:val="002365B4"/>
    <w:rsid w:val="00237114"/>
    <w:rsid w:val="002432E1"/>
    <w:rsid w:val="00246207"/>
    <w:rsid w:val="00246C5E"/>
    <w:rsid w:val="00250960"/>
    <w:rsid w:val="00251343"/>
    <w:rsid w:val="002536A4"/>
    <w:rsid w:val="00254F58"/>
    <w:rsid w:val="002569E4"/>
    <w:rsid w:val="00260B47"/>
    <w:rsid w:val="002620BC"/>
    <w:rsid w:val="00262802"/>
    <w:rsid w:val="00262CA5"/>
    <w:rsid w:val="0026363A"/>
    <w:rsid w:val="00263A90"/>
    <w:rsid w:val="00263C1F"/>
    <w:rsid w:val="0026408B"/>
    <w:rsid w:val="00266132"/>
    <w:rsid w:val="00267C3E"/>
    <w:rsid w:val="002709BB"/>
    <w:rsid w:val="00270F90"/>
    <w:rsid w:val="0027113F"/>
    <w:rsid w:val="00273B3F"/>
    <w:rsid w:val="00273BAC"/>
    <w:rsid w:val="002763B3"/>
    <w:rsid w:val="002802E3"/>
    <w:rsid w:val="0028213D"/>
    <w:rsid w:val="002862F1"/>
    <w:rsid w:val="002878BA"/>
    <w:rsid w:val="00287BE7"/>
    <w:rsid w:val="00291373"/>
    <w:rsid w:val="002920F6"/>
    <w:rsid w:val="0029597D"/>
    <w:rsid w:val="002962C3"/>
    <w:rsid w:val="0029752B"/>
    <w:rsid w:val="002A01B6"/>
    <w:rsid w:val="002A0A9C"/>
    <w:rsid w:val="002A483C"/>
    <w:rsid w:val="002A4A10"/>
    <w:rsid w:val="002B062E"/>
    <w:rsid w:val="002B0C7C"/>
    <w:rsid w:val="002B1494"/>
    <w:rsid w:val="002B1729"/>
    <w:rsid w:val="002B36C7"/>
    <w:rsid w:val="002B4DD4"/>
    <w:rsid w:val="002B5277"/>
    <w:rsid w:val="002B5375"/>
    <w:rsid w:val="002B77C1"/>
    <w:rsid w:val="002C0ED7"/>
    <w:rsid w:val="002C2728"/>
    <w:rsid w:val="002C66D3"/>
    <w:rsid w:val="002C7493"/>
    <w:rsid w:val="002D1E0D"/>
    <w:rsid w:val="002D5006"/>
    <w:rsid w:val="002D7F37"/>
    <w:rsid w:val="002E01D0"/>
    <w:rsid w:val="002E1557"/>
    <w:rsid w:val="002E161D"/>
    <w:rsid w:val="002E3100"/>
    <w:rsid w:val="002E6C95"/>
    <w:rsid w:val="002E7B16"/>
    <w:rsid w:val="002E7C36"/>
    <w:rsid w:val="002F0107"/>
    <w:rsid w:val="002F3D32"/>
    <w:rsid w:val="002F5F31"/>
    <w:rsid w:val="002F5F46"/>
    <w:rsid w:val="002F67D0"/>
    <w:rsid w:val="00302216"/>
    <w:rsid w:val="00302A49"/>
    <w:rsid w:val="00303E53"/>
    <w:rsid w:val="00304755"/>
    <w:rsid w:val="00305CC1"/>
    <w:rsid w:val="00306E5F"/>
    <w:rsid w:val="00307E14"/>
    <w:rsid w:val="00314054"/>
    <w:rsid w:val="00315BD8"/>
    <w:rsid w:val="00316F27"/>
    <w:rsid w:val="00321474"/>
    <w:rsid w:val="003214F1"/>
    <w:rsid w:val="00322E4B"/>
    <w:rsid w:val="00322E81"/>
    <w:rsid w:val="00327870"/>
    <w:rsid w:val="00330129"/>
    <w:rsid w:val="0033259D"/>
    <w:rsid w:val="003333D2"/>
    <w:rsid w:val="00337088"/>
    <w:rsid w:val="003406C6"/>
    <w:rsid w:val="00340D7A"/>
    <w:rsid w:val="003418CC"/>
    <w:rsid w:val="003459BD"/>
    <w:rsid w:val="00350D38"/>
    <w:rsid w:val="00351B36"/>
    <w:rsid w:val="00357B4E"/>
    <w:rsid w:val="003716FD"/>
    <w:rsid w:val="0037204B"/>
    <w:rsid w:val="00373890"/>
    <w:rsid w:val="003744CF"/>
    <w:rsid w:val="00374717"/>
    <w:rsid w:val="0037676C"/>
    <w:rsid w:val="00381043"/>
    <w:rsid w:val="003819AB"/>
    <w:rsid w:val="003829E5"/>
    <w:rsid w:val="00386109"/>
    <w:rsid w:val="00386944"/>
    <w:rsid w:val="00386B36"/>
    <w:rsid w:val="00387225"/>
    <w:rsid w:val="0039149B"/>
    <w:rsid w:val="00393CB0"/>
    <w:rsid w:val="003956CC"/>
    <w:rsid w:val="00395C9A"/>
    <w:rsid w:val="00396177"/>
    <w:rsid w:val="00397262"/>
    <w:rsid w:val="003A04D3"/>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A78"/>
    <w:rsid w:val="003D3D61"/>
    <w:rsid w:val="003D3E8F"/>
    <w:rsid w:val="003D6475"/>
    <w:rsid w:val="003D7CC4"/>
    <w:rsid w:val="003E0CAD"/>
    <w:rsid w:val="003E375C"/>
    <w:rsid w:val="003E4086"/>
    <w:rsid w:val="003E639E"/>
    <w:rsid w:val="003E71E5"/>
    <w:rsid w:val="003F0445"/>
    <w:rsid w:val="003F0CF0"/>
    <w:rsid w:val="003F14B1"/>
    <w:rsid w:val="003F2B20"/>
    <w:rsid w:val="003F3289"/>
    <w:rsid w:val="003F4445"/>
    <w:rsid w:val="003F4FCE"/>
    <w:rsid w:val="003F5CB9"/>
    <w:rsid w:val="003F6146"/>
    <w:rsid w:val="00401098"/>
    <w:rsid w:val="004013C7"/>
    <w:rsid w:val="00401FCF"/>
    <w:rsid w:val="0040248F"/>
    <w:rsid w:val="00405C3C"/>
    <w:rsid w:val="00406285"/>
    <w:rsid w:val="004112C6"/>
    <w:rsid w:val="004148F9"/>
    <w:rsid w:val="00414D4A"/>
    <w:rsid w:val="00414FD3"/>
    <w:rsid w:val="004167DF"/>
    <w:rsid w:val="0042084E"/>
    <w:rsid w:val="00421EEF"/>
    <w:rsid w:val="00424D65"/>
    <w:rsid w:val="00426AC7"/>
    <w:rsid w:val="0043047B"/>
    <w:rsid w:val="00430C26"/>
    <w:rsid w:val="00435C30"/>
    <w:rsid w:val="00437EFA"/>
    <w:rsid w:val="00440499"/>
    <w:rsid w:val="00440B46"/>
    <w:rsid w:val="00442C6C"/>
    <w:rsid w:val="00443AFF"/>
    <w:rsid w:val="00443CBE"/>
    <w:rsid w:val="00443E8A"/>
    <w:rsid w:val="004441BC"/>
    <w:rsid w:val="00444A75"/>
    <w:rsid w:val="0044575D"/>
    <w:rsid w:val="004468B4"/>
    <w:rsid w:val="00447AD2"/>
    <w:rsid w:val="0045230A"/>
    <w:rsid w:val="00452A85"/>
    <w:rsid w:val="00454AD0"/>
    <w:rsid w:val="00457337"/>
    <w:rsid w:val="0046114C"/>
    <w:rsid w:val="004623D3"/>
    <w:rsid w:val="00462E3D"/>
    <w:rsid w:val="0046382C"/>
    <w:rsid w:val="00466E79"/>
    <w:rsid w:val="00470D7D"/>
    <w:rsid w:val="0047372D"/>
    <w:rsid w:val="00473BA3"/>
    <w:rsid w:val="004743DD"/>
    <w:rsid w:val="00474CEA"/>
    <w:rsid w:val="00476131"/>
    <w:rsid w:val="00477BD0"/>
    <w:rsid w:val="00483968"/>
    <w:rsid w:val="00484F86"/>
    <w:rsid w:val="00490746"/>
    <w:rsid w:val="00490852"/>
    <w:rsid w:val="00491C9C"/>
    <w:rsid w:val="00492F30"/>
    <w:rsid w:val="0049372C"/>
    <w:rsid w:val="004946F4"/>
    <w:rsid w:val="0049487E"/>
    <w:rsid w:val="004A0B29"/>
    <w:rsid w:val="004A160D"/>
    <w:rsid w:val="004A1FB1"/>
    <w:rsid w:val="004A3E81"/>
    <w:rsid w:val="004A4195"/>
    <w:rsid w:val="004A47AE"/>
    <w:rsid w:val="004A4B29"/>
    <w:rsid w:val="004A5C62"/>
    <w:rsid w:val="004A5CE5"/>
    <w:rsid w:val="004A6BC4"/>
    <w:rsid w:val="004A707D"/>
    <w:rsid w:val="004B4437"/>
    <w:rsid w:val="004B4838"/>
    <w:rsid w:val="004C4613"/>
    <w:rsid w:val="004C5541"/>
    <w:rsid w:val="004C5567"/>
    <w:rsid w:val="004C6109"/>
    <w:rsid w:val="004C6EEE"/>
    <w:rsid w:val="004C702B"/>
    <w:rsid w:val="004D0033"/>
    <w:rsid w:val="004D016B"/>
    <w:rsid w:val="004D05B6"/>
    <w:rsid w:val="004D1B22"/>
    <w:rsid w:val="004D23CC"/>
    <w:rsid w:val="004D2478"/>
    <w:rsid w:val="004D36F2"/>
    <w:rsid w:val="004D3715"/>
    <w:rsid w:val="004D5A6B"/>
    <w:rsid w:val="004E1106"/>
    <w:rsid w:val="004E138F"/>
    <w:rsid w:val="004E4649"/>
    <w:rsid w:val="004E5C2B"/>
    <w:rsid w:val="004F00DD"/>
    <w:rsid w:val="004F2133"/>
    <w:rsid w:val="004F4D39"/>
    <w:rsid w:val="004F5398"/>
    <w:rsid w:val="004F5561"/>
    <w:rsid w:val="004F55F1"/>
    <w:rsid w:val="004F5746"/>
    <w:rsid w:val="004F6936"/>
    <w:rsid w:val="00503DC6"/>
    <w:rsid w:val="00506F5D"/>
    <w:rsid w:val="00510C37"/>
    <w:rsid w:val="005126D0"/>
    <w:rsid w:val="0051568D"/>
    <w:rsid w:val="00522B78"/>
    <w:rsid w:val="00523E4E"/>
    <w:rsid w:val="00523F48"/>
    <w:rsid w:val="00526AC7"/>
    <w:rsid w:val="00526C15"/>
    <w:rsid w:val="00534B0C"/>
    <w:rsid w:val="00536395"/>
    <w:rsid w:val="00536499"/>
    <w:rsid w:val="005376F3"/>
    <w:rsid w:val="00541A13"/>
    <w:rsid w:val="00543903"/>
    <w:rsid w:val="00543F11"/>
    <w:rsid w:val="00544B29"/>
    <w:rsid w:val="00546305"/>
    <w:rsid w:val="00547A95"/>
    <w:rsid w:val="0055119B"/>
    <w:rsid w:val="00553421"/>
    <w:rsid w:val="00553E31"/>
    <w:rsid w:val="005548B5"/>
    <w:rsid w:val="00554C28"/>
    <w:rsid w:val="00561BED"/>
    <w:rsid w:val="00564C93"/>
    <w:rsid w:val="00572031"/>
    <w:rsid w:val="00572282"/>
    <w:rsid w:val="00573CE3"/>
    <w:rsid w:val="0057603A"/>
    <w:rsid w:val="00576E84"/>
    <w:rsid w:val="00580394"/>
    <w:rsid w:val="00580562"/>
    <w:rsid w:val="005809CD"/>
    <w:rsid w:val="00582B8C"/>
    <w:rsid w:val="0058757E"/>
    <w:rsid w:val="005925DB"/>
    <w:rsid w:val="00592C98"/>
    <w:rsid w:val="00595C0B"/>
    <w:rsid w:val="00596A4B"/>
    <w:rsid w:val="00597507"/>
    <w:rsid w:val="005A479D"/>
    <w:rsid w:val="005A6A59"/>
    <w:rsid w:val="005A7346"/>
    <w:rsid w:val="005B075F"/>
    <w:rsid w:val="005B1C6D"/>
    <w:rsid w:val="005B21B6"/>
    <w:rsid w:val="005B242F"/>
    <w:rsid w:val="005B3A08"/>
    <w:rsid w:val="005B7A63"/>
    <w:rsid w:val="005C0955"/>
    <w:rsid w:val="005C0BC9"/>
    <w:rsid w:val="005C18EA"/>
    <w:rsid w:val="005C49DA"/>
    <w:rsid w:val="005C4B81"/>
    <w:rsid w:val="005C50F3"/>
    <w:rsid w:val="005C54B5"/>
    <w:rsid w:val="005C5D80"/>
    <w:rsid w:val="005C5D91"/>
    <w:rsid w:val="005D07B8"/>
    <w:rsid w:val="005D6597"/>
    <w:rsid w:val="005D6717"/>
    <w:rsid w:val="005E14E7"/>
    <w:rsid w:val="005E26A3"/>
    <w:rsid w:val="005E2D8F"/>
    <w:rsid w:val="005E2ECB"/>
    <w:rsid w:val="005E447E"/>
    <w:rsid w:val="005E4FD1"/>
    <w:rsid w:val="005F0775"/>
    <w:rsid w:val="005F0CF5"/>
    <w:rsid w:val="005F17BE"/>
    <w:rsid w:val="005F21EB"/>
    <w:rsid w:val="005F2C32"/>
    <w:rsid w:val="00603185"/>
    <w:rsid w:val="0060474B"/>
    <w:rsid w:val="00605908"/>
    <w:rsid w:val="00606ED7"/>
    <w:rsid w:val="00610124"/>
    <w:rsid w:val="00610D7C"/>
    <w:rsid w:val="00613414"/>
    <w:rsid w:val="006134B7"/>
    <w:rsid w:val="00620154"/>
    <w:rsid w:val="00620D59"/>
    <w:rsid w:val="0062114D"/>
    <w:rsid w:val="006214B5"/>
    <w:rsid w:val="00621CFA"/>
    <w:rsid w:val="006225E7"/>
    <w:rsid w:val="006230B6"/>
    <w:rsid w:val="0062408D"/>
    <w:rsid w:val="006240CC"/>
    <w:rsid w:val="00624940"/>
    <w:rsid w:val="006254F8"/>
    <w:rsid w:val="00627DA7"/>
    <w:rsid w:val="00630DA4"/>
    <w:rsid w:val="00632597"/>
    <w:rsid w:val="006358B4"/>
    <w:rsid w:val="00640BB9"/>
    <w:rsid w:val="006419AA"/>
    <w:rsid w:val="00644B1F"/>
    <w:rsid w:val="00644B7E"/>
    <w:rsid w:val="006454E6"/>
    <w:rsid w:val="00646235"/>
    <w:rsid w:val="00646A68"/>
    <w:rsid w:val="006500C9"/>
    <w:rsid w:val="006505BD"/>
    <w:rsid w:val="006508EA"/>
    <w:rsid w:val="0065092E"/>
    <w:rsid w:val="00652789"/>
    <w:rsid w:val="006557A7"/>
    <w:rsid w:val="00656290"/>
    <w:rsid w:val="00657E75"/>
    <w:rsid w:val="006608D8"/>
    <w:rsid w:val="00661664"/>
    <w:rsid w:val="006621D7"/>
    <w:rsid w:val="0066302A"/>
    <w:rsid w:val="00666A4E"/>
    <w:rsid w:val="00667770"/>
    <w:rsid w:val="00670597"/>
    <w:rsid w:val="006706D0"/>
    <w:rsid w:val="00671CF8"/>
    <w:rsid w:val="006733B3"/>
    <w:rsid w:val="00677574"/>
    <w:rsid w:val="00677871"/>
    <w:rsid w:val="0068059E"/>
    <w:rsid w:val="0068356E"/>
    <w:rsid w:val="0068454C"/>
    <w:rsid w:val="006861BF"/>
    <w:rsid w:val="00691B62"/>
    <w:rsid w:val="006933B5"/>
    <w:rsid w:val="00693D14"/>
    <w:rsid w:val="00694A6A"/>
    <w:rsid w:val="00696F27"/>
    <w:rsid w:val="006A0D79"/>
    <w:rsid w:val="006A18C2"/>
    <w:rsid w:val="006A3383"/>
    <w:rsid w:val="006A49CF"/>
    <w:rsid w:val="006B077C"/>
    <w:rsid w:val="006B191A"/>
    <w:rsid w:val="006B6803"/>
    <w:rsid w:val="006C1278"/>
    <w:rsid w:val="006C16AF"/>
    <w:rsid w:val="006C41F7"/>
    <w:rsid w:val="006C7B6C"/>
    <w:rsid w:val="006D0F16"/>
    <w:rsid w:val="006D1997"/>
    <w:rsid w:val="006D2A3F"/>
    <w:rsid w:val="006D2FBC"/>
    <w:rsid w:val="006D726C"/>
    <w:rsid w:val="006E0541"/>
    <w:rsid w:val="006E138B"/>
    <w:rsid w:val="006E15CC"/>
    <w:rsid w:val="006E3D57"/>
    <w:rsid w:val="006E4FA9"/>
    <w:rsid w:val="006F0330"/>
    <w:rsid w:val="006F03A5"/>
    <w:rsid w:val="006F1CA6"/>
    <w:rsid w:val="006F1FDC"/>
    <w:rsid w:val="006F6887"/>
    <w:rsid w:val="006F6B8C"/>
    <w:rsid w:val="006F71EE"/>
    <w:rsid w:val="006F755A"/>
    <w:rsid w:val="007013EF"/>
    <w:rsid w:val="007055BD"/>
    <w:rsid w:val="007147BE"/>
    <w:rsid w:val="00714882"/>
    <w:rsid w:val="007173CA"/>
    <w:rsid w:val="00720215"/>
    <w:rsid w:val="007216AA"/>
    <w:rsid w:val="00721AB5"/>
    <w:rsid w:val="00721CFB"/>
    <w:rsid w:val="00721DEF"/>
    <w:rsid w:val="0072251A"/>
    <w:rsid w:val="00724717"/>
    <w:rsid w:val="00724A43"/>
    <w:rsid w:val="007273AC"/>
    <w:rsid w:val="00730D58"/>
    <w:rsid w:val="00731AD4"/>
    <w:rsid w:val="007346E4"/>
    <w:rsid w:val="00734FCA"/>
    <w:rsid w:val="0073582E"/>
    <w:rsid w:val="00736BF0"/>
    <w:rsid w:val="00740F22"/>
    <w:rsid w:val="00741CF0"/>
    <w:rsid w:val="00741E39"/>
    <w:rsid w:val="00741F1A"/>
    <w:rsid w:val="00743868"/>
    <w:rsid w:val="007440A6"/>
    <w:rsid w:val="007447DA"/>
    <w:rsid w:val="007450F8"/>
    <w:rsid w:val="0074696E"/>
    <w:rsid w:val="00750135"/>
    <w:rsid w:val="00750CA5"/>
    <w:rsid w:val="00750EC2"/>
    <w:rsid w:val="00752B28"/>
    <w:rsid w:val="0075350D"/>
    <w:rsid w:val="007541A9"/>
    <w:rsid w:val="00754E36"/>
    <w:rsid w:val="00757071"/>
    <w:rsid w:val="00763139"/>
    <w:rsid w:val="00770F37"/>
    <w:rsid w:val="007711A0"/>
    <w:rsid w:val="007719DD"/>
    <w:rsid w:val="00772D5E"/>
    <w:rsid w:val="0077463E"/>
    <w:rsid w:val="0077493C"/>
    <w:rsid w:val="00775D52"/>
    <w:rsid w:val="00776928"/>
    <w:rsid w:val="00776E0F"/>
    <w:rsid w:val="007774B1"/>
    <w:rsid w:val="00777BE1"/>
    <w:rsid w:val="00777EE5"/>
    <w:rsid w:val="007807F6"/>
    <w:rsid w:val="00782722"/>
    <w:rsid w:val="007833D8"/>
    <w:rsid w:val="00785646"/>
    <w:rsid w:val="00785677"/>
    <w:rsid w:val="00786F16"/>
    <w:rsid w:val="00787C2B"/>
    <w:rsid w:val="00791BD7"/>
    <w:rsid w:val="007933F7"/>
    <w:rsid w:val="00796E20"/>
    <w:rsid w:val="00797C32"/>
    <w:rsid w:val="007A11E8"/>
    <w:rsid w:val="007A22EC"/>
    <w:rsid w:val="007A5A7F"/>
    <w:rsid w:val="007B0914"/>
    <w:rsid w:val="007B1374"/>
    <w:rsid w:val="007B1E1D"/>
    <w:rsid w:val="007B32E5"/>
    <w:rsid w:val="007B36E7"/>
    <w:rsid w:val="007B3DB9"/>
    <w:rsid w:val="007B589F"/>
    <w:rsid w:val="007B6186"/>
    <w:rsid w:val="007B73BC"/>
    <w:rsid w:val="007C1838"/>
    <w:rsid w:val="007C1ACD"/>
    <w:rsid w:val="007C20B9"/>
    <w:rsid w:val="007C7301"/>
    <w:rsid w:val="007C7859"/>
    <w:rsid w:val="007C7F28"/>
    <w:rsid w:val="007D0833"/>
    <w:rsid w:val="007D1466"/>
    <w:rsid w:val="007D2BDE"/>
    <w:rsid w:val="007D2FB6"/>
    <w:rsid w:val="007D43AC"/>
    <w:rsid w:val="007D49EB"/>
    <w:rsid w:val="007D5E1C"/>
    <w:rsid w:val="007E0DE2"/>
    <w:rsid w:val="007E1227"/>
    <w:rsid w:val="007E14C4"/>
    <w:rsid w:val="007E3B98"/>
    <w:rsid w:val="007E417A"/>
    <w:rsid w:val="007F1CB0"/>
    <w:rsid w:val="007F31B6"/>
    <w:rsid w:val="007F546C"/>
    <w:rsid w:val="007F625F"/>
    <w:rsid w:val="007F665E"/>
    <w:rsid w:val="007F6C50"/>
    <w:rsid w:val="007F76A6"/>
    <w:rsid w:val="00800412"/>
    <w:rsid w:val="008020CB"/>
    <w:rsid w:val="0080587B"/>
    <w:rsid w:val="00806468"/>
    <w:rsid w:val="00810566"/>
    <w:rsid w:val="00810EE8"/>
    <w:rsid w:val="008119CA"/>
    <w:rsid w:val="008130C4"/>
    <w:rsid w:val="008155F0"/>
    <w:rsid w:val="00815FFA"/>
    <w:rsid w:val="00816735"/>
    <w:rsid w:val="0081756B"/>
    <w:rsid w:val="00820141"/>
    <w:rsid w:val="00820579"/>
    <w:rsid w:val="00820E0C"/>
    <w:rsid w:val="008213F0"/>
    <w:rsid w:val="00821502"/>
    <w:rsid w:val="00823275"/>
    <w:rsid w:val="0082366F"/>
    <w:rsid w:val="00832E50"/>
    <w:rsid w:val="00833410"/>
    <w:rsid w:val="008338A2"/>
    <w:rsid w:val="00834C50"/>
    <w:rsid w:val="00835FAF"/>
    <w:rsid w:val="00836EDA"/>
    <w:rsid w:val="00837957"/>
    <w:rsid w:val="00841318"/>
    <w:rsid w:val="00841AA9"/>
    <w:rsid w:val="00845B7F"/>
    <w:rsid w:val="008474FE"/>
    <w:rsid w:val="00850E22"/>
    <w:rsid w:val="00853CAB"/>
    <w:rsid w:val="00853EE4"/>
    <w:rsid w:val="00855535"/>
    <w:rsid w:val="00855920"/>
    <w:rsid w:val="00857C56"/>
    <w:rsid w:val="00857C5A"/>
    <w:rsid w:val="0086255E"/>
    <w:rsid w:val="008633F0"/>
    <w:rsid w:val="008638E0"/>
    <w:rsid w:val="0086786D"/>
    <w:rsid w:val="00867D9D"/>
    <w:rsid w:val="00870DEC"/>
    <w:rsid w:val="00872E0A"/>
    <w:rsid w:val="00873561"/>
    <w:rsid w:val="00873594"/>
    <w:rsid w:val="008736C3"/>
    <w:rsid w:val="00874A83"/>
    <w:rsid w:val="0087508C"/>
    <w:rsid w:val="00875285"/>
    <w:rsid w:val="00882478"/>
    <w:rsid w:val="00884B62"/>
    <w:rsid w:val="0088529C"/>
    <w:rsid w:val="008855B9"/>
    <w:rsid w:val="00887903"/>
    <w:rsid w:val="0089270A"/>
    <w:rsid w:val="00892B47"/>
    <w:rsid w:val="00893AF6"/>
    <w:rsid w:val="00894BC4"/>
    <w:rsid w:val="008958B8"/>
    <w:rsid w:val="00895E35"/>
    <w:rsid w:val="0089654D"/>
    <w:rsid w:val="008978D8"/>
    <w:rsid w:val="008A28A8"/>
    <w:rsid w:val="008A5B32"/>
    <w:rsid w:val="008B2EE4"/>
    <w:rsid w:val="008B3E95"/>
    <w:rsid w:val="008B4D3D"/>
    <w:rsid w:val="008B57C7"/>
    <w:rsid w:val="008C1A6C"/>
    <w:rsid w:val="008C219A"/>
    <w:rsid w:val="008C2F92"/>
    <w:rsid w:val="008C3697"/>
    <w:rsid w:val="008C5557"/>
    <w:rsid w:val="008C589D"/>
    <w:rsid w:val="008C6D51"/>
    <w:rsid w:val="008D1AB4"/>
    <w:rsid w:val="008D2846"/>
    <w:rsid w:val="008D4236"/>
    <w:rsid w:val="008D462F"/>
    <w:rsid w:val="008D6DCF"/>
    <w:rsid w:val="008E0E58"/>
    <w:rsid w:val="008E12A6"/>
    <w:rsid w:val="008E3DE9"/>
    <w:rsid w:val="008E4376"/>
    <w:rsid w:val="008E7A0A"/>
    <w:rsid w:val="008E7B49"/>
    <w:rsid w:val="008F05D4"/>
    <w:rsid w:val="008F14D0"/>
    <w:rsid w:val="008F59F6"/>
    <w:rsid w:val="00900719"/>
    <w:rsid w:val="009017AC"/>
    <w:rsid w:val="00902A9A"/>
    <w:rsid w:val="00904A1C"/>
    <w:rsid w:val="00904AB4"/>
    <w:rsid w:val="00905030"/>
    <w:rsid w:val="00905C92"/>
    <w:rsid w:val="00906490"/>
    <w:rsid w:val="009111B2"/>
    <w:rsid w:val="009138F2"/>
    <w:rsid w:val="009151F5"/>
    <w:rsid w:val="009220CA"/>
    <w:rsid w:val="009237A9"/>
    <w:rsid w:val="00924AE1"/>
    <w:rsid w:val="009269B1"/>
    <w:rsid w:val="0092724D"/>
    <w:rsid w:val="009272B3"/>
    <w:rsid w:val="009315BE"/>
    <w:rsid w:val="00931929"/>
    <w:rsid w:val="0093338F"/>
    <w:rsid w:val="0093542F"/>
    <w:rsid w:val="00937BD9"/>
    <w:rsid w:val="009402E8"/>
    <w:rsid w:val="00950E2C"/>
    <w:rsid w:val="00951D50"/>
    <w:rsid w:val="009525EB"/>
    <w:rsid w:val="00954304"/>
    <w:rsid w:val="0095470B"/>
    <w:rsid w:val="00954874"/>
    <w:rsid w:val="0095575D"/>
    <w:rsid w:val="0095615A"/>
    <w:rsid w:val="00961400"/>
    <w:rsid w:val="00963646"/>
    <w:rsid w:val="0096369A"/>
    <w:rsid w:val="00964C6C"/>
    <w:rsid w:val="0096632D"/>
    <w:rsid w:val="00966929"/>
    <w:rsid w:val="009718C7"/>
    <w:rsid w:val="0097559F"/>
    <w:rsid w:val="00976D1A"/>
    <w:rsid w:val="0097761E"/>
    <w:rsid w:val="00982454"/>
    <w:rsid w:val="00982CF0"/>
    <w:rsid w:val="0098527B"/>
    <w:rsid w:val="009853E1"/>
    <w:rsid w:val="0098563B"/>
    <w:rsid w:val="00986E6B"/>
    <w:rsid w:val="00990032"/>
    <w:rsid w:val="00990B19"/>
    <w:rsid w:val="0099153B"/>
    <w:rsid w:val="009915B3"/>
    <w:rsid w:val="00991769"/>
    <w:rsid w:val="00991883"/>
    <w:rsid w:val="009919C0"/>
    <w:rsid w:val="0099232C"/>
    <w:rsid w:val="00994386"/>
    <w:rsid w:val="009A13D8"/>
    <w:rsid w:val="009A1CB4"/>
    <w:rsid w:val="009A279E"/>
    <w:rsid w:val="009A3015"/>
    <w:rsid w:val="009A3490"/>
    <w:rsid w:val="009A4443"/>
    <w:rsid w:val="009B0A6F"/>
    <w:rsid w:val="009B0A94"/>
    <w:rsid w:val="009B20E4"/>
    <w:rsid w:val="009B2AE8"/>
    <w:rsid w:val="009B359A"/>
    <w:rsid w:val="009B41E9"/>
    <w:rsid w:val="009B59E9"/>
    <w:rsid w:val="009B637D"/>
    <w:rsid w:val="009B70AA"/>
    <w:rsid w:val="009C5E77"/>
    <w:rsid w:val="009C6790"/>
    <w:rsid w:val="009C7A7E"/>
    <w:rsid w:val="009D02E8"/>
    <w:rsid w:val="009D51D0"/>
    <w:rsid w:val="009D70A4"/>
    <w:rsid w:val="009D7B14"/>
    <w:rsid w:val="009E08D1"/>
    <w:rsid w:val="009E1B95"/>
    <w:rsid w:val="009E36C0"/>
    <w:rsid w:val="009E3A47"/>
    <w:rsid w:val="009E496F"/>
    <w:rsid w:val="009E4B0D"/>
    <w:rsid w:val="009E5250"/>
    <w:rsid w:val="009E7797"/>
    <w:rsid w:val="009E7F92"/>
    <w:rsid w:val="009F02A3"/>
    <w:rsid w:val="009F2306"/>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3321E"/>
    <w:rsid w:val="00A3349F"/>
    <w:rsid w:val="00A37384"/>
    <w:rsid w:val="00A373CC"/>
    <w:rsid w:val="00A40BD1"/>
    <w:rsid w:val="00A420F6"/>
    <w:rsid w:val="00A4231D"/>
    <w:rsid w:val="00A44882"/>
    <w:rsid w:val="00A45125"/>
    <w:rsid w:val="00A54715"/>
    <w:rsid w:val="00A6061C"/>
    <w:rsid w:val="00A62D44"/>
    <w:rsid w:val="00A67263"/>
    <w:rsid w:val="00A7161C"/>
    <w:rsid w:val="00A77AA3"/>
    <w:rsid w:val="00A8236D"/>
    <w:rsid w:val="00A854EB"/>
    <w:rsid w:val="00A8553A"/>
    <w:rsid w:val="00A858AA"/>
    <w:rsid w:val="00A8689A"/>
    <w:rsid w:val="00A872E5"/>
    <w:rsid w:val="00A91406"/>
    <w:rsid w:val="00A96E65"/>
    <w:rsid w:val="00A97C72"/>
    <w:rsid w:val="00AA268E"/>
    <w:rsid w:val="00AA29A2"/>
    <w:rsid w:val="00AA310B"/>
    <w:rsid w:val="00AA40C0"/>
    <w:rsid w:val="00AA63D4"/>
    <w:rsid w:val="00AB06E8"/>
    <w:rsid w:val="00AB0A8B"/>
    <w:rsid w:val="00AB1CD3"/>
    <w:rsid w:val="00AB352F"/>
    <w:rsid w:val="00AC150C"/>
    <w:rsid w:val="00AC274B"/>
    <w:rsid w:val="00AC41E1"/>
    <w:rsid w:val="00AC4764"/>
    <w:rsid w:val="00AC6D36"/>
    <w:rsid w:val="00AD0CBA"/>
    <w:rsid w:val="00AD177A"/>
    <w:rsid w:val="00AD2087"/>
    <w:rsid w:val="00AD26E2"/>
    <w:rsid w:val="00AD2C99"/>
    <w:rsid w:val="00AD5D77"/>
    <w:rsid w:val="00AD784C"/>
    <w:rsid w:val="00AE126A"/>
    <w:rsid w:val="00AE1BAE"/>
    <w:rsid w:val="00AE3005"/>
    <w:rsid w:val="00AE3BD5"/>
    <w:rsid w:val="00AE59A0"/>
    <w:rsid w:val="00AF0340"/>
    <w:rsid w:val="00AF0C57"/>
    <w:rsid w:val="00AF26F3"/>
    <w:rsid w:val="00AF5F04"/>
    <w:rsid w:val="00B00672"/>
    <w:rsid w:val="00B01B4D"/>
    <w:rsid w:val="00B06571"/>
    <w:rsid w:val="00B068BA"/>
    <w:rsid w:val="00B07FF7"/>
    <w:rsid w:val="00B13851"/>
    <w:rsid w:val="00B13B1C"/>
    <w:rsid w:val="00B14780"/>
    <w:rsid w:val="00B14C6E"/>
    <w:rsid w:val="00B21F05"/>
    <w:rsid w:val="00B21F90"/>
    <w:rsid w:val="00B22291"/>
    <w:rsid w:val="00B23F9A"/>
    <w:rsid w:val="00B2417B"/>
    <w:rsid w:val="00B24E6F"/>
    <w:rsid w:val="00B26CB5"/>
    <w:rsid w:val="00B2752E"/>
    <w:rsid w:val="00B307CC"/>
    <w:rsid w:val="00B326B7"/>
    <w:rsid w:val="00B33855"/>
    <w:rsid w:val="00B35282"/>
    <w:rsid w:val="00B3588E"/>
    <w:rsid w:val="00B41F3D"/>
    <w:rsid w:val="00B4278C"/>
    <w:rsid w:val="00B431E8"/>
    <w:rsid w:val="00B45141"/>
    <w:rsid w:val="00B46C7B"/>
    <w:rsid w:val="00B46DE7"/>
    <w:rsid w:val="00B519CD"/>
    <w:rsid w:val="00B51DCA"/>
    <w:rsid w:val="00B5273A"/>
    <w:rsid w:val="00B55E34"/>
    <w:rsid w:val="00B57329"/>
    <w:rsid w:val="00B576D2"/>
    <w:rsid w:val="00B60E61"/>
    <w:rsid w:val="00B62B50"/>
    <w:rsid w:val="00B62C24"/>
    <w:rsid w:val="00B635B7"/>
    <w:rsid w:val="00B63AE8"/>
    <w:rsid w:val="00B65950"/>
    <w:rsid w:val="00B66D83"/>
    <w:rsid w:val="00B672C0"/>
    <w:rsid w:val="00B676FD"/>
    <w:rsid w:val="00B75646"/>
    <w:rsid w:val="00B829AA"/>
    <w:rsid w:val="00B90729"/>
    <w:rsid w:val="00B907DA"/>
    <w:rsid w:val="00B94CD5"/>
    <w:rsid w:val="00B94D0E"/>
    <w:rsid w:val="00B950BC"/>
    <w:rsid w:val="00B96B05"/>
    <w:rsid w:val="00B9714C"/>
    <w:rsid w:val="00BA1A9F"/>
    <w:rsid w:val="00BA29AD"/>
    <w:rsid w:val="00BA33CF"/>
    <w:rsid w:val="00BA3F8D"/>
    <w:rsid w:val="00BA53AE"/>
    <w:rsid w:val="00BB067A"/>
    <w:rsid w:val="00BB1BAD"/>
    <w:rsid w:val="00BB7A10"/>
    <w:rsid w:val="00BC1411"/>
    <w:rsid w:val="00BC30D3"/>
    <w:rsid w:val="00BC3E8F"/>
    <w:rsid w:val="00BC60BE"/>
    <w:rsid w:val="00BC7468"/>
    <w:rsid w:val="00BC7D4F"/>
    <w:rsid w:val="00BC7ED7"/>
    <w:rsid w:val="00BD2850"/>
    <w:rsid w:val="00BD298F"/>
    <w:rsid w:val="00BE28D2"/>
    <w:rsid w:val="00BE4A64"/>
    <w:rsid w:val="00BE5E43"/>
    <w:rsid w:val="00BE7E61"/>
    <w:rsid w:val="00BF1068"/>
    <w:rsid w:val="00BF30B2"/>
    <w:rsid w:val="00BF557D"/>
    <w:rsid w:val="00BF72EE"/>
    <w:rsid w:val="00BF7F58"/>
    <w:rsid w:val="00C00651"/>
    <w:rsid w:val="00C01381"/>
    <w:rsid w:val="00C0167F"/>
    <w:rsid w:val="00C01AB1"/>
    <w:rsid w:val="00C026A0"/>
    <w:rsid w:val="00C048B0"/>
    <w:rsid w:val="00C05A32"/>
    <w:rsid w:val="00C06137"/>
    <w:rsid w:val="00C079B8"/>
    <w:rsid w:val="00C10037"/>
    <w:rsid w:val="00C11263"/>
    <w:rsid w:val="00C123EA"/>
    <w:rsid w:val="00C12A49"/>
    <w:rsid w:val="00C133EE"/>
    <w:rsid w:val="00C1368C"/>
    <w:rsid w:val="00C14945"/>
    <w:rsid w:val="00C149D0"/>
    <w:rsid w:val="00C15391"/>
    <w:rsid w:val="00C26588"/>
    <w:rsid w:val="00C27DE9"/>
    <w:rsid w:val="00C32989"/>
    <w:rsid w:val="00C33388"/>
    <w:rsid w:val="00C35484"/>
    <w:rsid w:val="00C4173A"/>
    <w:rsid w:val="00C44DA0"/>
    <w:rsid w:val="00C50DED"/>
    <w:rsid w:val="00C602FF"/>
    <w:rsid w:val="00C61174"/>
    <w:rsid w:val="00C6148F"/>
    <w:rsid w:val="00C621B1"/>
    <w:rsid w:val="00C62F7A"/>
    <w:rsid w:val="00C63B9C"/>
    <w:rsid w:val="00C6682F"/>
    <w:rsid w:val="00C67B9A"/>
    <w:rsid w:val="00C67BF4"/>
    <w:rsid w:val="00C7275E"/>
    <w:rsid w:val="00C74C5D"/>
    <w:rsid w:val="00C75168"/>
    <w:rsid w:val="00C819DE"/>
    <w:rsid w:val="00C860A5"/>
    <w:rsid w:val="00C863C4"/>
    <w:rsid w:val="00C8746D"/>
    <w:rsid w:val="00C91069"/>
    <w:rsid w:val="00C920EA"/>
    <w:rsid w:val="00C93C3E"/>
    <w:rsid w:val="00C950B5"/>
    <w:rsid w:val="00CA12E3"/>
    <w:rsid w:val="00CA1476"/>
    <w:rsid w:val="00CA6611"/>
    <w:rsid w:val="00CA6AE6"/>
    <w:rsid w:val="00CA782F"/>
    <w:rsid w:val="00CB187B"/>
    <w:rsid w:val="00CB2835"/>
    <w:rsid w:val="00CB3285"/>
    <w:rsid w:val="00CB4500"/>
    <w:rsid w:val="00CB54CE"/>
    <w:rsid w:val="00CB59C9"/>
    <w:rsid w:val="00CB624F"/>
    <w:rsid w:val="00CB7800"/>
    <w:rsid w:val="00CB7A3A"/>
    <w:rsid w:val="00CC0C72"/>
    <w:rsid w:val="00CC2BF2"/>
    <w:rsid w:val="00CC2BFD"/>
    <w:rsid w:val="00CC5676"/>
    <w:rsid w:val="00CD3476"/>
    <w:rsid w:val="00CD64DF"/>
    <w:rsid w:val="00CE225F"/>
    <w:rsid w:val="00CE6F15"/>
    <w:rsid w:val="00CE79DB"/>
    <w:rsid w:val="00CF0E68"/>
    <w:rsid w:val="00CF2F50"/>
    <w:rsid w:val="00CF3424"/>
    <w:rsid w:val="00CF3B67"/>
    <w:rsid w:val="00CF6198"/>
    <w:rsid w:val="00D01618"/>
    <w:rsid w:val="00D02919"/>
    <w:rsid w:val="00D04C61"/>
    <w:rsid w:val="00D05B8D"/>
    <w:rsid w:val="00D065A2"/>
    <w:rsid w:val="00D079AA"/>
    <w:rsid w:val="00D07F00"/>
    <w:rsid w:val="00D1130F"/>
    <w:rsid w:val="00D1143F"/>
    <w:rsid w:val="00D143C8"/>
    <w:rsid w:val="00D1517F"/>
    <w:rsid w:val="00D17B72"/>
    <w:rsid w:val="00D25062"/>
    <w:rsid w:val="00D3185C"/>
    <w:rsid w:val="00D3205F"/>
    <w:rsid w:val="00D3318E"/>
    <w:rsid w:val="00D33B5B"/>
    <w:rsid w:val="00D33E72"/>
    <w:rsid w:val="00D35BD6"/>
    <w:rsid w:val="00D361B5"/>
    <w:rsid w:val="00D405AC"/>
    <w:rsid w:val="00D40CDA"/>
    <w:rsid w:val="00D411A2"/>
    <w:rsid w:val="00D4606D"/>
    <w:rsid w:val="00D46C92"/>
    <w:rsid w:val="00D50B9C"/>
    <w:rsid w:val="00D51061"/>
    <w:rsid w:val="00D52D73"/>
    <w:rsid w:val="00D52E58"/>
    <w:rsid w:val="00D56B20"/>
    <w:rsid w:val="00D578B3"/>
    <w:rsid w:val="00D618F4"/>
    <w:rsid w:val="00D6301A"/>
    <w:rsid w:val="00D63A80"/>
    <w:rsid w:val="00D65E98"/>
    <w:rsid w:val="00D714CC"/>
    <w:rsid w:val="00D75EA7"/>
    <w:rsid w:val="00D7651C"/>
    <w:rsid w:val="00D77E3E"/>
    <w:rsid w:val="00D80AB8"/>
    <w:rsid w:val="00D810D8"/>
    <w:rsid w:val="00D811A0"/>
    <w:rsid w:val="00D81ADF"/>
    <w:rsid w:val="00D81F21"/>
    <w:rsid w:val="00D86086"/>
    <w:rsid w:val="00D864F2"/>
    <w:rsid w:val="00D865B1"/>
    <w:rsid w:val="00D87153"/>
    <w:rsid w:val="00D9250B"/>
    <w:rsid w:val="00D92F95"/>
    <w:rsid w:val="00D943F8"/>
    <w:rsid w:val="00D95021"/>
    <w:rsid w:val="00D95470"/>
    <w:rsid w:val="00D96B55"/>
    <w:rsid w:val="00DA2619"/>
    <w:rsid w:val="00DA4239"/>
    <w:rsid w:val="00DA65DE"/>
    <w:rsid w:val="00DB0B61"/>
    <w:rsid w:val="00DB1474"/>
    <w:rsid w:val="00DB1ABE"/>
    <w:rsid w:val="00DB2962"/>
    <w:rsid w:val="00DB52FB"/>
    <w:rsid w:val="00DC013B"/>
    <w:rsid w:val="00DC04FF"/>
    <w:rsid w:val="00DC090B"/>
    <w:rsid w:val="00DC13F0"/>
    <w:rsid w:val="00DC1679"/>
    <w:rsid w:val="00DC219B"/>
    <w:rsid w:val="00DC2758"/>
    <w:rsid w:val="00DC2CF1"/>
    <w:rsid w:val="00DC4FCF"/>
    <w:rsid w:val="00DC50E0"/>
    <w:rsid w:val="00DC6386"/>
    <w:rsid w:val="00DD1130"/>
    <w:rsid w:val="00DD1951"/>
    <w:rsid w:val="00DD47B0"/>
    <w:rsid w:val="00DD487D"/>
    <w:rsid w:val="00DD4E83"/>
    <w:rsid w:val="00DD6628"/>
    <w:rsid w:val="00DD6945"/>
    <w:rsid w:val="00DE2D04"/>
    <w:rsid w:val="00DE3250"/>
    <w:rsid w:val="00DE3EB9"/>
    <w:rsid w:val="00DE451A"/>
    <w:rsid w:val="00DE6028"/>
    <w:rsid w:val="00DE6818"/>
    <w:rsid w:val="00DE78A3"/>
    <w:rsid w:val="00DF1A71"/>
    <w:rsid w:val="00DF4F0D"/>
    <w:rsid w:val="00DF50FC"/>
    <w:rsid w:val="00DF5DB7"/>
    <w:rsid w:val="00DF643C"/>
    <w:rsid w:val="00DF68C7"/>
    <w:rsid w:val="00DF697D"/>
    <w:rsid w:val="00DF731A"/>
    <w:rsid w:val="00E019F7"/>
    <w:rsid w:val="00E06B75"/>
    <w:rsid w:val="00E111C9"/>
    <w:rsid w:val="00E11332"/>
    <w:rsid w:val="00E11352"/>
    <w:rsid w:val="00E15742"/>
    <w:rsid w:val="00E166B5"/>
    <w:rsid w:val="00E170DC"/>
    <w:rsid w:val="00E17546"/>
    <w:rsid w:val="00E210B5"/>
    <w:rsid w:val="00E261B3"/>
    <w:rsid w:val="00E26818"/>
    <w:rsid w:val="00E26FFA"/>
    <w:rsid w:val="00E27FFC"/>
    <w:rsid w:val="00E30B15"/>
    <w:rsid w:val="00E33237"/>
    <w:rsid w:val="00E337A1"/>
    <w:rsid w:val="00E33C49"/>
    <w:rsid w:val="00E345BC"/>
    <w:rsid w:val="00E36D10"/>
    <w:rsid w:val="00E40181"/>
    <w:rsid w:val="00E423EF"/>
    <w:rsid w:val="00E44481"/>
    <w:rsid w:val="00E47908"/>
    <w:rsid w:val="00E47E20"/>
    <w:rsid w:val="00E54950"/>
    <w:rsid w:val="00E56A01"/>
    <w:rsid w:val="00E62622"/>
    <w:rsid w:val="00E629A1"/>
    <w:rsid w:val="00E6794C"/>
    <w:rsid w:val="00E71591"/>
    <w:rsid w:val="00E71CEB"/>
    <w:rsid w:val="00E727D0"/>
    <w:rsid w:val="00E74296"/>
    <w:rsid w:val="00E7474F"/>
    <w:rsid w:val="00E80DE3"/>
    <w:rsid w:val="00E82C55"/>
    <w:rsid w:val="00E83786"/>
    <w:rsid w:val="00E83BB1"/>
    <w:rsid w:val="00E8787E"/>
    <w:rsid w:val="00E90012"/>
    <w:rsid w:val="00E92904"/>
    <w:rsid w:val="00E92AC3"/>
    <w:rsid w:val="00E93F69"/>
    <w:rsid w:val="00EA1360"/>
    <w:rsid w:val="00EA2F6A"/>
    <w:rsid w:val="00EA3650"/>
    <w:rsid w:val="00EA4102"/>
    <w:rsid w:val="00EB00E0"/>
    <w:rsid w:val="00EB0D82"/>
    <w:rsid w:val="00EB41C4"/>
    <w:rsid w:val="00EB6FFB"/>
    <w:rsid w:val="00EC059F"/>
    <w:rsid w:val="00EC1F24"/>
    <w:rsid w:val="00EC22F6"/>
    <w:rsid w:val="00EC40D5"/>
    <w:rsid w:val="00EC7295"/>
    <w:rsid w:val="00EC7AFE"/>
    <w:rsid w:val="00ED3592"/>
    <w:rsid w:val="00ED5B9B"/>
    <w:rsid w:val="00ED6BAD"/>
    <w:rsid w:val="00ED7447"/>
    <w:rsid w:val="00ED7CB0"/>
    <w:rsid w:val="00EE00D6"/>
    <w:rsid w:val="00EE11E7"/>
    <w:rsid w:val="00EE1488"/>
    <w:rsid w:val="00EE2793"/>
    <w:rsid w:val="00EE29AD"/>
    <w:rsid w:val="00EE3E24"/>
    <w:rsid w:val="00EE4D5D"/>
    <w:rsid w:val="00EE5131"/>
    <w:rsid w:val="00EE6481"/>
    <w:rsid w:val="00EF109B"/>
    <w:rsid w:val="00EF201C"/>
    <w:rsid w:val="00EF36AF"/>
    <w:rsid w:val="00EF59A3"/>
    <w:rsid w:val="00EF6675"/>
    <w:rsid w:val="00F00439"/>
    <w:rsid w:val="00F00F9C"/>
    <w:rsid w:val="00F01485"/>
    <w:rsid w:val="00F01E5F"/>
    <w:rsid w:val="00F024F3"/>
    <w:rsid w:val="00F02ABA"/>
    <w:rsid w:val="00F0437A"/>
    <w:rsid w:val="00F0748F"/>
    <w:rsid w:val="00F101B8"/>
    <w:rsid w:val="00F11037"/>
    <w:rsid w:val="00F16F1B"/>
    <w:rsid w:val="00F23141"/>
    <w:rsid w:val="00F250A9"/>
    <w:rsid w:val="00F267AF"/>
    <w:rsid w:val="00F305BC"/>
    <w:rsid w:val="00F30957"/>
    <w:rsid w:val="00F30B03"/>
    <w:rsid w:val="00F30FF4"/>
    <w:rsid w:val="00F3122E"/>
    <w:rsid w:val="00F31EBE"/>
    <w:rsid w:val="00F32368"/>
    <w:rsid w:val="00F32A8A"/>
    <w:rsid w:val="00F331AD"/>
    <w:rsid w:val="00F35287"/>
    <w:rsid w:val="00F40A70"/>
    <w:rsid w:val="00F43A37"/>
    <w:rsid w:val="00F44F86"/>
    <w:rsid w:val="00F451AB"/>
    <w:rsid w:val="00F4641B"/>
    <w:rsid w:val="00F46EB8"/>
    <w:rsid w:val="00F50316"/>
    <w:rsid w:val="00F50CD1"/>
    <w:rsid w:val="00F51077"/>
    <w:rsid w:val="00F511E4"/>
    <w:rsid w:val="00F52D09"/>
    <w:rsid w:val="00F52E08"/>
    <w:rsid w:val="00F53A66"/>
    <w:rsid w:val="00F53DDD"/>
    <w:rsid w:val="00F5462D"/>
    <w:rsid w:val="00F55695"/>
    <w:rsid w:val="00F55B21"/>
    <w:rsid w:val="00F56A80"/>
    <w:rsid w:val="00F56EF6"/>
    <w:rsid w:val="00F60082"/>
    <w:rsid w:val="00F61A9F"/>
    <w:rsid w:val="00F61B5F"/>
    <w:rsid w:val="00F63607"/>
    <w:rsid w:val="00F6404D"/>
    <w:rsid w:val="00F64696"/>
    <w:rsid w:val="00F65AA9"/>
    <w:rsid w:val="00F6768F"/>
    <w:rsid w:val="00F712D8"/>
    <w:rsid w:val="00F72C2C"/>
    <w:rsid w:val="00F73014"/>
    <w:rsid w:val="00F76CAB"/>
    <w:rsid w:val="00F772C6"/>
    <w:rsid w:val="00F7757C"/>
    <w:rsid w:val="00F815B5"/>
    <w:rsid w:val="00F81B56"/>
    <w:rsid w:val="00F84FA0"/>
    <w:rsid w:val="00F85195"/>
    <w:rsid w:val="00F8546B"/>
    <w:rsid w:val="00F868E3"/>
    <w:rsid w:val="00F938BA"/>
    <w:rsid w:val="00F95A23"/>
    <w:rsid w:val="00F96714"/>
    <w:rsid w:val="00F97919"/>
    <w:rsid w:val="00FA2C46"/>
    <w:rsid w:val="00FA3525"/>
    <w:rsid w:val="00FA5A53"/>
    <w:rsid w:val="00FA68E9"/>
    <w:rsid w:val="00FA7D04"/>
    <w:rsid w:val="00FB2551"/>
    <w:rsid w:val="00FB4769"/>
    <w:rsid w:val="00FB4CDA"/>
    <w:rsid w:val="00FB6481"/>
    <w:rsid w:val="00FB6D36"/>
    <w:rsid w:val="00FC0965"/>
    <w:rsid w:val="00FC0F81"/>
    <w:rsid w:val="00FC252F"/>
    <w:rsid w:val="00FC395C"/>
    <w:rsid w:val="00FC5E8E"/>
    <w:rsid w:val="00FC6E40"/>
    <w:rsid w:val="00FD33CC"/>
    <w:rsid w:val="00FD3766"/>
    <w:rsid w:val="00FD47C4"/>
    <w:rsid w:val="00FD722A"/>
    <w:rsid w:val="00FD727D"/>
    <w:rsid w:val="00FE014D"/>
    <w:rsid w:val="00FE2DCF"/>
    <w:rsid w:val="00FE2E9E"/>
    <w:rsid w:val="00FE378B"/>
    <w:rsid w:val="00FE3FA7"/>
    <w:rsid w:val="00FE63D6"/>
    <w:rsid w:val="00FE75FD"/>
    <w:rsid w:val="00FF2A4E"/>
    <w:rsid w:val="00FF2FCE"/>
    <w:rsid w:val="00FF4DE4"/>
    <w:rsid w:val="00FF4F7D"/>
    <w:rsid w:val="00FF54DF"/>
    <w:rsid w:val="00FF57D3"/>
    <w:rsid w:val="00FF6D9D"/>
    <w:rsid w:val="00FF7731"/>
    <w:rsid w:val="00FF7DD5"/>
    <w:rsid w:val="0E5C2D34"/>
    <w:rsid w:val="10AA0A2B"/>
    <w:rsid w:val="18D76962"/>
    <w:rsid w:val="1AAC88CE"/>
    <w:rsid w:val="1B8A66D9"/>
    <w:rsid w:val="2CDEBC7E"/>
    <w:rsid w:val="36271B37"/>
    <w:rsid w:val="37FC5A04"/>
    <w:rsid w:val="41CC43E7"/>
    <w:rsid w:val="427C5C91"/>
    <w:rsid w:val="5639E4A4"/>
    <w:rsid w:val="6A131C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8379AD"/>
  <w15:docId w15:val="{38F9BC5E-5FBB-4353-AA64-F0A7FCD9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D65E98"/>
    <w:pPr>
      <w:keepNext/>
      <w:keepLines/>
      <w:spacing w:before="240" w:after="120" w:line="280" w:lineRule="atLeast"/>
      <w:outlineLvl w:val="3"/>
    </w:pPr>
    <w:rPr>
      <w:rFonts w:ascii="Arial" w:eastAsia="MS Mincho" w:hAnsi="Arial"/>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D65E98"/>
    <w:rPr>
      <w:rFonts w:ascii="Arial" w:eastAsia="MS Mincho" w:hAnsi="Arial"/>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7B1E1D"/>
    <w:pPr>
      <w:spacing w:after="120" w:line="270" w:lineRule="atLeast"/>
    </w:pPr>
    <w:rPr>
      <w:rFonts w:ascii="Arial" w:eastAsia="Times" w:hAnsi="Arial"/>
      <w:lang w:eastAsia="en-US"/>
    </w:rPr>
  </w:style>
  <w:style w:type="character" w:customStyle="1" w:styleId="DHHSbodyChar">
    <w:name w:val="DHHS body Char"/>
    <w:link w:val="DHHSbody"/>
    <w:locked/>
    <w:rsid w:val="007B1E1D"/>
    <w:rPr>
      <w:rFonts w:ascii="Arial" w:eastAsia="Times" w:hAnsi="Arial"/>
      <w:lang w:eastAsia="en-US"/>
    </w:rPr>
  </w:style>
  <w:style w:type="paragraph" w:customStyle="1" w:styleId="DHHStabletext">
    <w:name w:val="DHHS table text"/>
    <w:uiPriority w:val="99"/>
    <w:qFormat/>
    <w:rsid w:val="00330129"/>
    <w:pPr>
      <w:spacing w:before="80" w:after="60"/>
    </w:pPr>
    <w:rPr>
      <w:rFonts w:ascii="Arial" w:hAnsi="Arial"/>
      <w:lang w:eastAsia="en-US"/>
    </w:rPr>
  </w:style>
  <w:style w:type="paragraph" w:customStyle="1" w:styleId="DHHStablecaption">
    <w:name w:val="DHHS table caption"/>
    <w:next w:val="DHHSbody"/>
    <w:uiPriority w:val="3"/>
    <w:qFormat/>
    <w:rsid w:val="00330129"/>
    <w:pPr>
      <w:keepNext/>
      <w:keepLines/>
      <w:spacing w:before="240" w:after="120" w:line="240" w:lineRule="atLeast"/>
    </w:pPr>
    <w:rPr>
      <w:rFonts w:ascii="Arial" w:hAnsi="Arial"/>
      <w:b/>
      <w:lang w:eastAsia="en-US"/>
    </w:rPr>
  </w:style>
  <w:style w:type="paragraph" w:customStyle="1" w:styleId="DHHStablebullet2">
    <w:name w:val="DHHS table bullet 2"/>
    <w:basedOn w:val="DHHStabletext"/>
    <w:uiPriority w:val="11"/>
    <w:rsid w:val="00330129"/>
    <w:pPr>
      <w:tabs>
        <w:tab w:val="num" w:pos="227"/>
      </w:tabs>
      <w:ind w:left="454" w:hanging="227"/>
    </w:pPr>
  </w:style>
  <w:style w:type="paragraph" w:customStyle="1" w:styleId="DHHStablebullet1">
    <w:name w:val="DHHS table bullet 1"/>
    <w:basedOn w:val="DHHStabletext"/>
    <w:uiPriority w:val="3"/>
    <w:qFormat/>
    <w:rsid w:val="00330129"/>
    <w:pPr>
      <w:ind w:left="227" w:hanging="227"/>
    </w:pPr>
  </w:style>
  <w:style w:type="paragraph" w:customStyle="1" w:styleId="DHHStablecolhead">
    <w:name w:val="DHHS table col head"/>
    <w:uiPriority w:val="99"/>
    <w:qFormat/>
    <w:rsid w:val="00330129"/>
    <w:pPr>
      <w:spacing w:before="80" w:after="60"/>
    </w:pPr>
    <w:rPr>
      <w:rFonts w:ascii="Arial" w:hAnsi="Arial"/>
      <w:b/>
      <w:color w:val="53565A"/>
      <w:lang w:eastAsia="en-US"/>
    </w:rPr>
  </w:style>
  <w:style w:type="paragraph" w:customStyle="1" w:styleId="Healthtablebullet">
    <w:name w:val="Health table bullet"/>
    <w:basedOn w:val="Normal"/>
    <w:qFormat/>
    <w:rsid w:val="00330129"/>
    <w:pPr>
      <w:numPr>
        <w:numId w:val="7"/>
      </w:numPr>
      <w:spacing w:after="40" w:line="220" w:lineRule="atLeast"/>
    </w:pPr>
    <w:rPr>
      <w:rFonts w:eastAsia="MS Mincho"/>
      <w:sz w:val="18"/>
      <w:szCs w:val="24"/>
    </w:rPr>
  </w:style>
  <w:style w:type="paragraph" w:customStyle="1" w:styleId="DHHStablebullet">
    <w:name w:val="DHHS table bullet"/>
    <w:basedOn w:val="DHHStabletext"/>
    <w:uiPriority w:val="3"/>
    <w:qFormat/>
    <w:rsid w:val="00330129"/>
    <w:pPr>
      <w:ind w:left="227" w:hanging="227"/>
    </w:pPr>
  </w:style>
  <w:style w:type="paragraph" w:customStyle="1" w:styleId="DHHSbullet1">
    <w:name w:val="DHHS bullet 1"/>
    <w:basedOn w:val="DHHSbody"/>
    <w:qFormat/>
    <w:rsid w:val="00CF3424"/>
    <w:pPr>
      <w:spacing w:after="40"/>
      <w:ind w:left="284" w:hanging="284"/>
    </w:pPr>
  </w:style>
  <w:style w:type="paragraph" w:customStyle="1" w:styleId="DHHSbullet2">
    <w:name w:val="DHHS bullet 2"/>
    <w:basedOn w:val="DHHSbody"/>
    <w:uiPriority w:val="2"/>
    <w:qFormat/>
    <w:rsid w:val="00CF3424"/>
    <w:pPr>
      <w:spacing w:after="40"/>
      <w:ind w:left="567" w:hanging="283"/>
    </w:pPr>
  </w:style>
  <w:style w:type="paragraph" w:customStyle="1" w:styleId="DHHSnumberlowerroman">
    <w:name w:val="DHHS number lower roman"/>
    <w:basedOn w:val="DHHSbody"/>
    <w:uiPriority w:val="3"/>
    <w:rsid w:val="00CF3424"/>
    <w:pPr>
      <w:tabs>
        <w:tab w:val="num" w:pos="397"/>
      </w:tabs>
      <w:ind w:left="397" w:hanging="397"/>
    </w:pPr>
  </w:style>
  <w:style w:type="paragraph" w:customStyle="1" w:styleId="DHHSnumberlowerromanindent">
    <w:name w:val="DHHS number lower roman indent"/>
    <w:basedOn w:val="DHHSbody"/>
    <w:uiPriority w:val="3"/>
    <w:rsid w:val="00CF3424"/>
    <w:pPr>
      <w:tabs>
        <w:tab w:val="num" w:pos="794"/>
      </w:tabs>
      <w:ind w:left="794" w:hanging="397"/>
    </w:pPr>
  </w:style>
  <w:style w:type="character" w:customStyle="1" w:styleId="FooterChar">
    <w:name w:val="Footer Char"/>
    <w:basedOn w:val="DefaultParagraphFont"/>
    <w:link w:val="Footer"/>
    <w:uiPriority w:val="99"/>
    <w:rsid w:val="00174435"/>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60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5437005">
      <w:bodyDiv w:val="1"/>
      <w:marLeft w:val="0"/>
      <w:marRight w:val="0"/>
      <w:marTop w:val="0"/>
      <w:marBottom w:val="0"/>
      <w:divBdr>
        <w:top w:val="none" w:sz="0" w:space="0" w:color="auto"/>
        <w:left w:val="none" w:sz="0" w:space="0" w:color="auto"/>
        <w:bottom w:val="none" w:sz="0" w:space="0" w:color="auto"/>
        <w:right w:val="none" w:sz="0" w:space="0" w:color="auto"/>
      </w:divBdr>
      <w:divsChild>
        <w:div w:id="108282170">
          <w:marLeft w:val="0"/>
          <w:marRight w:val="0"/>
          <w:marTop w:val="0"/>
          <w:marBottom w:val="0"/>
          <w:divBdr>
            <w:top w:val="none" w:sz="0" w:space="0" w:color="auto"/>
            <w:left w:val="none" w:sz="0" w:space="0" w:color="auto"/>
            <w:bottom w:val="none" w:sz="0" w:space="0" w:color="auto"/>
            <w:right w:val="none" w:sz="0" w:space="0" w:color="auto"/>
          </w:divBdr>
          <w:divsChild>
            <w:div w:id="1522471327">
              <w:marLeft w:val="0"/>
              <w:marRight w:val="0"/>
              <w:marTop w:val="0"/>
              <w:marBottom w:val="0"/>
              <w:divBdr>
                <w:top w:val="none" w:sz="0" w:space="0" w:color="auto"/>
                <w:left w:val="none" w:sz="0" w:space="0" w:color="auto"/>
                <w:bottom w:val="none" w:sz="0" w:space="0" w:color="auto"/>
                <w:right w:val="none" w:sz="0" w:space="0" w:color="auto"/>
              </w:divBdr>
            </w:div>
          </w:divsChild>
        </w:div>
        <w:div w:id="133451277">
          <w:marLeft w:val="0"/>
          <w:marRight w:val="0"/>
          <w:marTop w:val="0"/>
          <w:marBottom w:val="0"/>
          <w:divBdr>
            <w:top w:val="none" w:sz="0" w:space="0" w:color="auto"/>
            <w:left w:val="none" w:sz="0" w:space="0" w:color="auto"/>
            <w:bottom w:val="none" w:sz="0" w:space="0" w:color="auto"/>
            <w:right w:val="none" w:sz="0" w:space="0" w:color="auto"/>
          </w:divBdr>
          <w:divsChild>
            <w:div w:id="2001345988">
              <w:marLeft w:val="0"/>
              <w:marRight w:val="0"/>
              <w:marTop w:val="0"/>
              <w:marBottom w:val="0"/>
              <w:divBdr>
                <w:top w:val="none" w:sz="0" w:space="0" w:color="auto"/>
                <w:left w:val="none" w:sz="0" w:space="0" w:color="auto"/>
                <w:bottom w:val="none" w:sz="0" w:space="0" w:color="auto"/>
                <w:right w:val="none" w:sz="0" w:space="0" w:color="auto"/>
              </w:divBdr>
            </w:div>
          </w:divsChild>
        </w:div>
        <w:div w:id="145054470">
          <w:marLeft w:val="0"/>
          <w:marRight w:val="0"/>
          <w:marTop w:val="0"/>
          <w:marBottom w:val="0"/>
          <w:divBdr>
            <w:top w:val="none" w:sz="0" w:space="0" w:color="auto"/>
            <w:left w:val="none" w:sz="0" w:space="0" w:color="auto"/>
            <w:bottom w:val="none" w:sz="0" w:space="0" w:color="auto"/>
            <w:right w:val="none" w:sz="0" w:space="0" w:color="auto"/>
          </w:divBdr>
          <w:divsChild>
            <w:div w:id="304242198">
              <w:marLeft w:val="0"/>
              <w:marRight w:val="0"/>
              <w:marTop w:val="0"/>
              <w:marBottom w:val="0"/>
              <w:divBdr>
                <w:top w:val="none" w:sz="0" w:space="0" w:color="auto"/>
                <w:left w:val="none" w:sz="0" w:space="0" w:color="auto"/>
                <w:bottom w:val="none" w:sz="0" w:space="0" w:color="auto"/>
                <w:right w:val="none" w:sz="0" w:space="0" w:color="auto"/>
              </w:divBdr>
            </w:div>
          </w:divsChild>
        </w:div>
        <w:div w:id="156920778">
          <w:marLeft w:val="0"/>
          <w:marRight w:val="0"/>
          <w:marTop w:val="0"/>
          <w:marBottom w:val="0"/>
          <w:divBdr>
            <w:top w:val="none" w:sz="0" w:space="0" w:color="auto"/>
            <w:left w:val="none" w:sz="0" w:space="0" w:color="auto"/>
            <w:bottom w:val="none" w:sz="0" w:space="0" w:color="auto"/>
            <w:right w:val="none" w:sz="0" w:space="0" w:color="auto"/>
          </w:divBdr>
          <w:divsChild>
            <w:div w:id="868487396">
              <w:marLeft w:val="0"/>
              <w:marRight w:val="0"/>
              <w:marTop w:val="0"/>
              <w:marBottom w:val="0"/>
              <w:divBdr>
                <w:top w:val="none" w:sz="0" w:space="0" w:color="auto"/>
                <w:left w:val="none" w:sz="0" w:space="0" w:color="auto"/>
                <w:bottom w:val="none" w:sz="0" w:space="0" w:color="auto"/>
                <w:right w:val="none" w:sz="0" w:space="0" w:color="auto"/>
              </w:divBdr>
            </w:div>
          </w:divsChild>
        </w:div>
        <w:div w:id="197011207">
          <w:marLeft w:val="0"/>
          <w:marRight w:val="0"/>
          <w:marTop w:val="0"/>
          <w:marBottom w:val="0"/>
          <w:divBdr>
            <w:top w:val="none" w:sz="0" w:space="0" w:color="auto"/>
            <w:left w:val="none" w:sz="0" w:space="0" w:color="auto"/>
            <w:bottom w:val="none" w:sz="0" w:space="0" w:color="auto"/>
            <w:right w:val="none" w:sz="0" w:space="0" w:color="auto"/>
          </w:divBdr>
          <w:divsChild>
            <w:div w:id="521091670">
              <w:marLeft w:val="0"/>
              <w:marRight w:val="0"/>
              <w:marTop w:val="0"/>
              <w:marBottom w:val="0"/>
              <w:divBdr>
                <w:top w:val="none" w:sz="0" w:space="0" w:color="auto"/>
                <w:left w:val="none" w:sz="0" w:space="0" w:color="auto"/>
                <w:bottom w:val="none" w:sz="0" w:space="0" w:color="auto"/>
                <w:right w:val="none" w:sz="0" w:space="0" w:color="auto"/>
              </w:divBdr>
            </w:div>
          </w:divsChild>
        </w:div>
        <w:div w:id="243148033">
          <w:marLeft w:val="0"/>
          <w:marRight w:val="0"/>
          <w:marTop w:val="0"/>
          <w:marBottom w:val="0"/>
          <w:divBdr>
            <w:top w:val="none" w:sz="0" w:space="0" w:color="auto"/>
            <w:left w:val="none" w:sz="0" w:space="0" w:color="auto"/>
            <w:bottom w:val="none" w:sz="0" w:space="0" w:color="auto"/>
            <w:right w:val="none" w:sz="0" w:space="0" w:color="auto"/>
          </w:divBdr>
          <w:divsChild>
            <w:div w:id="154495838">
              <w:marLeft w:val="0"/>
              <w:marRight w:val="0"/>
              <w:marTop w:val="0"/>
              <w:marBottom w:val="0"/>
              <w:divBdr>
                <w:top w:val="none" w:sz="0" w:space="0" w:color="auto"/>
                <w:left w:val="none" w:sz="0" w:space="0" w:color="auto"/>
                <w:bottom w:val="none" w:sz="0" w:space="0" w:color="auto"/>
                <w:right w:val="none" w:sz="0" w:space="0" w:color="auto"/>
              </w:divBdr>
            </w:div>
          </w:divsChild>
        </w:div>
        <w:div w:id="312568902">
          <w:marLeft w:val="0"/>
          <w:marRight w:val="0"/>
          <w:marTop w:val="0"/>
          <w:marBottom w:val="0"/>
          <w:divBdr>
            <w:top w:val="none" w:sz="0" w:space="0" w:color="auto"/>
            <w:left w:val="none" w:sz="0" w:space="0" w:color="auto"/>
            <w:bottom w:val="none" w:sz="0" w:space="0" w:color="auto"/>
            <w:right w:val="none" w:sz="0" w:space="0" w:color="auto"/>
          </w:divBdr>
          <w:divsChild>
            <w:div w:id="252009966">
              <w:marLeft w:val="0"/>
              <w:marRight w:val="0"/>
              <w:marTop w:val="0"/>
              <w:marBottom w:val="0"/>
              <w:divBdr>
                <w:top w:val="none" w:sz="0" w:space="0" w:color="auto"/>
                <w:left w:val="none" w:sz="0" w:space="0" w:color="auto"/>
                <w:bottom w:val="none" w:sz="0" w:space="0" w:color="auto"/>
                <w:right w:val="none" w:sz="0" w:space="0" w:color="auto"/>
              </w:divBdr>
            </w:div>
          </w:divsChild>
        </w:div>
        <w:div w:id="456097182">
          <w:marLeft w:val="0"/>
          <w:marRight w:val="0"/>
          <w:marTop w:val="0"/>
          <w:marBottom w:val="0"/>
          <w:divBdr>
            <w:top w:val="none" w:sz="0" w:space="0" w:color="auto"/>
            <w:left w:val="none" w:sz="0" w:space="0" w:color="auto"/>
            <w:bottom w:val="none" w:sz="0" w:space="0" w:color="auto"/>
            <w:right w:val="none" w:sz="0" w:space="0" w:color="auto"/>
          </w:divBdr>
          <w:divsChild>
            <w:div w:id="1680890577">
              <w:marLeft w:val="0"/>
              <w:marRight w:val="0"/>
              <w:marTop w:val="0"/>
              <w:marBottom w:val="0"/>
              <w:divBdr>
                <w:top w:val="none" w:sz="0" w:space="0" w:color="auto"/>
                <w:left w:val="none" w:sz="0" w:space="0" w:color="auto"/>
                <w:bottom w:val="none" w:sz="0" w:space="0" w:color="auto"/>
                <w:right w:val="none" w:sz="0" w:space="0" w:color="auto"/>
              </w:divBdr>
            </w:div>
          </w:divsChild>
        </w:div>
        <w:div w:id="476069846">
          <w:marLeft w:val="0"/>
          <w:marRight w:val="0"/>
          <w:marTop w:val="0"/>
          <w:marBottom w:val="0"/>
          <w:divBdr>
            <w:top w:val="none" w:sz="0" w:space="0" w:color="auto"/>
            <w:left w:val="none" w:sz="0" w:space="0" w:color="auto"/>
            <w:bottom w:val="none" w:sz="0" w:space="0" w:color="auto"/>
            <w:right w:val="none" w:sz="0" w:space="0" w:color="auto"/>
          </w:divBdr>
          <w:divsChild>
            <w:div w:id="1849171964">
              <w:marLeft w:val="0"/>
              <w:marRight w:val="0"/>
              <w:marTop w:val="0"/>
              <w:marBottom w:val="0"/>
              <w:divBdr>
                <w:top w:val="none" w:sz="0" w:space="0" w:color="auto"/>
                <w:left w:val="none" w:sz="0" w:space="0" w:color="auto"/>
                <w:bottom w:val="none" w:sz="0" w:space="0" w:color="auto"/>
                <w:right w:val="none" w:sz="0" w:space="0" w:color="auto"/>
              </w:divBdr>
            </w:div>
          </w:divsChild>
        </w:div>
        <w:div w:id="526409480">
          <w:marLeft w:val="0"/>
          <w:marRight w:val="0"/>
          <w:marTop w:val="0"/>
          <w:marBottom w:val="0"/>
          <w:divBdr>
            <w:top w:val="none" w:sz="0" w:space="0" w:color="auto"/>
            <w:left w:val="none" w:sz="0" w:space="0" w:color="auto"/>
            <w:bottom w:val="none" w:sz="0" w:space="0" w:color="auto"/>
            <w:right w:val="none" w:sz="0" w:space="0" w:color="auto"/>
          </w:divBdr>
          <w:divsChild>
            <w:div w:id="1465923128">
              <w:marLeft w:val="0"/>
              <w:marRight w:val="0"/>
              <w:marTop w:val="0"/>
              <w:marBottom w:val="0"/>
              <w:divBdr>
                <w:top w:val="none" w:sz="0" w:space="0" w:color="auto"/>
                <w:left w:val="none" w:sz="0" w:space="0" w:color="auto"/>
                <w:bottom w:val="none" w:sz="0" w:space="0" w:color="auto"/>
                <w:right w:val="none" w:sz="0" w:space="0" w:color="auto"/>
              </w:divBdr>
            </w:div>
          </w:divsChild>
        </w:div>
        <w:div w:id="681054582">
          <w:marLeft w:val="0"/>
          <w:marRight w:val="0"/>
          <w:marTop w:val="0"/>
          <w:marBottom w:val="0"/>
          <w:divBdr>
            <w:top w:val="none" w:sz="0" w:space="0" w:color="auto"/>
            <w:left w:val="none" w:sz="0" w:space="0" w:color="auto"/>
            <w:bottom w:val="none" w:sz="0" w:space="0" w:color="auto"/>
            <w:right w:val="none" w:sz="0" w:space="0" w:color="auto"/>
          </w:divBdr>
          <w:divsChild>
            <w:div w:id="1280914824">
              <w:marLeft w:val="0"/>
              <w:marRight w:val="0"/>
              <w:marTop w:val="0"/>
              <w:marBottom w:val="0"/>
              <w:divBdr>
                <w:top w:val="none" w:sz="0" w:space="0" w:color="auto"/>
                <w:left w:val="none" w:sz="0" w:space="0" w:color="auto"/>
                <w:bottom w:val="none" w:sz="0" w:space="0" w:color="auto"/>
                <w:right w:val="none" w:sz="0" w:space="0" w:color="auto"/>
              </w:divBdr>
            </w:div>
          </w:divsChild>
        </w:div>
        <w:div w:id="691419070">
          <w:marLeft w:val="0"/>
          <w:marRight w:val="0"/>
          <w:marTop w:val="0"/>
          <w:marBottom w:val="0"/>
          <w:divBdr>
            <w:top w:val="none" w:sz="0" w:space="0" w:color="auto"/>
            <w:left w:val="none" w:sz="0" w:space="0" w:color="auto"/>
            <w:bottom w:val="none" w:sz="0" w:space="0" w:color="auto"/>
            <w:right w:val="none" w:sz="0" w:space="0" w:color="auto"/>
          </w:divBdr>
          <w:divsChild>
            <w:div w:id="1063600497">
              <w:marLeft w:val="0"/>
              <w:marRight w:val="0"/>
              <w:marTop w:val="0"/>
              <w:marBottom w:val="0"/>
              <w:divBdr>
                <w:top w:val="none" w:sz="0" w:space="0" w:color="auto"/>
                <w:left w:val="none" w:sz="0" w:space="0" w:color="auto"/>
                <w:bottom w:val="none" w:sz="0" w:space="0" w:color="auto"/>
                <w:right w:val="none" w:sz="0" w:space="0" w:color="auto"/>
              </w:divBdr>
            </w:div>
          </w:divsChild>
        </w:div>
        <w:div w:id="708409212">
          <w:marLeft w:val="0"/>
          <w:marRight w:val="0"/>
          <w:marTop w:val="0"/>
          <w:marBottom w:val="0"/>
          <w:divBdr>
            <w:top w:val="none" w:sz="0" w:space="0" w:color="auto"/>
            <w:left w:val="none" w:sz="0" w:space="0" w:color="auto"/>
            <w:bottom w:val="none" w:sz="0" w:space="0" w:color="auto"/>
            <w:right w:val="none" w:sz="0" w:space="0" w:color="auto"/>
          </w:divBdr>
          <w:divsChild>
            <w:div w:id="557400620">
              <w:marLeft w:val="0"/>
              <w:marRight w:val="0"/>
              <w:marTop w:val="0"/>
              <w:marBottom w:val="0"/>
              <w:divBdr>
                <w:top w:val="none" w:sz="0" w:space="0" w:color="auto"/>
                <w:left w:val="none" w:sz="0" w:space="0" w:color="auto"/>
                <w:bottom w:val="none" w:sz="0" w:space="0" w:color="auto"/>
                <w:right w:val="none" w:sz="0" w:space="0" w:color="auto"/>
              </w:divBdr>
            </w:div>
          </w:divsChild>
        </w:div>
        <w:div w:id="709763971">
          <w:marLeft w:val="0"/>
          <w:marRight w:val="0"/>
          <w:marTop w:val="0"/>
          <w:marBottom w:val="0"/>
          <w:divBdr>
            <w:top w:val="none" w:sz="0" w:space="0" w:color="auto"/>
            <w:left w:val="none" w:sz="0" w:space="0" w:color="auto"/>
            <w:bottom w:val="none" w:sz="0" w:space="0" w:color="auto"/>
            <w:right w:val="none" w:sz="0" w:space="0" w:color="auto"/>
          </w:divBdr>
          <w:divsChild>
            <w:div w:id="391316545">
              <w:marLeft w:val="0"/>
              <w:marRight w:val="0"/>
              <w:marTop w:val="0"/>
              <w:marBottom w:val="0"/>
              <w:divBdr>
                <w:top w:val="none" w:sz="0" w:space="0" w:color="auto"/>
                <w:left w:val="none" w:sz="0" w:space="0" w:color="auto"/>
                <w:bottom w:val="none" w:sz="0" w:space="0" w:color="auto"/>
                <w:right w:val="none" w:sz="0" w:space="0" w:color="auto"/>
              </w:divBdr>
            </w:div>
          </w:divsChild>
        </w:div>
        <w:div w:id="723915305">
          <w:marLeft w:val="0"/>
          <w:marRight w:val="0"/>
          <w:marTop w:val="0"/>
          <w:marBottom w:val="0"/>
          <w:divBdr>
            <w:top w:val="none" w:sz="0" w:space="0" w:color="auto"/>
            <w:left w:val="none" w:sz="0" w:space="0" w:color="auto"/>
            <w:bottom w:val="none" w:sz="0" w:space="0" w:color="auto"/>
            <w:right w:val="none" w:sz="0" w:space="0" w:color="auto"/>
          </w:divBdr>
          <w:divsChild>
            <w:div w:id="1121270312">
              <w:marLeft w:val="0"/>
              <w:marRight w:val="0"/>
              <w:marTop w:val="0"/>
              <w:marBottom w:val="0"/>
              <w:divBdr>
                <w:top w:val="none" w:sz="0" w:space="0" w:color="auto"/>
                <w:left w:val="none" w:sz="0" w:space="0" w:color="auto"/>
                <w:bottom w:val="none" w:sz="0" w:space="0" w:color="auto"/>
                <w:right w:val="none" w:sz="0" w:space="0" w:color="auto"/>
              </w:divBdr>
            </w:div>
          </w:divsChild>
        </w:div>
        <w:div w:id="756638879">
          <w:marLeft w:val="0"/>
          <w:marRight w:val="0"/>
          <w:marTop w:val="0"/>
          <w:marBottom w:val="0"/>
          <w:divBdr>
            <w:top w:val="none" w:sz="0" w:space="0" w:color="auto"/>
            <w:left w:val="none" w:sz="0" w:space="0" w:color="auto"/>
            <w:bottom w:val="none" w:sz="0" w:space="0" w:color="auto"/>
            <w:right w:val="none" w:sz="0" w:space="0" w:color="auto"/>
          </w:divBdr>
          <w:divsChild>
            <w:div w:id="1342656876">
              <w:marLeft w:val="0"/>
              <w:marRight w:val="0"/>
              <w:marTop w:val="0"/>
              <w:marBottom w:val="0"/>
              <w:divBdr>
                <w:top w:val="none" w:sz="0" w:space="0" w:color="auto"/>
                <w:left w:val="none" w:sz="0" w:space="0" w:color="auto"/>
                <w:bottom w:val="none" w:sz="0" w:space="0" w:color="auto"/>
                <w:right w:val="none" w:sz="0" w:space="0" w:color="auto"/>
              </w:divBdr>
            </w:div>
          </w:divsChild>
        </w:div>
        <w:div w:id="865941856">
          <w:marLeft w:val="0"/>
          <w:marRight w:val="0"/>
          <w:marTop w:val="0"/>
          <w:marBottom w:val="0"/>
          <w:divBdr>
            <w:top w:val="none" w:sz="0" w:space="0" w:color="auto"/>
            <w:left w:val="none" w:sz="0" w:space="0" w:color="auto"/>
            <w:bottom w:val="none" w:sz="0" w:space="0" w:color="auto"/>
            <w:right w:val="none" w:sz="0" w:space="0" w:color="auto"/>
          </w:divBdr>
          <w:divsChild>
            <w:div w:id="975260582">
              <w:marLeft w:val="0"/>
              <w:marRight w:val="0"/>
              <w:marTop w:val="0"/>
              <w:marBottom w:val="0"/>
              <w:divBdr>
                <w:top w:val="none" w:sz="0" w:space="0" w:color="auto"/>
                <w:left w:val="none" w:sz="0" w:space="0" w:color="auto"/>
                <w:bottom w:val="none" w:sz="0" w:space="0" w:color="auto"/>
                <w:right w:val="none" w:sz="0" w:space="0" w:color="auto"/>
              </w:divBdr>
            </w:div>
          </w:divsChild>
        </w:div>
        <w:div w:id="888103957">
          <w:marLeft w:val="0"/>
          <w:marRight w:val="0"/>
          <w:marTop w:val="0"/>
          <w:marBottom w:val="0"/>
          <w:divBdr>
            <w:top w:val="none" w:sz="0" w:space="0" w:color="auto"/>
            <w:left w:val="none" w:sz="0" w:space="0" w:color="auto"/>
            <w:bottom w:val="none" w:sz="0" w:space="0" w:color="auto"/>
            <w:right w:val="none" w:sz="0" w:space="0" w:color="auto"/>
          </w:divBdr>
          <w:divsChild>
            <w:div w:id="1795830182">
              <w:marLeft w:val="0"/>
              <w:marRight w:val="0"/>
              <w:marTop w:val="0"/>
              <w:marBottom w:val="0"/>
              <w:divBdr>
                <w:top w:val="none" w:sz="0" w:space="0" w:color="auto"/>
                <w:left w:val="none" w:sz="0" w:space="0" w:color="auto"/>
                <w:bottom w:val="none" w:sz="0" w:space="0" w:color="auto"/>
                <w:right w:val="none" w:sz="0" w:space="0" w:color="auto"/>
              </w:divBdr>
            </w:div>
          </w:divsChild>
        </w:div>
        <w:div w:id="940796354">
          <w:marLeft w:val="0"/>
          <w:marRight w:val="0"/>
          <w:marTop w:val="0"/>
          <w:marBottom w:val="0"/>
          <w:divBdr>
            <w:top w:val="none" w:sz="0" w:space="0" w:color="auto"/>
            <w:left w:val="none" w:sz="0" w:space="0" w:color="auto"/>
            <w:bottom w:val="none" w:sz="0" w:space="0" w:color="auto"/>
            <w:right w:val="none" w:sz="0" w:space="0" w:color="auto"/>
          </w:divBdr>
          <w:divsChild>
            <w:div w:id="1553689415">
              <w:marLeft w:val="0"/>
              <w:marRight w:val="0"/>
              <w:marTop w:val="0"/>
              <w:marBottom w:val="0"/>
              <w:divBdr>
                <w:top w:val="none" w:sz="0" w:space="0" w:color="auto"/>
                <w:left w:val="none" w:sz="0" w:space="0" w:color="auto"/>
                <w:bottom w:val="none" w:sz="0" w:space="0" w:color="auto"/>
                <w:right w:val="none" w:sz="0" w:space="0" w:color="auto"/>
              </w:divBdr>
            </w:div>
          </w:divsChild>
        </w:div>
        <w:div w:id="969896452">
          <w:marLeft w:val="0"/>
          <w:marRight w:val="0"/>
          <w:marTop w:val="0"/>
          <w:marBottom w:val="0"/>
          <w:divBdr>
            <w:top w:val="none" w:sz="0" w:space="0" w:color="auto"/>
            <w:left w:val="none" w:sz="0" w:space="0" w:color="auto"/>
            <w:bottom w:val="none" w:sz="0" w:space="0" w:color="auto"/>
            <w:right w:val="none" w:sz="0" w:space="0" w:color="auto"/>
          </w:divBdr>
          <w:divsChild>
            <w:div w:id="286087773">
              <w:marLeft w:val="0"/>
              <w:marRight w:val="0"/>
              <w:marTop w:val="0"/>
              <w:marBottom w:val="0"/>
              <w:divBdr>
                <w:top w:val="none" w:sz="0" w:space="0" w:color="auto"/>
                <w:left w:val="none" w:sz="0" w:space="0" w:color="auto"/>
                <w:bottom w:val="none" w:sz="0" w:space="0" w:color="auto"/>
                <w:right w:val="none" w:sz="0" w:space="0" w:color="auto"/>
              </w:divBdr>
            </w:div>
          </w:divsChild>
        </w:div>
        <w:div w:id="987053811">
          <w:marLeft w:val="0"/>
          <w:marRight w:val="0"/>
          <w:marTop w:val="0"/>
          <w:marBottom w:val="0"/>
          <w:divBdr>
            <w:top w:val="none" w:sz="0" w:space="0" w:color="auto"/>
            <w:left w:val="none" w:sz="0" w:space="0" w:color="auto"/>
            <w:bottom w:val="none" w:sz="0" w:space="0" w:color="auto"/>
            <w:right w:val="none" w:sz="0" w:space="0" w:color="auto"/>
          </w:divBdr>
          <w:divsChild>
            <w:div w:id="411246052">
              <w:marLeft w:val="0"/>
              <w:marRight w:val="0"/>
              <w:marTop w:val="0"/>
              <w:marBottom w:val="0"/>
              <w:divBdr>
                <w:top w:val="none" w:sz="0" w:space="0" w:color="auto"/>
                <w:left w:val="none" w:sz="0" w:space="0" w:color="auto"/>
                <w:bottom w:val="none" w:sz="0" w:space="0" w:color="auto"/>
                <w:right w:val="none" w:sz="0" w:space="0" w:color="auto"/>
              </w:divBdr>
            </w:div>
          </w:divsChild>
        </w:div>
        <w:div w:id="1037049438">
          <w:marLeft w:val="0"/>
          <w:marRight w:val="0"/>
          <w:marTop w:val="0"/>
          <w:marBottom w:val="0"/>
          <w:divBdr>
            <w:top w:val="none" w:sz="0" w:space="0" w:color="auto"/>
            <w:left w:val="none" w:sz="0" w:space="0" w:color="auto"/>
            <w:bottom w:val="none" w:sz="0" w:space="0" w:color="auto"/>
            <w:right w:val="none" w:sz="0" w:space="0" w:color="auto"/>
          </w:divBdr>
          <w:divsChild>
            <w:div w:id="177165062">
              <w:marLeft w:val="0"/>
              <w:marRight w:val="0"/>
              <w:marTop w:val="0"/>
              <w:marBottom w:val="0"/>
              <w:divBdr>
                <w:top w:val="none" w:sz="0" w:space="0" w:color="auto"/>
                <w:left w:val="none" w:sz="0" w:space="0" w:color="auto"/>
                <w:bottom w:val="none" w:sz="0" w:space="0" w:color="auto"/>
                <w:right w:val="none" w:sz="0" w:space="0" w:color="auto"/>
              </w:divBdr>
            </w:div>
          </w:divsChild>
        </w:div>
        <w:div w:id="1149982306">
          <w:marLeft w:val="0"/>
          <w:marRight w:val="0"/>
          <w:marTop w:val="0"/>
          <w:marBottom w:val="0"/>
          <w:divBdr>
            <w:top w:val="none" w:sz="0" w:space="0" w:color="auto"/>
            <w:left w:val="none" w:sz="0" w:space="0" w:color="auto"/>
            <w:bottom w:val="none" w:sz="0" w:space="0" w:color="auto"/>
            <w:right w:val="none" w:sz="0" w:space="0" w:color="auto"/>
          </w:divBdr>
          <w:divsChild>
            <w:div w:id="210456673">
              <w:marLeft w:val="0"/>
              <w:marRight w:val="0"/>
              <w:marTop w:val="0"/>
              <w:marBottom w:val="0"/>
              <w:divBdr>
                <w:top w:val="none" w:sz="0" w:space="0" w:color="auto"/>
                <w:left w:val="none" w:sz="0" w:space="0" w:color="auto"/>
                <w:bottom w:val="none" w:sz="0" w:space="0" w:color="auto"/>
                <w:right w:val="none" w:sz="0" w:space="0" w:color="auto"/>
              </w:divBdr>
            </w:div>
          </w:divsChild>
        </w:div>
        <w:div w:id="1209881289">
          <w:marLeft w:val="0"/>
          <w:marRight w:val="0"/>
          <w:marTop w:val="0"/>
          <w:marBottom w:val="0"/>
          <w:divBdr>
            <w:top w:val="none" w:sz="0" w:space="0" w:color="auto"/>
            <w:left w:val="none" w:sz="0" w:space="0" w:color="auto"/>
            <w:bottom w:val="none" w:sz="0" w:space="0" w:color="auto"/>
            <w:right w:val="none" w:sz="0" w:space="0" w:color="auto"/>
          </w:divBdr>
          <w:divsChild>
            <w:div w:id="2143307793">
              <w:marLeft w:val="0"/>
              <w:marRight w:val="0"/>
              <w:marTop w:val="0"/>
              <w:marBottom w:val="0"/>
              <w:divBdr>
                <w:top w:val="none" w:sz="0" w:space="0" w:color="auto"/>
                <w:left w:val="none" w:sz="0" w:space="0" w:color="auto"/>
                <w:bottom w:val="none" w:sz="0" w:space="0" w:color="auto"/>
                <w:right w:val="none" w:sz="0" w:space="0" w:color="auto"/>
              </w:divBdr>
            </w:div>
          </w:divsChild>
        </w:div>
        <w:div w:id="1272468553">
          <w:marLeft w:val="0"/>
          <w:marRight w:val="0"/>
          <w:marTop w:val="0"/>
          <w:marBottom w:val="0"/>
          <w:divBdr>
            <w:top w:val="none" w:sz="0" w:space="0" w:color="auto"/>
            <w:left w:val="none" w:sz="0" w:space="0" w:color="auto"/>
            <w:bottom w:val="none" w:sz="0" w:space="0" w:color="auto"/>
            <w:right w:val="none" w:sz="0" w:space="0" w:color="auto"/>
          </w:divBdr>
          <w:divsChild>
            <w:div w:id="631910165">
              <w:marLeft w:val="0"/>
              <w:marRight w:val="0"/>
              <w:marTop w:val="0"/>
              <w:marBottom w:val="0"/>
              <w:divBdr>
                <w:top w:val="none" w:sz="0" w:space="0" w:color="auto"/>
                <w:left w:val="none" w:sz="0" w:space="0" w:color="auto"/>
                <w:bottom w:val="none" w:sz="0" w:space="0" w:color="auto"/>
                <w:right w:val="none" w:sz="0" w:space="0" w:color="auto"/>
              </w:divBdr>
            </w:div>
          </w:divsChild>
        </w:div>
        <w:div w:id="1317607956">
          <w:marLeft w:val="0"/>
          <w:marRight w:val="0"/>
          <w:marTop w:val="0"/>
          <w:marBottom w:val="0"/>
          <w:divBdr>
            <w:top w:val="none" w:sz="0" w:space="0" w:color="auto"/>
            <w:left w:val="none" w:sz="0" w:space="0" w:color="auto"/>
            <w:bottom w:val="none" w:sz="0" w:space="0" w:color="auto"/>
            <w:right w:val="none" w:sz="0" w:space="0" w:color="auto"/>
          </w:divBdr>
          <w:divsChild>
            <w:div w:id="1859345927">
              <w:marLeft w:val="0"/>
              <w:marRight w:val="0"/>
              <w:marTop w:val="0"/>
              <w:marBottom w:val="0"/>
              <w:divBdr>
                <w:top w:val="none" w:sz="0" w:space="0" w:color="auto"/>
                <w:left w:val="none" w:sz="0" w:space="0" w:color="auto"/>
                <w:bottom w:val="none" w:sz="0" w:space="0" w:color="auto"/>
                <w:right w:val="none" w:sz="0" w:space="0" w:color="auto"/>
              </w:divBdr>
            </w:div>
          </w:divsChild>
        </w:div>
        <w:div w:id="1345395588">
          <w:marLeft w:val="0"/>
          <w:marRight w:val="0"/>
          <w:marTop w:val="0"/>
          <w:marBottom w:val="0"/>
          <w:divBdr>
            <w:top w:val="none" w:sz="0" w:space="0" w:color="auto"/>
            <w:left w:val="none" w:sz="0" w:space="0" w:color="auto"/>
            <w:bottom w:val="none" w:sz="0" w:space="0" w:color="auto"/>
            <w:right w:val="none" w:sz="0" w:space="0" w:color="auto"/>
          </w:divBdr>
          <w:divsChild>
            <w:div w:id="650137814">
              <w:marLeft w:val="0"/>
              <w:marRight w:val="0"/>
              <w:marTop w:val="0"/>
              <w:marBottom w:val="0"/>
              <w:divBdr>
                <w:top w:val="none" w:sz="0" w:space="0" w:color="auto"/>
                <w:left w:val="none" w:sz="0" w:space="0" w:color="auto"/>
                <w:bottom w:val="none" w:sz="0" w:space="0" w:color="auto"/>
                <w:right w:val="none" w:sz="0" w:space="0" w:color="auto"/>
              </w:divBdr>
            </w:div>
          </w:divsChild>
        </w:div>
        <w:div w:id="1360666157">
          <w:marLeft w:val="0"/>
          <w:marRight w:val="0"/>
          <w:marTop w:val="0"/>
          <w:marBottom w:val="0"/>
          <w:divBdr>
            <w:top w:val="none" w:sz="0" w:space="0" w:color="auto"/>
            <w:left w:val="none" w:sz="0" w:space="0" w:color="auto"/>
            <w:bottom w:val="none" w:sz="0" w:space="0" w:color="auto"/>
            <w:right w:val="none" w:sz="0" w:space="0" w:color="auto"/>
          </w:divBdr>
          <w:divsChild>
            <w:div w:id="216094788">
              <w:marLeft w:val="0"/>
              <w:marRight w:val="0"/>
              <w:marTop w:val="0"/>
              <w:marBottom w:val="0"/>
              <w:divBdr>
                <w:top w:val="none" w:sz="0" w:space="0" w:color="auto"/>
                <w:left w:val="none" w:sz="0" w:space="0" w:color="auto"/>
                <w:bottom w:val="none" w:sz="0" w:space="0" w:color="auto"/>
                <w:right w:val="none" w:sz="0" w:space="0" w:color="auto"/>
              </w:divBdr>
            </w:div>
          </w:divsChild>
        </w:div>
        <w:div w:id="1797719678">
          <w:marLeft w:val="0"/>
          <w:marRight w:val="0"/>
          <w:marTop w:val="0"/>
          <w:marBottom w:val="0"/>
          <w:divBdr>
            <w:top w:val="none" w:sz="0" w:space="0" w:color="auto"/>
            <w:left w:val="none" w:sz="0" w:space="0" w:color="auto"/>
            <w:bottom w:val="none" w:sz="0" w:space="0" w:color="auto"/>
            <w:right w:val="none" w:sz="0" w:space="0" w:color="auto"/>
          </w:divBdr>
          <w:divsChild>
            <w:div w:id="1142648963">
              <w:marLeft w:val="0"/>
              <w:marRight w:val="0"/>
              <w:marTop w:val="0"/>
              <w:marBottom w:val="0"/>
              <w:divBdr>
                <w:top w:val="none" w:sz="0" w:space="0" w:color="auto"/>
                <w:left w:val="none" w:sz="0" w:space="0" w:color="auto"/>
                <w:bottom w:val="none" w:sz="0" w:space="0" w:color="auto"/>
                <w:right w:val="none" w:sz="0" w:space="0" w:color="auto"/>
              </w:divBdr>
            </w:div>
          </w:divsChild>
        </w:div>
        <w:div w:id="1959987006">
          <w:marLeft w:val="0"/>
          <w:marRight w:val="0"/>
          <w:marTop w:val="0"/>
          <w:marBottom w:val="0"/>
          <w:divBdr>
            <w:top w:val="none" w:sz="0" w:space="0" w:color="auto"/>
            <w:left w:val="none" w:sz="0" w:space="0" w:color="auto"/>
            <w:bottom w:val="none" w:sz="0" w:space="0" w:color="auto"/>
            <w:right w:val="none" w:sz="0" w:space="0" w:color="auto"/>
          </w:divBdr>
          <w:divsChild>
            <w:div w:id="720439960">
              <w:marLeft w:val="0"/>
              <w:marRight w:val="0"/>
              <w:marTop w:val="0"/>
              <w:marBottom w:val="0"/>
              <w:divBdr>
                <w:top w:val="none" w:sz="0" w:space="0" w:color="auto"/>
                <w:left w:val="none" w:sz="0" w:space="0" w:color="auto"/>
                <w:bottom w:val="none" w:sz="0" w:space="0" w:color="auto"/>
                <w:right w:val="none" w:sz="0" w:space="0" w:color="auto"/>
              </w:divBdr>
            </w:div>
          </w:divsChild>
        </w:div>
        <w:div w:id="1997605702">
          <w:marLeft w:val="0"/>
          <w:marRight w:val="0"/>
          <w:marTop w:val="0"/>
          <w:marBottom w:val="0"/>
          <w:divBdr>
            <w:top w:val="none" w:sz="0" w:space="0" w:color="auto"/>
            <w:left w:val="none" w:sz="0" w:space="0" w:color="auto"/>
            <w:bottom w:val="none" w:sz="0" w:space="0" w:color="auto"/>
            <w:right w:val="none" w:sz="0" w:space="0" w:color="auto"/>
          </w:divBdr>
          <w:divsChild>
            <w:div w:id="1061102644">
              <w:marLeft w:val="0"/>
              <w:marRight w:val="0"/>
              <w:marTop w:val="0"/>
              <w:marBottom w:val="0"/>
              <w:divBdr>
                <w:top w:val="none" w:sz="0" w:space="0" w:color="auto"/>
                <w:left w:val="none" w:sz="0" w:space="0" w:color="auto"/>
                <w:bottom w:val="none" w:sz="0" w:space="0" w:color="auto"/>
                <w:right w:val="none" w:sz="0" w:space="0" w:color="auto"/>
              </w:divBdr>
            </w:div>
          </w:divsChild>
        </w:div>
        <w:div w:id="2006349345">
          <w:marLeft w:val="0"/>
          <w:marRight w:val="0"/>
          <w:marTop w:val="0"/>
          <w:marBottom w:val="0"/>
          <w:divBdr>
            <w:top w:val="none" w:sz="0" w:space="0" w:color="auto"/>
            <w:left w:val="none" w:sz="0" w:space="0" w:color="auto"/>
            <w:bottom w:val="none" w:sz="0" w:space="0" w:color="auto"/>
            <w:right w:val="none" w:sz="0" w:space="0" w:color="auto"/>
          </w:divBdr>
          <w:divsChild>
            <w:div w:id="421879150">
              <w:marLeft w:val="0"/>
              <w:marRight w:val="0"/>
              <w:marTop w:val="0"/>
              <w:marBottom w:val="0"/>
              <w:divBdr>
                <w:top w:val="none" w:sz="0" w:space="0" w:color="auto"/>
                <w:left w:val="none" w:sz="0" w:space="0" w:color="auto"/>
                <w:bottom w:val="none" w:sz="0" w:space="0" w:color="auto"/>
                <w:right w:val="none" w:sz="0" w:space="0" w:color="auto"/>
              </w:divBdr>
            </w:div>
          </w:divsChild>
        </w:div>
        <w:div w:id="2034769126">
          <w:marLeft w:val="0"/>
          <w:marRight w:val="0"/>
          <w:marTop w:val="0"/>
          <w:marBottom w:val="0"/>
          <w:divBdr>
            <w:top w:val="none" w:sz="0" w:space="0" w:color="auto"/>
            <w:left w:val="none" w:sz="0" w:space="0" w:color="auto"/>
            <w:bottom w:val="none" w:sz="0" w:space="0" w:color="auto"/>
            <w:right w:val="none" w:sz="0" w:space="0" w:color="auto"/>
          </w:divBdr>
          <w:divsChild>
            <w:div w:id="15955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2700">
      <w:bodyDiv w:val="1"/>
      <w:marLeft w:val="0"/>
      <w:marRight w:val="0"/>
      <w:marTop w:val="0"/>
      <w:marBottom w:val="0"/>
      <w:divBdr>
        <w:top w:val="none" w:sz="0" w:space="0" w:color="auto"/>
        <w:left w:val="none" w:sz="0" w:space="0" w:color="auto"/>
        <w:bottom w:val="none" w:sz="0" w:space="0" w:color="auto"/>
        <w:right w:val="none" w:sz="0" w:space="0" w:color="auto"/>
      </w:divBdr>
      <w:divsChild>
        <w:div w:id="38018934">
          <w:marLeft w:val="0"/>
          <w:marRight w:val="0"/>
          <w:marTop w:val="0"/>
          <w:marBottom w:val="0"/>
          <w:divBdr>
            <w:top w:val="none" w:sz="0" w:space="0" w:color="auto"/>
            <w:left w:val="none" w:sz="0" w:space="0" w:color="auto"/>
            <w:bottom w:val="none" w:sz="0" w:space="0" w:color="auto"/>
            <w:right w:val="none" w:sz="0" w:space="0" w:color="auto"/>
          </w:divBdr>
          <w:divsChild>
            <w:div w:id="90130921">
              <w:marLeft w:val="0"/>
              <w:marRight w:val="0"/>
              <w:marTop w:val="0"/>
              <w:marBottom w:val="0"/>
              <w:divBdr>
                <w:top w:val="none" w:sz="0" w:space="0" w:color="auto"/>
                <w:left w:val="none" w:sz="0" w:space="0" w:color="auto"/>
                <w:bottom w:val="none" w:sz="0" w:space="0" w:color="auto"/>
                <w:right w:val="none" w:sz="0" w:space="0" w:color="auto"/>
              </w:divBdr>
            </w:div>
          </w:divsChild>
        </w:div>
        <w:div w:id="47608207">
          <w:marLeft w:val="0"/>
          <w:marRight w:val="0"/>
          <w:marTop w:val="0"/>
          <w:marBottom w:val="0"/>
          <w:divBdr>
            <w:top w:val="none" w:sz="0" w:space="0" w:color="auto"/>
            <w:left w:val="none" w:sz="0" w:space="0" w:color="auto"/>
            <w:bottom w:val="none" w:sz="0" w:space="0" w:color="auto"/>
            <w:right w:val="none" w:sz="0" w:space="0" w:color="auto"/>
          </w:divBdr>
          <w:divsChild>
            <w:div w:id="1880163999">
              <w:marLeft w:val="0"/>
              <w:marRight w:val="0"/>
              <w:marTop w:val="0"/>
              <w:marBottom w:val="0"/>
              <w:divBdr>
                <w:top w:val="none" w:sz="0" w:space="0" w:color="auto"/>
                <w:left w:val="none" w:sz="0" w:space="0" w:color="auto"/>
                <w:bottom w:val="none" w:sz="0" w:space="0" w:color="auto"/>
                <w:right w:val="none" w:sz="0" w:space="0" w:color="auto"/>
              </w:divBdr>
            </w:div>
          </w:divsChild>
        </w:div>
        <w:div w:id="192425742">
          <w:marLeft w:val="0"/>
          <w:marRight w:val="0"/>
          <w:marTop w:val="0"/>
          <w:marBottom w:val="0"/>
          <w:divBdr>
            <w:top w:val="none" w:sz="0" w:space="0" w:color="auto"/>
            <w:left w:val="none" w:sz="0" w:space="0" w:color="auto"/>
            <w:bottom w:val="none" w:sz="0" w:space="0" w:color="auto"/>
            <w:right w:val="none" w:sz="0" w:space="0" w:color="auto"/>
          </w:divBdr>
          <w:divsChild>
            <w:div w:id="1702783534">
              <w:marLeft w:val="0"/>
              <w:marRight w:val="0"/>
              <w:marTop w:val="0"/>
              <w:marBottom w:val="0"/>
              <w:divBdr>
                <w:top w:val="none" w:sz="0" w:space="0" w:color="auto"/>
                <w:left w:val="none" w:sz="0" w:space="0" w:color="auto"/>
                <w:bottom w:val="none" w:sz="0" w:space="0" w:color="auto"/>
                <w:right w:val="none" w:sz="0" w:space="0" w:color="auto"/>
              </w:divBdr>
            </w:div>
          </w:divsChild>
        </w:div>
        <w:div w:id="209154572">
          <w:marLeft w:val="0"/>
          <w:marRight w:val="0"/>
          <w:marTop w:val="0"/>
          <w:marBottom w:val="0"/>
          <w:divBdr>
            <w:top w:val="none" w:sz="0" w:space="0" w:color="auto"/>
            <w:left w:val="none" w:sz="0" w:space="0" w:color="auto"/>
            <w:bottom w:val="none" w:sz="0" w:space="0" w:color="auto"/>
            <w:right w:val="none" w:sz="0" w:space="0" w:color="auto"/>
          </w:divBdr>
          <w:divsChild>
            <w:div w:id="689111224">
              <w:marLeft w:val="0"/>
              <w:marRight w:val="0"/>
              <w:marTop w:val="0"/>
              <w:marBottom w:val="0"/>
              <w:divBdr>
                <w:top w:val="none" w:sz="0" w:space="0" w:color="auto"/>
                <w:left w:val="none" w:sz="0" w:space="0" w:color="auto"/>
                <w:bottom w:val="none" w:sz="0" w:space="0" w:color="auto"/>
                <w:right w:val="none" w:sz="0" w:space="0" w:color="auto"/>
              </w:divBdr>
            </w:div>
          </w:divsChild>
        </w:div>
        <w:div w:id="364447443">
          <w:marLeft w:val="0"/>
          <w:marRight w:val="0"/>
          <w:marTop w:val="0"/>
          <w:marBottom w:val="0"/>
          <w:divBdr>
            <w:top w:val="none" w:sz="0" w:space="0" w:color="auto"/>
            <w:left w:val="none" w:sz="0" w:space="0" w:color="auto"/>
            <w:bottom w:val="none" w:sz="0" w:space="0" w:color="auto"/>
            <w:right w:val="none" w:sz="0" w:space="0" w:color="auto"/>
          </w:divBdr>
          <w:divsChild>
            <w:div w:id="1093428642">
              <w:marLeft w:val="0"/>
              <w:marRight w:val="0"/>
              <w:marTop w:val="0"/>
              <w:marBottom w:val="0"/>
              <w:divBdr>
                <w:top w:val="none" w:sz="0" w:space="0" w:color="auto"/>
                <w:left w:val="none" w:sz="0" w:space="0" w:color="auto"/>
                <w:bottom w:val="none" w:sz="0" w:space="0" w:color="auto"/>
                <w:right w:val="none" w:sz="0" w:space="0" w:color="auto"/>
              </w:divBdr>
            </w:div>
          </w:divsChild>
        </w:div>
        <w:div w:id="454982003">
          <w:marLeft w:val="0"/>
          <w:marRight w:val="0"/>
          <w:marTop w:val="0"/>
          <w:marBottom w:val="0"/>
          <w:divBdr>
            <w:top w:val="none" w:sz="0" w:space="0" w:color="auto"/>
            <w:left w:val="none" w:sz="0" w:space="0" w:color="auto"/>
            <w:bottom w:val="none" w:sz="0" w:space="0" w:color="auto"/>
            <w:right w:val="none" w:sz="0" w:space="0" w:color="auto"/>
          </w:divBdr>
          <w:divsChild>
            <w:div w:id="1861770357">
              <w:marLeft w:val="0"/>
              <w:marRight w:val="0"/>
              <w:marTop w:val="0"/>
              <w:marBottom w:val="0"/>
              <w:divBdr>
                <w:top w:val="none" w:sz="0" w:space="0" w:color="auto"/>
                <w:left w:val="none" w:sz="0" w:space="0" w:color="auto"/>
                <w:bottom w:val="none" w:sz="0" w:space="0" w:color="auto"/>
                <w:right w:val="none" w:sz="0" w:space="0" w:color="auto"/>
              </w:divBdr>
            </w:div>
          </w:divsChild>
        </w:div>
        <w:div w:id="571964339">
          <w:marLeft w:val="0"/>
          <w:marRight w:val="0"/>
          <w:marTop w:val="0"/>
          <w:marBottom w:val="0"/>
          <w:divBdr>
            <w:top w:val="none" w:sz="0" w:space="0" w:color="auto"/>
            <w:left w:val="none" w:sz="0" w:space="0" w:color="auto"/>
            <w:bottom w:val="none" w:sz="0" w:space="0" w:color="auto"/>
            <w:right w:val="none" w:sz="0" w:space="0" w:color="auto"/>
          </w:divBdr>
          <w:divsChild>
            <w:div w:id="1584485773">
              <w:marLeft w:val="0"/>
              <w:marRight w:val="0"/>
              <w:marTop w:val="0"/>
              <w:marBottom w:val="0"/>
              <w:divBdr>
                <w:top w:val="none" w:sz="0" w:space="0" w:color="auto"/>
                <w:left w:val="none" w:sz="0" w:space="0" w:color="auto"/>
                <w:bottom w:val="none" w:sz="0" w:space="0" w:color="auto"/>
                <w:right w:val="none" w:sz="0" w:space="0" w:color="auto"/>
              </w:divBdr>
            </w:div>
          </w:divsChild>
        </w:div>
        <w:div w:id="646714257">
          <w:marLeft w:val="0"/>
          <w:marRight w:val="0"/>
          <w:marTop w:val="0"/>
          <w:marBottom w:val="0"/>
          <w:divBdr>
            <w:top w:val="none" w:sz="0" w:space="0" w:color="auto"/>
            <w:left w:val="none" w:sz="0" w:space="0" w:color="auto"/>
            <w:bottom w:val="none" w:sz="0" w:space="0" w:color="auto"/>
            <w:right w:val="none" w:sz="0" w:space="0" w:color="auto"/>
          </w:divBdr>
          <w:divsChild>
            <w:div w:id="1927496926">
              <w:marLeft w:val="0"/>
              <w:marRight w:val="0"/>
              <w:marTop w:val="0"/>
              <w:marBottom w:val="0"/>
              <w:divBdr>
                <w:top w:val="none" w:sz="0" w:space="0" w:color="auto"/>
                <w:left w:val="none" w:sz="0" w:space="0" w:color="auto"/>
                <w:bottom w:val="none" w:sz="0" w:space="0" w:color="auto"/>
                <w:right w:val="none" w:sz="0" w:space="0" w:color="auto"/>
              </w:divBdr>
            </w:div>
          </w:divsChild>
        </w:div>
        <w:div w:id="704256222">
          <w:marLeft w:val="0"/>
          <w:marRight w:val="0"/>
          <w:marTop w:val="0"/>
          <w:marBottom w:val="0"/>
          <w:divBdr>
            <w:top w:val="none" w:sz="0" w:space="0" w:color="auto"/>
            <w:left w:val="none" w:sz="0" w:space="0" w:color="auto"/>
            <w:bottom w:val="none" w:sz="0" w:space="0" w:color="auto"/>
            <w:right w:val="none" w:sz="0" w:space="0" w:color="auto"/>
          </w:divBdr>
          <w:divsChild>
            <w:div w:id="1431121227">
              <w:marLeft w:val="0"/>
              <w:marRight w:val="0"/>
              <w:marTop w:val="0"/>
              <w:marBottom w:val="0"/>
              <w:divBdr>
                <w:top w:val="none" w:sz="0" w:space="0" w:color="auto"/>
                <w:left w:val="none" w:sz="0" w:space="0" w:color="auto"/>
                <w:bottom w:val="none" w:sz="0" w:space="0" w:color="auto"/>
                <w:right w:val="none" w:sz="0" w:space="0" w:color="auto"/>
              </w:divBdr>
            </w:div>
          </w:divsChild>
        </w:div>
        <w:div w:id="725496889">
          <w:marLeft w:val="0"/>
          <w:marRight w:val="0"/>
          <w:marTop w:val="0"/>
          <w:marBottom w:val="0"/>
          <w:divBdr>
            <w:top w:val="none" w:sz="0" w:space="0" w:color="auto"/>
            <w:left w:val="none" w:sz="0" w:space="0" w:color="auto"/>
            <w:bottom w:val="none" w:sz="0" w:space="0" w:color="auto"/>
            <w:right w:val="none" w:sz="0" w:space="0" w:color="auto"/>
          </w:divBdr>
          <w:divsChild>
            <w:div w:id="1382560085">
              <w:marLeft w:val="0"/>
              <w:marRight w:val="0"/>
              <w:marTop w:val="0"/>
              <w:marBottom w:val="0"/>
              <w:divBdr>
                <w:top w:val="none" w:sz="0" w:space="0" w:color="auto"/>
                <w:left w:val="none" w:sz="0" w:space="0" w:color="auto"/>
                <w:bottom w:val="none" w:sz="0" w:space="0" w:color="auto"/>
                <w:right w:val="none" w:sz="0" w:space="0" w:color="auto"/>
              </w:divBdr>
            </w:div>
          </w:divsChild>
        </w:div>
        <w:div w:id="743571990">
          <w:marLeft w:val="0"/>
          <w:marRight w:val="0"/>
          <w:marTop w:val="0"/>
          <w:marBottom w:val="0"/>
          <w:divBdr>
            <w:top w:val="none" w:sz="0" w:space="0" w:color="auto"/>
            <w:left w:val="none" w:sz="0" w:space="0" w:color="auto"/>
            <w:bottom w:val="none" w:sz="0" w:space="0" w:color="auto"/>
            <w:right w:val="none" w:sz="0" w:space="0" w:color="auto"/>
          </w:divBdr>
          <w:divsChild>
            <w:div w:id="789126911">
              <w:marLeft w:val="0"/>
              <w:marRight w:val="0"/>
              <w:marTop w:val="0"/>
              <w:marBottom w:val="0"/>
              <w:divBdr>
                <w:top w:val="none" w:sz="0" w:space="0" w:color="auto"/>
                <w:left w:val="none" w:sz="0" w:space="0" w:color="auto"/>
                <w:bottom w:val="none" w:sz="0" w:space="0" w:color="auto"/>
                <w:right w:val="none" w:sz="0" w:space="0" w:color="auto"/>
              </w:divBdr>
            </w:div>
          </w:divsChild>
        </w:div>
        <w:div w:id="816536891">
          <w:marLeft w:val="0"/>
          <w:marRight w:val="0"/>
          <w:marTop w:val="0"/>
          <w:marBottom w:val="0"/>
          <w:divBdr>
            <w:top w:val="none" w:sz="0" w:space="0" w:color="auto"/>
            <w:left w:val="none" w:sz="0" w:space="0" w:color="auto"/>
            <w:bottom w:val="none" w:sz="0" w:space="0" w:color="auto"/>
            <w:right w:val="none" w:sz="0" w:space="0" w:color="auto"/>
          </w:divBdr>
          <w:divsChild>
            <w:div w:id="1545216577">
              <w:marLeft w:val="0"/>
              <w:marRight w:val="0"/>
              <w:marTop w:val="0"/>
              <w:marBottom w:val="0"/>
              <w:divBdr>
                <w:top w:val="none" w:sz="0" w:space="0" w:color="auto"/>
                <w:left w:val="none" w:sz="0" w:space="0" w:color="auto"/>
                <w:bottom w:val="none" w:sz="0" w:space="0" w:color="auto"/>
                <w:right w:val="none" w:sz="0" w:space="0" w:color="auto"/>
              </w:divBdr>
            </w:div>
          </w:divsChild>
        </w:div>
        <w:div w:id="936333840">
          <w:marLeft w:val="0"/>
          <w:marRight w:val="0"/>
          <w:marTop w:val="0"/>
          <w:marBottom w:val="0"/>
          <w:divBdr>
            <w:top w:val="none" w:sz="0" w:space="0" w:color="auto"/>
            <w:left w:val="none" w:sz="0" w:space="0" w:color="auto"/>
            <w:bottom w:val="none" w:sz="0" w:space="0" w:color="auto"/>
            <w:right w:val="none" w:sz="0" w:space="0" w:color="auto"/>
          </w:divBdr>
          <w:divsChild>
            <w:div w:id="1145584258">
              <w:marLeft w:val="0"/>
              <w:marRight w:val="0"/>
              <w:marTop w:val="0"/>
              <w:marBottom w:val="0"/>
              <w:divBdr>
                <w:top w:val="none" w:sz="0" w:space="0" w:color="auto"/>
                <w:left w:val="none" w:sz="0" w:space="0" w:color="auto"/>
                <w:bottom w:val="none" w:sz="0" w:space="0" w:color="auto"/>
                <w:right w:val="none" w:sz="0" w:space="0" w:color="auto"/>
              </w:divBdr>
            </w:div>
          </w:divsChild>
        </w:div>
        <w:div w:id="941718305">
          <w:marLeft w:val="0"/>
          <w:marRight w:val="0"/>
          <w:marTop w:val="0"/>
          <w:marBottom w:val="0"/>
          <w:divBdr>
            <w:top w:val="none" w:sz="0" w:space="0" w:color="auto"/>
            <w:left w:val="none" w:sz="0" w:space="0" w:color="auto"/>
            <w:bottom w:val="none" w:sz="0" w:space="0" w:color="auto"/>
            <w:right w:val="none" w:sz="0" w:space="0" w:color="auto"/>
          </w:divBdr>
          <w:divsChild>
            <w:div w:id="2032682771">
              <w:marLeft w:val="0"/>
              <w:marRight w:val="0"/>
              <w:marTop w:val="0"/>
              <w:marBottom w:val="0"/>
              <w:divBdr>
                <w:top w:val="none" w:sz="0" w:space="0" w:color="auto"/>
                <w:left w:val="none" w:sz="0" w:space="0" w:color="auto"/>
                <w:bottom w:val="none" w:sz="0" w:space="0" w:color="auto"/>
                <w:right w:val="none" w:sz="0" w:space="0" w:color="auto"/>
              </w:divBdr>
            </w:div>
          </w:divsChild>
        </w:div>
        <w:div w:id="1050299877">
          <w:marLeft w:val="0"/>
          <w:marRight w:val="0"/>
          <w:marTop w:val="0"/>
          <w:marBottom w:val="0"/>
          <w:divBdr>
            <w:top w:val="none" w:sz="0" w:space="0" w:color="auto"/>
            <w:left w:val="none" w:sz="0" w:space="0" w:color="auto"/>
            <w:bottom w:val="none" w:sz="0" w:space="0" w:color="auto"/>
            <w:right w:val="none" w:sz="0" w:space="0" w:color="auto"/>
          </w:divBdr>
          <w:divsChild>
            <w:div w:id="759764965">
              <w:marLeft w:val="0"/>
              <w:marRight w:val="0"/>
              <w:marTop w:val="0"/>
              <w:marBottom w:val="0"/>
              <w:divBdr>
                <w:top w:val="none" w:sz="0" w:space="0" w:color="auto"/>
                <w:left w:val="none" w:sz="0" w:space="0" w:color="auto"/>
                <w:bottom w:val="none" w:sz="0" w:space="0" w:color="auto"/>
                <w:right w:val="none" w:sz="0" w:space="0" w:color="auto"/>
              </w:divBdr>
            </w:div>
          </w:divsChild>
        </w:div>
        <w:div w:id="1121000247">
          <w:marLeft w:val="0"/>
          <w:marRight w:val="0"/>
          <w:marTop w:val="0"/>
          <w:marBottom w:val="0"/>
          <w:divBdr>
            <w:top w:val="none" w:sz="0" w:space="0" w:color="auto"/>
            <w:left w:val="none" w:sz="0" w:space="0" w:color="auto"/>
            <w:bottom w:val="none" w:sz="0" w:space="0" w:color="auto"/>
            <w:right w:val="none" w:sz="0" w:space="0" w:color="auto"/>
          </w:divBdr>
          <w:divsChild>
            <w:div w:id="1900284887">
              <w:marLeft w:val="0"/>
              <w:marRight w:val="0"/>
              <w:marTop w:val="0"/>
              <w:marBottom w:val="0"/>
              <w:divBdr>
                <w:top w:val="none" w:sz="0" w:space="0" w:color="auto"/>
                <w:left w:val="none" w:sz="0" w:space="0" w:color="auto"/>
                <w:bottom w:val="none" w:sz="0" w:space="0" w:color="auto"/>
                <w:right w:val="none" w:sz="0" w:space="0" w:color="auto"/>
              </w:divBdr>
            </w:div>
          </w:divsChild>
        </w:div>
        <w:div w:id="1194079125">
          <w:marLeft w:val="0"/>
          <w:marRight w:val="0"/>
          <w:marTop w:val="0"/>
          <w:marBottom w:val="0"/>
          <w:divBdr>
            <w:top w:val="none" w:sz="0" w:space="0" w:color="auto"/>
            <w:left w:val="none" w:sz="0" w:space="0" w:color="auto"/>
            <w:bottom w:val="none" w:sz="0" w:space="0" w:color="auto"/>
            <w:right w:val="none" w:sz="0" w:space="0" w:color="auto"/>
          </w:divBdr>
          <w:divsChild>
            <w:div w:id="1474370867">
              <w:marLeft w:val="0"/>
              <w:marRight w:val="0"/>
              <w:marTop w:val="0"/>
              <w:marBottom w:val="0"/>
              <w:divBdr>
                <w:top w:val="none" w:sz="0" w:space="0" w:color="auto"/>
                <w:left w:val="none" w:sz="0" w:space="0" w:color="auto"/>
                <w:bottom w:val="none" w:sz="0" w:space="0" w:color="auto"/>
                <w:right w:val="none" w:sz="0" w:space="0" w:color="auto"/>
              </w:divBdr>
            </w:div>
          </w:divsChild>
        </w:div>
        <w:div w:id="1214467804">
          <w:marLeft w:val="0"/>
          <w:marRight w:val="0"/>
          <w:marTop w:val="0"/>
          <w:marBottom w:val="0"/>
          <w:divBdr>
            <w:top w:val="none" w:sz="0" w:space="0" w:color="auto"/>
            <w:left w:val="none" w:sz="0" w:space="0" w:color="auto"/>
            <w:bottom w:val="none" w:sz="0" w:space="0" w:color="auto"/>
            <w:right w:val="none" w:sz="0" w:space="0" w:color="auto"/>
          </w:divBdr>
          <w:divsChild>
            <w:div w:id="1829007006">
              <w:marLeft w:val="0"/>
              <w:marRight w:val="0"/>
              <w:marTop w:val="0"/>
              <w:marBottom w:val="0"/>
              <w:divBdr>
                <w:top w:val="none" w:sz="0" w:space="0" w:color="auto"/>
                <w:left w:val="none" w:sz="0" w:space="0" w:color="auto"/>
                <w:bottom w:val="none" w:sz="0" w:space="0" w:color="auto"/>
                <w:right w:val="none" w:sz="0" w:space="0" w:color="auto"/>
              </w:divBdr>
            </w:div>
          </w:divsChild>
        </w:div>
        <w:div w:id="1325813907">
          <w:marLeft w:val="0"/>
          <w:marRight w:val="0"/>
          <w:marTop w:val="0"/>
          <w:marBottom w:val="0"/>
          <w:divBdr>
            <w:top w:val="none" w:sz="0" w:space="0" w:color="auto"/>
            <w:left w:val="none" w:sz="0" w:space="0" w:color="auto"/>
            <w:bottom w:val="none" w:sz="0" w:space="0" w:color="auto"/>
            <w:right w:val="none" w:sz="0" w:space="0" w:color="auto"/>
          </w:divBdr>
          <w:divsChild>
            <w:div w:id="1460803641">
              <w:marLeft w:val="0"/>
              <w:marRight w:val="0"/>
              <w:marTop w:val="0"/>
              <w:marBottom w:val="0"/>
              <w:divBdr>
                <w:top w:val="none" w:sz="0" w:space="0" w:color="auto"/>
                <w:left w:val="none" w:sz="0" w:space="0" w:color="auto"/>
                <w:bottom w:val="none" w:sz="0" w:space="0" w:color="auto"/>
                <w:right w:val="none" w:sz="0" w:space="0" w:color="auto"/>
              </w:divBdr>
            </w:div>
          </w:divsChild>
        </w:div>
        <w:div w:id="1325859502">
          <w:marLeft w:val="0"/>
          <w:marRight w:val="0"/>
          <w:marTop w:val="0"/>
          <w:marBottom w:val="0"/>
          <w:divBdr>
            <w:top w:val="none" w:sz="0" w:space="0" w:color="auto"/>
            <w:left w:val="none" w:sz="0" w:space="0" w:color="auto"/>
            <w:bottom w:val="none" w:sz="0" w:space="0" w:color="auto"/>
            <w:right w:val="none" w:sz="0" w:space="0" w:color="auto"/>
          </w:divBdr>
          <w:divsChild>
            <w:div w:id="1275821050">
              <w:marLeft w:val="0"/>
              <w:marRight w:val="0"/>
              <w:marTop w:val="0"/>
              <w:marBottom w:val="0"/>
              <w:divBdr>
                <w:top w:val="none" w:sz="0" w:space="0" w:color="auto"/>
                <w:left w:val="none" w:sz="0" w:space="0" w:color="auto"/>
                <w:bottom w:val="none" w:sz="0" w:space="0" w:color="auto"/>
                <w:right w:val="none" w:sz="0" w:space="0" w:color="auto"/>
              </w:divBdr>
            </w:div>
          </w:divsChild>
        </w:div>
        <w:div w:id="1331906327">
          <w:marLeft w:val="0"/>
          <w:marRight w:val="0"/>
          <w:marTop w:val="0"/>
          <w:marBottom w:val="0"/>
          <w:divBdr>
            <w:top w:val="none" w:sz="0" w:space="0" w:color="auto"/>
            <w:left w:val="none" w:sz="0" w:space="0" w:color="auto"/>
            <w:bottom w:val="none" w:sz="0" w:space="0" w:color="auto"/>
            <w:right w:val="none" w:sz="0" w:space="0" w:color="auto"/>
          </w:divBdr>
          <w:divsChild>
            <w:div w:id="1434470727">
              <w:marLeft w:val="0"/>
              <w:marRight w:val="0"/>
              <w:marTop w:val="0"/>
              <w:marBottom w:val="0"/>
              <w:divBdr>
                <w:top w:val="none" w:sz="0" w:space="0" w:color="auto"/>
                <w:left w:val="none" w:sz="0" w:space="0" w:color="auto"/>
                <w:bottom w:val="none" w:sz="0" w:space="0" w:color="auto"/>
                <w:right w:val="none" w:sz="0" w:space="0" w:color="auto"/>
              </w:divBdr>
            </w:div>
          </w:divsChild>
        </w:div>
        <w:div w:id="1394356017">
          <w:marLeft w:val="0"/>
          <w:marRight w:val="0"/>
          <w:marTop w:val="0"/>
          <w:marBottom w:val="0"/>
          <w:divBdr>
            <w:top w:val="none" w:sz="0" w:space="0" w:color="auto"/>
            <w:left w:val="none" w:sz="0" w:space="0" w:color="auto"/>
            <w:bottom w:val="none" w:sz="0" w:space="0" w:color="auto"/>
            <w:right w:val="none" w:sz="0" w:space="0" w:color="auto"/>
          </w:divBdr>
          <w:divsChild>
            <w:div w:id="1207181206">
              <w:marLeft w:val="0"/>
              <w:marRight w:val="0"/>
              <w:marTop w:val="0"/>
              <w:marBottom w:val="0"/>
              <w:divBdr>
                <w:top w:val="none" w:sz="0" w:space="0" w:color="auto"/>
                <w:left w:val="none" w:sz="0" w:space="0" w:color="auto"/>
                <w:bottom w:val="none" w:sz="0" w:space="0" w:color="auto"/>
                <w:right w:val="none" w:sz="0" w:space="0" w:color="auto"/>
              </w:divBdr>
            </w:div>
          </w:divsChild>
        </w:div>
        <w:div w:id="1427532205">
          <w:marLeft w:val="0"/>
          <w:marRight w:val="0"/>
          <w:marTop w:val="0"/>
          <w:marBottom w:val="0"/>
          <w:divBdr>
            <w:top w:val="none" w:sz="0" w:space="0" w:color="auto"/>
            <w:left w:val="none" w:sz="0" w:space="0" w:color="auto"/>
            <w:bottom w:val="none" w:sz="0" w:space="0" w:color="auto"/>
            <w:right w:val="none" w:sz="0" w:space="0" w:color="auto"/>
          </w:divBdr>
          <w:divsChild>
            <w:div w:id="160853158">
              <w:marLeft w:val="0"/>
              <w:marRight w:val="0"/>
              <w:marTop w:val="0"/>
              <w:marBottom w:val="0"/>
              <w:divBdr>
                <w:top w:val="none" w:sz="0" w:space="0" w:color="auto"/>
                <w:left w:val="none" w:sz="0" w:space="0" w:color="auto"/>
                <w:bottom w:val="none" w:sz="0" w:space="0" w:color="auto"/>
                <w:right w:val="none" w:sz="0" w:space="0" w:color="auto"/>
              </w:divBdr>
            </w:div>
          </w:divsChild>
        </w:div>
        <w:div w:id="1437359556">
          <w:marLeft w:val="0"/>
          <w:marRight w:val="0"/>
          <w:marTop w:val="0"/>
          <w:marBottom w:val="0"/>
          <w:divBdr>
            <w:top w:val="none" w:sz="0" w:space="0" w:color="auto"/>
            <w:left w:val="none" w:sz="0" w:space="0" w:color="auto"/>
            <w:bottom w:val="none" w:sz="0" w:space="0" w:color="auto"/>
            <w:right w:val="none" w:sz="0" w:space="0" w:color="auto"/>
          </w:divBdr>
          <w:divsChild>
            <w:div w:id="632171849">
              <w:marLeft w:val="0"/>
              <w:marRight w:val="0"/>
              <w:marTop w:val="0"/>
              <w:marBottom w:val="0"/>
              <w:divBdr>
                <w:top w:val="none" w:sz="0" w:space="0" w:color="auto"/>
                <w:left w:val="none" w:sz="0" w:space="0" w:color="auto"/>
                <w:bottom w:val="none" w:sz="0" w:space="0" w:color="auto"/>
                <w:right w:val="none" w:sz="0" w:space="0" w:color="auto"/>
              </w:divBdr>
            </w:div>
          </w:divsChild>
        </w:div>
        <w:div w:id="1652979905">
          <w:marLeft w:val="0"/>
          <w:marRight w:val="0"/>
          <w:marTop w:val="0"/>
          <w:marBottom w:val="0"/>
          <w:divBdr>
            <w:top w:val="none" w:sz="0" w:space="0" w:color="auto"/>
            <w:left w:val="none" w:sz="0" w:space="0" w:color="auto"/>
            <w:bottom w:val="none" w:sz="0" w:space="0" w:color="auto"/>
            <w:right w:val="none" w:sz="0" w:space="0" w:color="auto"/>
          </w:divBdr>
          <w:divsChild>
            <w:div w:id="847016333">
              <w:marLeft w:val="0"/>
              <w:marRight w:val="0"/>
              <w:marTop w:val="0"/>
              <w:marBottom w:val="0"/>
              <w:divBdr>
                <w:top w:val="none" w:sz="0" w:space="0" w:color="auto"/>
                <w:left w:val="none" w:sz="0" w:space="0" w:color="auto"/>
                <w:bottom w:val="none" w:sz="0" w:space="0" w:color="auto"/>
                <w:right w:val="none" w:sz="0" w:space="0" w:color="auto"/>
              </w:divBdr>
            </w:div>
          </w:divsChild>
        </w:div>
        <w:div w:id="1759057264">
          <w:marLeft w:val="0"/>
          <w:marRight w:val="0"/>
          <w:marTop w:val="0"/>
          <w:marBottom w:val="0"/>
          <w:divBdr>
            <w:top w:val="none" w:sz="0" w:space="0" w:color="auto"/>
            <w:left w:val="none" w:sz="0" w:space="0" w:color="auto"/>
            <w:bottom w:val="none" w:sz="0" w:space="0" w:color="auto"/>
            <w:right w:val="none" w:sz="0" w:space="0" w:color="auto"/>
          </w:divBdr>
          <w:divsChild>
            <w:div w:id="714738124">
              <w:marLeft w:val="0"/>
              <w:marRight w:val="0"/>
              <w:marTop w:val="0"/>
              <w:marBottom w:val="0"/>
              <w:divBdr>
                <w:top w:val="none" w:sz="0" w:space="0" w:color="auto"/>
                <w:left w:val="none" w:sz="0" w:space="0" w:color="auto"/>
                <w:bottom w:val="none" w:sz="0" w:space="0" w:color="auto"/>
                <w:right w:val="none" w:sz="0" w:space="0" w:color="auto"/>
              </w:divBdr>
            </w:div>
          </w:divsChild>
        </w:div>
        <w:div w:id="1853758428">
          <w:marLeft w:val="0"/>
          <w:marRight w:val="0"/>
          <w:marTop w:val="0"/>
          <w:marBottom w:val="0"/>
          <w:divBdr>
            <w:top w:val="none" w:sz="0" w:space="0" w:color="auto"/>
            <w:left w:val="none" w:sz="0" w:space="0" w:color="auto"/>
            <w:bottom w:val="none" w:sz="0" w:space="0" w:color="auto"/>
            <w:right w:val="none" w:sz="0" w:space="0" w:color="auto"/>
          </w:divBdr>
          <w:divsChild>
            <w:div w:id="508327310">
              <w:marLeft w:val="0"/>
              <w:marRight w:val="0"/>
              <w:marTop w:val="0"/>
              <w:marBottom w:val="0"/>
              <w:divBdr>
                <w:top w:val="none" w:sz="0" w:space="0" w:color="auto"/>
                <w:left w:val="none" w:sz="0" w:space="0" w:color="auto"/>
                <w:bottom w:val="none" w:sz="0" w:space="0" w:color="auto"/>
                <w:right w:val="none" w:sz="0" w:space="0" w:color="auto"/>
              </w:divBdr>
            </w:div>
          </w:divsChild>
        </w:div>
        <w:div w:id="1874225748">
          <w:marLeft w:val="0"/>
          <w:marRight w:val="0"/>
          <w:marTop w:val="0"/>
          <w:marBottom w:val="0"/>
          <w:divBdr>
            <w:top w:val="none" w:sz="0" w:space="0" w:color="auto"/>
            <w:left w:val="none" w:sz="0" w:space="0" w:color="auto"/>
            <w:bottom w:val="none" w:sz="0" w:space="0" w:color="auto"/>
            <w:right w:val="none" w:sz="0" w:space="0" w:color="auto"/>
          </w:divBdr>
          <w:divsChild>
            <w:div w:id="562763140">
              <w:marLeft w:val="0"/>
              <w:marRight w:val="0"/>
              <w:marTop w:val="0"/>
              <w:marBottom w:val="0"/>
              <w:divBdr>
                <w:top w:val="none" w:sz="0" w:space="0" w:color="auto"/>
                <w:left w:val="none" w:sz="0" w:space="0" w:color="auto"/>
                <w:bottom w:val="none" w:sz="0" w:space="0" w:color="auto"/>
                <w:right w:val="none" w:sz="0" w:space="0" w:color="auto"/>
              </w:divBdr>
            </w:div>
          </w:divsChild>
        </w:div>
        <w:div w:id="1993023419">
          <w:marLeft w:val="0"/>
          <w:marRight w:val="0"/>
          <w:marTop w:val="0"/>
          <w:marBottom w:val="0"/>
          <w:divBdr>
            <w:top w:val="none" w:sz="0" w:space="0" w:color="auto"/>
            <w:left w:val="none" w:sz="0" w:space="0" w:color="auto"/>
            <w:bottom w:val="none" w:sz="0" w:space="0" w:color="auto"/>
            <w:right w:val="none" w:sz="0" w:space="0" w:color="auto"/>
          </w:divBdr>
          <w:divsChild>
            <w:div w:id="788859294">
              <w:marLeft w:val="0"/>
              <w:marRight w:val="0"/>
              <w:marTop w:val="0"/>
              <w:marBottom w:val="0"/>
              <w:divBdr>
                <w:top w:val="none" w:sz="0" w:space="0" w:color="auto"/>
                <w:left w:val="none" w:sz="0" w:space="0" w:color="auto"/>
                <w:bottom w:val="none" w:sz="0" w:space="0" w:color="auto"/>
                <w:right w:val="none" w:sz="0" w:space="0" w:color="auto"/>
              </w:divBdr>
            </w:div>
          </w:divsChild>
        </w:div>
        <w:div w:id="2020305866">
          <w:marLeft w:val="0"/>
          <w:marRight w:val="0"/>
          <w:marTop w:val="0"/>
          <w:marBottom w:val="0"/>
          <w:divBdr>
            <w:top w:val="none" w:sz="0" w:space="0" w:color="auto"/>
            <w:left w:val="none" w:sz="0" w:space="0" w:color="auto"/>
            <w:bottom w:val="none" w:sz="0" w:space="0" w:color="auto"/>
            <w:right w:val="none" w:sz="0" w:space="0" w:color="auto"/>
          </w:divBdr>
          <w:divsChild>
            <w:div w:id="142744264">
              <w:marLeft w:val="0"/>
              <w:marRight w:val="0"/>
              <w:marTop w:val="0"/>
              <w:marBottom w:val="0"/>
              <w:divBdr>
                <w:top w:val="none" w:sz="0" w:space="0" w:color="auto"/>
                <w:left w:val="none" w:sz="0" w:space="0" w:color="auto"/>
                <w:bottom w:val="none" w:sz="0" w:space="0" w:color="auto"/>
                <w:right w:val="none" w:sz="0" w:space="0" w:color="auto"/>
              </w:divBdr>
            </w:div>
          </w:divsChild>
        </w:div>
        <w:div w:id="2052919452">
          <w:marLeft w:val="0"/>
          <w:marRight w:val="0"/>
          <w:marTop w:val="0"/>
          <w:marBottom w:val="0"/>
          <w:divBdr>
            <w:top w:val="none" w:sz="0" w:space="0" w:color="auto"/>
            <w:left w:val="none" w:sz="0" w:space="0" w:color="auto"/>
            <w:bottom w:val="none" w:sz="0" w:space="0" w:color="auto"/>
            <w:right w:val="none" w:sz="0" w:space="0" w:color="auto"/>
          </w:divBdr>
          <w:divsChild>
            <w:div w:id="461070739">
              <w:marLeft w:val="0"/>
              <w:marRight w:val="0"/>
              <w:marTop w:val="0"/>
              <w:marBottom w:val="0"/>
              <w:divBdr>
                <w:top w:val="none" w:sz="0" w:space="0" w:color="auto"/>
                <w:left w:val="none" w:sz="0" w:space="0" w:color="auto"/>
                <w:bottom w:val="none" w:sz="0" w:space="0" w:color="auto"/>
                <w:right w:val="none" w:sz="0" w:space="0" w:color="auto"/>
              </w:divBdr>
            </w:div>
          </w:divsChild>
        </w:div>
        <w:div w:id="2070834680">
          <w:marLeft w:val="0"/>
          <w:marRight w:val="0"/>
          <w:marTop w:val="0"/>
          <w:marBottom w:val="0"/>
          <w:divBdr>
            <w:top w:val="none" w:sz="0" w:space="0" w:color="auto"/>
            <w:left w:val="none" w:sz="0" w:space="0" w:color="auto"/>
            <w:bottom w:val="none" w:sz="0" w:space="0" w:color="auto"/>
            <w:right w:val="none" w:sz="0" w:space="0" w:color="auto"/>
          </w:divBdr>
          <w:divsChild>
            <w:div w:id="1828129399">
              <w:marLeft w:val="0"/>
              <w:marRight w:val="0"/>
              <w:marTop w:val="0"/>
              <w:marBottom w:val="0"/>
              <w:divBdr>
                <w:top w:val="none" w:sz="0" w:space="0" w:color="auto"/>
                <w:left w:val="none" w:sz="0" w:space="0" w:color="auto"/>
                <w:bottom w:val="none" w:sz="0" w:space="0" w:color="auto"/>
                <w:right w:val="none" w:sz="0" w:space="0" w:color="auto"/>
              </w:divBdr>
            </w:div>
          </w:divsChild>
        </w:div>
        <w:div w:id="2107920895">
          <w:marLeft w:val="0"/>
          <w:marRight w:val="0"/>
          <w:marTop w:val="0"/>
          <w:marBottom w:val="0"/>
          <w:divBdr>
            <w:top w:val="none" w:sz="0" w:space="0" w:color="auto"/>
            <w:left w:val="none" w:sz="0" w:space="0" w:color="auto"/>
            <w:bottom w:val="none" w:sz="0" w:space="0" w:color="auto"/>
            <w:right w:val="none" w:sz="0" w:space="0" w:color="auto"/>
          </w:divBdr>
          <w:divsChild>
            <w:div w:id="7239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57791585">
      <w:bodyDiv w:val="1"/>
      <w:marLeft w:val="0"/>
      <w:marRight w:val="0"/>
      <w:marTop w:val="0"/>
      <w:marBottom w:val="0"/>
      <w:divBdr>
        <w:top w:val="none" w:sz="0" w:space="0" w:color="auto"/>
        <w:left w:val="none" w:sz="0" w:space="0" w:color="auto"/>
        <w:bottom w:val="none" w:sz="0" w:space="0" w:color="auto"/>
        <w:right w:val="none" w:sz="0" w:space="0" w:color="auto"/>
      </w:divBdr>
    </w:div>
    <w:div w:id="1286887652">
      <w:bodyDiv w:val="1"/>
      <w:marLeft w:val="0"/>
      <w:marRight w:val="0"/>
      <w:marTop w:val="0"/>
      <w:marBottom w:val="0"/>
      <w:divBdr>
        <w:top w:val="none" w:sz="0" w:space="0" w:color="auto"/>
        <w:left w:val="none" w:sz="0" w:space="0" w:color="auto"/>
        <w:bottom w:val="none" w:sz="0" w:space="0" w:color="auto"/>
        <w:right w:val="none" w:sz="0" w:space="0" w:color="auto"/>
      </w:divBdr>
      <w:divsChild>
        <w:div w:id="291987394">
          <w:marLeft w:val="0"/>
          <w:marRight w:val="0"/>
          <w:marTop w:val="0"/>
          <w:marBottom w:val="0"/>
          <w:divBdr>
            <w:top w:val="none" w:sz="0" w:space="0" w:color="auto"/>
            <w:left w:val="none" w:sz="0" w:space="0" w:color="auto"/>
            <w:bottom w:val="none" w:sz="0" w:space="0" w:color="auto"/>
            <w:right w:val="none" w:sz="0" w:space="0" w:color="auto"/>
          </w:divBdr>
        </w:div>
        <w:div w:id="296763289">
          <w:marLeft w:val="0"/>
          <w:marRight w:val="0"/>
          <w:marTop w:val="0"/>
          <w:marBottom w:val="0"/>
          <w:divBdr>
            <w:top w:val="none" w:sz="0" w:space="0" w:color="auto"/>
            <w:left w:val="none" w:sz="0" w:space="0" w:color="auto"/>
            <w:bottom w:val="none" w:sz="0" w:space="0" w:color="auto"/>
            <w:right w:val="none" w:sz="0" w:space="0" w:color="auto"/>
          </w:divBdr>
        </w:div>
        <w:div w:id="185757073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8640486">
      <w:bodyDiv w:val="1"/>
      <w:marLeft w:val="0"/>
      <w:marRight w:val="0"/>
      <w:marTop w:val="0"/>
      <w:marBottom w:val="0"/>
      <w:divBdr>
        <w:top w:val="none" w:sz="0" w:space="0" w:color="auto"/>
        <w:left w:val="none" w:sz="0" w:space="0" w:color="auto"/>
        <w:bottom w:val="none" w:sz="0" w:space="0" w:color="auto"/>
        <w:right w:val="none" w:sz="0" w:space="0" w:color="auto"/>
      </w:divBdr>
      <w:divsChild>
        <w:div w:id="791560677">
          <w:marLeft w:val="0"/>
          <w:marRight w:val="0"/>
          <w:marTop w:val="0"/>
          <w:marBottom w:val="0"/>
          <w:divBdr>
            <w:top w:val="none" w:sz="0" w:space="0" w:color="auto"/>
            <w:left w:val="none" w:sz="0" w:space="0" w:color="auto"/>
            <w:bottom w:val="none" w:sz="0" w:space="0" w:color="auto"/>
            <w:right w:val="none" w:sz="0" w:space="0" w:color="auto"/>
          </w:divBdr>
        </w:div>
        <w:div w:id="1316907892">
          <w:marLeft w:val="0"/>
          <w:marRight w:val="0"/>
          <w:marTop w:val="0"/>
          <w:marBottom w:val="0"/>
          <w:divBdr>
            <w:top w:val="none" w:sz="0" w:space="0" w:color="auto"/>
            <w:left w:val="none" w:sz="0" w:space="0" w:color="auto"/>
            <w:bottom w:val="none" w:sz="0" w:space="0" w:color="auto"/>
            <w:right w:val="none" w:sz="0" w:space="0" w:color="auto"/>
          </w:divBdr>
        </w:div>
        <w:div w:id="2064134753">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fac.dffh.vic.gov.au/acknowledgement-and-publicity-guidelines-victorian-government-funding-support" TargetMode="External"/><Relationship Id="rId26" Type="http://schemas.openxmlformats.org/officeDocument/2006/relationships/hyperlink" Target="https://www.health.vic.gov.au/policy-and-funding-guidelines-for-health-services" TargetMode="External"/><Relationship Id="rId21" Type="http://schemas.openxmlformats.org/officeDocument/2006/relationships/hyperlink" Target="https://fac.dffh.vic.gov.au/service-agreement-requirements" TargetMode="External"/><Relationship Id="rId34" Type="http://schemas.openxmlformats.org/officeDocument/2006/relationships/hyperlink" Target="mailto:NEPTFirstAidRegulation@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ac.dffh.vic.gov.au/acknowledgement-and-publicity-guidelines-victorian-government-funding-support" TargetMode="External"/><Relationship Id="rId25" Type="http://schemas.openxmlformats.org/officeDocument/2006/relationships/hyperlink" Target="https://fac.dhhs.vic.gov.au/service-agreement-requirements" TargetMode="External"/><Relationship Id="rId33" Type="http://schemas.openxmlformats.org/officeDocument/2006/relationships/hyperlink" Target="https://www.dffh.vic.gov.au/centre-evaluation-and-research-evidence" TargetMode="External"/><Relationship Id="rId2" Type="http://schemas.openxmlformats.org/officeDocument/2006/relationships/customXml" Target="../customXml/item2.xml"/><Relationship Id="rId16" Type="http://schemas.openxmlformats.org/officeDocument/2006/relationships/hyperlink" Target="https://www.health.vic.gov.au/victorian-sexual-reproductive-health-viral-hepatitis-strategy-2022-30" TargetMode="External"/><Relationship Id="rId20" Type="http://schemas.openxmlformats.org/officeDocument/2006/relationships/hyperlink" Target="https://fac.dffh.vic.gov.au/my-agency-non-dffh-and-dh-staff" TargetMode="External"/><Relationship Id="rId29" Type="http://schemas.openxmlformats.org/officeDocument/2006/relationships/hyperlink" Target="https://www.health.vic.gov.au/public-health/infectious-dise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hs.vic.gov.au/funded-agency-channel/home" TargetMode="External"/><Relationship Id="rId32" Type="http://schemas.openxmlformats.org/officeDocument/2006/relationships/hyperlink" Target="https://www.dffh.vic.gov.au/centre-evaluation-and-research-eviden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bvsti.information@health.vic.gov.au" TargetMode="External"/><Relationship Id="rId23" Type="http://schemas.openxmlformats.org/officeDocument/2006/relationships/hyperlink" Target="http://www.betterhealth.vic.gov.au/" TargetMode="External"/><Relationship Id="rId28" Type="http://schemas.openxmlformats.org/officeDocument/2006/relationships/hyperlink" Target="https://www.health.vic.gov.au/preventive-health/sexual-healt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ac.dffh.vic.gov.au/my-agency" TargetMode="External"/><Relationship Id="rId31" Type="http://schemas.openxmlformats.org/officeDocument/2006/relationships/hyperlink" Target="https://www.health.vic.gov.au/victorian-sexual-reproductive-health-viral-hepatitis-strategy-2022-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providers.dffh.vic.gov.au/families-fairness-housing-health-activity-search" TargetMode="External"/><Relationship Id="rId30" Type="http://schemas.openxmlformats.org/officeDocument/2006/relationships/hyperlink" Target="https://www.health.vic.gov.au/publications/evaluation-framework-for-health-promotion-and-disease-prevention-programs" TargetMode="External"/><Relationship Id="rId35" Type="http://schemas.openxmlformats.org/officeDocument/2006/relationships/hyperlink" Target="https://www.health.vic.gov.au/preventive-health/programs-and-services-for-sexual-health-and-viral-hepatiti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21" ma:contentTypeDescription="Create a new document." ma:contentTypeScope="" ma:versionID="3ace0fba14069352eee96e7f30f271af">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a5557713fff6fbcc46d7c901d8f1f75c"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Path" minOccurs="0"/>
                <xsd:element ref="ns2:test" minOccurs="0"/>
                <xsd:element ref="ns2:f3e2rf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ath" ma:index="24" nillable="true" ma:displayName="Path" ma:format="Dropdown" ma:internalName="Path">
      <xsd:simpleType>
        <xsd:restriction base="dms:Text">
          <xsd:maxLength value="255"/>
        </xsd:restriction>
      </xsd:simpleType>
    </xsd:element>
    <xsd:element name="test" ma:index="25" nillable="true" ma:displayName="test" ma:format="Dropdown" ma:internalName="test">
      <xsd:simpleType>
        <xsd:restriction base="dms:Text">
          <xsd:maxLength value="255"/>
        </xsd:restriction>
      </xsd:simpleType>
    </xsd:element>
    <xsd:element name="f3e2rf23" ma:index="26" nillable="true" ma:displayName="f3e2rf23" ma:format="Dropdown" ma:internalName="f3e2rf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test xmlns="47e38451-04d3-4ba3-b385-7c061ba67f5a" xsi:nil="true"/>
    <f3e2rf23 xmlns="47e38451-04d3-4ba3-b385-7c061ba67f5a" xsi:nil="true"/>
    <Path xmlns="47e38451-04d3-4ba3-b385-7c061ba67f5a" xsi:nil="true"/>
  </documentManagement>
</p:properties>
</file>

<file path=customXml/itemProps1.xml><?xml version="1.0" encoding="utf-8"?>
<ds:datastoreItem xmlns:ds="http://schemas.openxmlformats.org/officeDocument/2006/customXml" ds:itemID="{8EA64BD2-6CA2-4595-9946-26A6BF9F1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32</TotalTime>
  <Pages>32</Pages>
  <Words>7449</Words>
  <Characters>42460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BBVSTI Program Guidelines for Funded Agencies 2025</vt:lpstr>
    </vt:vector>
  </TitlesOfParts>
  <Manager/>
  <Company>Victoria State Government, Department of Health</Company>
  <LinksUpToDate>false</LinksUpToDate>
  <CharactersWithSpaces>49810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BBVSTI Program Guidelines for Funded Agencies 2025</dc:title>
  <dc:subject/>
  <dc:creator>Community and Public Health</dc:creator>
  <cp:keywords/>
  <dc:description/>
  <cp:lastModifiedBy>Tyler McPherson (Health)</cp:lastModifiedBy>
  <cp:revision>16</cp:revision>
  <cp:lastPrinted>2025-10-29T21:59:00Z</cp:lastPrinted>
  <dcterms:created xsi:type="dcterms:W3CDTF">2025-10-29T22:18:00Z</dcterms:created>
  <dcterms:modified xsi:type="dcterms:W3CDTF">2026-04-08T04:25:00Z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12032021</vt:lpwstr>
  </property>
  <property fmtid="{D5CDD505-2E9C-101B-9397-08002B2CF9AE}" pid="4" name="MSIP_Label_43e64453-338c-4f93-8a4d-0039a0a41f2a_Enabled">
    <vt:lpwstr>true</vt:lpwstr>
  </property>
  <property fmtid="{D5CDD505-2E9C-101B-9397-08002B2CF9AE}" pid="5" name="MSIP_Label_43e64453-338c-4f93-8a4d-0039a0a41f2a_SetDate">
    <vt:lpwstr>2021-03-12T01:24:49Z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ContentTypeId">
    <vt:lpwstr>0x010100C33D0C7B5DB48243899A425A906156C6</vt:lpwstr>
  </property>
  <property fmtid="{D5CDD505-2E9C-101B-9397-08002B2CF9AE}" pid="12" name="MediaServiceImageTags">
    <vt:lpwstr/>
  </property>
</Properties>
</file>