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B6115" w14:textId="77777777" w:rsidR="00056EC4" w:rsidRDefault="00E9042A" w:rsidP="00056EC4">
      <w:pPr>
        <w:pStyle w:val="Body"/>
      </w:pPr>
      <w:bookmarkStart w:id="0" w:name="_Hlk190335056"/>
      <w:bookmarkEnd w:id="0"/>
      <w:r>
        <w:rPr>
          <w:noProof/>
        </w:rPr>
        <w:drawing>
          <wp:anchor distT="0" distB="0" distL="114300" distR="114300" simplePos="0" relativeHeight="251658240" behindDoc="1" locked="1" layoutInCell="1" allowOverlap="0" wp14:anchorId="63BF4A5E" wp14:editId="1B2E863B">
            <wp:simplePos x="0" y="0"/>
            <wp:positionH relativeFrom="page">
              <wp:posOffset>0</wp:posOffset>
            </wp:positionH>
            <wp:positionV relativeFrom="page">
              <wp:posOffset>0</wp:posOffset>
            </wp:positionV>
            <wp:extent cx="7553973" cy="12192000"/>
            <wp:effectExtent l="0" t="0" r="8890" b="0"/>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rcRect/>
                    <a:stretch>
                      <a:fillRect/>
                    </a:stretch>
                  </pic:blipFill>
                  <pic:spPr>
                    <a:xfrm>
                      <a:off x="0" y="0"/>
                      <a:ext cx="7553973" cy="1219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5"/>
      </w:tblGrid>
      <w:tr w:rsidR="00AD784C" w14:paraId="3F0BD55B" w14:textId="77777777" w:rsidTr="49DDA01E">
        <w:trPr>
          <w:cantSplit/>
        </w:trPr>
        <w:tc>
          <w:tcPr>
            <w:tcW w:w="9285" w:type="dxa"/>
            <w:tcMar>
              <w:top w:w="0" w:type="dxa"/>
              <w:left w:w="0" w:type="dxa"/>
              <w:right w:w="0" w:type="dxa"/>
            </w:tcMar>
          </w:tcPr>
          <w:p w14:paraId="5948204B" w14:textId="2C811A6F" w:rsidR="00AD784C" w:rsidRPr="00431F42" w:rsidRDefault="003622EE" w:rsidP="0015719A">
            <w:pPr>
              <w:pStyle w:val="Documenttitle"/>
              <w:spacing w:before="720"/>
            </w:pPr>
            <w:r w:rsidRPr="00D30AC1">
              <w:rPr>
                <w:color w:val="1F497D" w:themeColor="text2"/>
              </w:rPr>
              <w:t>R</w:t>
            </w:r>
            <w:r w:rsidR="00885EBE" w:rsidRPr="00D30AC1">
              <w:rPr>
                <w:color w:val="1F497D" w:themeColor="text2"/>
              </w:rPr>
              <w:t>espiratory Syncytial Virus</w:t>
            </w:r>
            <w:r w:rsidRPr="00D30AC1">
              <w:rPr>
                <w:color w:val="1F497D" w:themeColor="text2"/>
              </w:rPr>
              <w:t xml:space="preserve"> </w:t>
            </w:r>
            <w:r w:rsidR="00862307" w:rsidRPr="00D30AC1">
              <w:rPr>
                <w:color w:val="1F497D" w:themeColor="text2"/>
              </w:rPr>
              <w:t>M</w:t>
            </w:r>
            <w:r w:rsidR="001E3112" w:rsidRPr="00D30AC1">
              <w:rPr>
                <w:color w:val="1F497D" w:themeColor="text2"/>
              </w:rPr>
              <w:t>other</w:t>
            </w:r>
            <w:r w:rsidR="00862307" w:rsidRPr="00D30AC1">
              <w:rPr>
                <w:color w:val="1F497D" w:themeColor="text2"/>
              </w:rPr>
              <w:t xml:space="preserve"> </w:t>
            </w:r>
            <w:r w:rsidR="00DE6432" w:rsidRPr="00D30AC1">
              <w:rPr>
                <w:color w:val="1F497D" w:themeColor="text2"/>
              </w:rPr>
              <w:t xml:space="preserve">and </w:t>
            </w:r>
            <w:r w:rsidR="005908BE" w:rsidRPr="00D30AC1">
              <w:rPr>
                <w:color w:val="1F497D" w:themeColor="text2"/>
              </w:rPr>
              <w:t>I</w:t>
            </w:r>
            <w:r w:rsidR="00433915" w:rsidRPr="00D30AC1">
              <w:rPr>
                <w:color w:val="1F497D" w:themeColor="text2"/>
              </w:rPr>
              <w:t xml:space="preserve">nfant </w:t>
            </w:r>
            <w:r w:rsidR="003266B8" w:rsidRPr="00D30AC1">
              <w:rPr>
                <w:color w:val="1F497D" w:themeColor="text2"/>
              </w:rPr>
              <w:t>Protection P</w:t>
            </w:r>
            <w:r w:rsidR="00433915" w:rsidRPr="00D30AC1">
              <w:rPr>
                <w:color w:val="1F497D" w:themeColor="text2"/>
              </w:rPr>
              <w:t xml:space="preserve">rogram </w:t>
            </w:r>
            <w:r w:rsidR="00BD5645" w:rsidRPr="00D30AC1">
              <w:rPr>
                <w:color w:val="1F497D" w:themeColor="text2"/>
              </w:rPr>
              <w:t>(RSV-MIPP)</w:t>
            </w:r>
          </w:p>
        </w:tc>
      </w:tr>
      <w:tr w:rsidR="00AD784C" w14:paraId="0ABBA6FB" w14:textId="77777777" w:rsidTr="49DDA01E">
        <w:trPr>
          <w:cantSplit/>
        </w:trPr>
        <w:tc>
          <w:tcPr>
            <w:tcW w:w="9285" w:type="dxa"/>
          </w:tcPr>
          <w:p w14:paraId="4404E46B" w14:textId="11BE244F" w:rsidR="00386109" w:rsidRPr="00A1389F" w:rsidRDefault="00433915" w:rsidP="009315BE">
            <w:pPr>
              <w:pStyle w:val="Documentsubtitle"/>
            </w:pPr>
            <w:r>
              <w:t>202</w:t>
            </w:r>
            <w:r w:rsidR="00252EAB">
              <w:t>6</w:t>
            </w:r>
            <w:r>
              <w:t xml:space="preserve"> </w:t>
            </w:r>
            <w:r w:rsidR="003A3511">
              <w:t xml:space="preserve">Toolkit </w:t>
            </w:r>
            <w:r w:rsidR="00955978">
              <w:t xml:space="preserve">for </w:t>
            </w:r>
            <w:r w:rsidR="00C85CD4">
              <w:t>i</w:t>
            </w:r>
            <w:r w:rsidR="00955978">
              <w:t>mmunisation providers</w:t>
            </w:r>
            <w:r w:rsidR="000A7BB8">
              <w:t xml:space="preserve"> </w:t>
            </w:r>
          </w:p>
        </w:tc>
      </w:tr>
      <w:tr w:rsidR="00430393" w14:paraId="432282BC" w14:textId="77777777" w:rsidTr="49DDA01E">
        <w:trPr>
          <w:cantSplit/>
        </w:trPr>
        <w:tc>
          <w:tcPr>
            <w:tcW w:w="9285" w:type="dxa"/>
          </w:tcPr>
          <w:p w14:paraId="5C0190F2" w14:textId="77777777" w:rsidR="00430393" w:rsidRDefault="00433915" w:rsidP="00430393">
            <w:pPr>
              <w:pStyle w:val="Bannermarking"/>
            </w:pPr>
            <w:fldSimple w:instr="FILLIN  &quot;Type the protective marking&quot; \d OFFICIAL \o  \* MERGEFORMAT">
              <w:r>
                <w:t>OFFICIAL</w:t>
              </w:r>
            </w:fldSimple>
          </w:p>
        </w:tc>
      </w:tr>
    </w:tbl>
    <w:p w14:paraId="1DFE3294" w14:textId="77777777" w:rsidR="00FE4081" w:rsidRDefault="00FE4081" w:rsidP="00FE4081">
      <w:pPr>
        <w:pStyle w:val="Body"/>
      </w:pPr>
    </w:p>
    <w:p w14:paraId="3BE707CC" w14:textId="77777777" w:rsidR="00FE4081" w:rsidRPr="00FE4081" w:rsidRDefault="00FE4081" w:rsidP="00FE4081">
      <w:pPr>
        <w:pStyle w:val="Body"/>
        <w:sectPr w:rsidR="00FE4081" w:rsidRPr="00FE4081" w:rsidSect="002C5B7C">
          <w:footerReference w:type="even" r:id="rId12"/>
          <w:footerReference w:type="default" r:id="rId13"/>
          <w:headerReference w:type="first" r:id="rId14"/>
          <w:footerReference w:type="first" r:id="rId15"/>
          <w:type w:val="continuous"/>
          <w:pgSz w:w="11906" w:h="16838" w:code="9"/>
          <w:pgMar w:top="3969" w:right="1304" w:bottom="1418" w:left="1304" w:header="680" w:footer="851" w:gutter="0"/>
          <w:cols w:space="340"/>
          <w:docGrid w:linePitch="360"/>
        </w:sectPr>
      </w:pPr>
    </w:p>
    <w:bookmarkStart w:id="1" w:name="_Toc187417189" w:displacedByCustomXml="next"/>
    <w:bookmarkStart w:id="2" w:name="_Hlk66712316" w:displacedByCustomXml="next"/>
    <w:sdt>
      <w:sdtPr>
        <w:rPr>
          <w:rFonts w:ascii="Arial" w:eastAsia="Times New Roman" w:hAnsi="Arial" w:cs="Times New Roman"/>
          <w:color w:val="auto"/>
          <w:sz w:val="21"/>
          <w:szCs w:val="20"/>
          <w:lang w:val="en-AU"/>
        </w:rPr>
        <w:id w:val="1790706798"/>
        <w:docPartObj>
          <w:docPartGallery w:val="Table of Contents"/>
          <w:docPartUnique/>
        </w:docPartObj>
      </w:sdtPr>
      <w:sdtEndPr>
        <w:rPr>
          <w:b/>
          <w:bCs/>
          <w:noProof/>
          <w:szCs w:val="21"/>
        </w:rPr>
      </w:sdtEndPr>
      <w:sdtContent>
        <w:p w14:paraId="14393793" w14:textId="6E57B241" w:rsidR="000C181E" w:rsidRDefault="000C181E">
          <w:pPr>
            <w:pStyle w:val="TOCHeading"/>
          </w:pPr>
          <w:r>
            <w:t>Contents</w:t>
          </w:r>
        </w:p>
        <w:p w14:paraId="168962CB" w14:textId="44822551" w:rsidR="000640B1" w:rsidRDefault="000C181E">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"1-3" \h \z \u </w:instrText>
          </w:r>
          <w:r>
            <w:fldChar w:fldCharType="separate"/>
          </w:r>
          <w:hyperlink w:anchor="_Toc220935974" w:history="1">
            <w:r w:rsidR="000640B1" w:rsidRPr="000C4505">
              <w:rPr>
                <w:rStyle w:val="Hyperlink"/>
              </w:rPr>
              <w:t>Introduction</w:t>
            </w:r>
            <w:r w:rsidR="000640B1">
              <w:rPr>
                <w:webHidden/>
              </w:rPr>
              <w:tab/>
            </w:r>
            <w:r w:rsidR="000640B1">
              <w:rPr>
                <w:webHidden/>
              </w:rPr>
              <w:fldChar w:fldCharType="begin"/>
            </w:r>
            <w:r w:rsidR="000640B1">
              <w:rPr>
                <w:webHidden/>
              </w:rPr>
              <w:instrText xml:space="preserve"> PAGEREF _Toc220935974 \h </w:instrText>
            </w:r>
            <w:r w:rsidR="000640B1">
              <w:rPr>
                <w:webHidden/>
              </w:rPr>
            </w:r>
            <w:r w:rsidR="000640B1">
              <w:rPr>
                <w:webHidden/>
              </w:rPr>
              <w:fldChar w:fldCharType="separate"/>
            </w:r>
            <w:r w:rsidR="000640B1">
              <w:rPr>
                <w:webHidden/>
              </w:rPr>
              <w:t>3</w:t>
            </w:r>
            <w:r w:rsidR="000640B1">
              <w:rPr>
                <w:webHidden/>
              </w:rPr>
              <w:fldChar w:fldCharType="end"/>
            </w:r>
          </w:hyperlink>
        </w:p>
        <w:p w14:paraId="2F9FC3CA" w14:textId="238C54A0"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75" w:history="1">
            <w:r w:rsidRPr="000C4505">
              <w:rPr>
                <w:rStyle w:val="Hyperlink"/>
              </w:rPr>
              <w:t>Background</w:t>
            </w:r>
            <w:r>
              <w:rPr>
                <w:webHidden/>
              </w:rPr>
              <w:tab/>
            </w:r>
            <w:r>
              <w:rPr>
                <w:webHidden/>
              </w:rPr>
              <w:fldChar w:fldCharType="begin"/>
            </w:r>
            <w:r>
              <w:rPr>
                <w:webHidden/>
              </w:rPr>
              <w:instrText xml:space="preserve"> PAGEREF _Toc220935975 \h </w:instrText>
            </w:r>
            <w:r>
              <w:rPr>
                <w:webHidden/>
              </w:rPr>
            </w:r>
            <w:r>
              <w:rPr>
                <w:webHidden/>
              </w:rPr>
              <w:fldChar w:fldCharType="separate"/>
            </w:r>
            <w:r>
              <w:rPr>
                <w:webHidden/>
              </w:rPr>
              <w:t>3</w:t>
            </w:r>
            <w:r>
              <w:rPr>
                <w:webHidden/>
              </w:rPr>
              <w:fldChar w:fldCharType="end"/>
            </w:r>
          </w:hyperlink>
        </w:p>
        <w:p w14:paraId="1F26DF25" w14:textId="1D5B98D0"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76" w:history="1">
            <w:r w:rsidRPr="000C4505">
              <w:rPr>
                <w:rStyle w:val="Hyperlink"/>
              </w:rPr>
              <w:t>RSV Mother and Infant Protection Program (RSV-MIPP)</w:t>
            </w:r>
            <w:r>
              <w:rPr>
                <w:webHidden/>
              </w:rPr>
              <w:tab/>
            </w:r>
            <w:r>
              <w:rPr>
                <w:webHidden/>
              </w:rPr>
              <w:fldChar w:fldCharType="begin"/>
            </w:r>
            <w:r>
              <w:rPr>
                <w:webHidden/>
              </w:rPr>
              <w:instrText xml:space="preserve"> PAGEREF _Toc220935976 \h </w:instrText>
            </w:r>
            <w:r>
              <w:rPr>
                <w:webHidden/>
              </w:rPr>
            </w:r>
            <w:r>
              <w:rPr>
                <w:webHidden/>
              </w:rPr>
              <w:fldChar w:fldCharType="separate"/>
            </w:r>
            <w:r>
              <w:rPr>
                <w:webHidden/>
              </w:rPr>
              <w:t>3</w:t>
            </w:r>
            <w:r>
              <w:rPr>
                <w:webHidden/>
              </w:rPr>
              <w:fldChar w:fldCharType="end"/>
            </w:r>
          </w:hyperlink>
        </w:p>
        <w:p w14:paraId="314B6236" w14:textId="110F8E3F"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77" w:history="1">
            <w:r w:rsidRPr="000C4505">
              <w:rPr>
                <w:rStyle w:val="Hyperlink"/>
              </w:rPr>
              <w:t xml:space="preserve">Eligibility for </w:t>
            </w:r>
            <w:r w:rsidRPr="000C4505">
              <w:rPr>
                <w:rStyle w:val="Hyperlink"/>
                <w:lang w:eastAsia="en-AU"/>
              </w:rPr>
              <w:t>Beyfortus™ (nirsevimab)</w:t>
            </w:r>
            <w:r>
              <w:rPr>
                <w:webHidden/>
              </w:rPr>
              <w:tab/>
            </w:r>
            <w:r>
              <w:rPr>
                <w:webHidden/>
              </w:rPr>
              <w:fldChar w:fldCharType="begin"/>
            </w:r>
            <w:r>
              <w:rPr>
                <w:webHidden/>
              </w:rPr>
              <w:instrText xml:space="preserve"> PAGEREF _Toc220935977 \h </w:instrText>
            </w:r>
            <w:r>
              <w:rPr>
                <w:webHidden/>
              </w:rPr>
            </w:r>
            <w:r>
              <w:rPr>
                <w:webHidden/>
              </w:rPr>
              <w:fldChar w:fldCharType="separate"/>
            </w:r>
            <w:r>
              <w:rPr>
                <w:webHidden/>
              </w:rPr>
              <w:t>4</w:t>
            </w:r>
            <w:r>
              <w:rPr>
                <w:webHidden/>
              </w:rPr>
              <w:fldChar w:fldCharType="end"/>
            </w:r>
          </w:hyperlink>
        </w:p>
        <w:p w14:paraId="34038E4E" w14:textId="11FCCBC2" w:rsidR="000640B1" w:rsidRDefault="000640B1">
          <w:pPr>
            <w:pStyle w:val="TOC3"/>
            <w:rPr>
              <w:rFonts w:asciiTheme="minorHAnsi" w:eastAsiaTheme="minorEastAsia" w:hAnsiTheme="minorHAnsi" w:cstheme="minorBidi"/>
              <w:noProof/>
              <w:kern w:val="2"/>
              <w:sz w:val="24"/>
              <w:szCs w:val="24"/>
              <w:lang w:eastAsia="en-AU"/>
              <w14:ligatures w14:val="standardContextual"/>
            </w:rPr>
          </w:pPr>
          <w:hyperlink w:anchor="_Toc220935978" w:history="1">
            <w:r w:rsidRPr="000C4505">
              <w:rPr>
                <w:rStyle w:val="Hyperlink"/>
                <w:b/>
                <w:noProof/>
              </w:rPr>
              <w:t>Birth dose</w:t>
            </w:r>
            <w:r>
              <w:rPr>
                <w:noProof/>
                <w:webHidden/>
              </w:rPr>
              <w:tab/>
            </w:r>
            <w:r>
              <w:rPr>
                <w:noProof/>
                <w:webHidden/>
              </w:rPr>
              <w:fldChar w:fldCharType="begin"/>
            </w:r>
            <w:r>
              <w:rPr>
                <w:noProof/>
                <w:webHidden/>
              </w:rPr>
              <w:instrText xml:space="preserve"> PAGEREF _Toc220935978 \h </w:instrText>
            </w:r>
            <w:r>
              <w:rPr>
                <w:noProof/>
                <w:webHidden/>
              </w:rPr>
            </w:r>
            <w:r>
              <w:rPr>
                <w:noProof/>
                <w:webHidden/>
              </w:rPr>
              <w:fldChar w:fldCharType="separate"/>
            </w:r>
            <w:r>
              <w:rPr>
                <w:noProof/>
                <w:webHidden/>
              </w:rPr>
              <w:t>4</w:t>
            </w:r>
            <w:r>
              <w:rPr>
                <w:noProof/>
                <w:webHidden/>
              </w:rPr>
              <w:fldChar w:fldCharType="end"/>
            </w:r>
          </w:hyperlink>
        </w:p>
        <w:p w14:paraId="07771444" w14:textId="6304B5AA"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79" w:history="1">
            <w:r w:rsidRPr="000C4505">
              <w:rPr>
                <w:rStyle w:val="Hyperlink"/>
              </w:rPr>
              <w:t>Up to 8 months of age</w:t>
            </w:r>
            <w:r>
              <w:rPr>
                <w:webHidden/>
              </w:rPr>
              <w:tab/>
            </w:r>
            <w:r>
              <w:rPr>
                <w:webHidden/>
              </w:rPr>
              <w:fldChar w:fldCharType="begin"/>
            </w:r>
            <w:r>
              <w:rPr>
                <w:webHidden/>
              </w:rPr>
              <w:instrText xml:space="preserve"> PAGEREF _Toc220935979 \h </w:instrText>
            </w:r>
            <w:r>
              <w:rPr>
                <w:webHidden/>
              </w:rPr>
            </w:r>
            <w:r>
              <w:rPr>
                <w:webHidden/>
              </w:rPr>
              <w:fldChar w:fldCharType="separate"/>
            </w:r>
            <w:r>
              <w:rPr>
                <w:webHidden/>
              </w:rPr>
              <w:t>5</w:t>
            </w:r>
            <w:r>
              <w:rPr>
                <w:webHidden/>
              </w:rPr>
              <w:fldChar w:fldCharType="end"/>
            </w:r>
          </w:hyperlink>
        </w:p>
        <w:p w14:paraId="7E512494" w14:textId="6E4D0561"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80" w:history="1">
            <w:r w:rsidRPr="000C4505">
              <w:rPr>
                <w:rStyle w:val="Hyperlink"/>
              </w:rPr>
              <w:t>8 months to less than 24 months of age</w:t>
            </w:r>
            <w:r>
              <w:rPr>
                <w:webHidden/>
              </w:rPr>
              <w:tab/>
            </w:r>
            <w:r>
              <w:rPr>
                <w:webHidden/>
              </w:rPr>
              <w:fldChar w:fldCharType="begin"/>
            </w:r>
            <w:r>
              <w:rPr>
                <w:webHidden/>
              </w:rPr>
              <w:instrText xml:space="preserve"> PAGEREF _Toc220935980 \h </w:instrText>
            </w:r>
            <w:r>
              <w:rPr>
                <w:webHidden/>
              </w:rPr>
            </w:r>
            <w:r>
              <w:rPr>
                <w:webHidden/>
              </w:rPr>
              <w:fldChar w:fldCharType="separate"/>
            </w:r>
            <w:r>
              <w:rPr>
                <w:webHidden/>
              </w:rPr>
              <w:t>5</w:t>
            </w:r>
            <w:r>
              <w:rPr>
                <w:webHidden/>
              </w:rPr>
              <w:fldChar w:fldCharType="end"/>
            </w:r>
          </w:hyperlink>
        </w:p>
        <w:p w14:paraId="09F54498" w14:textId="37DE896E"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81" w:history="1">
            <w:r w:rsidRPr="000C4505">
              <w:rPr>
                <w:rStyle w:val="Hyperlink"/>
              </w:rPr>
              <w:t>Previous RSV infection</w:t>
            </w:r>
            <w:r>
              <w:rPr>
                <w:webHidden/>
              </w:rPr>
              <w:tab/>
            </w:r>
            <w:r>
              <w:rPr>
                <w:webHidden/>
              </w:rPr>
              <w:fldChar w:fldCharType="begin"/>
            </w:r>
            <w:r>
              <w:rPr>
                <w:webHidden/>
              </w:rPr>
              <w:instrText xml:space="preserve"> PAGEREF _Toc220935981 \h </w:instrText>
            </w:r>
            <w:r>
              <w:rPr>
                <w:webHidden/>
              </w:rPr>
            </w:r>
            <w:r>
              <w:rPr>
                <w:webHidden/>
              </w:rPr>
              <w:fldChar w:fldCharType="separate"/>
            </w:r>
            <w:r>
              <w:rPr>
                <w:webHidden/>
              </w:rPr>
              <w:t>5</w:t>
            </w:r>
            <w:r>
              <w:rPr>
                <w:webHidden/>
              </w:rPr>
              <w:fldChar w:fldCharType="end"/>
            </w:r>
          </w:hyperlink>
        </w:p>
        <w:p w14:paraId="21553464" w14:textId="2C05C20A"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82" w:history="1">
            <w:r w:rsidRPr="000C4505">
              <w:rPr>
                <w:rStyle w:val="Hyperlink"/>
                <w:bCs/>
              </w:rPr>
              <w:t>Interchangeability of RSV immunisation products</w:t>
            </w:r>
            <w:r>
              <w:rPr>
                <w:webHidden/>
              </w:rPr>
              <w:tab/>
            </w:r>
            <w:r>
              <w:rPr>
                <w:webHidden/>
              </w:rPr>
              <w:fldChar w:fldCharType="begin"/>
            </w:r>
            <w:r>
              <w:rPr>
                <w:webHidden/>
              </w:rPr>
              <w:instrText xml:space="preserve"> PAGEREF _Toc220935982 \h </w:instrText>
            </w:r>
            <w:r>
              <w:rPr>
                <w:webHidden/>
              </w:rPr>
            </w:r>
            <w:r>
              <w:rPr>
                <w:webHidden/>
              </w:rPr>
              <w:fldChar w:fldCharType="separate"/>
            </w:r>
            <w:r>
              <w:rPr>
                <w:webHidden/>
              </w:rPr>
              <w:t>5</w:t>
            </w:r>
            <w:r>
              <w:rPr>
                <w:webHidden/>
              </w:rPr>
              <w:fldChar w:fldCharType="end"/>
            </w:r>
          </w:hyperlink>
        </w:p>
        <w:p w14:paraId="5CC7AA81" w14:textId="1C36FE11"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83" w:history="1">
            <w:r w:rsidRPr="000C4505">
              <w:rPr>
                <w:rStyle w:val="Hyperlink"/>
              </w:rPr>
              <w:t>Ordering Beyfortus™ (nirsevimab)</w:t>
            </w:r>
            <w:r>
              <w:rPr>
                <w:webHidden/>
              </w:rPr>
              <w:tab/>
            </w:r>
            <w:r>
              <w:rPr>
                <w:webHidden/>
              </w:rPr>
              <w:fldChar w:fldCharType="begin"/>
            </w:r>
            <w:r>
              <w:rPr>
                <w:webHidden/>
              </w:rPr>
              <w:instrText xml:space="preserve"> PAGEREF _Toc220935983 \h </w:instrText>
            </w:r>
            <w:r>
              <w:rPr>
                <w:webHidden/>
              </w:rPr>
            </w:r>
            <w:r>
              <w:rPr>
                <w:webHidden/>
              </w:rPr>
              <w:fldChar w:fldCharType="separate"/>
            </w:r>
            <w:r>
              <w:rPr>
                <w:webHidden/>
              </w:rPr>
              <w:t>5</w:t>
            </w:r>
            <w:r>
              <w:rPr>
                <w:webHidden/>
              </w:rPr>
              <w:fldChar w:fldCharType="end"/>
            </w:r>
          </w:hyperlink>
        </w:p>
        <w:p w14:paraId="72E51052" w14:textId="782A0D67"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84" w:history="1">
            <w:r w:rsidRPr="000C4505">
              <w:rPr>
                <w:rStyle w:val="Hyperlink"/>
                <w:rFonts w:eastAsia="MS Gothic"/>
              </w:rPr>
              <w:t>Product information</w:t>
            </w:r>
            <w:r>
              <w:rPr>
                <w:webHidden/>
              </w:rPr>
              <w:tab/>
            </w:r>
            <w:r>
              <w:rPr>
                <w:webHidden/>
              </w:rPr>
              <w:fldChar w:fldCharType="begin"/>
            </w:r>
            <w:r>
              <w:rPr>
                <w:webHidden/>
              </w:rPr>
              <w:instrText xml:space="preserve"> PAGEREF _Toc220935984 \h </w:instrText>
            </w:r>
            <w:r>
              <w:rPr>
                <w:webHidden/>
              </w:rPr>
            </w:r>
            <w:r>
              <w:rPr>
                <w:webHidden/>
              </w:rPr>
              <w:fldChar w:fldCharType="separate"/>
            </w:r>
            <w:r>
              <w:rPr>
                <w:webHidden/>
              </w:rPr>
              <w:t>6</w:t>
            </w:r>
            <w:r>
              <w:rPr>
                <w:webHidden/>
              </w:rPr>
              <w:fldChar w:fldCharType="end"/>
            </w:r>
          </w:hyperlink>
        </w:p>
        <w:p w14:paraId="58B0047C" w14:textId="4353FBBC"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85" w:history="1">
            <w:r w:rsidRPr="000C4505">
              <w:rPr>
                <w:rStyle w:val="Hyperlink"/>
              </w:rPr>
              <w:t>Presentation</w:t>
            </w:r>
            <w:r>
              <w:rPr>
                <w:webHidden/>
              </w:rPr>
              <w:tab/>
            </w:r>
            <w:r>
              <w:rPr>
                <w:webHidden/>
              </w:rPr>
              <w:fldChar w:fldCharType="begin"/>
            </w:r>
            <w:r>
              <w:rPr>
                <w:webHidden/>
              </w:rPr>
              <w:instrText xml:space="preserve"> PAGEREF _Toc220935985 \h </w:instrText>
            </w:r>
            <w:r>
              <w:rPr>
                <w:webHidden/>
              </w:rPr>
            </w:r>
            <w:r>
              <w:rPr>
                <w:webHidden/>
              </w:rPr>
              <w:fldChar w:fldCharType="separate"/>
            </w:r>
            <w:r>
              <w:rPr>
                <w:webHidden/>
              </w:rPr>
              <w:t>6</w:t>
            </w:r>
            <w:r>
              <w:rPr>
                <w:webHidden/>
              </w:rPr>
              <w:fldChar w:fldCharType="end"/>
            </w:r>
          </w:hyperlink>
        </w:p>
        <w:p w14:paraId="73A8FC0F" w14:textId="320840AE"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86" w:history="1">
            <w:r w:rsidRPr="000C4505">
              <w:rPr>
                <w:rStyle w:val="Hyperlink"/>
              </w:rPr>
              <w:t>Storage and cold chain management</w:t>
            </w:r>
            <w:r>
              <w:rPr>
                <w:webHidden/>
              </w:rPr>
              <w:tab/>
            </w:r>
            <w:r>
              <w:rPr>
                <w:webHidden/>
              </w:rPr>
              <w:fldChar w:fldCharType="begin"/>
            </w:r>
            <w:r>
              <w:rPr>
                <w:webHidden/>
              </w:rPr>
              <w:instrText xml:space="preserve"> PAGEREF _Toc220935986 \h </w:instrText>
            </w:r>
            <w:r>
              <w:rPr>
                <w:webHidden/>
              </w:rPr>
            </w:r>
            <w:r>
              <w:rPr>
                <w:webHidden/>
              </w:rPr>
              <w:fldChar w:fldCharType="separate"/>
            </w:r>
            <w:r>
              <w:rPr>
                <w:webHidden/>
              </w:rPr>
              <w:t>6</w:t>
            </w:r>
            <w:r>
              <w:rPr>
                <w:webHidden/>
              </w:rPr>
              <w:fldChar w:fldCharType="end"/>
            </w:r>
          </w:hyperlink>
        </w:p>
        <w:p w14:paraId="34DAC4AF" w14:textId="5CE4D6DF"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87" w:history="1">
            <w:r w:rsidRPr="000C4505">
              <w:rPr>
                <w:rStyle w:val="Hyperlink"/>
              </w:rPr>
              <w:t>Administration</w:t>
            </w:r>
            <w:r>
              <w:rPr>
                <w:webHidden/>
              </w:rPr>
              <w:tab/>
            </w:r>
            <w:r>
              <w:rPr>
                <w:webHidden/>
              </w:rPr>
              <w:fldChar w:fldCharType="begin"/>
            </w:r>
            <w:r>
              <w:rPr>
                <w:webHidden/>
              </w:rPr>
              <w:instrText xml:space="preserve"> PAGEREF _Toc220935987 \h </w:instrText>
            </w:r>
            <w:r>
              <w:rPr>
                <w:webHidden/>
              </w:rPr>
            </w:r>
            <w:r>
              <w:rPr>
                <w:webHidden/>
              </w:rPr>
              <w:fldChar w:fldCharType="separate"/>
            </w:r>
            <w:r>
              <w:rPr>
                <w:webHidden/>
              </w:rPr>
              <w:t>6</w:t>
            </w:r>
            <w:r>
              <w:rPr>
                <w:webHidden/>
              </w:rPr>
              <w:fldChar w:fldCharType="end"/>
            </w:r>
          </w:hyperlink>
        </w:p>
        <w:p w14:paraId="47B84384" w14:textId="659B985F"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88" w:history="1">
            <w:r w:rsidRPr="000C4505">
              <w:rPr>
                <w:rStyle w:val="Hyperlink"/>
                <w:bCs/>
              </w:rPr>
              <w:t>Dosing recommendations</w:t>
            </w:r>
            <w:r>
              <w:rPr>
                <w:webHidden/>
              </w:rPr>
              <w:tab/>
            </w:r>
            <w:r>
              <w:rPr>
                <w:webHidden/>
              </w:rPr>
              <w:fldChar w:fldCharType="begin"/>
            </w:r>
            <w:r>
              <w:rPr>
                <w:webHidden/>
              </w:rPr>
              <w:instrText xml:space="preserve"> PAGEREF _Toc220935988 \h </w:instrText>
            </w:r>
            <w:r>
              <w:rPr>
                <w:webHidden/>
              </w:rPr>
            </w:r>
            <w:r>
              <w:rPr>
                <w:webHidden/>
              </w:rPr>
              <w:fldChar w:fldCharType="separate"/>
            </w:r>
            <w:r>
              <w:rPr>
                <w:webHidden/>
              </w:rPr>
              <w:t>6</w:t>
            </w:r>
            <w:r>
              <w:rPr>
                <w:webHidden/>
              </w:rPr>
              <w:fldChar w:fldCharType="end"/>
            </w:r>
          </w:hyperlink>
        </w:p>
        <w:p w14:paraId="030305E9" w14:textId="0A8302BF"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89" w:history="1">
            <w:r w:rsidRPr="000C4505">
              <w:rPr>
                <w:rStyle w:val="Hyperlink"/>
              </w:rPr>
              <w:t>Consent</w:t>
            </w:r>
            <w:r>
              <w:rPr>
                <w:webHidden/>
              </w:rPr>
              <w:tab/>
            </w:r>
            <w:r>
              <w:rPr>
                <w:webHidden/>
              </w:rPr>
              <w:fldChar w:fldCharType="begin"/>
            </w:r>
            <w:r>
              <w:rPr>
                <w:webHidden/>
              </w:rPr>
              <w:instrText xml:space="preserve"> PAGEREF _Toc220935989 \h </w:instrText>
            </w:r>
            <w:r>
              <w:rPr>
                <w:webHidden/>
              </w:rPr>
            </w:r>
            <w:r>
              <w:rPr>
                <w:webHidden/>
              </w:rPr>
              <w:fldChar w:fldCharType="separate"/>
            </w:r>
            <w:r>
              <w:rPr>
                <w:webHidden/>
              </w:rPr>
              <w:t>7</w:t>
            </w:r>
            <w:r>
              <w:rPr>
                <w:webHidden/>
              </w:rPr>
              <w:fldChar w:fldCharType="end"/>
            </w:r>
          </w:hyperlink>
        </w:p>
        <w:p w14:paraId="26065ECA" w14:textId="13098815"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90" w:history="1">
            <w:r w:rsidRPr="000C4505">
              <w:rPr>
                <w:rStyle w:val="Hyperlink"/>
              </w:rPr>
              <w:t>Administration route</w:t>
            </w:r>
            <w:r>
              <w:rPr>
                <w:webHidden/>
              </w:rPr>
              <w:tab/>
            </w:r>
            <w:r>
              <w:rPr>
                <w:webHidden/>
              </w:rPr>
              <w:fldChar w:fldCharType="begin"/>
            </w:r>
            <w:r>
              <w:rPr>
                <w:webHidden/>
              </w:rPr>
              <w:instrText xml:space="preserve"> PAGEREF _Toc220935990 \h </w:instrText>
            </w:r>
            <w:r>
              <w:rPr>
                <w:webHidden/>
              </w:rPr>
            </w:r>
            <w:r>
              <w:rPr>
                <w:webHidden/>
              </w:rPr>
              <w:fldChar w:fldCharType="separate"/>
            </w:r>
            <w:r>
              <w:rPr>
                <w:webHidden/>
              </w:rPr>
              <w:t>7</w:t>
            </w:r>
            <w:r>
              <w:rPr>
                <w:webHidden/>
              </w:rPr>
              <w:fldChar w:fldCharType="end"/>
            </w:r>
          </w:hyperlink>
        </w:p>
        <w:p w14:paraId="5D6F2621" w14:textId="3C938A00"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91" w:history="1">
            <w:r w:rsidRPr="000C4505">
              <w:rPr>
                <w:rStyle w:val="Hyperlink"/>
              </w:rPr>
              <w:t>Co-administration with other vaccines</w:t>
            </w:r>
            <w:r>
              <w:rPr>
                <w:webHidden/>
              </w:rPr>
              <w:tab/>
            </w:r>
            <w:r>
              <w:rPr>
                <w:webHidden/>
              </w:rPr>
              <w:fldChar w:fldCharType="begin"/>
            </w:r>
            <w:r>
              <w:rPr>
                <w:webHidden/>
              </w:rPr>
              <w:instrText xml:space="preserve"> PAGEREF _Toc220935991 \h </w:instrText>
            </w:r>
            <w:r>
              <w:rPr>
                <w:webHidden/>
              </w:rPr>
            </w:r>
            <w:r>
              <w:rPr>
                <w:webHidden/>
              </w:rPr>
              <w:fldChar w:fldCharType="separate"/>
            </w:r>
            <w:r>
              <w:rPr>
                <w:webHidden/>
              </w:rPr>
              <w:t>8</w:t>
            </w:r>
            <w:r>
              <w:rPr>
                <w:webHidden/>
              </w:rPr>
              <w:fldChar w:fldCharType="end"/>
            </w:r>
          </w:hyperlink>
        </w:p>
        <w:p w14:paraId="0C169A0E" w14:textId="491AC089"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92" w:history="1">
            <w:r w:rsidRPr="000C4505">
              <w:rPr>
                <w:rStyle w:val="Hyperlink"/>
              </w:rPr>
              <w:t>Contraindications and precautions</w:t>
            </w:r>
            <w:r>
              <w:rPr>
                <w:webHidden/>
              </w:rPr>
              <w:tab/>
            </w:r>
            <w:r>
              <w:rPr>
                <w:webHidden/>
              </w:rPr>
              <w:fldChar w:fldCharType="begin"/>
            </w:r>
            <w:r>
              <w:rPr>
                <w:webHidden/>
              </w:rPr>
              <w:instrText xml:space="preserve"> PAGEREF _Toc220935992 \h </w:instrText>
            </w:r>
            <w:r>
              <w:rPr>
                <w:webHidden/>
              </w:rPr>
            </w:r>
            <w:r>
              <w:rPr>
                <w:webHidden/>
              </w:rPr>
              <w:fldChar w:fldCharType="separate"/>
            </w:r>
            <w:r>
              <w:rPr>
                <w:webHidden/>
              </w:rPr>
              <w:t>8</w:t>
            </w:r>
            <w:r>
              <w:rPr>
                <w:webHidden/>
              </w:rPr>
              <w:fldChar w:fldCharType="end"/>
            </w:r>
          </w:hyperlink>
        </w:p>
        <w:p w14:paraId="5A20CB4C" w14:textId="52E969A3"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93" w:history="1">
            <w:r w:rsidRPr="000C4505">
              <w:rPr>
                <w:rStyle w:val="Hyperlink"/>
                <w:shd w:val="clear" w:color="auto" w:fill="FFFFFF"/>
              </w:rPr>
              <w:t>Adverse events following immunisation</w:t>
            </w:r>
            <w:r>
              <w:rPr>
                <w:webHidden/>
              </w:rPr>
              <w:tab/>
            </w:r>
            <w:r>
              <w:rPr>
                <w:webHidden/>
              </w:rPr>
              <w:fldChar w:fldCharType="begin"/>
            </w:r>
            <w:r>
              <w:rPr>
                <w:webHidden/>
              </w:rPr>
              <w:instrText xml:space="preserve"> PAGEREF _Toc220935993 \h </w:instrText>
            </w:r>
            <w:r>
              <w:rPr>
                <w:webHidden/>
              </w:rPr>
            </w:r>
            <w:r>
              <w:rPr>
                <w:webHidden/>
              </w:rPr>
              <w:fldChar w:fldCharType="separate"/>
            </w:r>
            <w:r>
              <w:rPr>
                <w:webHidden/>
              </w:rPr>
              <w:t>9</w:t>
            </w:r>
            <w:r>
              <w:rPr>
                <w:webHidden/>
              </w:rPr>
              <w:fldChar w:fldCharType="end"/>
            </w:r>
          </w:hyperlink>
        </w:p>
        <w:p w14:paraId="37241600" w14:textId="425F4D18"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94" w:history="1">
            <w:r w:rsidRPr="000C4505">
              <w:rPr>
                <w:rStyle w:val="Hyperlink"/>
              </w:rPr>
              <w:t>Reporting to the AIR</w:t>
            </w:r>
            <w:r>
              <w:rPr>
                <w:webHidden/>
              </w:rPr>
              <w:tab/>
            </w:r>
            <w:r>
              <w:rPr>
                <w:webHidden/>
              </w:rPr>
              <w:fldChar w:fldCharType="begin"/>
            </w:r>
            <w:r>
              <w:rPr>
                <w:webHidden/>
              </w:rPr>
              <w:instrText xml:space="preserve"> PAGEREF _Toc220935994 \h </w:instrText>
            </w:r>
            <w:r>
              <w:rPr>
                <w:webHidden/>
              </w:rPr>
            </w:r>
            <w:r>
              <w:rPr>
                <w:webHidden/>
              </w:rPr>
              <w:fldChar w:fldCharType="separate"/>
            </w:r>
            <w:r>
              <w:rPr>
                <w:webHidden/>
              </w:rPr>
              <w:t>10</w:t>
            </w:r>
            <w:r>
              <w:rPr>
                <w:webHidden/>
              </w:rPr>
              <w:fldChar w:fldCharType="end"/>
            </w:r>
          </w:hyperlink>
        </w:p>
        <w:p w14:paraId="7E6CCD58" w14:textId="4E26EDF0"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95" w:history="1">
            <w:r w:rsidRPr="000C4505">
              <w:rPr>
                <w:rStyle w:val="Hyperlink"/>
              </w:rPr>
              <w:t>Immunisation providers</w:t>
            </w:r>
            <w:r>
              <w:rPr>
                <w:webHidden/>
              </w:rPr>
              <w:tab/>
            </w:r>
            <w:r>
              <w:rPr>
                <w:webHidden/>
              </w:rPr>
              <w:fldChar w:fldCharType="begin"/>
            </w:r>
            <w:r>
              <w:rPr>
                <w:webHidden/>
              </w:rPr>
              <w:instrText xml:space="preserve"> PAGEREF _Toc220935995 \h </w:instrText>
            </w:r>
            <w:r>
              <w:rPr>
                <w:webHidden/>
              </w:rPr>
            </w:r>
            <w:r>
              <w:rPr>
                <w:webHidden/>
              </w:rPr>
              <w:fldChar w:fldCharType="separate"/>
            </w:r>
            <w:r>
              <w:rPr>
                <w:webHidden/>
              </w:rPr>
              <w:t>10</w:t>
            </w:r>
            <w:r>
              <w:rPr>
                <w:webHidden/>
              </w:rPr>
              <w:fldChar w:fldCharType="end"/>
            </w:r>
          </w:hyperlink>
        </w:p>
        <w:p w14:paraId="2F0EB6E2" w14:textId="2819778D"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96" w:history="1">
            <w:r w:rsidRPr="00844B99">
              <w:rPr>
                <w:rStyle w:val="Hyperlink"/>
              </w:rPr>
              <w:t>Key resources</w:t>
            </w:r>
            <w:r w:rsidRPr="00844B99">
              <w:rPr>
                <w:webHidden/>
              </w:rPr>
              <w:tab/>
            </w:r>
            <w:r w:rsidRPr="00844B99">
              <w:rPr>
                <w:webHidden/>
              </w:rPr>
              <w:fldChar w:fldCharType="begin"/>
            </w:r>
            <w:r w:rsidRPr="00844B99">
              <w:rPr>
                <w:webHidden/>
              </w:rPr>
              <w:instrText xml:space="preserve"> PAGEREF _Toc220935996 \h </w:instrText>
            </w:r>
            <w:r w:rsidRPr="00844B99">
              <w:rPr>
                <w:webHidden/>
              </w:rPr>
            </w:r>
            <w:r w:rsidRPr="00844B99">
              <w:rPr>
                <w:webHidden/>
              </w:rPr>
              <w:fldChar w:fldCharType="separate"/>
            </w:r>
            <w:r w:rsidRPr="00844B99">
              <w:rPr>
                <w:webHidden/>
              </w:rPr>
              <w:t>10</w:t>
            </w:r>
            <w:r w:rsidRPr="00844B99">
              <w:rPr>
                <w:webHidden/>
              </w:rPr>
              <w:fldChar w:fldCharType="end"/>
            </w:r>
          </w:hyperlink>
        </w:p>
        <w:p w14:paraId="7215ADDC" w14:textId="628AD723" w:rsidR="000C181E" w:rsidRDefault="000C181E">
          <w:r>
            <w:rPr>
              <w:b/>
              <w:bCs/>
              <w:noProof/>
            </w:rPr>
            <w:fldChar w:fldCharType="end"/>
          </w:r>
        </w:p>
      </w:sdtContent>
    </w:sdt>
    <w:p w14:paraId="20E4CEF9" w14:textId="77777777" w:rsidR="000C181E" w:rsidRDefault="000C181E">
      <w:pPr>
        <w:spacing w:after="0" w:line="240" w:lineRule="auto"/>
        <w:rPr>
          <w:rFonts w:eastAsia="MS Gothic" w:cs="Arial"/>
          <w:bCs/>
          <w:color w:val="201547"/>
          <w:kern w:val="32"/>
          <w:sz w:val="36"/>
          <w:szCs w:val="36"/>
        </w:rPr>
      </w:pPr>
      <w:r>
        <w:rPr>
          <w:sz w:val="36"/>
          <w:szCs w:val="36"/>
        </w:rPr>
        <w:br w:type="page"/>
      </w:r>
    </w:p>
    <w:p w14:paraId="0B677DD4" w14:textId="1BA8417B" w:rsidR="00EE29AD" w:rsidRPr="004D587C" w:rsidRDefault="007519DE" w:rsidP="000C30ED">
      <w:pPr>
        <w:pStyle w:val="Heading1"/>
        <w:spacing w:before="0" w:after="120" w:line="440" w:lineRule="atLeast"/>
        <w:rPr>
          <w:color w:val="1F497D" w:themeColor="text2"/>
          <w:sz w:val="28"/>
          <w:szCs w:val="28"/>
        </w:rPr>
      </w:pPr>
      <w:bookmarkStart w:id="3" w:name="_Toc220935974"/>
      <w:r w:rsidRPr="004D587C">
        <w:rPr>
          <w:color w:val="1F497D" w:themeColor="text2"/>
          <w:sz w:val="28"/>
          <w:szCs w:val="28"/>
        </w:rPr>
        <w:lastRenderedPageBreak/>
        <w:t>In</w:t>
      </w:r>
      <w:r w:rsidR="00E43810" w:rsidRPr="004D587C">
        <w:rPr>
          <w:color w:val="1F497D" w:themeColor="text2"/>
          <w:sz w:val="28"/>
          <w:szCs w:val="28"/>
        </w:rPr>
        <w:t>troduction</w:t>
      </w:r>
      <w:bookmarkEnd w:id="1"/>
      <w:bookmarkEnd w:id="3"/>
    </w:p>
    <w:p w14:paraId="46DF3916" w14:textId="60B4F5DC" w:rsidR="00E43810" w:rsidRPr="00A56645" w:rsidRDefault="00E43810" w:rsidP="00A56645">
      <w:pPr>
        <w:pStyle w:val="Body"/>
      </w:pPr>
      <w:r w:rsidRPr="00A56645">
        <w:t xml:space="preserve">This </w:t>
      </w:r>
      <w:r w:rsidR="00391CBA" w:rsidRPr="00A56645">
        <w:t>resource</w:t>
      </w:r>
      <w:r w:rsidR="006A6D36" w:rsidRPr="00A56645">
        <w:t xml:space="preserve"> </w:t>
      </w:r>
      <w:r w:rsidRPr="00A56645">
        <w:t>support</w:t>
      </w:r>
      <w:r w:rsidR="002F4916">
        <w:t>s</w:t>
      </w:r>
      <w:r w:rsidRPr="00A56645">
        <w:t xml:space="preserve"> the implementation of the 202</w:t>
      </w:r>
      <w:r w:rsidR="008122B2">
        <w:t>6</w:t>
      </w:r>
      <w:r w:rsidRPr="00A56645">
        <w:t xml:space="preserve"> Respiratory Syncytial Virus </w:t>
      </w:r>
      <w:r w:rsidR="007763DA" w:rsidRPr="00A56645">
        <w:t>M</w:t>
      </w:r>
      <w:r w:rsidR="001E3112" w:rsidRPr="00A56645">
        <w:t>other</w:t>
      </w:r>
      <w:r w:rsidR="007763DA" w:rsidRPr="00A56645">
        <w:t xml:space="preserve"> and Infant </w:t>
      </w:r>
      <w:r w:rsidR="003266B8" w:rsidRPr="00A56645">
        <w:t xml:space="preserve">Protection </w:t>
      </w:r>
      <w:r w:rsidRPr="00A56645">
        <w:t xml:space="preserve">Program </w:t>
      </w:r>
      <w:r w:rsidR="007763DA" w:rsidRPr="00A56645">
        <w:t>(RSV-MIPP)</w:t>
      </w:r>
      <w:r w:rsidR="002F4916">
        <w:t xml:space="preserve">, designed </w:t>
      </w:r>
      <w:r w:rsidRPr="00A56645">
        <w:t>to reduce RSV-associated infections and hospitalisations</w:t>
      </w:r>
      <w:r w:rsidR="00D55D79" w:rsidRPr="00A56645">
        <w:t xml:space="preserve"> in infants and young children</w:t>
      </w:r>
      <w:r w:rsidRPr="00A56645">
        <w:t xml:space="preserve">. </w:t>
      </w:r>
    </w:p>
    <w:p w14:paraId="32800F10" w14:textId="6F741CA3" w:rsidR="00ED7762" w:rsidRPr="00A56645" w:rsidRDefault="00E43810" w:rsidP="00A56645">
      <w:pPr>
        <w:pStyle w:val="Body"/>
      </w:pPr>
      <w:r w:rsidRPr="00A56645">
        <w:t xml:space="preserve">The guide is </w:t>
      </w:r>
      <w:r w:rsidR="00D55D79" w:rsidRPr="00A56645">
        <w:t xml:space="preserve">intended </w:t>
      </w:r>
      <w:r w:rsidRPr="00A56645">
        <w:t xml:space="preserve">for </w:t>
      </w:r>
      <w:r w:rsidR="005C561A" w:rsidRPr="00A56645">
        <w:t xml:space="preserve">immunisation </w:t>
      </w:r>
      <w:r w:rsidR="00391CBA" w:rsidRPr="00A56645">
        <w:t>providers</w:t>
      </w:r>
      <w:r w:rsidRPr="00A56645">
        <w:t xml:space="preserve"> </w:t>
      </w:r>
      <w:r w:rsidR="00421FEF" w:rsidRPr="00A56645">
        <w:t>who</w:t>
      </w:r>
      <w:r w:rsidRPr="00A56645">
        <w:t xml:space="preserve"> order and/or administer Beyfortus</w:t>
      </w:r>
      <w:r w:rsidR="003313E9" w:rsidRPr="00A56645">
        <w:t>™</w:t>
      </w:r>
      <w:r w:rsidRPr="00A56645">
        <w:t xml:space="preserve"> (nirsevimab) monoclonal antibody (mAB) in Victorian hospitals, </w:t>
      </w:r>
      <w:r w:rsidR="003D6364" w:rsidRPr="00A56645">
        <w:t>g</w:t>
      </w:r>
      <w:r w:rsidRPr="00A56645">
        <w:t xml:space="preserve">eneral </w:t>
      </w:r>
      <w:r w:rsidR="003D6364" w:rsidRPr="00A56645">
        <w:t>p</w:t>
      </w:r>
      <w:r w:rsidRPr="00A56645">
        <w:t>ractices</w:t>
      </w:r>
      <w:r w:rsidR="006F6CDE" w:rsidRPr="00A56645">
        <w:t xml:space="preserve"> (GPs)</w:t>
      </w:r>
      <w:r w:rsidRPr="00A56645">
        <w:t xml:space="preserve">, Aboriginal </w:t>
      </w:r>
      <w:r w:rsidR="00EB665F" w:rsidRPr="00A56645">
        <w:t>h</w:t>
      </w:r>
      <w:r w:rsidRPr="00A56645">
        <w:t xml:space="preserve">ealth </w:t>
      </w:r>
      <w:r w:rsidR="00EB665F" w:rsidRPr="00A56645">
        <w:t>s</w:t>
      </w:r>
      <w:r w:rsidRPr="00A56645">
        <w:t>ervices</w:t>
      </w:r>
      <w:r w:rsidR="003313E9" w:rsidRPr="00A56645">
        <w:t>,</w:t>
      </w:r>
      <w:r w:rsidRPr="00A56645">
        <w:t xml:space="preserve"> </w:t>
      </w:r>
      <w:r w:rsidR="00EB665F" w:rsidRPr="00A56645">
        <w:t>c</w:t>
      </w:r>
      <w:r w:rsidRPr="00A56645">
        <w:t xml:space="preserve">ommunity </w:t>
      </w:r>
      <w:r w:rsidR="00EB665F" w:rsidRPr="00A56645">
        <w:t>h</w:t>
      </w:r>
      <w:r w:rsidRPr="00A56645">
        <w:t xml:space="preserve">ealth </w:t>
      </w:r>
      <w:bookmarkStart w:id="4" w:name="_Hlk63948051"/>
      <w:r w:rsidR="00BB5E53" w:rsidRPr="00A56645">
        <w:t>centres,</w:t>
      </w:r>
      <w:r w:rsidR="003313E9" w:rsidRPr="00A56645">
        <w:t xml:space="preserve"> and local council immunisation services.</w:t>
      </w:r>
      <w:r w:rsidR="00280F19" w:rsidRPr="00A56645">
        <w:t xml:space="preserve"> </w:t>
      </w:r>
    </w:p>
    <w:p w14:paraId="6D1A4025" w14:textId="747BED40" w:rsidR="0013675F" w:rsidRPr="00971878" w:rsidRDefault="0013675F" w:rsidP="00C57EAA">
      <w:pPr>
        <w:pStyle w:val="Heading1"/>
        <w:spacing w:before="120" w:after="120" w:line="440" w:lineRule="atLeast"/>
        <w:rPr>
          <w:color w:val="1F497D" w:themeColor="text2"/>
          <w:sz w:val="28"/>
          <w:szCs w:val="28"/>
        </w:rPr>
      </w:pPr>
      <w:bookmarkStart w:id="5" w:name="_Toc187417190"/>
      <w:bookmarkStart w:id="6" w:name="_Toc220935975"/>
      <w:r w:rsidRPr="00971878">
        <w:rPr>
          <w:color w:val="1F497D" w:themeColor="text2"/>
          <w:sz w:val="28"/>
          <w:szCs w:val="28"/>
        </w:rPr>
        <w:t>Background</w:t>
      </w:r>
      <w:bookmarkEnd w:id="5"/>
      <w:bookmarkEnd w:id="6"/>
    </w:p>
    <w:bookmarkEnd w:id="4"/>
    <w:p w14:paraId="5819498E" w14:textId="4327D707" w:rsidR="00F47EB4" w:rsidRPr="00652895" w:rsidRDefault="002B6D09" w:rsidP="00480CD6">
      <w:pPr>
        <w:pStyle w:val="Body"/>
        <w:spacing w:before="120" w:after="0"/>
        <w:rPr>
          <w:rFonts w:cs="Arial"/>
          <w:szCs w:val="21"/>
        </w:rPr>
      </w:pPr>
      <w:r w:rsidRPr="00E45CA6">
        <w:t>R</w:t>
      </w:r>
      <w:r w:rsidR="00620F35" w:rsidRPr="00E45CA6">
        <w:t xml:space="preserve">espiratory syncytial virus (RSV) </w:t>
      </w:r>
      <w:r w:rsidRPr="00E45CA6">
        <w:t xml:space="preserve">is a common virus that </w:t>
      </w:r>
      <w:r w:rsidR="00EA452B" w:rsidRPr="00E45CA6">
        <w:t xml:space="preserve">can </w:t>
      </w:r>
      <w:r w:rsidR="002F4916">
        <w:t xml:space="preserve">cause illness ranging from </w:t>
      </w:r>
      <w:r w:rsidR="00EA452B" w:rsidRPr="00E45CA6">
        <w:t>mild cold</w:t>
      </w:r>
      <w:r w:rsidR="00E7353E">
        <w:t xml:space="preserve">-like </w:t>
      </w:r>
      <w:r w:rsidR="00E7353E" w:rsidRPr="00652895">
        <w:rPr>
          <w:rFonts w:cs="Arial"/>
        </w:rPr>
        <w:t xml:space="preserve">symptoms to </w:t>
      </w:r>
      <w:r w:rsidR="00EA452B" w:rsidRPr="00652895">
        <w:rPr>
          <w:rFonts w:cs="Arial"/>
        </w:rPr>
        <w:t>severe conditions such as bronchiolitis (in infants) and pneumonia.</w:t>
      </w:r>
      <w:r w:rsidR="006016D9" w:rsidRPr="00652895">
        <w:rPr>
          <w:rFonts w:cs="Arial"/>
        </w:rPr>
        <w:t xml:space="preserve"> </w:t>
      </w:r>
      <w:r w:rsidR="0054441C">
        <w:rPr>
          <w:rFonts w:cs="Arial"/>
        </w:rPr>
        <w:t>RSV</w:t>
      </w:r>
      <w:r w:rsidR="006016D9" w:rsidRPr="00652895">
        <w:rPr>
          <w:rFonts w:cs="Arial"/>
        </w:rPr>
        <w:t> </w:t>
      </w:r>
      <w:hyperlink r:id="rId16" w:anchor="infection" w:history="1">
        <w:r w:rsidR="006016D9" w:rsidRPr="00652895">
          <w:rPr>
            <w:rFonts w:cs="Arial"/>
          </w:rPr>
          <w:t>infection</w:t>
        </w:r>
      </w:hyperlink>
      <w:r w:rsidR="006016D9" w:rsidRPr="00652895">
        <w:rPr>
          <w:rFonts w:cs="Arial"/>
        </w:rPr>
        <w:t> </w:t>
      </w:r>
      <w:r w:rsidR="00E7353E" w:rsidRPr="00652895">
        <w:rPr>
          <w:rFonts w:cs="Arial"/>
        </w:rPr>
        <w:t xml:space="preserve">most </w:t>
      </w:r>
      <w:r w:rsidR="006016D9" w:rsidRPr="00652895">
        <w:rPr>
          <w:rFonts w:cs="Arial"/>
        </w:rPr>
        <w:t xml:space="preserve"> often </w:t>
      </w:r>
      <w:r w:rsidR="0054441C">
        <w:rPr>
          <w:rFonts w:cs="Arial"/>
        </w:rPr>
        <w:t>occurs</w:t>
      </w:r>
      <w:r w:rsidR="006016D9" w:rsidRPr="00652895">
        <w:rPr>
          <w:rFonts w:cs="Arial"/>
        </w:rPr>
        <w:t xml:space="preserve"> in infants and young children aged 0</w:t>
      </w:r>
      <w:r w:rsidR="00713BD5" w:rsidRPr="00652895">
        <w:rPr>
          <w:rFonts w:cs="Arial"/>
        </w:rPr>
        <w:t>-</w:t>
      </w:r>
      <w:r w:rsidR="006016D9" w:rsidRPr="00652895">
        <w:rPr>
          <w:rFonts w:cs="Arial"/>
        </w:rPr>
        <w:t xml:space="preserve">2 years, </w:t>
      </w:r>
      <w:r w:rsidR="005A0F5F">
        <w:rPr>
          <w:rFonts w:cs="Arial"/>
        </w:rPr>
        <w:t>and is</w:t>
      </w:r>
      <w:r w:rsidR="006016D9" w:rsidRPr="00652895">
        <w:rPr>
          <w:rFonts w:cs="Arial"/>
        </w:rPr>
        <w:t xml:space="preserve"> </w:t>
      </w:r>
      <w:r w:rsidR="008821BD" w:rsidRPr="00652895">
        <w:rPr>
          <w:rFonts w:cs="Arial"/>
        </w:rPr>
        <w:t>typically</w:t>
      </w:r>
      <w:r w:rsidR="006016D9" w:rsidRPr="00652895">
        <w:rPr>
          <w:rFonts w:cs="Arial"/>
        </w:rPr>
        <w:t xml:space="preserve"> more severe than subsequent </w:t>
      </w:r>
      <w:r w:rsidR="006016D9" w:rsidRPr="00652895">
        <w:rPr>
          <w:rFonts w:cs="Arial"/>
          <w:szCs w:val="21"/>
        </w:rPr>
        <w:t xml:space="preserve">infections </w:t>
      </w:r>
      <w:r w:rsidR="008821BD" w:rsidRPr="00652895">
        <w:rPr>
          <w:rFonts w:cs="Arial"/>
          <w:szCs w:val="21"/>
        </w:rPr>
        <w:t xml:space="preserve">later </w:t>
      </w:r>
      <w:r w:rsidR="00F47EB4" w:rsidRPr="00652895">
        <w:rPr>
          <w:rFonts w:cs="Arial"/>
          <w:szCs w:val="21"/>
        </w:rPr>
        <w:t>in childhood</w:t>
      </w:r>
      <w:r w:rsidR="008821BD" w:rsidRPr="00652895">
        <w:rPr>
          <w:rFonts w:cs="Arial"/>
          <w:szCs w:val="21"/>
        </w:rPr>
        <w:t xml:space="preserve"> and in adults.</w:t>
      </w:r>
    </w:p>
    <w:p w14:paraId="22ACF28D" w14:textId="551DA25D" w:rsidR="00F47EB4" w:rsidRPr="00F47EB4" w:rsidRDefault="005A0F5F" w:rsidP="00480CD6">
      <w:pPr>
        <w:spacing w:before="120" w:after="0" w:line="300" w:lineRule="atLeast"/>
        <w:rPr>
          <w:rFonts w:cs="Arial"/>
          <w:szCs w:val="21"/>
          <w:lang w:eastAsia="en-AU"/>
        </w:rPr>
      </w:pPr>
      <w:r>
        <w:rPr>
          <w:rFonts w:cs="Arial"/>
          <w:szCs w:val="21"/>
          <w:lang w:eastAsia="en-AU"/>
        </w:rPr>
        <w:t>V</w:t>
      </w:r>
      <w:r w:rsidR="00F47EB4" w:rsidRPr="00F47EB4">
        <w:rPr>
          <w:rFonts w:cs="Arial"/>
          <w:szCs w:val="21"/>
          <w:lang w:eastAsia="en-AU"/>
        </w:rPr>
        <w:t>ery young infants</w:t>
      </w:r>
      <w:r w:rsidR="001C353E">
        <w:rPr>
          <w:rFonts w:cs="Arial"/>
          <w:szCs w:val="21"/>
          <w:lang w:eastAsia="en-AU"/>
        </w:rPr>
        <w:t xml:space="preserve"> and children </w:t>
      </w:r>
      <w:r w:rsidR="00F47EB4" w:rsidRPr="00F47EB4">
        <w:rPr>
          <w:rFonts w:cs="Arial"/>
          <w:szCs w:val="21"/>
          <w:lang w:eastAsia="en-AU"/>
        </w:rPr>
        <w:t xml:space="preserve">with underlying medical conditions, are at highest risk of severe RSV disease. Hospitalisation rates are greatest among infants under 6 months of age and </w:t>
      </w:r>
      <w:r w:rsidR="00B85B37">
        <w:rPr>
          <w:rFonts w:cs="Arial"/>
          <w:szCs w:val="21"/>
          <w:lang w:eastAsia="en-AU"/>
        </w:rPr>
        <w:t xml:space="preserve">decline </w:t>
      </w:r>
      <w:r w:rsidR="00F47EB4" w:rsidRPr="00F47EB4">
        <w:rPr>
          <w:rFonts w:cs="Arial"/>
          <w:szCs w:val="21"/>
          <w:lang w:eastAsia="en-AU"/>
        </w:rPr>
        <w:t>sharply with age.</w:t>
      </w:r>
    </w:p>
    <w:p w14:paraId="084BE9A3" w14:textId="77777777" w:rsidR="00652895" w:rsidRPr="00652895" w:rsidRDefault="006016D9" w:rsidP="00480CD6">
      <w:pPr>
        <w:pStyle w:val="NormalWeb"/>
        <w:spacing w:before="120" w:beforeAutospacing="0" w:after="0" w:afterAutospacing="0" w:line="300" w:lineRule="atLeast"/>
        <w:rPr>
          <w:rFonts w:ascii="Arial" w:hAnsi="Arial" w:cs="Arial"/>
          <w:sz w:val="21"/>
          <w:szCs w:val="21"/>
        </w:rPr>
      </w:pPr>
      <w:r w:rsidRPr="00652895">
        <w:rPr>
          <w:rFonts w:ascii="Arial" w:hAnsi="Arial" w:cs="Arial"/>
          <w:sz w:val="21"/>
          <w:szCs w:val="21"/>
        </w:rPr>
        <w:t xml:space="preserve">Aboriginal and Torres Strait Islander infants and young children aged 2 years and under </w:t>
      </w:r>
      <w:bookmarkStart w:id="7" w:name="_Toc187417192"/>
      <w:r w:rsidR="00652895" w:rsidRPr="00652895">
        <w:rPr>
          <w:rFonts w:ascii="Arial" w:hAnsi="Arial" w:cs="Arial"/>
          <w:sz w:val="21"/>
          <w:szCs w:val="21"/>
        </w:rPr>
        <w:t>experience RSV</w:t>
      </w:r>
      <w:r w:rsidR="00652895" w:rsidRPr="00652895">
        <w:rPr>
          <w:rFonts w:ascii="Arial" w:hAnsi="Arial" w:cs="Arial"/>
          <w:sz w:val="21"/>
          <w:szCs w:val="21"/>
        </w:rPr>
        <w:noBreakHyphen/>
        <w:t>related hospitalisation at approximately twice the rate of the general population.</w:t>
      </w:r>
    </w:p>
    <w:p w14:paraId="634EC04B" w14:textId="00EFB2C2" w:rsidR="00652895" w:rsidRPr="00652895" w:rsidRDefault="001C353E" w:rsidP="00480CD6">
      <w:pPr>
        <w:pStyle w:val="NormalWeb"/>
        <w:spacing w:before="120" w:beforeAutospacing="0" w:after="0" w:afterAutospacing="0" w:line="300" w:lineRule="atLeast"/>
        <w:rPr>
          <w:rFonts w:ascii="Arial" w:hAnsi="Arial" w:cs="Arial"/>
          <w:sz w:val="21"/>
          <w:szCs w:val="21"/>
        </w:rPr>
      </w:pPr>
      <w:r>
        <w:rPr>
          <w:rFonts w:ascii="Arial" w:hAnsi="Arial" w:cs="Arial"/>
          <w:sz w:val="21"/>
          <w:szCs w:val="21"/>
        </w:rPr>
        <w:t>Across</w:t>
      </w:r>
      <w:r w:rsidR="00652895" w:rsidRPr="00652895">
        <w:rPr>
          <w:rFonts w:ascii="Arial" w:hAnsi="Arial" w:cs="Arial"/>
          <w:sz w:val="21"/>
          <w:szCs w:val="21"/>
        </w:rPr>
        <w:t xml:space="preserve"> most regions of Australia, RSV outbreaks occur seasonally during autumn and winter, typically between April and September.</w:t>
      </w:r>
    </w:p>
    <w:p w14:paraId="3A787BED" w14:textId="5F33F248" w:rsidR="002B6D09" w:rsidRPr="00971878" w:rsidRDefault="0013675F" w:rsidP="00C57EAA">
      <w:pPr>
        <w:pStyle w:val="Heading1"/>
        <w:spacing w:before="120" w:after="120"/>
        <w:rPr>
          <w:color w:val="1F497D" w:themeColor="text2"/>
          <w:sz w:val="28"/>
          <w:szCs w:val="28"/>
        </w:rPr>
      </w:pPr>
      <w:bookmarkStart w:id="8" w:name="_Toc220935976"/>
      <w:r w:rsidRPr="00971878">
        <w:rPr>
          <w:color w:val="1F497D" w:themeColor="text2"/>
          <w:sz w:val="28"/>
          <w:szCs w:val="28"/>
        </w:rPr>
        <w:t xml:space="preserve">RSV </w:t>
      </w:r>
      <w:r w:rsidR="00463729" w:rsidRPr="00971878">
        <w:rPr>
          <w:color w:val="1F497D" w:themeColor="text2"/>
          <w:sz w:val="28"/>
          <w:szCs w:val="28"/>
        </w:rPr>
        <w:t>M</w:t>
      </w:r>
      <w:r w:rsidR="001E3112" w:rsidRPr="00971878">
        <w:rPr>
          <w:color w:val="1F497D" w:themeColor="text2"/>
          <w:sz w:val="28"/>
          <w:szCs w:val="28"/>
        </w:rPr>
        <w:t>other</w:t>
      </w:r>
      <w:r w:rsidR="00463729" w:rsidRPr="00971878">
        <w:rPr>
          <w:color w:val="1F497D" w:themeColor="text2"/>
          <w:sz w:val="28"/>
          <w:szCs w:val="28"/>
        </w:rPr>
        <w:t xml:space="preserve"> and Infant Protection Program (RSV-MIPP)</w:t>
      </w:r>
      <w:bookmarkEnd w:id="7"/>
      <w:bookmarkEnd w:id="8"/>
    </w:p>
    <w:p w14:paraId="6DFD5CEC" w14:textId="77777777" w:rsidR="00E84C0C" w:rsidRPr="00E84C0C" w:rsidRDefault="00E84C0C" w:rsidP="00480CD6">
      <w:pPr>
        <w:spacing w:before="120" w:after="0" w:line="300" w:lineRule="atLeast"/>
        <w:rPr>
          <w:rFonts w:cs="Arial"/>
          <w:szCs w:val="21"/>
          <w:lang w:eastAsia="en-AU"/>
        </w:rPr>
      </w:pPr>
      <w:r w:rsidRPr="00E84C0C">
        <w:rPr>
          <w:rFonts w:cs="Arial"/>
          <w:szCs w:val="21"/>
          <w:lang w:eastAsia="en-AU"/>
        </w:rPr>
        <w:t>In 2025, the Commonwealth and state/territory governments introduced initiatives to protect infants from severe RSV through maternal vaccination and passive immunisation for at</w:t>
      </w:r>
      <w:r w:rsidRPr="00E84C0C">
        <w:rPr>
          <w:rFonts w:cs="Arial"/>
          <w:szCs w:val="21"/>
          <w:lang w:eastAsia="en-AU"/>
        </w:rPr>
        <w:noBreakHyphen/>
        <w:t>risk infants.</w:t>
      </w:r>
    </w:p>
    <w:p w14:paraId="2BE2AAC5" w14:textId="77777777" w:rsidR="00E84C0C" w:rsidRPr="00E84C0C" w:rsidRDefault="00E84C0C" w:rsidP="00480CD6">
      <w:pPr>
        <w:spacing w:before="120" w:after="0" w:line="300" w:lineRule="atLeast"/>
        <w:rPr>
          <w:rFonts w:cs="Arial"/>
          <w:szCs w:val="21"/>
          <w:lang w:eastAsia="en-AU"/>
        </w:rPr>
      </w:pPr>
      <w:r w:rsidRPr="00E84C0C">
        <w:rPr>
          <w:rFonts w:cs="Arial"/>
          <w:szCs w:val="21"/>
          <w:lang w:eastAsia="en-AU"/>
        </w:rPr>
        <w:t>Key components include:</w:t>
      </w:r>
    </w:p>
    <w:p w14:paraId="31BE03BC" w14:textId="281CEC34" w:rsidR="00E84C0C" w:rsidRPr="00E84C0C" w:rsidRDefault="00E84C0C" w:rsidP="000C30ED">
      <w:pPr>
        <w:numPr>
          <w:ilvl w:val="0"/>
          <w:numId w:val="42"/>
        </w:numPr>
        <w:spacing w:before="60" w:after="0" w:line="300" w:lineRule="atLeast"/>
        <w:rPr>
          <w:rFonts w:cs="Arial"/>
          <w:szCs w:val="21"/>
          <w:lang w:eastAsia="en-AU"/>
        </w:rPr>
      </w:pPr>
      <w:r w:rsidRPr="00E84C0C">
        <w:rPr>
          <w:rFonts w:cs="Arial"/>
          <w:szCs w:val="21"/>
          <w:lang w:eastAsia="en-AU"/>
        </w:rPr>
        <w:t xml:space="preserve">Abrysvo® RSV vaccine, included in the National Immunisation Program (NIP), </w:t>
      </w:r>
      <w:r w:rsidRPr="00FD69DD">
        <w:rPr>
          <w:rFonts w:cs="Arial"/>
          <w:b/>
          <w:bCs/>
          <w:szCs w:val="21"/>
          <w:lang w:eastAsia="en-AU"/>
        </w:rPr>
        <w:t>is the only RSV vaccine approved for use in pregnancy</w:t>
      </w:r>
      <w:r w:rsidRPr="00E84C0C">
        <w:rPr>
          <w:rFonts w:cs="Arial"/>
          <w:szCs w:val="21"/>
          <w:lang w:eastAsia="en-AU"/>
        </w:rPr>
        <w:t xml:space="preserve">. It is recommended as a single dose between </w:t>
      </w:r>
      <w:r w:rsidR="00971878" w:rsidRPr="00E84C0C">
        <w:rPr>
          <w:rFonts w:cs="Arial"/>
          <w:szCs w:val="21"/>
          <w:lang w:eastAsia="en-AU"/>
        </w:rPr>
        <w:t>28- and 36-weeks’</w:t>
      </w:r>
      <w:r w:rsidRPr="00E84C0C">
        <w:rPr>
          <w:rFonts w:cs="Arial"/>
          <w:szCs w:val="21"/>
          <w:lang w:eastAsia="en-AU"/>
        </w:rPr>
        <w:t xml:space="preserve"> gestation.</w:t>
      </w:r>
    </w:p>
    <w:p w14:paraId="61A217AA" w14:textId="77777777" w:rsidR="00E84C0C" w:rsidRPr="00E84C0C" w:rsidRDefault="00E84C0C" w:rsidP="000C30ED">
      <w:pPr>
        <w:numPr>
          <w:ilvl w:val="0"/>
          <w:numId w:val="42"/>
        </w:numPr>
        <w:spacing w:before="60" w:after="0" w:line="300" w:lineRule="atLeast"/>
        <w:rPr>
          <w:rFonts w:cs="Arial"/>
          <w:szCs w:val="21"/>
          <w:lang w:eastAsia="en-AU"/>
        </w:rPr>
      </w:pPr>
      <w:r w:rsidRPr="00E84C0C">
        <w:rPr>
          <w:rFonts w:cs="Arial"/>
          <w:szCs w:val="21"/>
          <w:lang w:eastAsia="en-AU"/>
        </w:rPr>
        <w:t>Vaccinating during pregnancy protects newborns through transplacental transfer of RSV</w:t>
      </w:r>
      <w:r w:rsidRPr="00E84C0C">
        <w:rPr>
          <w:rFonts w:cs="Arial"/>
          <w:szCs w:val="21"/>
          <w:lang w:eastAsia="en-AU"/>
        </w:rPr>
        <w:noBreakHyphen/>
        <w:t>specific antibodies.</w:t>
      </w:r>
    </w:p>
    <w:p w14:paraId="2272C2D4" w14:textId="2BCDD859" w:rsidR="00E84C0C" w:rsidRDefault="00E84C0C" w:rsidP="000C30ED">
      <w:pPr>
        <w:numPr>
          <w:ilvl w:val="0"/>
          <w:numId w:val="42"/>
        </w:numPr>
        <w:spacing w:before="60" w:after="0" w:line="300" w:lineRule="atLeast"/>
        <w:rPr>
          <w:rFonts w:cs="Arial"/>
          <w:szCs w:val="21"/>
          <w:lang w:eastAsia="en-AU"/>
        </w:rPr>
      </w:pPr>
      <w:r w:rsidRPr="00E84C0C">
        <w:rPr>
          <w:rFonts w:cs="Arial"/>
          <w:szCs w:val="21"/>
          <w:lang w:eastAsia="en-AU"/>
        </w:rPr>
        <w:t xml:space="preserve">The Victorian Government </w:t>
      </w:r>
      <w:r w:rsidR="00480CD6">
        <w:rPr>
          <w:rFonts w:cs="Arial"/>
          <w:szCs w:val="21"/>
          <w:lang w:eastAsia="en-AU"/>
        </w:rPr>
        <w:t xml:space="preserve">provides funding for </w:t>
      </w:r>
      <w:r w:rsidRPr="00E84C0C">
        <w:rPr>
          <w:rFonts w:cs="Arial"/>
          <w:szCs w:val="21"/>
          <w:lang w:eastAsia="en-AU"/>
        </w:rPr>
        <w:t xml:space="preserve">an infant RSV immunisation program using Beyfortus™ (nirsevimab) monoclonal antibody for defined cohorts. The program will operate from </w:t>
      </w:r>
      <w:r w:rsidR="00FD69DD">
        <w:rPr>
          <w:rFonts w:cs="Arial"/>
          <w:szCs w:val="21"/>
          <w:lang w:eastAsia="en-AU"/>
        </w:rPr>
        <w:t>mid-March</w:t>
      </w:r>
      <w:r w:rsidRPr="00E84C0C">
        <w:rPr>
          <w:rFonts w:cs="Arial"/>
          <w:szCs w:val="21"/>
          <w:lang w:eastAsia="en-AU"/>
        </w:rPr>
        <w:t xml:space="preserve"> to 30 September 202</w:t>
      </w:r>
      <w:r w:rsidR="00480CD6">
        <w:rPr>
          <w:rFonts w:cs="Arial"/>
          <w:szCs w:val="21"/>
          <w:lang w:eastAsia="en-AU"/>
        </w:rPr>
        <w:t>6</w:t>
      </w:r>
      <w:r w:rsidRPr="00E84C0C">
        <w:rPr>
          <w:rFonts w:cs="Arial"/>
          <w:szCs w:val="21"/>
          <w:lang w:eastAsia="en-AU"/>
        </w:rPr>
        <w:t>.</w:t>
      </w:r>
    </w:p>
    <w:p w14:paraId="66E3653A" w14:textId="77777777" w:rsidR="00D554E3" w:rsidRDefault="00E84C0C" w:rsidP="00D554E3">
      <w:pPr>
        <w:spacing w:before="120" w:after="0" w:line="260" w:lineRule="atLeast"/>
        <w:rPr>
          <w:rFonts w:cs="Arial"/>
        </w:rPr>
      </w:pPr>
      <w:r w:rsidRPr="00E84C0C">
        <w:rPr>
          <w:rFonts w:cs="Arial"/>
          <w:szCs w:val="21"/>
          <w:lang w:eastAsia="en-AU"/>
        </w:rPr>
        <w:t>Beyfortus™ (nirsevimab) is a long</w:t>
      </w:r>
      <w:r w:rsidRPr="00E84C0C">
        <w:rPr>
          <w:rFonts w:cs="Arial"/>
          <w:szCs w:val="21"/>
          <w:lang w:eastAsia="en-AU"/>
        </w:rPr>
        <w:noBreakHyphen/>
        <w:t>acting mAB approved for use in neonates and infants in Australia, providing a minimum of 5 months of protection.</w:t>
      </w:r>
      <w:r w:rsidR="00624F8C" w:rsidRPr="00361EA7">
        <w:rPr>
          <w:rFonts w:cs="Arial"/>
        </w:rPr>
        <w:t xml:space="preserve"> </w:t>
      </w:r>
    </w:p>
    <w:p w14:paraId="18A2E39B" w14:textId="4EE29E65" w:rsidR="006A59D2" w:rsidRDefault="006A59D2" w:rsidP="00D554E3">
      <w:pPr>
        <w:spacing w:before="120" w:after="0" w:line="260" w:lineRule="atLeast"/>
        <w:rPr>
          <w:rFonts w:ascii="Aptos" w:hAnsi="Aptos"/>
          <w:sz w:val="22"/>
        </w:rPr>
      </w:pPr>
      <w:r w:rsidRPr="00361EA7">
        <w:rPr>
          <w:rFonts w:cs="Arial"/>
        </w:rPr>
        <w:t xml:space="preserve">RANZCOG </w:t>
      </w:r>
      <w:r w:rsidR="008122B2">
        <w:t xml:space="preserve">have </w:t>
      </w:r>
      <w:r w:rsidR="00E63204">
        <w:t>updated the</w:t>
      </w:r>
      <w:r w:rsidR="00AB7FC5">
        <w:t>ir</w:t>
      </w:r>
      <w:r w:rsidR="00E63204">
        <w:t xml:space="preserve"> </w:t>
      </w:r>
      <w:r w:rsidR="00AB7FC5">
        <w:t>p</w:t>
      </w:r>
      <w:r w:rsidRPr="00E63204">
        <w:t>re-pregnancy and pregnancy-related vaccination</w:t>
      </w:r>
      <w:r w:rsidR="005F0AE9">
        <w:t xml:space="preserve"> guidelines </w:t>
      </w:r>
      <w:r>
        <w:t xml:space="preserve">to include </w:t>
      </w:r>
      <w:r w:rsidR="00361EA7">
        <w:t xml:space="preserve">both </w:t>
      </w:r>
      <w:r>
        <w:t>Abrysvo</w:t>
      </w:r>
      <w:r w:rsidR="00D93E2B">
        <w:rPr>
          <w:rFonts w:cs="Arial"/>
        </w:rPr>
        <w:t>®</w:t>
      </w:r>
      <w:r>
        <w:t xml:space="preserve"> and nirsevimab</w:t>
      </w:r>
      <w:r w:rsidR="001549A3">
        <w:rPr>
          <w:rStyle w:val="FootnoteReference"/>
        </w:rPr>
        <w:footnoteReference w:id="2"/>
      </w:r>
      <w:r w:rsidR="00280F19">
        <w:t xml:space="preserve">. </w:t>
      </w:r>
    </w:p>
    <w:p w14:paraId="1F0726D9" w14:textId="6115BAE5" w:rsidR="00E60B94" w:rsidRPr="004D587C" w:rsidRDefault="007519DE" w:rsidP="00C57DCD">
      <w:pPr>
        <w:pStyle w:val="Heading1"/>
        <w:spacing w:before="0" w:after="120" w:line="440" w:lineRule="atLeast"/>
        <w:rPr>
          <w:color w:val="1F497D" w:themeColor="text2"/>
          <w:sz w:val="28"/>
          <w:szCs w:val="28"/>
        </w:rPr>
      </w:pPr>
      <w:bookmarkStart w:id="9" w:name="_Eligibility_for_nirsevimab"/>
      <w:bookmarkStart w:id="10" w:name="_Toc187417193"/>
      <w:bookmarkStart w:id="11" w:name="_Toc220935977"/>
      <w:bookmarkEnd w:id="9"/>
      <w:r w:rsidRPr="004D587C">
        <w:rPr>
          <w:color w:val="1F497D" w:themeColor="text2"/>
          <w:sz w:val="28"/>
          <w:szCs w:val="28"/>
        </w:rPr>
        <w:lastRenderedPageBreak/>
        <w:t xml:space="preserve">Eligibility for </w:t>
      </w:r>
      <w:bookmarkEnd w:id="10"/>
      <w:r w:rsidR="004D587C" w:rsidRPr="00E84C0C">
        <w:rPr>
          <w:color w:val="1F497D" w:themeColor="text2"/>
          <w:sz w:val="28"/>
          <w:szCs w:val="28"/>
          <w:lang w:eastAsia="en-AU"/>
        </w:rPr>
        <w:t>Beyfortus™</w:t>
      </w:r>
      <w:r w:rsidR="002C5C1F">
        <w:rPr>
          <w:color w:val="1F497D" w:themeColor="text2"/>
          <w:sz w:val="28"/>
          <w:szCs w:val="28"/>
          <w:lang w:eastAsia="en-AU"/>
        </w:rPr>
        <w:t xml:space="preserve"> </w:t>
      </w:r>
      <w:r w:rsidR="004D587C" w:rsidRPr="00E84C0C">
        <w:rPr>
          <w:color w:val="1F497D" w:themeColor="text2"/>
          <w:sz w:val="28"/>
          <w:szCs w:val="28"/>
          <w:lang w:eastAsia="en-AU"/>
        </w:rPr>
        <w:t>(nirsevimab)</w:t>
      </w:r>
      <w:bookmarkEnd w:id="11"/>
    </w:p>
    <w:p w14:paraId="60CE69A4" w14:textId="3BAB2EC4" w:rsidR="009677FF" w:rsidRDefault="001F5754" w:rsidP="00C3600E">
      <w:pPr>
        <w:pStyle w:val="Body"/>
      </w:pPr>
      <w:r>
        <w:t xml:space="preserve">The eligibility criteria for </w:t>
      </w:r>
      <w:r w:rsidR="00492DD4">
        <w:t>Beyfortus</w:t>
      </w:r>
      <w:r w:rsidR="00492DD4">
        <w:rPr>
          <w:rFonts w:cs="Arial"/>
        </w:rPr>
        <w:t>™</w:t>
      </w:r>
      <w:r w:rsidR="00492DD4">
        <w:t xml:space="preserve"> (</w:t>
      </w:r>
      <w:r>
        <w:t>nirsevimab</w:t>
      </w:r>
      <w:r w:rsidR="00492DD4">
        <w:t>)</w:t>
      </w:r>
      <w:r>
        <w:t xml:space="preserve"> </w:t>
      </w:r>
      <w:r w:rsidR="001E7075">
        <w:t>monoclonal antibody</w:t>
      </w:r>
      <w:r w:rsidR="008847DC">
        <w:t xml:space="preserve"> and decision aides are </w:t>
      </w:r>
      <w:r>
        <w:t xml:space="preserve">available at the Victorian </w:t>
      </w:r>
      <w:r w:rsidRPr="0066285E">
        <w:t xml:space="preserve">Department of Health </w:t>
      </w:r>
      <w:r>
        <w:t xml:space="preserve">(department) </w:t>
      </w:r>
      <w:hyperlink r:id="rId17" w:history="1">
        <w:r>
          <w:rPr>
            <w:rStyle w:val="Hyperlink"/>
            <w:rFonts w:eastAsia="Arial" w:cs="Arial"/>
            <w:szCs w:val="21"/>
          </w:rPr>
          <w:t>Respiratory Syncytial Virus (RSV) web</w:t>
        </w:r>
        <w:r w:rsidR="00946FE3">
          <w:rPr>
            <w:rStyle w:val="Hyperlink"/>
            <w:rFonts w:eastAsia="Arial" w:cs="Arial"/>
            <w:szCs w:val="21"/>
          </w:rPr>
          <w:t>page</w:t>
        </w:r>
      </w:hyperlink>
      <w:r w:rsidR="00C3600E">
        <w:rPr>
          <w:rStyle w:val="Hyperlink"/>
          <w:rFonts w:eastAsia="Arial" w:cs="Arial"/>
          <w:szCs w:val="21"/>
        </w:rPr>
        <w:t xml:space="preserve"> </w:t>
      </w:r>
      <w:r w:rsidR="00C3600E" w:rsidRPr="00C57DCD">
        <w:rPr>
          <w:sz w:val="20"/>
        </w:rPr>
        <w:t>&lt;https://www.health.vic.gov.au/immunisation/respiratory-syncytial-virus-immunisation&gt;</w:t>
      </w:r>
      <w:r w:rsidRPr="00C57DCD">
        <w:rPr>
          <w:sz w:val="20"/>
        </w:rPr>
        <w:t>.</w:t>
      </w:r>
    </w:p>
    <w:p w14:paraId="14F980C4" w14:textId="51D57724" w:rsidR="007519DE" w:rsidRPr="009A511E" w:rsidRDefault="00C8722F" w:rsidP="00A66EB1">
      <w:pPr>
        <w:pStyle w:val="Heading3"/>
        <w:spacing w:before="120"/>
        <w:rPr>
          <w:b/>
          <w:bCs w:val="0"/>
          <w:color w:val="1F497D" w:themeColor="text2"/>
          <w:sz w:val="24"/>
          <w:szCs w:val="24"/>
        </w:rPr>
      </w:pPr>
      <w:bookmarkStart w:id="12" w:name="_Birth_dose"/>
      <w:bookmarkStart w:id="13" w:name="_Toc220935978"/>
      <w:bookmarkEnd w:id="12"/>
      <w:r w:rsidRPr="009A511E">
        <w:rPr>
          <w:b/>
          <w:bCs w:val="0"/>
          <w:color w:val="1F497D" w:themeColor="text2"/>
          <w:sz w:val="24"/>
          <w:szCs w:val="24"/>
        </w:rPr>
        <w:t>Birth dose</w:t>
      </w:r>
      <w:bookmarkEnd w:id="13"/>
    </w:p>
    <w:p w14:paraId="42CDAD34" w14:textId="19AFCC78" w:rsidR="007519DE" w:rsidRPr="007519DE" w:rsidRDefault="00EE7767" w:rsidP="000C181E">
      <w:pPr>
        <w:pStyle w:val="Body"/>
        <w:spacing w:after="80"/>
      </w:pPr>
      <w:r>
        <w:t>O</w:t>
      </w:r>
      <w:r w:rsidR="007519DE" w:rsidRPr="007519DE">
        <w:t xml:space="preserve">ffered to </w:t>
      </w:r>
      <w:r w:rsidR="00C8722F">
        <w:t>newborn infants</w:t>
      </w:r>
      <w:r w:rsidR="007519DE" w:rsidRPr="007519DE">
        <w:t xml:space="preserve"> born </w:t>
      </w:r>
      <w:r w:rsidR="00FD69DD">
        <w:t xml:space="preserve">from </w:t>
      </w:r>
      <w:r w:rsidR="00FD69DD" w:rsidRPr="005250B4">
        <w:rPr>
          <w:b/>
          <w:bCs/>
        </w:rPr>
        <w:t>mid-March</w:t>
      </w:r>
      <w:r w:rsidR="005250B4" w:rsidRPr="005250B4">
        <w:rPr>
          <w:b/>
          <w:bCs/>
        </w:rPr>
        <w:t xml:space="preserve"> 2026 to </w:t>
      </w:r>
      <w:r w:rsidR="007519DE" w:rsidRPr="005250B4">
        <w:rPr>
          <w:b/>
          <w:bCs/>
        </w:rPr>
        <w:t>30 September 202</w:t>
      </w:r>
      <w:r w:rsidR="008122B2" w:rsidRPr="005250B4">
        <w:rPr>
          <w:b/>
          <w:bCs/>
        </w:rPr>
        <w:t>6</w:t>
      </w:r>
    </w:p>
    <w:p w14:paraId="2F2078EA" w14:textId="61DB21A3" w:rsidR="001974B5" w:rsidRPr="001E69BC" w:rsidRDefault="005250B4" w:rsidP="00BA01E5">
      <w:pPr>
        <w:pStyle w:val="Bullet1"/>
      </w:pPr>
      <w:bookmarkStart w:id="14" w:name="_Hlk180481789"/>
      <w:r>
        <w:t>whose</w:t>
      </w:r>
      <w:r w:rsidR="001974B5" w:rsidRPr="001E69BC">
        <w:t xml:space="preserve"> mothers who </w:t>
      </w:r>
      <w:r w:rsidR="001974B5" w:rsidRPr="00421FEF">
        <w:rPr>
          <w:b/>
          <w:bCs/>
        </w:rPr>
        <w:t>did not</w:t>
      </w:r>
      <w:r w:rsidR="001974B5" w:rsidRPr="001E69BC">
        <w:t xml:space="preserve"> receive </w:t>
      </w:r>
      <w:r w:rsidR="00CC318E" w:rsidRPr="7805B195">
        <w:rPr>
          <w:lang w:eastAsia="en-AU"/>
        </w:rPr>
        <w:t xml:space="preserve">Abrysvo® RSV vaccine </w:t>
      </w:r>
      <w:r w:rsidR="001974B5" w:rsidRPr="001E69BC">
        <w:t xml:space="preserve">during pregnancy </w:t>
      </w:r>
      <w:bookmarkEnd w:id="14"/>
      <w:r w:rsidR="001E69BC" w:rsidRPr="001E69BC">
        <w:t xml:space="preserve">or </w:t>
      </w:r>
      <w:r>
        <w:t xml:space="preserve">were </w:t>
      </w:r>
      <w:r w:rsidR="00517155">
        <w:t xml:space="preserve">born </w:t>
      </w:r>
      <w:r w:rsidR="00E05C30" w:rsidRPr="001E69BC">
        <w:t>within</w:t>
      </w:r>
      <w:r w:rsidR="001974B5" w:rsidRPr="001E69BC">
        <w:t xml:space="preserve"> 2 weeks of receiving </w:t>
      </w:r>
      <w:r w:rsidR="00CC318E">
        <w:t xml:space="preserve">maternal </w:t>
      </w:r>
      <w:r w:rsidR="00CC318E" w:rsidRPr="7805B195">
        <w:rPr>
          <w:lang w:eastAsia="en-AU"/>
        </w:rPr>
        <w:t>Abrysvo® RSV vaccine</w:t>
      </w:r>
    </w:p>
    <w:p w14:paraId="5BB9F0C7" w14:textId="1908926D" w:rsidR="00FA5731" w:rsidRDefault="001E69BC" w:rsidP="00A42099">
      <w:pPr>
        <w:pStyle w:val="Bullet1"/>
      </w:pPr>
      <w:r>
        <w:t xml:space="preserve">high </w:t>
      </w:r>
      <w:r w:rsidR="00A43754">
        <w:t>risk infants</w:t>
      </w:r>
      <w:r w:rsidR="00A43754" w:rsidRPr="00EA47A6">
        <w:t xml:space="preserve"> </w:t>
      </w:r>
      <w:r w:rsidR="007519DE" w:rsidRPr="007519DE">
        <w:t>(</w:t>
      </w:r>
      <w:r w:rsidR="0015719A">
        <w:t>Figure 1</w:t>
      </w:r>
      <w:r w:rsidR="007519DE" w:rsidRPr="007519DE">
        <w:t>)</w:t>
      </w:r>
      <w:r w:rsidR="001549A3">
        <w:rPr>
          <w:rStyle w:val="FootnoteReference"/>
        </w:rPr>
        <w:footnoteReference w:id="3"/>
      </w:r>
      <w:r w:rsidR="007519DE" w:rsidRPr="007519DE">
        <w:t xml:space="preserve"> regardless of maternal vaccination</w:t>
      </w:r>
      <w:r w:rsidR="00542152">
        <w:t xml:space="preserve">, </w:t>
      </w:r>
      <w:bookmarkStart w:id="15" w:name="_Hlk180156570"/>
      <w:r w:rsidR="00542152" w:rsidRPr="00542152">
        <w:t>after assessment by their treating doctor to confirm potential clinical benefit</w:t>
      </w:r>
      <w:r w:rsidR="00542152">
        <w:t>.</w:t>
      </w:r>
    </w:p>
    <w:p w14:paraId="7976FB1E" w14:textId="4780F684" w:rsidR="00124320" w:rsidRDefault="00124320" w:rsidP="00A66EB1">
      <w:pPr>
        <w:pStyle w:val="Bullet1"/>
        <w:spacing w:after="0"/>
      </w:pPr>
      <w:r>
        <w:t>Offered with birth dose Hep B and Vitamin K</w:t>
      </w:r>
    </w:p>
    <w:bookmarkEnd w:id="15"/>
    <w:p w14:paraId="28576991" w14:textId="77777777" w:rsidR="00EA779C" w:rsidRPr="00EA779C" w:rsidRDefault="00EA779C" w:rsidP="00EA779C">
      <w:pPr>
        <w:pStyle w:val="Bullet1"/>
        <w:numPr>
          <w:ilvl w:val="0"/>
          <w:numId w:val="0"/>
        </w:numPr>
        <w:rPr>
          <w:sz w:val="20"/>
          <w:lang w:eastAsia="en-AU"/>
        </w:rPr>
      </w:pPr>
    </w:p>
    <w:p w14:paraId="597C80C5" w14:textId="6EABF886" w:rsidR="00EA779C" w:rsidRPr="0039318E" w:rsidRDefault="00EA779C" w:rsidP="00EA779C">
      <w:pPr>
        <w:pStyle w:val="Bullet1"/>
        <w:numPr>
          <w:ilvl w:val="0"/>
          <w:numId w:val="0"/>
        </w:numPr>
        <w:rPr>
          <w:color w:val="1F497D" w:themeColor="text2"/>
          <w:sz w:val="20"/>
          <w:lang w:eastAsia="en-AU"/>
        </w:rPr>
      </w:pPr>
      <w:r w:rsidRPr="0039318E">
        <w:rPr>
          <w:color w:val="1F497D" w:themeColor="text2"/>
          <w:sz w:val="20"/>
        </w:rPr>
        <w:t xml:space="preserve">Figure 1. Flowchart to guide which infants should receive </w:t>
      </w:r>
      <w:r w:rsidR="00E52313" w:rsidRPr="0039318E">
        <w:rPr>
          <w:color w:val="1F497D" w:themeColor="text2"/>
          <w:sz w:val="20"/>
        </w:rPr>
        <w:t>Beyfortus</w:t>
      </w:r>
      <w:r w:rsidR="00E52313" w:rsidRPr="0039318E">
        <w:rPr>
          <w:rFonts w:cs="Arial"/>
          <w:color w:val="1F497D" w:themeColor="text2"/>
          <w:sz w:val="20"/>
        </w:rPr>
        <w:t>™</w:t>
      </w:r>
      <w:r w:rsidR="00E52313" w:rsidRPr="0039318E">
        <w:rPr>
          <w:color w:val="1F497D" w:themeColor="text2"/>
          <w:sz w:val="20"/>
        </w:rPr>
        <w:t xml:space="preserve"> (</w:t>
      </w:r>
      <w:r w:rsidR="00E40C40" w:rsidRPr="0039318E">
        <w:rPr>
          <w:color w:val="1F497D" w:themeColor="text2"/>
          <w:sz w:val="20"/>
        </w:rPr>
        <w:t>nirsevimab)</w:t>
      </w:r>
      <w:r w:rsidRPr="0039318E">
        <w:rPr>
          <w:color w:val="1F497D" w:themeColor="text2"/>
          <w:sz w:val="20"/>
        </w:rPr>
        <w:t xml:space="preserve"> in their 1st RSV season</w:t>
      </w:r>
    </w:p>
    <w:p w14:paraId="42C52AA6" w14:textId="77777777" w:rsidR="0039318E" w:rsidRDefault="0039318E" w:rsidP="0039318E">
      <w:pPr>
        <w:pStyle w:val="NormalWeb"/>
        <w:spacing w:before="0" w:beforeAutospacing="0" w:after="0" w:afterAutospacing="0"/>
        <w:jc w:val="center"/>
      </w:pPr>
      <w:r>
        <w:rPr>
          <w:noProof/>
        </w:rPr>
        <w:drawing>
          <wp:inline distT="0" distB="0" distL="0" distR="0" wp14:anchorId="2102067C" wp14:editId="3F8158F9">
            <wp:extent cx="3719694" cy="501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20926" cy="5021338"/>
                    </a:xfrm>
                    <a:prstGeom prst="rect">
                      <a:avLst/>
                    </a:prstGeom>
                    <a:noFill/>
                    <a:ln>
                      <a:noFill/>
                    </a:ln>
                  </pic:spPr>
                </pic:pic>
              </a:graphicData>
            </a:graphic>
          </wp:inline>
        </w:drawing>
      </w:r>
    </w:p>
    <w:p w14:paraId="58F11271" w14:textId="2B289437" w:rsidR="00FA5731" w:rsidRDefault="00FA5731" w:rsidP="00A834F6">
      <w:pPr>
        <w:spacing w:before="240" w:after="0" w:line="240" w:lineRule="auto"/>
        <w:jc w:val="center"/>
        <w:rPr>
          <w:rFonts w:eastAsia="Times"/>
          <w:b/>
          <w:bCs/>
        </w:rPr>
      </w:pPr>
      <w:r>
        <w:rPr>
          <w:b/>
          <w:bCs/>
        </w:rPr>
        <w:br w:type="page"/>
      </w:r>
    </w:p>
    <w:p w14:paraId="33A379EA" w14:textId="2F046473" w:rsidR="00AD31E1" w:rsidRPr="009A511E" w:rsidRDefault="00C8722F" w:rsidP="00E73720">
      <w:pPr>
        <w:pStyle w:val="Heading2"/>
        <w:spacing w:before="280" w:line="310" w:lineRule="atLeast"/>
        <w:rPr>
          <w:color w:val="1F497D" w:themeColor="text2"/>
          <w:sz w:val="24"/>
          <w:szCs w:val="24"/>
        </w:rPr>
      </w:pPr>
      <w:bookmarkStart w:id="16" w:name="_Toc220935979"/>
      <w:r w:rsidRPr="009A511E">
        <w:rPr>
          <w:color w:val="1F497D" w:themeColor="text2"/>
          <w:sz w:val="24"/>
          <w:szCs w:val="24"/>
        </w:rPr>
        <w:lastRenderedPageBreak/>
        <w:t>Up</w:t>
      </w:r>
      <w:r w:rsidR="008122B2" w:rsidRPr="009A511E">
        <w:rPr>
          <w:color w:val="1F497D" w:themeColor="text2"/>
          <w:sz w:val="24"/>
          <w:szCs w:val="24"/>
        </w:rPr>
        <w:t xml:space="preserve"> to 8 months of age</w:t>
      </w:r>
      <w:bookmarkEnd w:id="16"/>
    </w:p>
    <w:p w14:paraId="4DA6F471" w14:textId="2AEC99DA" w:rsidR="00E83020" w:rsidRPr="00FD5FE2" w:rsidRDefault="00E83020" w:rsidP="000C181E">
      <w:pPr>
        <w:pStyle w:val="Body"/>
        <w:spacing w:after="80"/>
      </w:pPr>
      <w:bookmarkStart w:id="17" w:name="_Hlk180156585"/>
      <w:r>
        <w:t xml:space="preserve">Infants </w:t>
      </w:r>
      <w:r w:rsidR="008122B2">
        <w:t xml:space="preserve">up to 8 months </w:t>
      </w:r>
    </w:p>
    <w:p w14:paraId="28A7C475" w14:textId="3256E8FC" w:rsidR="00E83020" w:rsidRPr="00B7191A" w:rsidRDefault="00BA3BC7" w:rsidP="00BA01E5">
      <w:pPr>
        <w:pStyle w:val="Bullet1"/>
      </w:pPr>
      <w:r>
        <w:t>whose</w:t>
      </w:r>
      <w:r w:rsidR="00E83020">
        <w:t xml:space="preserve"> mothers who </w:t>
      </w:r>
      <w:r w:rsidR="00E83020" w:rsidRPr="42F05292">
        <w:rPr>
          <w:b/>
          <w:bCs/>
        </w:rPr>
        <w:t>did not</w:t>
      </w:r>
      <w:r w:rsidR="00E83020">
        <w:t xml:space="preserve"> receive </w:t>
      </w:r>
      <w:r w:rsidR="00CC318E" w:rsidRPr="42F05292">
        <w:rPr>
          <w:lang w:eastAsia="en-AU"/>
        </w:rPr>
        <w:t xml:space="preserve">Abrysvo® RSV vaccine </w:t>
      </w:r>
      <w:r w:rsidR="00E83020">
        <w:t xml:space="preserve">during pregnancy </w:t>
      </w:r>
      <w:r w:rsidR="00B7191A" w:rsidRPr="00BA3BC7">
        <w:rPr>
          <w:b/>
          <w:bCs/>
        </w:rPr>
        <w:t xml:space="preserve">or </w:t>
      </w:r>
      <w:r w:rsidR="008066D1">
        <w:t xml:space="preserve">were </w:t>
      </w:r>
      <w:r w:rsidR="00517155">
        <w:t xml:space="preserve">born </w:t>
      </w:r>
      <w:r w:rsidR="00E83020">
        <w:t xml:space="preserve">within 2 weeks of receiving </w:t>
      </w:r>
      <w:r w:rsidR="00CC318E" w:rsidRPr="42F05292">
        <w:rPr>
          <w:lang w:eastAsia="en-AU"/>
        </w:rPr>
        <w:t>Abrysvo® RSV vaccine</w:t>
      </w:r>
      <w:r>
        <w:rPr>
          <w:lang w:eastAsia="en-AU"/>
        </w:rPr>
        <w:t xml:space="preserve"> </w:t>
      </w:r>
      <w:r w:rsidR="001E69BC">
        <w:t>and</w:t>
      </w:r>
    </w:p>
    <w:p w14:paraId="61E68925" w14:textId="08F9D5C6" w:rsidR="00C42EF1" w:rsidRPr="001D00DB" w:rsidRDefault="00421FEF" w:rsidP="00BA01E5">
      <w:pPr>
        <w:pStyle w:val="Bullet1"/>
        <w:rPr>
          <w:szCs w:val="21"/>
          <w:lang w:eastAsia="en-AU"/>
        </w:rPr>
      </w:pPr>
      <w:r>
        <w:t>h</w:t>
      </w:r>
      <w:r w:rsidRPr="00602237">
        <w:t xml:space="preserve">igh </w:t>
      </w:r>
      <w:r w:rsidR="002147EE" w:rsidRPr="00602237">
        <w:t xml:space="preserve">risk </w:t>
      </w:r>
      <w:r w:rsidR="002147EE" w:rsidRPr="000A7BB8">
        <w:t>infants</w:t>
      </w:r>
      <w:r w:rsidR="00952F88" w:rsidRPr="000A7BB8">
        <w:t xml:space="preserve"> (</w:t>
      </w:r>
      <w:r w:rsidR="000D0C97" w:rsidRPr="000A7BB8">
        <w:t>F</w:t>
      </w:r>
      <w:r w:rsidR="00952F88" w:rsidRPr="000A7BB8">
        <w:t>igure 1)</w:t>
      </w:r>
      <w:r w:rsidR="00D55D79" w:rsidRPr="00602237">
        <w:t xml:space="preserve"> </w:t>
      </w:r>
      <w:r w:rsidR="00C42EF1" w:rsidRPr="00602237">
        <w:t>regardless of maternal vaccination, after assessment by their treating doctor to confirm potential clinical benefit.</w:t>
      </w:r>
    </w:p>
    <w:p w14:paraId="61654ADE" w14:textId="7DA688CF" w:rsidR="001D00DB" w:rsidRPr="002C5C1F" w:rsidRDefault="001D00DB" w:rsidP="00BA01E5">
      <w:pPr>
        <w:pStyle w:val="Bullet1"/>
        <w:rPr>
          <w:szCs w:val="21"/>
          <w:lang w:eastAsia="en-AU"/>
        </w:rPr>
      </w:pPr>
      <w:r>
        <w:t xml:space="preserve">Note – </w:t>
      </w:r>
      <w:r w:rsidR="0006657E">
        <w:t xml:space="preserve">eligible if </w:t>
      </w:r>
      <w:hyperlink w:anchor="_Birth_dose" w:history="1">
        <w:r w:rsidRPr="0006657E">
          <w:rPr>
            <w:rStyle w:val="Hyperlink"/>
          </w:rPr>
          <w:t>birth dose</w:t>
        </w:r>
      </w:hyperlink>
      <w:r>
        <w:t xml:space="preserve"> has not been received</w:t>
      </w:r>
      <w:r w:rsidR="0006657E">
        <w:t xml:space="preserve"> (see criteria above)</w:t>
      </w:r>
    </w:p>
    <w:p w14:paraId="102EC7BC" w14:textId="031FA271" w:rsidR="00AD31E1" w:rsidRPr="009A511E" w:rsidRDefault="004A522D" w:rsidP="00E73720">
      <w:pPr>
        <w:pStyle w:val="Heading2"/>
        <w:spacing w:before="280" w:line="310" w:lineRule="atLeast"/>
        <w:rPr>
          <w:color w:val="1F497D" w:themeColor="text2"/>
          <w:sz w:val="24"/>
          <w:szCs w:val="24"/>
        </w:rPr>
      </w:pPr>
      <w:bookmarkStart w:id="18" w:name="_Toc220935980"/>
      <w:bookmarkStart w:id="19" w:name="_Hlk180156634"/>
      <w:bookmarkEnd w:id="17"/>
      <w:r w:rsidRPr="009A511E">
        <w:rPr>
          <w:color w:val="1F497D" w:themeColor="text2"/>
          <w:sz w:val="24"/>
          <w:szCs w:val="24"/>
        </w:rPr>
        <w:t>8 months to less than</w:t>
      </w:r>
      <w:r w:rsidR="00C8722F" w:rsidRPr="009A511E">
        <w:rPr>
          <w:color w:val="1F497D" w:themeColor="text2"/>
          <w:sz w:val="24"/>
          <w:szCs w:val="24"/>
        </w:rPr>
        <w:t xml:space="preserve"> 24 months of age</w:t>
      </w:r>
      <w:bookmarkEnd w:id="18"/>
      <w:r w:rsidR="00C8722F" w:rsidRPr="009A511E">
        <w:rPr>
          <w:color w:val="1F497D" w:themeColor="text2"/>
          <w:sz w:val="24"/>
          <w:szCs w:val="24"/>
        </w:rPr>
        <w:t xml:space="preserve">  </w:t>
      </w:r>
    </w:p>
    <w:p w14:paraId="3E59D399" w14:textId="57AB7AE1" w:rsidR="00FE707F" w:rsidRDefault="00FA5189" w:rsidP="000C181E">
      <w:pPr>
        <w:pStyle w:val="Body"/>
        <w:spacing w:after="80"/>
      </w:pPr>
      <w:r>
        <w:t xml:space="preserve">Young children </w:t>
      </w:r>
      <w:r w:rsidR="005A3D98">
        <w:t>up to 24 months</w:t>
      </w:r>
      <w:r w:rsidR="00FE707F">
        <w:t xml:space="preserve">, </w:t>
      </w:r>
      <w:r w:rsidR="005A3D98">
        <w:t xml:space="preserve">who remain </w:t>
      </w:r>
      <w:r w:rsidR="005A3D98" w:rsidRPr="007519DE">
        <w:t>vulnerable to severe RSV</w:t>
      </w:r>
      <w:r w:rsidR="00A24C35">
        <w:t xml:space="preserve">. </w:t>
      </w:r>
    </w:p>
    <w:p w14:paraId="5CC25B4E" w14:textId="1E8DBB5E" w:rsidR="005A3D98" w:rsidRPr="00397381" w:rsidRDefault="004C34FB" w:rsidP="000C181E">
      <w:pPr>
        <w:pStyle w:val="Body"/>
        <w:spacing w:after="80"/>
        <w:rPr>
          <w:rFonts w:cs="Arial"/>
        </w:rPr>
      </w:pPr>
      <w:r w:rsidRPr="00DD02FD">
        <w:rPr>
          <w:rFonts w:cs="Arial"/>
          <w:shd w:val="clear" w:color="auto" w:fill="FFFFFF"/>
        </w:rPr>
        <w:t>This is regardless of whether these at-risk children received a dose of RSV-specific monoclonal antibody in their first RSV season or were born to a mother who received RSV vaccine during pregnancy. </w:t>
      </w:r>
    </w:p>
    <w:p w14:paraId="2735B32D" w14:textId="77777777" w:rsidR="005A3D98" w:rsidRPr="008066D1" w:rsidRDefault="005A3D98" w:rsidP="00BA01E5">
      <w:pPr>
        <w:pStyle w:val="Bullet1"/>
      </w:pPr>
      <w:r w:rsidRPr="008066D1">
        <w:t xml:space="preserve">Aboriginal Torres Strait Islander infants </w:t>
      </w:r>
    </w:p>
    <w:p w14:paraId="52279825" w14:textId="0804018D" w:rsidR="005A3D98" w:rsidRDefault="005A3D98" w:rsidP="00BA01E5">
      <w:pPr>
        <w:pStyle w:val="Bullet1"/>
      </w:pPr>
      <w:bookmarkStart w:id="20" w:name="_Hlk180156612"/>
      <w:r w:rsidRPr="008066D1">
        <w:t xml:space="preserve">Young children with </w:t>
      </w:r>
      <w:r w:rsidRPr="001109A4">
        <w:rPr>
          <w:lang w:eastAsia="en-AU"/>
        </w:rPr>
        <w:t>conditions associated with increased risk of severe RSV disease</w:t>
      </w:r>
      <w:r w:rsidR="00280F19">
        <w:rPr>
          <w:lang w:eastAsia="en-AU"/>
        </w:rPr>
        <w:t>.</w:t>
      </w:r>
      <w:r w:rsidR="00280F19" w:rsidRPr="008066D1">
        <w:t xml:space="preserve"> </w:t>
      </w:r>
    </w:p>
    <w:p w14:paraId="41BB894A" w14:textId="560DDEE8" w:rsidR="00895B30" w:rsidRPr="00895B30" w:rsidRDefault="00895B30" w:rsidP="00F05E63">
      <w:pPr>
        <w:pStyle w:val="Bullet1"/>
        <w:numPr>
          <w:ilvl w:val="0"/>
          <w:numId w:val="0"/>
        </w:numPr>
        <w:spacing w:before="120"/>
        <w:ind w:left="284" w:hanging="284"/>
        <w:rPr>
          <w:rFonts w:cs="Arial"/>
        </w:rPr>
      </w:pPr>
      <w:r w:rsidRPr="00895B30">
        <w:rPr>
          <w:rFonts w:cs="Arial"/>
        </w:rPr>
        <w:t xml:space="preserve">A minimum </w:t>
      </w:r>
      <w:r>
        <w:rPr>
          <w:rFonts w:cs="Arial"/>
        </w:rPr>
        <w:t xml:space="preserve">interval </w:t>
      </w:r>
      <w:r w:rsidRPr="00895B30">
        <w:rPr>
          <w:rFonts w:cs="Arial"/>
          <w:color w:val="313131"/>
          <w:shd w:val="clear" w:color="auto" w:fill="FFFFFF"/>
        </w:rPr>
        <w:t>of 6 months is recommended between a 1st and 2nd season dose of nirsevimab.</w:t>
      </w:r>
    </w:p>
    <w:bookmarkEnd w:id="20"/>
    <w:p w14:paraId="47CDA20A" w14:textId="4B5BF1F1" w:rsidR="001109A4" w:rsidRDefault="001109A4" w:rsidP="00032ED0">
      <w:pPr>
        <w:pStyle w:val="Body"/>
        <w:spacing w:before="240"/>
        <w:rPr>
          <w:b/>
        </w:rPr>
      </w:pPr>
      <w:r w:rsidRPr="00601B74">
        <w:rPr>
          <w:b/>
        </w:rPr>
        <w:t>Conditions associated with increased risk of severe RSV disease in infants and young children</w:t>
      </w:r>
    </w:p>
    <w:p w14:paraId="5E5F9F19" w14:textId="77777777" w:rsidR="001109A4" w:rsidRPr="001109A4" w:rsidRDefault="001109A4" w:rsidP="00F05E63">
      <w:pPr>
        <w:pStyle w:val="Bullet1"/>
        <w:rPr>
          <w:lang w:eastAsia="en-AU"/>
        </w:rPr>
      </w:pPr>
      <w:r w:rsidRPr="001109A4">
        <w:rPr>
          <w:lang w:eastAsia="en-AU"/>
        </w:rPr>
        <w:t>Preterm birth &lt;32 weeks gestational age</w:t>
      </w:r>
    </w:p>
    <w:p w14:paraId="156770E7" w14:textId="77777777" w:rsidR="001109A4" w:rsidRPr="001109A4" w:rsidRDefault="001109A4" w:rsidP="00F05E63">
      <w:pPr>
        <w:pStyle w:val="Bullet1"/>
        <w:rPr>
          <w:lang w:eastAsia="en-AU"/>
        </w:rPr>
      </w:pPr>
      <w:r w:rsidRPr="001109A4">
        <w:rPr>
          <w:lang w:eastAsia="en-AU"/>
        </w:rPr>
        <w:t>Haemodynamically significant congenital heart disease</w:t>
      </w:r>
    </w:p>
    <w:p w14:paraId="3C631A32" w14:textId="35841B8E" w:rsidR="001109A4" w:rsidRPr="001109A4" w:rsidRDefault="001109A4" w:rsidP="00F05E63">
      <w:pPr>
        <w:pStyle w:val="Bullet1"/>
        <w:rPr>
          <w:lang w:eastAsia="en-AU"/>
        </w:rPr>
      </w:pPr>
      <w:r w:rsidRPr="001109A4">
        <w:rPr>
          <w:lang w:eastAsia="en-AU"/>
        </w:rPr>
        <w:t>Significant immunosuppression, such as from solid organ transplant, haematopoietic stem cell transplant, or primary immune deficiencies such as severe combined immunodeficiency (SCID)</w:t>
      </w:r>
    </w:p>
    <w:p w14:paraId="40F0C68F" w14:textId="77777777" w:rsidR="001109A4" w:rsidRPr="001109A4" w:rsidRDefault="001109A4" w:rsidP="00F05E63">
      <w:pPr>
        <w:pStyle w:val="Bullet1"/>
        <w:rPr>
          <w:lang w:eastAsia="en-AU"/>
        </w:rPr>
      </w:pPr>
      <w:r w:rsidRPr="001109A4">
        <w:rPr>
          <w:lang w:eastAsia="en-AU"/>
        </w:rPr>
        <w:t>Chronic lung disease requiring ongoing oxygen or respiratory support</w:t>
      </w:r>
    </w:p>
    <w:p w14:paraId="031DDDB1" w14:textId="77777777" w:rsidR="001109A4" w:rsidRDefault="001109A4" w:rsidP="00F05E63">
      <w:pPr>
        <w:pStyle w:val="Bullet1"/>
        <w:rPr>
          <w:lang w:eastAsia="en-AU"/>
        </w:rPr>
      </w:pPr>
      <w:r w:rsidRPr="001109A4">
        <w:rPr>
          <w:lang w:eastAsia="en-AU"/>
        </w:rPr>
        <w:t>Cystic fibrosis with severe lung disease or weight for length &lt;10th percentile</w:t>
      </w:r>
    </w:p>
    <w:p w14:paraId="364B54C8" w14:textId="7B9F19C0" w:rsidR="003F6FE5" w:rsidRPr="001109A4" w:rsidRDefault="003F6FE5" w:rsidP="00E770E8">
      <w:pPr>
        <w:pStyle w:val="Bullet1"/>
        <w:rPr>
          <w:lang w:eastAsia="en-AU"/>
        </w:rPr>
      </w:pPr>
      <w:r w:rsidRPr="001109A4">
        <w:rPr>
          <w:lang w:eastAsia="en-AU"/>
        </w:rPr>
        <w:t>Neurological conditions that impair respiratory function</w:t>
      </w:r>
    </w:p>
    <w:p w14:paraId="216256C0" w14:textId="50525A25" w:rsidR="00000694" w:rsidRDefault="001109A4" w:rsidP="00F05E63">
      <w:pPr>
        <w:pStyle w:val="Bullet1"/>
        <w:rPr>
          <w:lang w:eastAsia="en-AU"/>
        </w:rPr>
      </w:pPr>
      <w:r w:rsidRPr="001109A4">
        <w:rPr>
          <w:lang w:eastAsia="en-AU"/>
        </w:rPr>
        <w:t>Trisomy 21 or another genetic condition that increases the risk of severe RSV disease</w:t>
      </w:r>
    </w:p>
    <w:p w14:paraId="6D102085" w14:textId="77777777" w:rsidR="00000694" w:rsidRPr="009A511E" w:rsidRDefault="00000694" w:rsidP="009A511E">
      <w:pPr>
        <w:pStyle w:val="Heading1"/>
        <w:spacing w:before="240" w:after="120"/>
        <w:rPr>
          <w:color w:val="1F497D" w:themeColor="text2"/>
          <w:sz w:val="28"/>
          <w:szCs w:val="28"/>
        </w:rPr>
      </w:pPr>
      <w:bookmarkStart w:id="21" w:name="_Toc220935981"/>
      <w:r w:rsidRPr="009A511E">
        <w:rPr>
          <w:color w:val="1F497D" w:themeColor="text2"/>
          <w:sz w:val="28"/>
          <w:szCs w:val="28"/>
        </w:rPr>
        <w:t>Previous RSV infection</w:t>
      </w:r>
      <w:bookmarkEnd w:id="21"/>
    </w:p>
    <w:p w14:paraId="083AE19C" w14:textId="6139CE45" w:rsidR="00704B3F" w:rsidRPr="00704B3F" w:rsidRDefault="00000694" w:rsidP="00704B3F">
      <w:pPr>
        <w:rPr>
          <w:rFonts w:cs="Arial"/>
          <w:color w:val="000000" w:themeColor="text1"/>
          <w:szCs w:val="21"/>
        </w:rPr>
      </w:pPr>
      <w:bookmarkStart w:id="22" w:name="_Hlk199420039"/>
      <w:r w:rsidRPr="00704B3F">
        <w:rPr>
          <w:rFonts w:cs="Arial"/>
          <w:szCs w:val="21"/>
        </w:rPr>
        <w:t>Previous infection with RSV can provide some immunity, but this protection is not long term.</w:t>
      </w:r>
      <w:r w:rsidR="00704B3F">
        <w:rPr>
          <w:rFonts w:cs="Arial"/>
          <w:szCs w:val="21"/>
        </w:rPr>
        <w:t xml:space="preserve"> Eligible i</w:t>
      </w:r>
      <w:r w:rsidR="00704B3F" w:rsidRPr="00704B3F">
        <w:rPr>
          <w:rFonts w:cs="Arial"/>
          <w:color w:val="000000" w:themeColor="text1"/>
          <w:szCs w:val="21"/>
          <w:shd w:val="clear" w:color="auto" w:fill="FFFFFF"/>
        </w:rPr>
        <w:t xml:space="preserve">nfants and </w:t>
      </w:r>
      <w:r w:rsidR="00704B3F">
        <w:rPr>
          <w:rFonts w:cs="Arial"/>
          <w:color w:val="000000" w:themeColor="text1"/>
          <w:szCs w:val="21"/>
          <w:shd w:val="clear" w:color="auto" w:fill="FFFFFF"/>
        </w:rPr>
        <w:t xml:space="preserve">young </w:t>
      </w:r>
      <w:r w:rsidR="00704B3F" w:rsidRPr="00704B3F">
        <w:rPr>
          <w:rFonts w:cs="Arial"/>
          <w:color w:val="000000" w:themeColor="text1"/>
          <w:szCs w:val="21"/>
          <w:shd w:val="clear" w:color="auto" w:fill="FFFFFF"/>
        </w:rPr>
        <w:t xml:space="preserve">children less than 24 months old who have previously had an RSV infection are recommended to receive RSV-specific monoclonal antibodies during the RSV season, </w:t>
      </w:r>
      <w:r w:rsidR="00704B3F" w:rsidRPr="00EF7986">
        <w:rPr>
          <w:rFonts w:cs="Arial"/>
          <w:color w:val="000000" w:themeColor="text1"/>
          <w:szCs w:val="21"/>
          <w:shd w:val="clear" w:color="auto" w:fill="FFFFFF"/>
        </w:rPr>
        <w:t>once recovered.</w:t>
      </w:r>
    </w:p>
    <w:p w14:paraId="6E4A2F51" w14:textId="77777777" w:rsidR="00542152" w:rsidRPr="001F58E2" w:rsidRDefault="00542152" w:rsidP="00E73720">
      <w:pPr>
        <w:pStyle w:val="Heading2"/>
        <w:spacing w:before="280" w:line="310" w:lineRule="atLeast"/>
        <w:rPr>
          <w:b w:val="0"/>
          <w:bCs/>
          <w:color w:val="1F497D" w:themeColor="text2"/>
          <w:sz w:val="28"/>
        </w:rPr>
      </w:pPr>
      <w:bookmarkStart w:id="23" w:name="_Toc187417197"/>
      <w:bookmarkStart w:id="24" w:name="_Toc220935982"/>
      <w:bookmarkEnd w:id="22"/>
      <w:r w:rsidRPr="001F58E2">
        <w:rPr>
          <w:b w:val="0"/>
          <w:bCs/>
          <w:color w:val="1F497D" w:themeColor="text2"/>
          <w:sz w:val="28"/>
        </w:rPr>
        <w:t>Interchangeability of RSV immunisation products</w:t>
      </w:r>
      <w:bookmarkEnd w:id="23"/>
      <w:bookmarkEnd w:id="24"/>
    </w:p>
    <w:p w14:paraId="026F0F6E" w14:textId="2880BBDC" w:rsidR="003B58A2" w:rsidRDefault="007519DE" w:rsidP="00E43810">
      <w:pPr>
        <w:pStyle w:val="Body"/>
      </w:pPr>
      <w:r w:rsidRPr="008028BE">
        <w:t>Infants who have already received palivizumab</w:t>
      </w:r>
      <w:r w:rsidR="00493BB7" w:rsidRPr="008028BE">
        <w:t xml:space="preserve"> (mAB)</w:t>
      </w:r>
      <w:r w:rsidRPr="008028BE">
        <w:t>, and who meet the above eligibility criteria, can receive Beyfortus</w:t>
      </w:r>
      <w:r w:rsidR="008066D1" w:rsidRPr="008028BE">
        <w:t>™</w:t>
      </w:r>
      <w:r w:rsidRPr="008028BE">
        <w:t xml:space="preserve"> (nirsevimab) 28 days later, instead of their next palivizumab dose. Palivizumab should then be discontinued</w:t>
      </w:r>
      <w:r w:rsidR="00542152">
        <w:rPr>
          <w:rStyle w:val="FootnoteReference"/>
        </w:rPr>
        <w:footnoteReference w:id="4"/>
      </w:r>
      <w:r w:rsidR="00542152">
        <w:t>.</w:t>
      </w:r>
      <w:r w:rsidR="002F4E9C">
        <w:t xml:space="preserve"> </w:t>
      </w:r>
    </w:p>
    <w:p w14:paraId="47ABC557" w14:textId="48EE6CCD" w:rsidR="007519DE" w:rsidRPr="001F58E2" w:rsidRDefault="0015719A" w:rsidP="009A511E">
      <w:pPr>
        <w:pStyle w:val="Heading1"/>
        <w:spacing w:before="240" w:after="120" w:line="440" w:lineRule="atLeast"/>
        <w:rPr>
          <w:color w:val="1F497D" w:themeColor="text2"/>
          <w:sz w:val="28"/>
          <w:szCs w:val="28"/>
        </w:rPr>
      </w:pPr>
      <w:bookmarkStart w:id="25" w:name="_Toc187417199"/>
      <w:bookmarkStart w:id="26" w:name="_Toc220935983"/>
      <w:bookmarkEnd w:id="19"/>
      <w:r w:rsidRPr="009A511E">
        <w:rPr>
          <w:color w:val="1F497D" w:themeColor="text2"/>
          <w:sz w:val="28"/>
          <w:szCs w:val="28"/>
        </w:rPr>
        <w:lastRenderedPageBreak/>
        <w:t xml:space="preserve">Ordering </w:t>
      </w:r>
      <w:bookmarkEnd w:id="25"/>
      <w:r w:rsidR="001F58E2" w:rsidRPr="001F58E2">
        <w:rPr>
          <w:color w:val="1F497D" w:themeColor="text2"/>
          <w:sz w:val="28"/>
          <w:szCs w:val="28"/>
        </w:rPr>
        <w:t>Beyfortus™ (nirsevimab)</w:t>
      </w:r>
      <w:bookmarkEnd w:id="26"/>
    </w:p>
    <w:p w14:paraId="4E97F8D0" w14:textId="5C569874" w:rsidR="00EA47A6" w:rsidRPr="008028BE" w:rsidRDefault="001F58E2" w:rsidP="008028BE">
      <w:pPr>
        <w:pStyle w:val="Body"/>
      </w:pPr>
      <w:r w:rsidRPr="00D736A2">
        <w:t>Beyfortus</w:t>
      </w:r>
      <w:r>
        <w:rPr>
          <w:rFonts w:cs="Arial"/>
        </w:rPr>
        <w:t>™</w:t>
      </w:r>
      <w:r w:rsidRPr="00D736A2">
        <w:t xml:space="preserve"> (nirsevimab) </w:t>
      </w:r>
      <w:r w:rsidR="00EA47A6" w:rsidRPr="008028BE">
        <w:t>will be made available to order through the Victorian government account portal Onelink online</w:t>
      </w:r>
      <w:r w:rsidR="00280F19" w:rsidRPr="008028BE">
        <w:t xml:space="preserve">. </w:t>
      </w:r>
      <w:r w:rsidR="009463B0" w:rsidRPr="008028BE">
        <w:t>Immunisation p</w:t>
      </w:r>
      <w:r w:rsidR="00EA47A6" w:rsidRPr="008028BE">
        <w:t xml:space="preserve">roviders are required to have a </w:t>
      </w:r>
      <w:hyperlink r:id="rId19" w:history="1">
        <w:r w:rsidR="009463B0" w:rsidRPr="0017055A">
          <w:rPr>
            <w:rStyle w:val="Hyperlink"/>
          </w:rPr>
          <w:t>Onelink</w:t>
        </w:r>
      </w:hyperlink>
      <w:r w:rsidR="009463B0" w:rsidRPr="008028BE">
        <w:t xml:space="preserve"> government v</w:t>
      </w:r>
      <w:r w:rsidR="00EA47A6" w:rsidRPr="008028BE">
        <w:t xml:space="preserve">accine </w:t>
      </w:r>
      <w:r w:rsidR="009463B0" w:rsidRPr="008028BE">
        <w:t>a</w:t>
      </w:r>
      <w:r w:rsidR="00EA47A6" w:rsidRPr="008028BE">
        <w:t xml:space="preserve">ccount to </w:t>
      </w:r>
      <w:hyperlink r:id="rId20" w:history="1">
        <w:r w:rsidR="00EA47A6" w:rsidRPr="008028BE">
          <w:rPr>
            <w:rStyle w:val="Hyperlink"/>
            <w:color w:val="auto"/>
            <w:u w:val="none"/>
          </w:rPr>
          <w:t>order vaccines</w:t>
        </w:r>
      </w:hyperlink>
      <w:r w:rsidR="0017055A">
        <w:t xml:space="preserve"> &lt;</w:t>
      </w:r>
      <w:r w:rsidR="0017055A" w:rsidRPr="0017055A">
        <w:t>https://www.health.vic.gov.au/immunisation/ordering-vaccines</w:t>
      </w:r>
      <w:r w:rsidR="0017055A">
        <w:t>&gt;.</w:t>
      </w:r>
    </w:p>
    <w:p w14:paraId="2C6F563F" w14:textId="1EAB3DE0" w:rsidR="00EA47A6" w:rsidRPr="001F58E2" w:rsidRDefault="001F58E2" w:rsidP="000C181E">
      <w:pPr>
        <w:pStyle w:val="Body"/>
        <w:spacing w:after="80"/>
      </w:pPr>
      <w:r w:rsidRPr="00D736A2">
        <w:t>Beyfortus</w:t>
      </w:r>
      <w:r>
        <w:rPr>
          <w:rFonts w:cs="Arial"/>
        </w:rPr>
        <w:t>™</w:t>
      </w:r>
      <w:r w:rsidRPr="00D736A2">
        <w:t xml:space="preserve"> (nirsevimab) </w:t>
      </w:r>
      <w:r w:rsidR="00EA47A6" w:rsidRPr="001F58E2">
        <w:t>is available to order in the following formulations from Onelink:</w:t>
      </w:r>
    </w:p>
    <w:p w14:paraId="5D97C37A" w14:textId="680BCB36" w:rsidR="00EA47A6" w:rsidRPr="001F58E2" w:rsidRDefault="00EA47A6" w:rsidP="008028BE">
      <w:pPr>
        <w:pStyle w:val="Bullet1"/>
      </w:pPr>
      <w:r w:rsidRPr="001F58E2">
        <w:t xml:space="preserve">50 mg in 0.5mL solution (prefilled syringe) </w:t>
      </w:r>
      <w:r w:rsidR="003B0FE6" w:rsidRPr="001F58E2">
        <w:t xml:space="preserve">for infants </w:t>
      </w:r>
      <w:r w:rsidR="000C695E" w:rsidRPr="001F58E2">
        <w:t xml:space="preserve">less than </w:t>
      </w:r>
      <w:r w:rsidR="003B0FE6" w:rsidRPr="001F58E2">
        <w:t xml:space="preserve">5kg </w:t>
      </w:r>
      <w:r w:rsidR="006E608D" w:rsidRPr="001F58E2">
        <w:t xml:space="preserve"> </w:t>
      </w:r>
    </w:p>
    <w:p w14:paraId="19006665" w14:textId="277FC5F6" w:rsidR="00EA47A6" w:rsidRPr="001F58E2" w:rsidRDefault="00EA47A6" w:rsidP="008028BE">
      <w:pPr>
        <w:pStyle w:val="Bullet1"/>
      </w:pPr>
      <w:r w:rsidRPr="001F58E2">
        <w:t xml:space="preserve">100 mg in 1mL solution (prefilled syringe) </w:t>
      </w:r>
      <w:r w:rsidR="003B0FE6" w:rsidRPr="001F58E2">
        <w:t>for infants 5kg</w:t>
      </w:r>
      <w:r w:rsidR="000C695E" w:rsidRPr="001F58E2">
        <w:t xml:space="preserve"> and over</w:t>
      </w:r>
      <w:r w:rsidR="008028BE" w:rsidRPr="001F58E2">
        <w:t>.</w:t>
      </w:r>
    </w:p>
    <w:p w14:paraId="2A7730B2" w14:textId="753B1DE7" w:rsidR="00EA47A6" w:rsidRPr="008028BE" w:rsidRDefault="00493BB7" w:rsidP="008028BE">
      <w:pPr>
        <w:pStyle w:val="Body"/>
      </w:pPr>
      <w:r w:rsidRPr="001F58E2">
        <w:t xml:space="preserve">Community based immunisation providers </w:t>
      </w:r>
      <w:r w:rsidR="003B0FE6" w:rsidRPr="001F58E2">
        <w:t>should consider client cohorts and order nirsevimab on demand only</w:t>
      </w:r>
      <w:r w:rsidR="00B56C06" w:rsidRPr="001F58E2">
        <w:t>,</w:t>
      </w:r>
      <w:r w:rsidR="003B0FE6" w:rsidRPr="001F58E2">
        <w:t xml:space="preserve"> to prevent stockpiling and product wastage. </w:t>
      </w:r>
      <w:r w:rsidR="008D6686" w:rsidRPr="001F58E2">
        <w:t xml:space="preserve">Distribution will be </w:t>
      </w:r>
      <w:r w:rsidR="00470688" w:rsidRPr="001F58E2">
        <w:t xml:space="preserve">managed </w:t>
      </w:r>
      <w:r w:rsidR="008D6686" w:rsidRPr="001F58E2">
        <w:t xml:space="preserve">to </w:t>
      </w:r>
      <w:r w:rsidR="00470688" w:rsidRPr="001F58E2">
        <w:t xml:space="preserve">ensure </w:t>
      </w:r>
      <w:r w:rsidR="003B0FE6" w:rsidRPr="001F58E2">
        <w:t>fair and equitable access to the product</w:t>
      </w:r>
      <w:r w:rsidR="00470688" w:rsidRPr="001F58E2">
        <w:t xml:space="preserve"> for those most at risk.</w:t>
      </w:r>
      <w:r w:rsidR="00280F19" w:rsidRPr="008028BE">
        <w:t xml:space="preserve"> </w:t>
      </w:r>
    </w:p>
    <w:p w14:paraId="5B6E689A" w14:textId="77777777" w:rsidR="0023125B" w:rsidRPr="009A511E" w:rsidRDefault="0023125B" w:rsidP="000640B1">
      <w:pPr>
        <w:pStyle w:val="Heading2"/>
        <w:spacing w:before="240" w:line="260" w:lineRule="atLeast"/>
        <w:rPr>
          <w:rFonts w:eastAsia="MS Gothic"/>
          <w:color w:val="1F497D" w:themeColor="text2"/>
          <w:sz w:val="24"/>
          <w:szCs w:val="24"/>
        </w:rPr>
      </w:pPr>
      <w:bookmarkStart w:id="27" w:name="_Toc187417200"/>
      <w:bookmarkStart w:id="28" w:name="_Toc220935984"/>
      <w:r w:rsidRPr="009A511E">
        <w:rPr>
          <w:rFonts w:eastAsia="MS Gothic"/>
          <w:color w:val="1F497D" w:themeColor="text2"/>
          <w:sz w:val="24"/>
          <w:szCs w:val="24"/>
        </w:rPr>
        <w:t>Product information</w:t>
      </w:r>
      <w:bookmarkEnd w:id="27"/>
      <w:bookmarkEnd w:id="28"/>
    </w:p>
    <w:p w14:paraId="4407106E" w14:textId="07349A97" w:rsidR="00493BB7" w:rsidRPr="00D736A2" w:rsidRDefault="00493BB7" w:rsidP="000C181E">
      <w:pPr>
        <w:pStyle w:val="Body"/>
        <w:spacing w:after="80"/>
      </w:pPr>
      <w:r w:rsidRPr="00D736A2">
        <w:t>Beyfortus</w:t>
      </w:r>
      <w:r w:rsidR="001F58E2">
        <w:rPr>
          <w:rFonts w:cs="Arial"/>
        </w:rPr>
        <w:t>™</w:t>
      </w:r>
      <w:r w:rsidRPr="00D736A2">
        <w:t xml:space="preserve"> (nirsevimab) is a clear to opalescent colourless to yellow solution in a prefilled syringe</w:t>
      </w:r>
      <w:r w:rsidR="00280F19" w:rsidRPr="00D736A2">
        <w:t xml:space="preserve">. </w:t>
      </w:r>
    </w:p>
    <w:p w14:paraId="5E0E1D1B" w14:textId="218F8101" w:rsidR="00493BB7" w:rsidRDefault="00493BB7" w:rsidP="0010529E">
      <w:pPr>
        <w:pStyle w:val="Bullet1"/>
      </w:pPr>
      <w:r>
        <w:t xml:space="preserve">Each prefilled syringe contains 0.5 mL or 1 mL solution. </w:t>
      </w:r>
    </w:p>
    <w:p w14:paraId="5E7F8A25" w14:textId="77BA8C4B" w:rsidR="00493BB7" w:rsidRDefault="00493BB7" w:rsidP="0010529E">
      <w:pPr>
        <w:pStyle w:val="Bullet1"/>
      </w:pPr>
      <w:r>
        <w:t>Pack size: 1 single use prefilled syringe</w:t>
      </w:r>
      <w:r w:rsidR="000D43D4">
        <w:t xml:space="preserve"> </w:t>
      </w:r>
      <w:r>
        <w:t>without needle.</w:t>
      </w:r>
    </w:p>
    <w:p w14:paraId="3F199591" w14:textId="316AB888" w:rsidR="00493BB7" w:rsidRPr="009A511E" w:rsidRDefault="00CB35B2" w:rsidP="00E73720">
      <w:pPr>
        <w:pStyle w:val="Heading2"/>
        <w:spacing w:before="280" w:line="310" w:lineRule="atLeast"/>
        <w:rPr>
          <w:color w:val="1F497D" w:themeColor="text2"/>
          <w:sz w:val="24"/>
          <w:szCs w:val="24"/>
        </w:rPr>
      </w:pPr>
      <w:bookmarkStart w:id="29" w:name="_Toc187417201"/>
      <w:bookmarkStart w:id="30" w:name="_Toc220935985"/>
      <w:r w:rsidRPr="009A511E">
        <w:rPr>
          <w:color w:val="1F497D" w:themeColor="text2"/>
          <w:sz w:val="24"/>
          <w:szCs w:val="24"/>
        </w:rPr>
        <w:t>Presentation</w:t>
      </w:r>
      <w:bookmarkEnd w:id="29"/>
      <w:bookmarkEnd w:id="30"/>
    </w:p>
    <w:tbl>
      <w:tblPr>
        <w:tblStyle w:val="TableGrid"/>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6068"/>
      </w:tblGrid>
      <w:tr w:rsidR="00FE1EEE" w14:paraId="236FD078" w14:textId="77777777" w:rsidTr="00FE1EEE">
        <w:tc>
          <w:tcPr>
            <w:tcW w:w="3402" w:type="dxa"/>
          </w:tcPr>
          <w:p w14:paraId="41F91C62" w14:textId="680EBDB6" w:rsidR="00FE1EEE" w:rsidRDefault="00FE1EEE" w:rsidP="00FE1EEE">
            <w:pPr>
              <w:pStyle w:val="Body"/>
            </w:pPr>
            <w:r w:rsidRPr="002F0ADA">
              <w:rPr>
                <w:noProof/>
              </w:rPr>
              <w:drawing>
                <wp:inline distT="0" distB="0" distL="0" distR="0" wp14:anchorId="1890CB82" wp14:editId="791B6936">
                  <wp:extent cx="2258008" cy="1808547"/>
                  <wp:effectExtent l="0" t="0" r="9525" b="1270"/>
                  <wp:docPr id="1677922515" name="Picture 1" descr="Image of nirsevimab (Beyfortus) packaging. 50mg solution is in a purple plunger rod. Box is marked with purple label. 100mg solution is in a blue plunger rod. Box is marked with a blue lab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22515" name="Picture 1" descr="Image of nirsevimab (Beyfortus) packaging. 50mg solution is in a purple plunger rod. Box is marked with purple label. 100mg solution is in a blue plunger rod. Box is marked with a blue label. "/>
                          <pic:cNvPicPr/>
                        </pic:nvPicPr>
                        <pic:blipFill>
                          <a:blip r:embed="rId21"/>
                          <a:stretch>
                            <a:fillRect/>
                          </a:stretch>
                        </pic:blipFill>
                        <pic:spPr>
                          <a:xfrm>
                            <a:off x="0" y="0"/>
                            <a:ext cx="2279240" cy="1825553"/>
                          </a:xfrm>
                          <a:prstGeom prst="rect">
                            <a:avLst/>
                          </a:prstGeom>
                        </pic:spPr>
                      </pic:pic>
                    </a:graphicData>
                  </a:graphic>
                </wp:inline>
              </w:drawing>
            </w:r>
          </w:p>
        </w:tc>
        <w:tc>
          <w:tcPr>
            <w:tcW w:w="6452" w:type="dxa"/>
            <w:vAlign w:val="center"/>
          </w:tcPr>
          <w:p w14:paraId="2E8BECB1" w14:textId="77777777" w:rsidR="00FE1EEE" w:rsidRPr="00F210E2" w:rsidRDefault="00FE1EEE" w:rsidP="00FE1EEE">
            <w:pPr>
              <w:pStyle w:val="Tablebullet1"/>
              <w:rPr>
                <w:lang w:eastAsia="en-AU"/>
              </w:rPr>
            </w:pPr>
            <w:r w:rsidRPr="00F210E2">
              <w:t xml:space="preserve">50mg solution for injection is in a prefilled syringe with a </w:t>
            </w:r>
            <w:r w:rsidRPr="00F210E2">
              <w:rPr>
                <w:color w:val="7030A0"/>
              </w:rPr>
              <w:t>purple plunger rod</w:t>
            </w:r>
            <w:r w:rsidRPr="00F210E2">
              <w:t xml:space="preserve">: </w:t>
            </w:r>
            <w:r>
              <w:t>e</w:t>
            </w:r>
            <w:r w:rsidRPr="00F210E2">
              <w:t>ach prefilled syringe contains 50mg of nirsevimab in 0.5mL</w:t>
            </w:r>
            <w:r>
              <w:t>.</w:t>
            </w:r>
          </w:p>
          <w:p w14:paraId="0CC2ACE7" w14:textId="32730A0D" w:rsidR="00FE1EEE" w:rsidRDefault="00FE1EEE" w:rsidP="00FE1EEE">
            <w:pPr>
              <w:pStyle w:val="Tablebullet1"/>
              <w:rPr>
                <w:lang w:eastAsia="en-AU"/>
              </w:rPr>
            </w:pPr>
            <w:r w:rsidRPr="00F210E2">
              <w:rPr>
                <w:lang w:eastAsia="en-AU"/>
              </w:rPr>
              <w:t xml:space="preserve">100mg solution for injection is in prefilled syringe with a </w:t>
            </w:r>
            <w:r w:rsidRPr="00F210E2">
              <w:rPr>
                <w:color w:val="4F81BD" w:themeColor="accent1"/>
                <w:lang w:eastAsia="en-AU"/>
              </w:rPr>
              <w:t>light blue plunger rod</w:t>
            </w:r>
            <w:r w:rsidRPr="00F210E2">
              <w:rPr>
                <w:lang w:eastAsia="en-AU"/>
              </w:rPr>
              <w:t xml:space="preserve">: </w:t>
            </w:r>
            <w:r>
              <w:rPr>
                <w:lang w:eastAsia="en-AU"/>
              </w:rPr>
              <w:t>e</w:t>
            </w:r>
            <w:r w:rsidRPr="00F210E2">
              <w:rPr>
                <w:lang w:eastAsia="en-AU"/>
              </w:rPr>
              <w:t xml:space="preserve">ach pre-filled syringe contains </w:t>
            </w:r>
            <w:r>
              <w:rPr>
                <w:lang w:eastAsia="en-AU"/>
              </w:rPr>
              <w:t>1</w:t>
            </w:r>
            <w:r w:rsidRPr="00F210E2">
              <w:rPr>
                <w:lang w:eastAsia="en-AU"/>
              </w:rPr>
              <w:t>00mg of nirsevimab in 1mL</w:t>
            </w:r>
            <w:r>
              <w:rPr>
                <w:lang w:eastAsia="en-AU"/>
              </w:rPr>
              <w:t>.</w:t>
            </w:r>
            <w:r w:rsidRPr="00F210E2">
              <w:rPr>
                <w:lang w:eastAsia="en-AU"/>
              </w:rPr>
              <w:t xml:space="preserve"> </w:t>
            </w:r>
          </w:p>
        </w:tc>
      </w:tr>
    </w:tbl>
    <w:p w14:paraId="5E2C58FE" w14:textId="77777777" w:rsidR="00EA779C" w:rsidRPr="00BD3075" w:rsidRDefault="00EA779C" w:rsidP="000640B1">
      <w:pPr>
        <w:pStyle w:val="Heading1"/>
        <w:spacing w:before="240" w:after="120" w:line="260" w:lineRule="atLeast"/>
        <w:rPr>
          <w:color w:val="1F497D" w:themeColor="text2"/>
          <w:sz w:val="28"/>
          <w:szCs w:val="28"/>
        </w:rPr>
      </w:pPr>
      <w:bookmarkStart w:id="31" w:name="_Toc187417202"/>
      <w:bookmarkStart w:id="32" w:name="_Toc220935986"/>
      <w:r w:rsidRPr="00BD3075">
        <w:rPr>
          <w:color w:val="1F497D" w:themeColor="text2"/>
          <w:sz w:val="28"/>
          <w:szCs w:val="28"/>
        </w:rPr>
        <w:t>Storage and cold chain management</w:t>
      </w:r>
      <w:bookmarkEnd w:id="31"/>
      <w:bookmarkEnd w:id="32"/>
    </w:p>
    <w:p w14:paraId="665EF358" w14:textId="28F82ADB" w:rsidR="00EA779C" w:rsidRPr="008028BE" w:rsidRDefault="00E73821" w:rsidP="00EA779C">
      <w:pPr>
        <w:pStyle w:val="Body"/>
      </w:pPr>
      <w:r w:rsidRPr="00D736A2">
        <w:t>Beyfortus</w:t>
      </w:r>
      <w:r>
        <w:rPr>
          <w:rFonts w:cs="Arial"/>
        </w:rPr>
        <w:t>™</w:t>
      </w:r>
      <w:r w:rsidRPr="00D736A2">
        <w:t xml:space="preserve"> (nirsevimab) </w:t>
      </w:r>
      <w:r w:rsidR="00EA779C" w:rsidRPr="008028BE">
        <w:t xml:space="preserve">must be stored at +2°C to +8°C in original packaging and always protected from light. </w:t>
      </w:r>
    </w:p>
    <w:p w14:paraId="63AA6676" w14:textId="77777777" w:rsidR="00EA779C" w:rsidRPr="008028BE" w:rsidRDefault="00EA779C" w:rsidP="00EA779C">
      <w:pPr>
        <w:pStyle w:val="Body"/>
      </w:pPr>
      <w:r w:rsidRPr="008028BE">
        <w:t>All immunisation providers responsible for ordering, storing, receiving, and administering nirsevimab must understand the principles of vaccine storage. The National Vaccine Storage Guidelines: Strive for 5</w:t>
      </w:r>
      <w:r>
        <w:rPr>
          <w:rStyle w:val="FootnoteReference"/>
        </w:rPr>
        <w:footnoteReference w:id="5"/>
      </w:r>
      <w:r>
        <w:t xml:space="preserve"> </w:t>
      </w:r>
      <w:r w:rsidRPr="008028BE">
        <w:t xml:space="preserve">provide best practice guidelines for storing vaccines and therapeutic products to manage the cold chain. </w:t>
      </w:r>
    </w:p>
    <w:p w14:paraId="1B29A180" w14:textId="77777777" w:rsidR="00EA779C" w:rsidRPr="008028BE" w:rsidRDefault="00EA779C" w:rsidP="00EA779C">
      <w:pPr>
        <w:pStyle w:val="Body"/>
      </w:pPr>
      <w:r w:rsidRPr="008028BE">
        <w:t xml:space="preserve">Refer to the department’s </w:t>
      </w:r>
      <w:hyperlink r:id="rId22" w:history="1">
        <w:r w:rsidRPr="004303AE">
          <w:rPr>
            <w:rStyle w:val="Hyperlink"/>
          </w:rPr>
          <w:t>Cold Chain Management Protocols</w:t>
        </w:r>
      </w:hyperlink>
      <w:r>
        <w:t xml:space="preserve"> &lt;</w:t>
      </w:r>
      <w:r w:rsidRPr="004303AE">
        <w:t>https://www.health.vic.gov.au/immunisation/cold-chain-management</w:t>
      </w:r>
      <w:r>
        <w:t>&gt;</w:t>
      </w:r>
      <w:r w:rsidRPr="008028BE">
        <w:t xml:space="preserve">, including requirements for facilities with automated temperature monitoring and back to base systems, and </w:t>
      </w:r>
      <w:hyperlink r:id="rId23" w:history="1">
        <w:r w:rsidRPr="004303AE">
          <w:rPr>
            <w:rStyle w:val="Hyperlink"/>
          </w:rPr>
          <w:t>Cold Chain Breach Reporting</w:t>
        </w:r>
      </w:hyperlink>
      <w:r w:rsidRPr="008028BE">
        <w:t xml:space="preserve"> </w:t>
      </w:r>
      <w:r w:rsidRPr="004303AE">
        <w:t>&lt;https://www.health.vic.gov.au/immunisation/cold-chain-management&gt;</w:t>
      </w:r>
      <w:r w:rsidRPr="004303AE">
        <w:rPr>
          <w:rStyle w:val="Hyperlink"/>
          <w:color w:val="auto"/>
          <w:u w:val="none"/>
        </w:rPr>
        <w:t>.</w:t>
      </w:r>
    </w:p>
    <w:p w14:paraId="3A7B3F21" w14:textId="011AD0CB" w:rsidR="00EA779C" w:rsidRPr="00BD3075" w:rsidRDefault="00EA779C" w:rsidP="000640B1">
      <w:pPr>
        <w:pStyle w:val="Heading1"/>
        <w:spacing w:before="240" w:after="120" w:line="260" w:lineRule="atLeast"/>
        <w:rPr>
          <w:color w:val="1F497D" w:themeColor="text2"/>
          <w:sz w:val="28"/>
          <w:szCs w:val="28"/>
        </w:rPr>
      </w:pPr>
      <w:bookmarkStart w:id="33" w:name="_Toc187417203"/>
      <w:bookmarkStart w:id="34" w:name="_Toc220935987"/>
      <w:r w:rsidRPr="00BD3075">
        <w:rPr>
          <w:color w:val="1F497D" w:themeColor="text2"/>
          <w:sz w:val="28"/>
          <w:szCs w:val="28"/>
        </w:rPr>
        <w:lastRenderedPageBreak/>
        <w:t>Administration</w:t>
      </w:r>
      <w:bookmarkEnd w:id="33"/>
      <w:bookmarkEnd w:id="34"/>
    </w:p>
    <w:p w14:paraId="04DCA4B3" w14:textId="67C2E294" w:rsidR="00AC4CFA" w:rsidRPr="003F4CF8" w:rsidRDefault="00AC4CFA" w:rsidP="003F4CF8">
      <w:pPr>
        <w:pStyle w:val="Heading2"/>
        <w:spacing w:before="0" w:line="260" w:lineRule="atLeast"/>
        <w:rPr>
          <w:b w:val="0"/>
          <w:bCs/>
          <w:color w:val="1F497D" w:themeColor="text2"/>
          <w:sz w:val="24"/>
          <w:szCs w:val="24"/>
        </w:rPr>
      </w:pPr>
      <w:bookmarkStart w:id="35" w:name="_Toc187417204"/>
      <w:bookmarkStart w:id="36" w:name="_Toc220935988"/>
      <w:r w:rsidRPr="003F4CF8">
        <w:rPr>
          <w:b w:val="0"/>
          <w:bCs/>
          <w:color w:val="1F497D" w:themeColor="text2"/>
          <w:sz w:val="24"/>
          <w:szCs w:val="24"/>
        </w:rPr>
        <w:t>Dos</w:t>
      </w:r>
      <w:r w:rsidR="005C6582" w:rsidRPr="003F4CF8">
        <w:rPr>
          <w:b w:val="0"/>
          <w:bCs/>
          <w:color w:val="1F497D" w:themeColor="text2"/>
          <w:sz w:val="24"/>
          <w:szCs w:val="24"/>
        </w:rPr>
        <w:t>ing</w:t>
      </w:r>
      <w:r w:rsidRPr="003F4CF8">
        <w:rPr>
          <w:b w:val="0"/>
          <w:bCs/>
          <w:color w:val="1F497D" w:themeColor="text2"/>
          <w:sz w:val="24"/>
          <w:szCs w:val="24"/>
        </w:rPr>
        <w:t xml:space="preserve"> recommendations</w:t>
      </w:r>
      <w:bookmarkEnd w:id="35"/>
      <w:bookmarkEnd w:id="36"/>
    </w:p>
    <w:p w14:paraId="1CA69403" w14:textId="7F65B40A" w:rsidR="003F6B17" w:rsidRPr="00280B59" w:rsidRDefault="00673309" w:rsidP="0057553B">
      <w:pPr>
        <w:pStyle w:val="Body"/>
        <w:rPr>
          <w:rFonts w:cs="Arial"/>
          <w:shd w:val="clear" w:color="auto" w:fill="FFFFFF"/>
        </w:rPr>
      </w:pPr>
      <w:r w:rsidRPr="0076474E">
        <w:t xml:space="preserve">The recommended dose for </w:t>
      </w:r>
      <w:r w:rsidR="00B903B8">
        <w:t xml:space="preserve">newborns and </w:t>
      </w:r>
      <w:r w:rsidRPr="0076474E">
        <w:t xml:space="preserve">infants </w:t>
      </w:r>
      <w:r w:rsidR="009E6660">
        <w:t>entering their first RSV season</w:t>
      </w:r>
      <w:r w:rsidR="00B903B8">
        <w:t>,</w:t>
      </w:r>
      <w:r w:rsidRPr="0076474E">
        <w:t xml:space="preserve"> is weight and age dependant.</w:t>
      </w:r>
      <w:r>
        <w:t xml:space="preserve"> T</w:t>
      </w:r>
      <w:r w:rsidRPr="0076474E">
        <w:t xml:space="preserve">he dosing weight refers to an infant’s or young child’s weight </w:t>
      </w:r>
      <w:r w:rsidRPr="008806BB">
        <w:rPr>
          <w:b/>
        </w:rPr>
        <w:t xml:space="preserve">at the time of </w:t>
      </w:r>
      <w:r w:rsidR="000640B1">
        <w:rPr>
          <w:b/>
        </w:rPr>
        <w:t>ad</w:t>
      </w:r>
      <w:r w:rsidRPr="008806BB">
        <w:rPr>
          <w:b/>
        </w:rPr>
        <w:t>ministration</w:t>
      </w:r>
      <w:r w:rsidRPr="0076474E">
        <w:t>, not their birth weight.</w:t>
      </w:r>
      <w:r>
        <w:t xml:space="preserve"> </w:t>
      </w:r>
      <w:r w:rsidRPr="0076474E">
        <w:t>Immunisation providers should weigh all infants or young children prior to administration if</w:t>
      </w:r>
      <w:r>
        <w:t xml:space="preserve"> </w:t>
      </w:r>
      <w:r w:rsidRPr="0076474E">
        <w:t>they do not have a recent weight recorded.</w:t>
      </w:r>
      <w:r w:rsidR="00280B59" w:rsidRPr="00280B59">
        <w:rPr>
          <w:rFonts w:cs="Arial"/>
          <w:shd w:val="clear" w:color="auto" w:fill="FFFFFF"/>
        </w:rPr>
        <w:t xml:space="preserve"> </w:t>
      </w:r>
    </w:p>
    <w:tbl>
      <w:tblPr>
        <w:tblStyle w:val="TableGrid"/>
        <w:tblW w:w="0" w:type="auto"/>
        <w:tblInd w:w="-5" w:type="dxa"/>
        <w:tblLook w:val="04A0" w:firstRow="1" w:lastRow="0" w:firstColumn="1" w:lastColumn="0" w:noHBand="0" w:noVBand="1"/>
      </w:tblPr>
      <w:tblGrid>
        <w:gridCol w:w="4111"/>
        <w:gridCol w:w="2126"/>
        <w:gridCol w:w="3504"/>
      </w:tblGrid>
      <w:tr w:rsidR="004F435E" w:rsidRPr="009046CD" w14:paraId="1865C8D9" w14:textId="77777777" w:rsidTr="00DA07BD">
        <w:tc>
          <w:tcPr>
            <w:tcW w:w="4111" w:type="dxa"/>
            <w:shd w:val="clear" w:color="auto" w:fill="DBE5F1" w:themeFill="accent1" w:themeFillTint="33"/>
          </w:tcPr>
          <w:p w14:paraId="73DB600F" w14:textId="2C2594C6" w:rsidR="00167E7D" w:rsidRPr="009046CD" w:rsidRDefault="00540BBE" w:rsidP="00167E7D">
            <w:pPr>
              <w:pStyle w:val="Bullet1"/>
              <w:numPr>
                <w:ilvl w:val="0"/>
                <w:numId w:val="0"/>
              </w:numPr>
              <w:rPr>
                <w:b/>
                <w:bCs/>
              </w:rPr>
            </w:pPr>
            <w:r>
              <w:rPr>
                <w:b/>
                <w:bCs/>
              </w:rPr>
              <w:t>Age cohort</w:t>
            </w:r>
          </w:p>
        </w:tc>
        <w:tc>
          <w:tcPr>
            <w:tcW w:w="2126" w:type="dxa"/>
            <w:shd w:val="clear" w:color="auto" w:fill="DBE5F1" w:themeFill="accent1" w:themeFillTint="33"/>
          </w:tcPr>
          <w:p w14:paraId="42012785" w14:textId="4479A7AE" w:rsidR="00167E7D" w:rsidRPr="009046CD" w:rsidRDefault="00CA6E61" w:rsidP="00167E7D">
            <w:pPr>
              <w:pStyle w:val="Bullet1"/>
              <w:numPr>
                <w:ilvl w:val="0"/>
                <w:numId w:val="0"/>
              </w:numPr>
              <w:rPr>
                <w:b/>
                <w:bCs/>
              </w:rPr>
            </w:pPr>
            <w:r w:rsidRPr="009046CD">
              <w:rPr>
                <w:b/>
                <w:bCs/>
              </w:rPr>
              <w:t xml:space="preserve">Body weight </w:t>
            </w:r>
          </w:p>
        </w:tc>
        <w:tc>
          <w:tcPr>
            <w:tcW w:w="3504" w:type="dxa"/>
            <w:shd w:val="clear" w:color="auto" w:fill="DBE5F1" w:themeFill="accent1" w:themeFillTint="33"/>
          </w:tcPr>
          <w:p w14:paraId="4155EDC3" w14:textId="27C878FD" w:rsidR="00167E7D" w:rsidRPr="009046CD" w:rsidRDefault="00CA6E61" w:rsidP="00167E7D">
            <w:pPr>
              <w:pStyle w:val="Bullet1"/>
              <w:numPr>
                <w:ilvl w:val="0"/>
                <w:numId w:val="0"/>
              </w:numPr>
              <w:rPr>
                <w:b/>
                <w:bCs/>
              </w:rPr>
            </w:pPr>
            <w:r w:rsidRPr="009046CD">
              <w:rPr>
                <w:b/>
                <w:bCs/>
              </w:rPr>
              <w:t xml:space="preserve">Formulation / dose </w:t>
            </w:r>
          </w:p>
        </w:tc>
      </w:tr>
      <w:tr w:rsidR="00DA07BD" w14:paraId="652B70AE" w14:textId="77777777" w:rsidTr="00DA07BD">
        <w:tc>
          <w:tcPr>
            <w:tcW w:w="4111" w:type="dxa"/>
            <w:vMerge w:val="restart"/>
          </w:tcPr>
          <w:p w14:paraId="33A01F47" w14:textId="77777777" w:rsidR="00DA07BD" w:rsidRPr="00BD4C52" w:rsidRDefault="00DA07BD" w:rsidP="00167E7D">
            <w:pPr>
              <w:pStyle w:val="Bullet1"/>
              <w:numPr>
                <w:ilvl w:val="0"/>
                <w:numId w:val="0"/>
              </w:numPr>
            </w:pPr>
            <w:r w:rsidRPr="00BD4C52">
              <w:t>Newborns</w:t>
            </w:r>
            <w:r w:rsidR="003A45EF" w:rsidRPr="00BD4C52">
              <w:t xml:space="preserve"> </w:t>
            </w:r>
          </w:p>
          <w:p w14:paraId="45DF3727" w14:textId="20DCC488" w:rsidR="003A45EF" w:rsidRPr="00BD4C52" w:rsidRDefault="003A45EF" w:rsidP="00167E7D">
            <w:pPr>
              <w:pStyle w:val="Bullet1"/>
              <w:numPr>
                <w:ilvl w:val="0"/>
                <w:numId w:val="0"/>
              </w:numPr>
            </w:pPr>
            <w:r w:rsidRPr="00BD4C52">
              <w:t>Less than 8 months of age</w:t>
            </w:r>
          </w:p>
        </w:tc>
        <w:tc>
          <w:tcPr>
            <w:tcW w:w="2126" w:type="dxa"/>
          </w:tcPr>
          <w:p w14:paraId="1F53ACC9" w14:textId="15A931D7" w:rsidR="00DA07BD" w:rsidRDefault="00DA07BD" w:rsidP="00167E7D">
            <w:pPr>
              <w:pStyle w:val="Bullet1"/>
              <w:numPr>
                <w:ilvl w:val="0"/>
                <w:numId w:val="0"/>
              </w:numPr>
            </w:pPr>
            <w:r w:rsidRPr="000C181E">
              <w:t xml:space="preserve">less than 5 kg </w:t>
            </w:r>
          </w:p>
        </w:tc>
        <w:tc>
          <w:tcPr>
            <w:tcW w:w="3504" w:type="dxa"/>
          </w:tcPr>
          <w:p w14:paraId="681857C9" w14:textId="344249A6" w:rsidR="00DA07BD" w:rsidRDefault="00DA07BD" w:rsidP="00167E7D">
            <w:pPr>
              <w:pStyle w:val="Bullet1"/>
              <w:numPr>
                <w:ilvl w:val="0"/>
                <w:numId w:val="0"/>
              </w:numPr>
            </w:pPr>
            <w:r w:rsidRPr="000C181E">
              <w:t>50mg</w:t>
            </w:r>
            <w:r>
              <w:t xml:space="preserve"> </w:t>
            </w:r>
            <w:r w:rsidRPr="00F210E2">
              <w:rPr>
                <w:color w:val="7030A0"/>
              </w:rPr>
              <w:t>purple plunger rod</w:t>
            </w:r>
          </w:p>
        </w:tc>
      </w:tr>
      <w:tr w:rsidR="00DA07BD" w14:paraId="354865D8" w14:textId="77777777" w:rsidTr="00DA07BD">
        <w:tc>
          <w:tcPr>
            <w:tcW w:w="4111" w:type="dxa"/>
            <w:vMerge/>
          </w:tcPr>
          <w:p w14:paraId="65F3498D" w14:textId="77777777" w:rsidR="00DA07BD" w:rsidRPr="00BD4C52" w:rsidRDefault="00DA07BD" w:rsidP="00167E7D">
            <w:pPr>
              <w:pStyle w:val="Bullet1"/>
              <w:numPr>
                <w:ilvl w:val="0"/>
                <w:numId w:val="0"/>
              </w:numPr>
            </w:pPr>
          </w:p>
        </w:tc>
        <w:tc>
          <w:tcPr>
            <w:tcW w:w="2126" w:type="dxa"/>
          </w:tcPr>
          <w:p w14:paraId="41599F4F" w14:textId="18275DBA" w:rsidR="00DA07BD" w:rsidRDefault="00DA07BD" w:rsidP="00167E7D">
            <w:pPr>
              <w:pStyle w:val="Bullet1"/>
              <w:numPr>
                <w:ilvl w:val="0"/>
                <w:numId w:val="0"/>
              </w:numPr>
            </w:pPr>
            <w:r w:rsidRPr="000C181E">
              <w:t xml:space="preserve">5kg and greater </w:t>
            </w:r>
          </w:p>
        </w:tc>
        <w:tc>
          <w:tcPr>
            <w:tcW w:w="3504" w:type="dxa"/>
          </w:tcPr>
          <w:p w14:paraId="2641618F" w14:textId="30E8FDCA" w:rsidR="00DA07BD" w:rsidRDefault="00DA07BD" w:rsidP="00167E7D">
            <w:pPr>
              <w:pStyle w:val="Bullet1"/>
              <w:numPr>
                <w:ilvl w:val="0"/>
                <w:numId w:val="0"/>
              </w:numPr>
            </w:pPr>
            <w:r w:rsidRPr="000C181E">
              <w:t>100mg</w:t>
            </w:r>
            <w:r>
              <w:t xml:space="preserve"> </w:t>
            </w:r>
            <w:r w:rsidRPr="00F210E2">
              <w:rPr>
                <w:color w:val="4F81BD" w:themeColor="accent1"/>
                <w:lang w:eastAsia="en-AU"/>
              </w:rPr>
              <w:t>blue plunger rod</w:t>
            </w:r>
          </w:p>
        </w:tc>
      </w:tr>
      <w:tr w:rsidR="00DA07BD" w14:paraId="632AB5C0" w14:textId="77777777" w:rsidTr="00DA07BD">
        <w:tc>
          <w:tcPr>
            <w:tcW w:w="4111" w:type="dxa"/>
          </w:tcPr>
          <w:p w14:paraId="439FD1A4" w14:textId="3DA20C67" w:rsidR="00167E7D" w:rsidRPr="00BD4C52" w:rsidRDefault="00540BBE" w:rsidP="00167E7D">
            <w:pPr>
              <w:pStyle w:val="Bullet1"/>
              <w:numPr>
                <w:ilvl w:val="0"/>
                <w:numId w:val="0"/>
              </w:numPr>
            </w:pPr>
            <w:r w:rsidRPr="00BD4C52">
              <w:t xml:space="preserve">8 to less than 24 months of age. </w:t>
            </w:r>
          </w:p>
          <w:p w14:paraId="78BA3C07" w14:textId="49EA85AC" w:rsidR="00631C26" w:rsidRPr="00BD4C52" w:rsidRDefault="00631C26" w:rsidP="00167E7D">
            <w:pPr>
              <w:pStyle w:val="Bullet1"/>
              <w:numPr>
                <w:ilvl w:val="0"/>
                <w:numId w:val="0"/>
              </w:numPr>
            </w:pPr>
            <w:r w:rsidRPr="00BD4C52">
              <w:t>(</w:t>
            </w:r>
            <w:r w:rsidR="00DA07BD" w:rsidRPr="00BD4C52">
              <w:t xml:space="preserve">risk as </w:t>
            </w:r>
            <w:r w:rsidRPr="00BD4C52">
              <w:t>per program criteria)</w:t>
            </w:r>
          </w:p>
        </w:tc>
        <w:tc>
          <w:tcPr>
            <w:tcW w:w="2126" w:type="dxa"/>
          </w:tcPr>
          <w:p w14:paraId="1B9DD53A" w14:textId="445E5F23" w:rsidR="00167E7D" w:rsidRDefault="00CA6E61" w:rsidP="00167E7D">
            <w:pPr>
              <w:pStyle w:val="Bullet1"/>
              <w:numPr>
                <w:ilvl w:val="0"/>
                <w:numId w:val="0"/>
              </w:numPr>
            </w:pPr>
            <w:r>
              <w:t xml:space="preserve">Not applicable  </w:t>
            </w:r>
          </w:p>
        </w:tc>
        <w:tc>
          <w:tcPr>
            <w:tcW w:w="3504" w:type="dxa"/>
          </w:tcPr>
          <w:p w14:paraId="3ED78A92" w14:textId="054E60BD" w:rsidR="00CA6E61" w:rsidRDefault="00CA6E61" w:rsidP="00167E7D">
            <w:pPr>
              <w:pStyle w:val="Bullet1"/>
              <w:numPr>
                <w:ilvl w:val="0"/>
                <w:numId w:val="0"/>
              </w:numPr>
            </w:pPr>
            <w:r>
              <w:t xml:space="preserve">200mg </w:t>
            </w:r>
            <w:r w:rsidR="007405EA">
              <w:t>at the same visit</w:t>
            </w:r>
          </w:p>
          <w:p w14:paraId="1109CF24" w14:textId="7A766A4E" w:rsidR="00167E7D" w:rsidRDefault="00CA6E61" w:rsidP="00167E7D">
            <w:pPr>
              <w:pStyle w:val="Bullet1"/>
              <w:numPr>
                <w:ilvl w:val="0"/>
                <w:numId w:val="0"/>
              </w:numPr>
            </w:pPr>
            <w:r>
              <w:t xml:space="preserve">2 x </w:t>
            </w:r>
            <w:r w:rsidRPr="000C181E">
              <w:t>100mg</w:t>
            </w:r>
            <w:r>
              <w:t xml:space="preserve"> </w:t>
            </w:r>
            <w:r w:rsidRPr="00F210E2">
              <w:rPr>
                <w:color w:val="4F81BD" w:themeColor="accent1"/>
                <w:lang w:eastAsia="en-AU"/>
              </w:rPr>
              <w:t>blue plunger rod</w:t>
            </w:r>
          </w:p>
        </w:tc>
      </w:tr>
    </w:tbl>
    <w:p w14:paraId="37F1DFCF" w14:textId="5025BF04" w:rsidR="00BD4C52" w:rsidRPr="003F4CF8" w:rsidRDefault="00BD4C52" w:rsidP="00BD4C52">
      <w:pPr>
        <w:pStyle w:val="Heading4"/>
        <w:spacing w:before="120" w:line="260" w:lineRule="atLeast"/>
        <w:rPr>
          <w:b w:val="0"/>
          <w:bCs w:val="0"/>
          <w:color w:val="1F497D" w:themeColor="text2"/>
        </w:rPr>
      </w:pPr>
      <w:r w:rsidRPr="003F4CF8">
        <w:rPr>
          <w:b w:val="0"/>
          <w:bCs w:val="0"/>
          <w:color w:val="1F497D" w:themeColor="text2"/>
        </w:rPr>
        <w:t>Timing</w:t>
      </w:r>
      <w:r>
        <w:rPr>
          <w:b w:val="0"/>
          <w:bCs w:val="0"/>
          <w:color w:val="1F497D" w:themeColor="text2"/>
        </w:rPr>
        <w:t xml:space="preserve"> </w:t>
      </w:r>
    </w:p>
    <w:p w14:paraId="5523E269" w14:textId="77777777" w:rsidR="00BD4C52" w:rsidRPr="00280B59" w:rsidRDefault="00BD4C52" w:rsidP="00BD4C52">
      <w:pPr>
        <w:pStyle w:val="Body"/>
        <w:spacing w:after="0" w:line="260" w:lineRule="atLeast"/>
        <w:rPr>
          <w:rFonts w:cs="Arial"/>
          <w:szCs w:val="21"/>
        </w:rPr>
      </w:pPr>
      <w:r w:rsidRPr="00280B59">
        <w:rPr>
          <w:rFonts w:cs="Arial"/>
          <w:szCs w:val="21"/>
        </w:rPr>
        <w:t>Beyfortus® (nirsevimab) should be administered:</w:t>
      </w:r>
    </w:p>
    <w:p w14:paraId="5CB1CAA8" w14:textId="77777777" w:rsidR="00BD4C52" w:rsidRPr="00280B59" w:rsidRDefault="00BD4C52" w:rsidP="00BD4C52">
      <w:pPr>
        <w:pStyle w:val="Body"/>
        <w:numPr>
          <w:ilvl w:val="0"/>
          <w:numId w:val="43"/>
        </w:numPr>
        <w:spacing w:after="0" w:line="260" w:lineRule="atLeast"/>
        <w:rPr>
          <w:rFonts w:cs="Arial"/>
          <w:shd w:val="clear" w:color="auto" w:fill="FFFFFF"/>
        </w:rPr>
      </w:pPr>
      <w:r w:rsidRPr="00280B59">
        <w:rPr>
          <w:rFonts w:cs="Arial"/>
          <w:shd w:val="clear" w:color="auto" w:fill="FFFFFF"/>
        </w:rPr>
        <w:t xml:space="preserve">shortly after birth for infants born during the RSV season, and </w:t>
      </w:r>
    </w:p>
    <w:p w14:paraId="062BDD21" w14:textId="2BB87A2E" w:rsidR="00BD4C52" w:rsidRDefault="00BD4C52" w:rsidP="00606ABD">
      <w:pPr>
        <w:pStyle w:val="Body"/>
        <w:numPr>
          <w:ilvl w:val="0"/>
          <w:numId w:val="43"/>
        </w:numPr>
        <w:rPr>
          <w:b/>
          <w:bCs/>
          <w:color w:val="1F497D" w:themeColor="text2"/>
        </w:rPr>
      </w:pPr>
      <w:r w:rsidRPr="00280B59">
        <w:rPr>
          <w:shd w:val="clear" w:color="auto" w:fill="FFFFFF"/>
        </w:rPr>
        <w:t xml:space="preserve">shortly before </w:t>
      </w:r>
      <w:r>
        <w:rPr>
          <w:shd w:val="clear" w:color="auto" w:fill="FFFFFF"/>
        </w:rPr>
        <w:t xml:space="preserve">or at </w:t>
      </w:r>
      <w:r w:rsidRPr="00280B59">
        <w:rPr>
          <w:shd w:val="clear" w:color="auto" w:fill="FFFFFF"/>
        </w:rPr>
        <w:t xml:space="preserve">the start of </w:t>
      </w:r>
      <w:r>
        <w:rPr>
          <w:shd w:val="clear" w:color="auto" w:fill="FFFFFF"/>
        </w:rPr>
        <w:t>the R</w:t>
      </w:r>
      <w:r w:rsidRPr="00280B59">
        <w:rPr>
          <w:shd w:val="clear" w:color="auto" w:fill="FFFFFF"/>
        </w:rPr>
        <w:t>SV season in older infants that remain at high risk.</w:t>
      </w:r>
    </w:p>
    <w:p w14:paraId="3F1C715D" w14:textId="5BCEF0DC" w:rsidR="00680B83" w:rsidRPr="003F4CF8" w:rsidRDefault="00680B83" w:rsidP="003F4CF8">
      <w:pPr>
        <w:pStyle w:val="Heading4"/>
        <w:spacing w:before="120"/>
        <w:rPr>
          <w:b w:val="0"/>
          <w:bCs w:val="0"/>
          <w:color w:val="1F497D" w:themeColor="text2"/>
        </w:rPr>
      </w:pPr>
      <w:r w:rsidRPr="003F4CF8">
        <w:rPr>
          <w:b w:val="0"/>
          <w:bCs w:val="0"/>
          <w:color w:val="1F497D" w:themeColor="text2"/>
        </w:rPr>
        <w:t>Confirm eligibility</w:t>
      </w:r>
    </w:p>
    <w:p w14:paraId="1433A14F" w14:textId="15E33E9A" w:rsidR="00680B83" w:rsidRPr="000C181E" w:rsidRDefault="00680B83" w:rsidP="000C181E">
      <w:pPr>
        <w:pStyle w:val="Bullet1"/>
      </w:pPr>
      <w:r w:rsidRPr="000C181E">
        <w:t xml:space="preserve">Check </w:t>
      </w:r>
      <w:r w:rsidR="00CC0A17" w:rsidRPr="000C181E">
        <w:t xml:space="preserve">The Australian Immunisation Register (AIR), </w:t>
      </w:r>
      <w:r w:rsidR="00F23992" w:rsidRPr="000C181E">
        <w:t xml:space="preserve">electronic medical record, or </w:t>
      </w:r>
      <w:r w:rsidR="00633BE6" w:rsidRPr="000C181E">
        <w:t xml:space="preserve">Victorian </w:t>
      </w:r>
      <w:r w:rsidR="00F23992" w:rsidRPr="000C181E">
        <w:t xml:space="preserve">maternal </w:t>
      </w:r>
      <w:r w:rsidR="00633BE6" w:rsidRPr="000C181E">
        <w:t>record</w:t>
      </w:r>
      <w:r w:rsidR="00F23992" w:rsidRPr="000C181E">
        <w:t xml:space="preserve"> </w:t>
      </w:r>
      <w:r w:rsidRPr="000C181E">
        <w:t xml:space="preserve">for evidence of timely maternal </w:t>
      </w:r>
      <w:r w:rsidR="00D24219" w:rsidRPr="000C181E">
        <w:t>Abrysvo® RSV vaccination</w:t>
      </w:r>
      <w:r w:rsidR="00B43506" w:rsidRPr="000C181E">
        <w:t xml:space="preserve"> (Vaccine code ABRSV)</w:t>
      </w:r>
      <w:r w:rsidR="00874F0C" w:rsidRPr="000C181E">
        <w:t>.</w:t>
      </w:r>
    </w:p>
    <w:p w14:paraId="4999B5BE" w14:textId="32699679" w:rsidR="00491C19" w:rsidRPr="000C181E" w:rsidRDefault="00491C19" w:rsidP="000C181E">
      <w:pPr>
        <w:pStyle w:val="Bullet1"/>
      </w:pPr>
      <w:r w:rsidRPr="000C181E">
        <w:t xml:space="preserve">Check </w:t>
      </w:r>
      <w:hyperlink w:anchor="_Eligibility_for_nirsevimab" w:history="1">
        <w:r w:rsidRPr="000C181E">
          <w:rPr>
            <w:rStyle w:val="Hyperlink"/>
            <w:color w:val="auto"/>
            <w:u w:val="none"/>
          </w:rPr>
          <w:t>eligibility criteria</w:t>
        </w:r>
      </w:hyperlink>
      <w:r w:rsidRPr="000C181E">
        <w:t xml:space="preserve"> for risk factors for neonates and infant catch up doses. </w:t>
      </w:r>
    </w:p>
    <w:p w14:paraId="6F0887E8" w14:textId="6E632E8B" w:rsidR="00493BB7" w:rsidRPr="008E1FF7" w:rsidRDefault="00493BB7" w:rsidP="00BD4C52">
      <w:pPr>
        <w:pStyle w:val="Heading2"/>
        <w:spacing w:before="240" w:line="260" w:lineRule="atLeast"/>
        <w:rPr>
          <w:b w:val="0"/>
          <w:bCs/>
          <w:color w:val="1F497D" w:themeColor="text2"/>
          <w:sz w:val="24"/>
          <w:szCs w:val="24"/>
        </w:rPr>
      </w:pPr>
      <w:bookmarkStart w:id="37" w:name="_Toc187417205"/>
      <w:bookmarkStart w:id="38" w:name="_Toc220935989"/>
      <w:r w:rsidRPr="008E1FF7">
        <w:rPr>
          <w:b w:val="0"/>
          <w:bCs/>
          <w:color w:val="1F497D" w:themeColor="text2"/>
          <w:sz w:val="24"/>
          <w:szCs w:val="24"/>
        </w:rPr>
        <w:t>Consent</w:t>
      </w:r>
      <w:bookmarkEnd w:id="37"/>
      <w:bookmarkEnd w:id="38"/>
    </w:p>
    <w:p w14:paraId="3552C9B7" w14:textId="3A2EFED9" w:rsidR="00493BB7" w:rsidRPr="00B34815" w:rsidRDefault="00493BB7" w:rsidP="00B34815">
      <w:pPr>
        <w:pStyle w:val="Body"/>
      </w:pPr>
      <w:r w:rsidRPr="00B34815">
        <w:t xml:space="preserve">Beyfortus® (nirsevimab) is registered for use in Australia by the TGA and use in the </w:t>
      </w:r>
      <w:r w:rsidR="00B43506" w:rsidRPr="00B34815">
        <w:t>RSV-MIPP</w:t>
      </w:r>
      <w:r w:rsidR="00BB36F5" w:rsidRPr="00B34815">
        <w:t xml:space="preserve"> </w:t>
      </w:r>
      <w:r w:rsidRPr="00B34815">
        <w:t xml:space="preserve">in accordance with the indications and clinical guidance in the Australian Immunisation Handbook. </w:t>
      </w:r>
    </w:p>
    <w:p w14:paraId="6563E764" w14:textId="79DC16E1" w:rsidR="00493BB7" w:rsidRPr="00B34815" w:rsidRDefault="00493BB7" w:rsidP="00B34815">
      <w:pPr>
        <w:pStyle w:val="Body"/>
      </w:pPr>
      <w:r w:rsidRPr="00B34815">
        <w:t xml:space="preserve">Standard processes for obtaining consent from a parent or guardian for infant and child immunisation should be followed. Further information about consenting is available in </w:t>
      </w:r>
      <w:hyperlink r:id="rId24" w:history="1">
        <w:r w:rsidRPr="00234797">
          <w:rPr>
            <w:rStyle w:val="Hyperlink"/>
            <w:color w:val="auto"/>
            <w:u w:val="none"/>
          </w:rPr>
          <w:t>The Australian Immunisation Handbook</w:t>
        </w:r>
        <w:r w:rsidR="00327FFE" w:rsidRPr="00234797">
          <w:rPr>
            <w:rStyle w:val="FootnoteReference"/>
          </w:rPr>
          <w:footnoteReference w:id="6"/>
        </w:r>
        <w:r w:rsidR="00234797" w:rsidRPr="00234797">
          <w:rPr>
            <w:rStyle w:val="Hyperlink"/>
            <w:color w:val="auto"/>
            <w:u w:val="none"/>
          </w:rPr>
          <w:t>.</w:t>
        </w:r>
        <w:r w:rsidRPr="00234797">
          <w:rPr>
            <w:rStyle w:val="Hyperlink"/>
            <w:color w:val="auto"/>
            <w:u w:val="none"/>
          </w:rPr>
          <w:t xml:space="preserve"> </w:t>
        </w:r>
      </w:hyperlink>
    </w:p>
    <w:p w14:paraId="4133B363" w14:textId="2D9F9F98" w:rsidR="0023125B" w:rsidRPr="008E1FF7" w:rsidRDefault="0023125B" w:rsidP="00BD4C52">
      <w:pPr>
        <w:pStyle w:val="Heading2"/>
        <w:spacing w:before="240" w:line="260" w:lineRule="atLeast"/>
        <w:rPr>
          <w:b w:val="0"/>
          <w:bCs/>
          <w:color w:val="1F497D" w:themeColor="text2"/>
          <w:sz w:val="24"/>
          <w:szCs w:val="24"/>
        </w:rPr>
      </w:pPr>
      <w:bookmarkStart w:id="39" w:name="_Toc187417206"/>
      <w:bookmarkStart w:id="40" w:name="_Toc220935990"/>
      <w:r w:rsidRPr="008E1FF7">
        <w:rPr>
          <w:b w:val="0"/>
          <w:bCs/>
          <w:color w:val="1F497D" w:themeColor="text2"/>
          <w:sz w:val="24"/>
          <w:szCs w:val="24"/>
        </w:rPr>
        <w:t>Administration route</w:t>
      </w:r>
      <w:bookmarkEnd w:id="39"/>
      <w:bookmarkEnd w:id="40"/>
    </w:p>
    <w:p w14:paraId="786C81B9" w14:textId="74AA5538" w:rsidR="00CE1D64" w:rsidRPr="00874F0C" w:rsidRDefault="0023125B" w:rsidP="00874F0C">
      <w:pPr>
        <w:pStyle w:val="Body"/>
      </w:pPr>
      <w:r w:rsidRPr="00874F0C">
        <w:t xml:space="preserve">Nirsevimab is administered by intramuscular injection. </w:t>
      </w:r>
      <w:r w:rsidR="005C6582" w:rsidRPr="00874F0C">
        <w:t>The r</w:t>
      </w:r>
      <w:r w:rsidRPr="00874F0C">
        <w:t xml:space="preserve">ecommended injection site </w:t>
      </w:r>
      <w:r w:rsidR="00AF3072">
        <w:t xml:space="preserve">for infants under 12 months </w:t>
      </w:r>
      <w:r w:rsidRPr="00874F0C">
        <w:t xml:space="preserve">is the </w:t>
      </w:r>
      <w:r w:rsidRPr="003826EB">
        <w:rPr>
          <w:b/>
        </w:rPr>
        <w:t>anterolateral thigh</w:t>
      </w:r>
      <w:r w:rsidRPr="00874F0C">
        <w:t xml:space="preserve">. </w:t>
      </w:r>
    </w:p>
    <w:p w14:paraId="41DA4F21" w14:textId="4FFCCD8C" w:rsidR="00B40202" w:rsidRPr="00874F0C" w:rsidRDefault="00C93620" w:rsidP="00E34D99">
      <w:pPr>
        <w:pStyle w:val="Body"/>
      </w:pPr>
      <w:r>
        <w:t xml:space="preserve">The recommended injection site for infants aged 12 months and older </w:t>
      </w:r>
      <w:r w:rsidRPr="00874F0C">
        <w:t xml:space="preserve">is the </w:t>
      </w:r>
      <w:r>
        <w:rPr>
          <w:b/>
          <w:bCs/>
        </w:rPr>
        <w:t>deltoid muscle</w:t>
      </w:r>
      <w:r w:rsidR="003826EB">
        <w:rPr>
          <w:b/>
          <w:bCs/>
        </w:rPr>
        <w:t>.</w:t>
      </w:r>
      <w:r w:rsidR="00B40202">
        <w:rPr>
          <w:b/>
          <w:bCs/>
        </w:rPr>
        <w:t xml:space="preserve"> </w:t>
      </w:r>
      <w:r w:rsidR="00465946">
        <w:t>D</w:t>
      </w:r>
      <w:r w:rsidR="00B40202" w:rsidRPr="00874F0C">
        <w:t xml:space="preserve">ifferent sites </w:t>
      </w:r>
      <w:r w:rsidR="00465946">
        <w:t xml:space="preserve">for each injection </w:t>
      </w:r>
      <w:r w:rsidR="00B40202" w:rsidRPr="00874F0C">
        <w:t xml:space="preserve">should be </w:t>
      </w:r>
      <w:r w:rsidR="00E34D99" w:rsidRPr="00874F0C">
        <w:t>used</w:t>
      </w:r>
      <w:r w:rsidR="00E34D99">
        <w:t xml:space="preserve"> or</w:t>
      </w:r>
      <w:r w:rsidR="00B40202">
        <w:t xml:space="preserve"> separate by at least 2.5cm.</w:t>
      </w:r>
    </w:p>
    <w:p w14:paraId="6763CF43" w14:textId="41B95879" w:rsidR="0023125B" w:rsidRDefault="0023125B" w:rsidP="00145A89">
      <w:pPr>
        <w:pStyle w:val="Tablecaption"/>
        <w:spacing w:before="120"/>
      </w:pPr>
      <w:r w:rsidRPr="0023125B">
        <w:t>Table 1. Needle size and type</w:t>
      </w:r>
      <w:r>
        <w:rPr>
          <w:rStyle w:val="FootnoteReference"/>
          <w:bCs/>
        </w:rPr>
        <w:footnoteReference w:id="7"/>
      </w:r>
    </w:p>
    <w:tbl>
      <w:tblPr>
        <w:tblStyle w:val="TableGrid"/>
        <w:tblW w:w="10060" w:type="dxa"/>
        <w:tblLook w:val="04A0" w:firstRow="1" w:lastRow="0" w:firstColumn="1" w:lastColumn="0" w:noHBand="0" w:noVBand="1"/>
      </w:tblPr>
      <w:tblGrid>
        <w:gridCol w:w="4390"/>
        <w:gridCol w:w="2693"/>
        <w:gridCol w:w="2977"/>
      </w:tblGrid>
      <w:tr w:rsidR="00516AA8" w:rsidRPr="00516AA8" w14:paraId="72D0D555" w14:textId="77777777" w:rsidTr="00777316">
        <w:tc>
          <w:tcPr>
            <w:tcW w:w="4390" w:type="dxa"/>
            <w:shd w:val="clear" w:color="auto" w:fill="DBE5F1" w:themeFill="accent1" w:themeFillTint="33"/>
            <w:vAlign w:val="center"/>
          </w:tcPr>
          <w:p w14:paraId="762F07A0" w14:textId="3F7A7DD2" w:rsidR="00FD7A8F" w:rsidRPr="00516AA8" w:rsidRDefault="00FD7A8F" w:rsidP="00FD7A8F">
            <w:pPr>
              <w:pStyle w:val="Tablecolhead"/>
              <w:rPr>
                <w:color w:val="auto"/>
              </w:rPr>
            </w:pPr>
            <w:r w:rsidRPr="00516AA8">
              <w:rPr>
                <w:color w:val="auto"/>
              </w:rPr>
              <w:t>Age and size of infant</w:t>
            </w:r>
          </w:p>
        </w:tc>
        <w:tc>
          <w:tcPr>
            <w:tcW w:w="2693" w:type="dxa"/>
            <w:shd w:val="clear" w:color="auto" w:fill="DBE5F1" w:themeFill="accent1" w:themeFillTint="33"/>
            <w:vAlign w:val="center"/>
          </w:tcPr>
          <w:p w14:paraId="05446C15" w14:textId="5939B01D" w:rsidR="00FD7A8F" w:rsidRPr="00516AA8" w:rsidRDefault="00FD7A8F" w:rsidP="00FD7A8F">
            <w:pPr>
              <w:pStyle w:val="Tablecolhead"/>
              <w:rPr>
                <w:color w:val="auto"/>
              </w:rPr>
            </w:pPr>
            <w:r w:rsidRPr="00516AA8">
              <w:rPr>
                <w:color w:val="auto"/>
              </w:rPr>
              <w:t>Needle type</w:t>
            </w:r>
          </w:p>
        </w:tc>
        <w:tc>
          <w:tcPr>
            <w:tcW w:w="2977" w:type="dxa"/>
            <w:shd w:val="clear" w:color="auto" w:fill="DBE5F1" w:themeFill="accent1" w:themeFillTint="33"/>
            <w:vAlign w:val="center"/>
          </w:tcPr>
          <w:p w14:paraId="2CF304EC" w14:textId="152625AD" w:rsidR="00FD7A8F" w:rsidRPr="00516AA8" w:rsidRDefault="00FD7A8F" w:rsidP="00FD7A8F">
            <w:pPr>
              <w:pStyle w:val="Tablecolhead"/>
              <w:rPr>
                <w:color w:val="auto"/>
              </w:rPr>
            </w:pPr>
            <w:r w:rsidRPr="00516AA8">
              <w:rPr>
                <w:color w:val="auto"/>
              </w:rPr>
              <w:t>Angle of needle insertion</w:t>
            </w:r>
          </w:p>
        </w:tc>
      </w:tr>
      <w:tr w:rsidR="00FD7A8F" w14:paraId="6AA81078" w14:textId="77777777" w:rsidTr="00777316">
        <w:tc>
          <w:tcPr>
            <w:tcW w:w="4390" w:type="dxa"/>
            <w:vAlign w:val="center"/>
          </w:tcPr>
          <w:p w14:paraId="5200B5B0" w14:textId="738008DB" w:rsidR="00FD7A8F" w:rsidRDefault="00FD7A8F" w:rsidP="00FD7A8F">
            <w:pPr>
              <w:pStyle w:val="Body"/>
            </w:pPr>
            <w:r w:rsidRPr="00FD7A8F">
              <w:t>Infant and young child</w:t>
            </w:r>
          </w:p>
        </w:tc>
        <w:tc>
          <w:tcPr>
            <w:tcW w:w="2693" w:type="dxa"/>
            <w:vAlign w:val="center"/>
          </w:tcPr>
          <w:p w14:paraId="00471156" w14:textId="43BB9B4C" w:rsidR="00FD7A8F" w:rsidRDefault="00FD7A8F" w:rsidP="00FD7A8F">
            <w:pPr>
              <w:pStyle w:val="Body"/>
            </w:pPr>
            <w:r w:rsidRPr="00FD7A8F">
              <w:t>22–</w:t>
            </w:r>
            <w:r w:rsidR="000640B1" w:rsidRPr="00FD7A8F">
              <w:t>25-gauge</w:t>
            </w:r>
            <w:r w:rsidRPr="00FD7A8F">
              <w:t>, 25 mm long</w:t>
            </w:r>
          </w:p>
        </w:tc>
        <w:tc>
          <w:tcPr>
            <w:tcW w:w="2977" w:type="dxa"/>
            <w:vAlign w:val="center"/>
          </w:tcPr>
          <w:p w14:paraId="4170C60A" w14:textId="7104B078" w:rsidR="00FD7A8F" w:rsidRDefault="00FD7A8F" w:rsidP="00FD7A8F">
            <w:pPr>
              <w:pStyle w:val="Body"/>
            </w:pPr>
            <w:r w:rsidRPr="00FD7A8F">
              <w:t>90° to skin plane</w:t>
            </w:r>
          </w:p>
        </w:tc>
      </w:tr>
      <w:tr w:rsidR="00FD7A8F" w14:paraId="26F0B65F" w14:textId="77777777" w:rsidTr="00777316">
        <w:tc>
          <w:tcPr>
            <w:tcW w:w="4390" w:type="dxa"/>
            <w:vAlign w:val="center"/>
          </w:tcPr>
          <w:p w14:paraId="4CCB7D7B" w14:textId="7EEED351" w:rsidR="00FD7A8F" w:rsidRPr="00FD7A8F" w:rsidRDefault="00FD7A8F" w:rsidP="00FD7A8F">
            <w:pPr>
              <w:pStyle w:val="Body"/>
            </w:pPr>
            <w:r w:rsidRPr="00FD7A8F">
              <w:t>Preterm infant</w:t>
            </w:r>
            <w:r>
              <w:t xml:space="preserve"> </w:t>
            </w:r>
            <w:r w:rsidRPr="00FD7A8F">
              <w:t xml:space="preserve">(&lt;37 weeks gestation) up to 2 months of age, </w:t>
            </w:r>
            <w:r w:rsidR="000640B1">
              <w:t>+</w:t>
            </w:r>
            <w:r w:rsidRPr="00FD7A8F">
              <w:t>/or very small infant</w:t>
            </w:r>
          </w:p>
        </w:tc>
        <w:tc>
          <w:tcPr>
            <w:tcW w:w="2693" w:type="dxa"/>
            <w:vAlign w:val="center"/>
          </w:tcPr>
          <w:p w14:paraId="3599AAEE" w14:textId="155FDA51" w:rsidR="00FD7A8F" w:rsidRPr="00FD7A8F" w:rsidRDefault="00FD7A8F" w:rsidP="00FD7A8F">
            <w:pPr>
              <w:pStyle w:val="Body"/>
            </w:pPr>
            <w:r w:rsidRPr="00FD7A8F">
              <w:t>23–</w:t>
            </w:r>
            <w:r w:rsidR="00A24C35" w:rsidRPr="00FD7A8F">
              <w:t>25-gauge</w:t>
            </w:r>
            <w:r w:rsidRPr="00FD7A8F">
              <w:t>, 16 mm long</w:t>
            </w:r>
          </w:p>
        </w:tc>
        <w:tc>
          <w:tcPr>
            <w:tcW w:w="2977" w:type="dxa"/>
            <w:vAlign w:val="center"/>
          </w:tcPr>
          <w:p w14:paraId="633F3EBB" w14:textId="54B635BB" w:rsidR="00FD7A8F" w:rsidRPr="00FD7A8F" w:rsidRDefault="00FD7A8F" w:rsidP="00FD7A8F">
            <w:pPr>
              <w:pStyle w:val="Body"/>
            </w:pPr>
            <w:r w:rsidRPr="00FD7A8F">
              <w:t>90° to skin plane</w:t>
            </w:r>
          </w:p>
        </w:tc>
      </w:tr>
    </w:tbl>
    <w:p w14:paraId="03FF4839" w14:textId="77777777" w:rsidR="00FD7A8F" w:rsidRPr="00FD7A8F" w:rsidRDefault="00FD7A8F" w:rsidP="00FD7A8F">
      <w:pPr>
        <w:pStyle w:val="Body"/>
      </w:pPr>
    </w:p>
    <w:p w14:paraId="464DA907" w14:textId="06D41C4D" w:rsidR="00CF7103" w:rsidRPr="00CF7103" w:rsidRDefault="00685FCD" w:rsidP="00C474FE">
      <w:pPr>
        <w:pStyle w:val="Heading4"/>
        <w:spacing w:before="0" w:after="120" w:line="260" w:lineRule="atLeast"/>
      </w:pPr>
      <w:bookmarkStart w:id="41" w:name="_Toc187417207"/>
      <w:r>
        <w:t>Recommended injection site</w:t>
      </w:r>
      <w:r w:rsidR="00B250AA">
        <w:t>s</w:t>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379"/>
      </w:tblGrid>
      <w:tr w:rsidR="00CF7103" w14:paraId="6581E9F7" w14:textId="77777777" w:rsidTr="005F2DBD">
        <w:tc>
          <w:tcPr>
            <w:tcW w:w="4253" w:type="dxa"/>
            <w:vAlign w:val="center"/>
          </w:tcPr>
          <w:p w14:paraId="7DE9A098" w14:textId="4FF26B81" w:rsidR="00CF7103" w:rsidRDefault="00CF7103" w:rsidP="005F2DBD">
            <w:pPr>
              <w:pStyle w:val="Body"/>
              <w:jc w:val="center"/>
              <w:rPr>
                <w:sz w:val="22"/>
                <w:szCs w:val="22"/>
              </w:rPr>
            </w:pPr>
            <w:r w:rsidRPr="005F2DBD">
              <w:rPr>
                <w:b/>
              </w:rPr>
              <w:t xml:space="preserve">Infants aged </w:t>
            </w:r>
            <w:r w:rsidRPr="00CF7103">
              <w:rPr>
                <w:b/>
                <w:bCs/>
              </w:rPr>
              <w:t>under 12 months</w:t>
            </w:r>
          </w:p>
          <w:p w14:paraId="68498593" w14:textId="77777777" w:rsidR="00CF7103" w:rsidRDefault="00CF7103" w:rsidP="005F2DBD">
            <w:pPr>
              <w:pStyle w:val="Body"/>
              <w:jc w:val="center"/>
              <w:rPr>
                <w:sz w:val="22"/>
                <w:szCs w:val="22"/>
              </w:rPr>
            </w:pPr>
            <w:r>
              <w:rPr>
                <w:sz w:val="22"/>
                <w:szCs w:val="22"/>
              </w:rPr>
              <w:t>T</w:t>
            </w:r>
            <w:r w:rsidRPr="009A6BFC">
              <w:rPr>
                <w:sz w:val="22"/>
                <w:szCs w:val="22"/>
              </w:rPr>
              <w:t>he recommended injection site is the anterolateral thigh region.</w:t>
            </w:r>
          </w:p>
          <w:p w14:paraId="15FB089F" w14:textId="1FFD6208" w:rsidR="00CF7103" w:rsidRPr="00CF7103" w:rsidRDefault="00CF7103" w:rsidP="005F2DBD">
            <w:pPr>
              <w:pStyle w:val="Body"/>
              <w:jc w:val="center"/>
              <w:rPr>
                <w:szCs w:val="21"/>
              </w:rPr>
            </w:pPr>
            <w:r w:rsidRPr="009A6BFC">
              <w:rPr>
                <w:szCs w:val="21"/>
              </w:rPr>
              <w:t xml:space="preserve">See </w:t>
            </w:r>
            <w:hyperlink r:id="rId25">
              <w:r w:rsidRPr="001541EA">
                <w:rPr>
                  <w:rStyle w:val="Hyperlink"/>
                  <w:szCs w:val="21"/>
                </w:rPr>
                <w:t>Australian Immunisation Handbook figure.</w:t>
              </w:r>
              <w:r w:rsidRPr="00C81260">
                <w:rPr>
                  <w:rStyle w:val="Hyperlink"/>
                  <w:szCs w:val="21"/>
                </w:rPr>
                <w:t xml:space="preserve"> Vastus lateralis injection site on the anterolateral thigh</w:t>
              </w:r>
            </w:hyperlink>
            <w:r w:rsidRPr="00C81260">
              <w:rPr>
                <w:szCs w:val="21"/>
              </w:rPr>
              <w:t>.</w:t>
            </w:r>
          </w:p>
        </w:tc>
        <w:tc>
          <w:tcPr>
            <w:tcW w:w="6379" w:type="dxa"/>
            <w:vAlign w:val="center"/>
          </w:tcPr>
          <w:p w14:paraId="5A867921" w14:textId="353D9A86" w:rsidR="00CF7103" w:rsidRDefault="00CF7103" w:rsidP="00CF7103">
            <w:pPr>
              <w:pStyle w:val="Tablecaption"/>
              <w:spacing w:before="120"/>
              <w:jc w:val="center"/>
            </w:pPr>
            <w:r>
              <w:rPr>
                <w:noProof/>
              </w:rPr>
              <w:drawing>
                <wp:inline distT="0" distB="0" distL="0" distR="0" wp14:anchorId="6A879060" wp14:editId="69DAF444">
                  <wp:extent cx="3710149" cy="1847461"/>
                  <wp:effectExtent l="0" t="0" r="5080" b="635"/>
                  <wp:docPr id="1599221083" name="Picture 1" descr="Image showing anatomical markers for intramuscular injection into an infant's anterolateral thig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21083" name="Picture 1" descr="Image showing anatomical markers for intramuscular injection into an infant's anterolateral thigh. "/>
                          <pic:cNvPicPr/>
                        </pic:nvPicPr>
                        <pic:blipFill>
                          <a:blip r:embed="rId26"/>
                          <a:stretch>
                            <a:fillRect/>
                          </a:stretch>
                        </pic:blipFill>
                        <pic:spPr>
                          <a:xfrm>
                            <a:off x="0" y="0"/>
                            <a:ext cx="3721031" cy="1852880"/>
                          </a:xfrm>
                          <a:prstGeom prst="rect">
                            <a:avLst/>
                          </a:prstGeom>
                        </pic:spPr>
                      </pic:pic>
                    </a:graphicData>
                  </a:graphic>
                </wp:inline>
              </w:drawing>
            </w:r>
          </w:p>
        </w:tc>
      </w:tr>
      <w:tr w:rsidR="00CF7103" w14:paraId="1DD3B1A6" w14:textId="77777777" w:rsidTr="005F2DBD">
        <w:tc>
          <w:tcPr>
            <w:tcW w:w="4253" w:type="dxa"/>
            <w:vAlign w:val="center"/>
          </w:tcPr>
          <w:p w14:paraId="4B0CC16D" w14:textId="77777777" w:rsidR="00CF7103" w:rsidRPr="00CF7103" w:rsidRDefault="00CF7103" w:rsidP="00CF7103">
            <w:pPr>
              <w:pStyle w:val="Body"/>
              <w:jc w:val="center"/>
              <w:rPr>
                <w:b/>
                <w:bCs/>
              </w:rPr>
            </w:pPr>
          </w:p>
        </w:tc>
        <w:tc>
          <w:tcPr>
            <w:tcW w:w="6379" w:type="dxa"/>
            <w:vAlign w:val="center"/>
          </w:tcPr>
          <w:p w14:paraId="43653CA0" w14:textId="77777777" w:rsidR="00CF7103" w:rsidRDefault="00CF7103" w:rsidP="00CF7103">
            <w:pPr>
              <w:pStyle w:val="Tablecaption"/>
              <w:spacing w:before="120"/>
              <w:jc w:val="center"/>
              <w:rPr>
                <w:noProof/>
              </w:rPr>
            </w:pPr>
          </w:p>
        </w:tc>
      </w:tr>
      <w:tr w:rsidR="00CF7103" w14:paraId="2812A246" w14:textId="77777777" w:rsidTr="005F2DBD">
        <w:tc>
          <w:tcPr>
            <w:tcW w:w="4253" w:type="dxa"/>
            <w:vAlign w:val="center"/>
          </w:tcPr>
          <w:p w14:paraId="4234EDAC" w14:textId="592CE1A5" w:rsidR="00CF7103" w:rsidRDefault="00CF7103" w:rsidP="005F2DBD">
            <w:pPr>
              <w:pStyle w:val="Body"/>
              <w:jc w:val="center"/>
              <w:rPr>
                <w:b/>
                <w:szCs w:val="21"/>
              </w:rPr>
            </w:pPr>
            <w:r w:rsidRPr="005F2DBD">
              <w:rPr>
                <w:b/>
                <w:szCs w:val="21"/>
              </w:rPr>
              <w:t xml:space="preserve">Children </w:t>
            </w:r>
            <w:r w:rsidRPr="00C81260">
              <w:rPr>
                <w:b/>
                <w:szCs w:val="21"/>
              </w:rPr>
              <w:t>aged over 12 months</w:t>
            </w:r>
          </w:p>
          <w:p w14:paraId="49CBF0AC" w14:textId="0B6B94AF" w:rsidR="00CF7103" w:rsidRDefault="00CF7103" w:rsidP="00CF7103">
            <w:pPr>
              <w:pStyle w:val="Body"/>
              <w:jc w:val="center"/>
              <w:rPr>
                <w:rFonts w:cs="Arial"/>
                <w:szCs w:val="21"/>
                <w:shd w:val="clear" w:color="auto" w:fill="FFFFFF"/>
              </w:rPr>
            </w:pPr>
            <w:r>
              <w:rPr>
                <w:rFonts w:cs="Arial"/>
                <w:szCs w:val="21"/>
                <w:shd w:val="clear" w:color="auto" w:fill="FFFFFF"/>
              </w:rPr>
              <w:t>T</w:t>
            </w:r>
            <w:r w:rsidRPr="00C81260">
              <w:rPr>
                <w:rFonts w:cs="Arial"/>
                <w:szCs w:val="21"/>
                <w:shd w:val="clear" w:color="auto" w:fill="FFFFFF"/>
              </w:rPr>
              <w:t>he recommended injection site is the deltoid (upper arm).</w:t>
            </w:r>
          </w:p>
          <w:p w14:paraId="4FE04C56" w14:textId="1895E702" w:rsidR="00CF7103" w:rsidRPr="00CF7103" w:rsidRDefault="00CF7103" w:rsidP="005F2DBD">
            <w:pPr>
              <w:pStyle w:val="Body"/>
              <w:jc w:val="center"/>
              <w:rPr>
                <w:szCs w:val="21"/>
              </w:rPr>
            </w:pPr>
            <w:r w:rsidRPr="001541EA">
              <w:rPr>
                <w:rFonts w:cs="Arial"/>
                <w:szCs w:val="21"/>
                <w:shd w:val="clear" w:color="auto" w:fill="FFFFFF"/>
              </w:rPr>
              <w:t>See</w:t>
            </w:r>
            <w:r>
              <w:rPr>
                <w:rFonts w:cs="Arial"/>
                <w:szCs w:val="21"/>
                <w:shd w:val="clear" w:color="auto" w:fill="FFFFFF"/>
              </w:rPr>
              <w:t xml:space="preserve"> </w:t>
            </w:r>
            <w:hyperlink r:id="rId27">
              <w:r w:rsidRPr="001541EA">
                <w:rPr>
                  <w:rStyle w:val="Hyperlink"/>
                  <w:szCs w:val="21"/>
                </w:rPr>
                <w:t>Australian Immunisation Handbook figure. Anatomical markers used to identify deltoid site injection site</w:t>
              </w:r>
            </w:hyperlink>
            <w:r w:rsidRPr="009A6BFC">
              <w:rPr>
                <w:szCs w:val="21"/>
              </w:rPr>
              <w:t>.</w:t>
            </w:r>
          </w:p>
          <w:p w14:paraId="7F8C78D6" w14:textId="6ADD5D46" w:rsidR="00CF7103" w:rsidRDefault="00CF7103" w:rsidP="00CF7103">
            <w:pPr>
              <w:pStyle w:val="Body"/>
              <w:jc w:val="center"/>
            </w:pPr>
          </w:p>
        </w:tc>
        <w:tc>
          <w:tcPr>
            <w:tcW w:w="6379" w:type="dxa"/>
            <w:vAlign w:val="center"/>
          </w:tcPr>
          <w:p w14:paraId="0A7D3752" w14:textId="77777777" w:rsidR="00CF7103" w:rsidRDefault="00CF7103" w:rsidP="00CF7103">
            <w:pPr>
              <w:pStyle w:val="Body"/>
              <w:jc w:val="center"/>
            </w:pPr>
            <w:r>
              <w:rPr>
                <w:noProof/>
              </w:rPr>
              <w:drawing>
                <wp:inline distT="0" distB="0" distL="0" distR="0" wp14:anchorId="3EF0F9EC" wp14:editId="78C84233">
                  <wp:extent cx="2509934" cy="2029789"/>
                  <wp:effectExtent l="0" t="0" r="0" b="0"/>
                  <wp:docPr id="1032613847" name="Picture 2" descr="Image showing anatomical markers used to identify the deltoid injection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13847" name="Picture 2" descr="Image showing anatomical markers used to identify the deltoid injection site"/>
                          <pic:cNvPicPr/>
                        </pic:nvPicPr>
                        <pic:blipFill>
                          <a:blip r:embed="rId28">
                            <a:extLst>
                              <a:ext uri="{28A0092B-C50C-407E-A947-70E740481C1C}">
                                <a14:useLocalDpi xmlns:a14="http://schemas.microsoft.com/office/drawing/2010/main" val="0"/>
                              </a:ext>
                            </a:extLst>
                          </a:blip>
                          <a:stretch>
                            <a:fillRect/>
                          </a:stretch>
                        </pic:blipFill>
                        <pic:spPr>
                          <a:xfrm>
                            <a:off x="0" y="0"/>
                            <a:ext cx="2509934" cy="2029789"/>
                          </a:xfrm>
                          <a:prstGeom prst="rect">
                            <a:avLst/>
                          </a:prstGeom>
                        </pic:spPr>
                      </pic:pic>
                    </a:graphicData>
                  </a:graphic>
                </wp:inline>
              </w:drawing>
            </w:r>
          </w:p>
        </w:tc>
      </w:tr>
    </w:tbl>
    <w:p w14:paraId="57E87F2F" w14:textId="103B06E9" w:rsidR="007F3DC3" w:rsidRPr="008E1FF7" w:rsidRDefault="007F3DC3" w:rsidP="00145A89">
      <w:pPr>
        <w:pStyle w:val="Heading2"/>
        <w:spacing w:before="120" w:line="310" w:lineRule="atLeast"/>
        <w:rPr>
          <w:b w:val="0"/>
          <w:bCs/>
          <w:color w:val="1F497D" w:themeColor="text2"/>
          <w:sz w:val="24"/>
          <w:szCs w:val="24"/>
        </w:rPr>
      </w:pPr>
      <w:bookmarkStart w:id="42" w:name="_Toc220935991"/>
      <w:r w:rsidRPr="008E1FF7">
        <w:rPr>
          <w:b w:val="0"/>
          <w:bCs/>
          <w:color w:val="1F497D" w:themeColor="text2"/>
          <w:sz w:val="24"/>
          <w:szCs w:val="24"/>
        </w:rPr>
        <w:t>Co</w:t>
      </w:r>
      <w:r w:rsidR="00685FCD" w:rsidRPr="008E1FF7">
        <w:rPr>
          <w:b w:val="0"/>
          <w:bCs/>
          <w:color w:val="1F497D" w:themeColor="text2"/>
          <w:sz w:val="24"/>
          <w:szCs w:val="24"/>
        </w:rPr>
        <w:t>-</w:t>
      </w:r>
      <w:r w:rsidRPr="008E1FF7">
        <w:rPr>
          <w:b w:val="0"/>
          <w:bCs/>
          <w:color w:val="1F497D" w:themeColor="text2"/>
          <w:sz w:val="24"/>
          <w:szCs w:val="24"/>
        </w:rPr>
        <w:t xml:space="preserve">administration with </w:t>
      </w:r>
      <w:r w:rsidR="006612DE" w:rsidRPr="008E1FF7">
        <w:rPr>
          <w:b w:val="0"/>
          <w:bCs/>
          <w:color w:val="1F497D" w:themeColor="text2"/>
          <w:sz w:val="24"/>
          <w:szCs w:val="24"/>
        </w:rPr>
        <w:t xml:space="preserve">other </w:t>
      </w:r>
      <w:r w:rsidRPr="008E1FF7">
        <w:rPr>
          <w:b w:val="0"/>
          <w:bCs/>
          <w:color w:val="1F497D" w:themeColor="text2"/>
          <w:sz w:val="24"/>
          <w:szCs w:val="24"/>
        </w:rPr>
        <w:t>vaccines</w:t>
      </w:r>
      <w:bookmarkEnd w:id="41"/>
      <w:bookmarkEnd w:id="42"/>
    </w:p>
    <w:p w14:paraId="5B1AF326" w14:textId="1D02772B" w:rsidR="00685FCD" w:rsidRPr="00685FCD" w:rsidRDefault="00685FCD" w:rsidP="00685FCD">
      <w:pPr>
        <w:pStyle w:val="Body"/>
        <w:rPr>
          <w:szCs w:val="21"/>
        </w:rPr>
      </w:pPr>
      <w:r w:rsidRPr="00685FCD">
        <w:rPr>
          <w:szCs w:val="21"/>
        </w:rPr>
        <w:t>Eligible infants and children can receive nirsevimab at the same time, or separate to, routine infant and childhood vaccines</w:t>
      </w:r>
      <w:r>
        <w:rPr>
          <w:szCs w:val="21"/>
        </w:rPr>
        <w:t xml:space="preserve"> and medicines, including birth dose hepatitis B and vitamin K injection</w:t>
      </w:r>
      <w:r w:rsidRPr="00685FCD">
        <w:rPr>
          <w:szCs w:val="21"/>
        </w:rPr>
        <w:t xml:space="preserve">. Because monoclonal antibodies target specific antigens, there is unlikely to be any interference with other disease antigens from vaccines. </w:t>
      </w:r>
    </w:p>
    <w:p w14:paraId="33EEE48D" w14:textId="5970DAEF" w:rsidR="00685FCD" w:rsidRPr="00685FCD" w:rsidRDefault="00685FCD" w:rsidP="00685FCD">
      <w:pPr>
        <w:pStyle w:val="Body"/>
        <w:rPr>
          <w:szCs w:val="21"/>
        </w:rPr>
      </w:pPr>
      <w:r w:rsidRPr="00685FCD">
        <w:rPr>
          <w:szCs w:val="21"/>
        </w:rPr>
        <w:t xml:space="preserve">Refer to the </w:t>
      </w:r>
      <w:hyperlink r:id="rId29" w:anchor="infants-and-children-1" w:history="1">
        <w:r w:rsidRPr="00685FCD">
          <w:rPr>
            <w:rStyle w:val="Hyperlink"/>
            <w:szCs w:val="21"/>
          </w:rPr>
          <w:t>Australian Immunisation Handbook</w:t>
        </w:r>
      </w:hyperlink>
      <w:r w:rsidRPr="00685FCD">
        <w:rPr>
          <w:szCs w:val="21"/>
        </w:rPr>
        <w:t xml:space="preserve"> for more information</w:t>
      </w:r>
      <w:r w:rsidR="002E7495">
        <w:rPr>
          <w:szCs w:val="21"/>
        </w:rPr>
        <w:t xml:space="preserve"> &lt;</w:t>
      </w:r>
      <w:r w:rsidR="002E7495" w:rsidRPr="002E7495">
        <w:rPr>
          <w:szCs w:val="21"/>
        </w:rPr>
        <w:t>https://immunisationhandbook.health.gov.au/contents/vaccine-preventable-diseases/respiratory-syncytial-virus-rsv#infants-and-children-1</w:t>
      </w:r>
      <w:r w:rsidR="002E7495">
        <w:rPr>
          <w:szCs w:val="21"/>
        </w:rPr>
        <w:t>&gt;</w:t>
      </w:r>
      <w:r w:rsidRPr="00685FCD">
        <w:rPr>
          <w:szCs w:val="21"/>
        </w:rPr>
        <w:t>.</w:t>
      </w:r>
    </w:p>
    <w:p w14:paraId="2094877C" w14:textId="78AAEF5F" w:rsidR="000A3E2B" w:rsidRPr="008E1FF7" w:rsidRDefault="000A3E2B" w:rsidP="00E73720">
      <w:pPr>
        <w:pStyle w:val="Heading2"/>
        <w:spacing w:before="280" w:line="310" w:lineRule="atLeast"/>
        <w:rPr>
          <w:b w:val="0"/>
          <w:bCs/>
          <w:color w:val="1F497D" w:themeColor="text2"/>
          <w:sz w:val="24"/>
          <w:szCs w:val="24"/>
        </w:rPr>
      </w:pPr>
      <w:bookmarkStart w:id="43" w:name="_Toc187417208"/>
      <w:bookmarkStart w:id="44" w:name="_Toc220935992"/>
      <w:r w:rsidRPr="008E1FF7">
        <w:rPr>
          <w:b w:val="0"/>
          <w:bCs/>
          <w:color w:val="1F497D" w:themeColor="text2"/>
          <w:sz w:val="24"/>
          <w:szCs w:val="24"/>
        </w:rPr>
        <w:t>Contraindications and precautions</w:t>
      </w:r>
      <w:bookmarkEnd w:id="43"/>
      <w:bookmarkEnd w:id="44"/>
    </w:p>
    <w:p w14:paraId="4D44F5EC" w14:textId="41969657" w:rsidR="000A3E2B" w:rsidRPr="00CD7CC9" w:rsidRDefault="000A3E2B" w:rsidP="00C474FE">
      <w:pPr>
        <w:pStyle w:val="Body"/>
        <w:spacing w:before="120" w:after="0" w:line="260" w:lineRule="atLeast"/>
      </w:pPr>
      <w:r w:rsidRPr="00CD7CC9">
        <w:t xml:space="preserve">The only absolute contraindications to </w:t>
      </w:r>
      <w:r w:rsidR="006612DE" w:rsidRPr="00CD7CC9">
        <w:t>n</w:t>
      </w:r>
      <w:r w:rsidRPr="00CD7CC9">
        <w:t>irsevimab are</w:t>
      </w:r>
      <w:r w:rsidR="00CD7CC9">
        <w:t>:</w:t>
      </w:r>
    </w:p>
    <w:p w14:paraId="699B2A8F" w14:textId="2AB712AC" w:rsidR="000A3E2B" w:rsidRPr="00CD7CC9" w:rsidRDefault="000A3E2B" w:rsidP="00777316">
      <w:pPr>
        <w:pStyle w:val="Bullet1"/>
        <w:spacing w:before="120" w:after="0" w:line="260" w:lineRule="atLeast"/>
      </w:pPr>
      <w:r w:rsidRPr="00CD7CC9">
        <w:t xml:space="preserve">anaphylaxis after a previous dose of </w:t>
      </w:r>
      <w:r w:rsidR="006612DE" w:rsidRPr="00CD7CC9">
        <w:t>n</w:t>
      </w:r>
      <w:r w:rsidRPr="00CD7CC9">
        <w:t>irsevimab</w:t>
      </w:r>
    </w:p>
    <w:p w14:paraId="00BCA943" w14:textId="4E9AAF7C" w:rsidR="000A3E2B" w:rsidRPr="00CD7CC9" w:rsidRDefault="000A3E2B" w:rsidP="00777316">
      <w:pPr>
        <w:pStyle w:val="Bullet1"/>
        <w:spacing w:after="0" w:line="260" w:lineRule="atLeast"/>
      </w:pPr>
      <w:r w:rsidRPr="00CD7CC9">
        <w:t xml:space="preserve">anaphylaxis after any component of </w:t>
      </w:r>
      <w:r w:rsidR="006612DE" w:rsidRPr="00CD7CC9">
        <w:t>n</w:t>
      </w:r>
      <w:r w:rsidRPr="00CD7CC9">
        <w:t>irsevimab</w:t>
      </w:r>
      <w:r w:rsidR="00CD7CC9">
        <w:t>.</w:t>
      </w:r>
    </w:p>
    <w:p w14:paraId="383E0D47" w14:textId="28C1012C" w:rsidR="000A3E2B" w:rsidRDefault="0043269F" w:rsidP="00C474FE">
      <w:pPr>
        <w:pStyle w:val="Body"/>
        <w:spacing w:before="120" w:after="0" w:line="260" w:lineRule="atLeast"/>
      </w:pPr>
      <w:r w:rsidRPr="00CD7CC9">
        <w:t>Nirsevimab solution for injection contains the excipients</w:t>
      </w:r>
      <w:r w:rsidR="00316D1C" w:rsidRPr="00CD7CC9">
        <w:t>:</w:t>
      </w:r>
      <w:r w:rsidRPr="00CD7CC9">
        <w:t xml:space="preserve"> histidine, histidine hydrochloride monohydrate, arginine hydrochloride, sucrose, polysorbate 80 and water for injections.</w:t>
      </w:r>
    </w:p>
    <w:p w14:paraId="4EA682F4" w14:textId="3EC971AB" w:rsidR="0043269F" w:rsidRPr="00AE783D" w:rsidRDefault="0043269F" w:rsidP="00AE783D">
      <w:pPr>
        <w:pStyle w:val="Heading4"/>
      </w:pPr>
      <w:r w:rsidRPr="00AE783D">
        <w:t>Precautions for use</w:t>
      </w:r>
    </w:p>
    <w:p w14:paraId="0E0252E0" w14:textId="48A022E9" w:rsidR="0043269F" w:rsidRDefault="0043269F" w:rsidP="000C181E">
      <w:pPr>
        <w:pStyle w:val="Body"/>
        <w:spacing w:after="80"/>
      </w:pPr>
      <w:r>
        <w:t>H</w:t>
      </w:r>
      <w:r w:rsidR="00A663EB">
        <w:t>istory of h</w:t>
      </w:r>
      <w:r>
        <w:t>ypersensitivity including anaphylaxis</w:t>
      </w:r>
      <w:r w:rsidR="00942CB0">
        <w:t>.</w:t>
      </w:r>
    </w:p>
    <w:p w14:paraId="6950546C" w14:textId="77777777" w:rsidR="0043269F" w:rsidRDefault="0043269F" w:rsidP="00942CB0">
      <w:pPr>
        <w:pStyle w:val="Bullet1"/>
      </w:pPr>
      <w:r>
        <w:t xml:space="preserve">Monitor for at least 15 minutes post administration of nirsevimab. </w:t>
      </w:r>
    </w:p>
    <w:p w14:paraId="64A1F9CF" w14:textId="77777777" w:rsidR="000C181E" w:rsidRDefault="0043269F" w:rsidP="000C181E">
      <w:pPr>
        <w:pStyle w:val="Bullet1"/>
        <w:spacing w:after="120"/>
      </w:pPr>
      <w:r>
        <w:lastRenderedPageBreak/>
        <w:t xml:space="preserve">Serious hypersensitivity reactions, including anaphylaxis, have been observed with monoclonal antibodies. If signs and symptoms of a clinically significant hypersensitivity reaction or anaphylaxis occur, immediately discontinue </w:t>
      </w:r>
      <w:r w:rsidR="00280F19">
        <w:t>administration,</w:t>
      </w:r>
      <w:r>
        <w:t xml:space="preserve"> and initiate appropriate medical treatment.</w:t>
      </w:r>
    </w:p>
    <w:p w14:paraId="78EC1AD3" w14:textId="6B16CC21" w:rsidR="00942CB0" w:rsidRDefault="0043269F" w:rsidP="000C181E">
      <w:pPr>
        <w:pStyle w:val="Bullet1"/>
        <w:numPr>
          <w:ilvl w:val="0"/>
          <w:numId w:val="0"/>
        </w:numPr>
        <w:spacing w:after="80"/>
      </w:pPr>
      <w:r w:rsidRPr="00942CB0">
        <w:t>Clinically significant bleeding disorders</w:t>
      </w:r>
      <w:r w:rsidR="00942CB0" w:rsidRPr="00942CB0">
        <w:t>.</w:t>
      </w:r>
    </w:p>
    <w:p w14:paraId="2CBDA9E9" w14:textId="06404E52" w:rsidR="00000694" w:rsidRDefault="0043269F" w:rsidP="006A32B7">
      <w:pPr>
        <w:pStyle w:val="Bullet1"/>
        <w:spacing w:after="120"/>
      </w:pPr>
      <w:r w:rsidRPr="00942CB0">
        <w:t>As with any other intramuscular injections, nirsevimab should be given with caution to infants with thrombocytopenia or any coagulation disorder</w:t>
      </w:r>
      <w:r w:rsidR="00057161" w:rsidRPr="00942CB0">
        <w:t>s.</w:t>
      </w:r>
    </w:p>
    <w:p w14:paraId="6C52580C" w14:textId="33D0A255" w:rsidR="006A32B7" w:rsidRPr="006A32B7" w:rsidRDefault="006A32B7" w:rsidP="000C181E">
      <w:pPr>
        <w:pStyle w:val="Body"/>
        <w:spacing w:after="80"/>
      </w:pPr>
      <w:r w:rsidRPr="006A32B7">
        <w:t>Should individual clinical advice be required, immunisation providers may contact the Specialist Hospital Immunisation Services for advice:</w:t>
      </w:r>
    </w:p>
    <w:p w14:paraId="2E08B893" w14:textId="77777777" w:rsidR="006A32B7" w:rsidRPr="006A32B7" w:rsidRDefault="006A32B7" w:rsidP="006A32B7">
      <w:pPr>
        <w:pStyle w:val="Bullet1"/>
      </w:pPr>
      <w:r w:rsidRPr="006A32B7">
        <w:t>Royal Children’s Hospital - 1300 882 924 option 3</w:t>
      </w:r>
    </w:p>
    <w:p w14:paraId="4447B1AE" w14:textId="3A6E1109" w:rsidR="006A32B7" w:rsidRPr="006A32B7" w:rsidRDefault="006A32B7" w:rsidP="006A32B7">
      <w:pPr>
        <w:pStyle w:val="Bullet1"/>
      </w:pPr>
      <w:r w:rsidRPr="006A32B7">
        <w:t xml:space="preserve">Monash Health - 1300 882 924 option </w:t>
      </w:r>
      <w:r w:rsidR="00BC27E3">
        <w:t>4</w:t>
      </w:r>
      <w:r w:rsidR="002E7495">
        <w:t>.</w:t>
      </w:r>
    </w:p>
    <w:p w14:paraId="100ED8BC" w14:textId="77777777" w:rsidR="00000694" w:rsidRPr="008E1FF7" w:rsidRDefault="00000694" w:rsidP="00000694">
      <w:pPr>
        <w:pStyle w:val="Heading4"/>
        <w:rPr>
          <w:b w:val="0"/>
          <w:bCs w:val="0"/>
          <w:color w:val="1F497D" w:themeColor="text2"/>
        </w:rPr>
      </w:pPr>
      <w:r w:rsidRPr="008E1FF7">
        <w:rPr>
          <w:b w:val="0"/>
          <w:bCs w:val="0"/>
          <w:color w:val="1F497D" w:themeColor="text2"/>
        </w:rPr>
        <w:t>Blood transfusion</w:t>
      </w:r>
    </w:p>
    <w:p w14:paraId="63BEAF79" w14:textId="7599EE3C" w:rsidR="00E20809" w:rsidRDefault="009A1D1A" w:rsidP="00000694">
      <w:pPr>
        <w:pStyle w:val="Body"/>
      </w:pPr>
      <w:r w:rsidRPr="00E20809">
        <w:rPr>
          <w:rStyle w:val="normaltextrun"/>
          <w:rFonts w:cs="Arial"/>
          <w:color w:val="000000"/>
          <w:shd w:val="clear" w:color="auto" w:fill="FFFFFF"/>
        </w:rPr>
        <w:t>If a pregnant woman receives Abrysvo</w:t>
      </w:r>
      <w:r w:rsidR="00E20809">
        <w:rPr>
          <w:rStyle w:val="normaltextrun"/>
          <w:rFonts w:cs="Arial"/>
          <w:color w:val="000000"/>
          <w:shd w:val="clear" w:color="auto" w:fill="FFFFFF"/>
        </w:rPr>
        <w:t>® RSV vaccine</w:t>
      </w:r>
      <w:r w:rsidRPr="00E20809">
        <w:rPr>
          <w:rStyle w:val="normaltextrun"/>
          <w:rFonts w:cs="Arial"/>
          <w:color w:val="000000"/>
          <w:shd w:val="clear" w:color="auto" w:fill="FFFFFF"/>
        </w:rPr>
        <w:t xml:space="preserve"> and the infant is born of ABO incompatibility, </w:t>
      </w:r>
      <w:r w:rsidR="00E20809">
        <w:rPr>
          <w:rStyle w:val="normaltextrun"/>
          <w:rFonts w:cs="Arial"/>
          <w:color w:val="000000"/>
          <w:shd w:val="clear" w:color="auto" w:fill="FFFFFF"/>
        </w:rPr>
        <w:t>and subsequently</w:t>
      </w:r>
      <w:r w:rsidRPr="00E20809">
        <w:rPr>
          <w:rStyle w:val="normaltextrun"/>
          <w:rFonts w:cs="Arial"/>
          <w:color w:val="000000"/>
          <w:shd w:val="clear" w:color="auto" w:fill="FFFFFF"/>
        </w:rPr>
        <w:t xml:space="preserve"> receives a blood </w:t>
      </w:r>
      <w:r w:rsidRPr="00E20809">
        <w:rPr>
          <w:rStyle w:val="findhit"/>
          <w:rFonts w:cs="Arial"/>
          <w:color w:val="000000"/>
        </w:rPr>
        <w:t>transfusion</w:t>
      </w:r>
      <w:r w:rsidRPr="00E20809">
        <w:rPr>
          <w:rStyle w:val="normaltextrun"/>
          <w:rFonts w:cs="Arial"/>
          <w:color w:val="000000"/>
          <w:shd w:val="clear" w:color="auto" w:fill="FFFFFF"/>
        </w:rPr>
        <w:t>,</w:t>
      </w:r>
      <w:r w:rsidRPr="00E20809">
        <w:rPr>
          <w:rFonts w:cs="Arial"/>
        </w:rPr>
        <w:t xml:space="preserve"> </w:t>
      </w:r>
      <w:r w:rsidR="00E20809">
        <w:rPr>
          <w:rFonts w:cs="Arial"/>
        </w:rPr>
        <w:t xml:space="preserve">this </w:t>
      </w:r>
      <w:r w:rsidR="00000694">
        <w:t xml:space="preserve">does not change the RSV </w:t>
      </w:r>
      <w:r w:rsidR="00BD1A3E">
        <w:t xml:space="preserve">immunisation </w:t>
      </w:r>
      <w:r w:rsidR="00000694">
        <w:t>recommendations for an infant</w:t>
      </w:r>
      <w:r w:rsidR="00BB5E53">
        <w:t xml:space="preserve">. </w:t>
      </w:r>
    </w:p>
    <w:p w14:paraId="49E166E7" w14:textId="1452E689" w:rsidR="00000694" w:rsidRPr="00000694" w:rsidRDefault="003B7655" w:rsidP="00000694">
      <w:pPr>
        <w:pStyle w:val="Body"/>
        <w:rPr>
          <w:highlight w:val="yellow"/>
        </w:rPr>
      </w:pPr>
      <w:r>
        <w:t>R</w:t>
      </w:r>
      <w:r w:rsidR="00000694">
        <w:t xml:space="preserve">isk criteria for neonate and infant doses of nirsevimab are listed in the </w:t>
      </w:r>
      <w:hyperlink r:id="rId30" w:anchor=":~:text=Information%20about%20respiratory%20syncytial%20virus%20(RSV)%20disease,%20vaccines%20and%20recommendations" w:history="1">
        <w:r w:rsidR="00000694" w:rsidRPr="008D53CE">
          <w:rPr>
            <w:rStyle w:val="Hyperlink"/>
            <w:szCs w:val="21"/>
          </w:rPr>
          <w:t>Australian Immunisation Handbook</w:t>
        </w:r>
      </w:hyperlink>
      <w:r w:rsidR="002E7495">
        <w:rPr>
          <w:rStyle w:val="Hyperlink"/>
          <w:rFonts w:eastAsia="Arial" w:cs="Arial"/>
          <w:szCs w:val="21"/>
        </w:rPr>
        <w:t xml:space="preserve"> </w:t>
      </w:r>
      <w:r w:rsidR="002E7495" w:rsidRPr="002E7495">
        <w:t>&lt;https://immunisationhandbook.health.gov.au/contents/vaccine-preventable-diseases/respiratory-syncytial-virus-rsv#infants-and-children-1&gt;</w:t>
      </w:r>
      <w:r w:rsidR="00000694" w:rsidRPr="002E7495">
        <w:t>.</w:t>
      </w:r>
    </w:p>
    <w:p w14:paraId="75CFC71E" w14:textId="6C312D8E" w:rsidR="00D46D4B" w:rsidRPr="008E1FF7" w:rsidRDefault="0043269F" w:rsidP="00AE783D">
      <w:pPr>
        <w:pStyle w:val="Heading4"/>
        <w:rPr>
          <w:b w:val="0"/>
          <w:bCs w:val="0"/>
          <w:color w:val="1F497D" w:themeColor="text2"/>
          <w:shd w:val="clear" w:color="auto" w:fill="FFFFFF"/>
        </w:rPr>
      </w:pPr>
      <w:r w:rsidRPr="008E1FF7">
        <w:rPr>
          <w:b w:val="0"/>
          <w:bCs w:val="0"/>
          <w:color w:val="1F497D" w:themeColor="text2"/>
          <w:shd w:val="clear" w:color="auto" w:fill="FFFFFF"/>
        </w:rPr>
        <w:t xml:space="preserve">Expected </w:t>
      </w:r>
      <w:r w:rsidR="006612DE" w:rsidRPr="008E1FF7">
        <w:rPr>
          <w:b w:val="0"/>
          <w:bCs w:val="0"/>
          <w:color w:val="1F497D" w:themeColor="text2"/>
          <w:shd w:val="clear" w:color="auto" w:fill="FFFFFF"/>
        </w:rPr>
        <w:t xml:space="preserve">adverse </w:t>
      </w:r>
      <w:r w:rsidRPr="008E1FF7">
        <w:rPr>
          <w:b w:val="0"/>
          <w:bCs w:val="0"/>
          <w:color w:val="1F497D" w:themeColor="text2"/>
          <w:shd w:val="clear" w:color="auto" w:fill="FFFFFF"/>
        </w:rPr>
        <w:t>side effects</w:t>
      </w:r>
      <w:r w:rsidR="006612DE" w:rsidRPr="008E1FF7">
        <w:rPr>
          <w:b w:val="0"/>
          <w:bCs w:val="0"/>
          <w:color w:val="1F497D" w:themeColor="text2"/>
          <w:shd w:val="clear" w:color="auto" w:fill="FFFFFF"/>
        </w:rPr>
        <w:t xml:space="preserve"> following immunisation (AEFI)</w:t>
      </w:r>
    </w:p>
    <w:p w14:paraId="128FF215" w14:textId="06C062FF" w:rsidR="004475EB" w:rsidRPr="00296511" w:rsidRDefault="0043269F" w:rsidP="00685FCD">
      <w:pPr>
        <w:pStyle w:val="Bullet1"/>
      </w:pPr>
      <w:r w:rsidRPr="00296511">
        <w:t xml:space="preserve">Mild </w:t>
      </w:r>
      <w:r w:rsidR="004475EB" w:rsidRPr="00296511">
        <w:t>i</w:t>
      </w:r>
      <w:r w:rsidRPr="00296511">
        <w:t>njection site reactions</w:t>
      </w:r>
      <w:r w:rsidR="004475EB" w:rsidRPr="00296511">
        <w:t xml:space="preserve"> such as pain and redness</w:t>
      </w:r>
      <w:r w:rsidR="007F70ED" w:rsidRPr="00296511">
        <w:t>.</w:t>
      </w:r>
    </w:p>
    <w:p w14:paraId="4B2815D3" w14:textId="7D7D1C3D" w:rsidR="0043269F" w:rsidRPr="00296511" w:rsidRDefault="00A663EB" w:rsidP="00685FCD">
      <w:pPr>
        <w:pStyle w:val="Bullet1"/>
      </w:pPr>
      <w:r w:rsidRPr="00296511">
        <w:t>R</w:t>
      </w:r>
      <w:r w:rsidR="0043269F" w:rsidRPr="00296511">
        <w:t xml:space="preserve">ash, </w:t>
      </w:r>
      <w:r w:rsidR="004475EB" w:rsidRPr="00296511">
        <w:t>fever</w:t>
      </w:r>
      <w:r w:rsidR="007F70ED" w:rsidRPr="00296511">
        <w:t>.</w:t>
      </w:r>
    </w:p>
    <w:p w14:paraId="5BDA1957" w14:textId="62940A1C" w:rsidR="0043269F" w:rsidRDefault="00685FCD" w:rsidP="00685FCD">
      <w:pPr>
        <w:pStyle w:val="Bullet1"/>
        <w:numPr>
          <w:ilvl w:val="0"/>
          <w:numId w:val="0"/>
        </w:numPr>
        <w:rPr>
          <w:lang w:eastAsia="en-AU"/>
        </w:rPr>
      </w:pPr>
      <w:r w:rsidRPr="00AE02C6">
        <w:t>Serious side effects, such as a severe allergic reaction, are rare.</w:t>
      </w:r>
      <w:r>
        <w:t xml:space="preserve"> </w:t>
      </w:r>
      <w:r w:rsidR="0043269F" w:rsidRPr="00006ABA">
        <w:rPr>
          <w:lang w:eastAsia="en-AU"/>
        </w:rPr>
        <w:t xml:space="preserve">No difference in AEFI </w:t>
      </w:r>
      <w:r>
        <w:rPr>
          <w:lang w:eastAsia="en-AU"/>
        </w:rPr>
        <w:t xml:space="preserve">or </w:t>
      </w:r>
      <w:r w:rsidR="0043269F" w:rsidRPr="00006ABA">
        <w:rPr>
          <w:lang w:eastAsia="en-AU"/>
        </w:rPr>
        <w:t xml:space="preserve">serious AEFI </w:t>
      </w:r>
      <w:r w:rsidR="00A663EB">
        <w:rPr>
          <w:lang w:eastAsia="en-AU"/>
        </w:rPr>
        <w:t xml:space="preserve">has been identified when </w:t>
      </w:r>
      <w:r w:rsidR="0043269F" w:rsidRPr="00006ABA">
        <w:rPr>
          <w:lang w:eastAsia="en-AU"/>
        </w:rPr>
        <w:t xml:space="preserve">compared to placebo or palivizumab </w:t>
      </w:r>
      <w:r w:rsidR="0090079A">
        <w:rPr>
          <w:lang w:eastAsia="en-AU"/>
        </w:rPr>
        <w:t xml:space="preserve">in </w:t>
      </w:r>
      <w:r w:rsidR="0043269F" w:rsidRPr="00006ABA">
        <w:rPr>
          <w:lang w:eastAsia="en-AU"/>
        </w:rPr>
        <w:t>clinical trials aged from birth &lt;24 months</w:t>
      </w:r>
      <w:r w:rsidR="0090079A">
        <w:rPr>
          <w:vertAlign w:val="superscript"/>
          <w:lang w:eastAsia="en-AU"/>
        </w:rPr>
        <w:t>7</w:t>
      </w:r>
      <w:r w:rsidR="0090079A">
        <w:rPr>
          <w:lang w:eastAsia="en-AU"/>
        </w:rPr>
        <w:t xml:space="preserve">. </w:t>
      </w:r>
    </w:p>
    <w:p w14:paraId="41D97FD0" w14:textId="4EDA0288" w:rsidR="0043269F" w:rsidRPr="008E1FF7" w:rsidRDefault="0043269F" w:rsidP="00E73720">
      <w:pPr>
        <w:pStyle w:val="Heading2"/>
        <w:spacing w:before="280" w:line="310" w:lineRule="atLeast"/>
        <w:rPr>
          <w:b w:val="0"/>
          <w:bCs/>
          <w:color w:val="1F497D" w:themeColor="text2"/>
          <w:sz w:val="24"/>
          <w:szCs w:val="24"/>
          <w:shd w:val="clear" w:color="auto" w:fill="FFFFFF"/>
        </w:rPr>
      </w:pPr>
      <w:bookmarkStart w:id="45" w:name="_Toc187417209"/>
      <w:bookmarkStart w:id="46" w:name="_Toc220935993"/>
      <w:r w:rsidRPr="008E1FF7">
        <w:rPr>
          <w:b w:val="0"/>
          <w:bCs/>
          <w:color w:val="1F497D" w:themeColor="text2"/>
          <w:sz w:val="24"/>
          <w:szCs w:val="24"/>
          <w:shd w:val="clear" w:color="auto" w:fill="FFFFFF"/>
        </w:rPr>
        <w:t>Adverse events fo</w:t>
      </w:r>
      <w:r w:rsidR="004475EB" w:rsidRPr="008E1FF7">
        <w:rPr>
          <w:b w:val="0"/>
          <w:bCs/>
          <w:color w:val="1F497D" w:themeColor="text2"/>
          <w:sz w:val="24"/>
          <w:szCs w:val="24"/>
          <w:shd w:val="clear" w:color="auto" w:fill="FFFFFF"/>
        </w:rPr>
        <w:t>llowi</w:t>
      </w:r>
      <w:r w:rsidRPr="008E1FF7">
        <w:rPr>
          <w:b w:val="0"/>
          <w:bCs/>
          <w:color w:val="1F497D" w:themeColor="text2"/>
          <w:sz w:val="24"/>
          <w:szCs w:val="24"/>
          <w:shd w:val="clear" w:color="auto" w:fill="FFFFFF"/>
        </w:rPr>
        <w:t>ng immunisation</w:t>
      </w:r>
      <w:bookmarkEnd w:id="45"/>
      <w:bookmarkEnd w:id="46"/>
      <w:r w:rsidRPr="008E1FF7">
        <w:rPr>
          <w:b w:val="0"/>
          <w:bCs/>
          <w:color w:val="1F497D" w:themeColor="text2"/>
          <w:sz w:val="24"/>
          <w:szCs w:val="24"/>
          <w:shd w:val="clear" w:color="auto" w:fill="FFFFFF"/>
        </w:rPr>
        <w:t xml:space="preserve"> </w:t>
      </w:r>
    </w:p>
    <w:p w14:paraId="44B21055" w14:textId="77777777" w:rsidR="00AD1D5F" w:rsidRDefault="004475EB" w:rsidP="00446529">
      <w:pPr>
        <w:pStyle w:val="Body"/>
        <w:shd w:val="clear" w:color="auto" w:fill="FFFFFF" w:themeFill="background1"/>
      </w:pPr>
      <w:r w:rsidRPr="00E92C1F">
        <w:rPr>
          <w:szCs w:val="21"/>
        </w:rPr>
        <w:t>All</w:t>
      </w:r>
      <w:r w:rsidR="007A65A5">
        <w:rPr>
          <w:szCs w:val="21"/>
        </w:rPr>
        <w:t xml:space="preserve"> unexpected or serious </w:t>
      </w:r>
      <w:r w:rsidR="007A65A5" w:rsidRPr="003B2107">
        <w:rPr>
          <w:szCs w:val="21"/>
        </w:rPr>
        <w:t>adverse event</w:t>
      </w:r>
      <w:r w:rsidR="007A65A5">
        <w:rPr>
          <w:szCs w:val="21"/>
        </w:rPr>
        <w:t>s</w:t>
      </w:r>
      <w:r w:rsidR="007A65A5" w:rsidRPr="003B2107">
        <w:rPr>
          <w:szCs w:val="21"/>
        </w:rPr>
        <w:t xml:space="preserve"> following immunisation (AEFI) </w:t>
      </w:r>
      <w:r w:rsidRPr="00E92C1F">
        <w:rPr>
          <w:szCs w:val="21"/>
        </w:rPr>
        <w:t xml:space="preserve">are required to be reported to </w:t>
      </w:r>
      <w:r w:rsidR="0043269F" w:rsidRPr="007F70ED">
        <w:t>SAEFVIC, Victoria’s vaccine safety surveillance partner</w:t>
      </w:r>
      <w:r w:rsidRPr="007F70ED">
        <w:t>.</w:t>
      </w:r>
      <w:r w:rsidR="0043269F" w:rsidRPr="007F70ED">
        <w:t xml:space="preserve"> </w:t>
      </w:r>
    </w:p>
    <w:p w14:paraId="40FEE94B" w14:textId="08C91D23" w:rsidR="00BB3616" w:rsidRPr="003B2107" w:rsidRDefault="001072AD" w:rsidP="00446529">
      <w:pPr>
        <w:pStyle w:val="Body"/>
        <w:shd w:val="clear" w:color="auto" w:fill="FFFFFF" w:themeFill="background1"/>
      </w:pPr>
      <w:r>
        <w:rPr>
          <w:rFonts w:cs="Arial"/>
          <w:szCs w:val="21"/>
        </w:rPr>
        <w:t>Report</w:t>
      </w:r>
      <w:r w:rsidR="004475EB" w:rsidRPr="00E92C1F">
        <w:rPr>
          <w:rFonts w:cs="Arial"/>
          <w:szCs w:val="21"/>
        </w:rPr>
        <w:t xml:space="preserve"> </w:t>
      </w:r>
      <w:r w:rsidR="004475EB" w:rsidRPr="00EA779C">
        <w:rPr>
          <w:rFonts w:cs="Arial"/>
          <w:szCs w:val="21"/>
        </w:rPr>
        <w:t>via </w:t>
      </w:r>
      <w:hyperlink r:id="rId31" w:history="1">
        <w:r w:rsidR="002E7495" w:rsidRPr="003D3400">
          <w:rPr>
            <w:rStyle w:val="Hyperlink"/>
            <w:rFonts w:cs="Arial"/>
            <w:szCs w:val="21"/>
          </w:rPr>
          <w:t>the SAEFVIC webpage </w:t>
        </w:r>
      </w:hyperlink>
      <w:r w:rsidR="004475EB" w:rsidRPr="00EA779C">
        <w:t xml:space="preserve">24 hours a day, 7 days a </w:t>
      </w:r>
      <w:r w:rsidR="007F0888" w:rsidRPr="00EA779C">
        <w:t>week &lt;</w:t>
      </w:r>
      <w:r w:rsidR="004475EB" w:rsidRPr="00EA779C">
        <w:t xml:space="preserve"> </w:t>
      </w:r>
      <w:r w:rsidR="00894E72" w:rsidRPr="00AD1D5F">
        <w:t>https://www.saefvic.org.au/</w:t>
      </w:r>
      <w:r w:rsidR="004475EB" w:rsidRPr="00EA779C">
        <w:t>&gt;</w:t>
      </w:r>
      <w:r w:rsidR="00A9796C" w:rsidRPr="00EA779C">
        <w:t>.</w:t>
      </w:r>
      <w:r w:rsidR="00894E72">
        <w:t xml:space="preserve"> </w:t>
      </w:r>
      <w:r w:rsidR="004475EB" w:rsidRPr="00296511">
        <w:t xml:space="preserve">Alternatively, you can call SAEFVIC on 1300 882 924 (Option 1). </w:t>
      </w:r>
      <w:r w:rsidR="00BB3616" w:rsidRPr="00BB3616">
        <w:t>For hours of operation refer to the SAEFVIC website.</w:t>
      </w:r>
    </w:p>
    <w:p w14:paraId="0B19B072" w14:textId="4712219A" w:rsidR="00316FB7" w:rsidRPr="008E1FF7" w:rsidRDefault="00316FB7" w:rsidP="006C5C5D">
      <w:pPr>
        <w:pStyle w:val="Heading4"/>
        <w:rPr>
          <w:b w:val="0"/>
          <w:bCs w:val="0"/>
          <w:color w:val="1F497D" w:themeColor="text2"/>
        </w:rPr>
      </w:pPr>
      <w:r w:rsidRPr="008E1FF7">
        <w:rPr>
          <w:b w:val="0"/>
          <w:bCs w:val="0"/>
          <w:color w:val="1F497D" w:themeColor="text2"/>
        </w:rPr>
        <w:t xml:space="preserve">Vaccine administration errors </w:t>
      </w:r>
    </w:p>
    <w:p w14:paraId="54B32933" w14:textId="0F879419" w:rsidR="00E8340B" w:rsidRPr="003B2107" w:rsidRDefault="00E8340B" w:rsidP="006612DE">
      <w:pPr>
        <w:pStyle w:val="NormalWeb"/>
        <w:spacing w:before="120" w:beforeAutospacing="0" w:after="120" w:afterAutospacing="0" w:line="260" w:lineRule="atLeast"/>
        <w:rPr>
          <w:rFonts w:ascii="Arial" w:hAnsi="Arial" w:cs="Arial"/>
          <w:color w:val="2A2736"/>
          <w:sz w:val="21"/>
          <w:szCs w:val="21"/>
        </w:rPr>
      </w:pPr>
      <w:r w:rsidRPr="003B2107">
        <w:rPr>
          <w:rFonts w:ascii="Arial" w:hAnsi="Arial" w:cs="Arial"/>
          <w:color w:val="2A2736"/>
          <w:sz w:val="21"/>
          <w:szCs w:val="21"/>
        </w:rPr>
        <w:t xml:space="preserve">Vaccine administration errors can occur when a vaccine is incorrectly stored, </w:t>
      </w:r>
      <w:r w:rsidR="00280F19" w:rsidRPr="003B2107">
        <w:rPr>
          <w:rFonts w:ascii="Arial" w:hAnsi="Arial" w:cs="Arial"/>
          <w:color w:val="2A2736"/>
          <w:sz w:val="21"/>
          <w:szCs w:val="21"/>
        </w:rPr>
        <w:t>prepared,</w:t>
      </w:r>
      <w:r w:rsidRPr="003B2107">
        <w:rPr>
          <w:rFonts w:ascii="Arial" w:hAnsi="Arial" w:cs="Arial"/>
          <w:color w:val="2A2736"/>
          <w:sz w:val="21"/>
          <w:szCs w:val="21"/>
        </w:rPr>
        <w:t xml:space="preserve"> or given outside the current clinical guidelines, potentially resulting in an AEFI. Vaccine administration errors </w:t>
      </w:r>
      <w:r w:rsidRPr="007F70ED">
        <w:rPr>
          <w:rStyle w:val="BodyChar"/>
        </w:rPr>
        <w:t xml:space="preserve">should be reported to </w:t>
      </w:r>
      <w:r w:rsidR="003B2107" w:rsidRPr="007F70ED">
        <w:rPr>
          <w:rStyle w:val="BodyChar"/>
        </w:rPr>
        <w:t xml:space="preserve">your health service medication incident management system and to </w:t>
      </w:r>
      <w:r w:rsidRPr="007F70ED">
        <w:rPr>
          <w:rStyle w:val="BodyChar"/>
        </w:rPr>
        <w:t>SAEFVIC.</w:t>
      </w:r>
      <w:r w:rsidRPr="003B2107">
        <w:rPr>
          <w:rFonts w:ascii="Arial" w:hAnsi="Arial" w:cs="Arial"/>
          <w:color w:val="2A2736"/>
          <w:sz w:val="21"/>
          <w:szCs w:val="21"/>
        </w:rPr>
        <w:t xml:space="preserve"> </w:t>
      </w:r>
    </w:p>
    <w:p w14:paraId="033E0708" w14:textId="235DB635" w:rsidR="00E8340B" w:rsidRPr="00591BBF" w:rsidRDefault="00E8340B" w:rsidP="006612DE">
      <w:pPr>
        <w:pStyle w:val="NormalWeb"/>
        <w:spacing w:before="120" w:beforeAutospacing="0" w:after="120" w:afterAutospacing="0" w:line="260" w:lineRule="atLeast"/>
        <w:rPr>
          <w:rStyle w:val="BodyChar"/>
        </w:rPr>
      </w:pPr>
      <w:r w:rsidRPr="00CD6CA5">
        <w:rPr>
          <w:rStyle w:val="BodyChar"/>
        </w:rPr>
        <w:t xml:space="preserve">For guidance on preparing your practice to prevent vaccine administration errors, refer to </w:t>
      </w:r>
      <w:hyperlink r:id="rId32" w:history="1">
        <w:r w:rsidRPr="00EA1468">
          <w:rPr>
            <w:rStyle w:val="Hyperlink"/>
            <w:rFonts w:ascii="Arial" w:hAnsi="Arial"/>
            <w:sz w:val="21"/>
            <w:szCs w:val="21"/>
            <w:lang w:eastAsia="en-US"/>
          </w:rPr>
          <w:t>Vaccine error management</w:t>
        </w:r>
      </w:hyperlink>
      <w:r w:rsidRPr="00EA1468">
        <w:rPr>
          <w:rFonts w:ascii="Arial" w:hAnsi="Arial"/>
          <w:sz w:val="21"/>
          <w:szCs w:val="21"/>
          <w:lang w:eastAsia="en-US"/>
        </w:rPr>
        <w:t xml:space="preserve"> </w:t>
      </w:r>
      <w:r w:rsidRPr="00EA1468">
        <w:rPr>
          <w:rStyle w:val="BodyChar"/>
        </w:rPr>
        <w:t>&lt;https://www.health.vic.gov.au/immunisation/vaccine-error-management&gt;</w:t>
      </w:r>
      <w:r w:rsidR="007F70ED" w:rsidRPr="00EA1468">
        <w:rPr>
          <w:rStyle w:val="BodyChar"/>
        </w:rPr>
        <w:t>.</w:t>
      </w:r>
    </w:p>
    <w:p w14:paraId="6D1903B7" w14:textId="3499EDAE" w:rsidR="00D46D4B" w:rsidRPr="008E1FF7" w:rsidRDefault="00D46D4B" w:rsidP="00A56645">
      <w:pPr>
        <w:pStyle w:val="Heading1"/>
        <w:spacing w:before="320" w:after="200" w:line="440" w:lineRule="atLeast"/>
        <w:rPr>
          <w:color w:val="1F497D" w:themeColor="text2"/>
          <w:sz w:val="28"/>
          <w:szCs w:val="28"/>
        </w:rPr>
      </w:pPr>
      <w:bookmarkStart w:id="47" w:name="_Toc187417210"/>
      <w:bookmarkStart w:id="48" w:name="_Toc220935994"/>
      <w:r w:rsidRPr="008E1FF7">
        <w:rPr>
          <w:color w:val="1F497D" w:themeColor="text2"/>
          <w:sz w:val="28"/>
          <w:szCs w:val="28"/>
        </w:rPr>
        <w:t>Reporting to the AIR</w:t>
      </w:r>
      <w:bookmarkEnd w:id="47"/>
      <w:bookmarkEnd w:id="48"/>
    </w:p>
    <w:p w14:paraId="02DC25E0" w14:textId="0C252995" w:rsidR="008E4F2F" w:rsidRPr="009B6E64" w:rsidRDefault="008E4F2F" w:rsidP="009B6E64">
      <w:pPr>
        <w:pStyle w:val="Body"/>
      </w:pPr>
      <w:r w:rsidRPr="009B6E64">
        <w:t>The Australian Immunisation Register (AIR) has been updated to accept records of Beyfortus</w:t>
      </w:r>
      <w:r w:rsidR="00F63EB7" w:rsidRPr="009B6E64">
        <w:t>™</w:t>
      </w:r>
      <w:r w:rsidRPr="009B6E64">
        <w:t xml:space="preserve"> (nirsevimab). Vaccination </w:t>
      </w:r>
      <w:r w:rsidRPr="00296511">
        <w:t xml:space="preserve">encounters </w:t>
      </w:r>
      <w:r w:rsidR="00296511" w:rsidRPr="00296511">
        <w:t xml:space="preserve">should </w:t>
      </w:r>
      <w:r w:rsidRPr="00296511">
        <w:t>be</w:t>
      </w:r>
      <w:r w:rsidRPr="009B6E64">
        <w:t xml:space="preserve"> reported to the AIR</w:t>
      </w:r>
      <w:r w:rsidR="000241C1" w:rsidRPr="009B6E64">
        <w:t xml:space="preserve"> and will show on the child’s immunisation history record. </w:t>
      </w:r>
    </w:p>
    <w:p w14:paraId="24E13D2E" w14:textId="77777777" w:rsidR="008E327D" w:rsidRPr="00C16B34" w:rsidRDefault="008E327D" w:rsidP="00CD6CA5">
      <w:pPr>
        <w:pStyle w:val="Body"/>
        <w:rPr>
          <w:rFonts w:cs="Arial"/>
          <w:szCs w:val="21"/>
          <w:lang w:eastAsia="en-AU"/>
        </w:rPr>
      </w:pPr>
      <w:r w:rsidRPr="00C16B34">
        <w:rPr>
          <w:rFonts w:cs="Arial"/>
          <w:szCs w:val="21"/>
          <w:lang w:eastAsia="en-AU"/>
        </w:rPr>
        <w:lastRenderedPageBreak/>
        <w:t>Children aged 8 months and older (regardless of weight) will require a dosage of 200mg (2x100mg doses). When reporting to AIR, this must be entered as a single dose, using</w:t>
      </w:r>
      <w:r w:rsidRPr="00C16B34">
        <w:rPr>
          <w:rFonts w:cs="Arial"/>
          <w:szCs w:val="21"/>
          <w:shd w:val="clear" w:color="auto" w:fill="FFFFFF"/>
          <w:lang w:eastAsia="en-AU"/>
        </w:rPr>
        <w:t xml:space="preserve"> only one batch number.</w:t>
      </w:r>
    </w:p>
    <w:tbl>
      <w:tblPr>
        <w:tblStyle w:val="TableGrid"/>
        <w:tblW w:w="9348" w:type="dxa"/>
        <w:tblLook w:val="04A0" w:firstRow="1" w:lastRow="0" w:firstColumn="1" w:lastColumn="0" w:noHBand="0" w:noVBand="1"/>
      </w:tblPr>
      <w:tblGrid>
        <w:gridCol w:w="3253"/>
        <w:gridCol w:w="2551"/>
        <w:gridCol w:w="3544"/>
      </w:tblGrid>
      <w:tr w:rsidR="00296511" w:rsidRPr="00296511" w14:paraId="1B34A8F3" w14:textId="77777777" w:rsidTr="00A9796C">
        <w:trPr>
          <w:trHeight w:val="234"/>
        </w:trPr>
        <w:tc>
          <w:tcPr>
            <w:tcW w:w="3253" w:type="dxa"/>
            <w:shd w:val="clear" w:color="auto" w:fill="DBE5F1" w:themeFill="accent1" w:themeFillTint="33"/>
            <w:hideMark/>
          </w:tcPr>
          <w:p w14:paraId="4B9E7DC3" w14:textId="03697C3E" w:rsidR="00D46D4B" w:rsidRPr="00296511" w:rsidRDefault="00D46D4B" w:rsidP="00A9796C">
            <w:pPr>
              <w:pStyle w:val="Tablecolhead"/>
              <w:jc w:val="center"/>
              <w:rPr>
                <w:color w:val="auto"/>
              </w:rPr>
            </w:pPr>
            <w:r w:rsidRPr="00296511">
              <w:rPr>
                <w:color w:val="auto"/>
              </w:rPr>
              <w:t>Vaccine brand name</w:t>
            </w:r>
          </w:p>
        </w:tc>
        <w:tc>
          <w:tcPr>
            <w:tcW w:w="2551" w:type="dxa"/>
            <w:shd w:val="clear" w:color="auto" w:fill="DBE5F1" w:themeFill="accent1" w:themeFillTint="33"/>
            <w:hideMark/>
          </w:tcPr>
          <w:p w14:paraId="1A4B80DA" w14:textId="77777777" w:rsidR="00D46D4B" w:rsidRPr="00296511" w:rsidRDefault="00D46D4B" w:rsidP="00A9796C">
            <w:pPr>
              <w:pStyle w:val="Tablecolhead"/>
              <w:jc w:val="center"/>
              <w:rPr>
                <w:color w:val="auto"/>
                <w:lang w:eastAsia="en-AU"/>
              </w:rPr>
            </w:pPr>
            <w:r w:rsidRPr="00296511">
              <w:rPr>
                <w:color w:val="auto"/>
                <w:lang w:eastAsia="en-AU"/>
              </w:rPr>
              <w:t>Vaccine code</w:t>
            </w:r>
          </w:p>
        </w:tc>
        <w:tc>
          <w:tcPr>
            <w:tcW w:w="3544" w:type="dxa"/>
            <w:shd w:val="clear" w:color="auto" w:fill="DBE5F1" w:themeFill="accent1" w:themeFillTint="33"/>
            <w:hideMark/>
          </w:tcPr>
          <w:p w14:paraId="5D9AEAF5" w14:textId="77777777" w:rsidR="00D46D4B" w:rsidRPr="00296511" w:rsidRDefault="00D46D4B" w:rsidP="00A9796C">
            <w:pPr>
              <w:pStyle w:val="Tablecolhead"/>
              <w:jc w:val="center"/>
              <w:rPr>
                <w:color w:val="auto"/>
                <w:lang w:eastAsia="en-AU"/>
              </w:rPr>
            </w:pPr>
            <w:r w:rsidRPr="00296511">
              <w:rPr>
                <w:color w:val="auto"/>
                <w:lang w:eastAsia="en-AU"/>
              </w:rPr>
              <w:t>Program code</w:t>
            </w:r>
          </w:p>
        </w:tc>
      </w:tr>
      <w:tr w:rsidR="00D46D4B" w:rsidRPr="0023133B" w14:paraId="27AD46E6" w14:textId="77777777" w:rsidTr="00CD6CA5">
        <w:trPr>
          <w:trHeight w:val="224"/>
        </w:trPr>
        <w:tc>
          <w:tcPr>
            <w:tcW w:w="3253" w:type="dxa"/>
            <w:hideMark/>
          </w:tcPr>
          <w:p w14:paraId="4E4233FD" w14:textId="77777777" w:rsidR="00D46D4B" w:rsidRPr="00D400D4" w:rsidRDefault="00D46D4B" w:rsidP="00D400D4">
            <w:pPr>
              <w:pStyle w:val="Tabletext"/>
              <w:jc w:val="center"/>
            </w:pPr>
            <w:r w:rsidRPr="00D400D4">
              <w:t>Beyfortus</w:t>
            </w:r>
          </w:p>
        </w:tc>
        <w:tc>
          <w:tcPr>
            <w:tcW w:w="2551" w:type="dxa"/>
            <w:hideMark/>
          </w:tcPr>
          <w:p w14:paraId="5CD15636" w14:textId="77777777" w:rsidR="00D46D4B" w:rsidRPr="00D400D4" w:rsidRDefault="00D46D4B" w:rsidP="00D400D4">
            <w:pPr>
              <w:pStyle w:val="Tabletext"/>
              <w:jc w:val="center"/>
            </w:pPr>
            <w:r w:rsidRPr="00D400D4">
              <w:t>BFRSV</w:t>
            </w:r>
          </w:p>
        </w:tc>
        <w:tc>
          <w:tcPr>
            <w:tcW w:w="3544" w:type="dxa"/>
            <w:hideMark/>
          </w:tcPr>
          <w:p w14:paraId="65E545A2" w14:textId="40180F91" w:rsidR="00D46D4B" w:rsidRPr="00D400D4" w:rsidRDefault="009F5962" w:rsidP="00D400D4">
            <w:pPr>
              <w:pStyle w:val="Tabletext"/>
              <w:jc w:val="center"/>
            </w:pPr>
            <w:r w:rsidRPr="00D400D4">
              <w:t>Other</w:t>
            </w:r>
          </w:p>
        </w:tc>
      </w:tr>
    </w:tbl>
    <w:p w14:paraId="17F56ABD" w14:textId="1A71624B" w:rsidR="000241C1" w:rsidRPr="009B6E64" w:rsidRDefault="00665530" w:rsidP="009B6E64">
      <w:pPr>
        <w:pStyle w:val="Body"/>
        <w:spacing w:before="120"/>
      </w:pPr>
      <w:r w:rsidRPr="009B6E64">
        <w:t>Check to see if your</w:t>
      </w:r>
      <w:r w:rsidR="002F4015" w:rsidRPr="009B6E64">
        <w:t xml:space="preserve"> </w:t>
      </w:r>
      <w:r w:rsidR="009220E5" w:rsidRPr="009B6E64">
        <w:t xml:space="preserve">practice </w:t>
      </w:r>
      <w:r w:rsidRPr="009B6E64">
        <w:t>software</w:t>
      </w:r>
      <w:r w:rsidR="00F74E25" w:rsidRPr="009B6E64">
        <w:t xml:space="preserve"> is integrated with the AIR </w:t>
      </w:r>
      <w:r w:rsidR="000E59F9" w:rsidRPr="009B6E64">
        <w:t>to</w:t>
      </w:r>
      <w:r w:rsidR="0071349D" w:rsidRPr="009B6E64">
        <w:t xml:space="preserve"> </w:t>
      </w:r>
      <w:r w:rsidR="000B33B5" w:rsidRPr="009B6E64">
        <w:t>automatically report the immunisation encounter.</w:t>
      </w:r>
      <w:r w:rsidRPr="009B6E64">
        <w:t xml:space="preserve"> </w:t>
      </w:r>
      <w:r w:rsidR="000241C1" w:rsidRPr="009B6E64">
        <w:t xml:space="preserve">If not, </w:t>
      </w:r>
      <w:r w:rsidR="00784ECC" w:rsidRPr="009B6E64">
        <w:t>ensure your service has</w:t>
      </w:r>
      <w:r w:rsidR="000241C1" w:rsidRPr="009B6E64">
        <w:t xml:space="preserve"> manual processes in place to make sure the encounter is reported to the AIR. </w:t>
      </w:r>
    </w:p>
    <w:p w14:paraId="4FB4361F" w14:textId="7E2978C6" w:rsidR="000241C1" w:rsidRPr="009B6E64" w:rsidRDefault="00E52138" w:rsidP="000C181E">
      <w:pPr>
        <w:pStyle w:val="Body"/>
        <w:spacing w:after="80"/>
      </w:pPr>
      <w:r w:rsidRPr="009B6E64">
        <w:t>For further support</w:t>
      </w:r>
      <w:r w:rsidR="00685FCD" w:rsidRPr="009B6E64">
        <w:t>,</w:t>
      </w:r>
      <w:r w:rsidRPr="009B6E64">
        <w:t xml:space="preserve"> refer to:</w:t>
      </w:r>
    </w:p>
    <w:p w14:paraId="39E76021" w14:textId="346FD4B7" w:rsidR="00C1524D" w:rsidRDefault="007B5423" w:rsidP="00DF7C9C">
      <w:pPr>
        <w:pStyle w:val="Bullet1"/>
        <w:rPr>
          <w:rFonts w:cs="Arial"/>
          <w:szCs w:val="21"/>
        </w:rPr>
      </w:pPr>
      <w:hyperlink r:id="rId33" w:anchor=":~:text=for%20more%20information.-,Report%20to%20the%20Australian%20Immunisation%20Register%20(AIR,-)" w:history="1">
        <w:r w:rsidRPr="000768B3">
          <w:rPr>
            <w:rStyle w:val="Hyperlink"/>
            <w:rFonts w:cs="Arial"/>
            <w:szCs w:val="21"/>
          </w:rPr>
          <w:t>Uploading to the AIR Fact Sheet for providers</w:t>
        </w:r>
      </w:hyperlink>
      <w:r w:rsidR="00C1524D" w:rsidRPr="00EA1468">
        <w:rPr>
          <w:rFonts w:cs="Arial"/>
          <w:szCs w:val="21"/>
        </w:rPr>
        <w:t xml:space="preserve"> </w:t>
      </w:r>
      <w:r w:rsidR="00484731" w:rsidRPr="00EA1468">
        <w:rPr>
          <w:rFonts w:cs="Arial"/>
          <w:szCs w:val="21"/>
        </w:rPr>
        <w:t>&lt;</w:t>
      </w:r>
      <w:r w:rsidR="00296F3C" w:rsidRPr="00EA1468">
        <w:rPr>
          <w:rFonts w:cs="Arial"/>
          <w:szCs w:val="21"/>
        </w:rPr>
        <w:t>https://www.health.vic.gov.au/immunisation/respiratory-syncytial-virus-immunisation</w:t>
      </w:r>
      <w:r w:rsidR="00D400D4">
        <w:rPr>
          <w:rFonts w:cs="Arial"/>
          <w:szCs w:val="21"/>
        </w:rPr>
        <w:t>&gt;.</w:t>
      </w:r>
    </w:p>
    <w:p w14:paraId="24C2AE44" w14:textId="67BD8E9A" w:rsidR="00235359" w:rsidRDefault="00235359" w:rsidP="00DF7C9C">
      <w:pPr>
        <w:pStyle w:val="Bullet1"/>
        <w:rPr>
          <w:rStyle w:val="normaltextrun"/>
          <w:rFonts w:cs="Arial"/>
          <w:color w:val="000000"/>
          <w:szCs w:val="21"/>
          <w:shd w:val="clear" w:color="auto" w:fill="FFFFFF"/>
        </w:rPr>
      </w:pPr>
      <w:hyperlink r:id="rId34" w:tgtFrame="_blank" w:history="1">
        <w:r w:rsidRPr="00235359">
          <w:rPr>
            <w:rStyle w:val="Hyperlink"/>
            <w:rFonts w:cs="Arial"/>
            <w:szCs w:val="21"/>
            <w:shd w:val="clear" w:color="auto" w:fill="FFFFFF"/>
          </w:rPr>
          <w:t>AIR Tip – 20 July 2023 | NCIRS</w:t>
        </w:r>
      </w:hyperlink>
      <w:r>
        <w:rPr>
          <w:rStyle w:val="normaltextrun"/>
          <w:rFonts w:cs="Arial"/>
          <w:color w:val="000000"/>
          <w:szCs w:val="21"/>
          <w:shd w:val="clear" w:color="auto" w:fill="FFFFFF"/>
        </w:rPr>
        <w:t xml:space="preserve"> </w:t>
      </w:r>
      <w:r w:rsidR="00E52138">
        <w:rPr>
          <w:rStyle w:val="normaltextrun"/>
          <w:rFonts w:cs="Arial"/>
          <w:color w:val="000000"/>
          <w:szCs w:val="21"/>
          <w:shd w:val="clear" w:color="auto" w:fill="FFFFFF"/>
        </w:rPr>
        <w:t xml:space="preserve">to report immunisation encounters for infants not yet enrolled in Medicare </w:t>
      </w:r>
      <w:r w:rsidR="00A21EC6">
        <w:rPr>
          <w:rStyle w:val="normaltextrun"/>
          <w:rFonts w:cs="Arial"/>
          <w:color w:val="000000"/>
          <w:szCs w:val="21"/>
          <w:shd w:val="clear" w:color="auto" w:fill="FFFFFF"/>
        </w:rPr>
        <w:t>&lt;</w:t>
      </w:r>
      <w:r w:rsidR="00A21EC6" w:rsidRPr="00F5544E">
        <w:rPr>
          <w:rStyle w:val="normaltextrun"/>
          <w:color w:val="000000"/>
        </w:rPr>
        <w:t>https://ncirs.org.au/air-tip-20-july-2023</w:t>
      </w:r>
      <w:r w:rsidR="00A21EC6">
        <w:rPr>
          <w:rStyle w:val="normaltextrun"/>
          <w:rFonts w:cs="Arial"/>
          <w:color w:val="000000"/>
          <w:szCs w:val="21"/>
          <w:shd w:val="clear" w:color="auto" w:fill="FFFFFF"/>
        </w:rPr>
        <w:t>&gt;</w:t>
      </w:r>
      <w:r w:rsidR="007F68D1">
        <w:rPr>
          <w:rStyle w:val="normaltextrun"/>
          <w:rFonts w:cs="Arial"/>
          <w:color w:val="000000"/>
          <w:szCs w:val="21"/>
          <w:shd w:val="clear" w:color="auto" w:fill="FFFFFF"/>
        </w:rPr>
        <w:t>.</w:t>
      </w:r>
    </w:p>
    <w:p w14:paraId="61A2923C" w14:textId="6E14A979" w:rsidR="00D46D4B" w:rsidRPr="008E1FF7" w:rsidRDefault="00D46D4B" w:rsidP="00A56645">
      <w:pPr>
        <w:pStyle w:val="Heading1"/>
        <w:spacing w:before="320" w:after="200" w:line="440" w:lineRule="atLeast"/>
        <w:rPr>
          <w:color w:val="1F497D" w:themeColor="text2"/>
          <w:sz w:val="28"/>
          <w:szCs w:val="28"/>
        </w:rPr>
      </w:pPr>
      <w:bookmarkStart w:id="49" w:name="_Toc187417211"/>
      <w:bookmarkStart w:id="50" w:name="_Toc220935995"/>
      <w:r w:rsidRPr="008E1FF7">
        <w:rPr>
          <w:color w:val="1F497D" w:themeColor="text2"/>
          <w:sz w:val="28"/>
          <w:szCs w:val="28"/>
        </w:rPr>
        <w:t>Immunisation providers</w:t>
      </w:r>
      <w:bookmarkEnd w:id="49"/>
      <w:bookmarkEnd w:id="50"/>
    </w:p>
    <w:p w14:paraId="41D21F4A" w14:textId="3A7607CC" w:rsidR="00980D90" w:rsidRPr="00980D90" w:rsidRDefault="00980D90" w:rsidP="00A47F5F">
      <w:pPr>
        <w:pStyle w:val="Body"/>
      </w:pPr>
      <w:r w:rsidRPr="00AE02C6">
        <w:t xml:space="preserve">Medical practitioners, nurse </w:t>
      </w:r>
      <w:r w:rsidR="00BB5E53" w:rsidRPr="00AE02C6">
        <w:t>practitioners,</w:t>
      </w:r>
      <w:r w:rsidRPr="00AE02C6">
        <w:t xml:space="preserve"> and authorised midwives can administer RSV immunisation products without the need for additional authorisation. </w:t>
      </w:r>
    </w:p>
    <w:p w14:paraId="4AB2F432" w14:textId="0540D8F7" w:rsidR="00980D90" w:rsidRDefault="00980D90" w:rsidP="00A47F5F">
      <w:pPr>
        <w:pStyle w:val="Body"/>
        <w:rPr>
          <w:rFonts w:eastAsiaTheme="minorEastAsia"/>
          <w:color w:val="000000" w:themeColor="dark1"/>
          <w:kern w:val="24"/>
          <w:sz w:val="22"/>
          <w:szCs w:val="22"/>
        </w:rPr>
      </w:pPr>
      <w:r>
        <w:t>N</w:t>
      </w:r>
      <w:r w:rsidR="00D46D4B" w:rsidRPr="00F56CA8">
        <w:t xml:space="preserve">urse immunisers and Aboriginal and Torres Strait Islander health practitioner (ATSIHP) immunisers in Victoria </w:t>
      </w:r>
      <w:r w:rsidR="00F56CA8" w:rsidRPr="00F56CA8">
        <w:t>are authorised under Secretary Approvals to administer</w:t>
      </w:r>
      <w:r w:rsidR="00D46D4B" w:rsidRPr="00F56CA8">
        <w:t xml:space="preserve"> </w:t>
      </w:r>
      <w:r w:rsidR="00D46D4B" w:rsidRPr="00F56CA8">
        <w:rPr>
          <w:szCs w:val="21"/>
        </w:rPr>
        <w:t>Beyfortus</w:t>
      </w:r>
      <w:r w:rsidR="00CE1D64" w:rsidRPr="00F56CA8">
        <w:rPr>
          <w:szCs w:val="21"/>
        </w:rPr>
        <w:t>®</w:t>
      </w:r>
      <w:r w:rsidR="00D46D4B" w:rsidRPr="00F56CA8">
        <w:rPr>
          <w:szCs w:val="21"/>
        </w:rPr>
        <w:t xml:space="preserve"> (nirsevimab) </w:t>
      </w:r>
      <w:r>
        <w:rPr>
          <w:rFonts w:eastAsiaTheme="minorEastAsia"/>
          <w:color w:val="000000" w:themeColor="dark1"/>
          <w:kern w:val="24"/>
          <w:sz w:val="22"/>
          <w:szCs w:val="22"/>
        </w:rPr>
        <w:t>in accordance with the</w:t>
      </w:r>
      <w:r w:rsidR="00F56CA8" w:rsidRPr="00F56CA8">
        <w:rPr>
          <w:rFonts w:eastAsiaTheme="minorEastAsia"/>
          <w:color w:val="000000" w:themeColor="dark1"/>
          <w:kern w:val="24"/>
          <w:sz w:val="22"/>
          <w:szCs w:val="22"/>
        </w:rPr>
        <w:t xml:space="preserve"> Victorian eligibility and </w:t>
      </w:r>
      <w:r w:rsidR="00F56CA8" w:rsidRPr="00F56CA8">
        <w:rPr>
          <w:rFonts w:eastAsia="MS PGothic"/>
          <w:kern w:val="24"/>
          <w:sz w:val="22"/>
          <w:szCs w:val="22"/>
        </w:rPr>
        <w:t xml:space="preserve">as recommended in the </w:t>
      </w:r>
      <w:hyperlink r:id="rId35" w:anchor=":~:text=Information%20about%20respiratory%20syncytial%20virus%20(RSV)%20disease,%20vaccines%20and%20recommendations" w:history="1">
        <w:r w:rsidR="00F56CA8" w:rsidRPr="00980D90">
          <w:rPr>
            <w:rStyle w:val="Hyperlink"/>
            <w:kern w:val="24"/>
            <w:sz w:val="22"/>
            <w:szCs w:val="22"/>
          </w:rPr>
          <w:t>Australian Immunisation Handbook</w:t>
        </w:r>
      </w:hyperlink>
      <w:r w:rsidR="001027A9">
        <w:rPr>
          <w:rFonts w:eastAsia="MS PGothic"/>
          <w:kern w:val="24"/>
          <w:sz w:val="22"/>
          <w:szCs w:val="22"/>
        </w:rPr>
        <w:t xml:space="preserve"> &lt;</w:t>
      </w:r>
      <w:r w:rsidR="001027A9" w:rsidRPr="001027A9">
        <w:rPr>
          <w:rFonts w:eastAsia="MS PGothic"/>
          <w:kern w:val="24"/>
          <w:sz w:val="22"/>
          <w:szCs w:val="22"/>
        </w:rPr>
        <w:t>https://immunisationhandbook.health.gov.au/contents/vaccine-preventable-diseases/respiratory-syncytial-virus-rsv</w:t>
      </w:r>
      <w:r w:rsidR="001027A9">
        <w:rPr>
          <w:rFonts w:eastAsia="MS PGothic"/>
          <w:kern w:val="24"/>
          <w:sz w:val="22"/>
          <w:szCs w:val="22"/>
        </w:rPr>
        <w:t>&gt;.</w:t>
      </w:r>
    </w:p>
    <w:p w14:paraId="2FEAE973" w14:textId="7ACB2478" w:rsidR="00673309" w:rsidRDefault="00BD077B" w:rsidP="00980D90">
      <w:pPr>
        <w:pStyle w:val="Body"/>
      </w:pPr>
      <w:r>
        <w:t xml:space="preserve">For further details refer to </w:t>
      </w:r>
      <w:r w:rsidR="00980D90" w:rsidRPr="00980D90">
        <w:t>the department’s</w:t>
      </w:r>
      <w:r w:rsidR="00980D90">
        <w:rPr>
          <w:szCs w:val="21"/>
        </w:rPr>
        <w:t xml:space="preserve"> </w:t>
      </w:r>
      <w:hyperlink r:id="rId36" w:history="1">
        <w:r w:rsidR="00980D90" w:rsidRPr="00F223D0">
          <w:rPr>
            <w:rStyle w:val="Hyperlink"/>
            <w:rFonts w:eastAsia="Arial" w:cs="Arial"/>
            <w:szCs w:val="21"/>
          </w:rPr>
          <w:t>Respiratory Syncytial Virus (RSV) web</w:t>
        </w:r>
        <w:r w:rsidR="001027A9" w:rsidRPr="00F223D0">
          <w:rPr>
            <w:rStyle w:val="Hyperlink"/>
            <w:rFonts w:eastAsia="Arial" w:cs="Arial"/>
            <w:szCs w:val="21"/>
          </w:rPr>
          <w:t>page</w:t>
        </w:r>
      </w:hyperlink>
      <w:r w:rsidR="00F223D0">
        <w:rPr>
          <w:rFonts w:eastAsia="Arial" w:cs="Arial"/>
          <w:szCs w:val="21"/>
        </w:rPr>
        <w:t xml:space="preserve"> </w:t>
      </w:r>
      <w:r w:rsidR="009C59C1">
        <w:rPr>
          <w:rFonts w:eastAsia="Arial" w:cs="Arial"/>
          <w:szCs w:val="21"/>
        </w:rPr>
        <w:t>&lt;</w:t>
      </w:r>
      <w:r w:rsidR="009C59C1" w:rsidRPr="009C59C1">
        <w:rPr>
          <w:rFonts w:eastAsia="Arial" w:cs="Arial"/>
          <w:szCs w:val="21"/>
        </w:rPr>
        <w:t>https://www.health.vic.gov.au/immunisation/respiratory-syncytial-virus-immunisation</w:t>
      </w:r>
      <w:r w:rsidR="009C59C1">
        <w:rPr>
          <w:rFonts w:eastAsia="Arial" w:cs="Arial"/>
          <w:szCs w:val="21"/>
        </w:rPr>
        <w:t>&gt;.</w:t>
      </w:r>
      <w:r w:rsidR="00980D90" w:rsidRPr="00AE02C6">
        <w:rPr>
          <w:szCs w:val="21"/>
        </w:rPr>
        <w:t xml:space="preserve"> </w:t>
      </w:r>
    </w:p>
    <w:p w14:paraId="5F3933AD" w14:textId="79BB9367" w:rsidR="00673309" w:rsidRDefault="00673309" w:rsidP="00673309">
      <w:pPr>
        <w:pStyle w:val="Body"/>
      </w:pPr>
      <w:r w:rsidRPr="00AE02C6">
        <w:t xml:space="preserve">Due to limited supply, nirsevimab will be prioritised for </w:t>
      </w:r>
      <w:r>
        <w:rPr>
          <w:sz w:val="22"/>
          <w:szCs w:val="22"/>
        </w:rPr>
        <w:t xml:space="preserve">administration in </w:t>
      </w:r>
      <w:r w:rsidRPr="00AE02C6">
        <w:t xml:space="preserve">key settings to meet the needs of infants most at risk. This includes maternity services, GPs, Specialist Hospital Immunisation Services, nurse practitioners, paediatricians, regional health services, Aboriginal Community Controlled Health Organisations, and local councils. </w:t>
      </w:r>
    </w:p>
    <w:p w14:paraId="37D6DD37" w14:textId="77777777" w:rsidR="00F8525E" w:rsidRDefault="00F8525E">
      <w:pPr>
        <w:spacing w:after="0" w:line="240" w:lineRule="auto"/>
        <w:rPr>
          <w:rFonts w:eastAsia="MS Gothic" w:cs="Arial"/>
          <w:bCs/>
          <w:color w:val="201547"/>
          <w:kern w:val="32"/>
          <w:sz w:val="36"/>
          <w:szCs w:val="36"/>
          <w:highlight w:val="yellow"/>
        </w:rPr>
      </w:pPr>
      <w:bookmarkStart w:id="51" w:name="_Toc187417212"/>
      <w:bookmarkStart w:id="52" w:name="_Toc220935996"/>
      <w:r>
        <w:rPr>
          <w:sz w:val="36"/>
          <w:szCs w:val="36"/>
          <w:highlight w:val="yellow"/>
        </w:rPr>
        <w:br w:type="page"/>
      </w:r>
    </w:p>
    <w:p w14:paraId="5FEF55A4" w14:textId="33BEBFF5" w:rsidR="007F3DC3" w:rsidRPr="008E1FF7" w:rsidRDefault="007D62CB" w:rsidP="00A56645">
      <w:pPr>
        <w:pStyle w:val="Heading1"/>
        <w:spacing w:before="320" w:after="200" w:line="440" w:lineRule="atLeast"/>
        <w:rPr>
          <w:color w:val="1F497D" w:themeColor="text2"/>
          <w:sz w:val="28"/>
          <w:szCs w:val="28"/>
        </w:rPr>
      </w:pPr>
      <w:r w:rsidRPr="008E1FF7">
        <w:rPr>
          <w:color w:val="1F497D" w:themeColor="text2"/>
          <w:sz w:val="28"/>
          <w:szCs w:val="28"/>
        </w:rPr>
        <w:lastRenderedPageBreak/>
        <w:t>Key r</w:t>
      </w:r>
      <w:r w:rsidR="008E4F2F" w:rsidRPr="008E1FF7">
        <w:rPr>
          <w:color w:val="1F497D" w:themeColor="text2"/>
          <w:sz w:val="28"/>
          <w:szCs w:val="28"/>
        </w:rPr>
        <w:t>esources</w:t>
      </w:r>
      <w:bookmarkEnd w:id="51"/>
      <w:bookmarkEnd w:id="52"/>
    </w:p>
    <w:tbl>
      <w:tblPr>
        <w:tblW w:w="9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6379"/>
      </w:tblGrid>
      <w:tr w:rsidR="009F0C50" w:rsidRPr="00FF0F1D" w14:paraId="1726F812" w14:textId="77777777" w:rsidTr="009B7B1D">
        <w:trPr>
          <w:trHeight w:val="300"/>
        </w:trPr>
        <w:tc>
          <w:tcPr>
            <w:tcW w:w="3402" w:type="dxa"/>
            <w:tcBorders>
              <w:top w:val="nil"/>
              <w:left w:val="nil"/>
              <w:bottom w:val="single" w:sz="6" w:space="0" w:color="auto"/>
              <w:right w:val="nil"/>
            </w:tcBorders>
            <w:hideMark/>
          </w:tcPr>
          <w:p w14:paraId="7FF8847C" w14:textId="77777777" w:rsidR="00FF0F1D" w:rsidRPr="00FF0F1D" w:rsidRDefault="00FF0F1D" w:rsidP="0034073B">
            <w:pPr>
              <w:pStyle w:val="Tablecolhead"/>
              <w:rPr>
                <w:rFonts w:ascii="Segoe UI" w:hAnsi="Segoe UI" w:cs="Segoe UI"/>
                <w:sz w:val="18"/>
                <w:szCs w:val="18"/>
                <w:lang w:eastAsia="en-AU"/>
              </w:rPr>
            </w:pPr>
            <w:r w:rsidRPr="00FF0F1D">
              <w:rPr>
                <w:lang w:eastAsia="en-AU"/>
              </w:rPr>
              <w:t>Resource </w:t>
            </w:r>
          </w:p>
        </w:tc>
        <w:tc>
          <w:tcPr>
            <w:tcW w:w="6379" w:type="dxa"/>
            <w:tcBorders>
              <w:top w:val="nil"/>
              <w:left w:val="nil"/>
              <w:bottom w:val="single" w:sz="6" w:space="0" w:color="auto"/>
              <w:right w:val="nil"/>
            </w:tcBorders>
            <w:hideMark/>
          </w:tcPr>
          <w:p w14:paraId="7BFF95E9" w14:textId="77777777" w:rsidR="00FF0F1D" w:rsidRPr="00FF0F1D" w:rsidRDefault="00FF0F1D" w:rsidP="0034073B">
            <w:pPr>
              <w:pStyle w:val="Tablecolhead"/>
              <w:rPr>
                <w:rFonts w:ascii="Segoe UI" w:hAnsi="Segoe UI" w:cs="Segoe UI"/>
                <w:sz w:val="18"/>
                <w:szCs w:val="18"/>
                <w:lang w:eastAsia="en-AU"/>
              </w:rPr>
            </w:pPr>
            <w:r w:rsidRPr="00FF0F1D">
              <w:rPr>
                <w:lang w:eastAsia="en-AU"/>
              </w:rPr>
              <w:t>Description  </w:t>
            </w:r>
          </w:p>
        </w:tc>
      </w:tr>
      <w:tr w:rsidR="00FF0F1D" w:rsidRPr="00FF0F1D" w14:paraId="4462BA20" w14:textId="77777777" w:rsidTr="009B7B1D">
        <w:trPr>
          <w:trHeight w:val="300"/>
        </w:trPr>
        <w:tc>
          <w:tcPr>
            <w:tcW w:w="3402" w:type="dxa"/>
            <w:tcBorders>
              <w:top w:val="nil"/>
              <w:left w:val="nil"/>
              <w:bottom w:val="single" w:sz="6" w:space="0" w:color="auto"/>
              <w:right w:val="nil"/>
            </w:tcBorders>
          </w:tcPr>
          <w:p w14:paraId="03B0659A" w14:textId="50CC980C" w:rsidR="00FF0F1D" w:rsidRPr="0034073B" w:rsidRDefault="00845EE2" w:rsidP="0034073B">
            <w:pPr>
              <w:pStyle w:val="Tabletext"/>
              <w:rPr>
                <w:b/>
                <w:bCs/>
                <w:lang w:eastAsia="en-AU"/>
              </w:rPr>
            </w:pPr>
            <w:r w:rsidRPr="0034073B">
              <w:rPr>
                <w:b/>
                <w:bCs/>
                <w:shd w:val="clear" w:color="auto" w:fill="FFFFFF"/>
              </w:rPr>
              <w:t>Australian Immunisation Handbook)</w:t>
            </w:r>
          </w:p>
        </w:tc>
        <w:tc>
          <w:tcPr>
            <w:tcW w:w="6379" w:type="dxa"/>
            <w:tcBorders>
              <w:top w:val="nil"/>
              <w:left w:val="nil"/>
              <w:bottom w:val="single" w:sz="6" w:space="0" w:color="auto"/>
              <w:right w:val="nil"/>
            </w:tcBorders>
          </w:tcPr>
          <w:p w14:paraId="21368A42" w14:textId="111E41BD" w:rsidR="00601046" w:rsidRPr="00FF0F1D" w:rsidRDefault="00AF4E34" w:rsidP="00601046">
            <w:pPr>
              <w:pStyle w:val="Body"/>
              <w:spacing w:before="60" w:after="60"/>
              <w:rPr>
                <w:rFonts w:cs="Arial"/>
                <w:b/>
                <w:bCs/>
                <w:color w:val="1F497D"/>
                <w:szCs w:val="21"/>
                <w:lang w:eastAsia="en-AU"/>
              </w:rPr>
            </w:pPr>
            <w:hyperlink r:id="rId37" w:history="1">
              <w:r w:rsidRPr="00AF4E34">
                <w:rPr>
                  <w:rStyle w:val="Hyperlink"/>
                  <w:shd w:val="clear" w:color="auto" w:fill="FFFFFF"/>
                </w:rPr>
                <w:t>Respiratory Syncytial Virus (RSV) Immunisation</w:t>
              </w:r>
            </w:hyperlink>
            <w:r w:rsidRPr="0034073B">
              <w:rPr>
                <w:b/>
                <w:bCs/>
                <w:shd w:val="clear" w:color="auto" w:fill="FFFFFF"/>
              </w:rPr>
              <w:t xml:space="preserve"> </w:t>
            </w:r>
            <w:r>
              <w:rPr>
                <w:b/>
                <w:bCs/>
                <w:shd w:val="clear" w:color="auto" w:fill="FFFFFF"/>
              </w:rPr>
              <w:t>&lt;</w:t>
            </w:r>
            <w:r w:rsidR="00213219" w:rsidRPr="00213219">
              <w:rPr>
                <w:rFonts w:cs="Arial"/>
                <w:szCs w:val="21"/>
                <w:shd w:val="clear" w:color="auto" w:fill="FFFFFF"/>
              </w:rPr>
              <w:t>https://immunisationhandbook.health.gov.au/contents/vaccine-preventable-diseases/respiratory-syncytial-virus-rs</w:t>
            </w:r>
            <w:r w:rsidR="00213219">
              <w:t>&gt;</w:t>
            </w:r>
            <w:r w:rsidR="00845EE2" w:rsidRPr="002C2190">
              <w:rPr>
                <w:szCs w:val="21"/>
              </w:rPr>
              <w:t xml:space="preserve"> </w:t>
            </w:r>
          </w:p>
        </w:tc>
      </w:tr>
      <w:tr w:rsidR="009F0C50" w:rsidRPr="00FF0F1D" w14:paraId="2A0780A6" w14:textId="77777777" w:rsidTr="009B7B1D">
        <w:trPr>
          <w:trHeight w:val="300"/>
        </w:trPr>
        <w:tc>
          <w:tcPr>
            <w:tcW w:w="3402" w:type="dxa"/>
            <w:tcBorders>
              <w:top w:val="single" w:sz="6" w:space="0" w:color="auto"/>
              <w:left w:val="nil"/>
              <w:bottom w:val="single" w:sz="6" w:space="0" w:color="auto"/>
              <w:right w:val="nil"/>
            </w:tcBorders>
            <w:hideMark/>
          </w:tcPr>
          <w:p w14:paraId="4D0777B8" w14:textId="65BFD560" w:rsidR="00FF0F1D" w:rsidRPr="0034073B" w:rsidRDefault="00FF0F1D" w:rsidP="0034073B">
            <w:pPr>
              <w:pStyle w:val="Tabletext"/>
              <w:rPr>
                <w:b/>
                <w:bCs/>
                <w:lang w:eastAsia="en-AU"/>
              </w:rPr>
            </w:pPr>
            <w:r w:rsidRPr="0034073B">
              <w:rPr>
                <w:b/>
                <w:bCs/>
                <w:lang w:eastAsia="en-AU"/>
              </w:rPr>
              <w:t xml:space="preserve">Victorian Department of Health </w:t>
            </w:r>
            <w:r w:rsidR="006B7713">
              <w:rPr>
                <w:b/>
                <w:bCs/>
                <w:lang w:eastAsia="en-AU"/>
              </w:rPr>
              <w:t xml:space="preserve">RSV </w:t>
            </w:r>
            <w:r w:rsidRPr="0034073B">
              <w:rPr>
                <w:b/>
                <w:bCs/>
                <w:lang w:eastAsia="en-AU"/>
              </w:rPr>
              <w:t>webpage  </w:t>
            </w:r>
          </w:p>
        </w:tc>
        <w:tc>
          <w:tcPr>
            <w:tcW w:w="6379" w:type="dxa"/>
            <w:tcBorders>
              <w:top w:val="single" w:sz="6" w:space="0" w:color="auto"/>
              <w:left w:val="nil"/>
              <w:bottom w:val="single" w:sz="6" w:space="0" w:color="auto"/>
              <w:right w:val="nil"/>
            </w:tcBorders>
            <w:hideMark/>
          </w:tcPr>
          <w:p w14:paraId="0995DF2F" w14:textId="620930B6" w:rsidR="00FF0F1D" w:rsidRPr="00F6646A" w:rsidRDefault="00E859A1" w:rsidP="003622EE">
            <w:pPr>
              <w:spacing w:before="60" w:after="60" w:line="240" w:lineRule="auto"/>
              <w:textAlignment w:val="baseline"/>
              <w:rPr>
                <w:rFonts w:cs="Arial"/>
                <w:szCs w:val="21"/>
                <w:lang w:eastAsia="en-AU"/>
              </w:rPr>
            </w:pPr>
            <w:hyperlink r:id="rId38" w:history="1">
              <w:r w:rsidRPr="003B6BC7">
                <w:rPr>
                  <w:rStyle w:val="Hyperlink"/>
                  <w:rFonts w:cs="Arial"/>
                  <w:szCs w:val="21"/>
                  <w:u w:val="single"/>
                  <w:lang w:eastAsia="en-AU"/>
                </w:rPr>
                <w:t xml:space="preserve">Respiratory </w:t>
              </w:r>
              <w:r w:rsidR="00E507DB" w:rsidRPr="003B6BC7">
                <w:rPr>
                  <w:rStyle w:val="Hyperlink"/>
                  <w:rFonts w:cs="Arial"/>
                  <w:szCs w:val="21"/>
                  <w:u w:val="single"/>
                  <w:lang w:eastAsia="en-AU"/>
                </w:rPr>
                <w:t>Syncytial</w:t>
              </w:r>
              <w:r w:rsidRPr="003B6BC7">
                <w:rPr>
                  <w:rStyle w:val="Hyperlink"/>
                  <w:rFonts w:cs="Arial"/>
                  <w:szCs w:val="21"/>
                  <w:u w:val="single"/>
                  <w:lang w:eastAsia="en-AU"/>
                </w:rPr>
                <w:t xml:space="preserve"> Virus (RSV) immunisation</w:t>
              </w:r>
              <w:r w:rsidRPr="00213219">
                <w:rPr>
                  <w:rStyle w:val="Hyperlink"/>
                  <w:rFonts w:cs="Arial"/>
                  <w:szCs w:val="21"/>
                  <w:lang w:eastAsia="en-AU"/>
                </w:rPr>
                <w:t xml:space="preserve"> </w:t>
              </w:r>
              <w:r w:rsidR="00470635" w:rsidRPr="00213219">
                <w:rPr>
                  <w:rStyle w:val="Hyperlink"/>
                  <w:rFonts w:cs="Arial"/>
                  <w:szCs w:val="21"/>
                  <w:lang w:eastAsia="en-AU"/>
                </w:rPr>
                <w:t>a</w:t>
              </w:r>
            </w:hyperlink>
            <w:r w:rsidR="00470635">
              <w:rPr>
                <w:rFonts w:cs="Arial"/>
                <w:szCs w:val="21"/>
                <w:lang w:eastAsia="en-AU"/>
              </w:rPr>
              <w:t>nd RSV-MIPP eligibility</w:t>
            </w:r>
            <w:r w:rsidR="00F649ED">
              <w:rPr>
                <w:rFonts w:cs="Arial"/>
                <w:szCs w:val="21"/>
                <w:lang w:eastAsia="en-AU"/>
              </w:rPr>
              <w:t>. Info</w:t>
            </w:r>
            <w:r w:rsidR="0087610B">
              <w:rPr>
                <w:rFonts w:cs="Arial"/>
                <w:szCs w:val="21"/>
                <w:lang w:eastAsia="en-AU"/>
              </w:rPr>
              <w:t xml:space="preserve">rmation, webinars, fact sheets for health services and consumers and decision aids. </w:t>
            </w:r>
          </w:p>
          <w:p w14:paraId="42A0B333" w14:textId="240902B8" w:rsidR="00E859A1" w:rsidRPr="003622EE" w:rsidRDefault="00213219" w:rsidP="003622EE">
            <w:pPr>
              <w:spacing w:before="60" w:after="60" w:line="240" w:lineRule="auto"/>
              <w:textAlignment w:val="baseline"/>
              <w:rPr>
                <w:rFonts w:cs="Arial"/>
                <w:szCs w:val="21"/>
                <w:lang w:eastAsia="en-AU"/>
              </w:rPr>
            </w:pPr>
            <w:r>
              <w:rPr>
                <w:rFonts w:cs="Arial"/>
                <w:szCs w:val="21"/>
              </w:rPr>
              <w:t>&lt;</w:t>
            </w:r>
            <w:r w:rsidR="00F6646A" w:rsidRPr="00213219">
              <w:rPr>
                <w:rFonts w:cs="Arial"/>
                <w:szCs w:val="21"/>
              </w:rPr>
              <w:t>https://www.health.vic.gov.au/immunisation/respiratory-syncytial-virus-immunisation</w:t>
            </w:r>
            <w:r>
              <w:rPr>
                <w:rFonts w:cs="Arial"/>
                <w:szCs w:val="21"/>
              </w:rPr>
              <w:t>&gt;</w:t>
            </w:r>
          </w:p>
        </w:tc>
      </w:tr>
      <w:tr w:rsidR="00470635" w:rsidRPr="00FF0F1D" w14:paraId="231FE54A" w14:textId="77777777" w:rsidTr="009B7B1D">
        <w:trPr>
          <w:trHeight w:val="300"/>
        </w:trPr>
        <w:tc>
          <w:tcPr>
            <w:tcW w:w="3402" w:type="dxa"/>
            <w:tcBorders>
              <w:top w:val="single" w:sz="6" w:space="0" w:color="auto"/>
              <w:left w:val="nil"/>
              <w:bottom w:val="single" w:sz="6" w:space="0" w:color="auto"/>
              <w:right w:val="nil"/>
            </w:tcBorders>
          </w:tcPr>
          <w:p w14:paraId="6912C80F" w14:textId="355054F9" w:rsidR="00470635" w:rsidRPr="0034073B" w:rsidRDefault="00470635" w:rsidP="0034073B">
            <w:pPr>
              <w:pStyle w:val="Tabletext"/>
              <w:rPr>
                <w:b/>
                <w:bCs/>
                <w:lang w:eastAsia="en-AU"/>
              </w:rPr>
            </w:pPr>
            <w:r w:rsidRPr="0034073B">
              <w:rPr>
                <w:b/>
                <w:bCs/>
                <w:lang w:eastAsia="en-AU"/>
              </w:rPr>
              <w:t xml:space="preserve">Australian Government </w:t>
            </w:r>
            <w:r w:rsidR="0024482B">
              <w:rPr>
                <w:b/>
                <w:bCs/>
                <w:lang w:eastAsia="en-AU"/>
              </w:rPr>
              <w:t>-</w:t>
            </w:r>
          </w:p>
          <w:p w14:paraId="0A45CB22" w14:textId="052B9CD7" w:rsidR="00470635" w:rsidRPr="0034073B" w:rsidRDefault="0024482B" w:rsidP="0034073B">
            <w:pPr>
              <w:pStyle w:val="Tabletext"/>
              <w:rPr>
                <w:b/>
                <w:bCs/>
                <w:lang w:eastAsia="en-AU"/>
              </w:rPr>
            </w:pPr>
            <w:r>
              <w:rPr>
                <w:b/>
                <w:bCs/>
                <w:lang w:eastAsia="en-AU"/>
              </w:rPr>
              <w:t>Immunisation for pregnancy</w:t>
            </w:r>
          </w:p>
        </w:tc>
        <w:tc>
          <w:tcPr>
            <w:tcW w:w="6379" w:type="dxa"/>
            <w:tcBorders>
              <w:top w:val="single" w:sz="6" w:space="0" w:color="auto"/>
              <w:left w:val="nil"/>
              <w:bottom w:val="single" w:sz="6" w:space="0" w:color="auto"/>
              <w:right w:val="nil"/>
            </w:tcBorders>
          </w:tcPr>
          <w:p w14:paraId="18EEEA5D" w14:textId="20DEF48B" w:rsidR="00470635" w:rsidRPr="00FF0F1D" w:rsidRDefault="003B0AE1" w:rsidP="003622EE">
            <w:pPr>
              <w:spacing w:before="60" w:after="60" w:line="240" w:lineRule="auto"/>
              <w:textAlignment w:val="baseline"/>
              <w:rPr>
                <w:rFonts w:ascii="Segoe UI" w:hAnsi="Segoe UI" w:cs="Segoe UI"/>
                <w:sz w:val="18"/>
                <w:szCs w:val="18"/>
                <w:lang w:eastAsia="en-AU"/>
              </w:rPr>
            </w:pPr>
            <w:hyperlink r:id="rId39" w:history="1">
              <w:r>
                <w:rPr>
                  <w:rStyle w:val="Hyperlink"/>
                  <w:rFonts w:cs="Arial"/>
                  <w:szCs w:val="21"/>
                  <w:lang w:eastAsia="en-AU"/>
                </w:rPr>
                <w:t>Immunisation for pregnancy</w:t>
              </w:r>
            </w:hyperlink>
            <w:r w:rsidR="0072461B">
              <w:rPr>
                <w:rFonts w:cs="Arial"/>
                <w:szCs w:val="21"/>
                <w:lang w:eastAsia="en-AU"/>
              </w:rPr>
              <w:t>.</w:t>
            </w:r>
            <w:r w:rsidR="0072461B" w:rsidRPr="0072461B">
              <w:rPr>
                <w:rFonts w:cs="Arial"/>
                <w:szCs w:val="21"/>
                <w:lang w:eastAsia="en-AU"/>
              </w:rPr>
              <w:t xml:space="preserve"> </w:t>
            </w:r>
            <w:r w:rsidR="00D83D4C">
              <w:rPr>
                <w:rFonts w:cs="Arial"/>
                <w:szCs w:val="21"/>
                <w:lang w:eastAsia="en-AU"/>
              </w:rPr>
              <w:t>Includes clinical guidance, r</w:t>
            </w:r>
            <w:hyperlink r:id="rId40" w:tgtFrame="_blank" w:history="1">
              <w:r w:rsidR="00470635" w:rsidRPr="006F4760">
                <w:rPr>
                  <w:rFonts w:cs="Arial"/>
                  <w:szCs w:val="21"/>
                  <w:lang w:eastAsia="en-AU"/>
                </w:rPr>
                <w:t>esources, fact sheets and posters</w:t>
              </w:r>
            </w:hyperlink>
            <w:r w:rsidR="00470635" w:rsidRPr="00FF0F1D">
              <w:rPr>
                <w:rFonts w:cs="Arial"/>
                <w:szCs w:val="21"/>
                <w:lang w:eastAsia="en-AU"/>
              </w:rPr>
              <w:t xml:space="preserve"> for patients and health service</w:t>
            </w:r>
            <w:r w:rsidR="003D025E">
              <w:rPr>
                <w:rFonts w:cs="Arial"/>
                <w:szCs w:val="21"/>
                <w:lang w:eastAsia="en-AU"/>
              </w:rPr>
              <w:t>s</w:t>
            </w:r>
            <w:r w:rsidR="00470635" w:rsidRPr="00FF0F1D">
              <w:rPr>
                <w:rFonts w:cs="Arial"/>
                <w:szCs w:val="21"/>
                <w:lang w:eastAsia="en-AU"/>
              </w:rPr>
              <w:t>.  </w:t>
            </w:r>
          </w:p>
          <w:p w14:paraId="328E9611" w14:textId="3A8DA3F1" w:rsidR="00470635" w:rsidRPr="00F6646A" w:rsidRDefault="00426FD8" w:rsidP="003622EE">
            <w:pPr>
              <w:spacing w:before="60" w:after="60" w:line="240" w:lineRule="auto"/>
              <w:textAlignment w:val="baseline"/>
              <w:rPr>
                <w:rFonts w:cs="Arial"/>
                <w:szCs w:val="21"/>
                <w:lang w:eastAsia="en-AU"/>
              </w:rPr>
            </w:pPr>
            <w:r>
              <w:rPr>
                <w:rFonts w:cs="Arial"/>
                <w:szCs w:val="21"/>
                <w:lang w:eastAsia="en-AU"/>
              </w:rPr>
              <w:t>&lt;</w:t>
            </w:r>
            <w:r w:rsidRPr="00426FD8">
              <w:rPr>
                <w:rFonts w:cs="Arial"/>
                <w:szCs w:val="21"/>
                <w:lang w:eastAsia="en-AU"/>
              </w:rPr>
              <w:t>https://www.health.gov.au/topics/immunisation/when-to-get-vaccinated/immunisation-for-pregnancy</w:t>
            </w:r>
            <w:r>
              <w:rPr>
                <w:rFonts w:cs="Arial"/>
                <w:szCs w:val="21"/>
                <w:lang w:eastAsia="en-AU"/>
              </w:rPr>
              <w:t>&gt;</w:t>
            </w:r>
          </w:p>
        </w:tc>
      </w:tr>
      <w:tr w:rsidR="00487E97" w:rsidRPr="00FF0F1D" w14:paraId="657FBA65" w14:textId="77777777" w:rsidTr="009B7B1D">
        <w:trPr>
          <w:trHeight w:val="300"/>
        </w:trPr>
        <w:tc>
          <w:tcPr>
            <w:tcW w:w="3402" w:type="dxa"/>
            <w:tcBorders>
              <w:top w:val="single" w:sz="6" w:space="0" w:color="auto"/>
              <w:left w:val="nil"/>
              <w:bottom w:val="single" w:sz="6" w:space="0" w:color="auto"/>
              <w:right w:val="nil"/>
            </w:tcBorders>
          </w:tcPr>
          <w:p w14:paraId="25264E13" w14:textId="736B2561" w:rsidR="00487E97" w:rsidRPr="0034073B" w:rsidRDefault="00487E97" w:rsidP="0034073B">
            <w:pPr>
              <w:pStyle w:val="Tabletext"/>
              <w:rPr>
                <w:b/>
                <w:bCs/>
                <w:lang w:eastAsia="en-AU"/>
              </w:rPr>
            </w:pPr>
            <w:r w:rsidRPr="0034073B">
              <w:rPr>
                <w:b/>
                <w:bCs/>
              </w:rPr>
              <w:t xml:space="preserve">National Centre for Immunisation Research and Surveillance (NCIRS) </w:t>
            </w:r>
            <w:r w:rsidR="002F39B6">
              <w:rPr>
                <w:b/>
                <w:bCs/>
              </w:rPr>
              <w:t xml:space="preserve">RSV </w:t>
            </w:r>
            <w:r w:rsidRPr="0034073B">
              <w:rPr>
                <w:b/>
                <w:bCs/>
              </w:rPr>
              <w:t>webpage</w:t>
            </w:r>
          </w:p>
        </w:tc>
        <w:tc>
          <w:tcPr>
            <w:tcW w:w="6379" w:type="dxa"/>
            <w:tcBorders>
              <w:top w:val="single" w:sz="6" w:space="0" w:color="auto"/>
              <w:left w:val="nil"/>
              <w:bottom w:val="single" w:sz="6" w:space="0" w:color="auto"/>
              <w:right w:val="nil"/>
            </w:tcBorders>
          </w:tcPr>
          <w:p w14:paraId="498DF1BD" w14:textId="2A046533" w:rsidR="00487E97" w:rsidRPr="00FF0F1D" w:rsidRDefault="00487E97" w:rsidP="003622EE">
            <w:pPr>
              <w:pStyle w:val="Body"/>
              <w:spacing w:before="60" w:after="60"/>
              <w:rPr>
                <w:rFonts w:cs="Arial"/>
                <w:szCs w:val="21"/>
                <w:lang w:eastAsia="en-AU"/>
              </w:rPr>
            </w:pPr>
            <w:hyperlink r:id="rId41" w:history="1">
              <w:r w:rsidRPr="003B6BC7">
                <w:rPr>
                  <w:rStyle w:val="Hyperlink"/>
                  <w:u w:val="single"/>
                </w:rPr>
                <w:t>RSV - Frequently asked questions</w:t>
              </w:r>
            </w:hyperlink>
            <w:r>
              <w:t xml:space="preserve"> </w:t>
            </w:r>
            <w:r w:rsidR="00213219">
              <w:t>&lt;</w:t>
            </w:r>
            <w:r w:rsidRPr="00213219">
              <w:t>https://ncirs.org.au/ncirs-fact-sheets-faqs-and-other-resources/respiratory-syncytial-virus-rsv-frequently-asked</w:t>
            </w:r>
            <w:r w:rsidR="00213219">
              <w:t>&gt;</w:t>
            </w:r>
          </w:p>
        </w:tc>
      </w:tr>
      <w:tr w:rsidR="000D18AB" w:rsidRPr="00FF0F1D" w14:paraId="5718EC7C" w14:textId="77777777" w:rsidTr="009B7B1D">
        <w:trPr>
          <w:trHeight w:val="300"/>
        </w:trPr>
        <w:tc>
          <w:tcPr>
            <w:tcW w:w="3402" w:type="dxa"/>
            <w:tcBorders>
              <w:top w:val="single" w:sz="6" w:space="0" w:color="auto"/>
              <w:left w:val="nil"/>
              <w:bottom w:val="single" w:sz="6" w:space="0" w:color="auto"/>
              <w:right w:val="nil"/>
            </w:tcBorders>
          </w:tcPr>
          <w:p w14:paraId="3BE8A5FA" w14:textId="4585B988" w:rsidR="000D18AB" w:rsidRPr="0034073B" w:rsidRDefault="00806783" w:rsidP="0034073B">
            <w:pPr>
              <w:pStyle w:val="Tabletext"/>
              <w:rPr>
                <w:b/>
                <w:bCs/>
                <w:lang w:eastAsia="en-AU"/>
              </w:rPr>
            </w:pPr>
            <w:r w:rsidRPr="0034073B">
              <w:rPr>
                <w:b/>
                <w:bCs/>
                <w:lang w:eastAsia="en-AU"/>
              </w:rPr>
              <w:t>SAEFVIC webpage  </w:t>
            </w:r>
          </w:p>
        </w:tc>
        <w:tc>
          <w:tcPr>
            <w:tcW w:w="6379" w:type="dxa"/>
            <w:tcBorders>
              <w:top w:val="single" w:sz="6" w:space="0" w:color="auto"/>
              <w:left w:val="nil"/>
              <w:bottom w:val="single" w:sz="6" w:space="0" w:color="auto"/>
              <w:right w:val="nil"/>
            </w:tcBorders>
          </w:tcPr>
          <w:p w14:paraId="67342915" w14:textId="1E8474A2" w:rsidR="000D18AB" w:rsidRPr="00FF0F1D" w:rsidRDefault="00806783" w:rsidP="003622EE">
            <w:pPr>
              <w:spacing w:before="60" w:after="60" w:line="240" w:lineRule="auto"/>
              <w:textAlignment w:val="baseline"/>
              <w:rPr>
                <w:rFonts w:cs="Arial"/>
                <w:szCs w:val="21"/>
                <w:lang w:eastAsia="en-AU"/>
              </w:rPr>
            </w:pPr>
            <w:hyperlink r:id="rId42" w:tgtFrame="_blank" w:history="1">
              <w:r w:rsidRPr="00FF0F1D">
                <w:rPr>
                  <w:rFonts w:cs="Arial"/>
                  <w:color w:val="004C97"/>
                  <w:szCs w:val="21"/>
                  <w:u w:val="single"/>
                  <w:lang w:eastAsia="en-AU"/>
                </w:rPr>
                <w:t>SAEFVIC</w:t>
              </w:r>
            </w:hyperlink>
            <w:r w:rsidRPr="00FF0F1D">
              <w:rPr>
                <w:rFonts w:cs="Arial"/>
                <w:szCs w:val="21"/>
                <w:lang w:eastAsia="en-AU"/>
              </w:rPr>
              <w:t xml:space="preserve"> Report serious AEFI and vaccine error to SAEFVIC. </w:t>
            </w:r>
            <w:r w:rsidR="009F2CFB">
              <w:rPr>
                <w:rFonts w:cs="Arial"/>
                <w:szCs w:val="21"/>
                <w:lang w:eastAsia="en-AU"/>
              </w:rPr>
              <w:t>&lt;</w:t>
            </w:r>
            <w:r w:rsidRPr="009F2CFB">
              <w:rPr>
                <w:rFonts w:cs="Arial"/>
                <w:szCs w:val="21"/>
                <w:lang w:eastAsia="en-AU"/>
              </w:rPr>
              <w:t>https://www.safevac.org.au/Home/Info/VIC</w:t>
            </w:r>
            <w:r w:rsidR="009F2CFB">
              <w:rPr>
                <w:rFonts w:cs="Arial"/>
                <w:szCs w:val="21"/>
                <w:lang w:eastAsia="en-AU"/>
              </w:rPr>
              <w:t>&gt;</w:t>
            </w:r>
          </w:p>
        </w:tc>
      </w:tr>
      <w:tr w:rsidR="00FB619F" w:rsidRPr="00FF0F1D" w14:paraId="751B4925" w14:textId="77777777" w:rsidTr="009A7D99">
        <w:trPr>
          <w:trHeight w:val="909"/>
        </w:trPr>
        <w:tc>
          <w:tcPr>
            <w:tcW w:w="3402" w:type="dxa"/>
            <w:tcBorders>
              <w:top w:val="single" w:sz="6" w:space="0" w:color="auto"/>
              <w:left w:val="nil"/>
              <w:bottom w:val="single" w:sz="6" w:space="0" w:color="auto"/>
              <w:right w:val="nil"/>
            </w:tcBorders>
          </w:tcPr>
          <w:p w14:paraId="54AA5F2B" w14:textId="189A9F19" w:rsidR="00FB619F" w:rsidRPr="0034073B" w:rsidRDefault="00FB619F" w:rsidP="0034073B">
            <w:pPr>
              <w:pStyle w:val="Tabletext"/>
              <w:rPr>
                <w:b/>
                <w:bCs/>
                <w:lang w:eastAsia="en-AU"/>
              </w:rPr>
            </w:pPr>
            <w:r>
              <w:rPr>
                <w:b/>
                <w:bCs/>
                <w:lang w:eastAsia="en-AU"/>
              </w:rPr>
              <w:t>SKAI</w:t>
            </w:r>
          </w:p>
        </w:tc>
        <w:tc>
          <w:tcPr>
            <w:tcW w:w="6379" w:type="dxa"/>
            <w:tcBorders>
              <w:top w:val="single" w:sz="6" w:space="0" w:color="auto"/>
              <w:left w:val="nil"/>
              <w:bottom w:val="single" w:sz="6" w:space="0" w:color="auto"/>
              <w:right w:val="nil"/>
            </w:tcBorders>
          </w:tcPr>
          <w:p w14:paraId="1E1F9E94" w14:textId="6EBA2137" w:rsidR="00FB619F" w:rsidRDefault="00755515" w:rsidP="003622EE">
            <w:pPr>
              <w:spacing w:before="60" w:after="60" w:line="240" w:lineRule="auto"/>
              <w:textAlignment w:val="baseline"/>
            </w:pPr>
            <w:hyperlink r:id="rId43" w:history="1">
              <w:r w:rsidRPr="00755515">
                <w:rPr>
                  <w:rStyle w:val="Hyperlink"/>
                </w:rPr>
                <w:t>Sharing Knowledge about Immunisation – Pregnancy and newborn</w:t>
              </w:r>
            </w:hyperlink>
          </w:p>
          <w:p w14:paraId="4EC0723F" w14:textId="2AA5A411" w:rsidR="009A7D99" w:rsidRDefault="009A7D99" w:rsidP="003622EE">
            <w:pPr>
              <w:spacing w:before="60" w:after="60" w:line="240" w:lineRule="auto"/>
              <w:textAlignment w:val="baseline"/>
            </w:pPr>
            <w:r>
              <w:t>Information to support conversations and informed consent</w:t>
            </w:r>
          </w:p>
          <w:p w14:paraId="2711E8C3" w14:textId="69B46BDF" w:rsidR="00755515" w:rsidRDefault="009A7D99" w:rsidP="009A7D99">
            <w:pPr>
              <w:spacing w:before="60" w:after="60" w:line="240" w:lineRule="auto"/>
              <w:textAlignment w:val="baseline"/>
            </w:pPr>
            <w:r>
              <w:t>&lt;</w:t>
            </w:r>
            <w:r w:rsidRPr="009A7D99">
              <w:t>https://skai.org.au/pregnancy-and-newborn</w:t>
            </w:r>
            <w:r>
              <w:t xml:space="preserve">&gt; </w:t>
            </w:r>
          </w:p>
        </w:tc>
      </w:tr>
      <w:tr w:rsidR="009F0C50" w:rsidRPr="00FF0F1D" w14:paraId="0051C1F0" w14:textId="77777777" w:rsidTr="009B7B1D">
        <w:trPr>
          <w:trHeight w:val="300"/>
        </w:trPr>
        <w:tc>
          <w:tcPr>
            <w:tcW w:w="3402" w:type="dxa"/>
            <w:tcBorders>
              <w:top w:val="single" w:sz="6" w:space="0" w:color="auto"/>
              <w:left w:val="nil"/>
              <w:bottom w:val="single" w:sz="6" w:space="0" w:color="auto"/>
              <w:right w:val="nil"/>
            </w:tcBorders>
            <w:hideMark/>
          </w:tcPr>
          <w:p w14:paraId="7CDF20F7" w14:textId="650618EC" w:rsidR="00FF0F1D" w:rsidRPr="0034073B" w:rsidRDefault="00DC6CFE" w:rsidP="0034073B">
            <w:pPr>
              <w:pStyle w:val="Tabletext"/>
              <w:rPr>
                <w:rFonts w:ascii="Segoe UI" w:hAnsi="Segoe UI" w:cs="Segoe UI"/>
                <w:b/>
                <w:bCs/>
                <w:sz w:val="18"/>
                <w:szCs w:val="18"/>
                <w:lang w:eastAsia="en-AU"/>
              </w:rPr>
            </w:pPr>
            <w:r w:rsidRPr="0034073B">
              <w:rPr>
                <w:b/>
                <w:bCs/>
                <w:lang w:eastAsia="en-AU"/>
              </w:rPr>
              <w:t>Victorian Department of Health webpage  </w:t>
            </w:r>
          </w:p>
        </w:tc>
        <w:tc>
          <w:tcPr>
            <w:tcW w:w="6379" w:type="dxa"/>
            <w:tcBorders>
              <w:top w:val="single" w:sz="6" w:space="0" w:color="auto"/>
              <w:left w:val="nil"/>
              <w:bottom w:val="single" w:sz="6" w:space="0" w:color="auto"/>
              <w:right w:val="nil"/>
            </w:tcBorders>
            <w:hideMark/>
          </w:tcPr>
          <w:p w14:paraId="0D3689D1" w14:textId="265C92EC" w:rsidR="00FF0F1D" w:rsidRPr="00FF0F1D" w:rsidRDefault="00DC6CFE" w:rsidP="003622EE">
            <w:pPr>
              <w:spacing w:before="60" w:after="60" w:line="240" w:lineRule="auto"/>
              <w:textAlignment w:val="baseline"/>
              <w:rPr>
                <w:rFonts w:ascii="Segoe UI" w:hAnsi="Segoe UI" w:cs="Segoe UI"/>
                <w:sz w:val="18"/>
                <w:szCs w:val="18"/>
                <w:lang w:eastAsia="en-AU"/>
              </w:rPr>
            </w:pPr>
            <w:hyperlink r:id="rId44" w:history="1">
              <w:r w:rsidRPr="003B6BC7">
                <w:rPr>
                  <w:rStyle w:val="Hyperlink"/>
                  <w:u w:val="single"/>
                </w:rPr>
                <w:t>Adverse events following immunisation</w:t>
              </w:r>
              <w:r w:rsidR="00932E83" w:rsidRPr="003B6BC7">
                <w:rPr>
                  <w:rStyle w:val="Hyperlink"/>
                  <w:u w:val="single"/>
                </w:rPr>
                <w:t xml:space="preserve"> </w:t>
              </w:r>
              <w:r w:rsidR="0009588A" w:rsidRPr="003B6BC7">
                <w:rPr>
                  <w:rStyle w:val="Hyperlink"/>
                  <w:u w:val="single"/>
                </w:rPr>
                <w:t>re</w:t>
              </w:r>
              <w:r w:rsidR="001658FF" w:rsidRPr="003B6BC7">
                <w:rPr>
                  <w:rStyle w:val="Hyperlink"/>
                  <w:u w:val="single"/>
                </w:rPr>
                <w:t>po</w:t>
              </w:r>
              <w:r w:rsidR="00932E83" w:rsidRPr="003B6BC7">
                <w:rPr>
                  <w:rStyle w:val="Hyperlink"/>
                  <w:u w:val="single"/>
                </w:rPr>
                <w:t>rting</w:t>
              </w:r>
            </w:hyperlink>
            <w:r w:rsidR="00932E83" w:rsidRPr="003B6BC7">
              <w:rPr>
                <w:u w:val="single"/>
              </w:rPr>
              <w:t>.</w:t>
            </w:r>
            <w:r>
              <w:t xml:space="preserve"> </w:t>
            </w:r>
            <w:r w:rsidRPr="009F2CFB">
              <w:t>https://www.health.vic.gov.au/immunisation/adverse-events-following-immunisation-reporting</w:t>
            </w:r>
          </w:p>
        </w:tc>
      </w:tr>
      <w:tr w:rsidR="00487E97" w:rsidRPr="00FF0F1D" w14:paraId="25F26392" w14:textId="77777777" w:rsidTr="009B7B1D">
        <w:trPr>
          <w:trHeight w:val="300"/>
        </w:trPr>
        <w:tc>
          <w:tcPr>
            <w:tcW w:w="3402" w:type="dxa"/>
            <w:tcBorders>
              <w:top w:val="single" w:sz="6" w:space="0" w:color="auto"/>
              <w:left w:val="nil"/>
              <w:bottom w:val="single" w:sz="6" w:space="0" w:color="auto"/>
              <w:right w:val="nil"/>
            </w:tcBorders>
          </w:tcPr>
          <w:p w14:paraId="3C0CA790" w14:textId="0AD5B8D5" w:rsidR="00487E97" w:rsidRPr="0034073B" w:rsidRDefault="00487E97" w:rsidP="0034073B">
            <w:pPr>
              <w:pStyle w:val="Tabletext"/>
              <w:rPr>
                <w:b/>
                <w:bCs/>
                <w:lang w:eastAsia="en-AU"/>
              </w:rPr>
            </w:pPr>
            <w:r w:rsidRPr="0034073B">
              <w:rPr>
                <w:b/>
                <w:bCs/>
                <w:lang w:eastAsia="en-AU"/>
              </w:rPr>
              <w:t>Victorian Department of Health webpage  </w:t>
            </w:r>
          </w:p>
        </w:tc>
        <w:tc>
          <w:tcPr>
            <w:tcW w:w="6379" w:type="dxa"/>
            <w:tcBorders>
              <w:top w:val="single" w:sz="6" w:space="0" w:color="auto"/>
              <w:left w:val="nil"/>
              <w:bottom w:val="single" w:sz="6" w:space="0" w:color="auto"/>
              <w:right w:val="nil"/>
            </w:tcBorders>
          </w:tcPr>
          <w:p w14:paraId="62878D7F" w14:textId="77777777" w:rsidR="00487E97" w:rsidRPr="00FF0F1D" w:rsidRDefault="00487E97" w:rsidP="003622EE">
            <w:pPr>
              <w:spacing w:before="60" w:after="60" w:line="240" w:lineRule="auto"/>
              <w:textAlignment w:val="baseline"/>
              <w:rPr>
                <w:rFonts w:ascii="Segoe UI" w:hAnsi="Segoe UI" w:cs="Segoe UI"/>
                <w:sz w:val="18"/>
                <w:szCs w:val="18"/>
                <w:lang w:eastAsia="en-AU"/>
              </w:rPr>
            </w:pPr>
            <w:r w:rsidRPr="00FF0F1D">
              <w:rPr>
                <w:rFonts w:cs="Arial"/>
                <w:szCs w:val="21"/>
                <w:lang w:eastAsia="en-AU"/>
              </w:rPr>
              <w:t xml:space="preserve">Practical guidance on preventing and managing </w:t>
            </w:r>
            <w:hyperlink r:id="rId45" w:tgtFrame="_blank" w:history="1">
              <w:r w:rsidRPr="00FF0F1D">
                <w:rPr>
                  <w:rFonts w:cs="Arial"/>
                  <w:color w:val="004C97"/>
                  <w:szCs w:val="21"/>
                  <w:u w:val="single"/>
                  <w:lang w:eastAsia="en-AU"/>
                </w:rPr>
                <w:t>vaccine administration errors</w:t>
              </w:r>
            </w:hyperlink>
            <w:r w:rsidRPr="00FF0F1D">
              <w:rPr>
                <w:rFonts w:cs="Arial"/>
                <w:szCs w:val="21"/>
                <w:lang w:eastAsia="en-AU"/>
              </w:rPr>
              <w:t xml:space="preserve"> in Victoria.  </w:t>
            </w:r>
          </w:p>
          <w:p w14:paraId="4C8503DF" w14:textId="3A31E53A" w:rsidR="00487E97" w:rsidRPr="001F7E54" w:rsidRDefault="009F2CFB" w:rsidP="003622EE">
            <w:pPr>
              <w:spacing w:before="60" w:after="60" w:line="240" w:lineRule="auto"/>
              <w:textAlignment w:val="baseline"/>
            </w:pPr>
            <w:r>
              <w:rPr>
                <w:rFonts w:cs="Arial"/>
                <w:szCs w:val="21"/>
                <w:lang w:eastAsia="en-AU"/>
              </w:rPr>
              <w:t>&lt;</w:t>
            </w:r>
            <w:r w:rsidR="00366781" w:rsidRPr="009F2CFB">
              <w:rPr>
                <w:rFonts w:cs="Arial"/>
                <w:szCs w:val="21"/>
                <w:lang w:eastAsia="en-AU"/>
              </w:rPr>
              <w:t>https://www.health.vic.gov.au/immunisation/vaccine-error-management</w:t>
            </w:r>
            <w:r>
              <w:rPr>
                <w:rFonts w:cs="Arial"/>
                <w:szCs w:val="21"/>
                <w:lang w:eastAsia="en-AU"/>
              </w:rPr>
              <w:t>&gt;</w:t>
            </w:r>
            <w:r w:rsidR="00366781">
              <w:rPr>
                <w:rFonts w:cs="Arial"/>
                <w:szCs w:val="21"/>
                <w:lang w:eastAsia="en-AU"/>
              </w:rPr>
              <w:t xml:space="preserve"> </w:t>
            </w:r>
          </w:p>
        </w:tc>
      </w:tr>
      <w:tr w:rsidR="00B84DD7" w:rsidRPr="00FF0F1D" w14:paraId="315CDE2E" w14:textId="77777777" w:rsidTr="009B7B1D">
        <w:trPr>
          <w:trHeight w:val="300"/>
        </w:trPr>
        <w:tc>
          <w:tcPr>
            <w:tcW w:w="3402" w:type="dxa"/>
            <w:tcBorders>
              <w:top w:val="single" w:sz="6" w:space="0" w:color="auto"/>
              <w:left w:val="nil"/>
              <w:bottom w:val="single" w:sz="6" w:space="0" w:color="auto"/>
              <w:right w:val="nil"/>
            </w:tcBorders>
          </w:tcPr>
          <w:p w14:paraId="2132058C" w14:textId="21383F7D" w:rsidR="00B84DD7" w:rsidRPr="0034073B" w:rsidRDefault="00B84DD7" w:rsidP="0034073B">
            <w:pPr>
              <w:pStyle w:val="Tabletext"/>
              <w:rPr>
                <w:b/>
                <w:bCs/>
                <w:lang w:eastAsia="en-AU"/>
              </w:rPr>
            </w:pPr>
            <w:proofErr w:type="spellStart"/>
            <w:r w:rsidRPr="0034073B">
              <w:rPr>
                <w:b/>
                <w:bCs/>
              </w:rPr>
              <w:t>AusVaxSafety</w:t>
            </w:r>
            <w:proofErr w:type="spellEnd"/>
          </w:p>
        </w:tc>
        <w:tc>
          <w:tcPr>
            <w:tcW w:w="6379" w:type="dxa"/>
            <w:tcBorders>
              <w:top w:val="single" w:sz="6" w:space="0" w:color="auto"/>
              <w:left w:val="nil"/>
              <w:bottom w:val="single" w:sz="6" w:space="0" w:color="auto"/>
              <w:right w:val="nil"/>
            </w:tcBorders>
          </w:tcPr>
          <w:p w14:paraId="170B8E40" w14:textId="77664920" w:rsidR="00B84DD7" w:rsidRPr="001F7E54" w:rsidRDefault="00B84DD7" w:rsidP="003622EE">
            <w:pPr>
              <w:spacing w:before="60" w:after="60" w:line="240" w:lineRule="auto"/>
              <w:textAlignment w:val="baseline"/>
            </w:pPr>
            <w:hyperlink r:id="rId46" w:history="1">
              <w:r w:rsidRPr="009F2CFB">
                <w:rPr>
                  <w:rStyle w:val="Hyperlink"/>
                </w:rPr>
                <w:t>Active vaccine safety surveillance</w:t>
              </w:r>
            </w:hyperlink>
            <w:r w:rsidR="002E6FA4">
              <w:t xml:space="preserve">- </w:t>
            </w:r>
            <w:r w:rsidR="00ED6841">
              <w:t>provider</w:t>
            </w:r>
            <w:r w:rsidR="002E6FA4">
              <w:t xml:space="preserve"> participation </w:t>
            </w:r>
            <w:r w:rsidR="009F2CFB">
              <w:t>&lt;</w:t>
            </w:r>
            <w:r w:rsidRPr="009F2CFB">
              <w:t>https://ausvaxsafety.org.au/our-work/active-vaccine-safety-surveillance</w:t>
            </w:r>
            <w:r w:rsidR="009F2CFB">
              <w:t>&gt;</w:t>
            </w:r>
          </w:p>
        </w:tc>
      </w:tr>
      <w:tr w:rsidR="009F0C50" w:rsidRPr="00FF0F1D" w14:paraId="7EE272A2" w14:textId="77777777" w:rsidTr="009B7B1D">
        <w:trPr>
          <w:trHeight w:val="300"/>
        </w:trPr>
        <w:tc>
          <w:tcPr>
            <w:tcW w:w="3402" w:type="dxa"/>
            <w:tcBorders>
              <w:top w:val="single" w:sz="6" w:space="0" w:color="auto"/>
              <w:left w:val="nil"/>
              <w:bottom w:val="single" w:sz="6" w:space="0" w:color="auto"/>
              <w:right w:val="nil"/>
            </w:tcBorders>
            <w:hideMark/>
          </w:tcPr>
          <w:p w14:paraId="5DB4DBA4" w14:textId="77777777" w:rsidR="00B84DD7" w:rsidRPr="0034073B" w:rsidRDefault="00B84DD7" w:rsidP="0034073B">
            <w:pPr>
              <w:pStyle w:val="Tabletext"/>
              <w:rPr>
                <w:rFonts w:ascii="Segoe UI" w:hAnsi="Segoe UI" w:cs="Segoe UI"/>
                <w:b/>
                <w:bCs/>
                <w:sz w:val="18"/>
                <w:szCs w:val="18"/>
                <w:lang w:eastAsia="en-AU"/>
              </w:rPr>
            </w:pPr>
            <w:r w:rsidRPr="0034073B">
              <w:rPr>
                <w:b/>
                <w:bCs/>
                <w:lang w:eastAsia="en-AU"/>
              </w:rPr>
              <w:t>Australian Government </w:t>
            </w:r>
          </w:p>
        </w:tc>
        <w:tc>
          <w:tcPr>
            <w:tcW w:w="6379" w:type="dxa"/>
            <w:tcBorders>
              <w:top w:val="single" w:sz="6" w:space="0" w:color="auto"/>
              <w:left w:val="nil"/>
              <w:bottom w:val="single" w:sz="6" w:space="0" w:color="auto"/>
              <w:right w:val="nil"/>
            </w:tcBorders>
            <w:hideMark/>
          </w:tcPr>
          <w:p w14:paraId="7E5B016F" w14:textId="3BB6388D" w:rsidR="00B84DD7" w:rsidRPr="00FF0F1D" w:rsidRDefault="00B84DD7" w:rsidP="003622EE">
            <w:pPr>
              <w:spacing w:before="60" w:after="60" w:line="240" w:lineRule="auto"/>
              <w:textAlignment w:val="baseline"/>
              <w:rPr>
                <w:rFonts w:ascii="Segoe UI" w:hAnsi="Segoe UI" w:cs="Segoe UI"/>
                <w:sz w:val="18"/>
                <w:szCs w:val="18"/>
                <w:lang w:eastAsia="en-AU"/>
              </w:rPr>
            </w:pPr>
            <w:hyperlink r:id="rId47" w:tgtFrame="_blank" w:history="1">
              <w:r w:rsidRPr="00FF0F1D">
                <w:rPr>
                  <w:rFonts w:cs="Arial"/>
                  <w:color w:val="004C97"/>
                  <w:szCs w:val="21"/>
                  <w:u w:val="single"/>
                  <w:lang w:eastAsia="en-AU"/>
                </w:rPr>
                <w:t>National Vaccine Storage Guidelines – Strive for 5</w:t>
              </w:r>
            </w:hyperlink>
            <w:r w:rsidRPr="00FF0F1D">
              <w:rPr>
                <w:rFonts w:cs="Arial"/>
                <w:szCs w:val="21"/>
                <w:lang w:eastAsia="en-AU"/>
              </w:rPr>
              <w:t> </w:t>
            </w:r>
          </w:p>
          <w:p w14:paraId="0452FDE2" w14:textId="6D624B7B" w:rsidR="00B84DD7" w:rsidRPr="00FF0F1D" w:rsidRDefault="003B6BC7" w:rsidP="003622EE">
            <w:pPr>
              <w:spacing w:before="60" w:after="60" w:line="240" w:lineRule="auto"/>
              <w:textAlignment w:val="baseline"/>
              <w:rPr>
                <w:rFonts w:ascii="Segoe UI" w:hAnsi="Segoe UI" w:cs="Segoe UI"/>
                <w:sz w:val="18"/>
                <w:szCs w:val="18"/>
                <w:lang w:eastAsia="en-AU"/>
              </w:rPr>
            </w:pPr>
            <w:r>
              <w:rPr>
                <w:rFonts w:cs="Arial"/>
                <w:szCs w:val="21"/>
                <w:lang w:eastAsia="en-AU"/>
              </w:rPr>
              <w:t>&lt;</w:t>
            </w:r>
            <w:r w:rsidR="007F0F34" w:rsidRPr="003B6BC7">
              <w:rPr>
                <w:rFonts w:cs="Arial"/>
                <w:szCs w:val="21"/>
                <w:lang w:eastAsia="en-AU"/>
              </w:rPr>
              <w:t>https://www.health.gov.au/resources/publications/national-vaccine-storage-guidelines-strive-for-5?language=en</w:t>
            </w:r>
            <w:r>
              <w:rPr>
                <w:rFonts w:cs="Arial"/>
                <w:szCs w:val="21"/>
                <w:lang w:eastAsia="en-AU"/>
              </w:rPr>
              <w:t>&gt;</w:t>
            </w:r>
            <w:r w:rsidR="007F0F34">
              <w:rPr>
                <w:rFonts w:cs="Arial"/>
                <w:szCs w:val="21"/>
                <w:lang w:eastAsia="en-AU"/>
              </w:rPr>
              <w:t xml:space="preserve"> </w:t>
            </w:r>
          </w:p>
        </w:tc>
      </w:tr>
      <w:tr w:rsidR="009F0C50" w:rsidRPr="00FF0F1D" w14:paraId="1472C06A" w14:textId="77777777" w:rsidTr="009B7B1D">
        <w:trPr>
          <w:trHeight w:val="300"/>
        </w:trPr>
        <w:tc>
          <w:tcPr>
            <w:tcW w:w="3402" w:type="dxa"/>
            <w:tcBorders>
              <w:top w:val="single" w:sz="6" w:space="0" w:color="auto"/>
              <w:left w:val="nil"/>
              <w:bottom w:val="single" w:sz="6" w:space="0" w:color="auto"/>
              <w:right w:val="nil"/>
            </w:tcBorders>
            <w:hideMark/>
          </w:tcPr>
          <w:p w14:paraId="50549F25" w14:textId="77777777" w:rsidR="00B84DD7" w:rsidRPr="0034073B" w:rsidRDefault="00B84DD7" w:rsidP="0034073B">
            <w:pPr>
              <w:pStyle w:val="Tabletext"/>
              <w:rPr>
                <w:rFonts w:ascii="Segoe UI" w:hAnsi="Segoe UI" w:cs="Segoe UI"/>
                <w:b/>
                <w:bCs/>
                <w:sz w:val="18"/>
                <w:szCs w:val="18"/>
                <w:lang w:eastAsia="en-AU"/>
              </w:rPr>
            </w:pPr>
            <w:r w:rsidRPr="0034073B">
              <w:rPr>
                <w:b/>
                <w:bCs/>
                <w:lang w:eastAsia="en-AU"/>
              </w:rPr>
              <w:t>Victorian Department of Health webpage </w:t>
            </w:r>
          </w:p>
        </w:tc>
        <w:tc>
          <w:tcPr>
            <w:tcW w:w="6379" w:type="dxa"/>
            <w:tcBorders>
              <w:top w:val="single" w:sz="6" w:space="0" w:color="auto"/>
              <w:left w:val="nil"/>
              <w:bottom w:val="single" w:sz="6" w:space="0" w:color="auto"/>
              <w:right w:val="nil"/>
            </w:tcBorders>
            <w:hideMark/>
          </w:tcPr>
          <w:p w14:paraId="596A36AA" w14:textId="6B62C335" w:rsidR="00B84DD7" w:rsidRPr="00FF0F1D" w:rsidRDefault="00B84DD7" w:rsidP="003622EE">
            <w:pPr>
              <w:spacing w:before="60" w:after="60" w:line="240" w:lineRule="auto"/>
              <w:textAlignment w:val="baseline"/>
              <w:rPr>
                <w:rFonts w:ascii="Segoe UI" w:hAnsi="Segoe UI" w:cs="Segoe UI"/>
                <w:sz w:val="18"/>
                <w:szCs w:val="18"/>
                <w:lang w:eastAsia="en-AU"/>
              </w:rPr>
            </w:pPr>
            <w:r w:rsidRPr="00FF0F1D">
              <w:rPr>
                <w:rFonts w:cs="Arial"/>
                <w:szCs w:val="21"/>
                <w:lang w:eastAsia="en-AU"/>
              </w:rPr>
              <w:t xml:space="preserve">Practical guidance on mandatory vaccine storage and </w:t>
            </w:r>
            <w:hyperlink r:id="rId48" w:tgtFrame="_blank" w:history="1">
              <w:r w:rsidRPr="00FF0F1D">
                <w:rPr>
                  <w:rFonts w:cs="Arial"/>
                  <w:color w:val="004C97"/>
                  <w:szCs w:val="21"/>
                  <w:u w:val="single"/>
                  <w:lang w:eastAsia="en-AU"/>
                </w:rPr>
                <w:t>cold chain management</w:t>
              </w:r>
            </w:hyperlink>
            <w:r w:rsidRPr="00FF0F1D">
              <w:rPr>
                <w:rFonts w:cs="Arial"/>
                <w:szCs w:val="21"/>
                <w:lang w:eastAsia="en-AU"/>
              </w:rPr>
              <w:t xml:space="preserve"> requirements in Victoria.  </w:t>
            </w:r>
          </w:p>
          <w:p w14:paraId="5AC00AFF" w14:textId="771A989F" w:rsidR="00B84DD7" w:rsidRPr="00FF0F1D" w:rsidRDefault="009F2CFB" w:rsidP="003622EE">
            <w:pPr>
              <w:spacing w:before="60" w:after="60" w:line="240" w:lineRule="auto"/>
              <w:textAlignment w:val="baseline"/>
              <w:rPr>
                <w:rFonts w:ascii="Segoe UI" w:hAnsi="Segoe UI" w:cs="Segoe UI"/>
                <w:sz w:val="18"/>
                <w:szCs w:val="18"/>
                <w:lang w:eastAsia="en-AU"/>
              </w:rPr>
            </w:pPr>
            <w:r>
              <w:rPr>
                <w:rFonts w:cs="Arial"/>
                <w:szCs w:val="21"/>
                <w:lang w:eastAsia="en-AU"/>
              </w:rPr>
              <w:t>&lt;</w:t>
            </w:r>
            <w:r w:rsidR="00366781" w:rsidRPr="009F2CFB">
              <w:rPr>
                <w:rFonts w:cs="Arial"/>
                <w:szCs w:val="21"/>
                <w:lang w:eastAsia="en-AU"/>
              </w:rPr>
              <w:t>https://www.health.vic.gov.au/immunisation/cold-chain-management</w:t>
            </w:r>
            <w:r>
              <w:rPr>
                <w:rFonts w:cs="Arial"/>
                <w:szCs w:val="21"/>
                <w:lang w:eastAsia="en-AU"/>
              </w:rPr>
              <w:t>&gt;</w:t>
            </w:r>
            <w:r w:rsidR="00366781">
              <w:rPr>
                <w:rFonts w:cs="Arial"/>
                <w:szCs w:val="21"/>
                <w:lang w:eastAsia="en-AU"/>
              </w:rPr>
              <w:t xml:space="preserve"> </w:t>
            </w:r>
          </w:p>
        </w:tc>
      </w:tr>
      <w:tr w:rsidR="009F0C50" w:rsidRPr="00FF0F1D" w14:paraId="16ACE98D" w14:textId="77777777" w:rsidTr="009B7B1D">
        <w:trPr>
          <w:trHeight w:val="300"/>
        </w:trPr>
        <w:tc>
          <w:tcPr>
            <w:tcW w:w="3402" w:type="dxa"/>
            <w:tcBorders>
              <w:top w:val="single" w:sz="6" w:space="0" w:color="auto"/>
              <w:left w:val="nil"/>
              <w:bottom w:val="single" w:sz="6" w:space="0" w:color="auto"/>
              <w:right w:val="nil"/>
            </w:tcBorders>
            <w:hideMark/>
          </w:tcPr>
          <w:p w14:paraId="69D5648C" w14:textId="77777777" w:rsidR="00B84DD7" w:rsidRPr="0034073B" w:rsidRDefault="00B84DD7" w:rsidP="0034073B">
            <w:pPr>
              <w:pStyle w:val="Tabletext"/>
              <w:rPr>
                <w:rFonts w:ascii="Segoe UI" w:hAnsi="Segoe UI" w:cs="Segoe UI"/>
                <w:b/>
                <w:bCs/>
                <w:sz w:val="18"/>
                <w:szCs w:val="18"/>
                <w:lang w:eastAsia="en-AU"/>
              </w:rPr>
            </w:pPr>
            <w:r w:rsidRPr="0034073B">
              <w:rPr>
                <w:b/>
                <w:bCs/>
                <w:lang w:eastAsia="en-AU"/>
              </w:rPr>
              <w:t>Victorian Department of Health  </w:t>
            </w:r>
          </w:p>
        </w:tc>
        <w:tc>
          <w:tcPr>
            <w:tcW w:w="6379" w:type="dxa"/>
            <w:tcBorders>
              <w:top w:val="single" w:sz="6" w:space="0" w:color="auto"/>
              <w:left w:val="nil"/>
              <w:bottom w:val="single" w:sz="6" w:space="0" w:color="auto"/>
              <w:right w:val="nil"/>
            </w:tcBorders>
            <w:hideMark/>
          </w:tcPr>
          <w:p w14:paraId="3A7F32E4" w14:textId="77777777" w:rsidR="00B84DD7" w:rsidRPr="00FF0F1D" w:rsidRDefault="00B84DD7" w:rsidP="003622EE">
            <w:pPr>
              <w:spacing w:before="60" w:after="60" w:line="240" w:lineRule="auto"/>
              <w:textAlignment w:val="baseline"/>
              <w:rPr>
                <w:rFonts w:ascii="Segoe UI" w:hAnsi="Segoe UI" w:cs="Segoe UI"/>
                <w:sz w:val="18"/>
                <w:szCs w:val="18"/>
                <w:lang w:eastAsia="en-AU"/>
              </w:rPr>
            </w:pPr>
            <w:r w:rsidRPr="00FF0F1D">
              <w:rPr>
                <w:rFonts w:cs="Arial"/>
                <w:szCs w:val="21"/>
                <w:lang w:eastAsia="en-AU"/>
              </w:rPr>
              <w:t xml:space="preserve">How to register for a </w:t>
            </w:r>
            <w:hyperlink r:id="rId49" w:tgtFrame="_blank" w:history="1">
              <w:r w:rsidRPr="00FF0F1D">
                <w:rPr>
                  <w:rFonts w:cs="Arial"/>
                  <w:color w:val="004C97"/>
                  <w:szCs w:val="21"/>
                  <w:u w:val="single"/>
                  <w:lang w:eastAsia="en-AU"/>
                </w:rPr>
                <w:t>Onelink vaccine account</w:t>
              </w:r>
            </w:hyperlink>
            <w:r w:rsidRPr="00FF0F1D">
              <w:rPr>
                <w:rFonts w:cs="Arial"/>
                <w:szCs w:val="21"/>
                <w:lang w:eastAsia="en-AU"/>
              </w:rPr>
              <w:t xml:space="preserve"> and order government funded vaccines.   </w:t>
            </w:r>
          </w:p>
          <w:p w14:paraId="3CD01B1D" w14:textId="210C7BA8" w:rsidR="00B84DD7" w:rsidRPr="00FF0F1D" w:rsidRDefault="009F2CFB" w:rsidP="003622EE">
            <w:pPr>
              <w:spacing w:before="60" w:after="60" w:line="240" w:lineRule="auto"/>
              <w:textAlignment w:val="baseline"/>
              <w:rPr>
                <w:rFonts w:ascii="Segoe UI" w:hAnsi="Segoe UI" w:cs="Segoe UI"/>
                <w:sz w:val="18"/>
                <w:szCs w:val="18"/>
                <w:lang w:eastAsia="en-AU"/>
              </w:rPr>
            </w:pPr>
            <w:r>
              <w:rPr>
                <w:rFonts w:cs="Arial"/>
                <w:szCs w:val="21"/>
                <w:lang w:eastAsia="en-AU"/>
              </w:rPr>
              <w:t>&lt;</w:t>
            </w:r>
            <w:r w:rsidR="00366781" w:rsidRPr="009F2CFB">
              <w:rPr>
                <w:rFonts w:cs="Arial"/>
                <w:szCs w:val="21"/>
                <w:lang w:eastAsia="en-AU"/>
              </w:rPr>
              <w:t>https://www.health.vic.gov.au/immunisation/ordering-vaccines</w:t>
            </w:r>
            <w:r>
              <w:rPr>
                <w:rFonts w:cs="Arial"/>
                <w:szCs w:val="21"/>
                <w:lang w:eastAsia="en-AU"/>
              </w:rPr>
              <w:t>&gt;</w:t>
            </w:r>
            <w:r w:rsidR="00366781">
              <w:rPr>
                <w:rFonts w:cs="Arial"/>
                <w:szCs w:val="21"/>
                <w:lang w:eastAsia="en-AU"/>
              </w:rPr>
              <w:t xml:space="preserve"> </w:t>
            </w:r>
          </w:p>
        </w:tc>
      </w:tr>
      <w:tr w:rsidR="009F0C50" w:rsidRPr="00FF0F1D" w14:paraId="5F549DBC" w14:textId="77777777" w:rsidTr="009B7B1D">
        <w:trPr>
          <w:trHeight w:val="300"/>
        </w:trPr>
        <w:tc>
          <w:tcPr>
            <w:tcW w:w="3402" w:type="dxa"/>
            <w:tcBorders>
              <w:top w:val="single" w:sz="6" w:space="0" w:color="auto"/>
              <w:left w:val="nil"/>
              <w:bottom w:val="single" w:sz="6" w:space="0" w:color="auto"/>
              <w:right w:val="nil"/>
            </w:tcBorders>
            <w:hideMark/>
          </w:tcPr>
          <w:p w14:paraId="02887AAD" w14:textId="77777777" w:rsidR="00B84DD7" w:rsidRPr="0034073B" w:rsidRDefault="00B84DD7" w:rsidP="0034073B">
            <w:pPr>
              <w:pStyle w:val="Tabletext"/>
              <w:rPr>
                <w:rFonts w:ascii="Segoe UI" w:hAnsi="Segoe UI" w:cs="Segoe UI"/>
                <w:b/>
                <w:bCs/>
                <w:sz w:val="18"/>
                <w:szCs w:val="18"/>
                <w:lang w:eastAsia="en-AU"/>
              </w:rPr>
            </w:pPr>
            <w:r w:rsidRPr="0034073B">
              <w:rPr>
                <w:b/>
                <w:bCs/>
                <w:lang w:eastAsia="en-AU"/>
              </w:rPr>
              <w:t>Victorian Department of Health  </w:t>
            </w:r>
          </w:p>
        </w:tc>
        <w:tc>
          <w:tcPr>
            <w:tcW w:w="6379" w:type="dxa"/>
            <w:tcBorders>
              <w:top w:val="single" w:sz="6" w:space="0" w:color="auto"/>
              <w:left w:val="nil"/>
              <w:bottom w:val="single" w:sz="6" w:space="0" w:color="auto"/>
              <w:right w:val="nil"/>
            </w:tcBorders>
            <w:hideMark/>
          </w:tcPr>
          <w:p w14:paraId="48D6F805" w14:textId="25DE39A3" w:rsidR="00B84DD7" w:rsidRPr="00FF0F1D" w:rsidRDefault="00B84DD7" w:rsidP="003622EE">
            <w:pPr>
              <w:spacing w:before="60" w:after="60" w:line="240" w:lineRule="auto"/>
              <w:textAlignment w:val="baseline"/>
              <w:rPr>
                <w:rFonts w:ascii="Segoe UI" w:hAnsi="Segoe UI" w:cs="Segoe UI"/>
                <w:sz w:val="18"/>
                <w:szCs w:val="18"/>
                <w:lang w:eastAsia="en-AU"/>
              </w:rPr>
            </w:pPr>
            <w:r w:rsidRPr="00FF0F1D">
              <w:rPr>
                <w:rFonts w:cs="Arial"/>
                <w:szCs w:val="21"/>
                <w:lang w:eastAsia="en-AU"/>
              </w:rPr>
              <w:t xml:space="preserve">Information about </w:t>
            </w:r>
            <w:hyperlink r:id="rId50" w:history="1">
              <w:r w:rsidRPr="000439F5">
                <w:rPr>
                  <w:rStyle w:val="Hyperlink"/>
                  <w:rFonts w:cs="Arial"/>
                  <w:szCs w:val="21"/>
                  <w:lang w:eastAsia="en-AU"/>
                </w:rPr>
                <w:t>nurse</w:t>
              </w:r>
              <w:r w:rsidR="000439F5">
                <w:rPr>
                  <w:rStyle w:val="Hyperlink"/>
                  <w:rFonts w:eastAsia="Times"/>
                </w:rPr>
                <w:t>,</w:t>
              </w:r>
              <w:r w:rsidRPr="000439F5">
                <w:rPr>
                  <w:rStyle w:val="Hyperlink"/>
                  <w:rFonts w:eastAsia="Times"/>
                </w:rPr>
                <w:t xml:space="preserve"> pharmacist</w:t>
              </w:r>
              <w:r w:rsidR="000439F5">
                <w:rPr>
                  <w:rStyle w:val="Hyperlink"/>
                  <w:rFonts w:eastAsia="Times"/>
                </w:rPr>
                <w:t xml:space="preserve"> and ATSIHP</w:t>
              </w:r>
              <w:r w:rsidRPr="000439F5">
                <w:rPr>
                  <w:rStyle w:val="Hyperlink"/>
                  <w:rFonts w:eastAsia="Times"/>
                </w:rPr>
                <w:t xml:space="preserve"> immunisers in Victoria</w:t>
              </w:r>
            </w:hyperlink>
            <w:r w:rsidRPr="000439F5">
              <w:rPr>
                <w:rStyle w:val="BodyChar"/>
              </w:rPr>
              <w:t>.</w:t>
            </w:r>
            <w:r w:rsidRPr="00FF0F1D">
              <w:rPr>
                <w:rFonts w:cs="Arial"/>
                <w:szCs w:val="21"/>
                <w:lang w:eastAsia="en-AU"/>
              </w:rPr>
              <w:t> </w:t>
            </w:r>
          </w:p>
          <w:p w14:paraId="79F5A1FF" w14:textId="6FDA813F" w:rsidR="00B84DD7" w:rsidRPr="00FF0F1D" w:rsidRDefault="009F2CFB" w:rsidP="003622EE">
            <w:pPr>
              <w:spacing w:before="60" w:after="60" w:line="240" w:lineRule="auto"/>
              <w:textAlignment w:val="baseline"/>
              <w:rPr>
                <w:rFonts w:ascii="Segoe UI" w:hAnsi="Segoe UI" w:cs="Segoe UI"/>
                <w:sz w:val="18"/>
                <w:szCs w:val="18"/>
                <w:lang w:eastAsia="en-AU"/>
              </w:rPr>
            </w:pPr>
            <w:r>
              <w:rPr>
                <w:rFonts w:cs="Arial"/>
                <w:szCs w:val="21"/>
                <w:lang w:eastAsia="en-AU"/>
              </w:rPr>
              <w:t>&lt;</w:t>
            </w:r>
            <w:r w:rsidR="00366781" w:rsidRPr="009F2CFB">
              <w:rPr>
                <w:rFonts w:cs="Arial"/>
                <w:szCs w:val="21"/>
                <w:lang w:eastAsia="en-AU"/>
              </w:rPr>
              <w:t>https://www.health.vic.gov.au/immunisation/immunisers-in-victoria</w:t>
            </w:r>
            <w:r>
              <w:rPr>
                <w:rFonts w:cs="Arial"/>
                <w:szCs w:val="21"/>
                <w:lang w:eastAsia="en-AU"/>
              </w:rPr>
              <w:t>&gt;</w:t>
            </w:r>
            <w:r w:rsidR="00366781">
              <w:rPr>
                <w:rFonts w:cs="Arial"/>
                <w:szCs w:val="21"/>
                <w:lang w:eastAsia="en-AU"/>
              </w:rPr>
              <w:t xml:space="preserve"> </w:t>
            </w:r>
          </w:p>
        </w:tc>
      </w:tr>
      <w:bookmarkEnd w:id="2"/>
    </w:tbl>
    <w:p w14:paraId="3888E489" w14:textId="77777777" w:rsidR="007157BE" w:rsidRPr="00BB6B0D" w:rsidRDefault="007157BE" w:rsidP="007157BE">
      <w:pPr>
        <w:rPr>
          <w:sz w:val="20"/>
        </w:rPr>
      </w:pPr>
    </w:p>
    <w:tbl>
      <w:tblPr>
        <w:tblStyle w:val="TableGrid"/>
        <w:tblW w:w="0" w:type="auto"/>
        <w:tblCellMar>
          <w:bottom w:w="108" w:type="dxa"/>
        </w:tblCellMar>
        <w:tblLook w:val="0600" w:firstRow="0" w:lastRow="0" w:firstColumn="0" w:lastColumn="0" w:noHBand="1" w:noVBand="1"/>
      </w:tblPr>
      <w:tblGrid>
        <w:gridCol w:w="9736"/>
      </w:tblGrid>
      <w:tr w:rsidR="007157BE" w14:paraId="4DAC2610" w14:textId="77777777" w:rsidTr="00085861">
        <w:tc>
          <w:tcPr>
            <w:tcW w:w="10194" w:type="dxa"/>
          </w:tcPr>
          <w:p w14:paraId="76B4292B" w14:textId="299E5B74" w:rsidR="007157BE" w:rsidRPr="00702751" w:rsidRDefault="007157BE" w:rsidP="00085861">
            <w:pPr>
              <w:pStyle w:val="Accessibilitypara"/>
              <w:spacing w:before="120" w:after="120" w:line="280" w:lineRule="atLeast"/>
              <w:rPr>
                <w:sz w:val="20"/>
                <w:szCs w:val="20"/>
              </w:rPr>
            </w:pPr>
            <w:bookmarkStart w:id="53" w:name="_Hlk37240926"/>
            <w:r w:rsidRPr="00702751">
              <w:rPr>
                <w:sz w:val="20"/>
                <w:szCs w:val="20"/>
              </w:rPr>
              <w:t>To receive this document in another format,</w:t>
            </w:r>
            <w:r w:rsidR="002C4096">
              <w:rPr>
                <w:sz w:val="20"/>
                <w:szCs w:val="20"/>
              </w:rPr>
              <w:t xml:space="preserve"> </w:t>
            </w:r>
            <w:r w:rsidR="002C4096" w:rsidRPr="002C4096">
              <w:rPr>
                <w:sz w:val="20"/>
                <w:szCs w:val="16"/>
              </w:rPr>
              <w:t>email the</w:t>
            </w:r>
            <w:r w:rsidRPr="002C4096">
              <w:rPr>
                <w:sz w:val="16"/>
                <w:szCs w:val="16"/>
              </w:rPr>
              <w:t xml:space="preserve"> </w:t>
            </w:r>
            <w:hyperlink r:id="rId51" w:history="1">
              <w:r w:rsidR="002C4096" w:rsidRPr="00651C23">
                <w:rPr>
                  <w:rStyle w:val="Hyperlink"/>
                  <w:sz w:val="20"/>
                  <w:szCs w:val="20"/>
                </w:rPr>
                <w:t>Immunisation Program</w:t>
              </w:r>
            </w:hyperlink>
            <w:r w:rsidRPr="00702751">
              <w:rPr>
                <w:sz w:val="20"/>
                <w:szCs w:val="20"/>
              </w:rPr>
              <w:t xml:space="preserve"> &lt;</w:t>
            </w:r>
            <w:r w:rsidRPr="00702751">
              <w:rPr>
                <w:rFonts w:eastAsia="Arial" w:cs="Arial"/>
                <w:sz w:val="20"/>
                <w:szCs w:val="20"/>
              </w:rPr>
              <w:t>immunisation@health.vic.gov.au</w:t>
            </w:r>
            <w:r w:rsidRPr="00702751">
              <w:rPr>
                <w:sz w:val="20"/>
                <w:szCs w:val="20"/>
              </w:rPr>
              <w:t>&gt;.</w:t>
            </w:r>
          </w:p>
          <w:p w14:paraId="789C48CF" w14:textId="77777777" w:rsidR="007157BE" w:rsidRDefault="007157BE" w:rsidP="00085861">
            <w:pPr>
              <w:pStyle w:val="Imprint"/>
              <w:rPr>
                <w:lang w:val="en-US"/>
              </w:rPr>
            </w:pPr>
            <w:r w:rsidRPr="07054F92">
              <w:rPr>
                <w:lang w:val="en-US"/>
              </w:rPr>
              <w:t>Authorised and published by the Victorian Government, 1 Treasury Place, Melbourne.</w:t>
            </w:r>
          </w:p>
          <w:p w14:paraId="51E3D6C9" w14:textId="77777777" w:rsidR="007157BE" w:rsidRDefault="007157BE" w:rsidP="00085861">
            <w:pPr>
              <w:pStyle w:val="Imprint"/>
            </w:pPr>
            <w:r>
              <w:t xml:space="preserve">© State of Victoria, Australia, Department of Health, </w:t>
            </w:r>
            <w:r w:rsidR="007E0CB5">
              <w:rPr>
                <w:color w:val="004C97"/>
              </w:rPr>
              <w:t>Januar</w:t>
            </w:r>
            <w:r>
              <w:rPr>
                <w:color w:val="004C97"/>
              </w:rPr>
              <w:t>y 202</w:t>
            </w:r>
            <w:r w:rsidR="002836FA">
              <w:rPr>
                <w:color w:val="004C97"/>
              </w:rPr>
              <w:t>6</w:t>
            </w:r>
            <w:r>
              <w:t>.</w:t>
            </w:r>
          </w:p>
          <w:p w14:paraId="1EA22683" w14:textId="2CB3BF2D" w:rsidR="00437978" w:rsidRDefault="00437978" w:rsidP="00085861">
            <w:pPr>
              <w:pStyle w:val="Imprint"/>
            </w:pPr>
            <w:r w:rsidRPr="0055119B">
              <w:t xml:space="preserve">Available at </w:t>
            </w:r>
            <w:hyperlink r:id="rId52" w:history="1">
              <w:r w:rsidRPr="00652B8D">
                <w:rPr>
                  <w:rStyle w:val="Hyperlink"/>
                  <w:rFonts w:cs="Arial"/>
                </w:rPr>
                <w:t>Respiratory Syncytial Virus (RSV) immunisation</w:t>
              </w:r>
            </w:hyperlink>
            <w:r>
              <w:t xml:space="preserve"> &lt;</w:t>
            </w:r>
            <w:r w:rsidRPr="00F63B95">
              <w:t>https://www.health.vic.gov.au/immunisation/respiratory-syncytial-virus-immunisation</w:t>
            </w:r>
            <w:r>
              <w:t xml:space="preserve">&gt;   </w:t>
            </w:r>
          </w:p>
        </w:tc>
      </w:tr>
      <w:bookmarkEnd w:id="53"/>
    </w:tbl>
    <w:p w14:paraId="5A3EB35F" w14:textId="3233730C" w:rsidR="00673309" w:rsidRPr="00FC2372" w:rsidRDefault="00673309" w:rsidP="007157BE">
      <w:pPr>
        <w:pStyle w:val="Body"/>
      </w:pPr>
    </w:p>
    <w:sectPr w:rsidR="00673309" w:rsidRPr="00FC2372" w:rsidSect="00EA779C">
      <w:headerReference w:type="even" r:id="rId53"/>
      <w:headerReference w:type="default" r:id="rId54"/>
      <w:footerReference w:type="even" r:id="rId55"/>
      <w:footerReference w:type="default" r:id="rId56"/>
      <w:footerReference w:type="first" r:id="rId57"/>
      <w:pgSz w:w="11906" w:h="16838" w:code="9"/>
      <w:pgMar w:top="1440" w:right="1080" w:bottom="1440" w:left="1080"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2428" w14:textId="77777777" w:rsidR="00D95CF5" w:rsidRDefault="00D95CF5">
      <w:r>
        <w:separator/>
      </w:r>
    </w:p>
    <w:p w14:paraId="4C9BE82D" w14:textId="77777777" w:rsidR="00D95CF5" w:rsidRDefault="00D95CF5"/>
  </w:endnote>
  <w:endnote w:type="continuationSeparator" w:id="0">
    <w:p w14:paraId="303D1C96" w14:textId="77777777" w:rsidR="00D95CF5" w:rsidRDefault="00D95CF5">
      <w:r>
        <w:continuationSeparator/>
      </w:r>
    </w:p>
    <w:p w14:paraId="337E861A" w14:textId="77777777" w:rsidR="00D95CF5" w:rsidRDefault="00D95CF5"/>
  </w:endnote>
  <w:endnote w:type="continuationNotice" w:id="1">
    <w:p w14:paraId="3C7EEA32" w14:textId="77777777" w:rsidR="00D95CF5" w:rsidRDefault="00D95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E859" w14:textId="654D2AEF" w:rsidR="00EB4BC7" w:rsidRDefault="00063E41">
    <w:pPr>
      <w:pStyle w:val="Footer"/>
    </w:pPr>
    <w:r>
      <w:rPr>
        <w:noProof/>
      </w:rPr>
      <mc:AlternateContent>
        <mc:Choice Requires="wps">
          <w:drawing>
            <wp:anchor distT="0" distB="0" distL="0" distR="0" simplePos="0" relativeHeight="251659264" behindDoc="0" locked="0" layoutInCell="1" allowOverlap="1" wp14:anchorId="5C74FEA5" wp14:editId="62989CC9">
              <wp:simplePos x="635" y="635"/>
              <wp:positionH relativeFrom="page">
                <wp:align>center</wp:align>
              </wp:positionH>
              <wp:positionV relativeFrom="page">
                <wp:align>bottom</wp:align>
              </wp:positionV>
              <wp:extent cx="656590" cy="369570"/>
              <wp:effectExtent l="0" t="0" r="10160" b="0"/>
              <wp:wrapNone/>
              <wp:docPr id="121391050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735261D" w14:textId="1D03DB96"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74FEA5"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0735261D" w14:textId="1D03DB96"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EEFA" w14:textId="53871E5E" w:rsidR="00431A70" w:rsidRDefault="00063E41">
    <w:pPr>
      <w:pStyle w:val="Footer"/>
    </w:pPr>
    <w:r>
      <w:rPr>
        <w:noProof/>
      </w:rPr>
      <mc:AlternateContent>
        <mc:Choice Requires="wps">
          <w:drawing>
            <wp:anchor distT="0" distB="0" distL="0" distR="0" simplePos="0" relativeHeight="251660288" behindDoc="0" locked="0" layoutInCell="1" allowOverlap="1" wp14:anchorId="01A4EE45" wp14:editId="329B2C68">
              <wp:simplePos x="828675" y="9820275"/>
              <wp:positionH relativeFrom="page">
                <wp:align>center</wp:align>
              </wp:positionH>
              <wp:positionV relativeFrom="page">
                <wp:align>bottom</wp:align>
              </wp:positionV>
              <wp:extent cx="656590" cy="369570"/>
              <wp:effectExtent l="0" t="0" r="10160" b="0"/>
              <wp:wrapNone/>
              <wp:docPr id="16476790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C1D5E17" w14:textId="0DAF9EBE"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A4EE45"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7C1D5E17" w14:textId="0DAF9EBE"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7A3F" w14:textId="427A8A19" w:rsidR="00EB4BC7" w:rsidRDefault="00063E41">
    <w:pPr>
      <w:pStyle w:val="Footer"/>
    </w:pPr>
    <w:r>
      <w:rPr>
        <w:noProof/>
      </w:rPr>
      <mc:AlternateContent>
        <mc:Choice Requires="wps">
          <w:drawing>
            <wp:anchor distT="0" distB="0" distL="0" distR="0" simplePos="0" relativeHeight="251658240" behindDoc="0" locked="0" layoutInCell="1" allowOverlap="1" wp14:anchorId="7210BB5E" wp14:editId="59D9CE86">
              <wp:simplePos x="635" y="635"/>
              <wp:positionH relativeFrom="page">
                <wp:align>center</wp:align>
              </wp:positionH>
              <wp:positionV relativeFrom="page">
                <wp:align>bottom</wp:align>
              </wp:positionV>
              <wp:extent cx="656590" cy="369570"/>
              <wp:effectExtent l="0" t="0" r="10160" b="0"/>
              <wp:wrapNone/>
              <wp:docPr id="16545251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6B20783" w14:textId="56D7236D"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10BB5E"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66B20783" w14:textId="56D7236D"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EAF5" w14:textId="5F58D7EF" w:rsidR="00D63636" w:rsidRDefault="00063E41">
    <w:pPr>
      <w:pStyle w:val="Footer"/>
    </w:pPr>
    <w:r>
      <w:rPr>
        <w:noProof/>
      </w:rPr>
      <mc:AlternateContent>
        <mc:Choice Requires="wps">
          <w:drawing>
            <wp:anchor distT="0" distB="0" distL="0" distR="0" simplePos="0" relativeHeight="251662336" behindDoc="0" locked="0" layoutInCell="1" allowOverlap="1" wp14:anchorId="6E60CC8E" wp14:editId="19A69E45">
              <wp:simplePos x="635" y="635"/>
              <wp:positionH relativeFrom="page">
                <wp:align>center</wp:align>
              </wp:positionH>
              <wp:positionV relativeFrom="page">
                <wp:align>bottom</wp:align>
              </wp:positionV>
              <wp:extent cx="656590" cy="369570"/>
              <wp:effectExtent l="0" t="0" r="10160" b="0"/>
              <wp:wrapNone/>
              <wp:docPr id="12528771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EE24F71" w14:textId="2B0E7A51"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60CC8E"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5EE24F71" w14:textId="2B0E7A51"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A4D2" w14:textId="6954350F" w:rsidR="00431A70" w:rsidRDefault="00063E41">
    <w:pPr>
      <w:pStyle w:val="Footer"/>
    </w:pPr>
    <w:r>
      <w:rPr>
        <w:noProof/>
      </w:rPr>
      <mc:AlternateContent>
        <mc:Choice Requires="wps">
          <w:drawing>
            <wp:anchor distT="0" distB="0" distL="0" distR="0" simplePos="0" relativeHeight="251663360" behindDoc="0" locked="0" layoutInCell="1" allowOverlap="1" wp14:anchorId="5E846D05" wp14:editId="6FF48A8D">
              <wp:simplePos x="635" y="635"/>
              <wp:positionH relativeFrom="page">
                <wp:align>center</wp:align>
              </wp:positionH>
              <wp:positionV relativeFrom="page">
                <wp:align>bottom</wp:align>
              </wp:positionV>
              <wp:extent cx="656590" cy="369570"/>
              <wp:effectExtent l="0" t="0" r="10160" b="0"/>
              <wp:wrapNone/>
              <wp:docPr id="10141371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2617BA4" w14:textId="30D121BD"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846D05"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42617BA4" w14:textId="30D121BD"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4324" w14:textId="695AAFBB" w:rsidR="00063E41" w:rsidRDefault="00063E41">
    <w:pPr>
      <w:pStyle w:val="Footer"/>
    </w:pPr>
    <w:r>
      <w:rPr>
        <w:noProof/>
      </w:rPr>
      <mc:AlternateContent>
        <mc:Choice Requires="wps">
          <w:drawing>
            <wp:anchor distT="0" distB="0" distL="0" distR="0" simplePos="0" relativeHeight="251661312" behindDoc="0" locked="0" layoutInCell="1" allowOverlap="1" wp14:anchorId="57148E32" wp14:editId="454CCB2B">
              <wp:simplePos x="635" y="635"/>
              <wp:positionH relativeFrom="page">
                <wp:align>center</wp:align>
              </wp:positionH>
              <wp:positionV relativeFrom="page">
                <wp:align>bottom</wp:align>
              </wp:positionV>
              <wp:extent cx="656590" cy="369570"/>
              <wp:effectExtent l="0" t="0" r="10160" b="0"/>
              <wp:wrapNone/>
              <wp:docPr id="7275366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6043C51" w14:textId="1B8AD3AF"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148E32"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76043C51" w14:textId="1B8AD3AF"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2C77" w14:textId="77777777" w:rsidR="00D95CF5" w:rsidRDefault="00D95CF5" w:rsidP="00207717">
      <w:pPr>
        <w:spacing w:before="120"/>
      </w:pPr>
      <w:r>
        <w:separator/>
      </w:r>
    </w:p>
  </w:footnote>
  <w:footnote w:type="continuationSeparator" w:id="0">
    <w:p w14:paraId="6E7655B0" w14:textId="77777777" w:rsidR="00D95CF5" w:rsidRDefault="00D95CF5">
      <w:r>
        <w:continuationSeparator/>
      </w:r>
    </w:p>
    <w:p w14:paraId="4CC2365A" w14:textId="77777777" w:rsidR="00D95CF5" w:rsidRDefault="00D95CF5"/>
  </w:footnote>
  <w:footnote w:type="continuationNotice" w:id="1">
    <w:p w14:paraId="4AB495C1" w14:textId="77777777" w:rsidR="00D95CF5" w:rsidRDefault="00D95CF5">
      <w:pPr>
        <w:spacing w:after="0" w:line="240" w:lineRule="auto"/>
      </w:pPr>
    </w:p>
  </w:footnote>
  <w:footnote w:id="2">
    <w:p w14:paraId="2A564830" w14:textId="73010ADB" w:rsidR="001549A3" w:rsidRPr="00CC318E" w:rsidRDefault="001549A3">
      <w:pPr>
        <w:pStyle w:val="FootnoteText"/>
        <w:rPr>
          <w:sz w:val="16"/>
        </w:rPr>
      </w:pPr>
      <w:r w:rsidRPr="00CC318E">
        <w:rPr>
          <w:rStyle w:val="FootnoteReference"/>
          <w:sz w:val="16"/>
        </w:rPr>
        <w:footnoteRef/>
      </w:r>
      <w:r w:rsidRPr="00CC318E">
        <w:rPr>
          <w:sz w:val="16"/>
        </w:rPr>
        <w:t xml:space="preserve"> Royal Australian and New Zealand College of Obstetricians and Gynaecologists (RANZCOG) 2024. </w:t>
      </w:r>
      <w:hyperlink r:id="rId1" w:history="1">
        <w:r w:rsidRPr="00E923D7">
          <w:rPr>
            <w:rStyle w:val="Hyperlink"/>
            <w:sz w:val="16"/>
          </w:rPr>
          <w:t>Pre-pregnancy and pregnancy-related vaccinations (C-Obs 44)</w:t>
        </w:r>
      </w:hyperlink>
      <w:r w:rsidRPr="00CC318E">
        <w:rPr>
          <w:sz w:val="16"/>
        </w:rPr>
        <w:t xml:space="preserve"> </w:t>
      </w:r>
      <w:r w:rsidR="0058134C" w:rsidRPr="00CC318E">
        <w:rPr>
          <w:sz w:val="16"/>
        </w:rPr>
        <w:t>&lt;</w:t>
      </w:r>
      <w:r w:rsidR="00E923D7" w:rsidRPr="006872A6">
        <w:rPr>
          <w:sz w:val="16"/>
        </w:rPr>
        <w:t>https://ranzcog.edu.au/wp-content/uploads/Pre-Pregnancy-and-Pregnancy-Related-Vaccinations.pdf</w:t>
      </w:r>
      <w:r w:rsidR="0058134C" w:rsidRPr="00CC318E">
        <w:rPr>
          <w:sz w:val="16"/>
        </w:rPr>
        <w:t>&gt;</w:t>
      </w:r>
    </w:p>
  </w:footnote>
  <w:footnote w:id="3">
    <w:p w14:paraId="74C4F191" w14:textId="3078F21A" w:rsidR="001549A3" w:rsidRPr="008847DC" w:rsidRDefault="001549A3">
      <w:pPr>
        <w:pStyle w:val="FootnoteText"/>
        <w:rPr>
          <w:sz w:val="16"/>
        </w:rPr>
      </w:pPr>
      <w:r w:rsidRPr="008847DC">
        <w:rPr>
          <w:rStyle w:val="FootnoteReference"/>
          <w:sz w:val="16"/>
        </w:rPr>
        <w:footnoteRef/>
      </w:r>
      <w:r w:rsidRPr="008847DC">
        <w:rPr>
          <w:sz w:val="16"/>
        </w:rPr>
        <w:t xml:space="preserve"> Australian Technical Advisory Group on Immunisation (ATAGI). </w:t>
      </w:r>
      <w:hyperlink r:id="rId2" w:history="1">
        <w:r w:rsidRPr="008847DC">
          <w:rPr>
            <w:rStyle w:val="Hyperlink"/>
            <w:sz w:val="16"/>
          </w:rPr>
          <w:t>Australian Immunisation Handbook | RSV Australian Government Department of Health and Aged Care, Canberra, 202</w:t>
        </w:r>
        <w:r w:rsidR="00BA3BC7">
          <w:rPr>
            <w:rStyle w:val="Hyperlink"/>
            <w:sz w:val="16"/>
          </w:rPr>
          <w:t>6</w:t>
        </w:r>
      </w:hyperlink>
      <w:r w:rsidRPr="008847DC">
        <w:rPr>
          <w:sz w:val="16"/>
        </w:rPr>
        <w:t xml:space="preserve"> </w:t>
      </w:r>
      <w:r w:rsidR="0058134C" w:rsidRPr="008847DC">
        <w:rPr>
          <w:sz w:val="16"/>
        </w:rPr>
        <w:t>&lt;</w:t>
      </w:r>
      <w:r w:rsidR="001603AE" w:rsidRPr="008847DC">
        <w:rPr>
          <w:sz w:val="16"/>
        </w:rPr>
        <w:t>https://immunisationhandbook.health.gov.au/contents/vaccine-preventable-diseases/respiratory-syncytial-virus-rsv</w:t>
      </w:r>
      <w:r w:rsidR="0058134C" w:rsidRPr="008847DC">
        <w:rPr>
          <w:sz w:val="16"/>
        </w:rPr>
        <w:t>&gt;</w:t>
      </w:r>
    </w:p>
  </w:footnote>
  <w:footnote w:id="4">
    <w:p w14:paraId="62A7D101" w14:textId="5FBE4CAC" w:rsidR="00542152" w:rsidRDefault="00542152">
      <w:pPr>
        <w:pStyle w:val="FootnoteText"/>
      </w:pPr>
      <w:r>
        <w:rPr>
          <w:rStyle w:val="FootnoteReference"/>
        </w:rPr>
        <w:footnoteRef/>
      </w:r>
      <w:r>
        <w:t xml:space="preserve"> </w:t>
      </w:r>
      <w:r w:rsidR="001603AE" w:rsidRPr="00CC318E">
        <w:rPr>
          <w:sz w:val="16"/>
        </w:rPr>
        <w:t xml:space="preserve">ATAGI. </w:t>
      </w:r>
      <w:hyperlink r:id="rId3" w:history="1">
        <w:r w:rsidR="001603AE" w:rsidRPr="001603AE">
          <w:rPr>
            <w:rStyle w:val="Hyperlink"/>
            <w:sz w:val="16"/>
          </w:rPr>
          <w:t>Australian Immunisation Handbook | RSV Australian Government Department of Health and Aged Care, Canberra, 2024</w:t>
        </w:r>
      </w:hyperlink>
      <w:r w:rsidR="001603AE" w:rsidRPr="00CC318E">
        <w:rPr>
          <w:sz w:val="16"/>
        </w:rPr>
        <w:t xml:space="preserve"> &lt;</w:t>
      </w:r>
      <w:r w:rsidR="001603AE" w:rsidRPr="00F15FD4">
        <w:rPr>
          <w:sz w:val="16"/>
        </w:rPr>
        <w:t>https://immunisationhandbook.health.gov.au/contents/vaccine-preventable-diseases/respiratory-syncytial-virus-rsv</w:t>
      </w:r>
      <w:r w:rsidR="001603AE" w:rsidRPr="00CC318E">
        <w:rPr>
          <w:sz w:val="16"/>
        </w:rPr>
        <w:t>&gt;</w:t>
      </w:r>
    </w:p>
  </w:footnote>
  <w:footnote w:id="5">
    <w:p w14:paraId="27255CCE" w14:textId="22905175" w:rsidR="00EA779C" w:rsidRPr="00956564" w:rsidRDefault="00EA779C" w:rsidP="00EA779C">
      <w:pPr>
        <w:pStyle w:val="FootnoteText"/>
        <w:rPr>
          <w:sz w:val="16"/>
        </w:rPr>
      </w:pPr>
      <w:r w:rsidRPr="00956564">
        <w:rPr>
          <w:rStyle w:val="FootnoteReference"/>
          <w:sz w:val="16"/>
        </w:rPr>
        <w:footnoteRef/>
      </w:r>
      <w:r w:rsidRPr="00956564">
        <w:rPr>
          <w:sz w:val="16"/>
        </w:rPr>
        <w:t xml:space="preserve"> Australian Government Department of Health 2019 </w:t>
      </w:r>
      <w:hyperlink r:id="rId4" w:history="1">
        <w:r w:rsidRPr="001603AE">
          <w:rPr>
            <w:rStyle w:val="Hyperlink"/>
            <w:sz w:val="16"/>
          </w:rPr>
          <w:t>The National Vaccine Storage Guidelines: Strive for 5</w:t>
        </w:r>
      </w:hyperlink>
      <w:r w:rsidRPr="00956564">
        <w:rPr>
          <w:sz w:val="16"/>
        </w:rPr>
        <w:t xml:space="preserve"> &lt;</w:t>
      </w:r>
      <w:r w:rsidR="001603AE" w:rsidRPr="006872A6">
        <w:rPr>
          <w:sz w:val="16"/>
        </w:rPr>
        <w:t>https://www.health.gov.au/resources/publications/national-vaccine-storage-guidelines-strive-for-5?language=en</w:t>
      </w:r>
      <w:r w:rsidRPr="00956564">
        <w:rPr>
          <w:sz w:val="16"/>
        </w:rPr>
        <w:t>&gt;</w:t>
      </w:r>
    </w:p>
  </w:footnote>
  <w:footnote w:id="6">
    <w:p w14:paraId="2D4B65F4" w14:textId="1591A95B" w:rsidR="00327FFE" w:rsidRDefault="00327FFE">
      <w:pPr>
        <w:pStyle w:val="FootnoteText"/>
      </w:pPr>
      <w:r>
        <w:rPr>
          <w:rStyle w:val="FootnoteReference"/>
        </w:rPr>
        <w:footnoteRef/>
      </w:r>
      <w:r>
        <w:t xml:space="preserve"> </w:t>
      </w:r>
      <w:r w:rsidRPr="00327FFE">
        <w:rPr>
          <w:sz w:val="16"/>
        </w:rPr>
        <w:t>ATAGI</w:t>
      </w:r>
      <w:r w:rsidRPr="00327FFE">
        <w:rPr>
          <w:sz w:val="16"/>
          <w:shd w:val="clear" w:color="auto" w:fill="FFFFFF"/>
        </w:rPr>
        <w:t xml:space="preserve">. </w:t>
      </w:r>
      <w:hyperlink r:id="rId5" w:history="1">
        <w:r w:rsidRPr="001603AE">
          <w:rPr>
            <w:rStyle w:val="Hyperlink"/>
            <w:sz w:val="16"/>
            <w:shd w:val="clear" w:color="auto" w:fill="FFFFFF"/>
          </w:rPr>
          <w:t xml:space="preserve">Australian Immunisation Handbook | </w:t>
        </w:r>
        <w:r w:rsidR="00234797" w:rsidRPr="001603AE">
          <w:rPr>
            <w:rStyle w:val="Hyperlink"/>
            <w:sz w:val="16"/>
            <w:shd w:val="clear" w:color="auto" w:fill="FFFFFF"/>
          </w:rPr>
          <w:t>Preparing for vaccination</w:t>
        </w:r>
        <w:r w:rsidRPr="001603AE">
          <w:rPr>
            <w:rStyle w:val="Hyperlink"/>
            <w:sz w:val="16"/>
            <w:shd w:val="clear" w:color="auto" w:fill="FFFFFF"/>
          </w:rPr>
          <w:t>, Australian Government Department of Health and Aged Care, Canberra, 2024</w:t>
        </w:r>
      </w:hyperlink>
      <w:r w:rsidR="00234797">
        <w:rPr>
          <w:sz w:val="16"/>
          <w:shd w:val="clear" w:color="auto" w:fill="FFFFFF"/>
        </w:rPr>
        <w:t xml:space="preserve"> &lt;</w:t>
      </w:r>
      <w:r w:rsidR="001603AE" w:rsidRPr="006872A6">
        <w:rPr>
          <w:sz w:val="16"/>
          <w:shd w:val="clear" w:color="auto" w:fill="FFFFFF"/>
        </w:rPr>
        <w:t>https://immunisationhandbook.health.gov.au/contents/vaccination-procedures/preparing-for-vaccination</w:t>
      </w:r>
      <w:r w:rsidR="00234797">
        <w:rPr>
          <w:sz w:val="16"/>
          <w:shd w:val="clear" w:color="auto" w:fill="FFFFFF"/>
        </w:rPr>
        <w:t>&gt;.</w:t>
      </w:r>
    </w:p>
  </w:footnote>
  <w:footnote w:id="7">
    <w:p w14:paraId="7E83E867" w14:textId="70989A66" w:rsidR="0023125B" w:rsidRPr="00D4032B" w:rsidRDefault="0023125B">
      <w:pPr>
        <w:pStyle w:val="FootnoteText"/>
        <w:rPr>
          <w:sz w:val="16"/>
        </w:rPr>
      </w:pPr>
      <w:r w:rsidRPr="00D4032B">
        <w:rPr>
          <w:rStyle w:val="FootnoteReference"/>
          <w:sz w:val="16"/>
        </w:rPr>
        <w:footnoteRef/>
      </w:r>
      <w:r w:rsidRPr="00D4032B">
        <w:rPr>
          <w:sz w:val="16"/>
        </w:rPr>
        <w:t xml:space="preserve"> ATAGI</w:t>
      </w:r>
      <w:r w:rsidRPr="00327FFE">
        <w:rPr>
          <w:sz w:val="16"/>
          <w:shd w:val="clear" w:color="auto" w:fill="FFFFFF"/>
        </w:rPr>
        <w:t xml:space="preserve">. </w:t>
      </w:r>
      <w:hyperlink r:id="rId6" w:history="1">
        <w:r w:rsidRPr="00C401EC">
          <w:rPr>
            <w:rStyle w:val="Hyperlink"/>
            <w:sz w:val="16"/>
            <w:shd w:val="clear" w:color="auto" w:fill="FFFFFF"/>
          </w:rPr>
          <w:t>Australian Immunisation Handbook | Vaccination procedures, Australian Government Department of Health and Aged Care, Canberra, 2024</w:t>
        </w:r>
      </w:hyperlink>
      <w:r w:rsidR="00D1664C" w:rsidRPr="00327FFE">
        <w:rPr>
          <w:sz w:val="16"/>
          <w:shd w:val="clear" w:color="auto" w:fill="FFFFFF"/>
        </w:rPr>
        <w:t xml:space="preserve"> </w:t>
      </w:r>
      <w:r w:rsidRPr="00D4032B">
        <w:rPr>
          <w:color w:val="313131"/>
          <w:sz w:val="16"/>
          <w:shd w:val="clear" w:color="auto" w:fill="FFFFFF"/>
        </w:rPr>
        <w:t>&lt;</w:t>
      </w:r>
      <w:r w:rsidR="00C401EC" w:rsidRPr="006872A6">
        <w:rPr>
          <w:sz w:val="16"/>
          <w:shd w:val="clear" w:color="auto" w:fill="FFFFFF"/>
        </w:rPr>
        <w:t>https://immunisationhandbook.health.gov.au/contents/vaccination-procedures/administration-of-vaccines</w:t>
      </w:r>
      <w:r w:rsidRPr="00D4032B">
        <w:rPr>
          <w:color w:val="313131"/>
          <w:sz w:val="16"/>
          <w:shd w:val="clear" w:color="auto" w:fill="FFFFFF"/>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72071"/>
      <w:docPartObj>
        <w:docPartGallery w:val="Page Numbers (Top of Page)"/>
        <w:docPartUnique/>
      </w:docPartObj>
    </w:sdtPr>
    <w:sdtEndPr>
      <w:rPr>
        <w:noProof/>
      </w:rPr>
    </w:sdtEndPr>
    <w:sdtContent>
      <w:p w14:paraId="0EBA0EF8" w14:textId="19A24D9F" w:rsidR="000C181E" w:rsidRDefault="000C181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AAB3A1" w14:textId="77777777" w:rsidR="000C181E" w:rsidRDefault="000C1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5A24" w14:textId="77777777" w:rsidR="00431A70" w:rsidRPr="00454A7D" w:rsidRDefault="00431A70" w:rsidP="00454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201A" w14:textId="603F29DF" w:rsidR="00562811" w:rsidRPr="0051568D" w:rsidRDefault="00F66B4B" w:rsidP="0017674D">
    <w:pPr>
      <w:pStyle w:val="Header"/>
    </w:pPr>
    <w:r>
      <w:t>R</w:t>
    </w:r>
    <w:r w:rsidR="00885EBE">
      <w:t>espiratory</w:t>
    </w:r>
    <w:r w:rsidR="00085861">
      <w:t xml:space="preserve"> </w:t>
    </w:r>
    <w:r w:rsidR="00885EBE">
      <w:t>Syncytial Virus</w:t>
    </w:r>
    <w:r>
      <w:t xml:space="preserve"> </w:t>
    </w:r>
    <w:r w:rsidR="00862307">
      <w:t>M</w:t>
    </w:r>
    <w:r w:rsidR="00EC1705">
      <w:t>other</w:t>
    </w:r>
    <w:r w:rsidR="00862307">
      <w:t xml:space="preserve"> </w:t>
    </w:r>
    <w:r w:rsidR="00DE6432">
      <w:t xml:space="preserve">and </w:t>
    </w:r>
    <w:r w:rsidR="006612DE">
      <w:t xml:space="preserve">Infant </w:t>
    </w:r>
    <w:r w:rsidR="003266B8">
      <w:t xml:space="preserve">Protection </w:t>
    </w:r>
    <w:r w:rsidR="006612DE">
      <w:t xml:space="preserve">Program </w:t>
    </w:r>
    <w:r w:rsidR="003313E9">
      <w:t>(</w:t>
    </w:r>
    <w:r w:rsidR="00955978">
      <w:t>RSV-MIPP</w:t>
    </w:r>
    <w:r w:rsidR="003313E9">
      <w:t>)</w:t>
    </w:r>
    <w:r w:rsidR="00085861">
      <w:t xml:space="preserve"> Toolkit</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FE0"/>
    <w:multiLevelType w:val="multilevel"/>
    <w:tmpl w:val="1AD6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57429"/>
    <w:multiLevelType w:val="hybridMultilevel"/>
    <w:tmpl w:val="235E1C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3A50056"/>
    <w:multiLevelType w:val="multilevel"/>
    <w:tmpl w:val="0AAE1EBA"/>
    <w:numStyleLink w:val="ZZNumbersloweralpha"/>
  </w:abstractNum>
  <w:abstractNum w:abstractNumId="3" w15:restartNumberingAfterBreak="0">
    <w:nsid w:val="0B1C5C22"/>
    <w:multiLevelType w:val="hybridMultilevel"/>
    <w:tmpl w:val="7D20B60E"/>
    <w:lvl w:ilvl="0" w:tplc="B6788A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D43DB"/>
    <w:multiLevelType w:val="multilevel"/>
    <w:tmpl w:val="B33A2DBC"/>
    <w:numStyleLink w:val="ZZNumbersdigit"/>
  </w:abstractNum>
  <w:abstractNum w:abstractNumId="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DE82C31"/>
    <w:multiLevelType w:val="hybridMultilevel"/>
    <w:tmpl w:val="3A262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707303"/>
    <w:multiLevelType w:val="hybridMultilevel"/>
    <w:tmpl w:val="FF6A172E"/>
    <w:lvl w:ilvl="0" w:tplc="B6788A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A556C2"/>
    <w:multiLevelType w:val="hybridMultilevel"/>
    <w:tmpl w:val="2966B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7E608B"/>
    <w:multiLevelType w:val="hybridMultilevel"/>
    <w:tmpl w:val="C31697FC"/>
    <w:lvl w:ilvl="0" w:tplc="B6788A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9A1FCB"/>
    <w:multiLevelType w:val="hybridMultilevel"/>
    <w:tmpl w:val="562E96CC"/>
    <w:lvl w:ilvl="0" w:tplc="B6788A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98223F"/>
    <w:multiLevelType w:val="hybridMultilevel"/>
    <w:tmpl w:val="0BBC7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F44C9B"/>
    <w:multiLevelType w:val="multilevel"/>
    <w:tmpl w:val="3CE2003A"/>
    <w:lvl w:ilvl="0">
      <w:start w:val="1"/>
      <w:numFmt w:val="bullet"/>
      <w:lvlText w:val=""/>
      <w:lvlJc w:val="left"/>
      <w:pPr>
        <w:tabs>
          <w:tab w:val="num" w:pos="397"/>
        </w:tabs>
        <w:ind w:left="397" w:hanging="397"/>
      </w:pPr>
      <w:rPr>
        <w:rFonts w:ascii="Symbol" w:hAnsi="Symbol"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FC37964"/>
    <w:multiLevelType w:val="hybridMultilevel"/>
    <w:tmpl w:val="B15A6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2E24A6"/>
    <w:multiLevelType w:val="hybridMultilevel"/>
    <w:tmpl w:val="65861CBE"/>
    <w:lvl w:ilvl="0" w:tplc="B6788A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8E0BCB"/>
    <w:multiLevelType w:val="hybridMultilevel"/>
    <w:tmpl w:val="2520B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A50C2F"/>
    <w:multiLevelType w:val="hybridMultilevel"/>
    <w:tmpl w:val="7F42A5EE"/>
    <w:lvl w:ilvl="0" w:tplc="B6788A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3ECA135E"/>
    <w:multiLevelType w:val="hybridMultilevel"/>
    <w:tmpl w:val="438CB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8E34E5"/>
    <w:multiLevelType w:val="multilevel"/>
    <w:tmpl w:val="FB80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828B5"/>
    <w:multiLevelType w:val="hybridMultilevel"/>
    <w:tmpl w:val="BA224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4739F1"/>
    <w:multiLevelType w:val="hybridMultilevel"/>
    <w:tmpl w:val="8B3E5138"/>
    <w:lvl w:ilvl="0" w:tplc="B6788A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6A779F"/>
    <w:multiLevelType w:val="multilevel"/>
    <w:tmpl w:val="D7DA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0B19F2"/>
    <w:multiLevelType w:val="hybridMultilevel"/>
    <w:tmpl w:val="86864286"/>
    <w:lvl w:ilvl="0" w:tplc="B6788A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5B67872"/>
    <w:multiLevelType w:val="hybridMultilevel"/>
    <w:tmpl w:val="DAF47E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99024A"/>
    <w:multiLevelType w:val="multilevel"/>
    <w:tmpl w:val="374A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BD57E0"/>
    <w:multiLevelType w:val="hybridMultilevel"/>
    <w:tmpl w:val="0702314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B8F5334"/>
    <w:multiLevelType w:val="hybridMultilevel"/>
    <w:tmpl w:val="5300B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D91A06"/>
    <w:multiLevelType w:val="hybridMultilevel"/>
    <w:tmpl w:val="FE7C8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982A42"/>
    <w:multiLevelType w:val="hybridMultilevel"/>
    <w:tmpl w:val="C0E21C42"/>
    <w:lvl w:ilvl="0" w:tplc="B6788A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B4721E"/>
    <w:multiLevelType w:val="hybridMultilevel"/>
    <w:tmpl w:val="52949340"/>
    <w:lvl w:ilvl="0" w:tplc="B6788A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64C52534"/>
    <w:multiLevelType w:val="hybridMultilevel"/>
    <w:tmpl w:val="C58E70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8444C1F"/>
    <w:multiLevelType w:val="hybridMultilevel"/>
    <w:tmpl w:val="03646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20182"/>
    <w:multiLevelType w:val="hybridMultilevel"/>
    <w:tmpl w:val="FC109580"/>
    <w:lvl w:ilvl="0" w:tplc="B6788A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0D3F70"/>
    <w:multiLevelType w:val="hybridMultilevel"/>
    <w:tmpl w:val="0B68FC4C"/>
    <w:lvl w:ilvl="0" w:tplc="B6788A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6894821"/>
    <w:multiLevelType w:val="hybridMultilevel"/>
    <w:tmpl w:val="CEFAD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A47D16"/>
    <w:multiLevelType w:val="hybridMultilevel"/>
    <w:tmpl w:val="72CC65C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BDD145E"/>
    <w:multiLevelType w:val="hybridMultilevel"/>
    <w:tmpl w:val="F8020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CA186D"/>
    <w:multiLevelType w:val="multilevel"/>
    <w:tmpl w:val="115EB97C"/>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750856377">
    <w:abstractNumId w:val="17"/>
  </w:num>
  <w:num w:numId="2" w16cid:durableId="21395199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7477696">
    <w:abstractNumId w:val="26"/>
  </w:num>
  <w:num w:numId="4" w16cid:durableId="490948053">
    <w:abstractNumId w:val="25"/>
  </w:num>
  <w:num w:numId="5" w16cid:durableId="1619876797">
    <w:abstractNumId w:val="34"/>
  </w:num>
  <w:num w:numId="6" w16cid:durableId="1470244268">
    <w:abstractNumId w:val="18"/>
  </w:num>
  <w:num w:numId="7" w16cid:durableId="852917462">
    <w:abstractNumId w:val="5"/>
  </w:num>
  <w:num w:numId="8" w16cid:durableId="761799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0994068">
    <w:abstractNumId w:val="27"/>
  </w:num>
  <w:num w:numId="10" w16cid:durableId="1708482135">
    <w:abstractNumId w:val="38"/>
  </w:num>
  <w:num w:numId="11" w16cid:durableId="415906467">
    <w:abstractNumId w:val="16"/>
  </w:num>
  <w:num w:numId="12" w16cid:durableId="154610713">
    <w:abstractNumId w:val="37"/>
  </w:num>
  <w:num w:numId="13" w16cid:durableId="2110731989">
    <w:abstractNumId w:val="24"/>
  </w:num>
  <w:num w:numId="14" w16cid:durableId="2121023949">
    <w:abstractNumId w:val="28"/>
  </w:num>
  <w:num w:numId="15" w16cid:durableId="1375959410">
    <w:abstractNumId w:val="33"/>
  </w:num>
  <w:num w:numId="16" w16cid:durableId="1589071601">
    <w:abstractNumId w:val="14"/>
  </w:num>
  <w:num w:numId="17" w16cid:durableId="1727490272">
    <w:abstractNumId w:val="10"/>
  </w:num>
  <w:num w:numId="18" w16cid:durableId="363792705">
    <w:abstractNumId w:val="22"/>
  </w:num>
  <w:num w:numId="19" w16cid:durableId="871966107">
    <w:abstractNumId w:val="20"/>
  </w:num>
  <w:num w:numId="20" w16cid:durableId="1473209913">
    <w:abstractNumId w:val="32"/>
  </w:num>
  <w:num w:numId="21" w16cid:durableId="576937383">
    <w:abstractNumId w:val="7"/>
  </w:num>
  <w:num w:numId="22" w16cid:durableId="253394235">
    <w:abstractNumId w:val="3"/>
  </w:num>
  <w:num w:numId="23" w16cid:durableId="1504592893">
    <w:abstractNumId w:val="9"/>
  </w:num>
  <w:num w:numId="24" w16cid:durableId="1366564599">
    <w:abstractNumId w:val="13"/>
  </w:num>
  <w:num w:numId="25" w16cid:durableId="797837422">
    <w:abstractNumId w:val="0"/>
  </w:num>
  <w:num w:numId="26" w16cid:durableId="1682390076">
    <w:abstractNumId w:val="29"/>
  </w:num>
  <w:num w:numId="27" w16cid:durableId="1848861141">
    <w:abstractNumId w:val="41"/>
  </w:num>
  <w:num w:numId="28" w16cid:durableId="1769035088">
    <w:abstractNumId w:val="8"/>
  </w:num>
  <w:num w:numId="29" w16cid:durableId="1920359982">
    <w:abstractNumId w:val="21"/>
  </w:num>
  <w:num w:numId="30" w16cid:durableId="1705859028">
    <w:abstractNumId w:val="15"/>
  </w:num>
  <w:num w:numId="31" w16cid:durableId="1505516705">
    <w:abstractNumId w:val="30"/>
  </w:num>
  <w:num w:numId="32" w16cid:durableId="106051351">
    <w:abstractNumId w:val="40"/>
  </w:num>
  <w:num w:numId="33" w16cid:durableId="978074209">
    <w:abstractNumId w:val="35"/>
  </w:num>
  <w:num w:numId="34" w16cid:durableId="528418869">
    <w:abstractNumId w:val="6"/>
  </w:num>
  <w:num w:numId="35" w16cid:durableId="105003505">
    <w:abstractNumId w:val="11"/>
  </w:num>
  <w:num w:numId="36" w16cid:durableId="384836242">
    <w:abstractNumId w:val="1"/>
  </w:num>
  <w:num w:numId="37" w16cid:durableId="1159690627">
    <w:abstractNumId w:val="31"/>
  </w:num>
  <w:num w:numId="38" w16cid:durableId="1107888174">
    <w:abstractNumId w:val="39"/>
  </w:num>
  <w:num w:numId="39" w16cid:durableId="1191188834">
    <w:abstractNumId w:val="42"/>
  </w:num>
  <w:num w:numId="40" w16cid:durableId="556279737">
    <w:abstractNumId w:val="12"/>
  </w:num>
  <w:num w:numId="41" w16cid:durableId="252739126">
    <w:abstractNumId w:val="19"/>
  </w:num>
  <w:num w:numId="42" w16cid:durableId="2043625279">
    <w:abstractNumId w:val="23"/>
  </w:num>
  <w:num w:numId="43" w16cid:durableId="2017614139">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15"/>
    <w:rsid w:val="00000694"/>
    <w:rsid w:val="00000719"/>
    <w:rsid w:val="00002D68"/>
    <w:rsid w:val="000033F7"/>
    <w:rsid w:val="00003403"/>
    <w:rsid w:val="00005347"/>
    <w:rsid w:val="00005618"/>
    <w:rsid w:val="000061BD"/>
    <w:rsid w:val="00006378"/>
    <w:rsid w:val="00006ABA"/>
    <w:rsid w:val="000072B6"/>
    <w:rsid w:val="0001021B"/>
    <w:rsid w:val="000104CC"/>
    <w:rsid w:val="000107BD"/>
    <w:rsid w:val="00011D89"/>
    <w:rsid w:val="0001318A"/>
    <w:rsid w:val="000134DB"/>
    <w:rsid w:val="00014FB9"/>
    <w:rsid w:val="000154FD"/>
    <w:rsid w:val="00020757"/>
    <w:rsid w:val="00020852"/>
    <w:rsid w:val="00022271"/>
    <w:rsid w:val="000235E8"/>
    <w:rsid w:val="00023BA4"/>
    <w:rsid w:val="000241C1"/>
    <w:rsid w:val="00024485"/>
    <w:rsid w:val="00024D89"/>
    <w:rsid w:val="000250B6"/>
    <w:rsid w:val="00026007"/>
    <w:rsid w:val="00026540"/>
    <w:rsid w:val="000265A7"/>
    <w:rsid w:val="00030CDD"/>
    <w:rsid w:val="00032ED0"/>
    <w:rsid w:val="00033D81"/>
    <w:rsid w:val="00033DC9"/>
    <w:rsid w:val="0003400D"/>
    <w:rsid w:val="00037366"/>
    <w:rsid w:val="00041BF0"/>
    <w:rsid w:val="000428EA"/>
    <w:rsid w:val="00042C8A"/>
    <w:rsid w:val="0004385E"/>
    <w:rsid w:val="000439F5"/>
    <w:rsid w:val="00044295"/>
    <w:rsid w:val="00045001"/>
    <w:rsid w:val="0004536B"/>
    <w:rsid w:val="00045569"/>
    <w:rsid w:val="00046483"/>
    <w:rsid w:val="0004673F"/>
    <w:rsid w:val="00046B68"/>
    <w:rsid w:val="000527DD"/>
    <w:rsid w:val="00052C27"/>
    <w:rsid w:val="00056EC4"/>
    <w:rsid w:val="00057161"/>
    <w:rsid w:val="000578B2"/>
    <w:rsid w:val="000579FF"/>
    <w:rsid w:val="00060959"/>
    <w:rsid w:val="00060C8F"/>
    <w:rsid w:val="0006298A"/>
    <w:rsid w:val="00063E41"/>
    <w:rsid w:val="000640B1"/>
    <w:rsid w:val="000663CD"/>
    <w:rsid w:val="0006657E"/>
    <w:rsid w:val="00066B65"/>
    <w:rsid w:val="00070396"/>
    <w:rsid w:val="00071698"/>
    <w:rsid w:val="000733FE"/>
    <w:rsid w:val="00074219"/>
    <w:rsid w:val="00074ED5"/>
    <w:rsid w:val="000768B3"/>
    <w:rsid w:val="00076B5C"/>
    <w:rsid w:val="0008204A"/>
    <w:rsid w:val="00082B42"/>
    <w:rsid w:val="0008437B"/>
    <w:rsid w:val="0008508E"/>
    <w:rsid w:val="00085861"/>
    <w:rsid w:val="00087951"/>
    <w:rsid w:val="000901CB"/>
    <w:rsid w:val="00090E87"/>
    <w:rsid w:val="000910B7"/>
    <w:rsid w:val="0009113B"/>
    <w:rsid w:val="00092644"/>
    <w:rsid w:val="00093402"/>
    <w:rsid w:val="00094DA3"/>
    <w:rsid w:val="0009588A"/>
    <w:rsid w:val="00095ECF"/>
    <w:rsid w:val="00096CD1"/>
    <w:rsid w:val="00096DA6"/>
    <w:rsid w:val="000A012C"/>
    <w:rsid w:val="000A09A4"/>
    <w:rsid w:val="000A0EB9"/>
    <w:rsid w:val="000A130D"/>
    <w:rsid w:val="000A186C"/>
    <w:rsid w:val="000A1EA4"/>
    <w:rsid w:val="000A2476"/>
    <w:rsid w:val="000A24D7"/>
    <w:rsid w:val="000A3E2B"/>
    <w:rsid w:val="000A641A"/>
    <w:rsid w:val="000A7BB8"/>
    <w:rsid w:val="000B04E7"/>
    <w:rsid w:val="000B29B5"/>
    <w:rsid w:val="000B33B5"/>
    <w:rsid w:val="000B3EDB"/>
    <w:rsid w:val="000B543D"/>
    <w:rsid w:val="000B55F9"/>
    <w:rsid w:val="000B5BF7"/>
    <w:rsid w:val="000B6BC8"/>
    <w:rsid w:val="000C0303"/>
    <w:rsid w:val="000C181E"/>
    <w:rsid w:val="000C30ED"/>
    <w:rsid w:val="000C42EA"/>
    <w:rsid w:val="000C4546"/>
    <w:rsid w:val="000C695E"/>
    <w:rsid w:val="000C7770"/>
    <w:rsid w:val="000D0C97"/>
    <w:rsid w:val="000D1242"/>
    <w:rsid w:val="000D18AB"/>
    <w:rsid w:val="000D2ABA"/>
    <w:rsid w:val="000D43D4"/>
    <w:rsid w:val="000D7486"/>
    <w:rsid w:val="000E0970"/>
    <w:rsid w:val="000E2073"/>
    <w:rsid w:val="000E3CC7"/>
    <w:rsid w:val="000E59F9"/>
    <w:rsid w:val="000E655A"/>
    <w:rsid w:val="000E6BD4"/>
    <w:rsid w:val="000E6D6D"/>
    <w:rsid w:val="000E7CC4"/>
    <w:rsid w:val="000E7E7E"/>
    <w:rsid w:val="000F133B"/>
    <w:rsid w:val="000F1F1E"/>
    <w:rsid w:val="000F2259"/>
    <w:rsid w:val="000F2DDA"/>
    <w:rsid w:val="000F2EA0"/>
    <w:rsid w:val="000F5213"/>
    <w:rsid w:val="00101001"/>
    <w:rsid w:val="001027A9"/>
    <w:rsid w:val="00102BAB"/>
    <w:rsid w:val="00103276"/>
    <w:rsid w:val="0010392D"/>
    <w:rsid w:val="0010447F"/>
    <w:rsid w:val="00104B08"/>
    <w:rsid w:val="00104D75"/>
    <w:rsid w:val="00104E5C"/>
    <w:rsid w:val="00104FE3"/>
    <w:rsid w:val="0010529E"/>
    <w:rsid w:val="0010602F"/>
    <w:rsid w:val="001065A8"/>
    <w:rsid w:val="0010714F"/>
    <w:rsid w:val="001072AD"/>
    <w:rsid w:val="001109A4"/>
    <w:rsid w:val="001120C5"/>
    <w:rsid w:val="00114700"/>
    <w:rsid w:val="0011663E"/>
    <w:rsid w:val="00120BD3"/>
    <w:rsid w:val="00122FEA"/>
    <w:rsid w:val="001232BD"/>
    <w:rsid w:val="001236DC"/>
    <w:rsid w:val="00124320"/>
    <w:rsid w:val="00124ED5"/>
    <w:rsid w:val="001276FA"/>
    <w:rsid w:val="00130363"/>
    <w:rsid w:val="00136080"/>
    <w:rsid w:val="0013675F"/>
    <w:rsid w:val="00136D20"/>
    <w:rsid w:val="00136F2B"/>
    <w:rsid w:val="00140C33"/>
    <w:rsid w:val="001428D3"/>
    <w:rsid w:val="001447B3"/>
    <w:rsid w:val="00144E37"/>
    <w:rsid w:val="00145A89"/>
    <w:rsid w:val="00145F07"/>
    <w:rsid w:val="00152073"/>
    <w:rsid w:val="00152329"/>
    <w:rsid w:val="00152612"/>
    <w:rsid w:val="001549A3"/>
    <w:rsid w:val="00156598"/>
    <w:rsid w:val="0015719A"/>
    <w:rsid w:val="001603AE"/>
    <w:rsid w:val="00161939"/>
    <w:rsid w:val="00161AA0"/>
    <w:rsid w:val="00161D2E"/>
    <w:rsid w:val="00161F3E"/>
    <w:rsid w:val="00162093"/>
    <w:rsid w:val="001626B4"/>
    <w:rsid w:val="00162CA9"/>
    <w:rsid w:val="0016323D"/>
    <w:rsid w:val="00165459"/>
    <w:rsid w:val="001658FF"/>
    <w:rsid w:val="00165A57"/>
    <w:rsid w:val="0016727A"/>
    <w:rsid w:val="00167E7D"/>
    <w:rsid w:val="0017055A"/>
    <w:rsid w:val="001712C2"/>
    <w:rsid w:val="00172BAF"/>
    <w:rsid w:val="00172C58"/>
    <w:rsid w:val="001735EF"/>
    <w:rsid w:val="001740BD"/>
    <w:rsid w:val="0017674D"/>
    <w:rsid w:val="001771DD"/>
    <w:rsid w:val="001772FE"/>
    <w:rsid w:val="00177995"/>
    <w:rsid w:val="00177A8C"/>
    <w:rsid w:val="00177F9F"/>
    <w:rsid w:val="00181C72"/>
    <w:rsid w:val="0018244E"/>
    <w:rsid w:val="0018543B"/>
    <w:rsid w:val="00186B33"/>
    <w:rsid w:val="00190D2A"/>
    <w:rsid w:val="00190DC4"/>
    <w:rsid w:val="00192F9D"/>
    <w:rsid w:val="00193600"/>
    <w:rsid w:val="00196EB8"/>
    <w:rsid w:val="00196EFB"/>
    <w:rsid w:val="001974B5"/>
    <w:rsid w:val="001979FF"/>
    <w:rsid w:val="00197B17"/>
    <w:rsid w:val="001A09DA"/>
    <w:rsid w:val="001A1950"/>
    <w:rsid w:val="001A1C54"/>
    <w:rsid w:val="001A3ACE"/>
    <w:rsid w:val="001A6272"/>
    <w:rsid w:val="001A67DB"/>
    <w:rsid w:val="001A73BC"/>
    <w:rsid w:val="001B058F"/>
    <w:rsid w:val="001B1323"/>
    <w:rsid w:val="001B2FE7"/>
    <w:rsid w:val="001B30CB"/>
    <w:rsid w:val="001B392B"/>
    <w:rsid w:val="001B6B96"/>
    <w:rsid w:val="001B738B"/>
    <w:rsid w:val="001C0605"/>
    <w:rsid w:val="001C09DB"/>
    <w:rsid w:val="001C277E"/>
    <w:rsid w:val="001C2A72"/>
    <w:rsid w:val="001C31B7"/>
    <w:rsid w:val="001C31BD"/>
    <w:rsid w:val="001C353E"/>
    <w:rsid w:val="001C373D"/>
    <w:rsid w:val="001D00DB"/>
    <w:rsid w:val="001D0B75"/>
    <w:rsid w:val="001D39A5"/>
    <w:rsid w:val="001D3C09"/>
    <w:rsid w:val="001D401E"/>
    <w:rsid w:val="001D40EB"/>
    <w:rsid w:val="001D44E8"/>
    <w:rsid w:val="001D60EC"/>
    <w:rsid w:val="001D626E"/>
    <w:rsid w:val="001D6F59"/>
    <w:rsid w:val="001E23B3"/>
    <w:rsid w:val="001E3112"/>
    <w:rsid w:val="001E44DF"/>
    <w:rsid w:val="001E68A5"/>
    <w:rsid w:val="001E69BC"/>
    <w:rsid w:val="001E6BB0"/>
    <w:rsid w:val="001E7075"/>
    <w:rsid w:val="001E7282"/>
    <w:rsid w:val="001F074E"/>
    <w:rsid w:val="001F0C24"/>
    <w:rsid w:val="001F377C"/>
    <w:rsid w:val="001F3826"/>
    <w:rsid w:val="001F5754"/>
    <w:rsid w:val="001F58E2"/>
    <w:rsid w:val="001F6E46"/>
    <w:rsid w:val="001F7C91"/>
    <w:rsid w:val="001F7E54"/>
    <w:rsid w:val="002033B7"/>
    <w:rsid w:val="00206463"/>
    <w:rsid w:val="002069BF"/>
    <w:rsid w:val="00206F2F"/>
    <w:rsid w:val="00207717"/>
    <w:rsid w:val="00207BE1"/>
    <w:rsid w:val="0021053D"/>
    <w:rsid w:val="00210A92"/>
    <w:rsid w:val="002127A0"/>
    <w:rsid w:val="00212B95"/>
    <w:rsid w:val="00213219"/>
    <w:rsid w:val="002136B2"/>
    <w:rsid w:val="002147EE"/>
    <w:rsid w:val="00214B00"/>
    <w:rsid w:val="00215CC8"/>
    <w:rsid w:val="0021697A"/>
    <w:rsid w:val="00216C03"/>
    <w:rsid w:val="00217FF8"/>
    <w:rsid w:val="00220A1A"/>
    <w:rsid w:val="00220C04"/>
    <w:rsid w:val="00221D1F"/>
    <w:rsid w:val="0022278D"/>
    <w:rsid w:val="0022701F"/>
    <w:rsid w:val="00227C68"/>
    <w:rsid w:val="0023125B"/>
    <w:rsid w:val="002333F5"/>
    <w:rsid w:val="00233724"/>
    <w:rsid w:val="00234797"/>
    <w:rsid w:val="00235127"/>
    <w:rsid w:val="00235359"/>
    <w:rsid w:val="002365B4"/>
    <w:rsid w:val="00236DB3"/>
    <w:rsid w:val="002432E1"/>
    <w:rsid w:val="0024482B"/>
    <w:rsid w:val="00244BDE"/>
    <w:rsid w:val="00246207"/>
    <w:rsid w:val="00246C5E"/>
    <w:rsid w:val="00250960"/>
    <w:rsid w:val="00251343"/>
    <w:rsid w:val="00252EAB"/>
    <w:rsid w:val="002536A4"/>
    <w:rsid w:val="00254F58"/>
    <w:rsid w:val="00257BD0"/>
    <w:rsid w:val="002620BC"/>
    <w:rsid w:val="00262802"/>
    <w:rsid w:val="00263A90"/>
    <w:rsid w:val="0026408B"/>
    <w:rsid w:val="002671D8"/>
    <w:rsid w:val="00267C3E"/>
    <w:rsid w:val="002709BB"/>
    <w:rsid w:val="0027131C"/>
    <w:rsid w:val="00271D0E"/>
    <w:rsid w:val="00273478"/>
    <w:rsid w:val="00273BAC"/>
    <w:rsid w:val="002763B3"/>
    <w:rsid w:val="002802E3"/>
    <w:rsid w:val="00280801"/>
    <w:rsid w:val="00280B59"/>
    <w:rsid w:val="00280F19"/>
    <w:rsid w:val="0028213D"/>
    <w:rsid w:val="002823A3"/>
    <w:rsid w:val="002836FA"/>
    <w:rsid w:val="00283FC3"/>
    <w:rsid w:val="002847F6"/>
    <w:rsid w:val="00285349"/>
    <w:rsid w:val="002862F1"/>
    <w:rsid w:val="00291373"/>
    <w:rsid w:val="00291672"/>
    <w:rsid w:val="002922C9"/>
    <w:rsid w:val="0029597D"/>
    <w:rsid w:val="002962C3"/>
    <w:rsid w:val="00296511"/>
    <w:rsid w:val="00296F3C"/>
    <w:rsid w:val="0029752B"/>
    <w:rsid w:val="002A0A9C"/>
    <w:rsid w:val="002A4001"/>
    <w:rsid w:val="002A483C"/>
    <w:rsid w:val="002A6DC0"/>
    <w:rsid w:val="002A6DEB"/>
    <w:rsid w:val="002A7549"/>
    <w:rsid w:val="002B0C7C"/>
    <w:rsid w:val="002B1729"/>
    <w:rsid w:val="002B36C7"/>
    <w:rsid w:val="002B3AA3"/>
    <w:rsid w:val="002B4DD4"/>
    <w:rsid w:val="002B5277"/>
    <w:rsid w:val="002B5375"/>
    <w:rsid w:val="002B6D09"/>
    <w:rsid w:val="002B749B"/>
    <w:rsid w:val="002B77C1"/>
    <w:rsid w:val="002C0ED7"/>
    <w:rsid w:val="002C2190"/>
    <w:rsid w:val="002C2728"/>
    <w:rsid w:val="002C4096"/>
    <w:rsid w:val="002C4EAF"/>
    <w:rsid w:val="002C5ADB"/>
    <w:rsid w:val="002C5B7C"/>
    <w:rsid w:val="002C5C1F"/>
    <w:rsid w:val="002D0444"/>
    <w:rsid w:val="002D1E0D"/>
    <w:rsid w:val="002D5006"/>
    <w:rsid w:val="002D7745"/>
    <w:rsid w:val="002D7C61"/>
    <w:rsid w:val="002E01D0"/>
    <w:rsid w:val="002E0EE2"/>
    <w:rsid w:val="002E161D"/>
    <w:rsid w:val="002E28A2"/>
    <w:rsid w:val="002E3100"/>
    <w:rsid w:val="002E6C95"/>
    <w:rsid w:val="002E6FA4"/>
    <w:rsid w:val="002E7495"/>
    <w:rsid w:val="002E7C36"/>
    <w:rsid w:val="002F39B6"/>
    <w:rsid w:val="002F3D32"/>
    <w:rsid w:val="002F4015"/>
    <w:rsid w:val="002F4916"/>
    <w:rsid w:val="002F4E9C"/>
    <w:rsid w:val="002F5F31"/>
    <w:rsid w:val="002F5F46"/>
    <w:rsid w:val="00302216"/>
    <w:rsid w:val="00302351"/>
    <w:rsid w:val="00303E53"/>
    <w:rsid w:val="00305CC1"/>
    <w:rsid w:val="003061E2"/>
    <w:rsid w:val="00306E5F"/>
    <w:rsid w:val="00307E14"/>
    <w:rsid w:val="00311CBB"/>
    <w:rsid w:val="0031221F"/>
    <w:rsid w:val="0031230C"/>
    <w:rsid w:val="00313C92"/>
    <w:rsid w:val="00314054"/>
    <w:rsid w:val="00316D1C"/>
    <w:rsid w:val="00316F27"/>
    <w:rsid w:val="00316FB7"/>
    <w:rsid w:val="003214F1"/>
    <w:rsid w:val="00322E4B"/>
    <w:rsid w:val="003266B8"/>
    <w:rsid w:val="00327870"/>
    <w:rsid w:val="00327FFE"/>
    <w:rsid w:val="003313E9"/>
    <w:rsid w:val="0033259D"/>
    <w:rsid w:val="003333D2"/>
    <w:rsid w:val="00334686"/>
    <w:rsid w:val="0033649C"/>
    <w:rsid w:val="00337339"/>
    <w:rsid w:val="00340287"/>
    <w:rsid w:val="00340345"/>
    <w:rsid w:val="003406C6"/>
    <w:rsid w:val="0034073B"/>
    <w:rsid w:val="0034074B"/>
    <w:rsid w:val="00340CA6"/>
    <w:rsid w:val="003418CC"/>
    <w:rsid w:val="003431C2"/>
    <w:rsid w:val="003434EE"/>
    <w:rsid w:val="00343A08"/>
    <w:rsid w:val="00343DE3"/>
    <w:rsid w:val="003459BD"/>
    <w:rsid w:val="00345CF6"/>
    <w:rsid w:val="00350D38"/>
    <w:rsid w:val="0035142D"/>
    <w:rsid w:val="00351B36"/>
    <w:rsid w:val="00352EEC"/>
    <w:rsid w:val="00357B4E"/>
    <w:rsid w:val="00361EA7"/>
    <w:rsid w:val="003622EE"/>
    <w:rsid w:val="003632BE"/>
    <w:rsid w:val="00363571"/>
    <w:rsid w:val="00366781"/>
    <w:rsid w:val="003716FD"/>
    <w:rsid w:val="00371A84"/>
    <w:rsid w:val="0037204B"/>
    <w:rsid w:val="00372F90"/>
    <w:rsid w:val="003744CF"/>
    <w:rsid w:val="00374717"/>
    <w:rsid w:val="003755D7"/>
    <w:rsid w:val="0037676C"/>
    <w:rsid w:val="00381043"/>
    <w:rsid w:val="0038134C"/>
    <w:rsid w:val="003826EB"/>
    <w:rsid w:val="003829E5"/>
    <w:rsid w:val="00386048"/>
    <w:rsid w:val="00386109"/>
    <w:rsid w:val="00386536"/>
    <w:rsid w:val="00386944"/>
    <w:rsid w:val="00390179"/>
    <w:rsid w:val="00391CBA"/>
    <w:rsid w:val="0039318E"/>
    <w:rsid w:val="00393AFC"/>
    <w:rsid w:val="003955DF"/>
    <w:rsid w:val="003956CC"/>
    <w:rsid w:val="00395C9A"/>
    <w:rsid w:val="00397381"/>
    <w:rsid w:val="003A0853"/>
    <w:rsid w:val="003A0B5A"/>
    <w:rsid w:val="003A2A7E"/>
    <w:rsid w:val="003A3511"/>
    <w:rsid w:val="003A45EF"/>
    <w:rsid w:val="003A6B67"/>
    <w:rsid w:val="003A6D1D"/>
    <w:rsid w:val="003B02B8"/>
    <w:rsid w:val="003B0837"/>
    <w:rsid w:val="003B0AE1"/>
    <w:rsid w:val="003B0FE6"/>
    <w:rsid w:val="003B13B6"/>
    <w:rsid w:val="003B14C3"/>
    <w:rsid w:val="003B15E6"/>
    <w:rsid w:val="003B2107"/>
    <w:rsid w:val="003B22EF"/>
    <w:rsid w:val="003B408A"/>
    <w:rsid w:val="003B58A2"/>
    <w:rsid w:val="003B6BC7"/>
    <w:rsid w:val="003B7655"/>
    <w:rsid w:val="003C08A2"/>
    <w:rsid w:val="003C0A91"/>
    <w:rsid w:val="003C0F0C"/>
    <w:rsid w:val="003C2045"/>
    <w:rsid w:val="003C43A1"/>
    <w:rsid w:val="003C4FC0"/>
    <w:rsid w:val="003C55F4"/>
    <w:rsid w:val="003C7897"/>
    <w:rsid w:val="003C7A3F"/>
    <w:rsid w:val="003D025E"/>
    <w:rsid w:val="003D1BCC"/>
    <w:rsid w:val="003D2766"/>
    <w:rsid w:val="003D2A74"/>
    <w:rsid w:val="003D2F4D"/>
    <w:rsid w:val="003D3D88"/>
    <w:rsid w:val="003D3E8F"/>
    <w:rsid w:val="003D6364"/>
    <w:rsid w:val="003D6475"/>
    <w:rsid w:val="003D6EE6"/>
    <w:rsid w:val="003D7029"/>
    <w:rsid w:val="003E04E5"/>
    <w:rsid w:val="003E0C57"/>
    <w:rsid w:val="003E375C"/>
    <w:rsid w:val="003E4086"/>
    <w:rsid w:val="003E639E"/>
    <w:rsid w:val="003E71E5"/>
    <w:rsid w:val="003F0445"/>
    <w:rsid w:val="003F0CF0"/>
    <w:rsid w:val="003F14B1"/>
    <w:rsid w:val="003F2B20"/>
    <w:rsid w:val="003F3289"/>
    <w:rsid w:val="003F3C62"/>
    <w:rsid w:val="003F4CF8"/>
    <w:rsid w:val="003F5CB9"/>
    <w:rsid w:val="003F6B17"/>
    <w:rsid w:val="003F6FE5"/>
    <w:rsid w:val="003F70D8"/>
    <w:rsid w:val="004013C7"/>
    <w:rsid w:val="00401F17"/>
    <w:rsid w:val="00401FCF"/>
    <w:rsid w:val="00402BF8"/>
    <w:rsid w:val="00404F17"/>
    <w:rsid w:val="00406285"/>
    <w:rsid w:val="004115A2"/>
    <w:rsid w:val="00412B06"/>
    <w:rsid w:val="0041407E"/>
    <w:rsid w:val="00414504"/>
    <w:rsid w:val="004148F9"/>
    <w:rsid w:val="00415AC6"/>
    <w:rsid w:val="0042084E"/>
    <w:rsid w:val="00421EEF"/>
    <w:rsid w:val="00421FEF"/>
    <w:rsid w:val="00424D65"/>
    <w:rsid w:val="00426FD8"/>
    <w:rsid w:val="00430005"/>
    <w:rsid w:val="00430087"/>
    <w:rsid w:val="00430393"/>
    <w:rsid w:val="004303AE"/>
    <w:rsid w:val="00431052"/>
    <w:rsid w:val="004316CA"/>
    <w:rsid w:val="00431806"/>
    <w:rsid w:val="00431A70"/>
    <w:rsid w:val="00431B2D"/>
    <w:rsid w:val="00431F42"/>
    <w:rsid w:val="0043269F"/>
    <w:rsid w:val="00433915"/>
    <w:rsid w:val="00433AFE"/>
    <w:rsid w:val="00437978"/>
    <w:rsid w:val="00437A6F"/>
    <w:rsid w:val="00442C6C"/>
    <w:rsid w:val="00443CBE"/>
    <w:rsid w:val="00443E8A"/>
    <w:rsid w:val="004440F7"/>
    <w:rsid w:val="004441BC"/>
    <w:rsid w:val="004463F7"/>
    <w:rsid w:val="00446529"/>
    <w:rsid w:val="004468B4"/>
    <w:rsid w:val="00446D86"/>
    <w:rsid w:val="004475EB"/>
    <w:rsid w:val="00451931"/>
    <w:rsid w:val="0045230A"/>
    <w:rsid w:val="00454A7D"/>
    <w:rsid w:val="00454AD0"/>
    <w:rsid w:val="00457337"/>
    <w:rsid w:val="00460417"/>
    <w:rsid w:val="00462E3D"/>
    <w:rsid w:val="00463729"/>
    <w:rsid w:val="00464D84"/>
    <w:rsid w:val="00465946"/>
    <w:rsid w:val="00466E79"/>
    <w:rsid w:val="00466FA0"/>
    <w:rsid w:val="00470635"/>
    <w:rsid w:val="00470688"/>
    <w:rsid w:val="00470D7D"/>
    <w:rsid w:val="00473324"/>
    <w:rsid w:val="0047372D"/>
    <w:rsid w:val="00473BA3"/>
    <w:rsid w:val="004743DD"/>
    <w:rsid w:val="00474CEA"/>
    <w:rsid w:val="004803C2"/>
    <w:rsid w:val="00480CD6"/>
    <w:rsid w:val="00481967"/>
    <w:rsid w:val="00483968"/>
    <w:rsid w:val="004841BE"/>
    <w:rsid w:val="00484731"/>
    <w:rsid w:val="00484F86"/>
    <w:rsid w:val="00487E97"/>
    <w:rsid w:val="00490746"/>
    <w:rsid w:val="00490852"/>
    <w:rsid w:val="00490F48"/>
    <w:rsid w:val="00491921"/>
    <w:rsid w:val="00491C19"/>
    <w:rsid w:val="00491C9C"/>
    <w:rsid w:val="00492DD4"/>
    <w:rsid w:val="00492F30"/>
    <w:rsid w:val="004931A5"/>
    <w:rsid w:val="00493BB7"/>
    <w:rsid w:val="004946F4"/>
    <w:rsid w:val="0049487E"/>
    <w:rsid w:val="004A160D"/>
    <w:rsid w:val="004A1A27"/>
    <w:rsid w:val="004A3E81"/>
    <w:rsid w:val="004A4195"/>
    <w:rsid w:val="004A522D"/>
    <w:rsid w:val="004A5C62"/>
    <w:rsid w:val="004A5CE5"/>
    <w:rsid w:val="004A707D"/>
    <w:rsid w:val="004B0974"/>
    <w:rsid w:val="004B271A"/>
    <w:rsid w:val="004B3395"/>
    <w:rsid w:val="004B4185"/>
    <w:rsid w:val="004B786B"/>
    <w:rsid w:val="004C34FB"/>
    <w:rsid w:val="004C5541"/>
    <w:rsid w:val="004C6EEE"/>
    <w:rsid w:val="004C702B"/>
    <w:rsid w:val="004C71EB"/>
    <w:rsid w:val="004C7DCA"/>
    <w:rsid w:val="004D0033"/>
    <w:rsid w:val="004D016B"/>
    <w:rsid w:val="004D0351"/>
    <w:rsid w:val="004D1B22"/>
    <w:rsid w:val="004D23CC"/>
    <w:rsid w:val="004D36F2"/>
    <w:rsid w:val="004D54CC"/>
    <w:rsid w:val="004D587C"/>
    <w:rsid w:val="004E1106"/>
    <w:rsid w:val="004E138F"/>
    <w:rsid w:val="004E382B"/>
    <w:rsid w:val="004E4649"/>
    <w:rsid w:val="004E48B8"/>
    <w:rsid w:val="004E5C2B"/>
    <w:rsid w:val="004F00DD"/>
    <w:rsid w:val="004F0E21"/>
    <w:rsid w:val="004F2133"/>
    <w:rsid w:val="004F317F"/>
    <w:rsid w:val="004F4007"/>
    <w:rsid w:val="004F435E"/>
    <w:rsid w:val="004F5398"/>
    <w:rsid w:val="004F55F1"/>
    <w:rsid w:val="004F6936"/>
    <w:rsid w:val="004F7C79"/>
    <w:rsid w:val="00503DC6"/>
    <w:rsid w:val="0050427E"/>
    <w:rsid w:val="00506F5D"/>
    <w:rsid w:val="005077F5"/>
    <w:rsid w:val="00510C37"/>
    <w:rsid w:val="00511325"/>
    <w:rsid w:val="005114D5"/>
    <w:rsid w:val="005126D0"/>
    <w:rsid w:val="00514667"/>
    <w:rsid w:val="005146F1"/>
    <w:rsid w:val="0051568D"/>
    <w:rsid w:val="00516AA8"/>
    <w:rsid w:val="00517155"/>
    <w:rsid w:val="005250B4"/>
    <w:rsid w:val="00526A85"/>
    <w:rsid w:val="00526AC7"/>
    <w:rsid w:val="00526C15"/>
    <w:rsid w:val="0052739A"/>
    <w:rsid w:val="005337CE"/>
    <w:rsid w:val="00536499"/>
    <w:rsid w:val="00540BBE"/>
    <w:rsid w:val="00542152"/>
    <w:rsid w:val="005422C7"/>
    <w:rsid w:val="0054240D"/>
    <w:rsid w:val="00542A03"/>
    <w:rsid w:val="00542D67"/>
    <w:rsid w:val="005433FE"/>
    <w:rsid w:val="00543903"/>
    <w:rsid w:val="00543BCC"/>
    <w:rsid w:val="00543F11"/>
    <w:rsid w:val="00544135"/>
    <w:rsid w:val="0054441C"/>
    <w:rsid w:val="00544F8F"/>
    <w:rsid w:val="00546305"/>
    <w:rsid w:val="00547A95"/>
    <w:rsid w:val="0055119B"/>
    <w:rsid w:val="005518A2"/>
    <w:rsid w:val="00552427"/>
    <w:rsid w:val="00553F74"/>
    <w:rsid w:val="00557C97"/>
    <w:rsid w:val="00561202"/>
    <w:rsid w:val="00562507"/>
    <w:rsid w:val="00562811"/>
    <w:rsid w:val="005636FD"/>
    <w:rsid w:val="00563EC7"/>
    <w:rsid w:val="00565749"/>
    <w:rsid w:val="0056754B"/>
    <w:rsid w:val="00572031"/>
    <w:rsid w:val="00572282"/>
    <w:rsid w:val="00573CE3"/>
    <w:rsid w:val="005749DC"/>
    <w:rsid w:val="0057553B"/>
    <w:rsid w:val="00576E84"/>
    <w:rsid w:val="00580394"/>
    <w:rsid w:val="005809CD"/>
    <w:rsid w:val="0058134C"/>
    <w:rsid w:val="00582B8C"/>
    <w:rsid w:val="00583E04"/>
    <w:rsid w:val="0058757E"/>
    <w:rsid w:val="00587BDB"/>
    <w:rsid w:val="005908BE"/>
    <w:rsid w:val="005908FE"/>
    <w:rsid w:val="00590918"/>
    <w:rsid w:val="00591BBF"/>
    <w:rsid w:val="00591E97"/>
    <w:rsid w:val="00594AE1"/>
    <w:rsid w:val="00596A4B"/>
    <w:rsid w:val="00597507"/>
    <w:rsid w:val="005A0F5F"/>
    <w:rsid w:val="005A1539"/>
    <w:rsid w:val="005A1A17"/>
    <w:rsid w:val="005A1B52"/>
    <w:rsid w:val="005A3D98"/>
    <w:rsid w:val="005A479D"/>
    <w:rsid w:val="005A6ED3"/>
    <w:rsid w:val="005A7335"/>
    <w:rsid w:val="005B1C6D"/>
    <w:rsid w:val="005B21B6"/>
    <w:rsid w:val="005B37B0"/>
    <w:rsid w:val="005B3A08"/>
    <w:rsid w:val="005B7A63"/>
    <w:rsid w:val="005C0955"/>
    <w:rsid w:val="005C3EF9"/>
    <w:rsid w:val="005C49DA"/>
    <w:rsid w:val="005C50F3"/>
    <w:rsid w:val="005C54B5"/>
    <w:rsid w:val="005C561A"/>
    <w:rsid w:val="005C5787"/>
    <w:rsid w:val="005C5D80"/>
    <w:rsid w:val="005C5D91"/>
    <w:rsid w:val="005C6582"/>
    <w:rsid w:val="005D07B8"/>
    <w:rsid w:val="005D418B"/>
    <w:rsid w:val="005D5365"/>
    <w:rsid w:val="005D6597"/>
    <w:rsid w:val="005D7243"/>
    <w:rsid w:val="005D7954"/>
    <w:rsid w:val="005E14E7"/>
    <w:rsid w:val="005E20BE"/>
    <w:rsid w:val="005E26A3"/>
    <w:rsid w:val="005E2ECB"/>
    <w:rsid w:val="005E4230"/>
    <w:rsid w:val="005E447E"/>
    <w:rsid w:val="005E4FD1"/>
    <w:rsid w:val="005F0775"/>
    <w:rsid w:val="005F0AE9"/>
    <w:rsid w:val="005F0CF5"/>
    <w:rsid w:val="005F21DA"/>
    <w:rsid w:val="005F21EB"/>
    <w:rsid w:val="005F2DBD"/>
    <w:rsid w:val="005F374A"/>
    <w:rsid w:val="005F424B"/>
    <w:rsid w:val="005F64CF"/>
    <w:rsid w:val="00601046"/>
    <w:rsid w:val="0060143F"/>
    <w:rsid w:val="006016D9"/>
    <w:rsid w:val="00601B74"/>
    <w:rsid w:val="00602237"/>
    <w:rsid w:val="006041AD"/>
    <w:rsid w:val="0060522D"/>
    <w:rsid w:val="00605908"/>
    <w:rsid w:val="00605D5A"/>
    <w:rsid w:val="00606ABD"/>
    <w:rsid w:val="00607850"/>
    <w:rsid w:val="00607EF7"/>
    <w:rsid w:val="00610D7C"/>
    <w:rsid w:val="006114E4"/>
    <w:rsid w:val="00613414"/>
    <w:rsid w:val="00615994"/>
    <w:rsid w:val="00620154"/>
    <w:rsid w:val="006208BF"/>
    <w:rsid w:val="00620EAD"/>
    <w:rsid w:val="00620F35"/>
    <w:rsid w:val="00623949"/>
    <w:rsid w:val="0062408D"/>
    <w:rsid w:val="006240CC"/>
    <w:rsid w:val="00624940"/>
    <w:rsid w:val="00624BB3"/>
    <w:rsid w:val="00624C22"/>
    <w:rsid w:val="00624F8C"/>
    <w:rsid w:val="006254F8"/>
    <w:rsid w:val="006256D2"/>
    <w:rsid w:val="00626200"/>
    <w:rsid w:val="00626B5A"/>
    <w:rsid w:val="00627DA7"/>
    <w:rsid w:val="00630DA4"/>
    <w:rsid w:val="00631C26"/>
    <w:rsid w:val="00631CD4"/>
    <w:rsid w:val="00632597"/>
    <w:rsid w:val="00633BE6"/>
    <w:rsid w:val="006343C9"/>
    <w:rsid w:val="00634D13"/>
    <w:rsid w:val="006358B4"/>
    <w:rsid w:val="00641724"/>
    <w:rsid w:val="006419AA"/>
    <w:rsid w:val="00644B1F"/>
    <w:rsid w:val="00644B7E"/>
    <w:rsid w:val="006454E6"/>
    <w:rsid w:val="006454F7"/>
    <w:rsid w:val="00646235"/>
    <w:rsid w:val="00646A68"/>
    <w:rsid w:val="006477DA"/>
    <w:rsid w:val="006477E8"/>
    <w:rsid w:val="006505BD"/>
    <w:rsid w:val="006508EA"/>
    <w:rsid w:val="0065092E"/>
    <w:rsid w:val="00652895"/>
    <w:rsid w:val="00653367"/>
    <w:rsid w:val="00654FB8"/>
    <w:rsid w:val="006557A7"/>
    <w:rsid w:val="00656290"/>
    <w:rsid w:val="00657913"/>
    <w:rsid w:val="006601C9"/>
    <w:rsid w:val="006608D8"/>
    <w:rsid w:val="006612DE"/>
    <w:rsid w:val="006621D7"/>
    <w:rsid w:val="0066241C"/>
    <w:rsid w:val="00662CB2"/>
    <w:rsid w:val="0066302A"/>
    <w:rsid w:val="00664382"/>
    <w:rsid w:val="00664576"/>
    <w:rsid w:val="00665530"/>
    <w:rsid w:val="00666FA4"/>
    <w:rsid w:val="00667770"/>
    <w:rsid w:val="00670597"/>
    <w:rsid w:val="006706D0"/>
    <w:rsid w:val="00670E59"/>
    <w:rsid w:val="00673309"/>
    <w:rsid w:val="00677574"/>
    <w:rsid w:val="00680B45"/>
    <w:rsid w:val="00680B83"/>
    <w:rsid w:val="006812ED"/>
    <w:rsid w:val="00683878"/>
    <w:rsid w:val="00684380"/>
    <w:rsid w:val="0068454C"/>
    <w:rsid w:val="00685FCD"/>
    <w:rsid w:val="006872A6"/>
    <w:rsid w:val="0069112C"/>
    <w:rsid w:val="00691B62"/>
    <w:rsid w:val="006933B5"/>
    <w:rsid w:val="00693D14"/>
    <w:rsid w:val="00696F27"/>
    <w:rsid w:val="006A01F5"/>
    <w:rsid w:val="006A18C2"/>
    <w:rsid w:val="006A2E41"/>
    <w:rsid w:val="006A32B7"/>
    <w:rsid w:val="006A3383"/>
    <w:rsid w:val="006A39A3"/>
    <w:rsid w:val="006A59D2"/>
    <w:rsid w:val="006A6D36"/>
    <w:rsid w:val="006B077C"/>
    <w:rsid w:val="006B1321"/>
    <w:rsid w:val="006B6803"/>
    <w:rsid w:val="006B7713"/>
    <w:rsid w:val="006C1BF4"/>
    <w:rsid w:val="006C346A"/>
    <w:rsid w:val="006C4E17"/>
    <w:rsid w:val="006C5C5D"/>
    <w:rsid w:val="006C5CF1"/>
    <w:rsid w:val="006D0F16"/>
    <w:rsid w:val="006D22E9"/>
    <w:rsid w:val="006D2A3F"/>
    <w:rsid w:val="006D2FBC"/>
    <w:rsid w:val="006D39ED"/>
    <w:rsid w:val="006D6E34"/>
    <w:rsid w:val="006E0121"/>
    <w:rsid w:val="006E138B"/>
    <w:rsid w:val="006E1867"/>
    <w:rsid w:val="006E204F"/>
    <w:rsid w:val="006E608D"/>
    <w:rsid w:val="006F00A8"/>
    <w:rsid w:val="006F0330"/>
    <w:rsid w:val="006F1FDC"/>
    <w:rsid w:val="006F2ECC"/>
    <w:rsid w:val="006F3363"/>
    <w:rsid w:val="006F614D"/>
    <w:rsid w:val="006F6B8C"/>
    <w:rsid w:val="006F6CDE"/>
    <w:rsid w:val="007013EF"/>
    <w:rsid w:val="00702D64"/>
    <w:rsid w:val="00704B3F"/>
    <w:rsid w:val="007055BD"/>
    <w:rsid w:val="007102D6"/>
    <w:rsid w:val="0071349D"/>
    <w:rsid w:val="00713BD5"/>
    <w:rsid w:val="007149DF"/>
    <w:rsid w:val="007157BE"/>
    <w:rsid w:val="007173CA"/>
    <w:rsid w:val="007216AA"/>
    <w:rsid w:val="007217C4"/>
    <w:rsid w:val="00721AB5"/>
    <w:rsid w:val="00721AF6"/>
    <w:rsid w:val="00721CFB"/>
    <w:rsid w:val="00721DEF"/>
    <w:rsid w:val="00723F98"/>
    <w:rsid w:val="0072461B"/>
    <w:rsid w:val="00724A43"/>
    <w:rsid w:val="007264BD"/>
    <w:rsid w:val="007273AC"/>
    <w:rsid w:val="00727969"/>
    <w:rsid w:val="00731222"/>
    <w:rsid w:val="00731AD4"/>
    <w:rsid w:val="007325BD"/>
    <w:rsid w:val="007346E4"/>
    <w:rsid w:val="00735564"/>
    <w:rsid w:val="007363BD"/>
    <w:rsid w:val="007405EA"/>
    <w:rsid w:val="00740F22"/>
    <w:rsid w:val="00741CF0"/>
    <w:rsid w:val="00741F1A"/>
    <w:rsid w:val="00741FCC"/>
    <w:rsid w:val="00742CEF"/>
    <w:rsid w:val="007439F8"/>
    <w:rsid w:val="007447DA"/>
    <w:rsid w:val="007450F8"/>
    <w:rsid w:val="00746867"/>
    <w:rsid w:val="0074696E"/>
    <w:rsid w:val="00750135"/>
    <w:rsid w:val="00750EC2"/>
    <w:rsid w:val="007519BE"/>
    <w:rsid w:val="007519DE"/>
    <w:rsid w:val="00752B28"/>
    <w:rsid w:val="00753065"/>
    <w:rsid w:val="007536BC"/>
    <w:rsid w:val="007541A9"/>
    <w:rsid w:val="00754DD8"/>
    <w:rsid w:val="00754E36"/>
    <w:rsid w:val="00755515"/>
    <w:rsid w:val="00757E22"/>
    <w:rsid w:val="00762C2E"/>
    <w:rsid w:val="00763139"/>
    <w:rsid w:val="0076413A"/>
    <w:rsid w:val="00764A0C"/>
    <w:rsid w:val="007709A4"/>
    <w:rsid w:val="00770F37"/>
    <w:rsid w:val="007711A0"/>
    <w:rsid w:val="00772D5E"/>
    <w:rsid w:val="0077463E"/>
    <w:rsid w:val="007763DA"/>
    <w:rsid w:val="00776928"/>
    <w:rsid w:val="00776D56"/>
    <w:rsid w:val="00776E0F"/>
    <w:rsid w:val="00777316"/>
    <w:rsid w:val="007774B1"/>
    <w:rsid w:val="00777BE1"/>
    <w:rsid w:val="00782222"/>
    <w:rsid w:val="0078228F"/>
    <w:rsid w:val="007833D8"/>
    <w:rsid w:val="00784ECC"/>
    <w:rsid w:val="00785677"/>
    <w:rsid w:val="00786F16"/>
    <w:rsid w:val="00791BD7"/>
    <w:rsid w:val="007926D2"/>
    <w:rsid w:val="007933F7"/>
    <w:rsid w:val="00796E20"/>
    <w:rsid w:val="00797C32"/>
    <w:rsid w:val="007A11E8"/>
    <w:rsid w:val="007A2304"/>
    <w:rsid w:val="007A65A5"/>
    <w:rsid w:val="007B0914"/>
    <w:rsid w:val="007B1374"/>
    <w:rsid w:val="007B32E5"/>
    <w:rsid w:val="007B3DB9"/>
    <w:rsid w:val="007B5423"/>
    <w:rsid w:val="007B589F"/>
    <w:rsid w:val="007B6186"/>
    <w:rsid w:val="007B73BC"/>
    <w:rsid w:val="007B7B8A"/>
    <w:rsid w:val="007B7CEC"/>
    <w:rsid w:val="007C15B5"/>
    <w:rsid w:val="007C1838"/>
    <w:rsid w:val="007C20B9"/>
    <w:rsid w:val="007C7301"/>
    <w:rsid w:val="007C7859"/>
    <w:rsid w:val="007C7F28"/>
    <w:rsid w:val="007D1466"/>
    <w:rsid w:val="007D2BDE"/>
    <w:rsid w:val="007D2FB6"/>
    <w:rsid w:val="007D49EB"/>
    <w:rsid w:val="007D5E1C"/>
    <w:rsid w:val="007D62CB"/>
    <w:rsid w:val="007D712C"/>
    <w:rsid w:val="007E0CB5"/>
    <w:rsid w:val="007E0DE2"/>
    <w:rsid w:val="007E2917"/>
    <w:rsid w:val="007E3667"/>
    <w:rsid w:val="007E3B98"/>
    <w:rsid w:val="007E417A"/>
    <w:rsid w:val="007E548D"/>
    <w:rsid w:val="007E5AAE"/>
    <w:rsid w:val="007E5D9E"/>
    <w:rsid w:val="007E67CC"/>
    <w:rsid w:val="007E6C17"/>
    <w:rsid w:val="007F0888"/>
    <w:rsid w:val="007F0F34"/>
    <w:rsid w:val="007F31B6"/>
    <w:rsid w:val="007F3DC3"/>
    <w:rsid w:val="007F3FBF"/>
    <w:rsid w:val="007F546C"/>
    <w:rsid w:val="007F625F"/>
    <w:rsid w:val="007F665E"/>
    <w:rsid w:val="007F68D1"/>
    <w:rsid w:val="007F70ED"/>
    <w:rsid w:val="00800000"/>
    <w:rsid w:val="00800412"/>
    <w:rsid w:val="008028BE"/>
    <w:rsid w:val="0080587B"/>
    <w:rsid w:val="00806468"/>
    <w:rsid w:val="008066D1"/>
    <w:rsid w:val="00806783"/>
    <w:rsid w:val="008119CA"/>
    <w:rsid w:val="008122B2"/>
    <w:rsid w:val="008130C4"/>
    <w:rsid w:val="00813204"/>
    <w:rsid w:val="008155F0"/>
    <w:rsid w:val="00816735"/>
    <w:rsid w:val="00820141"/>
    <w:rsid w:val="008201AD"/>
    <w:rsid w:val="00820E0C"/>
    <w:rsid w:val="00823275"/>
    <w:rsid w:val="0082366F"/>
    <w:rsid w:val="00826B63"/>
    <w:rsid w:val="00830C20"/>
    <w:rsid w:val="00833032"/>
    <w:rsid w:val="008338A2"/>
    <w:rsid w:val="00841AA9"/>
    <w:rsid w:val="00844B99"/>
    <w:rsid w:val="00845EE2"/>
    <w:rsid w:val="008474FE"/>
    <w:rsid w:val="00850699"/>
    <w:rsid w:val="008539D2"/>
    <w:rsid w:val="00853EE4"/>
    <w:rsid w:val="00855535"/>
    <w:rsid w:val="00857C5A"/>
    <w:rsid w:val="00862307"/>
    <w:rsid w:val="0086255E"/>
    <w:rsid w:val="008633F0"/>
    <w:rsid w:val="00863B6D"/>
    <w:rsid w:val="00864EFB"/>
    <w:rsid w:val="00867D9D"/>
    <w:rsid w:val="00872E0A"/>
    <w:rsid w:val="00873594"/>
    <w:rsid w:val="00874F0C"/>
    <w:rsid w:val="00875285"/>
    <w:rsid w:val="00875B90"/>
    <w:rsid w:val="0087610B"/>
    <w:rsid w:val="008806BB"/>
    <w:rsid w:val="008821BD"/>
    <w:rsid w:val="008847DC"/>
    <w:rsid w:val="00884B62"/>
    <w:rsid w:val="0088529C"/>
    <w:rsid w:val="00885EBE"/>
    <w:rsid w:val="0088655A"/>
    <w:rsid w:val="00887903"/>
    <w:rsid w:val="0089270A"/>
    <w:rsid w:val="00893869"/>
    <w:rsid w:val="00893AF6"/>
    <w:rsid w:val="00894BC4"/>
    <w:rsid w:val="00894E72"/>
    <w:rsid w:val="008959C7"/>
    <w:rsid w:val="00895B30"/>
    <w:rsid w:val="00896890"/>
    <w:rsid w:val="00897737"/>
    <w:rsid w:val="008977D1"/>
    <w:rsid w:val="00897D09"/>
    <w:rsid w:val="008A28A8"/>
    <w:rsid w:val="008A54AC"/>
    <w:rsid w:val="008A5B32"/>
    <w:rsid w:val="008B1A56"/>
    <w:rsid w:val="008B2029"/>
    <w:rsid w:val="008B2EE4"/>
    <w:rsid w:val="008B3821"/>
    <w:rsid w:val="008B4D3D"/>
    <w:rsid w:val="008B57C7"/>
    <w:rsid w:val="008B76F8"/>
    <w:rsid w:val="008C1CC7"/>
    <w:rsid w:val="008C2F92"/>
    <w:rsid w:val="008C3546"/>
    <w:rsid w:val="008C589D"/>
    <w:rsid w:val="008C6D51"/>
    <w:rsid w:val="008D2846"/>
    <w:rsid w:val="008D2994"/>
    <w:rsid w:val="008D4236"/>
    <w:rsid w:val="008D439A"/>
    <w:rsid w:val="008D462F"/>
    <w:rsid w:val="008D5405"/>
    <w:rsid w:val="008D5AAC"/>
    <w:rsid w:val="008D6686"/>
    <w:rsid w:val="008D6AF8"/>
    <w:rsid w:val="008D6DCF"/>
    <w:rsid w:val="008D7303"/>
    <w:rsid w:val="008E1FF7"/>
    <w:rsid w:val="008E2CF6"/>
    <w:rsid w:val="008E3099"/>
    <w:rsid w:val="008E327D"/>
    <w:rsid w:val="008E4376"/>
    <w:rsid w:val="008E4F2F"/>
    <w:rsid w:val="008E5451"/>
    <w:rsid w:val="008E589C"/>
    <w:rsid w:val="008E60CE"/>
    <w:rsid w:val="008E7A0A"/>
    <w:rsid w:val="008E7B49"/>
    <w:rsid w:val="008F226D"/>
    <w:rsid w:val="008F3F2E"/>
    <w:rsid w:val="008F4D55"/>
    <w:rsid w:val="008F5117"/>
    <w:rsid w:val="008F514E"/>
    <w:rsid w:val="008F59F6"/>
    <w:rsid w:val="00900719"/>
    <w:rsid w:val="0090079A"/>
    <w:rsid w:val="009017AC"/>
    <w:rsid w:val="00902956"/>
    <w:rsid w:val="00902A9A"/>
    <w:rsid w:val="009046CD"/>
    <w:rsid w:val="00904A1C"/>
    <w:rsid w:val="00905030"/>
    <w:rsid w:val="00906279"/>
    <w:rsid w:val="00906490"/>
    <w:rsid w:val="009111B2"/>
    <w:rsid w:val="00913181"/>
    <w:rsid w:val="009151F5"/>
    <w:rsid w:val="009220E5"/>
    <w:rsid w:val="00924AE1"/>
    <w:rsid w:val="00924E45"/>
    <w:rsid w:val="009269B1"/>
    <w:rsid w:val="0092724D"/>
    <w:rsid w:val="009272B3"/>
    <w:rsid w:val="009315BE"/>
    <w:rsid w:val="00932691"/>
    <w:rsid w:val="009326DD"/>
    <w:rsid w:val="00932D88"/>
    <w:rsid w:val="00932E83"/>
    <w:rsid w:val="0093338F"/>
    <w:rsid w:val="009370C1"/>
    <w:rsid w:val="00937BD9"/>
    <w:rsid w:val="009429EC"/>
    <w:rsid w:val="00942CB0"/>
    <w:rsid w:val="009463B0"/>
    <w:rsid w:val="00946FE3"/>
    <w:rsid w:val="00947004"/>
    <w:rsid w:val="00950E2C"/>
    <w:rsid w:val="00950E39"/>
    <w:rsid w:val="00951D50"/>
    <w:rsid w:val="009525EB"/>
    <w:rsid w:val="00952F88"/>
    <w:rsid w:val="0095318D"/>
    <w:rsid w:val="0095437F"/>
    <w:rsid w:val="0095470B"/>
    <w:rsid w:val="00954874"/>
    <w:rsid w:val="00955978"/>
    <w:rsid w:val="0095615A"/>
    <w:rsid w:val="00956564"/>
    <w:rsid w:val="0095667F"/>
    <w:rsid w:val="0096135A"/>
    <w:rsid w:val="00961400"/>
    <w:rsid w:val="00963646"/>
    <w:rsid w:val="00963666"/>
    <w:rsid w:val="00963B99"/>
    <w:rsid w:val="009648E4"/>
    <w:rsid w:val="00965495"/>
    <w:rsid w:val="0096632D"/>
    <w:rsid w:val="00967124"/>
    <w:rsid w:val="009677FF"/>
    <w:rsid w:val="0097166C"/>
    <w:rsid w:val="00971878"/>
    <w:rsid w:val="009718C7"/>
    <w:rsid w:val="0097559F"/>
    <w:rsid w:val="009758C4"/>
    <w:rsid w:val="009761EA"/>
    <w:rsid w:val="009770C3"/>
    <w:rsid w:val="0097761E"/>
    <w:rsid w:val="00977AE5"/>
    <w:rsid w:val="009805EA"/>
    <w:rsid w:val="00980D90"/>
    <w:rsid w:val="00981772"/>
    <w:rsid w:val="00981CC4"/>
    <w:rsid w:val="00982454"/>
    <w:rsid w:val="00982CF0"/>
    <w:rsid w:val="00982F34"/>
    <w:rsid w:val="009853E1"/>
    <w:rsid w:val="009857CA"/>
    <w:rsid w:val="00986E6B"/>
    <w:rsid w:val="00990032"/>
    <w:rsid w:val="00990B19"/>
    <w:rsid w:val="0099153B"/>
    <w:rsid w:val="00991769"/>
    <w:rsid w:val="0099232C"/>
    <w:rsid w:val="0099286E"/>
    <w:rsid w:val="00994386"/>
    <w:rsid w:val="00994B9D"/>
    <w:rsid w:val="009A13D8"/>
    <w:rsid w:val="009A1D1A"/>
    <w:rsid w:val="009A279E"/>
    <w:rsid w:val="009A3015"/>
    <w:rsid w:val="009A3490"/>
    <w:rsid w:val="009A4BC8"/>
    <w:rsid w:val="009A511E"/>
    <w:rsid w:val="009A7D99"/>
    <w:rsid w:val="009A7F5E"/>
    <w:rsid w:val="009B0A6F"/>
    <w:rsid w:val="009B0A94"/>
    <w:rsid w:val="009B0C62"/>
    <w:rsid w:val="009B13DC"/>
    <w:rsid w:val="009B2AE8"/>
    <w:rsid w:val="009B5622"/>
    <w:rsid w:val="009B59E9"/>
    <w:rsid w:val="009B69C0"/>
    <w:rsid w:val="009B6E64"/>
    <w:rsid w:val="009B70AA"/>
    <w:rsid w:val="009B7B1D"/>
    <w:rsid w:val="009C1630"/>
    <w:rsid w:val="009C245E"/>
    <w:rsid w:val="009C59C1"/>
    <w:rsid w:val="009C5E77"/>
    <w:rsid w:val="009C6E9E"/>
    <w:rsid w:val="009C7A7E"/>
    <w:rsid w:val="009D02E8"/>
    <w:rsid w:val="009D4DA4"/>
    <w:rsid w:val="009D4F96"/>
    <w:rsid w:val="009D51D0"/>
    <w:rsid w:val="009D70A4"/>
    <w:rsid w:val="009D7B14"/>
    <w:rsid w:val="009E08D1"/>
    <w:rsid w:val="009E0D96"/>
    <w:rsid w:val="009E1B32"/>
    <w:rsid w:val="009E1B95"/>
    <w:rsid w:val="009E496F"/>
    <w:rsid w:val="009E4B0D"/>
    <w:rsid w:val="009E5250"/>
    <w:rsid w:val="009E6660"/>
    <w:rsid w:val="009E7A69"/>
    <w:rsid w:val="009E7BC0"/>
    <w:rsid w:val="009E7F92"/>
    <w:rsid w:val="009F02A3"/>
    <w:rsid w:val="009F0C50"/>
    <w:rsid w:val="009F2182"/>
    <w:rsid w:val="009F2CFB"/>
    <w:rsid w:val="009F2F27"/>
    <w:rsid w:val="009F34AA"/>
    <w:rsid w:val="009F5962"/>
    <w:rsid w:val="009F6BCB"/>
    <w:rsid w:val="009F7B78"/>
    <w:rsid w:val="00A004BE"/>
    <w:rsid w:val="00A0057A"/>
    <w:rsid w:val="00A0158C"/>
    <w:rsid w:val="00A022AE"/>
    <w:rsid w:val="00A02FA1"/>
    <w:rsid w:val="00A0451B"/>
    <w:rsid w:val="00A04CCE"/>
    <w:rsid w:val="00A07421"/>
    <w:rsid w:val="00A0776B"/>
    <w:rsid w:val="00A10FB9"/>
    <w:rsid w:val="00A11421"/>
    <w:rsid w:val="00A1389F"/>
    <w:rsid w:val="00A13B7A"/>
    <w:rsid w:val="00A157B1"/>
    <w:rsid w:val="00A21EC6"/>
    <w:rsid w:val="00A22229"/>
    <w:rsid w:val="00A24442"/>
    <w:rsid w:val="00A24ADA"/>
    <w:rsid w:val="00A24C35"/>
    <w:rsid w:val="00A30C8A"/>
    <w:rsid w:val="00A31A29"/>
    <w:rsid w:val="00A32124"/>
    <w:rsid w:val="00A32577"/>
    <w:rsid w:val="00A32FEB"/>
    <w:rsid w:val="00A330BB"/>
    <w:rsid w:val="00A42099"/>
    <w:rsid w:val="00A43754"/>
    <w:rsid w:val="00A446F5"/>
    <w:rsid w:val="00A44882"/>
    <w:rsid w:val="00A45125"/>
    <w:rsid w:val="00A47F5F"/>
    <w:rsid w:val="00A53E40"/>
    <w:rsid w:val="00A54715"/>
    <w:rsid w:val="00A55B31"/>
    <w:rsid w:val="00A56645"/>
    <w:rsid w:val="00A6061C"/>
    <w:rsid w:val="00A62980"/>
    <w:rsid w:val="00A62D44"/>
    <w:rsid w:val="00A63D01"/>
    <w:rsid w:val="00A663EB"/>
    <w:rsid w:val="00A66EB1"/>
    <w:rsid w:val="00A67263"/>
    <w:rsid w:val="00A7161C"/>
    <w:rsid w:val="00A71CE4"/>
    <w:rsid w:val="00A77A2D"/>
    <w:rsid w:val="00A77AA3"/>
    <w:rsid w:val="00A77CE3"/>
    <w:rsid w:val="00A8057C"/>
    <w:rsid w:val="00A80776"/>
    <w:rsid w:val="00A8236D"/>
    <w:rsid w:val="00A832D3"/>
    <w:rsid w:val="00A834F6"/>
    <w:rsid w:val="00A84B66"/>
    <w:rsid w:val="00A854EB"/>
    <w:rsid w:val="00A872E5"/>
    <w:rsid w:val="00A91406"/>
    <w:rsid w:val="00A932EB"/>
    <w:rsid w:val="00A96E65"/>
    <w:rsid w:val="00A96ECE"/>
    <w:rsid w:val="00A9796C"/>
    <w:rsid w:val="00A97C72"/>
    <w:rsid w:val="00AA310B"/>
    <w:rsid w:val="00AA63D4"/>
    <w:rsid w:val="00AB06E8"/>
    <w:rsid w:val="00AB1CD3"/>
    <w:rsid w:val="00AB352F"/>
    <w:rsid w:val="00AB7FC5"/>
    <w:rsid w:val="00AC274B"/>
    <w:rsid w:val="00AC4764"/>
    <w:rsid w:val="00AC4CFA"/>
    <w:rsid w:val="00AC6D36"/>
    <w:rsid w:val="00AD0CBA"/>
    <w:rsid w:val="00AD1D5F"/>
    <w:rsid w:val="00AD26E2"/>
    <w:rsid w:val="00AD31E1"/>
    <w:rsid w:val="00AD784C"/>
    <w:rsid w:val="00AE126A"/>
    <w:rsid w:val="00AE1BAE"/>
    <w:rsid w:val="00AE2744"/>
    <w:rsid w:val="00AE2CF5"/>
    <w:rsid w:val="00AE3005"/>
    <w:rsid w:val="00AE35C9"/>
    <w:rsid w:val="00AE3BD5"/>
    <w:rsid w:val="00AE44AA"/>
    <w:rsid w:val="00AE59A0"/>
    <w:rsid w:val="00AE783D"/>
    <w:rsid w:val="00AE7DE6"/>
    <w:rsid w:val="00AF0C57"/>
    <w:rsid w:val="00AF1317"/>
    <w:rsid w:val="00AF26F3"/>
    <w:rsid w:val="00AF3072"/>
    <w:rsid w:val="00AF4E34"/>
    <w:rsid w:val="00AF5F04"/>
    <w:rsid w:val="00B00672"/>
    <w:rsid w:val="00B01B4D"/>
    <w:rsid w:val="00B04489"/>
    <w:rsid w:val="00B06571"/>
    <w:rsid w:val="00B068BA"/>
    <w:rsid w:val="00B07217"/>
    <w:rsid w:val="00B13851"/>
    <w:rsid w:val="00B13B1C"/>
    <w:rsid w:val="00B14B5F"/>
    <w:rsid w:val="00B178CE"/>
    <w:rsid w:val="00B21F90"/>
    <w:rsid w:val="00B22291"/>
    <w:rsid w:val="00B23F9A"/>
    <w:rsid w:val="00B2417B"/>
    <w:rsid w:val="00B24E6F"/>
    <w:rsid w:val="00B250AA"/>
    <w:rsid w:val="00B25177"/>
    <w:rsid w:val="00B26974"/>
    <w:rsid w:val="00B26CB5"/>
    <w:rsid w:val="00B2752E"/>
    <w:rsid w:val="00B307CC"/>
    <w:rsid w:val="00B32371"/>
    <w:rsid w:val="00B326B7"/>
    <w:rsid w:val="00B3320C"/>
    <w:rsid w:val="00B34815"/>
    <w:rsid w:val="00B3588E"/>
    <w:rsid w:val="00B36191"/>
    <w:rsid w:val="00B40202"/>
    <w:rsid w:val="00B40CDD"/>
    <w:rsid w:val="00B4198F"/>
    <w:rsid w:val="00B41F3D"/>
    <w:rsid w:val="00B431E8"/>
    <w:rsid w:val="00B43506"/>
    <w:rsid w:val="00B43B7C"/>
    <w:rsid w:val="00B45141"/>
    <w:rsid w:val="00B45AD6"/>
    <w:rsid w:val="00B479F1"/>
    <w:rsid w:val="00B519CD"/>
    <w:rsid w:val="00B5273A"/>
    <w:rsid w:val="00B56C06"/>
    <w:rsid w:val="00B57329"/>
    <w:rsid w:val="00B60E61"/>
    <w:rsid w:val="00B60F7E"/>
    <w:rsid w:val="00B62B50"/>
    <w:rsid w:val="00B635B7"/>
    <w:rsid w:val="00B63AE8"/>
    <w:rsid w:val="00B655D6"/>
    <w:rsid w:val="00B65950"/>
    <w:rsid w:val="00B66BF8"/>
    <w:rsid w:val="00B66D83"/>
    <w:rsid w:val="00B672C0"/>
    <w:rsid w:val="00B676FD"/>
    <w:rsid w:val="00B678B6"/>
    <w:rsid w:val="00B7191A"/>
    <w:rsid w:val="00B734FC"/>
    <w:rsid w:val="00B75646"/>
    <w:rsid w:val="00B7629E"/>
    <w:rsid w:val="00B76A2F"/>
    <w:rsid w:val="00B84DD7"/>
    <w:rsid w:val="00B85B37"/>
    <w:rsid w:val="00B903B8"/>
    <w:rsid w:val="00B90488"/>
    <w:rsid w:val="00B90729"/>
    <w:rsid w:val="00B907DA"/>
    <w:rsid w:val="00B90B09"/>
    <w:rsid w:val="00B9328E"/>
    <w:rsid w:val="00B94C5E"/>
    <w:rsid w:val="00B950BC"/>
    <w:rsid w:val="00B9714C"/>
    <w:rsid w:val="00BA01E5"/>
    <w:rsid w:val="00BA1DB3"/>
    <w:rsid w:val="00BA26CB"/>
    <w:rsid w:val="00BA26F6"/>
    <w:rsid w:val="00BA29AD"/>
    <w:rsid w:val="00BA2DB7"/>
    <w:rsid w:val="00BA33CF"/>
    <w:rsid w:val="00BA3BC7"/>
    <w:rsid w:val="00BA3F8D"/>
    <w:rsid w:val="00BB3616"/>
    <w:rsid w:val="00BB36D1"/>
    <w:rsid w:val="00BB36F5"/>
    <w:rsid w:val="00BB5E53"/>
    <w:rsid w:val="00BB6B50"/>
    <w:rsid w:val="00BB74AC"/>
    <w:rsid w:val="00BB7A10"/>
    <w:rsid w:val="00BC27E3"/>
    <w:rsid w:val="00BC3936"/>
    <w:rsid w:val="00BC54F4"/>
    <w:rsid w:val="00BC60BE"/>
    <w:rsid w:val="00BC7468"/>
    <w:rsid w:val="00BC7D4F"/>
    <w:rsid w:val="00BC7ED7"/>
    <w:rsid w:val="00BD077B"/>
    <w:rsid w:val="00BD1A3E"/>
    <w:rsid w:val="00BD2850"/>
    <w:rsid w:val="00BD3075"/>
    <w:rsid w:val="00BD36C7"/>
    <w:rsid w:val="00BD42D0"/>
    <w:rsid w:val="00BD4C52"/>
    <w:rsid w:val="00BD5645"/>
    <w:rsid w:val="00BD5A01"/>
    <w:rsid w:val="00BD6B9D"/>
    <w:rsid w:val="00BE0D57"/>
    <w:rsid w:val="00BE28D2"/>
    <w:rsid w:val="00BE4A64"/>
    <w:rsid w:val="00BE504F"/>
    <w:rsid w:val="00BE5E43"/>
    <w:rsid w:val="00BF081E"/>
    <w:rsid w:val="00BF2E58"/>
    <w:rsid w:val="00BF3211"/>
    <w:rsid w:val="00BF41AE"/>
    <w:rsid w:val="00BF44DB"/>
    <w:rsid w:val="00BF557D"/>
    <w:rsid w:val="00BF616D"/>
    <w:rsid w:val="00BF658D"/>
    <w:rsid w:val="00BF7F58"/>
    <w:rsid w:val="00C01381"/>
    <w:rsid w:val="00C01772"/>
    <w:rsid w:val="00C01AB1"/>
    <w:rsid w:val="00C0222C"/>
    <w:rsid w:val="00C026A0"/>
    <w:rsid w:val="00C06137"/>
    <w:rsid w:val="00C06929"/>
    <w:rsid w:val="00C079B8"/>
    <w:rsid w:val="00C07B2B"/>
    <w:rsid w:val="00C10037"/>
    <w:rsid w:val="00C115E1"/>
    <w:rsid w:val="00C11E14"/>
    <w:rsid w:val="00C123EA"/>
    <w:rsid w:val="00C12A49"/>
    <w:rsid w:val="00C12F8D"/>
    <w:rsid w:val="00C133EE"/>
    <w:rsid w:val="00C149D0"/>
    <w:rsid w:val="00C1524D"/>
    <w:rsid w:val="00C2080A"/>
    <w:rsid w:val="00C26588"/>
    <w:rsid w:val="00C27DE9"/>
    <w:rsid w:val="00C32989"/>
    <w:rsid w:val="00C32EB6"/>
    <w:rsid w:val="00C33388"/>
    <w:rsid w:val="00C35484"/>
    <w:rsid w:val="00C3600E"/>
    <w:rsid w:val="00C401EC"/>
    <w:rsid w:val="00C4173A"/>
    <w:rsid w:val="00C42EF1"/>
    <w:rsid w:val="00C43578"/>
    <w:rsid w:val="00C46179"/>
    <w:rsid w:val="00C474FE"/>
    <w:rsid w:val="00C50DED"/>
    <w:rsid w:val="00C52217"/>
    <w:rsid w:val="00C52A6A"/>
    <w:rsid w:val="00C535CA"/>
    <w:rsid w:val="00C57DCD"/>
    <w:rsid w:val="00C57EAA"/>
    <w:rsid w:val="00C602FF"/>
    <w:rsid w:val="00C60411"/>
    <w:rsid w:val="00C61174"/>
    <w:rsid w:val="00C6148F"/>
    <w:rsid w:val="00C621B1"/>
    <w:rsid w:val="00C62F7A"/>
    <w:rsid w:val="00C63B9C"/>
    <w:rsid w:val="00C63FEC"/>
    <w:rsid w:val="00C65430"/>
    <w:rsid w:val="00C6682F"/>
    <w:rsid w:val="00C67BF4"/>
    <w:rsid w:val="00C7275E"/>
    <w:rsid w:val="00C731AF"/>
    <w:rsid w:val="00C7467D"/>
    <w:rsid w:val="00C74C5D"/>
    <w:rsid w:val="00C74F64"/>
    <w:rsid w:val="00C80F73"/>
    <w:rsid w:val="00C81260"/>
    <w:rsid w:val="00C8537E"/>
    <w:rsid w:val="00C85CD4"/>
    <w:rsid w:val="00C85ED3"/>
    <w:rsid w:val="00C863C4"/>
    <w:rsid w:val="00C8722F"/>
    <w:rsid w:val="00C90DAB"/>
    <w:rsid w:val="00C91BCB"/>
    <w:rsid w:val="00C91E6B"/>
    <w:rsid w:val="00C920EA"/>
    <w:rsid w:val="00C93620"/>
    <w:rsid w:val="00C93C3E"/>
    <w:rsid w:val="00CA06C8"/>
    <w:rsid w:val="00CA12E3"/>
    <w:rsid w:val="00CA1476"/>
    <w:rsid w:val="00CA4816"/>
    <w:rsid w:val="00CA6611"/>
    <w:rsid w:val="00CA6AE6"/>
    <w:rsid w:val="00CA6E61"/>
    <w:rsid w:val="00CA782F"/>
    <w:rsid w:val="00CB187B"/>
    <w:rsid w:val="00CB2835"/>
    <w:rsid w:val="00CB3285"/>
    <w:rsid w:val="00CB35B2"/>
    <w:rsid w:val="00CB4500"/>
    <w:rsid w:val="00CC0A17"/>
    <w:rsid w:val="00CC0C72"/>
    <w:rsid w:val="00CC263A"/>
    <w:rsid w:val="00CC26A1"/>
    <w:rsid w:val="00CC2BFD"/>
    <w:rsid w:val="00CC318E"/>
    <w:rsid w:val="00CC3BB0"/>
    <w:rsid w:val="00CC4E86"/>
    <w:rsid w:val="00CC5EFA"/>
    <w:rsid w:val="00CC6F40"/>
    <w:rsid w:val="00CD3476"/>
    <w:rsid w:val="00CD5985"/>
    <w:rsid w:val="00CD64DF"/>
    <w:rsid w:val="00CD6CA5"/>
    <w:rsid w:val="00CD7CC9"/>
    <w:rsid w:val="00CE1D64"/>
    <w:rsid w:val="00CE225F"/>
    <w:rsid w:val="00CE5A7A"/>
    <w:rsid w:val="00CE5EAE"/>
    <w:rsid w:val="00CF131B"/>
    <w:rsid w:val="00CF1D16"/>
    <w:rsid w:val="00CF2F50"/>
    <w:rsid w:val="00CF5C9F"/>
    <w:rsid w:val="00CF6198"/>
    <w:rsid w:val="00CF7103"/>
    <w:rsid w:val="00D02919"/>
    <w:rsid w:val="00D02FFE"/>
    <w:rsid w:val="00D04C61"/>
    <w:rsid w:val="00D04DF2"/>
    <w:rsid w:val="00D05B8D"/>
    <w:rsid w:val="00D05B9B"/>
    <w:rsid w:val="00D065A2"/>
    <w:rsid w:val="00D079AA"/>
    <w:rsid w:val="00D07F00"/>
    <w:rsid w:val="00D1130F"/>
    <w:rsid w:val="00D14689"/>
    <w:rsid w:val="00D15013"/>
    <w:rsid w:val="00D1664C"/>
    <w:rsid w:val="00D17B72"/>
    <w:rsid w:val="00D22DE3"/>
    <w:rsid w:val="00D24219"/>
    <w:rsid w:val="00D260E4"/>
    <w:rsid w:val="00D27804"/>
    <w:rsid w:val="00D30AC1"/>
    <w:rsid w:val="00D3185C"/>
    <w:rsid w:val="00D3205F"/>
    <w:rsid w:val="00D3256C"/>
    <w:rsid w:val="00D3318E"/>
    <w:rsid w:val="00D33E29"/>
    <w:rsid w:val="00D33E72"/>
    <w:rsid w:val="00D35BD6"/>
    <w:rsid w:val="00D361B5"/>
    <w:rsid w:val="00D400D4"/>
    <w:rsid w:val="00D4032B"/>
    <w:rsid w:val="00D411A2"/>
    <w:rsid w:val="00D420C2"/>
    <w:rsid w:val="00D45763"/>
    <w:rsid w:val="00D4606D"/>
    <w:rsid w:val="00D46D4B"/>
    <w:rsid w:val="00D47CBC"/>
    <w:rsid w:val="00D50B9C"/>
    <w:rsid w:val="00D513AF"/>
    <w:rsid w:val="00D519EB"/>
    <w:rsid w:val="00D52D73"/>
    <w:rsid w:val="00D52E58"/>
    <w:rsid w:val="00D554E3"/>
    <w:rsid w:val="00D55D79"/>
    <w:rsid w:val="00D56B20"/>
    <w:rsid w:val="00D578B3"/>
    <w:rsid w:val="00D601BD"/>
    <w:rsid w:val="00D618F4"/>
    <w:rsid w:val="00D6276C"/>
    <w:rsid w:val="00D63076"/>
    <w:rsid w:val="00D63636"/>
    <w:rsid w:val="00D6579B"/>
    <w:rsid w:val="00D659A9"/>
    <w:rsid w:val="00D66D9E"/>
    <w:rsid w:val="00D67227"/>
    <w:rsid w:val="00D700B4"/>
    <w:rsid w:val="00D701EA"/>
    <w:rsid w:val="00D708C5"/>
    <w:rsid w:val="00D714CC"/>
    <w:rsid w:val="00D74F53"/>
    <w:rsid w:val="00D75EA7"/>
    <w:rsid w:val="00D761AB"/>
    <w:rsid w:val="00D76ECC"/>
    <w:rsid w:val="00D7796C"/>
    <w:rsid w:val="00D8180D"/>
    <w:rsid w:val="00D81ADF"/>
    <w:rsid w:val="00D81F21"/>
    <w:rsid w:val="00D83D4C"/>
    <w:rsid w:val="00D864F2"/>
    <w:rsid w:val="00D912A6"/>
    <w:rsid w:val="00D92984"/>
    <w:rsid w:val="00D93E2B"/>
    <w:rsid w:val="00D943F8"/>
    <w:rsid w:val="00D94A28"/>
    <w:rsid w:val="00D95470"/>
    <w:rsid w:val="00D95CF5"/>
    <w:rsid w:val="00D96B55"/>
    <w:rsid w:val="00DA07BD"/>
    <w:rsid w:val="00DA2619"/>
    <w:rsid w:val="00DA2CCB"/>
    <w:rsid w:val="00DA4239"/>
    <w:rsid w:val="00DA588C"/>
    <w:rsid w:val="00DA61C5"/>
    <w:rsid w:val="00DA65DE"/>
    <w:rsid w:val="00DA74B6"/>
    <w:rsid w:val="00DB0B61"/>
    <w:rsid w:val="00DB1474"/>
    <w:rsid w:val="00DB1DAE"/>
    <w:rsid w:val="00DB2962"/>
    <w:rsid w:val="00DB4BD1"/>
    <w:rsid w:val="00DB52FB"/>
    <w:rsid w:val="00DB64D1"/>
    <w:rsid w:val="00DC013B"/>
    <w:rsid w:val="00DC090B"/>
    <w:rsid w:val="00DC1679"/>
    <w:rsid w:val="00DC219B"/>
    <w:rsid w:val="00DC2CF1"/>
    <w:rsid w:val="00DC2DC7"/>
    <w:rsid w:val="00DC2EA0"/>
    <w:rsid w:val="00DC3203"/>
    <w:rsid w:val="00DC3A7C"/>
    <w:rsid w:val="00DC4FCF"/>
    <w:rsid w:val="00DC50E0"/>
    <w:rsid w:val="00DC6386"/>
    <w:rsid w:val="00DC6CFE"/>
    <w:rsid w:val="00DC7593"/>
    <w:rsid w:val="00DD02FD"/>
    <w:rsid w:val="00DD1130"/>
    <w:rsid w:val="00DD183D"/>
    <w:rsid w:val="00DD1951"/>
    <w:rsid w:val="00DD3A77"/>
    <w:rsid w:val="00DD3FB9"/>
    <w:rsid w:val="00DD487D"/>
    <w:rsid w:val="00DD4C83"/>
    <w:rsid w:val="00DD4E83"/>
    <w:rsid w:val="00DD5415"/>
    <w:rsid w:val="00DD6628"/>
    <w:rsid w:val="00DD6910"/>
    <w:rsid w:val="00DD6945"/>
    <w:rsid w:val="00DE2D04"/>
    <w:rsid w:val="00DE3250"/>
    <w:rsid w:val="00DE4457"/>
    <w:rsid w:val="00DE6028"/>
    <w:rsid w:val="00DE6432"/>
    <w:rsid w:val="00DE6C85"/>
    <w:rsid w:val="00DE78A3"/>
    <w:rsid w:val="00DF0A6E"/>
    <w:rsid w:val="00DF0F6F"/>
    <w:rsid w:val="00DF1A71"/>
    <w:rsid w:val="00DF202B"/>
    <w:rsid w:val="00DF50FC"/>
    <w:rsid w:val="00DF5C63"/>
    <w:rsid w:val="00DF68C7"/>
    <w:rsid w:val="00DF731A"/>
    <w:rsid w:val="00DF7C9C"/>
    <w:rsid w:val="00E010C7"/>
    <w:rsid w:val="00E02D74"/>
    <w:rsid w:val="00E036EA"/>
    <w:rsid w:val="00E05C30"/>
    <w:rsid w:val="00E06B75"/>
    <w:rsid w:val="00E077D1"/>
    <w:rsid w:val="00E11332"/>
    <w:rsid w:val="00E11352"/>
    <w:rsid w:val="00E122E1"/>
    <w:rsid w:val="00E170DC"/>
    <w:rsid w:val="00E17348"/>
    <w:rsid w:val="00E17546"/>
    <w:rsid w:val="00E176AA"/>
    <w:rsid w:val="00E20809"/>
    <w:rsid w:val="00E210B5"/>
    <w:rsid w:val="00E21D7C"/>
    <w:rsid w:val="00E241F5"/>
    <w:rsid w:val="00E261B3"/>
    <w:rsid w:val="00E26818"/>
    <w:rsid w:val="00E27FFC"/>
    <w:rsid w:val="00E30B15"/>
    <w:rsid w:val="00E32AB9"/>
    <w:rsid w:val="00E33237"/>
    <w:rsid w:val="00E34D99"/>
    <w:rsid w:val="00E34DDA"/>
    <w:rsid w:val="00E40181"/>
    <w:rsid w:val="00E40C40"/>
    <w:rsid w:val="00E415AA"/>
    <w:rsid w:val="00E43810"/>
    <w:rsid w:val="00E4404C"/>
    <w:rsid w:val="00E45CA6"/>
    <w:rsid w:val="00E477A3"/>
    <w:rsid w:val="00E507DB"/>
    <w:rsid w:val="00E52138"/>
    <w:rsid w:val="00E52313"/>
    <w:rsid w:val="00E52D46"/>
    <w:rsid w:val="00E52F5F"/>
    <w:rsid w:val="00E54950"/>
    <w:rsid w:val="00E54AB0"/>
    <w:rsid w:val="00E55FB3"/>
    <w:rsid w:val="00E56A01"/>
    <w:rsid w:val="00E575FD"/>
    <w:rsid w:val="00E60B94"/>
    <w:rsid w:val="00E60EC1"/>
    <w:rsid w:val="00E629A1"/>
    <w:rsid w:val="00E62C9F"/>
    <w:rsid w:val="00E63204"/>
    <w:rsid w:val="00E64D35"/>
    <w:rsid w:val="00E659F2"/>
    <w:rsid w:val="00E6794C"/>
    <w:rsid w:val="00E711AA"/>
    <w:rsid w:val="00E71591"/>
    <w:rsid w:val="00E71647"/>
    <w:rsid w:val="00E71CEB"/>
    <w:rsid w:val="00E7353E"/>
    <w:rsid w:val="00E73720"/>
    <w:rsid w:val="00E73821"/>
    <w:rsid w:val="00E741F5"/>
    <w:rsid w:val="00E7474F"/>
    <w:rsid w:val="00E80DE3"/>
    <w:rsid w:val="00E80F9E"/>
    <w:rsid w:val="00E82C55"/>
    <w:rsid w:val="00E83020"/>
    <w:rsid w:val="00E8340B"/>
    <w:rsid w:val="00E84C0C"/>
    <w:rsid w:val="00E859A1"/>
    <w:rsid w:val="00E8787E"/>
    <w:rsid w:val="00E9042A"/>
    <w:rsid w:val="00E923D7"/>
    <w:rsid w:val="00E92AC3"/>
    <w:rsid w:val="00E92C1F"/>
    <w:rsid w:val="00E95672"/>
    <w:rsid w:val="00E96794"/>
    <w:rsid w:val="00E96F59"/>
    <w:rsid w:val="00EA04FE"/>
    <w:rsid w:val="00EA133B"/>
    <w:rsid w:val="00EA1468"/>
    <w:rsid w:val="00EA2F6A"/>
    <w:rsid w:val="00EA3C22"/>
    <w:rsid w:val="00EA452B"/>
    <w:rsid w:val="00EA47A6"/>
    <w:rsid w:val="00EA47E7"/>
    <w:rsid w:val="00EA73DF"/>
    <w:rsid w:val="00EA779C"/>
    <w:rsid w:val="00EB00E0"/>
    <w:rsid w:val="00EB05D5"/>
    <w:rsid w:val="00EB21DC"/>
    <w:rsid w:val="00EB32AF"/>
    <w:rsid w:val="00EB4BC7"/>
    <w:rsid w:val="00EB56B9"/>
    <w:rsid w:val="00EB665F"/>
    <w:rsid w:val="00EB7224"/>
    <w:rsid w:val="00EC059F"/>
    <w:rsid w:val="00EC1705"/>
    <w:rsid w:val="00EC1F24"/>
    <w:rsid w:val="00EC22F6"/>
    <w:rsid w:val="00EC3DB9"/>
    <w:rsid w:val="00EC65BA"/>
    <w:rsid w:val="00ED3B57"/>
    <w:rsid w:val="00ED4215"/>
    <w:rsid w:val="00ED5B9B"/>
    <w:rsid w:val="00ED6841"/>
    <w:rsid w:val="00ED6BAD"/>
    <w:rsid w:val="00ED7447"/>
    <w:rsid w:val="00ED7762"/>
    <w:rsid w:val="00EE00D6"/>
    <w:rsid w:val="00EE11E7"/>
    <w:rsid w:val="00EE1488"/>
    <w:rsid w:val="00EE22A4"/>
    <w:rsid w:val="00EE29AD"/>
    <w:rsid w:val="00EE3E24"/>
    <w:rsid w:val="00EE4D5D"/>
    <w:rsid w:val="00EE5131"/>
    <w:rsid w:val="00EE69B6"/>
    <w:rsid w:val="00EE7767"/>
    <w:rsid w:val="00EF0BED"/>
    <w:rsid w:val="00EF109B"/>
    <w:rsid w:val="00EF201C"/>
    <w:rsid w:val="00EF2C72"/>
    <w:rsid w:val="00EF36AF"/>
    <w:rsid w:val="00EF59A3"/>
    <w:rsid w:val="00EF6675"/>
    <w:rsid w:val="00EF7986"/>
    <w:rsid w:val="00F00463"/>
    <w:rsid w:val="00F0063D"/>
    <w:rsid w:val="00F00F9C"/>
    <w:rsid w:val="00F01E5F"/>
    <w:rsid w:val="00F024F3"/>
    <w:rsid w:val="00F02ABA"/>
    <w:rsid w:val="00F0437A"/>
    <w:rsid w:val="00F05DC8"/>
    <w:rsid w:val="00F05E63"/>
    <w:rsid w:val="00F07010"/>
    <w:rsid w:val="00F101B8"/>
    <w:rsid w:val="00F10394"/>
    <w:rsid w:val="00F10934"/>
    <w:rsid w:val="00F11037"/>
    <w:rsid w:val="00F16F1B"/>
    <w:rsid w:val="00F17FC0"/>
    <w:rsid w:val="00F210E2"/>
    <w:rsid w:val="00F21AF5"/>
    <w:rsid w:val="00F223D0"/>
    <w:rsid w:val="00F23992"/>
    <w:rsid w:val="00F250A9"/>
    <w:rsid w:val="00F251AE"/>
    <w:rsid w:val="00F267AF"/>
    <w:rsid w:val="00F27F70"/>
    <w:rsid w:val="00F30FF4"/>
    <w:rsid w:val="00F3122E"/>
    <w:rsid w:val="00F31976"/>
    <w:rsid w:val="00F32368"/>
    <w:rsid w:val="00F331AD"/>
    <w:rsid w:val="00F334EA"/>
    <w:rsid w:val="00F35287"/>
    <w:rsid w:val="00F36DD8"/>
    <w:rsid w:val="00F40A70"/>
    <w:rsid w:val="00F43A37"/>
    <w:rsid w:val="00F4641B"/>
    <w:rsid w:val="00F46CEF"/>
    <w:rsid w:val="00F46EB8"/>
    <w:rsid w:val="00F47086"/>
    <w:rsid w:val="00F47EB4"/>
    <w:rsid w:val="00F50CD1"/>
    <w:rsid w:val="00F511E4"/>
    <w:rsid w:val="00F51327"/>
    <w:rsid w:val="00F52D09"/>
    <w:rsid w:val="00F52E08"/>
    <w:rsid w:val="00F53A66"/>
    <w:rsid w:val="00F5462D"/>
    <w:rsid w:val="00F5544E"/>
    <w:rsid w:val="00F55B21"/>
    <w:rsid w:val="00F56CA8"/>
    <w:rsid w:val="00F56EF6"/>
    <w:rsid w:val="00F60082"/>
    <w:rsid w:val="00F61285"/>
    <w:rsid w:val="00F61A9F"/>
    <w:rsid w:val="00F61B5F"/>
    <w:rsid w:val="00F63EB7"/>
    <w:rsid w:val="00F64696"/>
    <w:rsid w:val="00F649ED"/>
    <w:rsid w:val="00F65AA9"/>
    <w:rsid w:val="00F6609F"/>
    <w:rsid w:val="00F6646A"/>
    <w:rsid w:val="00F66B4B"/>
    <w:rsid w:val="00F6768F"/>
    <w:rsid w:val="00F72C2C"/>
    <w:rsid w:val="00F735CB"/>
    <w:rsid w:val="00F741F2"/>
    <w:rsid w:val="00F74E25"/>
    <w:rsid w:val="00F75FB4"/>
    <w:rsid w:val="00F76CAB"/>
    <w:rsid w:val="00F772C6"/>
    <w:rsid w:val="00F80DE2"/>
    <w:rsid w:val="00F815B5"/>
    <w:rsid w:val="00F81AC0"/>
    <w:rsid w:val="00F834D4"/>
    <w:rsid w:val="00F83E3C"/>
    <w:rsid w:val="00F847B6"/>
    <w:rsid w:val="00F84954"/>
    <w:rsid w:val="00F85195"/>
    <w:rsid w:val="00F8525E"/>
    <w:rsid w:val="00F868E3"/>
    <w:rsid w:val="00F91688"/>
    <w:rsid w:val="00F938BA"/>
    <w:rsid w:val="00F96DEA"/>
    <w:rsid w:val="00F97919"/>
    <w:rsid w:val="00FA2C46"/>
    <w:rsid w:val="00FA3525"/>
    <w:rsid w:val="00FA5189"/>
    <w:rsid w:val="00FA5731"/>
    <w:rsid w:val="00FA5A53"/>
    <w:rsid w:val="00FA70D6"/>
    <w:rsid w:val="00FB054B"/>
    <w:rsid w:val="00FB1F6E"/>
    <w:rsid w:val="00FB1FE0"/>
    <w:rsid w:val="00FB4769"/>
    <w:rsid w:val="00FB4911"/>
    <w:rsid w:val="00FB4CDA"/>
    <w:rsid w:val="00FB619F"/>
    <w:rsid w:val="00FB6481"/>
    <w:rsid w:val="00FB6D36"/>
    <w:rsid w:val="00FB78B3"/>
    <w:rsid w:val="00FC0965"/>
    <w:rsid w:val="00FC0F81"/>
    <w:rsid w:val="00FC2372"/>
    <w:rsid w:val="00FC252F"/>
    <w:rsid w:val="00FC256D"/>
    <w:rsid w:val="00FC395C"/>
    <w:rsid w:val="00FC5E8E"/>
    <w:rsid w:val="00FD1538"/>
    <w:rsid w:val="00FD201F"/>
    <w:rsid w:val="00FD2E5C"/>
    <w:rsid w:val="00FD3766"/>
    <w:rsid w:val="00FD3D05"/>
    <w:rsid w:val="00FD47C4"/>
    <w:rsid w:val="00FD5FE2"/>
    <w:rsid w:val="00FD69DD"/>
    <w:rsid w:val="00FD7A8F"/>
    <w:rsid w:val="00FE0C8F"/>
    <w:rsid w:val="00FE0EEB"/>
    <w:rsid w:val="00FE1EEE"/>
    <w:rsid w:val="00FE1F9D"/>
    <w:rsid w:val="00FE2DCF"/>
    <w:rsid w:val="00FE3FA7"/>
    <w:rsid w:val="00FE4081"/>
    <w:rsid w:val="00FE707F"/>
    <w:rsid w:val="00FE7F3F"/>
    <w:rsid w:val="00FF0F1D"/>
    <w:rsid w:val="00FF2A4E"/>
    <w:rsid w:val="00FF2FCE"/>
    <w:rsid w:val="00FF3744"/>
    <w:rsid w:val="00FF4314"/>
    <w:rsid w:val="00FF4D47"/>
    <w:rsid w:val="00FF4F7D"/>
    <w:rsid w:val="00FF6D9D"/>
    <w:rsid w:val="00FF7620"/>
    <w:rsid w:val="00FF7DD5"/>
    <w:rsid w:val="0C0E16B2"/>
    <w:rsid w:val="3214D8B0"/>
    <w:rsid w:val="42F05292"/>
    <w:rsid w:val="49DDA01E"/>
    <w:rsid w:val="4E41CF87"/>
    <w:rsid w:val="7805B19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6B07C5"/>
  <w15:docId w15:val="{7ED10388-341E-4422-9666-F4EA15B7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NormalWeb">
    <w:name w:val="Normal (Web)"/>
    <w:basedOn w:val="Normal"/>
    <w:uiPriority w:val="99"/>
    <w:unhideWhenUsed/>
    <w:rsid w:val="002B6D09"/>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2B6D09"/>
    <w:pPr>
      <w:ind w:left="720"/>
      <w:contextualSpacing/>
    </w:pPr>
  </w:style>
  <w:style w:type="character" w:customStyle="1" w:styleId="rpl-text-label">
    <w:name w:val="rpl-text-label"/>
    <w:basedOn w:val="DefaultParagraphFont"/>
    <w:rsid w:val="004475EB"/>
  </w:style>
  <w:style w:type="character" w:customStyle="1" w:styleId="rpl-text-icongroup">
    <w:name w:val="rpl-text-icon__group"/>
    <w:basedOn w:val="DefaultParagraphFont"/>
    <w:rsid w:val="004475EB"/>
  </w:style>
  <w:style w:type="character" w:styleId="Mention">
    <w:name w:val="Mention"/>
    <w:basedOn w:val="DefaultParagraphFont"/>
    <w:uiPriority w:val="99"/>
    <w:unhideWhenUsed/>
    <w:rsid w:val="006612DE"/>
    <w:rPr>
      <w:color w:val="2B579A"/>
      <w:shd w:val="clear" w:color="auto" w:fill="E1DFDD"/>
    </w:rPr>
  </w:style>
  <w:style w:type="character" w:customStyle="1" w:styleId="normaltextrun">
    <w:name w:val="normaltextrun"/>
    <w:basedOn w:val="DefaultParagraphFont"/>
    <w:rsid w:val="00AF1317"/>
  </w:style>
  <w:style w:type="character" w:customStyle="1" w:styleId="eop">
    <w:name w:val="eop"/>
    <w:basedOn w:val="DefaultParagraphFont"/>
    <w:rsid w:val="007926D2"/>
  </w:style>
  <w:style w:type="character" w:customStyle="1" w:styleId="HeaderChar">
    <w:name w:val="Header Char"/>
    <w:basedOn w:val="DefaultParagraphFont"/>
    <w:link w:val="Header"/>
    <w:uiPriority w:val="99"/>
    <w:rsid w:val="000C181E"/>
    <w:rPr>
      <w:rFonts w:ascii="Arial" w:hAnsi="Arial" w:cs="Arial"/>
      <w:b/>
      <w:color w:val="53565A"/>
      <w:sz w:val="18"/>
      <w:szCs w:val="18"/>
      <w:lang w:eastAsia="en-US"/>
    </w:rPr>
  </w:style>
  <w:style w:type="paragraph" w:styleId="TOCHeading">
    <w:name w:val="TOC Heading"/>
    <w:basedOn w:val="Heading1"/>
    <w:next w:val="Normal"/>
    <w:uiPriority w:val="39"/>
    <w:unhideWhenUsed/>
    <w:qFormat/>
    <w:rsid w:val="000C181E"/>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findhit">
    <w:name w:val="findhit"/>
    <w:basedOn w:val="DefaultParagraphFont"/>
    <w:rsid w:val="009A1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6691">
      <w:bodyDiv w:val="1"/>
      <w:marLeft w:val="0"/>
      <w:marRight w:val="0"/>
      <w:marTop w:val="0"/>
      <w:marBottom w:val="0"/>
      <w:divBdr>
        <w:top w:val="none" w:sz="0" w:space="0" w:color="auto"/>
        <w:left w:val="none" w:sz="0" w:space="0" w:color="auto"/>
        <w:bottom w:val="none" w:sz="0" w:space="0" w:color="auto"/>
        <w:right w:val="none" w:sz="0" w:space="0" w:color="auto"/>
      </w:divBdr>
      <w:divsChild>
        <w:div w:id="88963485">
          <w:marLeft w:val="0"/>
          <w:marRight w:val="0"/>
          <w:marTop w:val="0"/>
          <w:marBottom w:val="0"/>
          <w:divBdr>
            <w:top w:val="none" w:sz="0" w:space="0" w:color="auto"/>
            <w:left w:val="none" w:sz="0" w:space="0" w:color="auto"/>
            <w:bottom w:val="none" w:sz="0" w:space="0" w:color="auto"/>
            <w:right w:val="none" w:sz="0" w:space="0" w:color="auto"/>
          </w:divBdr>
          <w:divsChild>
            <w:div w:id="1647933135">
              <w:marLeft w:val="0"/>
              <w:marRight w:val="0"/>
              <w:marTop w:val="0"/>
              <w:marBottom w:val="0"/>
              <w:divBdr>
                <w:top w:val="none" w:sz="0" w:space="0" w:color="auto"/>
                <w:left w:val="none" w:sz="0" w:space="0" w:color="auto"/>
                <w:bottom w:val="none" w:sz="0" w:space="0" w:color="auto"/>
                <w:right w:val="none" w:sz="0" w:space="0" w:color="auto"/>
              </w:divBdr>
            </w:div>
          </w:divsChild>
        </w:div>
        <w:div w:id="121270842">
          <w:marLeft w:val="0"/>
          <w:marRight w:val="0"/>
          <w:marTop w:val="0"/>
          <w:marBottom w:val="0"/>
          <w:divBdr>
            <w:top w:val="none" w:sz="0" w:space="0" w:color="auto"/>
            <w:left w:val="none" w:sz="0" w:space="0" w:color="auto"/>
            <w:bottom w:val="none" w:sz="0" w:space="0" w:color="auto"/>
            <w:right w:val="none" w:sz="0" w:space="0" w:color="auto"/>
          </w:divBdr>
          <w:divsChild>
            <w:div w:id="3367800">
              <w:marLeft w:val="0"/>
              <w:marRight w:val="0"/>
              <w:marTop w:val="0"/>
              <w:marBottom w:val="0"/>
              <w:divBdr>
                <w:top w:val="none" w:sz="0" w:space="0" w:color="auto"/>
                <w:left w:val="none" w:sz="0" w:space="0" w:color="auto"/>
                <w:bottom w:val="none" w:sz="0" w:space="0" w:color="auto"/>
                <w:right w:val="none" w:sz="0" w:space="0" w:color="auto"/>
              </w:divBdr>
            </w:div>
          </w:divsChild>
        </w:div>
        <w:div w:id="455610093">
          <w:marLeft w:val="0"/>
          <w:marRight w:val="0"/>
          <w:marTop w:val="0"/>
          <w:marBottom w:val="0"/>
          <w:divBdr>
            <w:top w:val="none" w:sz="0" w:space="0" w:color="auto"/>
            <w:left w:val="none" w:sz="0" w:space="0" w:color="auto"/>
            <w:bottom w:val="none" w:sz="0" w:space="0" w:color="auto"/>
            <w:right w:val="none" w:sz="0" w:space="0" w:color="auto"/>
          </w:divBdr>
          <w:divsChild>
            <w:div w:id="969553534">
              <w:marLeft w:val="0"/>
              <w:marRight w:val="0"/>
              <w:marTop w:val="0"/>
              <w:marBottom w:val="0"/>
              <w:divBdr>
                <w:top w:val="none" w:sz="0" w:space="0" w:color="auto"/>
                <w:left w:val="none" w:sz="0" w:space="0" w:color="auto"/>
                <w:bottom w:val="none" w:sz="0" w:space="0" w:color="auto"/>
                <w:right w:val="none" w:sz="0" w:space="0" w:color="auto"/>
              </w:divBdr>
            </w:div>
          </w:divsChild>
        </w:div>
        <w:div w:id="910193382">
          <w:marLeft w:val="0"/>
          <w:marRight w:val="0"/>
          <w:marTop w:val="0"/>
          <w:marBottom w:val="0"/>
          <w:divBdr>
            <w:top w:val="none" w:sz="0" w:space="0" w:color="auto"/>
            <w:left w:val="none" w:sz="0" w:space="0" w:color="auto"/>
            <w:bottom w:val="none" w:sz="0" w:space="0" w:color="auto"/>
            <w:right w:val="none" w:sz="0" w:space="0" w:color="auto"/>
          </w:divBdr>
          <w:divsChild>
            <w:div w:id="105465132">
              <w:marLeft w:val="0"/>
              <w:marRight w:val="0"/>
              <w:marTop w:val="0"/>
              <w:marBottom w:val="0"/>
              <w:divBdr>
                <w:top w:val="none" w:sz="0" w:space="0" w:color="auto"/>
                <w:left w:val="none" w:sz="0" w:space="0" w:color="auto"/>
                <w:bottom w:val="none" w:sz="0" w:space="0" w:color="auto"/>
                <w:right w:val="none" w:sz="0" w:space="0" w:color="auto"/>
              </w:divBdr>
            </w:div>
          </w:divsChild>
        </w:div>
        <w:div w:id="1829205370">
          <w:marLeft w:val="0"/>
          <w:marRight w:val="0"/>
          <w:marTop w:val="0"/>
          <w:marBottom w:val="0"/>
          <w:divBdr>
            <w:top w:val="none" w:sz="0" w:space="0" w:color="auto"/>
            <w:left w:val="none" w:sz="0" w:space="0" w:color="auto"/>
            <w:bottom w:val="none" w:sz="0" w:space="0" w:color="auto"/>
            <w:right w:val="none" w:sz="0" w:space="0" w:color="auto"/>
          </w:divBdr>
          <w:divsChild>
            <w:div w:id="994796057">
              <w:marLeft w:val="0"/>
              <w:marRight w:val="0"/>
              <w:marTop w:val="0"/>
              <w:marBottom w:val="0"/>
              <w:divBdr>
                <w:top w:val="none" w:sz="0" w:space="0" w:color="auto"/>
                <w:left w:val="none" w:sz="0" w:space="0" w:color="auto"/>
                <w:bottom w:val="none" w:sz="0" w:space="0" w:color="auto"/>
                <w:right w:val="none" w:sz="0" w:space="0" w:color="auto"/>
              </w:divBdr>
            </w:div>
          </w:divsChild>
        </w:div>
        <w:div w:id="2079935447">
          <w:marLeft w:val="0"/>
          <w:marRight w:val="0"/>
          <w:marTop w:val="0"/>
          <w:marBottom w:val="0"/>
          <w:divBdr>
            <w:top w:val="none" w:sz="0" w:space="0" w:color="auto"/>
            <w:left w:val="none" w:sz="0" w:space="0" w:color="auto"/>
            <w:bottom w:val="none" w:sz="0" w:space="0" w:color="auto"/>
            <w:right w:val="none" w:sz="0" w:space="0" w:color="auto"/>
          </w:divBdr>
          <w:divsChild>
            <w:div w:id="10503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625">
      <w:bodyDiv w:val="1"/>
      <w:marLeft w:val="0"/>
      <w:marRight w:val="0"/>
      <w:marTop w:val="0"/>
      <w:marBottom w:val="0"/>
      <w:divBdr>
        <w:top w:val="none" w:sz="0" w:space="0" w:color="auto"/>
        <w:left w:val="none" w:sz="0" w:space="0" w:color="auto"/>
        <w:bottom w:val="none" w:sz="0" w:space="0" w:color="auto"/>
        <w:right w:val="none" w:sz="0" w:space="0" w:color="auto"/>
      </w:divBdr>
    </w:div>
    <w:div w:id="117528478">
      <w:bodyDiv w:val="1"/>
      <w:marLeft w:val="0"/>
      <w:marRight w:val="0"/>
      <w:marTop w:val="0"/>
      <w:marBottom w:val="0"/>
      <w:divBdr>
        <w:top w:val="none" w:sz="0" w:space="0" w:color="auto"/>
        <w:left w:val="none" w:sz="0" w:space="0" w:color="auto"/>
        <w:bottom w:val="none" w:sz="0" w:space="0" w:color="auto"/>
        <w:right w:val="none" w:sz="0" w:space="0" w:color="auto"/>
      </w:divBdr>
      <w:divsChild>
        <w:div w:id="570964209">
          <w:marLeft w:val="0"/>
          <w:marRight w:val="0"/>
          <w:marTop w:val="0"/>
          <w:marBottom w:val="0"/>
          <w:divBdr>
            <w:top w:val="none" w:sz="0" w:space="0" w:color="auto"/>
            <w:left w:val="none" w:sz="0" w:space="0" w:color="auto"/>
            <w:bottom w:val="none" w:sz="0" w:space="0" w:color="auto"/>
            <w:right w:val="none" w:sz="0" w:space="0" w:color="auto"/>
          </w:divBdr>
        </w:div>
      </w:divsChild>
    </w:div>
    <w:div w:id="12177030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38616995">
      <w:bodyDiv w:val="1"/>
      <w:marLeft w:val="0"/>
      <w:marRight w:val="0"/>
      <w:marTop w:val="0"/>
      <w:marBottom w:val="0"/>
      <w:divBdr>
        <w:top w:val="none" w:sz="0" w:space="0" w:color="auto"/>
        <w:left w:val="none" w:sz="0" w:space="0" w:color="auto"/>
        <w:bottom w:val="none" w:sz="0" w:space="0" w:color="auto"/>
        <w:right w:val="none" w:sz="0" w:space="0" w:color="auto"/>
      </w:divBdr>
      <w:divsChild>
        <w:div w:id="7561180">
          <w:marLeft w:val="0"/>
          <w:marRight w:val="0"/>
          <w:marTop w:val="0"/>
          <w:marBottom w:val="0"/>
          <w:divBdr>
            <w:top w:val="none" w:sz="0" w:space="0" w:color="auto"/>
            <w:left w:val="none" w:sz="0" w:space="0" w:color="auto"/>
            <w:bottom w:val="none" w:sz="0" w:space="0" w:color="auto"/>
            <w:right w:val="none" w:sz="0" w:space="0" w:color="auto"/>
          </w:divBdr>
          <w:divsChild>
            <w:div w:id="180972982">
              <w:marLeft w:val="0"/>
              <w:marRight w:val="0"/>
              <w:marTop w:val="0"/>
              <w:marBottom w:val="0"/>
              <w:divBdr>
                <w:top w:val="none" w:sz="0" w:space="0" w:color="auto"/>
                <w:left w:val="none" w:sz="0" w:space="0" w:color="auto"/>
                <w:bottom w:val="none" w:sz="0" w:space="0" w:color="auto"/>
                <w:right w:val="none" w:sz="0" w:space="0" w:color="auto"/>
              </w:divBdr>
            </w:div>
          </w:divsChild>
        </w:div>
        <w:div w:id="32077591">
          <w:marLeft w:val="0"/>
          <w:marRight w:val="0"/>
          <w:marTop w:val="0"/>
          <w:marBottom w:val="0"/>
          <w:divBdr>
            <w:top w:val="none" w:sz="0" w:space="0" w:color="auto"/>
            <w:left w:val="none" w:sz="0" w:space="0" w:color="auto"/>
            <w:bottom w:val="none" w:sz="0" w:space="0" w:color="auto"/>
            <w:right w:val="none" w:sz="0" w:space="0" w:color="auto"/>
          </w:divBdr>
          <w:divsChild>
            <w:div w:id="198322763">
              <w:marLeft w:val="0"/>
              <w:marRight w:val="0"/>
              <w:marTop w:val="0"/>
              <w:marBottom w:val="0"/>
              <w:divBdr>
                <w:top w:val="none" w:sz="0" w:space="0" w:color="auto"/>
                <w:left w:val="none" w:sz="0" w:space="0" w:color="auto"/>
                <w:bottom w:val="none" w:sz="0" w:space="0" w:color="auto"/>
                <w:right w:val="none" w:sz="0" w:space="0" w:color="auto"/>
              </w:divBdr>
            </w:div>
          </w:divsChild>
        </w:div>
        <w:div w:id="136731150">
          <w:marLeft w:val="0"/>
          <w:marRight w:val="0"/>
          <w:marTop w:val="0"/>
          <w:marBottom w:val="0"/>
          <w:divBdr>
            <w:top w:val="none" w:sz="0" w:space="0" w:color="auto"/>
            <w:left w:val="none" w:sz="0" w:space="0" w:color="auto"/>
            <w:bottom w:val="none" w:sz="0" w:space="0" w:color="auto"/>
            <w:right w:val="none" w:sz="0" w:space="0" w:color="auto"/>
          </w:divBdr>
          <w:divsChild>
            <w:div w:id="1495797343">
              <w:marLeft w:val="0"/>
              <w:marRight w:val="0"/>
              <w:marTop w:val="0"/>
              <w:marBottom w:val="0"/>
              <w:divBdr>
                <w:top w:val="none" w:sz="0" w:space="0" w:color="auto"/>
                <w:left w:val="none" w:sz="0" w:space="0" w:color="auto"/>
                <w:bottom w:val="none" w:sz="0" w:space="0" w:color="auto"/>
                <w:right w:val="none" w:sz="0" w:space="0" w:color="auto"/>
              </w:divBdr>
            </w:div>
            <w:div w:id="1506551717">
              <w:marLeft w:val="0"/>
              <w:marRight w:val="0"/>
              <w:marTop w:val="0"/>
              <w:marBottom w:val="0"/>
              <w:divBdr>
                <w:top w:val="none" w:sz="0" w:space="0" w:color="auto"/>
                <w:left w:val="none" w:sz="0" w:space="0" w:color="auto"/>
                <w:bottom w:val="none" w:sz="0" w:space="0" w:color="auto"/>
                <w:right w:val="none" w:sz="0" w:space="0" w:color="auto"/>
              </w:divBdr>
            </w:div>
          </w:divsChild>
        </w:div>
        <w:div w:id="351419629">
          <w:marLeft w:val="0"/>
          <w:marRight w:val="0"/>
          <w:marTop w:val="0"/>
          <w:marBottom w:val="0"/>
          <w:divBdr>
            <w:top w:val="none" w:sz="0" w:space="0" w:color="auto"/>
            <w:left w:val="none" w:sz="0" w:space="0" w:color="auto"/>
            <w:bottom w:val="none" w:sz="0" w:space="0" w:color="auto"/>
            <w:right w:val="none" w:sz="0" w:space="0" w:color="auto"/>
          </w:divBdr>
          <w:divsChild>
            <w:div w:id="149100008">
              <w:marLeft w:val="0"/>
              <w:marRight w:val="0"/>
              <w:marTop w:val="0"/>
              <w:marBottom w:val="0"/>
              <w:divBdr>
                <w:top w:val="none" w:sz="0" w:space="0" w:color="auto"/>
                <w:left w:val="none" w:sz="0" w:space="0" w:color="auto"/>
                <w:bottom w:val="none" w:sz="0" w:space="0" w:color="auto"/>
                <w:right w:val="none" w:sz="0" w:space="0" w:color="auto"/>
              </w:divBdr>
            </w:div>
            <w:div w:id="2039354637">
              <w:marLeft w:val="0"/>
              <w:marRight w:val="0"/>
              <w:marTop w:val="0"/>
              <w:marBottom w:val="0"/>
              <w:divBdr>
                <w:top w:val="none" w:sz="0" w:space="0" w:color="auto"/>
                <w:left w:val="none" w:sz="0" w:space="0" w:color="auto"/>
                <w:bottom w:val="none" w:sz="0" w:space="0" w:color="auto"/>
                <w:right w:val="none" w:sz="0" w:space="0" w:color="auto"/>
              </w:divBdr>
            </w:div>
          </w:divsChild>
        </w:div>
        <w:div w:id="356741484">
          <w:marLeft w:val="0"/>
          <w:marRight w:val="0"/>
          <w:marTop w:val="0"/>
          <w:marBottom w:val="0"/>
          <w:divBdr>
            <w:top w:val="none" w:sz="0" w:space="0" w:color="auto"/>
            <w:left w:val="none" w:sz="0" w:space="0" w:color="auto"/>
            <w:bottom w:val="none" w:sz="0" w:space="0" w:color="auto"/>
            <w:right w:val="none" w:sz="0" w:space="0" w:color="auto"/>
          </w:divBdr>
          <w:divsChild>
            <w:div w:id="467941340">
              <w:marLeft w:val="0"/>
              <w:marRight w:val="0"/>
              <w:marTop w:val="0"/>
              <w:marBottom w:val="0"/>
              <w:divBdr>
                <w:top w:val="none" w:sz="0" w:space="0" w:color="auto"/>
                <w:left w:val="none" w:sz="0" w:space="0" w:color="auto"/>
                <w:bottom w:val="none" w:sz="0" w:space="0" w:color="auto"/>
                <w:right w:val="none" w:sz="0" w:space="0" w:color="auto"/>
              </w:divBdr>
            </w:div>
          </w:divsChild>
        </w:div>
        <w:div w:id="611522148">
          <w:marLeft w:val="0"/>
          <w:marRight w:val="0"/>
          <w:marTop w:val="0"/>
          <w:marBottom w:val="0"/>
          <w:divBdr>
            <w:top w:val="none" w:sz="0" w:space="0" w:color="auto"/>
            <w:left w:val="none" w:sz="0" w:space="0" w:color="auto"/>
            <w:bottom w:val="none" w:sz="0" w:space="0" w:color="auto"/>
            <w:right w:val="none" w:sz="0" w:space="0" w:color="auto"/>
          </w:divBdr>
          <w:divsChild>
            <w:div w:id="2074573707">
              <w:marLeft w:val="0"/>
              <w:marRight w:val="0"/>
              <w:marTop w:val="0"/>
              <w:marBottom w:val="0"/>
              <w:divBdr>
                <w:top w:val="none" w:sz="0" w:space="0" w:color="auto"/>
                <w:left w:val="none" w:sz="0" w:space="0" w:color="auto"/>
                <w:bottom w:val="none" w:sz="0" w:space="0" w:color="auto"/>
                <w:right w:val="none" w:sz="0" w:space="0" w:color="auto"/>
              </w:divBdr>
            </w:div>
          </w:divsChild>
        </w:div>
        <w:div w:id="787284339">
          <w:marLeft w:val="0"/>
          <w:marRight w:val="0"/>
          <w:marTop w:val="0"/>
          <w:marBottom w:val="0"/>
          <w:divBdr>
            <w:top w:val="none" w:sz="0" w:space="0" w:color="auto"/>
            <w:left w:val="none" w:sz="0" w:space="0" w:color="auto"/>
            <w:bottom w:val="none" w:sz="0" w:space="0" w:color="auto"/>
            <w:right w:val="none" w:sz="0" w:space="0" w:color="auto"/>
          </w:divBdr>
          <w:divsChild>
            <w:div w:id="30227742">
              <w:marLeft w:val="0"/>
              <w:marRight w:val="0"/>
              <w:marTop w:val="0"/>
              <w:marBottom w:val="0"/>
              <w:divBdr>
                <w:top w:val="none" w:sz="0" w:space="0" w:color="auto"/>
                <w:left w:val="none" w:sz="0" w:space="0" w:color="auto"/>
                <w:bottom w:val="none" w:sz="0" w:space="0" w:color="auto"/>
                <w:right w:val="none" w:sz="0" w:space="0" w:color="auto"/>
              </w:divBdr>
            </w:div>
            <w:div w:id="1386369483">
              <w:marLeft w:val="0"/>
              <w:marRight w:val="0"/>
              <w:marTop w:val="0"/>
              <w:marBottom w:val="0"/>
              <w:divBdr>
                <w:top w:val="none" w:sz="0" w:space="0" w:color="auto"/>
                <w:left w:val="none" w:sz="0" w:space="0" w:color="auto"/>
                <w:bottom w:val="none" w:sz="0" w:space="0" w:color="auto"/>
                <w:right w:val="none" w:sz="0" w:space="0" w:color="auto"/>
              </w:divBdr>
            </w:div>
          </w:divsChild>
        </w:div>
        <w:div w:id="911425280">
          <w:marLeft w:val="0"/>
          <w:marRight w:val="0"/>
          <w:marTop w:val="0"/>
          <w:marBottom w:val="0"/>
          <w:divBdr>
            <w:top w:val="none" w:sz="0" w:space="0" w:color="auto"/>
            <w:left w:val="none" w:sz="0" w:space="0" w:color="auto"/>
            <w:bottom w:val="none" w:sz="0" w:space="0" w:color="auto"/>
            <w:right w:val="none" w:sz="0" w:space="0" w:color="auto"/>
          </w:divBdr>
          <w:divsChild>
            <w:div w:id="249581898">
              <w:marLeft w:val="0"/>
              <w:marRight w:val="0"/>
              <w:marTop w:val="0"/>
              <w:marBottom w:val="0"/>
              <w:divBdr>
                <w:top w:val="none" w:sz="0" w:space="0" w:color="auto"/>
                <w:left w:val="none" w:sz="0" w:space="0" w:color="auto"/>
                <w:bottom w:val="none" w:sz="0" w:space="0" w:color="auto"/>
                <w:right w:val="none" w:sz="0" w:space="0" w:color="auto"/>
              </w:divBdr>
            </w:div>
          </w:divsChild>
        </w:div>
        <w:div w:id="960962152">
          <w:marLeft w:val="0"/>
          <w:marRight w:val="0"/>
          <w:marTop w:val="0"/>
          <w:marBottom w:val="0"/>
          <w:divBdr>
            <w:top w:val="none" w:sz="0" w:space="0" w:color="auto"/>
            <w:left w:val="none" w:sz="0" w:space="0" w:color="auto"/>
            <w:bottom w:val="none" w:sz="0" w:space="0" w:color="auto"/>
            <w:right w:val="none" w:sz="0" w:space="0" w:color="auto"/>
          </w:divBdr>
          <w:divsChild>
            <w:div w:id="407388663">
              <w:marLeft w:val="0"/>
              <w:marRight w:val="0"/>
              <w:marTop w:val="0"/>
              <w:marBottom w:val="0"/>
              <w:divBdr>
                <w:top w:val="none" w:sz="0" w:space="0" w:color="auto"/>
                <w:left w:val="none" w:sz="0" w:space="0" w:color="auto"/>
                <w:bottom w:val="none" w:sz="0" w:space="0" w:color="auto"/>
                <w:right w:val="none" w:sz="0" w:space="0" w:color="auto"/>
              </w:divBdr>
            </w:div>
            <w:div w:id="1092121749">
              <w:marLeft w:val="0"/>
              <w:marRight w:val="0"/>
              <w:marTop w:val="0"/>
              <w:marBottom w:val="0"/>
              <w:divBdr>
                <w:top w:val="none" w:sz="0" w:space="0" w:color="auto"/>
                <w:left w:val="none" w:sz="0" w:space="0" w:color="auto"/>
                <w:bottom w:val="none" w:sz="0" w:space="0" w:color="auto"/>
                <w:right w:val="none" w:sz="0" w:space="0" w:color="auto"/>
              </w:divBdr>
            </w:div>
          </w:divsChild>
        </w:div>
        <w:div w:id="1106652903">
          <w:marLeft w:val="0"/>
          <w:marRight w:val="0"/>
          <w:marTop w:val="0"/>
          <w:marBottom w:val="0"/>
          <w:divBdr>
            <w:top w:val="none" w:sz="0" w:space="0" w:color="auto"/>
            <w:left w:val="none" w:sz="0" w:space="0" w:color="auto"/>
            <w:bottom w:val="none" w:sz="0" w:space="0" w:color="auto"/>
            <w:right w:val="none" w:sz="0" w:space="0" w:color="auto"/>
          </w:divBdr>
          <w:divsChild>
            <w:div w:id="1942953040">
              <w:marLeft w:val="0"/>
              <w:marRight w:val="0"/>
              <w:marTop w:val="0"/>
              <w:marBottom w:val="0"/>
              <w:divBdr>
                <w:top w:val="none" w:sz="0" w:space="0" w:color="auto"/>
                <w:left w:val="none" w:sz="0" w:space="0" w:color="auto"/>
                <w:bottom w:val="none" w:sz="0" w:space="0" w:color="auto"/>
                <w:right w:val="none" w:sz="0" w:space="0" w:color="auto"/>
              </w:divBdr>
            </w:div>
          </w:divsChild>
        </w:div>
        <w:div w:id="1142043111">
          <w:marLeft w:val="0"/>
          <w:marRight w:val="0"/>
          <w:marTop w:val="0"/>
          <w:marBottom w:val="0"/>
          <w:divBdr>
            <w:top w:val="none" w:sz="0" w:space="0" w:color="auto"/>
            <w:left w:val="none" w:sz="0" w:space="0" w:color="auto"/>
            <w:bottom w:val="none" w:sz="0" w:space="0" w:color="auto"/>
            <w:right w:val="none" w:sz="0" w:space="0" w:color="auto"/>
          </w:divBdr>
          <w:divsChild>
            <w:div w:id="86274639">
              <w:marLeft w:val="0"/>
              <w:marRight w:val="0"/>
              <w:marTop w:val="0"/>
              <w:marBottom w:val="0"/>
              <w:divBdr>
                <w:top w:val="none" w:sz="0" w:space="0" w:color="auto"/>
                <w:left w:val="none" w:sz="0" w:space="0" w:color="auto"/>
                <w:bottom w:val="none" w:sz="0" w:space="0" w:color="auto"/>
                <w:right w:val="none" w:sz="0" w:space="0" w:color="auto"/>
              </w:divBdr>
            </w:div>
            <w:div w:id="1660648148">
              <w:marLeft w:val="0"/>
              <w:marRight w:val="0"/>
              <w:marTop w:val="0"/>
              <w:marBottom w:val="0"/>
              <w:divBdr>
                <w:top w:val="none" w:sz="0" w:space="0" w:color="auto"/>
                <w:left w:val="none" w:sz="0" w:space="0" w:color="auto"/>
                <w:bottom w:val="none" w:sz="0" w:space="0" w:color="auto"/>
                <w:right w:val="none" w:sz="0" w:space="0" w:color="auto"/>
              </w:divBdr>
            </w:div>
          </w:divsChild>
        </w:div>
        <w:div w:id="1241066757">
          <w:marLeft w:val="0"/>
          <w:marRight w:val="0"/>
          <w:marTop w:val="0"/>
          <w:marBottom w:val="0"/>
          <w:divBdr>
            <w:top w:val="none" w:sz="0" w:space="0" w:color="auto"/>
            <w:left w:val="none" w:sz="0" w:space="0" w:color="auto"/>
            <w:bottom w:val="none" w:sz="0" w:space="0" w:color="auto"/>
            <w:right w:val="none" w:sz="0" w:space="0" w:color="auto"/>
          </w:divBdr>
          <w:divsChild>
            <w:div w:id="1859541384">
              <w:marLeft w:val="0"/>
              <w:marRight w:val="0"/>
              <w:marTop w:val="0"/>
              <w:marBottom w:val="0"/>
              <w:divBdr>
                <w:top w:val="none" w:sz="0" w:space="0" w:color="auto"/>
                <w:left w:val="none" w:sz="0" w:space="0" w:color="auto"/>
                <w:bottom w:val="none" w:sz="0" w:space="0" w:color="auto"/>
                <w:right w:val="none" w:sz="0" w:space="0" w:color="auto"/>
              </w:divBdr>
            </w:div>
          </w:divsChild>
        </w:div>
        <w:div w:id="1273318252">
          <w:marLeft w:val="0"/>
          <w:marRight w:val="0"/>
          <w:marTop w:val="0"/>
          <w:marBottom w:val="0"/>
          <w:divBdr>
            <w:top w:val="none" w:sz="0" w:space="0" w:color="auto"/>
            <w:left w:val="none" w:sz="0" w:space="0" w:color="auto"/>
            <w:bottom w:val="none" w:sz="0" w:space="0" w:color="auto"/>
            <w:right w:val="none" w:sz="0" w:space="0" w:color="auto"/>
          </w:divBdr>
          <w:divsChild>
            <w:div w:id="762993162">
              <w:marLeft w:val="0"/>
              <w:marRight w:val="0"/>
              <w:marTop w:val="0"/>
              <w:marBottom w:val="0"/>
              <w:divBdr>
                <w:top w:val="none" w:sz="0" w:space="0" w:color="auto"/>
                <w:left w:val="none" w:sz="0" w:space="0" w:color="auto"/>
                <w:bottom w:val="none" w:sz="0" w:space="0" w:color="auto"/>
                <w:right w:val="none" w:sz="0" w:space="0" w:color="auto"/>
              </w:divBdr>
            </w:div>
            <w:div w:id="1533372558">
              <w:marLeft w:val="0"/>
              <w:marRight w:val="0"/>
              <w:marTop w:val="0"/>
              <w:marBottom w:val="0"/>
              <w:divBdr>
                <w:top w:val="none" w:sz="0" w:space="0" w:color="auto"/>
                <w:left w:val="none" w:sz="0" w:space="0" w:color="auto"/>
                <w:bottom w:val="none" w:sz="0" w:space="0" w:color="auto"/>
                <w:right w:val="none" w:sz="0" w:space="0" w:color="auto"/>
              </w:divBdr>
            </w:div>
          </w:divsChild>
        </w:div>
        <w:div w:id="1485076549">
          <w:marLeft w:val="0"/>
          <w:marRight w:val="0"/>
          <w:marTop w:val="0"/>
          <w:marBottom w:val="0"/>
          <w:divBdr>
            <w:top w:val="none" w:sz="0" w:space="0" w:color="auto"/>
            <w:left w:val="none" w:sz="0" w:space="0" w:color="auto"/>
            <w:bottom w:val="none" w:sz="0" w:space="0" w:color="auto"/>
            <w:right w:val="none" w:sz="0" w:space="0" w:color="auto"/>
          </w:divBdr>
          <w:divsChild>
            <w:div w:id="84083167">
              <w:marLeft w:val="0"/>
              <w:marRight w:val="0"/>
              <w:marTop w:val="0"/>
              <w:marBottom w:val="0"/>
              <w:divBdr>
                <w:top w:val="none" w:sz="0" w:space="0" w:color="auto"/>
                <w:left w:val="none" w:sz="0" w:space="0" w:color="auto"/>
                <w:bottom w:val="none" w:sz="0" w:space="0" w:color="auto"/>
                <w:right w:val="none" w:sz="0" w:space="0" w:color="auto"/>
              </w:divBdr>
            </w:div>
            <w:div w:id="1751462138">
              <w:marLeft w:val="0"/>
              <w:marRight w:val="0"/>
              <w:marTop w:val="0"/>
              <w:marBottom w:val="0"/>
              <w:divBdr>
                <w:top w:val="none" w:sz="0" w:space="0" w:color="auto"/>
                <w:left w:val="none" w:sz="0" w:space="0" w:color="auto"/>
                <w:bottom w:val="none" w:sz="0" w:space="0" w:color="auto"/>
                <w:right w:val="none" w:sz="0" w:space="0" w:color="auto"/>
              </w:divBdr>
            </w:div>
          </w:divsChild>
        </w:div>
        <w:div w:id="1522237017">
          <w:marLeft w:val="0"/>
          <w:marRight w:val="0"/>
          <w:marTop w:val="0"/>
          <w:marBottom w:val="0"/>
          <w:divBdr>
            <w:top w:val="none" w:sz="0" w:space="0" w:color="auto"/>
            <w:left w:val="none" w:sz="0" w:space="0" w:color="auto"/>
            <w:bottom w:val="none" w:sz="0" w:space="0" w:color="auto"/>
            <w:right w:val="none" w:sz="0" w:space="0" w:color="auto"/>
          </w:divBdr>
          <w:divsChild>
            <w:div w:id="67117374">
              <w:marLeft w:val="0"/>
              <w:marRight w:val="0"/>
              <w:marTop w:val="0"/>
              <w:marBottom w:val="0"/>
              <w:divBdr>
                <w:top w:val="none" w:sz="0" w:space="0" w:color="auto"/>
                <w:left w:val="none" w:sz="0" w:space="0" w:color="auto"/>
                <w:bottom w:val="none" w:sz="0" w:space="0" w:color="auto"/>
                <w:right w:val="none" w:sz="0" w:space="0" w:color="auto"/>
              </w:divBdr>
            </w:div>
          </w:divsChild>
        </w:div>
        <w:div w:id="1537618294">
          <w:marLeft w:val="0"/>
          <w:marRight w:val="0"/>
          <w:marTop w:val="0"/>
          <w:marBottom w:val="0"/>
          <w:divBdr>
            <w:top w:val="none" w:sz="0" w:space="0" w:color="auto"/>
            <w:left w:val="none" w:sz="0" w:space="0" w:color="auto"/>
            <w:bottom w:val="none" w:sz="0" w:space="0" w:color="auto"/>
            <w:right w:val="none" w:sz="0" w:space="0" w:color="auto"/>
          </w:divBdr>
          <w:divsChild>
            <w:div w:id="69541312">
              <w:marLeft w:val="0"/>
              <w:marRight w:val="0"/>
              <w:marTop w:val="0"/>
              <w:marBottom w:val="0"/>
              <w:divBdr>
                <w:top w:val="none" w:sz="0" w:space="0" w:color="auto"/>
                <w:left w:val="none" w:sz="0" w:space="0" w:color="auto"/>
                <w:bottom w:val="none" w:sz="0" w:space="0" w:color="auto"/>
                <w:right w:val="none" w:sz="0" w:space="0" w:color="auto"/>
              </w:divBdr>
            </w:div>
          </w:divsChild>
        </w:div>
        <w:div w:id="1630741203">
          <w:marLeft w:val="0"/>
          <w:marRight w:val="0"/>
          <w:marTop w:val="0"/>
          <w:marBottom w:val="0"/>
          <w:divBdr>
            <w:top w:val="none" w:sz="0" w:space="0" w:color="auto"/>
            <w:left w:val="none" w:sz="0" w:space="0" w:color="auto"/>
            <w:bottom w:val="none" w:sz="0" w:space="0" w:color="auto"/>
            <w:right w:val="none" w:sz="0" w:space="0" w:color="auto"/>
          </w:divBdr>
          <w:divsChild>
            <w:div w:id="1605653169">
              <w:marLeft w:val="0"/>
              <w:marRight w:val="0"/>
              <w:marTop w:val="0"/>
              <w:marBottom w:val="0"/>
              <w:divBdr>
                <w:top w:val="none" w:sz="0" w:space="0" w:color="auto"/>
                <w:left w:val="none" w:sz="0" w:space="0" w:color="auto"/>
                <w:bottom w:val="none" w:sz="0" w:space="0" w:color="auto"/>
                <w:right w:val="none" w:sz="0" w:space="0" w:color="auto"/>
              </w:divBdr>
            </w:div>
            <w:div w:id="2076123684">
              <w:marLeft w:val="0"/>
              <w:marRight w:val="0"/>
              <w:marTop w:val="0"/>
              <w:marBottom w:val="0"/>
              <w:divBdr>
                <w:top w:val="none" w:sz="0" w:space="0" w:color="auto"/>
                <w:left w:val="none" w:sz="0" w:space="0" w:color="auto"/>
                <w:bottom w:val="none" w:sz="0" w:space="0" w:color="auto"/>
                <w:right w:val="none" w:sz="0" w:space="0" w:color="auto"/>
              </w:divBdr>
            </w:div>
          </w:divsChild>
        </w:div>
        <w:div w:id="1644501950">
          <w:marLeft w:val="0"/>
          <w:marRight w:val="0"/>
          <w:marTop w:val="0"/>
          <w:marBottom w:val="0"/>
          <w:divBdr>
            <w:top w:val="none" w:sz="0" w:space="0" w:color="auto"/>
            <w:left w:val="none" w:sz="0" w:space="0" w:color="auto"/>
            <w:bottom w:val="none" w:sz="0" w:space="0" w:color="auto"/>
            <w:right w:val="none" w:sz="0" w:space="0" w:color="auto"/>
          </w:divBdr>
          <w:divsChild>
            <w:div w:id="1982612834">
              <w:marLeft w:val="0"/>
              <w:marRight w:val="0"/>
              <w:marTop w:val="0"/>
              <w:marBottom w:val="0"/>
              <w:divBdr>
                <w:top w:val="none" w:sz="0" w:space="0" w:color="auto"/>
                <w:left w:val="none" w:sz="0" w:space="0" w:color="auto"/>
                <w:bottom w:val="none" w:sz="0" w:space="0" w:color="auto"/>
                <w:right w:val="none" w:sz="0" w:space="0" w:color="auto"/>
              </w:divBdr>
            </w:div>
          </w:divsChild>
        </w:div>
        <w:div w:id="1763332430">
          <w:marLeft w:val="0"/>
          <w:marRight w:val="0"/>
          <w:marTop w:val="0"/>
          <w:marBottom w:val="0"/>
          <w:divBdr>
            <w:top w:val="none" w:sz="0" w:space="0" w:color="auto"/>
            <w:left w:val="none" w:sz="0" w:space="0" w:color="auto"/>
            <w:bottom w:val="none" w:sz="0" w:space="0" w:color="auto"/>
            <w:right w:val="none" w:sz="0" w:space="0" w:color="auto"/>
          </w:divBdr>
          <w:divsChild>
            <w:div w:id="561331497">
              <w:marLeft w:val="0"/>
              <w:marRight w:val="0"/>
              <w:marTop w:val="0"/>
              <w:marBottom w:val="0"/>
              <w:divBdr>
                <w:top w:val="none" w:sz="0" w:space="0" w:color="auto"/>
                <w:left w:val="none" w:sz="0" w:space="0" w:color="auto"/>
                <w:bottom w:val="none" w:sz="0" w:space="0" w:color="auto"/>
                <w:right w:val="none" w:sz="0" w:space="0" w:color="auto"/>
              </w:divBdr>
            </w:div>
          </w:divsChild>
        </w:div>
        <w:div w:id="1764959721">
          <w:marLeft w:val="0"/>
          <w:marRight w:val="0"/>
          <w:marTop w:val="0"/>
          <w:marBottom w:val="0"/>
          <w:divBdr>
            <w:top w:val="none" w:sz="0" w:space="0" w:color="auto"/>
            <w:left w:val="none" w:sz="0" w:space="0" w:color="auto"/>
            <w:bottom w:val="none" w:sz="0" w:space="0" w:color="auto"/>
            <w:right w:val="none" w:sz="0" w:space="0" w:color="auto"/>
          </w:divBdr>
          <w:divsChild>
            <w:div w:id="390617452">
              <w:marLeft w:val="0"/>
              <w:marRight w:val="0"/>
              <w:marTop w:val="0"/>
              <w:marBottom w:val="0"/>
              <w:divBdr>
                <w:top w:val="none" w:sz="0" w:space="0" w:color="auto"/>
                <w:left w:val="none" w:sz="0" w:space="0" w:color="auto"/>
                <w:bottom w:val="none" w:sz="0" w:space="0" w:color="auto"/>
                <w:right w:val="none" w:sz="0" w:space="0" w:color="auto"/>
              </w:divBdr>
            </w:div>
            <w:div w:id="901869702">
              <w:marLeft w:val="0"/>
              <w:marRight w:val="0"/>
              <w:marTop w:val="0"/>
              <w:marBottom w:val="0"/>
              <w:divBdr>
                <w:top w:val="none" w:sz="0" w:space="0" w:color="auto"/>
                <w:left w:val="none" w:sz="0" w:space="0" w:color="auto"/>
                <w:bottom w:val="none" w:sz="0" w:space="0" w:color="auto"/>
                <w:right w:val="none" w:sz="0" w:space="0" w:color="auto"/>
              </w:divBdr>
            </w:div>
          </w:divsChild>
        </w:div>
        <w:div w:id="1858151971">
          <w:marLeft w:val="0"/>
          <w:marRight w:val="0"/>
          <w:marTop w:val="0"/>
          <w:marBottom w:val="0"/>
          <w:divBdr>
            <w:top w:val="none" w:sz="0" w:space="0" w:color="auto"/>
            <w:left w:val="none" w:sz="0" w:space="0" w:color="auto"/>
            <w:bottom w:val="none" w:sz="0" w:space="0" w:color="auto"/>
            <w:right w:val="none" w:sz="0" w:space="0" w:color="auto"/>
          </w:divBdr>
          <w:divsChild>
            <w:div w:id="324667278">
              <w:marLeft w:val="0"/>
              <w:marRight w:val="0"/>
              <w:marTop w:val="0"/>
              <w:marBottom w:val="0"/>
              <w:divBdr>
                <w:top w:val="none" w:sz="0" w:space="0" w:color="auto"/>
                <w:left w:val="none" w:sz="0" w:space="0" w:color="auto"/>
                <w:bottom w:val="none" w:sz="0" w:space="0" w:color="auto"/>
                <w:right w:val="none" w:sz="0" w:space="0" w:color="auto"/>
              </w:divBdr>
            </w:div>
          </w:divsChild>
        </w:div>
        <w:div w:id="2030450843">
          <w:marLeft w:val="0"/>
          <w:marRight w:val="0"/>
          <w:marTop w:val="0"/>
          <w:marBottom w:val="0"/>
          <w:divBdr>
            <w:top w:val="none" w:sz="0" w:space="0" w:color="auto"/>
            <w:left w:val="none" w:sz="0" w:space="0" w:color="auto"/>
            <w:bottom w:val="none" w:sz="0" w:space="0" w:color="auto"/>
            <w:right w:val="none" w:sz="0" w:space="0" w:color="auto"/>
          </w:divBdr>
          <w:divsChild>
            <w:div w:id="4824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12046547">
      <w:bodyDiv w:val="1"/>
      <w:marLeft w:val="0"/>
      <w:marRight w:val="0"/>
      <w:marTop w:val="0"/>
      <w:marBottom w:val="0"/>
      <w:divBdr>
        <w:top w:val="none" w:sz="0" w:space="0" w:color="auto"/>
        <w:left w:val="none" w:sz="0" w:space="0" w:color="auto"/>
        <w:bottom w:val="none" w:sz="0" w:space="0" w:color="auto"/>
        <w:right w:val="none" w:sz="0" w:space="0" w:color="auto"/>
      </w:divBdr>
    </w:div>
    <w:div w:id="519006469">
      <w:bodyDiv w:val="1"/>
      <w:marLeft w:val="0"/>
      <w:marRight w:val="0"/>
      <w:marTop w:val="0"/>
      <w:marBottom w:val="0"/>
      <w:divBdr>
        <w:top w:val="none" w:sz="0" w:space="0" w:color="auto"/>
        <w:left w:val="none" w:sz="0" w:space="0" w:color="auto"/>
        <w:bottom w:val="none" w:sz="0" w:space="0" w:color="auto"/>
        <w:right w:val="none" w:sz="0" w:space="0" w:color="auto"/>
      </w:divBdr>
    </w:div>
    <w:div w:id="537472737">
      <w:bodyDiv w:val="1"/>
      <w:marLeft w:val="0"/>
      <w:marRight w:val="0"/>
      <w:marTop w:val="0"/>
      <w:marBottom w:val="0"/>
      <w:divBdr>
        <w:top w:val="none" w:sz="0" w:space="0" w:color="auto"/>
        <w:left w:val="none" w:sz="0" w:space="0" w:color="auto"/>
        <w:bottom w:val="none" w:sz="0" w:space="0" w:color="auto"/>
        <w:right w:val="none" w:sz="0" w:space="0" w:color="auto"/>
      </w:divBdr>
    </w:div>
    <w:div w:id="542056470">
      <w:bodyDiv w:val="1"/>
      <w:marLeft w:val="0"/>
      <w:marRight w:val="0"/>
      <w:marTop w:val="0"/>
      <w:marBottom w:val="0"/>
      <w:divBdr>
        <w:top w:val="none" w:sz="0" w:space="0" w:color="auto"/>
        <w:left w:val="none" w:sz="0" w:space="0" w:color="auto"/>
        <w:bottom w:val="none" w:sz="0" w:space="0" w:color="auto"/>
        <w:right w:val="none" w:sz="0" w:space="0" w:color="auto"/>
      </w:divBdr>
    </w:div>
    <w:div w:id="659967605">
      <w:bodyDiv w:val="1"/>
      <w:marLeft w:val="0"/>
      <w:marRight w:val="0"/>
      <w:marTop w:val="0"/>
      <w:marBottom w:val="0"/>
      <w:divBdr>
        <w:top w:val="none" w:sz="0" w:space="0" w:color="auto"/>
        <w:left w:val="none" w:sz="0" w:space="0" w:color="auto"/>
        <w:bottom w:val="none" w:sz="0" w:space="0" w:color="auto"/>
        <w:right w:val="none" w:sz="0" w:space="0" w:color="auto"/>
      </w:divBdr>
    </w:div>
    <w:div w:id="71423485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1695336">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4899947">
      <w:bodyDiv w:val="1"/>
      <w:marLeft w:val="0"/>
      <w:marRight w:val="0"/>
      <w:marTop w:val="0"/>
      <w:marBottom w:val="0"/>
      <w:divBdr>
        <w:top w:val="none" w:sz="0" w:space="0" w:color="auto"/>
        <w:left w:val="none" w:sz="0" w:space="0" w:color="auto"/>
        <w:bottom w:val="none" w:sz="0" w:space="0" w:color="auto"/>
        <w:right w:val="none" w:sz="0" w:space="0" w:color="auto"/>
      </w:divBdr>
      <w:divsChild>
        <w:div w:id="1169518414">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07428791">
      <w:bodyDiv w:val="1"/>
      <w:marLeft w:val="0"/>
      <w:marRight w:val="0"/>
      <w:marTop w:val="0"/>
      <w:marBottom w:val="0"/>
      <w:divBdr>
        <w:top w:val="none" w:sz="0" w:space="0" w:color="auto"/>
        <w:left w:val="none" w:sz="0" w:space="0" w:color="auto"/>
        <w:bottom w:val="none" w:sz="0" w:space="0" w:color="auto"/>
        <w:right w:val="none" w:sz="0" w:space="0" w:color="auto"/>
      </w:divBdr>
    </w:div>
    <w:div w:id="112939706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674460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5620929">
      <w:bodyDiv w:val="1"/>
      <w:marLeft w:val="0"/>
      <w:marRight w:val="0"/>
      <w:marTop w:val="0"/>
      <w:marBottom w:val="0"/>
      <w:divBdr>
        <w:top w:val="none" w:sz="0" w:space="0" w:color="auto"/>
        <w:left w:val="none" w:sz="0" w:space="0" w:color="auto"/>
        <w:bottom w:val="none" w:sz="0" w:space="0" w:color="auto"/>
        <w:right w:val="none" w:sz="0" w:space="0" w:color="auto"/>
      </w:divBdr>
    </w:div>
    <w:div w:id="169091393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8161809">
      <w:bodyDiv w:val="1"/>
      <w:marLeft w:val="0"/>
      <w:marRight w:val="0"/>
      <w:marTop w:val="0"/>
      <w:marBottom w:val="0"/>
      <w:divBdr>
        <w:top w:val="none" w:sz="0" w:space="0" w:color="auto"/>
        <w:left w:val="none" w:sz="0" w:space="0" w:color="auto"/>
        <w:bottom w:val="none" w:sz="0" w:space="0" w:color="auto"/>
        <w:right w:val="none" w:sz="0" w:space="0" w:color="auto"/>
      </w:divBdr>
    </w:div>
    <w:div w:id="1874609779">
      <w:bodyDiv w:val="1"/>
      <w:marLeft w:val="0"/>
      <w:marRight w:val="0"/>
      <w:marTop w:val="0"/>
      <w:marBottom w:val="0"/>
      <w:divBdr>
        <w:top w:val="none" w:sz="0" w:space="0" w:color="auto"/>
        <w:left w:val="none" w:sz="0" w:space="0" w:color="auto"/>
        <w:bottom w:val="none" w:sz="0" w:space="0" w:color="auto"/>
        <w:right w:val="none" w:sz="0" w:space="0" w:color="auto"/>
      </w:divBdr>
    </w:div>
    <w:div w:id="190679158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5746550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4.png"/><Relationship Id="rId39" Type="http://schemas.openxmlformats.org/officeDocument/2006/relationships/hyperlink" Target="https://www.health.gov.au/topics/immunisation/when-to-get-vaccinated/immunisation-for-pregnancy" TargetMode="External"/><Relationship Id="rId21" Type="http://schemas.openxmlformats.org/officeDocument/2006/relationships/image" Target="media/image3.png"/><Relationship Id="rId34" Type="http://schemas.openxmlformats.org/officeDocument/2006/relationships/hyperlink" Target="https://ncirs.org.au/air-tip-20-july-2023" TargetMode="External"/><Relationship Id="rId42" Type="http://schemas.openxmlformats.org/officeDocument/2006/relationships/hyperlink" Target="https://www.safevac.org.au/Home/Info/VIC" TargetMode="External"/><Relationship Id="rId47" Type="http://schemas.openxmlformats.org/officeDocument/2006/relationships/hyperlink" Target="https://www.health.gov.au/resources/publications/national-vaccine-storage-guidelines-strive-for-5?language=en" TargetMode="External"/><Relationship Id="rId50" Type="http://schemas.openxmlformats.org/officeDocument/2006/relationships/hyperlink" Target="https://www.health.vic.gov.au/immunisation/immunisers-in-victoria" TargetMode="External"/><Relationship Id="rId55"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mmunisationhandbook.health.gov.au/technical-terms" TargetMode="External"/><Relationship Id="rId29" Type="http://schemas.openxmlformats.org/officeDocument/2006/relationships/hyperlink" Target="https://immunisationhandbook.health.gov.au/contents/vaccine-preventable-diseases/respiratory-syncytial-virus-rsv" TargetMode="External"/><Relationship Id="rId11" Type="http://schemas.openxmlformats.org/officeDocument/2006/relationships/image" Target="media/image1.jpg"/><Relationship Id="rId24" Type="http://schemas.openxmlformats.org/officeDocument/2006/relationships/hyperlink" Target="https://immunisationhandbook.health.gov.au/contents/vaccination-procedures/preparing-for-vaccination" TargetMode="External"/><Relationship Id="rId32" Type="http://schemas.openxmlformats.org/officeDocument/2006/relationships/hyperlink" Target="https://www.health.vic.gov.au/immunisation/vaccine-error-management" TargetMode="External"/><Relationship Id="rId37" Type="http://schemas.openxmlformats.org/officeDocument/2006/relationships/hyperlink" Target="https://immunisationhandbook.health.gov.au/contents/vaccine-preventable-diseases/respiratory-syncytial-virus-rsv" TargetMode="External"/><Relationship Id="rId40" Type="http://schemas.openxmlformats.org/officeDocument/2006/relationships/hyperlink" Target="https://www.health.gov.au/resources/collections/getting-vaccinated-against-influenza-resource-collection?language=und" TargetMode="External"/><Relationship Id="rId45" Type="http://schemas.openxmlformats.org/officeDocument/2006/relationships/hyperlink" Target="https://www.health.vic.gov.au/immunisation/vaccine-error-management"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health.vic.gov.au/immunisation/ordering-vacc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health.vic.gov.au/immunisation/cold-chain-management" TargetMode="External"/><Relationship Id="rId27" Type="http://schemas.openxmlformats.org/officeDocument/2006/relationships/hyperlink" Target="https://immunisationhandbook.health.gov.au/resources/figures/figure-anatomical-markers-used-to-identify-the-deltoid-injection-site" TargetMode="External"/><Relationship Id="rId30" Type="http://schemas.openxmlformats.org/officeDocument/2006/relationships/hyperlink" Target="https://immunisationhandbook.health.gov.au/contents/vaccine-preventable-diseases/respiratory-syncytial-virus-rsv" TargetMode="External"/><Relationship Id="rId35" Type="http://schemas.openxmlformats.org/officeDocument/2006/relationships/hyperlink" Target="https://immunisationhandbook.health.gov.au/contents/vaccine-preventable-diseases/respiratory-syncytial-virus-rsv" TargetMode="External"/><Relationship Id="rId43" Type="http://schemas.openxmlformats.org/officeDocument/2006/relationships/hyperlink" Target="https://skai.org.au/pregnancy-and-newborn" TargetMode="External"/><Relationship Id="rId48" Type="http://schemas.openxmlformats.org/officeDocument/2006/relationships/hyperlink" Target="https://www.health.vic.gov.au/immunisation/cold-chain-management" TargetMode="External"/><Relationship Id="rId56"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mailto:Immunisation%20Program"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ealth.vic.gov.au/immunisation/respiratory-syncytial-virus-immunisation" TargetMode="External"/><Relationship Id="rId25" Type="http://schemas.openxmlformats.org/officeDocument/2006/relationships/hyperlink" Target="https://immunisationhandbook.health.gov.au/resources/figures/figure-vastus-lateralis-injection-site-on-the-anterolateral-thigh" TargetMode="External"/><Relationship Id="rId33" Type="http://schemas.openxmlformats.org/officeDocument/2006/relationships/hyperlink" Target="https://www.health.vic.gov.au/immunisation/respiratory-syncytial-virus-immunisation" TargetMode="External"/><Relationship Id="rId38" Type="http://schemas.openxmlformats.org/officeDocument/2006/relationships/hyperlink" Target="https://www.health.vic.gov.au/immunisation/respiratory-syncytial-virus-immunisation" TargetMode="External"/><Relationship Id="rId46" Type="http://schemas.openxmlformats.org/officeDocument/2006/relationships/hyperlink" Target="https://ausvaxsafety.org.au/our-work/active-vaccine-safety-surveillance" TargetMode="External"/><Relationship Id="rId59" Type="http://schemas.openxmlformats.org/officeDocument/2006/relationships/theme" Target="theme/theme1.xml"/><Relationship Id="rId20" Type="http://schemas.openxmlformats.org/officeDocument/2006/relationships/hyperlink" Target="https://www.health.vic.gov.au/immunisation/ordering-vaccines" TargetMode="External"/><Relationship Id="rId41" Type="http://schemas.openxmlformats.org/officeDocument/2006/relationships/hyperlink" Target="https://ncirs.org.au/ncirs-fact-sheets-faqs-and-other-resources/respiratory-syncytial-virus-rsv-frequently-asked"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health.vic.gov.au/immunisation/cold-chain-management" TargetMode="External"/><Relationship Id="rId28" Type="http://schemas.openxmlformats.org/officeDocument/2006/relationships/image" Target="media/image5.png"/><Relationship Id="rId36" Type="http://schemas.openxmlformats.org/officeDocument/2006/relationships/hyperlink" Target="https://www.health.vic.gov.au/immunisation/respiratory-syncytial-virus-immunisation" TargetMode="External"/><Relationship Id="rId49" Type="http://schemas.openxmlformats.org/officeDocument/2006/relationships/hyperlink" Target="https://www.health.vic.gov.au/immunisation/ordering-vaccines" TargetMode="External"/><Relationship Id="rId57" Type="http://schemas.openxmlformats.org/officeDocument/2006/relationships/footer" Target="footer6.xml"/><Relationship Id="rId10" Type="http://schemas.openxmlformats.org/officeDocument/2006/relationships/endnotes" Target="endnotes.xml"/><Relationship Id="rId31" Type="http://schemas.openxmlformats.org/officeDocument/2006/relationships/hyperlink" Target="file:///C:/Users/vic8nug/AppData/Local/Temp/MicrosoftEdgeDownloads/dcc0d8e2-cac4-46ec-9508-50ebde3c0aa1/the%20SAEFVIC&#160;webpage&#160;" TargetMode="External"/><Relationship Id="rId44" Type="http://schemas.openxmlformats.org/officeDocument/2006/relationships/hyperlink" Target="https://www.health.vic.gov.au/immunisation/adverse-events-following-immunisation-reporting" TargetMode="External"/><Relationship Id="rId52" Type="http://schemas.openxmlformats.org/officeDocument/2006/relationships/hyperlink" Target="https://www.health.vic.gov.au/immunisation/respiratory-syncytial-virus-immunisati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mmunisationhandbook.health.gov.au/contents/vaccine-preventable-diseases/respiratory-syncytial-virus-rsv" TargetMode="External"/><Relationship Id="rId2" Type="http://schemas.openxmlformats.org/officeDocument/2006/relationships/hyperlink" Target="https://immunisationhandbook.health.gov.au/contents/vaccine-preventable-diseases/respiratory-syncytial-virus-rsv" TargetMode="External"/><Relationship Id="rId1" Type="http://schemas.openxmlformats.org/officeDocument/2006/relationships/hyperlink" Target="https://ranzcog.edu.au/wp-content/uploads/Pre-Pregnancy-and-Pregnancy-Related-Vaccinations.pdf" TargetMode="External"/><Relationship Id="rId6" Type="http://schemas.openxmlformats.org/officeDocument/2006/relationships/hyperlink" Target="https://immunisationhandbook.health.gov.au/contents/vaccination-procedures/administration-of-vaccines" TargetMode="External"/><Relationship Id="rId5" Type="http://schemas.openxmlformats.org/officeDocument/2006/relationships/hyperlink" Target="https://immunisationhandbook.health.gov.au/contents/vaccination-procedures/preparing-for-vaccination" TargetMode="External"/><Relationship Id="rId4" Type="http://schemas.openxmlformats.org/officeDocument/2006/relationships/hyperlink" Target="https://www.health.gov.au/resources/publications/national-vaccine-storage-guidelines-strive-for-5?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6" ma:contentTypeDescription="Create a new document." ma:contentTypeScope="" ma:versionID="7559f65a9d66f25fb70be786d46a3f3b">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46f0552c3a122cae8814f9067d9fb86a"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element ref="ns2:Update" minOccurs="0"/>
                <xsd:element ref="ns2: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element name="Update" ma:index="30" nillable="true" ma:displayName="To update" ma:default="1" ma:format="Dropdown" ma:internalName="Update">
      <xsd:simpleType>
        <xsd:restriction base="dms:Boolean"/>
      </xsd:simpleType>
    </xsd:element>
    <xsd:element name="Details" ma:index="31" nillable="true" ma:displayName="Details" ma:format="Dropdown" ma:internalName="Details">
      <xsd:simpleType>
        <xsd:restriction base="dms:Text">
          <xsd:maxLength value="255"/>
        </xsd:restriction>
      </xsd:simpleType>
    </xsd:element>
    <xsd:element name="Notes" ma:index="3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mericalOrder xmlns="56f13c3b-1a5e-4b20-8813-0ef8710fa369" xsi:nil="true"/>
    <Preview xmlns="56f13c3b-1a5e-4b20-8813-0ef8710fa369" xsi:nil="true"/>
    <TaxCatchAll xmlns="5ce0f2b5-5be5-4508-bce9-d7011ece0659" xsi:nil="true"/>
    <TRIMNumber xmlns="56f13c3b-1a5e-4b20-8813-0ef8710fa369" xsi:nil="true"/>
    <Update xmlns="56f13c3b-1a5e-4b20-8813-0ef8710fa369">true</Update>
    <lcf76f155ced4ddcb4097134ff3c332f xmlns="56f13c3b-1a5e-4b20-8813-0ef8710fa369">
      <Terms xmlns="http://schemas.microsoft.com/office/infopath/2007/PartnerControls"/>
    </lcf76f155ced4ddcb4097134ff3c332f>
    <ReconciledwithInvoice xmlns="56f13c3b-1a5e-4b20-8813-0ef8710fa369" xsi:nil="true"/>
    <Details xmlns="56f13c3b-1a5e-4b20-8813-0ef8710fa369" xsi:nil="true"/>
    <Notes xmlns="56f13c3b-1a5e-4b20-8813-0ef8710fa3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4DFBE-EA80-486A-B92D-F4C4DEDDEF59}">
  <ds:schemaRefs>
    <ds:schemaRef ds:uri="http://schemas.microsoft.com/sharepoint/v3/contenttype/forms"/>
  </ds:schemaRefs>
</ds:datastoreItem>
</file>

<file path=customXml/itemProps2.xml><?xml version="1.0" encoding="utf-8"?>
<ds:datastoreItem xmlns:ds="http://schemas.openxmlformats.org/officeDocument/2006/customXml" ds:itemID="{8E25AA1A-3670-44F9-AF8C-5F8DCA420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040BF9-5DCB-402E-A56E-B69E9E0715CC}">
  <ds:schemaRefs>
    <ds:schemaRef ds:uri="http://schemas.microsoft.com/office/2006/metadata/properties"/>
    <ds:schemaRef ds:uri="http://schemas.microsoft.com/office/infopath/2007/PartnerControls"/>
    <ds:schemaRef ds:uri="56f13c3b-1a5e-4b20-8813-0ef8710fa369"/>
    <ds:schemaRef ds:uri="5ce0f2b5-5be5-4508-bce9-d7011ece0659"/>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3238</Words>
  <Characters>21959</Characters>
  <Application>Microsoft Office Word</Application>
  <DocSecurity>0</DocSecurity>
  <Lines>487</Lines>
  <Paragraphs>331</Paragraphs>
  <ScaleCrop>false</ScaleCrop>
  <HeadingPairs>
    <vt:vector size="2" baseType="variant">
      <vt:variant>
        <vt:lpstr>Title</vt:lpstr>
      </vt:variant>
      <vt:variant>
        <vt:i4>1</vt:i4>
      </vt:variant>
    </vt:vector>
  </HeadingPairs>
  <TitlesOfParts>
    <vt:vector size="1" baseType="lpstr">
      <vt:lpstr>RSV MIPP 2025 Toolkit for immunisation providers (V1.0)</vt:lpstr>
    </vt:vector>
  </TitlesOfParts>
  <Manager/>
  <Company/>
  <LinksUpToDate>false</LinksUpToDate>
  <CharactersWithSpaces>24866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RSV MIPP 2025 Toolkit for immunisation providers (V1.0)</dc:title>
  <dc:subject/>
  <dc:creator>Immunisation@health.vic.gov.au</dc:creator>
  <cp:keywords/>
  <dc:description/>
  <cp:lastModifiedBy>Josie Cichello-Sanderson (Health)</cp:lastModifiedBy>
  <cp:revision>26</cp:revision>
  <dcterms:created xsi:type="dcterms:W3CDTF">2026-02-02T03:51:00Z</dcterms:created>
  <dcterms:modified xsi:type="dcterms:W3CDTF">2026-02-09T01:03:00Z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9dc9ae4,485acdeb,9d2289e,2b5d543b,4aad6356,3c728113</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2025-06-04T04:19:40Z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8dc023de-9a58-4b86-9b24-62320dd850d4</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0x010100A2DFF03779B5A84C9EDCC583EFC503D8</vt:lpwstr>
  </property>
  <property fmtid="{D5CDD505-2E9C-101B-9397-08002B2CF9AE}" pid="14" name="MediaServiceImageTags">
    <vt:lpwstr/>
  </property>
</Properties>
</file>