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DE5D8" w14:textId="77777777" w:rsidR="0074696E" w:rsidRPr="004C6EEE" w:rsidRDefault="00B56068" w:rsidP="00AD784C">
      <w:pPr>
        <w:pStyle w:val="Spacerparatopoffirstpage"/>
      </w:pPr>
      <w:r>
        <w:drawing>
          <wp:anchor distT="0" distB="0" distL="114300" distR="114300" simplePos="0" relativeHeight="251658240" behindDoc="1" locked="1" layoutInCell="1" allowOverlap="1" wp14:anchorId="0121A983" wp14:editId="0370B918">
            <wp:simplePos x="0" y="0"/>
            <wp:positionH relativeFrom="page">
              <wp:align>left</wp:align>
            </wp:positionH>
            <wp:positionV relativeFrom="page">
              <wp:align>top</wp:align>
            </wp:positionV>
            <wp:extent cx="10687685" cy="1413510"/>
            <wp:effectExtent l="0" t="0" r="0" b="0"/>
            <wp:wrapNone/>
            <wp:docPr id="4" name="Picture 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shape&#10;&#10;Description automatically generated"/>
                    <pic:cNvPicPr/>
                  </pic:nvPicPr>
                  <pic:blipFill rotWithShape="1">
                    <a:blip r:embed="rId11" cstate="print">
                      <a:extLst>
                        <a:ext uri="{28A0092B-C50C-407E-A947-70E740481C1C}">
                          <a14:useLocalDpi xmlns:a14="http://schemas.microsoft.com/office/drawing/2010/main"/>
                        </a:ext>
                      </a:extLst>
                    </a:blip>
                    <a:srcRect/>
                    <a:stretch/>
                  </pic:blipFill>
                  <pic:spPr bwMode="auto">
                    <a:xfrm>
                      <a:off x="0" y="0"/>
                      <a:ext cx="10688400" cy="14137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99784A9" w14:textId="77777777" w:rsidR="00A62D44" w:rsidRPr="004C6EEE" w:rsidRDefault="00A62D44" w:rsidP="004C6EEE">
      <w:pPr>
        <w:pStyle w:val="Sectionbreakfirstpage"/>
        <w:sectPr w:rsidR="00A62D44" w:rsidRPr="004C6EEE" w:rsidSect="00647B30">
          <w:headerReference w:type="default" r:id="rId12"/>
          <w:footerReference w:type="default" r:id="rId13"/>
          <w:footerReference w:type="first" r:id="rId14"/>
          <w:pgSz w:w="16838" w:h="11906" w:orient="landscape" w:code="9"/>
          <w:pgMar w:top="1418" w:right="851" w:bottom="1418" w:left="851" w:header="851" w:footer="851" w:gutter="0"/>
          <w:cols w:space="708"/>
          <w:docGrid w:linePitch="360"/>
        </w:sectPr>
      </w:pPr>
    </w:p>
    <w:tbl>
      <w:tblPr>
        <w:tblStyle w:val="TableGrid"/>
        <w:tblW w:w="1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1907"/>
      </w:tblGrid>
      <w:tr w:rsidR="00AD784C" w14:paraId="7DCB88FD" w14:textId="77777777" w:rsidTr="00647B30">
        <w:tc>
          <w:tcPr>
            <w:tcW w:w="11907" w:type="dxa"/>
          </w:tcPr>
          <w:p w14:paraId="14C8FE2C" w14:textId="2C547573" w:rsidR="00AD784C" w:rsidRPr="00161AA0" w:rsidRDefault="00521E91" w:rsidP="00CE12AF">
            <w:pPr>
              <w:pStyle w:val="Documenttitle"/>
            </w:pPr>
            <w:r>
              <w:t>Intravenous immunoglobulin (IVIg) clinical practice guidance template</w:t>
            </w:r>
          </w:p>
        </w:tc>
      </w:tr>
      <w:tr w:rsidR="00CE12AF" w14:paraId="0D0322F5" w14:textId="77777777" w:rsidTr="00647B30">
        <w:tc>
          <w:tcPr>
            <w:tcW w:w="11907" w:type="dxa"/>
          </w:tcPr>
          <w:p w14:paraId="04535C28" w14:textId="0F3C2D97" w:rsidR="00CE12AF" w:rsidRPr="00A1389F" w:rsidRDefault="00521E91" w:rsidP="00CE12AF">
            <w:pPr>
              <w:pStyle w:val="Documentsubtitle"/>
            </w:pPr>
            <w:r>
              <w:t>December 2025</w:t>
            </w:r>
          </w:p>
        </w:tc>
      </w:tr>
      <w:tr w:rsidR="00CE12AF" w14:paraId="3613E33B" w14:textId="77777777" w:rsidTr="00647B30">
        <w:tc>
          <w:tcPr>
            <w:tcW w:w="11907" w:type="dxa"/>
          </w:tcPr>
          <w:p w14:paraId="4C60BBDD" w14:textId="77777777" w:rsidR="00CE12AF" w:rsidRPr="00250DC4" w:rsidRDefault="00DA5A02" w:rsidP="00CE12AF">
            <w:pPr>
              <w:pStyle w:val="Bannermarking"/>
            </w:pPr>
            <w:fldSimple w:instr=" FILLIN  &quot;Type the protective marking&quot; \d OFFICIAL \o  \* MERGEFORMAT ">
              <w:r>
                <w:t>OFFICIAL</w:t>
              </w:r>
            </w:fldSimple>
          </w:p>
        </w:tc>
      </w:tr>
    </w:tbl>
    <w:p w14:paraId="34010F06" w14:textId="77777777" w:rsidR="00AD784C" w:rsidRPr="00B57329" w:rsidRDefault="00AD784C" w:rsidP="002365B4">
      <w:pPr>
        <w:pStyle w:val="TOCheadingfactsheet"/>
      </w:pPr>
      <w:r w:rsidRPr="00B57329">
        <w:t>Contents</w:t>
      </w:r>
    </w:p>
    <w:p w14:paraId="46B1E3BF" w14:textId="24AA7EB6" w:rsidR="00BA39E7"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16858016" w:history="1">
        <w:r w:rsidR="00BA39E7" w:rsidRPr="001746EA">
          <w:rPr>
            <w:rStyle w:val="Hyperlink"/>
          </w:rPr>
          <w:t>Caveat</w:t>
        </w:r>
        <w:r w:rsidR="00BA39E7">
          <w:rPr>
            <w:webHidden/>
          </w:rPr>
          <w:tab/>
        </w:r>
        <w:r w:rsidR="00BA39E7">
          <w:rPr>
            <w:webHidden/>
          </w:rPr>
          <w:fldChar w:fldCharType="begin"/>
        </w:r>
        <w:r w:rsidR="00BA39E7">
          <w:rPr>
            <w:webHidden/>
          </w:rPr>
          <w:instrText xml:space="preserve"> PAGEREF _Toc216858016 \h </w:instrText>
        </w:r>
        <w:r w:rsidR="00BA39E7">
          <w:rPr>
            <w:webHidden/>
          </w:rPr>
        </w:r>
        <w:r w:rsidR="00BA39E7">
          <w:rPr>
            <w:webHidden/>
          </w:rPr>
          <w:fldChar w:fldCharType="separate"/>
        </w:r>
        <w:r w:rsidR="00112B93">
          <w:rPr>
            <w:webHidden/>
          </w:rPr>
          <w:t>3</w:t>
        </w:r>
        <w:r w:rsidR="00BA39E7">
          <w:rPr>
            <w:webHidden/>
          </w:rPr>
          <w:fldChar w:fldCharType="end"/>
        </w:r>
      </w:hyperlink>
    </w:p>
    <w:p w14:paraId="317AEAFB" w14:textId="6FB733AB" w:rsidR="00BA39E7" w:rsidRDefault="00BA39E7">
      <w:pPr>
        <w:pStyle w:val="TOC1"/>
        <w:rPr>
          <w:rFonts w:asciiTheme="minorHAnsi" w:eastAsiaTheme="minorEastAsia" w:hAnsiTheme="minorHAnsi" w:cstheme="minorBidi"/>
          <w:b w:val="0"/>
          <w:kern w:val="2"/>
          <w:sz w:val="24"/>
          <w:szCs w:val="24"/>
          <w:lang w:eastAsia="en-AU"/>
          <w14:ligatures w14:val="standardContextual"/>
        </w:rPr>
      </w:pPr>
      <w:hyperlink w:anchor="_Toc216858017" w:history="1">
        <w:r w:rsidRPr="001746EA">
          <w:rPr>
            <w:rStyle w:val="Hyperlink"/>
          </w:rPr>
          <w:t>General information</w:t>
        </w:r>
        <w:r>
          <w:rPr>
            <w:webHidden/>
          </w:rPr>
          <w:tab/>
        </w:r>
        <w:r>
          <w:rPr>
            <w:webHidden/>
          </w:rPr>
          <w:fldChar w:fldCharType="begin"/>
        </w:r>
        <w:r>
          <w:rPr>
            <w:webHidden/>
          </w:rPr>
          <w:instrText xml:space="preserve"> PAGEREF _Toc216858017 \h </w:instrText>
        </w:r>
        <w:r>
          <w:rPr>
            <w:webHidden/>
          </w:rPr>
        </w:r>
        <w:r>
          <w:rPr>
            <w:webHidden/>
          </w:rPr>
          <w:fldChar w:fldCharType="separate"/>
        </w:r>
        <w:r w:rsidR="00112B93">
          <w:rPr>
            <w:webHidden/>
          </w:rPr>
          <w:t>3</w:t>
        </w:r>
        <w:r>
          <w:rPr>
            <w:webHidden/>
          </w:rPr>
          <w:fldChar w:fldCharType="end"/>
        </w:r>
      </w:hyperlink>
    </w:p>
    <w:p w14:paraId="53957BCB" w14:textId="364A34DA" w:rsidR="00BA39E7" w:rsidRDefault="00BA39E7">
      <w:pPr>
        <w:pStyle w:val="TOC1"/>
        <w:rPr>
          <w:rFonts w:asciiTheme="minorHAnsi" w:eastAsiaTheme="minorEastAsia" w:hAnsiTheme="minorHAnsi" w:cstheme="minorBidi"/>
          <w:b w:val="0"/>
          <w:kern w:val="2"/>
          <w:sz w:val="24"/>
          <w:szCs w:val="24"/>
          <w:lang w:eastAsia="en-AU"/>
          <w14:ligatures w14:val="standardContextual"/>
        </w:rPr>
      </w:pPr>
      <w:hyperlink w:anchor="_Toc216858018" w:history="1">
        <w:r w:rsidRPr="001746EA">
          <w:rPr>
            <w:rStyle w:val="Hyperlink"/>
          </w:rPr>
          <w:t>Purpose</w:t>
        </w:r>
        <w:r>
          <w:rPr>
            <w:webHidden/>
          </w:rPr>
          <w:tab/>
        </w:r>
        <w:r>
          <w:rPr>
            <w:webHidden/>
          </w:rPr>
          <w:fldChar w:fldCharType="begin"/>
        </w:r>
        <w:r>
          <w:rPr>
            <w:webHidden/>
          </w:rPr>
          <w:instrText xml:space="preserve"> PAGEREF _Toc216858018 \h </w:instrText>
        </w:r>
        <w:r>
          <w:rPr>
            <w:webHidden/>
          </w:rPr>
        </w:r>
        <w:r>
          <w:rPr>
            <w:webHidden/>
          </w:rPr>
          <w:fldChar w:fldCharType="separate"/>
        </w:r>
        <w:r w:rsidR="00112B93">
          <w:rPr>
            <w:webHidden/>
          </w:rPr>
          <w:t>3</w:t>
        </w:r>
        <w:r>
          <w:rPr>
            <w:webHidden/>
          </w:rPr>
          <w:fldChar w:fldCharType="end"/>
        </w:r>
      </w:hyperlink>
    </w:p>
    <w:p w14:paraId="28BB0811" w14:textId="7104EF8D" w:rsidR="00BA39E7" w:rsidRDefault="00BA39E7">
      <w:pPr>
        <w:pStyle w:val="TOC1"/>
        <w:rPr>
          <w:rFonts w:asciiTheme="minorHAnsi" w:eastAsiaTheme="minorEastAsia" w:hAnsiTheme="minorHAnsi" w:cstheme="minorBidi"/>
          <w:b w:val="0"/>
          <w:kern w:val="2"/>
          <w:sz w:val="24"/>
          <w:szCs w:val="24"/>
          <w:lang w:eastAsia="en-AU"/>
          <w14:ligatures w14:val="standardContextual"/>
        </w:rPr>
      </w:pPr>
      <w:hyperlink w:anchor="_Toc216858019" w:history="1">
        <w:r w:rsidRPr="001746EA">
          <w:rPr>
            <w:rStyle w:val="Hyperlink"/>
          </w:rPr>
          <w:t>Indications for use</w:t>
        </w:r>
        <w:r>
          <w:rPr>
            <w:webHidden/>
          </w:rPr>
          <w:tab/>
        </w:r>
        <w:r>
          <w:rPr>
            <w:webHidden/>
          </w:rPr>
          <w:fldChar w:fldCharType="begin"/>
        </w:r>
        <w:r>
          <w:rPr>
            <w:webHidden/>
          </w:rPr>
          <w:instrText xml:space="preserve"> PAGEREF _Toc216858019 \h </w:instrText>
        </w:r>
        <w:r>
          <w:rPr>
            <w:webHidden/>
          </w:rPr>
        </w:r>
        <w:r>
          <w:rPr>
            <w:webHidden/>
          </w:rPr>
          <w:fldChar w:fldCharType="separate"/>
        </w:r>
        <w:r w:rsidR="00112B93">
          <w:rPr>
            <w:webHidden/>
          </w:rPr>
          <w:t>3</w:t>
        </w:r>
        <w:r>
          <w:rPr>
            <w:webHidden/>
          </w:rPr>
          <w:fldChar w:fldCharType="end"/>
        </w:r>
      </w:hyperlink>
    </w:p>
    <w:p w14:paraId="2A314E8A" w14:textId="37D04163" w:rsidR="00BA39E7" w:rsidRDefault="00BA39E7">
      <w:pPr>
        <w:pStyle w:val="TOC1"/>
        <w:rPr>
          <w:rFonts w:asciiTheme="minorHAnsi" w:eastAsiaTheme="minorEastAsia" w:hAnsiTheme="minorHAnsi" w:cstheme="minorBidi"/>
          <w:b w:val="0"/>
          <w:kern w:val="2"/>
          <w:sz w:val="24"/>
          <w:szCs w:val="24"/>
          <w:lang w:eastAsia="en-AU"/>
          <w14:ligatures w14:val="standardContextual"/>
        </w:rPr>
      </w:pPr>
      <w:hyperlink w:anchor="_Toc216858020" w:history="1">
        <w:r w:rsidRPr="001746EA">
          <w:rPr>
            <w:rStyle w:val="Hyperlink"/>
          </w:rPr>
          <w:t>General precautions</w:t>
        </w:r>
        <w:r>
          <w:rPr>
            <w:webHidden/>
          </w:rPr>
          <w:tab/>
        </w:r>
        <w:r>
          <w:rPr>
            <w:webHidden/>
          </w:rPr>
          <w:fldChar w:fldCharType="begin"/>
        </w:r>
        <w:r>
          <w:rPr>
            <w:webHidden/>
          </w:rPr>
          <w:instrText xml:space="preserve"> PAGEREF _Toc216858020 \h </w:instrText>
        </w:r>
        <w:r>
          <w:rPr>
            <w:webHidden/>
          </w:rPr>
        </w:r>
        <w:r>
          <w:rPr>
            <w:webHidden/>
          </w:rPr>
          <w:fldChar w:fldCharType="separate"/>
        </w:r>
        <w:r w:rsidR="00112B93">
          <w:rPr>
            <w:webHidden/>
          </w:rPr>
          <w:t>4</w:t>
        </w:r>
        <w:r>
          <w:rPr>
            <w:webHidden/>
          </w:rPr>
          <w:fldChar w:fldCharType="end"/>
        </w:r>
      </w:hyperlink>
    </w:p>
    <w:p w14:paraId="409EE038" w14:textId="1E02970F" w:rsidR="00BA39E7" w:rsidRDefault="00BA39E7">
      <w:pPr>
        <w:pStyle w:val="TOC2"/>
        <w:rPr>
          <w:rFonts w:asciiTheme="minorHAnsi" w:eastAsiaTheme="minorEastAsia" w:hAnsiTheme="minorHAnsi" w:cstheme="minorBidi"/>
          <w:kern w:val="2"/>
          <w:sz w:val="24"/>
          <w:szCs w:val="24"/>
          <w:lang w:eastAsia="en-AU"/>
          <w14:ligatures w14:val="standardContextual"/>
        </w:rPr>
      </w:pPr>
      <w:hyperlink w:anchor="_Toc216858021" w:history="1">
        <w:r w:rsidRPr="001746EA">
          <w:rPr>
            <w:rStyle w:val="Hyperlink"/>
          </w:rPr>
          <w:t>Aseptic meningitis syndrome (AMS)</w:t>
        </w:r>
        <w:r>
          <w:rPr>
            <w:webHidden/>
          </w:rPr>
          <w:tab/>
        </w:r>
        <w:r>
          <w:rPr>
            <w:webHidden/>
          </w:rPr>
          <w:fldChar w:fldCharType="begin"/>
        </w:r>
        <w:r>
          <w:rPr>
            <w:webHidden/>
          </w:rPr>
          <w:instrText xml:space="preserve"> PAGEREF _Toc216858021 \h </w:instrText>
        </w:r>
        <w:r>
          <w:rPr>
            <w:webHidden/>
          </w:rPr>
        </w:r>
        <w:r>
          <w:rPr>
            <w:webHidden/>
          </w:rPr>
          <w:fldChar w:fldCharType="separate"/>
        </w:r>
        <w:r w:rsidR="00112B93">
          <w:rPr>
            <w:webHidden/>
          </w:rPr>
          <w:t>4</w:t>
        </w:r>
        <w:r>
          <w:rPr>
            <w:webHidden/>
          </w:rPr>
          <w:fldChar w:fldCharType="end"/>
        </w:r>
      </w:hyperlink>
    </w:p>
    <w:p w14:paraId="2A0CA740" w14:textId="4BF398EA" w:rsidR="00BA39E7" w:rsidRDefault="00BA39E7">
      <w:pPr>
        <w:pStyle w:val="TOC2"/>
        <w:rPr>
          <w:rFonts w:asciiTheme="minorHAnsi" w:eastAsiaTheme="minorEastAsia" w:hAnsiTheme="minorHAnsi" w:cstheme="minorBidi"/>
          <w:kern w:val="2"/>
          <w:sz w:val="24"/>
          <w:szCs w:val="24"/>
          <w:lang w:eastAsia="en-AU"/>
          <w14:ligatures w14:val="standardContextual"/>
        </w:rPr>
      </w:pPr>
      <w:hyperlink w:anchor="_Toc216858022" w:history="1">
        <w:r w:rsidRPr="001746EA">
          <w:rPr>
            <w:rStyle w:val="Hyperlink"/>
          </w:rPr>
          <w:t>Hypersensitivity and anaphylaxis</w:t>
        </w:r>
        <w:r>
          <w:rPr>
            <w:webHidden/>
          </w:rPr>
          <w:tab/>
        </w:r>
        <w:r>
          <w:rPr>
            <w:webHidden/>
          </w:rPr>
          <w:fldChar w:fldCharType="begin"/>
        </w:r>
        <w:r>
          <w:rPr>
            <w:webHidden/>
          </w:rPr>
          <w:instrText xml:space="preserve"> PAGEREF _Toc216858022 \h </w:instrText>
        </w:r>
        <w:r>
          <w:rPr>
            <w:webHidden/>
          </w:rPr>
        </w:r>
        <w:r>
          <w:rPr>
            <w:webHidden/>
          </w:rPr>
          <w:fldChar w:fldCharType="separate"/>
        </w:r>
        <w:r w:rsidR="00112B93">
          <w:rPr>
            <w:webHidden/>
          </w:rPr>
          <w:t>4</w:t>
        </w:r>
        <w:r>
          <w:rPr>
            <w:webHidden/>
          </w:rPr>
          <w:fldChar w:fldCharType="end"/>
        </w:r>
      </w:hyperlink>
    </w:p>
    <w:p w14:paraId="42791319" w14:textId="78D75B7E" w:rsidR="00BA39E7" w:rsidRDefault="00BA39E7">
      <w:pPr>
        <w:pStyle w:val="TOC2"/>
        <w:rPr>
          <w:rFonts w:asciiTheme="minorHAnsi" w:eastAsiaTheme="minorEastAsia" w:hAnsiTheme="minorHAnsi" w:cstheme="minorBidi"/>
          <w:kern w:val="2"/>
          <w:sz w:val="24"/>
          <w:szCs w:val="24"/>
          <w:lang w:eastAsia="en-AU"/>
          <w14:ligatures w14:val="standardContextual"/>
        </w:rPr>
      </w:pPr>
      <w:hyperlink w:anchor="_Toc216858023" w:history="1">
        <w:r w:rsidRPr="001746EA">
          <w:rPr>
            <w:rStyle w:val="Hyperlink"/>
          </w:rPr>
          <w:t>Thromboembolism</w:t>
        </w:r>
        <w:r>
          <w:rPr>
            <w:webHidden/>
          </w:rPr>
          <w:tab/>
        </w:r>
        <w:r>
          <w:rPr>
            <w:webHidden/>
          </w:rPr>
          <w:fldChar w:fldCharType="begin"/>
        </w:r>
        <w:r>
          <w:rPr>
            <w:webHidden/>
          </w:rPr>
          <w:instrText xml:space="preserve"> PAGEREF _Toc216858023 \h </w:instrText>
        </w:r>
        <w:r>
          <w:rPr>
            <w:webHidden/>
          </w:rPr>
        </w:r>
        <w:r>
          <w:rPr>
            <w:webHidden/>
          </w:rPr>
          <w:fldChar w:fldCharType="separate"/>
        </w:r>
        <w:r w:rsidR="00112B93">
          <w:rPr>
            <w:webHidden/>
          </w:rPr>
          <w:t>4</w:t>
        </w:r>
        <w:r>
          <w:rPr>
            <w:webHidden/>
          </w:rPr>
          <w:fldChar w:fldCharType="end"/>
        </w:r>
      </w:hyperlink>
    </w:p>
    <w:p w14:paraId="39DE7F8C" w14:textId="7621D09A" w:rsidR="00BA39E7" w:rsidRDefault="00BA39E7">
      <w:pPr>
        <w:pStyle w:val="TOC2"/>
        <w:rPr>
          <w:rFonts w:asciiTheme="minorHAnsi" w:eastAsiaTheme="minorEastAsia" w:hAnsiTheme="minorHAnsi" w:cstheme="minorBidi"/>
          <w:kern w:val="2"/>
          <w:sz w:val="24"/>
          <w:szCs w:val="24"/>
          <w:lang w:eastAsia="en-AU"/>
          <w14:ligatures w14:val="standardContextual"/>
        </w:rPr>
      </w:pPr>
      <w:hyperlink w:anchor="_Toc216858024" w:history="1">
        <w:r w:rsidRPr="001746EA">
          <w:rPr>
            <w:rStyle w:val="Hyperlink"/>
          </w:rPr>
          <w:t>Acute renal failure</w:t>
        </w:r>
        <w:r>
          <w:rPr>
            <w:webHidden/>
          </w:rPr>
          <w:tab/>
        </w:r>
        <w:r>
          <w:rPr>
            <w:webHidden/>
          </w:rPr>
          <w:fldChar w:fldCharType="begin"/>
        </w:r>
        <w:r>
          <w:rPr>
            <w:webHidden/>
          </w:rPr>
          <w:instrText xml:space="preserve"> PAGEREF _Toc216858024 \h </w:instrText>
        </w:r>
        <w:r>
          <w:rPr>
            <w:webHidden/>
          </w:rPr>
        </w:r>
        <w:r>
          <w:rPr>
            <w:webHidden/>
          </w:rPr>
          <w:fldChar w:fldCharType="separate"/>
        </w:r>
        <w:r w:rsidR="00112B93">
          <w:rPr>
            <w:webHidden/>
          </w:rPr>
          <w:t>5</w:t>
        </w:r>
        <w:r>
          <w:rPr>
            <w:webHidden/>
          </w:rPr>
          <w:fldChar w:fldCharType="end"/>
        </w:r>
      </w:hyperlink>
    </w:p>
    <w:p w14:paraId="27CFF30E" w14:textId="36063CCC" w:rsidR="00BA39E7" w:rsidRDefault="00BA39E7">
      <w:pPr>
        <w:pStyle w:val="TOC2"/>
        <w:rPr>
          <w:rFonts w:asciiTheme="minorHAnsi" w:eastAsiaTheme="minorEastAsia" w:hAnsiTheme="minorHAnsi" w:cstheme="minorBidi"/>
          <w:kern w:val="2"/>
          <w:sz w:val="24"/>
          <w:szCs w:val="24"/>
          <w:lang w:eastAsia="en-AU"/>
          <w14:ligatures w14:val="standardContextual"/>
        </w:rPr>
      </w:pPr>
      <w:hyperlink w:anchor="_Toc216858025" w:history="1">
        <w:r w:rsidRPr="001746EA">
          <w:rPr>
            <w:rStyle w:val="Hyperlink"/>
          </w:rPr>
          <w:t>Haemolytic anaemia</w:t>
        </w:r>
        <w:r>
          <w:rPr>
            <w:webHidden/>
          </w:rPr>
          <w:tab/>
        </w:r>
        <w:r>
          <w:rPr>
            <w:webHidden/>
          </w:rPr>
          <w:fldChar w:fldCharType="begin"/>
        </w:r>
        <w:r>
          <w:rPr>
            <w:webHidden/>
          </w:rPr>
          <w:instrText xml:space="preserve"> PAGEREF _Toc216858025 \h </w:instrText>
        </w:r>
        <w:r>
          <w:rPr>
            <w:webHidden/>
          </w:rPr>
        </w:r>
        <w:r>
          <w:rPr>
            <w:webHidden/>
          </w:rPr>
          <w:fldChar w:fldCharType="separate"/>
        </w:r>
        <w:r w:rsidR="00112B93">
          <w:rPr>
            <w:webHidden/>
          </w:rPr>
          <w:t>5</w:t>
        </w:r>
        <w:r>
          <w:rPr>
            <w:webHidden/>
          </w:rPr>
          <w:fldChar w:fldCharType="end"/>
        </w:r>
      </w:hyperlink>
    </w:p>
    <w:p w14:paraId="6FAC27B7" w14:textId="35A84FD6" w:rsidR="00BA39E7" w:rsidRDefault="00BA39E7">
      <w:pPr>
        <w:pStyle w:val="TOC2"/>
        <w:rPr>
          <w:rFonts w:asciiTheme="minorHAnsi" w:eastAsiaTheme="minorEastAsia" w:hAnsiTheme="minorHAnsi" w:cstheme="minorBidi"/>
          <w:kern w:val="2"/>
          <w:sz w:val="24"/>
          <w:szCs w:val="24"/>
          <w:lang w:eastAsia="en-AU"/>
          <w14:ligatures w14:val="standardContextual"/>
        </w:rPr>
      </w:pPr>
      <w:hyperlink w:anchor="_Toc216858026" w:history="1">
        <w:r w:rsidRPr="001746EA">
          <w:rPr>
            <w:rStyle w:val="Hyperlink"/>
          </w:rPr>
          <w:t>Non-cardiogenic pulmonary oedema</w:t>
        </w:r>
        <w:r>
          <w:rPr>
            <w:webHidden/>
          </w:rPr>
          <w:tab/>
        </w:r>
        <w:r>
          <w:rPr>
            <w:webHidden/>
          </w:rPr>
          <w:fldChar w:fldCharType="begin"/>
        </w:r>
        <w:r>
          <w:rPr>
            <w:webHidden/>
          </w:rPr>
          <w:instrText xml:space="preserve"> PAGEREF _Toc216858026 \h </w:instrText>
        </w:r>
        <w:r>
          <w:rPr>
            <w:webHidden/>
          </w:rPr>
        </w:r>
        <w:r>
          <w:rPr>
            <w:webHidden/>
          </w:rPr>
          <w:fldChar w:fldCharType="separate"/>
        </w:r>
        <w:r w:rsidR="00112B93">
          <w:rPr>
            <w:webHidden/>
          </w:rPr>
          <w:t>5</w:t>
        </w:r>
        <w:r>
          <w:rPr>
            <w:webHidden/>
          </w:rPr>
          <w:fldChar w:fldCharType="end"/>
        </w:r>
      </w:hyperlink>
    </w:p>
    <w:p w14:paraId="3A7C8A32" w14:textId="7A45667F" w:rsidR="00BA39E7" w:rsidRDefault="00BA39E7">
      <w:pPr>
        <w:pStyle w:val="TOC2"/>
        <w:rPr>
          <w:rFonts w:asciiTheme="minorHAnsi" w:eastAsiaTheme="minorEastAsia" w:hAnsiTheme="minorHAnsi" w:cstheme="minorBidi"/>
          <w:kern w:val="2"/>
          <w:sz w:val="24"/>
          <w:szCs w:val="24"/>
          <w:lang w:eastAsia="en-AU"/>
          <w14:ligatures w14:val="standardContextual"/>
        </w:rPr>
      </w:pPr>
      <w:hyperlink w:anchor="_Toc216858027" w:history="1">
        <w:r w:rsidRPr="001746EA">
          <w:rPr>
            <w:rStyle w:val="Hyperlink"/>
          </w:rPr>
          <w:t>Fertility, pregnancy and lactation</w:t>
        </w:r>
        <w:r>
          <w:rPr>
            <w:webHidden/>
          </w:rPr>
          <w:tab/>
        </w:r>
        <w:r>
          <w:rPr>
            <w:webHidden/>
          </w:rPr>
          <w:fldChar w:fldCharType="begin"/>
        </w:r>
        <w:r>
          <w:rPr>
            <w:webHidden/>
          </w:rPr>
          <w:instrText xml:space="preserve"> PAGEREF _Toc216858027 \h </w:instrText>
        </w:r>
        <w:r>
          <w:rPr>
            <w:webHidden/>
          </w:rPr>
        </w:r>
        <w:r>
          <w:rPr>
            <w:webHidden/>
          </w:rPr>
          <w:fldChar w:fldCharType="separate"/>
        </w:r>
        <w:r w:rsidR="00112B93">
          <w:rPr>
            <w:webHidden/>
          </w:rPr>
          <w:t>5</w:t>
        </w:r>
        <w:r>
          <w:rPr>
            <w:webHidden/>
          </w:rPr>
          <w:fldChar w:fldCharType="end"/>
        </w:r>
      </w:hyperlink>
    </w:p>
    <w:p w14:paraId="56CE7D99" w14:textId="0B5394FA" w:rsidR="00BA39E7" w:rsidRDefault="00BA39E7">
      <w:pPr>
        <w:pStyle w:val="TOC2"/>
        <w:rPr>
          <w:rFonts w:asciiTheme="minorHAnsi" w:eastAsiaTheme="minorEastAsia" w:hAnsiTheme="minorHAnsi" w:cstheme="minorBidi"/>
          <w:kern w:val="2"/>
          <w:sz w:val="24"/>
          <w:szCs w:val="24"/>
          <w:lang w:eastAsia="en-AU"/>
          <w14:ligatures w14:val="standardContextual"/>
        </w:rPr>
      </w:pPr>
      <w:hyperlink w:anchor="_Toc216858028" w:history="1">
        <w:r w:rsidRPr="001746EA">
          <w:rPr>
            <w:rStyle w:val="Hyperlink"/>
          </w:rPr>
          <w:t>Use in the elderly, genotoxicity and carcinogenicity</w:t>
        </w:r>
        <w:r>
          <w:rPr>
            <w:webHidden/>
          </w:rPr>
          <w:tab/>
        </w:r>
        <w:r>
          <w:rPr>
            <w:webHidden/>
          </w:rPr>
          <w:fldChar w:fldCharType="begin"/>
        </w:r>
        <w:r>
          <w:rPr>
            <w:webHidden/>
          </w:rPr>
          <w:instrText xml:space="preserve"> PAGEREF _Toc216858028 \h </w:instrText>
        </w:r>
        <w:r>
          <w:rPr>
            <w:webHidden/>
          </w:rPr>
        </w:r>
        <w:r>
          <w:rPr>
            <w:webHidden/>
          </w:rPr>
          <w:fldChar w:fldCharType="separate"/>
        </w:r>
        <w:r w:rsidR="00112B93">
          <w:rPr>
            <w:webHidden/>
          </w:rPr>
          <w:t>6</w:t>
        </w:r>
        <w:r>
          <w:rPr>
            <w:webHidden/>
          </w:rPr>
          <w:fldChar w:fldCharType="end"/>
        </w:r>
      </w:hyperlink>
    </w:p>
    <w:p w14:paraId="4AB543D4" w14:textId="74C6BBE3" w:rsidR="00BA39E7" w:rsidRDefault="00BA39E7">
      <w:pPr>
        <w:pStyle w:val="TOC1"/>
        <w:rPr>
          <w:rFonts w:asciiTheme="minorHAnsi" w:eastAsiaTheme="minorEastAsia" w:hAnsiTheme="minorHAnsi" w:cstheme="minorBidi"/>
          <w:b w:val="0"/>
          <w:kern w:val="2"/>
          <w:sz w:val="24"/>
          <w:szCs w:val="24"/>
          <w:lang w:eastAsia="en-AU"/>
          <w14:ligatures w14:val="standardContextual"/>
        </w:rPr>
      </w:pPr>
      <w:hyperlink w:anchor="_Toc216858029" w:history="1">
        <w:r w:rsidRPr="001746EA">
          <w:rPr>
            <w:rStyle w:val="Hyperlink"/>
          </w:rPr>
          <w:t>Compatibilities and drug interactions</w:t>
        </w:r>
        <w:r>
          <w:rPr>
            <w:webHidden/>
          </w:rPr>
          <w:tab/>
        </w:r>
        <w:r>
          <w:rPr>
            <w:webHidden/>
          </w:rPr>
          <w:fldChar w:fldCharType="begin"/>
        </w:r>
        <w:r>
          <w:rPr>
            <w:webHidden/>
          </w:rPr>
          <w:instrText xml:space="preserve"> PAGEREF _Toc216858029 \h </w:instrText>
        </w:r>
        <w:r>
          <w:rPr>
            <w:webHidden/>
          </w:rPr>
        </w:r>
        <w:r>
          <w:rPr>
            <w:webHidden/>
          </w:rPr>
          <w:fldChar w:fldCharType="separate"/>
        </w:r>
        <w:r w:rsidR="00112B93">
          <w:rPr>
            <w:webHidden/>
          </w:rPr>
          <w:t>6</w:t>
        </w:r>
        <w:r>
          <w:rPr>
            <w:webHidden/>
          </w:rPr>
          <w:fldChar w:fldCharType="end"/>
        </w:r>
      </w:hyperlink>
    </w:p>
    <w:p w14:paraId="26F7EF6A" w14:textId="64188B36" w:rsidR="00BA39E7" w:rsidRDefault="00BA39E7">
      <w:pPr>
        <w:pStyle w:val="TOC1"/>
        <w:rPr>
          <w:rFonts w:asciiTheme="minorHAnsi" w:eastAsiaTheme="minorEastAsia" w:hAnsiTheme="minorHAnsi" w:cstheme="minorBidi"/>
          <w:b w:val="0"/>
          <w:kern w:val="2"/>
          <w:sz w:val="24"/>
          <w:szCs w:val="24"/>
          <w:lang w:eastAsia="en-AU"/>
          <w14:ligatures w14:val="standardContextual"/>
        </w:rPr>
      </w:pPr>
      <w:hyperlink w:anchor="_Toc216858030" w:history="1">
        <w:r w:rsidRPr="001746EA">
          <w:rPr>
            <w:rStyle w:val="Hyperlink"/>
          </w:rPr>
          <w:t>IVIg administration</w:t>
        </w:r>
        <w:r>
          <w:rPr>
            <w:webHidden/>
          </w:rPr>
          <w:tab/>
        </w:r>
        <w:r>
          <w:rPr>
            <w:webHidden/>
          </w:rPr>
          <w:fldChar w:fldCharType="begin"/>
        </w:r>
        <w:r>
          <w:rPr>
            <w:webHidden/>
          </w:rPr>
          <w:instrText xml:space="preserve"> PAGEREF _Toc216858030 \h </w:instrText>
        </w:r>
        <w:r>
          <w:rPr>
            <w:webHidden/>
          </w:rPr>
        </w:r>
        <w:r>
          <w:rPr>
            <w:webHidden/>
          </w:rPr>
          <w:fldChar w:fldCharType="separate"/>
        </w:r>
        <w:r w:rsidR="00112B93">
          <w:rPr>
            <w:webHidden/>
          </w:rPr>
          <w:t>6</w:t>
        </w:r>
        <w:r>
          <w:rPr>
            <w:webHidden/>
          </w:rPr>
          <w:fldChar w:fldCharType="end"/>
        </w:r>
      </w:hyperlink>
    </w:p>
    <w:p w14:paraId="10A86F5B" w14:textId="7C777B3A" w:rsidR="00BA39E7" w:rsidRDefault="00BA39E7">
      <w:pPr>
        <w:pStyle w:val="TOC2"/>
        <w:rPr>
          <w:rFonts w:asciiTheme="minorHAnsi" w:eastAsiaTheme="minorEastAsia" w:hAnsiTheme="minorHAnsi" w:cstheme="minorBidi"/>
          <w:kern w:val="2"/>
          <w:sz w:val="24"/>
          <w:szCs w:val="24"/>
          <w:lang w:eastAsia="en-AU"/>
          <w14:ligatures w14:val="standardContextual"/>
        </w:rPr>
      </w:pPr>
      <w:hyperlink w:anchor="_Toc216858031" w:history="1">
        <w:r w:rsidRPr="001746EA">
          <w:rPr>
            <w:rStyle w:val="Hyperlink"/>
          </w:rPr>
          <w:t>Preparation for infusion</w:t>
        </w:r>
        <w:r>
          <w:rPr>
            <w:webHidden/>
          </w:rPr>
          <w:tab/>
        </w:r>
        <w:r>
          <w:rPr>
            <w:webHidden/>
          </w:rPr>
          <w:fldChar w:fldCharType="begin"/>
        </w:r>
        <w:r>
          <w:rPr>
            <w:webHidden/>
          </w:rPr>
          <w:instrText xml:space="preserve"> PAGEREF _Toc216858031 \h </w:instrText>
        </w:r>
        <w:r>
          <w:rPr>
            <w:webHidden/>
          </w:rPr>
        </w:r>
        <w:r>
          <w:rPr>
            <w:webHidden/>
          </w:rPr>
          <w:fldChar w:fldCharType="separate"/>
        </w:r>
        <w:r w:rsidR="00112B93">
          <w:rPr>
            <w:webHidden/>
          </w:rPr>
          <w:t>6</w:t>
        </w:r>
        <w:r>
          <w:rPr>
            <w:webHidden/>
          </w:rPr>
          <w:fldChar w:fldCharType="end"/>
        </w:r>
      </w:hyperlink>
    </w:p>
    <w:p w14:paraId="28C4B23A" w14:textId="5ED48F7D" w:rsidR="00BA39E7" w:rsidRDefault="00BA39E7">
      <w:pPr>
        <w:pStyle w:val="TOC2"/>
        <w:rPr>
          <w:rFonts w:asciiTheme="minorHAnsi" w:eastAsiaTheme="minorEastAsia" w:hAnsiTheme="minorHAnsi" w:cstheme="minorBidi"/>
          <w:kern w:val="2"/>
          <w:sz w:val="24"/>
          <w:szCs w:val="24"/>
          <w:lang w:eastAsia="en-AU"/>
          <w14:ligatures w14:val="standardContextual"/>
        </w:rPr>
      </w:pPr>
      <w:hyperlink w:anchor="_Toc216858032" w:history="1">
        <w:r w:rsidRPr="001746EA">
          <w:rPr>
            <w:rStyle w:val="Hyperlink"/>
          </w:rPr>
          <w:t>Infusion rate guide</w:t>
        </w:r>
        <w:r>
          <w:rPr>
            <w:webHidden/>
          </w:rPr>
          <w:tab/>
        </w:r>
        <w:r>
          <w:rPr>
            <w:webHidden/>
          </w:rPr>
          <w:fldChar w:fldCharType="begin"/>
        </w:r>
        <w:r>
          <w:rPr>
            <w:webHidden/>
          </w:rPr>
          <w:instrText xml:space="preserve"> PAGEREF _Toc216858032 \h </w:instrText>
        </w:r>
        <w:r>
          <w:rPr>
            <w:webHidden/>
          </w:rPr>
        </w:r>
        <w:r>
          <w:rPr>
            <w:webHidden/>
          </w:rPr>
          <w:fldChar w:fldCharType="separate"/>
        </w:r>
        <w:r w:rsidR="00112B93">
          <w:rPr>
            <w:webHidden/>
          </w:rPr>
          <w:t>7</w:t>
        </w:r>
        <w:r>
          <w:rPr>
            <w:webHidden/>
          </w:rPr>
          <w:fldChar w:fldCharType="end"/>
        </w:r>
      </w:hyperlink>
    </w:p>
    <w:p w14:paraId="1CF62F71" w14:textId="3AEDDC5C" w:rsidR="00BA39E7" w:rsidRDefault="00BA39E7">
      <w:pPr>
        <w:pStyle w:val="TOC2"/>
        <w:rPr>
          <w:rFonts w:asciiTheme="minorHAnsi" w:eastAsiaTheme="minorEastAsia" w:hAnsiTheme="minorHAnsi" w:cstheme="minorBidi"/>
          <w:kern w:val="2"/>
          <w:sz w:val="24"/>
          <w:szCs w:val="24"/>
          <w:lang w:eastAsia="en-AU"/>
          <w14:ligatures w14:val="standardContextual"/>
        </w:rPr>
      </w:pPr>
      <w:hyperlink w:anchor="_Toc216858033" w:history="1">
        <w:r w:rsidRPr="001746EA">
          <w:rPr>
            <w:rStyle w:val="Hyperlink"/>
          </w:rPr>
          <w:t>Considerations for infusion rates in some patient groups</w:t>
        </w:r>
        <w:r>
          <w:rPr>
            <w:webHidden/>
          </w:rPr>
          <w:tab/>
        </w:r>
        <w:r>
          <w:rPr>
            <w:webHidden/>
          </w:rPr>
          <w:fldChar w:fldCharType="begin"/>
        </w:r>
        <w:r>
          <w:rPr>
            <w:webHidden/>
          </w:rPr>
          <w:instrText xml:space="preserve"> PAGEREF _Toc216858033 \h </w:instrText>
        </w:r>
        <w:r>
          <w:rPr>
            <w:webHidden/>
          </w:rPr>
        </w:r>
        <w:r>
          <w:rPr>
            <w:webHidden/>
          </w:rPr>
          <w:fldChar w:fldCharType="separate"/>
        </w:r>
        <w:r w:rsidR="00112B93">
          <w:rPr>
            <w:webHidden/>
          </w:rPr>
          <w:t>8</w:t>
        </w:r>
        <w:r>
          <w:rPr>
            <w:webHidden/>
          </w:rPr>
          <w:fldChar w:fldCharType="end"/>
        </w:r>
      </w:hyperlink>
    </w:p>
    <w:p w14:paraId="2B86C9C2" w14:textId="6B9CB516" w:rsidR="00BA39E7" w:rsidRDefault="00BA39E7">
      <w:pPr>
        <w:pStyle w:val="TOC2"/>
        <w:rPr>
          <w:rFonts w:asciiTheme="minorHAnsi" w:eastAsiaTheme="minorEastAsia" w:hAnsiTheme="minorHAnsi" w:cstheme="minorBidi"/>
          <w:kern w:val="2"/>
          <w:sz w:val="24"/>
          <w:szCs w:val="24"/>
          <w:lang w:eastAsia="en-AU"/>
          <w14:ligatures w14:val="standardContextual"/>
        </w:rPr>
      </w:pPr>
      <w:hyperlink w:anchor="_Toc216858034" w:history="1">
        <w:r w:rsidRPr="001746EA">
          <w:rPr>
            <w:rStyle w:val="Hyperlink"/>
          </w:rPr>
          <w:t>Traceability</w:t>
        </w:r>
        <w:r>
          <w:rPr>
            <w:webHidden/>
          </w:rPr>
          <w:tab/>
        </w:r>
        <w:r>
          <w:rPr>
            <w:webHidden/>
          </w:rPr>
          <w:fldChar w:fldCharType="begin"/>
        </w:r>
        <w:r>
          <w:rPr>
            <w:webHidden/>
          </w:rPr>
          <w:instrText xml:space="preserve"> PAGEREF _Toc216858034 \h </w:instrText>
        </w:r>
        <w:r>
          <w:rPr>
            <w:webHidden/>
          </w:rPr>
        </w:r>
        <w:r>
          <w:rPr>
            <w:webHidden/>
          </w:rPr>
          <w:fldChar w:fldCharType="separate"/>
        </w:r>
        <w:r w:rsidR="00112B93">
          <w:rPr>
            <w:webHidden/>
          </w:rPr>
          <w:t>9</w:t>
        </w:r>
        <w:r>
          <w:rPr>
            <w:webHidden/>
          </w:rPr>
          <w:fldChar w:fldCharType="end"/>
        </w:r>
      </w:hyperlink>
    </w:p>
    <w:p w14:paraId="6CF6EACB" w14:textId="1629A688" w:rsidR="00BA39E7" w:rsidRDefault="00BA39E7">
      <w:pPr>
        <w:pStyle w:val="TOC2"/>
        <w:rPr>
          <w:rFonts w:asciiTheme="minorHAnsi" w:eastAsiaTheme="minorEastAsia" w:hAnsiTheme="minorHAnsi" w:cstheme="minorBidi"/>
          <w:kern w:val="2"/>
          <w:sz w:val="24"/>
          <w:szCs w:val="24"/>
          <w:lang w:eastAsia="en-AU"/>
          <w14:ligatures w14:val="standardContextual"/>
        </w:rPr>
      </w:pPr>
      <w:hyperlink w:anchor="_Toc216858035" w:history="1">
        <w:r w:rsidRPr="001746EA">
          <w:rPr>
            <w:rStyle w:val="Hyperlink"/>
          </w:rPr>
          <w:t>Observations</w:t>
        </w:r>
        <w:r>
          <w:rPr>
            <w:webHidden/>
          </w:rPr>
          <w:tab/>
        </w:r>
        <w:r>
          <w:rPr>
            <w:webHidden/>
          </w:rPr>
          <w:fldChar w:fldCharType="begin"/>
        </w:r>
        <w:r>
          <w:rPr>
            <w:webHidden/>
          </w:rPr>
          <w:instrText xml:space="preserve"> PAGEREF _Toc216858035 \h </w:instrText>
        </w:r>
        <w:r>
          <w:rPr>
            <w:webHidden/>
          </w:rPr>
        </w:r>
        <w:r>
          <w:rPr>
            <w:webHidden/>
          </w:rPr>
          <w:fldChar w:fldCharType="separate"/>
        </w:r>
        <w:r w:rsidR="00112B93">
          <w:rPr>
            <w:webHidden/>
          </w:rPr>
          <w:t>9</w:t>
        </w:r>
        <w:r>
          <w:rPr>
            <w:webHidden/>
          </w:rPr>
          <w:fldChar w:fldCharType="end"/>
        </w:r>
      </w:hyperlink>
    </w:p>
    <w:p w14:paraId="579A6D59" w14:textId="61383514" w:rsidR="00BA39E7" w:rsidRDefault="00BA39E7">
      <w:pPr>
        <w:pStyle w:val="TOC1"/>
        <w:rPr>
          <w:rFonts w:asciiTheme="minorHAnsi" w:eastAsiaTheme="minorEastAsia" w:hAnsiTheme="minorHAnsi" w:cstheme="minorBidi"/>
          <w:b w:val="0"/>
          <w:kern w:val="2"/>
          <w:sz w:val="24"/>
          <w:szCs w:val="24"/>
          <w:lang w:eastAsia="en-AU"/>
          <w14:ligatures w14:val="standardContextual"/>
        </w:rPr>
      </w:pPr>
      <w:hyperlink w:anchor="_Toc216858036" w:history="1">
        <w:r w:rsidRPr="001746EA">
          <w:rPr>
            <w:rStyle w:val="Hyperlink"/>
          </w:rPr>
          <w:t>General adverse effects</w:t>
        </w:r>
        <w:r>
          <w:rPr>
            <w:webHidden/>
          </w:rPr>
          <w:tab/>
        </w:r>
        <w:r>
          <w:rPr>
            <w:webHidden/>
          </w:rPr>
          <w:fldChar w:fldCharType="begin"/>
        </w:r>
        <w:r>
          <w:rPr>
            <w:webHidden/>
          </w:rPr>
          <w:instrText xml:space="preserve"> PAGEREF _Toc216858036 \h </w:instrText>
        </w:r>
        <w:r>
          <w:rPr>
            <w:webHidden/>
          </w:rPr>
        </w:r>
        <w:r>
          <w:rPr>
            <w:webHidden/>
          </w:rPr>
          <w:fldChar w:fldCharType="separate"/>
        </w:r>
        <w:r w:rsidR="00112B93">
          <w:rPr>
            <w:webHidden/>
          </w:rPr>
          <w:t>9</w:t>
        </w:r>
        <w:r>
          <w:rPr>
            <w:webHidden/>
          </w:rPr>
          <w:fldChar w:fldCharType="end"/>
        </w:r>
      </w:hyperlink>
    </w:p>
    <w:p w14:paraId="5A61D60F" w14:textId="2DE5DA75" w:rsidR="00BA39E7" w:rsidRDefault="00BA39E7">
      <w:pPr>
        <w:pStyle w:val="TOC1"/>
        <w:rPr>
          <w:rFonts w:asciiTheme="minorHAnsi" w:eastAsiaTheme="minorEastAsia" w:hAnsiTheme="minorHAnsi" w:cstheme="minorBidi"/>
          <w:b w:val="0"/>
          <w:kern w:val="2"/>
          <w:sz w:val="24"/>
          <w:szCs w:val="24"/>
          <w:lang w:eastAsia="en-AU"/>
          <w14:ligatures w14:val="standardContextual"/>
        </w:rPr>
      </w:pPr>
      <w:hyperlink w:anchor="_Toc216858037" w:history="1">
        <w:r w:rsidRPr="001746EA">
          <w:rPr>
            <w:rStyle w:val="Hyperlink"/>
          </w:rPr>
          <w:t>References</w:t>
        </w:r>
        <w:r>
          <w:rPr>
            <w:webHidden/>
          </w:rPr>
          <w:tab/>
        </w:r>
        <w:r>
          <w:rPr>
            <w:webHidden/>
          </w:rPr>
          <w:fldChar w:fldCharType="begin"/>
        </w:r>
        <w:r>
          <w:rPr>
            <w:webHidden/>
          </w:rPr>
          <w:instrText xml:space="preserve"> PAGEREF _Toc216858037 \h </w:instrText>
        </w:r>
        <w:r>
          <w:rPr>
            <w:webHidden/>
          </w:rPr>
        </w:r>
        <w:r>
          <w:rPr>
            <w:webHidden/>
          </w:rPr>
          <w:fldChar w:fldCharType="separate"/>
        </w:r>
        <w:r w:rsidR="00112B93">
          <w:rPr>
            <w:webHidden/>
          </w:rPr>
          <w:t>11</w:t>
        </w:r>
        <w:r>
          <w:rPr>
            <w:webHidden/>
          </w:rPr>
          <w:fldChar w:fldCharType="end"/>
        </w:r>
      </w:hyperlink>
    </w:p>
    <w:p w14:paraId="765DD869" w14:textId="58C94943" w:rsidR="00BA39E7" w:rsidRDefault="00BA39E7">
      <w:pPr>
        <w:pStyle w:val="TOC1"/>
        <w:rPr>
          <w:rFonts w:asciiTheme="minorHAnsi" w:eastAsiaTheme="minorEastAsia" w:hAnsiTheme="minorHAnsi" w:cstheme="minorBidi"/>
          <w:b w:val="0"/>
          <w:kern w:val="2"/>
          <w:sz w:val="24"/>
          <w:szCs w:val="24"/>
          <w:lang w:eastAsia="en-AU"/>
          <w14:ligatures w14:val="standardContextual"/>
        </w:rPr>
      </w:pPr>
      <w:hyperlink w:anchor="_Toc216858038" w:history="1">
        <w:r w:rsidRPr="001746EA">
          <w:rPr>
            <w:rStyle w:val="Hyperlink"/>
          </w:rPr>
          <w:t>Acknowledgements</w:t>
        </w:r>
        <w:r>
          <w:rPr>
            <w:webHidden/>
          </w:rPr>
          <w:tab/>
        </w:r>
        <w:r>
          <w:rPr>
            <w:webHidden/>
          </w:rPr>
          <w:fldChar w:fldCharType="begin"/>
        </w:r>
        <w:r>
          <w:rPr>
            <w:webHidden/>
          </w:rPr>
          <w:instrText xml:space="preserve"> PAGEREF _Toc216858038 \h </w:instrText>
        </w:r>
        <w:r>
          <w:rPr>
            <w:webHidden/>
          </w:rPr>
        </w:r>
        <w:r>
          <w:rPr>
            <w:webHidden/>
          </w:rPr>
          <w:fldChar w:fldCharType="separate"/>
        </w:r>
        <w:r w:rsidR="00112B93">
          <w:rPr>
            <w:webHidden/>
          </w:rPr>
          <w:t>12</w:t>
        </w:r>
        <w:r>
          <w:rPr>
            <w:webHidden/>
          </w:rPr>
          <w:fldChar w:fldCharType="end"/>
        </w:r>
      </w:hyperlink>
    </w:p>
    <w:p w14:paraId="0944219E" w14:textId="20261BA5" w:rsidR="00BA39E7" w:rsidRDefault="00BA39E7">
      <w:pPr>
        <w:pStyle w:val="TOC1"/>
        <w:rPr>
          <w:rFonts w:asciiTheme="minorHAnsi" w:eastAsiaTheme="minorEastAsia" w:hAnsiTheme="minorHAnsi" w:cstheme="minorBidi"/>
          <w:b w:val="0"/>
          <w:kern w:val="2"/>
          <w:sz w:val="24"/>
          <w:szCs w:val="24"/>
          <w:lang w:eastAsia="en-AU"/>
          <w14:ligatures w14:val="standardContextual"/>
        </w:rPr>
      </w:pPr>
      <w:hyperlink w:anchor="_Toc216858039" w:history="1">
        <w:r w:rsidRPr="001746EA">
          <w:rPr>
            <w:rStyle w:val="Hyperlink"/>
          </w:rPr>
          <w:t>Further information</w:t>
        </w:r>
        <w:r>
          <w:rPr>
            <w:webHidden/>
          </w:rPr>
          <w:tab/>
        </w:r>
        <w:r>
          <w:rPr>
            <w:webHidden/>
          </w:rPr>
          <w:fldChar w:fldCharType="begin"/>
        </w:r>
        <w:r>
          <w:rPr>
            <w:webHidden/>
          </w:rPr>
          <w:instrText xml:space="preserve"> PAGEREF _Toc216858039 \h </w:instrText>
        </w:r>
        <w:r>
          <w:rPr>
            <w:webHidden/>
          </w:rPr>
        </w:r>
        <w:r>
          <w:rPr>
            <w:webHidden/>
          </w:rPr>
          <w:fldChar w:fldCharType="separate"/>
        </w:r>
        <w:r w:rsidR="00112B93">
          <w:rPr>
            <w:webHidden/>
          </w:rPr>
          <w:t>12</w:t>
        </w:r>
        <w:r>
          <w:rPr>
            <w:webHidden/>
          </w:rPr>
          <w:fldChar w:fldCharType="end"/>
        </w:r>
      </w:hyperlink>
    </w:p>
    <w:p w14:paraId="02D37211" w14:textId="6D5B5A72" w:rsidR="007173CA" w:rsidRDefault="00AD784C" w:rsidP="00BA39E7">
      <w:pPr>
        <w:pStyle w:val="TOC2"/>
      </w:pPr>
      <w:r>
        <w:fldChar w:fldCharType="end"/>
      </w:r>
    </w:p>
    <w:p w14:paraId="04CBA695" w14:textId="77777777" w:rsidR="00580394" w:rsidRPr="00B519CD" w:rsidRDefault="00580394" w:rsidP="007173CA">
      <w:pPr>
        <w:pStyle w:val="Body"/>
        <w:sectPr w:rsidR="00580394" w:rsidRPr="00B519CD" w:rsidSect="00FD2A22">
          <w:headerReference w:type="default" r:id="rId15"/>
          <w:type w:val="continuous"/>
          <w:pgSz w:w="16838" w:h="11906" w:orient="landscape" w:code="9"/>
          <w:pgMar w:top="1418" w:right="851" w:bottom="1418" w:left="851" w:header="680" w:footer="851" w:gutter="0"/>
          <w:cols w:space="340"/>
          <w:titlePg/>
          <w:docGrid w:linePitch="360"/>
        </w:sectPr>
      </w:pPr>
    </w:p>
    <w:p w14:paraId="13C262A6" w14:textId="628E8094" w:rsidR="007C04D4" w:rsidRDefault="007C04D4">
      <w:pPr>
        <w:spacing w:after="0" w:line="240" w:lineRule="auto"/>
        <w:rPr>
          <w:color w:val="87189D"/>
          <w:sz w:val="24"/>
          <w:szCs w:val="24"/>
        </w:rPr>
      </w:pPr>
      <w:bookmarkStart w:id="0" w:name="_Hlk66275438"/>
      <w:bookmarkStart w:id="1" w:name="_Toc63257285"/>
      <w:r>
        <w:rPr>
          <w:color w:val="87189D"/>
          <w:sz w:val="24"/>
          <w:szCs w:val="24"/>
        </w:rPr>
        <w:br w:type="page"/>
      </w:r>
    </w:p>
    <w:p w14:paraId="0987AEFA" w14:textId="77777777" w:rsidR="00521E91" w:rsidRDefault="00521E91" w:rsidP="00CA3353">
      <w:pPr>
        <w:pStyle w:val="Heading1"/>
        <w:spacing w:before="0"/>
      </w:pPr>
      <w:bookmarkStart w:id="2" w:name="_Toc216858016"/>
      <w:bookmarkStart w:id="3" w:name="_Hlk66712316"/>
      <w:bookmarkStart w:id="4" w:name="_Hlk37240926"/>
      <w:bookmarkEnd w:id="0"/>
      <w:bookmarkEnd w:id="1"/>
      <w:r>
        <w:lastRenderedPageBreak/>
        <w:t>Caveat</w:t>
      </w:r>
      <w:bookmarkEnd w:id="2"/>
    </w:p>
    <w:p w14:paraId="274F707B" w14:textId="77777777" w:rsidR="00521E91" w:rsidRDefault="00521E91" w:rsidP="00521E91">
      <w:pPr>
        <w:pStyle w:val="Body"/>
      </w:pPr>
      <w:r w:rsidRPr="00CF3DA6">
        <w:t xml:space="preserve">This information is a guide only. Health service procedures should be implemented and monitored for compliance with best practice, safety guidelines and all other requirements specific to the products available. </w:t>
      </w:r>
    </w:p>
    <w:p w14:paraId="5E203145" w14:textId="447309AC" w:rsidR="00521E91" w:rsidRDefault="00521E91" w:rsidP="00521E91">
      <w:pPr>
        <w:pStyle w:val="Body"/>
      </w:pPr>
      <w:r w:rsidRPr="00CF3DA6">
        <w:t>All health service policies/procedures should be developed</w:t>
      </w:r>
      <w:r>
        <w:t xml:space="preserve"> and endorsed</w:t>
      </w:r>
      <w:r w:rsidRPr="00CF3DA6">
        <w:t xml:space="preserve"> in accordance with local procedure</w:t>
      </w:r>
      <w:r>
        <w:t>s</w:t>
      </w:r>
      <w:r w:rsidRPr="00CF3DA6">
        <w:t xml:space="preserve"> </w:t>
      </w:r>
      <w:r>
        <w:t xml:space="preserve">and </w:t>
      </w:r>
      <w:r w:rsidRPr="00CF3DA6">
        <w:t>committee/s.</w:t>
      </w:r>
      <w:r w:rsidRPr="00521E91">
        <w:t xml:space="preserve"> </w:t>
      </w:r>
    </w:p>
    <w:p w14:paraId="2412F4C4" w14:textId="1F085938" w:rsidR="00521E91" w:rsidRPr="00521E91" w:rsidRDefault="00521E91" w:rsidP="00521E91">
      <w:pPr>
        <w:pStyle w:val="Body"/>
      </w:pPr>
      <w:r w:rsidRPr="00917C0E">
        <w:t>This document is correct at time of publication and will be further updated as changes occur.</w:t>
      </w:r>
    </w:p>
    <w:p w14:paraId="0DEBB8C7" w14:textId="1FB1F81A" w:rsidR="00CA3353" w:rsidRPr="00A71CE4" w:rsidRDefault="00521E91" w:rsidP="00CA3353">
      <w:pPr>
        <w:pStyle w:val="Heading1"/>
        <w:spacing w:before="0"/>
      </w:pPr>
      <w:bookmarkStart w:id="5" w:name="_Toc216858017"/>
      <w:r>
        <w:t>General information</w:t>
      </w:r>
      <w:bookmarkEnd w:id="5"/>
    </w:p>
    <w:p w14:paraId="6D1E6DFC" w14:textId="6E9DF1C3" w:rsidR="00521E91" w:rsidRDefault="00521E91" w:rsidP="00521E91">
      <w:pPr>
        <w:pStyle w:val="Body"/>
      </w:pPr>
      <w:bookmarkStart w:id="6" w:name="_Hlk163641279"/>
      <w:bookmarkStart w:id="7" w:name="_Toc66711981"/>
      <w:r w:rsidRPr="00917C0E">
        <w:t xml:space="preserve">The National Blood Authority </w:t>
      </w:r>
      <w:r>
        <w:t xml:space="preserve">undertakes a tender to </w:t>
      </w:r>
      <w:r w:rsidRPr="00917C0E">
        <w:t xml:space="preserve">source imported IVIg products to </w:t>
      </w:r>
      <w:r>
        <w:t>supplement</w:t>
      </w:r>
      <w:r w:rsidRPr="00917C0E">
        <w:t xml:space="preserve"> domestic IVIg product, </w:t>
      </w:r>
      <w:r>
        <w:t>ensuring</w:t>
      </w:r>
      <w:r w:rsidRPr="00917C0E">
        <w:t xml:space="preserve"> adequate supply for Australian consumer</w:t>
      </w:r>
      <w:r>
        <w:t>s</w:t>
      </w:r>
      <w:r w:rsidRPr="00917C0E">
        <w:t xml:space="preserve">. </w:t>
      </w:r>
    </w:p>
    <w:p w14:paraId="0E72E81E" w14:textId="7A715DF2" w:rsidR="00521E91" w:rsidRDefault="00521E91" w:rsidP="00521E91">
      <w:pPr>
        <w:pStyle w:val="Heading1"/>
        <w:spacing w:before="0"/>
      </w:pPr>
      <w:bookmarkStart w:id="8" w:name="_Toc216858018"/>
      <w:r>
        <w:t>Purpose</w:t>
      </w:r>
      <w:bookmarkEnd w:id="8"/>
    </w:p>
    <w:p w14:paraId="1D7ADE22" w14:textId="2AFDC70F" w:rsidR="00521E91" w:rsidRDefault="00521E91" w:rsidP="00521E91">
      <w:pPr>
        <w:pStyle w:val="Body"/>
      </w:pPr>
      <w:r w:rsidRPr="00CF3DA6">
        <w:t xml:space="preserve">To </w:t>
      </w:r>
      <w:r>
        <w:t xml:space="preserve">provide guidance on IVIg safety and </w:t>
      </w:r>
      <w:r w:rsidRPr="00CF3DA6">
        <w:t>administ</w:t>
      </w:r>
      <w:r>
        <w:t>ration</w:t>
      </w:r>
      <w:r w:rsidRPr="00CF3DA6">
        <w:t xml:space="preserve"> according to the manufacturers’ instructions (product information sheets). </w:t>
      </w:r>
    </w:p>
    <w:p w14:paraId="6D814EF5" w14:textId="3F134F68" w:rsidR="002C3888" w:rsidRDefault="002C3888" w:rsidP="002C3888">
      <w:pPr>
        <w:pStyle w:val="Heading1"/>
        <w:spacing w:before="0"/>
      </w:pPr>
      <w:bookmarkStart w:id="9" w:name="_Toc216858019"/>
      <w:r>
        <w:t>Indications for use</w:t>
      </w:r>
      <w:bookmarkEnd w:id="9"/>
    </w:p>
    <w:p w14:paraId="01A6CF74" w14:textId="77777777" w:rsidR="001E7AEA" w:rsidRDefault="001E7AEA" w:rsidP="001E7AEA">
      <w:pPr>
        <w:pStyle w:val="Body"/>
      </w:pPr>
      <w:r>
        <w:t>R</w:t>
      </w:r>
      <w:r w:rsidRPr="00705C97">
        <w:t>efer to the</w:t>
      </w:r>
      <w:r>
        <w:t xml:space="preserve"> Criteria for the </w:t>
      </w:r>
      <w:r w:rsidRPr="00174DFB">
        <w:t>C</w:t>
      </w:r>
      <w:r>
        <w:t>linical Use of Immunoglobulin in Australia &lt;</w:t>
      </w:r>
      <w:r w:rsidRPr="00C41AA3">
        <w:t xml:space="preserve"> </w:t>
      </w:r>
      <w:hyperlink r:id="rId16" w:history="1">
        <w:r w:rsidRPr="0006175B">
          <w:rPr>
            <w:rStyle w:val="Hyperlink"/>
          </w:rPr>
          <w:t>https://www.criteria.blood.gov.au/</w:t>
        </w:r>
      </w:hyperlink>
      <w:r>
        <w:t xml:space="preserve">&gt;. </w:t>
      </w:r>
    </w:p>
    <w:p w14:paraId="4A7855E2" w14:textId="77777777" w:rsidR="004804C1" w:rsidRDefault="002C3888" w:rsidP="002C3888">
      <w:pPr>
        <w:pStyle w:val="Body"/>
      </w:pPr>
      <w:r>
        <w:t xml:space="preserve">All requests for IVIg must be made through BloodSTAR. </w:t>
      </w:r>
    </w:p>
    <w:p w14:paraId="046844ED" w14:textId="4E3E0A9B" w:rsidR="004804C1" w:rsidRDefault="002C3888" w:rsidP="002C3888">
      <w:pPr>
        <w:pStyle w:val="Body"/>
      </w:pPr>
      <w:r>
        <w:t xml:space="preserve">BloodSTAR authorisation </w:t>
      </w:r>
      <w:r w:rsidR="00C41AA3">
        <w:t>is needed before routine IVIg administration can occur.</w:t>
      </w:r>
      <w:r>
        <w:t xml:space="preserve"> </w:t>
      </w:r>
      <w:r w:rsidR="00C41AA3">
        <w:t>H</w:t>
      </w:r>
      <w:r>
        <w:t xml:space="preserve">owever, in an emergency where authorisation via BloodSTAR is delayed or not possible, </w:t>
      </w:r>
      <w:r w:rsidR="00C41AA3">
        <w:t>a single</w:t>
      </w:r>
      <w:r>
        <w:t xml:space="preserve"> dose may be dispensed by the </w:t>
      </w:r>
      <w:r w:rsidR="00C41AA3">
        <w:t>pathology service provider or pharmacy.</w:t>
      </w:r>
      <w:r>
        <w:t xml:space="preserve"> </w:t>
      </w:r>
      <w:r w:rsidR="00725F3F">
        <w:t>Retrospective BloodSTAR approval is still required for NBA funded IVIg.</w:t>
      </w:r>
    </w:p>
    <w:p w14:paraId="50CC1A52" w14:textId="6C84A1A0" w:rsidR="002C3888" w:rsidRDefault="002C3888" w:rsidP="002C3888">
      <w:pPr>
        <w:pStyle w:val="Body"/>
      </w:pPr>
      <w:r w:rsidRPr="0046257B">
        <w:t>Note that the health service may have to cover the cost of the product if the indication does not meet the current criteria</w:t>
      </w:r>
      <w:r w:rsidR="00C752EF" w:rsidRPr="0046257B">
        <w:t>.</w:t>
      </w:r>
      <w:r w:rsidR="00C752EF">
        <w:t xml:space="preserve"> </w:t>
      </w:r>
    </w:p>
    <w:p w14:paraId="387F5639" w14:textId="77777777" w:rsidR="004804C1" w:rsidRDefault="004804C1">
      <w:pPr>
        <w:spacing w:after="0" w:line="240" w:lineRule="auto"/>
        <w:rPr>
          <w:rFonts w:eastAsia="MS Gothic" w:cs="Arial"/>
          <w:bCs/>
          <w:color w:val="AF272F"/>
          <w:kern w:val="32"/>
          <w:sz w:val="40"/>
          <w:szCs w:val="40"/>
        </w:rPr>
      </w:pPr>
      <w:r>
        <w:br w:type="page"/>
      </w:r>
    </w:p>
    <w:p w14:paraId="6723EBC6" w14:textId="6678847B" w:rsidR="002C3888" w:rsidRDefault="00C41AA3" w:rsidP="00C41AA3">
      <w:pPr>
        <w:pStyle w:val="Heading1"/>
        <w:spacing w:before="0"/>
      </w:pPr>
      <w:bookmarkStart w:id="10" w:name="_Toc216858020"/>
      <w:r>
        <w:lastRenderedPageBreak/>
        <w:t>General precautions</w:t>
      </w:r>
      <w:bookmarkEnd w:id="10"/>
    </w:p>
    <w:p w14:paraId="4E985209" w14:textId="30758672" w:rsidR="00C41AA3" w:rsidRPr="00C41AA3" w:rsidRDefault="00C41AA3" w:rsidP="00C41AA3">
      <w:pPr>
        <w:pStyle w:val="Body"/>
      </w:pPr>
      <w:r>
        <w:t>These general precautions apply to all IVIg products.</w:t>
      </w:r>
    </w:p>
    <w:p w14:paraId="3AA5BB72" w14:textId="641F0BD2" w:rsidR="00CA3353" w:rsidRDefault="00C41AA3" w:rsidP="00CA3353">
      <w:pPr>
        <w:pStyle w:val="Heading2"/>
      </w:pPr>
      <w:bookmarkStart w:id="11" w:name="_Toc216858021"/>
      <w:bookmarkEnd w:id="6"/>
      <w:bookmarkEnd w:id="7"/>
      <w:r>
        <w:t>Aseptic meningitis syndrome (AMS)</w:t>
      </w:r>
      <w:bookmarkEnd w:id="11"/>
      <w:r w:rsidR="00CA3353">
        <w:t xml:space="preserve"> </w:t>
      </w:r>
    </w:p>
    <w:p w14:paraId="53CD41D6" w14:textId="22677650" w:rsidR="00C41AA3" w:rsidRDefault="00C41AA3" w:rsidP="00C41AA3">
      <w:pPr>
        <w:pStyle w:val="Body"/>
        <w:rPr>
          <w:rFonts w:eastAsia="Times New Roman" w:cs="Arial"/>
        </w:rPr>
      </w:pPr>
      <w:bookmarkStart w:id="12" w:name="_Toc256778633"/>
      <w:r w:rsidRPr="00EF7EC9">
        <w:rPr>
          <w:rFonts w:eastAsia="Times New Roman" w:cs="Arial"/>
        </w:rPr>
        <w:t>Aseptic meningitis syndrome</w:t>
      </w:r>
      <w:r w:rsidR="003427DF">
        <w:rPr>
          <w:rFonts w:eastAsia="Times New Roman" w:cs="Arial"/>
        </w:rPr>
        <w:t xml:space="preserve"> is an uncommon side effect which</w:t>
      </w:r>
      <w:r w:rsidRPr="00EF7EC9">
        <w:rPr>
          <w:rFonts w:eastAsia="Times New Roman" w:cs="Arial"/>
        </w:rPr>
        <w:t xml:space="preserve"> has been reported to occur in association with IVIg treatment. Discontinuation of IVIg treatment has resulted in remission of AMS within several days without sequelae.</w:t>
      </w:r>
    </w:p>
    <w:p w14:paraId="56D00E87" w14:textId="6429FFC2" w:rsidR="00C41AA3" w:rsidRPr="00C41AA3" w:rsidRDefault="00C41AA3" w:rsidP="00C41AA3">
      <w:pPr>
        <w:pStyle w:val="Heading2"/>
      </w:pPr>
      <w:bookmarkStart w:id="13" w:name="_Toc216858022"/>
      <w:r w:rsidRPr="00C41AA3">
        <w:t>Hypersensitivity</w:t>
      </w:r>
      <w:r w:rsidR="005E5113">
        <w:t xml:space="preserve"> and </w:t>
      </w:r>
      <w:r w:rsidR="005E5113" w:rsidRPr="001E7AEA">
        <w:t>anaphylaxis</w:t>
      </w:r>
      <w:bookmarkEnd w:id="13"/>
    </w:p>
    <w:p w14:paraId="32767E03" w14:textId="4FE493C0" w:rsidR="00C41AA3" w:rsidRPr="00EF7EC9" w:rsidRDefault="00C41AA3" w:rsidP="00C41AA3">
      <w:pPr>
        <w:rPr>
          <w:rFonts w:cs="Arial"/>
        </w:rPr>
      </w:pPr>
      <w:r w:rsidRPr="00EF7EC9">
        <w:rPr>
          <w:rFonts w:cs="Arial"/>
        </w:rPr>
        <w:t xml:space="preserve">True hypersensitivity reactions are rare. They can occur in </w:t>
      </w:r>
      <w:r>
        <w:rPr>
          <w:rFonts w:cs="Arial"/>
        </w:rPr>
        <w:t>patients with</w:t>
      </w:r>
      <w:r w:rsidRPr="00EF7EC9">
        <w:rPr>
          <w:rFonts w:cs="Arial"/>
        </w:rPr>
        <w:t xml:space="preserve"> IgA deficiency with anti-IgA antibodies.</w:t>
      </w:r>
    </w:p>
    <w:p w14:paraId="06CD13C2" w14:textId="583A2FC4" w:rsidR="00C41AA3" w:rsidRDefault="00C41AA3" w:rsidP="00C41AA3">
      <w:pPr>
        <w:pStyle w:val="Body"/>
        <w:rPr>
          <w:rFonts w:eastAsia="Times New Roman" w:cs="Arial"/>
        </w:rPr>
      </w:pPr>
      <w:r w:rsidRPr="00EF7EC9">
        <w:rPr>
          <w:rFonts w:eastAsia="Times New Roman" w:cs="Arial"/>
        </w:rPr>
        <w:t xml:space="preserve">Rarely, IVIg can induce an anaphylactic reaction, even in patients who have tolerated previous treatment with </w:t>
      </w:r>
      <w:r w:rsidR="00685CAA">
        <w:rPr>
          <w:rFonts w:eastAsia="Times New Roman" w:cs="Arial"/>
        </w:rPr>
        <w:t>IVIg</w:t>
      </w:r>
      <w:r w:rsidRPr="00EF7EC9">
        <w:rPr>
          <w:rFonts w:eastAsia="Times New Roman" w:cs="Arial"/>
        </w:rPr>
        <w:t>.</w:t>
      </w:r>
    </w:p>
    <w:p w14:paraId="42E79505" w14:textId="77777777" w:rsidR="0058303E" w:rsidRPr="0058303E" w:rsidRDefault="0058303E" w:rsidP="0058303E">
      <w:pPr>
        <w:pStyle w:val="Heading2"/>
      </w:pPr>
      <w:bookmarkStart w:id="14" w:name="_Toc216858023"/>
      <w:r w:rsidRPr="0058303E">
        <w:t>Thromboembolism</w:t>
      </w:r>
      <w:bookmarkEnd w:id="14"/>
    </w:p>
    <w:p w14:paraId="494CCBBD" w14:textId="77777777" w:rsidR="0058303E" w:rsidRPr="0058303E" w:rsidRDefault="0058303E" w:rsidP="0058303E">
      <w:pPr>
        <w:rPr>
          <w:rFonts w:cs="Arial"/>
        </w:rPr>
      </w:pPr>
      <w:r w:rsidRPr="0058303E">
        <w:rPr>
          <w:rFonts w:cs="Arial"/>
        </w:rPr>
        <w:t xml:space="preserve">There is clinical evidence of an association between IVIg administration and thromboembolic events such as myocardial infarction, stroke, pulmonary embolism, and deep vein thromboses. Caution should be exercised in prescribing and infusing IVIg in patients with pre-existing risk factors for thrombotic events, such as: </w:t>
      </w:r>
    </w:p>
    <w:p w14:paraId="344CDC8A" w14:textId="4A791374" w:rsidR="00685CAA" w:rsidRDefault="00685CAA" w:rsidP="0058303E">
      <w:pPr>
        <w:numPr>
          <w:ilvl w:val="0"/>
          <w:numId w:val="41"/>
        </w:numPr>
        <w:spacing w:after="200" w:line="276" w:lineRule="auto"/>
        <w:contextualSpacing/>
        <w:rPr>
          <w:rFonts w:cs="Arial"/>
        </w:rPr>
      </w:pPr>
      <w:r>
        <w:rPr>
          <w:rFonts w:cs="Arial"/>
        </w:rPr>
        <w:t>volume depletion (hypovolaemia)</w:t>
      </w:r>
    </w:p>
    <w:p w14:paraId="2230F338" w14:textId="62D58499" w:rsidR="0058303E" w:rsidRPr="0058303E" w:rsidRDefault="0058303E" w:rsidP="0058303E">
      <w:pPr>
        <w:numPr>
          <w:ilvl w:val="0"/>
          <w:numId w:val="41"/>
        </w:numPr>
        <w:spacing w:after="200" w:line="276" w:lineRule="auto"/>
        <w:contextualSpacing/>
        <w:rPr>
          <w:rFonts w:cs="Arial"/>
        </w:rPr>
      </w:pPr>
      <w:r w:rsidRPr="0058303E">
        <w:rPr>
          <w:rFonts w:cs="Arial"/>
        </w:rPr>
        <w:t>obesity</w:t>
      </w:r>
    </w:p>
    <w:p w14:paraId="4AEF71DA" w14:textId="77777777" w:rsidR="0058303E" w:rsidRPr="0058303E" w:rsidRDefault="0058303E" w:rsidP="0058303E">
      <w:pPr>
        <w:numPr>
          <w:ilvl w:val="0"/>
          <w:numId w:val="41"/>
        </w:numPr>
        <w:spacing w:after="200" w:line="276" w:lineRule="auto"/>
        <w:contextualSpacing/>
        <w:rPr>
          <w:rFonts w:cs="Arial"/>
        </w:rPr>
      </w:pPr>
      <w:r w:rsidRPr="0058303E">
        <w:rPr>
          <w:rFonts w:cs="Arial"/>
        </w:rPr>
        <w:t>advanced age</w:t>
      </w:r>
    </w:p>
    <w:p w14:paraId="5EEF8F1C" w14:textId="77777777" w:rsidR="0058303E" w:rsidRPr="0058303E" w:rsidRDefault="0058303E" w:rsidP="0058303E">
      <w:pPr>
        <w:numPr>
          <w:ilvl w:val="0"/>
          <w:numId w:val="41"/>
        </w:numPr>
        <w:spacing w:after="200" w:line="276" w:lineRule="auto"/>
        <w:contextualSpacing/>
        <w:rPr>
          <w:rFonts w:cs="Arial"/>
        </w:rPr>
      </w:pPr>
      <w:r w:rsidRPr="0058303E">
        <w:rPr>
          <w:rFonts w:cs="Arial"/>
        </w:rPr>
        <w:t xml:space="preserve">hypertension </w:t>
      </w:r>
    </w:p>
    <w:p w14:paraId="08865DB6" w14:textId="77777777" w:rsidR="0058303E" w:rsidRDefault="0058303E" w:rsidP="00522D5A">
      <w:pPr>
        <w:numPr>
          <w:ilvl w:val="0"/>
          <w:numId w:val="41"/>
        </w:numPr>
        <w:spacing w:after="200" w:line="276" w:lineRule="auto"/>
        <w:contextualSpacing/>
        <w:rPr>
          <w:rFonts w:cs="Arial"/>
        </w:rPr>
      </w:pPr>
      <w:r w:rsidRPr="0058303E">
        <w:rPr>
          <w:rFonts w:cs="Arial"/>
        </w:rPr>
        <w:t xml:space="preserve">diabetes mellitus </w:t>
      </w:r>
    </w:p>
    <w:p w14:paraId="2C5FEE91" w14:textId="77777777" w:rsidR="0058303E" w:rsidRDefault="0058303E" w:rsidP="00522D5A">
      <w:pPr>
        <w:numPr>
          <w:ilvl w:val="0"/>
          <w:numId w:val="41"/>
        </w:numPr>
        <w:spacing w:after="200" w:line="276" w:lineRule="auto"/>
        <w:contextualSpacing/>
        <w:rPr>
          <w:rFonts w:cs="Arial"/>
        </w:rPr>
      </w:pPr>
      <w:r w:rsidRPr="0058303E">
        <w:rPr>
          <w:rFonts w:cs="Arial"/>
        </w:rPr>
        <w:t xml:space="preserve">a history of vascular disease or thrombotic episodes </w:t>
      </w:r>
    </w:p>
    <w:p w14:paraId="63B24C35" w14:textId="25C5B28F" w:rsidR="0058303E" w:rsidRPr="0058303E" w:rsidRDefault="0058303E" w:rsidP="00B640B1">
      <w:pPr>
        <w:numPr>
          <w:ilvl w:val="0"/>
          <w:numId w:val="41"/>
        </w:numPr>
        <w:spacing w:after="0" w:line="276" w:lineRule="auto"/>
        <w:contextualSpacing/>
        <w:rPr>
          <w:rFonts w:cs="Arial"/>
        </w:rPr>
      </w:pPr>
      <w:r w:rsidRPr="0058303E">
        <w:rPr>
          <w:rFonts w:cs="Arial"/>
        </w:rPr>
        <w:t xml:space="preserve">patients with acquired or inherited thrombophilia disorders </w:t>
      </w:r>
    </w:p>
    <w:p w14:paraId="4A227900" w14:textId="77777777" w:rsidR="0058303E" w:rsidRPr="00EF7EC9" w:rsidRDefault="0058303E" w:rsidP="0058303E">
      <w:pPr>
        <w:pStyle w:val="ListParagraph"/>
        <w:numPr>
          <w:ilvl w:val="0"/>
          <w:numId w:val="41"/>
        </w:numPr>
        <w:rPr>
          <w:rFonts w:ascii="Arial" w:eastAsia="Times New Roman" w:hAnsi="Arial" w:cs="Arial"/>
          <w:sz w:val="21"/>
          <w:szCs w:val="20"/>
        </w:rPr>
      </w:pPr>
      <w:r w:rsidRPr="00EF7EC9">
        <w:rPr>
          <w:rFonts w:ascii="Arial" w:eastAsia="Times New Roman" w:hAnsi="Arial" w:cs="Arial"/>
          <w:sz w:val="21"/>
          <w:szCs w:val="20"/>
        </w:rPr>
        <w:t xml:space="preserve">patients with prolonged periods of immobilisation </w:t>
      </w:r>
    </w:p>
    <w:p w14:paraId="796123A1" w14:textId="77777777" w:rsidR="000A604C" w:rsidRDefault="0058303E" w:rsidP="0058303E">
      <w:pPr>
        <w:pStyle w:val="ListParagraph"/>
        <w:numPr>
          <w:ilvl w:val="0"/>
          <w:numId w:val="41"/>
        </w:numPr>
        <w:rPr>
          <w:rFonts w:ascii="Arial" w:eastAsia="Times New Roman" w:hAnsi="Arial" w:cs="Arial"/>
          <w:sz w:val="21"/>
          <w:szCs w:val="20"/>
        </w:rPr>
      </w:pPr>
      <w:r w:rsidRPr="00EF7EC9">
        <w:rPr>
          <w:rFonts w:ascii="Arial" w:eastAsia="Times New Roman" w:hAnsi="Arial" w:cs="Arial"/>
          <w:sz w:val="21"/>
          <w:szCs w:val="20"/>
        </w:rPr>
        <w:t>patients with diseases which increase blood viscosity</w:t>
      </w:r>
    </w:p>
    <w:p w14:paraId="2788D67C" w14:textId="3AEBE428" w:rsidR="0058303E" w:rsidRPr="00EF7EC9" w:rsidRDefault="000A604C" w:rsidP="0058303E">
      <w:pPr>
        <w:pStyle w:val="ListParagraph"/>
        <w:numPr>
          <w:ilvl w:val="0"/>
          <w:numId w:val="41"/>
        </w:numPr>
        <w:rPr>
          <w:rFonts w:ascii="Arial" w:eastAsia="Times New Roman" w:hAnsi="Arial" w:cs="Arial"/>
          <w:sz w:val="21"/>
          <w:szCs w:val="20"/>
        </w:rPr>
      </w:pPr>
      <w:r w:rsidRPr="000A604C">
        <w:rPr>
          <w:rFonts w:ascii="Arial" w:eastAsia="Times New Roman" w:hAnsi="Arial" w:cs="Arial"/>
          <w:sz w:val="21"/>
          <w:szCs w:val="20"/>
        </w:rPr>
        <w:t>severely hypovolaemic patients</w:t>
      </w:r>
      <w:r w:rsidR="0058303E" w:rsidRPr="00EF7EC9">
        <w:rPr>
          <w:rFonts w:ascii="Arial" w:eastAsia="Times New Roman" w:hAnsi="Arial" w:cs="Arial"/>
          <w:sz w:val="21"/>
          <w:szCs w:val="20"/>
        </w:rPr>
        <w:t>.</w:t>
      </w:r>
    </w:p>
    <w:p w14:paraId="13BBB935" w14:textId="04D9808C" w:rsidR="0058303E" w:rsidRPr="0058303E" w:rsidRDefault="0058303E" w:rsidP="0058303E">
      <w:pPr>
        <w:pStyle w:val="Body"/>
        <w:rPr>
          <w:rFonts w:cs="Arial"/>
        </w:rPr>
      </w:pPr>
      <w:r>
        <w:rPr>
          <w:rFonts w:eastAsia="Times New Roman" w:cs="Arial"/>
        </w:rPr>
        <w:t xml:space="preserve">Patients at risk of developing thromboembolic disorders it is recommended that IVIg is administered at the </w:t>
      </w:r>
      <w:r w:rsidRPr="00EF7EC9">
        <w:rPr>
          <w:rFonts w:eastAsia="Times New Roman" w:cs="Arial"/>
        </w:rPr>
        <w:t>minimum</w:t>
      </w:r>
      <w:r w:rsidR="00475A6D">
        <w:rPr>
          <w:rFonts w:eastAsia="Times New Roman" w:cs="Arial"/>
        </w:rPr>
        <w:t>/slowest</w:t>
      </w:r>
      <w:r w:rsidRPr="00EF7EC9">
        <w:rPr>
          <w:rFonts w:eastAsia="Times New Roman" w:cs="Arial"/>
        </w:rPr>
        <w:t xml:space="preserve"> rate practicable.</w:t>
      </w:r>
    </w:p>
    <w:p w14:paraId="098A829F" w14:textId="77777777" w:rsidR="0058303E" w:rsidRPr="00EF7EC9" w:rsidRDefault="0058303E" w:rsidP="0058303E">
      <w:pPr>
        <w:pStyle w:val="Heading2"/>
      </w:pPr>
      <w:bookmarkStart w:id="15" w:name="_Toc216858024"/>
      <w:r w:rsidRPr="00EF7EC9">
        <w:lastRenderedPageBreak/>
        <w:t>Acute renal failure</w:t>
      </w:r>
      <w:bookmarkEnd w:id="15"/>
    </w:p>
    <w:p w14:paraId="21C1BD6B" w14:textId="77777777" w:rsidR="0058303E" w:rsidRDefault="0058303E" w:rsidP="0058303E">
      <w:pPr>
        <w:rPr>
          <w:rFonts w:cs="Arial"/>
        </w:rPr>
      </w:pPr>
      <w:r w:rsidRPr="00EF7EC9">
        <w:rPr>
          <w:rFonts w:cs="Arial"/>
        </w:rPr>
        <w:t>There have been occasional reports of renal dysfunction and acute renal failure in patients receiving IVIg products. Patients at increased risk are those with</w:t>
      </w:r>
      <w:r>
        <w:rPr>
          <w:rFonts w:cs="Arial"/>
        </w:rPr>
        <w:t>:</w:t>
      </w:r>
      <w:r w:rsidRPr="00EF7EC9">
        <w:rPr>
          <w:rFonts w:cs="Arial"/>
        </w:rPr>
        <w:t xml:space="preserve"> </w:t>
      </w:r>
    </w:p>
    <w:p w14:paraId="208C796E" w14:textId="77777777" w:rsidR="0058303E" w:rsidRDefault="0058303E" w:rsidP="0058303E">
      <w:pPr>
        <w:pStyle w:val="Bullet1"/>
        <w:ind w:firstLine="142"/>
      </w:pPr>
      <w:r w:rsidRPr="00B47101">
        <w:t xml:space="preserve">pre-existing renal insufficiency </w:t>
      </w:r>
    </w:p>
    <w:p w14:paraId="481B3658" w14:textId="77777777" w:rsidR="0058303E" w:rsidRDefault="0058303E" w:rsidP="0058303E">
      <w:pPr>
        <w:pStyle w:val="Bullet1"/>
        <w:ind w:firstLine="142"/>
      </w:pPr>
      <w:r w:rsidRPr="00B47101">
        <w:t xml:space="preserve">diabetes mellitus </w:t>
      </w:r>
    </w:p>
    <w:p w14:paraId="5700AF73" w14:textId="77777777" w:rsidR="0058303E" w:rsidRDefault="0058303E" w:rsidP="0058303E">
      <w:pPr>
        <w:pStyle w:val="Bullet1"/>
        <w:ind w:firstLine="142"/>
      </w:pPr>
      <w:r w:rsidRPr="00B47101">
        <w:t xml:space="preserve">age greater than 65 years </w:t>
      </w:r>
    </w:p>
    <w:p w14:paraId="5057B4AE" w14:textId="290DC7DE" w:rsidR="0058303E" w:rsidRDefault="0058303E" w:rsidP="0058303E">
      <w:pPr>
        <w:pStyle w:val="Bullet1"/>
        <w:ind w:firstLine="142"/>
      </w:pPr>
      <w:r w:rsidRPr="00B47101">
        <w:t xml:space="preserve">volume depletion </w:t>
      </w:r>
      <w:r w:rsidR="000A604C">
        <w:t>(hypovolaemia)</w:t>
      </w:r>
    </w:p>
    <w:p w14:paraId="244DD92C" w14:textId="1B0971C3" w:rsidR="000A604C" w:rsidRDefault="000A604C" w:rsidP="0058303E">
      <w:pPr>
        <w:pStyle w:val="Bullet1"/>
        <w:ind w:firstLine="142"/>
      </w:pPr>
      <w:r>
        <w:t>overweight</w:t>
      </w:r>
    </w:p>
    <w:p w14:paraId="4FBB5240" w14:textId="77777777" w:rsidR="0058303E" w:rsidRPr="00685CAA" w:rsidRDefault="0058303E" w:rsidP="0058303E">
      <w:pPr>
        <w:pStyle w:val="Bullet1"/>
        <w:ind w:firstLine="142"/>
      </w:pPr>
      <w:r w:rsidRPr="00685CAA">
        <w:t xml:space="preserve">sepsis and paraproteinaemia </w:t>
      </w:r>
    </w:p>
    <w:p w14:paraId="604F2F53" w14:textId="77777777" w:rsidR="0058303E" w:rsidRPr="00B47101" w:rsidRDefault="0058303E" w:rsidP="0058303E">
      <w:pPr>
        <w:pStyle w:val="Bullet1"/>
        <w:ind w:firstLine="142"/>
      </w:pPr>
      <w:r w:rsidRPr="00B47101">
        <w:t>taking concomitant nephrotoxic drugs.</w:t>
      </w:r>
    </w:p>
    <w:p w14:paraId="58D76755" w14:textId="4F9A51DB" w:rsidR="0058303E" w:rsidRPr="00EF7EC9" w:rsidRDefault="0058303E" w:rsidP="00F23515">
      <w:pPr>
        <w:spacing w:before="240"/>
        <w:rPr>
          <w:rFonts w:cs="Arial"/>
        </w:rPr>
      </w:pPr>
      <w:r w:rsidRPr="00EF7EC9">
        <w:rPr>
          <w:rFonts w:cs="Arial"/>
        </w:rPr>
        <w:t>In all patients</w:t>
      </w:r>
      <w:r>
        <w:rPr>
          <w:rFonts w:cs="Arial"/>
        </w:rPr>
        <w:t xml:space="preserve"> at risk of developing acute renal failure</w:t>
      </w:r>
      <w:r w:rsidRPr="00EF7EC9">
        <w:rPr>
          <w:rFonts w:cs="Arial"/>
        </w:rPr>
        <w:t>, intravenous immunoglobulin administration requires:</w:t>
      </w:r>
    </w:p>
    <w:p w14:paraId="5AA3FC19" w14:textId="4DB5029D" w:rsidR="0058303E" w:rsidRPr="0058303E" w:rsidRDefault="0058303E" w:rsidP="0058303E">
      <w:pPr>
        <w:pStyle w:val="Bullet1"/>
        <w:ind w:firstLine="142"/>
      </w:pPr>
      <w:r w:rsidRPr="0058303E">
        <w:t>adequate hydration prior to the initiation of the infusion of IVIg</w:t>
      </w:r>
    </w:p>
    <w:p w14:paraId="600B2B37" w14:textId="754E0EEF" w:rsidR="0058303E" w:rsidRPr="0058303E" w:rsidRDefault="0058303E" w:rsidP="0058303E">
      <w:pPr>
        <w:pStyle w:val="Bullet1"/>
        <w:ind w:firstLine="142"/>
      </w:pPr>
      <w:r w:rsidRPr="0058303E">
        <w:t>monitoring of urine output</w:t>
      </w:r>
    </w:p>
    <w:p w14:paraId="2785B88B" w14:textId="757DD428" w:rsidR="0058303E" w:rsidRPr="0058303E" w:rsidRDefault="0058303E" w:rsidP="0058303E">
      <w:pPr>
        <w:pStyle w:val="Bullet1"/>
        <w:ind w:firstLine="142"/>
      </w:pPr>
      <w:r>
        <w:t>m</w:t>
      </w:r>
      <w:r w:rsidRPr="0058303E">
        <w:t>onitoring of serum creatinine levels and</w:t>
      </w:r>
    </w:p>
    <w:p w14:paraId="500584FC" w14:textId="6ED0B3C5" w:rsidR="0058303E" w:rsidRPr="0058303E" w:rsidRDefault="0058303E" w:rsidP="0058303E">
      <w:pPr>
        <w:pStyle w:val="Bullet1"/>
        <w:ind w:firstLine="142"/>
      </w:pPr>
      <w:r w:rsidRPr="0058303E">
        <w:t>avoidance of concomitant use of loop diuretics</w:t>
      </w:r>
    </w:p>
    <w:p w14:paraId="2C515A56" w14:textId="77777777" w:rsidR="0058303E" w:rsidRPr="00EF7EC9" w:rsidRDefault="0058303E" w:rsidP="0058303E">
      <w:pPr>
        <w:pStyle w:val="Heading2"/>
      </w:pPr>
      <w:bookmarkStart w:id="16" w:name="_Toc216858025"/>
      <w:r w:rsidRPr="00EF7EC9">
        <w:t>Haemolytic anaemia</w:t>
      </w:r>
      <w:bookmarkEnd w:id="16"/>
    </w:p>
    <w:p w14:paraId="48035D40" w14:textId="239E3725" w:rsidR="0058303E" w:rsidRDefault="0058303E" w:rsidP="0058303E">
      <w:pPr>
        <w:pStyle w:val="Body"/>
        <w:rPr>
          <w:rFonts w:eastAsia="Times New Roman" w:cs="Arial"/>
        </w:rPr>
      </w:pPr>
      <w:r w:rsidRPr="00EF7EC9">
        <w:rPr>
          <w:rFonts w:eastAsia="Times New Roman" w:cs="Arial"/>
        </w:rPr>
        <w:t xml:space="preserve">IVIg products can contain </w:t>
      </w:r>
      <w:r>
        <w:rPr>
          <w:rFonts w:eastAsia="Times New Roman" w:cs="Arial"/>
        </w:rPr>
        <w:t xml:space="preserve">red blood cell </w:t>
      </w:r>
      <w:r w:rsidRPr="00EF7EC9">
        <w:rPr>
          <w:rFonts w:eastAsia="Times New Roman" w:cs="Arial"/>
        </w:rPr>
        <w:t xml:space="preserve">antibodies which may act as haemolysins that can result in a positive direct antiglobulin test (DAT/ direct Coomb’s test) </w:t>
      </w:r>
      <w:r>
        <w:rPr>
          <w:rFonts w:eastAsia="Times New Roman" w:cs="Arial"/>
        </w:rPr>
        <w:t>and, in some cases,</w:t>
      </w:r>
      <w:r w:rsidRPr="00EF7EC9">
        <w:rPr>
          <w:rFonts w:eastAsia="Times New Roman" w:cs="Arial"/>
        </w:rPr>
        <w:t xml:space="preserve"> intravascular haemolysis. Haemolytic anaemia can develop </w:t>
      </w:r>
      <w:r w:rsidR="00C752EF" w:rsidRPr="00EF7EC9">
        <w:rPr>
          <w:rFonts w:eastAsia="Times New Roman" w:cs="Arial"/>
        </w:rPr>
        <w:t>after</w:t>
      </w:r>
      <w:r w:rsidRPr="00EF7EC9">
        <w:rPr>
          <w:rFonts w:eastAsia="Times New Roman" w:cs="Arial"/>
        </w:rPr>
        <w:t xml:space="preserve"> IVIg therapy due to enhanced red blood cell (RBC) destruction or sequestration. IVIg recipients should be monitored for clinical signs and symptoms of haemolysis.</w:t>
      </w:r>
      <w:r>
        <w:rPr>
          <w:rFonts w:eastAsia="Times New Roman" w:cs="Arial"/>
        </w:rPr>
        <w:t xml:space="preserve"> </w:t>
      </w:r>
    </w:p>
    <w:p w14:paraId="79F01539" w14:textId="6B64BCE5" w:rsidR="001E7AEA" w:rsidRDefault="001E7AEA" w:rsidP="001E7AEA">
      <w:pPr>
        <w:pStyle w:val="Heading2"/>
      </w:pPr>
      <w:bookmarkStart w:id="17" w:name="_Toc216858026"/>
      <w:r w:rsidRPr="001E7AEA">
        <w:t>Non-cardi</w:t>
      </w:r>
      <w:r>
        <w:t>ogenic</w:t>
      </w:r>
      <w:r w:rsidRPr="001E7AEA">
        <w:t xml:space="preserve"> pulmonary oedema</w:t>
      </w:r>
      <w:bookmarkEnd w:id="17"/>
    </w:p>
    <w:p w14:paraId="270C0A0E" w14:textId="044772F7" w:rsidR="001E7AEA" w:rsidRPr="00B640B1" w:rsidRDefault="001E7AEA" w:rsidP="001E7AEA">
      <w:pPr>
        <w:pStyle w:val="Body"/>
      </w:pPr>
      <w:r>
        <w:t>There have been reports of non-cardiogenic pulmonary oedema or Transfusion Related Acute Lung Injury (TRALI) in patients receiving IVIg.</w:t>
      </w:r>
    </w:p>
    <w:p w14:paraId="755ACD24" w14:textId="6B32A221" w:rsidR="00C41AA3" w:rsidRPr="0028630E" w:rsidRDefault="0028630E" w:rsidP="0028630E">
      <w:pPr>
        <w:pStyle w:val="Heading2"/>
      </w:pPr>
      <w:bookmarkStart w:id="18" w:name="_Toc216858027"/>
      <w:r w:rsidRPr="0028630E">
        <w:t>Fertility, pregnancy and lactation</w:t>
      </w:r>
      <w:bookmarkEnd w:id="18"/>
    </w:p>
    <w:p w14:paraId="28B83D46" w14:textId="76CCBBAA" w:rsidR="0028630E" w:rsidRDefault="0028630E" w:rsidP="0028630E">
      <w:pPr>
        <w:pStyle w:val="Body"/>
        <w:numPr>
          <w:ilvl w:val="0"/>
          <w:numId w:val="43"/>
        </w:numPr>
        <w:rPr>
          <w:rFonts w:eastAsia="Times New Roman" w:cs="Arial"/>
        </w:rPr>
      </w:pPr>
      <w:r>
        <w:rPr>
          <w:rFonts w:eastAsia="Times New Roman" w:cs="Arial"/>
        </w:rPr>
        <w:t>No fertility studies have been reported</w:t>
      </w:r>
    </w:p>
    <w:p w14:paraId="4D380F73" w14:textId="77777777" w:rsidR="0028630E" w:rsidRDefault="0028630E" w:rsidP="0028630E">
      <w:pPr>
        <w:pStyle w:val="Body"/>
        <w:numPr>
          <w:ilvl w:val="0"/>
          <w:numId w:val="43"/>
        </w:numPr>
      </w:pPr>
      <w:r w:rsidRPr="007A0A5E">
        <w:lastRenderedPageBreak/>
        <w:t xml:space="preserve">Safety of </w:t>
      </w:r>
      <w:r>
        <w:t>IV</w:t>
      </w:r>
      <w:r w:rsidRPr="007A0A5E">
        <w:t>Ig has not been established in controlled trials. Clinical experience with immunoglobulins suggests that no harmful effects on the course of the pregnancy or the fetus/neonate are to be expected.</w:t>
      </w:r>
    </w:p>
    <w:p w14:paraId="79C103B1" w14:textId="77777777" w:rsidR="0028630E" w:rsidRDefault="0028630E" w:rsidP="0028630E">
      <w:pPr>
        <w:pStyle w:val="Body"/>
        <w:numPr>
          <w:ilvl w:val="0"/>
          <w:numId w:val="43"/>
        </w:numPr>
      </w:pPr>
      <w:r>
        <w:t>Refer to product information.</w:t>
      </w:r>
    </w:p>
    <w:p w14:paraId="572AF16B" w14:textId="77777777" w:rsidR="0028630E" w:rsidRDefault="0028630E" w:rsidP="0028630E">
      <w:pPr>
        <w:pStyle w:val="Heading2"/>
      </w:pPr>
      <w:bookmarkStart w:id="19" w:name="_Toc216858028"/>
      <w:r w:rsidRPr="007A0A5E">
        <w:t xml:space="preserve">Use in </w:t>
      </w:r>
      <w:r>
        <w:t>the elderly, genotoxicity and carcinogenicity</w:t>
      </w:r>
      <w:bookmarkEnd w:id="19"/>
    </w:p>
    <w:p w14:paraId="257C7B67" w14:textId="77777777" w:rsidR="0028630E" w:rsidRDefault="0028630E" w:rsidP="0028630E">
      <w:pPr>
        <w:pStyle w:val="Body"/>
      </w:pPr>
      <w:r>
        <w:t>Refer to product information.</w:t>
      </w:r>
    </w:p>
    <w:p w14:paraId="3396D69E" w14:textId="77777777" w:rsidR="0028630E" w:rsidRDefault="0028630E" w:rsidP="0028630E">
      <w:pPr>
        <w:pStyle w:val="Body"/>
      </w:pPr>
      <w:r>
        <w:t>No carcinogenicity studies have been reported.</w:t>
      </w:r>
    </w:p>
    <w:p w14:paraId="5AE76F06" w14:textId="77777777" w:rsidR="004804C1" w:rsidRPr="00EF7EC9" w:rsidRDefault="004804C1" w:rsidP="0028630E">
      <w:pPr>
        <w:pStyle w:val="Body"/>
      </w:pPr>
    </w:p>
    <w:p w14:paraId="04E026D0" w14:textId="77777777" w:rsidR="0028630E" w:rsidRDefault="0028630E" w:rsidP="007C04D4">
      <w:pPr>
        <w:pStyle w:val="Heading1"/>
        <w:spacing w:before="0"/>
      </w:pPr>
      <w:bookmarkStart w:id="20" w:name="_Toc130395738"/>
      <w:bookmarkStart w:id="21" w:name="_Toc216858029"/>
      <w:r>
        <w:t>Compatibilities and drug interactions</w:t>
      </w:r>
      <w:bookmarkEnd w:id="20"/>
      <w:bookmarkEnd w:id="21"/>
    </w:p>
    <w:p w14:paraId="263DAEB0" w14:textId="77777777" w:rsidR="0028630E" w:rsidRDefault="0028630E" w:rsidP="0028630E">
      <w:pPr>
        <w:pStyle w:val="Bullet1"/>
      </w:pPr>
      <w:r w:rsidRPr="00062A1F">
        <w:t>IVIg should be administered separately from other intravenous fluids or medications</w:t>
      </w:r>
      <w:r>
        <w:t>.</w:t>
      </w:r>
    </w:p>
    <w:p w14:paraId="27636776" w14:textId="77777777" w:rsidR="0028630E" w:rsidRPr="00EF7EC9" w:rsidRDefault="0028630E" w:rsidP="0028630E">
      <w:pPr>
        <w:pStyle w:val="Bullet1"/>
      </w:pPr>
      <w:r w:rsidRPr="00EF7EC9">
        <w:t>The interaction of IVIg preparations with other medicines has not been established in appropriate studies.</w:t>
      </w:r>
    </w:p>
    <w:p w14:paraId="2B84E552" w14:textId="0131EB28" w:rsidR="0028630E" w:rsidRPr="00917C0E" w:rsidRDefault="0028630E" w:rsidP="007C04D4">
      <w:pPr>
        <w:pStyle w:val="Bullet1"/>
      </w:pPr>
      <w:bookmarkStart w:id="22" w:name="_Hlk163642745"/>
      <w:r w:rsidRPr="00917C0E">
        <w:t xml:space="preserve">Immunoglobulin infusion may reduce the response to some vaccines, especially live attenuated vaccines. Administration of such vaccines, e.g., poliomyelitis or measles, rubella, mumps and varicella, should be deferred until approximately three months after </w:t>
      </w:r>
      <w:r w:rsidR="00475A6D">
        <w:t>IVIg</w:t>
      </w:r>
      <w:r w:rsidRPr="00917C0E">
        <w:t xml:space="preserve"> administration. If </w:t>
      </w:r>
      <w:r w:rsidR="00721714">
        <w:t xml:space="preserve">the </w:t>
      </w:r>
      <w:r w:rsidRPr="00917C0E">
        <w:t xml:space="preserve">patient is having ongoing IVIg a risk-benefit assessment is needed </w:t>
      </w:r>
      <w:r w:rsidR="00721714">
        <w:t>to compare</w:t>
      </w:r>
      <w:r w:rsidRPr="00917C0E">
        <w:t xml:space="preserve"> the risk of lowered vaccine efficacy against the need for protection against the vaccine preventable disease. Consider referral to immunologist. See product </w:t>
      </w:r>
      <w:r w:rsidR="00721714">
        <w:t>information</w:t>
      </w:r>
      <w:r w:rsidRPr="00917C0E">
        <w:t xml:space="preserve"> for further information.</w:t>
      </w:r>
    </w:p>
    <w:p w14:paraId="0B021A73" w14:textId="77777777" w:rsidR="007C04D4" w:rsidRDefault="007C04D4" w:rsidP="007C04D4">
      <w:pPr>
        <w:pStyle w:val="Heading1"/>
      </w:pPr>
      <w:bookmarkStart w:id="23" w:name="_Toc216858030"/>
      <w:bookmarkStart w:id="24" w:name="_Toc130395739"/>
      <w:bookmarkEnd w:id="22"/>
      <w:r>
        <w:t>IVIg administration</w:t>
      </w:r>
      <w:bookmarkEnd w:id="23"/>
    </w:p>
    <w:p w14:paraId="6064BC3D" w14:textId="57E51922" w:rsidR="00613124" w:rsidRDefault="00613124" w:rsidP="007C04D4">
      <w:pPr>
        <w:pStyle w:val="Heading2"/>
      </w:pPr>
      <w:bookmarkStart w:id="25" w:name="_Toc216858031"/>
      <w:r>
        <w:t>Preparation for infusion</w:t>
      </w:r>
      <w:bookmarkEnd w:id="24"/>
      <w:bookmarkEnd w:id="25"/>
    </w:p>
    <w:p w14:paraId="1396516C" w14:textId="77777777" w:rsidR="00613124" w:rsidRPr="00C84CF7" w:rsidRDefault="00613124" w:rsidP="00613124">
      <w:pPr>
        <w:pStyle w:val="Heading4"/>
      </w:pPr>
      <w:r w:rsidRPr="00C84CF7">
        <w:t>Inspection</w:t>
      </w:r>
    </w:p>
    <w:p w14:paraId="08BE46DF" w14:textId="77777777" w:rsidR="00613124" w:rsidRPr="00062A1F" w:rsidRDefault="00613124" w:rsidP="00613124">
      <w:pPr>
        <w:pStyle w:val="Bullet1"/>
      </w:pPr>
      <w:r w:rsidRPr="00062A1F">
        <w:t>Immunoglobulin is a sterile, clear or slightly opalescent, colourless or pale-yellow solution for intravenous injection</w:t>
      </w:r>
      <w:r>
        <w:t>.</w:t>
      </w:r>
    </w:p>
    <w:p w14:paraId="06B19A0E" w14:textId="2E61F2A7" w:rsidR="00613124" w:rsidRPr="00062A1F" w:rsidRDefault="00613124" w:rsidP="00613124">
      <w:pPr>
        <w:pStyle w:val="Bullet1"/>
      </w:pPr>
      <w:r w:rsidRPr="00062A1F">
        <w:t>Do not use if the solution appears cloudy</w:t>
      </w:r>
      <w:r w:rsidR="00721714">
        <w:t>, turbid</w:t>
      </w:r>
      <w:r w:rsidRPr="00062A1F">
        <w:t xml:space="preserve"> or contains deposits.</w:t>
      </w:r>
    </w:p>
    <w:p w14:paraId="666FB1AC" w14:textId="77777777" w:rsidR="00613124" w:rsidRPr="00062A1F" w:rsidRDefault="00613124" w:rsidP="00613124">
      <w:pPr>
        <w:pStyle w:val="Bullet1"/>
      </w:pPr>
      <w:r w:rsidRPr="00062A1F">
        <w:t>The lid, covering the rubber stopper, should be intact.</w:t>
      </w:r>
    </w:p>
    <w:p w14:paraId="6600023A" w14:textId="77777777" w:rsidR="00613124" w:rsidRDefault="00613124" w:rsidP="00613124">
      <w:pPr>
        <w:pStyle w:val="Heading4"/>
      </w:pPr>
      <w:r>
        <w:lastRenderedPageBreak/>
        <w:t>Infusion equipment</w:t>
      </w:r>
    </w:p>
    <w:p w14:paraId="296256BE" w14:textId="77777777" w:rsidR="00613124" w:rsidRDefault="00613124" w:rsidP="00613124">
      <w:pPr>
        <w:pStyle w:val="Bullet1"/>
      </w:pPr>
      <w:r w:rsidRPr="00062A1F">
        <w:t>IVIg may be administered through any vented standard IV infusion giving set directly from the bottle</w:t>
      </w:r>
      <w:r>
        <w:t xml:space="preserve">. </w:t>
      </w:r>
    </w:p>
    <w:p w14:paraId="3CA6918A" w14:textId="77777777" w:rsidR="00613124" w:rsidRPr="00062A1F" w:rsidRDefault="00613124" w:rsidP="00613124">
      <w:pPr>
        <w:pStyle w:val="Bullet1"/>
      </w:pPr>
      <w:r w:rsidRPr="00062A1F">
        <w:t>An infusion pump may be used, follow local guidelines for use of infusion pumps.</w:t>
      </w:r>
    </w:p>
    <w:p w14:paraId="5D2A1ECB" w14:textId="77777777" w:rsidR="00613124" w:rsidRDefault="00613124" w:rsidP="00613124">
      <w:pPr>
        <w:pStyle w:val="Heading4"/>
      </w:pPr>
      <w:r>
        <w:t>Priming and flushing</w:t>
      </w:r>
    </w:p>
    <w:p w14:paraId="33EC2C69" w14:textId="77777777" w:rsidR="00613124" w:rsidRPr="00062A1F" w:rsidRDefault="00613124" w:rsidP="00613124">
      <w:pPr>
        <w:pStyle w:val="Bullet1"/>
      </w:pPr>
      <w:r w:rsidRPr="00062A1F">
        <w:t>Lines may be primed with 0.9% normal saline or the IVIg product and flushed with 0.9% saline if needed.</w:t>
      </w:r>
    </w:p>
    <w:p w14:paraId="26611072" w14:textId="2E5861C3" w:rsidR="00613124" w:rsidRDefault="00613124" w:rsidP="00721714">
      <w:pPr>
        <w:pStyle w:val="Heading4"/>
      </w:pPr>
      <w:r>
        <w:t>Patient readiness</w:t>
      </w:r>
      <w:r w:rsidR="00721714">
        <w:t xml:space="preserve"> c</w:t>
      </w:r>
      <w:r>
        <w:t>heck</w:t>
      </w:r>
    </w:p>
    <w:p w14:paraId="74C0B7C2" w14:textId="07B646E2" w:rsidR="00613124" w:rsidRPr="00C40C95" w:rsidRDefault="00721714" w:rsidP="00721714">
      <w:pPr>
        <w:pStyle w:val="Bullet1"/>
        <w:numPr>
          <w:ilvl w:val="0"/>
          <w:numId w:val="45"/>
        </w:numPr>
      </w:pPr>
      <w:r>
        <w:t>C</w:t>
      </w:r>
      <w:r w:rsidR="00613124" w:rsidRPr="00C40C95">
        <w:t>onsent to receive IVIg</w:t>
      </w:r>
      <w:r>
        <w:t xml:space="preserve"> has been obtained and sighted</w:t>
      </w:r>
      <w:r w:rsidR="00613124">
        <w:t>.</w:t>
      </w:r>
      <w:r w:rsidR="00613124" w:rsidRPr="00C40C95">
        <w:t xml:space="preserve"> </w:t>
      </w:r>
    </w:p>
    <w:p w14:paraId="20567F38" w14:textId="4FE3A1BB" w:rsidR="00613124" w:rsidRPr="00C40C95" w:rsidRDefault="00721714" w:rsidP="00613124">
      <w:pPr>
        <w:pStyle w:val="Bullet1"/>
        <w:numPr>
          <w:ilvl w:val="0"/>
          <w:numId w:val="45"/>
        </w:numPr>
      </w:pPr>
      <w:r>
        <w:t xml:space="preserve">The </w:t>
      </w:r>
      <w:r w:rsidR="00613124" w:rsidRPr="00C40C95">
        <w:t xml:space="preserve">IVIg </w:t>
      </w:r>
      <w:r>
        <w:t xml:space="preserve">prescription </w:t>
      </w:r>
      <w:r w:rsidR="00613124" w:rsidRPr="00C40C95">
        <w:t>is consistent with the BloodSTAR authorisation</w:t>
      </w:r>
      <w:r w:rsidR="00613124">
        <w:t xml:space="preserve">. </w:t>
      </w:r>
    </w:p>
    <w:p w14:paraId="315B56FE" w14:textId="604B54FA" w:rsidR="00613124" w:rsidRPr="00C40C95" w:rsidRDefault="00613124" w:rsidP="00613124">
      <w:pPr>
        <w:pStyle w:val="Bullet1"/>
        <w:numPr>
          <w:ilvl w:val="0"/>
          <w:numId w:val="45"/>
        </w:numPr>
      </w:pPr>
      <w:r>
        <w:t>B</w:t>
      </w:r>
      <w:r w:rsidRPr="00C40C95">
        <w:t xml:space="preserve">aseline </w:t>
      </w:r>
      <w:r w:rsidR="00721714">
        <w:t>vital signs</w:t>
      </w:r>
      <w:r w:rsidRPr="00C40C95">
        <w:t xml:space="preserve"> have been taken</w:t>
      </w:r>
      <w:r w:rsidR="00721714">
        <w:t xml:space="preserve">, </w:t>
      </w:r>
      <w:r w:rsidRPr="00C40C95">
        <w:t>recorded</w:t>
      </w:r>
      <w:r w:rsidR="00721714">
        <w:t xml:space="preserve"> and if required reported to the treating medical officer</w:t>
      </w:r>
      <w:r>
        <w:t>.</w:t>
      </w:r>
    </w:p>
    <w:p w14:paraId="18252B56" w14:textId="77777777" w:rsidR="00613124" w:rsidRPr="00C40C95" w:rsidRDefault="00613124" w:rsidP="00613124">
      <w:pPr>
        <w:pStyle w:val="Bullet1"/>
        <w:numPr>
          <w:ilvl w:val="0"/>
          <w:numId w:val="45"/>
        </w:numPr>
      </w:pPr>
      <w:r>
        <w:t>A</w:t>
      </w:r>
      <w:r w:rsidRPr="00C40C95">
        <w:t>ny pre-infusion symptom</w:t>
      </w:r>
      <w:r>
        <w:t xml:space="preserve"> or sign,</w:t>
      </w:r>
      <w:r w:rsidRPr="00C40C95">
        <w:t xml:space="preserve"> which may be confused with an adverse reaction</w:t>
      </w:r>
      <w:r>
        <w:t>,</w:t>
      </w:r>
      <w:r w:rsidRPr="00C40C95">
        <w:t xml:space="preserve"> has been noted</w:t>
      </w:r>
      <w:r>
        <w:t>.</w:t>
      </w:r>
    </w:p>
    <w:p w14:paraId="64FC4CA5" w14:textId="77777777" w:rsidR="00613124" w:rsidRPr="00C40C95" w:rsidRDefault="00613124" w:rsidP="00613124">
      <w:pPr>
        <w:pStyle w:val="Bullet1"/>
        <w:numPr>
          <w:ilvl w:val="0"/>
          <w:numId w:val="45"/>
        </w:numPr>
      </w:pPr>
      <w:r>
        <w:t>P</w:t>
      </w:r>
      <w:r w:rsidRPr="00C40C95">
        <w:t>atient is well hydrated</w:t>
      </w:r>
      <w:r>
        <w:t>.</w:t>
      </w:r>
    </w:p>
    <w:p w14:paraId="3E153DF1" w14:textId="77777777" w:rsidR="00613124" w:rsidRPr="00C40C95" w:rsidRDefault="00613124" w:rsidP="00613124">
      <w:pPr>
        <w:pStyle w:val="Bullet1"/>
        <w:numPr>
          <w:ilvl w:val="0"/>
          <w:numId w:val="45"/>
        </w:numPr>
      </w:pPr>
      <w:r>
        <w:t>A</w:t>
      </w:r>
      <w:r w:rsidRPr="00C40C95">
        <w:t xml:space="preserve">ny required blood tests </w:t>
      </w:r>
      <w:r>
        <w:t>have been</w:t>
      </w:r>
      <w:r w:rsidRPr="00C40C95">
        <w:t xml:space="preserve"> taken</w:t>
      </w:r>
      <w:r>
        <w:t>.</w:t>
      </w:r>
    </w:p>
    <w:p w14:paraId="4FF624E3" w14:textId="77777777" w:rsidR="00613124" w:rsidRPr="00C40C95" w:rsidRDefault="00613124" w:rsidP="00613124">
      <w:pPr>
        <w:pStyle w:val="Bullet1"/>
        <w:numPr>
          <w:ilvl w:val="0"/>
          <w:numId w:val="45"/>
        </w:numPr>
      </w:pPr>
      <w:r>
        <w:t>P</w:t>
      </w:r>
      <w:r w:rsidRPr="00C40C95">
        <w:t>remedication has been administered, if required.</w:t>
      </w:r>
    </w:p>
    <w:p w14:paraId="30F1E63E" w14:textId="0FAB311D" w:rsidR="00613124" w:rsidRDefault="00613124" w:rsidP="00613124">
      <w:pPr>
        <w:pStyle w:val="Heading4"/>
      </w:pPr>
      <w:r>
        <w:t>Pre-infusion check</w:t>
      </w:r>
    </w:p>
    <w:p w14:paraId="4B1AA0D4" w14:textId="77777777" w:rsidR="00613124" w:rsidRPr="00C40C95" w:rsidRDefault="00613124" w:rsidP="00613124">
      <w:pPr>
        <w:pStyle w:val="Bullet1"/>
      </w:pPr>
      <w:r w:rsidRPr="00C40C95">
        <w:t>Positive patient identification following usual hospital protocol</w:t>
      </w:r>
      <w:r>
        <w:t>.</w:t>
      </w:r>
    </w:p>
    <w:p w14:paraId="5798C9B8" w14:textId="76CA07AB" w:rsidR="00613124" w:rsidRPr="00C40C95" w:rsidRDefault="00613124" w:rsidP="00613124">
      <w:pPr>
        <w:pStyle w:val="Bullet1"/>
      </w:pPr>
      <w:r>
        <w:t>T</w:t>
      </w:r>
      <w:r w:rsidRPr="00C40C95">
        <w:t>he right product as prescribed for this patient</w:t>
      </w:r>
      <w:r>
        <w:t>. It is important to verify exact product as different product names are similar</w:t>
      </w:r>
      <w:r w:rsidR="004804C1">
        <w:t>.</w:t>
      </w:r>
      <w:r>
        <w:t xml:space="preserve"> </w:t>
      </w:r>
      <w:r w:rsidR="004804C1">
        <w:t>F</w:t>
      </w:r>
      <w:r>
        <w:t>or example, Privigen versus Privigen AU.</w:t>
      </w:r>
    </w:p>
    <w:p w14:paraId="1B7F767B" w14:textId="77777777" w:rsidR="00613124" w:rsidRPr="00C40C95" w:rsidRDefault="00613124" w:rsidP="00613124">
      <w:pPr>
        <w:pStyle w:val="Bullet1"/>
      </w:pPr>
      <w:r>
        <w:t>T</w:t>
      </w:r>
      <w:r w:rsidRPr="00C40C95">
        <w:t>he right dose for this patient</w:t>
      </w:r>
      <w:r>
        <w:t>.</w:t>
      </w:r>
    </w:p>
    <w:p w14:paraId="03F10FF9" w14:textId="77777777" w:rsidR="00613124" w:rsidRPr="00C40C95" w:rsidRDefault="00613124" w:rsidP="00613124">
      <w:pPr>
        <w:pStyle w:val="Bullet1"/>
      </w:pPr>
      <w:r>
        <w:t>T</w:t>
      </w:r>
      <w:r w:rsidRPr="00C40C95">
        <w:t>he right date/time the infusion is due</w:t>
      </w:r>
      <w:r>
        <w:t>.</w:t>
      </w:r>
    </w:p>
    <w:p w14:paraId="51FE7B47" w14:textId="0EEF9070" w:rsidR="00613124" w:rsidRPr="00C40C95" w:rsidRDefault="00613124" w:rsidP="00613124">
      <w:pPr>
        <w:pStyle w:val="Bullet1"/>
      </w:pPr>
      <w:r>
        <w:t>T</w:t>
      </w:r>
      <w:r w:rsidRPr="00C40C95">
        <w:t xml:space="preserve">he right </w:t>
      </w:r>
      <w:r w:rsidR="003B140F">
        <w:t xml:space="preserve">infusion </w:t>
      </w:r>
      <w:r w:rsidRPr="00C40C95">
        <w:t>rate</w:t>
      </w:r>
      <w:r w:rsidR="003B140F">
        <w:t>.</w:t>
      </w:r>
    </w:p>
    <w:p w14:paraId="481A84C7" w14:textId="07972F14" w:rsidR="00613124" w:rsidRDefault="00613124" w:rsidP="007C04D4">
      <w:pPr>
        <w:pStyle w:val="Heading2"/>
      </w:pPr>
      <w:bookmarkStart w:id="26" w:name="_Toc216858032"/>
      <w:r>
        <w:t>Infusion rate guide</w:t>
      </w:r>
      <w:bookmarkEnd w:id="26"/>
    </w:p>
    <w:p w14:paraId="29DEA32A" w14:textId="3F951478" w:rsidR="00613124" w:rsidRDefault="00613124" w:rsidP="003B140F">
      <w:pPr>
        <w:pStyle w:val="Bullet1"/>
        <w:numPr>
          <w:ilvl w:val="0"/>
          <w:numId w:val="0"/>
        </w:numPr>
      </w:pPr>
      <w:r w:rsidRPr="00C40C95">
        <w:t xml:space="preserve">Please refer to </w:t>
      </w:r>
      <w:r>
        <w:t xml:space="preserve">product information for specific </w:t>
      </w:r>
      <w:r w:rsidRPr="00C40C95">
        <w:t xml:space="preserve">infusion rates, </w:t>
      </w:r>
      <w:r w:rsidR="00012816">
        <w:t xml:space="preserve">ensuring that the correct rate is followed for the product being administered. </w:t>
      </w:r>
    </w:p>
    <w:p w14:paraId="37579D56" w14:textId="77777777" w:rsidR="00012816" w:rsidRDefault="00012816" w:rsidP="00012816">
      <w:pPr>
        <w:pStyle w:val="Bullet1"/>
        <w:numPr>
          <w:ilvl w:val="0"/>
          <w:numId w:val="0"/>
        </w:numPr>
      </w:pPr>
      <w:r>
        <w:t xml:space="preserve">All IVIg product information sheets can be accessed via the Lifeblood website </w:t>
      </w:r>
      <w:hyperlink r:id="rId17" w:history="1">
        <w:r w:rsidRPr="004A3C80">
          <w:rPr>
            <w:rFonts w:eastAsia="Times New Roman"/>
            <w:color w:val="0000FF"/>
            <w:u w:val="single"/>
          </w:rPr>
          <w:t>Intravenous immunoglobulin (IVIg) | Australian Red Cross Lifeblood</w:t>
        </w:r>
      </w:hyperlink>
      <w:r>
        <w:rPr>
          <w:rFonts w:eastAsia="Times New Roman"/>
        </w:rPr>
        <w:t xml:space="preserve"> &lt;</w:t>
      </w:r>
      <w:r w:rsidRPr="004A3C80">
        <w:rPr>
          <w:rFonts w:eastAsia="Times New Roman"/>
        </w:rPr>
        <w:t>https://www.lifeblood.com.au/health-professionals/products/fractionated-plasma-products/immunoglobulins/IVIg</w:t>
      </w:r>
      <w:r>
        <w:rPr>
          <w:rFonts w:eastAsia="Times New Roman"/>
        </w:rPr>
        <w:t>&gt;</w:t>
      </w:r>
    </w:p>
    <w:p w14:paraId="71939BCF" w14:textId="337AC00E" w:rsidR="00DE61E5" w:rsidRDefault="00DE61E5" w:rsidP="00DE61E5">
      <w:pPr>
        <w:pStyle w:val="Bullet1"/>
        <w:numPr>
          <w:ilvl w:val="0"/>
          <w:numId w:val="0"/>
        </w:numPr>
      </w:pPr>
      <w:r>
        <w:lastRenderedPageBreak/>
        <w:t xml:space="preserve">*Rate rises are at the discretion of the health care professional and as tolerated by the patient. See the product information for more detail regarding infusion rate studies for specific patient groups. </w:t>
      </w:r>
    </w:p>
    <w:p w14:paraId="1FD6814A" w14:textId="0A631B66" w:rsidR="00DE61E5" w:rsidRDefault="00B137B4" w:rsidP="00613124">
      <w:pPr>
        <w:pStyle w:val="Bullet1"/>
      </w:pPr>
      <w:r w:rsidRPr="00B640B1">
        <w:t>Privigen® and Privigen AU</w:t>
      </w:r>
      <w:r w:rsidR="00F23515">
        <w:rPr>
          <w:rFonts w:cs="Arial"/>
        </w:rPr>
        <w:t>®</w:t>
      </w:r>
    </w:p>
    <w:p w14:paraId="18DF8CB3" w14:textId="1D18A1B8" w:rsidR="00DE61E5" w:rsidRDefault="00DE61E5" w:rsidP="00DE61E5">
      <w:pPr>
        <w:pStyle w:val="Bullet2"/>
        <w:rPr>
          <w:b/>
          <w:bCs/>
        </w:rPr>
      </w:pPr>
      <w:r w:rsidRPr="00B94120">
        <w:t>The initial infusion rate is 0.3 mL/kg body weight/hr. If well tolerated, the rate of administration may gradually be increased to</w:t>
      </w:r>
      <w:r>
        <w:t xml:space="preserve"> a </w:t>
      </w:r>
      <w:r w:rsidRPr="00B94120">
        <w:rPr>
          <w:b/>
          <w:bCs/>
        </w:rPr>
        <w:t>maximum rate of 4.8 mL/kg body weight/hr.</w:t>
      </w:r>
    </w:p>
    <w:p w14:paraId="08375F92" w14:textId="7A56747F" w:rsidR="00DE61E5" w:rsidRDefault="00B137B4" w:rsidP="00DE61E5">
      <w:pPr>
        <w:pStyle w:val="Bullet1"/>
      </w:pPr>
      <w:r w:rsidRPr="00B640B1">
        <w:t>Flebogamma® 5% and 10%</w:t>
      </w:r>
      <w:r w:rsidR="00F23515">
        <w:t xml:space="preserve"> </w:t>
      </w:r>
    </w:p>
    <w:p w14:paraId="5AD6D528" w14:textId="6BC7D54B" w:rsidR="00E237C1" w:rsidRDefault="00E237C1" w:rsidP="00E237C1">
      <w:pPr>
        <w:pStyle w:val="Bullet2"/>
      </w:pPr>
      <w:r w:rsidRPr="002F2528">
        <w:t xml:space="preserve">Flebogamma 5 </w:t>
      </w:r>
      <w:r w:rsidR="003B140F">
        <w:t>%</w:t>
      </w:r>
      <w:r w:rsidRPr="002F2528">
        <w:t xml:space="preserve"> DIF should be infused intravenously at an initial rate of 0.01 - 0.02 ml/kg/min for the first thirty minutes. If well tolerated, the rate of administration may be gradually increased at 30-minute </w:t>
      </w:r>
      <w:r w:rsidRPr="00685CAA">
        <w:t>intervals by 0.01mL/kg/min (equivalent to 0.6mL/kg/hr) to a maximum</w:t>
      </w:r>
      <w:r w:rsidRPr="002F2528">
        <w:t xml:space="preserve"> of 0.1ml/kg/min (6mL/kg/hr) as tolerated by the patient.</w:t>
      </w:r>
    </w:p>
    <w:p w14:paraId="45BE592D" w14:textId="326363FF" w:rsidR="00E237C1" w:rsidRPr="00D50366" w:rsidRDefault="00E237C1" w:rsidP="00E237C1">
      <w:pPr>
        <w:pStyle w:val="Bullet2"/>
      </w:pPr>
      <w:r w:rsidRPr="00D50366">
        <w:t xml:space="preserve">Flebogamma 10 </w:t>
      </w:r>
      <w:r w:rsidR="003B140F">
        <w:t>%</w:t>
      </w:r>
      <w:r w:rsidRPr="00D50366">
        <w:t xml:space="preserve"> DIF should be infused intravenously at an initial rate of 0.01 ml/kg/min for the first thirty minutes. If tolerated advance to 0.02 ml/kg/min for the second thirty minutes. If tolerated advance to 0.04 ml/kg/min for the third thirty minutes. If tolerated advance to 0.06 ml/kg/min for the fourth thirty minutes. If tolerated advance to a </w:t>
      </w:r>
      <w:r w:rsidRPr="00EF7EC9">
        <w:t>maximum rate of 0.08 ml/kg/min, equivalent to 4.8mL/kg/hr</w:t>
      </w:r>
      <w:r w:rsidRPr="00D50366">
        <w:t>.</w:t>
      </w:r>
    </w:p>
    <w:p w14:paraId="74A43289" w14:textId="1D8A3AA6" w:rsidR="00DE61E5" w:rsidRDefault="00B137B4" w:rsidP="00DE61E5">
      <w:pPr>
        <w:pStyle w:val="Bullet1"/>
      </w:pPr>
      <w:r w:rsidRPr="00B640B1">
        <w:t>Gamunex</w:t>
      </w:r>
      <w:r w:rsidR="00F23515">
        <w:rPr>
          <w:rFonts w:cs="Arial"/>
        </w:rPr>
        <w:t>®</w:t>
      </w:r>
      <w:r w:rsidR="00F23515">
        <w:t xml:space="preserve"> </w:t>
      </w:r>
    </w:p>
    <w:p w14:paraId="05089322" w14:textId="3E8C46F2" w:rsidR="00E237C1" w:rsidRPr="00145034" w:rsidRDefault="00E237C1" w:rsidP="00E237C1">
      <w:pPr>
        <w:pStyle w:val="Bullet2"/>
        <w:rPr>
          <w:b/>
          <w:bCs/>
        </w:rPr>
      </w:pPr>
      <w:r w:rsidRPr="00145034">
        <w:t>Gamunex® should initially be infused at a rate of 0.01 mL/kg/min for the first 30 min.</w:t>
      </w:r>
      <w:r>
        <w:t xml:space="preserve"> </w:t>
      </w:r>
      <w:r w:rsidRPr="00145034">
        <w:t xml:space="preserve">If well-tolerated, the rate may be increased gradually to a </w:t>
      </w:r>
      <w:r w:rsidRPr="00145034">
        <w:rPr>
          <w:b/>
          <w:bCs/>
        </w:rPr>
        <w:t>maximum of 0.08 mL/kg/min (8mg/kg/min / 4.8mL/kg/hr)</w:t>
      </w:r>
      <w:r>
        <w:rPr>
          <w:b/>
          <w:bCs/>
        </w:rPr>
        <w:t xml:space="preserve"> </w:t>
      </w:r>
      <w:r w:rsidRPr="00145034">
        <w:t>at 30-minute intervals</w:t>
      </w:r>
      <w:r>
        <w:t>.</w:t>
      </w:r>
    </w:p>
    <w:p w14:paraId="350132E7" w14:textId="67C48B5D" w:rsidR="00E237C1" w:rsidRDefault="00E237C1" w:rsidP="00E237C1">
      <w:pPr>
        <w:pStyle w:val="Bullet2"/>
      </w:pPr>
      <w:r w:rsidRPr="00145034">
        <w:t>If side effects occur, the rate may be reduced, or the infusion interrupted until symptoms subside.</w:t>
      </w:r>
      <w:r>
        <w:t xml:space="preserve"> </w:t>
      </w:r>
      <w:r w:rsidRPr="00145034">
        <w:t>The infusion may be resumed at the rate which is comfortable for the patient.</w:t>
      </w:r>
    </w:p>
    <w:p w14:paraId="3D758903" w14:textId="6D8A18EE" w:rsidR="00DE61E5" w:rsidRDefault="00B137B4" w:rsidP="00DE61E5">
      <w:pPr>
        <w:pStyle w:val="Bullet1"/>
      </w:pPr>
      <w:r w:rsidRPr="00B640B1">
        <w:t>Octagam</w:t>
      </w:r>
      <w:r w:rsidR="00F23515">
        <w:rPr>
          <w:rFonts w:cs="Arial"/>
        </w:rPr>
        <w:t>®</w:t>
      </w:r>
      <w:r w:rsidR="00F23515">
        <w:t xml:space="preserve"> </w:t>
      </w:r>
    </w:p>
    <w:p w14:paraId="58A3D939" w14:textId="08409F9C" w:rsidR="00E237C1" w:rsidRDefault="00E237C1" w:rsidP="00E237C1">
      <w:pPr>
        <w:pStyle w:val="Bullet2"/>
      </w:pPr>
      <w:r w:rsidRPr="00302D46">
        <w:t>Octagam® 10</w:t>
      </w:r>
      <w:r w:rsidR="003B140F">
        <w:t>%</w:t>
      </w:r>
      <w:r w:rsidRPr="00302D46">
        <w:t xml:space="preserve"> should be infused at an initial rate of 0.6-1.2mL/kg/hr for 30 minutes. If well tolerated, the rate of administration may be gradually increased to </w:t>
      </w:r>
      <w:r w:rsidRPr="00302D46">
        <w:rPr>
          <w:b/>
          <w:bCs/>
        </w:rPr>
        <w:t>a maximum of 7.2mL/kg/hr</w:t>
      </w:r>
      <w:r w:rsidRPr="00302D46">
        <w:t xml:space="preserve"> for the remainder of the infusion.</w:t>
      </w:r>
    </w:p>
    <w:p w14:paraId="708067E3" w14:textId="37743596" w:rsidR="00DE61E5" w:rsidRDefault="00B137B4" w:rsidP="00DE61E5">
      <w:pPr>
        <w:pStyle w:val="Bullet1"/>
      </w:pPr>
      <w:r w:rsidRPr="00B640B1">
        <w:t>Kiovig</w:t>
      </w:r>
      <w:r w:rsidR="00F23515">
        <w:rPr>
          <w:rFonts w:cs="Arial"/>
        </w:rPr>
        <w:t>®</w:t>
      </w:r>
      <w:r w:rsidR="00F23515">
        <w:t xml:space="preserve"> </w:t>
      </w:r>
    </w:p>
    <w:p w14:paraId="73D57BBC" w14:textId="7B9696D5" w:rsidR="00E237C1" w:rsidRDefault="00E237C1" w:rsidP="00E237C1">
      <w:pPr>
        <w:pStyle w:val="Bullet2"/>
      </w:pPr>
      <w:r w:rsidRPr="002A48BA">
        <w:t>Kiovig® 10</w:t>
      </w:r>
      <w:r w:rsidR="003B140F">
        <w:t>%</w:t>
      </w:r>
      <w:r w:rsidRPr="00657CBA">
        <w:rPr>
          <w:b/>
          <w:bCs/>
        </w:rPr>
        <w:t xml:space="preserve"> </w:t>
      </w:r>
      <w:r w:rsidRPr="00ED3AB8">
        <w:t xml:space="preserve">infusion </w:t>
      </w:r>
      <w:r>
        <w:t xml:space="preserve">rate should start at 0.5 mL/kg/hr. If well tolerated </w:t>
      </w:r>
      <w:r w:rsidRPr="00685CAA">
        <w:t>gradually</w:t>
      </w:r>
      <w:r w:rsidR="00F16711" w:rsidRPr="00685CAA">
        <w:t xml:space="preserve"> </w:t>
      </w:r>
      <w:r w:rsidRPr="00685CAA">
        <w:t>increase</w:t>
      </w:r>
      <w:r w:rsidR="00F16711" w:rsidRPr="008D226B">
        <w:t xml:space="preserve"> by a</w:t>
      </w:r>
      <w:r w:rsidRPr="00685CAA">
        <w:t xml:space="preserve"> </w:t>
      </w:r>
      <w:r w:rsidR="00F16711" w:rsidRPr="00685CAA">
        <w:t>suggested</w:t>
      </w:r>
      <w:r w:rsidR="00685CAA" w:rsidRPr="00685CAA">
        <w:t xml:space="preserve"> rate</w:t>
      </w:r>
      <w:r w:rsidR="00F16711" w:rsidRPr="008D226B">
        <w:t xml:space="preserve"> of </w:t>
      </w:r>
      <w:r w:rsidRPr="00685CAA">
        <w:t>0.5mL/kg/hr</w:t>
      </w:r>
      <w:r w:rsidR="00F16711" w:rsidRPr="00685CAA">
        <w:t xml:space="preserve"> as</w:t>
      </w:r>
      <w:r w:rsidR="00F16711">
        <w:t xml:space="preserve"> per </w:t>
      </w:r>
      <w:r w:rsidR="00F16711" w:rsidRPr="00F16711">
        <w:t>starting rate</w:t>
      </w:r>
      <w:r>
        <w:t>, every 30 minutes to a maximum rate of 5.0 mL/kg/hr.</w:t>
      </w:r>
    </w:p>
    <w:p w14:paraId="5FF8C03A" w14:textId="21E17644" w:rsidR="00E237C1" w:rsidRDefault="00E237C1" w:rsidP="00E237C1">
      <w:pPr>
        <w:pStyle w:val="Bullet2"/>
      </w:pPr>
      <w:r>
        <w:t>Subsequent infusions should follow the same procedure, going to the maximum rate as tolerated in previous infusions.</w:t>
      </w:r>
    </w:p>
    <w:p w14:paraId="051A28C4" w14:textId="77777777" w:rsidR="00613124" w:rsidRPr="007C04D4" w:rsidRDefault="00613124" w:rsidP="00613124">
      <w:pPr>
        <w:pStyle w:val="Heading2"/>
      </w:pPr>
      <w:bookmarkStart w:id="27" w:name="_Toc130395740"/>
      <w:bookmarkStart w:id="28" w:name="_Toc216858033"/>
      <w:r w:rsidRPr="007C04D4">
        <w:t>Considerations for infusion rates in some patient groups</w:t>
      </w:r>
      <w:bookmarkEnd w:id="27"/>
      <w:bookmarkEnd w:id="28"/>
      <w:r w:rsidRPr="007C04D4">
        <w:t xml:space="preserve"> </w:t>
      </w:r>
    </w:p>
    <w:p w14:paraId="579A9A87" w14:textId="7FFB4B5D" w:rsidR="00613124" w:rsidRPr="00EF7EC9" w:rsidRDefault="00613124" w:rsidP="00613124">
      <w:pPr>
        <w:pStyle w:val="Body"/>
      </w:pPr>
      <w:r w:rsidRPr="00EF7EC9">
        <w:t>Consider running IVIg at slower rates for paediatric/neonatal patients</w:t>
      </w:r>
      <w:r w:rsidR="00C752EF" w:rsidRPr="00EF7EC9">
        <w:t xml:space="preserve">. </w:t>
      </w:r>
      <w:r w:rsidR="00012816">
        <w:t>A c</w:t>
      </w:r>
      <w:r w:rsidRPr="00EF7EC9">
        <w:t xml:space="preserve">onsultant </w:t>
      </w:r>
      <w:r w:rsidR="00012816">
        <w:t>p</w:t>
      </w:r>
      <w:r w:rsidRPr="00EF7EC9">
        <w:t>aediatrician may need to determine the best rate for each child/infant/neonate.</w:t>
      </w:r>
      <w:r w:rsidR="00AF4289">
        <w:t xml:space="preserve"> </w:t>
      </w:r>
      <w:hyperlink r:id="rId18" w:history="1">
        <w:r w:rsidR="00AF4289" w:rsidRPr="00AF4289">
          <w:rPr>
            <w:rStyle w:val="Hyperlink"/>
          </w:rPr>
          <w:t>The Royal Children’s Hospital Melbourne has an IVIg guideline</w:t>
        </w:r>
      </w:hyperlink>
      <w:r w:rsidR="00AF4289">
        <w:t xml:space="preserve"> &lt;</w:t>
      </w:r>
      <w:r w:rsidR="00AF4289" w:rsidRPr="00AF4289">
        <w:t xml:space="preserve"> https://www.rch.org.au/bloodtrans/about_blood_products/Intravenous_Immunoglobulin_Guideline/</w:t>
      </w:r>
      <w:r w:rsidR="00AF4289">
        <w:t>&gt;. A useful resource when caring for children requiring IVIg.</w:t>
      </w:r>
    </w:p>
    <w:p w14:paraId="61271724" w14:textId="67D38BA2" w:rsidR="00613124" w:rsidRDefault="00613124" w:rsidP="00613124">
      <w:pPr>
        <w:pStyle w:val="Body"/>
      </w:pPr>
      <w:r w:rsidRPr="00EF7EC9">
        <w:lastRenderedPageBreak/>
        <w:t>Infusion rates for acutely ill, febrile, and</w:t>
      </w:r>
      <w:r>
        <w:t>/</w:t>
      </w:r>
      <w:r w:rsidRPr="00EF7EC9">
        <w:t xml:space="preserve">or elderly patients, and those with known cardiac or renal insufficiencies should be raised cautiously and </w:t>
      </w:r>
      <w:r>
        <w:t xml:space="preserve">may </w:t>
      </w:r>
      <w:r w:rsidRPr="00EF7EC9">
        <w:t>not reach the maximum rate. The patient’s predisposition to circulatory overload should always be considered when selecting infusion rates.</w:t>
      </w:r>
      <w:r>
        <w:t xml:space="preserve"> Slower infusion rates may be required in these patients.</w:t>
      </w:r>
    </w:p>
    <w:p w14:paraId="33AFA1B6" w14:textId="77777777" w:rsidR="00613124" w:rsidRDefault="00613124" w:rsidP="00613124">
      <w:pPr>
        <w:pStyle w:val="Body"/>
      </w:pPr>
      <w:r>
        <w:t>In patients at risk of acute renal failure or thromboembolic events, IVIg products should be administered at the minimum rate of infusion and dose practicable.</w:t>
      </w:r>
    </w:p>
    <w:p w14:paraId="06EF3CC2" w14:textId="77777777" w:rsidR="00613124" w:rsidRDefault="00613124" w:rsidP="00613124">
      <w:pPr>
        <w:pStyle w:val="Heading2"/>
      </w:pPr>
      <w:bookmarkStart w:id="29" w:name="_Toc130395741"/>
      <w:bookmarkStart w:id="30" w:name="_Toc216858034"/>
      <w:r>
        <w:t>Traceability</w:t>
      </w:r>
      <w:bookmarkEnd w:id="29"/>
      <w:bookmarkEnd w:id="30"/>
    </w:p>
    <w:p w14:paraId="22FA9CBE" w14:textId="0C8DA657" w:rsidR="00613124" w:rsidRPr="007A0A5E" w:rsidRDefault="00613124" w:rsidP="00613124">
      <w:pPr>
        <w:pStyle w:val="Body"/>
      </w:pPr>
      <w:r w:rsidRPr="00EF7EC9">
        <w:t>The name and batch number of every IVIg bottle administered to a patient must be recorded</w:t>
      </w:r>
      <w:r w:rsidR="006F48D4">
        <w:t xml:space="preserve"> in the patient medical record</w:t>
      </w:r>
      <w:r w:rsidRPr="00EF7EC9">
        <w:t xml:space="preserve"> for traceability purposes.</w:t>
      </w:r>
    </w:p>
    <w:p w14:paraId="035BFCB2" w14:textId="77777777" w:rsidR="00613124" w:rsidRDefault="00613124" w:rsidP="00613124">
      <w:pPr>
        <w:pStyle w:val="Heading2"/>
      </w:pPr>
      <w:bookmarkStart w:id="31" w:name="_Toc130395742"/>
      <w:bookmarkStart w:id="32" w:name="_Toc216858035"/>
      <w:r>
        <w:t>Observations</w:t>
      </w:r>
      <w:bookmarkEnd w:id="31"/>
      <w:bookmarkEnd w:id="32"/>
    </w:p>
    <w:p w14:paraId="001565DA" w14:textId="77777777" w:rsidR="003B140F" w:rsidRDefault="003B140F" w:rsidP="00613124">
      <w:pPr>
        <w:pStyle w:val="Body"/>
      </w:pPr>
      <w:r>
        <w:t xml:space="preserve">No specific patient observation regime is described in the product information for any IVIg product. </w:t>
      </w:r>
    </w:p>
    <w:p w14:paraId="76129E3B" w14:textId="64630B29" w:rsidR="003B140F" w:rsidRDefault="007F4F5C" w:rsidP="00613124">
      <w:pPr>
        <w:pStyle w:val="Body"/>
      </w:pPr>
      <w:r>
        <w:t xml:space="preserve">It is recommended that </w:t>
      </w:r>
      <w:r w:rsidR="003B140F" w:rsidRPr="003B140F">
        <w:t xml:space="preserve">vital signs and general status </w:t>
      </w:r>
      <w:r w:rsidR="00012816">
        <w:t xml:space="preserve">are </w:t>
      </w:r>
      <w:r w:rsidR="003B140F" w:rsidRPr="003B140F">
        <w:t>monitored regularly during</w:t>
      </w:r>
      <w:r w:rsidR="00012816">
        <w:t xml:space="preserve"> the infusion</w:t>
      </w:r>
      <w:r w:rsidR="003B140F" w:rsidRPr="003B140F">
        <w:t xml:space="preserve"> and for </w:t>
      </w:r>
      <w:r>
        <w:t>20 minutes</w:t>
      </w:r>
      <w:r w:rsidR="00012816">
        <w:t xml:space="preserve"> post completion of the infusion for patients established on a particular IVIg product</w:t>
      </w:r>
      <w:r w:rsidR="00C752EF">
        <w:t xml:space="preserve">. </w:t>
      </w:r>
      <w:r w:rsidR="00012816">
        <w:t>P</w:t>
      </w:r>
      <w:r>
        <w:t xml:space="preserve">atients </w:t>
      </w:r>
      <w:r w:rsidRPr="003B140F">
        <w:t>naive to</w:t>
      </w:r>
      <w:r w:rsidR="00685CAA">
        <w:t xml:space="preserve"> IVIg</w:t>
      </w:r>
      <w:r w:rsidRPr="003B140F">
        <w:t xml:space="preserve">, patients </w:t>
      </w:r>
      <w:r>
        <w:t>changing</w:t>
      </w:r>
      <w:r w:rsidRPr="003B140F">
        <w:t xml:space="preserve"> IVIg product or patients who have not received IVIg for </w:t>
      </w:r>
      <w:r>
        <w:t xml:space="preserve">six weeks or more </w:t>
      </w:r>
      <w:r w:rsidR="00012816">
        <w:t>should be monitored for a full hour post the IVIg infusion</w:t>
      </w:r>
      <w:r w:rsidR="003B140F" w:rsidRPr="003B140F">
        <w:t>.</w:t>
      </w:r>
      <w:r>
        <w:t xml:space="preserve"> </w:t>
      </w:r>
    </w:p>
    <w:p w14:paraId="7AF9D9B4" w14:textId="492B78A1" w:rsidR="00613124" w:rsidRPr="00705C97" w:rsidRDefault="007F4F5C" w:rsidP="00613124">
      <w:pPr>
        <w:pStyle w:val="Body"/>
      </w:pPr>
      <w:r>
        <w:t>For safety ideally the patient’s</w:t>
      </w:r>
      <w:r w:rsidR="00613124" w:rsidRPr="00705C97">
        <w:t xml:space="preserve"> temperature, pulse, respiration rate</w:t>
      </w:r>
      <w:r w:rsidR="00613124">
        <w:t xml:space="preserve"> </w:t>
      </w:r>
      <w:r w:rsidR="00613124" w:rsidRPr="00705C97">
        <w:t xml:space="preserve">and blood pressure </w:t>
      </w:r>
      <w:r>
        <w:t xml:space="preserve">should be taken and documented </w:t>
      </w:r>
      <w:r w:rsidR="00613124" w:rsidRPr="00705C97">
        <w:t xml:space="preserve">at the following </w:t>
      </w:r>
      <w:r>
        <w:t>intervals</w:t>
      </w:r>
      <w:r w:rsidR="00613124" w:rsidRPr="00705C97">
        <w:rPr>
          <w:b/>
        </w:rPr>
        <w:t>:</w:t>
      </w:r>
    </w:p>
    <w:p w14:paraId="5E21D290" w14:textId="77777777" w:rsidR="00613124" w:rsidRPr="00C40C95" w:rsidRDefault="00613124" w:rsidP="00613124">
      <w:pPr>
        <w:pStyle w:val="Bullet1"/>
      </w:pPr>
      <w:r w:rsidRPr="00C40C95">
        <w:t>prior to commencing</w:t>
      </w:r>
    </w:p>
    <w:p w14:paraId="5297C809" w14:textId="77777777" w:rsidR="00613124" w:rsidRPr="00C40C95" w:rsidRDefault="00613124" w:rsidP="00613124">
      <w:pPr>
        <w:pStyle w:val="Bullet1"/>
      </w:pPr>
      <w:r w:rsidRPr="00C40C95">
        <w:t>prior to each rate increase and hourly once maximum rate achieved</w:t>
      </w:r>
    </w:p>
    <w:p w14:paraId="23E1E66D" w14:textId="77777777" w:rsidR="00613124" w:rsidRPr="00C40C95" w:rsidRDefault="00613124" w:rsidP="00613124">
      <w:pPr>
        <w:pStyle w:val="Bullet1"/>
      </w:pPr>
      <w:r w:rsidRPr="00C40C95">
        <w:t>once completed</w:t>
      </w:r>
    </w:p>
    <w:p w14:paraId="2C519F51" w14:textId="77777777" w:rsidR="00613124" w:rsidRPr="00C40C95" w:rsidRDefault="00613124" w:rsidP="00613124">
      <w:pPr>
        <w:pStyle w:val="Bullet1"/>
      </w:pPr>
      <w:r w:rsidRPr="00C40C95">
        <w:t>observe patient for 20 minutes post completion.</w:t>
      </w:r>
    </w:p>
    <w:p w14:paraId="519ECB32" w14:textId="77777777" w:rsidR="007F4F5C" w:rsidRDefault="00613124" w:rsidP="00613124">
      <w:pPr>
        <w:pStyle w:val="Body"/>
      </w:pPr>
      <w:r w:rsidRPr="00705C97">
        <w:t xml:space="preserve">Please be aware that local policies may require </w:t>
      </w:r>
      <w:r w:rsidR="007F4F5C">
        <w:t>different observation frequencies</w:t>
      </w:r>
      <w:r w:rsidRPr="00705C97">
        <w:t xml:space="preserve">. </w:t>
      </w:r>
    </w:p>
    <w:p w14:paraId="5259B759" w14:textId="0BEB8FDC" w:rsidR="00613124" w:rsidRPr="00705C97" w:rsidRDefault="007F4F5C" w:rsidP="00613124">
      <w:pPr>
        <w:pStyle w:val="Body"/>
      </w:pPr>
      <w:r>
        <w:t xml:space="preserve">Reactions to IVIg </w:t>
      </w:r>
      <w:r w:rsidR="006F48D4">
        <w:t>are often</w:t>
      </w:r>
      <w:r>
        <w:t xml:space="preserve"> rate related</w:t>
      </w:r>
      <w:r w:rsidR="00613124" w:rsidRPr="00705C97">
        <w:t xml:space="preserve">, </w:t>
      </w:r>
      <w:r w:rsidR="00C65B64">
        <w:t xml:space="preserve">hence the need to closely monitor the patient throughout the infusion. </w:t>
      </w:r>
      <w:r w:rsidR="006F48D4">
        <w:t>M</w:t>
      </w:r>
      <w:r w:rsidR="00C65B64">
        <w:t>or</w:t>
      </w:r>
      <w:r w:rsidR="006F48D4">
        <w:t>e</w:t>
      </w:r>
      <w:r w:rsidR="00C65B64">
        <w:t xml:space="preserve"> frequent observations may be required i</w:t>
      </w:r>
      <w:r w:rsidR="00613124" w:rsidRPr="00705C97">
        <w:t>f a patient experiences an adverse reaction to IVIg</w:t>
      </w:r>
      <w:r w:rsidR="00C65B64">
        <w:t>.</w:t>
      </w:r>
    </w:p>
    <w:p w14:paraId="56DBB1C4" w14:textId="77777777" w:rsidR="00613124" w:rsidRDefault="00613124" w:rsidP="00EA1F79">
      <w:pPr>
        <w:pStyle w:val="Heading1"/>
      </w:pPr>
      <w:bookmarkStart w:id="33" w:name="_Toc130395743"/>
      <w:bookmarkStart w:id="34" w:name="_Toc216858036"/>
      <w:r>
        <w:t>General adverse effects</w:t>
      </w:r>
      <w:bookmarkEnd w:id="33"/>
      <w:bookmarkEnd w:id="34"/>
    </w:p>
    <w:p w14:paraId="453F7D47" w14:textId="66FA8F43" w:rsidR="00613124" w:rsidRPr="00EF7EC9" w:rsidRDefault="00613124" w:rsidP="00613124">
      <w:pPr>
        <w:pStyle w:val="Body"/>
        <w:rPr>
          <w:b/>
          <w:bCs/>
        </w:rPr>
      </w:pPr>
      <w:r w:rsidRPr="00EF7EC9">
        <w:rPr>
          <w:b/>
          <w:bCs/>
        </w:rPr>
        <w:t xml:space="preserve">Adverse effects </w:t>
      </w:r>
      <w:r w:rsidR="006F48D4">
        <w:rPr>
          <w:b/>
          <w:bCs/>
        </w:rPr>
        <w:t>are often</w:t>
      </w:r>
      <w:r w:rsidRPr="00EF7EC9">
        <w:rPr>
          <w:b/>
          <w:bCs/>
        </w:rPr>
        <w:t xml:space="preserve"> rate related, but other risk factors need to be taken into consideration. </w:t>
      </w:r>
    </w:p>
    <w:p w14:paraId="2FB5D4CD" w14:textId="77777777" w:rsidR="00613124" w:rsidRPr="00705C97" w:rsidRDefault="00613124" w:rsidP="00613124">
      <w:pPr>
        <w:autoSpaceDE w:val="0"/>
        <w:autoSpaceDN w:val="0"/>
        <w:adjustRightInd w:val="0"/>
        <w:spacing w:after="0" w:line="240" w:lineRule="auto"/>
        <w:rPr>
          <w:rFonts w:cs="Arial"/>
          <w:color w:val="000000"/>
        </w:rPr>
      </w:pPr>
      <w:r>
        <w:rPr>
          <w:rFonts w:cs="Arial"/>
          <w:color w:val="000000"/>
        </w:rPr>
        <w:t>Adverse events are commonly associated with</w:t>
      </w:r>
      <w:r w:rsidRPr="00705C97">
        <w:rPr>
          <w:rFonts w:cs="Arial"/>
          <w:color w:val="000000"/>
        </w:rPr>
        <w:t xml:space="preserve"> patients who receive IVIg: </w:t>
      </w:r>
    </w:p>
    <w:p w14:paraId="6DB1854D" w14:textId="77777777" w:rsidR="00613124" w:rsidRPr="00653254" w:rsidRDefault="00613124" w:rsidP="00613124">
      <w:pPr>
        <w:pStyle w:val="Bullet1"/>
      </w:pPr>
      <w:r w:rsidRPr="00653254">
        <w:lastRenderedPageBreak/>
        <w:t xml:space="preserve">for the first time </w:t>
      </w:r>
    </w:p>
    <w:p w14:paraId="4E53CA17" w14:textId="77777777" w:rsidR="00613124" w:rsidRDefault="00613124" w:rsidP="00613124">
      <w:pPr>
        <w:pStyle w:val="Bullet1"/>
      </w:pPr>
      <w:r w:rsidRPr="00653254">
        <w:t xml:space="preserve">when there has been a long interval since the previous infusion </w:t>
      </w:r>
    </w:p>
    <w:p w14:paraId="7F7CBC94" w14:textId="77777777" w:rsidR="00613124" w:rsidRPr="00653254" w:rsidRDefault="00613124" w:rsidP="00613124">
      <w:pPr>
        <w:pStyle w:val="Bullet1"/>
      </w:pPr>
      <w:r w:rsidRPr="00653254">
        <w:t>when there is a change in product.</w:t>
      </w:r>
    </w:p>
    <w:p w14:paraId="6F5B6D01" w14:textId="77777777" w:rsidR="00613124" w:rsidRPr="00EF7EC9" w:rsidRDefault="00613124" w:rsidP="00613124">
      <w:pPr>
        <w:autoSpaceDE w:val="0"/>
        <w:autoSpaceDN w:val="0"/>
        <w:adjustRightInd w:val="0"/>
        <w:spacing w:after="0" w:line="240" w:lineRule="auto"/>
        <w:rPr>
          <w:rFonts w:cs="Arial"/>
          <w:color w:val="000000"/>
        </w:rPr>
      </w:pPr>
    </w:p>
    <w:p w14:paraId="2171A74B" w14:textId="77777777" w:rsidR="00613124" w:rsidRDefault="00613124" w:rsidP="00613124">
      <w:pPr>
        <w:pStyle w:val="Body"/>
      </w:pPr>
      <w:r w:rsidRPr="00705C97">
        <w:t>The types of reactions that may occur</w:t>
      </w:r>
      <w:r>
        <w:t xml:space="preserve"> during or after IVIg infusion</w:t>
      </w:r>
      <w:r w:rsidRPr="00705C97">
        <w:t xml:space="preserve"> include</w:t>
      </w:r>
      <w:r>
        <w:t xml:space="preserve"> but are not limited to those as described in Table 1.</w:t>
      </w:r>
      <w:r w:rsidRPr="00705C97">
        <w:t xml:space="preserve"> </w:t>
      </w:r>
    </w:p>
    <w:p w14:paraId="202B9954" w14:textId="60ACBAA2" w:rsidR="00613124" w:rsidRPr="00062A1F" w:rsidRDefault="00613124" w:rsidP="00613124">
      <w:pPr>
        <w:pStyle w:val="Tablecaption"/>
      </w:pPr>
      <w:r>
        <w:t>T</w:t>
      </w:r>
      <w:r w:rsidRPr="00A330BB">
        <w:t>able</w:t>
      </w:r>
      <w:r>
        <w:t xml:space="preserve"> 1: Acute IVIg reactions and </w:t>
      </w:r>
      <w:r w:rsidR="00C92A07">
        <w:t xml:space="preserve">suggested </w:t>
      </w:r>
      <w:r>
        <w:t>management</w:t>
      </w:r>
    </w:p>
    <w:tbl>
      <w:tblPr>
        <w:tblStyle w:val="TableGrid"/>
        <w:tblW w:w="15126" w:type="dxa"/>
        <w:tblLook w:val="04A0" w:firstRow="1" w:lastRow="0" w:firstColumn="1" w:lastColumn="0" w:noHBand="0" w:noVBand="1"/>
      </w:tblPr>
      <w:tblGrid>
        <w:gridCol w:w="7563"/>
        <w:gridCol w:w="7563"/>
      </w:tblGrid>
      <w:tr w:rsidR="00AF4289" w14:paraId="655A90BE" w14:textId="77777777" w:rsidTr="00B640B1">
        <w:tc>
          <w:tcPr>
            <w:tcW w:w="7563" w:type="dxa"/>
          </w:tcPr>
          <w:p w14:paraId="13F2BF1F" w14:textId="5A9E2178" w:rsidR="00AF4289" w:rsidRDefault="00AF4289" w:rsidP="00B640B1">
            <w:pPr>
              <w:pStyle w:val="Tablecolhead"/>
            </w:pPr>
            <w:r>
              <w:t>Signs and symptoms of acute reactions</w:t>
            </w:r>
          </w:p>
        </w:tc>
        <w:tc>
          <w:tcPr>
            <w:tcW w:w="7563" w:type="dxa"/>
          </w:tcPr>
          <w:p w14:paraId="629ABD3C" w14:textId="75C4CD20" w:rsidR="00AF4289" w:rsidRDefault="00AF4289" w:rsidP="00B640B1">
            <w:pPr>
              <w:pStyle w:val="Tablecolhead"/>
            </w:pPr>
            <w:r>
              <w:t>Management</w:t>
            </w:r>
          </w:p>
        </w:tc>
      </w:tr>
      <w:tr w:rsidR="00AF4289" w14:paraId="74E17260" w14:textId="77777777" w:rsidTr="00B640B1">
        <w:tc>
          <w:tcPr>
            <w:tcW w:w="7563" w:type="dxa"/>
          </w:tcPr>
          <w:p w14:paraId="3848BE18" w14:textId="77777777" w:rsidR="00AF4289" w:rsidRPr="00653254" w:rsidRDefault="00AF4289" w:rsidP="00AF4289">
            <w:pPr>
              <w:pStyle w:val="Tablebullet1"/>
            </w:pPr>
            <w:r w:rsidRPr="00653254">
              <w:t>chest-tightness</w:t>
            </w:r>
          </w:p>
          <w:p w14:paraId="59B17868" w14:textId="77777777" w:rsidR="00AF4289" w:rsidRPr="00653254" w:rsidRDefault="00AF4289" w:rsidP="00AF4289">
            <w:pPr>
              <w:pStyle w:val="Tablebullet1"/>
            </w:pPr>
            <w:r w:rsidRPr="00653254">
              <w:t>facial flushing or pallor</w:t>
            </w:r>
          </w:p>
          <w:p w14:paraId="086517E2" w14:textId="77777777" w:rsidR="00AF4289" w:rsidRPr="00653254" w:rsidRDefault="00AF4289" w:rsidP="00AF4289">
            <w:pPr>
              <w:pStyle w:val="Tablebullet1"/>
            </w:pPr>
            <w:r w:rsidRPr="00653254">
              <w:t>erythema</w:t>
            </w:r>
          </w:p>
          <w:p w14:paraId="2951F45F" w14:textId="77777777" w:rsidR="00AF4289" w:rsidRPr="00653254" w:rsidRDefault="00AF4289" w:rsidP="00AF4289">
            <w:pPr>
              <w:pStyle w:val="Tablebullet1"/>
            </w:pPr>
            <w:r w:rsidRPr="00653254">
              <w:t>hot sensations</w:t>
            </w:r>
          </w:p>
          <w:p w14:paraId="4818ADFD" w14:textId="77777777" w:rsidR="00AF4289" w:rsidRPr="00653254" w:rsidRDefault="00AF4289" w:rsidP="00AF4289">
            <w:pPr>
              <w:pStyle w:val="Tablebullet1"/>
            </w:pPr>
            <w:r w:rsidRPr="00653254">
              <w:t>dyspnoea or respiratory difficulty</w:t>
            </w:r>
          </w:p>
          <w:p w14:paraId="75D795B4" w14:textId="77777777" w:rsidR="00AF4289" w:rsidRPr="00653254" w:rsidRDefault="00AF4289" w:rsidP="00AF4289">
            <w:pPr>
              <w:pStyle w:val="Tablebullet1"/>
            </w:pPr>
            <w:r w:rsidRPr="00653254">
              <w:t>urticaria /skin rash</w:t>
            </w:r>
          </w:p>
          <w:p w14:paraId="6A970F94" w14:textId="77777777" w:rsidR="00AF4289" w:rsidRPr="00653254" w:rsidRDefault="00AF4289" w:rsidP="00AF4289">
            <w:pPr>
              <w:pStyle w:val="Tablebullet1"/>
            </w:pPr>
            <w:r w:rsidRPr="00653254">
              <w:t>rashes on hands/palms</w:t>
            </w:r>
          </w:p>
          <w:p w14:paraId="403D7DE7" w14:textId="77777777" w:rsidR="00AF4289" w:rsidRPr="00653254" w:rsidRDefault="00AF4289" w:rsidP="00AF4289">
            <w:pPr>
              <w:pStyle w:val="Tablebullet1"/>
            </w:pPr>
            <w:r w:rsidRPr="00653254">
              <w:t>itching</w:t>
            </w:r>
          </w:p>
          <w:p w14:paraId="1213D84B" w14:textId="77777777" w:rsidR="00AF4289" w:rsidRPr="00653254" w:rsidRDefault="00AF4289" w:rsidP="00AF4289">
            <w:pPr>
              <w:pStyle w:val="Tablebullet1"/>
            </w:pPr>
            <w:r w:rsidRPr="00653254">
              <w:t>change in blood pressure</w:t>
            </w:r>
          </w:p>
          <w:p w14:paraId="1E5D72C4" w14:textId="77777777" w:rsidR="00AF4289" w:rsidRPr="00653254" w:rsidRDefault="00AF4289" w:rsidP="00AF4289">
            <w:pPr>
              <w:pStyle w:val="Tablebullet1"/>
            </w:pPr>
            <w:r w:rsidRPr="00653254">
              <w:t>nausea or vomiting</w:t>
            </w:r>
          </w:p>
          <w:p w14:paraId="0208818E" w14:textId="77777777" w:rsidR="00AF4289" w:rsidRPr="00653254" w:rsidRDefault="00AF4289" w:rsidP="00AF4289">
            <w:pPr>
              <w:pStyle w:val="Tablebullet1"/>
            </w:pPr>
            <w:r w:rsidRPr="00653254">
              <w:t>arthralgia</w:t>
            </w:r>
          </w:p>
          <w:p w14:paraId="5B4977DE" w14:textId="5D80B96F" w:rsidR="004804C1" w:rsidRPr="00653254" w:rsidRDefault="00AF4289" w:rsidP="00AF4289">
            <w:pPr>
              <w:pStyle w:val="Tablebullet1"/>
            </w:pPr>
            <w:r w:rsidRPr="00653254">
              <w:t>dizziness</w:t>
            </w:r>
          </w:p>
          <w:p w14:paraId="5E6FC315" w14:textId="1E3DCA64" w:rsidR="00AF4289" w:rsidRDefault="00AF4289" w:rsidP="00B640B1">
            <w:pPr>
              <w:pStyle w:val="Tablebullet1"/>
            </w:pPr>
            <w:r w:rsidRPr="00653254">
              <w:t>myalgia/ musculoskeletal stiffness</w:t>
            </w:r>
          </w:p>
        </w:tc>
        <w:tc>
          <w:tcPr>
            <w:tcW w:w="7563" w:type="dxa"/>
          </w:tcPr>
          <w:p w14:paraId="4BE0F454" w14:textId="77777777" w:rsidR="002A3EDC" w:rsidRDefault="002A3EDC" w:rsidP="00AF4289">
            <w:pPr>
              <w:pStyle w:val="Tablebullet1"/>
            </w:pPr>
            <w:r>
              <w:t>STOP infusion</w:t>
            </w:r>
          </w:p>
          <w:p w14:paraId="7D601B42" w14:textId="2B969BBA" w:rsidR="00AF4289" w:rsidRPr="00705C97" w:rsidRDefault="00AF4289" w:rsidP="00AF4289">
            <w:pPr>
              <w:pStyle w:val="Tablebullet1"/>
            </w:pPr>
            <w:r>
              <w:t>N</w:t>
            </w:r>
            <w:r w:rsidRPr="00705C97">
              <w:t>otify medical staff</w:t>
            </w:r>
          </w:p>
          <w:p w14:paraId="5DB1A503" w14:textId="77777777" w:rsidR="00AF4289" w:rsidRDefault="00AF4289" w:rsidP="00AF4289">
            <w:pPr>
              <w:pStyle w:val="Tablebullet1"/>
            </w:pPr>
            <w:r>
              <w:t>F</w:t>
            </w:r>
            <w:r w:rsidRPr="00653254">
              <w:t xml:space="preserve">ollowing medical review and </w:t>
            </w:r>
            <w:r>
              <w:t>management, if</w:t>
            </w:r>
            <w:r w:rsidRPr="00653254">
              <w:t xml:space="preserve"> the patient improves clinically, cautiously </w:t>
            </w:r>
            <w:r>
              <w:t xml:space="preserve">recommence </w:t>
            </w:r>
            <w:r w:rsidRPr="00653254">
              <w:t>at a slower rate</w:t>
            </w:r>
            <w:r>
              <w:t>.</w:t>
            </w:r>
          </w:p>
          <w:p w14:paraId="009BD25A" w14:textId="06250D40" w:rsidR="00AF4289" w:rsidRDefault="00AF4289" w:rsidP="00B640B1">
            <w:pPr>
              <w:pStyle w:val="Tablebullet2"/>
            </w:pPr>
            <w:r>
              <w:t xml:space="preserve">Increased monitoring </w:t>
            </w:r>
            <w:r w:rsidRPr="00653254">
              <w:t xml:space="preserve">may be </w:t>
            </w:r>
            <w:r>
              <w:t>required</w:t>
            </w:r>
          </w:p>
        </w:tc>
      </w:tr>
    </w:tbl>
    <w:p w14:paraId="76ED9265" w14:textId="77777777" w:rsidR="002D2C91" w:rsidRDefault="002D2C91" w:rsidP="00B640B1">
      <w:pPr>
        <w:pStyle w:val="Tablecaption"/>
      </w:pPr>
    </w:p>
    <w:p w14:paraId="53694EA9" w14:textId="77777777" w:rsidR="002D2C91" w:rsidRDefault="002D2C91">
      <w:pPr>
        <w:spacing w:after="0" w:line="240" w:lineRule="auto"/>
        <w:rPr>
          <w:b/>
        </w:rPr>
      </w:pPr>
      <w:r>
        <w:br w:type="page"/>
      </w:r>
    </w:p>
    <w:p w14:paraId="258B26D5" w14:textId="131623D5" w:rsidR="00C92A07" w:rsidRDefault="00C92A07" w:rsidP="00B640B1">
      <w:pPr>
        <w:pStyle w:val="Tablecaption"/>
      </w:pPr>
      <w:r>
        <w:lastRenderedPageBreak/>
        <w:t>Table 2 Delayed IVIg reactions and suggested management</w:t>
      </w:r>
    </w:p>
    <w:tbl>
      <w:tblPr>
        <w:tblStyle w:val="TableGrid"/>
        <w:tblW w:w="0" w:type="auto"/>
        <w:tblLook w:val="04A0" w:firstRow="1" w:lastRow="0" w:firstColumn="1" w:lastColumn="0" w:noHBand="0" w:noVBand="1"/>
      </w:tblPr>
      <w:tblGrid>
        <w:gridCol w:w="7563"/>
        <w:gridCol w:w="7563"/>
      </w:tblGrid>
      <w:tr w:rsidR="00AF4289" w14:paraId="338ED5C5" w14:textId="77777777" w:rsidTr="00AF4289">
        <w:tc>
          <w:tcPr>
            <w:tcW w:w="7563" w:type="dxa"/>
          </w:tcPr>
          <w:p w14:paraId="15D75C31" w14:textId="70D2A792" w:rsidR="00AF4289" w:rsidRDefault="00344CCD" w:rsidP="00B640B1">
            <w:pPr>
              <w:pStyle w:val="Tablecolhead"/>
            </w:pPr>
            <w:r>
              <w:t>D</w:t>
            </w:r>
            <w:r w:rsidR="00AF4289">
              <w:t>elayed reactions</w:t>
            </w:r>
            <w:r>
              <w:t xml:space="preserve"> </w:t>
            </w:r>
          </w:p>
        </w:tc>
        <w:tc>
          <w:tcPr>
            <w:tcW w:w="7563" w:type="dxa"/>
          </w:tcPr>
          <w:p w14:paraId="01F87435" w14:textId="291BE5E5" w:rsidR="00AF4289" w:rsidRDefault="00AF4289" w:rsidP="00B640B1">
            <w:pPr>
              <w:pStyle w:val="Tablecolhead"/>
            </w:pPr>
            <w:r>
              <w:t>Management</w:t>
            </w:r>
          </w:p>
        </w:tc>
      </w:tr>
      <w:tr w:rsidR="00AF4289" w14:paraId="5C3B3AD4" w14:textId="77777777" w:rsidTr="00AF4289">
        <w:tc>
          <w:tcPr>
            <w:tcW w:w="7563" w:type="dxa"/>
          </w:tcPr>
          <w:p w14:paraId="2CE79A4F" w14:textId="1C6A262E" w:rsidR="00344CCD" w:rsidRDefault="00344CCD" w:rsidP="00B640B1">
            <w:pPr>
              <w:pStyle w:val="Tablebullet1"/>
              <w:numPr>
                <w:ilvl w:val="0"/>
                <w:numId w:val="0"/>
              </w:numPr>
            </w:pPr>
            <w:r>
              <w:t>May occur post infusion, normally within 24 hours</w:t>
            </w:r>
          </w:p>
          <w:p w14:paraId="726F1BB2" w14:textId="05947F63" w:rsidR="00AF4289" w:rsidRDefault="00AF4289" w:rsidP="00AF4289">
            <w:pPr>
              <w:pStyle w:val="Tablebullet1"/>
            </w:pPr>
            <w:r>
              <w:t>aseptic meningitis</w:t>
            </w:r>
          </w:p>
          <w:p w14:paraId="2B8667CA" w14:textId="77777777" w:rsidR="00AF4289" w:rsidRDefault="00AF4289" w:rsidP="00AF4289">
            <w:pPr>
              <w:pStyle w:val="Tablebullet1"/>
            </w:pPr>
            <w:r>
              <w:t>haematological complications e.g., haemolysis</w:t>
            </w:r>
          </w:p>
          <w:p w14:paraId="5E48680E" w14:textId="77777777" w:rsidR="00AF4289" w:rsidRDefault="00AF4289" w:rsidP="00AF4289">
            <w:pPr>
              <w:pStyle w:val="Tablebullet1"/>
            </w:pPr>
            <w:r>
              <w:t>dermatological complications e.g., urticaria</w:t>
            </w:r>
          </w:p>
          <w:p w14:paraId="09ABA91C" w14:textId="31EC1DDC" w:rsidR="00AF4289" w:rsidRDefault="00AF4289" w:rsidP="00B640B1">
            <w:pPr>
              <w:pStyle w:val="Tablebullet1"/>
            </w:pPr>
            <w:r w:rsidRPr="00F470A1">
              <w:t>other: nausea,</w:t>
            </w:r>
            <w:r>
              <w:t xml:space="preserve"> </w:t>
            </w:r>
            <w:r w:rsidRPr="00F470A1">
              <w:t>vomiting,</w:t>
            </w:r>
            <w:r>
              <w:t xml:space="preserve"> </w:t>
            </w:r>
            <w:r w:rsidRPr="00F470A1">
              <w:t>chest pains,</w:t>
            </w:r>
            <w:r>
              <w:t xml:space="preserve"> </w:t>
            </w:r>
            <w:r w:rsidRPr="00F470A1">
              <w:t>rigors, dizziness, arthralgia, aching legs</w:t>
            </w:r>
          </w:p>
        </w:tc>
        <w:tc>
          <w:tcPr>
            <w:tcW w:w="7563" w:type="dxa"/>
          </w:tcPr>
          <w:p w14:paraId="3C2F7F1E" w14:textId="1843A5BE" w:rsidR="00344CCD" w:rsidRDefault="00344CCD" w:rsidP="00344CCD">
            <w:pPr>
              <w:pStyle w:val="Tablebullet2"/>
              <w:numPr>
                <w:ilvl w:val="0"/>
                <w:numId w:val="0"/>
              </w:numPr>
            </w:pPr>
            <w:r>
              <w:t>E</w:t>
            </w:r>
            <w:r w:rsidRPr="00705C97">
              <w:t>nsure</w:t>
            </w:r>
            <w:r>
              <w:t>:</w:t>
            </w:r>
          </w:p>
          <w:p w14:paraId="052C7AEB" w14:textId="781472BB" w:rsidR="00344CCD" w:rsidRPr="00C3152D" w:rsidRDefault="00344CCD" w:rsidP="00B640B1">
            <w:pPr>
              <w:pStyle w:val="Tablebullet1"/>
            </w:pPr>
            <w:r>
              <w:t>P</w:t>
            </w:r>
            <w:r w:rsidRPr="00C3152D">
              <w:t>atient/carer knows what to look for and how to obtain assistance in the event of a delayed reaction that occurs at home/in the community</w:t>
            </w:r>
            <w:r>
              <w:t xml:space="preserve">, e.g. 000 for emergencies / Ambulance Victoria </w:t>
            </w:r>
          </w:p>
          <w:p w14:paraId="21737940" w14:textId="77777777" w:rsidR="00344CCD" w:rsidRDefault="00344CCD" w:rsidP="00344CCD">
            <w:pPr>
              <w:pStyle w:val="Tablebullet1"/>
            </w:pPr>
            <w:r>
              <w:t>Notify treating team</w:t>
            </w:r>
          </w:p>
          <w:p w14:paraId="027452D7" w14:textId="60702D9F" w:rsidR="00344CCD" w:rsidRDefault="00344CCD" w:rsidP="00344CCD">
            <w:pPr>
              <w:pStyle w:val="Tablebullet1"/>
            </w:pPr>
            <w:r>
              <w:t>Other resources to consider for further advice:</w:t>
            </w:r>
          </w:p>
          <w:p w14:paraId="198346AE" w14:textId="38D43EB9" w:rsidR="00AF4289" w:rsidRDefault="00344CCD" w:rsidP="00F16711">
            <w:pPr>
              <w:pStyle w:val="Tablebullet2"/>
            </w:pPr>
            <w:r>
              <w:t>Consultant haematologist</w:t>
            </w:r>
          </w:p>
        </w:tc>
      </w:tr>
    </w:tbl>
    <w:p w14:paraId="00A44D50" w14:textId="77777777" w:rsidR="00C92A07" w:rsidRDefault="00C92A07" w:rsidP="00613124">
      <w:pPr>
        <w:pStyle w:val="Body"/>
      </w:pPr>
    </w:p>
    <w:p w14:paraId="4E667016" w14:textId="1C479177" w:rsidR="00613124" w:rsidRDefault="00613124" w:rsidP="00613124">
      <w:pPr>
        <w:pStyle w:val="Body"/>
      </w:pPr>
      <w:r w:rsidRPr="00AF7DF2">
        <w:t xml:space="preserve">After infusion of immunoglobulin, the </w:t>
      </w:r>
      <w:r>
        <w:t xml:space="preserve">temporary </w:t>
      </w:r>
      <w:r w:rsidRPr="00AF7DF2">
        <w:t>rise of passively transferred antibodies in the patient’s blood may result in misleading positive results in serological testing.</w:t>
      </w:r>
      <w:r w:rsidR="008576E0">
        <w:t xml:space="preserve"> </w:t>
      </w:r>
      <w:r w:rsidRPr="00AF7DF2">
        <w:t xml:space="preserve">This includes passive transmission of antibodies to red blood cell antigens e.g. </w:t>
      </w:r>
      <w:r>
        <w:t>anti-</w:t>
      </w:r>
      <w:r w:rsidRPr="00AF7DF2">
        <w:t xml:space="preserve">A, </w:t>
      </w:r>
      <w:r>
        <w:t>anti-</w:t>
      </w:r>
      <w:r w:rsidRPr="00AF7DF2">
        <w:t xml:space="preserve">B, </w:t>
      </w:r>
      <w:r>
        <w:t>anti-</w:t>
      </w:r>
      <w:r w:rsidRPr="00AF7DF2">
        <w:t>D</w:t>
      </w:r>
      <w:r>
        <w:t>, and this</w:t>
      </w:r>
      <w:r w:rsidRPr="00AF7DF2">
        <w:t xml:space="preserve"> may interfere with serological tests for red </w:t>
      </w:r>
      <w:r>
        <w:t xml:space="preserve">blood </w:t>
      </w:r>
      <w:r w:rsidRPr="00AF7DF2">
        <w:t>cell antibodies</w:t>
      </w:r>
      <w:r>
        <w:t>.</w:t>
      </w:r>
    </w:p>
    <w:p w14:paraId="7858E681" w14:textId="3EED5474" w:rsidR="00F16711" w:rsidRDefault="00685CAA" w:rsidP="00613124">
      <w:pPr>
        <w:pStyle w:val="Body"/>
      </w:pPr>
      <w:r w:rsidRPr="00E96897">
        <w:t>F</w:t>
      </w:r>
      <w:r w:rsidR="00F16711" w:rsidRPr="00685CAA">
        <w:t xml:space="preserve">alse positive </w:t>
      </w:r>
      <w:r w:rsidRPr="00E96897">
        <w:t>viral serological finding</w:t>
      </w:r>
      <w:r w:rsidR="0081163F">
        <w:t>s</w:t>
      </w:r>
      <w:r w:rsidRPr="00E96897">
        <w:t xml:space="preserve"> have been reported following the passive transfer of antibodies in IVIg infusions</w:t>
      </w:r>
      <w:r w:rsidRPr="00685CAA">
        <w:t xml:space="preserve"> including hepatitis, CMV and HTLV.</w:t>
      </w:r>
    </w:p>
    <w:p w14:paraId="4AE6D7DB" w14:textId="77777777" w:rsidR="00613124" w:rsidRPr="00EF7EC9" w:rsidRDefault="00613124" w:rsidP="00613124">
      <w:pPr>
        <w:pStyle w:val="Body"/>
        <w:rPr>
          <w:rFonts w:eastAsia="Times New Roman"/>
        </w:rPr>
      </w:pPr>
      <w:r w:rsidRPr="00EF7EC9">
        <w:rPr>
          <w:rFonts w:eastAsia="Times New Roman"/>
        </w:rPr>
        <w:t>IVIg therapy has been associated with an increase in serum creatinine level and/or acute renal failure.</w:t>
      </w:r>
    </w:p>
    <w:p w14:paraId="0AC20555" w14:textId="77777777" w:rsidR="00613124" w:rsidRDefault="00613124" w:rsidP="00EA1F79">
      <w:pPr>
        <w:pStyle w:val="Heading1"/>
      </w:pPr>
      <w:bookmarkStart w:id="35" w:name="_Toc130395744"/>
      <w:bookmarkStart w:id="36" w:name="_Toc216858037"/>
      <w:r>
        <w:t>References</w:t>
      </w:r>
      <w:bookmarkEnd w:id="35"/>
      <w:bookmarkEnd w:id="36"/>
    </w:p>
    <w:p w14:paraId="505351FD" w14:textId="77777777" w:rsidR="00613124" w:rsidRPr="00705C97" w:rsidRDefault="00613124" w:rsidP="00613124">
      <w:pPr>
        <w:rPr>
          <w:rFonts w:cs="Arial"/>
        </w:rPr>
      </w:pPr>
      <w:r w:rsidRPr="00705C97">
        <w:rPr>
          <w:rFonts w:cs="Arial"/>
        </w:rPr>
        <w:t>Flebogamma® 5% DIF, product information. Grifols Australia Pty Ltd. 201</w:t>
      </w:r>
      <w:r>
        <w:rPr>
          <w:rFonts w:cs="Arial"/>
        </w:rPr>
        <w:t>8</w:t>
      </w:r>
    </w:p>
    <w:p w14:paraId="277D3506" w14:textId="77777777" w:rsidR="00613124" w:rsidRPr="00705C97" w:rsidRDefault="00613124" w:rsidP="00613124">
      <w:pPr>
        <w:rPr>
          <w:rFonts w:cs="Arial"/>
        </w:rPr>
      </w:pPr>
      <w:r w:rsidRPr="00705C97">
        <w:rPr>
          <w:rFonts w:cs="Arial"/>
        </w:rPr>
        <w:t>Flebogamma® 10% DIF, product information. Grifols Australia Pty Ltd. 201</w:t>
      </w:r>
      <w:r>
        <w:rPr>
          <w:rFonts w:cs="Arial"/>
        </w:rPr>
        <w:t>8</w:t>
      </w:r>
    </w:p>
    <w:p w14:paraId="0967E00E" w14:textId="77777777" w:rsidR="00613124" w:rsidRPr="00705C97" w:rsidRDefault="00613124" w:rsidP="00613124">
      <w:pPr>
        <w:rPr>
          <w:rFonts w:cs="Arial"/>
        </w:rPr>
      </w:pPr>
      <w:r>
        <w:rPr>
          <w:rFonts w:cs="Arial"/>
        </w:rPr>
        <w:t>Privigen®AU</w:t>
      </w:r>
      <w:r w:rsidRPr="00705C97">
        <w:rPr>
          <w:rFonts w:cs="Arial"/>
        </w:rPr>
        <w:t>, product information. CSL Behring (Australia) Pty Ltd</w:t>
      </w:r>
      <w:r w:rsidRPr="00CB5AF9">
        <w:rPr>
          <w:rFonts w:cs="Arial"/>
        </w:rPr>
        <w:t>. 2023</w:t>
      </w:r>
    </w:p>
    <w:p w14:paraId="710B2764" w14:textId="77777777" w:rsidR="00613124" w:rsidRPr="00705C97" w:rsidRDefault="00613124" w:rsidP="00613124">
      <w:pPr>
        <w:rPr>
          <w:rFonts w:cs="Arial"/>
        </w:rPr>
      </w:pPr>
      <w:r w:rsidRPr="00705C97">
        <w:rPr>
          <w:rFonts w:cs="Arial"/>
        </w:rPr>
        <w:t xml:space="preserve">Privigen®, </w:t>
      </w:r>
      <w:r>
        <w:rPr>
          <w:rFonts w:cs="Arial"/>
        </w:rPr>
        <w:t>p</w:t>
      </w:r>
      <w:r w:rsidRPr="00705C97">
        <w:rPr>
          <w:rFonts w:cs="Arial"/>
        </w:rPr>
        <w:t>roduct information. CSL Behring (Australia) Pty Ltd. 20</w:t>
      </w:r>
      <w:r>
        <w:rPr>
          <w:rFonts w:cs="Arial"/>
        </w:rPr>
        <w:t>21</w:t>
      </w:r>
    </w:p>
    <w:p w14:paraId="53F30AE8" w14:textId="77777777" w:rsidR="00613124" w:rsidRPr="00705C97" w:rsidRDefault="00613124" w:rsidP="00613124">
      <w:pPr>
        <w:rPr>
          <w:rFonts w:cs="Arial"/>
        </w:rPr>
      </w:pPr>
      <w:r w:rsidRPr="00705C97">
        <w:rPr>
          <w:rFonts w:cs="Arial"/>
        </w:rPr>
        <w:t>Gamunex® 10%, product information. Grifols Australia Pty Ltd. 20</w:t>
      </w:r>
      <w:r>
        <w:rPr>
          <w:rFonts w:cs="Arial"/>
        </w:rPr>
        <w:t>22</w:t>
      </w:r>
    </w:p>
    <w:p w14:paraId="2DF64F8F" w14:textId="77777777" w:rsidR="00613124" w:rsidRDefault="00613124" w:rsidP="00613124">
      <w:pPr>
        <w:rPr>
          <w:rFonts w:cs="Arial"/>
        </w:rPr>
      </w:pPr>
      <w:r w:rsidRPr="00705C97">
        <w:rPr>
          <w:rFonts w:cs="Arial"/>
        </w:rPr>
        <w:t>Octagam®</w:t>
      </w:r>
      <w:r>
        <w:rPr>
          <w:rFonts w:cs="Arial"/>
        </w:rPr>
        <w:t>10%</w:t>
      </w:r>
      <w:r w:rsidRPr="00705C97">
        <w:rPr>
          <w:rFonts w:cs="Arial"/>
        </w:rPr>
        <w:t>, product information. Octapharma Australia Pty Ltd. 20</w:t>
      </w:r>
      <w:r>
        <w:rPr>
          <w:rFonts w:cs="Arial"/>
        </w:rPr>
        <w:t>22</w:t>
      </w:r>
    </w:p>
    <w:p w14:paraId="5D56DC4A" w14:textId="77777777" w:rsidR="00613124" w:rsidRPr="00705C97" w:rsidRDefault="00613124" w:rsidP="00613124">
      <w:pPr>
        <w:rPr>
          <w:rFonts w:cs="Arial"/>
        </w:rPr>
      </w:pPr>
      <w:r>
        <w:rPr>
          <w:rFonts w:cs="Arial"/>
        </w:rPr>
        <w:t xml:space="preserve">Kiovig®, product information, Takeda </w:t>
      </w:r>
      <w:r w:rsidRPr="000F21C6">
        <w:rPr>
          <w:rFonts w:cs="Arial"/>
        </w:rPr>
        <w:t>Pharmaceuticals Australia Pty Ltd</w:t>
      </w:r>
      <w:r>
        <w:rPr>
          <w:rFonts w:cs="Arial"/>
        </w:rPr>
        <w:t>, 2022</w:t>
      </w:r>
    </w:p>
    <w:p w14:paraId="684DFDB0" w14:textId="77777777" w:rsidR="00613124" w:rsidRDefault="00613124" w:rsidP="00EA1F79">
      <w:pPr>
        <w:pStyle w:val="Heading1"/>
      </w:pPr>
      <w:bookmarkStart w:id="37" w:name="_Toc130395745"/>
      <w:bookmarkStart w:id="38" w:name="_Toc216858038"/>
      <w:r>
        <w:lastRenderedPageBreak/>
        <w:t>Acknowledgements</w:t>
      </w:r>
      <w:bookmarkEnd w:id="37"/>
      <w:bookmarkEnd w:id="38"/>
    </w:p>
    <w:p w14:paraId="130A3DFB" w14:textId="77777777" w:rsidR="00613124" w:rsidRPr="00705C97" w:rsidRDefault="00613124" w:rsidP="00613124">
      <w:pPr>
        <w:rPr>
          <w:rFonts w:cs="Arial"/>
        </w:rPr>
      </w:pPr>
      <w:r w:rsidRPr="00705C97">
        <w:rPr>
          <w:rFonts w:cs="Arial"/>
          <w:iCs/>
          <w:lang w:val="en-US"/>
        </w:rPr>
        <w:t xml:space="preserve">Blood Matters would like to acknowledge </w:t>
      </w:r>
      <w:r w:rsidRPr="00705C97">
        <w:rPr>
          <w:rFonts w:cs="Arial"/>
        </w:rPr>
        <w:t>the Victorian Transfusion Nurse Team of the Australian Red Cross Lifeblood for their contributions to this document.</w:t>
      </w:r>
    </w:p>
    <w:p w14:paraId="0AF86F06" w14:textId="77777777" w:rsidR="00613124" w:rsidRDefault="00613124" w:rsidP="00EA1F79">
      <w:pPr>
        <w:pStyle w:val="Heading1"/>
      </w:pPr>
      <w:bookmarkStart w:id="39" w:name="_Toc130395746"/>
      <w:bookmarkStart w:id="40" w:name="_Toc216858039"/>
      <w:r>
        <w:t>Further information</w:t>
      </w:r>
      <w:bookmarkEnd w:id="39"/>
      <w:bookmarkEnd w:id="40"/>
    </w:p>
    <w:p w14:paraId="77C7EC6D" w14:textId="77777777" w:rsidR="00613124" w:rsidRPr="00705C97" w:rsidRDefault="00613124" w:rsidP="00613124">
      <w:pPr>
        <w:rPr>
          <w:rFonts w:cs="Arial"/>
        </w:rPr>
      </w:pPr>
      <w:r w:rsidRPr="00705C97">
        <w:rPr>
          <w:rFonts w:cs="Arial"/>
        </w:rPr>
        <w:t>Further information can be found on the</w:t>
      </w:r>
      <w:r>
        <w:rPr>
          <w:rFonts w:cs="Arial"/>
        </w:rPr>
        <w:t xml:space="preserve"> following</w:t>
      </w:r>
      <w:r w:rsidRPr="00BE271D">
        <w:rPr>
          <w:rFonts w:ascii="Nunito Sans" w:hAnsi="Nunito Sans"/>
          <w:color w:val="1F3844"/>
          <w:shd w:val="clear" w:color="auto" w:fill="FFFFFF"/>
        </w:rPr>
        <w:t xml:space="preserve"> </w:t>
      </w:r>
      <w:r w:rsidRPr="00705C97">
        <w:rPr>
          <w:rFonts w:cs="Arial"/>
        </w:rPr>
        <w:t>websites:</w:t>
      </w:r>
    </w:p>
    <w:p w14:paraId="4BC61B17" w14:textId="77777777" w:rsidR="00613124" w:rsidRPr="00705C97" w:rsidRDefault="00613124" w:rsidP="00613124">
      <w:pPr>
        <w:pStyle w:val="Body"/>
        <w:rPr>
          <w:rFonts w:cs="Arial"/>
        </w:rPr>
      </w:pPr>
      <w:r w:rsidRPr="00705C97">
        <w:rPr>
          <w:rFonts w:cs="Arial"/>
        </w:rPr>
        <w:t>National Blood Authority</w:t>
      </w:r>
      <w:r>
        <w:rPr>
          <w:rFonts w:cs="Arial"/>
        </w:rPr>
        <w:t xml:space="preserve"> -</w:t>
      </w:r>
      <w:r>
        <w:t xml:space="preserve"> </w:t>
      </w:r>
      <w:hyperlink r:id="rId19" w:history="1">
        <w:r w:rsidRPr="00705C97">
          <w:rPr>
            <w:rStyle w:val="Hyperlink"/>
            <w:rFonts w:cs="Arial"/>
          </w:rPr>
          <w:t>http://www.blood.gov.au/Ig-governance</w:t>
        </w:r>
      </w:hyperlink>
    </w:p>
    <w:p w14:paraId="0A0A2730" w14:textId="77777777" w:rsidR="00613124" w:rsidRDefault="00613124" w:rsidP="00613124">
      <w:pPr>
        <w:pStyle w:val="Body"/>
      </w:pPr>
      <w:r w:rsidRPr="00705C97">
        <w:rPr>
          <w:rFonts w:cs="Arial"/>
        </w:rPr>
        <w:t>Australian Red Cross L</w:t>
      </w:r>
      <w:r>
        <w:rPr>
          <w:rFonts w:cs="Arial"/>
        </w:rPr>
        <w:t>i</w:t>
      </w:r>
      <w:r w:rsidRPr="00705C97">
        <w:rPr>
          <w:rFonts w:cs="Arial"/>
        </w:rPr>
        <w:t xml:space="preserve">feblood </w:t>
      </w:r>
      <w:r>
        <w:rPr>
          <w:rFonts w:cs="Arial"/>
        </w:rPr>
        <w:t xml:space="preserve">- </w:t>
      </w:r>
      <w:hyperlink r:id="rId20" w:history="1">
        <w:r w:rsidRPr="00F16AFD">
          <w:rPr>
            <w:rStyle w:val="Hyperlink"/>
          </w:rPr>
          <w:t>https://www.lifeblood.com.au/health-professionals/products/fractionated-plasma-products/immunoglobulins</w:t>
        </w:r>
      </w:hyperlink>
    </w:p>
    <w:p w14:paraId="428E0A25" w14:textId="77777777" w:rsidR="00613124" w:rsidRDefault="00613124" w:rsidP="00613124">
      <w:pPr>
        <w:pStyle w:val="Body"/>
        <w:rPr>
          <w:rStyle w:val="Hyperlink"/>
          <w:rFonts w:cs="Arial"/>
        </w:rPr>
      </w:pPr>
      <w:r w:rsidRPr="00BE271D">
        <w:rPr>
          <w:rFonts w:cs="Arial"/>
        </w:rPr>
        <w:t>Australasian Society of Clinical Immunology and Allergy (ASCIA)</w:t>
      </w:r>
      <w:r>
        <w:rPr>
          <w:rFonts w:cs="Arial"/>
        </w:rPr>
        <w:t xml:space="preserve"> - </w:t>
      </w:r>
      <w:hyperlink r:id="rId21" w:history="1">
        <w:r w:rsidRPr="00524029">
          <w:rPr>
            <w:rStyle w:val="Hyperlink"/>
            <w:rFonts w:cs="Arial"/>
          </w:rPr>
          <w:t>ASCIA Guidelines for standardised IVIg infusion rates for IRT - Australasian Society of Clinical Immunology and Allergy (ASCIA)</w:t>
        </w:r>
      </w:hyperlink>
    </w:p>
    <w:p w14:paraId="5E27FFA3" w14:textId="77777777" w:rsidR="00613124" w:rsidRDefault="00613124" w:rsidP="00613124">
      <w:pPr>
        <w:pStyle w:val="Body"/>
        <w:rPr>
          <w:rStyle w:val="Hyperlink"/>
          <w:rFonts w:cs="Arial"/>
        </w:rPr>
      </w:pPr>
      <w:r>
        <w:rPr>
          <w:rStyle w:val="Hyperlink"/>
          <w:rFonts w:cs="Arial"/>
        </w:rPr>
        <w:t>BloodSafe eLearning IVIg courses</w:t>
      </w:r>
    </w:p>
    <w:p w14:paraId="7DBB7409" w14:textId="77777777" w:rsidR="00EA1F79" w:rsidRDefault="00EA1F79" w:rsidP="00613124">
      <w:pPr>
        <w:pStyle w:val="Body"/>
        <w:rPr>
          <w:rFonts w:cs="Arial"/>
          <w:b/>
          <w:color w:val="000000"/>
        </w:rPr>
      </w:pPr>
    </w:p>
    <w:tbl>
      <w:tblPr>
        <w:tblStyle w:val="TableGrid"/>
        <w:tblW w:w="15163" w:type="dxa"/>
        <w:tblCellMar>
          <w:bottom w:w="108" w:type="dxa"/>
        </w:tblCellMar>
        <w:tblLook w:val="0600" w:firstRow="0" w:lastRow="0" w:firstColumn="0" w:lastColumn="0" w:noHBand="1" w:noVBand="1"/>
      </w:tblPr>
      <w:tblGrid>
        <w:gridCol w:w="15163"/>
      </w:tblGrid>
      <w:tr w:rsidR="0055119B" w14:paraId="6B845827" w14:textId="77777777" w:rsidTr="00502603">
        <w:tc>
          <w:tcPr>
            <w:tcW w:w="15163" w:type="dxa"/>
          </w:tcPr>
          <w:bookmarkEnd w:id="3"/>
          <w:bookmarkEnd w:id="12"/>
          <w:p w14:paraId="6639D749" w14:textId="08D16CE1" w:rsidR="0055119B" w:rsidRPr="0055119B" w:rsidRDefault="0055119B" w:rsidP="0055119B">
            <w:pPr>
              <w:pStyle w:val="Accessibilitypara"/>
            </w:pPr>
            <w:r w:rsidRPr="0055119B">
              <w:t>To receive this document in another format</w:t>
            </w:r>
            <w:r>
              <w:t>,</w:t>
            </w:r>
            <w:r w:rsidRPr="0055119B">
              <w:t xml:space="preserve"> </w:t>
            </w:r>
            <w:hyperlink r:id="rId22" w:history="1">
              <w:r w:rsidRPr="00EA1F79">
                <w:rPr>
                  <w:rStyle w:val="Hyperlink"/>
                </w:rPr>
                <w:t xml:space="preserve">email </w:t>
              </w:r>
              <w:r w:rsidR="00EA1F79" w:rsidRPr="00EA1F79">
                <w:rPr>
                  <w:rStyle w:val="Hyperlink"/>
                </w:rPr>
                <w:t>Blood Matters</w:t>
              </w:r>
            </w:hyperlink>
            <w:r w:rsidRPr="0055119B">
              <w:rPr>
                <w:color w:val="004C97"/>
              </w:rPr>
              <w:t xml:space="preserve">, </w:t>
            </w:r>
            <w:r w:rsidRPr="0055119B">
              <w:t>&lt;</w:t>
            </w:r>
            <w:r w:rsidR="00EA1F79">
              <w:t>bloodmatters@redcrossblood.org.au</w:t>
            </w:r>
            <w:r w:rsidRPr="0055119B">
              <w:t>&gt;.</w:t>
            </w:r>
          </w:p>
          <w:p w14:paraId="5404ECDA" w14:textId="77777777" w:rsidR="00FD2A22" w:rsidRDefault="0055119B" w:rsidP="00C975CA">
            <w:pPr>
              <w:pStyle w:val="Imprint"/>
            </w:pPr>
            <w:r w:rsidRPr="0055119B">
              <w:t>Authorised and published by the Victorian Government, 1 Treasury Place, Melbourne.</w:t>
            </w:r>
          </w:p>
          <w:p w14:paraId="5BFF3F29" w14:textId="399F7615" w:rsidR="00FD2A22" w:rsidRDefault="0055119B" w:rsidP="00C975CA">
            <w:pPr>
              <w:pStyle w:val="Imprint"/>
            </w:pPr>
            <w:r w:rsidRPr="0055119B">
              <w:t xml:space="preserve">© State of Victoria, Australia, Department </w:t>
            </w:r>
            <w:r w:rsidRPr="001B058F">
              <w:t xml:space="preserve">of </w:t>
            </w:r>
            <w:r w:rsidR="0037447A">
              <w:t>Health</w:t>
            </w:r>
            <w:r w:rsidRPr="0055119B">
              <w:t xml:space="preserve">, </w:t>
            </w:r>
            <w:r w:rsidR="00EA1F79">
              <w:rPr>
                <w:color w:val="004C97"/>
              </w:rPr>
              <w:t>December 2025</w:t>
            </w:r>
            <w:r w:rsidRPr="0055119B">
              <w:t>.</w:t>
            </w:r>
            <w:bookmarkStart w:id="41" w:name="_Hlk62746129"/>
          </w:p>
          <w:p w14:paraId="7218EAAC" w14:textId="3581C41B" w:rsidR="00FD2A22" w:rsidRDefault="0055119B" w:rsidP="00EA1F79">
            <w:pPr>
              <w:pStyle w:val="Imprint"/>
              <w:rPr>
                <w:color w:val="004C97"/>
              </w:rPr>
            </w:pPr>
            <w:r w:rsidRPr="00E33237">
              <w:rPr>
                <w:color w:val="004C97"/>
              </w:rPr>
              <w:t>Except where otherwise indicated, the images in this document show models and illustrative settings only, and do not necessarily depict actual services, facilities or recipients of services</w:t>
            </w:r>
          </w:p>
          <w:p w14:paraId="46CDFDE5" w14:textId="3D889EE5" w:rsidR="00FD2A22" w:rsidRDefault="00B137B4" w:rsidP="00C975CA">
            <w:pPr>
              <w:pStyle w:val="Imprint"/>
            </w:pPr>
            <w:r w:rsidRPr="00B137B4">
              <w:rPr>
                <w:b/>
                <w:bCs/>
              </w:rPr>
              <w:t xml:space="preserve">ISBN </w:t>
            </w:r>
            <w:r w:rsidRPr="00B137B4">
              <w:t xml:space="preserve">978-1-76131-950-1 </w:t>
            </w:r>
            <w:r w:rsidRPr="00B137B4">
              <w:rPr>
                <w:b/>
                <w:bCs/>
              </w:rPr>
              <w:t>(pdf/online/MS word)</w:t>
            </w:r>
            <w:r w:rsidRPr="00B137B4">
              <w:t xml:space="preserve"> </w:t>
            </w:r>
            <w:r w:rsidR="0055119B" w:rsidRPr="0055119B">
              <w:t xml:space="preserve">Available at </w:t>
            </w:r>
            <w:hyperlink r:id="rId23" w:history="1">
              <w:r w:rsidR="00EA1F79" w:rsidRPr="00EA1F79">
                <w:rPr>
                  <w:rStyle w:val="Hyperlink"/>
                </w:rPr>
                <w:t>Blood Matters Program</w:t>
              </w:r>
            </w:hyperlink>
            <w:r w:rsidR="0055119B" w:rsidRPr="0055119B">
              <w:t xml:space="preserve"> &lt;</w:t>
            </w:r>
            <w:r w:rsidR="00EA1F79" w:rsidRPr="00EA1F79">
              <w:rPr>
                <w:color w:val="004C97"/>
              </w:rPr>
              <w:t>https://www.health.vic.gov.au/patient-care/blood-matters-program</w:t>
            </w:r>
            <w:r w:rsidR="0055119B" w:rsidRPr="0055119B">
              <w:t>&gt;</w:t>
            </w:r>
          </w:p>
          <w:bookmarkEnd w:id="41"/>
          <w:p w14:paraId="67921D8B" w14:textId="30495521" w:rsidR="0055119B" w:rsidRDefault="0055119B" w:rsidP="00C975CA">
            <w:pPr>
              <w:pStyle w:val="Imprint"/>
            </w:pPr>
          </w:p>
        </w:tc>
      </w:tr>
      <w:bookmarkEnd w:id="4"/>
    </w:tbl>
    <w:p w14:paraId="4F36B745" w14:textId="77777777" w:rsidR="00162CA9" w:rsidRDefault="00162CA9" w:rsidP="00EA1F79">
      <w:pPr>
        <w:pStyle w:val="Body"/>
      </w:pPr>
    </w:p>
    <w:sectPr w:rsidR="00162CA9" w:rsidSect="004A69A5">
      <w:footerReference w:type="default" r:id="rId24"/>
      <w:type w:val="continuous"/>
      <w:pgSz w:w="16838" w:h="11906" w:orient="landscape" w:code="9"/>
      <w:pgMar w:top="1418" w:right="851" w:bottom="1418" w:left="851"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1E103" w14:textId="77777777" w:rsidR="0053097E" w:rsidRDefault="0053097E">
      <w:r>
        <w:separator/>
      </w:r>
    </w:p>
    <w:p w14:paraId="3421F447" w14:textId="77777777" w:rsidR="0053097E" w:rsidRDefault="0053097E"/>
  </w:endnote>
  <w:endnote w:type="continuationSeparator" w:id="0">
    <w:p w14:paraId="76F78456" w14:textId="77777777" w:rsidR="0053097E" w:rsidRDefault="0053097E">
      <w:r>
        <w:continuationSeparator/>
      </w:r>
    </w:p>
    <w:p w14:paraId="109CD2A7" w14:textId="77777777" w:rsidR="0053097E" w:rsidRDefault="005309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Nunito Sans">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B98CA" w14:textId="77777777" w:rsidR="00E261B3" w:rsidRPr="00F65AA9" w:rsidRDefault="00B56068" w:rsidP="00EF2C72">
    <w:pPr>
      <w:pStyle w:val="Footer"/>
    </w:pPr>
    <w:r>
      <w:rPr>
        <w:noProof/>
        <w:lang w:eastAsia="en-AU"/>
      </w:rPr>
      <w:drawing>
        <wp:anchor distT="0" distB="0" distL="114300" distR="114300" simplePos="0" relativeHeight="251680256" behindDoc="1" locked="1" layoutInCell="1" allowOverlap="1" wp14:anchorId="6CDD7D1E" wp14:editId="0815D85F">
          <wp:simplePos x="0" y="0"/>
          <wp:positionH relativeFrom="page">
            <wp:posOffset>0</wp:posOffset>
          </wp:positionH>
          <wp:positionV relativeFrom="page">
            <wp:posOffset>6353810</wp:posOffset>
          </wp:positionV>
          <wp:extent cx="10687685" cy="120523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bwMode="auto">
                  <a:xfrm>
                    <a:off x="0" y="0"/>
                    <a:ext cx="10687685" cy="12052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25DD5">
      <w:rPr>
        <w:noProof/>
        <w:lang w:eastAsia="en-AU"/>
      </w:rPr>
      <mc:AlternateContent>
        <mc:Choice Requires="wps">
          <w:drawing>
            <wp:anchor distT="0" distB="0" distL="114300" distR="114300" simplePos="0" relativeHeight="251676160" behindDoc="0" locked="0" layoutInCell="0" allowOverlap="1" wp14:anchorId="491A5A5A" wp14:editId="1308FE1F">
              <wp:simplePos x="0" y="0"/>
              <wp:positionH relativeFrom="page">
                <wp:posOffset>0</wp:posOffset>
              </wp:positionH>
              <wp:positionV relativeFrom="page">
                <wp:posOffset>7057390</wp:posOffset>
              </wp:positionV>
              <wp:extent cx="10692130" cy="311785"/>
              <wp:effectExtent l="0" t="0" r="0" b="12065"/>
              <wp:wrapNone/>
              <wp:docPr id="7" name="MSIPCM8ea24d44a1de5e7b7b649357"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4D4356"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91A5A5A" id="_x0000_t202" coordsize="21600,21600" o:spt="202" path="m,l,21600r21600,l21600,xe">
              <v:stroke joinstyle="miter"/>
              <v:path gradientshapeok="t" o:connecttype="rect"/>
            </v:shapetype>
            <v:shape id="MSIPCM8ea24d44a1de5e7b7b649357" o:spid="_x0000_s1026" type="#_x0000_t202" alt="{&quot;HashCode&quot;:904758361,&quot;Height&quot;:595.0,&quot;Width&quot;:841.0,&quot;Placement&quot;:&quot;Footer&quot;,&quot;Index&quot;:&quot;Primary&quot;,&quot;Section&quot;:1,&quot;Top&quot;:0.0,&quot;Left&quot;:0.0}" style="position:absolute;left:0;text-align:left;margin-left:0;margin-top:555.7pt;width:841.9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274D4356"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3DEA0" w14:textId="77777777" w:rsidR="00E261B3" w:rsidRDefault="00925DD5">
    <w:pPr>
      <w:pStyle w:val="Footer"/>
    </w:pPr>
    <w:r>
      <w:rPr>
        <w:noProof/>
      </w:rPr>
      <mc:AlternateContent>
        <mc:Choice Requires="wps">
          <w:drawing>
            <wp:anchor distT="0" distB="0" distL="114300" distR="114300" simplePos="0" relativeHeight="251677184" behindDoc="0" locked="0" layoutInCell="0" allowOverlap="1" wp14:anchorId="5B09B36B" wp14:editId="1E34E6A4">
              <wp:simplePos x="0" y="0"/>
              <wp:positionH relativeFrom="page">
                <wp:posOffset>0</wp:posOffset>
              </wp:positionH>
              <wp:positionV relativeFrom="page">
                <wp:posOffset>7057866</wp:posOffset>
              </wp:positionV>
              <wp:extent cx="10692130" cy="311785"/>
              <wp:effectExtent l="0" t="0" r="0" b="12065"/>
              <wp:wrapNone/>
              <wp:docPr id="8" name="MSIPCM5a7b446289f68fdfbcc5827c" descr="{&quot;HashCode&quot;:904758361,&quot;Height&quot;:595.0,&quot;Width&quot;:841.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E3D17E"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B09B36B" id="_x0000_t202" coordsize="21600,21600" o:spt="202" path="m,l,21600r21600,l21600,xe">
              <v:stroke joinstyle="miter"/>
              <v:path gradientshapeok="t" o:connecttype="rect"/>
            </v:shapetype>
            <v:shape id="MSIPCM5a7b446289f68fdfbcc5827c" o:spid="_x0000_s1027" type="#_x0000_t202" alt="{&quot;HashCode&quot;:904758361,&quot;Height&quot;:595.0,&quot;Width&quot;:841.0,&quot;Placement&quot;:&quot;Footer&quot;,&quot;Index&quot;:&quot;FirstPage&quot;,&quot;Section&quot;:1,&quot;Top&quot;:0.0,&quot;Left&quot;:0.0}" style="position:absolute;left:0;text-align:left;margin-left:0;margin-top:555.75pt;width:841.9pt;height:24.55pt;z-index:2516771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" o:allowincell="f" filled="f" stroked="f" strokeweight=".5pt">
              <v:textbox inset=",0,,0">
                <w:txbxContent>
                  <w:p w14:paraId="23E3D17E"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8962D" w14:textId="77777777" w:rsidR="00C3696F" w:rsidRPr="00F65AA9" w:rsidRDefault="00C3696F" w:rsidP="00EF2C72">
    <w:pPr>
      <w:pStyle w:val="Footer"/>
    </w:pPr>
    <w:r>
      <w:rPr>
        <w:noProof/>
      </w:rPr>
      <mc:AlternateContent>
        <mc:Choice Requires="wps">
          <w:drawing>
            <wp:anchor distT="0" distB="0" distL="114300" distR="114300" simplePos="0" relativeHeight="251679232" behindDoc="0" locked="0" layoutInCell="0" allowOverlap="1" wp14:anchorId="6E80E217" wp14:editId="616E7541">
              <wp:simplePos x="0" y="0"/>
              <wp:positionH relativeFrom="page">
                <wp:posOffset>0</wp:posOffset>
              </wp:positionH>
              <wp:positionV relativeFrom="page">
                <wp:posOffset>7057390</wp:posOffset>
              </wp:positionV>
              <wp:extent cx="10692130" cy="311785"/>
              <wp:effectExtent l="0" t="0" r="0" b="12065"/>
              <wp:wrapNone/>
              <wp:docPr id="5" name="MSIPCMef4344f6806cbdb61841d0ce"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D6C30C" w14:textId="77777777" w:rsidR="00C3696F" w:rsidRPr="00C3696F" w:rsidRDefault="00C3696F" w:rsidP="00C3696F">
                          <w:pPr>
                            <w:spacing w:after="0"/>
                            <w:jc w:val="center"/>
                            <w:rPr>
                              <w:rFonts w:ascii="Arial Black" w:hAnsi="Arial Black"/>
                              <w:color w:val="000000"/>
                              <w:sz w:val="20"/>
                            </w:rPr>
                          </w:pPr>
                          <w:r w:rsidRPr="00C3696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E80E217" id="_x0000_t202" coordsize="21600,21600" o:spt="202" path="m,l,21600r21600,l21600,xe">
              <v:stroke joinstyle="miter"/>
              <v:path gradientshapeok="t" o:connecttype="rect"/>
            </v:shapetype>
            <v:shape id="MSIPCMef4344f6806cbdb61841d0ce" o:spid="_x0000_s1028" type="#_x0000_t202" alt="{&quot;HashCode&quot;:904758361,&quot;Height&quot;:595.0,&quot;Width&quot;:841.0,&quot;Placement&quot;:&quot;Footer&quot;,&quot;Index&quot;:&quot;Primary&quot;,&quot;Section&quot;:3,&quot;Top&quot;:0.0,&quot;Left&quot;:0.0}" style="position:absolute;left:0;text-align:left;margin-left:0;margin-top:555.7pt;width:841.9pt;height:24.55pt;z-index:2516792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" o:allowincell="f" filled="f" stroked="f" strokeweight=".5pt">
              <v:textbox inset=",0,,0">
                <w:txbxContent>
                  <w:p w14:paraId="73D6C30C" w14:textId="77777777" w:rsidR="00C3696F" w:rsidRPr="00C3696F" w:rsidRDefault="00C3696F" w:rsidP="00C3696F">
                    <w:pPr>
                      <w:spacing w:after="0"/>
                      <w:jc w:val="center"/>
                      <w:rPr>
                        <w:rFonts w:ascii="Arial Black" w:hAnsi="Arial Black"/>
                        <w:color w:val="000000"/>
                        <w:sz w:val="20"/>
                      </w:rPr>
                    </w:pPr>
                    <w:r w:rsidRPr="00C3696F">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0879E" w14:textId="77777777" w:rsidR="0053097E" w:rsidRDefault="0053097E" w:rsidP="00207717">
      <w:pPr>
        <w:spacing w:before="120"/>
      </w:pPr>
      <w:r>
        <w:separator/>
      </w:r>
    </w:p>
  </w:footnote>
  <w:footnote w:type="continuationSeparator" w:id="0">
    <w:p w14:paraId="5BA2DFC2" w14:textId="77777777" w:rsidR="0053097E" w:rsidRDefault="0053097E">
      <w:r>
        <w:continuationSeparator/>
      </w:r>
    </w:p>
    <w:p w14:paraId="126EFCA8" w14:textId="77777777" w:rsidR="0053097E" w:rsidRDefault="005309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518DE" w14:textId="77777777" w:rsidR="00FC1C3C" w:rsidRDefault="00FC1C3C" w:rsidP="00EF2C72">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60889" w14:textId="3D7A4FCD" w:rsidR="00E261B3" w:rsidRPr="0051568D" w:rsidRDefault="00955BFA" w:rsidP="0017674D">
    <w:pPr>
      <w:pStyle w:val="Header"/>
    </w:pPr>
    <w:r>
      <w:t>IVIg Clinical Practice Guidance Template</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93A8045C"/>
    <w:numStyleLink w:val="ZZNumbersloweralpha"/>
  </w:abstractNum>
  <w:abstractNum w:abstractNumId="13" w15:restartNumberingAfterBreak="0">
    <w:nsid w:val="094C5302"/>
    <w:multiLevelType w:val="hybridMultilevel"/>
    <w:tmpl w:val="95C2AA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A3832FF"/>
    <w:multiLevelType w:val="hybridMultilevel"/>
    <w:tmpl w:val="2C203952"/>
    <w:lvl w:ilvl="0" w:tplc="2886FF7C">
      <w:numFmt w:val="bullet"/>
      <w:lvlText w:val="-"/>
      <w:lvlJc w:val="left"/>
      <w:pPr>
        <w:ind w:left="644" w:hanging="360"/>
      </w:pPr>
      <w:rPr>
        <w:rFonts w:ascii="Calibri" w:eastAsiaTheme="minorHAnsi" w:hAnsi="Calibri" w:cs="Times New Roman"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5" w15:restartNumberingAfterBreak="0">
    <w:nsid w:val="0B8D43DB"/>
    <w:multiLevelType w:val="multilevel"/>
    <w:tmpl w:val="FD3204DC"/>
    <w:numStyleLink w:val="ZZNumbersdigit"/>
  </w:abstractNum>
  <w:abstractNum w:abstractNumId="16" w15:restartNumberingAfterBreak="0">
    <w:nsid w:val="0BAD2E30"/>
    <w:multiLevelType w:val="multilevel"/>
    <w:tmpl w:val="93A8045C"/>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0E423825"/>
    <w:multiLevelType w:val="hybridMultilevel"/>
    <w:tmpl w:val="39EEE0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8ED2D9E"/>
    <w:multiLevelType w:val="hybridMultilevel"/>
    <w:tmpl w:val="928ED7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E6C68D4"/>
    <w:multiLevelType w:val="multilevel"/>
    <w:tmpl w:val="FD3204D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EC54A41"/>
    <w:multiLevelType w:val="multilevel"/>
    <w:tmpl w:val="775A181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4584133D"/>
    <w:multiLevelType w:val="hybridMultilevel"/>
    <w:tmpl w:val="6BC6EE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41611C2"/>
    <w:multiLevelType w:val="multilevel"/>
    <w:tmpl w:val="69CC10D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54BA1E5A"/>
    <w:multiLevelType w:val="multilevel"/>
    <w:tmpl w:val="2A4A9E4C"/>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6309259F"/>
    <w:multiLevelType w:val="multilevel"/>
    <w:tmpl w:val="82B83F96"/>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568460627">
    <w:abstractNumId w:val="10"/>
  </w:num>
  <w:num w:numId="2" w16cid:durableId="736972912">
    <w:abstractNumId w:val="21"/>
  </w:num>
  <w:num w:numId="3" w16cid:durableId="15229370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876897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60064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903937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0341449">
    <w:abstractNumId w:val="26"/>
  </w:num>
  <w:num w:numId="8" w16cid:durableId="291059254">
    <w:abstractNumId w:val="19"/>
  </w:num>
  <w:num w:numId="9" w16cid:durableId="1379626550">
    <w:abstractNumId w:val="25"/>
  </w:num>
  <w:num w:numId="10" w16cid:durableId="19975385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5411687">
    <w:abstractNumId w:val="27"/>
  </w:num>
  <w:num w:numId="12" w16cid:durableId="173304087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54380844">
    <w:abstractNumId w:val="22"/>
  </w:num>
  <w:num w:numId="14" w16cid:durableId="3360776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290425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230598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426735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22863204">
    <w:abstractNumId w:val="29"/>
  </w:num>
  <w:num w:numId="19" w16cid:durableId="193504529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72159272">
    <w:abstractNumId w:val="16"/>
  </w:num>
  <w:num w:numId="21" w16cid:durableId="1219976834">
    <w:abstractNumId w:val="12"/>
  </w:num>
  <w:num w:numId="22" w16cid:durableId="11364137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18968951">
    <w:abstractNumId w:val="18"/>
  </w:num>
  <w:num w:numId="24" w16cid:durableId="412894823">
    <w:abstractNumId w:val="30"/>
  </w:num>
  <w:num w:numId="25" w16cid:durableId="300311845">
    <w:abstractNumId w:val="28"/>
  </w:num>
  <w:num w:numId="26" w16cid:durableId="1806777628">
    <w:abstractNumId w:val="24"/>
  </w:num>
  <w:num w:numId="27" w16cid:durableId="1532064371">
    <w:abstractNumId w:val="11"/>
  </w:num>
  <w:num w:numId="28" w16cid:durableId="2068993459">
    <w:abstractNumId w:val="31"/>
  </w:num>
  <w:num w:numId="29" w16cid:durableId="2100829332">
    <w:abstractNumId w:val="9"/>
  </w:num>
  <w:num w:numId="30" w16cid:durableId="2000184235">
    <w:abstractNumId w:val="7"/>
  </w:num>
  <w:num w:numId="31" w16cid:durableId="1296327255">
    <w:abstractNumId w:val="6"/>
  </w:num>
  <w:num w:numId="32" w16cid:durableId="331688157">
    <w:abstractNumId w:val="5"/>
  </w:num>
  <w:num w:numId="33" w16cid:durableId="814033185">
    <w:abstractNumId w:val="4"/>
  </w:num>
  <w:num w:numId="34" w16cid:durableId="763956692">
    <w:abstractNumId w:val="8"/>
  </w:num>
  <w:num w:numId="35" w16cid:durableId="821584045">
    <w:abstractNumId w:val="3"/>
  </w:num>
  <w:num w:numId="36" w16cid:durableId="1028607570">
    <w:abstractNumId w:val="2"/>
  </w:num>
  <w:num w:numId="37" w16cid:durableId="1391421483">
    <w:abstractNumId w:val="1"/>
  </w:num>
  <w:num w:numId="38" w16cid:durableId="1684473874">
    <w:abstractNumId w:val="0"/>
  </w:num>
  <w:num w:numId="39" w16cid:durableId="16247724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135927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83666122">
    <w:abstractNumId w:val="20"/>
  </w:num>
  <w:num w:numId="42" w16cid:durableId="256908629">
    <w:abstractNumId w:val="26"/>
  </w:num>
  <w:num w:numId="43" w16cid:durableId="580136839">
    <w:abstractNumId w:val="13"/>
  </w:num>
  <w:num w:numId="44" w16cid:durableId="603151057">
    <w:abstractNumId w:val="14"/>
  </w:num>
  <w:num w:numId="45" w16cid:durableId="574894414">
    <w:abstractNumId w:val="23"/>
  </w:num>
  <w:num w:numId="46" w16cid:durableId="897283203">
    <w:abstractNumId w:val="17"/>
  </w:num>
  <w:num w:numId="47" w16cid:durableId="1314291253">
    <w:abstractNumId w:val="26"/>
  </w:num>
  <w:num w:numId="48" w16cid:durableId="1230967293">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A02"/>
    <w:rsid w:val="00000719"/>
    <w:rsid w:val="00002D68"/>
    <w:rsid w:val="00003403"/>
    <w:rsid w:val="000038FD"/>
    <w:rsid w:val="00005347"/>
    <w:rsid w:val="00005CE5"/>
    <w:rsid w:val="000072B6"/>
    <w:rsid w:val="0001021B"/>
    <w:rsid w:val="00011D89"/>
    <w:rsid w:val="00012816"/>
    <w:rsid w:val="000152F2"/>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0D5F"/>
    <w:rsid w:val="00081FBF"/>
    <w:rsid w:val="0008508E"/>
    <w:rsid w:val="00086557"/>
    <w:rsid w:val="00087951"/>
    <w:rsid w:val="0009113B"/>
    <w:rsid w:val="00093402"/>
    <w:rsid w:val="00094DA3"/>
    <w:rsid w:val="00096CD1"/>
    <w:rsid w:val="000A012C"/>
    <w:rsid w:val="000A0EB9"/>
    <w:rsid w:val="000A186C"/>
    <w:rsid w:val="000A1EA4"/>
    <w:rsid w:val="000A2476"/>
    <w:rsid w:val="000A604C"/>
    <w:rsid w:val="000A641A"/>
    <w:rsid w:val="000B2117"/>
    <w:rsid w:val="000B3EDB"/>
    <w:rsid w:val="000B543D"/>
    <w:rsid w:val="000B55F9"/>
    <w:rsid w:val="000B5BF7"/>
    <w:rsid w:val="000B6BC8"/>
    <w:rsid w:val="000C0303"/>
    <w:rsid w:val="000C0EEA"/>
    <w:rsid w:val="000C42EA"/>
    <w:rsid w:val="000C4546"/>
    <w:rsid w:val="000C7CB4"/>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12B93"/>
    <w:rsid w:val="00120BD3"/>
    <w:rsid w:val="00122FEA"/>
    <w:rsid w:val="001232BD"/>
    <w:rsid w:val="00124A79"/>
    <w:rsid w:val="00124ED5"/>
    <w:rsid w:val="001276FA"/>
    <w:rsid w:val="0014343D"/>
    <w:rsid w:val="001447B3"/>
    <w:rsid w:val="00151B01"/>
    <w:rsid w:val="00152073"/>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E7AEA"/>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F5"/>
    <w:rsid w:val="00233724"/>
    <w:rsid w:val="002365B4"/>
    <w:rsid w:val="00237A24"/>
    <w:rsid w:val="00242378"/>
    <w:rsid w:val="002432E1"/>
    <w:rsid w:val="00245C7A"/>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213D"/>
    <w:rsid w:val="002862F1"/>
    <w:rsid w:val="0028630E"/>
    <w:rsid w:val="00291373"/>
    <w:rsid w:val="0029597D"/>
    <w:rsid w:val="002962C3"/>
    <w:rsid w:val="0029752B"/>
    <w:rsid w:val="002A0A9C"/>
    <w:rsid w:val="002A3EDC"/>
    <w:rsid w:val="002A483C"/>
    <w:rsid w:val="002B0C7C"/>
    <w:rsid w:val="002B1729"/>
    <w:rsid w:val="002B36C7"/>
    <w:rsid w:val="002B4DD4"/>
    <w:rsid w:val="002B5277"/>
    <w:rsid w:val="002B5375"/>
    <w:rsid w:val="002B77C1"/>
    <w:rsid w:val="002C0ED7"/>
    <w:rsid w:val="002C2728"/>
    <w:rsid w:val="002C3888"/>
    <w:rsid w:val="002D1E0D"/>
    <w:rsid w:val="002D2C91"/>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6F69"/>
    <w:rsid w:val="00307E14"/>
    <w:rsid w:val="00314054"/>
    <w:rsid w:val="00316F27"/>
    <w:rsid w:val="003214F1"/>
    <w:rsid w:val="00322E4B"/>
    <w:rsid w:val="003249D0"/>
    <w:rsid w:val="00327870"/>
    <w:rsid w:val="0033259D"/>
    <w:rsid w:val="003333D2"/>
    <w:rsid w:val="00337339"/>
    <w:rsid w:val="003406C6"/>
    <w:rsid w:val="003418CC"/>
    <w:rsid w:val="003427DF"/>
    <w:rsid w:val="00344CCD"/>
    <w:rsid w:val="003459BD"/>
    <w:rsid w:val="00350D38"/>
    <w:rsid w:val="00351B36"/>
    <w:rsid w:val="00357B4E"/>
    <w:rsid w:val="003716FD"/>
    <w:rsid w:val="0037204B"/>
    <w:rsid w:val="0037447A"/>
    <w:rsid w:val="003744CF"/>
    <w:rsid w:val="00374717"/>
    <w:rsid w:val="0037676C"/>
    <w:rsid w:val="00381043"/>
    <w:rsid w:val="003829E5"/>
    <w:rsid w:val="00386109"/>
    <w:rsid w:val="00386944"/>
    <w:rsid w:val="00394125"/>
    <w:rsid w:val="003956CC"/>
    <w:rsid w:val="00395C9A"/>
    <w:rsid w:val="003A04E1"/>
    <w:rsid w:val="003A0853"/>
    <w:rsid w:val="003A6B67"/>
    <w:rsid w:val="003B13B6"/>
    <w:rsid w:val="003B140F"/>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E375C"/>
    <w:rsid w:val="003E4086"/>
    <w:rsid w:val="003E5306"/>
    <w:rsid w:val="003E639E"/>
    <w:rsid w:val="003E71E5"/>
    <w:rsid w:val="003F0445"/>
    <w:rsid w:val="003F0CF0"/>
    <w:rsid w:val="003F14B1"/>
    <w:rsid w:val="003F2148"/>
    <w:rsid w:val="003F2B20"/>
    <w:rsid w:val="003F3289"/>
    <w:rsid w:val="003F3C62"/>
    <w:rsid w:val="003F5CB9"/>
    <w:rsid w:val="004013C7"/>
    <w:rsid w:val="00401FCF"/>
    <w:rsid w:val="00406285"/>
    <w:rsid w:val="004110A7"/>
    <w:rsid w:val="004148F9"/>
    <w:rsid w:val="0042084E"/>
    <w:rsid w:val="00421EEF"/>
    <w:rsid w:val="00424D65"/>
    <w:rsid w:val="00430393"/>
    <w:rsid w:val="00431806"/>
    <w:rsid w:val="00437AC5"/>
    <w:rsid w:val="00442C6C"/>
    <w:rsid w:val="00443CBE"/>
    <w:rsid w:val="00443E8A"/>
    <w:rsid w:val="004441BC"/>
    <w:rsid w:val="004468B4"/>
    <w:rsid w:val="0045230A"/>
    <w:rsid w:val="00454AD0"/>
    <w:rsid w:val="00457337"/>
    <w:rsid w:val="00462E3D"/>
    <w:rsid w:val="00466E79"/>
    <w:rsid w:val="00467AC2"/>
    <w:rsid w:val="00470D7D"/>
    <w:rsid w:val="0047372D"/>
    <w:rsid w:val="00473BA3"/>
    <w:rsid w:val="004743DD"/>
    <w:rsid w:val="00474CEA"/>
    <w:rsid w:val="00475A6D"/>
    <w:rsid w:val="004804C1"/>
    <w:rsid w:val="00483968"/>
    <w:rsid w:val="004841BE"/>
    <w:rsid w:val="00484419"/>
    <w:rsid w:val="00484F86"/>
    <w:rsid w:val="00490746"/>
    <w:rsid w:val="00490852"/>
    <w:rsid w:val="00491C9C"/>
    <w:rsid w:val="00492F30"/>
    <w:rsid w:val="004946F4"/>
    <w:rsid w:val="0049487E"/>
    <w:rsid w:val="004A0642"/>
    <w:rsid w:val="004A160D"/>
    <w:rsid w:val="004A3E81"/>
    <w:rsid w:val="004A4195"/>
    <w:rsid w:val="004A5C62"/>
    <w:rsid w:val="004A5CE5"/>
    <w:rsid w:val="004A69A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1B53"/>
    <w:rsid w:val="00502603"/>
    <w:rsid w:val="00503DC6"/>
    <w:rsid w:val="00506F5D"/>
    <w:rsid w:val="00510C37"/>
    <w:rsid w:val="005126D0"/>
    <w:rsid w:val="00514667"/>
    <w:rsid w:val="0051568D"/>
    <w:rsid w:val="00521E91"/>
    <w:rsid w:val="00526AC7"/>
    <w:rsid w:val="00526C15"/>
    <w:rsid w:val="0053097E"/>
    <w:rsid w:val="00536499"/>
    <w:rsid w:val="00537B9B"/>
    <w:rsid w:val="00542A03"/>
    <w:rsid w:val="00543903"/>
    <w:rsid w:val="00543F11"/>
    <w:rsid w:val="005456A9"/>
    <w:rsid w:val="00546305"/>
    <w:rsid w:val="00547A95"/>
    <w:rsid w:val="0055119B"/>
    <w:rsid w:val="00561202"/>
    <w:rsid w:val="00572031"/>
    <w:rsid w:val="00572282"/>
    <w:rsid w:val="00573CE3"/>
    <w:rsid w:val="00575449"/>
    <w:rsid w:val="00576E84"/>
    <w:rsid w:val="00580394"/>
    <w:rsid w:val="005809CD"/>
    <w:rsid w:val="00582B8C"/>
    <w:rsid w:val="0058303E"/>
    <w:rsid w:val="0058757E"/>
    <w:rsid w:val="00596A4B"/>
    <w:rsid w:val="00597507"/>
    <w:rsid w:val="005A090D"/>
    <w:rsid w:val="005A479D"/>
    <w:rsid w:val="005B1C6D"/>
    <w:rsid w:val="005B21B6"/>
    <w:rsid w:val="005B3A08"/>
    <w:rsid w:val="005B7A63"/>
    <w:rsid w:val="005C0955"/>
    <w:rsid w:val="005C240B"/>
    <w:rsid w:val="005C49DA"/>
    <w:rsid w:val="005C50F3"/>
    <w:rsid w:val="005C54B5"/>
    <w:rsid w:val="005C5D80"/>
    <w:rsid w:val="005C5D91"/>
    <w:rsid w:val="005D07B8"/>
    <w:rsid w:val="005D6597"/>
    <w:rsid w:val="005E14E7"/>
    <w:rsid w:val="005E26A3"/>
    <w:rsid w:val="005E2ECB"/>
    <w:rsid w:val="005E447E"/>
    <w:rsid w:val="005E4FD1"/>
    <w:rsid w:val="005E5113"/>
    <w:rsid w:val="005F0775"/>
    <w:rsid w:val="005F0CF5"/>
    <w:rsid w:val="005F21EB"/>
    <w:rsid w:val="005F64CF"/>
    <w:rsid w:val="006041AD"/>
    <w:rsid w:val="00605908"/>
    <w:rsid w:val="00607850"/>
    <w:rsid w:val="00610D7C"/>
    <w:rsid w:val="00613124"/>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87"/>
    <w:rsid w:val="006454E6"/>
    <w:rsid w:val="00646235"/>
    <w:rsid w:val="00646A68"/>
    <w:rsid w:val="00647B30"/>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85CAA"/>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48D4"/>
    <w:rsid w:val="006F6B8C"/>
    <w:rsid w:val="007013EF"/>
    <w:rsid w:val="007055BD"/>
    <w:rsid w:val="007173A4"/>
    <w:rsid w:val="007173CA"/>
    <w:rsid w:val="007216AA"/>
    <w:rsid w:val="00721714"/>
    <w:rsid w:val="00721AB5"/>
    <w:rsid w:val="00721CFB"/>
    <w:rsid w:val="00721DEF"/>
    <w:rsid w:val="007231E7"/>
    <w:rsid w:val="00724A43"/>
    <w:rsid w:val="00725F3F"/>
    <w:rsid w:val="007273AC"/>
    <w:rsid w:val="00731AD4"/>
    <w:rsid w:val="007346E4"/>
    <w:rsid w:val="00740F2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254C"/>
    <w:rsid w:val="007933F7"/>
    <w:rsid w:val="00796E20"/>
    <w:rsid w:val="00797C32"/>
    <w:rsid w:val="007A11E8"/>
    <w:rsid w:val="007B0914"/>
    <w:rsid w:val="007B1374"/>
    <w:rsid w:val="007B32E5"/>
    <w:rsid w:val="007B3DB9"/>
    <w:rsid w:val="007B589F"/>
    <w:rsid w:val="007B6186"/>
    <w:rsid w:val="007B73BC"/>
    <w:rsid w:val="007C04D4"/>
    <w:rsid w:val="007C1838"/>
    <w:rsid w:val="007C20B9"/>
    <w:rsid w:val="007C35A1"/>
    <w:rsid w:val="007C7301"/>
    <w:rsid w:val="007C7859"/>
    <w:rsid w:val="007C7F28"/>
    <w:rsid w:val="007D1466"/>
    <w:rsid w:val="007D2BDE"/>
    <w:rsid w:val="007D2FB6"/>
    <w:rsid w:val="007D49EB"/>
    <w:rsid w:val="007D5E1C"/>
    <w:rsid w:val="007E0DE2"/>
    <w:rsid w:val="007E3B98"/>
    <w:rsid w:val="007E4026"/>
    <w:rsid w:val="007E417A"/>
    <w:rsid w:val="007F31B6"/>
    <w:rsid w:val="007F4F5C"/>
    <w:rsid w:val="007F546C"/>
    <w:rsid w:val="007F625F"/>
    <w:rsid w:val="007F665E"/>
    <w:rsid w:val="00800412"/>
    <w:rsid w:val="0080125D"/>
    <w:rsid w:val="0080587B"/>
    <w:rsid w:val="00806468"/>
    <w:rsid w:val="0081163F"/>
    <w:rsid w:val="008119CA"/>
    <w:rsid w:val="008130C4"/>
    <w:rsid w:val="008155F0"/>
    <w:rsid w:val="00816735"/>
    <w:rsid w:val="00820141"/>
    <w:rsid w:val="00820E0C"/>
    <w:rsid w:val="00821FF2"/>
    <w:rsid w:val="00823275"/>
    <w:rsid w:val="0082366F"/>
    <w:rsid w:val="008338A2"/>
    <w:rsid w:val="00841AA9"/>
    <w:rsid w:val="008474FE"/>
    <w:rsid w:val="0085232E"/>
    <w:rsid w:val="00853EE4"/>
    <w:rsid w:val="00855535"/>
    <w:rsid w:val="008576E0"/>
    <w:rsid w:val="00857C5A"/>
    <w:rsid w:val="0086161A"/>
    <w:rsid w:val="0086255E"/>
    <w:rsid w:val="008633F0"/>
    <w:rsid w:val="00867D9D"/>
    <w:rsid w:val="008719EA"/>
    <w:rsid w:val="00872C54"/>
    <w:rsid w:val="00872E0A"/>
    <w:rsid w:val="00873594"/>
    <w:rsid w:val="00875285"/>
    <w:rsid w:val="00883390"/>
    <w:rsid w:val="00884B62"/>
    <w:rsid w:val="0088529C"/>
    <w:rsid w:val="00886FBC"/>
    <w:rsid w:val="00887903"/>
    <w:rsid w:val="0089270A"/>
    <w:rsid w:val="00893AF6"/>
    <w:rsid w:val="00894BC4"/>
    <w:rsid w:val="008A28A8"/>
    <w:rsid w:val="008A5B32"/>
    <w:rsid w:val="008B2029"/>
    <w:rsid w:val="008B2EE4"/>
    <w:rsid w:val="008B30DE"/>
    <w:rsid w:val="008B3821"/>
    <w:rsid w:val="008B4D3D"/>
    <w:rsid w:val="008B57C7"/>
    <w:rsid w:val="008C2F92"/>
    <w:rsid w:val="008C589D"/>
    <w:rsid w:val="008C6D51"/>
    <w:rsid w:val="008D226B"/>
    <w:rsid w:val="008D2846"/>
    <w:rsid w:val="008D4236"/>
    <w:rsid w:val="008D462F"/>
    <w:rsid w:val="008D5131"/>
    <w:rsid w:val="008D5C45"/>
    <w:rsid w:val="008D6DCF"/>
    <w:rsid w:val="008E4376"/>
    <w:rsid w:val="008E7A0A"/>
    <w:rsid w:val="008E7B49"/>
    <w:rsid w:val="008F59F6"/>
    <w:rsid w:val="00900719"/>
    <w:rsid w:val="009017AC"/>
    <w:rsid w:val="00901F22"/>
    <w:rsid w:val="00902A9A"/>
    <w:rsid w:val="00904A1C"/>
    <w:rsid w:val="00905030"/>
    <w:rsid w:val="00906490"/>
    <w:rsid w:val="00907E45"/>
    <w:rsid w:val="009111B2"/>
    <w:rsid w:val="009151F5"/>
    <w:rsid w:val="00924AE1"/>
    <w:rsid w:val="009257ED"/>
    <w:rsid w:val="00925DD5"/>
    <w:rsid w:val="0092699C"/>
    <w:rsid w:val="009269B1"/>
    <w:rsid w:val="0092724D"/>
    <w:rsid w:val="009272B3"/>
    <w:rsid w:val="00930024"/>
    <w:rsid w:val="009315BE"/>
    <w:rsid w:val="0093338F"/>
    <w:rsid w:val="00936937"/>
    <w:rsid w:val="00937BD9"/>
    <w:rsid w:val="00940499"/>
    <w:rsid w:val="009426B5"/>
    <w:rsid w:val="00950E2C"/>
    <w:rsid w:val="00951D50"/>
    <w:rsid w:val="009525EB"/>
    <w:rsid w:val="009528F1"/>
    <w:rsid w:val="0095470B"/>
    <w:rsid w:val="00954874"/>
    <w:rsid w:val="00955BFA"/>
    <w:rsid w:val="0095615A"/>
    <w:rsid w:val="00961400"/>
    <w:rsid w:val="00963646"/>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1CEF"/>
    <w:rsid w:val="0099232C"/>
    <w:rsid w:val="00994386"/>
    <w:rsid w:val="009A13D8"/>
    <w:rsid w:val="009A279E"/>
    <w:rsid w:val="009A3015"/>
    <w:rsid w:val="009A3490"/>
    <w:rsid w:val="009B0A6F"/>
    <w:rsid w:val="009B0A94"/>
    <w:rsid w:val="009B2AE8"/>
    <w:rsid w:val="009B5622"/>
    <w:rsid w:val="009B59E9"/>
    <w:rsid w:val="009B70AA"/>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57B1"/>
    <w:rsid w:val="00A22229"/>
    <w:rsid w:val="00A24442"/>
    <w:rsid w:val="00A32577"/>
    <w:rsid w:val="00A329A5"/>
    <w:rsid w:val="00A330BB"/>
    <w:rsid w:val="00A338E7"/>
    <w:rsid w:val="00A34ACD"/>
    <w:rsid w:val="00A44882"/>
    <w:rsid w:val="00A45125"/>
    <w:rsid w:val="00A54715"/>
    <w:rsid w:val="00A6061C"/>
    <w:rsid w:val="00A62D44"/>
    <w:rsid w:val="00A670BF"/>
    <w:rsid w:val="00A67263"/>
    <w:rsid w:val="00A7161C"/>
    <w:rsid w:val="00A77AA3"/>
    <w:rsid w:val="00A8236D"/>
    <w:rsid w:val="00A82D66"/>
    <w:rsid w:val="00A854EB"/>
    <w:rsid w:val="00A872E5"/>
    <w:rsid w:val="00A91406"/>
    <w:rsid w:val="00A96E65"/>
    <w:rsid w:val="00A96ECE"/>
    <w:rsid w:val="00A97C72"/>
    <w:rsid w:val="00AA310B"/>
    <w:rsid w:val="00AA6054"/>
    <w:rsid w:val="00AA63D4"/>
    <w:rsid w:val="00AB06E8"/>
    <w:rsid w:val="00AB1CD3"/>
    <w:rsid w:val="00AB352F"/>
    <w:rsid w:val="00AB7E11"/>
    <w:rsid w:val="00AC274B"/>
    <w:rsid w:val="00AC4764"/>
    <w:rsid w:val="00AC6D36"/>
    <w:rsid w:val="00AC7D8A"/>
    <w:rsid w:val="00AD0CBA"/>
    <w:rsid w:val="00AD26E2"/>
    <w:rsid w:val="00AD7373"/>
    <w:rsid w:val="00AD784C"/>
    <w:rsid w:val="00AE126A"/>
    <w:rsid w:val="00AE1BAE"/>
    <w:rsid w:val="00AE3005"/>
    <w:rsid w:val="00AE3BD5"/>
    <w:rsid w:val="00AE59A0"/>
    <w:rsid w:val="00AE7145"/>
    <w:rsid w:val="00AF0C57"/>
    <w:rsid w:val="00AF26F3"/>
    <w:rsid w:val="00AF4289"/>
    <w:rsid w:val="00AF5F04"/>
    <w:rsid w:val="00AF6A48"/>
    <w:rsid w:val="00B00672"/>
    <w:rsid w:val="00B01B4D"/>
    <w:rsid w:val="00B04489"/>
    <w:rsid w:val="00B06571"/>
    <w:rsid w:val="00B068BA"/>
    <w:rsid w:val="00B07217"/>
    <w:rsid w:val="00B137B4"/>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2A77"/>
    <w:rsid w:val="00B431E8"/>
    <w:rsid w:val="00B45141"/>
    <w:rsid w:val="00B519CD"/>
    <w:rsid w:val="00B5273A"/>
    <w:rsid w:val="00B54B69"/>
    <w:rsid w:val="00B56068"/>
    <w:rsid w:val="00B57329"/>
    <w:rsid w:val="00B60E61"/>
    <w:rsid w:val="00B62B50"/>
    <w:rsid w:val="00B635B7"/>
    <w:rsid w:val="00B63AE8"/>
    <w:rsid w:val="00B640B1"/>
    <w:rsid w:val="00B65950"/>
    <w:rsid w:val="00B66D83"/>
    <w:rsid w:val="00B67023"/>
    <w:rsid w:val="00B672C0"/>
    <w:rsid w:val="00B676FD"/>
    <w:rsid w:val="00B678B6"/>
    <w:rsid w:val="00B74213"/>
    <w:rsid w:val="00B75646"/>
    <w:rsid w:val="00B7629E"/>
    <w:rsid w:val="00B813F8"/>
    <w:rsid w:val="00B90729"/>
    <w:rsid w:val="00B907DA"/>
    <w:rsid w:val="00B950BC"/>
    <w:rsid w:val="00B9714C"/>
    <w:rsid w:val="00BA29AD"/>
    <w:rsid w:val="00BA33CF"/>
    <w:rsid w:val="00BA39E7"/>
    <w:rsid w:val="00BA3F8D"/>
    <w:rsid w:val="00BB692A"/>
    <w:rsid w:val="00BB7A10"/>
    <w:rsid w:val="00BC60BE"/>
    <w:rsid w:val="00BC7468"/>
    <w:rsid w:val="00BC7D4F"/>
    <w:rsid w:val="00BC7ED7"/>
    <w:rsid w:val="00BD2850"/>
    <w:rsid w:val="00BE28D2"/>
    <w:rsid w:val="00BE4A64"/>
    <w:rsid w:val="00BE5E43"/>
    <w:rsid w:val="00BF336A"/>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16907"/>
    <w:rsid w:val="00C21F5E"/>
    <w:rsid w:val="00C231A0"/>
    <w:rsid w:val="00C26588"/>
    <w:rsid w:val="00C27DE9"/>
    <w:rsid w:val="00C32989"/>
    <w:rsid w:val="00C33388"/>
    <w:rsid w:val="00C35484"/>
    <w:rsid w:val="00C3696F"/>
    <w:rsid w:val="00C4173A"/>
    <w:rsid w:val="00C41AA3"/>
    <w:rsid w:val="00C50DED"/>
    <w:rsid w:val="00C52217"/>
    <w:rsid w:val="00C602FF"/>
    <w:rsid w:val="00C61174"/>
    <w:rsid w:val="00C6148F"/>
    <w:rsid w:val="00C621B1"/>
    <w:rsid w:val="00C62F7A"/>
    <w:rsid w:val="00C63B9C"/>
    <w:rsid w:val="00C65B64"/>
    <w:rsid w:val="00C6682F"/>
    <w:rsid w:val="00C67BF4"/>
    <w:rsid w:val="00C7275E"/>
    <w:rsid w:val="00C74C5D"/>
    <w:rsid w:val="00C752EF"/>
    <w:rsid w:val="00C83B2B"/>
    <w:rsid w:val="00C863C4"/>
    <w:rsid w:val="00C864D4"/>
    <w:rsid w:val="00C920EA"/>
    <w:rsid w:val="00C92A07"/>
    <w:rsid w:val="00C93C3E"/>
    <w:rsid w:val="00C975CA"/>
    <w:rsid w:val="00CA12E3"/>
    <w:rsid w:val="00CA1476"/>
    <w:rsid w:val="00CA3353"/>
    <w:rsid w:val="00CA6611"/>
    <w:rsid w:val="00CA6AE6"/>
    <w:rsid w:val="00CA782F"/>
    <w:rsid w:val="00CB187B"/>
    <w:rsid w:val="00CB2835"/>
    <w:rsid w:val="00CB3285"/>
    <w:rsid w:val="00CB4500"/>
    <w:rsid w:val="00CB65AB"/>
    <w:rsid w:val="00CC0C72"/>
    <w:rsid w:val="00CC2BFD"/>
    <w:rsid w:val="00CD3476"/>
    <w:rsid w:val="00CD64DF"/>
    <w:rsid w:val="00CD6E39"/>
    <w:rsid w:val="00CE12AF"/>
    <w:rsid w:val="00CE225F"/>
    <w:rsid w:val="00CF2F50"/>
    <w:rsid w:val="00CF4148"/>
    <w:rsid w:val="00CF6198"/>
    <w:rsid w:val="00D01989"/>
    <w:rsid w:val="00D02919"/>
    <w:rsid w:val="00D04C61"/>
    <w:rsid w:val="00D05B8D"/>
    <w:rsid w:val="00D05B9B"/>
    <w:rsid w:val="00D06310"/>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2D73"/>
    <w:rsid w:val="00D52E58"/>
    <w:rsid w:val="00D56B20"/>
    <w:rsid w:val="00D578B3"/>
    <w:rsid w:val="00D618F4"/>
    <w:rsid w:val="00D714CC"/>
    <w:rsid w:val="00D75EA7"/>
    <w:rsid w:val="00D81ADF"/>
    <w:rsid w:val="00D81F21"/>
    <w:rsid w:val="00D864F2"/>
    <w:rsid w:val="00D943F8"/>
    <w:rsid w:val="00D95470"/>
    <w:rsid w:val="00D96B55"/>
    <w:rsid w:val="00DA2619"/>
    <w:rsid w:val="00DA2E57"/>
    <w:rsid w:val="00DA4239"/>
    <w:rsid w:val="00DA5A02"/>
    <w:rsid w:val="00DA65DE"/>
    <w:rsid w:val="00DB0B61"/>
    <w:rsid w:val="00DB1474"/>
    <w:rsid w:val="00DB2962"/>
    <w:rsid w:val="00DB52FB"/>
    <w:rsid w:val="00DB55C3"/>
    <w:rsid w:val="00DB5F0D"/>
    <w:rsid w:val="00DB78C3"/>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D7A55"/>
    <w:rsid w:val="00DD7B1B"/>
    <w:rsid w:val="00DE092F"/>
    <w:rsid w:val="00DE2D04"/>
    <w:rsid w:val="00DE3250"/>
    <w:rsid w:val="00DE6028"/>
    <w:rsid w:val="00DE61E5"/>
    <w:rsid w:val="00DE6C85"/>
    <w:rsid w:val="00DE78A3"/>
    <w:rsid w:val="00DF1A71"/>
    <w:rsid w:val="00DF50FC"/>
    <w:rsid w:val="00DF68C7"/>
    <w:rsid w:val="00DF731A"/>
    <w:rsid w:val="00E05D9C"/>
    <w:rsid w:val="00E06B75"/>
    <w:rsid w:val="00E11332"/>
    <w:rsid w:val="00E11352"/>
    <w:rsid w:val="00E15C1C"/>
    <w:rsid w:val="00E170DC"/>
    <w:rsid w:val="00E17546"/>
    <w:rsid w:val="00E210B5"/>
    <w:rsid w:val="00E237C1"/>
    <w:rsid w:val="00E24CD4"/>
    <w:rsid w:val="00E261B3"/>
    <w:rsid w:val="00E26818"/>
    <w:rsid w:val="00E27FFC"/>
    <w:rsid w:val="00E30B15"/>
    <w:rsid w:val="00E32052"/>
    <w:rsid w:val="00E33237"/>
    <w:rsid w:val="00E40181"/>
    <w:rsid w:val="00E54950"/>
    <w:rsid w:val="00E55FB3"/>
    <w:rsid w:val="00E56A01"/>
    <w:rsid w:val="00E629A1"/>
    <w:rsid w:val="00E6794C"/>
    <w:rsid w:val="00E71591"/>
    <w:rsid w:val="00E71CEB"/>
    <w:rsid w:val="00E7474F"/>
    <w:rsid w:val="00E80DE3"/>
    <w:rsid w:val="00E82C55"/>
    <w:rsid w:val="00E8787E"/>
    <w:rsid w:val="00E87AB2"/>
    <w:rsid w:val="00E929CF"/>
    <w:rsid w:val="00E92AC3"/>
    <w:rsid w:val="00E95AD7"/>
    <w:rsid w:val="00E96897"/>
    <w:rsid w:val="00EA1F79"/>
    <w:rsid w:val="00EA2F6A"/>
    <w:rsid w:val="00EB00E0"/>
    <w:rsid w:val="00EB05D5"/>
    <w:rsid w:val="00EB1931"/>
    <w:rsid w:val="00EC059F"/>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711"/>
    <w:rsid w:val="00F16F1B"/>
    <w:rsid w:val="00F23515"/>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3C5D"/>
    <w:rsid w:val="00F64696"/>
    <w:rsid w:val="00F65AA9"/>
    <w:rsid w:val="00F6768F"/>
    <w:rsid w:val="00F72C2C"/>
    <w:rsid w:val="00F74192"/>
    <w:rsid w:val="00F741F2"/>
    <w:rsid w:val="00F76CAB"/>
    <w:rsid w:val="00F772C6"/>
    <w:rsid w:val="00F815B5"/>
    <w:rsid w:val="00F85195"/>
    <w:rsid w:val="00F868E3"/>
    <w:rsid w:val="00F938BA"/>
    <w:rsid w:val="00F97919"/>
    <w:rsid w:val="00FA2C46"/>
    <w:rsid w:val="00FA3525"/>
    <w:rsid w:val="00FA5A53"/>
    <w:rsid w:val="00FA7658"/>
    <w:rsid w:val="00FB3501"/>
    <w:rsid w:val="00FB4769"/>
    <w:rsid w:val="00FB4CDA"/>
    <w:rsid w:val="00FB6481"/>
    <w:rsid w:val="00FB6D36"/>
    <w:rsid w:val="00FC0965"/>
    <w:rsid w:val="00FC0F81"/>
    <w:rsid w:val="00FC1C3C"/>
    <w:rsid w:val="00FC252F"/>
    <w:rsid w:val="00FC3326"/>
    <w:rsid w:val="00FC395C"/>
    <w:rsid w:val="00FC5E8E"/>
    <w:rsid w:val="00FD2A22"/>
    <w:rsid w:val="00FD3766"/>
    <w:rsid w:val="00FD47C4"/>
    <w:rsid w:val="00FE2DCF"/>
    <w:rsid w:val="00FE3F3D"/>
    <w:rsid w:val="00FE3FA7"/>
    <w:rsid w:val="00FF2A4E"/>
    <w:rsid w:val="00FF2FCE"/>
    <w:rsid w:val="00FF4F7D"/>
    <w:rsid w:val="00FF52BA"/>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2C0A03"/>
  <w15:docId w15:val="{A39E4DF8-47E2-44A3-A6DB-3180BC677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D2A22"/>
    <w:pPr>
      <w:spacing w:after="120" w:line="280" w:lineRule="atLeast"/>
    </w:pPr>
    <w:rPr>
      <w:rFonts w:ascii="Arial" w:hAnsi="Arial"/>
      <w:sz w:val="21"/>
      <w:lang w:eastAsia="en-US"/>
    </w:rPr>
  </w:style>
  <w:style w:type="paragraph" w:styleId="Heading1">
    <w:name w:val="heading 1"/>
    <w:next w:val="Body"/>
    <w:link w:val="Heading1Char"/>
    <w:uiPriority w:val="1"/>
    <w:qFormat/>
    <w:rsid w:val="00CD6E39"/>
    <w:pPr>
      <w:keepNext/>
      <w:keepLines/>
      <w:spacing w:before="360" w:after="240" w:line="480" w:lineRule="atLeast"/>
      <w:outlineLvl w:val="0"/>
    </w:pPr>
    <w:rPr>
      <w:rFonts w:ascii="Arial" w:eastAsia="MS Gothic" w:hAnsi="Arial" w:cs="Arial"/>
      <w:bCs/>
      <w:color w:val="AF272F"/>
      <w:kern w:val="32"/>
      <w:sz w:val="40"/>
      <w:szCs w:val="40"/>
      <w:lang w:eastAsia="en-US"/>
    </w:rPr>
  </w:style>
  <w:style w:type="paragraph" w:styleId="Heading2">
    <w:name w:val="heading 2"/>
    <w:next w:val="Body"/>
    <w:link w:val="Heading2Char"/>
    <w:uiPriority w:val="1"/>
    <w:qFormat/>
    <w:rsid w:val="0037447A"/>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37447A"/>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37447A"/>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CA3353"/>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CD6E39"/>
    <w:rPr>
      <w:rFonts w:ascii="Arial" w:eastAsia="MS Gothic" w:hAnsi="Arial" w:cs="Arial"/>
      <w:bCs/>
      <w:color w:val="AF272F"/>
      <w:kern w:val="32"/>
      <w:sz w:val="40"/>
      <w:szCs w:val="40"/>
      <w:lang w:eastAsia="en-US"/>
    </w:rPr>
  </w:style>
  <w:style w:type="character" w:customStyle="1" w:styleId="Heading2Char">
    <w:name w:val="Heading 2 Char"/>
    <w:link w:val="Heading2"/>
    <w:uiPriority w:val="1"/>
    <w:rsid w:val="0037447A"/>
    <w:rPr>
      <w:rFonts w:ascii="Arial" w:hAnsi="Arial"/>
      <w:b/>
      <w:color w:val="53565A"/>
      <w:sz w:val="32"/>
      <w:szCs w:val="28"/>
      <w:lang w:eastAsia="en-US"/>
    </w:rPr>
  </w:style>
  <w:style w:type="character" w:customStyle="1" w:styleId="Heading3Char">
    <w:name w:val="Heading 3 Char"/>
    <w:link w:val="Heading3"/>
    <w:uiPriority w:val="1"/>
    <w:rsid w:val="0037447A"/>
    <w:rPr>
      <w:rFonts w:ascii="Arial" w:eastAsia="MS Gothic" w:hAnsi="Arial"/>
      <w:bCs/>
      <w:color w:val="53565A"/>
      <w:sz w:val="30"/>
      <w:szCs w:val="26"/>
      <w:lang w:eastAsia="en-US"/>
    </w:rPr>
  </w:style>
  <w:style w:type="character" w:customStyle="1" w:styleId="Heading4Char">
    <w:name w:val="Heading 4 Char"/>
    <w:link w:val="Heading4"/>
    <w:uiPriority w:val="1"/>
    <w:rsid w:val="0037447A"/>
    <w:rPr>
      <w:rFonts w:ascii="Arial" w:eastAsia="MS Mincho" w:hAnsi="Arial"/>
      <w:b/>
      <w:bCs/>
      <w:color w:val="53565A"/>
      <w:sz w:val="24"/>
      <w:szCs w:val="22"/>
      <w:lang w:eastAsia="en-US"/>
    </w:rPr>
  </w:style>
  <w:style w:type="paragraph" w:styleId="Header">
    <w:name w:val="header"/>
    <w:uiPriority w:val="10"/>
    <w:rsid w:val="00CA3353"/>
    <w:pPr>
      <w:spacing w:after="300"/>
    </w:pPr>
    <w:rPr>
      <w:rFonts w:ascii="Arial" w:hAnsi="Arial" w:cs="Arial"/>
      <w:b/>
      <w:color w:val="53565A"/>
      <w:sz w:val="18"/>
      <w:szCs w:val="18"/>
      <w:lang w:eastAsia="en-US"/>
    </w:rPr>
  </w:style>
  <w:style w:type="paragraph" w:styleId="Footer">
    <w:name w:val="footer"/>
    <w:uiPriority w:val="8"/>
    <w:rsid w:val="00005CE5"/>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FD2A22"/>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CA3353"/>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D6E39"/>
    <w:pPr>
      <w:spacing w:after="80" w:line="460" w:lineRule="atLeast"/>
    </w:pPr>
    <w:rPr>
      <w:rFonts w:ascii="Arial" w:hAnsi="Arial"/>
      <w:b/>
      <w:color w:val="AF272F"/>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FD2A22"/>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FD2A22"/>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FD2A22"/>
    <w:pPr>
      <w:numPr>
        <w:numId w:val="9"/>
      </w:numPr>
    </w:pPr>
  </w:style>
  <w:style w:type="numbering" w:customStyle="1" w:styleId="ZZTablebullets">
    <w:name w:val="ZZ Table bullets"/>
    <w:basedOn w:val="NoList"/>
    <w:rsid w:val="00FD2A22"/>
    <w:pPr>
      <w:numPr>
        <w:numId w:val="9"/>
      </w:numPr>
    </w:pPr>
  </w:style>
  <w:style w:type="paragraph" w:customStyle="1" w:styleId="Tablecolhead">
    <w:name w:val="Table col head"/>
    <w:uiPriority w:val="3"/>
    <w:qFormat/>
    <w:rsid w:val="0037447A"/>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FD2A22"/>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37447A"/>
    <w:pPr>
      <w:spacing w:after="10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FD2A22"/>
    <w:pPr>
      <w:numPr>
        <w:numId w:val="7"/>
      </w:numPr>
    </w:pPr>
  </w:style>
  <w:style w:type="numbering" w:customStyle="1" w:styleId="ZZNumbersdigit">
    <w:name w:val="ZZ Numbers digit"/>
    <w:rsid w:val="00FD2A22"/>
    <w:pPr>
      <w:numPr>
        <w:numId w:val="2"/>
      </w:numPr>
    </w:pPr>
  </w:style>
  <w:style w:type="numbering" w:customStyle="1" w:styleId="ZZQuotebullets">
    <w:name w:val="ZZ Quote bullets"/>
    <w:basedOn w:val="ZZNumbersdigit"/>
    <w:rsid w:val="00FD2A22"/>
    <w:pPr>
      <w:numPr>
        <w:numId w:val="11"/>
      </w:numPr>
    </w:pPr>
  </w:style>
  <w:style w:type="paragraph" w:customStyle="1" w:styleId="Numberdigit">
    <w:name w:val="Number digit"/>
    <w:basedOn w:val="Body"/>
    <w:uiPriority w:val="2"/>
    <w:rsid w:val="00FD2A22"/>
    <w:pPr>
      <w:numPr>
        <w:numId w:val="2"/>
      </w:numPr>
    </w:pPr>
  </w:style>
  <w:style w:type="paragraph" w:customStyle="1" w:styleId="Numberloweralphaindent">
    <w:name w:val="Number lower alpha indent"/>
    <w:basedOn w:val="Body"/>
    <w:uiPriority w:val="3"/>
    <w:rsid w:val="00FD2A22"/>
    <w:pPr>
      <w:numPr>
        <w:ilvl w:val="1"/>
        <w:numId w:val="20"/>
      </w:numPr>
    </w:pPr>
  </w:style>
  <w:style w:type="paragraph" w:customStyle="1" w:styleId="Numberdigitindent">
    <w:name w:val="Number digit indent"/>
    <w:basedOn w:val="Numberloweralphaindent"/>
    <w:uiPriority w:val="3"/>
    <w:rsid w:val="00FD2A22"/>
    <w:pPr>
      <w:numPr>
        <w:numId w:val="2"/>
      </w:numPr>
    </w:pPr>
  </w:style>
  <w:style w:type="paragraph" w:customStyle="1" w:styleId="Numberloweralpha">
    <w:name w:val="Number lower alpha"/>
    <w:basedOn w:val="Body"/>
    <w:uiPriority w:val="3"/>
    <w:rsid w:val="00FD2A22"/>
    <w:pPr>
      <w:numPr>
        <w:numId w:val="20"/>
      </w:numPr>
    </w:pPr>
  </w:style>
  <w:style w:type="paragraph" w:customStyle="1" w:styleId="Numberlowerroman">
    <w:name w:val="Number lower roman"/>
    <w:basedOn w:val="Body"/>
    <w:uiPriority w:val="3"/>
    <w:rsid w:val="00FD2A22"/>
    <w:pPr>
      <w:numPr>
        <w:numId w:val="13"/>
      </w:numPr>
    </w:pPr>
  </w:style>
  <w:style w:type="paragraph" w:customStyle="1" w:styleId="Numberlowerromanindent">
    <w:name w:val="Number lower roman indent"/>
    <w:basedOn w:val="Body"/>
    <w:uiPriority w:val="3"/>
    <w:rsid w:val="00FD2A22"/>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D2A22"/>
    <w:pPr>
      <w:numPr>
        <w:ilvl w:val="3"/>
        <w:numId w:val="2"/>
      </w:numPr>
    </w:pPr>
  </w:style>
  <w:style w:type="numbering" w:customStyle="1" w:styleId="ZZNumberslowerroman">
    <w:name w:val="ZZ Numbers lower roman"/>
    <w:basedOn w:val="ZZQuotebullets"/>
    <w:rsid w:val="00FD2A22"/>
    <w:pPr>
      <w:numPr>
        <w:numId w:val="13"/>
      </w:numPr>
    </w:pPr>
  </w:style>
  <w:style w:type="numbering" w:customStyle="1" w:styleId="ZZNumbersloweralpha">
    <w:name w:val="ZZ Numbers lower alpha"/>
    <w:basedOn w:val="NoList"/>
    <w:rsid w:val="00FD2A22"/>
    <w:pPr>
      <w:numPr>
        <w:numId w:val="20"/>
      </w:numPr>
    </w:pPr>
  </w:style>
  <w:style w:type="paragraph" w:customStyle="1" w:styleId="Quotebullet1">
    <w:name w:val="Quote bullet 1"/>
    <w:basedOn w:val="Quotetext"/>
    <w:rsid w:val="00FD2A22"/>
    <w:pPr>
      <w:numPr>
        <w:numId w:val="11"/>
      </w:numPr>
    </w:pPr>
  </w:style>
  <w:style w:type="paragraph" w:customStyle="1" w:styleId="Quotebullet2">
    <w:name w:val="Quote bullet 2"/>
    <w:basedOn w:val="Quotetext"/>
    <w:rsid w:val="00FD2A22"/>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D2A22"/>
    <w:pPr>
      <w:spacing w:after="0" w:line="270" w:lineRule="atLeast"/>
    </w:pPr>
    <w:rPr>
      <w:color w:val="000000" w:themeColor="text1"/>
      <w:sz w:val="20"/>
    </w:rPr>
  </w:style>
  <w:style w:type="paragraph" w:customStyle="1" w:styleId="Introtext">
    <w:name w:val="Intro text"/>
    <w:basedOn w:val="Body"/>
    <w:uiPriority w:val="11"/>
    <w:rsid w:val="00CD6E39"/>
    <w:pPr>
      <w:spacing w:line="320" w:lineRule="atLeast"/>
    </w:pPr>
    <w:rPr>
      <w:color w:val="AF272F"/>
      <w:sz w:val="24"/>
    </w:rPr>
  </w:style>
  <w:style w:type="paragraph" w:styleId="ListParagraph">
    <w:name w:val="List Paragraph"/>
    <w:basedOn w:val="Normal"/>
    <w:uiPriority w:val="34"/>
    <w:qFormat/>
    <w:rsid w:val="0058303E"/>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rch.org.au/bloodtrans/about_blood_products/Intravenous_Immunoglobulin_Guidelin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allergy.org.au/hp/papers/ascia-guidelines-for-standardised-ivig-infusion-rates-for-irt"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lifeblood.com.au/health-professionals/products/fractionated-plasma-products/immunoglobulins/IVI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riteria.blood.gov.au/" TargetMode="External"/><Relationship Id="rId20" Type="http://schemas.openxmlformats.org/officeDocument/2006/relationships/hyperlink" Target="https://www.lifeblood.com.au/health-professionals/products/fractionated-plasma-products/immunoglobuli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health.vic.gov.au/patient-care/blood-matters-program" TargetMode="External"/><Relationship Id="rId10" Type="http://schemas.openxmlformats.org/officeDocument/2006/relationships/endnotes" Target="endnotes.xml"/><Relationship Id="rId19" Type="http://schemas.openxmlformats.org/officeDocument/2006/relationships/hyperlink" Target="http://www.blood.gov.au/Ig-governa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bloodmatters@redcrossblood.org.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FDD49C0BE1444B83DF12418F9F53CA" ma:contentTypeVersion="16" ma:contentTypeDescription="Create a new document." ma:contentTypeScope="" ma:versionID="703c1ef92f5b52a0f5a270828a8824a2">
  <xsd:schema xmlns:xsd="http://www.w3.org/2001/XMLSchema" xmlns:xs="http://www.w3.org/2001/XMLSchema" xmlns:p="http://schemas.microsoft.com/office/2006/metadata/properties" xmlns:ns2="2c6ffb12-904d-4970-9435-acd0dfb37620" xmlns:ns3="e4a8e1e8-b23e-4b0b-a39d-2e39c029802e" targetNamespace="http://schemas.microsoft.com/office/2006/metadata/properties" ma:root="true" ma:fieldsID="2822835e12eff9f5b0a182e8d8bf7267" ns2:_="" ns3:_="">
    <xsd:import namespace="2c6ffb12-904d-4970-9435-acd0dfb37620"/>
    <xsd:import namespace="e4a8e1e8-b23e-4b0b-a39d-2e39c029802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SearchProperties" minOccurs="0"/>
                <xsd:element ref="ns2:Imag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ffb12-904d-4970-9435-acd0dfb376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Image" ma:index="22" nillable="true" ma:displayName="Image" ma:format="Thumbnail" ma:internalName="Imag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a8e1e8-b23e-4b0b-a39d-2e39c029802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c6ffb12-904d-4970-9435-acd0dfb37620">
      <Terms xmlns="http://schemas.microsoft.com/office/infopath/2007/PartnerControls"/>
    </lcf76f155ced4ddcb4097134ff3c332f>
    <Image xmlns="2c6ffb12-904d-4970-9435-acd0dfb37620" xsi:nil="true"/>
  </documentManagement>
</p:properties>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8E3C6BEB-C5FB-41A7-983E-AE470EB0CA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6ffb12-904d-4970-9435-acd0dfb37620"/>
    <ds:schemaRef ds:uri="e4a8e1e8-b23e-4b0b-a39d-2e39c02980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2c6ffb12-904d-4970-9435-acd0dfb37620"/>
  </ds:schemaRefs>
</ds:datastoreItem>
</file>

<file path=docMetadata/LabelInfo.xml><?xml version="1.0" encoding="utf-8"?>
<clbl:labelList xmlns:clbl="http://schemas.microsoft.com/office/2020/mipLabelMetadata">
  <clbl:label id="{8b70b9b4-4e86-47ad-ba30-80a481ff8f08}" enabled="1" method="Privileged" siteId="{957b3627-a629-4769-908d-ff92d7d3323d}" contentBits="0" removed="0"/>
</clbl:labelList>
</file>

<file path=docProps/app.xml><?xml version="1.0" encoding="utf-8"?>
<Properties xmlns="http://schemas.openxmlformats.org/officeDocument/2006/extended-properties" xmlns:vt="http://schemas.openxmlformats.org/officeDocument/2006/docPropsVTypes">
  <Template>Normal.dotm</Template>
  <TotalTime>1050</TotalTime>
  <Pages>12</Pages>
  <Words>2780</Words>
  <Characters>15848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Intravenous immunoglobulin (IVIg) clinical practice guidance template</vt:lpstr>
    </vt:vector>
  </TitlesOfParts>
  <Manager/>
  <Company>Victoria State Government, Department of Health, Blood Matters</Company>
  <LinksUpToDate>false</LinksUpToDate>
  <CharactersWithSpaces>18591</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Intravenous immunoglobulin (IVIg) clinical practice guidance template</dc:title>
  <dc:subject/>
  <dc:creator>bloodmatters@redcrossblood.org.au</dc:creator>
  <cp:keywords/>
  <dc:description/>
  <cp:lastModifiedBy>Emily Hirst (Health)</cp:lastModifiedBy>
  <cp:revision>3</cp:revision>
  <cp:lastPrinted>2026-01-12T04:38:00Z</cp:lastPrinted>
  <dcterms:created xsi:type="dcterms:W3CDTF">2026-01-12T04:38:00Z</dcterms:created>
  <dcterms:modified xsi:type="dcterms:W3CDTF">2026-01-13T00:15:00Z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0x0101001EFDD49C0BE1444B83DF12418F9F53CA</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2021-03-17T05:29:19Z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6ed3ccff-32ba-49b9-9c8c-f2fad4d2fc92</vt:lpwstr>
  </property>
  <property fmtid="{D5CDD505-2E9C-101B-9397-08002B2CF9AE}" pid="11" name="MSIP_Label_43e64453-338c-4f93-8a4d-0039a0a41f2a_ContentBits">
    <vt:lpwstr>2</vt:lpwstr>
  </property>
  <property fmtid="{D5CDD505-2E9C-101B-9397-08002B2CF9AE}" pid="12" name="MediaServiceImageTags">
    <vt:lpwstr/>
  </property>
</Properties>
</file>