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F037" w14:textId="77777777" w:rsidR="00056EC4" w:rsidRPr="00315936" w:rsidRDefault="00E9042A" w:rsidP="00056EC4">
      <w:pPr>
        <w:pStyle w:val="Body"/>
      </w:pPr>
      <w:r w:rsidRPr="00315936">
        <w:rPr>
          <w:noProof/>
        </w:rPr>
        <w:drawing>
          <wp:anchor distT="0" distB="0" distL="114300" distR="114300" simplePos="0" relativeHeight="251658240" behindDoc="1" locked="1" layoutInCell="1" allowOverlap="0" wp14:anchorId="3CA97187" wp14:editId="20697FF0">
            <wp:simplePos x="0" y="0"/>
            <wp:positionH relativeFrom="page">
              <wp:posOffset>0</wp:posOffset>
            </wp:positionH>
            <wp:positionV relativeFrom="page">
              <wp:posOffset>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rsidRPr="00315936" w14:paraId="0D4DED98" w14:textId="77777777" w:rsidTr="00535D2B">
        <w:tc>
          <w:tcPr>
            <w:tcW w:w="0" w:type="auto"/>
          </w:tcPr>
          <w:p w14:paraId="20A24C18" w14:textId="14182D86" w:rsidR="00AD784C" w:rsidRPr="00315936" w:rsidRDefault="00CC7B7A" w:rsidP="00CC3BB0">
            <w:pPr>
              <w:pStyle w:val="Documenttitle"/>
            </w:pPr>
            <w:r w:rsidRPr="00315936">
              <w:t>Victorian Health Services Performance Monitoring Framework 202</w:t>
            </w:r>
            <w:r w:rsidR="00CC512B">
              <w:t>5</w:t>
            </w:r>
            <w:r w:rsidRPr="00315936">
              <w:t>–2</w:t>
            </w:r>
            <w:r w:rsidR="00CC512B">
              <w:t>6</w:t>
            </w:r>
          </w:p>
        </w:tc>
      </w:tr>
      <w:tr w:rsidR="00AD784C" w:rsidRPr="00315936" w14:paraId="07888E43" w14:textId="77777777" w:rsidTr="00535D2B">
        <w:tc>
          <w:tcPr>
            <w:tcW w:w="0" w:type="auto"/>
          </w:tcPr>
          <w:p w14:paraId="01A08E87" w14:textId="10FB9701" w:rsidR="00386109" w:rsidRPr="00315936" w:rsidRDefault="655E66CF" w:rsidP="009315BE">
            <w:pPr>
              <w:pStyle w:val="Documentsubtitle"/>
            </w:pPr>
            <w:r>
              <w:t>Business rules</w:t>
            </w:r>
            <w:r w:rsidR="5A1285BC">
              <w:t xml:space="preserve"> </w:t>
            </w:r>
          </w:p>
        </w:tc>
      </w:tr>
      <w:tr w:rsidR="00430393" w:rsidRPr="00315936" w14:paraId="01D79B97" w14:textId="77777777" w:rsidTr="00535D2B">
        <w:tc>
          <w:tcPr>
            <w:tcW w:w="0" w:type="auto"/>
          </w:tcPr>
          <w:p w14:paraId="1CC6632E" w14:textId="77777777" w:rsidR="00430393" w:rsidRPr="00315936" w:rsidRDefault="007C710D" w:rsidP="00430393">
            <w:pPr>
              <w:pStyle w:val="Bannermarking"/>
            </w:pPr>
            <w:fldSimple w:instr="FILLIN  &quot;Type the protective marking&quot; \d OFFICIAL \o  \* MERGEFORMAT">
              <w:r w:rsidRPr="00315936">
                <w:t>OFFICIAL</w:t>
              </w:r>
            </w:fldSimple>
          </w:p>
        </w:tc>
      </w:tr>
    </w:tbl>
    <w:p w14:paraId="4778B0B5" w14:textId="77777777" w:rsidR="00FE4081" w:rsidRPr="00315936" w:rsidRDefault="00FE4081" w:rsidP="00FE4081">
      <w:pPr>
        <w:pStyle w:val="Body"/>
      </w:pPr>
    </w:p>
    <w:p w14:paraId="7C1FDE77" w14:textId="77777777" w:rsidR="00FE4081" w:rsidRPr="00315936" w:rsidRDefault="00FE4081" w:rsidP="00FE4081">
      <w:pPr>
        <w:pStyle w:val="Body"/>
        <w:sectPr w:rsidR="00FE4081" w:rsidRPr="00315936" w:rsidSect="002C5B7C">
          <w:headerReference w:type="default" r:id="rId9"/>
          <w:footerReference w:type="even" r:id="rId10"/>
          <w:footerReference w:type="default" r:id="rId11"/>
          <w:headerReference w:type="first" r:id="rId12"/>
          <w:footerReference w:type="first" r:id="rId13"/>
          <w:type w:val="continuous"/>
          <w:pgSz w:w="11906" w:h="16838" w:code="9"/>
          <w:pgMar w:top="3969" w:right="1304" w:bottom="1418" w:left="1304" w:header="680" w:footer="851" w:gutter="0"/>
          <w:cols w:space="340"/>
          <w:docGrid w:linePitch="360"/>
        </w:sectPr>
      </w:pPr>
    </w:p>
    <w:p w14:paraId="43FDEC30" w14:textId="6F645953" w:rsidR="009F2182" w:rsidRPr="00315936" w:rsidRDefault="009F2182" w:rsidP="009F2182">
      <w:pPr>
        <w:pStyle w:val="Body"/>
      </w:pPr>
    </w:p>
    <w:tbl>
      <w:tblPr>
        <w:tblW w:w="0" w:type="auto"/>
        <w:tblLook w:val="04A0" w:firstRow="1" w:lastRow="0" w:firstColumn="1" w:lastColumn="0" w:noHBand="0" w:noVBand="1"/>
      </w:tblPr>
      <w:tblGrid>
        <w:gridCol w:w="9288"/>
      </w:tblGrid>
      <w:tr w:rsidR="009F2182" w:rsidRPr="00315936" w14:paraId="478FC05C" w14:textId="77777777" w:rsidTr="00535D2B">
        <w:trPr>
          <w:trHeight w:val="7088"/>
        </w:trPr>
        <w:tc>
          <w:tcPr>
            <w:tcW w:w="9288" w:type="dxa"/>
          </w:tcPr>
          <w:p w14:paraId="50392010" w14:textId="77777777" w:rsidR="00D936DB" w:rsidRPr="00315936" w:rsidRDefault="00D936DB" w:rsidP="00D936DB">
            <w:pPr>
              <w:rPr>
                <w:color w:val="201547"/>
                <w:sz w:val="44"/>
                <w:szCs w:val="44"/>
              </w:rPr>
            </w:pPr>
            <w:r w:rsidRPr="00315936">
              <w:rPr>
                <w:color w:val="201547"/>
                <w:sz w:val="44"/>
                <w:szCs w:val="44"/>
              </w:rPr>
              <w:t>Feedback</w:t>
            </w:r>
          </w:p>
          <w:p w14:paraId="29CFF0D0" w14:textId="039D04D9" w:rsidR="00D936DB" w:rsidRPr="00315936" w:rsidRDefault="72DE3F42" w:rsidP="00D936DB">
            <w:pPr>
              <w:pStyle w:val="Body"/>
            </w:pPr>
            <w:r>
              <w:t>We are always striving to improve our products. Your input will help us shape future reports to ensure they meet your need for accurate and easy to digest information about the safety and quality of your health service.</w:t>
            </w:r>
          </w:p>
          <w:p w14:paraId="29562080" w14:textId="77777777" w:rsidR="00D936DB" w:rsidRPr="00315936" w:rsidRDefault="00D936DB" w:rsidP="00D936DB">
            <w:pPr>
              <w:pStyle w:val="Body"/>
            </w:pPr>
            <w:r w:rsidRPr="00315936">
              <w:t>Please provide feedback to:</w:t>
            </w:r>
          </w:p>
          <w:p w14:paraId="6829862B" w14:textId="77777777" w:rsidR="00D936DB" w:rsidRPr="00315936" w:rsidRDefault="00D936DB" w:rsidP="00D936DB">
            <w:pPr>
              <w:pStyle w:val="Body"/>
            </w:pPr>
            <w:r w:rsidRPr="00315936">
              <w:t>Director, Insights</w:t>
            </w:r>
          </w:p>
          <w:p w14:paraId="1C0D1E41" w14:textId="77777777" w:rsidR="00D936DB" w:rsidRPr="00315936" w:rsidRDefault="00D936DB" w:rsidP="00D936DB">
            <w:pPr>
              <w:pStyle w:val="Body"/>
            </w:pPr>
            <w:r w:rsidRPr="00315936">
              <w:t>eHealth, Victorian Department of Health</w:t>
            </w:r>
          </w:p>
          <w:p w14:paraId="01296D17" w14:textId="0154FD7A" w:rsidR="009F2182" w:rsidRPr="00315936" w:rsidRDefault="00D936DB" w:rsidP="00D936DB">
            <w:hyperlink r:id="rId14" w:history="1">
              <w:r w:rsidRPr="00315936">
                <w:rPr>
                  <w:rStyle w:val="Hyperlink"/>
                </w:rPr>
                <w:t>insights@health.vic.gov.au</w:t>
              </w:r>
            </w:hyperlink>
          </w:p>
          <w:p w14:paraId="3C37DAA1" w14:textId="3843617F" w:rsidR="00D936DB" w:rsidRPr="00315936" w:rsidRDefault="00D936DB" w:rsidP="00D936DB"/>
          <w:p w14:paraId="4EAA4B96" w14:textId="544CD2DC" w:rsidR="00D936DB" w:rsidRPr="00315936" w:rsidRDefault="00D936DB" w:rsidP="00D936DB"/>
          <w:p w14:paraId="06268F0B" w14:textId="12B27237" w:rsidR="00D936DB" w:rsidRPr="00315936" w:rsidRDefault="00D936DB" w:rsidP="00D936DB"/>
          <w:p w14:paraId="2B5EEFFF" w14:textId="20530A97" w:rsidR="00D936DB" w:rsidRPr="00315936" w:rsidRDefault="00D936DB" w:rsidP="00D936DB"/>
          <w:p w14:paraId="411FA2FE" w14:textId="57BFE725" w:rsidR="00D936DB" w:rsidRPr="00315936" w:rsidRDefault="00D936DB" w:rsidP="00D936DB"/>
          <w:p w14:paraId="39B18E78" w14:textId="3769C04F" w:rsidR="00D936DB" w:rsidRPr="00315936" w:rsidRDefault="00D936DB" w:rsidP="00D936DB"/>
          <w:p w14:paraId="41028BE1" w14:textId="4934ADA1" w:rsidR="00D936DB" w:rsidRPr="00315936" w:rsidRDefault="00D936DB" w:rsidP="00D936DB"/>
          <w:p w14:paraId="7D6E7440" w14:textId="034ECAC8" w:rsidR="00D936DB" w:rsidRPr="00315936" w:rsidRDefault="00D936DB" w:rsidP="00D936DB"/>
          <w:p w14:paraId="25139967" w14:textId="6522ADA5" w:rsidR="00D936DB" w:rsidRDefault="00D936DB" w:rsidP="00D936DB"/>
          <w:p w14:paraId="7FBDB381" w14:textId="77777777" w:rsidR="00596023" w:rsidRDefault="00596023" w:rsidP="00D936DB"/>
          <w:p w14:paraId="2CF89897" w14:textId="77777777" w:rsidR="00FB448F" w:rsidRDefault="00FB448F" w:rsidP="00D936DB"/>
          <w:p w14:paraId="514FA238" w14:textId="77777777" w:rsidR="00FB448F" w:rsidRDefault="00FB448F" w:rsidP="00D936DB"/>
          <w:p w14:paraId="7D2FCA02" w14:textId="77777777" w:rsidR="00FB448F" w:rsidRDefault="00FB448F" w:rsidP="00D936DB"/>
          <w:p w14:paraId="149752C2" w14:textId="77777777" w:rsidR="00FB448F" w:rsidRPr="00315936" w:rsidRDefault="00FB448F" w:rsidP="00D936DB"/>
          <w:p w14:paraId="6D35E499" w14:textId="4D12A7E5" w:rsidR="004E018A" w:rsidRPr="00315936" w:rsidRDefault="004E018A" w:rsidP="00D936DB"/>
        </w:tc>
      </w:tr>
      <w:tr w:rsidR="009F2182" w:rsidRPr="00315936" w14:paraId="5E2F8D27" w14:textId="77777777" w:rsidTr="00535D2B">
        <w:trPr>
          <w:trHeight w:val="2835"/>
        </w:trPr>
        <w:tc>
          <w:tcPr>
            <w:tcW w:w="9288" w:type="dxa"/>
          </w:tcPr>
          <w:p w14:paraId="7C9B728A" w14:textId="2A18DE7B" w:rsidR="009F2182" w:rsidRPr="00315936" w:rsidRDefault="009F2182" w:rsidP="1DCA6BC6">
            <w:pPr>
              <w:pStyle w:val="Accessibilitypara"/>
            </w:pPr>
            <w:r w:rsidRPr="00315936">
              <w:t>To receive this document in another format, email</w:t>
            </w:r>
            <w:r w:rsidR="1941E6ED" w:rsidRPr="00315936">
              <w:t xml:space="preserve"> </w:t>
            </w:r>
            <w:hyperlink r:id="rId15" w:history="1">
              <w:r w:rsidR="002D7236" w:rsidRPr="00315936">
                <w:rPr>
                  <w:rStyle w:val="Hyperlink"/>
                </w:rPr>
                <w:t>Analytic Insights</w:t>
              </w:r>
            </w:hyperlink>
            <w:r w:rsidR="1941E6ED" w:rsidRPr="00315936">
              <w:t xml:space="preserve"> &lt;insights@health.vic.gov.au&gt;</w:t>
            </w:r>
            <w:r w:rsidRPr="00315936">
              <w:t xml:space="preserve"> </w:t>
            </w:r>
          </w:p>
          <w:p w14:paraId="7A823CC4" w14:textId="10E3823F" w:rsidR="009F2182" w:rsidRPr="00315936" w:rsidRDefault="009F2182" w:rsidP="1DCA6BC6">
            <w:pPr>
              <w:pStyle w:val="Accessibilitypara"/>
            </w:pPr>
            <w:r w:rsidRPr="00315936">
              <w:t>Authorised and published by the Victorian Government, 1 Treasury Place, Melbourne.</w:t>
            </w:r>
          </w:p>
          <w:p w14:paraId="716218D2" w14:textId="758A2EC1" w:rsidR="009F2182" w:rsidRPr="00315936" w:rsidRDefault="4DD89A7B" w:rsidP="009F2182">
            <w:pPr>
              <w:pStyle w:val="Imprint"/>
            </w:pPr>
            <w:r>
              <w:t xml:space="preserve">© State of Victoria, Australia, Department of </w:t>
            </w:r>
            <w:r w:rsidR="4AF7CFB0">
              <w:t>Health</w:t>
            </w:r>
            <w:r>
              <w:t xml:space="preserve">, </w:t>
            </w:r>
            <w:r w:rsidR="4B43D827">
              <w:t>July</w:t>
            </w:r>
            <w:r w:rsidR="5FA7207F">
              <w:t xml:space="preserve"> </w:t>
            </w:r>
            <w:r w:rsidR="75FC33E5">
              <w:t>202</w:t>
            </w:r>
            <w:r w:rsidR="6CFCCA97">
              <w:t>5</w:t>
            </w:r>
            <w:r>
              <w:t>.</w:t>
            </w:r>
          </w:p>
          <w:p w14:paraId="2214EC1C" w14:textId="3FCD1D45" w:rsidR="009F2182" w:rsidRPr="00315936" w:rsidRDefault="009F2182" w:rsidP="009F2182">
            <w:pPr>
              <w:pStyle w:val="Imprint"/>
              <w:rPr>
                <w:color w:val="004C97"/>
              </w:rPr>
            </w:pPr>
            <w:bookmarkStart w:id="0" w:name="_Hlk62746129"/>
            <w:r>
              <w:t xml:space="preserve">ISSN </w:t>
            </w:r>
            <w:r w:rsidR="23667579">
              <w:t>2209-4172</w:t>
            </w:r>
            <w:r w:rsidRPr="1FF5711D">
              <w:rPr>
                <w:color w:val="004C97"/>
              </w:rPr>
              <w:t xml:space="preserve"> </w:t>
            </w:r>
            <w:r>
              <w:t xml:space="preserve">(online//Word) </w:t>
            </w:r>
          </w:p>
          <w:p w14:paraId="3CB09ACD" w14:textId="4A88859B" w:rsidR="009F2182" w:rsidRPr="00315936" w:rsidRDefault="205C7F9F" w:rsidP="004E018A">
            <w:r w:rsidRPr="686ABE5A">
              <w:rPr>
                <w:rFonts w:eastAsia="Arial" w:cs="Arial"/>
                <w:sz w:val="20"/>
              </w:rPr>
              <w:t xml:space="preserve">Available at </w:t>
            </w:r>
            <w:hyperlink r:id="rId16">
              <w:r w:rsidRPr="686ABE5A">
                <w:rPr>
                  <w:rStyle w:val="Hyperlink"/>
                  <w:rFonts w:eastAsia="Arial" w:cs="Arial"/>
                  <w:color w:val="0072CE"/>
                  <w:sz w:val="20"/>
                  <w:u w:val="single"/>
                </w:rPr>
                <w:t>Funding, performance and accountability webpage</w:t>
              </w:r>
            </w:hyperlink>
            <w:r w:rsidRPr="686ABE5A">
              <w:rPr>
                <w:rFonts w:eastAsia="Arial" w:cs="Arial"/>
                <w:sz w:val="20"/>
              </w:rPr>
              <w:t xml:space="preserve"> &lt;https://www.health.vic.gov.au/hospitals-and-health-services/funding-performance-and-accountability&gt;</w:t>
            </w:r>
            <w:bookmarkEnd w:id="0"/>
          </w:p>
        </w:tc>
      </w:tr>
    </w:tbl>
    <w:p w14:paraId="68047FA9" w14:textId="39942768" w:rsidR="00AD784C" w:rsidRPr="00315936" w:rsidRDefault="00AD784C" w:rsidP="002365B4">
      <w:pPr>
        <w:pStyle w:val="TOCheadingreport"/>
      </w:pPr>
      <w:r w:rsidRPr="00315936">
        <w:lastRenderedPageBreak/>
        <w:t>Contents</w:t>
      </w:r>
    </w:p>
    <w:p w14:paraId="10ECF41F" w14:textId="742A6337" w:rsidR="00535D2B" w:rsidRDefault="00AD784C">
      <w:pPr>
        <w:pStyle w:val="TOC1"/>
        <w:rPr>
          <w:rFonts w:asciiTheme="minorHAnsi" w:eastAsiaTheme="minorEastAsia" w:hAnsiTheme="minorHAnsi" w:cstheme="minorBidi"/>
          <w:b w:val="0"/>
          <w:kern w:val="2"/>
          <w:sz w:val="24"/>
          <w:szCs w:val="24"/>
          <w:lang w:eastAsia="en-AU"/>
          <w14:ligatures w14:val="standardContextual"/>
        </w:rPr>
      </w:pPr>
      <w:r w:rsidRPr="00315936">
        <w:fldChar w:fldCharType="begin"/>
      </w:r>
      <w:r w:rsidR="00DF1344">
        <w:instrText xml:space="preserve"> TOC \h \z \t "Heading 1,1,Heading 2,2" </w:instrText>
      </w:r>
      <w:r w:rsidRPr="00315936">
        <w:fldChar w:fldCharType="separate"/>
      </w:r>
      <w:hyperlink w:anchor="_Toc204853405" w:history="1">
        <w:r w:rsidR="00535D2B" w:rsidRPr="006C5461">
          <w:rPr>
            <w:rStyle w:val="Hyperlink"/>
          </w:rPr>
          <w:t>Introduction</w:t>
        </w:r>
        <w:r w:rsidR="00535D2B">
          <w:rPr>
            <w:webHidden/>
          </w:rPr>
          <w:tab/>
        </w:r>
        <w:r w:rsidR="00535D2B">
          <w:rPr>
            <w:webHidden/>
          </w:rPr>
          <w:fldChar w:fldCharType="begin"/>
        </w:r>
        <w:r w:rsidR="00535D2B">
          <w:rPr>
            <w:webHidden/>
          </w:rPr>
          <w:instrText xml:space="preserve"> PAGEREF _Toc204853405 \h </w:instrText>
        </w:r>
        <w:r w:rsidR="00535D2B">
          <w:rPr>
            <w:webHidden/>
          </w:rPr>
        </w:r>
        <w:r w:rsidR="00535D2B">
          <w:rPr>
            <w:webHidden/>
          </w:rPr>
          <w:fldChar w:fldCharType="separate"/>
        </w:r>
        <w:r w:rsidR="00535D2B">
          <w:rPr>
            <w:webHidden/>
          </w:rPr>
          <w:t>5</w:t>
        </w:r>
        <w:r w:rsidR="00535D2B">
          <w:rPr>
            <w:webHidden/>
          </w:rPr>
          <w:fldChar w:fldCharType="end"/>
        </w:r>
      </w:hyperlink>
    </w:p>
    <w:p w14:paraId="6D5E1683" w14:textId="72420D27"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06" w:history="1">
        <w:r w:rsidRPr="006C5461">
          <w:rPr>
            <w:rStyle w:val="Hyperlink"/>
          </w:rPr>
          <w:t>Accountability and monitoring</w:t>
        </w:r>
        <w:r>
          <w:rPr>
            <w:webHidden/>
          </w:rPr>
          <w:tab/>
        </w:r>
        <w:r>
          <w:rPr>
            <w:webHidden/>
          </w:rPr>
          <w:fldChar w:fldCharType="begin"/>
        </w:r>
        <w:r>
          <w:rPr>
            <w:webHidden/>
          </w:rPr>
          <w:instrText xml:space="preserve"> PAGEREF _Toc204853406 \h </w:instrText>
        </w:r>
        <w:r>
          <w:rPr>
            <w:webHidden/>
          </w:rPr>
        </w:r>
        <w:r>
          <w:rPr>
            <w:webHidden/>
          </w:rPr>
          <w:fldChar w:fldCharType="separate"/>
        </w:r>
        <w:r>
          <w:rPr>
            <w:webHidden/>
          </w:rPr>
          <w:t>5</w:t>
        </w:r>
        <w:r>
          <w:rPr>
            <w:webHidden/>
          </w:rPr>
          <w:fldChar w:fldCharType="end"/>
        </w:r>
      </w:hyperlink>
    </w:p>
    <w:p w14:paraId="4D9283D8" w14:textId="6684BD32" w:rsidR="00535D2B" w:rsidRDefault="00535D2B">
      <w:pPr>
        <w:pStyle w:val="TOC1"/>
        <w:rPr>
          <w:rFonts w:asciiTheme="minorHAnsi" w:eastAsiaTheme="minorEastAsia" w:hAnsiTheme="minorHAnsi" w:cstheme="minorBidi"/>
          <w:b w:val="0"/>
          <w:kern w:val="2"/>
          <w:sz w:val="24"/>
          <w:szCs w:val="24"/>
          <w:lang w:eastAsia="en-AU"/>
          <w14:ligatures w14:val="standardContextual"/>
        </w:rPr>
      </w:pPr>
      <w:hyperlink w:anchor="_Toc204853407" w:history="1">
        <w:r w:rsidRPr="006C5461">
          <w:rPr>
            <w:rStyle w:val="Hyperlink"/>
          </w:rPr>
          <w:t>Change summary</w:t>
        </w:r>
        <w:r>
          <w:rPr>
            <w:webHidden/>
          </w:rPr>
          <w:tab/>
        </w:r>
        <w:r>
          <w:rPr>
            <w:webHidden/>
          </w:rPr>
          <w:fldChar w:fldCharType="begin"/>
        </w:r>
        <w:r>
          <w:rPr>
            <w:webHidden/>
          </w:rPr>
          <w:instrText xml:space="preserve"> PAGEREF _Toc204853407 \h </w:instrText>
        </w:r>
        <w:r>
          <w:rPr>
            <w:webHidden/>
          </w:rPr>
        </w:r>
        <w:r>
          <w:rPr>
            <w:webHidden/>
          </w:rPr>
          <w:fldChar w:fldCharType="separate"/>
        </w:r>
        <w:r>
          <w:rPr>
            <w:webHidden/>
          </w:rPr>
          <w:t>6</w:t>
        </w:r>
        <w:r>
          <w:rPr>
            <w:webHidden/>
          </w:rPr>
          <w:fldChar w:fldCharType="end"/>
        </w:r>
      </w:hyperlink>
    </w:p>
    <w:p w14:paraId="08D8D0CF" w14:textId="78A6C4FF"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08" w:history="1">
        <w:r w:rsidRPr="006C5461">
          <w:rPr>
            <w:rStyle w:val="Hyperlink"/>
          </w:rPr>
          <w:t>High quality and safe care</w:t>
        </w:r>
        <w:r>
          <w:rPr>
            <w:webHidden/>
          </w:rPr>
          <w:tab/>
        </w:r>
        <w:r>
          <w:rPr>
            <w:webHidden/>
          </w:rPr>
          <w:fldChar w:fldCharType="begin"/>
        </w:r>
        <w:r>
          <w:rPr>
            <w:webHidden/>
          </w:rPr>
          <w:instrText xml:space="preserve"> PAGEREF _Toc204853408 \h </w:instrText>
        </w:r>
        <w:r>
          <w:rPr>
            <w:webHidden/>
          </w:rPr>
        </w:r>
        <w:r>
          <w:rPr>
            <w:webHidden/>
          </w:rPr>
          <w:fldChar w:fldCharType="separate"/>
        </w:r>
        <w:r>
          <w:rPr>
            <w:webHidden/>
          </w:rPr>
          <w:t>6</w:t>
        </w:r>
        <w:r>
          <w:rPr>
            <w:webHidden/>
          </w:rPr>
          <w:fldChar w:fldCharType="end"/>
        </w:r>
      </w:hyperlink>
    </w:p>
    <w:p w14:paraId="00CF58CA" w14:textId="2A86E1D7"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09" w:history="1">
        <w:r w:rsidRPr="006C5461">
          <w:rPr>
            <w:rStyle w:val="Hyperlink"/>
          </w:rPr>
          <w:t>Strong governance, leadership and culture</w:t>
        </w:r>
        <w:r>
          <w:rPr>
            <w:webHidden/>
          </w:rPr>
          <w:tab/>
        </w:r>
        <w:r>
          <w:rPr>
            <w:webHidden/>
          </w:rPr>
          <w:fldChar w:fldCharType="begin"/>
        </w:r>
        <w:r>
          <w:rPr>
            <w:webHidden/>
          </w:rPr>
          <w:instrText xml:space="preserve"> PAGEREF _Toc204853409 \h </w:instrText>
        </w:r>
        <w:r>
          <w:rPr>
            <w:webHidden/>
          </w:rPr>
        </w:r>
        <w:r>
          <w:rPr>
            <w:webHidden/>
          </w:rPr>
          <w:fldChar w:fldCharType="separate"/>
        </w:r>
        <w:r>
          <w:rPr>
            <w:webHidden/>
          </w:rPr>
          <w:t>6</w:t>
        </w:r>
        <w:r>
          <w:rPr>
            <w:webHidden/>
          </w:rPr>
          <w:fldChar w:fldCharType="end"/>
        </w:r>
      </w:hyperlink>
    </w:p>
    <w:p w14:paraId="2D8DEAB7" w14:textId="7ED57137"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0" w:history="1">
        <w:r w:rsidRPr="006C5461">
          <w:rPr>
            <w:rStyle w:val="Hyperlink"/>
          </w:rPr>
          <w:t>Timely access to care</w:t>
        </w:r>
        <w:r>
          <w:rPr>
            <w:webHidden/>
          </w:rPr>
          <w:tab/>
        </w:r>
        <w:r>
          <w:rPr>
            <w:webHidden/>
          </w:rPr>
          <w:fldChar w:fldCharType="begin"/>
        </w:r>
        <w:r>
          <w:rPr>
            <w:webHidden/>
          </w:rPr>
          <w:instrText xml:space="preserve"> PAGEREF _Toc204853410 \h </w:instrText>
        </w:r>
        <w:r>
          <w:rPr>
            <w:webHidden/>
          </w:rPr>
        </w:r>
        <w:r>
          <w:rPr>
            <w:webHidden/>
          </w:rPr>
          <w:fldChar w:fldCharType="separate"/>
        </w:r>
        <w:r>
          <w:rPr>
            <w:webHidden/>
          </w:rPr>
          <w:t>6</w:t>
        </w:r>
        <w:r>
          <w:rPr>
            <w:webHidden/>
          </w:rPr>
          <w:fldChar w:fldCharType="end"/>
        </w:r>
      </w:hyperlink>
    </w:p>
    <w:p w14:paraId="38724433" w14:textId="136F2B79"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1" w:history="1">
        <w:r w:rsidRPr="006C5461">
          <w:rPr>
            <w:rStyle w:val="Hyperlink"/>
          </w:rPr>
          <w:t>Effective financial management</w:t>
        </w:r>
        <w:r>
          <w:rPr>
            <w:webHidden/>
          </w:rPr>
          <w:tab/>
        </w:r>
        <w:r>
          <w:rPr>
            <w:webHidden/>
          </w:rPr>
          <w:fldChar w:fldCharType="begin"/>
        </w:r>
        <w:r>
          <w:rPr>
            <w:webHidden/>
          </w:rPr>
          <w:instrText xml:space="preserve"> PAGEREF _Toc204853411 \h </w:instrText>
        </w:r>
        <w:r>
          <w:rPr>
            <w:webHidden/>
          </w:rPr>
        </w:r>
        <w:r>
          <w:rPr>
            <w:webHidden/>
          </w:rPr>
          <w:fldChar w:fldCharType="separate"/>
        </w:r>
        <w:r>
          <w:rPr>
            <w:webHidden/>
          </w:rPr>
          <w:t>8</w:t>
        </w:r>
        <w:r>
          <w:rPr>
            <w:webHidden/>
          </w:rPr>
          <w:fldChar w:fldCharType="end"/>
        </w:r>
      </w:hyperlink>
    </w:p>
    <w:p w14:paraId="12AF3614" w14:textId="770A090C" w:rsidR="00535D2B" w:rsidRDefault="00535D2B">
      <w:pPr>
        <w:pStyle w:val="TOC1"/>
        <w:rPr>
          <w:rFonts w:asciiTheme="minorHAnsi" w:eastAsiaTheme="minorEastAsia" w:hAnsiTheme="minorHAnsi" w:cstheme="minorBidi"/>
          <w:b w:val="0"/>
          <w:kern w:val="2"/>
          <w:sz w:val="24"/>
          <w:szCs w:val="24"/>
          <w:lang w:eastAsia="en-AU"/>
          <w14:ligatures w14:val="standardContextual"/>
        </w:rPr>
      </w:pPr>
      <w:hyperlink w:anchor="_Toc204853412" w:history="1">
        <w:r w:rsidRPr="006C5461">
          <w:rPr>
            <w:rStyle w:val="Hyperlink"/>
          </w:rPr>
          <w:t>2025–26 Key performance measures</w:t>
        </w:r>
        <w:r>
          <w:rPr>
            <w:webHidden/>
          </w:rPr>
          <w:tab/>
        </w:r>
        <w:r>
          <w:rPr>
            <w:webHidden/>
          </w:rPr>
          <w:fldChar w:fldCharType="begin"/>
        </w:r>
        <w:r>
          <w:rPr>
            <w:webHidden/>
          </w:rPr>
          <w:instrText xml:space="preserve"> PAGEREF _Toc204853412 \h </w:instrText>
        </w:r>
        <w:r>
          <w:rPr>
            <w:webHidden/>
          </w:rPr>
        </w:r>
        <w:r>
          <w:rPr>
            <w:webHidden/>
          </w:rPr>
          <w:fldChar w:fldCharType="separate"/>
        </w:r>
        <w:r>
          <w:rPr>
            <w:webHidden/>
          </w:rPr>
          <w:t>9</w:t>
        </w:r>
        <w:r>
          <w:rPr>
            <w:webHidden/>
          </w:rPr>
          <w:fldChar w:fldCharType="end"/>
        </w:r>
      </w:hyperlink>
    </w:p>
    <w:p w14:paraId="66BA5B74" w14:textId="3847F360"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3" w:history="1">
        <w:r w:rsidRPr="006C5461">
          <w:rPr>
            <w:rStyle w:val="Hyperlink"/>
          </w:rPr>
          <w:t>High quality and safe care</w:t>
        </w:r>
        <w:r>
          <w:rPr>
            <w:webHidden/>
          </w:rPr>
          <w:tab/>
        </w:r>
        <w:r>
          <w:rPr>
            <w:webHidden/>
          </w:rPr>
          <w:fldChar w:fldCharType="begin"/>
        </w:r>
        <w:r>
          <w:rPr>
            <w:webHidden/>
          </w:rPr>
          <w:instrText xml:space="preserve"> PAGEREF _Toc204853413 \h </w:instrText>
        </w:r>
        <w:r>
          <w:rPr>
            <w:webHidden/>
          </w:rPr>
        </w:r>
        <w:r>
          <w:rPr>
            <w:webHidden/>
          </w:rPr>
          <w:fldChar w:fldCharType="separate"/>
        </w:r>
        <w:r>
          <w:rPr>
            <w:webHidden/>
          </w:rPr>
          <w:t>9</w:t>
        </w:r>
        <w:r>
          <w:rPr>
            <w:webHidden/>
          </w:rPr>
          <w:fldChar w:fldCharType="end"/>
        </w:r>
      </w:hyperlink>
    </w:p>
    <w:p w14:paraId="16536834" w14:textId="16E322CF"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4" w:history="1">
        <w:r w:rsidRPr="006C5461">
          <w:rPr>
            <w:rStyle w:val="Hyperlink"/>
          </w:rPr>
          <w:t>Strong governance, leadership and culture</w:t>
        </w:r>
        <w:r>
          <w:rPr>
            <w:webHidden/>
          </w:rPr>
          <w:tab/>
        </w:r>
        <w:r>
          <w:rPr>
            <w:webHidden/>
          </w:rPr>
          <w:fldChar w:fldCharType="begin"/>
        </w:r>
        <w:r>
          <w:rPr>
            <w:webHidden/>
          </w:rPr>
          <w:instrText xml:space="preserve"> PAGEREF _Toc204853414 \h </w:instrText>
        </w:r>
        <w:r>
          <w:rPr>
            <w:webHidden/>
          </w:rPr>
        </w:r>
        <w:r>
          <w:rPr>
            <w:webHidden/>
          </w:rPr>
          <w:fldChar w:fldCharType="separate"/>
        </w:r>
        <w:r>
          <w:rPr>
            <w:webHidden/>
          </w:rPr>
          <w:t>10</w:t>
        </w:r>
        <w:r>
          <w:rPr>
            <w:webHidden/>
          </w:rPr>
          <w:fldChar w:fldCharType="end"/>
        </w:r>
      </w:hyperlink>
    </w:p>
    <w:p w14:paraId="18D15E6C" w14:textId="7D412E98"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5" w:history="1">
        <w:r w:rsidRPr="006C5461">
          <w:rPr>
            <w:rStyle w:val="Hyperlink"/>
          </w:rPr>
          <w:t>Timely access to care</w:t>
        </w:r>
        <w:r>
          <w:rPr>
            <w:webHidden/>
          </w:rPr>
          <w:tab/>
        </w:r>
        <w:r>
          <w:rPr>
            <w:webHidden/>
          </w:rPr>
          <w:fldChar w:fldCharType="begin"/>
        </w:r>
        <w:r>
          <w:rPr>
            <w:webHidden/>
          </w:rPr>
          <w:instrText xml:space="preserve"> PAGEREF _Toc204853415 \h </w:instrText>
        </w:r>
        <w:r>
          <w:rPr>
            <w:webHidden/>
          </w:rPr>
        </w:r>
        <w:r>
          <w:rPr>
            <w:webHidden/>
          </w:rPr>
          <w:fldChar w:fldCharType="separate"/>
        </w:r>
        <w:r>
          <w:rPr>
            <w:webHidden/>
          </w:rPr>
          <w:t>10</w:t>
        </w:r>
        <w:r>
          <w:rPr>
            <w:webHidden/>
          </w:rPr>
          <w:fldChar w:fldCharType="end"/>
        </w:r>
      </w:hyperlink>
    </w:p>
    <w:p w14:paraId="33200C4F" w14:textId="1000079A"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6" w:history="1">
        <w:r w:rsidRPr="006C5461">
          <w:rPr>
            <w:rStyle w:val="Hyperlink"/>
          </w:rPr>
          <w:t>Effective financial management</w:t>
        </w:r>
        <w:r>
          <w:rPr>
            <w:webHidden/>
          </w:rPr>
          <w:tab/>
        </w:r>
        <w:r>
          <w:rPr>
            <w:webHidden/>
          </w:rPr>
          <w:fldChar w:fldCharType="begin"/>
        </w:r>
        <w:r>
          <w:rPr>
            <w:webHidden/>
          </w:rPr>
          <w:instrText xml:space="preserve"> PAGEREF _Toc204853416 \h </w:instrText>
        </w:r>
        <w:r>
          <w:rPr>
            <w:webHidden/>
          </w:rPr>
        </w:r>
        <w:r>
          <w:rPr>
            <w:webHidden/>
          </w:rPr>
          <w:fldChar w:fldCharType="separate"/>
        </w:r>
        <w:r>
          <w:rPr>
            <w:webHidden/>
          </w:rPr>
          <w:t>11</w:t>
        </w:r>
        <w:r>
          <w:rPr>
            <w:webHidden/>
          </w:rPr>
          <w:fldChar w:fldCharType="end"/>
        </w:r>
      </w:hyperlink>
    </w:p>
    <w:p w14:paraId="6F84F994" w14:textId="169FD659" w:rsidR="00535D2B" w:rsidRDefault="00535D2B">
      <w:pPr>
        <w:pStyle w:val="TOC1"/>
        <w:rPr>
          <w:rFonts w:asciiTheme="minorHAnsi" w:eastAsiaTheme="minorEastAsia" w:hAnsiTheme="minorHAnsi" w:cstheme="minorBidi"/>
          <w:b w:val="0"/>
          <w:kern w:val="2"/>
          <w:sz w:val="24"/>
          <w:szCs w:val="24"/>
          <w:lang w:eastAsia="en-AU"/>
          <w14:ligatures w14:val="standardContextual"/>
        </w:rPr>
      </w:pPr>
      <w:hyperlink w:anchor="_Toc204853417" w:history="1">
        <w:r w:rsidRPr="006C5461">
          <w:rPr>
            <w:rStyle w:val="Hyperlink"/>
          </w:rPr>
          <w:t>Business rules</w:t>
        </w:r>
        <w:r>
          <w:rPr>
            <w:webHidden/>
          </w:rPr>
          <w:tab/>
        </w:r>
        <w:r>
          <w:rPr>
            <w:webHidden/>
          </w:rPr>
          <w:fldChar w:fldCharType="begin"/>
        </w:r>
        <w:r>
          <w:rPr>
            <w:webHidden/>
          </w:rPr>
          <w:instrText xml:space="preserve"> PAGEREF _Toc204853417 \h </w:instrText>
        </w:r>
        <w:r>
          <w:rPr>
            <w:webHidden/>
          </w:rPr>
        </w:r>
        <w:r>
          <w:rPr>
            <w:webHidden/>
          </w:rPr>
          <w:fldChar w:fldCharType="separate"/>
        </w:r>
        <w:r>
          <w:rPr>
            <w:webHidden/>
          </w:rPr>
          <w:t>13</w:t>
        </w:r>
        <w:r>
          <w:rPr>
            <w:webHidden/>
          </w:rPr>
          <w:fldChar w:fldCharType="end"/>
        </w:r>
      </w:hyperlink>
    </w:p>
    <w:p w14:paraId="5B679C86" w14:textId="3EEFE7D2"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8" w:history="1">
        <w:r w:rsidRPr="006C5461">
          <w:rPr>
            <w:rStyle w:val="Hyperlink"/>
          </w:rPr>
          <w:t>High quality and safe care</w:t>
        </w:r>
        <w:r>
          <w:rPr>
            <w:webHidden/>
          </w:rPr>
          <w:tab/>
        </w:r>
        <w:r>
          <w:rPr>
            <w:webHidden/>
          </w:rPr>
          <w:fldChar w:fldCharType="begin"/>
        </w:r>
        <w:r>
          <w:rPr>
            <w:webHidden/>
          </w:rPr>
          <w:instrText xml:space="preserve"> PAGEREF _Toc204853418 \h </w:instrText>
        </w:r>
        <w:r>
          <w:rPr>
            <w:webHidden/>
          </w:rPr>
        </w:r>
        <w:r>
          <w:rPr>
            <w:webHidden/>
          </w:rPr>
          <w:fldChar w:fldCharType="separate"/>
        </w:r>
        <w:r>
          <w:rPr>
            <w:webHidden/>
          </w:rPr>
          <w:t>13</w:t>
        </w:r>
        <w:r>
          <w:rPr>
            <w:webHidden/>
          </w:rPr>
          <w:fldChar w:fldCharType="end"/>
        </w:r>
      </w:hyperlink>
    </w:p>
    <w:p w14:paraId="30ECA0F7" w14:textId="6ED77150"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19" w:history="1">
        <w:r w:rsidRPr="006C5461">
          <w:rPr>
            <w:rStyle w:val="Hyperlink"/>
          </w:rPr>
          <w:t>Strong governance, leadership and culture</w:t>
        </w:r>
        <w:r>
          <w:rPr>
            <w:webHidden/>
          </w:rPr>
          <w:tab/>
        </w:r>
        <w:r>
          <w:rPr>
            <w:webHidden/>
          </w:rPr>
          <w:fldChar w:fldCharType="begin"/>
        </w:r>
        <w:r>
          <w:rPr>
            <w:webHidden/>
          </w:rPr>
          <w:instrText xml:space="preserve"> PAGEREF _Toc204853419 \h </w:instrText>
        </w:r>
        <w:r>
          <w:rPr>
            <w:webHidden/>
          </w:rPr>
        </w:r>
        <w:r>
          <w:rPr>
            <w:webHidden/>
          </w:rPr>
          <w:fldChar w:fldCharType="separate"/>
        </w:r>
        <w:r>
          <w:rPr>
            <w:webHidden/>
          </w:rPr>
          <w:t>32</w:t>
        </w:r>
        <w:r>
          <w:rPr>
            <w:webHidden/>
          </w:rPr>
          <w:fldChar w:fldCharType="end"/>
        </w:r>
      </w:hyperlink>
    </w:p>
    <w:p w14:paraId="00E7E6DF" w14:textId="0C78EE06"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20" w:history="1">
        <w:r w:rsidRPr="006C5461">
          <w:rPr>
            <w:rStyle w:val="Hyperlink"/>
          </w:rPr>
          <w:t>Timely access to care</w:t>
        </w:r>
        <w:r>
          <w:rPr>
            <w:webHidden/>
          </w:rPr>
          <w:tab/>
        </w:r>
        <w:r>
          <w:rPr>
            <w:webHidden/>
          </w:rPr>
          <w:fldChar w:fldCharType="begin"/>
        </w:r>
        <w:r>
          <w:rPr>
            <w:webHidden/>
          </w:rPr>
          <w:instrText xml:space="preserve"> PAGEREF _Toc204853420 \h </w:instrText>
        </w:r>
        <w:r>
          <w:rPr>
            <w:webHidden/>
          </w:rPr>
        </w:r>
        <w:r>
          <w:rPr>
            <w:webHidden/>
          </w:rPr>
          <w:fldChar w:fldCharType="separate"/>
        </w:r>
        <w:r>
          <w:rPr>
            <w:webHidden/>
          </w:rPr>
          <w:t>33</w:t>
        </w:r>
        <w:r>
          <w:rPr>
            <w:webHidden/>
          </w:rPr>
          <w:fldChar w:fldCharType="end"/>
        </w:r>
      </w:hyperlink>
    </w:p>
    <w:p w14:paraId="5B90A2E5" w14:textId="1924C9D1"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21" w:history="1">
        <w:r w:rsidRPr="006C5461">
          <w:rPr>
            <w:rStyle w:val="Hyperlink"/>
          </w:rPr>
          <w:t>Effective financial management</w:t>
        </w:r>
        <w:r>
          <w:rPr>
            <w:webHidden/>
          </w:rPr>
          <w:tab/>
        </w:r>
        <w:r>
          <w:rPr>
            <w:webHidden/>
          </w:rPr>
          <w:fldChar w:fldCharType="begin"/>
        </w:r>
        <w:r>
          <w:rPr>
            <w:webHidden/>
          </w:rPr>
          <w:instrText xml:space="preserve"> PAGEREF _Toc204853421 \h </w:instrText>
        </w:r>
        <w:r>
          <w:rPr>
            <w:webHidden/>
          </w:rPr>
        </w:r>
        <w:r>
          <w:rPr>
            <w:webHidden/>
          </w:rPr>
          <w:fldChar w:fldCharType="separate"/>
        </w:r>
        <w:r>
          <w:rPr>
            <w:webHidden/>
          </w:rPr>
          <w:t>58</w:t>
        </w:r>
        <w:r>
          <w:rPr>
            <w:webHidden/>
          </w:rPr>
          <w:fldChar w:fldCharType="end"/>
        </w:r>
      </w:hyperlink>
    </w:p>
    <w:p w14:paraId="56C619A3" w14:textId="629FE640" w:rsidR="00535D2B" w:rsidRDefault="00535D2B">
      <w:pPr>
        <w:pStyle w:val="TOC1"/>
        <w:rPr>
          <w:rFonts w:asciiTheme="minorHAnsi" w:eastAsiaTheme="minorEastAsia" w:hAnsiTheme="minorHAnsi" w:cstheme="minorBidi"/>
          <w:b w:val="0"/>
          <w:kern w:val="2"/>
          <w:sz w:val="24"/>
          <w:szCs w:val="24"/>
          <w:lang w:eastAsia="en-AU"/>
          <w14:ligatures w14:val="standardContextual"/>
        </w:rPr>
      </w:pPr>
      <w:hyperlink w:anchor="_Toc204853422" w:history="1">
        <w:r w:rsidRPr="006C5461">
          <w:rPr>
            <w:rStyle w:val="Hyperlink"/>
          </w:rPr>
          <w:t>Appendices</w:t>
        </w:r>
        <w:r>
          <w:rPr>
            <w:webHidden/>
          </w:rPr>
          <w:tab/>
        </w:r>
        <w:r>
          <w:rPr>
            <w:webHidden/>
          </w:rPr>
          <w:fldChar w:fldCharType="begin"/>
        </w:r>
        <w:r>
          <w:rPr>
            <w:webHidden/>
          </w:rPr>
          <w:instrText xml:space="preserve"> PAGEREF _Toc204853422 \h </w:instrText>
        </w:r>
        <w:r>
          <w:rPr>
            <w:webHidden/>
          </w:rPr>
        </w:r>
        <w:r>
          <w:rPr>
            <w:webHidden/>
          </w:rPr>
          <w:fldChar w:fldCharType="separate"/>
        </w:r>
        <w:r>
          <w:rPr>
            <w:webHidden/>
          </w:rPr>
          <w:t>62</w:t>
        </w:r>
        <w:r>
          <w:rPr>
            <w:webHidden/>
          </w:rPr>
          <w:fldChar w:fldCharType="end"/>
        </w:r>
      </w:hyperlink>
    </w:p>
    <w:p w14:paraId="08D25D7B" w14:textId="5D87C4D4" w:rsidR="00535D2B" w:rsidRDefault="00535D2B">
      <w:pPr>
        <w:pStyle w:val="TOC1"/>
        <w:rPr>
          <w:rFonts w:asciiTheme="minorHAnsi" w:eastAsiaTheme="minorEastAsia" w:hAnsiTheme="minorHAnsi" w:cstheme="minorBidi"/>
          <w:b w:val="0"/>
          <w:kern w:val="2"/>
          <w:sz w:val="24"/>
          <w:szCs w:val="24"/>
          <w:lang w:eastAsia="en-AU"/>
          <w14:ligatures w14:val="standardContextual"/>
        </w:rPr>
      </w:pPr>
      <w:hyperlink w:anchor="_Toc204853423" w:history="1">
        <w:r w:rsidRPr="006C5461">
          <w:rPr>
            <w:rStyle w:val="Hyperlink"/>
          </w:rPr>
          <w:t>Appendix A – Ambulance Victoria</w:t>
        </w:r>
        <w:r>
          <w:rPr>
            <w:webHidden/>
          </w:rPr>
          <w:tab/>
        </w:r>
        <w:r>
          <w:rPr>
            <w:webHidden/>
          </w:rPr>
          <w:fldChar w:fldCharType="begin"/>
        </w:r>
        <w:r>
          <w:rPr>
            <w:webHidden/>
          </w:rPr>
          <w:instrText xml:space="preserve"> PAGEREF _Toc204853423 \h </w:instrText>
        </w:r>
        <w:r>
          <w:rPr>
            <w:webHidden/>
          </w:rPr>
        </w:r>
        <w:r>
          <w:rPr>
            <w:webHidden/>
          </w:rPr>
          <w:fldChar w:fldCharType="separate"/>
        </w:r>
        <w:r>
          <w:rPr>
            <w:webHidden/>
          </w:rPr>
          <w:t>63</w:t>
        </w:r>
        <w:r>
          <w:rPr>
            <w:webHidden/>
          </w:rPr>
          <w:fldChar w:fldCharType="end"/>
        </w:r>
      </w:hyperlink>
    </w:p>
    <w:p w14:paraId="0958F44E" w14:textId="02128280"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24" w:history="1">
        <w:r w:rsidRPr="006C5461">
          <w:rPr>
            <w:rStyle w:val="Hyperlink"/>
          </w:rPr>
          <w:t>Ambulance Victoria – Change summary</w:t>
        </w:r>
        <w:r>
          <w:rPr>
            <w:webHidden/>
          </w:rPr>
          <w:tab/>
        </w:r>
        <w:r>
          <w:rPr>
            <w:webHidden/>
          </w:rPr>
          <w:fldChar w:fldCharType="begin"/>
        </w:r>
        <w:r>
          <w:rPr>
            <w:webHidden/>
          </w:rPr>
          <w:instrText xml:space="preserve"> PAGEREF _Toc204853424 \h </w:instrText>
        </w:r>
        <w:r>
          <w:rPr>
            <w:webHidden/>
          </w:rPr>
        </w:r>
        <w:r>
          <w:rPr>
            <w:webHidden/>
          </w:rPr>
          <w:fldChar w:fldCharType="separate"/>
        </w:r>
        <w:r>
          <w:rPr>
            <w:webHidden/>
          </w:rPr>
          <w:t>63</w:t>
        </w:r>
        <w:r>
          <w:rPr>
            <w:webHidden/>
          </w:rPr>
          <w:fldChar w:fldCharType="end"/>
        </w:r>
      </w:hyperlink>
    </w:p>
    <w:p w14:paraId="34A105CA" w14:textId="7A1972B5"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25" w:history="1">
        <w:r w:rsidRPr="006C5461">
          <w:rPr>
            <w:rStyle w:val="Hyperlink"/>
          </w:rPr>
          <w:t>Ambulance Victoria – Key performance measures</w:t>
        </w:r>
        <w:r>
          <w:rPr>
            <w:webHidden/>
          </w:rPr>
          <w:tab/>
        </w:r>
        <w:r>
          <w:rPr>
            <w:webHidden/>
          </w:rPr>
          <w:fldChar w:fldCharType="begin"/>
        </w:r>
        <w:r>
          <w:rPr>
            <w:webHidden/>
          </w:rPr>
          <w:instrText xml:space="preserve"> PAGEREF _Toc204853425 \h </w:instrText>
        </w:r>
        <w:r>
          <w:rPr>
            <w:webHidden/>
          </w:rPr>
        </w:r>
        <w:r>
          <w:rPr>
            <w:webHidden/>
          </w:rPr>
          <w:fldChar w:fldCharType="separate"/>
        </w:r>
        <w:r>
          <w:rPr>
            <w:webHidden/>
          </w:rPr>
          <w:t>64</w:t>
        </w:r>
        <w:r>
          <w:rPr>
            <w:webHidden/>
          </w:rPr>
          <w:fldChar w:fldCharType="end"/>
        </w:r>
      </w:hyperlink>
    </w:p>
    <w:p w14:paraId="2067EBBA" w14:textId="204A275C" w:rsidR="00535D2B" w:rsidRDefault="00535D2B">
      <w:pPr>
        <w:pStyle w:val="TOC1"/>
        <w:rPr>
          <w:rFonts w:asciiTheme="minorHAnsi" w:eastAsiaTheme="minorEastAsia" w:hAnsiTheme="minorHAnsi" w:cstheme="minorBidi"/>
          <w:b w:val="0"/>
          <w:kern w:val="2"/>
          <w:sz w:val="24"/>
          <w:szCs w:val="24"/>
          <w:lang w:eastAsia="en-AU"/>
          <w14:ligatures w14:val="standardContextual"/>
        </w:rPr>
      </w:pPr>
      <w:hyperlink w:anchor="_Toc204853426" w:history="1">
        <w:r w:rsidRPr="006C5461">
          <w:rPr>
            <w:rStyle w:val="Hyperlink"/>
          </w:rPr>
          <w:t>Appendix B – Forensicare</w:t>
        </w:r>
        <w:r>
          <w:rPr>
            <w:webHidden/>
          </w:rPr>
          <w:tab/>
        </w:r>
        <w:r>
          <w:rPr>
            <w:webHidden/>
          </w:rPr>
          <w:fldChar w:fldCharType="begin"/>
        </w:r>
        <w:r>
          <w:rPr>
            <w:webHidden/>
          </w:rPr>
          <w:instrText xml:space="preserve"> PAGEREF _Toc204853426 \h </w:instrText>
        </w:r>
        <w:r>
          <w:rPr>
            <w:webHidden/>
          </w:rPr>
        </w:r>
        <w:r>
          <w:rPr>
            <w:webHidden/>
          </w:rPr>
          <w:fldChar w:fldCharType="separate"/>
        </w:r>
        <w:r>
          <w:rPr>
            <w:webHidden/>
          </w:rPr>
          <w:t>66</w:t>
        </w:r>
        <w:r>
          <w:rPr>
            <w:webHidden/>
          </w:rPr>
          <w:fldChar w:fldCharType="end"/>
        </w:r>
      </w:hyperlink>
    </w:p>
    <w:p w14:paraId="4DCB1423" w14:textId="16C0B722"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27" w:history="1">
        <w:r w:rsidRPr="006C5461">
          <w:rPr>
            <w:rStyle w:val="Hyperlink"/>
          </w:rPr>
          <w:t>Forensicare – Change summary</w:t>
        </w:r>
        <w:r>
          <w:rPr>
            <w:webHidden/>
          </w:rPr>
          <w:tab/>
        </w:r>
        <w:r>
          <w:rPr>
            <w:webHidden/>
          </w:rPr>
          <w:fldChar w:fldCharType="begin"/>
        </w:r>
        <w:r>
          <w:rPr>
            <w:webHidden/>
          </w:rPr>
          <w:instrText xml:space="preserve"> PAGEREF _Toc204853427 \h </w:instrText>
        </w:r>
        <w:r>
          <w:rPr>
            <w:webHidden/>
          </w:rPr>
        </w:r>
        <w:r>
          <w:rPr>
            <w:webHidden/>
          </w:rPr>
          <w:fldChar w:fldCharType="separate"/>
        </w:r>
        <w:r>
          <w:rPr>
            <w:webHidden/>
          </w:rPr>
          <w:t>66</w:t>
        </w:r>
        <w:r>
          <w:rPr>
            <w:webHidden/>
          </w:rPr>
          <w:fldChar w:fldCharType="end"/>
        </w:r>
      </w:hyperlink>
    </w:p>
    <w:p w14:paraId="02D06D31" w14:textId="4124B0B7" w:rsidR="00535D2B" w:rsidRDefault="00535D2B">
      <w:pPr>
        <w:pStyle w:val="TOC2"/>
        <w:rPr>
          <w:rFonts w:asciiTheme="minorHAnsi" w:eastAsiaTheme="minorEastAsia" w:hAnsiTheme="minorHAnsi" w:cstheme="minorBidi"/>
          <w:kern w:val="2"/>
          <w:sz w:val="24"/>
          <w:szCs w:val="24"/>
          <w:lang w:eastAsia="en-AU"/>
          <w14:ligatures w14:val="standardContextual"/>
        </w:rPr>
      </w:pPr>
      <w:hyperlink w:anchor="_Toc204853428" w:history="1">
        <w:r w:rsidRPr="006C5461">
          <w:rPr>
            <w:rStyle w:val="Hyperlink"/>
          </w:rPr>
          <w:t>Forensicare – Key performance measures</w:t>
        </w:r>
        <w:r>
          <w:rPr>
            <w:webHidden/>
          </w:rPr>
          <w:tab/>
        </w:r>
        <w:r>
          <w:rPr>
            <w:webHidden/>
          </w:rPr>
          <w:fldChar w:fldCharType="begin"/>
        </w:r>
        <w:r>
          <w:rPr>
            <w:webHidden/>
          </w:rPr>
          <w:instrText xml:space="preserve"> PAGEREF _Toc204853428 \h </w:instrText>
        </w:r>
        <w:r>
          <w:rPr>
            <w:webHidden/>
          </w:rPr>
        </w:r>
        <w:r>
          <w:rPr>
            <w:webHidden/>
          </w:rPr>
          <w:fldChar w:fldCharType="separate"/>
        </w:r>
        <w:r>
          <w:rPr>
            <w:webHidden/>
          </w:rPr>
          <w:t>67</w:t>
        </w:r>
        <w:r>
          <w:rPr>
            <w:webHidden/>
          </w:rPr>
          <w:fldChar w:fldCharType="end"/>
        </w:r>
      </w:hyperlink>
    </w:p>
    <w:p w14:paraId="10F9A88D" w14:textId="7EBFFAC0" w:rsidR="00535D2B" w:rsidRDefault="00535D2B">
      <w:pPr>
        <w:pStyle w:val="TOC1"/>
        <w:rPr>
          <w:rFonts w:asciiTheme="minorHAnsi" w:eastAsiaTheme="minorEastAsia" w:hAnsiTheme="minorHAnsi" w:cstheme="minorBidi"/>
          <w:b w:val="0"/>
          <w:kern w:val="2"/>
          <w:sz w:val="24"/>
          <w:szCs w:val="24"/>
          <w:lang w:eastAsia="en-AU"/>
          <w14:ligatures w14:val="standardContextual"/>
        </w:rPr>
      </w:pPr>
      <w:hyperlink w:anchor="_Toc204853429" w:history="1">
        <w:r w:rsidRPr="006C5461">
          <w:rPr>
            <w:rStyle w:val="Hyperlink"/>
          </w:rPr>
          <w:t>Endnotes</w:t>
        </w:r>
        <w:r>
          <w:rPr>
            <w:webHidden/>
          </w:rPr>
          <w:tab/>
        </w:r>
        <w:r>
          <w:rPr>
            <w:webHidden/>
          </w:rPr>
          <w:fldChar w:fldCharType="begin"/>
        </w:r>
        <w:r>
          <w:rPr>
            <w:webHidden/>
          </w:rPr>
          <w:instrText xml:space="preserve"> PAGEREF _Toc204853429 \h </w:instrText>
        </w:r>
        <w:r>
          <w:rPr>
            <w:webHidden/>
          </w:rPr>
        </w:r>
        <w:r>
          <w:rPr>
            <w:webHidden/>
          </w:rPr>
          <w:fldChar w:fldCharType="separate"/>
        </w:r>
        <w:r>
          <w:rPr>
            <w:webHidden/>
          </w:rPr>
          <w:t>70</w:t>
        </w:r>
        <w:r>
          <w:rPr>
            <w:webHidden/>
          </w:rPr>
          <w:fldChar w:fldCharType="end"/>
        </w:r>
      </w:hyperlink>
    </w:p>
    <w:p w14:paraId="600D06AE" w14:textId="1C11708C" w:rsidR="00FB1F6E" w:rsidRPr="00315936" w:rsidRDefault="00AD784C" w:rsidP="00D079AA">
      <w:pPr>
        <w:pStyle w:val="Body"/>
      </w:pPr>
      <w:r w:rsidRPr="00315936">
        <w:fldChar w:fldCharType="end"/>
      </w:r>
    </w:p>
    <w:p w14:paraId="6EC63832" w14:textId="77777777" w:rsidR="00FB1F6E" w:rsidRPr="00315936" w:rsidRDefault="00FB1F6E">
      <w:pPr>
        <w:spacing w:after="0" w:line="240" w:lineRule="auto"/>
        <w:rPr>
          <w:rFonts w:eastAsia="Times"/>
        </w:rPr>
      </w:pPr>
      <w:r w:rsidRPr="00315936">
        <w:br w:type="page"/>
      </w:r>
    </w:p>
    <w:p w14:paraId="120A4AA0" w14:textId="7AC05F35" w:rsidR="00EE29AD" w:rsidRPr="00315936" w:rsidRDefault="00F90ED9" w:rsidP="0072516C">
      <w:pPr>
        <w:pStyle w:val="Heading1"/>
        <w:tabs>
          <w:tab w:val="center" w:pos="4649"/>
        </w:tabs>
      </w:pPr>
      <w:bookmarkStart w:id="1" w:name="_Toc204853405"/>
      <w:bookmarkStart w:id="2" w:name="_Hlk66712316"/>
      <w:r w:rsidRPr="00315936">
        <w:lastRenderedPageBreak/>
        <w:t>Introduction</w:t>
      </w:r>
      <w:bookmarkEnd w:id="1"/>
      <w:r w:rsidR="0072516C">
        <w:tab/>
      </w:r>
    </w:p>
    <w:p w14:paraId="6675877B" w14:textId="6379F657" w:rsidR="00041A3C" w:rsidRPr="00315936" w:rsidRDefault="00041A3C" w:rsidP="00A239B2">
      <w:pPr>
        <w:pStyle w:val="Body"/>
      </w:pPr>
      <w:r w:rsidRPr="00315936">
        <w:t>All Victorian</w:t>
      </w:r>
      <w:r w:rsidR="00153B6B" w:rsidRPr="00315936">
        <w:t xml:space="preserve"> public health services </w:t>
      </w:r>
      <w:r w:rsidR="00FB738C" w:rsidRPr="00315936">
        <w:t>including Ambulance Victoria</w:t>
      </w:r>
      <w:r w:rsidR="00FD6CC6" w:rsidRPr="00315936">
        <w:t xml:space="preserve"> and the Victorian Institute of Forensic Mental Health (Forensicare)</w:t>
      </w:r>
      <w:r w:rsidR="00E05C2B" w:rsidRPr="00315936">
        <w:t xml:space="preserve">, agree to </w:t>
      </w:r>
      <w:r w:rsidR="00180017" w:rsidRPr="00315936">
        <w:t>a</w:t>
      </w:r>
      <w:r w:rsidR="00D11123" w:rsidRPr="00315936">
        <w:t>n annual</w:t>
      </w:r>
      <w:r w:rsidR="00180017" w:rsidRPr="00315936">
        <w:t xml:space="preserve"> Statement of Priorities (</w:t>
      </w:r>
      <w:r w:rsidR="00BE088E" w:rsidRPr="00315936">
        <w:t>SoP</w:t>
      </w:r>
      <w:r w:rsidR="00180017" w:rsidRPr="00315936">
        <w:t>)</w:t>
      </w:r>
      <w:r w:rsidR="000C0209" w:rsidRPr="00315936">
        <w:t xml:space="preserve"> with</w:t>
      </w:r>
      <w:r w:rsidR="00AC6224" w:rsidRPr="00315936">
        <w:t xml:space="preserve"> the Minister for Health. The</w:t>
      </w:r>
      <w:r w:rsidR="00DC3402" w:rsidRPr="00315936">
        <w:t xml:space="preserve"> </w:t>
      </w:r>
      <w:r w:rsidR="007B6C58" w:rsidRPr="00315936">
        <w:t>SoPs</w:t>
      </w:r>
      <w:r w:rsidR="00AC6224" w:rsidRPr="00315936">
        <w:t xml:space="preserve"> outline</w:t>
      </w:r>
      <w:r w:rsidR="00F13171" w:rsidRPr="00315936">
        <w:t xml:space="preserve"> key performance expectations</w:t>
      </w:r>
      <w:r w:rsidR="00C21A48" w:rsidRPr="00315936">
        <w:t xml:space="preserve">, targets, funding and </w:t>
      </w:r>
      <w:r w:rsidR="00CF41AA" w:rsidRPr="00315936">
        <w:t>department priorities</w:t>
      </w:r>
      <w:r w:rsidR="00D524C6" w:rsidRPr="00315936">
        <w:t xml:space="preserve"> for the financial year.</w:t>
      </w:r>
      <w:r w:rsidR="008A4FAB" w:rsidRPr="00315936">
        <w:t xml:space="preserve"> The</w:t>
      </w:r>
      <w:r w:rsidR="006E7430" w:rsidRPr="00315936">
        <w:t xml:space="preserve"> </w:t>
      </w:r>
      <w:r w:rsidR="00481503" w:rsidRPr="00315936">
        <w:t>D</w:t>
      </w:r>
      <w:r w:rsidR="00DA3CFC" w:rsidRPr="00315936">
        <w:t>epartment</w:t>
      </w:r>
      <w:r w:rsidR="003C68CF" w:rsidRPr="00315936">
        <w:t xml:space="preserve"> of Health (the department)</w:t>
      </w:r>
      <w:r w:rsidR="00DA3CFC" w:rsidRPr="00315936">
        <w:t>, as the system manager</w:t>
      </w:r>
      <w:r w:rsidR="00D51AA3" w:rsidRPr="00315936">
        <w:t xml:space="preserve">, ensures </w:t>
      </w:r>
      <w:r w:rsidR="007B6C58" w:rsidRPr="00315936">
        <w:t>SoPs</w:t>
      </w:r>
      <w:r w:rsidR="00EB06BB" w:rsidRPr="00315936">
        <w:t xml:space="preserve"> </w:t>
      </w:r>
      <w:r w:rsidR="00665946" w:rsidRPr="00315936">
        <w:t>align with</w:t>
      </w:r>
      <w:r w:rsidR="00E25552" w:rsidRPr="00315936">
        <w:t xml:space="preserve"> public health services’ plans</w:t>
      </w:r>
      <w:r w:rsidR="00650D1C" w:rsidRPr="00315936">
        <w:t xml:space="preserve"> and </w:t>
      </w:r>
      <w:r w:rsidR="003B1E1E" w:rsidRPr="00315936">
        <w:t>department policy direction</w:t>
      </w:r>
      <w:r w:rsidR="00414061" w:rsidRPr="00315936">
        <w:t>s.</w:t>
      </w:r>
    </w:p>
    <w:p w14:paraId="4833FACB" w14:textId="4817E29D" w:rsidR="00437AB0" w:rsidRPr="00315936" w:rsidRDefault="00437AB0" w:rsidP="00A239B2">
      <w:pPr>
        <w:pStyle w:val="Body"/>
      </w:pPr>
      <w:r w:rsidRPr="00315936">
        <w:t xml:space="preserve">The </w:t>
      </w:r>
      <w:r w:rsidR="007B6C58" w:rsidRPr="00315936">
        <w:t>SoPs</w:t>
      </w:r>
      <w:r w:rsidR="00287E66" w:rsidRPr="00315936">
        <w:t xml:space="preserve"> consist of four parts:</w:t>
      </w:r>
    </w:p>
    <w:p w14:paraId="445EC574" w14:textId="58EC4FE8" w:rsidR="00287E66" w:rsidRPr="00315936" w:rsidRDefault="00B77417" w:rsidP="00AF1CD0">
      <w:pPr>
        <w:pStyle w:val="Bullet1"/>
      </w:pPr>
      <w:r w:rsidRPr="00315936">
        <w:t>Part A</w:t>
      </w:r>
      <w:r w:rsidR="00790494" w:rsidRPr="00315936">
        <w:t xml:space="preserve"> p</w:t>
      </w:r>
      <w:r w:rsidR="00496727" w:rsidRPr="00315936">
        <w:t>rovide</w:t>
      </w:r>
      <w:r w:rsidR="00DC28CA" w:rsidRPr="00315936">
        <w:t>s an over</w:t>
      </w:r>
      <w:r w:rsidR="002E57D8" w:rsidRPr="00315936">
        <w:t xml:space="preserve">view of service profiles, strategic priorities and deliverables for the upcoming financial year </w:t>
      </w:r>
    </w:p>
    <w:p w14:paraId="22C8DC7C" w14:textId="7CC24B1F" w:rsidR="002E57D8" w:rsidRPr="00315936" w:rsidRDefault="002E57D8" w:rsidP="00AF1CD0">
      <w:pPr>
        <w:pStyle w:val="Bullet1"/>
      </w:pPr>
      <w:r w:rsidRPr="00315936">
        <w:t>Part B</w:t>
      </w:r>
      <w:r w:rsidR="00790494" w:rsidRPr="00315936">
        <w:t xml:space="preserve"> p</w:t>
      </w:r>
      <w:r w:rsidR="008F3581" w:rsidRPr="00315936">
        <w:t xml:space="preserve">rovides </w:t>
      </w:r>
      <w:r w:rsidR="00901F68" w:rsidRPr="00315936">
        <w:t>key financial</w:t>
      </w:r>
      <w:r w:rsidR="003D64FF" w:rsidRPr="00315936">
        <w:t xml:space="preserve">, access and service performance </w:t>
      </w:r>
      <w:r w:rsidR="0001297A" w:rsidRPr="00315936">
        <w:t>priorities</w:t>
      </w:r>
      <w:r w:rsidR="003D64FF" w:rsidRPr="00315936">
        <w:t xml:space="preserve"> and targets</w:t>
      </w:r>
    </w:p>
    <w:p w14:paraId="4C7D8B8F" w14:textId="58C51584" w:rsidR="003D64FF" w:rsidRPr="00315936" w:rsidRDefault="003D64FF" w:rsidP="00AF1CD0">
      <w:pPr>
        <w:pStyle w:val="Bullet1"/>
      </w:pPr>
      <w:r w:rsidRPr="00315936">
        <w:t>Part C</w:t>
      </w:r>
      <w:r w:rsidR="00790494" w:rsidRPr="00315936">
        <w:t xml:space="preserve"> outlines</w:t>
      </w:r>
      <w:r w:rsidR="004418DE" w:rsidRPr="00315936">
        <w:t xml:space="preserve"> funding and associated activity</w:t>
      </w:r>
    </w:p>
    <w:p w14:paraId="1889EA79" w14:textId="5623554E" w:rsidR="00C010FE" w:rsidRPr="00315936" w:rsidRDefault="00C010FE" w:rsidP="00AF1CD0">
      <w:pPr>
        <w:pStyle w:val="Bullet1"/>
      </w:pPr>
      <w:r w:rsidRPr="00315936">
        <w:t>Part D</w:t>
      </w:r>
      <w:r w:rsidR="00B05A10" w:rsidRPr="00315936">
        <w:t xml:space="preserve"> c</w:t>
      </w:r>
      <w:r w:rsidR="00403F03" w:rsidRPr="00315936">
        <w:t>ontains</w:t>
      </w:r>
      <w:r w:rsidR="0059157A" w:rsidRPr="00315936">
        <w:t xml:space="preserve"> the </w:t>
      </w:r>
      <w:r w:rsidR="00C5658B" w:rsidRPr="00315936">
        <w:t>service agreement between each health service and the State of Victoria under the National Health Reform Agreement</w:t>
      </w:r>
      <w:r w:rsidR="00606730" w:rsidRPr="00315936">
        <w:t>.</w:t>
      </w:r>
    </w:p>
    <w:p w14:paraId="28AD120B" w14:textId="368DA893" w:rsidR="007E24CD" w:rsidRPr="00315936" w:rsidRDefault="007E24CD" w:rsidP="00A239B2">
      <w:pPr>
        <w:pStyle w:val="Body"/>
      </w:pPr>
      <w:r w:rsidRPr="00315936">
        <w:t xml:space="preserve">The </w:t>
      </w:r>
      <w:r w:rsidR="000870D8" w:rsidRPr="00315936">
        <w:t>Victorian Health Services Performance Monitoring Framework (PMF)</w:t>
      </w:r>
      <w:r w:rsidR="0096665E" w:rsidRPr="00315936">
        <w:t xml:space="preserve"> </w:t>
      </w:r>
      <w:r w:rsidR="0028155B" w:rsidRPr="00315936">
        <w:t>details</w:t>
      </w:r>
      <w:r w:rsidR="0096665E" w:rsidRPr="00315936">
        <w:t xml:space="preserve"> the mechanisms used to monitor</w:t>
      </w:r>
      <w:r w:rsidR="00095327" w:rsidRPr="00315936">
        <w:t xml:space="preserve"> health service performance against </w:t>
      </w:r>
      <w:r w:rsidR="009C3916" w:rsidRPr="00315936">
        <w:t xml:space="preserve">the </w:t>
      </w:r>
      <w:r w:rsidR="007B6C58" w:rsidRPr="00315936">
        <w:t>SoPs</w:t>
      </w:r>
      <w:r w:rsidR="004B77C6" w:rsidRPr="00315936">
        <w:t>.</w:t>
      </w:r>
      <w:r w:rsidR="00F8205A" w:rsidRPr="00315936">
        <w:t xml:space="preserve"> It promotes transparency, shared accountability for performance improvement and informs future policy and planning. It </w:t>
      </w:r>
      <w:r w:rsidR="00B613B4" w:rsidRPr="00315936">
        <w:t>defines</w:t>
      </w:r>
      <w:r w:rsidR="00F8205A" w:rsidRPr="00315936">
        <w:t xml:space="preserve"> the roles of the department and Safer Care Victoria (SCV) in developing and monitoring best practice </w:t>
      </w:r>
      <w:r w:rsidR="00C3016B" w:rsidRPr="00315936">
        <w:t>measure</w:t>
      </w:r>
      <w:r w:rsidR="00F8205A" w:rsidRPr="00315936">
        <w:t xml:space="preserve">s for implementing health service performance strategies. </w:t>
      </w:r>
    </w:p>
    <w:p w14:paraId="2FDDA99A" w14:textId="5349C1B2" w:rsidR="00454A7D" w:rsidRPr="00315936" w:rsidRDefault="00F90ED9" w:rsidP="00A239B2">
      <w:pPr>
        <w:pStyle w:val="Body"/>
      </w:pPr>
      <w:r w:rsidRPr="00315936">
        <w:t>This document complements the PMF by outlining the business rules for each performance measure</w:t>
      </w:r>
      <w:r w:rsidR="00170CA8" w:rsidRPr="00315936">
        <w:t xml:space="preserve"> contained within</w:t>
      </w:r>
      <w:r w:rsidR="00CE444B" w:rsidRPr="00315936">
        <w:t xml:space="preserve"> Part B of the </w:t>
      </w:r>
      <w:r w:rsidR="00A239B2" w:rsidRPr="00315936">
        <w:t>SoP</w:t>
      </w:r>
      <w:r w:rsidR="00FD3654" w:rsidRPr="00315936">
        <w:t xml:space="preserve"> and </w:t>
      </w:r>
      <w:r w:rsidR="00E22EAC" w:rsidRPr="00315936">
        <w:t>the Victorian Health Services Performance Monitor (Monitor) report</w:t>
      </w:r>
      <w:r w:rsidRPr="00315936">
        <w:t xml:space="preserve">. </w:t>
      </w:r>
      <w:r w:rsidR="00454A7D" w:rsidRPr="00315936">
        <w:t xml:space="preserve"> </w:t>
      </w:r>
    </w:p>
    <w:p w14:paraId="6D1531DB" w14:textId="7771C65F" w:rsidR="00EA7B77" w:rsidRPr="00315936" w:rsidRDefault="000E6286" w:rsidP="009D44A2">
      <w:pPr>
        <w:pStyle w:val="Heading2"/>
      </w:pPr>
      <w:bookmarkStart w:id="3" w:name="_Toc628376949"/>
      <w:bookmarkStart w:id="4" w:name="_Toc204853406"/>
      <w:r w:rsidRPr="00315936">
        <w:t>Accountability and monitoring</w:t>
      </w:r>
      <w:bookmarkEnd w:id="3"/>
      <w:bookmarkEnd w:id="4"/>
    </w:p>
    <w:p w14:paraId="0CC159D4" w14:textId="3BB4D408" w:rsidR="00E05652" w:rsidRPr="00315936" w:rsidRDefault="00C468DA" w:rsidP="00E03312">
      <w:pPr>
        <w:pStyle w:val="Body"/>
      </w:pPr>
      <w:r w:rsidRPr="00315936">
        <w:t xml:space="preserve">Health services </w:t>
      </w:r>
      <w:r w:rsidR="00713595" w:rsidRPr="00315936">
        <w:t>remain</w:t>
      </w:r>
      <w:r w:rsidR="000E6286" w:rsidRPr="00315936">
        <w:t xml:space="preserve"> accountable for performance </w:t>
      </w:r>
      <w:r w:rsidR="007721DE" w:rsidRPr="00315936">
        <w:t>measures</w:t>
      </w:r>
      <w:r w:rsidR="000E6286" w:rsidRPr="00315936">
        <w:t xml:space="preserve"> not listed in </w:t>
      </w:r>
      <w:r w:rsidR="005F4BEF" w:rsidRPr="00315936">
        <w:t xml:space="preserve">the PMF </w:t>
      </w:r>
      <w:r w:rsidR="00F50727">
        <w:t xml:space="preserve">business rules </w:t>
      </w:r>
      <w:r w:rsidR="00910101" w:rsidRPr="00315936">
        <w:t>as mandated by legislation</w:t>
      </w:r>
      <w:r w:rsidR="001C44CA" w:rsidRPr="00315936">
        <w:t xml:space="preserve">. </w:t>
      </w:r>
      <w:r w:rsidR="00744578" w:rsidRPr="00315936">
        <w:t xml:space="preserve">Removed </w:t>
      </w:r>
      <w:r w:rsidR="006D3281" w:rsidRPr="00315936">
        <w:t xml:space="preserve">measures </w:t>
      </w:r>
      <w:r w:rsidR="00573C98" w:rsidRPr="00315936">
        <w:t>will remain under departmental risk monitoring</w:t>
      </w:r>
      <w:r w:rsidR="009530BE" w:rsidRPr="00315936">
        <w:t xml:space="preserve"> in the </w:t>
      </w:r>
      <w:r w:rsidR="00B3522C" w:rsidRPr="00315936">
        <w:t>Program Report for Integrated Service Monitoring (PRISM)</w:t>
      </w:r>
      <w:r w:rsidR="001F0FE6" w:rsidRPr="00315936">
        <w:t xml:space="preserve"> as</w:t>
      </w:r>
      <w:r w:rsidR="002236BC" w:rsidRPr="00315936">
        <w:t>:</w:t>
      </w:r>
    </w:p>
    <w:p w14:paraId="18E50F80" w14:textId="41B8BD07" w:rsidR="00F12052" w:rsidRPr="00315936" w:rsidRDefault="00E05652" w:rsidP="009D44A2">
      <w:pPr>
        <w:pStyle w:val="Tablebullet1"/>
      </w:pPr>
      <w:r w:rsidRPr="00315936">
        <w:t>S</w:t>
      </w:r>
      <w:r w:rsidR="009530BE" w:rsidRPr="00315936">
        <w:t>hadow</w:t>
      </w:r>
      <w:r w:rsidR="00646679" w:rsidRPr="00315936">
        <w:t xml:space="preserve"> measures</w:t>
      </w:r>
      <w:r w:rsidR="00127904" w:rsidRPr="00315936">
        <w:t xml:space="preserve"> which</w:t>
      </w:r>
      <w:r w:rsidR="00FE420B" w:rsidRPr="00315936">
        <w:t xml:space="preserve"> s</w:t>
      </w:r>
      <w:r w:rsidR="00F326FD" w:rsidRPr="00315936">
        <w:t xml:space="preserve">upport </w:t>
      </w:r>
      <w:r w:rsidR="0074752F" w:rsidRPr="00315936">
        <w:t>the development of new measures, baselines and targets</w:t>
      </w:r>
      <w:r w:rsidR="0055412D" w:rsidRPr="00315936">
        <w:t>,</w:t>
      </w:r>
      <w:r w:rsidR="007443B8" w:rsidRPr="00315936">
        <w:t xml:space="preserve"> </w:t>
      </w:r>
      <w:r w:rsidR="0055412D" w:rsidRPr="00315936">
        <w:t>v</w:t>
      </w:r>
      <w:r w:rsidR="007443B8" w:rsidRPr="00315936">
        <w:t>alid for</w:t>
      </w:r>
      <w:r w:rsidR="009C7105" w:rsidRPr="00315936">
        <w:t xml:space="preserve"> </w:t>
      </w:r>
      <w:r w:rsidR="007443B8" w:rsidRPr="00315936">
        <w:t>two</w:t>
      </w:r>
      <w:r w:rsidR="009C7105" w:rsidRPr="00315936">
        <w:t xml:space="preserve"> financial year</w:t>
      </w:r>
      <w:r w:rsidR="007443B8" w:rsidRPr="00315936">
        <w:t>s</w:t>
      </w:r>
      <w:r w:rsidR="009530BE" w:rsidRPr="00315936">
        <w:t xml:space="preserve"> </w:t>
      </w:r>
    </w:p>
    <w:p w14:paraId="27D3D6B4" w14:textId="3901881A" w:rsidR="001F0FE6" w:rsidRPr="00315936" w:rsidRDefault="00F12052" w:rsidP="009D44A2">
      <w:pPr>
        <w:pStyle w:val="Tablebullet1"/>
      </w:pPr>
      <w:r w:rsidRPr="00315936">
        <w:t>S</w:t>
      </w:r>
      <w:r w:rsidR="009530BE" w:rsidRPr="00315936">
        <w:t>upplementary measures</w:t>
      </w:r>
      <w:r w:rsidR="00646679" w:rsidRPr="00315936">
        <w:t xml:space="preserve"> </w:t>
      </w:r>
      <w:r w:rsidR="00127904" w:rsidRPr="00315936">
        <w:t>which</w:t>
      </w:r>
      <w:r w:rsidR="00646679" w:rsidRPr="00315936" w:rsidDel="00127904">
        <w:t xml:space="preserve"> </w:t>
      </w:r>
      <w:r w:rsidR="00FE420B" w:rsidRPr="00315936">
        <w:t>p</w:t>
      </w:r>
      <w:r w:rsidR="00DC4A2E" w:rsidRPr="00315936">
        <w:t xml:space="preserve">rovide additional information to support </w:t>
      </w:r>
      <w:r w:rsidR="009F4707" w:rsidRPr="00315936">
        <w:t xml:space="preserve">SoP </w:t>
      </w:r>
      <w:r w:rsidR="00DC4A2E" w:rsidRPr="00315936">
        <w:t>measures</w:t>
      </w:r>
      <w:r w:rsidR="0055412D" w:rsidRPr="00315936">
        <w:t>,</w:t>
      </w:r>
      <w:r w:rsidR="007443B8" w:rsidRPr="00315936">
        <w:t xml:space="preserve"> </w:t>
      </w:r>
      <w:r w:rsidR="0055412D" w:rsidRPr="00315936">
        <w:t>v</w:t>
      </w:r>
      <w:r w:rsidR="00F1436B" w:rsidRPr="00315936">
        <w:t>alid for three</w:t>
      </w:r>
      <w:r w:rsidR="007443B8" w:rsidRPr="00315936">
        <w:t xml:space="preserve"> financial</w:t>
      </w:r>
      <w:r w:rsidR="00F1436B" w:rsidRPr="00315936">
        <w:t xml:space="preserve"> years</w:t>
      </w:r>
      <w:r w:rsidR="00E7647C" w:rsidRPr="00315936">
        <w:t>.</w:t>
      </w:r>
    </w:p>
    <w:p w14:paraId="26E9921B" w14:textId="2336FB8B" w:rsidR="3F528552" w:rsidRPr="00C34AB0" w:rsidRDefault="22527670" w:rsidP="00C34AB0">
      <w:pPr>
        <w:spacing w:after="0" w:line="240" w:lineRule="auto"/>
        <w:rPr>
          <w:rFonts w:eastAsia="Times"/>
        </w:rPr>
      </w:pPr>
      <w:r>
        <w:t>Measures that</w:t>
      </w:r>
      <w:r w:rsidR="665708D7">
        <w:t xml:space="preserve"> have been superseded or are no longer considered</w:t>
      </w:r>
      <w:r w:rsidR="78BDD276">
        <w:t xml:space="preserve"> best </w:t>
      </w:r>
      <w:r w:rsidR="0AFC8BD5">
        <w:t>practice</w:t>
      </w:r>
      <w:r w:rsidR="02426956">
        <w:t xml:space="preserve"> have been removed from all report</w:t>
      </w:r>
      <w:r w:rsidR="004F0336">
        <w:t>s</w:t>
      </w:r>
      <w:r w:rsidR="78BDD276">
        <w:t>.</w:t>
      </w:r>
    </w:p>
    <w:p w14:paraId="54647141" w14:textId="77777777" w:rsidR="00C34AB0" w:rsidRDefault="00C34AB0" w:rsidP="002C0838">
      <w:pPr>
        <w:pStyle w:val="Heading2"/>
        <w:tabs>
          <w:tab w:val="right" w:pos="9298"/>
        </w:tabs>
        <w:sectPr w:rsidR="00C34AB0" w:rsidSect="008A0448">
          <w:headerReference w:type="even" r:id="rId17"/>
          <w:headerReference w:type="default" r:id="rId18"/>
          <w:footerReference w:type="even" r:id="rId19"/>
          <w:footerReference w:type="default" r:id="rId20"/>
          <w:headerReference w:type="first" r:id="rId21"/>
          <w:footerReference w:type="first" r:id="rId22"/>
          <w:pgSz w:w="11906" w:h="16838" w:code="9"/>
          <w:pgMar w:top="0" w:right="1304" w:bottom="1276" w:left="1304" w:header="680" w:footer="851" w:gutter="0"/>
          <w:cols w:space="340"/>
          <w:titlePg/>
          <w:docGrid w:linePitch="360"/>
        </w:sectPr>
      </w:pPr>
    </w:p>
    <w:p w14:paraId="432E4141" w14:textId="27AE657A" w:rsidR="00C133EE" w:rsidRDefault="004E4C46" w:rsidP="004C0FB6">
      <w:pPr>
        <w:pStyle w:val="Heading1"/>
      </w:pPr>
      <w:bookmarkStart w:id="5" w:name="_Toc204853407"/>
      <w:r w:rsidRPr="00315936">
        <w:lastRenderedPageBreak/>
        <w:t>Change summary</w:t>
      </w:r>
      <w:bookmarkEnd w:id="5"/>
    </w:p>
    <w:p w14:paraId="618B69C8" w14:textId="210181EB" w:rsidR="00F573EA" w:rsidRPr="00B424A8" w:rsidRDefault="00C20FE7" w:rsidP="00B0448F">
      <w:pPr>
        <w:pStyle w:val="Tablecaption"/>
        <w:rPr>
          <w:b w:val="0"/>
          <w:bCs/>
        </w:rPr>
      </w:pPr>
      <w:r w:rsidRPr="00B424A8">
        <w:rPr>
          <w:b w:val="0"/>
          <w:bCs/>
        </w:rPr>
        <w:t xml:space="preserve">This section summarises key changes to SoP Part B measures including updated targets and reporting requirements. </w:t>
      </w:r>
      <w:bookmarkStart w:id="6" w:name="_Toc244507816"/>
      <w:bookmarkEnd w:id="2"/>
      <w:r w:rsidR="0063109B">
        <w:rPr>
          <w:b w:val="0"/>
          <w:bCs/>
        </w:rPr>
        <w:t>K</w:t>
      </w:r>
      <w:r w:rsidR="004D78E2">
        <w:rPr>
          <w:b w:val="0"/>
          <w:bCs/>
        </w:rPr>
        <w:t xml:space="preserve">ey changes to Ambulance Victoria and Forensicare </w:t>
      </w:r>
      <w:r w:rsidR="004D78E2" w:rsidRPr="00BC677C">
        <w:rPr>
          <w:b w:val="0"/>
          <w:bCs/>
        </w:rPr>
        <w:t>SoP Part B measures</w:t>
      </w:r>
      <w:r w:rsidR="004D78E2">
        <w:rPr>
          <w:b w:val="0"/>
          <w:bCs/>
        </w:rPr>
        <w:t xml:space="preserve"> are </w:t>
      </w:r>
      <w:r w:rsidR="009A2290">
        <w:rPr>
          <w:b w:val="0"/>
          <w:bCs/>
        </w:rPr>
        <w:t xml:space="preserve">summarised </w:t>
      </w:r>
      <w:r w:rsidR="004D78E2">
        <w:rPr>
          <w:b w:val="0"/>
          <w:bCs/>
        </w:rPr>
        <w:t>in</w:t>
      </w:r>
      <w:r w:rsidR="009A2290">
        <w:rPr>
          <w:b w:val="0"/>
          <w:bCs/>
        </w:rPr>
        <w:t xml:space="preserve"> appendices A and B</w:t>
      </w:r>
      <w:r w:rsidR="0063109B">
        <w:rPr>
          <w:b w:val="0"/>
          <w:bCs/>
        </w:rPr>
        <w:t>,</w:t>
      </w:r>
      <w:r w:rsidR="009A2290">
        <w:rPr>
          <w:b w:val="0"/>
          <w:bCs/>
        </w:rPr>
        <w:t xml:space="preserve"> respectively. </w:t>
      </w:r>
    </w:p>
    <w:p w14:paraId="07AED3E4" w14:textId="2C66099C" w:rsidR="000010B2" w:rsidRPr="00F418B8" w:rsidRDefault="000010B2" w:rsidP="00F573EA">
      <w:pPr>
        <w:pStyle w:val="Heading2"/>
      </w:pPr>
      <w:bookmarkStart w:id="7" w:name="_Toc204853408"/>
      <w:r w:rsidRPr="0061248C">
        <w:t>High quality and safe care</w:t>
      </w:r>
      <w:bookmarkEnd w:id="6"/>
      <w:bookmarkEnd w:id="7"/>
    </w:p>
    <w:tbl>
      <w:tblPr>
        <w:tblStyle w:val="TableGrid"/>
        <w:tblW w:w="4961" w:type="pct"/>
        <w:tblLayout w:type="fixed"/>
        <w:tblLook w:val="04A0" w:firstRow="1" w:lastRow="0" w:firstColumn="1" w:lastColumn="0" w:noHBand="0" w:noVBand="1"/>
      </w:tblPr>
      <w:tblGrid>
        <w:gridCol w:w="3458"/>
        <w:gridCol w:w="3459"/>
        <w:gridCol w:w="3457"/>
      </w:tblGrid>
      <w:tr w:rsidR="00FD25D3" w:rsidRPr="00315936" w14:paraId="56F6AEB1" w14:textId="77777777" w:rsidTr="0097676F">
        <w:trPr>
          <w:trHeight w:val="340"/>
          <w:tblHeader/>
        </w:trPr>
        <w:tc>
          <w:tcPr>
            <w:tcW w:w="1667" w:type="pct"/>
            <w:shd w:val="clear" w:color="auto" w:fill="000066"/>
          </w:tcPr>
          <w:p w14:paraId="1B9F35B8" w14:textId="77777777" w:rsidR="008F2C05" w:rsidRPr="003477D2" w:rsidRDefault="008F2C05" w:rsidP="003477D2">
            <w:pPr>
              <w:pStyle w:val="Tablecolhead"/>
            </w:pPr>
            <w:r w:rsidRPr="003477D2">
              <w:t>Key performance measure</w:t>
            </w:r>
          </w:p>
        </w:tc>
        <w:tc>
          <w:tcPr>
            <w:tcW w:w="1667" w:type="pct"/>
            <w:shd w:val="clear" w:color="auto" w:fill="000066"/>
          </w:tcPr>
          <w:p w14:paraId="45DC8705" w14:textId="77777777" w:rsidR="008F2C05" w:rsidRPr="003477D2" w:rsidRDefault="008F2C05" w:rsidP="003477D2">
            <w:pPr>
              <w:pStyle w:val="Tablecolhead"/>
            </w:pPr>
            <w:r w:rsidRPr="003477D2">
              <w:t>Change</w:t>
            </w:r>
          </w:p>
        </w:tc>
        <w:tc>
          <w:tcPr>
            <w:tcW w:w="1667" w:type="pct"/>
            <w:shd w:val="clear" w:color="auto" w:fill="000066"/>
          </w:tcPr>
          <w:p w14:paraId="3834A6FB" w14:textId="77777777" w:rsidR="008F2C05" w:rsidRPr="003477D2" w:rsidRDefault="008F2C05" w:rsidP="003477D2">
            <w:pPr>
              <w:pStyle w:val="Tablecolhead"/>
            </w:pPr>
            <w:r w:rsidRPr="003477D2">
              <w:t>Commentary</w:t>
            </w:r>
          </w:p>
        </w:tc>
      </w:tr>
      <w:tr w:rsidR="004670A1" w:rsidRPr="00315936" w14:paraId="6595DEA2" w14:textId="77777777" w:rsidTr="0097676F">
        <w:trPr>
          <w:trHeight w:val="794"/>
        </w:trPr>
        <w:tc>
          <w:tcPr>
            <w:tcW w:w="1667" w:type="pct"/>
          </w:tcPr>
          <w:p w14:paraId="5098AF64" w14:textId="79182A6D" w:rsidR="004670A1" w:rsidRPr="00315936" w:rsidRDefault="004670A1" w:rsidP="00D42536">
            <w:pPr>
              <w:pStyle w:val="Tabletext"/>
            </w:pPr>
            <w:r w:rsidRPr="00315936">
              <w:t>The gap between the number of Aboriginal patients who left against medical advice compared to non-Aboriginal patients</w:t>
            </w:r>
            <w:r w:rsidRPr="00315936">
              <w:rPr>
                <w:rFonts w:ascii="Times New Roman" w:hAnsi="Times New Roman"/>
              </w:rPr>
              <w:t>​</w:t>
            </w:r>
          </w:p>
        </w:tc>
        <w:tc>
          <w:tcPr>
            <w:tcW w:w="1667" w:type="pct"/>
          </w:tcPr>
          <w:p w14:paraId="0C8D692C" w14:textId="76BB9502" w:rsidR="00CA21EB" w:rsidRPr="00315936" w:rsidRDefault="00714845" w:rsidP="00873125">
            <w:pPr>
              <w:pStyle w:val="Tabletext"/>
            </w:pPr>
            <w:r>
              <w:rPr>
                <w:b/>
                <w:bCs/>
              </w:rPr>
              <w:t>Rename</w:t>
            </w:r>
            <w:r w:rsidR="00873125">
              <w:rPr>
                <w:b/>
                <w:bCs/>
              </w:rPr>
              <w:t xml:space="preserve"> to</w:t>
            </w:r>
            <w:r>
              <w:rPr>
                <w:b/>
                <w:bCs/>
              </w:rPr>
              <w:t>:</w:t>
            </w:r>
            <w:r w:rsidR="00873125">
              <w:rPr>
                <w:b/>
                <w:bCs/>
              </w:rPr>
              <w:t xml:space="preserve"> </w:t>
            </w:r>
            <w:r w:rsidR="005B60CB">
              <w:t>T</w:t>
            </w:r>
            <w:r w:rsidR="00CA21EB" w:rsidRPr="00D42536">
              <w:t xml:space="preserve">he difference between the percentage of </w:t>
            </w:r>
            <w:r w:rsidR="00EC43FB" w:rsidRPr="00D42536">
              <w:t xml:space="preserve">Aboriginal </w:t>
            </w:r>
            <w:r w:rsidR="00F11536">
              <w:t xml:space="preserve">and/or Torres Strait Islander </w:t>
            </w:r>
            <w:r w:rsidR="00EC43FB" w:rsidRPr="00D42536">
              <w:t xml:space="preserve">patients and non-Aboriginal </w:t>
            </w:r>
            <w:r w:rsidR="00F11536">
              <w:t xml:space="preserve">and/or non-Torres Strait Islander </w:t>
            </w:r>
            <w:r w:rsidR="00EC43FB" w:rsidRPr="00D42536">
              <w:t>patients who left against medical advice</w:t>
            </w:r>
          </w:p>
        </w:tc>
        <w:tc>
          <w:tcPr>
            <w:tcW w:w="1667" w:type="pct"/>
          </w:tcPr>
          <w:p w14:paraId="2808684B" w14:textId="727E8662" w:rsidR="00435F0A" w:rsidRPr="00315936" w:rsidRDefault="000C0292" w:rsidP="00873125">
            <w:pPr>
              <w:pStyle w:val="Tabletext"/>
            </w:pPr>
            <w:r w:rsidRPr="00671A99">
              <w:rPr>
                <w:b/>
                <w:bCs/>
              </w:rPr>
              <w:t>Rationale:</w:t>
            </w:r>
            <w:r w:rsidR="00873125">
              <w:rPr>
                <w:b/>
                <w:bCs/>
              </w:rPr>
              <w:t xml:space="preserve"> </w:t>
            </w:r>
            <w:r w:rsidR="00435F0A">
              <w:t>Improve</w:t>
            </w:r>
            <w:r w:rsidR="00A6755F">
              <w:t>s</w:t>
            </w:r>
            <w:r w:rsidR="00435F0A">
              <w:t xml:space="preserve"> clarity and focus of the measure </w:t>
            </w:r>
          </w:p>
        </w:tc>
      </w:tr>
      <w:tr w:rsidR="004670A1" w:rsidRPr="00315936" w14:paraId="326C3D72" w14:textId="77777777" w:rsidTr="0097676F">
        <w:trPr>
          <w:trHeight w:val="794"/>
        </w:trPr>
        <w:tc>
          <w:tcPr>
            <w:tcW w:w="1667" w:type="pct"/>
          </w:tcPr>
          <w:p w14:paraId="418AE171" w14:textId="2F2083A5" w:rsidR="004670A1" w:rsidRPr="00315936" w:rsidRDefault="004670A1" w:rsidP="00D42536">
            <w:pPr>
              <w:pStyle w:val="Tabletext"/>
            </w:pPr>
            <w:r w:rsidRPr="00315936">
              <w:t>The gap between the number of Aboriginal patients who did not wait presenting to hospital emergency departments compared to non-Aboriginal patients</w:t>
            </w:r>
            <w:r w:rsidRPr="00315936">
              <w:rPr>
                <w:rFonts w:ascii="Times New Roman" w:hAnsi="Times New Roman"/>
              </w:rPr>
              <w:t>​</w:t>
            </w:r>
          </w:p>
        </w:tc>
        <w:tc>
          <w:tcPr>
            <w:tcW w:w="1667" w:type="pct"/>
          </w:tcPr>
          <w:p w14:paraId="07F777CF" w14:textId="67D0758E" w:rsidR="004670A1" w:rsidRPr="00315936" w:rsidRDefault="00714845" w:rsidP="00873125">
            <w:pPr>
              <w:pStyle w:val="Tabletext"/>
              <w:rPr>
                <w:b/>
              </w:rPr>
            </w:pPr>
            <w:r>
              <w:rPr>
                <w:b/>
                <w:bCs/>
              </w:rPr>
              <w:t>Rename</w:t>
            </w:r>
            <w:r w:rsidR="00873125">
              <w:rPr>
                <w:b/>
                <w:bCs/>
              </w:rPr>
              <w:t xml:space="preserve"> to</w:t>
            </w:r>
            <w:r w:rsidR="00EC43FB" w:rsidRPr="00D42536">
              <w:rPr>
                <w:b/>
                <w:bCs/>
              </w:rPr>
              <w:t>:</w:t>
            </w:r>
            <w:r w:rsidR="00873125">
              <w:rPr>
                <w:b/>
                <w:bCs/>
              </w:rPr>
              <w:t xml:space="preserve"> </w:t>
            </w:r>
            <w:r w:rsidR="005B60CB">
              <w:t>T</w:t>
            </w:r>
            <w:r w:rsidR="00EC43FB" w:rsidRPr="002156EA">
              <w:t xml:space="preserve">he difference between the percentage of Aboriginal </w:t>
            </w:r>
            <w:r w:rsidR="00F11536">
              <w:t xml:space="preserve">and/or Torres Strait Islander </w:t>
            </w:r>
            <w:r w:rsidR="00EC43FB" w:rsidRPr="002156EA">
              <w:t xml:space="preserve">patients and non-Aboriginal </w:t>
            </w:r>
            <w:r w:rsidR="00F11536">
              <w:t xml:space="preserve">and/or non-Torres Strait Islander </w:t>
            </w:r>
            <w:r w:rsidR="00EC43FB" w:rsidRPr="002156EA">
              <w:t>patients</w:t>
            </w:r>
            <w:r w:rsidR="00E879F9">
              <w:t xml:space="preserve"> presenting to emergency departments who did not wait to be treated</w:t>
            </w:r>
          </w:p>
        </w:tc>
        <w:tc>
          <w:tcPr>
            <w:tcW w:w="1667" w:type="pct"/>
          </w:tcPr>
          <w:p w14:paraId="3BBBE5D0" w14:textId="41C88111" w:rsidR="00435F0A" w:rsidRPr="00315936" w:rsidRDefault="000C0292" w:rsidP="00873125">
            <w:pPr>
              <w:pStyle w:val="Tabletext"/>
            </w:pPr>
            <w:r w:rsidRPr="00671A99">
              <w:rPr>
                <w:b/>
                <w:bCs/>
              </w:rPr>
              <w:t>Rationale:</w:t>
            </w:r>
            <w:r w:rsidR="00873125">
              <w:rPr>
                <w:b/>
                <w:bCs/>
              </w:rPr>
              <w:t xml:space="preserve"> </w:t>
            </w:r>
            <w:r w:rsidR="00435F0A">
              <w:t>Improve</w:t>
            </w:r>
            <w:r w:rsidR="00A6755F">
              <w:t>s</w:t>
            </w:r>
            <w:r w:rsidR="00435F0A">
              <w:t xml:space="preserve"> clarity and focus of the measure</w:t>
            </w:r>
          </w:p>
        </w:tc>
      </w:tr>
      <w:tr w:rsidR="008F2C05" w14:paraId="6C021E57" w14:textId="77777777" w:rsidTr="0097676F">
        <w:trPr>
          <w:trHeight w:val="794"/>
        </w:trPr>
        <w:tc>
          <w:tcPr>
            <w:tcW w:w="1667" w:type="pct"/>
          </w:tcPr>
          <w:p w14:paraId="7D7E12EE" w14:textId="576B907F" w:rsidR="008F2C05" w:rsidRDefault="007C23F1" w:rsidP="00453868">
            <w:pPr>
              <w:pStyle w:val="Tabletext"/>
              <w:rPr>
                <w:rStyle w:val="FootnoteReference"/>
                <w:rFonts w:eastAsia="MS Gothic"/>
              </w:rPr>
            </w:pPr>
            <w:r>
              <w:t>Percentage of consumers/families/carers reporting a ‘very good’ or ‘excellent’ overall experience of the service</w:t>
            </w:r>
          </w:p>
        </w:tc>
        <w:tc>
          <w:tcPr>
            <w:tcW w:w="1667" w:type="pct"/>
          </w:tcPr>
          <w:p w14:paraId="5D42F9CA" w14:textId="1FFD9D6E" w:rsidR="008F2C05" w:rsidRPr="00A567F8" w:rsidRDefault="00A92B9C" w:rsidP="00435CB2">
            <w:pPr>
              <w:pStyle w:val="Tabletext"/>
            </w:pPr>
            <w:r w:rsidRPr="00A567F8">
              <w:rPr>
                <w:b/>
                <w:bCs/>
              </w:rPr>
              <w:t>Business rule change</w:t>
            </w:r>
            <w:r w:rsidR="00484946" w:rsidRPr="00005EAE">
              <w:rPr>
                <w:b/>
                <w:bCs/>
              </w:rPr>
              <w:t>:</w:t>
            </w:r>
            <w:r w:rsidR="00873125">
              <w:rPr>
                <w:b/>
                <w:bCs/>
              </w:rPr>
              <w:t xml:space="preserve"> </w:t>
            </w:r>
            <w:r w:rsidR="00484946">
              <w:t>S</w:t>
            </w:r>
            <w:r w:rsidR="00A538F5" w:rsidRPr="00A567F8">
              <w:t>eparate existing measure</w:t>
            </w:r>
            <w:r w:rsidR="005E58A1" w:rsidRPr="00A567F8">
              <w:t xml:space="preserve"> </w:t>
            </w:r>
            <w:r w:rsidR="00435CB2" w:rsidRPr="00A567F8">
              <w:t>into the following</w:t>
            </w:r>
            <w:r w:rsidR="005E58A1" w:rsidRPr="00A567F8">
              <w:t>:</w:t>
            </w:r>
          </w:p>
          <w:p w14:paraId="594903E8" w14:textId="1CC2AF1C" w:rsidR="00A538F5" w:rsidRPr="00435CB2" w:rsidRDefault="00A538F5" w:rsidP="00453868">
            <w:pPr>
              <w:pStyle w:val="Tablebullet1"/>
            </w:pPr>
            <w:r w:rsidRPr="00435CB2">
              <w:t>Percentage</w:t>
            </w:r>
            <w:r w:rsidR="009E76DE" w:rsidRPr="00435CB2">
              <w:t xml:space="preserve"> of consumers who rated their overall experience with a service in the last three months as </w:t>
            </w:r>
            <w:r w:rsidRPr="00435CB2">
              <w:t>positive</w:t>
            </w:r>
          </w:p>
          <w:p w14:paraId="68A93077" w14:textId="6FA2094D" w:rsidR="00A538F5" w:rsidRPr="00A567F8" w:rsidRDefault="005E58A1" w:rsidP="00453868">
            <w:pPr>
              <w:pStyle w:val="Tablebullet1"/>
              <w:rPr>
                <w:rStyle w:val="FootnoteReference"/>
                <w:vertAlign w:val="baseline"/>
              </w:rPr>
            </w:pPr>
            <w:r w:rsidRPr="00435CB2">
              <w:t xml:space="preserve">Percentage of families/carers reporting a ‘very </w:t>
            </w:r>
            <w:r w:rsidR="00435CB2" w:rsidRPr="00435CB2">
              <w:t>good’ or ‘excellent’ overall experience of the service</w:t>
            </w:r>
          </w:p>
        </w:tc>
        <w:tc>
          <w:tcPr>
            <w:tcW w:w="1667" w:type="pct"/>
          </w:tcPr>
          <w:p w14:paraId="3DB536BF" w14:textId="2AFC73FE" w:rsidR="00671A99" w:rsidRDefault="00435CB2" w:rsidP="00873125">
            <w:pPr>
              <w:pStyle w:val="Tabletext"/>
            </w:pPr>
            <w:r w:rsidRPr="00AF0240">
              <w:rPr>
                <w:b/>
                <w:bCs/>
              </w:rPr>
              <w:t>Rationale:</w:t>
            </w:r>
            <w:r w:rsidR="00873125">
              <w:rPr>
                <w:b/>
                <w:bCs/>
              </w:rPr>
              <w:t xml:space="preserve"> </w:t>
            </w:r>
            <w:r w:rsidR="00935352">
              <w:t>Measure was previously a consolidation of two separate measures</w:t>
            </w:r>
            <w:r w:rsidR="00CE5AFD">
              <w:t xml:space="preserve"> supported by discrete surveys and questions. Keeping the measures separate is </w:t>
            </w:r>
            <w:r w:rsidR="00AF0240">
              <w:t xml:space="preserve">a </w:t>
            </w:r>
            <w:r w:rsidR="007B1F29">
              <w:t xml:space="preserve">robust and </w:t>
            </w:r>
            <w:r w:rsidR="00AF0240">
              <w:t>statistical</w:t>
            </w:r>
            <w:r w:rsidR="00152983">
              <w:t>ly</w:t>
            </w:r>
            <w:r w:rsidR="00AF0240">
              <w:t xml:space="preserve"> </w:t>
            </w:r>
            <w:r w:rsidR="007B1F29">
              <w:t xml:space="preserve">sound </w:t>
            </w:r>
            <w:r w:rsidR="00AF0240">
              <w:t>approach</w:t>
            </w:r>
            <w:r w:rsidR="007B1F29">
              <w:t>.</w:t>
            </w:r>
          </w:p>
        </w:tc>
      </w:tr>
    </w:tbl>
    <w:p w14:paraId="0C8E9885" w14:textId="752D659E" w:rsidR="00B6371A" w:rsidRPr="00F418B8" w:rsidRDefault="00DD6FC1" w:rsidP="004C0FB6">
      <w:pPr>
        <w:pStyle w:val="Heading2"/>
      </w:pPr>
      <w:bookmarkStart w:id="8" w:name="_Toc96063266"/>
      <w:bookmarkStart w:id="9" w:name="_Toc204853409"/>
      <w:r w:rsidRPr="00F418B8">
        <w:t xml:space="preserve">Strong </w:t>
      </w:r>
      <w:r w:rsidR="008D549F" w:rsidRPr="00F418B8">
        <w:t>governance, leadership and culture</w:t>
      </w:r>
      <w:bookmarkEnd w:id="8"/>
      <w:bookmarkEnd w:id="9"/>
    </w:p>
    <w:p w14:paraId="14002706" w14:textId="509D0328" w:rsidR="004670A1" w:rsidRPr="004670A1" w:rsidRDefault="003479D4" w:rsidP="00A567F8">
      <w:pPr>
        <w:pStyle w:val="Body"/>
      </w:pPr>
      <w:r>
        <w:t xml:space="preserve">No changes </w:t>
      </w:r>
      <w:r w:rsidR="002A2954">
        <w:t>to measures in this domain.</w:t>
      </w:r>
    </w:p>
    <w:p w14:paraId="3A8FDB37" w14:textId="12A7D9BD" w:rsidR="00A77DDD" w:rsidRPr="00F418B8" w:rsidRDefault="00A25F40" w:rsidP="004C0FB6">
      <w:pPr>
        <w:pStyle w:val="Heading2"/>
      </w:pPr>
      <w:bookmarkStart w:id="10" w:name="_Toc1886970194"/>
      <w:bookmarkStart w:id="11" w:name="_Toc204853410"/>
      <w:r w:rsidRPr="00F418B8">
        <w:t>Timely access to care</w:t>
      </w:r>
      <w:bookmarkEnd w:id="10"/>
      <w:bookmarkEnd w:id="11"/>
    </w:p>
    <w:tbl>
      <w:tblPr>
        <w:tblStyle w:val="TableGrid"/>
        <w:tblW w:w="4961" w:type="pct"/>
        <w:tblLayout w:type="fixed"/>
        <w:tblLook w:val="04A0" w:firstRow="1" w:lastRow="0" w:firstColumn="1" w:lastColumn="0" w:noHBand="0" w:noVBand="1"/>
      </w:tblPr>
      <w:tblGrid>
        <w:gridCol w:w="3458"/>
        <w:gridCol w:w="3459"/>
        <w:gridCol w:w="3457"/>
      </w:tblGrid>
      <w:tr w:rsidR="00EC2EFE" w:rsidRPr="00315936" w14:paraId="2543E4D6" w14:textId="77777777" w:rsidTr="0097676F">
        <w:trPr>
          <w:trHeight w:val="340"/>
          <w:tblHeader/>
        </w:trPr>
        <w:tc>
          <w:tcPr>
            <w:tcW w:w="1667" w:type="pct"/>
            <w:shd w:val="clear" w:color="auto" w:fill="000066"/>
          </w:tcPr>
          <w:p w14:paraId="04F2811B" w14:textId="77777777" w:rsidR="004670A1" w:rsidRPr="003477D2" w:rsidRDefault="004670A1" w:rsidP="003477D2">
            <w:pPr>
              <w:pStyle w:val="Tablecolhead"/>
            </w:pPr>
            <w:r w:rsidRPr="003477D2">
              <w:t>Key performance measure</w:t>
            </w:r>
          </w:p>
        </w:tc>
        <w:tc>
          <w:tcPr>
            <w:tcW w:w="1667" w:type="pct"/>
            <w:shd w:val="clear" w:color="auto" w:fill="000066"/>
          </w:tcPr>
          <w:p w14:paraId="664FA4C0" w14:textId="77777777" w:rsidR="004670A1" w:rsidRPr="003477D2" w:rsidRDefault="004670A1" w:rsidP="003477D2">
            <w:pPr>
              <w:pStyle w:val="Tablecolhead"/>
            </w:pPr>
            <w:r w:rsidRPr="003477D2">
              <w:t>Change</w:t>
            </w:r>
          </w:p>
        </w:tc>
        <w:tc>
          <w:tcPr>
            <w:tcW w:w="1667" w:type="pct"/>
            <w:shd w:val="clear" w:color="auto" w:fill="000066"/>
          </w:tcPr>
          <w:p w14:paraId="18703F95" w14:textId="77777777" w:rsidR="004670A1" w:rsidRPr="003477D2" w:rsidRDefault="004670A1" w:rsidP="003477D2">
            <w:pPr>
              <w:pStyle w:val="Tablecolhead"/>
            </w:pPr>
            <w:r w:rsidRPr="003477D2">
              <w:t>Commentary</w:t>
            </w:r>
          </w:p>
        </w:tc>
      </w:tr>
      <w:tr w:rsidR="002A478C" w:rsidRPr="00315936" w14:paraId="01D56114" w14:textId="77777777" w:rsidTr="0097676F">
        <w:trPr>
          <w:trHeight w:val="794"/>
        </w:trPr>
        <w:tc>
          <w:tcPr>
            <w:tcW w:w="1667" w:type="pct"/>
          </w:tcPr>
          <w:p w14:paraId="0A86EC4A" w14:textId="70709FF6" w:rsidR="002A478C" w:rsidRPr="00315936" w:rsidRDefault="002A478C" w:rsidP="000E09C4">
            <w:pPr>
              <w:pStyle w:val="Tabletext"/>
            </w:pPr>
            <w:r>
              <w:t>Number of community mental health service hours</w:t>
            </w:r>
          </w:p>
        </w:tc>
        <w:tc>
          <w:tcPr>
            <w:tcW w:w="1667" w:type="pct"/>
          </w:tcPr>
          <w:p w14:paraId="7523866E" w14:textId="2DB428CA" w:rsidR="00F51A5F" w:rsidRPr="00F51A5F" w:rsidRDefault="00913936" w:rsidP="005528BC">
            <w:pPr>
              <w:pStyle w:val="Tabletext"/>
            </w:pPr>
            <w:r w:rsidRPr="00A567F8">
              <w:rPr>
                <w:b/>
                <w:bCs/>
              </w:rPr>
              <w:t>New</w:t>
            </w:r>
            <w:r w:rsidR="002A478C" w:rsidRPr="00427D38">
              <w:rPr>
                <w:b/>
                <w:bCs/>
              </w:rPr>
              <w:t xml:space="preserve"> measure</w:t>
            </w:r>
            <w:r w:rsidR="00A804A0">
              <w:rPr>
                <w:b/>
                <w:bCs/>
              </w:rPr>
              <w:t xml:space="preserve"> </w:t>
            </w:r>
            <w:r w:rsidR="00F51A5F" w:rsidRPr="00E846B6">
              <w:t>accompanied by a health service specific target</w:t>
            </w:r>
          </w:p>
        </w:tc>
        <w:tc>
          <w:tcPr>
            <w:tcW w:w="1667" w:type="pct"/>
          </w:tcPr>
          <w:p w14:paraId="6EE928F6" w14:textId="68F36CE7" w:rsidR="00F45370" w:rsidRPr="00315936" w:rsidRDefault="0020772A" w:rsidP="00873125">
            <w:pPr>
              <w:pStyle w:val="Tabletext"/>
            </w:pPr>
            <w:r w:rsidRPr="00F45370">
              <w:rPr>
                <w:b/>
                <w:bCs/>
              </w:rPr>
              <w:t>Rationale:</w:t>
            </w:r>
            <w:r w:rsidR="00873125">
              <w:rPr>
                <w:b/>
                <w:bCs/>
              </w:rPr>
              <w:t xml:space="preserve"> </w:t>
            </w:r>
            <w:r w:rsidR="00F45370" w:rsidRPr="00F45370">
              <w:t xml:space="preserve">Ensures </w:t>
            </w:r>
            <w:r w:rsidR="00082CD4">
              <w:t>maintenance of effort following</w:t>
            </w:r>
            <w:r w:rsidR="00F45370" w:rsidRPr="00F45370">
              <w:t xml:space="preserve"> transition to </w:t>
            </w:r>
            <w:r w:rsidR="00082CD4">
              <w:t>Activity Based Funding</w:t>
            </w:r>
            <w:r w:rsidR="00F27E80">
              <w:t>.</w:t>
            </w:r>
          </w:p>
        </w:tc>
      </w:tr>
      <w:tr w:rsidR="002D00A0" w:rsidRPr="00315936" w14:paraId="10AD9ABA" w14:textId="77777777" w:rsidTr="0097676F">
        <w:trPr>
          <w:trHeight w:val="794"/>
        </w:trPr>
        <w:tc>
          <w:tcPr>
            <w:tcW w:w="1667" w:type="pct"/>
          </w:tcPr>
          <w:p w14:paraId="07D4ED9A" w14:textId="714D5705" w:rsidR="002D00A0" w:rsidRPr="00315936" w:rsidRDefault="002D00A0" w:rsidP="002D00A0">
            <w:pPr>
              <w:pStyle w:val="Tabletext"/>
              <w:rPr>
                <w:rFonts w:eastAsia="MS Gothic"/>
              </w:rPr>
            </w:pPr>
            <w:r w:rsidRPr="00315936">
              <w:lastRenderedPageBreak/>
              <w:t>Percentage of patients transferred from ambulance to emergency department within 40 minutes</w:t>
            </w:r>
          </w:p>
        </w:tc>
        <w:tc>
          <w:tcPr>
            <w:tcW w:w="1667" w:type="pct"/>
          </w:tcPr>
          <w:p w14:paraId="3F105600" w14:textId="03D6300E" w:rsidR="002D00A0" w:rsidRDefault="002D00A0" w:rsidP="002D00A0">
            <w:pPr>
              <w:pStyle w:val="Tabletext"/>
              <w:rPr>
                <w:b/>
              </w:rPr>
            </w:pPr>
            <w:r>
              <w:rPr>
                <w:b/>
              </w:rPr>
              <w:t>Target change</w:t>
            </w:r>
            <w:r w:rsidR="00174424">
              <w:rPr>
                <w:b/>
              </w:rPr>
              <w:t>:</w:t>
            </w:r>
            <w:r>
              <w:rPr>
                <w:b/>
              </w:rPr>
              <w:t xml:space="preserve"> </w:t>
            </w:r>
          </w:p>
          <w:p w14:paraId="54B7FBC6" w14:textId="575A51A4" w:rsidR="00513211" w:rsidRPr="004A6E6F" w:rsidRDefault="00506E8D" w:rsidP="00535D2B">
            <w:pPr>
              <w:pStyle w:val="Tablebullet1"/>
            </w:pPr>
            <w:r>
              <w:t>Statewide</w:t>
            </w:r>
            <w:r w:rsidR="00442015">
              <w:t xml:space="preserve"> target changed to </w:t>
            </w:r>
            <w:r w:rsidR="004E5C73" w:rsidRPr="00496F8F">
              <w:t xml:space="preserve"> greater than or equal to</w:t>
            </w:r>
            <w:r w:rsidR="002D00A0" w:rsidRPr="00496F8F">
              <w:t xml:space="preserve"> 80 per cent or</w:t>
            </w:r>
            <w:r w:rsidR="004E5C73" w:rsidRPr="00496F8F">
              <w:t xml:space="preserve"> at least</w:t>
            </w:r>
            <w:r w:rsidR="002D00A0" w:rsidRPr="00496F8F">
              <w:t xml:space="preserve"> </w:t>
            </w:r>
            <w:r w:rsidR="00A76CF6" w:rsidRPr="00496F8F">
              <w:t>3</w:t>
            </w:r>
            <w:r w:rsidR="002D00A0" w:rsidRPr="00496F8F">
              <w:t xml:space="preserve"> per cent improvement on prior year performance,</w:t>
            </w:r>
            <w:r w:rsidR="009C6D50" w:rsidRPr="00496F8F">
              <w:t xml:space="preserve"> with progress expected towards 90 per cent</w:t>
            </w:r>
            <w:r w:rsidR="002D00A0" w:rsidRPr="004A6E6F">
              <w:t xml:space="preserve"> (Statewide)</w:t>
            </w:r>
            <w:r w:rsidR="00A42B49" w:rsidRPr="004A6E6F">
              <w:t xml:space="preserve">. </w:t>
            </w:r>
          </w:p>
          <w:p w14:paraId="0EABEC0A" w14:textId="7358ABA5" w:rsidR="002D00A0" w:rsidRPr="00CD4B6B" w:rsidRDefault="00A42B49" w:rsidP="00535D2B">
            <w:pPr>
              <w:pStyle w:val="Tablebullet1"/>
            </w:pPr>
            <w:r w:rsidRPr="004A6E6F">
              <w:t>Differential</w:t>
            </w:r>
            <w:r w:rsidR="00531BC3" w:rsidRPr="004A6E6F">
              <w:t xml:space="preserve"> or ‘</w:t>
            </w:r>
            <w:r w:rsidR="00442015">
              <w:t>t</w:t>
            </w:r>
            <w:r w:rsidR="00531BC3" w:rsidRPr="004A6E6F">
              <w:t>iered’</w:t>
            </w:r>
            <w:r w:rsidRPr="004A6E6F">
              <w:t xml:space="preserve"> targets </w:t>
            </w:r>
            <w:r w:rsidR="00E46081" w:rsidRPr="004A6E6F">
              <w:t>introduced and</w:t>
            </w:r>
            <w:r w:rsidRPr="004A6E6F">
              <w:t xml:space="preserve"> set </w:t>
            </w:r>
            <w:r w:rsidR="0007357F" w:rsidRPr="004A6E6F">
              <w:t>at the</w:t>
            </w:r>
            <w:r w:rsidR="00E46081" w:rsidRPr="004A6E6F">
              <w:t xml:space="preserve"> health service</w:t>
            </w:r>
            <w:r w:rsidR="0007357F" w:rsidRPr="00AC1CE9">
              <w:t xml:space="preserve"> campus level</w:t>
            </w:r>
            <w:bookmarkStart w:id="12" w:name="_Ref201831690"/>
            <w:r w:rsidR="0044436A">
              <w:rPr>
                <w:rStyle w:val="EndnoteReference"/>
              </w:rPr>
              <w:endnoteReference w:id="2"/>
            </w:r>
            <w:bookmarkEnd w:id="12"/>
          </w:p>
        </w:tc>
        <w:tc>
          <w:tcPr>
            <w:tcW w:w="1667" w:type="pct"/>
          </w:tcPr>
          <w:p w14:paraId="748AECDC" w14:textId="64FBA82C" w:rsidR="002D00A0" w:rsidRPr="00BC2918" w:rsidRDefault="002D00A0" w:rsidP="004425DB">
            <w:pPr>
              <w:pStyle w:val="Tabletext"/>
              <w:rPr>
                <w:b/>
                <w:bCs/>
              </w:rPr>
            </w:pPr>
            <w:r w:rsidRPr="00DE3506">
              <w:rPr>
                <w:b/>
                <w:bCs/>
              </w:rPr>
              <w:t>Rationale</w:t>
            </w:r>
            <w:r w:rsidR="007E392F">
              <w:rPr>
                <w:b/>
                <w:bCs/>
              </w:rPr>
              <w:t xml:space="preserve">: </w:t>
            </w:r>
            <w:r w:rsidRPr="00DE3506">
              <w:t>Reflects expectation for continuous improvement.</w:t>
            </w:r>
          </w:p>
        </w:tc>
      </w:tr>
      <w:tr w:rsidR="00A34F45" w:rsidRPr="00315936" w14:paraId="130C53BF" w14:textId="77777777" w:rsidTr="0097676F">
        <w:trPr>
          <w:trHeight w:val="794"/>
        </w:trPr>
        <w:tc>
          <w:tcPr>
            <w:tcW w:w="1667" w:type="pct"/>
          </w:tcPr>
          <w:p w14:paraId="0F74C1DA" w14:textId="041AD5B0" w:rsidR="00A34F45" w:rsidRPr="00315936" w:rsidRDefault="00A34F45" w:rsidP="00A34F45">
            <w:pPr>
              <w:pStyle w:val="Tabletext"/>
              <w:rPr>
                <w:rFonts w:eastAsia="MS Gothic"/>
              </w:rPr>
            </w:pPr>
            <w:r w:rsidRPr="00315936">
              <w:rPr>
                <w:rFonts w:eastAsia="MS Gothic"/>
              </w:rPr>
              <w:t>Average ED length of stay (</w:t>
            </w:r>
            <w:r>
              <w:rPr>
                <w:rFonts w:eastAsia="MS Gothic"/>
              </w:rPr>
              <w:t>non-</w:t>
            </w:r>
            <w:r w:rsidRPr="00315936">
              <w:rPr>
                <w:rFonts w:eastAsia="MS Gothic"/>
              </w:rPr>
              <w:t>admitted), in minutes</w:t>
            </w:r>
          </w:p>
        </w:tc>
        <w:tc>
          <w:tcPr>
            <w:tcW w:w="1667" w:type="pct"/>
          </w:tcPr>
          <w:p w14:paraId="0D3D8B8F" w14:textId="701A04FB" w:rsidR="00A34F45" w:rsidRPr="00CD4B6B" w:rsidRDefault="00963BFC" w:rsidP="003241FA">
            <w:pPr>
              <w:pStyle w:val="Tabletext"/>
            </w:pPr>
            <w:r>
              <w:rPr>
                <w:b/>
                <w:bCs/>
              </w:rPr>
              <w:t>Rename</w:t>
            </w:r>
            <w:r w:rsidR="003241FA">
              <w:rPr>
                <w:b/>
                <w:bCs/>
              </w:rPr>
              <w:t xml:space="preserve"> to</w:t>
            </w:r>
            <w:r w:rsidR="00A34F45" w:rsidRPr="00CD4B6B">
              <w:rPr>
                <w:b/>
                <w:bCs/>
              </w:rPr>
              <w:t>:</w:t>
            </w:r>
            <w:r w:rsidR="003241FA">
              <w:rPr>
                <w:b/>
                <w:bCs/>
              </w:rPr>
              <w:t xml:space="preserve"> </w:t>
            </w:r>
            <w:r w:rsidR="00A34F45">
              <w:t>Average ED length of stay for non-admitted patients, in minutes</w:t>
            </w:r>
          </w:p>
        </w:tc>
        <w:tc>
          <w:tcPr>
            <w:tcW w:w="1667" w:type="pct"/>
          </w:tcPr>
          <w:p w14:paraId="0D1FABBE" w14:textId="5927DC31" w:rsidR="00A34F45" w:rsidRDefault="00A34F45" w:rsidP="007E392F">
            <w:pPr>
              <w:pStyle w:val="Tabletext"/>
              <w:tabs>
                <w:tab w:val="center" w:pos="1632"/>
              </w:tabs>
            </w:pPr>
            <w:r w:rsidRPr="00BC2918">
              <w:rPr>
                <w:b/>
                <w:bCs/>
              </w:rPr>
              <w:t>Rationale:</w:t>
            </w:r>
            <w:r w:rsidR="007E392F">
              <w:rPr>
                <w:b/>
                <w:bCs/>
              </w:rPr>
              <w:t xml:space="preserve"> </w:t>
            </w:r>
            <w:r w:rsidR="00E71285">
              <w:t>R</w:t>
            </w:r>
            <w:r w:rsidR="00BC2918" w:rsidRPr="00BC2918">
              <w:t>enam</w:t>
            </w:r>
            <w:r w:rsidR="00E71285">
              <w:t>ed</w:t>
            </w:r>
            <w:r w:rsidR="00BC2918" w:rsidRPr="00BC2918">
              <w:t xml:space="preserve"> to align with other length of stay measures.</w:t>
            </w:r>
            <w:r w:rsidR="00AC25A9">
              <w:tab/>
            </w:r>
          </w:p>
        </w:tc>
      </w:tr>
      <w:tr w:rsidR="00A34F45" w:rsidRPr="00315936" w14:paraId="0CD472C3" w14:textId="77777777" w:rsidTr="0097676F">
        <w:trPr>
          <w:trHeight w:val="794"/>
        </w:trPr>
        <w:tc>
          <w:tcPr>
            <w:tcW w:w="1667" w:type="pct"/>
          </w:tcPr>
          <w:p w14:paraId="45F7BE78" w14:textId="1CD8D7E1" w:rsidR="00A34F45" w:rsidRPr="00315936" w:rsidRDefault="00A34F45" w:rsidP="00A34F45">
            <w:pPr>
              <w:pStyle w:val="Tabletext"/>
            </w:pPr>
            <w:r w:rsidRPr="00315936">
              <w:rPr>
                <w:rFonts w:eastAsia="MS Gothic"/>
              </w:rPr>
              <w:t xml:space="preserve">Average ED length of stay (admitted), in minutes  </w:t>
            </w:r>
          </w:p>
        </w:tc>
        <w:tc>
          <w:tcPr>
            <w:tcW w:w="1667" w:type="pct"/>
          </w:tcPr>
          <w:p w14:paraId="053FD89D" w14:textId="0BF49451" w:rsidR="00A34F45" w:rsidRDefault="00963BFC" w:rsidP="004C5507">
            <w:pPr>
              <w:pStyle w:val="Tabletext"/>
            </w:pPr>
            <w:r>
              <w:rPr>
                <w:b/>
                <w:bCs/>
              </w:rPr>
              <w:t>R</w:t>
            </w:r>
            <w:r w:rsidR="002D365B">
              <w:rPr>
                <w:b/>
                <w:bCs/>
              </w:rPr>
              <w:t>e</w:t>
            </w:r>
            <w:r>
              <w:rPr>
                <w:b/>
                <w:bCs/>
              </w:rPr>
              <w:t>name</w:t>
            </w:r>
            <w:r w:rsidR="003241FA">
              <w:rPr>
                <w:b/>
                <w:bCs/>
              </w:rPr>
              <w:t xml:space="preserve"> to</w:t>
            </w:r>
            <w:r w:rsidR="00A34F45" w:rsidRPr="00CD4B6B">
              <w:rPr>
                <w:b/>
                <w:bCs/>
              </w:rPr>
              <w:t>:</w:t>
            </w:r>
            <w:r w:rsidR="003241FA">
              <w:rPr>
                <w:b/>
                <w:bCs/>
              </w:rPr>
              <w:t xml:space="preserve"> </w:t>
            </w:r>
            <w:r w:rsidR="00A34F45">
              <w:t>Average ED length of stay for admitted patients, in minutes</w:t>
            </w:r>
          </w:p>
          <w:p w14:paraId="3FE0D211" w14:textId="2CE56B9F" w:rsidR="00A34F45" w:rsidRDefault="00A34F45" w:rsidP="00535D2B">
            <w:pPr>
              <w:pStyle w:val="Tabletext"/>
            </w:pPr>
            <w:r w:rsidRPr="00455D7C">
              <w:rPr>
                <w:b/>
                <w:bCs/>
              </w:rPr>
              <w:t>Business rule change:</w:t>
            </w:r>
            <w:r w:rsidR="0050263B">
              <w:rPr>
                <w:b/>
                <w:bCs/>
              </w:rPr>
              <w:t xml:space="preserve"> </w:t>
            </w:r>
            <w:r w:rsidR="0050263B">
              <w:t>D</w:t>
            </w:r>
            <w:r>
              <w:t>epartures to Short Stay Units (SSU)</w:t>
            </w:r>
            <w:r w:rsidR="00E16035">
              <w:t xml:space="preserve"> and Mental Health and AOD Hub SSU</w:t>
            </w:r>
            <w:r w:rsidR="00034FE4">
              <w:t>s</w:t>
            </w:r>
            <w:r>
              <w:t xml:space="preserve"> no longer in scope</w:t>
            </w:r>
          </w:p>
          <w:p w14:paraId="4C52D98F" w14:textId="79AF10E7" w:rsidR="00A34F45" w:rsidRPr="00472B38" w:rsidRDefault="00A34F45" w:rsidP="00535D2B">
            <w:pPr>
              <w:pStyle w:val="Tabletext"/>
            </w:pPr>
            <w:r w:rsidRPr="00455D7C">
              <w:rPr>
                <w:b/>
                <w:bCs/>
              </w:rPr>
              <w:t>Target change:</w:t>
            </w:r>
            <w:r w:rsidR="00123E14">
              <w:rPr>
                <w:b/>
                <w:bCs/>
              </w:rPr>
              <w:t xml:space="preserve"> </w:t>
            </w:r>
            <w:r w:rsidR="00952E27">
              <w:t xml:space="preserve">Less than or equal to </w:t>
            </w:r>
            <w:r w:rsidR="008F2FBE">
              <w:t xml:space="preserve">414 minutes </w:t>
            </w:r>
            <w:r w:rsidR="00FE1A69">
              <w:t>or</w:t>
            </w:r>
            <w:r w:rsidR="00B04A19">
              <w:t xml:space="preserve"> a</w:t>
            </w:r>
            <w:r w:rsidR="008B44D6">
              <w:t xml:space="preserve">t least </w:t>
            </w:r>
            <w:r w:rsidR="00B04A19">
              <w:t>5 per cent improvement on</w:t>
            </w:r>
            <w:r w:rsidR="001305F2">
              <w:t xml:space="preserve"> the same time last year</w:t>
            </w:r>
          </w:p>
        </w:tc>
        <w:tc>
          <w:tcPr>
            <w:tcW w:w="1667" w:type="pct"/>
          </w:tcPr>
          <w:p w14:paraId="2171263B" w14:textId="46A8C941" w:rsidR="00F12558" w:rsidRDefault="00A34F45" w:rsidP="007E392F">
            <w:pPr>
              <w:pStyle w:val="Tabletext"/>
            </w:pPr>
            <w:r w:rsidRPr="00F12558">
              <w:rPr>
                <w:b/>
                <w:bCs/>
              </w:rPr>
              <w:t>Rationale:</w:t>
            </w:r>
            <w:r w:rsidR="007E392F">
              <w:rPr>
                <w:b/>
                <w:bCs/>
              </w:rPr>
              <w:t xml:space="preserve"> </w:t>
            </w:r>
            <w:r w:rsidR="00F12558" w:rsidRPr="00BC2918">
              <w:t>Changes reflect consideration of past performance and renaming to align with other length of stay measures.</w:t>
            </w:r>
          </w:p>
        </w:tc>
      </w:tr>
      <w:tr w:rsidR="000E09C4" w:rsidRPr="00315936" w14:paraId="0AAA6CD5" w14:textId="77777777" w:rsidTr="0097676F">
        <w:trPr>
          <w:trHeight w:val="567"/>
        </w:trPr>
        <w:tc>
          <w:tcPr>
            <w:tcW w:w="1667" w:type="pct"/>
          </w:tcPr>
          <w:p w14:paraId="38AEB7F0" w14:textId="359DC5AE" w:rsidR="000E09C4" w:rsidRPr="00315936" w:rsidRDefault="000E09C4" w:rsidP="000E09C4">
            <w:pPr>
              <w:pStyle w:val="Tabletext"/>
            </w:pPr>
            <w:r w:rsidRPr="00315936">
              <w:t>Percentage of patients on the waiting list who have waited longer than clinically recommended for their respective triage category</w:t>
            </w:r>
          </w:p>
        </w:tc>
        <w:tc>
          <w:tcPr>
            <w:tcW w:w="1667" w:type="pct"/>
          </w:tcPr>
          <w:p w14:paraId="21D355FF" w14:textId="7E8CC87A" w:rsidR="00322D17" w:rsidRPr="00A37B0D" w:rsidRDefault="00291385" w:rsidP="0050263B">
            <w:pPr>
              <w:pStyle w:val="Tabletext"/>
              <w:rPr>
                <w:bCs/>
              </w:rPr>
            </w:pPr>
            <w:r>
              <w:rPr>
                <w:b/>
              </w:rPr>
              <w:t>Target change:</w:t>
            </w:r>
            <w:r w:rsidR="0050263B">
              <w:rPr>
                <w:b/>
              </w:rPr>
              <w:t xml:space="preserve"> </w:t>
            </w:r>
            <w:r w:rsidR="00322D17" w:rsidRPr="00A37B0D">
              <w:rPr>
                <w:bCs/>
              </w:rPr>
              <w:t xml:space="preserve">Target to remain at 25 per cent improvement compared to the </w:t>
            </w:r>
            <w:r w:rsidR="00B3304E">
              <w:rPr>
                <w:bCs/>
              </w:rPr>
              <w:t>same time last year</w:t>
            </w:r>
            <w:r w:rsidR="00FC31E7">
              <w:rPr>
                <w:bCs/>
              </w:rPr>
              <w:t>;</w:t>
            </w:r>
            <w:r w:rsidR="00322D17" w:rsidRPr="00A37B0D">
              <w:rPr>
                <w:bCs/>
              </w:rPr>
              <w:t xml:space="preserve"> however</w:t>
            </w:r>
            <w:r w:rsidR="00FC31E7">
              <w:rPr>
                <w:bCs/>
              </w:rPr>
              <w:t>,</w:t>
            </w:r>
            <w:r w:rsidR="00322D17" w:rsidRPr="00A37B0D">
              <w:rPr>
                <w:bCs/>
              </w:rPr>
              <w:t xml:space="preserve"> health services </w:t>
            </w:r>
            <w:r w:rsidR="007F1A1C" w:rsidRPr="00A37B0D">
              <w:rPr>
                <w:bCs/>
              </w:rPr>
              <w:t>previously</w:t>
            </w:r>
            <w:r w:rsidR="00322D17" w:rsidRPr="00A37B0D">
              <w:rPr>
                <w:bCs/>
              </w:rPr>
              <w:t xml:space="preserve"> exempt from this target</w:t>
            </w:r>
            <w:r w:rsidR="007F1A1C" w:rsidRPr="00A37B0D">
              <w:rPr>
                <w:bCs/>
              </w:rPr>
              <w:t xml:space="preserve"> will now </w:t>
            </w:r>
            <w:r w:rsidR="001522B4" w:rsidRPr="00A37B0D">
              <w:rPr>
                <w:bCs/>
              </w:rPr>
              <w:t>have the existing target applied</w:t>
            </w:r>
            <w:bookmarkStart w:id="13" w:name="_Ref201831384"/>
            <w:r w:rsidR="00153B17">
              <w:rPr>
                <w:rStyle w:val="EndnoteReference"/>
                <w:bCs/>
              </w:rPr>
              <w:endnoteReference w:id="3"/>
            </w:r>
            <w:bookmarkEnd w:id="13"/>
            <w:r w:rsidR="000167E6">
              <w:rPr>
                <w:bCs/>
              </w:rPr>
              <w:t xml:space="preserve">. </w:t>
            </w:r>
          </w:p>
        </w:tc>
        <w:tc>
          <w:tcPr>
            <w:tcW w:w="1667" w:type="pct"/>
          </w:tcPr>
          <w:p w14:paraId="4396C904" w14:textId="7E3362EA" w:rsidR="00956A5A" w:rsidRPr="00956A5A" w:rsidRDefault="0020772A" w:rsidP="00C42B4D">
            <w:pPr>
              <w:pStyle w:val="Tabletext"/>
            </w:pPr>
            <w:r w:rsidRPr="00956A5A">
              <w:rPr>
                <w:b/>
                <w:bCs/>
              </w:rPr>
              <w:t>Rationale:</w:t>
            </w:r>
            <w:r w:rsidR="00C42B4D">
              <w:rPr>
                <w:b/>
                <w:bCs/>
              </w:rPr>
              <w:t xml:space="preserve"> </w:t>
            </w:r>
            <w:r w:rsidR="00762D5B">
              <w:t>O</w:t>
            </w:r>
            <w:r w:rsidR="006D05FC">
              <w:t xml:space="preserve">verachieving health services </w:t>
            </w:r>
            <w:r w:rsidR="00E7378E">
              <w:t>were</w:t>
            </w:r>
            <w:r w:rsidR="00956A5A" w:rsidRPr="00956A5A">
              <w:t xml:space="preserve"> exempt </w:t>
            </w:r>
            <w:r w:rsidR="00723288">
              <w:t>from the target</w:t>
            </w:r>
            <w:r w:rsidR="00762D5B">
              <w:t xml:space="preserve"> in 20</w:t>
            </w:r>
            <w:r w:rsidR="00762D5B" w:rsidRPr="00956A5A">
              <w:t>24</w:t>
            </w:r>
            <w:r w:rsidR="00762D5B">
              <w:t>–</w:t>
            </w:r>
            <w:r w:rsidR="00762D5B" w:rsidRPr="00956A5A">
              <w:t>25</w:t>
            </w:r>
            <w:r w:rsidR="00762D5B">
              <w:t>. A</w:t>
            </w:r>
            <w:r w:rsidR="00B717A5">
              <w:t>s</w:t>
            </w:r>
            <w:r w:rsidR="00723288">
              <w:t xml:space="preserve"> </w:t>
            </w:r>
            <w:r w:rsidR="006A069D">
              <w:t>t</w:t>
            </w:r>
            <w:r w:rsidR="00956A5A" w:rsidRPr="00956A5A">
              <w:t xml:space="preserve">here are no overachievers based on </w:t>
            </w:r>
            <w:r w:rsidR="001854F4">
              <w:t>20</w:t>
            </w:r>
            <w:r w:rsidR="001854F4" w:rsidRPr="00956A5A">
              <w:t>24</w:t>
            </w:r>
            <w:r w:rsidR="001854F4">
              <w:t>–</w:t>
            </w:r>
            <w:r w:rsidR="001854F4" w:rsidRPr="00956A5A">
              <w:t xml:space="preserve">25 </w:t>
            </w:r>
            <w:r w:rsidR="00956A5A" w:rsidRPr="00956A5A">
              <w:t>performance</w:t>
            </w:r>
            <w:r w:rsidR="00762D5B">
              <w:t xml:space="preserve"> e</w:t>
            </w:r>
            <w:r w:rsidR="00956A5A" w:rsidRPr="00956A5A">
              <w:t>xemption</w:t>
            </w:r>
            <w:r w:rsidR="0097676F">
              <w:t xml:space="preserve"> is</w:t>
            </w:r>
            <w:r w:rsidR="00956A5A" w:rsidRPr="00956A5A">
              <w:t xml:space="preserve"> not necessary.</w:t>
            </w:r>
          </w:p>
        </w:tc>
      </w:tr>
      <w:tr w:rsidR="000E09C4" w14:paraId="552B3B1A" w14:textId="77777777" w:rsidTr="0097676F">
        <w:trPr>
          <w:trHeight w:val="794"/>
        </w:trPr>
        <w:tc>
          <w:tcPr>
            <w:tcW w:w="1667" w:type="pct"/>
          </w:tcPr>
          <w:p w14:paraId="4EA8DA5D" w14:textId="3DFCB588" w:rsidR="000E09C4" w:rsidRPr="00642BC4" w:rsidRDefault="000B1AF2" w:rsidP="00642BC4">
            <w:pPr>
              <w:pStyle w:val="Tabletext"/>
              <w:rPr>
                <w:rStyle w:val="FootnoteReference"/>
                <w:rFonts w:eastAsia="MS Gothic"/>
                <w:vertAlign w:val="baseline"/>
              </w:rPr>
            </w:pPr>
            <w:r w:rsidRPr="00315936">
              <w:rPr>
                <w:rFonts w:cs="Arial"/>
                <w:color w:val="000000"/>
                <w:szCs w:val="21"/>
                <w:shd w:val="clear" w:color="auto" w:fill="FFFFFF"/>
              </w:rPr>
              <w:t>Optimisation of surgical inpatient length of stay, including through use of virtual and home-based pre- and post-operative models of care</w:t>
            </w:r>
            <w:r w:rsidRPr="00315936">
              <w:rPr>
                <w:rStyle w:val="eop"/>
                <w:rFonts w:eastAsia="MS Gothic" w:cs="Arial"/>
                <w:color w:val="000000"/>
                <w:szCs w:val="21"/>
                <w:shd w:val="clear" w:color="auto" w:fill="FFFFFF"/>
              </w:rPr>
              <w:t> </w:t>
            </w:r>
          </w:p>
        </w:tc>
        <w:tc>
          <w:tcPr>
            <w:tcW w:w="1667" w:type="pct"/>
          </w:tcPr>
          <w:p w14:paraId="3ECE1074" w14:textId="6A8A24EC" w:rsidR="00D331D5" w:rsidRPr="004425DB" w:rsidRDefault="00D331D5" w:rsidP="00535D2B">
            <w:pPr>
              <w:pStyle w:val="Tabletext"/>
            </w:pPr>
            <w:r w:rsidRPr="004425DB">
              <w:rPr>
                <w:b/>
              </w:rPr>
              <w:t>Target change</w:t>
            </w:r>
            <w:r w:rsidR="000B1AF2" w:rsidRPr="004425DB">
              <w:rPr>
                <w:b/>
              </w:rPr>
              <w:t>:</w:t>
            </w:r>
            <w:r w:rsidR="0053380F" w:rsidRPr="00AF012F">
              <w:t xml:space="preserve"> Reduction in average LOS for surgical patients by</w:t>
            </w:r>
            <w:r w:rsidR="00F443CE" w:rsidRPr="00AF012F">
              <w:t xml:space="preserve"> at least</w:t>
            </w:r>
            <w:r w:rsidR="0053380F" w:rsidRPr="00AF012F">
              <w:t xml:space="preserve"> 2 per cent on prior year performance</w:t>
            </w:r>
          </w:p>
        </w:tc>
        <w:tc>
          <w:tcPr>
            <w:tcW w:w="1667" w:type="pct"/>
          </w:tcPr>
          <w:p w14:paraId="025A16D9" w14:textId="4575642E" w:rsidR="00372202" w:rsidRDefault="00372202" w:rsidP="00C42B4D">
            <w:pPr>
              <w:pStyle w:val="Tabletext"/>
            </w:pPr>
            <w:r w:rsidRPr="0073701A">
              <w:rPr>
                <w:b/>
                <w:bCs/>
              </w:rPr>
              <w:t>Rationale:</w:t>
            </w:r>
            <w:r w:rsidR="00C42B4D">
              <w:rPr>
                <w:b/>
                <w:bCs/>
              </w:rPr>
              <w:t xml:space="preserve"> </w:t>
            </w:r>
            <w:r>
              <w:t xml:space="preserve">Terminology updated for consistency with other targets </w:t>
            </w:r>
            <w:r w:rsidR="004A34E0">
              <w:t>and to reduce the need to update the reference year each performance cycle.</w:t>
            </w:r>
          </w:p>
        </w:tc>
      </w:tr>
      <w:tr w:rsidR="00D53893" w:rsidRPr="00315936" w14:paraId="19DAB544" w14:textId="77777777" w:rsidTr="0097676F">
        <w:trPr>
          <w:trHeight w:val="794"/>
        </w:trPr>
        <w:tc>
          <w:tcPr>
            <w:tcW w:w="1667" w:type="pct"/>
          </w:tcPr>
          <w:p w14:paraId="4EDDCF08" w14:textId="56159630" w:rsidR="00D53893" w:rsidRPr="00315936" w:rsidRDefault="00D53893">
            <w:pPr>
              <w:pStyle w:val="Tabletext"/>
            </w:pPr>
            <w:r>
              <w:t xml:space="preserve">Percentage of admitted bed days </w:t>
            </w:r>
            <w:r w:rsidR="00711E9A">
              <w:t>delivered at home</w:t>
            </w:r>
          </w:p>
        </w:tc>
        <w:tc>
          <w:tcPr>
            <w:tcW w:w="1667" w:type="pct"/>
          </w:tcPr>
          <w:p w14:paraId="2E5C4391" w14:textId="1291788C" w:rsidR="00711E9A" w:rsidRPr="00A04775" w:rsidRDefault="00711E9A" w:rsidP="00535D2B">
            <w:pPr>
              <w:pStyle w:val="Tablebullet1"/>
              <w:numPr>
                <w:ilvl w:val="0"/>
                <w:numId w:val="0"/>
              </w:numPr>
            </w:pPr>
            <w:r>
              <w:rPr>
                <w:b/>
                <w:bCs/>
              </w:rPr>
              <w:t>Target change:</w:t>
            </w:r>
            <w:r w:rsidRPr="00AF012F">
              <w:t xml:space="preserve"> Health service specific</w:t>
            </w:r>
          </w:p>
        </w:tc>
        <w:tc>
          <w:tcPr>
            <w:tcW w:w="1667" w:type="pct"/>
          </w:tcPr>
          <w:p w14:paraId="2498ED77" w14:textId="43C61F51" w:rsidR="00D53893" w:rsidRPr="0073701A" w:rsidRDefault="0073701A" w:rsidP="00A21917">
            <w:pPr>
              <w:pStyle w:val="Tabletext"/>
            </w:pPr>
            <w:r w:rsidRPr="0073701A">
              <w:rPr>
                <w:b/>
                <w:bCs/>
              </w:rPr>
              <w:t xml:space="preserve">Rationale: </w:t>
            </w:r>
            <w:r w:rsidR="00A21917">
              <w:t>Improves</w:t>
            </w:r>
            <w:r w:rsidRPr="0073701A">
              <w:t xml:space="preserve"> accountability and </w:t>
            </w:r>
            <w:r w:rsidR="00C42B4D">
              <w:t>considers</w:t>
            </w:r>
            <w:r w:rsidRPr="0073701A">
              <w:t xml:space="preserve"> previous performance of individual health services.</w:t>
            </w:r>
          </w:p>
        </w:tc>
      </w:tr>
      <w:tr w:rsidR="0080077F" w:rsidRPr="00315936" w14:paraId="779DDE8F" w14:textId="77777777" w:rsidTr="0097676F">
        <w:trPr>
          <w:trHeight w:val="794"/>
        </w:trPr>
        <w:tc>
          <w:tcPr>
            <w:tcW w:w="1667" w:type="pct"/>
          </w:tcPr>
          <w:p w14:paraId="0F50CD08" w14:textId="4BE82B8B" w:rsidR="0080077F" w:rsidRPr="00315936" w:rsidRDefault="00D531F6" w:rsidP="0080077F">
            <w:pPr>
              <w:pStyle w:val="Tabletext"/>
            </w:pPr>
            <w:r>
              <w:t xml:space="preserve">Average </w:t>
            </w:r>
            <w:r w:rsidR="0080077F">
              <w:t>I</w:t>
            </w:r>
            <w:r>
              <w:t>n</w:t>
            </w:r>
            <w:r w:rsidR="0080077F">
              <w:t>patient length of stay, in minutes</w:t>
            </w:r>
          </w:p>
        </w:tc>
        <w:tc>
          <w:tcPr>
            <w:tcW w:w="1667" w:type="pct"/>
          </w:tcPr>
          <w:p w14:paraId="29D66BE6" w14:textId="5ED3B7BE" w:rsidR="0080077F" w:rsidRPr="0080077F" w:rsidRDefault="0080077F" w:rsidP="0080077F">
            <w:pPr>
              <w:pStyle w:val="Tabletext"/>
              <w:rPr>
                <w:b/>
                <w:bCs/>
              </w:rPr>
            </w:pPr>
            <w:r>
              <w:rPr>
                <w:b/>
                <w:bCs/>
              </w:rPr>
              <w:t>Measure removal</w:t>
            </w:r>
          </w:p>
        </w:tc>
        <w:tc>
          <w:tcPr>
            <w:tcW w:w="1667" w:type="pct"/>
          </w:tcPr>
          <w:p w14:paraId="21F60EAE" w14:textId="653E40CF" w:rsidR="0080077F" w:rsidRPr="00323D02" w:rsidRDefault="0080077F" w:rsidP="0080077F">
            <w:pPr>
              <w:pStyle w:val="Tabletext"/>
              <w:rPr>
                <w:b/>
                <w:bCs/>
              </w:rPr>
            </w:pPr>
            <w:r>
              <w:rPr>
                <w:b/>
                <w:bCs/>
              </w:rPr>
              <w:t xml:space="preserve">Rationale: </w:t>
            </w:r>
            <w:r w:rsidR="0024176F">
              <w:t>Sector f</w:t>
            </w:r>
            <w:r w:rsidRPr="0080077F">
              <w:t xml:space="preserve">eedback </w:t>
            </w:r>
            <w:r w:rsidR="00E8069F">
              <w:t xml:space="preserve">indicates </w:t>
            </w:r>
            <w:r w:rsidR="00F466E6">
              <w:t xml:space="preserve">the </w:t>
            </w:r>
            <w:r w:rsidRPr="0080077F">
              <w:t>measure is not useful. An alternative measure will be developed for subsequent cycles.</w:t>
            </w:r>
          </w:p>
        </w:tc>
      </w:tr>
    </w:tbl>
    <w:p w14:paraId="57894808" w14:textId="78CB80B9" w:rsidR="00B633E6" w:rsidRDefault="00B633E6" w:rsidP="004C0FB6">
      <w:pPr>
        <w:pStyle w:val="Heading2"/>
      </w:pPr>
      <w:bookmarkStart w:id="14" w:name="_Toc545487944"/>
      <w:bookmarkStart w:id="15" w:name="_Toc204853411"/>
      <w:r w:rsidRPr="00315936">
        <w:lastRenderedPageBreak/>
        <w:t>Effective financial management</w:t>
      </w:r>
      <w:bookmarkEnd w:id="14"/>
      <w:bookmarkEnd w:id="15"/>
    </w:p>
    <w:tbl>
      <w:tblPr>
        <w:tblStyle w:val="TableGrid"/>
        <w:tblW w:w="4961" w:type="pct"/>
        <w:tblLayout w:type="fixed"/>
        <w:tblLook w:val="04A0" w:firstRow="1" w:lastRow="0" w:firstColumn="1" w:lastColumn="0" w:noHBand="0" w:noVBand="1"/>
      </w:tblPr>
      <w:tblGrid>
        <w:gridCol w:w="3458"/>
        <w:gridCol w:w="3459"/>
        <w:gridCol w:w="3457"/>
      </w:tblGrid>
      <w:tr w:rsidR="004670A1" w:rsidRPr="00315936" w14:paraId="55D3B93D" w14:textId="77777777" w:rsidTr="0097676F">
        <w:trPr>
          <w:trHeight w:val="340"/>
          <w:tblHeader/>
        </w:trPr>
        <w:tc>
          <w:tcPr>
            <w:tcW w:w="1667" w:type="pct"/>
            <w:shd w:val="clear" w:color="auto" w:fill="000066"/>
          </w:tcPr>
          <w:p w14:paraId="1A7116B5" w14:textId="77777777" w:rsidR="004670A1" w:rsidRPr="003477D2" w:rsidRDefault="004670A1" w:rsidP="003477D2">
            <w:pPr>
              <w:pStyle w:val="Tablecolhead"/>
            </w:pPr>
            <w:r w:rsidRPr="003477D2">
              <w:t>Key performance measure</w:t>
            </w:r>
          </w:p>
        </w:tc>
        <w:tc>
          <w:tcPr>
            <w:tcW w:w="1667" w:type="pct"/>
            <w:shd w:val="clear" w:color="auto" w:fill="000066"/>
          </w:tcPr>
          <w:p w14:paraId="7F80E5C2" w14:textId="77777777" w:rsidR="004670A1" w:rsidRPr="003477D2" w:rsidRDefault="004670A1" w:rsidP="003477D2">
            <w:pPr>
              <w:pStyle w:val="Tablecolhead"/>
            </w:pPr>
            <w:r w:rsidRPr="003477D2">
              <w:t>Change</w:t>
            </w:r>
          </w:p>
        </w:tc>
        <w:tc>
          <w:tcPr>
            <w:tcW w:w="1667" w:type="pct"/>
            <w:shd w:val="clear" w:color="auto" w:fill="000066"/>
          </w:tcPr>
          <w:p w14:paraId="0EFB32AC" w14:textId="77777777" w:rsidR="004670A1" w:rsidRPr="003477D2" w:rsidRDefault="004670A1" w:rsidP="003477D2">
            <w:pPr>
              <w:pStyle w:val="Tablecolhead"/>
            </w:pPr>
            <w:r w:rsidRPr="003477D2">
              <w:t>Commentary</w:t>
            </w:r>
          </w:p>
        </w:tc>
      </w:tr>
      <w:tr w:rsidR="007A3CA1" w:rsidRPr="00315936" w14:paraId="590C0D12" w14:textId="77777777" w:rsidTr="0097676F">
        <w:trPr>
          <w:trHeight w:val="794"/>
        </w:trPr>
        <w:tc>
          <w:tcPr>
            <w:tcW w:w="1667" w:type="pct"/>
          </w:tcPr>
          <w:p w14:paraId="3CA6C1A9" w14:textId="245C9F50" w:rsidR="007A3CA1" w:rsidRPr="00315936" w:rsidRDefault="002A478C">
            <w:pPr>
              <w:pStyle w:val="Tabletext"/>
            </w:pPr>
            <w:r w:rsidRPr="00315936">
              <w:t>Variance between forecast and actual Net result from transactions (NRFT) for the current financial year ending 30 June</w:t>
            </w:r>
            <w:r w:rsidR="00783E53" w:rsidRPr="00315936" w:rsidDel="00783E53">
              <w:t xml:space="preserve"> </w:t>
            </w:r>
          </w:p>
        </w:tc>
        <w:tc>
          <w:tcPr>
            <w:tcW w:w="1667" w:type="pct"/>
          </w:tcPr>
          <w:p w14:paraId="16D5579A" w14:textId="0C91979F" w:rsidR="00D4209C" w:rsidRDefault="00D4209C">
            <w:pPr>
              <w:pStyle w:val="Tabletext"/>
            </w:pPr>
            <w:r>
              <w:rPr>
                <w:b/>
              </w:rPr>
              <w:t>Rename</w:t>
            </w:r>
            <w:r w:rsidR="00344D66">
              <w:rPr>
                <w:b/>
              </w:rPr>
              <w:t xml:space="preserve"> to: </w:t>
            </w:r>
            <w:r w:rsidR="009F7EC5">
              <w:t>V</w:t>
            </w:r>
            <w:r w:rsidR="009F7EC5" w:rsidRPr="006B2CF1">
              <w:t>ariance</w:t>
            </w:r>
            <w:r w:rsidRPr="006B2CF1">
              <w:t xml:space="preserve"> between the forecast and actual operating result (OR) as a percentage of the forecast OR for the current financial year ending 30 June</w:t>
            </w:r>
            <w:r w:rsidR="006B05A9">
              <w:t>.</w:t>
            </w:r>
          </w:p>
          <w:p w14:paraId="64603FE4" w14:textId="19674C1D" w:rsidR="00D4209C" w:rsidRPr="00A37B0D" w:rsidRDefault="00712D66" w:rsidP="00535D2B">
            <w:pPr>
              <w:pStyle w:val="Tabletext"/>
            </w:pPr>
            <w:r>
              <w:rPr>
                <w:b/>
              </w:rPr>
              <w:t>Business rules change:</w:t>
            </w:r>
            <w:r w:rsidR="00B00031">
              <w:rPr>
                <w:bCs/>
              </w:rPr>
              <w:t xml:space="preserve"> </w:t>
            </w:r>
            <w:r w:rsidR="00B479F6" w:rsidRPr="00DB0CA1">
              <w:t xml:space="preserve"> </w:t>
            </w:r>
            <w:r w:rsidR="00B00031">
              <w:t>V</w:t>
            </w:r>
            <w:r w:rsidR="00B479F6">
              <w:t>ariance between the forecast and actual OR as a percentage of the forecast OR for the current financial year</w:t>
            </w:r>
          </w:p>
        </w:tc>
        <w:tc>
          <w:tcPr>
            <w:tcW w:w="1667" w:type="pct"/>
          </w:tcPr>
          <w:p w14:paraId="5B800350" w14:textId="4B2768B4" w:rsidR="00DB0CA1" w:rsidRPr="00315936" w:rsidRDefault="00AF3FDF" w:rsidP="007E392F">
            <w:pPr>
              <w:pStyle w:val="Tabletext"/>
            </w:pPr>
            <w:r w:rsidRPr="00DB0CA1">
              <w:rPr>
                <w:b/>
                <w:bCs/>
              </w:rPr>
              <w:t>Rationale:</w:t>
            </w:r>
            <w:r w:rsidR="007E392F">
              <w:rPr>
                <w:b/>
                <w:bCs/>
              </w:rPr>
              <w:t xml:space="preserve"> </w:t>
            </w:r>
            <w:r w:rsidR="00DB0CA1" w:rsidRPr="00DB0CA1">
              <w:t xml:space="preserve">Operating result forecast is a more useful </w:t>
            </w:r>
            <w:r w:rsidR="099FB30B">
              <w:t>indic</w:t>
            </w:r>
            <w:r w:rsidR="33C20E6C">
              <w:t>a</w:t>
            </w:r>
            <w:r w:rsidR="099FB30B">
              <w:t>tor</w:t>
            </w:r>
            <w:r w:rsidR="00DB0CA1" w:rsidRPr="00DB0CA1">
              <w:t xml:space="preserve"> of financial performance</w:t>
            </w:r>
          </w:p>
        </w:tc>
      </w:tr>
    </w:tbl>
    <w:p w14:paraId="33343EEA" w14:textId="0941E7BA" w:rsidR="008A2727" w:rsidRDefault="008A2727" w:rsidP="00C34AB0">
      <w:pPr>
        <w:spacing w:after="0" w:line="240" w:lineRule="auto"/>
        <w:rPr>
          <w:rFonts w:eastAsia="Times"/>
        </w:rPr>
        <w:sectPr w:rsidR="008A2727" w:rsidSect="00A47AC7">
          <w:pgSz w:w="11906" w:h="16838" w:code="9"/>
          <w:pgMar w:top="720" w:right="720" w:bottom="720" w:left="720" w:header="680" w:footer="851" w:gutter="0"/>
          <w:cols w:space="340"/>
          <w:titlePg/>
          <w:docGrid w:linePitch="360"/>
        </w:sectPr>
      </w:pPr>
    </w:p>
    <w:p w14:paraId="22BD7295" w14:textId="3E467247" w:rsidR="00C524A7" w:rsidRPr="00315936" w:rsidRDefault="00B16C5E" w:rsidP="1FAFEA63">
      <w:pPr>
        <w:pStyle w:val="Heading1"/>
        <w:spacing w:after="0" w:line="240" w:lineRule="auto"/>
      </w:pPr>
      <w:bookmarkStart w:id="16" w:name="_Toc204853412"/>
      <w:r>
        <w:lastRenderedPageBreak/>
        <w:t>2025</w:t>
      </w:r>
      <w:r w:rsidR="00576093">
        <w:t>–</w:t>
      </w:r>
      <w:r w:rsidR="008C3EC1">
        <w:t>2</w:t>
      </w:r>
      <w:r>
        <w:t>6</w:t>
      </w:r>
      <w:r w:rsidR="008C3EC1">
        <w:t xml:space="preserve"> </w:t>
      </w:r>
      <w:r w:rsidR="00733A0B">
        <w:t>Key performance measures</w:t>
      </w:r>
      <w:bookmarkEnd w:id="16"/>
    </w:p>
    <w:p w14:paraId="40AF0CD4" w14:textId="1F48CFBE" w:rsidR="00733A0B" w:rsidRPr="00315936" w:rsidRDefault="00733A0B" w:rsidP="00733A0B">
      <w:pPr>
        <w:pStyle w:val="Heading2"/>
      </w:pPr>
      <w:bookmarkStart w:id="17" w:name="_Toc167781662"/>
      <w:bookmarkStart w:id="18" w:name="_Toc204853413"/>
      <w:r w:rsidRPr="00315936">
        <w:t>High quality and safe care</w:t>
      </w:r>
      <w:bookmarkEnd w:id="17"/>
      <w:bookmarkEnd w:id="18"/>
    </w:p>
    <w:tbl>
      <w:tblPr>
        <w:tblStyle w:val="TableGrid"/>
        <w:tblW w:w="10374" w:type="dxa"/>
        <w:tblLook w:val="04A0" w:firstRow="1" w:lastRow="0" w:firstColumn="1" w:lastColumn="0" w:noHBand="0" w:noVBand="1"/>
      </w:tblPr>
      <w:tblGrid>
        <w:gridCol w:w="3458"/>
        <w:gridCol w:w="3458"/>
        <w:gridCol w:w="3458"/>
      </w:tblGrid>
      <w:tr w:rsidR="00D11EA6" w:rsidRPr="00315936" w14:paraId="33D00530" w14:textId="77777777" w:rsidTr="00506294">
        <w:trPr>
          <w:cantSplit/>
          <w:trHeight w:val="340"/>
          <w:tblHeader/>
        </w:trPr>
        <w:tc>
          <w:tcPr>
            <w:tcW w:w="3458" w:type="dxa"/>
            <w:shd w:val="clear" w:color="auto" w:fill="000066"/>
          </w:tcPr>
          <w:p w14:paraId="083B3415" w14:textId="399CA632" w:rsidR="00733A0B" w:rsidRPr="00315936" w:rsidRDefault="00733A0B">
            <w:pPr>
              <w:pStyle w:val="Tablecolhead"/>
            </w:pPr>
            <w:r w:rsidRPr="00315936">
              <w:t>Program</w:t>
            </w:r>
          </w:p>
        </w:tc>
        <w:tc>
          <w:tcPr>
            <w:tcW w:w="3458" w:type="dxa"/>
            <w:shd w:val="clear" w:color="auto" w:fill="000066"/>
          </w:tcPr>
          <w:p w14:paraId="6249C1D3" w14:textId="1CFA0883" w:rsidR="00733A0B" w:rsidRPr="00315936" w:rsidRDefault="00733A0B">
            <w:pPr>
              <w:pStyle w:val="Tablecolhead"/>
            </w:pPr>
            <w:r w:rsidRPr="00315936">
              <w:t>Measure</w:t>
            </w:r>
          </w:p>
        </w:tc>
        <w:tc>
          <w:tcPr>
            <w:tcW w:w="3458" w:type="dxa"/>
            <w:shd w:val="clear" w:color="auto" w:fill="000066"/>
          </w:tcPr>
          <w:p w14:paraId="429D9E55" w14:textId="05B0DDBD" w:rsidR="00733A0B" w:rsidRPr="00315936" w:rsidRDefault="00733A0B">
            <w:pPr>
              <w:pStyle w:val="Tablecolhead"/>
            </w:pPr>
            <w:r w:rsidRPr="00315936">
              <w:t>Target</w:t>
            </w:r>
          </w:p>
        </w:tc>
      </w:tr>
      <w:tr w:rsidR="00494385" w:rsidRPr="00315936" w14:paraId="3BCEB99D" w14:textId="77777777" w:rsidTr="00B424A8">
        <w:trPr>
          <w:cantSplit/>
        </w:trPr>
        <w:tc>
          <w:tcPr>
            <w:tcW w:w="3458" w:type="dxa"/>
          </w:tcPr>
          <w:p w14:paraId="4E63C1E7" w14:textId="43FF09F1" w:rsidR="001E64E1" w:rsidRPr="00315936" w:rsidRDefault="001E64E1" w:rsidP="001E64E1">
            <w:pPr>
              <w:pStyle w:val="Tabletext"/>
            </w:pPr>
            <w:r w:rsidRPr="00315936">
              <w:t>Infection prevention and control</w:t>
            </w:r>
          </w:p>
        </w:tc>
        <w:tc>
          <w:tcPr>
            <w:tcW w:w="3458" w:type="dxa"/>
          </w:tcPr>
          <w:p w14:paraId="64128EFC" w14:textId="2A08F737" w:rsidR="001E64E1" w:rsidRPr="00315936" w:rsidRDefault="001E64E1" w:rsidP="001E64E1">
            <w:pPr>
              <w:pStyle w:val="Tabletext"/>
              <w:rPr>
                <w:vertAlign w:val="superscript"/>
              </w:rPr>
            </w:pPr>
            <w:r w:rsidRPr="00315936">
              <w:t>Percentage of healthcare workers immunised for influenz</w:t>
            </w:r>
            <w:bookmarkStart w:id="19" w:name="_Ref169537961"/>
            <w:r w:rsidRPr="00315936">
              <w:t>a</w:t>
            </w:r>
            <w:bookmarkEnd w:id="19"/>
          </w:p>
        </w:tc>
        <w:tc>
          <w:tcPr>
            <w:tcW w:w="3458" w:type="dxa"/>
          </w:tcPr>
          <w:p w14:paraId="3704521B" w14:textId="6ED7579B" w:rsidR="001E64E1" w:rsidRPr="00315936" w:rsidRDefault="001E64E1" w:rsidP="001E64E1">
            <w:pPr>
              <w:pStyle w:val="Tabletext"/>
            </w:pPr>
            <w:r w:rsidRPr="00315936">
              <w:t>94</w:t>
            </w:r>
            <w:r w:rsidR="00A67D0D" w:rsidRPr="00315936">
              <w:t xml:space="preserve"> per cent</w:t>
            </w:r>
          </w:p>
        </w:tc>
      </w:tr>
      <w:tr w:rsidR="00494385" w:rsidRPr="00315936" w14:paraId="77886CC7" w14:textId="77777777" w:rsidTr="00B424A8">
        <w:trPr>
          <w:cantSplit/>
        </w:trPr>
        <w:tc>
          <w:tcPr>
            <w:tcW w:w="3458" w:type="dxa"/>
          </w:tcPr>
          <w:p w14:paraId="20BA47D3" w14:textId="792C0178" w:rsidR="001E64E1" w:rsidRPr="00315936" w:rsidRDefault="001E64E1" w:rsidP="001E64E1">
            <w:pPr>
              <w:pStyle w:val="Tabletext"/>
            </w:pPr>
            <w:r w:rsidRPr="00315936">
              <w:t>Continuing care</w:t>
            </w:r>
          </w:p>
        </w:tc>
        <w:tc>
          <w:tcPr>
            <w:tcW w:w="3458" w:type="dxa"/>
          </w:tcPr>
          <w:p w14:paraId="2562346F" w14:textId="7DA9ED9B" w:rsidR="001E64E1" w:rsidRPr="00315936" w:rsidRDefault="001E64E1" w:rsidP="001E64E1">
            <w:pPr>
              <w:pStyle w:val="Tabletext"/>
            </w:pPr>
            <w:r w:rsidRPr="00315936">
              <w:t>Average change in the functional independence measure (FIM) score per day of care for rehabilitation separations</w:t>
            </w:r>
          </w:p>
        </w:tc>
        <w:tc>
          <w:tcPr>
            <w:tcW w:w="3458" w:type="dxa"/>
          </w:tcPr>
          <w:p w14:paraId="43824471" w14:textId="73528413" w:rsidR="001E64E1" w:rsidRPr="00315936" w:rsidRDefault="000B6450" w:rsidP="001E64E1">
            <w:pPr>
              <w:pStyle w:val="Tabletext"/>
            </w:pPr>
            <w:r>
              <w:t xml:space="preserve">Greater than or equal to </w:t>
            </w:r>
            <w:r w:rsidR="001E64E1" w:rsidRPr="00315936">
              <w:t>0.645</w:t>
            </w:r>
          </w:p>
        </w:tc>
      </w:tr>
      <w:tr w:rsidR="00494385" w:rsidRPr="00315936" w14:paraId="4C514097" w14:textId="77777777" w:rsidTr="00B424A8">
        <w:trPr>
          <w:cantSplit/>
        </w:trPr>
        <w:tc>
          <w:tcPr>
            <w:tcW w:w="3458" w:type="dxa"/>
          </w:tcPr>
          <w:p w14:paraId="61BA4C27" w14:textId="7AF1F385" w:rsidR="001E64E1" w:rsidRPr="00315936" w:rsidRDefault="001E64E1" w:rsidP="001E64E1">
            <w:pPr>
              <w:pStyle w:val="Tabletext"/>
            </w:pPr>
            <w:r w:rsidRPr="00315936">
              <w:t>Adverse events</w:t>
            </w:r>
          </w:p>
        </w:tc>
        <w:tc>
          <w:tcPr>
            <w:tcW w:w="3458" w:type="dxa"/>
          </w:tcPr>
          <w:p w14:paraId="430858DF" w14:textId="6BCFFBCF" w:rsidR="001E64E1" w:rsidRPr="00315936" w:rsidRDefault="001E64E1" w:rsidP="001E64E1">
            <w:pPr>
              <w:pStyle w:val="Tabletext"/>
            </w:pPr>
            <w:r w:rsidRPr="00315936">
              <w:rPr>
                <w:rFonts w:eastAsia="MS Gothic"/>
              </w:rPr>
              <w:t>Percentage of reported sentinel events for which a root cause analysis (RCA) report was submitted within 30 business days from notification of the event</w:t>
            </w:r>
            <w:r w:rsidRPr="00315936">
              <w:rPr>
                <w:rStyle w:val="eop"/>
                <w:rFonts w:eastAsia="MS Mincho"/>
              </w:rPr>
              <w:t> </w:t>
            </w:r>
          </w:p>
        </w:tc>
        <w:tc>
          <w:tcPr>
            <w:tcW w:w="3458" w:type="dxa"/>
          </w:tcPr>
          <w:p w14:paraId="324641A6" w14:textId="50177210" w:rsidR="001E64E1" w:rsidRPr="00315936" w:rsidRDefault="001E64E1" w:rsidP="001E64E1">
            <w:pPr>
              <w:pStyle w:val="Tabletext"/>
            </w:pPr>
            <w:r w:rsidRPr="00315936">
              <w:t>All sentinel event reports submitted within 30 business days from notification</w:t>
            </w:r>
          </w:p>
        </w:tc>
      </w:tr>
      <w:tr w:rsidR="00494385" w:rsidRPr="00315936" w14:paraId="660D635F" w14:textId="77777777" w:rsidTr="00B424A8">
        <w:trPr>
          <w:cantSplit/>
        </w:trPr>
        <w:tc>
          <w:tcPr>
            <w:tcW w:w="3458" w:type="dxa"/>
          </w:tcPr>
          <w:p w14:paraId="04B393C8" w14:textId="2A2D459C" w:rsidR="001E64E1" w:rsidRPr="00315936" w:rsidRDefault="001E64E1" w:rsidP="001E64E1">
            <w:pPr>
              <w:pStyle w:val="Tabletext"/>
            </w:pPr>
            <w:r w:rsidRPr="00315936">
              <w:t>Aged care</w:t>
            </w:r>
          </w:p>
        </w:tc>
        <w:tc>
          <w:tcPr>
            <w:tcW w:w="3458" w:type="dxa"/>
          </w:tcPr>
          <w:p w14:paraId="783907AA" w14:textId="2AE2CF3E" w:rsidR="001E64E1" w:rsidRPr="00315936" w:rsidRDefault="00783A59" w:rsidP="001E64E1">
            <w:pPr>
              <w:pStyle w:val="Tabletext"/>
            </w:pPr>
            <w:r w:rsidRPr="00315936">
              <w:t xml:space="preserve">Public Sector Residential Aged Care Services </w:t>
            </w:r>
            <w:r w:rsidR="00912D9D">
              <w:t>overall star rating</w:t>
            </w:r>
          </w:p>
        </w:tc>
        <w:tc>
          <w:tcPr>
            <w:tcW w:w="3458" w:type="dxa"/>
          </w:tcPr>
          <w:p w14:paraId="3EE804D0" w14:textId="3638E24D" w:rsidR="001E64E1" w:rsidRPr="00315936" w:rsidRDefault="00912D9D" w:rsidP="001E64E1">
            <w:pPr>
              <w:pStyle w:val="Tabletext"/>
            </w:pPr>
            <w:r>
              <w:t>100</w:t>
            </w:r>
            <w:r w:rsidR="00477259">
              <w:t xml:space="preserve"> per cent</w:t>
            </w:r>
            <w:r>
              <w:t xml:space="preserve"> </w:t>
            </w:r>
            <w:r w:rsidR="00210563">
              <w:t>of services at 3 stars or above</w:t>
            </w:r>
          </w:p>
        </w:tc>
      </w:tr>
      <w:tr w:rsidR="00494385" w:rsidRPr="00315936" w14:paraId="48D5864D" w14:textId="77777777" w:rsidTr="00B424A8">
        <w:trPr>
          <w:cantSplit/>
        </w:trPr>
        <w:tc>
          <w:tcPr>
            <w:tcW w:w="3458" w:type="dxa"/>
          </w:tcPr>
          <w:p w14:paraId="2AAA1C1D" w14:textId="3C55E0E9" w:rsidR="001E64E1" w:rsidRPr="00315936" w:rsidRDefault="001E64E1" w:rsidP="001E64E1">
            <w:pPr>
              <w:pStyle w:val="Tabletext"/>
              <w:rPr>
                <w:rFonts w:eastAsia="MS Gothic"/>
              </w:rPr>
            </w:pPr>
            <w:r w:rsidRPr="00315936">
              <w:t>Patient experience</w:t>
            </w:r>
          </w:p>
        </w:tc>
        <w:tc>
          <w:tcPr>
            <w:tcW w:w="3458" w:type="dxa"/>
          </w:tcPr>
          <w:p w14:paraId="5B054DE3" w14:textId="526B054D" w:rsidR="001E64E1" w:rsidRPr="00315936" w:rsidRDefault="001E64E1" w:rsidP="001E64E1">
            <w:pPr>
              <w:pStyle w:val="Tabletext"/>
              <w:rPr>
                <w:rFonts w:eastAsia="MS Gothic"/>
              </w:rPr>
            </w:pPr>
            <w:r w:rsidRPr="00315936">
              <w:t xml:space="preserve">Percentage of patients who reported positive experiences of their hospital stay </w:t>
            </w:r>
          </w:p>
        </w:tc>
        <w:tc>
          <w:tcPr>
            <w:tcW w:w="3458" w:type="dxa"/>
          </w:tcPr>
          <w:p w14:paraId="7589F6FF" w14:textId="3A42E3EC" w:rsidR="001E64E1" w:rsidRPr="00315936" w:rsidRDefault="7E2A516F" w:rsidP="001E64E1">
            <w:pPr>
              <w:pStyle w:val="Tabletext"/>
            </w:pPr>
            <w:r>
              <w:t>95</w:t>
            </w:r>
            <w:r w:rsidR="74709492">
              <w:t xml:space="preserve"> per cent</w:t>
            </w:r>
          </w:p>
        </w:tc>
      </w:tr>
      <w:tr w:rsidR="00494385" w:rsidRPr="00315936" w14:paraId="09BFDC45" w14:textId="77777777" w:rsidTr="00B424A8">
        <w:trPr>
          <w:cantSplit/>
        </w:trPr>
        <w:tc>
          <w:tcPr>
            <w:tcW w:w="3458" w:type="dxa"/>
          </w:tcPr>
          <w:p w14:paraId="1360B8D1" w14:textId="10549A68" w:rsidR="001E64E1" w:rsidRPr="00315936" w:rsidRDefault="001E64E1" w:rsidP="001E64E1">
            <w:pPr>
              <w:pStyle w:val="Tabletext"/>
              <w:rPr>
                <w:rFonts w:eastAsia="MS Gothic"/>
              </w:rPr>
            </w:pPr>
            <w:r w:rsidRPr="00315936">
              <w:t>Aboriginal health</w:t>
            </w:r>
          </w:p>
        </w:tc>
        <w:tc>
          <w:tcPr>
            <w:tcW w:w="3458" w:type="dxa"/>
          </w:tcPr>
          <w:p w14:paraId="009EE546" w14:textId="67A27E66" w:rsidR="001E64E1" w:rsidRPr="00315936" w:rsidRDefault="00230564" w:rsidP="001E64E1">
            <w:pPr>
              <w:pStyle w:val="Tabletext"/>
            </w:pPr>
            <w:r w:rsidRPr="002156EA">
              <w:t xml:space="preserve">The difference between the percentage of Aboriginal </w:t>
            </w:r>
            <w:r w:rsidR="00F11536">
              <w:t>and/or Torres Strait Islander</w:t>
            </w:r>
            <w:r w:rsidRPr="002156EA">
              <w:t xml:space="preserve"> patients and non-Aboriginal </w:t>
            </w:r>
            <w:r w:rsidR="00F11536">
              <w:t xml:space="preserve">and/or non-Torres Strait Islander </w:t>
            </w:r>
            <w:r w:rsidRPr="002156EA">
              <w:t xml:space="preserve">patients who left against medical </w:t>
            </w:r>
            <w:r w:rsidR="001E64E1" w:rsidRPr="00315936" w:rsidDel="00230564">
              <w:t>advice</w:t>
            </w:r>
          </w:p>
        </w:tc>
        <w:tc>
          <w:tcPr>
            <w:tcW w:w="3458" w:type="dxa"/>
          </w:tcPr>
          <w:p w14:paraId="6ACE5C82" w14:textId="08BAB22D" w:rsidR="001E64E1" w:rsidRPr="00315936" w:rsidRDefault="00987653" w:rsidP="001E64E1">
            <w:pPr>
              <w:pStyle w:val="Tabletext"/>
            </w:pPr>
            <w:r w:rsidRPr="00315936">
              <w:t>0</w:t>
            </w:r>
            <w:r w:rsidR="00C90186" w:rsidRPr="00315936">
              <w:t xml:space="preserve"> per</w:t>
            </w:r>
            <w:r w:rsidR="00FC697C">
              <w:t xml:space="preserve"> </w:t>
            </w:r>
            <w:r w:rsidR="00C90186" w:rsidRPr="00315936">
              <w:t>cent</w:t>
            </w:r>
          </w:p>
        </w:tc>
      </w:tr>
      <w:tr w:rsidR="00494385" w:rsidRPr="00315936" w14:paraId="528FC691" w14:textId="77777777" w:rsidTr="00B424A8">
        <w:trPr>
          <w:cantSplit/>
        </w:trPr>
        <w:tc>
          <w:tcPr>
            <w:tcW w:w="3458" w:type="dxa"/>
          </w:tcPr>
          <w:p w14:paraId="16F7692C" w14:textId="40FBFFB5" w:rsidR="001E64E1" w:rsidRPr="00315936" w:rsidRDefault="001E64E1" w:rsidP="001E64E1">
            <w:pPr>
              <w:pStyle w:val="Tabletext"/>
            </w:pPr>
            <w:r w:rsidRPr="00315936">
              <w:t>Aboriginal health</w:t>
            </w:r>
          </w:p>
        </w:tc>
        <w:tc>
          <w:tcPr>
            <w:tcW w:w="3458" w:type="dxa"/>
          </w:tcPr>
          <w:p w14:paraId="2C8A89CA" w14:textId="66028540" w:rsidR="001E64E1" w:rsidRPr="00315936" w:rsidRDefault="00230564" w:rsidP="001E64E1">
            <w:pPr>
              <w:pStyle w:val="Tabletext"/>
            </w:pPr>
            <w:r w:rsidRPr="002156EA">
              <w:t xml:space="preserve">The difference between the percentage of Aboriginal </w:t>
            </w:r>
            <w:r w:rsidR="00F11536">
              <w:t xml:space="preserve">and/or Torres Strait Islander </w:t>
            </w:r>
            <w:r w:rsidRPr="002156EA">
              <w:t xml:space="preserve">patients and non-Aboriginal </w:t>
            </w:r>
            <w:r w:rsidR="00F11536">
              <w:t xml:space="preserve">and/or non-Torres Strait Islander </w:t>
            </w:r>
            <w:r w:rsidRPr="002156EA">
              <w:t>patients</w:t>
            </w:r>
            <w:r>
              <w:t xml:space="preserve"> presenting to emergency departments who did not wait to be treated</w:t>
            </w:r>
          </w:p>
        </w:tc>
        <w:tc>
          <w:tcPr>
            <w:tcW w:w="3458" w:type="dxa"/>
          </w:tcPr>
          <w:p w14:paraId="59D4C4D3" w14:textId="54DC27D9" w:rsidR="001E64E1" w:rsidRPr="00315936" w:rsidRDefault="00C90186" w:rsidP="001E64E1">
            <w:pPr>
              <w:pStyle w:val="Tabletext"/>
            </w:pPr>
            <w:r w:rsidRPr="00315936">
              <w:t>0 per cent</w:t>
            </w:r>
          </w:p>
        </w:tc>
      </w:tr>
      <w:tr w:rsidR="00151EE8" w:rsidRPr="00315936" w14:paraId="65FA8C5F" w14:textId="77777777" w:rsidTr="00B424A8">
        <w:trPr>
          <w:cantSplit/>
        </w:trPr>
        <w:tc>
          <w:tcPr>
            <w:tcW w:w="3458" w:type="dxa"/>
          </w:tcPr>
          <w:p w14:paraId="42477E5C" w14:textId="726A5E55" w:rsidR="00151EE8" w:rsidRPr="00315936" w:rsidRDefault="00151EE8" w:rsidP="00151EE8">
            <w:pPr>
              <w:pStyle w:val="Tabletext"/>
              <w:rPr>
                <w:rFonts w:eastAsia="MS Gothic"/>
              </w:rPr>
            </w:pPr>
            <w:r w:rsidRPr="00315936">
              <w:rPr>
                <w:rFonts w:eastAsia="MS Gothic"/>
              </w:rPr>
              <w:t>Mental health patient experience</w:t>
            </w:r>
          </w:p>
        </w:tc>
        <w:tc>
          <w:tcPr>
            <w:tcW w:w="3458" w:type="dxa"/>
          </w:tcPr>
          <w:p w14:paraId="4BC76E21" w14:textId="66D98A5F" w:rsidR="00151EE8" w:rsidRDefault="009629FB" w:rsidP="009629FB">
            <w:pPr>
              <w:pStyle w:val="Tabletext"/>
            </w:pPr>
            <w:r w:rsidRPr="00435CB2">
              <w:t>Percentage of consumers who rated their overall experience with a service in the last three months as positive</w:t>
            </w:r>
          </w:p>
        </w:tc>
        <w:tc>
          <w:tcPr>
            <w:tcW w:w="3458" w:type="dxa"/>
          </w:tcPr>
          <w:p w14:paraId="3CD8D89B" w14:textId="78E4CDAA" w:rsidR="00151EE8" w:rsidDel="00482182" w:rsidRDefault="00D94D37" w:rsidP="00151EE8">
            <w:pPr>
              <w:pStyle w:val="Tabletext"/>
            </w:pPr>
            <w:r>
              <w:t>80 per cent</w:t>
            </w:r>
          </w:p>
        </w:tc>
      </w:tr>
      <w:tr w:rsidR="00494385" w:rsidRPr="00315936" w14:paraId="62564EB7" w14:textId="77777777" w:rsidTr="00B424A8">
        <w:trPr>
          <w:cantSplit/>
        </w:trPr>
        <w:tc>
          <w:tcPr>
            <w:tcW w:w="3458" w:type="dxa"/>
          </w:tcPr>
          <w:p w14:paraId="794F6BDE" w14:textId="13843F62" w:rsidR="001E64E1" w:rsidRPr="00315936" w:rsidRDefault="001E64E1" w:rsidP="001E64E1">
            <w:pPr>
              <w:pStyle w:val="Tabletext"/>
              <w:rPr>
                <w:rFonts w:eastAsia="MS Gothic"/>
              </w:rPr>
            </w:pPr>
            <w:r w:rsidRPr="00315936">
              <w:rPr>
                <w:rFonts w:eastAsia="MS Gothic"/>
              </w:rPr>
              <w:t>Mental health patient experience</w:t>
            </w:r>
          </w:p>
        </w:tc>
        <w:tc>
          <w:tcPr>
            <w:tcW w:w="3458" w:type="dxa"/>
          </w:tcPr>
          <w:p w14:paraId="76EA2C2A" w14:textId="59C7E63E" w:rsidR="001E64E1" w:rsidRPr="00315936" w:rsidRDefault="672966B9" w:rsidP="001E64E1">
            <w:pPr>
              <w:pStyle w:val="Tabletext"/>
            </w:pPr>
            <w:r>
              <w:t>Percentage of families/carers reporting a ‘very good’ or ‘excellent’ overall experience of the service</w:t>
            </w:r>
          </w:p>
        </w:tc>
        <w:tc>
          <w:tcPr>
            <w:tcW w:w="3458" w:type="dxa"/>
          </w:tcPr>
          <w:p w14:paraId="10AD45AA" w14:textId="4CB388E7" w:rsidR="001E64E1" w:rsidRPr="00315936" w:rsidRDefault="17DE2AC0" w:rsidP="001E64E1">
            <w:pPr>
              <w:pStyle w:val="Tabletext"/>
            </w:pPr>
            <w:r>
              <w:t>80 per cent</w:t>
            </w:r>
          </w:p>
        </w:tc>
      </w:tr>
      <w:tr w:rsidR="00494385" w:rsidRPr="00315936" w14:paraId="315E6DD8" w14:textId="77777777" w:rsidTr="00B424A8">
        <w:trPr>
          <w:cantSplit/>
        </w:trPr>
        <w:tc>
          <w:tcPr>
            <w:tcW w:w="3458" w:type="dxa"/>
          </w:tcPr>
          <w:p w14:paraId="428E26F1" w14:textId="72A1228D" w:rsidR="001E64E1" w:rsidRPr="00315936" w:rsidRDefault="001E64E1" w:rsidP="001E64E1">
            <w:pPr>
              <w:pStyle w:val="Tabletext"/>
              <w:rPr>
                <w:rFonts w:eastAsia="MS Gothic"/>
              </w:rPr>
            </w:pPr>
            <w:r w:rsidRPr="00315936">
              <w:rPr>
                <w:rFonts w:eastAsia="MS Gothic"/>
              </w:rPr>
              <w:lastRenderedPageBreak/>
              <w:t>Mental health patient experience</w:t>
            </w:r>
          </w:p>
        </w:tc>
        <w:tc>
          <w:tcPr>
            <w:tcW w:w="3458" w:type="dxa"/>
          </w:tcPr>
          <w:p w14:paraId="6278C5C3" w14:textId="4D792BBB" w:rsidR="001E64E1" w:rsidRPr="00315936" w:rsidRDefault="001E64E1" w:rsidP="001E64E1">
            <w:pPr>
              <w:pStyle w:val="Tabletext"/>
              <w:rPr>
                <w:rFonts w:eastAsia="MS Gothic"/>
              </w:rPr>
            </w:pPr>
            <w:r w:rsidRPr="00315936">
              <w:t>Percentage of families/carers who report they ‘always’ or ‘usually’ felt their opinions as a carer were respected</w:t>
            </w:r>
          </w:p>
        </w:tc>
        <w:tc>
          <w:tcPr>
            <w:tcW w:w="3458" w:type="dxa"/>
          </w:tcPr>
          <w:p w14:paraId="4E47BE5A" w14:textId="61F9EC5A" w:rsidR="001E64E1" w:rsidRPr="00315936" w:rsidRDefault="7E2A516F" w:rsidP="001E64E1">
            <w:pPr>
              <w:pStyle w:val="Tabletext"/>
            </w:pPr>
            <w:r>
              <w:t>90</w:t>
            </w:r>
            <w:r w:rsidR="74709492">
              <w:t xml:space="preserve"> per cent</w:t>
            </w:r>
          </w:p>
        </w:tc>
      </w:tr>
      <w:tr w:rsidR="00494385" w:rsidRPr="00315936" w14:paraId="0F00B9DB" w14:textId="77777777" w:rsidTr="00B424A8">
        <w:trPr>
          <w:cantSplit/>
        </w:trPr>
        <w:tc>
          <w:tcPr>
            <w:tcW w:w="3458" w:type="dxa"/>
          </w:tcPr>
          <w:p w14:paraId="0B83ED81" w14:textId="31A3F2B5" w:rsidR="001E64E1" w:rsidRPr="00315936" w:rsidRDefault="001E64E1" w:rsidP="001E64E1">
            <w:pPr>
              <w:pStyle w:val="Tabletext"/>
              <w:rPr>
                <w:rFonts w:eastAsia="MS Gothic"/>
              </w:rPr>
            </w:pPr>
            <w:r w:rsidRPr="00315936">
              <w:rPr>
                <w:rFonts w:eastAsia="MS Gothic"/>
              </w:rPr>
              <w:t>Mental health patient experience</w:t>
            </w:r>
          </w:p>
        </w:tc>
        <w:tc>
          <w:tcPr>
            <w:tcW w:w="3458" w:type="dxa"/>
          </w:tcPr>
          <w:p w14:paraId="5F3B1CC4" w14:textId="7C6EDF7E" w:rsidR="001E64E1" w:rsidRPr="00315936" w:rsidRDefault="001E64E1" w:rsidP="001E64E1">
            <w:pPr>
              <w:pStyle w:val="Tabletext"/>
            </w:pPr>
            <w:r w:rsidRPr="00315936">
              <w:t>Percentage of mental health consumers reporting they ‘usually’ or ‘always’ felt safe using this service</w:t>
            </w:r>
          </w:p>
        </w:tc>
        <w:tc>
          <w:tcPr>
            <w:tcW w:w="3458" w:type="dxa"/>
          </w:tcPr>
          <w:p w14:paraId="79CB802A" w14:textId="2F3B3EDB" w:rsidR="001E64E1" w:rsidRPr="00315936" w:rsidRDefault="7E2A516F" w:rsidP="001E64E1">
            <w:pPr>
              <w:pStyle w:val="Tabletext"/>
            </w:pPr>
            <w:r>
              <w:t>90</w:t>
            </w:r>
            <w:r w:rsidR="74709492">
              <w:t xml:space="preserve"> per cent</w:t>
            </w:r>
          </w:p>
        </w:tc>
      </w:tr>
      <w:tr w:rsidR="00494385" w:rsidRPr="00315936" w14:paraId="0E5B4FDD" w14:textId="77777777" w:rsidTr="00B424A8">
        <w:trPr>
          <w:cantSplit/>
        </w:trPr>
        <w:tc>
          <w:tcPr>
            <w:tcW w:w="3458" w:type="dxa"/>
          </w:tcPr>
          <w:p w14:paraId="0EA8C792" w14:textId="013C0CE1" w:rsidR="001E64E1" w:rsidRPr="00315936" w:rsidRDefault="001E64E1" w:rsidP="001E64E1">
            <w:pPr>
              <w:pStyle w:val="Tabletext"/>
              <w:rPr>
                <w:rFonts w:eastAsia="MS Gothic"/>
              </w:rPr>
            </w:pPr>
            <w:r w:rsidRPr="00315936">
              <w:rPr>
                <w:rFonts w:eastAsia="MS Gothic"/>
              </w:rPr>
              <w:t>Mental health seclusions</w:t>
            </w:r>
          </w:p>
        </w:tc>
        <w:tc>
          <w:tcPr>
            <w:tcW w:w="3458" w:type="dxa"/>
          </w:tcPr>
          <w:p w14:paraId="7BFCE62E" w14:textId="2ADFBFFD" w:rsidR="001E64E1" w:rsidRPr="00315936" w:rsidRDefault="001E64E1" w:rsidP="001E64E1">
            <w:pPr>
              <w:pStyle w:val="Tabletext"/>
              <w:rPr>
                <w:rFonts w:eastAsia="MS Gothic"/>
              </w:rPr>
            </w:pPr>
            <w:r w:rsidRPr="00315936">
              <w:t xml:space="preserve">Rate of seclusion episodes per 1,000 occupied bed days </w:t>
            </w:r>
            <w:r w:rsidR="00636287">
              <w:t xml:space="preserve">– </w:t>
            </w:r>
            <w:r w:rsidRPr="00315936">
              <w:t>Inpatient</w:t>
            </w:r>
          </w:p>
        </w:tc>
        <w:tc>
          <w:tcPr>
            <w:tcW w:w="3458" w:type="dxa"/>
          </w:tcPr>
          <w:p w14:paraId="3017711E" w14:textId="36D1D282" w:rsidR="00143333" w:rsidRPr="00315936" w:rsidRDefault="002528DC" w:rsidP="002528DC">
            <w:pPr>
              <w:pStyle w:val="Tabletext"/>
            </w:pPr>
            <w:r>
              <w:t>L</w:t>
            </w:r>
            <w:r w:rsidR="00C337B9">
              <w:t xml:space="preserve">ess than or equal to </w:t>
            </w:r>
            <w:r w:rsidR="4C1637B8">
              <w:t>6</w:t>
            </w:r>
            <w:r w:rsidR="00BC6B57">
              <w:t xml:space="preserve"> episodes</w:t>
            </w:r>
          </w:p>
        </w:tc>
      </w:tr>
      <w:tr w:rsidR="00494385" w:rsidRPr="00315936" w14:paraId="5D8BC140" w14:textId="77777777" w:rsidTr="00B424A8">
        <w:trPr>
          <w:cantSplit/>
        </w:trPr>
        <w:tc>
          <w:tcPr>
            <w:tcW w:w="3458" w:type="dxa"/>
          </w:tcPr>
          <w:p w14:paraId="60137B18" w14:textId="09CF4266" w:rsidR="001E64E1" w:rsidRPr="00315936" w:rsidRDefault="001E64E1" w:rsidP="001E64E1">
            <w:pPr>
              <w:pStyle w:val="Tabletext"/>
            </w:pPr>
            <w:r w:rsidRPr="00315936">
              <w:rPr>
                <w:rFonts w:eastAsia="MS Gothic"/>
              </w:rPr>
              <w:t xml:space="preserve">Mental health readmissions </w:t>
            </w:r>
          </w:p>
        </w:tc>
        <w:tc>
          <w:tcPr>
            <w:tcW w:w="3458" w:type="dxa"/>
          </w:tcPr>
          <w:p w14:paraId="66662F31" w14:textId="24C89881" w:rsidR="001E64E1" w:rsidRPr="00315936" w:rsidRDefault="001E64E1" w:rsidP="001E64E1">
            <w:pPr>
              <w:pStyle w:val="Tabletext"/>
              <w:rPr>
                <w:rFonts w:eastAsia="MS Gothic"/>
              </w:rPr>
            </w:pPr>
            <w:r w:rsidRPr="00315936">
              <w:t xml:space="preserve">Percentage of consumers re-admitted within 28 days of separation </w:t>
            </w:r>
            <w:r w:rsidR="00395CDE">
              <w:t xml:space="preserve">– </w:t>
            </w:r>
            <w:r w:rsidRPr="00315936">
              <w:t xml:space="preserve">Inpatient </w:t>
            </w:r>
          </w:p>
        </w:tc>
        <w:tc>
          <w:tcPr>
            <w:tcW w:w="3458" w:type="dxa"/>
          </w:tcPr>
          <w:p w14:paraId="792D6515" w14:textId="00D19454" w:rsidR="001E64E1" w:rsidRPr="00315936" w:rsidRDefault="008B103A" w:rsidP="001E64E1">
            <w:pPr>
              <w:pStyle w:val="Tabletext"/>
            </w:pPr>
            <w:r>
              <w:t xml:space="preserve">Less than </w:t>
            </w:r>
            <w:r w:rsidR="001E64E1" w:rsidRPr="00315936">
              <w:t>14</w:t>
            </w:r>
            <w:r w:rsidR="00A67D0D" w:rsidRPr="00315936">
              <w:t xml:space="preserve"> per cent</w:t>
            </w:r>
          </w:p>
        </w:tc>
      </w:tr>
      <w:tr w:rsidR="00494385" w:rsidRPr="00315936" w14:paraId="0F6D266E" w14:textId="77777777" w:rsidTr="00B424A8">
        <w:trPr>
          <w:cantSplit/>
        </w:trPr>
        <w:tc>
          <w:tcPr>
            <w:tcW w:w="3458" w:type="dxa"/>
          </w:tcPr>
          <w:p w14:paraId="18C97746" w14:textId="36A0D509" w:rsidR="00B251A7" w:rsidRPr="00315936" w:rsidRDefault="00053871" w:rsidP="001E64E1">
            <w:pPr>
              <w:pStyle w:val="Tabletext"/>
            </w:pPr>
            <w:r w:rsidRPr="00315936">
              <w:t>Mental health post discharge follow</w:t>
            </w:r>
            <w:r w:rsidR="001E69DB" w:rsidRPr="00315936">
              <w:t>-up</w:t>
            </w:r>
          </w:p>
        </w:tc>
        <w:tc>
          <w:tcPr>
            <w:tcW w:w="3458" w:type="dxa"/>
          </w:tcPr>
          <w:p w14:paraId="03F177F9" w14:textId="6D8E861A" w:rsidR="00B251A7" w:rsidRPr="00315936" w:rsidRDefault="00516B4D" w:rsidP="00516B4D">
            <w:pPr>
              <w:pStyle w:val="Tabletext"/>
            </w:pPr>
            <w:r>
              <w:t>Percentage of consumers followed up within 7 days of separation – Inpatient </w:t>
            </w:r>
          </w:p>
        </w:tc>
        <w:tc>
          <w:tcPr>
            <w:tcW w:w="3458" w:type="dxa"/>
          </w:tcPr>
          <w:p w14:paraId="61944021" w14:textId="1DFEEBDA" w:rsidR="00B251A7" w:rsidRPr="00315936" w:rsidRDefault="03A89DB9" w:rsidP="001E64E1">
            <w:pPr>
              <w:pStyle w:val="Tabletext"/>
            </w:pPr>
            <w:r>
              <w:t>88 per cent</w:t>
            </w:r>
          </w:p>
        </w:tc>
      </w:tr>
    </w:tbl>
    <w:p w14:paraId="3A01E63F" w14:textId="74C9613F" w:rsidR="00733A0B" w:rsidRPr="00315936" w:rsidRDefault="00733A0B" w:rsidP="00733A0B">
      <w:pPr>
        <w:pStyle w:val="Heading2"/>
      </w:pPr>
      <w:bookmarkStart w:id="20" w:name="_Toc167781663"/>
      <w:bookmarkStart w:id="21" w:name="_Toc204853414"/>
      <w:r w:rsidRPr="00315936">
        <w:t>Strong governance, leadership and culture</w:t>
      </w:r>
      <w:bookmarkEnd w:id="20"/>
      <w:bookmarkEnd w:id="21"/>
    </w:p>
    <w:tbl>
      <w:tblPr>
        <w:tblStyle w:val="TableGrid"/>
        <w:tblW w:w="10374" w:type="dxa"/>
        <w:tblLook w:val="04A0" w:firstRow="1" w:lastRow="0" w:firstColumn="1" w:lastColumn="0" w:noHBand="0" w:noVBand="1"/>
      </w:tblPr>
      <w:tblGrid>
        <w:gridCol w:w="3458"/>
        <w:gridCol w:w="3458"/>
        <w:gridCol w:w="3458"/>
      </w:tblGrid>
      <w:tr w:rsidR="009046D5" w:rsidRPr="00315936" w14:paraId="731822BC" w14:textId="77777777" w:rsidTr="003F0028">
        <w:trPr>
          <w:cantSplit/>
          <w:trHeight w:val="340"/>
          <w:tblHeader/>
        </w:trPr>
        <w:tc>
          <w:tcPr>
            <w:tcW w:w="3458" w:type="dxa"/>
            <w:shd w:val="clear" w:color="auto" w:fill="000066"/>
          </w:tcPr>
          <w:p w14:paraId="2D883A6B" w14:textId="77777777" w:rsidR="009046D5" w:rsidRPr="00315936" w:rsidRDefault="009046D5">
            <w:pPr>
              <w:pStyle w:val="Tablecolhead"/>
            </w:pPr>
            <w:r w:rsidRPr="00315936">
              <w:t>Program</w:t>
            </w:r>
          </w:p>
        </w:tc>
        <w:tc>
          <w:tcPr>
            <w:tcW w:w="3458" w:type="dxa"/>
            <w:shd w:val="clear" w:color="auto" w:fill="000066"/>
          </w:tcPr>
          <w:p w14:paraId="5E35EE91" w14:textId="77777777" w:rsidR="009046D5" w:rsidRPr="00315936" w:rsidRDefault="009046D5">
            <w:pPr>
              <w:pStyle w:val="Tablecolhead"/>
            </w:pPr>
            <w:r w:rsidRPr="00315936">
              <w:t>Measure</w:t>
            </w:r>
          </w:p>
        </w:tc>
        <w:tc>
          <w:tcPr>
            <w:tcW w:w="3458" w:type="dxa"/>
            <w:shd w:val="clear" w:color="auto" w:fill="000066"/>
          </w:tcPr>
          <w:p w14:paraId="560E0665" w14:textId="77777777" w:rsidR="009046D5" w:rsidRPr="00315936" w:rsidRDefault="009046D5">
            <w:pPr>
              <w:pStyle w:val="Tablecolhead"/>
            </w:pPr>
            <w:r w:rsidRPr="00315936">
              <w:t>Target</w:t>
            </w:r>
          </w:p>
        </w:tc>
      </w:tr>
      <w:tr w:rsidR="009046D5" w:rsidRPr="00315936" w14:paraId="5063F501" w14:textId="77777777" w:rsidTr="003F0028">
        <w:trPr>
          <w:cantSplit/>
          <w:trHeight w:val="801"/>
        </w:trPr>
        <w:tc>
          <w:tcPr>
            <w:tcW w:w="3458" w:type="dxa"/>
          </w:tcPr>
          <w:p w14:paraId="7FF98286" w14:textId="3BC6A16F" w:rsidR="009046D5" w:rsidRPr="00315936" w:rsidRDefault="009046D5">
            <w:pPr>
              <w:pStyle w:val="Tabletext"/>
            </w:pPr>
            <w:r w:rsidRPr="00315936">
              <w:t>Organisational culture</w:t>
            </w:r>
          </w:p>
        </w:tc>
        <w:tc>
          <w:tcPr>
            <w:tcW w:w="3458" w:type="dxa"/>
          </w:tcPr>
          <w:p w14:paraId="2211552E" w14:textId="4EE309DD" w:rsidR="009046D5" w:rsidRPr="00315936" w:rsidRDefault="009046D5">
            <w:pPr>
              <w:pStyle w:val="Tabletext"/>
            </w:pPr>
            <w:r w:rsidRPr="00315936">
              <w:t>People matter survey – Percentage of staff with an overall positive response to safety culture survey questions</w:t>
            </w:r>
          </w:p>
        </w:tc>
        <w:tc>
          <w:tcPr>
            <w:tcW w:w="3458" w:type="dxa"/>
          </w:tcPr>
          <w:p w14:paraId="0DFD7AFD" w14:textId="5BADE82D" w:rsidR="009046D5" w:rsidRPr="00315936" w:rsidRDefault="46A64D89">
            <w:pPr>
              <w:pStyle w:val="Tabletext"/>
            </w:pPr>
            <w:r>
              <w:t>80</w:t>
            </w:r>
            <w:r w:rsidR="74709492">
              <w:t xml:space="preserve"> per cent</w:t>
            </w:r>
          </w:p>
        </w:tc>
      </w:tr>
    </w:tbl>
    <w:p w14:paraId="2D24F739" w14:textId="30B846DB" w:rsidR="00733A0B" w:rsidRPr="00315936" w:rsidRDefault="00733A0B" w:rsidP="00733A0B">
      <w:pPr>
        <w:pStyle w:val="Heading2"/>
      </w:pPr>
      <w:bookmarkStart w:id="22" w:name="_Toc167781664"/>
      <w:bookmarkStart w:id="23" w:name="_Toc204853415"/>
      <w:r w:rsidRPr="00315936">
        <w:t>Timely access to care</w:t>
      </w:r>
      <w:bookmarkEnd w:id="22"/>
      <w:bookmarkEnd w:id="23"/>
    </w:p>
    <w:tbl>
      <w:tblPr>
        <w:tblStyle w:val="TableGrid"/>
        <w:tblW w:w="10374" w:type="dxa"/>
        <w:tblLook w:val="04A0" w:firstRow="1" w:lastRow="0" w:firstColumn="1" w:lastColumn="0" w:noHBand="0" w:noVBand="1"/>
      </w:tblPr>
      <w:tblGrid>
        <w:gridCol w:w="3458"/>
        <w:gridCol w:w="3458"/>
        <w:gridCol w:w="3458"/>
      </w:tblGrid>
      <w:tr w:rsidR="00D11EA6" w:rsidRPr="00315936" w14:paraId="68266AA5" w14:textId="77777777" w:rsidTr="00535D2B">
        <w:trPr>
          <w:cantSplit/>
          <w:trHeight w:val="340"/>
          <w:tblHeader/>
        </w:trPr>
        <w:tc>
          <w:tcPr>
            <w:tcW w:w="3458" w:type="dxa"/>
            <w:shd w:val="clear" w:color="auto" w:fill="000066"/>
          </w:tcPr>
          <w:p w14:paraId="50F996A7" w14:textId="77777777" w:rsidR="009046D5" w:rsidRPr="00315936" w:rsidRDefault="009046D5">
            <w:pPr>
              <w:pStyle w:val="Tablecolhead"/>
            </w:pPr>
            <w:r w:rsidRPr="00315936">
              <w:t>Program</w:t>
            </w:r>
          </w:p>
        </w:tc>
        <w:tc>
          <w:tcPr>
            <w:tcW w:w="3458" w:type="dxa"/>
            <w:shd w:val="clear" w:color="auto" w:fill="000066"/>
          </w:tcPr>
          <w:p w14:paraId="12156015" w14:textId="77777777" w:rsidR="009046D5" w:rsidRPr="00315936" w:rsidRDefault="009046D5">
            <w:pPr>
              <w:pStyle w:val="Tablecolhead"/>
            </w:pPr>
            <w:r w:rsidRPr="00315936">
              <w:t>Measure</w:t>
            </w:r>
          </w:p>
        </w:tc>
        <w:tc>
          <w:tcPr>
            <w:tcW w:w="3458" w:type="dxa"/>
            <w:shd w:val="clear" w:color="auto" w:fill="000066"/>
          </w:tcPr>
          <w:p w14:paraId="5913D02E" w14:textId="77777777" w:rsidR="009046D5" w:rsidRPr="00315936" w:rsidRDefault="009046D5">
            <w:pPr>
              <w:pStyle w:val="Tablecolhead"/>
            </w:pPr>
            <w:r w:rsidRPr="00315936">
              <w:t>Target</w:t>
            </w:r>
          </w:p>
        </w:tc>
      </w:tr>
      <w:tr w:rsidR="009046D5" w:rsidRPr="00315936" w14:paraId="16F0A630" w14:textId="77777777" w:rsidTr="00535D2B">
        <w:trPr>
          <w:cantSplit/>
        </w:trPr>
        <w:tc>
          <w:tcPr>
            <w:tcW w:w="3458" w:type="dxa"/>
          </w:tcPr>
          <w:p w14:paraId="24D63866" w14:textId="4C091285" w:rsidR="009046D5" w:rsidRPr="00315936" w:rsidRDefault="009046D5" w:rsidP="009046D5">
            <w:pPr>
              <w:pStyle w:val="Tabletext"/>
            </w:pPr>
            <w:r w:rsidRPr="00315936">
              <w:t>Planned surgery</w:t>
            </w:r>
          </w:p>
        </w:tc>
        <w:tc>
          <w:tcPr>
            <w:tcW w:w="3458" w:type="dxa"/>
          </w:tcPr>
          <w:p w14:paraId="493E6F94" w14:textId="68276EEF" w:rsidR="009046D5" w:rsidRPr="00315936" w:rsidRDefault="009046D5" w:rsidP="009046D5">
            <w:pPr>
              <w:pStyle w:val="Tabletext"/>
            </w:pPr>
            <w:r w:rsidRPr="00315936">
              <w:t>Percentage of urgency category 1 planned surgery patients admitted within 30 days</w:t>
            </w:r>
          </w:p>
        </w:tc>
        <w:tc>
          <w:tcPr>
            <w:tcW w:w="3458" w:type="dxa"/>
          </w:tcPr>
          <w:p w14:paraId="7B4B6863" w14:textId="38DD5B53" w:rsidR="009046D5" w:rsidRPr="00315936" w:rsidRDefault="009046D5" w:rsidP="009046D5">
            <w:pPr>
              <w:pStyle w:val="Tabletext"/>
            </w:pPr>
            <w:r w:rsidRPr="00315936">
              <w:t>100</w:t>
            </w:r>
            <w:r w:rsidR="00A67D0D" w:rsidRPr="00315936">
              <w:t xml:space="preserve"> per cent</w:t>
            </w:r>
          </w:p>
        </w:tc>
      </w:tr>
      <w:tr w:rsidR="009046D5" w:rsidRPr="00315936" w14:paraId="591B61C4" w14:textId="77777777" w:rsidTr="00535D2B">
        <w:trPr>
          <w:cantSplit/>
        </w:trPr>
        <w:tc>
          <w:tcPr>
            <w:tcW w:w="3458" w:type="dxa"/>
          </w:tcPr>
          <w:p w14:paraId="29243B9B" w14:textId="7994EFA8" w:rsidR="009046D5" w:rsidRPr="00315936" w:rsidRDefault="00FE70F4" w:rsidP="009046D5">
            <w:pPr>
              <w:pStyle w:val="Tabletext"/>
            </w:pPr>
            <w:r w:rsidRPr="00315936">
              <w:t>Planned surgery</w:t>
            </w:r>
          </w:p>
        </w:tc>
        <w:tc>
          <w:tcPr>
            <w:tcW w:w="3458" w:type="dxa"/>
          </w:tcPr>
          <w:p w14:paraId="6E0F7DAD" w14:textId="1888C3DE" w:rsidR="009046D5" w:rsidRPr="00315936" w:rsidRDefault="009046D5" w:rsidP="009046D5">
            <w:pPr>
              <w:pStyle w:val="Tabletext"/>
            </w:pPr>
            <w:r w:rsidRPr="00315936">
              <w:t xml:space="preserve">Percentage of </w:t>
            </w:r>
            <w:r w:rsidR="00EB1A2C">
              <w:t>planned surgery patients admitted within the clinically recommended time</w:t>
            </w:r>
          </w:p>
        </w:tc>
        <w:tc>
          <w:tcPr>
            <w:tcW w:w="3458" w:type="dxa"/>
          </w:tcPr>
          <w:p w14:paraId="635543EA" w14:textId="18D5E1A8" w:rsidR="009046D5" w:rsidRPr="00315936" w:rsidRDefault="2AAE3C47" w:rsidP="009046D5">
            <w:pPr>
              <w:pStyle w:val="Tabletext"/>
            </w:pPr>
            <w:r>
              <w:t>94 per cent</w:t>
            </w:r>
          </w:p>
        </w:tc>
      </w:tr>
      <w:tr w:rsidR="009046D5" w:rsidRPr="00315936" w14:paraId="5E59C30C" w14:textId="77777777" w:rsidTr="00535D2B">
        <w:trPr>
          <w:cantSplit/>
        </w:trPr>
        <w:tc>
          <w:tcPr>
            <w:tcW w:w="3458" w:type="dxa"/>
          </w:tcPr>
          <w:p w14:paraId="0A827C6A" w14:textId="1BBD0084" w:rsidR="009046D5" w:rsidRPr="00315936" w:rsidRDefault="00FE70F4" w:rsidP="009046D5">
            <w:pPr>
              <w:pStyle w:val="Tabletext"/>
            </w:pPr>
            <w:r w:rsidRPr="00315936">
              <w:t>Planned surgery</w:t>
            </w:r>
          </w:p>
        </w:tc>
        <w:tc>
          <w:tcPr>
            <w:tcW w:w="3458" w:type="dxa"/>
          </w:tcPr>
          <w:p w14:paraId="4AEBAAAD" w14:textId="26143154" w:rsidR="009046D5" w:rsidRPr="00AC34D9" w:rsidRDefault="009046D5" w:rsidP="009046D5">
            <w:pPr>
              <w:pStyle w:val="Tabletext"/>
            </w:pPr>
            <w:r w:rsidRPr="00315936">
              <w:t xml:space="preserve">Number of patients admitted from the planned surgery waiting list </w:t>
            </w:r>
          </w:p>
        </w:tc>
        <w:tc>
          <w:tcPr>
            <w:tcW w:w="3458" w:type="dxa"/>
          </w:tcPr>
          <w:p w14:paraId="4DFF8337" w14:textId="3E76962D" w:rsidR="009046D5" w:rsidRPr="00315936" w:rsidRDefault="009046D5" w:rsidP="009046D5">
            <w:r w:rsidRPr="00315936">
              <w:t>Health service specific</w:t>
            </w:r>
          </w:p>
        </w:tc>
      </w:tr>
      <w:tr w:rsidR="009046D5" w:rsidRPr="00315936" w14:paraId="2DC5ABEC" w14:textId="77777777" w:rsidTr="00535D2B">
        <w:trPr>
          <w:cantSplit/>
        </w:trPr>
        <w:tc>
          <w:tcPr>
            <w:tcW w:w="3458" w:type="dxa"/>
          </w:tcPr>
          <w:p w14:paraId="349C9D0B" w14:textId="59CAD6E2" w:rsidR="009046D5" w:rsidRPr="00315936" w:rsidRDefault="00FE70F4" w:rsidP="009046D5">
            <w:pPr>
              <w:pStyle w:val="Tabletext"/>
            </w:pPr>
            <w:r w:rsidRPr="00315936">
              <w:t>Planned surgery</w:t>
            </w:r>
          </w:p>
        </w:tc>
        <w:tc>
          <w:tcPr>
            <w:tcW w:w="3458" w:type="dxa"/>
          </w:tcPr>
          <w:p w14:paraId="7741883C" w14:textId="26026C0D" w:rsidR="009046D5" w:rsidRPr="00315936" w:rsidRDefault="009046D5" w:rsidP="009046D5">
            <w:pPr>
              <w:pStyle w:val="Tabletext"/>
            </w:pPr>
            <w:r w:rsidRPr="00315936">
              <w:t>Percentage of patients on the waiting list who have waited longer than clinically recommended for their respective triage category</w:t>
            </w:r>
          </w:p>
        </w:tc>
        <w:tc>
          <w:tcPr>
            <w:tcW w:w="3458" w:type="dxa"/>
          </w:tcPr>
          <w:p w14:paraId="28144C73" w14:textId="5CA05BA8" w:rsidR="000C0292" w:rsidRPr="00315936" w:rsidRDefault="00463E6B" w:rsidP="009046D5">
            <w:pPr>
              <w:pStyle w:val="Tabletext"/>
            </w:pPr>
            <w:r>
              <w:t>Greater than or equal to</w:t>
            </w:r>
            <w:r w:rsidR="3606E106">
              <w:t xml:space="preserve"> </w:t>
            </w:r>
            <w:r w:rsidR="009046D5" w:rsidRPr="00315936">
              <w:t>25</w:t>
            </w:r>
            <w:r w:rsidR="00A67D0D" w:rsidRPr="00315936">
              <w:t xml:space="preserve"> per cent</w:t>
            </w:r>
            <w:r w:rsidR="009046D5" w:rsidRPr="00315936">
              <w:t xml:space="preserve"> proportional improvement </w:t>
            </w:r>
            <w:r w:rsidR="000E5753">
              <w:t>on</w:t>
            </w:r>
            <w:r w:rsidR="009046D5" w:rsidRPr="00315936">
              <w:t xml:space="preserve"> prior year</w:t>
            </w:r>
            <w:r w:rsidR="000E5753">
              <w:t xml:space="preserve"> performance</w:t>
            </w:r>
            <w:r w:rsidR="009C333F">
              <w:fldChar w:fldCharType="begin"/>
            </w:r>
            <w:r w:rsidR="009C333F">
              <w:instrText xml:space="preserve"> NOTEREF _Ref201831384 \f \h </w:instrText>
            </w:r>
            <w:r w:rsidR="009C333F">
              <w:fldChar w:fldCharType="separate"/>
            </w:r>
            <w:r w:rsidR="009C333F" w:rsidRPr="00972BEB">
              <w:rPr>
                <w:rStyle w:val="EndnoteReference"/>
              </w:rPr>
              <w:t>ii</w:t>
            </w:r>
            <w:r w:rsidR="009C333F">
              <w:fldChar w:fldCharType="end"/>
            </w:r>
          </w:p>
        </w:tc>
      </w:tr>
      <w:tr w:rsidR="00D304EC" w:rsidRPr="00315936" w14:paraId="414BB706" w14:textId="77777777" w:rsidTr="00535D2B">
        <w:trPr>
          <w:cantSplit/>
        </w:trPr>
        <w:tc>
          <w:tcPr>
            <w:tcW w:w="3458" w:type="dxa"/>
          </w:tcPr>
          <w:p w14:paraId="5FFD946D" w14:textId="4F870D67" w:rsidR="00D304EC" w:rsidRPr="00315936" w:rsidRDefault="00D304EC" w:rsidP="00D304EC">
            <w:pPr>
              <w:pStyle w:val="Tabletext"/>
              <w:rPr>
                <w:rFonts w:eastAsia="MS Gothic"/>
              </w:rPr>
            </w:pPr>
            <w:r>
              <w:t>Planned surgery</w:t>
            </w:r>
          </w:p>
        </w:tc>
        <w:tc>
          <w:tcPr>
            <w:tcW w:w="3458" w:type="dxa"/>
          </w:tcPr>
          <w:p w14:paraId="1E3405CC" w14:textId="46972D76" w:rsidR="00D304EC" w:rsidRPr="00315936" w:rsidRDefault="00D304EC" w:rsidP="00D304EC">
            <w:pPr>
              <w:pStyle w:val="Tabletext"/>
            </w:pPr>
            <w:r w:rsidRPr="00315936">
              <w:rPr>
                <w:rFonts w:cs="Arial"/>
                <w:color w:val="000000"/>
                <w:szCs w:val="21"/>
                <w:shd w:val="clear" w:color="auto" w:fill="FFFFFF"/>
              </w:rPr>
              <w:t>Optimisation of surgical inpatient length of stay</w:t>
            </w:r>
            <w:r>
              <w:rPr>
                <w:rFonts w:cs="Arial"/>
                <w:color w:val="000000"/>
                <w:szCs w:val="21"/>
                <w:shd w:val="clear" w:color="auto" w:fill="FFFFFF"/>
              </w:rPr>
              <w:t xml:space="preserve"> (LOS)</w:t>
            </w:r>
            <w:r w:rsidRPr="00315936">
              <w:rPr>
                <w:rFonts w:cs="Arial"/>
                <w:color w:val="000000"/>
                <w:szCs w:val="21"/>
                <w:shd w:val="clear" w:color="auto" w:fill="FFFFFF"/>
              </w:rPr>
              <w:t>, including through use of virtual and home-based pre- and post-operative models of care</w:t>
            </w:r>
            <w:r w:rsidRPr="00315936">
              <w:rPr>
                <w:rStyle w:val="eop"/>
                <w:rFonts w:eastAsia="MS Gothic" w:cs="Arial"/>
                <w:color w:val="000000"/>
                <w:szCs w:val="21"/>
                <w:shd w:val="clear" w:color="auto" w:fill="FFFFFF"/>
              </w:rPr>
              <w:t> </w:t>
            </w:r>
          </w:p>
        </w:tc>
        <w:tc>
          <w:tcPr>
            <w:tcW w:w="3458" w:type="dxa"/>
          </w:tcPr>
          <w:p w14:paraId="4CCF21AD" w14:textId="19BF49E7" w:rsidR="00D304EC" w:rsidRPr="00D304EC" w:rsidRDefault="00D304EC" w:rsidP="00D304EC">
            <w:pPr>
              <w:pStyle w:val="Tabletext"/>
            </w:pPr>
            <w:r w:rsidRPr="3F528552">
              <w:rPr>
                <w:rFonts w:cs="Arial"/>
                <w:color w:val="000000"/>
                <w:shd w:val="clear" w:color="auto" w:fill="FFFFFF"/>
              </w:rPr>
              <w:t>Reduction in average LOS for surgical patients by at least 2 per cent on prior year performance</w:t>
            </w:r>
            <w:r w:rsidRPr="3F528552">
              <w:rPr>
                <w:rStyle w:val="eop"/>
                <w:rFonts w:eastAsia="MS Gothic" w:cs="Arial"/>
                <w:color w:val="000000"/>
                <w:shd w:val="clear" w:color="auto" w:fill="FFFFFF"/>
              </w:rPr>
              <w:t> </w:t>
            </w:r>
          </w:p>
        </w:tc>
      </w:tr>
      <w:tr w:rsidR="009046D5" w:rsidRPr="00315936" w14:paraId="6430F2A5" w14:textId="77777777" w:rsidTr="00535D2B">
        <w:trPr>
          <w:cantSplit/>
          <w:trHeight w:val="2551"/>
        </w:trPr>
        <w:tc>
          <w:tcPr>
            <w:tcW w:w="3458" w:type="dxa"/>
          </w:tcPr>
          <w:p w14:paraId="136155E7" w14:textId="1A20A005" w:rsidR="009046D5" w:rsidRPr="00315936" w:rsidRDefault="009046D5" w:rsidP="009046D5">
            <w:pPr>
              <w:pStyle w:val="Tabletext"/>
              <w:rPr>
                <w:rFonts w:eastAsia="MS Gothic"/>
              </w:rPr>
            </w:pPr>
            <w:r w:rsidRPr="00315936">
              <w:rPr>
                <w:rFonts w:eastAsia="MS Gothic"/>
              </w:rPr>
              <w:lastRenderedPageBreak/>
              <w:t>Emergency care</w:t>
            </w:r>
          </w:p>
        </w:tc>
        <w:tc>
          <w:tcPr>
            <w:tcW w:w="3458" w:type="dxa"/>
          </w:tcPr>
          <w:p w14:paraId="1829383E" w14:textId="0E4DFBA7" w:rsidR="009046D5" w:rsidRPr="00315936" w:rsidRDefault="009046D5" w:rsidP="009046D5">
            <w:pPr>
              <w:pStyle w:val="Tabletext"/>
              <w:rPr>
                <w:rFonts w:eastAsia="MS Gothic"/>
              </w:rPr>
            </w:pPr>
            <w:r w:rsidRPr="00315936">
              <w:t>Percentage of patients transferred from ambulance to emergency department within 40 minutes</w:t>
            </w:r>
          </w:p>
        </w:tc>
        <w:tc>
          <w:tcPr>
            <w:tcW w:w="3458" w:type="dxa"/>
          </w:tcPr>
          <w:p w14:paraId="5B119001" w14:textId="77777777" w:rsidR="00B244E7" w:rsidRPr="00DE13D6" w:rsidRDefault="00DC58E3" w:rsidP="00780C3A">
            <w:pPr>
              <w:pStyle w:val="Tabletext"/>
            </w:pPr>
            <w:r w:rsidRPr="00DE13D6">
              <w:t xml:space="preserve">Statewide: </w:t>
            </w:r>
          </w:p>
          <w:p w14:paraId="5A2E91C1" w14:textId="267D5CF8" w:rsidR="00B75012" w:rsidRPr="006C3DF3" w:rsidRDefault="6E45CE5A">
            <w:pPr>
              <w:pStyle w:val="Tablebullet1"/>
            </w:pPr>
            <w:r w:rsidRPr="006C3DF3">
              <w:t xml:space="preserve">Greater than or equal to </w:t>
            </w:r>
            <w:r w:rsidR="7AFD3630" w:rsidRPr="00DE13D6">
              <w:t>80</w:t>
            </w:r>
            <w:r w:rsidR="00DC58E3" w:rsidRPr="00DE13D6">
              <w:t xml:space="preserve"> per cent</w:t>
            </w:r>
            <w:r w:rsidR="00D87FD5" w:rsidRPr="006C3DF3">
              <w:t xml:space="preserve"> </w:t>
            </w:r>
            <w:r w:rsidR="00BE0549" w:rsidRPr="00535D2B">
              <w:rPr>
                <w:b/>
                <w:bCs/>
              </w:rPr>
              <w:t>or</w:t>
            </w:r>
            <w:r w:rsidR="00D87FD5" w:rsidRPr="006C3DF3">
              <w:t xml:space="preserve"> </w:t>
            </w:r>
            <w:r w:rsidR="3552FA41" w:rsidRPr="006C3DF3">
              <w:t xml:space="preserve">at least </w:t>
            </w:r>
            <w:r w:rsidR="00D87FD5" w:rsidRPr="006C3DF3">
              <w:t>3</w:t>
            </w:r>
            <w:r w:rsidR="00943A37" w:rsidRPr="006C3DF3">
              <w:t xml:space="preserve"> per cent improvement on </w:t>
            </w:r>
            <w:r w:rsidR="00D817FC" w:rsidRPr="006C3DF3">
              <w:t>the same time last</w:t>
            </w:r>
            <w:r w:rsidR="00B75012" w:rsidRPr="006C3DF3">
              <w:t xml:space="preserve"> </w:t>
            </w:r>
            <w:r w:rsidR="002F322D">
              <w:t>year</w:t>
            </w:r>
          </w:p>
          <w:p w14:paraId="77B71E4F" w14:textId="77777777" w:rsidR="00B244E7" w:rsidRDefault="65ADD188" w:rsidP="002F322D">
            <w:pPr>
              <w:pStyle w:val="Tablebullet1"/>
              <w:numPr>
                <w:ilvl w:val="0"/>
                <w:numId w:val="0"/>
              </w:numPr>
            </w:pPr>
            <w:r w:rsidRPr="006C3DF3">
              <w:t>Health Services:</w:t>
            </w:r>
            <w:r w:rsidR="00C070A0" w:rsidRPr="00DE13D6">
              <w:t xml:space="preserve"> </w:t>
            </w:r>
          </w:p>
          <w:p w14:paraId="2300D65F" w14:textId="64D52360" w:rsidR="002F322D" w:rsidRPr="00AB3E04" w:rsidRDefault="002F322D" w:rsidP="00AB3E04">
            <w:pPr>
              <w:pStyle w:val="Tablebullet1"/>
            </w:pPr>
            <w:r w:rsidRPr="00AB3E04">
              <w:t>This measure is assessed at the campus level</w:t>
            </w:r>
            <w:r w:rsidR="007F7810">
              <w:t xml:space="preserve">; </w:t>
            </w:r>
            <w:r w:rsidRPr="00AB3E04">
              <w:t>campus level targets are dependent on the assigned performance ti</w:t>
            </w:r>
            <w:r w:rsidR="00F94218" w:rsidRPr="00AB3E04">
              <w:t>er</w:t>
            </w:r>
            <w:r w:rsidR="00515888">
              <w:fldChar w:fldCharType="begin"/>
            </w:r>
            <w:r w:rsidR="00515888">
              <w:instrText xml:space="preserve"> NOTEREF _Ref201831690 \f \h </w:instrText>
            </w:r>
            <w:r w:rsidR="00515888">
              <w:fldChar w:fldCharType="separate"/>
            </w:r>
            <w:r w:rsidR="00515888" w:rsidRPr="00515888">
              <w:rPr>
                <w:rStyle w:val="EndnoteReference"/>
              </w:rPr>
              <w:t>i</w:t>
            </w:r>
            <w:r w:rsidR="00515888">
              <w:fldChar w:fldCharType="end"/>
            </w:r>
          </w:p>
          <w:p w14:paraId="005F5448" w14:textId="5B8F4B6E" w:rsidR="00643804" w:rsidRPr="00DE13D6" w:rsidRDefault="00643804" w:rsidP="00DE13D6">
            <w:pPr>
              <w:pStyle w:val="Bodynospace"/>
              <w:rPr>
                <w:highlight w:val="yellow"/>
              </w:rPr>
            </w:pPr>
          </w:p>
        </w:tc>
      </w:tr>
      <w:tr w:rsidR="009046D5" w:rsidRPr="00315936" w14:paraId="6065FB2A" w14:textId="77777777" w:rsidTr="00535D2B">
        <w:trPr>
          <w:cantSplit/>
        </w:trPr>
        <w:tc>
          <w:tcPr>
            <w:tcW w:w="3458" w:type="dxa"/>
          </w:tcPr>
          <w:p w14:paraId="44D98F64" w14:textId="2CA541C5" w:rsidR="009046D5" w:rsidRPr="00315936" w:rsidRDefault="007B7CF6" w:rsidP="009046D5">
            <w:pPr>
              <w:pStyle w:val="Tabletext"/>
              <w:rPr>
                <w:rFonts w:eastAsia="MS Gothic"/>
              </w:rPr>
            </w:pPr>
            <w:r w:rsidRPr="00315936">
              <w:rPr>
                <w:rFonts w:eastAsia="MS Gothic"/>
              </w:rPr>
              <w:t>Emergency care</w:t>
            </w:r>
          </w:p>
        </w:tc>
        <w:tc>
          <w:tcPr>
            <w:tcW w:w="3458" w:type="dxa"/>
          </w:tcPr>
          <w:p w14:paraId="695EC352" w14:textId="18D4E1C8" w:rsidR="009046D5" w:rsidRPr="00315936" w:rsidRDefault="009046D5" w:rsidP="009046D5">
            <w:pPr>
              <w:pStyle w:val="Tabletext"/>
            </w:pPr>
            <w:r w:rsidRPr="00315936">
              <w:t>Number of patients with a length of stay in the emergency department greater than 24 hours</w:t>
            </w:r>
          </w:p>
        </w:tc>
        <w:tc>
          <w:tcPr>
            <w:tcW w:w="3458" w:type="dxa"/>
          </w:tcPr>
          <w:p w14:paraId="73781261" w14:textId="39E6635D" w:rsidR="009046D5" w:rsidRPr="00315936" w:rsidRDefault="009046D5" w:rsidP="009046D5">
            <w:pPr>
              <w:pStyle w:val="Tabletext"/>
            </w:pPr>
            <w:r w:rsidRPr="00315936">
              <w:t>0</w:t>
            </w:r>
          </w:p>
        </w:tc>
      </w:tr>
      <w:tr w:rsidR="00926E1B" w:rsidRPr="00315936" w14:paraId="43D8619A" w14:textId="77777777" w:rsidTr="00535D2B">
        <w:trPr>
          <w:cantSplit/>
        </w:trPr>
        <w:tc>
          <w:tcPr>
            <w:tcW w:w="3458" w:type="dxa"/>
          </w:tcPr>
          <w:p w14:paraId="436151B3" w14:textId="7E1A70C0" w:rsidR="00926E1B" w:rsidRPr="00315936" w:rsidRDefault="00926E1B" w:rsidP="00926E1B">
            <w:pPr>
              <w:pStyle w:val="Tabletext"/>
            </w:pPr>
            <w:r w:rsidRPr="00315936">
              <w:rPr>
                <w:rFonts w:eastAsia="MS Gothic"/>
              </w:rPr>
              <w:t>Emergency care</w:t>
            </w:r>
          </w:p>
        </w:tc>
        <w:tc>
          <w:tcPr>
            <w:tcW w:w="3458" w:type="dxa"/>
          </w:tcPr>
          <w:p w14:paraId="078818E5" w14:textId="6903C589" w:rsidR="00224194" w:rsidRPr="00315936" w:rsidRDefault="00224194" w:rsidP="00926E1B">
            <w:pPr>
              <w:pStyle w:val="Tabletext"/>
              <w:rPr>
                <w:rFonts w:eastAsia="MS Gothic"/>
              </w:rPr>
            </w:pPr>
            <w:r w:rsidRPr="00315936">
              <w:rPr>
                <w:rFonts w:eastAsia="MS Gothic"/>
              </w:rPr>
              <w:t xml:space="preserve">Average ED length of stay </w:t>
            </w:r>
            <w:r w:rsidR="0011422E">
              <w:rPr>
                <w:rFonts w:eastAsia="MS Gothic"/>
              </w:rPr>
              <w:t xml:space="preserve">for </w:t>
            </w:r>
            <w:r w:rsidRPr="00315936">
              <w:rPr>
                <w:rFonts w:eastAsia="MS Gothic"/>
              </w:rPr>
              <w:t>non-admitted</w:t>
            </w:r>
            <w:r w:rsidR="00AA7934">
              <w:rPr>
                <w:rFonts w:eastAsia="MS Gothic"/>
              </w:rPr>
              <w:t xml:space="preserve"> patients</w:t>
            </w:r>
            <w:r w:rsidRPr="00315936">
              <w:rPr>
                <w:rFonts w:eastAsia="MS Gothic"/>
              </w:rPr>
              <w:t xml:space="preserve">, in minutes  </w:t>
            </w:r>
          </w:p>
        </w:tc>
        <w:tc>
          <w:tcPr>
            <w:tcW w:w="3458" w:type="dxa"/>
          </w:tcPr>
          <w:p w14:paraId="0B2FCD01" w14:textId="3072E43A" w:rsidR="00926E1B" w:rsidRPr="00315936" w:rsidRDefault="002F6585" w:rsidP="00F47632">
            <w:pPr>
              <w:pStyle w:val="Tabletext"/>
            </w:pPr>
            <w:r>
              <w:t xml:space="preserve">Less than </w:t>
            </w:r>
            <w:r w:rsidR="289A14D5">
              <w:t xml:space="preserve">or equal to </w:t>
            </w:r>
            <w:r w:rsidR="46C55901">
              <w:t>240</w:t>
            </w:r>
            <w:r w:rsidR="004C0F97">
              <w:t xml:space="preserve"> minutes </w:t>
            </w:r>
            <w:r w:rsidR="00BE0549" w:rsidRPr="00535D2B">
              <w:rPr>
                <w:b/>
                <w:bCs/>
              </w:rPr>
              <w:t>or</w:t>
            </w:r>
            <w:r w:rsidR="00F47632">
              <w:t xml:space="preserve"> </w:t>
            </w:r>
            <w:r w:rsidR="00BE0549">
              <w:t>a</w:t>
            </w:r>
            <w:r w:rsidR="49664210">
              <w:t xml:space="preserve">t least </w:t>
            </w:r>
            <w:r w:rsidR="72D116AF">
              <w:t>3</w:t>
            </w:r>
            <w:r w:rsidR="596CA3CA">
              <w:t xml:space="preserve"> per cent improvement on </w:t>
            </w:r>
            <w:r w:rsidR="00B65349">
              <w:t>the same time last year</w:t>
            </w:r>
          </w:p>
        </w:tc>
      </w:tr>
      <w:tr w:rsidR="00926E1B" w:rsidRPr="00315936" w14:paraId="156A2CEC" w14:textId="77777777" w:rsidTr="00535D2B">
        <w:trPr>
          <w:cantSplit/>
        </w:trPr>
        <w:tc>
          <w:tcPr>
            <w:tcW w:w="3458" w:type="dxa"/>
          </w:tcPr>
          <w:p w14:paraId="5F251A4C" w14:textId="5232BA35" w:rsidR="00926E1B" w:rsidRPr="00315936" w:rsidRDefault="00926E1B" w:rsidP="00926E1B">
            <w:pPr>
              <w:pStyle w:val="Tabletext"/>
              <w:rPr>
                <w:rFonts w:eastAsia="MS Gothic"/>
              </w:rPr>
            </w:pPr>
            <w:r w:rsidRPr="00315936">
              <w:rPr>
                <w:rFonts w:eastAsia="MS Gothic"/>
              </w:rPr>
              <w:t>Emergency care</w:t>
            </w:r>
          </w:p>
        </w:tc>
        <w:tc>
          <w:tcPr>
            <w:tcW w:w="3458" w:type="dxa"/>
          </w:tcPr>
          <w:p w14:paraId="2D6ECF25" w14:textId="796232E6" w:rsidR="003677B6" w:rsidRPr="00315936" w:rsidRDefault="003677B6" w:rsidP="00926E1B">
            <w:pPr>
              <w:pStyle w:val="Tabletext"/>
            </w:pPr>
            <w:r w:rsidRPr="00315936">
              <w:rPr>
                <w:rFonts w:eastAsia="MS Gothic"/>
              </w:rPr>
              <w:t>Average ED length of stay</w:t>
            </w:r>
            <w:r w:rsidR="0011422E">
              <w:rPr>
                <w:rFonts w:eastAsia="MS Gothic"/>
              </w:rPr>
              <w:t xml:space="preserve"> for</w:t>
            </w:r>
            <w:r w:rsidRPr="00315936">
              <w:rPr>
                <w:rFonts w:eastAsia="MS Gothic"/>
              </w:rPr>
              <w:t xml:space="preserve"> admitted</w:t>
            </w:r>
            <w:r w:rsidR="00AA7934">
              <w:rPr>
                <w:rFonts w:eastAsia="MS Gothic"/>
              </w:rPr>
              <w:t xml:space="preserve"> patients</w:t>
            </w:r>
            <w:r w:rsidRPr="00315936">
              <w:rPr>
                <w:rFonts w:eastAsia="MS Gothic"/>
              </w:rPr>
              <w:t>, in minutes</w:t>
            </w:r>
          </w:p>
        </w:tc>
        <w:tc>
          <w:tcPr>
            <w:tcW w:w="3458" w:type="dxa"/>
          </w:tcPr>
          <w:p w14:paraId="0F0D89BF" w14:textId="333A0A0C" w:rsidR="00926E1B" w:rsidRPr="00315936" w:rsidRDefault="009045A6" w:rsidP="00F47632">
            <w:pPr>
              <w:pStyle w:val="Tabletext"/>
            </w:pPr>
            <w:r w:rsidRPr="00C05981">
              <w:t xml:space="preserve">Less than </w:t>
            </w:r>
            <w:r w:rsidR="3337C688" w:rsidRPr="00C05981">
              <w:t xml:space="preserve">or equal to </w:t>
            </w:r>
            <w:r w:rsidR="3AEB29B3" w:rsidRPr="00C05981">
              <w:t>414</w:t>
            </w:r>
            <w:r w:rsidRPr="00C05981">
              <w:t xml:space="preserve"> minutes</w:t>
            </w:r>
            <w:r w:rsidR="007B2EBF" w:rsidRPr="00C05981">
              <w:t xml:space="preserve"> </w:t>
            </w:r>
            <w:r w:rsidR="00FF0796" w:rsidRPr="00535D2B">
              <w:rPr>
                <w:b/>
                <w:bCs/>
              </w:rPr>
              <w:t>or</w:t>
            </w:r>
            <w:r w:rsidR="00F47632">
              <w:rPr>
                <w:b/>
                <w:bCs/>
              </w:rPr>
              <w:t xml:space="preserve"> </w:t>
            </w:r>
            <w:r w:rsidR="00FF0796">
              <w:t>a</w:t>
            </w:r>
            <w:r w:rsidR="132E231E" w:rsidRPr="00A363ED">
              <w:t xml:space="preserve">t least </w:t>
            </w:r>
            <w:r w:rsidR="6C915BB0" w:rsidRPr="00A363ED">
              <w:t>5</w:t>
            </w:r>
            <w:r w:rsidR="17E50A4C" w:rsidRPr="00BD1FD4">
              <w:t xml:space="preserve"> per cent improvement on </w:t>
            </w:r>
            <w:r w:rsidR="00CA76F3">
              <w:t xml:space="preserve">the same time last year </w:t>
            </w:r>
          </w:p>
        </w:tc>
      </w:tr>
      <w:tr w:rsidR="00EA7D3C" w14:paraId="76B9FE24" w14:textId="77777777" w:rsidTr="00535D2B">
        <w:trPr>
          <w:cantSplit/>
          <w:trHeight w:val="300"/>
        </w:trPr>
        <w:tc>
          <w:tcPr>
            <w:tcW w:w="3458" w:type="dxa"/>
          </w:tcPr>
          <w:p w14:paraId="53E2DC38" w14:textId="6CF17163" w:rsidR="00EA7D3C" w:rsidRPr="00315936" w:rsidRDefault="00EA7D3C" w:rsidP="00EA7D3C">
            <w:pPr>
              <w:pStyle w:val="Tabletext"/>
              <w:rPr>
                <w:rFonts w:eastAsia="MS Gothic"/>
              </w:rPr>
            </w:pPr>
            <w:r w:rsidRPr="00315936">
              <w:rPr>
                <w:rFonts w:eastAsia="MS Gothic"/>
              </w:rPr>
              <w:t>Mental health</w:t>
            </w:r>
          </w:p>
        </w:tc>
        <w:tc>
          <w:tcPr>
            <w:tcW w:w="3458" w:type="dxa"/>
          </w:tcPr>
          <w:p w14:paraId="412739B1" w14:textId="2DB3A8A6" w:rsidR="00EA7D3C" w:rsidRPr="00315936" w:rsidRDefault="00EA7D3C" w:rsidP="00EA7D3C">
            <w:pPr>
              <w:rPr>
                <w:rFonts w:cs="Arial"/>
                <w:color w:val="000000"/>
                <w:szCs w:val="21"/>
                <w:shd w:val="clear" w:color="auto" w:fill="FFFFFF"/>
              </w:rPr>
            </w:pPr>
            <w:r w:rsidRPr="00315936">
              <w:t>Percentage of mental health-related emergency department presentations with a length of stay of less than 4 hours</w:t>
            </w:r>
          </w:p>
        </w:tc>
        <w:tc>
          <w:tcPr>
            <w:tcW w:w="3458" w:type="dxa"/>
          </w:tcPr>
          <w:p w14:paraId="18DD23FA" w14:textId="70DDAFD8" w:rsidR="00EA7D3C" w:rsidRDefault="00EA7D3C" w:rsidP="00EA7D3C">
            <w:pPr>
              <w:pStyle w:val="Tabletext"/>
            </w:pPr>
            <w:r w:rsidRPr="00315936">
              <w:t>65 per cent</w:t>
            </w:r>
          </w:p>
        </w:tc>
      </w:tr>
      <w:tr w:rsidR="0082172D" w14:paraId="0A8CB98A" w14:textId="77777777" w:rsidTr="00535D2B">
        <w:trPr>
          <w:cantSplit/>
          <w:trHeight w:val="300"/>
        </w:trPr>
        <w:tc>
          <w:tcPr>
            <w:tcW w:w="3458" w:type="dxa"/>
          </w:tcPr>
          <w:p w14:paraId="3486CA51" w14:textId="6722857A" w:rsidR="0082172D" w:rsidRPr="686ABE5A" w:rsidRDefault="0082172D" w:rsidP="0082172D">
            <w:pPr>
              <w:pStyle w:val="Tabletext"/>
              <w:rPr>
                <w:rFonts w:eastAsia="MS Gothic"/>
              </w:rPr>
            </w:pPr>
            <w:r w:rsidRPr="00315936">
              <w:rPr>
                <w:rFonts w:eastAsia="MS Gothic"/>
              </w:rPr>
              <w:t>Mental health</w:t>
            </w:r>
          </w:p>
        </w:tc>
        <w:tc>
          <w:tcPr>
            <w:tcW w:w="3458" w:type="dxa"/>
          </w:tcPr>
          <w:p w14:paraId="320C4EA2" w14:textId="491DD682" w:rsidR="0082172D" w:rsidRPr="686ABE5A" w:rsidRDefault="0082172D" w:rsidP="0082172D">
            <w:pPr>
              <w:rPr>
                <w:rFonts w:eastAsia="MS Gothic"/>
              </w:rPr>
            </w:pPr>
            <w:r w:rsidRPr="00315936">
              <w:rPr>
                <w:rFonts w:cs="Arial"/>
                <w:color w:val="000000"/>
                <w:szCs w:val="21"/>
                <w:shd w:val="clear" w:color="auto" w:fill="FFFFFF"/>
              </w:rPr>
              <w:t>Percentage of departures from emergency departments to a mental health bed within 8 hours</w:t>
            </w:r>
            <w:r w:rsidRPr="00315936">
              <w:rPr>
                <w:rStyle w:val="eop"/>
                <w:rFonts w:eastAsia="MS Gothic" w:cs="Arial"/>
                <w:color w:val="000000"/>
                <w:szCs w:val="21"/>
                <w:shd w:val="clear" w:color="auto" w:fill="FFFFFF"/>
              </w:rPr>
              <w:t> </w:t>
            </w:r>
          </w:p>
        </w:tc>
        <w:tc>
          <w:tcPr>
            <w:tcW w:w="3458" w:type="dxa"/>
          </w:tcPr>
          <w:p w14:paraId="1D316216" w14:textId="6CBC4A10" w:rsidR="0082172D" w:rsidRDefault="0082172D" w:rsidP="0082172D">
            <w:pPr>
              <w:pStyle w:val="Tabletext"/>
            </w:pPr>
            <w:r>
              <w:t>80 per cent</w:t>
            </w:r>
          </w:p>
        </w:tc>
      </w:tr>
      <w:tr w:rsidR="686ABE5A" w14:paraId="4B6AC04D" w14:textId="77777777" w:rsidTr="00535D2B">
        <w:trPr>
          <w:cantSplit/>
          <w:trHeight w:val="300"/>
        </w:trPr>
        <w:tc>
          <w:tcPr>
            <w:tcW w:w="3458" w:type="dxa"/>
          </w:tcPr>
          <w:p w14:paraId="3A929AE7" w14:textId="2B81D9CF" w:rsidR="56C4A54F" w:rsidRDefault="56C4A54F" w:rsidP="686ABE5A">
            <w:pPr>
              <w:pStyle w:val="Tabletext"/>
              <w:rPr>
                <w:rFonts w:eastAsia="MS Gothic"/>
              </w:rPr>
            </w:pPr>
            <w:r w:rsidRPr="686ABE5A">
              <w:rPr>
                <w:rFonts w:eastAsia="MS Gothic"/>
              </w:rPr>
              <w:t>Mental Health</w:t>
            </w:r>
          </w:p>
        </w:tc>
        <w:tc>
          <w:tcPr>
            <w:tcW w:w="3458" w:type="dxa"/>
          </w:tcPr>
          <w:p w14:paraId="3F2122FC" w14:textId="186591BC" w:rsidR="56C4A54F" w:rsidRDefault="56C4A54F" w:rsidP="686ABE5A">
            <w:pPr>
              <w:rPr>
                <w:rFonts w:eastAsia="MS Gothic"/>
              </w:rPr>
            </w:pPr>
            <w:r w:rsidRPr="686ABE5A">
              <w:rPr>
                <w:rFonts w:eastAsia="MS Gothic"/>
              </w:rPr>
              <w:t>Number of admitted mental health occupied bed days</w:t>
            </w:r>
          </w:p>
        </w:tc>
        <w:tc>
          <w:tcPr>
            <w:tcW w:w="3458" w:type="dxa"/>
          </w:tcPr>
          <w:p w14:paraId="74C4F443" w14:textId="7D442F59" w:rsidR="56C4A54F" w:rsidRDefault="56C4A54F" w:rsidP="686ABE5A">
            <w:pPr>
              <w:pStyle w:val="Tabletext"/>
            </w:pPr>
            <w:r>
              <w:t>Health service specific</w:t>
            </w:r>
          </w:p>
        </w:tc>
      </w:tr>
      <w:tr w:rsidR="00F82046" w:rsidRPr="00315936" w14:paraId="5185F8EF" w14:textId="77777777" w:rsidTr="00535D2B">
        <w:trPr>
          <w:cantSplit/>
        </w:trPr>
        <w:tc>
          <w:tcPr>
            <w:tcW w:w="3458" w:type="dxa"/>
          </w:tcPr>
          <w:p w14:paraId="69504CB7" w14:textId="38B665D5" w:rsidR="00F82046" w:rsidRPr="00315936" w:rsidRDefault="00F82046" w:rsidP="004F754C">
            <w:pPr>
              <w:pStyle w:val="Tabletext"/>
              <w:rPr>
                <w:rFonts w:eastAsia="MS Gothic"/>
              </w:rPr>
            </w:pPr>
            <w:r>
              <w:rPr>
                <w:rFonts w:eastAsia="MS Gothic"/>
              </w:rPr>
              <w:t>Mental Health</w:t>
            </w:r>
          </w:p>
        </w:tc>
        <w:tc>
          <w:tcPr>
            <w:tcW w:w="3458" w:type="dxa"/>
          </w:tcPr>
          <w:p w14:paraId="489BEC23" w14:textId="1C1BB187" w:rsidR="00F82046" w:rsidRPr="00315936" w:rsidRDefault="008E7C37" w:rsidP="004F754C">
            <w:pPr>
              <w:pStyle w:val="Tabletext"/>
              <w:rPr>
                <w:rFonts w:cs="Arial"/>
                <w:color w:val="000000"/>
                <w:szCs w:val="21"/>
                <w:shd w:val="clear" w:color="auto" w:fill="FFFFFF"/>
              </w:rPr>
            </w:pPr>
            <w:r>
              <w:rPr>
                <w:rFonts w:cs="Arial"/>
                <w:color w:val="000000"/>
                <w:szCs w:val="21"/>
                <w:shd w:val="clear" w:color="auto" w:fill="FFFFFF"/>
              </w:rPr>
              <w:t>Number of community mental health service hours</w:t>
            </w:r>
          </w:p>
        </w:tc>
        <w:tc>
          <w:tcPr>
            <w:tcW w:w="3458" w:type="dxa"/>
          </w:tcPr>
          <w:p w14:paraId="20BEC485" w14:textId="3B4B3020" w:rsidR="00F82046" w:rsidRPr="00315936" w:rsidRDefault="008E7C37" w:rsidP="004F754C">
            <w:pPr>
              <w:pStyle w:val="Tabletext"/>
            </w:pPr>
            <w:r>
              <w:t>Health service specific</w:t>
            </w:r>
          </w:p>
        </w:tc>
      </w:tr>
      <w:tr w:rsidR="009046D5" w:rsidRPr="00315936" w14:paraId="08B86A3D" w14:textId="77777777" w:rsidTr="00535D2B">
        <w:trPr>
          <w:cantSplit/>
        </w:trPr>
        <w:tc>
          <w:tcPr>
            <w:tcW w:w="3458" w:type="dxa"/>
          </w:tcPr>
          <w:p w14:paraId="1E99A52E" w14:textId="24044FE5" w:rsidR="009046D5" w:rsidRPr="00315936" w:rsidRDefault="009046D5" w:rsidP="009046D5">
            <w:pPr>
              <w:pStyle w:val="Tabletext"/>
              <w:rPr>
                <w:rFonts w:eastAsia="MS Gothic"/>
              </w:rPr>
            </w:pPr>
            <w:r w:rsidRPr="00315936">
              <w:rPr>
                <w:rFonts w:eastAsia="MS Gothic"/>
              </w:rPr>
              <w:t>Specialist clinics</w:t>
            </w:r>
          </w:p>
        </w:tc>
        <w:tc>
          <w:tcPr>
            <w:tcW w:w="3458" w:type="dxa"/>
          </w:tcPr>
          <w:p w14:paraId="07628E36" w14:textId="59CF9FF2" w:rsidR="009046D5" w:rsidRPr="00315936" w:rsidRDefault="009046D5" w:rsidP="009046D5">
            <w:pPr>
              <w:pStyle w:val="Tabletext"/>
              <w:rPr>
                <w:rFonts w:eastAsia="MS Gothic"/>
              </w:rPr>
            </w:pPr>
            <w:r w:rsidRPr="00315936">
              <w:t>Percentage of patients referred by a GP or external specialist who attended a first appointment within the recommended timeframe</w:t>
            </w:r>
            <w:r w:rsidR="00004764">
              <w:rPr>
                <w:rStyle w:val="EndnoteReference"/>
              </w:rPr>
              <w:endnoteReference w:id="4"/>
            </w:r>
          </w:p>
        </w:tc>
        <w:tc>
          <w:tcPr>
            <w:tcW w:w="3458" w:type="dxa"/>
          </w:tcPr>
          <w:p w14:paraId="6AF65F71" w14:textId="2C5FAFEE" w:rsidR="009046D5" w:rsidRPr="00315936" w:rsidRDefault="46A64D89" w:rsidP="009046D5">
            <w:pPr>
              <w:pStyle w:val="Tabletext"/>
            </w:pPr>
            <w:r>
              <w:t>95</w:t>
            </w:r>
            <w:r w:rsidR="74709492">
              <w:t xml:space="preserve"> per cent</w:t>
            </w:r>
          </w:p>
        </w:tc>
      </w:tr>
      <w:tr w:rsidR="009046D5" w:rsidRPr="00315936" w14:paraId="3047B848" w14:textId="77777777" w:rsidTr="00535D2B">
        <w:trPr>
          <w:cantSplit/>
        </w:trPr>
        <w:tc>
          <w:tcPr>
            <w:tcW w:w="3458" w:type="dxa"/>
          </w:tcPr>
          <w:p w14:paraId="25D06720" w14:textId="5750D01B" w:rsidR="009046D5" w:rsidRPr="00315936" w:rsidRDefault="009046D5" w:rsidP="009046D5">
            <w:pPr>
              <w:pStyle w:val="Tabletext"/>
            </w:pPr>
            <w:r w:rsidRPr="00315936">
              <w:t>Home based care</w:t>
            </w:r>
          </w:p>
        </w:tc>
        <w:tc>
          <w:tcPr>
            <w:tcW w:w="3458" w:type="dxa"/>
          </w:tcPr>
          <w:p w14:paraId="4710FC9C" w14:textId="775810CB" w:rsidR="009046D5" w:rsidRPr="00315936" w:rsidRDefault="009046D5" w:rsidP="009046D5">
            <w:pPr>
              <w:pStyle w:val="Tabletext"/>
              <w:rPr>
                <w:rFonts w:eastAsia="MS Gothic"/>
              </w:rPr>
            </w:pPr>
            <w:r w:rsidRPr="00315936">
              <w:t>Percentage of admitted bed days delivered at home</w:t>
            </w:r>
          </w:p>
        </w:tc>
        <w:tc>
          <w:tcPr>
            <w:tcW w:w="3458" w:type="dxa"/>
          </w:tcPr>
          <w:p w14:paraId="71B7B92C" w14:textId="1EC17476" w:rsidR="009046D5" w:rsidRPr="00315936" w:rsidRDefault="0045754F" w:rsidP="009046D5">
            <w:pPr>
              <w:pStyle w:val="Tabletext"/>
            </w:pPr>
            <w:r>
              <w:t xml:space="preserve">Health </w:t>
            </w:r>
            <w:r w:rsidR="006370B1">
              <w:t xml:space="preserve">service specific </w:t>
            </w:r>
          </w:p>
        </w:tc>
      </w:tr>
    </w:tbl>
    <w:p w14:paraId="6FACEFF8" w14:textId="0C840624" w:rsidR="00733A0B" w:rsidRDefault="00733A0B" w:rsidP="00733A0B">
      <w:pPr>
        <w:pStyle w:val="Heading2"/>
      </w:pPr>
      <w:bookmarkStart w:id="24" w:name="_Toc167781665"/>
      <w:bookmarkStart w:id="25" w:name="_Toc204853416"/>
      <w:r w:rsidRPr="00315936">
        <w:t>Effective financial management</w:t>
      </w:r>
      <w:bookmarkEnd w:id="24"/>
      <w:bookmarkEnd w:id="25"/>
    </w:p>
    <w:tbl>
      <w:tblPr>
        <w:tblStyle w:val="TableGrid"/>
        <w:tblW w:w="10374" w:type="dxa"/>
        <w:tblLook w:val="04A0" w:firstRow="1" w:lastRow="0" w:firstColumn="1" w:lastColumn="0" w:noHBand="0" w:noVBand="1"/>
      </w:tblPr>
      <w:tblGrid>
        <w:gridCol w:w="3458"/>
        <w:gridCol w:w="3458"/>
        <w:gridCol w:w="3458"/>
      </w:tblGrid>
      <w:tr w:rsidR="008E0AB3" w:rsidRPr="00315936" w14:paraId="348424A4" w14:textId="77777777" w:rsidTr="003F0028">
        <w:trPr>
          <w:cantSplit/>
          <w:trHeight w:val="340"/>
          <w:tblHeader/>
        </w:trPr>
        <w:tc>
          <w:tcPr>
            <w:tcW w:w="3458" w:type="dxa"/>
            <w:shd w:val="clear" w:color="auto" w:fill="000066"/>
          </w:tcPr>
          <w:p w14:paraId="163C9DB3" w14:textId="77777777" w:rsidR="008E0AB3" w:rsidRPr="00315936" w:rsidRDefault="008E0AB3">
            <w:pPr>
              <w:pStyle w:val="Tablecolhead"/>
            </w:pPr>
            <w:r w:rsidRPr="00315936">
              <w:t>Program</w:t>
            </w:r>
          </w:p>
        </w:tc>
        <w:tc>
          <w:tcPr>
            <w:tcW w:w="3458" w:type="dxa"/>
            <w:shd w:val="clear" w:color="auto" w:fill="000066"/>
          </w:tcPr>
          <w:p w14:paraId="2E7AA3BC" w14:textId="77777777" w:rsidR="008E0AB3" w:rsidRPr="00315936" w:rsidRDefault="008E0AB3">
            <w:pPr>
              <w:pStyle w:val="Tablecolhead"/>
            </w:pPr>
            <w:r w:rsidRPr="00315936">
              <w:t>Measure</w:t>
            </w:r>
          </w:p>
        </w:tc>
        <w:tc>
          <w:tcPr>
            <w:tcW w:w="3458" w:type="dxa"/>
            <w:shd w:val="clear" w:color="auto" w:fill="000066"/>
          </w:tcPr>
          <w:p w14:paraId="31E8369E" w14:textId="77777777" w:rsidR="008E0AB3" w:rsidRPr="00315936" w:rsidRDefault="008E0AB3">
            <w:pPr>
              <w:pStyle w:val="Tablecolhead"/>
            </w:pPr>
            <w:r w:rsidRPr="00315936">
              <w:t>Target</w:t>
            </w:r>
          </w:p>
        </w:tc>
      </w:tr>
      <w:tr w:rsidR="008E0AB3" w:rsidRPr="00315936" w14:paraId="744B858B" w14:textId="77777777" w:rsidTr="003F0028">
        <w:trPr>
          <w:cantSplit/>
        </w:trPr>
        <w:tc>
          <w:tcPr>
            <w:tcW w:w="3458" w:type="dxa"/>
          </w:tcPr>
          <w:p w14:paraId="4C7E67DE" w14:textId="77777777" w:rsidR="008E0AB3" w:rsidRPr="00315936" w:rsidRDefault="008E0AB3">
            <w:pPr>
              <w:pStyle w:val="Tabletext"/>
            </w:pPr>
            <w:r w:rsidRPr="00315936">
              <w:t>Effective financial management</w:t>
            </w:r>
          </w:p>
        </w:tc>
        <w:tc>
          <w:tcPr>
            <w:tcW w:w="3458" w:type="dxa"/>
          </w:tcPr>
          <w:p w14:paraId="286383A5" w14:textId="52A07670" w:rsidR="008E0AB3" w:rsidRPr="00315936" w:rsidRDefault="008E0AB3">
            <w:pPr>
              <w:pStyle w:val="Tabletext"/>
            </w:pPr>
            <w:r w:rsidRPr="00315936">
              <w:t>Operating result ($M)</w:t>
            </w:r>
          </w:p>
        </w:tc>
        <w:tc>
          <w:tcPr>
            <w:tcW w:w="3458" w:type="dxa"/>
          </w:tcPr>
          <w:p w14:paraId="0CBE1C2C" w14:textId="77777777" w:rsidR="008E0AB3" w:rsidRPr="00315936" w:rsidRDefault="008E0AB3">
            <w:pPr>
              <w:pStyle w:val="Tabletext"/>
            </w:pPr>
            <w:r w:rsidRPr="00315936">
              <w:t>Health service specific</w:t>
            </w:r>
          </w:p>
        </w:tc>
      </w:tr>
      <w:tr w:rsidR="008E0AB3" w:rsidRPr="00315936" w14:paraId="636C4D2F" w14:textId="77777777" w:rsidTr="003F0028">
        <w:trPr>
          <w:cantSplit/>
        </w:trPr>
        <w:tc>
          <w:tcPr>
            <w:tcW w:w="3458" w:type="dxa"/>
          </w:tcPr>
          <w:p w14:paraId="104F233B" w14:textId="77777777" w:rsidR="008E0AB3" w:rsidRPr="00315936" w:rsidRDefault="008E0AB3">
            <w:pPr>
              <w:pStyle w:val="Tabletext"/>
            </w:pPr>
            <w:r w:rsidRPr="00315936">
              <w:t>Effective financial management</w:t>
            </w:r>
          </w:p>
        </w:tc>
        <w:tc>
          <w:tcPr>
            <w:tcW w:w="3458" w:type="dxa"/>
          </w:tcPr>
          <w:p w14:paraId="47073A1E" w14:textId="7B040280" w:rsidR="008E0AB3" w:rsidRPr="00315936" w:rsidRDefault="008E0AB3">
            <w:pPr>
              <w:pStyle w:val="Tabletext"/>
            </w:pPr>
            <w:r w:rsidRPr="00315936">
              <w:t xml:space="preserve">Adjusted Current Asset Ratio (ACAR)  </w:t>
            </w:r>
          </w:p>
        </w:tc>
        <w:tc>
          <w:tcPr>
            <w:tcW w:w="3458" w:type="dxa"/>
          </w:tcPr>
          <w:p w14:paraId="7B4D66C3" w14:textId="58587AD2" w:rsidR="008E0AB3" w:rsidRPr="00315936" w:rsidRDefault="1B31AB50">
            <w:pPr>
              <w:pStyle w:val="Tabletext"/>
            </w:pPr>
            <w:r>
              <w:t xml:space="preserve">Greater than or equal to </w:t>
            </w:r>
            <w:r w:rsidR="15F24CDB">
              <w:t>0</w:t>
            </w:r>
            <w:r w:rsidR="008E0AB3" w:rsidRPr="00315936">
              <w:t xml:space="preserve">.7 </w:t>
            </w:r>
            <w:r w:rsidR="008E0AB3" w:rsidRPr="00535D2B">
              <w:rPr>
                <w:b/>
                <w:bCs/>
              </w:rPr>
              <w:t xml:space="preserve">or </w:t>
            </w:r>
            <w:r w:rsidR="0A145A4B">
              <w:t xml:space="preserve">at least </w:t>
            </w:r>
            <w:r w:rsidR="008E0AB3" w:rsidRPr="00315936">
              <w:t xml:space="preserve">3 per cent improvement from health service base target </w:t>
            </w:r>
          </w:p>
        </w:tc>
      </w:tr>
      <w:tr w:rsidR="008E0AB3" w:rsidRPr="00315936" w14:paraId="6E010823" w14:textId="77777777" w:rsidTr="003F0028">
        <w:trPr>
          <w:cantSplit/>
        </w:trPr>
        <w:tc>
          <w:tcPr>
            <w:tcW w:w="3458" w:type="dxa"/>
          </w:tcPr>
          <w:p w14:paraId="4CD9F823" w14:textId="77777777" w:rsidR="008E0AB3" w:rsidRPr="00315936" w:rsidRDefault="008E0AB3">
            <w:pPr>
              <w:pStyle w:val="Tabletext"/>
            </w:pPr>
            <w:r w:rsidRPr="00315936">
              <w:lastRenderedPageBreak/>
              <w:t>Effective financial management</w:t>
            </w:r>
          </w:p>
        </w:tc>
        <w:tc>
          <w:tcPr>
            <w:tcW w:w="3458" w:type="dxa"/>
          </w:tcPr>
          <w:p w14:paraId="61113E6A" w14:textId="24CE433F" w:rsidR="008E0AB3" w:rsidRPr="00315936" w:rsidRDefault="008E0AB3">
            <w:pPr>
              <w:pStyle w:val="Tabletext"/>
            </w:pPr>
            <w:r w:rsidRPr="006B2CF1">
              <w:t>Variance between the forecast and actual operating result (OR) as a percentage of the forecast OR for the current financial year ending 30 June</w:t>
            </w:r>
          </w:p>
        </w:tc>
        <w:tc>
          <w:tcPr>
            <w:tcW w:w="3458" w:type="dxa"/>
          </w:tcPr>
          <w:p w14:paraId="6D945154" w14:textId="2FA0EBC6" w:rsidR="008E0AB3" w:rsidRPr="00315936" w:rsidRDefault="27D06A7B">
            <w:pPr>
              <w:pStyle w:val="Tabletext"/>
            </w:pPr>
            <w:r w:rsidRPr="00C05981">
              <w:t xml:space="preserve">Less than or equal to </w:t>
            </w:r>
            <w:r w:rsidR="20EE1EEB" w:rsidRPr="00C05981">
              <w:t>5</w:t>
            </w:r>
            <w:r w:rsidR="009934D9" w:rsidRPr="00C05981">
              <w:t xml:space="preserve"> per cent variance</w:t>
            </w:r>
          </w:p>
        </w:tc>
      </w:tr>
    </w:tbl>
    <w:p w14:paraId="6214F8CF" w14:textId="77777777" w:rsidR="008E0AB3" w:rsidRDefault="008E0AB3" w:rsidP="008E0AB3">
      <w:pPr>
        <w:pStyle w:val="Body"/>
        <w:sectPr w:rsidR="008E0AB3" w:rsidSect="00A47AC7">
          <w:footerReference w:type="even" r:id="rId23"/>
          <w:footerReference w:type="default" r:id="rId24"/>
          <w:headerReference w:type="first" r:id="rId25"/>
          <w:footerReference w:type="first" r:id="rId26"/>
          <w:pgSz w:w="11906" w:h="16838" w:code="9"/>
          <w:pgMar w:top="720" w:right="720" w:bottom="720" w:left="720" w:header="680" w:footer="851" w:gutter="0"/>
          <w:cols w:space="340"/>
          <w:titlePg/>
          <w:docGrid w:linePitch="360"/>
        </w:sectPr>
      </w:pPr>
    </w:p>
    <w:p w14:paraId="60CD0F0F" w14:textId="09F39F42" w:rsidR="00733A0B" w:rsidRPr="00315936" w:rsidRDefault="00140581" w:rsidP="1FAFEA63">
      <w:pPr>
        <w:pStyle w:val="Heading1"/>
        <w:spacing w:after="0" w:line="240" w:lineRule="auto"/>
      </w:pPr>
      <w:bookmarkStart w:id="26" w:name="_Toc204853417"/>
      <w:r>
        <w:lastRenderedPageBreak/>
        <w:t>Business rules</w:t>
      </w:r>
      <w:bookmarkEnd w:id="26"/>
    </w:p>
    <w:p w14:paraId="320A6511" w14:textId="118E5AAB" w:rsidR="00140581" w:rsidRPr="00315936" w:rsidRDefault="00140581" w:rsidP="00140581">
      <w:pPr>
        <w:pStyle w:val="Heading2"/>
      </w:pPr>
      <w:bookmarkStart w:id="27" w:name="_Toc167781667"/>
      <w:bookmarkStart w:id="28" w:name="_Toc204853418"/>
      <w:r w:rsidRPr="00315936">
        <w:t>High quality and safe care</w:t>
      </w:r>
      <w:bookmarkEnd w:id="27"/>
      <w:bookmarkEnd w:id="28"/>
    </w:p>
    <w:p w14:paraId="3848AC61" w14:textId="2C4BE9D0" w:rsidR="00140581" w:rsidRPr="00315936" w:rsidRDefault="00140581" w:rsidP="00140581">
      <w:pPr>
        <w:pStyle w:val="Heading3"/>
      </w:pPr>
      <w:bookmarkStart w:id="29" w:name="_Toc662554265"/>
      <w:r w:rsidRPr="00315936">
        <w:t>Infection prevention and control</w:t>
      </w:r>
      <w:bookmarkEnd w:id="29"/>
    </w:p>
    <w:p w14:paraId="6AEF8A32" w14:textId="47384622" w:rsidR="003E5BED" w:rsidRPr="00315936" w:rsidRDefault="00AD2366" w:rsidP="008E7F78">
      <w:pPr>
        <w:pStyle w:val="Heading4"/>
      </w:pPr>
      <w:bookmarkStart w:id="30" w:name="_Toc1158523473"/>
      <w:r w:rsidRPr="00315936">
        <w:t>Percentage of healthcare workers immunised for influenza</w:t>
      </w:r>
      <w:bookmarkEnd w:id="30"/>
    </w:p>
    <w:tbl>
      <w:tblPr>
        <w:tblStyle w:val="TableGrid"/>
        <w:tblW w:w="9288" w:type="dxa"/>
        <w:tblLook w:val="04A0" w:firstRow="1" w:lastRow="0" w:firstColumn="1" w:lastColumn="0" w:noHBand="0" w:noVBand="1"/>
      </w:tblPr>
      <w:tblGrid>
        <w:gridCol w:w="1838"/>
        <w:gridCol w:w="7450"/>
      </w:tblGrid>
      <w:tr w:rsidR="00CD0C77" w:rsidRPr="00315936" w14:paraId="675B65B4"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A1926A6" w14:textId="125369DA" w:rsidR="00CD0C77" w:rsidRPr="00315936" w:rsidRDefault="00C3016B">
            <w:pPr>
              <w:pStyle w:val="Tablecolhead"/>
              <w:rPr>
                <w:b w:val="0"/>
                <w:lang w:eastAsia="en-AU"/>
              </w:rPr>
            </w:pPr>
            <w:r w:rsidRPr="00315936">
              <w:rPr>
                <w:b w:val="0"/>
                <w:lang w:eastAsia="en-AU"/>
              </w:rPr>
              <w:t>Measure</w:t>
            </w:r>
          </w:p>
        </w:tc>
        <w:tc>
          <w:tcPr>
            <w:tcW w:w="7450" w:type="dxa"/>
            <w:tcBorders>
              <w:left w:val="single" w:sz="4" w:space="0" w:color="FFFFFF" w:themeColor="background1"/>
            </w:tcBorders>
          </w:tcPr>
          <w:p w14:paraId="01EC7544" w14:textId="675E1275" w:rsidR="00CD0C77" w:rsidRPr="00315936" w:rsidRDefault="00CD0C77">
            <w:pPr>
              <w:pStyle w:val="Tabletext"/>
              <w:rPr>
                <w:vertAlign w:val="superscript"/>
              </w:rPr>
            </w:pPr>
            <w:r w:rsidRPr="00315936">
              <w:t>Percentage of healthcare workers immunised for influenza</w:t>
            </w:r>
            <w:bookmarkStart w:id="31" w:name="_Ref201832379"/>
            <w:bookmarkStart w:id="32" w:name="_Ref201303385"/>
            <w:r w:rsidR="00004764">
              <w:rPr>
                <w:rStyle w:val="EndnoteReference"/>
              </w:rPr>
              <w:endnoteReference w:id="5"/>
            </w:r>
            <w:bookmarkEnd w:id="31"/>
            <w:r w:rsidR="00D91127">
              <w:rPr>
                <w:vertAlign w:val="superscript"/>
              </w:rPr>
              <w:t>,</w:t>
            </w:r>
            <w:bookmarkStart w:id="33" w:name="_Ref201833119"/>
            <w:r w:rsidR="00D91127">
              <w:rPr>
                <w:rStyle w:val="EndnoteReference"/>
              </w:rPr>
              <w:endnoteReference w:id="6"/>
            </w:r>
            <w:bookmarkEnd w:id="33"/>
            <w:r w:rsidR="00004764">
              <w:t xml:space="preserve">  </w:t>
            </w:r>
            <w:bookmarkEnd w:id="32"/>
          </w:p>
        </w:tc>
      </w:tr>
      <w:tr w:rsidR="00CD0C77" w:rsidRPr="00315936" w14:paraId="0DDA6B30"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859867B" w14:textId="77777777" w:rsidR="00CD0C77" w:rsidRPr="00315936" w:rsidRDefault="00CD0C77">
            <w:pPr>
              <w:pStyle w:val="Tablecolhead"/>
              <w:rPr>
                <w:b w:val="0"/>
                <w:lang w:eastAsia="en-AU"/>
              </w:rPr>
            </w:pPr>
            <w:r w:rsidRPr="00315936">
              <w:rPr>
                <w:b w:val="0"/>
                <w:lang w:eastAsia="en-AU"/>
              </w:rPr>
              <w:t>Description </w:t>
            </w:r>
          </w:p>
        </w:tc>
        <w:tc>
          <w:tcPr>
            <w:tcW w:w="7450" w:type="dxa"/>
            <w:tcBorders>
              <w:left w:val="single" w:sz="4" w:space="0" w:color="FFFFFF" w:themeColor="background1"/>
            </w:tcBorders>
          </w:tcPr>
          <w:p w14:paraId="5D88F03A" w14:textId="77777777" w:rsidR="00CD0C77" w:rsidRPr="00315936" w:rsidRDefault="00CD0C77">
            <w:pPr>
              <w:pStyle w:val="Tabletext"/>
              <w:rPr>
                <w:rFonts w:ascii="VIC" w:eastAsia="VIC" w:hAnsi="VIC" w:cs="VIC"/>
                <w:color w:val="000000" w:themeColor="text1"/>
                <w:sz w:val="20"/>
              </w:rPr>
            </w:pPr>
            <w:r w:rsidRPr="00315936">
              <w:t>High coverage rates of immunisation in healthcare workers (HCW) are essential to reduce the risk of influenza transmission in healthcare settings.</w:t>
            </w:r>
          </w:p>
          <w:p w14:paraId="413E4B45" w14:textId="7A2F1B70" w:rsidR="00CD0C77" w:rsidRPr="00315936" w:rsidRDefault="00CD0C77">
            <w:pPr>
              <w:pStyle w:val="Tabletext"/>
              <w:rPr>
                <w:rFonts w:ascii="VIC" w:eastAsia="VIC" w:hAnsi="VIC" w:cs="VIC"/>
                <w:color w:val="000000" w:themeColor="text1"/>
                <w:sz w:val="20"/>
              </w:rPr>
            </w:pPr>
            <w:r w:rsidRPr="00315936">
              <w:t xml:space="preserve">This </w:t>
            </w:r>
            <w:r w:rsidR="00C3016B" w:rsidRPr="00315936">
              <w:t>measure</w:t>
            </w:r>
            <w:r w:rsidR="00375F30">
              <w:t>s</w:t>
            </w:r>
            <w:r w:rsidRPr="00315936">
              <w:t xml:space="preserve"> the percentage of</w:t>
            </w:r>
            <w:r w:rsidR="00BA5C6F" w:rsidRPr="00315936">
              <w:t xml:space="preserve"> </w:t>
            </w:r>
            <w:r w:rsidR="00375BB1">
              <w:t xml:space="preserve">eligible </w:t>
            </w:r>
            <w:r w:rsidR="00E96102">
              <w:t>staff wh</w:t>
            </w:r>
            <w:r w:rsidR="002E6F92">
              <w:t>o were vaccinated</w:t>
            </w:r>
            <w:r w:rsidR="00EF4480">
              <w:t xml:space="preserve"> against </w:t>
            </w:r>
            <w:r w:rsidR="00C64DA9">
              <w:t>influenza</w:t>
            </w:r>
            <w:r w:rsidR="002E6F92">
              <w:t xml:space="preserve">. Eligible staff are those </w:t>
            </w:r>
            <w:r w:rsidR="006D376C">
              <w:t xml:space="preserve">who were </w:t>
            </w:r>
            <w:r w:rsidR="00375BB1" w:rsidRPr="00315936">
              <w:t>permanently, temporarily, or casually (bank staff) employed</w:t>
            </w:r>
            <w:r w:rsidR="00AD20C1">
              <w:t xml:space="preserve"> by </w:t>
            </w:r>
            <w:r w:rsidR="00AD20C1" w:rsidRPr="00315936">
              <w:t xml:space="preserve">the nominated hospital / health service </w:t>
            </w:r>
            <w:r w:rsidR="00BA5C6F" w:rsidRPr="00315936">
              <w:t xml:space="preserve">(including residential aged care services and community health staff) </w:t>
            </w:r>
            <w:r w:rsidR="00C64DA9">
              <w:t>and</w:t>
            </w:r>
            <w:r w:rsidR="00BA5C6F">
              <w:t xml:space="preserve"> </w:t>
            </w:r>
            <w:r w:rsidR="00BA5C6F" w:rsidRPr="00315936">
              <w:t>worked one or more shifts during the influenza vaccination campaign</w:t>
            </w:r>
            <w:r w:rsidR="00AD20C1">
              <w:t>.</w:t>
            </w:r>
          </w:p>
        </w:tc>
      </w:tr>
      <w:tr w:rsidR="00CD0C77" w:rsidRPr="00315936" w14:paraId="0F4EEE5C"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F4ED11B" w14:textId="77777777" w:rsidR="00CD0C77" w:rsidRPr="00315936" w:rsidRDefault="00CD0C77" w:rsidP="00FB3915">
            <w:pPr>
              <w:pStyle w:val="Tablecolhead"/>
              <w:rPr>
                <w:b w:val="0"/>
              </w:rPr>
            </w:pPr>
            <w:r w:rsidRPr="00315936">
              <w:rPr>
                <w:b w:val="0"/>
              </w:rPr>
              <w:t>Calculating performance</w:t>
            </w:r>
          </w:p>
        </w:tc>
        <w:tc>
          <w:tcPr>
            <w:tcW w:w="7450" w:type="dxa"/>
            <w:tcBorders>
              <w:left w:val="single" w:sz="4" w:space="0" w:color="FFFFFF" w:themeColor="background1"/>
            </w:tcBorders>
          </w:tcPr>
          <w:p w14:paraId="4DFB6153" w14:textId="56922BE0" w:rsidR="00CD0C77" w:rsidRDefault="00CD0C77">
            <w:pPr>
              <w:pStyle w:val="Tabletext"/>
            </w:pPr>
            <w:r w:rsidRPr="00315936">
              <w:t xml:space="preserve">The </w:t>
            </w:r>
            <w:r w:rsidR="0046211D">
              <w:t xml:space="preserve">audit </w:t>
            </w:r>
            <w:r w:rsidRPr="00315936">
              <w:t xml:space="preserve">period used to calculate the rate of HCW immunisation is </w:t>
            </w:r>
            <w:r w:rsidR="004E55BC">
              <w:br/>
            </w:r>
            <w:r w:rsidR="3A6E4B2D">
              <w:t>7 April</w:t>
            </w:r>
            <w:r w:rsidR="00F541C1">
              <w:t xml:space="preserve"> </w:t>
            </w:r>
            <w:r w:rsidRPr="00315936">
              <w:t>to 15 August</w:t>
            </w:r>
            <w:r w:rsidR="00DE06D7" w:rsidRPr="00315936">
              <w:t>.</w:t>
            </w:r>
            <w:r w:rsidRPr="00315936">
              <w:t xml:space="preserve"> </w:t>
            </w:r>
          </w:p>
          <w:p w14:paraId="5DB8A2EB" w14:textId="73E0A3F9" w:rsidR="002203FD" w:rsidRPr="00315936" w:rsidRDefault="002203FD">
            <w:pPr>
              <w:pStyle w:val="Tabletext"/>
            </w:pPr>
            <w:r w:rsidRPr="00315936">
              <w:t>The HCW categories used are aligned with the Australian Co</w:t>
            </w:r>
            <w:r>
              <w:t>mmission</w:t>
            </w:r>
            <w:r w:rsidRPr="00315936">
              <w:t xml:space="preserve"> on Safety and Quality in Health Care (ACSQHC) Australian guidelines for prevention and control of infection in healthcare. Details can be found at </w:t>
            </w:r>
            <w:hyperlink r:id="rId27" w:history="1">
              <w:r w:rsidRPr="00315936">
                <w:rPr>
                  <w:rStyle w:val="Hyperlink"/>
                </w:rPr>
                <w:t>Vaccination for healthcare workers, Department of Health</w:t>
              </w:r>
            </w:hyperlink>
            <w:r w:rsidRPr="00315936">
              <w:t xml:space="preserve"> &lt;https://www.health.vic.gov.au/immunisation/vaccination-for-healthcare-workers&gt;.</w:t>
            </w:r>
          </w:p>
        </w:tc>
      </w:tr>
      <w:tr w:rsidR="00CD0C77" w:rsidRPr="00315936" w14:paraId="3A812C2C"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21B02DB" w14:textId="77777777" w:rsidR="00CD0C77" w:rsidRPr="00315936" w:rsidRDefault="00CD0C77" w:rsidP="00FB3915">
            <w:pPr>
              <w:pStyle w:val="Tablecolhead"/>
              <w:rPr>
                <w:b w:val="0"/>
              </w:rPr>
            </w:pPr>
            <w:r w:rsidRPr="00315936">
              <w:rPr>
                <w:b w:val="0"/>
              </w:rPr>
              <w:t>Numerator</w:t>
            </w:r>
          </w:p>
        </w:tc>
        <w:tc>
          <w:tcPr>
            <w:tcW w:w="7450" w:type="dxa"/>
            <w:tcBorders>
              <w:left w:val="single" w:sz="4" w:space="0" w:color="FFFFFF" w:themeColor="background1"/>
            </w:tcBorders>
          </w:tcPr>
          <w:p w14:paraId="414977AE" w14:textId="77777777" w:rsidR="00CD0C77" w:rsidRPr="00315936" w:rsidRDefault="00CD0C77">
            <w:pPr>
              <w:pStyle w:val="Tabletext"/>
            </w:pPr>
            <w:r w:rsidRPr="00315936">
              <w:t>Number of category A, B and C HCW vaccinated as at 15 August.</w:t>
            </w:r>
          </w:p>
        </w:tc>
      </w:tr>
      <w:tr w:rsidR="00CD0C77" w:rsidRPr="00315936" w14:paraId="36196702"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8886549" w14:textId="77777777" w:rsidR="00CD0C77" w:rsidRPr="00315936" w:rsidRDefault="00CD0C77" w:rsidP="00FB3915">
            <w:pPr>
              <w:pStyle w:val="Tablecolhead"/>
              <w:rPr>
                <w:b w:val="0"/>
              </w:rPr>
            </w:pPr>
            <w:r w:rsidRPr="00315936">
              <w:rPr>
                <w:b w:val="0"/>
              </w:rPr>
              <w:t>Denominator</w:t>
            </w:r>
          </w:p>
        </w:tc>
        <w:tc>
          <w:tcPr>
            <w:tcW w:w="7450" w:type="dxa"/>
            <w:tcBorders>
              <w:left w:val="single" w:sz="4" w:space="0" w:color="FFFFFF" w:themeColor="background1"/>
            </w:tcBorders>
          </w:tcPr>
          <w:p w14:paraId="73A25811" w14:textId="72154562" w:rsidR="00CD0C77" w:rsidRPr="00315936" w:rsidRDefault="00CD0C77">
            <w:pPr>
              <w:pStyle w:val="Tabletext"/>
            </w:pPr>
            <w:r w:rsidRPr="00315936">
              <w:t>Number of category A, B and C HCW employed who worked one or more shifts during the influenza vaccination campaign (</w:t>
            </w:r>
            <w:r w:rsidR="003051C8">
              <w:t>7 April</w:t>
            </w:r>
            <w:r w:rsidR="00445714">
              <w:t xml:space="preserve"> </w:t>
            </w:r>
            <w:r w:rsidRPr="00315936">
              <w:t>to 15 August).</w:t>
            </w:r>
          </w:p>
        </w:tc>
      </w:tr>
      <w:tr w:rsidR="00CD0C77" w:rsidRPr="00315936" w14:paraId="5D7733E6"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79181AF" w14:textId="77777777" w:rsidR="00CD0C77" w:rsidRPr="00315936" w:rsidRDefault="00CD0C77" w:rsidP="00FB3915">
            <w:pPr>
              <w:pStyle w:val="Tablecolhead"/>
              <w:rPr>
                <w:b w:val="0"/>
              </w:rPr>
            </w:pPr>
            <w:r w:rsidRPr="00315936">
              <w:rPr>
                <w:b w:val="0"/>
              </w:rPr>
              <w:t>Statewide target</w:t>
            </w:r>
          </w:p>
        </w:tc>
        <w:tc>
          <w:tcPr>
            <w:tcW w:w="7450" w:type="dxa"/>
            <w:tcBorders>
              <w:left w:val="single" w:sz="4" w:space="0" w:color="FFFFFF" w:themeColor="background1"/>
            </w:tcBorders>
          </w:tcPr>
          <w:p w14:paraId="7428D4C3" w14:textId="3ADA827A" w:rsidR="00CD0C77" w:rsidRPr="00315936" w:rsidRDefault="00CD0C77">
            <w:pPr>
              <w:pStyle w:val="Tabletext"/>
            </w:pPr>
            <w:r w:rsidRPr="00315936">
              <w:t>94</w:t>
            </w:r>
            <w:r w:rsidR="00A67D0D" w:rsidRPr="00315936">
              <w:t xml:space="preserve"> per cent</w:t>
            </w:r>
          </w:p>
        </w:tc>
      </w:tr>
      <w:tr w:rsidR="003B7235" w:rsidRPr="00315936" w14:paraId="7CD35813"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A515417" w14:textId="719AF79D" w:rsidR="003B7235" w:rsidRPr="00315936" w:rsidRDefault="004C256A" w:rsidP="00FB3915">
            <w:pPr>
              <w:pStyle w:val="Tablecolhead"/>
              <w:rPr>
                <w:b w:val="0"/>
              </w:rPr>
            </w:pPr>
            <w:r w:rsidRPr="00315936">
              <w:rPr>
                <w:b w:val="0"/>
              </w:rPr>
              <w:t>Achieved</w:t>
            </w:r>
          </w:p>
        </w:tc>
        <w:tc>
          <w:tcPr>
            <w:tcW w:w="7450" w:type="dxa"/>
            <w:tcBorders>
              <w:left w:val="single" w:sz="4" w:space="0" w:color="FFFFFF" w:themeColor="background1"/>
            </w:tcBorders>
          </w:tcPr>
          <w:p w14:paraId="7D13D4B0" w14:textId="63369453" w:rsidR="003B7235" w:rsidRPr="00315936" w:rsidRDefault="00CB4370">
            <w:pPr>
              <w:pStyle w:val="Tabletext"/>
            </w:pPr>
            <w:r>
              <w:t>Greater than or equal to</w:t>
            </w:r>
            <w:r w:rsidR="004C256A" w:rsidRPr="00315936">
              <w:t xml:space="preserve"> 94</w:t>
            </w:r>
            <w:r w:rsidR="00A67D0D" w:rsidRPr="00315936">
              <w:t xml:space="preserve"> per cent</w:t>
            </w:r>
          </w:p>
        </w:tc>
      </w:tr>
      <w:tr w:rsidR="004C256A" w:rsidRPr="00315936" w14:paraId="3321475D"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27D8181" w14:textId="24707124" w:rsidR="004C256A" w:rsidRPr="00315936" w:rsidRDefault="004C256A" w:rsidP="00FB3915">
            <w:pPr>
              <w:pStyle w:val="Tablecolhead"/>
              <w:rPr>
                <w:b w:val="0"/>
              </w:rPr>
            </w:pPr>
            <w:r w:rsidRPr="00315936">
              <w:rPr>
                <w:b w:val="0"/>
              </w:rPr>
              <w:t>Not achieved</w:t>
            </w:r>
          </w:p>
        </w:tc>
        <w:tc>
          <w:tcPr>
            <w:tcW w:w="7450" w:type="dxa"/>
            <w:tcBorders>
              <w:left w:val="single" w:sz="4" w:space="0" w:color="FFFFFF" w:themeColor="background1"/>
            </w:tcBorders>
          </w:tcPr>
          <w:p w14:paraId="43DDE830" w14:textId="40AA093E" w:rsidR="004C256A" w:rsidRPr="00315936" w:rsidRDefault="00CB4370">
            <w:pPr>
              <w:pStyle w:val="Tabletext"/>
            </w:pPr>
            <w:r>
              <w:t xml:space="preserve">Less than </w:t>
            </w:r>
            <w:r w:rsidR="004C256A" w:rsidRPr="00315936">
              <w:t>94</w:t>
            </w:r>
            <w:r w:rsidR="00A67D0D" w:rsidRPr="00315936">
              <w:t xml:space="preserve"> per cent</w:t>
            </w:r>
          </w:p>
        </w:tc>
      </w:tr>
      <w:tr w:rsidR="00CD0C77" w:rsidRPr="00315936" w14:paraId="7943CBC0"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E3AA0FA" w14:textId="77777777" w:rsidR="00CD0C77" w:rsidRPr="00315936" w:rsidRDefault="00CD0C77" w:rsidP="00FB3915">
            <w:pPr>
              <w:pStyle w:val="Tablecolhead"/>
              <w:rPr>
                <w:b w:val="0"/>
              </w:rPr>
            </w:pPr>
            <w:r w:rsidRPr="00315936">
              <w:rPr>
                <w:b w:val="0"/>
              </w:rPr>
              <w:t>Improvement</w:t>
            </w:r>
          </w:p>
        </w:tc>
        <w:tc>
          <w:tcPr>
            <w:tcW w:w="7450" w:type="dxa"/>
            <w:tcBorders>
              <w:left w:val="single" w:sz="4" w:space="0" w:color="FFFFFF" w:themeColor="background1"/>
            </w:tcBorders>
          </w:tcPr>
          <w:p w14:paraId="6A3E760D" w14:textId="3874BE6F" w:rsidR="00CD0C77" w:rsidRPr="00315936" w:rsidRDefault="00CD0C77">
            <w:pPr>
              <w:pStyle w:val="Tabletext"/>
              <w:rPr>
                <w:rFonts w:ascii="VIC" w:eastAsia="VIC" w:hAnsi="VIC" w:cs="VIC"/>
                <w:color w:val="000000" w:themeColor="text1"/>
                <w:sz w:val="20"/>
              </w:rPr>
            </w:pPr>
            <w:r w:rsidRPr="00315936">
              <w:t>For the purpose of the performance risk assessment</w:t>
            </w:r>
            <w:r w:rsidR="00507430">
              <w:t>,</w:t>
            </w:r>
            <w:r w:rsidRPr="00315936">
              <w:t xml:space="preserve"> improvement is assessed against the previous year performance.</w:t>
            </w:r>
          </w:p>
        </w:tc>
      </w:tr>
      <w:tr w:rsidR="00CD0C77" w:rsidRPr="00315936" w14:paraId="1C64B413" w14:textId="77777777" w:rsidTr="00535D2B">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8EC8EB2" w14:textId="77777777" w:rsidR="00CD0C77" w:rsidRPr="00315936" w:rsidRDefault="00CD0C77" w:rsidP="00FB3915">
            <w:pPr>
              <w:pStyle w:val="Tablecolhead"/>
              <w:rPr>
                <w:b w:val="0"/>
              </w:rPr>
            </w:pPr>
            <w:r w:rsidRPr="00315936">
              <w:rPr>
                <w:b w:val="0"/>
              </w:rPr>
              <w:t>Frequency of reporting and data collection</w:t>
            </w:r>
          </w:p>
        </w:tc>
        <w:tc>
          <w:tcPr>
            <w:tcW w:w="7450" w:type="dxa"/>
            <w:tcBorders>
              <w:left w:val="single" w:sz="4" w:space="0" w:color="FFFFFF" w:themeColor="background1"/>
            </w:tcBorders>
          </w:tcPr>
          <w:p w14:paraId="069EF3F8" w14:textId="5678DB4C" w:rsidR="00234F04" w:rsidRPr="00315936" w:rsidRDefault="00234F04">
            <w:pPr>
              <w:pStyle w:val="Tabletext"/>
            </w:pPr>
            <w:r w:rsidRPr="00315936">
              <w:t>Performance is monitored and assessed annually and reported in Q1</w:t>
            </w:r>
            <w:r w:rsidR="007A56BC" w:rsidRPr="00315936">
              <w:t xml:space="preserve"> at the health service level</w:t>
            </w:r>
            <w:r w:rsidRPr="00315936">
              <w:t>.</w:t>
            </w:r>
          </w:p>
          <w:p w14:paraId="662B0593" w14:textId="508FBA1F" w:rsidR="00CD0C77" w:rsidRPr="00315936" w:rsidRDefault="00CD0C77">
            <w:pPr>
              <w:pStyle w:val="Tabletext"/>
              <w:rPr>
                <w:rFonts w:ascii="VIC" w:eastAsia="VIC" w:hAnsi="VIC" w:cs="VIC"/>
                <w:color w:val="000000" w:themeColor="text1"/>
                <w:sz w:val="20"/>
              </w:rPr>
            </w:pPr>
            <w:r w:rsidRPr="00315936">
              <w:t xml:space="preserve">Data on vaccination rates must be submitted to </w:t>
            </w:r>
            <w:r w:rsidR="00BF658A" w:rsidRPr="00315936">
              <w:t>Victorian Nosocomial Infection Surveillance System (</w:t>
            </w:r>
            <w:hyperlink r:id="rId28">
              <w:r w:rsidR="00907209" w:rsidRPr="00315936">
                <w:rPr>
                  <w:rStyle w:val="Hyperlink"/>
                </w:rPr>
                <w:t>VICNISS</w:t>
              </w:r>
            </w:hyperlink>
            <w:r w:rsidR="00BF658A" w:rsidRPr="00315936">
              <w:rPr>
                <w:rStyle w:val="Hyperlink"/>
              </w:rPr>
              <w:t>)</w:t>
            </w:r>
            <w:r w:rsidR="0023314E">
              <w:rPr>
                <w:rStyle w:val="Hyperlink"/>
              </w:rPr>
              <w:t xml:space="preserve"> Coordinating Centre</w:t>
            </w:r>
            <w:r w:rsidR="00907209" w:rsidRPr="00315936">
              <w:t xml:space="preserve"> </w:t>
            </w:r>
            <w:r w:rsidR="00017461" w:rsidRPr="00315936">
              <w:t>&lt;</w:t>
            </w:r>
            <w:r w:rsidR="005854BC" w:rsidRPr="00433064">
              <w:t>http://www.vicniss.org.au</w:t>
            </w:r>
            <w:r w:rsidR="00017461" w:rsidRPr="00315936">
              <w:t xml:space="preserve">&gt; </w:t>
            </w:r>
            <w:r w:rsidRPr="00315936">
              <w:t>by 31 August. If possible, data should be submitted by HCW category.</w:t>
            </w:r>
          </w:p>
          <w:p w14:paraId="5ACD989D" w14:textId="6B8A7176" w:rsidR="00CD0C77" w:rsidRPr="00315936" w:rsidRDefault="00CD0C77">
            <w:pPr>
              <w:pStyle w:val="Tabletext"/>
              <w:rPr>
                <w:rFonts w:ascii="VIC" w:eastAsia="VIC" w:hAnsi="VIC" w:cs="VIC"/>
                <w:color w:val="000000" w:themeColor="text1"/>
                <w:sz w:val="20"/>
              </w:rPr>
            </w:pPr>
            <w:r w:rsidRPr="00315936">
              <w:t xml:space="preserve">Where data are not submitted, the </w:t>
            </w:r>
            <w:r w:rsidR="00F02A04">
              <w:t>target</w:t>
            </w:r>
            <w:r w:rsidR="00F02A04" w:rsidRPr="00315936">
              <w:t xml:space="preserve"> </w:t>
            </w:r>
            <w:r w:rsidRPr="00315936">
              <w:t xml:space="preserve">is deemed </w:t>
            </w:r>
            <w:r w:rsidR="00F02A04">
              <w:t>to be</w:t>
            </w:r>
            <w:r w:rsidR="00F02A04" w:rsidRPr="00315936">
              <w:t xml:space="preserve"> </w:t>
            </w:r>
            <w:r w:rsidRPr="00315936">
              <w:t xml:space="preserve">not achieved. </w:t>
            </w:r>
          </w:p>
        </w:tc>
      </w:tr>
    </w:tbl>
    <w:p w14:paraId="2FBE3A2B" w14:textId="2FCA452F" w:rsidR="00140581" w:rsidRPr="00315936" w:rsidRDefault="00140581" w:rsidP="00140581">
      <w:pPr>
        <w:pStyle w:val="Heading3"/>
      </w:pPr>
      <w:bookmarkStart w:id="34" w:name="_Toc1834360761"/>
      <w:r w:rsidRPr="00315936">
        <w:lastRenderedPageBreak/>
        <w:t>Continuing care</w:t>
      </w:r>
      <w:bookmarkEnd w:id="34"/>
    </w:p>
    <w:p w14:paraId="1CF54152" w14:textId="6BF79306" w:rsidR="004B482F" w:rsidRPr="00315936" w:rsidRDefault="003E5BED" w:rsidP="008E7F78">
      <w:pPr>
        <w:pStyle w:val="Heading4"/>
      </w:pPr>
      <w:bookmarkStart w:id="35" w:name="_Toc669258446"/>
      <w:r w:rsidRPr="00315936">
        <w:t>Average change in the functional independence measure (FIM) score per day of care for rehabilitation separations</w:t>
      </w:r>
      <w:bookmarkEnd w:id="35"/>
    </w:p>
    <w:tbl>
      <w:tblPr>
        <w:tblStyle w:val="TableGrid"/>
        <w:tblW w:w="9351" w:type="dxa"/>
        <w:tblLook w:val="04A0" w:firstRow="1" w:lastRow="0" w:firstColumn="1" w:lastColumn="0" w:noHBand="0" w:noVBand="1"/>
      </w:tblPr>
      <w:tblGrid>
        <w:gridCol w:w="1837"/>
        <w:gridCol w:w="7514"/>
      </w:tblGrid>
      <w:tr w:rsidR="008630DB" w:rsidRPr="00315936" w14:paraId="6D45EF66"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19481E2" w14:textId="5239898E" w:rsidR="008630DB" w:rsidRPr="00315936" w:rsidRDefault="00C3016B">
            <w:pPr>
              <w:pStyle w:val="Tablecolhead"/>
              <w:rPr>
                <w:b w:val="0"/>
                <w:lang w:eastAsia="en-AU"/>
              </w:rPr>
            </w:pPr>
            <w:r w:rsidRPr="00315936">
              <w:rPr>
                <w:b w:val="0"/>
                <w:lang w:eastAsia="en-AU"/>
              </w:rPr>
              <w:t>Measure</w:t>
            </w:r>
          </w:p>
        </w:tc>
        <w:tc>
          <w:tcPr>
            <w:tcW w:w="7514" w:type="dxa"/>
            <w:tcBorders>
              <w:left w:val="single" w:sz="4" w:space="0" w:color="FFFFFF" w:themeColor="background1"/>
            </w:tcBorders>
            <w:vAlign w:val="bottom"/>
          </w:tcPr>
          <w:p w14:paraId="1947A9B3" w14:textId="77777777" w:rsidR="008630DB" w:rsidRPr="00315936" w:rsidRDefault="008630DB">
            <w:pPr>
              <w:pStyle w:val="Tabletext"/>
              <w:rPr>
                <w:lang w:eastAsia="en-AU"/>
              </w:rPr>
            </w:pPr>
            <w:r w:rsidRPr="00315936">
              <w:t>Average change in the functional independence measure (FIM) score per day of care for rehabilitation separations</w:t>
            </w:r>
          </w:p>
        </w:tc>
      </w:tr>
      <w:tr w:rsidR="008630DB" w:rsidRPr="00315936" w14:paraId="0C1E3DA4"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EFDFED0" w14:textId="77777777" w:rsidR="008630DB" w:rsidRPr="00315936" w:rsidRDefault="008630DB">
            <w:pPr>
              <w:pStyle w:val="Tablecolhead"/>
              <w:rPr>
                <w:b w:val="0"/>
                <w:lang w:eastAsia="en-AU"/>
              </w:rPr>
            </w:pPr>
            <w:r w:rsidRPr="00315936">
              <w:rPr>
                <w:b w:val="0"/>
                <w:lang w:eastAsia="en-AU"/>
              </w:rPr>
              <w:t>Description </w:t>
            </w:r>
          </w:p>
        </w:tc>
        <w:tc>
          <w:tcPr>
            <w:tcW w:w="7514" w:type="dxa"/>
            <w:tcBorders>
              <w:left w:val="single" w:sz="4" w:space="0" w:color="FFFFFF" w:themeColor="background1"/>
            </w:tcBorders>
          </w:tcPr>
          <w:p w14:paraId="6B60A767" w14:textId="590812A6" w:rsidR="008630DB" w:rsidRDefault="008630DB">
            <w:pPr>
              <w:pStyle w:val="Tabletext"/>
            </w:pPr>
            <w:r w:rsidRPr="00315936">
              <w:t xml:space="preserve">The FIM™ instrument is a basic </w:t>
            </w:r>
            <w:r w:rsidR="00C3016B" w:rsidRPr="00315936">
              <w:t>measure</w:t>
            </w:r>
            <w:r w:rsidRPr="00315936">
              <w:t xml:space="preserve"> of patient disability</w:t>
            </w:r>
            <w:r w:rsidR="00B91592">
              <w:t xml:space="preserve"> and </w:t>
            </w:r>
            <w:r w:rsidRPr="00315936">
              <w:t>is used to track changes in the functional ability of a patient during an episode of hospital rehabilitation.</w:t>
            </w:r>
          </w:p>
          <w:p w14:paraId="183B54FC" w14:textId="151A80E3" w:rsidR="00433064" w:rsidRPr="00315936" w:rsidRDefault="00433064">
            <w:pPr>
              <w:pStyle w:val="Tabletext"/>
            </w:pPr>
            <w:r>
              <w:t xml:space="preserve">Patient function is assessed </w:t>
            </w:r>
            <w:r w:rsidR="00B1145B">
              <w:t xml:space="preserve">using the </w:t>
            </w:r>
            <w:r w:rsidR="00B1145B" w:rsidRPr="00315936">
              <w:t>FIM™</w:t>
            </w:r>
            <w:r w:rsidR="00B1145B">
              <w:t xml:space="preserve"> instrument at the start of a rehabili</w:t>
            </w:r>
            <w:r w:rsidR="005F61CE">
              <w:t xml:space="preserve">tation episode of care and at the end of a rehabilitation episode of care. Admission assessment is collected within 72 hours of the start </w:t>
            </w:r>
            <w:r w:rsidR="005426A9">
              <w:t xml:space="preserve">of a rehabilitation episode. Discharge assessment is collected </w:t>
            </w:r>
            <w:r w:rsidR="00D0198D">
              <w:t>within 72 hours prior to the end of a rehabilitation episode</w:t>
            </w:r>
            <w:r w:rsidR="008B00CE">
              <w:t>.</w:t>
            </w:r>
          </w:p>
          <w:p w14:paraId="76030CFB" w14:textId="1658403E" w:rsidR="008630DB" w:rsidRPr="00315936" w:rsidRDefault="008630DB">
            <w:pPr>
              <w:pStyle w:val="Tabletext"/>
            </w:pPr>
            <w:r w:rsidRPr="00315936">
              <w:t xml:space="preserve">FIM™ is comprised of 18 items, grouped into </w:t>
            </w:r>
            <w:r w:rsidR="00691279" w:rsidRPr="00315936">
              <w:t xml:space="preserve">two </w:t>
            </w:r>
            <w:r w:rsidRPr="00315936">
              <w:t>subscales</w:t>
            </w:r>
            <w:r w:rsidRPr="00315936" w:rsidDel="00484CFB">
              <w:t xml:space="preserve"> </w:t>
            </w:r>
            <w:r w:rsidR="00484CFB">
              <w:rPr>
                <w:rFonts w:cs="Arial"/>
              </w:rPr>
              <w:t>‒</w:t>
            </w:r>
            <w:r w:rsidR="00484CFB" w:rsidRPr="00315936">
              <w:t xml:space="preserve"> </w:t>
            </w:r>
            <w:r w:rsidRPr="00315936">
              <w:t>motor and cognition</w:t>
            </w:r>
            <w:r w:rsidR="00484CFB">
              <w:t xml:space="preserve"> </w:t>
            </w:r>
            <w:r w:rsidR="00806742">
              <w:rPr>
                <w:rFonts w:cs="Arial"/>
              </w:rPr>
              <w:t>‒</w:t>
            </w:r>
            <w:r w:rsidRPr="00315936">
              <w:t xml:space="preserve"> each of which is assessed against a seven-point ordinal scale, where the higher the score for an item, the more independently the patient can perform the tasks assessed by that item. Total scores range from 18 to 126.</w:t>
            </w:r>
          </w:p>
          <w:p w14:paraId="6E15EF0B" w14:textId="691748FB" w:rsidR="008630DB" w:rsidRPr="00315936" w:rsidRDefault="008630DB">
            <w:pPr>
              <w:pStyle w:val="Tabletext"/>
            </w:pPr>
            <w:r w:rsidRPr="00315936">
              <w:t xml:space="preserve">A low FIM™ score is a good </w:t>
            </w:r>
            <w:r w:rsidR="00C3016B" w:rsidRPr="00315936">
              <w:t>measure</w:t>
            </w:r>
            <w:r w:rsidRPr="00315936">
              <w:t xml:space="preserve"> of need for subacute bed-based care due to reduced function.</w:t>
            </w:r>
          </w:p>
          <w:p w14:paraId="5A806E8F" w14:textId="33D0F573" w:rsidR="008630DB" w:rsidRPr="00315936" w:rsidRDefault="00D82856">
            <w:pPr>
              <w:pStyle w:val="Tabletext"/>
              <w:rPr>
                <w:lang w:eastAsia="en-AU"/>
              </w:rPr>
            </w:pPr>
            <w:r>
              <w:t xml:space="preserve">A </w:t>
            </w:r>
            <w:r w:rsidR="008630DB" w:rsidRPr="00315936">
              <w:t>higher FIM™ score may indicate that care through the Health Independence Program may be as effective in meeting the patient’s needs.</w:t>
            </w:r>
          </w:p>
        </w:tc>
      </w:tr>
      <w:tr w:rsidR="008630DB" w:rsidRPr="00315936" w14:paraId="71816516" w14:textId="77777777" w:rsidTr="00B83035">
        <w:trPr>
          <w:trHeight w:val="1406"/>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F2F804F" w14:textId="77777777" w:rsidR="008630DB" w:rsidRPr="00315936" w:rsidRDefault="008630DB">
            <w:pPr>
              <w:pStyle w:val="Tablecolhead"/>
              <w:rPr>
                <w:b w:val="0"/>
                <w:lang w:eastAsia="en-AU"/>
              </w:rPr>
            </w:pPr>
            <w:r w:rsidRPr="00315936">
              <w:rPr>
                <w:b w:val="0"/>
                <w:lang w:eastAsia="en-AU"/>
              </w:rPr>
              <w:t>Calculating performance</w:t>
            </w:r>
          </w:p>
        </w:tc>
        <w:tc>
          <w:tcPr>
            <w:tcW w:w="7514" w:type="dxa"/>
            <w:tcBorders>
              <w:left w:val="single" w:sz="4" w:space="0" w:color="FFFFFF" w:themeColor="background1"/>
            </w:tcBorders>
          </w:tcPr>
          <w:p w14:paraId="5C5A5EB1" w14:textId="77777777" w:rsidR="008630DB" w:rsidRPr="00315936" w:rsidRDefault="008630DB">
            <w:pPr>
              <w:pStyle w:val="Tabletext"/>
            </w:pPr>
            <w:r w:rsidRPr="00315936">
              <w:t>FIM™ efficiency is measured by the difference between FIM™ on discharge and FIM™ on admission divided by the number of days of the episode of care.</w:t>
            </w:r>
          </w:p>
          <w:p w14:paraId="30E237BF" w14:textId="5DBA88AD" w:rsidR="008630DB" w:rsidRPr="00315936" w:rsidRDefault="008630DB">
            <w:pPr>
              <w:pStyle w:val="Tabletext"/>
            </w:pPr>
            <w:r>
              <w:t xml:space="preserve">This </w:t>
            </w:r>
            <w:r w:rsidR="00C3016B">
              <w:t>measure</w:t>
            </w:r>
            <w:r>
              <w:t xml:space="preserve"> applies to all health services providing </w:t>
            </w:r>
            <w:r w:rsidR="00A013CF">
              <w:t xml:space="preserve">admitted rehabilitation </w:t>
            </w:r>
            <w:r>
              <w:t>care</w:t>
            </w:r>
            <w:r w:rsidR="00A013CF">
              <w:t xml:space="preserve">. </w:t>
            </w:r>
            <w:r w:rsidR="00020BC8">
              <w:t>It e</w:t>
            </w:r>
            <w:r>
              <w:t xml:space="preserve">xcludes </w:t>
            </w:r>
            <w:r w:rsidR="007C034A">
              <w:t xml:space="preserve">Geriatric Evaluation and Management care, </w:t>
            </w:r>
            <w:r>
              <w:t xml:space="preserve">palliative care, non-acute care and paediatric </w:t>
            </w:r>
            <w:r w:rsidR="00547EE5">
              <w:t>r</w:t>
            </w:r>
            <w:r>
              <w:t>ehabilitation.</w:t>
            </w:r>
          </w:p>
        </w:tc>
      </w:tr>
      <w:tr w:rsidR="008630DB" w:rsidRPr="00315936" w14:paraId="1A1887C7"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C1000DF" w14:textId="77777777" w:rsidR="008630DB" w:rsidRPr="00315936" w:rsidRDefault="008630DB">
            <w:pPr>
              <w:pStyle w:val="Tablecolhead"/>
              <w:rPr>
                <w:b w:val="0"/>
                <w:lang w:eastAsia="en-AU"/>
              </w:rPr>
            </w:pPr>
            <w:r w:rsidRPr="00315936">
              <w:rPr>
                <w:b w:val="0"/>
                <w:lang w:eastAsia="en-AU"/>
              </w:rPr>
              <w:t>Numerator</w:t>
            </w:r>
          </w:p>
        </w:tc>
        <w:tc>
          <w:tcPr>
            <w:tcW w:w="7514" w:type="dxa"/>
            <w:tcBorders>
              <w:left w:val="single" w:sz="4" w:space="0" w:color="FFFFFF" w:themeColor="background1"/>
            </w:tcBorders>
          </w:tcPr>
          <w:p w14:paraId="5CFE127F" w14:textId="77777777" w:rsidR="008630DB" w:rsidRPr="00315936" w:rsidRDefault="008630DB">
            <w:pPr>
              <w:pStyle w:val="Tabletext"/>
            </w:pPr>
            <w:r>
              <w:t>Sum of (Separation FIM Total Score minus Admission FIM Total Score) for all rehabilitation patients</w:t>
            </w:r>
          </w:p>
        </w:tc>
      </w:tr>
      <w:tr w:rsidR="008630DB" w:rsidRPr="00315936" w14:paraId="6BA8E2B5"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A1D9783" w14:textId="77777777" w:rsidR="008630DB" w:rsidRPr="00315936" w:rsidRDefault="008630DB">
            <w:pPr>
              <w:pStyle w:val="Tablecolhead"/>
              <w:rPr>
                <w:b w:val="0"/>
                <w:lang w:eastAsia="en-AU"/>
              </w:rPr>
            </w:pPr>
            <w:r w:rsidRPr="00315936">
              <w:rPr>
                <w:b w:val="0"/>
                <w:lang w:eastAsia="en-AU"/>
              </w:rPr>
              <w:t>Denominator</w:t>
            </w:r>
          </w:p>
        </w:tc>
        <w:tc>
          <w:tcPr>
            <w:tcW w:w="7514" w:type="dxa"/>
            <w:tcBorders>
              <w:left w:val="single" w:sz="4" w:space="0" w:color="FFFFFF" w:themeColor="background1"/>
            </w:tcBorders>
          </w:tcPr>
          <w:p w14:paraId="1C4A5B9A" w14:textId="77777777" w:rsidR="008630DB" w:rsidRPr="00315936" w:rsidRDefault="008630DB">
            <w:pPr>
              <w:pStyle w:val="Tabletext"/>
            </w:pPr>
            <w:r w:rsidRPr="00315936">
              <w:t>Sum of length of stay for all rehabilitation patients, excluding leave days</w:t>
            </w:r>
          </w:p>
        </w:tc>
      </w:tr>
      <w:tr w:rsidR="008630DB" w:rsidRPr="00315936" w14:paraId="3FEAECB4"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90E29B2" w14:textId="77777777" w:rsidR="008630DB" w:rsidRPr="00315936" w:rsidRDefault="008630DB">
            <w:pPr>
              <w:pStyle w:val="Tablecolhead"/>
              <w:rPr>
                <w:b w:val="0"/>
                <w:lang w:eastAsia="en-AU"/>
              </w:rPr>
            </w:pPr>
            <w:r w:rsidRPr="00315936">
              <w:rPr>
                <w:b w:val="0"/>
                <w:lang w:eastAsia="en-AU"/>
              </w:rPr>
              <w:t>Statewide target</w:t>
            </w:r>
          </w:p>
        </w:tc>
        <w:tc>
          <w:tcPr>
            <w:tcW w:w="7514" w:type="dxa"/>
            <w:tcBorders>
              <w:left w:val="single" w:sz="4" w:space="0" w:color="FFFFFF" w:themeColor="background1"/>
            </w:tcBorders>
          </w:tcPr>
          <w:p w14:paraId="3F6279E4" w14:textId="65B2B44D" w:rsidR="008630DB" w:rsidRPr="00315936" w:rsidRDefault="54BD2526">
            <w:pPr>
              <w:pStyle w:val="Tabletext"/>
            </w:pPr>
            <w:r>
              <w:t xml:space="preserve">Greater than or equal to </w:t>
            </w:r>
            <w:r w:rsidR="53789344">
              <w:t>0.645</w:t>
            </w:r>
          </w:p>
        </w:tc>
      </w:tr>
      <w:tr w:rsidR="008630DB" w:rsidRPr="00315936" w14:paraId="06D4DB4C"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E311222" w14:textId="1CFB4BE9" w:rsidR="008630DB" w:rsidRPr="00315936" w:rsidRDefault="008630DB">
            <w:pPr>
              <w:pStyle w:val="Tablecolhead"/>
              <w:rPr>
                <w:b w:val="0"/>
                <w:lang w:eastAsia="en-AU"/>
              </w:rPr>
            </w:pPr>
            <w:r w:rsidRPr="00315936">
              <w:rPr>
                <w:b w:val="0"/>
                <w:lang w:eastAsia="en-AU"/>
              </w:rPr>
              <w:t>Achieved</w:t>
            </w:r>
          </w:p>
        </w:tc>
        <w:tc>
          <w:tcPr>
            <w:tcW w:w="7514" w:type="dxa"/>
            <w:tcBorders>
              <w:left w:val="single" w:sz="4" w:space="0" w:color="FFFFFF" w:themeColor="background1"/>
            </w:tcBorders>
          </w:tcPr>
          <w:p w14:paraId="2B9178D2" w14:textId="1686CB5E" w:rsidR="008630DB" w:rsidRPr="00315936" w:rsidRDefault="00CB4370">
            <w:pPr>
              <w:pStyle w:val="Tabletext"/>
            </w:pPr>
            <w:r>
              <w:t xml:space="preserve">Greater than or </w:t>
            </w:r>
            <w:r w:rsidR="00FF7367">
              <w:t>e</w:t>
            </w:r>
            <w:r w:rsidR="008630DB" w:rsidRPr="00315936">
              <w:t>qual to 0.645</w:t>
            </w:r>
          </w:p>
        </w:tc>
      </w:tr>
      <w:tr w:rsidR="008630DB" w:rsidRPr="00315936" w14:paraId="476C8E19"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EED9F45" w14:textId="2F857EEA" w:rsidR="008630DB" w:rsidRPr="00315936" w:rsidRDefault="008630DB">
            <w:pPr>
              <w:pStyle w:val="Tablecolhead"/>
              <w:rPr>
                <w:b w:val="0"/>
                <w:lang w:eastAsia="en-AU"/>
              </w:rPr>
            </w:pPr>
            <w:r w:rsidRPr="00315936">
              <w:rPr>
                <w:b w:val="0"/>
                <w:lang w:eastAsia="en-AU"/>
              </w:rPr>
              <w:t>Not achieved</w:t>
            </w:r>
          </w:p>
        </w:tc>
        <w:tc>
          <w:tcPr>
            <w:tcW w:w="7514" w:type="dxa"/>
            <w:tcBorders>
              <w:left w:val="single" w:sz="4" w:space="0" w:color="FFFFFF" w:themeColor="background1"/>
            </w:tcBorders>
          </w:tcPr>
          <w:p w14:paraId="6D03D76E" w14:textId="369E06F4" w:rsidR="008630DB" w:rsidRPr="00315936" w:rsidRDefault="001D4BCA">
            <w:pPr>
              <w:pStyle w:val="Tabletext"/>
            </w:pPr>
            <w:r>
              <w:t xml:space="preserve">Less than </w:t>
            </w:r>
            <w:r w:rsidR="008630DB" w:rsidRPr="00315936">
              <w:t>0.645</w:t>
            </w:r>
          </w:p>
        </w:tc>
      </w:tr>
      <w:tr w:rsidR="008630DB" w:rsidRPr="00315936" w14:paraId="3EEEF916"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D73E721" w14:textId="77777777" w:rsidR="008630DB" w:rsidRPr="00315936" w:rsidRDefault="008630DB">
            <w:pPr>
              <w:pStyle w:val="Tablecolhead"/>
              <w:rPr>
                <w:b w:val="0"/>
                <w:lang w:eastAsia="en-AU"/>
              </w:rPr>
            </w:pPr>
            <w:r w:rsidRPr="00315936">
              <w:rPr>
                <w:b w:val="0"/>
                <w:lang w:eastAsia="en-AU"/>
              </w:rPr>
              <w:t>Improvement</w:t>
            </w:r>
          </w:p>
        </w:tc>
        <w:tc>
          <w:tcPr>
            <w:tcW w:w="7514" w:type="dxa"/>
            <w:tcBorders>
              <w:left w:val="single" w:sz="4" w:space="0" w:color="FFFFFF" w:themeColor="background1"/>
            </w:tcBorders>
          </w:tcPr>
          <w:p w14:paraId="2276B448" w14:textId="3C8494C2" w:rsidR="008630DB" w:rsidRPr="00315936" w:rsidRDefault="00594E41">
            <w:pPr>
              <w:pStyle w:val="Tabletext"/>
              <w:rPr>
                <w:lang w:eastAsia="en-AU"/>
              </w:rPr>
            </w:pPr>
            <w:r w:rsidRPr="00315936">
              <w:t>For the purpose of the performance risk assessment</w:t>
            </w:r>
            <w:r>
              <w:t>,</w:t>
            </w:r>
            <w:r w:rsidRPr="00315936">
              <w:t xml:space="preserve"> improvement is assessed against </w:t>
            </w:r>
            <w:r w:rsidR="00C705EE">
              <w:t>the</w:t>
            </w:r>
            <w:r w:rsidR="008630DB" w:rsidRPr="00315936">
              <w:t xml:space="preserve"> previous quarter performance.</w:t>
            </w:r>
          </w:p>
        </w:tc>
      </w:tr>
      <w:tr w:rsidR="008630DB" w:rsidRPr="00315936" w14:paraId="49F24361" w14:textId="77777777" w:rsidTr="00B83035">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0D68D0B" w14:textId="77777777" w:rsidR="008630DB" w:rsidRPr="00315936" w:rsidRDefault="008630DB">
            <w:pPr>
              <w:pStyle w:val="Tablecolhead"/>
              <w:rPr>
                <w:b w:val="0"/>
                <w:lang w:eastAsia="en-AU"/>
              </w:rPr>
            </w:pPr>
            <w:r w:rsidRPr="00315936">
              <w:rPr>
                <w:b w:val="0"/>
                <w:lang w:eastAsia="en-AU"/>
              </w:rPr>
              <w:t>Frequency of reporting and data collection</w:t>
            </w:r>
          </w:p>
        </w:tc>
        <w:tc>
          <w:tcPr>
            <w:tcW w:w="7514" w:type="dxa"/>
            <w:tcBorders>
              <w:left w:val="single" w:sz="4" w:space="0" w:color="FFFFFF" w:themeColor="background1"/>
            </w:tcBorders>
          </w:tcPr>
          <w:p w14:paraId="2328E356" w14:textId="3FB8055C" w:rsidR="00D335AF" w:rsidRPr="00315936" w:rsidRDefault="00297489">
            <w:pPr>
              <w:pStyle w:val="Tabletext"/>
            </w:pPr>
            <w:r w:rsidRPr="00315936">
              <w:t xml:space="preserve">Performance is </w:t>
            </w:r>
            <w:r w:rsidR="00244983" w:rsidRPr="00315936">
              <w:t>reported</w:t>
            </w:r>
            <w:r w:rsidR="00407560" w:rsidRPr="00315936">
              <w:t xml:space="preserve"> quarterly</w:t>
            </w:r>
            <w:r w:rsidR="00C01857" w:rsidRPr="00315936">
              <w:t xml:space="preserve"> at the health service level</w:t>
            </w:r>
            <w:r w:rsidR="00D335AF" w:rsidRPr="00315936">
              <w:t xml:space="preserve"> with a one quarter lag. </w:t>
            </w:r>
          </w:p>
          <w:p w14:paraId="71EDC6D8" w14:textId="6144270A" w:rsidR="008630DB" w:rsidRPr="00315936" w:rsidRDefault="008630DB">
            <w:pPr>
              <w:pStyle w:val="Tabletext"/>
            </w:pPr>
            <w:r w:rsidRPr="00315936">
              <w:t>Data extracted from Victorian Admitted Episodes Dataset</w:t>
            </w:r>
            <w:r w:rsidR="007155A9" w:rsidRPr="00315936">
              <w:t xml:space="preserve"> (VAED)</w:t>
            </w:r>
            <w:r w:rsidRPr="00315936">
              <w:t xml:space="preserve"> </w:t>
            </w:r>
          </w:p>
        </w:tc>
      </w:tr>
    </w:tbl>
    <w:p w14:paraId="601B9FFA" w14:textId="1ED52B1D" w:rsidR="00140581" w:rsidRPr="00315936" w:rsidRDefault="00140581" w:rsidP="00140581">
      <w:pPr>
        <w:pStyle w:val="Heading3"/>
      </w:pPr>
      <w:bookmarkStart w:id="36" w:name="_Toc1493101171"/>
      <w:r w:rsidRPr="00315936">
        <w:t>Adverse events</w:t>
      </w:r>
      <w:bookmarkEnd w:id="36"/>
    </w:p>
    <w:p w14:paraId="7A2ED356" w14:textId="7CCFC6BC" w:rsidR="0020339B" w:rsidRPr="00315936" w:rsidRDefault="004B482F" w:rsidP="008E7F78">
      <w:pPr>
        <w:pStyle w:val="Heading4"/>
        <w:rPr>
          <w:rStyle w:val="eop"/>
        </w:rPr>
      </w:pPr>
      <w:bookmarkStart w:id="37" w:name="_Toc1972397454"/>
      <w:r w:rsidRPr="00315936">
        <w:rPr>
          <w:rFonts w:eastAsia="MS Gothic"/>
        </w:rPr>
        <w:t>Percentage of reported sentinel events for which a root cause analysis (RCA) report was submitted within 30 business days from notification of the event</w:t>
      </w:r>
      <w:bookmarkEnd w:id="37"/>
      <w:r w:rsidRPr="00315936">
        <w:rPr>
          <w:rStyle w:val="eop"/>
        </w:rPr>
        <w:t> </w:t>
      </w:r>
    </w:p>
    <w:tbl>
      <w:tblPr>
        <w:tblStyle w:val="TableGrid"/>
        <w:tblW w:w="9349" w:type="dxa"/>
        <w:tblLook w:val="04A0" w:firstRow="1" w:lastRow="0" w:firstColumn="1" w:lastColumn="0" w:noHBand="0" w:noVBand="1"/>
      </w:tblPr>
      <w:tblGrid>
        <w:gridCol w:w="1837"/>
        <w:gridCol w:w="7512"/>
      </w:tblGrid>
      <w:tr w:rsidR="00A043EA" w:rsidRPr="00315936" w14:paraId="211D17B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B520034" w14:textId="77777777" w:rsidR="00A043EA" w:rsidRPr="00315936" w:rsidRDefault="00A043EA">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53DEB045" w14:textId="49EE2655" w:rsidR="00A043EA" w:rsidRPr="00315936" w:rsidRDefault="00A043EA">
            <w:pPr>
              <w:pStyle w:val="Tabletext"/>
              <w:rPr>
                <w:rStyle w:val="EndnoteReference"/>
              </w:rPr>
            </w:pPr>
            <w:r w:rsidRPr="00315936">
              <w:t>Percentage of reported sentinel events for which a root cause analysis (RCA)</w:t>
            </w:r>
            <w:r w:rsidR="00FD1C2F">
              <w:rPr>
                <w:rStyle w:val="EndnoteReference"/>
              </w:rPr>
              <w:endnoteReference w:id="7"/>
            </w:r>
            <w:r w:rsidR="00FD1C2F">
              <w:t xml:space="preserve"> </w:t>
            </w:r>
            <w:r w:rsidRPr="00315936">
              <w:t>report was submitted within 30 business days from notification of the event</w:t>
            </w:r>
            <w:r w:rsidR="00C318A5">
              <w:fldChar w:fldCharType="begin"/>
            </w:r>
            <w:r w:rsidR="00C318A5">
              <w:instrText xml:space="preserve"> NOTEREF _Ref201832379 \f \h </w:instrText>
            </w:r>
            <w:r w:rsidR="00C318A5">
              <w:fldChar w:fldCharType="separate"/>
            </w:r>
            <w:r w:rsidR="00C318A5" w:rsidRPr="000C5882">
              <w:rPr>
                <w:rStyle w:val="EndnoteReference"/>
              </w:rPr>
              <w:t>iv</w:t>
            </w:r>
            <w:r w:rsidR="00C318A5">
              <w:fldChar w:fldCharType="end"/>
            </w:r>
          </w:p>
        </w:tc>
      </w:tr>
      <w:tr w:rsidR="00A043EA" w:rsidRPr="00315936" w14:paraId="2A8178D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422A5DB" w14:textId="77777777" w:rsidR="00A043EA" w:rsidRPr="00315936" w:rsidRDefault="00A043EA">
            <w:pPr>
              <w:pStyle w:val="Tablecolhead"/>
              <w:rPr>
                <w:b w:val="0"/>
                <w:lang w:eastAsia="en-AU"/>
              </w:rPr>
            </w:pPr>
            <w:r w:rsidRPr="00315936">
              <w:rPr>
                <w:b w:val="0"/>
                <w:lang w:eastAsia="en-AU"/>
              </w:rPr>
              <w:lastRenderedPageBreak/>
              <w:t>Description </w:t>
            </w:r>
          </w:p>
        </w:tc>
        <w:tc>
          <w:tcPr>
            <w:tcW w:w="7512" w:type="dxa"/>
            <w:tcBorders>
              <w:left w:val="single" w:sz="4" w:space="0" w:color="FFFFFF" w:themeColor="background1"/>
            </w:tcBorders>
          </w:tcPr>
          <w:p w14:paraId="29774492" w14:textId="19EDF0F3" w:rsidR="00F122D2" w:rsidRPr="00315936" w:rsidRDefault="00F122D2" w:rsidP="00F122D2">
            <w:pPr>
              <w:pStyle w:val="Tabletext"/>
            </w:pPr>
            <w:r>
              <w:t xml:space="preserve">In Victoria a </w:t>
            </w:r>
            <w:r w:rsidRPr="00315936">
              <w:t xml:space="preserve"> </w:t>
            </w:r>
            <w:r>
              <w:t>‘</w:t>
            </w:r>
            <w:r w:rsidRPr="00315936">
              <w:t>sentinel event</w:t>
            </w:r>
            <w:r>
              <w:t>’ refers to</w:t>
            </w:r>
            <w:r w:rsidRPr="00315936">
              <w:t xml:space="preserve"> an </w:t>
            </w:r>
            <w:r>
              <w:t>‘</w:t>
            </w:r>
            <w:r w:rsidRPr="00315936">
              <w:t>unexpected and adverse event that occurs infrequently in a health service entity and results in the death of, or serious physical or psychological injury</w:t>
            </w:r>
            <w:r>
              <w:t xml:space="preserve"> (category 11 only)</w:t>
            </w:r>
            <w:r w:rsidRPr="00315936">
              <w:t xml:space="preserve"> to a patient as a result of system and process deficiencies at the health service entity</w:t>
            </w:r>
            <w:r>
              <w:t>.</w:t>
            </w:r>
            <w:r w:rsidR="00630ADA">
              <w:rPr>
                <w:rStyle w:val="EndnoteReference"/>
              </w:rPr>
              <w:endnoteReference w:id="8"/>
            </w:r>
            <w:r w:rsidR="00630ADA">
              <w:t xml:space="preserve"> </w:t>
            </w:r>
            <w:r w:rsidRPr="00315936">
              <w:t>This measure is a trigger for discussion regarding quality, safety and improvement in health services, as well as compliance with mandatory reporting of sentinel events.</w:t>
            </w:r>
          </w:p>
          <w:p w14:paraId="5F8E67C2" w14:textId="77777777" w:rsidR="00F122D2" w:rsidRPr="00A223F2" w:rsidRDefault="00F122D2" w:rsidP="00F122D2">
            <w:pPr>
              <w:pStyle w:val="Tabletext"/>
              <w:rPr>
                <w:rFonts w:cs="Arial"/>
              </w:rPr>
            </w:pPr>
            <w:r w:rsidRPr="00A223F2">
              <w:rPr>
                <w:rFonts w:cs="Arial"/>
              </w:rPr>
              <w:t>The sentinel event program aims to improve health service system design and delivery through shared learning from a defined range of serious adverse events (sentinel events).</w:t>
            </w:r>
          </w:p>
          <w:p w14:paraId="752F6BB1" w14:textId="77777777" w:rsidR="00F122D2" w:rsidRPr="00315936" w:rsidRDefault="00F122D2" w:rsidP="00F122D2">
            <w:pPr>
              <w:pStyle w:val="Tabletext"/>
            </w:pPr>
            <w:r w:rsidRPr="00315936">
              <w:t>Increasing numbers of sentinel events are concerning</w:t>
            </w:r>
            <w:r>
              <w:t>,</w:t>
            </w:r>
            <w:r w:rsidRPr="00315936">
              <w:t xml:space="preserve"> particularly in the context of other safety and quality risks. Very low numbers may be a sign of an under-reporting culture. Of most importance is the timeliness of the response and effectiveness of the action taken to prevent re-occurrence.</w:t>
            </w:r>
          </w:p>
          <w:p w14:paraId="37436CEC" w14:textId="0ED1BBA8" w:rsidR="00F122D2" w:rsidRPr="00315936" w:rsidRDefault="00F122D2" w:rsidP="00F122D2">
            <w:pPr>
              <w:pStyle w:val="Tabletext"/>
            </w:pPr>
            <w:r>
              <w:t>Safer Care Victoria (</w:t>
            </w:r>
            <w:r w:rsidRPr="00951045">
              <w:t>SCV</w:t>
            </w:r>
            <w:r>
              <w:t>)</w:t>
            </w:r>
            <w:r w:rsidRPr="00315936">
              <w:t xml:space="preserve"> coordinates the</w:t>
            </w:r>
            <w:r>
              <w:t xml:space="preserve"> Victorian</w:t>
            </w:r>
            <w:r w:rsidRPr="00315936">
              <w:t xml:space="preserve"> sentinel event program. All public and private health services</w:t>
            </w:r>
            <w:r>
              <w:t>, as well as the services under their governance</w:t>
            </w:r>
            <w:r w:rsidR="00501722">
              <w:rPr>
                <w:rStyle w:val="EndnoteReference"/>
              </w:rPr>
              <w:endnoteReference w:id="9"/>
            </w:r>
            <w:r w:rsidRPr="00315936">
              <w:t xml:space="preserve"> are required to notify SCV within three business days of becoming aware of a sentinel and provide a report outlining a plan to prevent recurrence. A copy of the sentinel event report must be submitted to SCV within 30 business days of the notification.</w:t>
            </w:r>
          </w:p>
          <w:p w14:paraId="5CD67633" w14:textId="30B66AE2" w:rsidR="00A043EA" w:rsidRPr="00315936" w:rsidRDefault="00F122D2" w:rsidP="00F122D2">
            <w:pPr>
              <w:pStyle w:val="Tabletext"/>
              <w:rPr>
                <w:lang w:eastAsia="en-AU"/>
              </w:rPr>
            </w:pPr>
            <w:r w:rsidRPr="00315936">
              <w:t>Under special circumstances an extension beyond 30 business days may be provided by SCV. In these instances, this measure will be assessed against the new agreed submission date</w:t>
            </w:r>
            <w:r>
              <w:t>.</w:t>
            </w:r>
          </w:p>
        </w:tc>
      </w:tr>
      <w:tr w:rsidR="00F122D2" w:rsidRPr="00315936" w14:paraId="419A39A9" w14:textId="77777777" w:rsidTr="00535D2B">
        <w:trPr>
          <w:trHeight w:val="1905"/>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405A2AD" w14:textId="77777777" w:rsidR="00F122D2" w:rsidRPr="00315936" w:rsidRDefault="00F122D2" w:rsidP="00F122D2">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0035E417" w14:textId="77777777" w:rsidR="00F122D2" w:rsidRDefault="00F122D2" w:rsidP="00F122D2">
            <w:pPr>
              <w:pStyle w:val="Tabletext"/>
            </w:pPr>
            <w:r w:rsidRPr="00315936">
              <w:t>This measure captures numbers of notifiable sentinel events for which a sentinel event report is submitted within 30 business days from notification of the event to SCV.</w:t>
            </w:r>
          </w:p>
          <w:p w14:paraId="2E7C024D" w14:textId="10767F1B" w:rsidR="00F122D2" w:rsidRDefault="00F122D2" w:rsidP="00F122D2">
            <w:pPr>
              <w:pStyle w:val="Tabletext"/>
            </w:pPr>
            <w:r>
              <w:t>Health services that do not have any sentinel even</w:t>
            </w:r>
            <w:r w:rsidR="003F155B">
              <w:t>t</w:t>
            </w:r>
            <w:r>
              <w:t xml:space="preserve"> reports due or have not submitted any sentinel event reports during the reference period will be assigned N/A for this measure.</w:t>
            </w:r>
          </w:p>
          <w:p w14:paraId="53175791" w14:textId="77777777" w:rsidR="00A3132D" w:rsidRDefault="00F122D2" w:rsidP="00F122D2">
            <w:pPr>
              <w:pStyle w:val="Tabletext"/>
            </w:pPr>
            <w:r w:rsidRPr="00315936">
              <w:t>Reportable sentinel events must meet</w:t>
            </w:r>
            <w:r>
              <w:t xml:space="preserve"> </w:t>
            </w:r>
            <w:r w:rsidRPr="00315936">
              <w:t>the criteria</w:t>
            </w:r>
            <w:r>
              <w:t xml:space="preserve"> for the Australian sentinel event (ASE) categories</w:t>
            </w:r>
            <w:r w:rsidR="007A7C8A">
              <w:t xml:space="preserve"> or</w:t>
            </w:r>
            <w:r>
              <w:t xml:space="preserve"> those that fall under the Victorian only category 11. </w:t>
            </w:r>
          </w:p>
          <w:p w14:paraId="299E867D" w14:textId="65BE5D8A" w:rsidR="00F122D2" w:rsidRPr="00315936" w:rsidRDefault="00F122D2" w:rsidP="00F122D2">
            <w:pPr>
              <w:pStyle w:val="Tabletext"/>
            </w:pPr>
            <w:r>
              <w:t xml:space="preserve">Further information regarding the sentinel events program, reporting requirements and sentinel event criteria is available via the </w:t>
            </w:r>
            <w:hyperlink r:id="rId29" w:history="1">
              <w:r w:rsidRPr="005854BC">
                <w:rPr>
                  <w:rStyle w:val="Hyperlink"/>
                </w:rPr>
                <w:t>Victorian sentinel events guide</w:t>
              </w:r>
            </w:hyperlink>
            <w:r>
              <w:t xml:space="preserve"> &lt;</w:t>
            </w:r>
            <w:r w:rsidRPr="005337E1">
              <w:t>https://www.safercare.vic.gov.au/best-practice-improvement/publications/sentinel-events-guide</w:t>
            </w:r>
            <w:r>
              <w:t>&gt;</w:t>
            </w:r>
          </w:p>
        </w:tc>
      </w:tr>
      <w:tr w:rsidR="00F122D2" w:rsidRPr="00315936" w14:paraId="6A5271E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4A2D07A" w14:textId="77777777" w:rsidR="00F122D2" w:rsidRPr="00315936" w:rsidRDefault="00F122D2" w:rsidP="00F122D2">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0524A81F" w14:textId="6933123E" w:rsidR="00F122D2" w:rsidRPr="00315936" w:rsidRDefault="00FF31E2" w:rsidP="00F122D2">
            <w:pPr>
              <w:pStyle w:val="Tabletext"/>
            </w:pPr>
            <w:r w:rsidRPr="00315936">
              <w:t xml:space="preserve">Number of sentinel event </w:t>
            </w:r>
            <w:r>
              <w:t>RCA</w:t>
            </w:r>
            <w:r w:rsidRPr="00315936">
              <w:t xml:space="preserve"> forms submitted within 30 business days.</w:t>
            </w:r>
            <w:r w:rsidRPr="00315936">
              <w:rPr>
                <w:rStyle w:val="eop"/>
                <w:rFonts w:eastAsia="MS Gothic"/>
              </w:rPr>
              <w:t> </w:t>
            </w:r>
          </w:p>
        </w:tc>
      </w:tr>
      <w:tr w:rsidR="00F122D2" w:rsidRPr="00315936" w14:paraId="506785E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7E846B7" w14:textId="77777777" w:rsidR="00F122D2" w:rsidRPr="00315936" w:rsidRDefault="00F122D2" w:rsidP="00F122D2">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1E69B253" w14:textId="44E88F5D" w:rsidR="00886A5C" w:rsidRDefault="00FF31E2" w:rsidP="00F122D2">
            <w:pPr>
              <w:pStyle w:val="Tabletext"/>
            </w:pPr>
            <w:r w:rsidRPr="00315936">
              <w:t xml:space="preserve">Number of sentinel events with </w:t>
            </w:r>
            <w:r w:rsidR="0023550B" w:rsidRPr="00315936">
              <w:t>an</w:t>
            </w:r>
            <w:r w:rsidRPr="00315936">
              <w:t xml:space="preserve"> </w:t>
            </w:r>
            <w:r>
              <w:t xml:space="preserve">RCA </w:t>
            </w:r>
            <w:r w:rsidRPr="00315936">
              <w:t>report due</w:t>
            </w:r>
            <w:r>
              <w:t xml:space="preserve"> </w:t>
            </w:r>
            <w:r w:rsidR="00D47485">
              <w:t xml:space="preserve">within </w:t>
            </w:r>
            <w:r>
              <w:t>or submitted during</w:t>
            </w:r>
            <w:r w:rsidRPr="00315936">
              <w:t xml:space="preserve"> the reporting period. </w:t>
            </w:r>
          </w:p>
          <w:p w14:paraId="24EDC33B" w14:textId="282E9728" w:rsidR="00F122D2" w:rsidRPr="00315936" w:rsidRDefault="00FF31E2" w:rsidP="00F122D2">
            <w:pPr>
              <w:pStyle w:val="Tabletext"/>
            </w:pPr>
            <w:r w:rsidRPr="00315936">
              <w:t>Exclusions: sentinel events with a ‘withdrawn’ flag</w:t>
            </w:r>
            <w:r w:rsidRPr="00315936">
              <w:rPr>
                <w:rStyle w:val="eop"/>
                <w:rFonts w:eastAsia="MS Gothic"/>
              </w:rPr>
              <w:t> </w:t>
            </w:r>
          </w:p>
        </w:tc>
      </w:tr>
      <w:tr w:rsidR="00F122D2" w:rsidRPr="00315936" w14:paraId="7AD18E7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E87BB3E" w14:textId="77777777" w:rsidR="00F122D2" w:rsidRPr="00315936" w:rsidRDefault="00F122D2" w:rsidP="00F122D2">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2826FD56" w14:textId="78314853" w:rsidR="00F122D2" w:rsidRPr="00315936" w:rsidRDefault="00FF31E2" w:rsidP="00F122D2">
            <w:pPr>
              <w:pStyle w:val="Tabletext"/>
            </w:pPr>
            <w:r w:rsidRPr="00315936">
              <w:t>All</w:t>
            </w:r>
            <w:r w:rsidRPr="00315936" w:rsidDel="00272C95">
              <w:t xml:space="preserve"> </w:t>
            </w:r>
            <w:r w:rsidRPr="00315936">
              <w:t>sentinel event reports submitted within 30</w:t>
            </w:r>
            <w:r>
              <w:t xml:space="preserve"> </w:t>
            </w:r>
            <w:r w:rsidRPr="00315936">
              <w:t>business day</w:t>
            </w:r>
            <w:r>
              <w:t>s</w:t>
            </w:r>
          </w:p>
        </w:tc>
      </w:tr>
      <w:tr w:rsidR="00F122D2" w:rsidRPr="00315936" w14:paraId="5671120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453CE0A" w14:textId="77777777" w:rsidR="00F122D2" w:rsidRPr="00315936" w:rsidRDefault="00F122D2" w:rsidP="00F122D2">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2E1428E1" w14:textId="15B0821B" w:rsidR="00F122D2" w:rsidRPr="00315936" w:rsidRDefault="00FF31E2" w:rsidP="00F122D2">
            <w:pPr>
              <w:pStyle w:val="Tabletext"/>
            </w:pPr>
            <w:r w:rsidRPr="00315936">
              <w:t>All</w:t>
            </w:r>
            <w:r w:rsidRPr="00315936" w:rsidDel="00272C95">
              <w:t xml:space="preserve"> </w:t>
            </w:r>
            <w:r w:rsidRPr="00315936">
              <w:t>sentinel event reports submitted within 30 business days</w:t>
            </w:r>
          </w:p>
        </w:tc>
      </w:tr>
      <w:tr w:rsidR="00F122D2" w:rsidRPr="00315936" w14:paraId="1A3EB704"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ACCC180" w14:textId="77777777" w:rsidR="00F122D2" w:rsidRPr="00315936" w:rsidRDefault="00F122D2" w:rsidP="00F122D2">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2C281F1F" w14:textId="2F7BF34B" w:rsidR="00F122D2" w:rsidRPr="00315936" w:rsidRDefault="00FF31E2" w:rsidP="00F122D2">
            <w:pPr>
              <w:pStyle w:val="Tabletext"/>
            </w:pPr>
            <w:r>
              <w:t>At least one s</w:t>
            </w:r>
            <w:r w:rsidRPr="00315936">
              <w:t>entinel event report not submitted within 30 business days</w:t>
            </w:r>
          </w:p>
        </w:tc>
      </w:tr>
      <w:tr w:rsidR="00F122D2" w:rsidRPr="00315936" w14:paraId="2C5AF82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2FFC441" w14:textId="77777777" w:rsidR="00F122D2" w:rsidRPr="00315936" w:rsidRDefault="00F122D2" w:rsidP="00F122D2">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5918ED78" w14:textId="4131418A" w:rsidR="00F122D2" w:rsidRPr="00315936" w:rsidRDefault="00FF31E2" w:rsidP="00F122D2">
            <w:pPr>
              <w:pStyle w:val="Tabletext"/>
              <w:rPr>
                <w:lang w:eastAsia="en-AU"/>
              </w:rPr>
            </w:pPr>
            <w:r w:rsidRPr="00315936">
              <w:t>For the purpose of the performance risk assessment</w:t>
            </w:r>
            <w:r>
              <w:t>,</w:t>
            </w:r>
            <w:r w:rsidRPr="00315936">
              <w:t xml:space="preserve"> improvement is assessed against the previous quarter performance. </w:t>
            </w:r>
          </w:p>
        </w:tc>
      </w:tr>
      <w:tr w:rsidR="00F122D2" w:rsidRPr="00315936" w14:paraId="378CFE4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8EF992F" w14:textId="77777777" w:rsidR="00F122D2" w:rsidRPr="00315936" w:rsidRDefault="00F122D2" w:rsidP="00F122D2">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24785621" w14:textId="19AC14F1" w:rsidR="00F122D2" w:rsidRPr="00315936" w:rsidRDefault="00FF31E2" w:rsidP="00F122D2">
            <w:pPr>
              <w:pStyle w:val="Tabletext"/>
            </w:pPr>
            <w:r w:rsidRPr="00315936">
              <w:t>Performance is reported quarterly and annually at the health service level</w:t>
            </w:r>
            <w:r>
              <w:t>.</w:t>
            </w:r>
            <w:r w:rsidRPr="00315936">
              <w:t xml:space="preserve"> Data are sourced from the SCV Sentinel event data collection</w:t>
            </w:r>
            <w:r>
              <w:t>.</w:t>
            </w:r>
            <w:r w:rsidRPr="00315936">
              <w:t xml:space="preserve"> </w:t>
            </w:r>
          </w:p>
        </w:tc>
      </w:tr>
    </w:tbl>
    <w:p w14:paraId="69BDAD10" w14:textId="2CA52CA9" w:rsidR="00140581" w:rsidRPr="00315936" w:rsidRDefault="00140581" w:rsidP="00140581">
      <w:pPr>
        <w:pStyle w:val="Heading3"/>
      </w:pPr>
      <w:bookmarkStart w:id="38" w:name="_Toc1181875896"/>
      <w:r w:rsidRPr="00315936">
        <w:lastRenderedPageBreak/>
        <w:t>Aged care</w:t>
      </w:r>
      <w:bookmarkEnd w:id="38"/>
    </w:p>
    <w:p w14:paraId="062CEADB" w14:textId="171A1E96" w:rsidR="00AF49AE" w:rsidRPr="00315936" w:rsidRDefault="00064B39" w:rsidP="008E7F78">
      <w:pPr>
        <w:pStyle w:val="Heading4"/>
      </w:pPr>
      <w:bookmarkStart w:id="39" w:name="_Toc114793895"/>
      <w:r w:rsidRPr="2ECFC544">
        <w:rPr>
          <w:lang w:eastAsia="en-AU"/>
        </w:rPr>
        <w:t>Public Sector Residential Aged Care Services (</w:t>
      </w:r>
      <w:r w:rsidR="0020339B">
        <w:t>PSRACS</w:t>
      </w:r>
      <w:r>
        <w:t>)</w:t>
      </w:r>
      <w:r w:rsidR="0020339B">
        <w:t xml:space="preserve"> overall</w:t>
      </w:r>
      <w:r w:rsidR="20075970">
        <w:t xml:space="preserve"> star</w:t>
      </w:r>
      <w:r w:rsidR="0020339B">
        <w:t xml:space="preserve"> rating</w:t>
      </w:r>
      <w:bookmarkEnd w:id="39"/>
    </w:p>
    <w:tbl>
      <w:tblPr>
        <w:tblW w:w="934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37"/>
        <w:gridCol w:w="7512"/>
      </w:tblGrid>
      <w:tr w:rsidR="00D82522" w:rsidRPr="00315936" w14:paraId="06D00892"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hideMark/>
          </w:tcPr>
          <w:p w14:paraId="55CFF87A" w14:textId="29D0524B" w:rsidR="00D82522" w:rsidRPr="00315936" w:rsidRDefault="00C3016B" w:rsidP="001A453F">
            <w:pPr>
              <w:pStyle w:val="Tablecolhead"/>
              <w:keepNext/>
              <w:rPr>
                <w:rFonts w:ascii="Segoe UI" w:hAnsi="Segoe UI" w:cs="Segoe UI"/>
                <w:b w:val="0"/>
                <w:sz w:val="18"/>
                <w:szCs w:val="18"/>
                <w:lang w:val="en-US" w:eastAsia="en-AU"/>
              </w:rPr>
            </w:pPr>
            <w:r w:rsidRPr="00315936">
              <w:rPr>
                <w:b w:val="0"/>
                <w:lang w:eastAsia="en-AU"/>
              </w:rPr>
              <w:t>Measure</w:t>
            </w:r>
            <w:r w:rsidR="00D82522" w:rsidRPr="00315936">
              <w:rPr>
                <w:b w:val="0"/>
                <w:lang w:val="en-US" w:eastAsia="en-AU"/>
              </w:rPr>
              <w:t> </w:t>
            </w:r>
          </w:p>
        </w:tc>
        <w:tc>
          <w:tcPr>
            <w:tcW w:w="7512" w:type="dxa"/>
            <w:tcBorders>
              <w:top w:val="single" w:sz="6" w:space="0" w:color="auto"/>
              <w:left w:val="single" w:sz="6" w:space="0" w:color="000000" w:themeColor="text1"/>
              <w:bottom w:val="single" w:sz="6" w:space="0" w:color="000000" w:themeColor="text1"/>
              <w:right w:val="single" w:sz="6" w:space="0" w:color="auto"/>
            </w:tcBorders>
            <w:hideMark/>
          </w:tcPr>
          <w:p w14:paraId="267C3A29" w14:textId="27966C64" w:rsidR="00D82522" w:rsidRPr="00315936" w:rsidRDefault="00064B39" w:rsidP="2ECFC544">
            <w:pPr>
              <w:pStyle w:val="Tabletext"/>
              <w:keepNext/>
              <w:rPr>
                <w:lang w:val="en-US" w:eastAsia="en-AU"/>
              </w:rPr>
            </w:pPr>
            <w:r w:rsidRPr="2ECFC544">
              <w:rPr>
                <w:lang w:eastAsia="en-AU"/>
              </w:rPr>
              <w:t>Public Sector Residential Aged Care Services (</w:t>
            </w:r>
            <w:r w:rsidR="2E9B8190" w:rsidRPr="2ECFC544">
              <w:rPr>
                <w:lang w:eastAsia="en-AU"/>
              </w:rPr>
              <w:t>PSRACS</w:t>
            </w:r>
            <w:r w:rsidRPr="2ECFC544">
              <w:rPr>
                <w:lang w:eastAsia="en-AU"/>
              </w:rPr>
              <w:t>)</w:t>
            </w:r>
            <w:r w:rsidR="2E9B8190" w:rsidRPr="2ECFC544">
              <w:rPr>
                <w:lang w:eastAsia="en-AU"/>
              </w:rPr>
              <w:t xml:space="preserve"> overall star rating</w:t>
            </w:r>
          </w:p>
        </w:tc>
      </w:tr>
      <w:tr w:rsidR="00D82522" w:rsidRPr="00315936" w14:paraId="38C6492C"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hideMark/>
          </w:tcPr>
          <w:p w14:paraId="75E57C10" w14:textId="77777777" w:rsidR="00D82522" w:rsidRPr="00315936" w:rsidRDefault="00D82522" w:rsidP="001A453F">
            <w:pPr>
              <w:pStyle w:val="Tablecolhead"/>
              <w:keepNext/>
              <w:rPr>
                <w:rFonts w:ascii="Segoe UI" w:hAnsi="Segoe UI" w:cs="Segoe UI"/>
                <w:b w:val="0"/>
                <w:sz w:val="18"/>
                <w:szCs w:val="18"/>
                <w:lang w:val="en-US" w:eastAsia="en-AU"/>
              </w:rPr>
            </w:pPr>
            <w:r w:rsidRPr="00315936">
              <w:rPr>
                <w:b w:val="0"/>
                <w:lang w:eastAsia="en-AU"/>
              </w:rPr>
              <w:t>Description </w:t>
            </w:r>
            <w:r w:rsidRPr="00315936">
              <w:rPr>
                <w:b w:val="0"/>
                <w:lang w:val="en-US" w:eastAsia="en-AU"/>
              </w:rPr>
              <w:t> </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hideMark/>
          </w:tcPr>
          <w:p w14:paraId="7FD56666" w14:textId="0A7925AC" w:rsidR="00D82522" w:rsidRPr="00315936" w:rsidRDefault="00082A5C" w:rsidP="001A453F">
            <w:pPr>
              <w:pStyle w:val="Tabletext"/>
              <w:keepNext/>
              <w:rPr>
                <w:rFonts w:ascii="Segoe UI" w:hAnsi="Segoe UI" w:cs="Segoe UI"/>
                <w:sz w:val="18"/>
                <w:szCs w:val="18"/>
                <w:lang w:val="en-US" w:eastAsia="en-AU"/>
              </w:rPr>
            </w:pPr>
            <w:r w:rsidRPr="00315936">
              <w:rPr>
                <w:lang w:eastAsia="en-AU"/>
              </w:rPr>
              <w:t>PSRACS</w:t>
            </w:r>
            <w:r w:rsidRPr="00315936">
              <w:rPr>
                <w:rFonts w:cstheme="minorHAnsi"/>
              </w:rPr>
              <w:t xml:space="preserve"> </w:t>
            </w:r>
            <w:r w:rsidR="00C40F0E" w:rsidRPr="00315936">
              <w:rPr>
                <w:rFonts w:cstheme="minorHAnsi"/>
              </w:rPr>
              <w:t xml:space="preserve">Star Ratings for residential aged care </w:t>
            </w:r>
            <w:r w:rsidR="00472239">
              <w:rPr>
                <w:rFonts w:cstheme="minorHAnsi"/>
              </w:rPr>
              <w:t>were</w:t>
            </w:r>
            <w:r w:rsidR="00472239" w:rsidRPr="00315936">
              <w:rPr>
                <w:rFonts w:cstheme="minorHAnsi"/>
              </w:rPr>
              <w:t xml:space="preserve"> </w:t>
            </w:r>
            <w:r w:rsidR="00C40F0E" w:rsidRPr="00315936">
              <w:rPr>
                <w:rFonts w:cstheme="minorHAnsi"/>
              </w:rPr>
              <w:t>introduced by the Australian Government in response to recommendations from the Royal Commission into Aged Care Quality and Safety.</w:t>
            </w:r>
            <w:r w:rsidR="00C40F0E" w:rsidRPr="00315936" w:rsidDel="00472239">
              <w:rPr>
                <w:lang w:eastAsia="en-AU"/>
              </w:rPr>
              <w:t xml:space="preserve"> </w:t>
            </w:r>
            <w:r w:rsidRPr="00315936">
              <w:rPr>
                <w:lang w:eastAsia="en-AU"/>
              </w:rPr>
              <w:t>They</w:t>
            </w:r>
            <w:r w:rsidR="00D82522" w:rsidRPr="00315936">
              <w:rPr>
                <w:lang w:eastAsia="en-AU"/>
              </w:rPr>
              <w:t xml:space="preserve"> provide information about a provider’s quality of care and how they compare to others. The overall rating is based on a provider’s performance across four key areas of compliance, quality measures, resident</w:t>
            </w:r>
            <w:r w:rsidR="00A64BF6" w:rsidRPr="00315936">
              <w:rPr>
                <w:lang w:eastAsia="en-AU"/>
              </w:rPr>
              <w:t>’s</w:t>
            </w:r>
            <w:r w:rsidR="00D82522" w:rsidRPr="00315936">
              <w:rPr>
                <w:lang w:eastAsia="en-AU"/>
              </w:rPr>
              <w:t xml:space="preserve"> experience</w:t>
            </w:r>
            <w:r w:rsidR="00472239">
              <w:rPr>
                <w:lang w:eastAsia="en-AU"/>
              </w:rPr>
              <w:t>,</w:t>
            </w:r>
            <w:r w:rsidR="00D82522" w:rsidRPr="00315936">
              <w:rPr>
                <w:lang w:eastAsia="en-AU"/>
              </w:rPr>
              <w:t xml:space="preserve"> and staffing. </w:t>
            </w:r>
            <w:r w:rsidR="00D82522" w:rsidRPr="00315936">
              <w:rPr>
                <w:lang w:val="en-US" w:eastAsia="en-AU"/>
              </w:rPr>
              <w:t> </w:t>
            </w:r>
          </w:p>
        </w:tc>
      </w:tr>
      <w:tr w:rsidR="00D82522" w:rsidRPr="00315936" w14:paraId="308A5390"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hideMark/>
          </w:tcPr>
          <w:p w14:paraId="29F1E90A" w14:textId="77777777" w:rsidR="00D82522" w:rsidRPr="00315936" w:rsidRDefault="00D82522">
            <w:pPr>
              <w:pStyle w:val="Tablecolhead"/>
              <w:rPr>
                <w:rFonts w:ascii="Segoe UI" w:hAnsi="Segoe UI" w:cs="Segoe UI"/>
                <w:b w:val="0"/>
                <w:sz w:val="18"/>
                <w:szCs w:val="18"/>
                <w:lang w:val="en-US" w:eastAsia="en-AU"/>
              </w:rPr>
            </w:pPr>
            <w:r w:rsidRPr="00315936">
              <w:rPr>
                <w:b w:val="0"/>
                <w:lang w:eastAsia="en-AU"/>
              </w:rPr>
              <w:t>Calculating performance</w:t>
            </w:r>
            <w:r w:rsidRPr="00315936">
              <w:rPr>
                <w:b w:val="0"/>
                <w:lang w:val="en-US" w:eastAsia="en-AU"/>
              </w:rPr>
              <w:t> </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hideMark/>
          </w:tcPr>
          <w:p w14:paraId="7B2425D8" w14:textId="77777777" w:rsidR="00050A38" w:rsidRDefault="00050A38">
            <w:pPr>
              <w:pStyle w:val="Tabletext"/>
              <w:rPr>
                <w:rFonts w:eastAsia="Arial" w:cs="Arial"/>
                <w:szCs w:val="21"/>
                <w:lang w:val="en-US"/>
              </w:rPr>
            </w:pPr>
            <w:r w:rsidRPr="2ECFC544">
              <w:rPr>
                <w:rFonts w:eastAsia="Arial" w:cs="Arial"/>
                <w:szCs w:val="21"/>
                <w:lang w:val="en-US"/>
              </w:rPr>
              <w:t>This measure is calculated as the percentage of facilities managed by a Health Service with an overall rating of 3 or above</w:t>
            </w:r>
            <w:r>
              <w:rPr>
                <w:rFonts w:eastAsia="Arial" w:cs="Arial"/>
                <w:szCs w:val="21"/>
                <w:lang w:val="en-US"/>
              </w:rPr>
              <w:t>.</w:t>
            </w:r>
          </w:p>
          <w:p w14:paraId="4085E61F" w14:textId="432DAFA3" w:rsidR="00D82522" w:rsidRPr="00315936" w:rsidRDefault="2E9B8190">
            <w:pPr>
              <w:pStyle w:val="Tabletext"/>
              <w:rPr>
                <w:rFonts w:ascii="Segoe UI" w:hAnsi="Segoe UI" w:cs="Segoe UI"/>
                <w:sz w:val="18"/>
                <w:szCs w:val="18"/>
                <w:lang w:val="en-US" w:eastAsia="en-AU"/>
              </w:rPr>
            </w:pPr>
            <w:r w:rsidRPr="2ECFC544">
              <w:rPr>
                <w:lang w:eastAsia="en-AU"/>
              </w:rPr>
              <w:t>The overall star rating is derived from weighting applied to each sub-category (compliance, quality measures, resident</w:t>
            </w:r>
            <w:r w:rsidR="5E3AA685" w:rsidRPr="2ECFC544">
              <w:rPr>
                <w:lang w:eastAsia="en-AU"/>
              </w:rPr>
              <w:t>’</w:t>
            </w:r>
            <w:r w:rsidRPr="2ECFC544">
              <w:rPr>
                <w:lang w:eastAsia="en-AU"/>
              </w:rPr>
              <w:t>s experience and staffing) rating.</w:t>
            </w:r>
            <w:r w:rsidRPr="2ECFC544">
              <w:rPr>
                <w:lang w:val="en-US" w:eastAsia="en-AU"/>
              </w:rPr>
              <w:t> </w:t>
            </w:r>
          </w:p>
          <w:p w14:paraId="2DE6983D" w14:textId="413994C4" w:rsidR="00050A38" w:rsidRDefault="00A6408F">
            <w:pPr>
              <w:pStyle w:val="Tabletext"/>
              <w:rPr>
                <w:lang w:eastAsia="en-AU"/>
              </w:rPr>
            </w:pPr>
            <w:r>
              <w:rPr>
                <w:lang w:eastAsia="en-AU"/>
              </w:rPr>
              <w:t>Includes</w:t>
            </w:r>
            <w:r w:rsidR="00050A38" w:rsidRPr="2ECFC544">
              <w:rPr>
                <w:lang w:eastAsia="en-AU"/>
              </w:rPr>
              <w:t xml:space="preserve"> all PSRACS, except National Aboriginal and Torres Strait Islander Flexible Aged Care program services, Multi-Purpose Services or for aged care provided in the home, as all required data </w:t>
            </w:r>
            <w:r w:rsidR="00050A38">
              <w:rPr>
                <w:lang w:eastAsia="en-AU"/>
              </w:rPr>
              <w:t>are</w:t>
            </w:r>
            <w:r w:rsidR="00050A38" w:rsidRPr="2ECFC544">
              <w:rPr>
                <w:lang w:eastAsia="en-AU"/>
              </w:rPr>
              <w:t xml:space="preserve"> not currently reported by these service types</w:t>
            </w:r>
          </w:p>
          <w:p w14:paraId="0172EA12" w14:textId="30AC6499" w:rsidR="00D82522" w:rsidRPr="00315936" w:rsidRDefault="2E9B8190" w:rsidP="007B1F13">
            <w:pPr>
              <w:pStyle w:val="Tabletext"/>
              <w:rPr>
                <w:lang w:val="en-US"/>
              </w:rPr>
            </w:pPr>
            <w:r w:rsidRPr="2ECFC544">
              <w:rPr>
                <w:lang w:eastAsia="en-AU"/>
              </w:rPr>
              <w:t xml:space="preserve">For detailed information on the calculation of the overall star rating please refer to the </w:t>
            </w:r>
            <w:hyperlink r:id="rId30">
              <w:r w:rsidRPr="2ECFC544">
                <w:rPr>
                  <w:color w:val="467886"/>
                  <w:u w:val="single"/>
                  <w:lang w:eastAsia="en-AU"/>
                </w:rPr>
                <w:t>Department of Health and Aged Care – Star Ratings Provider</w:t>
              </w:r>
              <w:r w:rsidR="7323243B" w:rsidRPr="2ECFC544">
                <w:rPr>
                  <w:color w:val="467886"/>
                  <w:u w:val="single"/>
                  <w:lang w:eastAsia="en-AU"/>
                </w:rPr>
                <w:t xml:space="preserve"> M</w:t>
              </w:r>
              <w:r w:rsidRPr="2ECFC544">
                <w:rPr>
                  <w:color w:val="467886"/>
                  <w:u w:val="single"/>
                  <w:lang w:eastAsia="en-AU"/>
                </w:rPr>
                <w:t>anual</w:t>
              </w:r>
            </w:hyperlink>
            <w:r w:rsidR="36F47F13" w:rsidRPr="2ECFC544">
              <w:rPr>
                <w:lang w:val="en-US" w:eastAsia="en-AU"/>
              </w:rPr>
              <w:t xml:space="preserve"> </w:t>
            </w:r>
            <w:r w:rsidR="00A5103A">
              <w:rPr>
                <w:lang w:eastAsia="en-AU"/>
              </w:rPr>
              <w:t xml:space="preserve"> </w:t>
            </w:r>
            <w:r w:rsidR="31767CE1" w:rsidRPr="2ECFC544">
              <w:rPr>
                <w:lang w:eastAsia="en-AU"/>
              </w:rPr>
              <w:t>&lt;https://www.health.gov.au/resources/publications/star-ratings-provider-manual?language=en&gt;</w:t>
            </w:r>
            <w:r w:rsidR="6ADD6CD8" w:rsidRPr="2ECFC544">
              <w:rPr>
                <w:lang w:eastAsia="en-AU"/>
              </w:rPr>
              <w:t>.</w:t>
            </w:r>
          </w:p>
        </w:tc>
      </w:tr>
      <w:tr w:rsidR="00D82522" w:rsidRPr="00315936" w14:paraId="52C8186F"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hideMark/>
          </w:tcPr>
          <w:p w14:paraId="45B4766F" w14:textId="77777777" w:rsidR="00D82522" w:rsidRPr="00315936" w:rsidRDefault="00D82522">
            <w:pPr>
              <w:pStyle w:val="Tablecolhead"/>
              <w:rPr>
                <w:rFonts w:ascii="Segoe UI" w:hAnsi="Segoe UI" w:cs="Segoe UI"/>
                <w:b w:val="0"/>
                <w:sz w:val="18"/>
                <w:szCs w:val="18"/>
                <w:lang w:val="en-US" w:eastAsia="en-AU"/>
              </w:rPr>
            </w:pPr>
            <w:r w:rsidRPr="26325B93">
              <w:rPr>
                <w:b w:val="0"/>
                <w:lang w:eastAsia="en-AU"/>
              </w:rPr>
              <w:t>Numerator</w:t>
            </w:r>
            <w:r w:rsidRPr="26325B93">
              <w:rPr>
                <w:b w:val="0"/>
                <w:lang w:val="en-US" w:eastAsia="en-AU"/>
              </w:rPr>
              <w:t> </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hideMark/>
          </w:tcPr>
          <w:p w14:paraId="37304B5E" w14:textId="592014B9" w:rsidR="00D82522" w:rsidRPr="00315936" w:rsidRDefault="543CEA82" w:rsidP="2ECFC544">
            <w:pPr>
              <w:spacing w:before="80" w:after="60" w:line="279" w:lineRule="auto"/>
              <w:rPr>
                <w:lang w:val="en-US"/>
              </w:rPr>
            </w:pPr>
            <w:r w:rsidRPr="2ECFC544">
              <w:rPr>
                <w:rFonts w:eastAsia="Arial" w:cs="Arial"/>
                <w:szCs w:val="21"/>
              </w:rPr>
              <w:t xml:space="preserve">Total number of facilities with an </w:t>
            </w:r>
            <w:r w:rsidRPr="2ECFC544">
              <w:rPr>
                <w:rFonts w:eastAsia="Arial" w:cs="Arial"/>
                <w:color w:val="000000" w:themeColor="text1"/>
                <w:szCs w:val="21"/>
              </w:rPr>
              <w:t>overall star rating of 3 or above</w:t>
            </w:r>
            <w:r w:rsidRPr="2ECFC544">
              <w:rPr>
                <w:rFonts w:eastAsia="Arial" w:cs="Arial"/>
                <w:color w:val="000000" w:themeColor="text1"/>
                <w:szCs w:val="21"/>
                <w:lang w:val="en-US"/>
              </w:rPr>
              <w:t> </w:t>
            </w:r>
          </w:p>
        </w:tc>
      </w:tr>
      <w:tr w:rsidR="00D82522" w:rsidRPr="00315936" w14:paraId="0E988183"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hideMark/>
          </w:tcPr>
          <w:p w14:paraId="615E3882" w14:textId="77777777" w:rsidR="00D82522" w:rsidRPr="00315936" w:rsidRDefault="00D82522">
            <w:pPr>
              <w:pStyle w:val="Tablecolhead"/>
              <w:rPr>
                <w:rFonts w:ascii="Segoe UI" w:hAnsi="Segoe UI" w:cs="Segoe UI"/>
                <w:b w:val="0"/>
                <w:sz w:val="18"/>
                <w:szCs w:val="18"/>
                <w:lang w:val="en-US" w:eastAsia="en-AU"/>
              </w:rPr>
            </w:pPr>
            <w:r w:rsidRPr="00315936">
              <w:rPr>
                <w:b w:val="0"/>
                <w:lang w:eastAsia="en-AU"/>
              </w:rPr>
              <w:t>Denominator</w:t>
            </w:r>
            <w:r w:rsidRPr="00315936">
              <w:rPr>
                <w:b w:val="0"/>
                <w:lang w:val="en-US" w:eastAsia="en-AU"/>
              </w:rPr>
              <w:t> </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hideMark/>
          </w:tcPr>
          <w:p w14:paraId="76AAB96D" w14:textId="10AC69C8" w:rsidR="00D82522" w:rsidRPr="00315936" w:rsidRDefault="0818DCB4" w:rsidP="007B1F13">
            <w:pPr>
              <w:spacing w:before="80" w:after="60" w:line="279" w:lineRule="auto"/>
              <w:rPr>
                <w:lang w:val="en-US" w:eastAsia="en-AU"/>
              </w:rPr>
            </w:pPr>
            <w:r w:rsidRPr="2ECFC544">
              <w:rPr>
                <w:rFonts w:eastAsia="Arial" w:cs="Arial"/>
                <w:szCs w:val="21"/>
              </w:rPr>
              <w:t>Total number of facilities</w:t>
            </w:r>
          </w:p>
        </w:tc>
      </w:tr>
      <w:tr w:rsidR="00D82522" w:rsidRPr="00315936" w14:paraId="23DEAA5B" w14:textId="77777777" w:rsidTr="00535D2B">
        <w:trPr>
          <w:trHeight w:val="51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hideMark/>
          </w:tcPr>
          <w:p w14:paraId="0BAD3C42" w14:textId="77777777" w:rsidR="00D82522" w:rsidRPr="00315936" w:rsidRDefault="00D82522">
            <w:pPr>
              <w:pStyle w:val="Tablecolhead"/>
              <w:rPr>
                <w:rFonts w:ascii="Segoe UI" w:hAnsi="Segoe UI" w:cs="Segoe UI"/>
                <w:b w:val="0"/>
                <w:sz w:val="18"/>
                <w:szCs w:val="18"/>
                <w:lang w:val="en-US" w:eastAsia="en-AU"/>
              </w:rPr>
            </w:pPr>
            <w:r w:rsidRPr="00315936">
              <w:rPr>
                <w:b w:val="0"/>
                <w:lang w:eastAsia="en-AU"/>
              </w:rPr>
              <w:t>Statewide target</w:t>
            </w:r>
            <w:r w:rsidRPr="00315936">
              <w:rPr>
                <w:b w:val="0"/>
                <w:lang w:val="en-US" w:eastAsia="en-AU"/>
              </w:rPr>
              <w:t> </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hideMark/>
          </w:tcPr>
          <w:p w14:paraId="0FED7643" w14:textId="565407AC" w:rsidR="00D82522" w:rsidRPr="00315936" w:rsidRDefault="0B9C9F87" w:rsidP="2ECFC544">
            <w:pPr>
              <w:spacing w:before="80" w:after="60" w:line="279" w:lineRule="auto"/>
            </w:pPr>
            <w:r w:rsidRPr="2ECFC544">
              <w:rPr>
                <w:rFonts w:eastAsia="Arial" w:cs="Arial"/>
                <w:color w:val="000000" w:themeColor="text1"/>
                <w:szCs w:val="21"/>
                <w:lang w:val="en-US"/>
              </w:rPr>
              <w:t>100 per cent of facilities with an overall star rating of 3 or above</w:t>
            </w:r>
            <w:r w:rsidRPr="2ECFC544">
              <w:t xml:space="preserve"> </w:t>
            </w:r>
          </w:p>
        </w:tc>
      </w:tr>
      <w:tr w:rsidR="00D82522" w:rsidRPr="00315936" w14:paraId="782731E5"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277BBE3" w14:textId="6EFD6428" w:rsidR="00D82522" w:rsidRPr="00315936" w:rsidRDefault="00D82522">
            <w:pPr>
              <w:pStyle w:val="Tablecolhead"/>
              <w:rPr>
                <w:b w:val="0"/>
                <w:lang w:eastAsia="en-AU"/>
              </w:rPr>
            </w:pPr>
            <w:r w:rsidRPr="00315936">
              <w:rPr>
                <w:b w:val="0"/>
                <w:lang w:eastAsia="en-AU"/>
              </w:rPr>
              <w:t>Achieved</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tcPr>
          <w:p w14:paraId="366FC00B" w14:textId="69A1D12B" w:rsidR="00D82522" w:rsidRPr="00315936" w:rsidRDefault="3A5E8D70" w:rsidP="2ECFC544">
            <w:pPr>
              <w:pStyle w:val="Tabletext"/>
              <w:spacing w:line="259" w:lineRule="auto"/>
              <w:rPr>
                <w:lang w:eastAsia="en-AU"/>
              </w:rPr>
            </w:pPr>
            <w:r w:rsidRPr="2ECFC544">
              <w:rPr>
                <w:lang w:eastAsia="en-AU"/>
              </w:rPr>
              <w:t>100</w:t>
            </w:r>
            <w:r w:rsidR="00791B2A">
              <w:rPr>
                <w:lang w:eastAsia="en-AU"/>
              </w:rPr>
              <w:t xml:space="preserve"> per cent</w:t>
            </w:r>
          </w:p>
        </w:tc>
      </w:tr>
      <w:tr w:rsidR="00D82522" w:rsidRPr="00315936" w14:paraId="18C0651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2B21E79" w14:textId="2C492D0D" w:rsidR="00D82522" w:rsidRPr="00315936" w:rsidRDefault="00D82522">
            <w:pPr>
              <w:pStyle w:val="Tablecolhead"/>
              <w:rPr>
                <w:b w:val="0"/>
                <w:lang w:eastAsia="en-AU"/>
              </w:rPr>
            </w:pPr>
            <w:r w:rsidRPr="00315936">
              <w:rPr>
                <w:b w:val="0"/>
                <w:lang w:eastAsia="en-AU"/>
              </w:rPr>
              <w:t>Not achieved</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tcPr>
          <w:p w14:paraId="5647BA3C" w14:textId="0E2CB604" w:rsidR="00D82522" w:rsidRPr="00315936" w:rsidRDefault="00FB4C53" w:rsidP="2ECFC544">
            <w:pPr>
              <w:pStyle w:val="Tabletext"/>
              <w:rPr>
                <w:lang w:val="en-US" w:eastAsia="en-AU"/>
              </w:rPr>
            </w:pPr>
            <w:r>
              <w:rPr>
                <w:lang w:eastAsia="en-AU"/>
              </w:rPr>
              <w:t xml:space="preserve">Less than </w:t>
            </w:r>
            <w:r w:rsidR="5529F68A" w:rsidRPr="2ECFC544">
              <w:rPr>
                <w:lang w:eastAsia="en-AU"/>
              </w:rPr>
              <w:t>100</w:t>
            </w:r>
            <w:r w:rsidR="00791B2A">
              <w:rPr>
                <w:lang w:eastAsia="en-AU"/>
              </w:rPr>
              <w:t xml:space="preserve"> per cent</w:t>
            </w:r>
          </w:p>
        </w:tc>
      </w:tr>
      <w:tr w:rsidR="00D82522" w:rsidRPr="00315936" w14:paraId="47B4EB1C"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hideMark/>
          </w:tcPr>
          <w:p w14:paraId="22A075F5" w14:textId="77777777" w:rsidR="00D82522" w:rsidRPr="00315936" w:rsidRDefault="00D82522">
            <w:pPr>
              <w:pStyle w:val="Tablecolhead"/>
              <w:rPr>
                <w:rFonts w:ascii="Segoe UI" w:hAnsi="Segoe UI" w:cs="Segoe UI"/>
                <w:b w:val="0"/>
                <w:sz w:val="18"/>
                <w:szCs w:val="18"/>
                <w:lang w:val="en-US" w:eastAsia="en-AU"/>
              </w:rPr>
            </w:pPr>
            <w:r w:rsidRPr="00315936">
              <w:rPr>
                <w:b w:val="0"/>
                <w:lang w:eastAsia="en-AU"/>
              </w:rPr>
              <w:t>Improvement</w:t>
            </w:r>
            <w:r w:rsidRPr="00315936">
              <w:rPr>
                <w:b w:val="0"/>
                <w:lang w:val="en-US" w:eastAsia="en-AU"/>
              </w:rPr>
              <w:t> </w:t>
            </w:r>
          </w:p>
        </w:tc>
        <w:tc>
          <w:tcPr>
            <w:tcW w:w="7512" w:type="dxa"/>
            <w:tcBorders>
              <w:top w:val="single" w:sz="6" w:space="0" w:color="000000" w:themeColor="text1"/>
              <w:left w:val="single" w:sz="6" w:space="0" w:color="000000" w:themeColor="text1"/>
              <w:bottom w:val="single" w:sz="6" w:space="0" w:color="000000" w:themeColor="text1"/>
              <w:right w:val="single" w:sz="6" w:space="0" w:color="auto"/>
            </w:tcBorders>
            <w:hideMark/>
          </w:tcPr>
          <w:p w14:paraId="00DA09C1" w14:textId="48F5B3EF" w:rsidR="00D82522" w:rsidRPr="00315936" w:rsidRDefault="00201D51">
            <w:pPr>
              <w:pStyle w:val="Tabletext"/>
              <w:rPr>
                <w:rFonts w:ascii="Segoe UI" w:hAnsi="Segoe UI" w:cs="Segoe UI"/>
                <w:sz w:val="18"/>
                <w:szCs w:val="18"/>
                <w:lang w:val="en-US" w:eastAsia="en-AU"/>
              </w:rPr>
            </w:pPr>
            <w:r w:rsidRPr="00315936">
              <w:t>For the purpose of the performance risk assessment</w:t>
            </w:r>
            <w:r>
              <w:t>,</w:t>
            </w:r>
            <w:r w:rsidRPr="00315936">
              <w:t xml:space="preserve"> improvement is assessed against the previous quarter performance.</w:t>
            </w:r>
          </w:p>
        </w:tc>
      </w:tr>
      <w:tr w:rsidR="00D82522" w:rsidRPr="00315936" w14:paraId="454A0C52"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hideMark/>
          </w:tcPr>
          <w:p w14:paraId="02AC5B48" w14:textId="77777777" w:rsidR="00D82522" w:rsidRPr="00315936" w:rsidRDefault="00D82522">
            <w:pPr>
              <w:pStyle w:val="Tablecolhead"/>
              <w:rPr>
                <w:rFonts w:ascii="Segoe UI" w:hAnsi="Segoe UI" w:cs="Segoe UI"/>
                <w:b w:val="0"/>
                <w:sz w:val="18"/>
                <w:szCs w:val="18"/>
                <w:lang w:val="en-US" w:eastAsia="en-AU"/>
              </w:rPr>
            </w:pPr>
            <w:r w:rsidRPr="00315936">
              <w:rPr>
                <w:b w:val="0"/>
                <w:lang w:eastAsia="en-AU"/>
              </w:rPr>
              <w:t>Frequency of reporting and data collection</w:t>
            </w:r>
            <w:r w:rsidRPr="00315936">
              <w:rPr>
                <w:b w:val="0"/>
                <w:lang w:val="en-US" w:eastAsia="en-AU"/>
              </w:rPr>
              <w:t> </w:t>
            </w:r>
          </w:p>
        </w:tc>
        <w:tc>
          <w:tcPr>
            <w:tcW w:w="7512" w:type="dxa"/>
            <w:tcBorders>
              <w:top w:val="single" w:sz="6" w:space="0" w:color="000000" w:themeColor="text1"/>
              <w:left w:val="single" w:sz="6" w:space="0" w:color="000000" w:themeColor="text1"/>
              <w:bottom w:val="single" w:sz="6" w:space="0" w:color="auto"/>
              <w:right w:val="single" w:sz="6" w:space="0" w:color="auto"/>
            </w:tcBorders>
            <w:hideMark/>
          </w:tcPr>
          <w:p w14:paraId="57D6624D" w14:textId="77777777" w:rsidR="00D51011" w:rsidRPr="00315936" w:rsidRDefault="00981901">
            <w:pPr>
              <w:pStyle w:val="Tabletext"/>
              <w:rPr>
                <w:lang w:eastAsia="en-AU"/>
              </w:rPr>
            </w:pPr>
            <w:r w:rsidRPr="00315936">
              <w:rPr>
                <w:lang w:eastAsia="en-AU"/>
              </w:rPr>
              <w:t xml:space="preserve">Performance is reported </w:t>
            </w:r>
            <w:r w:rsidR="00DD0AA1" w:rsidRPr="00315936">
              <w:rPr>
                <w:lang w:eastAsia="en-AU"/>
              </w:rPr>
              <w:t xml:space="preserve">quarterly at the facility level </w:t>
            </w:r>
            <w:r w:rsidR="0037026F" w:rsidRPr="00315936">
              <w:rPr>
                <w:lang w:eastAsia="en-AU"/>
              </w:rPr>
              <w:t>with a one quarter lag</w:t>
            </w:r>
            <w:r w:rsidR="00D51011" w:rsidRPr="00315936">
              <w:rPr>
                <w:lang w:eastAsia="en-AU"/>
              </w:rPr>
              <w:t>.</w:t>
            </w:r>
          </w:p>
          <w:p w14:paraId="64239CFA" w14:textId="31DAF99F" w:rsidR="009356B5" w:rsidRPr="00315936" w:rsidRDefault="008C360C" w:rsidP="00EB3944">
            <w:pPr>
              <w:pStyle w:val="Tabletext"/>
              <w:rPr>
                <w:rFonts w:ascii="Segoe UI" w:hAnsi="Segoe UI" w:cs="Segoe UI"/>
                <w:sz w:val="18"/>
                <w:szCs w:val="18"/>
                <w:lang w:val="en-US" w:eastAsia="en-AU"/>
              </w:rPr>
            </w:pPr>
            <w:r w:rsidRPr="00315936">
              <w:t xml:space="preserve">Data </w:t>
            </w:r>
            <w:r w:rsidR="00593994" w:rsidRPr="00315936">
              <w:t xml:space="preserve">sourced from the </w:t>
            </w:r>
            <w:r w:rsidR="00593994" w:rsidRPr="00315936">
              <w:rPr>
                <w:lang w:eastAsia="en-AU"/>
              </w:rPr>
              <w:t>Australian Institute of Health and Welfare – GEN Aged care Star Ratings quarterly data extract</w:t>
            </w:r>
            <w:r w:rsidRPr="00315936">
              <w:t xml:space="preserve"> </w:t>
            </w:r>
          </w:p>
        </w:tc>
      </w:tr>
    </w:tbl>
    <w:p w14:paraId="12CE0C2E" w14:textId="05B60905" w:rsidR="00140581" w:rsidRPr="00315936" w:rsidRDefault="00140581" w:rsidP="00140581">
      <w:pPr>
        <w:pStyle w:val="Heading3"/>
      </w:pPr>
      <w:bookmarkStart w:id="40" w:name="_Toc800437645"/>
      <w:r w:rsidRPr="00315936">
        <w:t>Patient experience</w:t>
      </w:r>
      <w:bookmarkEnd w:id="40"/>
    </w:p>
    <w:p w14:paraId="7CA0EB7A" w14:textId="58268006" w:rsidR="00964900" w:rsidRPr="00315936" w:rsidRDefault="00AF49AE" w:rsidP="008E7F78">
      <w:pPr>
        <w:pStyle w:val="Heading4"/>
      </w:pPr>
      <w:bookmarkStart w:id="41" w:name="_Toc1128653705"/>
      <w:r w:rsidRPr="00315936">
        <w:t>Percentage of patients who reported positive experiences of their hospital stay</w:t>
      </w:r>
      <w:bookmarkEnd w:id="41"/>
    </w:p>
    <w:tbl>
      <w:tblPr>
        <w:tblStyle w:val="TableGrid"/>
        <w:tblW w:w="9349" w:type="dxa"/>
        <w:tblLook w:val="04A0" w:firstRow="1" w:lastRow="0" w:firstColumn="1" w:lastColumn="0" w:noHBand="0" w:noVBand="1"/>
      </w:tblPr>
      <w:tblGrid>
        <w:gridCol w:w="1837"/>
        <w:gridCol w:w="7512"/>
      </w:tblGrid>
      <w:tr w:rsidR="00DE4F6E" w:rsidRPr="00315936" w14:paraId="04E7DADA" w14:textId="77777777" w:rsidTr="00201D51">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6983A787" w14:textId="500537D6" w:rsidR="00DE4F6E"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7ABECDBE" w14:textId="77777777" w:rsidR="00DE4F6E" w:rsidRPr="00315936" w:rsidRDefault="00DE4F6E">
            <w:pPr>
              <w:pStyle w:val="Tabletext"/>
            </w:pPr>
            <w:r w:rsidRPr="00315936">
              <w:t>Percentage of patients who reported positive experiences of their hospital stay</w:t>
            </w:r>
          </w:p>
        </w:tc>
      </w:tr>
      <w:tr w:rsidR="00DE4F6E" w:rsidRPr="00315936" w14:paraId="6B04F15C"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DC3952B" w14:textId="77777777" w:rsidR="00DE4F6E" w:rsidRPr="00315936" w:rsidRDefault="00DE4F6E">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633E6065" w14:textId="3CC7D9E5" w:rsidR="00DE4F6E" w:rsidRPr="00315936" w:rsidRDefault="00DE4F6E">
            <w:pPr>
              <w:pStyle w:val="Tabletext"/>
            </w:pPr>
            <w:r w:rsidRPr="00315936">
              <w:t>Patient experience measures provide a patient-centred perspective on interactions with healthcare providers. Monitoring insights from these measures contributes to improving the provision of care and strengthens the relationship between patients and care providers. These measures contribute to overall safety and quality monitoring within the health system.</w:t>
            </w:r>
          </w:p>
        </w:tc>
      </w:tr>
      <w:tr w:rsidR="00DE4F6E" w:rsidRPr="00315936" w14:paraId="2DAE9C57"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7AC3B20" w14:textId="77777777" w:rsidR="00DE4F6E" w:rsidRPr="00315936" w:rsidRDefault="00DE4F6E">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65651942" w14:textId="10EF89DE" w:rsidR="00DE4F6E" w:rsidRPr="00315936" w:rsidRDefault="00DE4F6E">
            <w:pPr>
              <w:pStyle w:val="Tabletext"/>
              <w:rPr>
                <w:rFonts w:ascii="VIC" w:eastAsia="VIC" w:hAnsi="VIC" w:cs="VIC"/>
                <w:color w:val="000000" w:themeColor="text1"/>
                <w:sz w:val="20"/>
              </w:rPr>
            </w:pPr>
            <w:r w:rsidRPr="00315936">
              <w:t>The percentage of patients (or where patient is not able to report, their primary informal carer) who respond</w:t>
            </w:r>
            <w:r w:rsidR="008402C5">
              <w:t>ed</w:t>
            </w:r>
            <w:r w:rsidRPr="00315936">
              <w:t xml:space="preserve">, 'Very good' or 'Good' to </w:t>
            </w:r>
            <w:r w:rsidR="002A3ECB">
              <w:t xml:space="preserve">the </w:t>
            </w:r>
            <w:r w:rsidRPr="00315936">
              <w:t>question</w:t>
            </w:r>
            <w:r w:rsidR="00DA140F" w:rsidRPr="00315936">
              <w:t>:</w:t>
            </w:r>
          </w:p>
          <w:p w14:paraId="7286E29F" w14:textId="47EE3447" w:rsidR="00DE4F6E" w:rsidRPr="00315936" w:rsidRDefault="00DA140F">
            <w:pPr>
              <w:pStyle w:val="Tabletext"/>
              <w:rPr>
                <w:rFonts w:ascii="VIC" w:eastAsia="VIC" w:hAnsi="VIC" w:cs="VIC"/>
                <w:color w:val="000000" w:themeColor="text1"/>
                <w:szCs w:val="21"/>
              </w:rPr>
            </w:pPr>
            <w:r w:rsidRPr="00115B46">
              <w:rPr>
                <w:i/>
              </w:rPr>
              <w:lastRenderedPageBreak/>
              <w:t>‘</w:t>
            </w:r>
            <w:r w:rsidR="00DE4F6E" w:rsidRPr="00115B46">
              <w:rPr>
                <w:i/>
              </w:rPr>
              <w:t>Overall, how would you rate the care you received from the hospital?</w:t>
            </w:r>
            <w:r w:rsidRPr="00315936">
              <w:t>’</w:t>
            </w:r>
            <w:r w:rsidR="00DE4F6E" w:rsidRPr="00315936">
              <w:t xml:space="preserve"> in the adult inpatient section of the Victorian Healthcare Experience Survey (VHES) collected at all health services except Royal Children’s Hospital</w:t>
            </w:r>
          </w:p>
          <w:p w14:paraId="3BB0F24F" w14:textId="779DCA59" w:rsidR="00DE4F6E" w:rsidRPr="00315936" w:rsidRDefault="002A3ECB">
            <w:pPr>
              <w:pStyle w:val="Tabletext"/>
              <w:rPr>
                <w:rFonts w:ascii="VIC" w:eastAsia="VIC" w:hAnsi="VIC" w:cs="VIC"/>
                <w:color w:val="000000" w:themeColor="text1"/>
                <w:sz w:val="20"/>
              </w:rPr>
            </w:pPr>
            <w:r>
              <w:t>o</w:t>
            </w:r>
            <w:r w:rsidR="00DE4F6E" w:rsidRPr="00315936">
              <w:t>r</w:t>
            </w:r>
            <w:r w:rsidR="00DA140F" w:rsidRPr="00315936">
              <w:t>:</w:t>
            </w:r>
            <w:r w:rsidR="00DE4F6E" w:rsidRPr="00315936">
              <w:t xml:space="preserve"> </w:t>
            </w:r>
          </w:p>
          <w:p w14:paraId="0E4CA6FB" w14:textId="0A6E31A5" w:rsidR="00DE4F6E" w:rsidRPr="00315936" w:rsidRDefault="00DE4F6E">
            <w:pPr>
              <w:pStyle w:val="Tabletext"/>
              <w:rPr>
                <w:rFonts w:ascii="VIC" w:eastAsia="VIC" w:hAnsi="VIC" w:cs="VIC"/>
                <w:color w:val="000000" w:themeColor="text1"/>
                <w:szCs w:val="21"/>
              </w:rPr>
            </w:pPr>
            <w:r w:rsidRPr="00315936">
              <w:t>‘</w:t>
            </w:r>
            <w:r w:rsidRPr="00115B46">
              <w:rPr>
                <w:i/>
              </w:rPr>
              <w:t>Overall, how would you rate the care your child received from the hospital?</w:t>
            </w:r>
            <w:r w:rsidRPr="00315936">
              <w:t>’ in the inpatient section of the Victorian Paediatric Inpatient Survey collected at Royal Children’s Hospital only</w:t>
            </w:r>
            <w:r w:rsidR="00C052AD">
              <w:t>.</w:t>
            </w:r>
          </w:p>
        </w:tc>
      </w:tr>
      <w:tr w:rsidR="00DE4F6E" w:rsidRPr="00315936" w14:paraId="7197A69D"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EB06F14" w14:textId="77777777" w:rsidR="00DE4F6E" w:rsidRPr="00315936" w:rsidRDefault="00DE4F6E">
            <w:pPr>
              <w:pStyle w:val="Tablecolhead"/>
              <w:rPr>
                <w:b w:val="0"/>
                <w:lang w:eastAsia="en-AU"/>
              </w:rPr>
            </w:pPr>
            <w:r w:rsidRPr="00315936">
              <w:rPr>
                <w:b w:val="0"/>
                <w:lang w:eastAsia="en-AU"/>
              </w:rPr>
              <w:lastRenderedPageBreak/>
              <w:t>Numerator</w:t>
            </w:r>
          </w:p>
        </w:tc>
        <w:tc>
          <w:tcPr>
            <w:tcW w:w="7512" w:type="dxa"/>
            <w:tcBorders>
              <w:left w:val="single" w:sz="6" w:space="0" w:color="000000" w:themeColor="text1"/>
            </w:tcBorders>
          </w:tcPr>
          <w:p w14:paraId="71A211F4" w14:textId="76F30702" w:rsidR="00DE4F6E" w:rsidRPr="00315936" w:rsidRDefault="00DE4F6E">
            <w:pPr>
              <w:pStyle w:val="Tabletext"/>
            </w:pPr>
            <w:r w:rsidRPr="00315936">
              <w:t xml:space="preserve">Weighted sum of ‘Good’ or ‘Very good’ responses to the question: </w:t>
            </w:r>
            <w:r w:rsidRPr="00115B46">
              <w:rPr>
                <w:i/>
              </w:rPr>
              <w:t>'Overall, how would you rate the care you received while in hospital?</w:t>
            </w:r>
            <w:r w:rsidR="00D60C0A" w:rsidRPr="00315936">
              <w:t>’</w:t>
            </w:r>
            <w:r w:rsidRPr="00315936">
              <w:t xml:space="preserve"> </w:t>
            </w:r>
            <w:r w:rsidR="0005023D">
              <w:t>o</w:t>
            </w:r>
            <w:r w:rsidRPr="00315936">
              <w:t>r</w:t>
            </w:r>
            <w:r w:rsidRPr="00315936" w:rsidDel="0005023D">
              <w:t xml:space="preserve"> </w:t>
            </w:r>
            <w:r w:rsidRPr="00315936">
              <w:t>‘</w:t>
            </w:r>
            <w:r w:rsidRPr="00115B46">
              <w:rPr>
                <w:i/>
              </w:rPr>
              <w:t>Overall, how would you rate the care your child received from the hospital?</w:t>
            </w:r>
            <w:r w:rsidRPr="00315936">
              <w:t xml:space="preserve">’ </w:t>
            </w:r>
          </w:p>
        </w:tc>
      </w:tr>
      <w:tr w:rsidR="00DE4F6E" w:rsidRPr="00315936" w14:paraId="3529788D"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1DFC14E" w14:textId="77777777" w:rsidR="00DE4F6E" w:rsidRPr="00315936" w:rsidRDefault="00DE4F6E">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3C6621BF" w14:textId="4862C15B" w:rsidR="00DE4F6E" w:rsidRPr="00315936" w:rsidRDefault="00DE4F6E">
            <w:pPr>
              <w:pStyle w:val="Tabletext"/>
            </w:pPr>
            <w:r w:rsidRPr="00315936">
              <w:t xml:space="preserve">Weighted sum of </w:t>
            </w:r>
            <w:r w:rsidR="00AB5B87">
              <w:t>all</w:t>
            </w:r>
            <w:r w:rsidR="00AB5B87" w:rsidRPr="00315936">
              <w:t xml:space="preserve"> </w:t>
            </w:r>
            <w:r w:rsidRPr="00315936">
              <w:t xml:space="preserve">responses to the question </w:t>
            </w:r>
            <w:r w:rsidRPr="00115B46">
              <w:rPr>
                <w:i/>
              </w:rPr>
              <w:t>'Overall, how would you rate the care you received while in hospital?</w:t>
            </w:r>
            <w:r w:rsidRPr="00315936">
              <w:t xml:space="preserve">' </w:t>
            </w:r>
            <w:r w:rsidR="0005023D">
              <w:t>o</w:t>
            </w:r>
            <w:r w:rsidRPr="00315936">
              <w:t>r</w:t>
            </w:r>
            <w:r w:rsidRPr="00315936" w:rsidDel="0005023D">
              <w:t xml:space="preserve"> </w:t>
            </w:r>
            <w:r w:rsidRPr="00315936">
              <w:t>‘</w:t>
            </w:r>
            <w:r w:rsidRPr="00115B46">
              <w:rPr>
                <w:i/>
              </w:rPr>
              <w:t>Overall, how would you rate the care your child received from the hospital?</w:t>
            </w:r>
            <w:r w:rsidRPr="00315936">
              <w:t>’</w:t>
            </w:r>
          </w:p>
        </w:tc>
      </w:tr>
      <w:tr w:rsidR="00DE4F6E" w:rsidRPr="00315936" w14:paraId="54659105"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3027CBC" w14:textId="77777777" w:rsidR="00DE4F6E" w:rsidRPr="00315936" w:rsidRDefault="00DE4F6E">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61780506" w14:textId="43E27CD9" w:rsidR="00DE4F6E" w:rsidRPr="00315936" w:rsidRDefault="00DE4F6E">
            <w:pPr>
              <w:pStyle w:val="Tabletext"/>
            </w:pPr>
            <w:r w:rsidRPr="00315936">
              <w:t>95</w:t>
            </w:r>
            <w:r w:rsidR="00A67D0D" w:rsidRPr="00315936">
              <w:t xml:space="preserve"> per cent</w:t>
            </w:r>
          </w:p>
        </w:tc>
      </w:tr>
      <w:tr w:rsidR="00DE4F6E" w:rsidRPr="00315936" w14:paraId="48751E7A"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AD0A6AD" w14:textId="6F096E74" w:rsidR="00DE4F6E" w:rsidRPr="00315936" w:rsidRDefault="00DE4F6E">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7196FD02" w14:textId="06983858" w:rsidR="00DE4F6E" w:rsidRPr="00315936" w:rsidRDefault="004C3A97">
            <w:pPr>
              <w:pStyle w:val="Tabletext"/>
            </w:pPr>
            <w:r>
              <w:t>Greater than or e</w:t>
            </w:r>
            <w:r w:rsidR="00DE4F6E" w:rsidRPr="00315936">
              <w:t>qual to 95</w:t>
            </w:r>
            <w:r w:rsidR="00A67D0D" w:rsidRPr="00315936">
              <w:t xml:space="preserve"> per cent</w:t>
            </w:r>
          </w:p>
        </w:tc>
      </w:tr>
      <w:tr w:rsidR="00DE4F6E" w:rsidRPr="00315936" w14:paraId="4201FD90"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01F05C3" w14:textId="20E81242" w:rsidR="00DE4F6E" w:rsidRPr="00315936" w:rsidRDefault="00DE4F6E">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512CE2B4" w14:textId="0D764437" w:rsidR="00DE4F6E" w:rsidRPr="00315936" w:rsidRDefault="004C3A97">
            <w:pPr>
              <w:pStyle w:val="Tabletext"/>
            </w:pPr>
            <w:r>
              <w:t>Less than</w:t>
            </w:r>
            <w:r w:rsidR="00DE4F6E" w:rsidRPr="00315936">
              <w:t xml:space="preserve"> 95</w:t>
            </w:r>
            <w:r w:rsidR="00A67D0D" w:rsidRPr="00315936">
              <w:t xml:space="preserve"> per cent</w:t>
            </w:r>
          </w:p>
        </w:tc>
      </w:tr>
      <w:tr w:rsidR="00DE4F6E" w:rsidRPr="00315936" w14:paraId="2A50090A" w14:textId="77777777" w:rsidTr="00201D5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2A72690" w14:textId="77777777" w:rsidR="00DE4F6E" w:rsidRPr="00315936" w:rsidRDefault="00DE4F6E">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217F4392" w14:textId="3BEA141E" w:rsidR="00DE4F6E" w:rsidRPr="00315936" w:rsidRDefault="00DE4F6E">
            <w:pPr>
              <w:pStyle w:val="Tabletext"/>
            </w:pPr>
            <w:r w:rsidRPr="00315936">
              <w:t>For the purpose of the performance risk assessment</w:t>
            </w:r>
            <w:r w:rsidR="0010113D">
              <w:t>,</w:t>
            </w:r>
            <w:r w:rsidRPr="00315936">
              <w:t xml:space="preserve"> improvement is assessed against the previous quarter performance.</w:t>
            </w:r>
          </w:p>
        </w:tc>
      </w:tr>
      <w:tr w:rsidR="00DE4F6E" w:rsidRPr="00315936" w14:paraId="196128DA" w14:textId="77777777" w:rsidTr="00201D51">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5B7785AB" w14:textId="77777777" w:rsidR="00DE4F6E" w:rsidRPr="00315936" w:rsidRDefault="00DE4F6E">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13C8BC06" w14:textId="082356FA" w:rsidR="003F3F95" w:rsidRPr="00315936" w:rsidRDefault="7D5757CA">
            <w:pPr>
              <w:pStyle w:val="Tabletext"/>
            </w:pPr>
            <w:r>
              <w:t xml:space="preserve">Performance is </w:t>
            </w:r>
            <w:r w:rsidR="584D5761">
              <w:t>reported quarterly</w:t>
            </w:r>
            <w:r w:rsidR="566DEFE6">
              <w:t xml:space="preserve"> at the health ser</w:t>
            </w:r>
            <w:r w:rsidR="5FCD717F">
              <w:t>vice level</w:t>
            </w:r>
            <w:r w:rsidR="584D5761">
              <w:t xml:space="preserve"> with a one quarter lag. </w:t>
            </w:r>
            <w:r w:rsidR="0AD8B31B">
              <w:t xml:space="preserve">Data </w:t>
            </w:r>
            <w:r w:rsidR="0BFD7486">
              <w:t>are sourced from the VHES</w:t>
            </w:r>
            <w:r w:rsidR="003178F8">
              <w:t>.</w:t>
            </w:r>
          </w:p>
          <w:p w14:paraId="7AFB6511" w14:textId="7C49A2B0" w:rsidR="00DE4F6E" w:rsidRPr="00315936" w:rsidRDefault="00A607AA">
            <w:pPr>
              <w:pStyle w:val="Tabletext"/>
            </w:pPr>
            <w:r w:rsidRPr="00315936">
              <w:t>Results are reported</w:t>
            </w:r>
            <w:r w:rsidR="00DE4F6E" w:rsidRPr="00315936">
              <w:t xml:space="preserve"> at health service level.</w:t>
            </w:r>
          </w:p>
        </w:tc>
      </w:tr>
    </w:tbl>
    <w:p w14:paraId="291F291C" w14:textId="2B78EACB" w:rsidR="00140581" w:rsidRPr="00315936" w:rsidRDefault="00140581" w:rsidP="00140581">
      <w:pPr>
        <w:pStyle w:val="Heading3"/>
      </w:pPr>
      <w:bookmarkStart w:id="42" w:name="_Toc256414232"/>
      <w:r w:rsidRPr="00315936">
        <w:t>Aboriginal health</w:t>
      </w:r>
      <w:bookmarkEnd w:id="42"/>
    </w:p>
    <w:p w14:paraId="6C1670E7" w14:textId="06FE1553" w:rsidR="00964900" w:rsidRPr="00315936" w:rsidRDefault="64F3B9AE" w:rsidP="008E7F78">
      <w:pPr>
        <w:pStyle w:val="Heading4"/>
        <w:rPr>
          <w:rFonts w:ascii="Times New Roman" w:hAnsi="Times New Roman"/>
        </w:rPr>
      </w:pPr>
      <w:bookmarkStart w:id="43" w:name="_Toc1129750640"/>
      <w:r>
        <w:t xml:space="preserve">The </w:t>
      </w:r>
      <w:r w:rsidR="009C2D3F">
        <w:t>difference</w:t>
      </w:r>
      <w:r>
        <w:t xml:space="preserve"> between the </w:t>
      </w:r>
      <w:r w:rsidR="009C2D3F">
        <w:t>percentage</w:t>
      </w:r>
      <w:r>
        <w:t xml:space="preserve"> of Aboriginal </w:t>
      </w:r>
      <w:r w:rsidR="000E633B">
        <w:t xml:space="preserve">and/or Torres Strait Islander </w:t>
      </w:r>
      <w:r>
        <w:t>patients</w:t>
      </w:r>
      <w:r w:rsidR="003266A5">
        <w:t xml:space="preserve"> and non-Aboriginal </w:t>
      </w:r>
      <w:r w:rsidR="00CD2DF0">
        <w:t xml:space="preserve">and/or non-Torres </w:t>
      </w:r>
      <w:r w:rsidR="00A54A57">
        <w:t>Strait</w:t>
      </w:r>
      <w:r w:rsidR="00CD2DF0">
        <w:t xml:space="preserve"> Islander</w:t>
      </w:r>
      <w:r w:rsidR="003266A5">
        <w:t xml:space="preserve"> patients</w:t>
      </w:r>
      <w:r>
        <w:t xml:space="preserve"> who left against medical advice </w:t>
      </w:r>
      <w:bookmarkEnd w:id="43"/>
    </w:p>
    <w:tbl>
      <w:tblPr>
        <w:tblStyle w:val="TableGrid"/>
        <w:tblW w:w="9349" w:type="dxa"/>
        <w:tblLook w:val="04A0" w:firstRow="1" w:lastRow="0" w:firstColumn="1" w:lastColumn="0" w:noHBand="0" w:noVBand="1"/>
      </w:tblPr>
      <w:tblGrid>
        <w:gridCol w:w="1837"/>
        <w:gridCol w:w="7512"/>
      </w:tblGrid>
      <w:tr w:rsidR="00B335F5" w:rsidRPr="00315936" w14:paraId="2C6F9B1E" w14:textId="77777777" w:rsidTr="007901CA">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46FE4981" w14:textId="5AE1A11F" w:rsidR="00540285"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2456AE76" w14:textId="5B9BC506" w:rsidR="00540285" w:rsidRPr="00AC34D9" w:rsidRDefault="269CB00B">
            <w:pPr>
              <w:pStyle w:val="Tabletext"/>
            </w:pPr>
            <w:r>
              <w:t xml:space="preserve">The </w:t>
            </w:r>
            <w:r w:rsidR="003F6895">
              <w:t>d</w:t>
            </w:r>
            <w:r w:rsidR="003F6895" w:rsidRPr="003F6895">
              <w:t xml:space="preserve">ifference between the percentage of Aboriginal </w:t>
            </w:r>
            <w:r w:rsidR="00CD2DF0">
              <w:t>and/or Torres Strait Islander</w:t>
            </w:r>
            <w:r w:rsidR="003F6895" w:rsidRPr="003F6895">
              <w:t xml:space="preserve"> patients and non-Aboriginal </w:t>
            </w:r>
            <w:r w:rsidR="00CD2DF0">
              <w:t xml:space="preserve">and/or </w:t>
            </w:r>
            <w:r w:rsidR="009D2B9A">
              <w:t>non-</w:t>
            </w:r>
            <w:r w:rsidR="00CD2DF0">
              <w:t>Torres Strait</w:t>
            </w:r>
            <w:r w:rsidR="003F6895" w:rsidRPr="003F6895">
              <w:t xml:space="preserve"> </w:t>
            </w:r>
            <w:r w:rsidR="000A43A5">
              <w:t>Islander</w:t>
            </w:r>
            <w:r w:rsidR="003F6895" w:rsidRPr="003F6895">
              <w:t xml:space="preserve"> patients who left against medical advice</w:t>
            </w:r>
          </w:p>
        </w:tc>
      </w:tr>
      <w:tr w:rsidR="00B335F5" w:rsidRPr="00315936" w14:paraId="0DEF8CD3"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09E94DB" w14:textId="77777777" w:rsidR="00540285" w:rsidRPr="00315936" w:rsidRDefault="00540285">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6EC16FEB" w14:textId="4CF0B23E" w:rsidR="00540285" w:rsidRPr="00315936" w:rsidRDefault="00540285">
            <w:pPr>
              <w:pStyle w:val="Tabletext"/>
              <w:rPr>
                <w:lang w:eastAsia="en-AU"/>
              </w:rPr>
            </w:pPr>
            <w:r w:rsidRPr="00315936">
              <w:rPr>
                <w:rFonts w:eastAsia="Times"/>
              </w:rPr>
              <w:t xml:space="preserve">This measure reports </w:t>
            </w:r>
            <w:r w:rsidR="007E63BF" w:rsidRPr="00315936">
              <w:rPr>
                <w:rFonts w:eastAsia="Times"/>
              </w:rPr>
              <w:t>t</w:t>
            </w:r>
            <w:r w:rsidR="007E63BF" w:rsidRPr="00315936">
              <w:t xml:space="preserve">he </w:t>
            </w:r>
            <w:r w:rsidR="0016375A">
              <w:t>difference</w:t>
            </w:r>
            <w:r w:rsidR="007E63BF" w:rsidRPr="00315936">
              <w:t xml:space="preserve"> between the </w:t>
            </w:r>
            <w:r w:rsidR="00957A8E">
              <w:t>percentage</w:t>
            </w:r>
            <w:r w:rsidR="007E63BF" w:rsidRPr="00315936">
              <w:t xml:space="preserve"> of Aboriginal </w:t>
            </w:r>
            <w:r w:rsidR="000A43A5">
              <w:t>and/or Torres Strait Islander</w:t>
            </w:r>
            <w:r w:rsidR="00A51AA2">
              <w:t xml:space="preserve"> admitted</w:t>
            </w:r>
            <w:r w:rsidR="007E63BF" w:rsidRPr="00315936">
              <w:t xml:space="preserve"> patients who left against medical advice compared to non-Aboriginal </w:t>
            </w:r>
            <w:r w:rsidR="000A43A5">
              <w:t xml:space="preserve">and/or </w:t>
            </w:r>
            <w:r w:rsidR="009D2B9A">
              <w:t>non-</w:t>
            </w:r>
            <w:r w:rsidR="000A43A5">
              <w:t>Torres Strait Islander</w:t>
            </w:r>
            <w:r w:rsidR="007E63BF" w:rsidRPr="00315936">
              <w:t xml:space="preserve"> </w:t>
            </w:r>
            <w:r w:rsidR="001F61C8">
              <w:t xml:space="preserve">admitted </w:t>
            </w:r>
            <w:r w:rsidR="007E63BF" w:rsidRPr="00315936">
              <w:t>patients</w:t>
            </w:r>
            <w:r w:rsidR="006F7096">
              <w:t>.</w:t>
            </w:r>
          </w:p>
        </w:tc>
      </w:tr>
      <w:tr w:rsidR="00B335F5" w:rsidRPr="00315936" w14:paraId="0002C825"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9FA3745" w14:textId="77777777" w:rsidR="00540285" w:rsidRPr="00315936" w:rsidRDefault="00540285">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2E5DA765" w14:textId="77777777" w:rsidR="0079095A" w:rsidRDefault="00540285">
            <w:pPr>
              <w:pStyle w:val="Tabletext"/>
              <w:rPr>
                <w:rFonts w:eastAsia="Times"/>
              </w:rPr>
            </w:pPr>
            <w:r w:rsidRPr="00315936">
              <w:rPr>
                <w:rFonts w:eastAsia="Times"/>
              </w:rPr>
              <w:t xml:space="preserve">This </w:t>
            </w:r>
            <w:r w:rsidR="00C3016B" w:rsidRPr="00315936">
              <w:rPr>
                <w:rFonts w:eastAsia="Times"/>
              </w:rPr>
              <w:t>measure</w:t>
            </w:r>
            <w:r w:rsidRPr="00315936">
              <w:rPr>
                <w:rFonts w:eastAsia="Times"/>
              </w:rPr>
              <w:t xml:space="preserve"> includes </w:t>
            </w:r>
            <w:r w:rsidR="0079095A">
              <w:rPr>
                <w:rFonts w:eastAsia="Times"/>
              </w:rPr>
              <w:t>patients with a:</w:t>
            </w:r>
          </w:p>
          <w:p w14:paraId="5538C305" w14:textId="0D87E322" w:rsidR="0079095A" w:rsidRDefault="00540285" w:rsidP="00FE5FC6">
            <w:pPr>
              <w:pStyle w:val="Tablebullet1"/>
              <w:rPr>
                <w:rFonts w:eastAsia="Times"/>
              </w:rPr>
            </w:pPr>
            <w:r w:rsidRPr="00315936">
              <w:rPr>
                <w:rFonts w:eastAsia="Times"/>
              </w:rPr>
              <w:t xml:space="preserve"> Care Type = </w:t>
            </w:r>
            <w:r w:rsidR="003F74B7">
              <w:rPr>
                <w:rFonts w:eastAsia="Times"/>
              </w:rPr>
              <w:t>‘</w:t>
            </w:r>
            <w:r w:rsidRPr="00315936">
              <w:rPr>
                <w:rFonts w:eastAsia="Times"/>
              </w:rPr>
              <w:t>4</w:t>
            </w:r>
            <w:r w:rsidR="003F74B7">
              <w:rPr>
                <w:rFonts w:eastAsia="Times"/>
              </w:rPr>
              <w:t>’</w:t>
            </w:r>
            <w:r w:rsidR="00B20F14">
              <w:rPr>
                <w:rFonts w:eastAsia="Times"/>
              </w:rPr>
              <w:t xml:space="preserve"> </w:t>
            </w:r>
          </w:p>
          <w:p w14:paraId="6595BB39" w14:textId="4345A114" w:rsidR="0079095A" w:rsidRDefault="004E57BA" w:rsidP="004E57BA">
            <w:pPr>
              <w:pStyle w:val="Tabletext"/>
              <w:rPr>
                <w:rFonts w:eastAsia="Times"/>
              </w:rPr>
            </w:pPr>
            <w:r w:rsidRPr="00315936">
              <w:rPr>
                <w:rFonts w:eastAsia="Times"/>
              </w:rPr>
              <w:t xml:space="preserve">This measure excludes </w:t>
            </w:r>
            <w:r w:rsidR="0079095A">
              <w:rPr>
                <w:rFonts w:eastAsia="Times"/>
              </w:rPr>
              <w:t>patients with a</w:t>
            </w:r>
            <w:r w:rsidR="00AB7A8D">
              <w:rPr>
                <w:rFonts w:eastAsia="Times"/>
              </w:rPr>
              <w:t>:</w:t>
            </w:r>
            <w:r w:rsidR="0079095A">
              <w:rPr>
                <w:rFonts w:eastAsia="Times"/>
              </w:rPr>
              <w:t xml:space="preserve"> </w:t>
            </w:r>
          </w:p>
          <w:p w14:paraId="25911AD4" w14:textId="3CF8800C" w:rsidR="004E57BA" w:rsidRDefault="004E57BA" w:rsidP="00FE5FC6">
            <w:pPr>
              <w:pStyle w:val="Tablebullet1"/>
              <w:rPr>
                <w:rFonts w:eastAsia="Times"/>
              </w:rPr>
            </w:pPr>
            <w:r w:rsidRPr="00315936">
              <w:rPr>
                <w:rFonts w:eastAsia="Times"/>
              </w:rPr>
              <w:t xml:space="preserve">Separation Mode = </w:t>
            </w:r>
            <w:r w:rsidR="003F74B7">
              <w:rPr>
                <w:rFonts w:eastAsia="Times"/>
              </w:rPr>
              <w:t>‘</w:t>
            </w:r>
            <w:r w:rsidRPr="00315936">
              <w:rPr>
                <w:rFonts w:eastAsia="Times"/>
              </w:rPr>
              <w:t>S</w:t>
            </w:r>
            <w:r w:rsidR="003F74B7">
              <w:rPr>
                <w:rFonts w:eastAsia="Times"/>
              </w:rPr>
              <w:t>’</w:t>
            </w:r>
            <w:r w:rsidR="007205C0">
              <w:rPr>
                <w:rFonts w:eastAsia="Times"/>
              </w:rPr>
              <w:t xml:space="preserve"> </w:t>
            </w:r>
            <w:r w:rsidR="007205C0" w:rsidRPr="35DC7732">
              <w:rPr>
                <w:rFonts w:eastAsia="Times"/>
              </w:rPr>
              <w:t>Statistic</w:t>
            </w:r>
            <w:r w:rsidR="3CF7EBB4" w:rsidRPr="35DC7732">
              <w:rPr>
                <w:rFonts w:eastAsia="Times"/>
              </w:rPr>
              <w:t>al</w:t>
            </w:r>
            <w:r w:rsidR="007205C0">
              <w:rPr>
                <w:rFonts w:eastAsia="Times"/>
              </w:rPr>
              <w:t xml:space="preserve"> separation</w:t>
            </w:r>
          </w:p>
          <w:p w14:paraId="27A1BCBA" w14:textId="0066918A" w:rsidR="007205C0" w:rsidRDefault="007205C0" w:rsidP="00FE5FC6">
            <w:pPr>
              <w:pStyle w:val="Tablebullet1"/>
              <w:rPr>
                <w:rFonts w:eastAsia="Times"/>
              </w:rPr>
            </w:pPr>
            <w:r>
              <w:rPr>
                <w:rFonts w:eastAsia="Times"/>
              </w:rPr>
              <w:t>Indigenous status code</w:t>
            </w:r>
            <w:r w:rsidR="002E3231">
              <w:rPr>
                <w:rFonts w:eastAsia="Times"/>
              </w:rPr>
              <w:t xml:space="preserve"> = </w:t>
            </w:r>
            <w:r w:rsidR="003F74B7">
              <w:rPr>
                <w:rFonts w:eastAsia="Times"/>
              </w:rPr>
              <w:t>‘</w:t>
            </w:r>
            <w:r w:rsidR="002E3231">
              <w:rPr>
                <w:rFonts w:eastAsia="Times"/>
              </w:rPr>
              <w:t>8</w:t>
            </w:r>
            <w:r w:rsidR="003F74B7">
              <w:rPr>
                <w:rFonts w:eastAsia="Times"/>
              </w:rPr>
              <w:t>’</w:t>
            </w:r>
            <w:r w:rsidR="002E3231">
              <w:rPr>
                <w:rFonts w:eastAsia="Times"/>
              </w:rPr>
              <w:t xml:space="preserve"> Question unable to be asked </w:t>
            </w:r>
            <w:r w:rsidR="43C47CCE" w:rsidRPr="45E80651">
              <w:rPr>
                <w:rFonts w:eastAsia="Times"/>
              </w:rPr>
              <w:t>or</w:t>
            </w:r>
            <w:r w:rsidR="002E3231">
              <w:rPr>
                <w:rFonts w:eastAsia="Times"/>
              </w:rPr>
              <w:t xml:space="preserve"> </w:t>
            </w:r>
            <w:r w:rsidR="003F74B7">
              <w:rPr>
                <w:rFonts w:eastAsia="Times"/>
              </w:rPr>
              <w:t>‘</w:t>
            </w:r>
            <w:r w:rsidR="002E3231">
              <w:rPr>
                <w:rFonts w:eastAsia="Times"/>
              </w:rPr>
              <w:t>9</w:t>
            </w:r>
            <w:r w:rsidR="003F74B7">
              <w:rPr>
                <w:rFonts w:eastAsia="Times"/>
              </w:rPr>
              <w:t>’</w:t>
            </w:r>
            <w:r w:rsidR="002E3231">
              <w:rPr>
                <w:rFonts w:eastAsia="Times"/>
              </w:rPr>
              <w:t xml:space="preserve"> </w:t>
            </w:r>
            <w:r w:rsidR="00B463DE">
              <w:rPr>
                <w:rFonts w:eastAsia="Times"/>
              </w:rPr>
              <w:t>Patient refused to answer</w:t>
            </w:r>
            <w:r w:rsidR="00FE57FB">
              <w:rPr>
                <w:rFonts w:eastAsia="Times"/>
              </w:rPr>
              <w:t>.</w:t>
            </w:r>
          </w:p>
          <w:p w14:paraId="3B40CA19" w14:textId="5930F5C0" w:rsidR="0079095A" w:rsidRPr="00315936" w:rsidRDefault="172AFFC6" w:rsidP="46E18CA4">
            <w:pPr>
              <w:pStyle w:val="Tabletext"/>
              <w:rPr>
                <w:rFonts w:eastAsia="Times"/>
              </w:rPr>
            </w:pPr>
            <w:r w:rsidRPr="22637D85">
              <w:rPr>
                <w:rFonts w:eastAsia="Times"/>
              </w:rPr>
              <w:t xml:space="preserve">The </w:t>
            </w:r>
            <w:r w:rsidR="0044658E">
              <w:rPr>
                <w:rFonts w:eastAsia="Times"/>
              </w:rPr>
              <w:t>denomina</w:t>
            </w:r>
            <w:r w:rsidRPr="22637D85">
              <w:rPr>
                <w:rFonts w:eastAsia="Times"/>
              </w:rPr>
              <w:t xml:space="preserve">tor for the percentage of Aboriginal </w:t>
            </w:r>
            <w:r w:rsidR="0029191F">
              <w:rPr>
                <w:rFonts w:eastAsia="Times"/>
              </w:rPr>
              <w:t>and/or Torres Strait Islander</w:t>
            </w:r>
            <w:r w:rsidRPr="22637D85">
              <w:rPr>
                <w:rFonts w:eastAsia="Times"/>
              </w:rPr>
              <w:t xml:space="preserve"> patients who </w:t>
            </w:r>
            <w:r w:rsidRPr="1B0CEDE2">
              <w:rPr>
                <w:rFonts w:eastAsia="Times"/>
              </w:rPr>
              <w:t xml:space="preserve">left against medical advice is the number of </w:t>
            </w:r>
            <w:r w:rsidRPr="06BB05B3">
              <w:rPr>
                <w:rFonts w:eastAsia="Times"/>
              </w:rPr>
              <w:t>patient</w:t>
            </w:r>
            <w:r w:rsidR="4C99E3C9" w:rsidRPr="06BB05B3">
              <w:rPr>
                <w:rFonts w:eastAsia="Times"/>
              </w:rPr>
              <w:t xml:space="preserve"> episodes </w:t>
            </w:r>
            <w:r w:rsidR="4C99E3C9" w:rsidRPr="46E18CA4">
              <w:rPr>
                <w:rFonts w:eastAsia="Times"/>
              </w:rPr>
              <w:t>that satisfy the following condition:</w:t>
            </w:r>
          </w:p>
          <w:p w14:paraId="061BAD42" w14:textId="6CCD4678" w:rsidR="0079095A" w:rsidRPr="00315936" w:rsidRDefault="00F1019A" w:rsidP="00FE5FC6">
            <w:pPr>
              <w:pStyle w:val="Tablebullet1"/>
              <w:rPr>
                <w:rFonts w:eastAsia="Times"/>
              </w:rPr>
            </w:pPr>
            <w:r>
              <w:rPr>
                <w:rFonts w:eastAsia="Times"/>
              </w:rPr>
              <w:t>I</w:t>
            </w:r>
            <w:r w:rsidR="172AFFC6" w:rsidRPr="4B82AF59">
              <w:rPr>
                <w:rFonts w:eastAsia="Times"/>
              </w:rPr>
              <w:t xml:space="preserve">ndigenous status code </w:t>
            </w:r>
            <w:r w:rsidR="003231A1">
              <w:rPr>
                <w:rFonts w:eastAsia="Times"/>
              </w:rPr>
              <w:t>=</w:t>
            </w:r>
            <w:r w:rsidR="172AFFC6" w:rsidRPr="4B82AF59">
              <w:rPr>
                <w:rFonts w:eastAsia="Times"/>
              </w:rPr>
              <w:t xml:space="preserve"> </w:t>
            </w:r>
            <w:r w:rsidR="004A195F">
              <w:rPr>
                <w:rFonts w:eastAsia="Times"/>
              </w:rPr>
              <w:t>‘</w:t>
            </w:r>
            <w:r w:rsidR="172AFFC6" w:rsidRPr="4B82AF59">
              <w:rPr>
                <w:rFonts w:eastAsia="Times"/>
              </w:rPr>
              <w:t>1</w:t>
            </w:r>
            <w:r w:rsidR="004A195F">
              <w:rPr>
                <w:rFonts w:eastAsia="Times"/>
              </w:rPr>
              <w:t>’</w:t>
            </w:r>
            <w:r w:rsidR="172AFFC6" w:rsidRPr="4B82AF59">
              <w:rPr>
                <w:rFonts w:eastAsia="Times"/>
              </w:rPr>
              <w:t xml:space="preserve"> </w:t>
            </w:r>
            <w:r w:rsidR="60C55144" w:rsidRPr="6656C7EC">
              <w:rPr>
                <w:rFonts w:eastAsia="Times"/>
              </w:rPr>
              <w:t xml:space="preserve">- </w:t>
            </w:r>
            <w:r w:rsidR="60C55144" w:rsidRPr="06BB05B3">
              <w:rPr>
                <w:rFonts w:eastAsia="Arial"/>
              </w:rPr>
              <w:t xml:space="preserve">Aboriginal but not Torres Strait Islander origin, </w:t>
            </w:r>
            <w:r w:rsidR="004A195F">
              <w:rPr>
                <w:rFonts w:eastAsia="Arial"/>
              </w:rPr>
              <w:t>‘</w:t>
            </w:r>
            <w:r w:rsidR="60C55144" w:rsidRPr="06BB05B3">
              <w:rPr>
                <w:rFonts w:eastAsia="Arial"/>
              </w:rPr>
              <w:t>2</w:t>
            </w:r>
            <w:r w:rsidR="004A195F">
              <w:rPr>
                <w:rFonts w:eastAsia="Arial"/>
              </w:rPr>
              <w:t>’</w:t>
            </w:r>
            <w:r w:rsidR="60C55144" w:rsidRPr="06BB05B3">
              <w:rPr>
                <w:rFonts w:eastAsia="Arial"/>
              </w:rPr>
              <w:t xml:space="preserve"> - Torres Strait Islander but not Aboriginal origin, </w:t>
            </w:r>
            <w:r w:rsidR="0F408537" w:rsidRPr="5C1E5DB2">
              <w:rPr>
                <w:rFonts w:eastAsia="Arial"/>
              </w:rPr>
              <w:t>or</w:t>
            </w:r>
            <w:r w:rsidR="60C55144" w:rsidRPr="06BB05B3">
              <w:rPr>
                <w:rFonts w:eastAsia="Arial"/>
              </w:rPr>
              <w:t xml:space="preserve"> </w:t>
            </w:r>
            <w:r w:rsidR="004A195F">
              <w:rPr>
                <w:rFonts w:eastAsia="Arial"/>
              </w:rPr>
              <w:t>‘</w:t>
            </w:r>
            <w:r w:rsidR="60C55144" w:rsidRPr="06BB05B3">
              <w:rPr>
                <w:rFonts w:eastAsia="Arial"/>
              </w:rPr>
              <w:t>3</w:t>
            </w:r>
            <w:r w:rsidR="004A195F">
              <w:rPr>
                <w:rFonts w:eastAsia="Arial"/>
              </w:rPr>
              <w:t>’</w:t>
            </w:r>
            <w:r w:rsidR="60C55144" w:rsidRPr="06BB05B3">
              <w:rPr>
                <w:rFonts w:eastAsia="Arial"/>
              </w:rPr>
              <w:t xml:space="preserve"> - </w:t>
            </w:r>
            <w:r w:rsidR="2623526F" w:rsidRPr="06BB05B3">
              <w:rPr>
                <w:rFonts w:eastAsia="Arial"/>
              </w:rPr>
              <w:t>Both Aboriginal and Torres Strait Islander origin</w:t>
            </w:r>
            <w:r w:rsidR="007457D3">
              <w:rPr>
                <w:rFonts w:eastAsia="Arial"/>
              </w:rPr>
              <w:t>.</w:t>
            </w:r>
          </w:p>
          <w:p w14:paraId="232EAE88" w14:textId="3F7A7A64" w:rsidR="00164FCC" w:rsidRDefault="00164FCC" w:rsidP="00164FCC">
            <w:pPr>
              <w:pStyle w:val="Tabletext"/>
              <w:rPr>
                <w:rFonts w:eastAsia="Times"/>
              </w:rPr>
            </w:pPr>
            <w:r>
              <w:rPr>
                <w:rFonts w:eastAsia="Times"/>
              </w:rPr>
              <w:lastRenderedPageBreak/>
              <w:t xml:space="preserve">For non-Aboriginal </w:t>
            </w:r>
            <w:r w:rsidR="00D217BE">
              <w:rPr>
                <w:rFonts w:eastAsia="Times"/>
              </w:rPr>
              <w:t xml:space="preserve">and/or </w:t>
            </w:r>
            <w:r w:rsidR="009D2B9A">
              <w:rPr>
                <w:rFonts w:eastAsia="Times"/>
              </w:rPr>
              <w:t>non-</w:t>
            </w:r>
            <w:r w:rsidR="00D217BE">
              <w:rPr>
                <w:rFonts w:eastAsia="Times"/>
              </w:rPr>
              <w:t>Torres Strait Islander</w:t>
            </w:r>
            <w:r>
              <w:rPr>
                <w:rFonts w:eastAsia="Times"/>
              </w:rPr>
              <w:t xml:space="preserve"> patients, the denominator is the</w:t>
            </w:r>
            <w:r w:rsidR="00010E7D">
              <w:rPr>
                <w:rFonts w:eastAsia="Times"/>
              </w:rPr>
              <w:t xml:space="preserve"> number of patient episodes that satisfy the following condition</w:t>
            </w:r>
            <w:r w:rsidR="00F1019A">
              <w:rPr>
                <w:rFonts w:eastAsia="Times"/>
              </w:rPr>
              <w:t>:</w:t>
            </w:r>
          </w:p>
          <w:p w14:paraId="0C10D0D3" w14:textId="1A6DED2D" w:rsidR="00F1019A" w:rsidRDefault="00F1019A" w:rsidP="00FE5FC6">
            <w:pPr>
              <w:pStyle w:val="Tablebullet1"/>
              <w:rPr>
                <w:rFonts w:eastAsia="Times"/>
              </w:rPr>
            </w:pPr>
            <w:r>
              <w:rPr>
                <w:rFonts w:eastAsia="Times"/>
              </w:rPr>
              <w:t xml:space="preserve">Indigenous status code </w:t>
            </w:r>
            <w:r w:rsidR="003B54DB">
              <w:rPr>
                <w:rFonts w:eastAsia="Times"/>
              </w:rPr>
              <w:t>=</w:t>
            </w:r>
            <w:r>
              <w:rPr>
                <w:rFonts w:eastAsia="Times"/>
              </w:rPr>
              <w:t xml:space="preserve"> </w:t>
            </w:r>
            <w:r w:rsidR="004A195F">
              <w:rPr>
                <w:rFonts w:eastAsia="Times"/>
              </w:rPr>
              <w:t>‘</w:t>
            </w:r>
            <w:r>
              <w:rPr>
                <w:rFonts w:eastAsia="Times"/>
              </w:rPr>
              <w:t>4</w:t>
            </w:r>
            <w:r w:rsidR="004A195F">
              <w:rPr>
                <w:rFonts w:eastAsia="Times"/>
              </w:rPr>
              <w:t>’</w:t>
            </w:r>
            <w:r>
              <w:rPr>
                <w:rFonts w:eastAsia="Times"/>
              </w:rPr>
              <w:t xml:space="preserve"> - </w:t>
            </w:r>
            <w:r w:rsidR="006B1311">
              <w:t>Neither Aboriginal nor Torres Strait Islander origin</w:t>
            </w:r>
            <w:r w:rsidR="003B54DB">
              <w:t>.</w:t>
            </w:r>
          </w:p>
          <w:p w14:paraId="6B5DFF57" w14:textId="77454477" w:rsidR="00F1019A" w:rsidRDefault="00191036" w:rsidP="00164FCC">
            <w:pPr>
              <w:pStyle w:val="Tabletext"/>
              <w:rPr>
                <w:rFonts w:eastAsia="Times"/>
              </w:rPr>
            </w:pPr>
            <w:r>
              <w:rPr>
                <w:rFonts w:eastAsia="Times"/>
              </w:rPr>
              <w:t xml:space="preserve">The numerator </w:t>
            </w:r>
            <w:r w:rsidR="00A8586E">
              <w:rPr>
                <w:rFonts w:eastAsia="Times"/>
              </w:rPr>
              <w:t xml:space="preserve">in both percentages </w:t>
            </w:r>
            <w:r>
              <w:rPr>
                <w:rFonts w:eastAsia="Times"/>
              </w:rPr>
              <w:t xml:space="preserve">is the number of patient </w:t>
            </w:r>
            <w:r w:rsidR="00E0067C">
              <w:rPr>
                <w:rFonts w:eastAsia="Times"/>
              </w:rPr>
              <w:t xml:space="preserve">episodes in the </w:t>
            </w:r>
            <w:r w:rsidR="00972E9B">
              <w:rPr>
                <w:rFonts w:eastAsia="Times"/>
              </w:rPr>
              <w:t xml:space="preserve">respective </w:t>
            </w:r>
            <w:r w:rsidR="00E0067C">
              <w:rPr>
                <w:rFonts w:eastAsia="Times"/>
              </w:rPr>
              <w:t>denominator</w:t>
            </w:r>
            <w:r w:rsidR="00972E9B">
              <w:rPr>
                <w:rFonts w:eastAsia="Times"/>
              </w:rPr>
              <w:t>s</w:t>
            </w:r>
            <w:r w:rsidR="00E0067C">
              <w:rPr>
                <w:rFonts w:eastAsia="Times"/>
              </w:rPr>
              <w:t xml:space="preserve"> that satisfy the following condition:</w:t>
            </w:r>
          </w:p>
          <w:p w14:paraId="72ACA792" w14:textId="5C657F21" w:rsidR="00F1019A" w:rsidRPr="007156DD" w:rsidRDefault="00E0067C" w:rsidP="00FE5FC6">
            <w:pPr>
              <w:pStyle w:val="Tablebullet1"/>
              <w:rPr>
                <w:rFonts w:eastAsia="Times"/>
              </w:rPr>
            </w:pPr>
            <w:r>
              <w:rPr>
                <w:rFonts w:eastAsia="Times"/>
              </w:rPr>
              <w:t xml:space="preserve">Separation mode </w:t>
            </w:r>
            <w:r w:rsidR="003B54DB">
              <w:rPr>
                <w:rFonts w:eastAsia="Times"/>
              </w:rPr>
              <w:t xml:space="preserve">= </w:t>
            </w:r>
            <w:r w:rsidR="004A195F">
              <w:rPr>
                <w:rFonts w:eastAsia="Times"/>
              </w:rPr>
              <w:t>‘</w:t>
            </w:r>
            <w:r>
              <w:rPr>
                <w:rFonts w:eastAsia="Times"/>
              </w:rPr>
              <w:t>Z</w:t>
            </w:r>
            <w:r w:rsidR="004A195F">
              <w:rPr>
                <w:rFonts w:eastAsia="Times"/>
              </w:rPr>
              <w:t>’</w:t>
            </w:r>
            <w:r>
              <w:rPr>
                <w:rFonts w:eastAsia="Times"/>
              </w:rPr>
              <w:t xml:space="preserve"> - </w:t>
            </w:r>
            <w:r w:rsidRPr="008A7DB2">
              <w:rPr>
                <w:rFonts w:eastAsia="Times"/>
              </w:rPr>
              <w:t>Left against medical advice</w:t>
            </w:r>
            <w:r w:rsidR="00B52B3F">
              <w:rPr>
                <w:rFonts w:eastAsia="Times"/>
              </w:rPr>
              <w:t>.</w:t>
            </w:r>
          </w:p>
          <w:p w14:paraId="0FAB22FC" w14:textId="4DDC3D03" w:rsidR="00540285" w:rsidRPr="00315936" w:rsidRDefault="00540285">
            <w:pPr>
              <w:pStyle w:val="Tabletext"/>
              <w:rPr>
                <w:rFonts w:eastAsia="Times"/>
              </w:rPr>
            </w:pPr>
            <w:r w:rsidRPr="6FD91E33">
              <w:rPr>
                <w:rFonts w:eastAsia="Times"/>
              </w:rPr>
              <w:t xml:space="preserve">This </w:t>
            </w:r>
            <w:r w:rsidR="00C3016B" w:rsidRPr="6FD91E33">
              <w:rPr>
                <w:rFonts w:eastAsia="Times"/>
              </w:rPr>
              <w:t>measure</w:t>
            </w:r>
            <w:r w:rsidRPr="6FD91E33">
              <w:rPr>
                <w:rFonts w:eastAsia="Times"/>
              </w:rPr>
              <w:t xml:space="preserve"> is rounded </w:t>
            </w:r>
            <w:r w:rsidR="4E41BF43" w:rsidRPr="5F330602">
              <w:rPr>
                <w:rFonts w:eastAsia="Times"/>
              </w:rPr>
              <w:t>to the nearest whole number</w:t>
            </w:r>
            <w:r w:rsidRPr="6FD91E33">
              <w:rPr>
                <w:rFonts w:eastAsia="Times"/>
              </w:rPr>
              <w:t>.</w:t>
            </w:r>
          </w:p>
          <w:p w14:paraId="3369E1A8" w14:textId="0DE9A419" w:rsidR="00540285" w:rsidRPr="00315936" w:rsidRDefault="00540285">
            <w:pPr>
              <w:pStyle w:val="Tabletext"/>
            </w:pPr>
            <w:r w:rsidRPr="6FD91E33">
              <w:t xml:space="preserve">Results </w:t>
            </w:r>
            <w:r w:rsidR="00397E75">
              <w:t>are</w:t>
            </w:r>
            <w:r w:rsidR="00397E75" w:rsidRPr="6FD91E33">
              <w:t xml:space="preserve"> </w:t>
            </w:r>
            <w:r w:rsidRPr="6FD91E33">
              <w:t xml:space="preserve">not reported where </w:t>
            </w:r>
            <w:r w:rsidR="4EC20D50" w:rsidRPr="6FD91E33">
              <w:t>either percentage has</w:t>
            </w:r>
            <w:r w:rsidR="0048037E" w:rsidRPr="6FD91E33">
              <w:t xml:space="preserve"> </w:t>
            </w:r>
            <w:r w:rsidR="0048037E">
              <w:t>a</w:t>
            </w:r>
            <w:r w:rsidR="0048037E" w:rsidRPr="6FD91E33">
              <w:t xml:space="preserve"> </w:t>
            </w:r>
            <w:r w:rsidRPr="6FD91E33">
              <w:t>denominator less than 10.</w:t>
            </w:r>
            <w:r w:rsidRPr="6FD91E33">
              <w:rPr>
                <w:rStyle w:val="eop"/>
              </w:rPr>
              <w:t> </w:t>
            </w:r>
          </w:p>
        </w:tc>
      </w:tr>
      <w:tr w:rsidR="00B335F5" w:rsidRPr="00315936" w14:paraId="200C3059"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05C4EC51" w14:textId="77777777" w:rsidR="00540285" w:rsidRPr="00315936" w:rsidRDefault="00540285">
            <w:pPr>
              <w:pStyle w:val="Tablecolhead"/>
              <w:rPr>
                <w:b w:val="0"/>
                <w:lang w:eastAsia="en-AU"/>
              </w:rPr>
            </w:pPr>
            <w:r w:rsidRPr="00315936">
              <w:rPr>
                <w:b w:val="0"/>
                <w:lang w:eastAsia="en-AU"/>
              </w:rPr>
              <w:lastRenderedPageBreak/>
              <w:t>Numerator</w:t>
            </w:r>
          </w:p>
        </w:tc>
        <w:tc>
          <w:tcPr>
            <w:tcW w:w="7512" w:type="dxa"/>
            <w:tcBorders>
              <w:left w:val="single" w:sz="6" w:space="0" w:color="000000" w:themeColor="text1"/>
            </w:tcBorders>
          </w:tcPr>
          <w:p w14:paraId="077C3D4A" w14:textId="5749055C" w:rsidR="00251638" w:rsidRPr="00251638" w:rsidRDefault="00251638" w:rsidP="00251638">
            <w:pPr>
              <w:pStyle w:val="Tabletext"/>
              <w:rPr>
                <w:rFonts w:eastAsia="Times"/>
              </w:rPr>
            </w:pPr>
            <w:r w:rsidRPr="00251638">
              <w:rPr>
                <w:rFonts w:eastAsia="Times"/>
              </w:rPr>
              <w:t xml:space="preserve">Percentage of </w:t>
            </w:r>
            <w:r w:rsidR="008F717D">
              <w:rPr>
                <w:rFonts w:eastAsia="Times"/>
              </w:rPr>
              <w:t>n</w:t>
            </w:r>
            <w:r w:rsidR="008F717D" w:rsidRPr="00251638">
              <w:rPr>
                <w:rFonts w:eastAsia="Times"/>
              </w:rPr>
              <w:t>on</w:t>
            </w:r>
            <w:r w:rsidRPr="00251638">
              <w:rPr>
                <w:rFonts w:eastAsia="Times"/>
              </w:rPr>
              <w:t xml:space="preserve">-Aboriginal </w:t>
            </w:r>
            <w:r w:rsidRPr="00251638" w:rsidDel="00136118">
              <w:rPr>
                <w:rFonts w:eastAsia="Times"/>
              </w:rPr>
              <w:t xml:space="preserve">and/or </w:t>
            </w:r>
            <w:r w:rsidR="002135EB">
              <w:rPr>
                <w:rFonts w:eastAsia="Times"/>
              </w:rPr>
              <w:t>non-</w:t>
            </w:r>
            <w:r w:rsidRPr="00251638" w:rsidDel="00136118">
              <w:rPr>
                <w:rFonts w:eastAsia="Times"/>
              </w:rPr>
              <w:t xml:space="preserve">Torres Strait Islander </w:t>
            </w:r>
            <w:r w:rsidRPr="00251638">
              <w:rPr>
                <w:rFonts w:eastAsia="Times"/>
              </w:rPr>
              <w:t>admitted patients with a separation mode of ‘left against medical advice’ (Separation Mode Code = Z) </w:t>
            </w:r>
          </w:p>
          <w:p w14:paraId="4447E57F" w14:textId="1FFFAE18" w:rsidR="00251638" w:rsidRPr="00B335F5" w:rsidRDefault="00B77951" w:rsidP="00251638">
            <w:pPr>
              <w:pStyle w:val="Tabletext"/>
              <w:rPr>
                <w:rFonts w:eastAsia="Times"/>
                <w:i/>
                <w:iCs/>
              </w:rPr>
            </w:pPr>
            <w:r w:rsidRPr="00B335F5">
              <w:rPr>
                <w:rFonts w:eastAsia="Times"/>
                <w:i/>
                <w:iCs/>
              </w:rPr>
              <w:t>m</w:t>
            </w:r>
            <w:r w:rsidR="00251638" w:rsidRPr="00B335F5">
              <w:rPr>
                <w:rFonts w:eastAsia="Times"/>
                <w:i/>
                <w:iCs/>
              </w:rPr>
              <w:t>inus  </w:t>
            </w:r>
          </w:p>
          <w:p w14:paraId="6EAA8DBB" w14:textId="275F6FB1" w:rsidR="00540285" w:rsidRPr="00251638" w:rsidRDefault="00251638">
            <w:pPr>
              <w:pStyle w:val="Tabletext"/>
              <w:rPr>
                <w:rFonts w:eastAsia="Times"/>
              </w:rPr>
            </w:pPr>
            <w:r w:rsidRPr="00251638">
              <w:rPr>
                <w:rFonts w:eastAsia="Times"/>
              </w:rPr>
              <w:t xml:space="preserve">Percentage of Aboriginal </w:t>
            </w:r>
            <w:r w:rsidRPr="00251638" w:rsidDel="00136118">
              <w:rPr>
                <w:rFonts w:eastAsia="Times"/>
              </w:rPr>
              <w:t xml:space="preserve">and/or Torres Strait Islander </w:t>
            </w:r>
            <w:r w:rsidRPr="00251638">
              <w:rPr>
                <w:rFonts w:eastAsia="Times"/>
              </w:rPr>
              <w:t>admitted patients with a separation mode of ‘left against medical advice’ (Separation Mode Code = Z</w:t>
            </w:r>
            <w:r w:rsidR="008F717D">
              <w:rPr>
                <w:rFonts w:eastAsia="Times"/>
              </w:rPr>
              <w:t>)</w:t>
            </w:r>
            <w:r w:rsidRPr="00251638">
              <w:rPr>
                <w:rFonts w:eastAsia="Times"/>
              </w:rPr>
              <w:t> </w:t>
            </w:r>
          </w:p>
        </w:tc>
      </w:tr>
      <w:tr w:rsidR="00B335F5" w:rsidRPr="00315936" w14:paraId="1B1E15EB"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0EA798FB" w14:textId="77777777" w:rsidR="00540285" w:rsidRPr="00315936" w:rsidRDefault="00540285">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4EA49612" w14:textId="105C3CD8" w:rsidR="00540285" w:rsidRPr="00315936" w:rsidRDefault="00251638">
            <w:pPr>
              <w:pStyle w:val="Tabletext"/>
            </w:pPr>
            <w:r>
              <w:t>N/A</w:t>
            </w:r>
          </w:p>
        </w:tc>
      </w:tr>
      <w:tr w:rsidR="00B335F5" w:rsidRPr="00315936" w14:paraId="6BBA76CB"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C3BA8FE" w14:textId="77777777" w:rsidR="00540285" w:rsidRPr="00315936" w:rsidRDefault="00540285">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47CF0332" w14:textId="44453003" w:rsidR="00540285" w:rsidRPr="00315936" w:rsidRDefault="00B25943">
            <w:pPr>
              <w:pStyle w:val="Tabletext"/>
            </w:pPr>
            <w:r>
              <w:t xml:space="preserve">0 per cent </w:t>
            </w:r>
          </w:p>
        </w:tc>
      </w:tr>
      <w:tr w:rsidR="00B335F5" w:rsidRPr="00315936" w14:paraId="78638385"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B6C3D95" w14:textId="77777777" w:rsidR="00540285" w:rsidRPr="00315936" w:rsidRDefault="00540285">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32837670" w14:textId="58A977B5" w:rsidR="00540285" w:rsidRPr="00315936" w:rsidRDefault="00CA1044">
            <w:pPr>
              <w:pStyle w:val="Tabletext"/>
            </w:pPr>
            <w:r>
              <w:t>No difference</w:t>
            </w:r>
            <w:r w:rsidR="00D117DA">
              <w:t xml:space="preserve"> between Aboriginal and</w:t>
            </w:r>
            <w:r w:rsidR="008E42FF">
              <w:t>/or Torres Strait Islander</w:t>
            </w:r>
            <w:r w:rsidR="00D117DA">
              <w:t xml:space="preserve"> and non-Aboriginal </w:t>
            </w:r>
            <w:r w:rsidR="008E42FF">
              <w:t>and/or non</w:t>
            </w:r>
            <w:r w:rsidR="002135EB">
              <w:t xml:space="preserve">-Torres Strait Islander </w:t>
            </w:r>
            <w:r w:rsidR="00D117DA">
              <w:t>patients</w:t>
            </w:r>
            <w:r>
              <w:t xml:space="preserve"> </w:t>
            </w:r>
          </w:p>
        </w:tc>
      </w:tr>
      <w:tr w:rsidR="00B335F5" w:rsidRPr="00315936" w14:paraId="33BF7E17"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CB9878B" w14:textId="77777777" w:rsidR="00540285" w:rsidRPr="00315936" w:rsidRDefault="00540285">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1491ADA6" w14:textId="2B2501DA" w:rsidR="00540285" w:rsidRPr="00315936" w:rsidRDefault="00D117DA">
            <w:pPr>
              <w:pStyle w:val="Tabletext"/>
            </w:pPr>
            <w:r>
              <w:rPr>
                <w:rFonts w:eastAsia="Times"/>
              </w:rPr>
              <w:t>A differen</w:t>
            </w:r>
            <w:r w:rsidR="00653331">
              <w:rPr>
                <w:rFonts w:eastAsia="Times"/>
              </w:rPr>
              <w:t>ce</w:t>
            </w:r>
            <w:r>
              <w:rPr>
                <w:rFonts w:eastAsia="Times"/>
              </w:rPr>
              <w:t xml:space="preserve"> between Aboriginal and</w:t>
            </w:r>
            <w:r w:rsidR="00381BD6">
              <w:rPr>
                <w:rFonts w:eastAsia="Times"/>
              </w:rPr>
              <w:t>/or Torres Strait Islander</w:t>
            </w:r>
            <w:r>
              <w:rPr>
                <w:rFonts w:eastAsia="Times"/>
              </w:rPr>
              <w:t xml:space="preserve"> and non-Aboriginal </w:t>
            </w:r>
            <w:r w:rsidR="00F55B73">
              <w:rPr>
                <w:rFonts w:eastAsia="Times"/>
              </w:rPr>
              <w:t xml:space="preserve">and/or non-Torres Strait Islander </w:t>
            </w:r>
            <w:r>
              <w:rPr>
                <w:rFonts w:eastAsia="Times"/>
              </w:rPr>
              <w:t>patients</w:t>
            </w:r>
          </w:p>
        </w:tc>
      </w:tr>
      <w:tr w:rsidR="00B335F5" w:rsidRPr="00315936" w14:paraId="689AFA58" w14:textId="77777777" w:rsidTr="007901CA">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4550874" w14:textId="77777777" w:rsidR="00540285" w:rsidRPr="00315936" w:rsidRDefault="00540285">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5D322AA6" w14:textId="134CA7E7" w:rsidR="00540285" w:rsidRPr="00315936" w:rsidRDefault="00ED107C">
            <w:pPr>
              <w:pStyle w:val="Tabletext"/>
              <w:rPr>
                <w:lang w:eastAsia="en-AU"/>
              </w:rPr>
            </w:pPr>
            <w:r w:rsidRPr="00315936">
              <w:t>For the purpose of the performance risk assessment</w:t>
            </w:r>
            <w:r>
              <w:t>,</w:t>
            </w:r>
            <w:r w:rsidRPr="00315936">
              <w:t xml:space="preserve"> improvement is assessed against the previous quarter performance</w:t>
            </w:r>
            <w:r w:rsidR="00540285" w:rsidRPr="00315936">
              <w:t>.</w:t>
            </w:r>
          </w:p>
        </w:tc>
      </w:tr>
      <w:tr w:rsidR="00B335F5" w:rsidRPr="00315936" w14:paraId="35888B75" w14:textId="77777777" w:rsidTr="007901CA">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1C82EC38" w14:textId="77777777" w:rsidR="00540285" w:rsidRPr="00315936" w:rsidRDefault="00540285">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210A1E2C" w14:textId="3B3FE0E1" w:rsidR="00BA07F2" w:rsidRPr="00315936" w:rsidRDefault="0093344D">
            <w:pPr>
              <w:pStyle w:val="Tabletext"/>
              <w:rPr>
                <w:rFonts w:eastAsia="Times"/>
              </w:rPr>
            </w:pPr>
            <w:r w:rsidRPr="00315936">
              <w:rPr>
                <w:rFonts w:eastAsia="Times"/>
              </w:rPr>
              <w:t xml:space="preserve">Performance is reported </w:t>
            </w:r>
            <w:r w:rsidR="00540285" w:rsidRPr="00315936">
              <w:rPr>
                <w:rFonts w:eastAsia="Times"/>
              </w:rPr>
              <w:t>quarterly</w:t>
            </w:r>
            <w:r w:rsidRPr="00315936">
              <w:rPr>
                <w:rFonts w:eastAsia="Times"/>
              </w:rPr>
              <w:t xml:space="preserve"> at the </w:t>
            </w:r>
            <w:r w:rsidR="00BA07F2" w:rsidRPr="00315936">
              <w:rPr>
                <w:rFonts w:eastAsia="Times"/>
              </w:rPr>
              <w:t>health service level</w:t>
            </w:r>
            <w:r w:rsidR="000311D6">
              <w:rPr>
                <w:rFonts w:eastAsia="Times"/>
              </w:rPr>
              <w:t>.</w:t>
            </w:r>
          </w:p>
          <w:p w14:paraId="65ACE98C" w14:textId="4C12882B" w:rsidR="00540285" w:rsidRPr="00315936" w:rsidRDefault="00BA07F2">
            <w:pPr>
              <w:pStyle w:val="Tabletext"/>
              <w:rPr>
                <w:rFonts w:eastAsia="Times"/>
              </w:rPr>
            </w:pPr>
            <w:r w:rsidRPr="00315936">
              <w:rPr>
                <w:rFonts w:eastAsia="Times"/>
              </w:rPr>
              <w:t xml:space="preserve">Data are sourced from </w:t>
            </w:r>
            <w:r w:rsidR="00057C77" w:rsidRPr="00315936">
              <w:rPr>
                <w:rFonts w:eastAsia="Times"/>
              </w:rPr>
              <w:t>the Victorian Admitted Episodes Dataset (VAED)</w:t>
            </w:r>
          </w:p>
        </w:tc>
      </w:tr>
    </w:tbl>
    <w:p w14:paraId="4FBAA78D" w14:textId="3B682134" w:rsidR="000C231F" w:rsidRPr="00315936" w:rsidRDefault="59B2FB04" w:rsidP="008E7F78">
      <w:pPr>
        <w:pStyle w:val="Heading4"/>
      </w:pPr>
      <w:bookmarkStart w:id="44" w:name="_Toc1466225620"/>
      <w:r>
        <w:t xml:space="preserve">The </w:t>
      </w:r>
      <w:r w:rsidR="00A444FF">
        <w:t>d</w:t>
      </w:r>
      <w:r w:rsidR="00A444FF" w:rsidRPr="00A444FF">
        <w:t xml:space="preserve">ifference between the percentage of Aboriginal </w:t>
      </w:r>
      <w:r w:rsidR="00F55B73">
        <w:t>and/or Torres Strait Islander</w:t>
      </w:r>
      <w:r w:rsidR="00A444FF" w:rsidRPr="00A444FF">
        <w:t xml:space="preserve"> patients and non-Aboriginal </w:t>
      </w:r>
      <w:r w:rsidR="00F55B73">
        <w:t>and/or non-Torres Strait Islander</w:t>
      </w:r>
      <w:r w:rsidR="00A444FF" w:rsidRPr="00A444FF">
        <w:t xml:space="preserve"> patients presenting to ED who did not wait to be treated</w:t>
      </w:r>
      <w:bookmarkEnd w:id="44"/>
    </w:p>
    <w:tbl>
      <w:tblPr>
        <w:tblStyle w:val="TableGrid"/>
        <w:tblW w:w="9349" w:type="dxa"/>
        <w:tblLook w:val="04A0" w:firstRow="1" w:lastRow="0" w:firstColumn="1" w:lastColumn="0" w:noHBand="0" w:noVBand="1"/>
      </w:tblPr>
      <w:tblGrid>
        <w:gridCol w:w="1837"/>
        <w:gridCol w:w="7512"/>
      </w:tblGrid>
      <w:tr w:rsidR="006B6DB7" w:rsidRPr="00315936" w14:paraId="00D5E796"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1AEBEB02" w14:textId="54543546" w:rsidR="00033F3A"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67A35A8E" w14:textId="72F209E1" w:rsidR="00033F3A" w:rsidRPr="00AC34D9" w:rsidRDefault="7FB2071C">
            <w:pPr>
              <w:pStyle w:val="Tabletext"/>
            </w:pPr>
            <w:r>
              <w:t xml:space="preserve">The </w:t>
            </w:r>
            <w:r w:rsidR="00D13580">
              <w:t>d</w:t>
            </w:r>
            <w:r w:rsidR="00D13580" w:rsidRPr="003F6895">
              <w:t xml:space="preserve">ifference between the percentage of Aboriginal </w:t>
            </w:r>
            <w:r w:rsidR="001D7BC3">
              <w:t xml:space="preserve">and/or Torres Strait Islander </w:t>
            </w:r>
            <w:r w:rsidR="00D13580" w:rsidRPr="003F6895">
              <w:t xml:space="preserve">patients and non-Aboriginal </w:t>
            </w:r>
            <w:r w:rsidR="001D7BC3">
              <w:t>and/or non-Torres Strait Islander</w:t>
            </w:r>
            <w:r w:rsidR="00D13580" w:rsidRPr="003F6895">
              <w:t xml:space="preserve"> patients</w:t>
            </w:r>
            <w:r w:rsidR="008C0BBA">
              <w:t xml:space="preserve"> presenting to hospital emergency departments </w:t>
            </w:r>
            <w:r>
              <w:t xml:space="preserve">who did not wait </w:t>
            </w:r>
            <w:r w:rsidR="008C0BBA">
              <w:t xml:space="preserve">to be </w:t>
            </w:r>
            <w:r w:rsidR="0047473F">
              <w:t xml:space="preserve">treated </w:t>
            </w:r>
          </w:p>
        </w:tc>
      </w:tr>
      <w:tr w:rsidR="006B6DB7" w:rsidRPr="00315936" w14:paraId="3D8ED6C6"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9220B7C" w14:textId="77777777" w:rsidR="00033F3A" w:rsidRPr="00315936" w:rsidRDefault="00033F3A">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1A1F4B0C" w14:textId="6B4EA12A" w:rsidR="00033F3A" w:rsidRPr="00AC34D9" w:rsidRDefault="105C0EE0">
            <w:pPr>
              <w:pStyle w:val="Tabletext"/>
              <w:rPr>
                <w:lang w:eastAsia="en-AU"/>
              </w:rPr>
            </w:pPr>
            <w:r w:rsidRPr="4652BBA0">
              <w:rPr>
                <w:rFonts w:eastAsia="Times"/>
              </w:rPr>
              <w:t xml:space="preserve">This measure reports </w:t>
            </w:r>
            <w:r w:rsidR="7FB2071C" w:rsidRPr="4652BBA0">
              <w:rPr>
                <w:rFonts w:eastAsia="Times"/>
              </w:rPr>
              <w:t>t</w:t>
            </w:r>
            <w:r w:rsidR="7FB2071C">
              <w:t xml:space="preserve">he </w:t>
            </w:r>
            <w:r w:rsidR="009912F9">
              <w:t xml:space="preserve">difference </w:t>
            </w:r>
            <w:r w:rsidR="7FB2071C">
              <w:t xml:space="preserve">between the </w:t>
            </w:r>
            <w:r w:rsidR="00491F5E">
              <w:t>percentage</w:t>
            </w:r>
            <w:r w:rsidR="00033F3A">
              <w:t xml:space="preserve"> </w:t>
            </w:r>
            <w:r w:rsidR="7FB2071C">
              <w:t>of Aboriginal</w:t>
            </w:r>
            <w:r w:rsidR="004E627D">
              <w:t xml:space="preserve"> </w:t>
            </w:r>
            <w:r w:rsidR="00F15BF2">
              <w:t>and</w:t>
            </w:r>
            <w:r w:rsidR="001D7BC3">
              <w:t>/or Torres Strait Islander</w:t>
            </w:r>
            <w:r w:rsidR="004E627D">
              <w:t xml:space="preserve"> </w:t>
            </w:r>
            <w:r w:rsidR="00F15BF2">
              <w:t xml:space="preserve">and non-Aboriginal </w:t>
            </w:r>
            <w:r w:rsidR="001D7BC3">
              <w:t>and/or non-Torres Strait Islander</w:t>
            </w:r>
            <w:r w:rsidR="00F15BF2">
              <w:t xml:space="preserve"> </w:t>
            </w:r>
            <w:r w:rsidR="004E627D">
              <w:t>emergency</w:t>
            </w:r>
            <w:r w:rsidR="7FB2071C">
              <w:t xml:space="preserve"> </w:t>
            </w:r>
            <w:r w:rsidR="004E627D">
              <w:t xml:space="preserve">department </w:t>
            </w:r>
            <w:r w:rsidR="7FB2071C">
              <w:t xml:space="preserve">patients who did not wait </w:t>
            </w:r>
            <w:r w:rsidR="004E627D">
              <w:t>for treatment</w:t>
            </w:r>
            <w:r w:rsidR="008313F8">
              <w:t>.</w:t>
            </w:r>
          </w:p>
        </w:tc>
      </w:tr>
      <w:tr w:rsidR="00552712" w:rsidRPr="00315936" w14:paraId="541621A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BD25019" w14:textId="77777777" w:rsidR="00033F3A" w:rsidRPr="00315936" w:rsidRDefault="00033F3A">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43804FB9" w14:textId="6375C824" w:rsidR="004448C6" w:rsidRDefault="00033F3A">
            <w:pPr>
              <w:pStyle w:val="Tabletext"/>
              <w:rPr>
                <w:rFonts w:eastAsia="Times"/>
              </w:rPr>
            </w:pPr>
            <w:r w:rsidRPr="00315936">
              <w:rPr>
                <w:rFonts w:eastAsia="Times"/>
              </w:rPr>
              <w:t xml:space="preserve">This </w:t>
            </w:r>
            <w:r w:rsidR="00C3016B" w:rsidRPr="00315936">
              <w:rPr>
                <w:rFonts w:eastAsia="Times"/>
              </w:rPr>
              <w:t>measure</w:t>
            </w:r>
            <w:r w:rsidRPr="00315936">
              <w:rPr>
                <w:rFonts w:eastAsia="Times"/>
              </w:rPr>
              <w:t xml:space="preserve"> excludes patients with</w:t>
            </w:r>
            <w:r w:rsidR="004448C6">
              <w:rPr>
                <w:rFonts w:eastAsia="Times"/>
              </w:rPr>
              <w:t>:</w:t>
            </w:r>
          </w:p>
          <w:p w14:paraId="3E5788ED" w14:textId="4651022F" w:rsidR="00033F3A" w:rsidRDefault="004448C6" w:rsidP="00AF5A0B">
            <w:pPr>
              <w:pStyle w:val="Tablebullet1"/>
              <w:rPr>
                <w:rFonts w:eastAsia="Times"/>
              </w:rPr>
            </w:pPr>
            <w:r>
              <w:rPr>
                <w:rFonts w:eastAsia="Times"/>
              </w:rPr>
              <w:t>D</w:t>
            </w:r>
            <w:r w:rsidR="00033F3A" w:rsidRPr="00315936">
              <w:rPr>
                <w:rFonts w:eastAsia="Times"/>
              </w:rPr>
              <w:t>eparture status</w:t>
            </w:r>
            <w:r w:rsidR="008F7967">
              <w:rPr>
                <w:rFonts w:eastAsia="Times"/>
              </w:rPr>
              <w:t xml:space="preserve"> code</w:t>
            </w:r>
            <w:r w:rsidR="00033F3A" w:rsidRPr="00315936">
              <w:rPr>
                <w:rFonts w:eastAsia="Times"/>
              </w:rPr>
              <w:t xml:space="preserve"> </w:t>
            </w:r>
            <w:r w:rsidR="00C918DA">
              <w:rPr>
                <w:rFonts w:eastAsia="Times"/>
              </w:rPr>
              <w:t>=</w:t>
            </w:r>
            <w:r w:rsidR="00CA354F">
              <w:rPr>
                <w:rFonts w:eastAsia="Times"/>
              </w:rPr>
              <w:t xml:space="preserve"> </w:t>
            </w:r>
            <w:r w:rsidR="003F74B7">
              <w:rPr>
                <w:rFonts w:eastAsia="Times"/>
              </w:rPr>
              <w:t>‘</w:t>
            </w:r>
            <w:r w:rsidR="5CF27B6A" w:rsidRPr="0C831786">
              <w:rPr>
                <w:rFonts w:eastAsia="Times"/>
              </w:rPr>
              <w:t>8</w:t>
            </w:r>
            <w:r w:rsidR="003F74B7">
              <w:rPr>
                <w:rFonts w:eastAsia="Times"/>
              </w:rPr>
              <w:t>’</w:t>
            </w:r>
            <w:r w:rsidR="00DF3D6F">
              <w:rPr>
                <w:rFonts w:eastAsia="Times"/>
              </w:rPr>
              <w:t xml:space="preserve"> </w:t>
            </w:r>
            <w:r w:rsidR="00033F3A" w:rsidRPr="00315936">
              <w:rPr>
                <w:rFonts w:eastAsia="Times"/>
              </w:rPr>
              <w:t xml:space="preserve"> Dead on Arrival</w:t>
            </w:r>
          </w:p>
          <w:p w14:paraId="44700CEA" w14:textId="1CA1A6E6" w:rsidR="00C3549A" w:rsidRPr="00C3549A" w:rsidRDefault="00176192" w:rsidP="00736265">
            <w:pPr>
              <w:pStyle w:val="Tablebullet1"/>
              <w:rPr>
                <w:rFonts w:eastAsia="Times"/>
              </w:rPr>
            </w:pPr>
            <w:r>
              <w:rPr>
                <w:rFonts w:eastAsia="Times"/>
              </w:rPr>
              <w:t xml:space="preserve">Departure status code </w:t>
            </w:r>
            <w:r w:rsidR="00C918DA">
              <w:rPr>
                <w:rFonts w:eastAsia="Times"/>
              </w:rPr>
              <w:t>=</w:t>
            </w:r>
            <w:r>
              <w:rPr>
                <w:rFonts w:eastAsia="Times"/>
              </w:rPr>
              <w:t xml:space="preserve"> </w:t>
            </w:r>
            <w:r w:rsidR="003F74B7">
              <w:rPr>
                <w:rFonts w:eastAsia="Times"/>
              </w:rPr>
              <w:t>‘</w:t>
            </w:r>
            <w:r w:rsidRPr="00C3549A">
              <w:rPr>
                <w:rFonts w:eastAsia="Times"/>
              </w:rPr>
              <w:t>30</w:t>
            </w:r>
            <w:r w:rsidR="003F74B7">
              <w:rPr>
                <w:rFonts w:eastAsia="Times"/>
              </w:rPr>
              <w:t>’</w:t>
            </w:r>
            <w:r w:rsidR="00C918DA">
              <w:rPr>
                <w:rFonts w:eastAsia="Times"/>
              </w:rPr>
              <w:t xml:space="preserve"> </w:t>
            </w:r>
            <w:r w:rsidR="001F0C4B" w:rsidRPr="00C3549A">
              <w:rPr>
                <w:rFonts w:eastAsia="Times"/>
              </w:rPr>
              <w:t xml:space="preserve"> </w:t>
            </w:r>
            <w:r w:rsidR="008B1571">
              <w:rPr>
                <w:rFonts w:eastAsia="Times"/>
              </w:rPr>
              <w:t xml:space="preserve">Left after clinical advice regarding treatment options - </w:t>
            </w:r>
            <w:r w:rsidR="000A463E" w:rsidRPr="00C3549A">
              <w:rPr>
                <w:rFonts w:eastAsia="Times"/>
              </w:rPr>
              <w:t>GP c</w:t>
            </w:r>
            <w:r w:rsidR="001F0C4B" w:rsidRPr="00C3549A">
              <w:rPr>
                <w:rFonts w:eastAsia="Times"/>
              </w:rPr>
              <w:t>o</w:t>
            </w:r>
            <w:r w:rsidR="000A463E" w:rsidRPr="00C3549A">
              <w:rPr>
                <w:rFonts w:eastAsia="Times"/>
              </w:rPr>
              <w:t>-</w:t>
            </w:r>
            <w:r w:rsidR="001F0C4B" w:rsidRPr="00C3549A">
              <w:rPr>
                <w:rFonts w:eastAsia="Times"/>
              </w:rPr>
              <w:t>located clinic</w:t>
            </w:r>
            <w:r w:rsidR="008B1571">
              <w:rPr>
                <w:rFonts w:eastAsia="Times"/>
              </w:rPr>
              <w:t xml:space="preserve"> or Priority Primary Care Centre (PPCC)</w:t>
            </w:r>
          </w:p>
          <w:p w14:paraId="589AB723" w14:textId="1FC2EE01" w:rsidR="00C3549A" w:rsidRPr="00C3549A" w:rsidRDefault="00F667B8" w:rsidP="00736265">
            <w:pPr>
              <w:pStyle w:val="Tablebullet1"/>
              <w:rPr>
                <w:rFonts w:eastAsia="Times"/>
              </w:rPr>
            </w:pPr>
            <w:r w:rsidRPr="00C3549A">
              <w:rPr>
                <w:rFonts w:eastAsia="Times"/>
              </w:rPr>
              <w:t xml:space="preserve">Indigenous status code = </w:t>
            </w:r>
            <w:r w:rsidR="003F74B7">
              <w:rPr>
                <w:rFonts w:eastAsia="Times"/>
              </w:rPr>
              <w:t>‘</w:t>
            </w:r>
            <w:r w:rsidRPr="00C3549A">
              <w:rPr>
                <w:rFonts w:eastAsia="Times"/>
              </w:rPr>
              <w:t>8</w:t>
            </w:r>
            <w:r w:rsidR="003F74B7">
              <w:rPr>
                <w:rFonts w:eastAsia="Times"/>
              </w:rPr>
              <w:t>’</w:t>
            </w:r>
            <w:r w:rsidRPr="00C3549A">
              <w:rPr>
                <w:rFonts w:eastAsia="Times"/>
              </w:rPr>
              <w:t xml:space="preserve"> Question unable to be asked </w:t>
            </w:r>
            <w:r w:rsidR="07E55791" w:rsidRPr="00C3549A">
              <w:rPr>
                <w:rFonts w:eastAsia="Times"/>
              </w:rPr>
              <w:t>or</w:t>
            </w:r>
            <w:r w:rsidRPr="00C3549A">
              <w:rPr>
                <w:rFonts w:eastAsia="Times"/>
              </w:rPr>
              <w:t xml:space="preserve"> </w:t>
            </w:r>
            <w:r w:rsidR="003F74B7">
              <w:rPr>
                <w:rFonts w:eastAsia="Times"/>
              </w:rPr>
              <w:t>‘</w:t>
            </w:r>
            <w:r w:rsidRPr="00C3549A">
              <w:rPr>
                <w:rFonts w:eastAsia="Times"/>
              </w:rPr>
              <w:t>9</w:t>
            </w:r>
            <w:r w:rsidR="003F74B7">
              <w:rPr>
                <w:rFonts w:eastAsia="Times"/>
              </w:rPr>
              <w:t>’</w:t>
            </w:r>
            <w:r w:rsidRPr="00C3549A">
              <w:rPr>
                <w:rFonts w:eastAsia="Times"/>
              </w:rPr>
              <w:t xml:space="preserve"> Patient refused to answer</w:t>
            </w:r>
            <w:r w:rsidR="00662BAD" w:rsidRPr="00C3549A">
              <w:rPr>
                <w:rFonts w:eastAsia="Times"/>
              </w:rPr>
              <w:t>.</w:t>
            </w:r>
          </w:p>
          <w:p w14:paraId="6001FBEB" w14:textId="0183366D" w:rsidR="00067F29" w:rsidRDefault="0CD07983" w:rsidP="00736265">
            <w:pPr>
              <w:pStyle w:val="Tablebullet1"/>
              <w:rPr>
                <w:rFonts w:eastAsia="Times"/>
              </w:rPr>
            </w:pPr>
            <w:r w:rsidRPr="2C4E36D3">
              <w:rPr>
                <w:rFonts w:eastAsia="Times"/>
              </w:rPr>
              <w:t xml:space="preserve">Victorian Virtual Emergency </w:t>
            </w:r>
            <w:r w:rsidRPr="351BC747">
              <w:rPr>
                <w:rFonts w:eastAsia="Times"/>
              </w:rPr>
              <w:t>Department (</w:t>
            </w:r>
            <w:r w:rsidR="00E62FCB" w:rsidRPr="351BC747">
              <w:rPr>
                <w:rFonts w:eastAsia="Times"/>
              </w:rPr>
              <w:t>VVED</w:t>
            </w:r>
            <w:r w:rsidR="630964A2" w:rsidRPr="351BC747">
              <w:rPr>
                <w:rFonts w:eastAsia="Times"/>
              </w:rPr>
              <w:t>)</w:t>
            </w:r>
            <w:r w:rsidR="00E62FCB">
              <w:rPr>
                <w:rFonts w:eastAsia="Times"/>
              </w:rPr>
              <w:t xml:space="preserve"> presentations</w:t>
            </w:r>
          </w:p>
          <w:p w14:paraId="6324CE2F" w14:textId="2CBE8F47" w:rsidR="00FC5BC3" w:rsidRPr="00C3549A" w:rsidRDefault="00C502B0" w:rsidP="00736265">
            <w:pPr>
              <w:pStyle w:val="Tablebullet1"/>
              <w:rPr>
                <w:rFonts w:eastAsia="Times"/>
              </w:rPr>
            </w:pPr>
            <w:r>
              <w:rPr>
                <w:rFonts w:eastAsia="Times"/>
              </w:rPr>
              <w:t>Other virtual care</w:t>
            </w:r>
            <w:r w:rsidR="006D45C6">
              <w:rPr>
                <w:rFonts w:eastAsia="Times"/>
              </w:rPr>
              <w:t xml:space="preserve"> presentations</w:t>
            </w:r>
          </w:p>
          <w:p w14:paraId="6F38745C" w14:textId="4FE4AB92" w:rsidR="00662BAD" w:rsidRPr="00F667B8" w:rsidRDefault="4ECC4C12" w:rsidP="1958DFB0">
            <w:pPr>
              <w:pStyle w:val="Tabletext"/>
              <w:rPr>
                <w:rFonts w:eastAsia="Times"/>
              </w:rPr>
            </w:pPr>
            <w:r w:rsidRPr="1958DFB0">
              <w:rPr>
                <w:rFonts w:eastAsia="Times"/>
              </w:rPr>
              <w:lastRenderedPageBreak/>
              <w:t xml:space="preserve">The denominator for the percentage of Aboriginal </w:t>
            </w:r>
            <w:r w:rsidR="004E3BBD">
              <w:rPr>
                <w:rFonts w:eastAsia="Times"/>
              </w:rPr>
              <w:t>and/or Torres Strait Islander</w:t>
            </w:r>
            <w:r w:rsidRPr="1958DFB0">
              <w:rPr>
                <w:rFonts w:eastAsia="Times"/>
              </w:rPr>
              <w:t xml:space="preserve"> patients who </w:t>
            </w:r>
            <w:r w:rsidRPr="4FA7065F">
              <w:rPr>
                <w:rFonts w:eastAsia="Times"/>
              </w:rPr>
              <w:t xml:space="preserve">did not wait to be </w:t>
            </w:r>
            <w:r w:rsidRPr="23618E00">
              <w:rPr>
                <w:rFonts w:eastAsia="Times"/>
              </w:rPr>
              <w:t>treated</w:t>
            </w:r>
            <w:r w:rsidRPr="1958DFB0">
              <w:rPr>
                <w:rFonts w:eastAsia="Times"/>
              </w:rPr>
              <w:t xml:space="preserve"> is the number of </w:t>
            </w:r>
            <w:r w:rsidRPr="74A1C863">
              <w:rPr>
                <w:rFonts w:eastAsia="Times"/>
              </w:rPr>
              <w:t>emergenc</w:t>
            </w:r>
            <w:r w:rsidR="5B2B2E1D" w:rsidRPr="74A1C863">
              <w:rPr>
                <w:rFonts w:eastAsia="Times"/>
              </w:rPr>
              <w:t>y presentations</w:t>
            </w:r>
            <w:r w:rsidRPr="1958DFB0">
              <w:rPr>
                <w:rFonts w:eastAsia="Times"/>
              </w:rPr>
              <w:t xml:space="preserve"> that satisfy the following condition:</w:t>
            </w:r>
          </w:p>
          <w:p w14:paraId="748AF648" w14:textId="19DB35DD" w:rsidR="00662BAD" w:rsidRPr="00F667B8" w:rsidRDefault="4ECC4C12" w:rsidP="00736265">
            <w:pPr>
              <w:pStyle w:val="Tablebullet1"/>
              <w:rPr>
                <w:rFonts w:eastAsia="Times"/>
              </w:rPr>
            </w:pPr>
            <w:r w:rsidRPr="1958DFB0">
              <w:rPr>
                <w:rFonts w:eastAsia="Times"/>
              </w:rPr>
              <w:t xml:space="preserve"> Indigenous status code of </w:t>
            </w:r>
            <w:r w:rsidR="00492925">
              <w:rPr>
                <w:rFonts w:eastAsia="Times"/>
              </w:rPr>
              <w:t>‘</w:t>
            </w:r>
            <w:r w:rsidRPr="1958DFB0">
              <w:rPr>
                <w:rFonts w:eastAsia="Times"/>
              </w:rPr>
              <w:t>1</w:t>
            </w:r>
            <w:r w:rsidR="00492925">
              <w:rPr>
                <w:rFonts w:eastAsia="Times"/>
              </w:rPr>
              <w:t>’</w:t>
            </w:r>
            <w:r w:rsidRPr="1958DFB0">
              <w:rPr>
                <w:rFonts w:eastAsia="Times"/>
              </w:rPr>
              <w:t xml:space="preserve"> - </w:t>
            </w:r>
            <w:r w:rsidRPr="1958DFB0">
              <w:rPr>
                <w:rFonts w:eastAsia="Arial"/>
              </w:rPr>
              <w:t xml:space="preserve">Aboriginal but not Torres Strait Islander origin, </w:t>
            </w:r>
            <w:r w:rsidR="00492925">
              <w:rPr>
                <w:rFonts w:eastAsia="Arial"/>
              </w:rPr>
              <w:t>‘</w:t>
            </w:r>
            <w:r w:rsidRPr="1958DFB0">
              <w:rPr>
                <w:rFonts w:eastAsia="Arial"/>
              </w:rPr>
              <w:t>2</w:t>
            </w:r>
            <w:r w:rsidR="00492925">
              <w:rPr>
                <w:rFonts w:eastAsia="Arial"/>
              </w:rPr>
              <w:t>’</w:t>
            </w:r>
            <w:r w:rsidRPr="1958DFB0">
              <w:rPr>
                <w:rFonts w:eastAsia="Arial"/>
              </w:rPr>
              <w:t xml:space="preserve"> - Torres Strait Islander but not Aboriginal origin, or </w:t>
            </w:r>
            <w:r w:rsidR="00492925">
              <w:rPr>
                <w:rFonts w:eastAsia="Arial"/>
              </w:rPr>
              <w:t>‘</w:t>
            </w:r>
            <w:r w:rsidRPr="1958DFB0">
              <w:rPr>
                <w:rFonts w:eastAsia="Arial"/>
              </w:rPr>
              <w:t>3</w:t>
            </w:r>
            <w:r w:rsidR="00492925">
              <w:rPr>
                <w:rFonts w:eastAsia="Arial"/>
              </w:rPr>
              <w:t>’</w:t>
            </w:r>
            <w:r w:rsidRPr="1958DFB0">
              <w:rPr>
                <w:rFonts w:eastAsia="Arial"/>
              </w:rPr>
              <w:t xml:space="preserve"> - Both Aboriginal and Torres Strait Islander origin</w:t>
            </w:r>
          </w:p>
          <w:p w14:paraId="361D9062" w14:textId="25305CE5" w:rsidR="00662BAD" w:rsidRPr="00F667B8" w:rsidRDefault="4ECC4C12" w:rsidP="1958DFB0">
            <w:pPr>
              <w:pStyle w:val="Tabletext"/>
              <w:rPr>
                <w:rFonts w:eastAsia="Times"/>
              </w:rPr>
            </w:pPr>
            <w:r w:rsidRPr="1958DFB0">
              <w:rPr>
                <w:rFonts w:eastAsia="Times"/>
              </w:rPr>
              <w:t xml:space="preserve">For non-Aboriginal </w:t>
            </w:r>
            <w:r w:rsidR="004E3BBD">
              <w:rPr>
                <w:rFonts w:eastAsia="Times"/>
              </w:rPr>
              <w:t>and/or non-Torres Strait Islander</w:t>
            </w:r>
            <w:r w:rsidRPr="1958DFB0">
              <w:rPr>
                <w:rFonts w:eastAsia="Times"/>
              </w:rPr>
              <w:t xml:space="preserve"> patients, the denominator is the number of </w:t>
            </w:r>
            <w:r w:rsidR="0625469A" w:rsidRPr="304CC7CC">
              <w:rPr>
                <w:rFonts w:eastAsia="Times"/>
              </w:rPr>
              <w:t xml:space="preserve">emergency </w:t>
            </w:r>
            <w:r w:rsidR="0625469A" w:rsidRPr="50E41807">
              <w:rPr>
                <w:rFonts w:eastAsia="Times"/>
              </w:rPr>
              <w:t>presentations</w:t>
            </w:r>
            <w:r w:rsidRPr="1958DFB0">
              <w:rPr>
                <w:rFonts w:eastAsia="Times"/>
              </w:rPr>
              <w:t xml:space="preserve"> that satisfy the following condition:</w:t>
            </w:r>
          </w:p>
          <w:p w14:paraId="49902FD0" w14:textId="647DA4E0" w:rsidR="00662BAD" w:rsidRPr="00F667B8" w:rsidRDefault="4ECC4C12" w:rsidP="00C918DA">
            <w:pPr>
              <w:pStyle w:val="Tablebullet1"/>
              <w:rPr>
                <w:rFonts w:eastAsia="Times"/>
              </w:rPr>
            </w:pPr>
            <w:r w:rsidRPr="1958DFB0">
              <w:rPr>
                <w:rFonts w:eastAsia="Times"/>
              </w:rPr>
              <w:t xml:space="preserve">Indigenous status code </w:t>
            </w:r>
            <w:r w:rsidR="00430D54">
              <w:rPr>
                <w:rFonts w:eastAsia="Times"/>
              </w:rPr>
              <w:t>=</w:t>
            </w:r>
            <w:r w:rsidRPr="1958DFB0">
              <w:rPr>
                <w:rFonts w:eastAsia="Times"/>
              </w:rPr>
              <w:t xml:space="preserve"> </w:t>
            </w:r>
            <w:r w:rsidR="00492925">
              <w:rPr>
                <w:rFonts w:eastAsia="Times"/>
              </w:rPr>
              <w:t>‘</w:t>
            </w:r>
            <w:r w:rsidRPr="1958DFB0">
              <w:rPr>
                <w:rFonts w:eastAsia="Times"/>
              </w:rPr>
              <w:t>4</w:t>
            </w:r>
            <w:r w:rsidR="00492925">
              <w:rPr>
                <w:rFonts w:eastAsia="Times"/>
              </w:rPr>
              <w:t>’</w:t>
            </w:r>
            <w:r w:rsidRPr="1958DFB0">
              <w:rPr>
                <w:rFonts w:eastAsia="Times"/>
              </w:rPr>
              <w:t xml:space="preserve"> - </w:t>
            </w:r>
            <w:r>
              <w:t>Neither Aboriginal nor Torres Strait Islander origin</w:t>
            </w:r>
          </w:p>
          <w:p w14:paraId="6CBC751D" w14:textId="64F43B8C" w:rsidR="00662BAD" w:rsidRPr="00F667B8" w:rsidRDefault="4ECC4C12" w:rsidP="1958DFB0">
            <w:pPr>
              <w:pStyle w:val="Tabletext"/>
              <w:rPr>
                <w:rFonts w:eastAsia="Times"/>
              </w:rPr>
            </w:pPr>
            <w:r w:rsidRPr="1958DFB0">
              <w:rPr>
                <w:rFonts w:eastAsia="Times"/>
              </w:rPr>
              <w:t xml:space="preserve">The numerator in both percentages is the number of </w:t>
            </w:r>
            <w:r w:rsidR="12164AE9" w:rsidRPr="50E41807">
              <w:rPr>
                <w:rFonts w:eastAsia="Times"/>
              </w:rPr>
              <w:t>emergency presentations</w:t>
            </w:r>
            <w:r w:rsidRPr="1958DFB0">
              <w:rPr>
                <w:rFonts w:eastAsia="Times"/>
              </w:rPr>
              <w:t xml:space="preserve"> in the respective denominators that satisfy the following condition:</w:t>
            </w:r>
          </w:p>
          <w:p w14:paraId="623DC1CA" w14:textId="197161A6" w:rsidR="00662BAD" w:rsidRPr="003B7688" w:rsidRDefault="3011AF40" w:rsidP="006B6DB7">
            <w:pPr>
              <w:pStyle w:val="Tablebullet1"/>
              <w:rPr>
                <w:rFonts w:eastAsia="Times"/>
              </w:rPr>
            </w:pPr>
            <w:r w:rsidRPr="133CE699">
              <w:rPr>
                <w:rFonts w:eastAsia="Times"/>
              </w:rPr>
              <w:t xml:space="preserve">Departure status code </w:t>
            </w:r>
            <w:r w:rsidR="00430D54">
              <w:rPr>
                <w:rFonts w:eastAsia="Times"/>
              </w:rPr>
              <w:t>=</w:t>
            </w:r>
            <w:r w:rsidRPr="133CE699">
              <w:rPr>
                <w:rFonts w:eastAsia="Times"/>
              </w:rPr>
              <w:t xml:space="preserve"> </w:t>
            </w:r>
            <w:r w:rsidR="00492925">
              <w:rPr>
                <w:rFonts w:eastAsia="Times"/>
              </w:rPr>
              <w:t>‘</w:t>
            </w:r>
            <w:r w:rsidRPr="133CE699">
              <w:rPr>
                <w:rFonts w:eastAsia="Times"/>
              </w:rPr>
              <w:t>11</w:t>
            </w:r>
            <w:r w:rsidR="00492925">
              <w:rPr>
                <w:rFonts w:eastAsia="Times"/>
              </w:rPr>
              <w:t>’</w:t>
            </w:r>
            <w:r w:rsidRPr="133CE699">
              <w:rPr>
                <w:rFonts w:eastAsia="Times"/>
              </w:rPr>
              <w:t xml:space="preserve"> - </w:t>
            </w:r>
            <w:r w:rsidRPr="133CE699">
              <w:rPr>
                <w:rFonts w:eastAsia="Arial" w:cs="Arial"/>
                <w:szCs w:val="21"/>
              </w:rPr>
              <w:t>Left at own risk, without treatment</w:t>
            </w:r>
          </w:p>
          <w:p w14:paraId="3F2CCEA1" w14:textId="2A9E0A64" w:rsidR="00033F3A" w:rsidRPr="00315936" w:rsidRDefault="0DD9D6EB">
            <w:pPr>
              <w:pStyle w:val="Tabletext"/>
              <w:rPr>
                <w:rFonts w:eastAsia="Times"/>
              </w:rPr>
            </w:pPr>
            <w:r w:rsidRPr="6FD91E33">
              <w:rPr>
                <w:rFonts w:eastAsia="Times"/>
              </w:rPr>
              <w:t xml:space="preserve">This </w:t>
            </w:r>
            <w:r w:rsidR="00C3016B" w:rsidRPr="6FD91E33">
              <w:rPr>
                <w:rFonts w:eastAsia="Times"/>
              </w:rPr>
              <w:t>measure</w:t>
            </w:r>
            <w:r w:rsidRPr="6FD91E33">
              <w:rPr>
                <w:rFonts w:eastAsia="Times"/>
              </w:rPr>
              <w:t xml:space="preserve"> is rounded </w:t>
            </w:r>
            <w:r w:rsidR="776A0802" w:rsidRPr="5F330602">
              <w:rPr>
                <w:rFonts w:eastAsia="Times"/>
              </w:rPr>
              <w:t>to the nearest whole number</w:t>
            </w:r>
            <w:r w:rsidRPr="6FD91E33">
              <w:rPr>
                <w:rFonts w:eastAsia="Times"/>
              </w:rPr>
              <w:t>.</w:t>
            </w:r>
          </w:p>
          <w:p w14:paraId="34FFCADC" w14:textId="37C45A25" w:rsidR="00033F3A" w:rsidRPr="00315936" w:rsidRDefault="0DD9D6EB">
            <w:pPr>
              <w:pStyle w:val="Tabletext"/>
            </w:pPr>
            <w:r w:rsidRPr="6FD91E33">
              <w:t xml:space="preserve">Results </w:t>
            </w:r>
            <w:r w:rsidR="00BE500D">
              <w:t>are</w:t>
            </w:r>
            <w:r w:rsidR="00BE500D" w:rsidRPr="6FD91E33">
              <w:t xml:space="preserve"> </w:t>
            </w:r>
            <w:r w:rsidRPr="6FD91E33">
              <w:t xml:space="preserve">not reported where </w:t>
            </w:r>
            <w:r w:rsidR="67A786AA" w:rsidRPr="6FD91E33">
              <w:t xml:space="preserve">either percentage has </w:t>
            </w:r>
            <w:r w:rsidR="00430D54">
              <w:t>a</w:t>
            </w:r>
            <w:r w:rsidR="00430D54" w:rsidRPr="6FD91E33">
              <w:t xml:space="preserve"> </w:t>
            </w:r>
            <w:r w:rsidRPr="6FD91E33">
              <w:t>denominator less than 10.</w:t>
            </w:r>
            <w:r w:rsidRPr="6FD91E33">
              <w:rPr>
                <w:rStyle w:val="eop"/>
              </w:rPr>
              <w:t> </w:t>
            </w:r>
          </w:p>
        </w:tc>
      </w:tr>
      <w:tr w:rsidR="00033F3A" w:rsidRPr="00315936" w14:paraId="02A1C56B"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7014F0CE" w14:textId="77777777" w:rsidR="00033F3A" w:rsidRPr="00315936" w:rsidRDefault="00033F3A">
            <w:pPr>
              <w:pStyle w:val="Tablecolhead"/>
              <w:rPr>
                <w:b w:val="0"/>
                <w:lang w:eastAsia="en-AU"/>
              </w:rPr>
            </w:pPr>
            <w:r w:rsidRPr="00315936">
              <w:rPr>
                <w:b w:val="0"/>
                <w:lang w:eastAsia="en-AU"/>
              </w:rPr>
              <w:lastRenderedPageBreak/>
              <w:t>Numerator</w:t>
            </w:r>
          </w:p>
        </w:tc>
        <w:tc>
          <w:tcPr>
            <w:tcW w:w="7512" w:type="dxa"/>
            <w:tcBorders>
              <w:left w:val="single" w:sz="6" w:space="0" w:color="000000" w:themeColor="text1"/>
            </w:tcBorders>
          </w:tcPr>
          <w:p w14:paraId="03936264" w14:textId="072C2EF8" w:rsidR="00251638" w:rsidRPr="00251638" w:rsidRDefault="00251638" w:rsidP="00251638">
            <w:pPr>
              <w:pStyle w:val="Tabletext"/>
              <w:rPr>
                <w:rFonts w:eastAsia="Times"/>
              </w:rPr>
            </w:pPr>
            <w:r w:rsidRPr="00251638">
              <w:rPr>
                <w:rFonts w:eastAsia="Times"/>
              </w:rPr>
              <w:t xml:space="preserve">Percentage of Aboriginal </w:t>
            </w:r>
            <w:r w:rsidRPr="00251638" w:rsidDel="00576035">
              <w:rPr>
                <w:rFonts w:eastAsia="Times"/>
              </w:rPr>
              <w:t xml:space="preserve">and/or Torres Strait Islander </w:t>
            </w:r>
            <w:r w:rsidRPr="00251638">
              <w:rPr>
                <w:rFonts w:eastAsia="Times"/>
              </w:rPr>
              <w:t xml:space="preserve">emergency department presentations with a departure mode of ‘did not wait’ (Departure </w:t>
            </w:r>
            <w:r w:rsidR="00EB6A5D">
              <w:rPr>
                <w:rFonts w:eastAsia="Times"/>
              </w:rPr>
              <w:t>s</w:t>
            </w:r>
            <w:r w:rsidRPr="00251638">
              <w:rPr>
                <w:rFonts w:eastAsia="Times"/>
              </w:rPr>
              <w:t xml:space="preserve">tatus </w:t>
            </w:r>
            <w:r w:rsidR="00EB6A5D">
              <w:rPr>
                <w:rFonts w:eastAsia="Times"/>
              </w:rPr>
              <w:t>c</w:t>
            </w:r>
            <w:r w:rsidRPr="00251638">
              <w:rPr>
                <w:rFonts w:eastAsia="Times"/>
              </w:rPr>
              <w:t>ode = 11). </w:t>
            </w:r>
          </w:p>
          <w:p w14:paraId="48323B31" w14:textId="7FD7DD83" w:rsidR="00251638" w:rsidRPr="00894A52" w:rsidRDefault="00173F3E" w:rsidP="00251638">
            <w:pPr>
              <w:pStyle w:val="Tabletext"/>
              <w:rPr>
                <w:rFonts w:eastAsia="Times"/>
                <w:i/>
                <w:iCs/>
              </w:rPr>
            </w:pPr>
            <w:r>
              <w:rPr>
                <w:rFonts w:eastAsia="Times"/>
                <w:i/>
                <w:iCs/>
              </w:rPr>
              <w:t>m</w:t>
            </w:r>
            <w:r w:rsidR="00251638" w:rsidRPr="00894A52">
              <w:rPr>
                <w:rFonts w:eastAsia="Times"/>
                <w:i/>
                <w:iCs/>
              </w:rPr>
              <w:t>inus  </w:t>
            </w:r>
          </w:p>
          <w:p w14:paraId="6E670E70" w14:textId="1E8D7B1C" w:rsidR="00033F3A" w:rsidRPr="00251638" w:rsidRDefault="00251638">
            <w:pPr>
              <w:pStyle w:val="Tabletext"/>
              <w:rPr>
                <w:rFonts w:eastAsia="Times"/>
              </w:rPr>
            </w:pPr>
            <w:r w:rsidRPr="00251638">
              <w:rPr>
                <w:rFonts w:eastAsia="Times"/>
              </w:rPr>
              <w:t>Percentage of non</w:t>
            </w:r>
            <w:r w:rsidR="00662BAD" w:rsidRPr="00251638">
              <w:rPr>
                <w:rFonts w:eastAsia="Times"/>
              </w:rPr>
              <w:t>-Aboriginal</w:t>
            </w:r>
            <w:r w:rsidRPr="00251638">
              <w:rPr>
                <w:rFonts w:eastAsia="Times"/>
              </w:rPr>
              <w:t xml:space="preserve"> </w:t>
            </w:r>
            <w:r w:rsidR="004E3BBD">
              <w:rPr>
                <w:rFonts w:eastAsia="Times"/>
              </w:rPr>
              <w:t>and</w:t>
            </w:r>
            <w:r w:rsidR="009B49D3">
              <w:rPr>
                <w:rFonts w:eastAsia="Times"/>
              </w:rPr>
              <w:t xml:space="preserve">/or non-Torres Strait Islander </w:t>
            </w:r>
            <w:r w:rsidRPr="00251638">
              <w:rPr>
                <w:rFonts w:eastAsia="Times"/>
              </w:rPr>
              <w:t xml:space="preserve">emergency department presentations with a departure mode of ‘did not wait’ (Departure </w:t>
            </w:r>
            <w:r w:rsidR="00EB6A5D">
              <w:rPr>
                <w:rFonts w:eastAsia="Times"/>
              </w:rPr>
              <w:t>s</w:t>
            </w:r>
            <w:r w:rsidRPr="00251638">
              <w:rPr>
                <w:rFonts w:eastAsia="Times"/>
              </w:rPr>
              <w:t xml:space="preserve">tatus </w:t>
            </w:r>
            <w:r w:rsidR="00EB6A5D">
              <w:rPr>
                <w:rFonts w:eastAsia="Times"/>
              </w:rPr>
              <w:t>c</w:t>
            </w:r>
            <w:r w:rsidRPr="00251638">
              <w:rPr>
                <w:rFonts w:eastAsia="Times"/>
              </w:rPr>
              <w:t>ode = 11). </w:t>
            </w:r>
          </w:p>
        </w:tc>
      </w:tr>
      <w:tr w:rsidR="00033F3A" w:rsidRPr="00315936" w14:paraId="4C50B202"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31F4E8C" w14:textId="77777777" w:rsidR="00033F3A" w:rsidRPr="00315936" w:rsidRDefault="00033F3A">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33151EF0" w14:textId="647FEFE4" w:rsidR="00033F3A" w:rsidRPr="00315936" w:rsidRDefault="00251638">
            <w:pPr>
              <w:pStyle w:val="Tabletext"/>
            </w:pPr>
            <w:r>
              <w:rPr>
                <w:rFonts w:eastAsia="Times"/>
              </w:rPr>
              <w:t>N/A</w:t>
            </w:r>
          </w:p>
        </w:tc>
      </w:tr>
      <w:tr w:rsidR="00033F3A" w:rsidRPr="00315936" w14:paraId="348A4927"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EC9C1E1" w14:textId="77777777" w:rsidR="00033F3A" w:rsidRPr="00315936" w:rsidRDefault="00033F3A">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2D1FB5B2" w14:textId="6833B6D5" w:rsidR="00033F3A" w:rsidRPr="00315936" w:rsidRDefault="003B2864">
            <w:pPr>
              <w:pStyle w:val="Tabletext"/>
            </w:pPr>
            <w:r>
              <w:t xml:space="preserve">0 per cent </w:t>
            </w:r>
          </w:p>
        </w:tc>
      </w:tr>
      <w:tr w:rsidR="00033F3A" w:rsidRPr="00315936" w14:paraId="12ABEE48"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CFECAA3" w14:textId="1292B568" w:rsidR="00033F3A" w:rsidRPr="00315936" w:rsidRDefault="00033F3A">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75B0975E" w14:textId="55BDFBE9" w:rsidR="00033F3A" w:rsidRPr="00315936" w:rsidRDefault="003B2864">
            <w:pPr>
              <w:pStyle w:val="Tabletext"/>
            </w:pPr>
            <w:r>
              <w:t>No difference between Aboriginal and</w:t>
            </w:r>
            <w:r w:rsidR="009B49D3">
              <w:t xml:space="preserve">/or </w:t>
            </w:r>
            <w:r w:rsidR="0080445D">
              <w:t>Torres Strait Islander</w:t>
            </w:r>
            <w:r>
              <w:t xml:space="preserve"> and non-Aboriginal </w:t>
            </w:r>
            <w:r w:rsidR="0080445D">
              <w:t>and/or non-Torres Strait Islander</w:t>
            </w:r>
            <w:r w:rsidR="0012597E">
              <w:t xml:space="preserve"> patients </w:t>
            </w:r>
          </w:p>
        </w:tc>
      </w:tr>
      <w:tr w:rsidR="00033F3A" w:rsidRPr="00315936" w14:paraId="02993DD4"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8E100D1" w14:textId="4D05D42F" w:rsidR="00033F3A" w:rsidRPr="00315936" w:rsidRDefault="00033F3A">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1AE948C4" w14:textId="561A3D7D" w:rsidR="00033F3A" w:rsidRPr="00315936" w:rsidRDefault="003B2864" w:rsidP="00572526">
            <w:pPr>
              <w:pStyle w:val="Tabletext"/>
              <w:spacing w:line="259" w:lineRule="auto"/>
              <w:rPr>
                <w:rFonts w:eastAsia="Times"/>
              </w:rPr>
            </w:pPr>
            <w:r>
              <w:rPr>
                <w:rFonts w:eastAsia="Times"/>
              </w:rPr>
              <w:t>A differen</w:t>
            </w:r>
            <w:r w:rsidR="00653331">
              <w:rPr>
                <w:rFonts w:eastAsia="Times"/>
              </w:rPr>
              <w:t>ce</w:t>
            </w:r>
            <w:r>
              <w:rPr>
                <w:rFonts w:eastAsia="Times"/>
              </w:rPr>
              <w:t xml:space="preserve"> between Aboriginal and</w:t>
            </w:r>
            <w:r w:rsidR="0012597E">
              <w:rPr>
                <w:rFonts w:eastAsia="Times"/>
              </w:rPr>
              <w:t>/or Torres Strait Islander</w:t>
            </w:r>
            <w:r>
              <w:rPr>
                <w:rFonts w:eastAsia="Times"/>
              </w:rPr>
              <w:t xml:space="preserve"> and non-Aboriginal </w:t>
            </w:r>
            <w:r w:rsidR="00990A8B">
              <w:rPr>
                <w:rFonts w:eastAsia="Times"/>
              </w:rPr>
              <w:t xml:space="preserve">and/or </w:t>
            </w:r>
            <w:r w:rsidR="00514293">
              <w:rPr>
                <w:rFonts w:eastAsia="Times"/>
              </w:rPr>
              <w:t>non-</w:t>
            </w:r>
            <w:r w:rsidR="00990A8B">
              <w:rPr>
                <w:rFonts w:eastAsia="Times"/>
              </w:rPr>
              <w:t>Torres Strait Islander</w:t>
            </w:r>
            <w:r>
              <w:rPr>
                <w:rFonts w:eastAsia="Times"/>
              </w:rPr>
              <w:t xml:space="preserve"> patients</w:t>
            </w:r>
          </w:p>
        </w:tc>
      </w:tr>
      <w:tr w:rsidR="00033F3A" w:rsidRPr="00315936" w14:paraId="41EC6F42"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FB7658F" w14:textId="77777777" w:rsidR="00033F3A" w:rsidRPr="00315936" w:rsidRDefault="00033F3A">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29BFE622" w14:textId="7A0B9608" w:rsidR="00033F3A" w:rsidRPr="00315936" w:rsidRDefault="0044017C">
            <w:pPr>
              <w:pStyle w:val="Tabletext"/>
              <w:rPr>
                <w:lang w:eastAsia="en-AU"/>
              </w:rPr>
            </w:pPr>
            <w:r w:rsidRPr="00315936">
              <w:t>For the purpose of the performance risk assessment</w:t>
            </w:r>
            <w:r>
              <w:t>,</w:t>
            </w:r>
            <w:r w:rsidRPr="00315936">
              <w:t xml:space="preserve"> improvement is assessed against the previous quarter performance.</w:t>
            </w:r>
          </w:p>
        </w:tc>
      </w:tr>
      <w:tr w:rsidR="00033F3A" w:rsidRPr="00315936" w14:paraId="769E8C75"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267506B4" w14:textId="77777777" w:rsidR="00033F3A" w:rsidRPr="00315936" w:rsidRDefault="00033F3A">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79D3032A" w14:textId="3A15BAA3" w:rsidR="00BD6AC8" w:rsidRPr="00315936" w:rsidRDefault="00BD6AC8" w:rsidP="00BD6AC8">
            <w:pPr>
              <w:pStyle w:val="Tabletext"/>
              <w:rPr>
                <w:rFonts w:eastAsia="Times"/>
              </w:rPr>
            </w:pPr>
            <w:r w:rsidRPr="00315936">
              <w:rPr>
                <w:rFonts w:eastAsia="Times"/>
              </w:rPr>
              <w:t xml:space="preserve">Performance is reported quarterly at the </w:t>
            </w:r>
            <w:r w:rsidR="009E755D" w:rsidRPr="00315936">
              <w:rPr>
                <w:rFonts w:eastAsia="Times"/>
              </w:rPr>
              <w:t>campus</w:t>
            </w:r>
            <w:r w:rsidRPr="00315936">
              <w:rPr>
                <w:rFonts w:eastAsia="Times"/>
              </w:rPr>
              <w:t xml:space="preserve"> level</w:t>
            </w:r>
          </w:p>
          <w:p w14:paraId="6EF636BB" w14:textId="2CE9C64B" w:rsidR="00033F3A" w:rsidRPr="00315936" w:rsidRDefault="00033F3A">
            <w:pPr>
              <w:pStyle w:val="Tabletext"/>
              <w:rPr>
                <w:lang w:eastAsia="en-AU"/>
              </w:rPr>
            </w:pPr>
            <w:r w:rsidRPr="00315936">
              <w:rPr>
                <w:rFonts w:eastAsia="Times"/>
              </w:rPr>
              <w:t xml:space="preserve">Data are </w:t>
            </w:r>
            <w:r w:rsidR="00BD6AC8" w:rsidRPr="00315936">
              <w:rPr>
                <w:rFonts w:eastAsia="Times"/>
              </w:rPr>
              <w:t>sourced from</w:t>
            </w:r>
            <w:r w:rsidR="001A7165" w:rsidRPr="00315936">
              <w:rPr>
                <w:rFonts w:eastAsia="Times"/>
              </w:rPr>
              <w:t xml:space="preserve"> the</w:t>
            </w:r>
            <w:r w:rsidR="00B82309" w:rsidRPr="00315936">
              <w:rPr>
                <w:rFonts w:eastAsia="Times"/>
              </w:rPr>
              <w:t xml:space="preserve"> </w:t>
            </w:r>
            <w:r w:rsidRPr="00315936">
              <w:rPr>
                <w:rFonts w:eastAsia="Times"/>
              </w:rPr>
              <w:t>Victorian Emergency Minimum Dataset</w:t>
            </w:r>
            <w:r w:rsidR="00D15EA5">
              <w:rPr>
                <w:rFonts w:eastAsia="Times"/>
              </w:rPr>
              <w:t xml:space="preserve"> (VEMD)</w:t>
            </w:r>
            <w:r w:rsidRPr="00315936">
              <w:rPr>
                <w:rFonts w:eastAsia="Times"/>
              </w:rPr>
              <w:t xml:space="preserve">. </w:t>
            </w:r>
          </w:p>
        </w:tc>
      </w:tr>
    </w:tbl>
    <w:p w14:paraId="77D4A8EE" w14:textId="77777777" w:rsidR="00F73FF0" w:rsidRDefault="00140581" w:rsidP="00235C47">
      <w:pPr>
        <w:pStyle w:val="Heading3"/>
      </w:pPr>
      <w:bookmarkStart w:id="45" w:name="_Toc122350134"/>
      <w:r w:rsidRPr="2ECFC544">
        <w:t>Mental health patient experience</w:t>
      </w:r>
    </w:p>
    <w:p w14:paraId="0080EC24" w14:textId="5D3A3680" w:rsidR="00A444FF" w:rsidRDefault="00A444FF" w:rsidP="008E7F78">
      <w:pPr>
        <w:pStyle w:val="Heading4"/>
      </w:pPr>
      <w:r w:rsidRPr="00ED67A5">
        <w:t>Percentage of consumers</w:t>
      </w:r>
      <w:r w:rsidR="00195812" w:rsidRPr="00195812">
        <w:t xml:space="preserve"> who rated their overall experience with a service in the last three months as positive</w:t>
      </w:r>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00195812" w14:paraId="101AC6F9" w14:textId="77777777" w:rsidTr="00852448">
        <w:trPr>
          <w:trHeight w:val="285"/>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2762E3E" w14:textId="77777777" w:rsidR="00195812" w:rsidRDefault="00195812">
            <w:pPr>
              <w:pStyle w:val="Tablecolhead"/>
              <w:spacing w:line="279" w:lineRule="auto"/>
              <w:rPr>
                <w:rFonts w:eastAsia="Arial" w:cs="Arial"/>
                <w:bCs/>
                <w:szCs w:val="21"/>
              </w:rPr>
            </w:pPr>
            <w:r w:rsidRPr="2ECFC544">
              <w:rPr>
                <w:rFonts w:eastAsia="Arial" w:cs="Arial"/>
                <w:b w:val="0"/>
                <w:szCs w:val="21"/>
              </w:rPr>
              <w:t>Measure</w:t>
            </w:r>
          </w:p>
        </w:tc>
        <w:tc>
          <w:tcPr>
            <w:tcW w:w="7512" w:type="dxa"/>
            <w:tcBorders>
              <w:top w:val="single" w:sz="6" w:space="0" w:color="auto"/>
              <w:left w:val="single" w:sz="6" w:space="0" w:color="000000" w:themeColor="text1"/>
              <w:right w:val="single" w:sz="6" w:space="0" w:color="auto"/>
            </w:tcBorders>
            <w:tcMar>
              <w:left w:w="90" w:type="dxa"/>
              <w:right w:w="90" w:type="dxa"/>
            </w:tcMar>
          </w:tcPr>
          <w:p w14:paraId="1AD8F424" w14:textId="041DC1BC" w:rsidR="00195812" w:rsidRDefault="00737114">
            <w:pPr>
              <w:pStyle w:val="Tabletext"/>
              <w:spacing w:line="279" w:lineRule="auto"/>
              <w:rPr>
                <w:rFonts w:eastAsia="Arial" w:cs="Arial"/>
                <w:szCs w:val="21"/>
              </w:rPr>
            </w:pPr>
            <w:r w:rsidRPr="00737114">
              <w:rPr>
                <w:rFonts w:eastAsia="Arial" w:cs="Arial"/>
                <w:szCs w:val="21"/>
              </w:rPr>
              <w:t>Percentage of consumers who rated their overall experience of care with a service in the last 3 months as positive</w:t>
            </w:r>
            <w:r w:rsidR="00C55676">
              <w:rPr>
                <w:rFonts w:eastAsia="Arial" w:cs="Arial"/>
                <w:szCs w:val="21"/>
              </w:rPr>
              <w:t xml:space="preserve"> </w:t>
            </w:r>
            <w:r w:rsidR="00F86086">
              <w:rPr>
                <w:rFonts w:eastAsia="Arial" w:cs="Arial"/>
                <w:szCs w:val="21"/>
              </w:rPr>
              <w:fldChar w:fldCharType="begin"/>
            </w:r>
            <w:r w:rsidR="00F86086">
              <w:rPr>
                <w:rFonts w:eastAsia="Arial" w:cs="Arial"/>
                <w:szCs w:val="21"/>
              </w:rPr>
              <w:instrText xml:space="preserve"> NOTEREF _Ref201832379 \f \h </w:instrText>
            </w:r>
            <w:r w:rsidR="00F86086">
              <w:rPr>
                <w:rFonts w:eastAsia="Arial" w:cs="Arial"/>
                <w:szCs w:val="21"/>
              </w:rPr>
            </w:r>
            <w:r w:rsidR="00F86086">
              <w:rPr>
                <w:rFonts w:eastAsia="Arial" w:cs="Arial"/>
                <w:szCs w:val="21"/>
              </w:rPr>
              <w:fldChar w:fldCharType="separate"/>
            </w:r>
            <w:r w:rsidR="00F86086" w:rsidRPr="00F86086">
              <w:rPr>
                <w:rStyle w:val="EndnoteReference"/>
                <w:rFonts w:eastAsia="Arial"/>
              </w:rPr>
              <w:t>iv</w:t>
            </w:r>
            <w:r w:rsidR="00F86086">
              <w:rPr>
                <w:rFonts w:eastAsia="Arial" w:cs="Arial"/>
                <w:szCs w:val="21"/>
              </w:rPr>
              <w:fldChar w:fldCharType="end"/>
            </w:r>
          </w:p>
        </w:tc>
      </w:tr>
      <w:tr w:rsidR="00195812" w14:paraId="17C6BEEF"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6E4FF347" w14:textId="77777777" w:rsidR="00195812" w:rsidRDefault="00195812">
            <w:pPr>
              <w:pStyle w:val="Tablecolhead"/>
              <w:spacing w:line="279" w:lineRule="auto"/>
              <w:rPr>
                <w:rFonts w:eastAsia="Arial" w:cs="Arial"/>
                <w:bCs/>
                <w:szCs w:val="21"/>
              </w:rPr>
            </w:pPr>
            <w:r w:rsidRPr="2ECFC544">
              <w:rPr>
                <w:rFonts w:eastAsia="Arial" w:cs="Arial"/>
                <w:b w:val="0"/>
                <w:szCs w:val="21"/>
              </w:rPr>
              <w:t>Description </w:t>
            </w:r>
          </w:p>
        </w:tc>
        <w:tc>
          <w:tcPr>
            <w:tcW w:w="7512" w:type="dxa"/>
            <w:tcBorders>
              <w:left w:val="single" w:sz="6" w:space="0" w:color="000000" w:themeColor="text1"/>
              <w:right w:val="single" w:sz="6" w:space="0" w:color="auto"/>
            </w:tcBorders>
            <w:tcMar>
              <w:left w:w="90" w:type="dxa"/>
              <w:right w:w="90" w:type="dxa"/>
            </w:tcMar>
          </w:tcPr>
          <w:p w14:paraId="0C34ED2C" w14:textId="17562CE1" w:rsidR="00195812" w:rsidRDefault="00195812">
            <w:pPr>
              <w:pStyle w:val="Tabletext"/>
              <w:spacing w:line="279" w:lineRule="auto"/>
              <w:rPr>
                <w:rFonts w:eastAsia="Arial" w:cs="Arial"/>
                <w:szCs w:val="21"/>
              </w:rPr>
            </w:pPr>
            <w:r w:rsidRPr="2ECFC544">
              <w:rPr>
                <w:rFonts w:eastAsia="Arial" w:cs="Arial"/>
                <w:szCs w:val="21"/>
              </w:rPr>
              <w:t xml:space="preserve">Personalised care and support is one of three national mental health and suicide prevention information priorities. It includes collecting and publishing consumer experience data at a range of levels to embed consumer experience of care at the heart of discussions about mental health services. Consumer </w:t>
            </w:r>
            <w:r w:rsidRPr="2ECFC544">
              <w:rPr>
                <w:rFonts w:eastAsia="Arial" w:cs="Arial"/>
                <w:szCs w:val="21"/>
              </w:rPr>
              <w:lastRenderedPageBreak/>
              <w:t>surveys are a key part of efforts to embed and amplify the voices of mental health consumers in service improvement.</w:t>
            </w:r>
          </w:p>
          <w:p w14:paraId="657B668E" w14:textId="77777777" w:rsidR="00195812" w:rsidRDefault="00195812">
            <w:pPr>
              <w:pStyle w:val="Tabletext"/>
              <w:spacing w:line="279" w:lineRule="auto"/>
              <w:rPr>
                <w:rFonts w:eastAsia="Arial" w:cs="Arial"/>
                <w:szCs w:val="21"/>
              </w:rPr>
            </w:pPr>
            <w:r w:rsidRPr="2ECFC544">
              <w:rPr>
                <w:rFonts w:eastAsia="Arial" w:cs="Arial"/>
                <w:szCs w:val="21"/>
              </w:rPr>
              <w:t xml:space="preserve">Additionally, the principles of the </w:t>
            </w:r>
            <w:r w:rsidRPr="2ECFC544">
              <w:rPr>
                <w:rFonts w:eastAsia="Arial" w:cs="Arial"/>
                <w:i/>
                <w:iCs/>
                <w:szCs w:val="21"/>
              </w:rPr>
              <w:t>Mental Health and Wellbeing Act 2022</w:t>
            </w:r>
            <w:r w:rsidRPr="2ECFC544">
              <w:rPr>
                <w:rFonts w:eastAsia="Arial" w:cs="Arial"/>
                <w:szCs w:val="21"/>
              </w:rPr>
              <w:t xml:space="preserve"> require mental health and wellbeing service providers to:</w:t>
            </w:r>
          </w:p>
          <w:p w14:paraId="4A1A50EB" w14:textId="77777777" w:rsidR="00195812" w:rsidRDefault="00195812">
            <w:pPr>
              <w:pStyle w:val="Tablebullet1"/>
              <w:spacing w:line="279" w:lineRule="auto"/>
              <w:rPr>
                <w:rFonts w:eastAsia="Arial" w:cs="Arial"/>
                <w:szCs w:val="21"/>
              </w:rPr>
            </w:pPr>
            <w:r w:rsidRPr="2ECFC544">
              <w:rPr>
                <w:rFonts w:eastAsia="Arial" w:cs="Arial"/>
                <w:szCs w:val="21"/>
              </w:rPr>
              <w:t>support the dignity and autonomy of people living with mental illness or psychological distress</w:t>
            </w:r>
          </w:p>
          <w:p w14:paraId="6E9F2075" w14:textId="77777777" w:rsidR="00195812" w:rsidRDefault="00195812">
            <w:pPr>
              <w:pStyle w:val="Tablebullet1"/>
              <w:spacing w:line="279" w:lineRule="auto"/>
              <w:rPr>
                <w:rFonts w:eastAsia="Arial" w:cs="Arial"/>
                <w:szCs w:val="21"/>
              </w:rPr>
            </w:pPr>
            <w:r w:rsidRPr="2ECFC544">
              <w:rPr>
                <w:rFonts w:eastAsia="Arial" w:cs="Arial"/>
                <w:szCs w:val="21"/>
              </w:rPr>
              <w:t>ensure people are involved in decisions about their treatment, care and support</w:t>
            </w:r>
          </w:p>
          <w:p w14:paraId="69AD2794" w14:textId="77777777" w:rsidR="00195812" w:rsidRDefault="00195812">
            <w:pPr>
              <w:pStyle w:val="Tablebullet1"/>
              <w:spacing w:line="279" w:lineRule="auto"/>
              <w:rPr>
                <w:rFonts w:eastAsia="Arial" w:cs="Arial"/>
                <w:szCs w:val="21"/>
              </w:rPr>
            </w:pPr>
            <w:r w:rsidRPr="2ECFC544">
              <w:rPr>
                <w:rFonts w:eastAsia="Arial" w:cs="Arial"/>
                <w:szCs w:val="21"/>
              </w:rPr>
              <w:t>recognise the role of families, carers and supporters</w:t>
            </w:r>
          </w:p>
          <w:p w14:paraId="32D45B5E" w14:textId="77777777" w:rsidR="00195812" w:rsidRDefault="00195812">
            <w:pPr>
              <w:pStyle w:val="Tablebullet1"/>
              <w:spacing w:line="279" w:lineRule="auto"/>
              <w:rPr>
                <w:rFonts w:eastAsia="Arial" w:cs="Arial"/>
                <w:szCs w:val="21"/>
              </w:rPr>
            </w:pPr>
            <w:r w:rsidRPr="2ECFC544">
              <w:rPr>
                <w:rFonts w:eastAsia="Arial" w:cs="Arial"/>
                <w:szCs w:val="21"/>
              </w:rPr>
              <w:t>ensure the service system responds to the diverse needs and preferences of Victorians.</w:t>
            </w:r>
          </w:p>
          <w:p w14:paraId="0612BC19" w14:textId="55697DB4" w:rsidR="00195812" w:rsidRDefault="00195812">
            <w:pPr>
              <w:pStyle w:val="Tabletext"/>
              <w:spacing w:line="279" w:lineRule="auto"/>
              <w:rPr>
                <w:rFonts w:eastAsia="Arial" w:cs="Arial"/>
                <w:szCs w:val="21"/>
              </w:rPr>
            </w:pPr>
            <w:r w:rsidRPr="2ECFC544">
              <w:rPr>
                <w:rFonts w:eastAsia="Arial" w:cs="Arial"/>
                <w:szCs w:val="21"/>
              </w:rPr>
              <w:t xml:space="preserve">These principles apply to all mental health </w:t>
            </w:r>
            <w:r>
              <w:rPr>
                <w:rFonts w:eastAsia="Arial" w:cs="Arial"/>
                <w:szCs w:val="21"/>
              </w:rPr>
              <w:t xml:space="preserve">and </w:t>
            </w:r>
            <w:r w:rsidRPr="2ECFC544">
              <w:rPr>
                <w:rFonts w:eastAsia="Arial" w:cs="Arial"/>
                <w:szCs w:val="21"/>
              </w:rPr>
              <w:t>wellbeing service providers.</w:t>
            </w:r>
          </w:p>
        </w:tc>
      </w:tr>
      <w:tr w:rsidR="00195812" w14:paraId="66493D68"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3E97A4FA" w14:textId="77777777" w:rsidR="00195812" w:rsidRDefault="00195812">
            <w:pPr>
              <w:pStyle w:val="Tablecolhead"/>
              <w:spacing w:line="279" w:lineRule="auto"/>
              <w:rPr>
                <w:rFonts w:eastAsia="Arial" w:cs="Arial"/>
                <w:bCs/>
                <w:szCs w:val="21"/>
              </w:rPr>
            </w:pPr>
            <w:r w:rsidRPr="2ECFC544">
              <w:rPr>
                <w:rFonts w:eastAsia="Arial" w:cs="Arial"/>
                <w:b w:val="0"/>
                <w:szCs w:val="21"/>
              </w:rPr>
              <w:lastRenderedPageBreak/>
              <w:t>Calculating performance</w:t>
            </w:r>
          </w:p>
        </w:tc>
        <w:tc>
          <w:tcPr>
            <w:tcW w:w="7512" w:type="dxa"/>
            <w:tcBorders>
              <w:left w:val="single" w:sz="6" w:space="0" w:color="000000" w:themeColor="text1"/>
              <w:right w:val="single" w:sz="6" w:space="0" w:color="auto"/>
            </w:tcBorders>
            <w:tcMar>
              <w:left w:w="90" w:type="dxa"/>
              <w:right w:w="90" w:type="dxa"/>
            </w:tcMar>
          </w:tcPr>
          <w:p w14:paraId="1D000CB7" w14:textId="5EB2685E" w:rsidR="00195812" w:rsidRDefault="00E93F06" w:rsidP="775A0E7C">
            <w:pPr>
              <w:pStyle w:val="Tabletext"/>
              <w:spacing w:line="279" w:lineRule="auto"/>
              <w:rPr>
                <w:rFonts w:eastAsia="Arial" w:cs="Arial"/>
              </w:rPr>
            </w:pPr>
            <w:r w:rsidRPr="00E93F06">
              <w:rPr>
                <w:rFonts w:eastAsia="Arial" w:cs="Arial"/>
                <w:szCs w:val="21"/>
              </w:rPr>
              <w:t>Percentage of Your Experience of Service (YES) survey respondents reporting a positive overall experience of care in the last 3 months with a clinical mental health service provider.</w:t>
            </w:r>
          </w:p>
          <w:p w14:paraId="04CD4AC9" w14:textId="38CCF40B" w:rsidR="00195812" w:rsidRDefault="7A1B6DB8" w:rsidP="4558EAF0">
            <w:pPr>
              <w:pStyle w:val="Tabletext"/>
              <w:spacing w:line="279" w:lineRule="auto"/>
              <w:rPr>
                <w:rFonts w:eastAsia="Arial" w:cs="Arial"/>
              </w:rPr>
            </w:pPr>
            <w:r w:rsidRPr="51A53248">
              <w:rPr>
                <w:rFonts w:eastAsia="Arial" w:cs="Arial"/>
              </w:rPr>
              <w:t>The average score of questions 1-22 is calculated for each respondent</w:t>
            </w:r>
            <w:r w:rsidR="01B5651E" w:rsidRPr="51A53248">
              <w:rPr>
                <w:rFonts w:eastAsia="Arial" w:cs="Arial"/>
              </w:rPr>
              <w:t>, where scores range from 1 to 5</w:t>
            </w:r>
            <w:r w:rsidR="000B5A4E">
              <w:rPr>
                <w:rFonts w:eastAsia="Arial" w:cs="Arial"/>
              </w:rPr>
              <w:t xml:space="preserve"> </w:t>
            </w:r>
            <w:r w:rsidR="004A6A74">
              <w:rPr>
                <w:rFonts w:eastAsia="Arial" w:cs="Arial"/>
              </w:rPr>
              <w:t>(</w:t>
            </w:r>
            <w:r w:rsidR="0014734B">
              <w:rPr>
                <w:rFonts w:eastAsia="Arial" w:cs="Arial"/>
              </w:rPr>
              <w:t>responses of</w:t>
            </w:r>
            <w:r w:rsidR="088BA8D1" w:rsidRPr="2CE05B3C">
              <w:rPr>
                <w:rFonts w:eastAsia="Arial" w:cs="Arial"/>
              </w:rPr>
              <w:t xml:space="preserve"> </w:t>
            </w:r>
            <w:r w:rsidR="088BA8D1" w:rsidRPr="041F4919">
              <w:rPr>
                <w:rFonts w:eastAsia="Arial" w:cs="Arial"/>
              </w:rPr>
              <w:t xml:space="preserve">4 and 5 </w:t>
            </w:r>
            <w:r w:rsidR="0014734B">
              <w:rPr>
                <w:rFonts w:eastAsia="Arial" w:cs="Arial"/>
              </w:rPr>
              <w:t xml:space="preserve">are </w:t>
            </w:r>
            <w:r w:rsidR="009F743A">
              <w:rPr>
                <w:rFonts w:eastAsia="Arial" w:cs="Arial"/>
              </w:rPr>
              <w:t>‘p</w:t>
            </w:r>
            <w:r w:rsidR="088BA8D1" w:rsidRPr="041F4919">
              <w:rPr>
                <w:rFonts w:eastAsia="Arial" w:cs="Arial"/>
              </w:rPr>
              <w:t>ositive</w:t>
            </w:r>
            <w:r w:rsidR="009F743A">
              <w:rPr>
                <w:rFonts w:eastAsia="Arial" w:cs="Arial"/>
              </w:rPr>
              <w:t>’</w:t>
            </w:r>
            <w:r w:rsidR="004A6A74">
              <w:rPr>
                <w:rFonts w:eastAsia="Arial" w:cs="Arial"/>
              </w:rPr>
              <w:t>)</w:t>
            </w:r>
            <w:r w:rsidR="088BA8D1" w:rsidRPr="041F4919">
              <w:rPr>
                <w:rFonts w:eastAsia="Arial" w:cs="Arial"/>
              </w:rPr>
              <w:t>.</w:t>
            </w:r>
            <w:r w:rsidR="088BA8D1" w:rsidRPr="27E30DD6">
              <w:rPr>
                <w:rFonts w:eastAsia="Arial" w:cs="Arial"/>
              </w:rPr>
              <w:t xml:space="preserve"> </w:t>
            </w:r>
            <w:r w:rsidR="088BA8D1" w:rsidRPr="758E3C89">
              <w:rPr>
                <w:rFonts w:eastAsia="Arial" w:cs="Arial"/>
              </w:rPr>
              <w:t xml:space="preserve">A respondent </w:t>
            </w:r>
            <w:r w:rsidR="00BE0F46">
              <w:rPr>
                <w:rFonts w:eastAsia="Arial" w:cs="Arial"/>
              </w:rPr>
              <w:t xml:space="preserve">with an </w:t>
            </w:r>
            <w:r w:rsidR="00BE0F46" w:rsidRPr="758E3C89">
              <w:rPr>
                <w:rFonts w:eastAsia="Arial" w:cs="Arial"/>
              </w:rPr>
              <w:t>average score greater than or equal to 4</w:t>
            </w:r>
            <w:r w:rsidR="00BE0F46">
              <w:rPr>
                <w:rFonts w:eastAsia="Arial" w:cs="Arial"/>
              </w:rPr>
              <w:t xml:space="preserve"> </w:t>
            </w:r>
            <w:r w:rsidR="088BA8D1" w:rsidRPr="758E3C89">
              <w:rPr>
                <w:rFonts w:eastAsia="Arial" w:cs="Arial"/>
              </w:rPr>
              <w:t xml:space="preserve">is </w:t>
            </w:r>
            <w:r w:rsidR="00BE0F46">
              <w:rPr>
                <w:rFonts w:eastAsia="Arial" w:cs="Arial"/>
              </w:rPr>
              <w:t xml:space="preserve">considered to have reported a positive </w:t>
            </w:r>
            <w:r w:rsidR="000D1BDA">
              <w:rPr>
                <w:rFonts w:eastAsia="Arial" w:cs="Arial"/>
              </w:rPr>
              <w:t xml:space="preserve">rating of </w:t>
            </w:r>
            <w:r w:rsidR="22990F84" w:rsidRPr="758E3C89">
              <w:rPr>
                <w:rFonts w:eastAsia="Arial" w:cs="Arial"/>
              </w:rPr>
              <w:t>their overall experience of care in the last three months.</w:t>
            </w:r>
          </w:p>
          <w:p w14:paraId="49F4714A" w14:textId="1BAEAB4A" w:rsidR="00195812" w:rsidRDefault="0AA87167" w:rsidP="534FDDBC">
            <w:pPr>
              <w:pStyle w:val="Tabletext"/>
              <w:spacing w:line="279" w:lineRule="auto"/>
              <w:rPr>
                <w:rFonts w:eastAsia="Arial" w:cs="Arial"/>
              </w:rPr>
            </w:pPr>
            <w:r w:rsidRPr="4558EAF0">
              <w:rPr>
                <w:rFonts w:eastAsia="Arial" w:cs="Arial"/>
              </w:rPr>
              <w:t xml:space="preserve">Only valid responses are used </w:t>
            </w:r>
            <w:r w:rsidR="009F743A">
              <w:rPr>
                <w:rFonts w:eastAsia="Arial" w:cs="Arial"/>
              </w:rPr>
              <w:t>to calculate</w:t>
            </w:r>
            <w:r w:rsidRPr="4558EAF0">
              <w:rPr>
                <w:rFonts w:eastAsia="Arial" w:cs="Arial"/>
              </w:rPr>
              <w:t xml:space="preserve"> an average score</w:t>
            </w:r>
            <w:r w:rsidRPr="4E6AF631">
              <w:rPr>
                <w:rFonts w:eastAsia="Arial" w:cs="Arial"/>
              </w:rPr>
              <w:t xml:space="preserve"> and only respon</w:t>
            </w:r>
            <w:r w:rsidR="78E9BD19" w:rsidRPr="4E6AF631">
              <w:rPr>
                <w:rFonts w:eastAsia="Arial" w:cs="Arial"/>
              </w:rPr>
              <w:t xml:space="preserve">dents </w:t>
            </w:r>
            <w:r w:rsidR="740B01B3" w:rsidRPr="122294CF">
              <w:rPr>
                <w:rFonts w:eastAsia="Arial" w:cs="Arial"/>
              </w:rPr>
              <w:t>w</w:t>
            </w:r>
            <w:r w:rsidR="6D3870D1" w:rsidRPr="122294CF">
              <w:rPr>
                <w:rFonts w:eastAsia="Arial" w:cs="Arial"/>
              </w:rPr>
              <w:t>ith valid responses to</w:t>
            </w:r>
            <w:r w:rsidR="78E9BD19" w:rsidRPr="51BFE088">
              <w:rPr>
                <w:rFonts w:eastAsia="Arial" w:cs="Arial"/>
              </w:rPr>
              <w:t xml:space="preserve"> at least 12 of questions 1-</w:t>
            </w:r>
            <w:r w:rsidR="78E9BD19" w:rsidRPr="24CD30FB">
              <w:rPr>
                <w:rFonts w:eastAsia="Arial" w:cs="Arial"/>
              </w:rPr>
              <w:t>22 are included.</w:t>
            </w:r>
          </w:p>
          <w:p w14:paraId="5AA0CF9A" w14:textId="2E7C7008" w:rsidR="00195812" w:rsidRDefault="78E9BD19">
            <w:pPr>
              <w:pStyle w:val="Tabletext"/>
              <w:spacing w:line="279" w:lineRule="auto"/>
              <w:rPr>
                <w:rFonts w:eastAsia="Arial" w:cs="Arial"/>
              </w:rPr>
            </w:pPr>
            <w:r w:rsidRPr="31B596C2">
              <w:rPr>
                <w:rFonts w:eastAsia="Arial" w:cs="Arial"/>
              </w:rPr>
              <w:t xml:space="preserve">Health services with less than </w:t>
            </w:r>
            <w:r w:rsidR="00846658">
              <w:rPr>
                <w:rFonts w:eastAsia="Arial" w:cs="Arial"/>
              </w:rPr>
              <w:t>3</w:t>
            </w:r>
            <w:r w:rsidRPr="31B596C2">
              <w:rPr>
                <w:rFonts w:eastAsia="Arial" w:cs="Arial"/>
              </w:rPr>
              <w:t>0 valid respondents (</w:t>
            </w:r>
            <w:r w:rsidRPr="3949D782">
              <w:rPr>
                <w:rFonts w:eastAsia="Arial" w:cs="Arial"/>
              </w:rPr>
              <w:t xml:space="preserve">i.e. </w:t>
            </w:r>
            <w:r w:rsidR="6C891DB6" w:rsidRPr="618850D9">
              <w:rPr>
                <w:rFonts w:eastAsia="Arial" w:cs="Arial"/>
              </w:rPr>
              <w:t xml:space="preserve">where a valid respondent is one who had </w:t>
            </w:r>
            <w:r w:rsidR="6C891DB6" w:rsidRPr="6A30A5DD">
              <w:rPr>
                <w:rFonts w:eastAsia="Arial" w:cs="Arial"/>
              </w:rPr>
              <w:t xml:space="preserve">a valid answer to </w:t>
            </w:r>
            <w:r w:rsidR="6C891DB6" w:rsidRPr="618850D9">
              <w:rPr>
                <w:rFonts w:eastAsia="Arial" w:cs="Arial"/>
              </w:rPr>
              <w:t xml:space="preserve">at </w:t>
            </w:r>
            <w:r w:rsidRPr="74D76087">
              <w:rPr>
                <w:rFonts w:eastAsia="Arial" w:cs="Arial"/>
              </w:rPr>
              <w:t>least 12 of questions 1-22)</w:t>
            </w:r>
            <w:r w:rsidRPr="3AD9D32E">
              <w:rPr>
                <w:rFonts w:eastAsia="Arial" w:cs="Arial"/>
              </w:rPr>
              <w:t xml:space="preserve"> are not reported separately but </w:t>
            </w:r>
            <w:r w:rsidRPr="597EA635">
              <w:rPr>
                <w:rFonts w:eastAsia="Arial" w:cs="Arial"/>
              </w:rPr>
              <w:t xml:space="preserve">contribute to the </w:t>
            </w:r>
            <w:r w:rsidRPr="1094E3D6">
              <w:rPr>
                <w:rFonts w:eastAsia="Arial" w:cs="Arial"/>
              </w:rPr>
              <w:t>statewi</w:t>
            </w:r>
            <w:r w:rsidR="027C9F74" w:rsidRPr="1094E3D6">
              <w:rPr>
                <w:rFonts w:eastAsia="Arial" w:cs="Arial"/>
              </w:rPr>
              <w:t>de results.</w:t>
            </w:r>
          </w:p>
        </w:tc>
      </w:tr>
      <w:tr w:rsidR="00195812" w14:paraId="1D58C159"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2C59F4A" w14:textId="77777777" w:rsidR="00195812" w:rsidRDefault="00195812">
            <w:pPr>
              <w:pStyle w:val="Tablecolhead"/>
              <w:spacing w:line="279" w:lineRule="auto"/>
              <w:rPr>
                <w:rFonts w:eastAsia="Arial" w:cs="Arial"/>
                <w:bCs/>
                <w:szCs w:val="21"/>
              </w:rPr>
            </w:pPr>
            <w:r w:rsidRPr="2ECFC544">
              <w:rPr>
                <w:rFonts w:eastAsia="Arial" w:cs="Arial"/>
                <w:b w:val="0"/>
                <w:szCs w:val="21"/>
              </w:rPr>
              <w:t>Numerator</w:t>
            </w:r>
          </w:p>
        </w:tc>
        <w:tc>
          <w:tcPr>
            <w:tcW w:w="7512" w:type="dxa"/>
            <w:tcBorders>
              <w:left w:val="single" w:sz="6" w:space="0" w:color="000000" w:themeColor="text1"/>
              <w:right w:val="single" w:sz="6" w:space="0" w:color="auto"/>
            </w:tcBorders>
            <w:tcMar>
              <w:left w:w="90" w:type="dxa"/>
              <w:right w:w="90" w:type="dxa"/>
            </w:tcMar>
          </w:tcPr>
          <w:p w14:paraId="47DA50C0" w14:textId="2894AB47" w:rsidR="00195812" w:rsidRDefault="2531C41C" w:rsidP="000B3C91">
            <w:pPr>
              <w:pStyle w:val="Tabletext"/>
              <w:spacing w:line="279" w:lineRule="auto"/>
              <w:rPr>
                <w:rFonts w:eastAsia="Arial"/>
              </w:rPr>
            </w:pPr>
            <w:r w:rsidRPr="758E3C89">
              <w:rPr>
                <w:rFonts w:eastAsia="Arial" w:cs="Arial"/>
              </w:rPr>
              <w:t xml:space="preserve">Number of </w:t>
            </w:r>
            <w:r w:rsidRPr="4558EAF0">
              <w:rPr>
                <w:rFonts w:eastAsia="Arial" w:cs="Arial"/>
              </w:rPr>
              <w:t>respondents w</w:t>
            </w:r>
            <w:r w:rsidR="21848B59" w:rsidRPr="4558EAF0">
              <w:rPr>
                <w:rFonts w:eastAsia="Arial" w:cs="Arial"/>
              </w:rPr>
              <w:t>hose</w:t>
            </w:r>
            <w:r w:rsidRPr="4558EAF0">
              <w:rPr>
                <w:rFonts w:eastAsia="Arial" w:cs="Arial"/>
              </w:rPr>
              <w:t xml:space="preserve"> average score</w:t>
            </w:r>
            <w:r w:rsidR="00AA2138" w:rsidRPr="758E3C89">
              <w:rPr>
                <w:rFonts w:eastAsia="Arial" w:cs="Arial"/>
              </w:rPr>
              <w:t xml:space="preserve"> to questions 1-22</w:t>
            </w:r>
            <w:r w:rsidR="40B865D5" w:rsidRPr="4558EAF0">
              <w:rPr>
                <w:rFonts w:eastAsia="Arial" w:cs="Arial"/>
              </w:rPr>
              <w:t xml:space="preserve"> </w:t>
            </w:r>
            <w:r w:rsidR="530BAC64" w:rsidRPr="4558EAF0">
              <w:rPr>
                <w:rFonts w:eastAsia="Arial" w:cs="Arial"/>
              </w:rPr>
              <w:t>is</w:t>
            </w:r>
            <w:r w:rsidR="40B865D5" w:rsidRPr="4558EAF0">
              <w:rPr>
                <w:rFonts w:eastAsia="Arial" w:cs="Arial"/>
              </w:rPr>
              <w:t xml:space="preserve"> </w:t>
            </w:r>
            <w:r w:rsidR="530BAC64" w:rsidRPr="4558EAF0">
              <w:rPr>
                <w:rFonts w:eastAsia="Arial" w:cs="Arial"/>
              </w:rPr>
              <w:t>greater than or equal to 4</w:t>
            </w:r>
            <w:r w:rsidR="00AA2138" w:rsidRPr="758E3C89">
              <w:rPr>
                <w:rFonts w:eastAsia="Arial" w:cs="Arial"/>
              </w:rPr>
              <w:t xml:space="preserve">. </w:t>
            </w:r>
          </w:p>
        </w:tc>
      </w:tr>
      <w:tr w:rsidR="00195812" w14:paraId="2A44DE4A"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0FE46E0" w14:textId="77777777" w:rsidR="00195812" w:rsidRDefault="00195812">
            <w:pPr>
              <w:pStyle w:val="Tablecolhead"/>
              <w:spacing w:line="279" w:lineRule="auto"/>
              <w:rPr>
                <w:rFonts w:eastAsia="Arial" w:cs="Arial"/>
                <w:bCs/>
                <w:szCs w:val="21"/>
              </w:rPr>
            </w:pPr>
            <w:r w:rsidRPr="2ECFC544">
              <w:rPr>
                <w:rFonts w:eastAsia="Arial" w:cs="Arial"/>
                <w:b w:val="0"/>
                <w:szCs w:val="21"/>
              </w:rPr>
              <w:t>Denominator</w:t>
            </w:r>
          </w:p>
        </w:tc>
        <w:tc>
          <w:tcPr>
            <w:tcW w:w="7512" w:type="dxa"/>
            <w:tcBorders>
              <w:left w:val="single" w:sz="6" w:space="0" w:color="000000" w:themeColor="text1"/>
              <w:right w:val="single" w:sz="6" w:space="0" w:color="auto"/>
            </w:tcBorders>
            <w:tcMar>
              <w:left w:w="90" w:type="dxa"/>
              <w:right w:w="90" w:type="dxa"/>
            </w:tcMar>
          </w:tcPr>
          <w:p w14:paraId="25AAF34F" w14:textId="0496EC68" w:rsidR="00195812" w:rsidRPr="00C843A7" w:rsidRDefault="000C226B" w:rsidP="00194696">
            <w:pPr>
              <w:pStyle w:val="Tabletext"/>
              <w:spacing w:line="279" w:lineRule="auto"/>
              <w:rPr>
                <w:rFonts w:eastAsia="Arial"/>
              </w:rPr>
            </w:pPr>
            <w:r w:rsidRPr="0412F083">
              <w:rPr>
                <w:rFonts w:eastAsia="Arial" w:cs="Arial"/>
              </w:rPr>
              <w:t xml:space="preserve">Number of </w:t>
            </w:r>
            <w:r w:rsidR="443143D4" w:rsidRPr="0412F083">
              <w:rPr>
                <w:rFonts w:eastAsia="Arial" w:cs="Arial"/>
              </w:rPr>
              <w:t xml:space="preserve">survey respondents who had a </w:t>
            </w:r>
            <w:r w:rsidRPr="0412F083">
              <w:rPr>
                <w:rFonts w:eastAsia="Arial" w:cs="Arial"/>
              </w:rPr>
              <w:t xml:space="preserve">valid </w:t>
            </w:r>
            <w:r w:rsidR="53F26B83" w:rsidRPr="5AA63926">
              <w:rPr>
                <w:rFonts w:eastAsia="Arial" w:cs="Arial"/>
              </w:rPr>
              <w:t xml:space="preserve">answer to at least 12 </w:t>
            </w:r>
            <w:r w:rsidR="53F26B83" w:rsidRPr="1175FF44">
              <w:rPr>
                <w:rFonts w:eastAsia="Arial" w:cs="Arial"/>
              </w:rPr>
              <w:t>of</w:t>
            </w:r>
            <w:r w:rsidRPr="0412F083">
              <w:rPr>
                <w:rFonts w:eastAsia="Arial" w:cs="Arial"/>
              </w:rPr>
              <w:t xml:space="preserve"> questions 1-22 of the YES survey.</w:t>
            </w:r>
          </w:p>
        </w:tc>
      </w:tr>
      <w:tr w:rsidR="00195812" w14:paraId="32324CF7"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F108664" w14:textId="77777777" w:rsidR="00195812" w:rsidRDefault="00195812">
            <w:pPr>
              <w:pStyle w:val="Tablecolhead"/>
              <w:spacing w:line="279" w:lineRule="auto"/>
              <w:rPr>
                <w:rFonts w:eastAsia="Arial" w:cs="Arial"/>
                <w:bCs/>
                <w:szCs w:val="21"/>
              </w:rPr>
            </w:pPr>
            <w:r w:rsidRPr="2ECFC544">
              <w:rPr>
                <w:rFonts w:eastAsia="Arial" w:cs="Arial"/>
                <w:b w:val="0"/>
                <w:szCs w:val="21"/>
              </w:rPr>
              <w:t>Statewide target</w:t>
            </w:r>
          </w:p>
        </w:tc>
        <w:tc>
          <w:tcPr>
            <w:tcW w:w="7512" w:type="dxa"/>
            <w:tcBorders>
              <w:left w:val="single" w:sz="6" w:space="0" w:color="000000" w:themeColor="text1"/>
              <w:right w:val="single" w:sz="6" w:space="0" w:color="auto"/>
            </w:tcBorders>
            <w:tcMar>
              <w:left w:w="90" w:type="dxa"/>
              <w:right w:w="90" w:type="dxa"/>
            </w:tcMar>
            <w:vAlign w:val="center"/>
          </w:tcPr>
          <w:p w14:paraId="28006513" w14:textId="77777777" w:rsidR="00195812" w:rsidRDefault="00195812">
            <w:pPr>
              <w:pStyle w:val="Tabletext"/>
              <w:spacing w:line="279" w:lineRule="auto"/>
              <w:rPr>
                <w:rFonts w:eastAsia="Arial" w:cs="Arial"/>
                <w:szCs w:val="21"/>
              </w:rPr>
            </w:pPr>
            <w:r w:rsidRPr="2ECFC544">
              <w:rPr>
                <w:rFonts w:eastAsia="Arial" w:cs="Arial"/>
                <w:szCs w:val="21"/>
              </w:rPr>
              <w:t>80 per cent</w:t>
            </w:r>
          </w:p>
        </w:tc>
      </w:tr>
      <w:tr w:rsidR="00195812" w14:paraId="621060AB"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4EBF6903" w14:textId="77777777" w:rsidR="00195812" w:rsidRDefault="00195812">
            <w:pPr>
              <w:pStyle w:val="Tablecolhead"/>
              <w:spacing w:line="279" w:lineRule="auto"/>
              <w:rPr>
                <w:rFonts w:eastAsia="Arial" w:cs="Arial"/>
                <w:bCs/>
                <w:szCs w:val="21"/>
              </w:rPr>
            </w:pPr>
            <w:r w:rsidRPr="2ECFC544">
              <w:rPr>
                <w:rFonts w:eastAsia="Arial" w:cs="Arial"/>
                <w:b w:val="0"/>
                <w:szCs w:val="21"/>
              </w:rPr>
              <w:t>Achieved</w:t>
            </w:r>
          </w:p>
        </w:tc>
        <w:tc>
          <w:tcPr>
            <w:tcW w:w="7512" w:type="dxa"/>
            <w:tcBorders>
              <w:left w:val="single" w:sz="6" w:space="0" w:color="000000" w:themeColor="text1"/>
              <w:right w:val="single" w:sz="6" w:space="0" w:color="auto"/>
            </w:tcBorders>
            <w:tcMar>
              <w:left w:w="90" w:type="dxa"/>
              <w:right w:w="90" w:type="dxa"/>
            </w:tcMar>
          </w:tcPr>
          <w:p w14:paraId="202C644B" w14:textId="5DAAEFEA" w:rsidR="00195812" w:rsidRDefault="00653331">
            <w:pPr>
              <w:pStyle w:val="Tabletext"/>
              <w:spacing w:line="279" w:lineRule="auto"/>
              <w:rPr>
                <w:rFonts w:eastAsia="Arial" w:cs="Arial"/>
                <w:szCs w:val="21"/>
              </w:rPr>
            </w:pPr>
            <w:r>
              <w:rPr>
                <w:rFonts w:eastAsia="Arial" w:cs="Arial"/>
                <w:szCs w:val="21"/>
              </w:rPr>
              <w:t>Greater than or e</w:t>
            </w:r>
            <w:r w:rsidR="00195812" w:rsidRPr="2ECFC544">
              <w:rPr>
                <w:rFonts w:eastAsia="Arial" w:cs="Arial"/>
                <w:szCs w:val="21"/>
              </w:rPr>
              <w:t>qual to 80 per cent</w:t>
            </w:r>
          </w:p>
        </w:tc>
      </w:tr>
      <w:tr w:rsidR="00195812" w14:paraId="14DAF6D9"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9596EA4" w14:textId="77777777" w:rsidR="00195812" w:rsidRDefault="00195812">
            <w:pPr>
              <w:pStyle w:val="Tablecolhead"/>
              <w:spacing w:line="279" w:lineRule="auto"/>
              <w:rPr>
                <w:rFonts w:eastAsia="Arial" w:cs="Arial"/>
                <w:bCs/>
                <w:szCs w:val="21"/>
              </w:rPr>
            </w:pPr>
            <w:r w:rsidRPr="2ECFC544">
              <w:rPr>
                <w:rFonts w:eastAsia="Arial" w:cs="Arial"/>
                <w:b w:val="0"/>
                <w:szCs w:val="21"/>
              </w:rPr>
              <w:t>Not achieved</w:t>
            </w:r>
          </w:p>
        </w:tc>
        <w:tc>
          <w:tcPr>
            <w:tcW w:w="7512" w:type="dxa"/>
            <w:tcBorders>
              <w:left w:val="single" w:sz="6" w:space="0" w:color="000000" w:themeColor="text1"/>
              <w:right w:val="single" w:sz="6" w:space="0" w:color="auto"/>
            </w:tcBorders>
            <w:tcMar>
              <w:left w:w="90" w:type="dxa"/>
              <w:right w:w="90" w:type="dxa"/>
            </w:tcMar>
          </w:tcPr>
          <w:p w14:paraId="66F66058" w14:textId="4AEFC76A" w:rsidR="00195812" w:rsidRDefault="00653331">
            <w:pPr>
              <w:pStyle w:val="Tabletext"/>
              <w:spacing w:line="279" w:lineRule="auto"/>
              <w:rPr>
                <w:rFonts w:eastAsia="Arial" w:cs="Arial"/>
                <w:szCs w:val="21"/>
              </w:rPr>
            </w:pPr>
            <w:r>
              <w:rPr>
                <w:rFonts w:eastAsia="Arial" w:cs="Arial"/>
                <w:szCs w:val="21"/>
              </w:rPr>
              <w:t>Less than</w:t>
            </w:r>
            <w:r w:rsidR="00195812" w:rsidRPr="2ECFC544">
              <w:rPr>
                <w:rFonts w:eastAsia="Arial" w:cs="Arial"/>
                <w:szCs w:val="21"/>
              </w:rPr>
              <w:t xml:space="preserve"> 80 per cent</w:t>
            </w:r>
          </w:p>
        </w:tc>
      </w:tr>
      <w:tr w:rsidR="00195812" w14:paraId="6C9907EC" w14:textId="77777777" w:rsidTr="00852448">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F3CA55F" w14:textId="77777777" w:rsidR="00195812" w:rsidRDefault="00195812">
            <w:pPr>
              <w:pStyle w:val="Tablecolhead"/>
              <w:spacing w:line="279" w:lineRule="auto"/>
              <w:rPr>
                <w:rFonts w:eastAsia="Arial" w:cs="Arial"/>
                <w:bCs/>
                <w:szCs w:val="21"/>
              </w:rPr>
            </w:pPr>
            <w:r w:rsidRPr="2ECFC544">
              <w:rPr>
                <w:rFonts w:eastAsia="Arial" w:cs="Arial"/>
                <w:b w:val="0"/>
                <w:szCs w:val="21"/>
              </w:rPr>
              <w:t>Improvement</w:t>
            </w:r>
          </w:p>
        </w:tc>
        <w:tc>
          <w:tcPr>
            <w:tcW w:w="7512" w:type="dxa"/>
            <w:tcBorders>
              <w:left w:val="single" w:sz="6" w:space="0" w:color="000000" w:themeColor="text1"/>
              <w:right w:val="single" w:sz="6" w:space="0" w:color="auto"/>
            </w:tcBorders>
            <w:tcMar>
              <w:left w:w="90" w:type="dxa"/>
              <w:right w:w="90" w:type="dxa"/>
            </w:tcMar>
          </w:tcPr>
          <w:p w14:paraId="44A0EC60" w14:textId="77777777" w:rsidR="00195812" w:rsidRDefault="00195812">
            <w:pPr>
              <w:pStyle w:val="Tabletext"/>
              <w:spacing w:line="279" w:lineRule="auto"/>
              <w:rPr>
                <w:rFonts w:eastAsia="Arial" w:cs="Arial"/>
                <w:szCs w:val="21"/>
              </w:rPr>
            </w:pPr>
            <w:r w:rsidRPr="2ECFC544">
              <w:rPr>
                <w:rFonts w:eastAsia="Arial" w:cs="Arial"/>
                <w:szCs w:val="21"/>
              </w:rPr>
              <w:t>For the purpose of the performance risk assessment, improvement is compared to previous period performance.</w:t>
            </w:r>
          </w:p>
        </w:tc>
      </w:tr>
      <w:tr w:rsidR="00195812" w14:paraId="2D65F8A2" w14:textId="77777777" w:rsidTr="00852448">
        <w:trPr>
          <w:trHeight w:val="285"/>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90" w:type="dxa"/>
              <w:right w:w="90" w:type="dxa"/>
            </w:tcMar>
          </w:tcPr>
          <w:p w14:paraId="45D1DBE6" w14:textId="77777777" w:rsidR="00195812" w:rsidRDefault="00195812">
            <w:pPr>
              <w:pStyle w:val="Tablecolhead"/>
              <w:spacing w:line="279" w:lineRule="auto"/>
              <w:rPr>
                <w:rFonts w:eastAsia="Arial" w:cs="Arial"/>
                <w:bCs/>
                <w:szCs w:val="21"/>
              </w:rPr>
            </w:pPr>
            <w:r w:rsidRPr="2ECFC544">
              <w:rPr>
                <w:rFonts w:eastAsia="Arial" w:cs="Arial"/>
                <w:b w:val="0"/>
                <w:szCs w:val="21"/>
              </w:rPr>
              <w:t>Frequency of reporting and data collection</w:t>
            </w:r>
          </w:p>
        </w:tc>
        <w:tc>
          <w:tcPr>
            <w:tcW w:w="7512" w:type="dxa"/>
            <w:tcBorders>
              <w:left w:val="single" w:sz="6" w:space="0" w:color="000000" w:themeColor="text1"/>
              <w:bottom w:val="single" w:sz="6" w:space="0" w:color="auto"/>
              <w:right w:val="single" w:sz="6" w:space="0" w:color="auto"/>
            </w:tcBorders>
            <w:tcMar>
              <w:left w:w="90" w:type="dxa"/>
              <w:right w:w="90" w:type="dxa"/>
            </w:tcMar>
          </w:tcPr>
          <w:p w14:paraId="1EEDE770" w14:textId="77777777" w:rsidR="00195812" w:rsidRDefault="00195812">
            <w:pPr>
              <w:pStyle w:val="Tabletext"/>
              <w:spacing w:line="279" w:lineRule="auto"/>
              <w:rPr>
                <w:rFonts w:eastAsia="Arial" w:cs="Arial"/>
                <w:szCs w:val="21"/>
              </w:rPr>
            </w:pPr>
            <w:r w:rsidRPr="2ECFC544">
              <w:rPr>
                <w:rFonts w:eastAsia="Arial" w:cs="Arial"/>
                <w:szCs w:val="21"/>
              </w:rPr>
              <w:t xml:space="preserve">Performance is reported annually by </w:t>
            </w:r>
            <w:r>
              <w:rPr>
                <w:rFonts w:eastAsia="Arial" w:cs="Arial"/>
                <w:szCs w:val="21"/>
              </w:rPr>
              <w:t>health service</w:t>
            </w:r>
            <w:r w:rsidRPr="2ECFC544">
              <w:rPr>
                <w:rFonts w:eastAsia="Arial" w:cs="Arial"/>
                <w:szCs w:val="21"/>
              </w:rPr>
              <w:t>.</w:t>
            </w:r>
          </w:p>
          <w:p w14:paraId="1F7A2EE6" w14:textId="4F5E89EC" w:rsidR="00195812" w:rsidRDefault="00195812" w:rsidP="00A77268">
            <w:pPr>
              <w:pStyle w:val="Tabletext"/>
              <w:spacing w:line="279" w:lineRule="auto"/>
              <w:rPr>
                <w:rFonts w:eastAsia="Arial" w:cs="Arial"/>
              </w:rPr>
            </w:pPr>
            <w:r w:rsidRPr="2ECFC544">
              <w:rPr>
                <w:rFonts w:eastAsia="Arial" w:cs="Arial"/>
                <w:szCs w:val="21"/>
              </w:rPr>
              <w:t>Data are sourced from the YES survey (clinical services)</w:t>
            </w:r>
            <w:r w:rsidR="00A62C0E">
              <w:rPr>
                <w:rFonts w:eastAsia="Arial" w:cs="Arial"/>
                <w:szCs w:val="21"/>
              </w:rPr>
              <w:t>.</w:t>
            </w:r>
            <w:r w:rsidRPr="2ECFC544">
              <w:rPr>
                <w:rFonts w:eastAsia="Arial" w:cs="Arial"/>
                <w:szCs w:val="21"/>
              </w:rPr>
              <w:t xml:space="preserve"> The YES survey </w:t>
            </w:r>
            <w:r w:rsidR="00C843A7">
              <w:rPr>
                <w:rFonts w:eastAsia="Arial" w:cs="Arial"/>
                <w:szCs w:val="21"/>
              </w:rPr>
              <w:t>is</w:t>
            </w:r>
            <w:r w:rsidRPr="2ECFC544">
              <w:rPr>
                <w:rFonts w:eastAsia="Arial" w:cs="Arial"/>
                <w:szCs w:val="21"/>
              </w:rPr>
              <w:t xml:space="preserve"> generally collected during a defined census period each year. </w:t>
            </w:r>
            <w:r w:rsidRPr="46BECCC4">
              <w:rPr>
                <w:rFonts w:eastAsia="Arial" w:cs="Arial"/>
              </w:rPr>
              <w:t>Participation is based on health services providing the questionnaire to recipients</w:t>
            </w:r>
            <w:r w:rsidR="00A77268">
              <w:rPr>
                <w:rFonts w:eastAsia="Arial" w:cs="Arial"/>
              </w:rPr>
              <w:t xml:space="preserve">. </w:t>
            </w:r>
            <w:r w:rsidR="00A77268">
              <w:rPr>
                <w:rFonts w:eastAsia="Arial" w:cs="Arial"/>
                <w:szCs w:val="21"/>
              </w:rPr>
              <w:t>A</w:t>
            </w:r>
            <w:r w:rsidR="00A77268" w:rsidRPr="2ECFC544">
              <w:rPr>
                <w:rFonts w:eastAsia="Arial" w:cs="Arial"/>
                <w:szCs w:val="21"/>
              </w:rPr>
              <w:t xml:space="preserve">t least 30 responses </w:t>
            </w:r>
            <w:r w:rsidR="00A77268">
              <w:rPr>
                <w:rFonts w:eastAsia="Arial" w:cs="Arial"/>
                <w:szCs w:val="21"/>
              </w:rPr>
              <w:t>are required</w:t>
            </w:r>
            <w:r w:rsidR="00A77268" w:rsidRPr="2ECFC544">
              <w:rPr>
                <w:rFonts w:eastAsia="Arial" w:cs="Arial"/>
                <w:szCs w:val="21"/>
              </w:rPr>
              <w:t xml:space="preserve"> to enable statistically significant analysis</w:t>
            </w:r>
            <w:r w:rsidRPr="46BECCC4">
              <w:rPr>
                <w:rFonts w:eastAsia="Arial" w:cs="Arial"/>
              </w:rPr>
              <w:t>.</w:t>
            </w:r>
          </w:p>
        </w:tc>
      </w:tr>
    </w:tbl>
    <w:p w14:paraId="40A06D63" w14:textId="6B145A62" w:rsidR="00140581" w:rsidRPr="00ED67A5" w:rsidRDefault="7ED0BF37" w:rsidP="008E7F78">
      <w:pPr>
        <w:pStyle w:val="Heading4"/>
        <w:rPr>
          <w:i/>
          <w:iCs/>
        </w:rPr>
      </w:pPr>
      <w:r w:rsidRPr="00ED67A5">
        <w:lastRenderedPageBreak/>
        <w:t>Percentage of families/carers reporting a ‘very good’ or ‘excellent’ overall experience of service</w:t>
      </w:r>
      <w:bookmarkEnd w:id="45"/>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2ECFC544" w14:paraId="60CA6111" w14:textId="77777777" w:rsidTr="006B6DB7">
        <w:trPr>
          <w:trHeight w:val="285"/>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373477F5" w14:textId="0F8F8D0C" w:rsidR="2ECFC544" w:rsidRDefault="2ECFC544" w:rsidP="008111B9">
            <w:pPr>
              <w:pStyle w:val="Tablecolhead"/>
              <w:spacing w:line="279" w:lineRule="auto"/>
              <w:rPr>
                <w:rFonts w:eastAsia="Arial" w:cs="Arial"/>
                <w:bCs/>
                <w:szCs w:val="21"/>
              </w:rPr>
            </w:pPr>
            <w:r w:rsidRPr="2ECFC544">
              <w:rPr>
                <w:rFonts w:eastAsia="Arial" w:cs="Arial"/>
                <w:b w:val="0"/>
                <w:szCs w:val="21"/>
              </w:rPr>
              <w:t>Measure</w:t>
            </w:r>
          </w:p>
        </w:tc>
        <w:tc>
          <w:tcPr>
            <w:tcW w:w="7512" w:type="dxa"/>
            <w:tcBorders>
              <w:top w:val="single" w:sz="6" w:space="0" w:color="auto"/>
              <w:left w:val="single" w:sz="6" w:space="0" w:color="000000" w:themeColor="text1"/>
              <w:right w:val="single" w:sz="6" w:space="0" w:color="auto"/>
            </w:tcBorders>
            <w:tcMar>
              <w:left w:w="90" w:type="dxa"/>
              <w:right w:w="90" w:type="dxa"/>
            </w:tcMar>
          </w:tcPr>
          <w:p w14:paraId="7567D8A9" w14:textId="7E80EF86" w:rsidR="2ECFC544" w:rsidRDefault="2ECFC544" w:rsidP="008111B9">
            <w:pPr>
              <w:pStyle w:val="Tabletext"/>
              <w:spacing w:line="279" w:lineRule="auto"/>
              <w:rPr>
                <w:rFonts w:eastAsia="Arial" w:cs="Arial"/>
                <w:szCs w:val="21"/>
              </w:rPr>
            </w:pPr>
            <w:r w:rsidRPr="2ECFC544">
              <w:rPr>
                <w:rFonts w:eastAsia="Arial" w:cs="Arial"/>
                <w:szCs w:val="21"/>
              </w:rPr>
              <w:t>Percentage of families/carers reporting a ‘very good’ or ‘excellent’ overall experience of service</w:t>
            </w:r>
            <w:r w:rsidR="00C55676">
              <w:rPr>
                <w:rFonts w:eastAsia="Arial" w:cs="Arial"/>
                <w:szCs w:val="21"/>
              </w:rPr>
              <w:t xml:space="preserve"> </w:t>
            </w:r>
            <w:r w:rsidR="00F86086">
              <w:rPr>
                <w:rFonts w:eastAsia="Arial"/>
              </w:rPr>
              <w:fldChar w:fldCharType="begin"/>
            </w:r>
            <w:r w:rsidR="00F86086">
              <w:rPr>
                <w:rFonts w:eastAsia="Arial" w:cs="Arial"/>
                <w:szCs w:val="21"/>
              </w:rPr>
              <w:instrText xml:space="preserve"> NOTEREF _Ref201832379 \f \h </w:instrText>
            </w:r>
            <w:r w:rsidR="00F86086">
              <w:rPr>
                <w:rFonts w:eastAsia="Arial"/>
              </w:rPr>
            </w:r>
            <w:r w:rsidR="00F86086">
              <w:rPr>
                <w:rFonts w:eastAsia="Arial"/>
              </w:rPr>
              <w:fldChar w:fldCharType="separate"/>
            </w:r>
            <w:r w:rsidR="00F86086" w:rsidRPr="00F86086">
              <w:rPr>
                <w:rStyle w:val="EndnoteReference"/>
                <w:rFonts w:eastAsia="Arial"/>
              </w:rPr>
              <w:t>iv</w:t>
            </w:r>
            <w:r w:rsidR="00F86086">
              <w:rPr>
                <w:rFonts w:eastAsia="Arial"/>
              </w:rPr>
              <w:fldChar w:fldCharType="end"/>
            </w:r>
          </w:p>
        </w:tc>
      </w:tr>
      <w:tr w:rsidR="2ECFC544" w14:paraId="0C3B3B64"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12F7FE0" w14:textId="6E265804" w:rsidR="2ECFC544" w:rsidRDefault="2ECFC544" w:rsidP="008111B9">
            <w:pPr>
              <w:pStyle w:val="Tablecolhead"/>
              <w:spacing w:line="279" w:lineRule="auto"/>
              <w:rPr>
                <w:rFonts w:eastAsia="Arial" w:cs="Arial"/>
                <w:bCs/>
                <w:szCs w:val="21"/>
              </w:rPr>
            </w:pPr>
            <w:r w:rsidRPr="2ECFC544">
              <w:rPr>
                <w:rFonts w:eastAsia="Arial" w:cs="Arial"/>
                <w:b w:val="0"/>
                <w:szCs w:val="21"/>
              </w:rPr>
              <w:t>Description </w:t>
            </w:r>
          </w:p>
        </w:tc>
        <w:tc>
          <w:tcPr>
            <w:tcW w:w="7512" w:type="dxa"/>
            <w:tcBorders>
              <w:left w:val="single" w:sz="6" w:space="0" w:color="000000" w:themeColor="text1"/>
              <w:right w:val="single" w:sz="6" w:space="0" w:color="auto"/>
            </w:tcBorders>
            <w:tcMar>
              <w:left w:w="90" w:type="dxa"/>
              <w:right w:w="90" w:type="dxa"/>
            </w:tcMar>
          </w:tcPr>
          <w:p w14:paraId="4B892A15" w14:textId="41B29037" w:rsidR="2ECFC544" w:rsidRDefault="2ECFC544" w:rsidP="008111B9">
            <w:pPr>
              <w:pStyle w:val="Tabletext"/>
              <w:spacing w:line="279" w:lineRule="auto"/>
              <w:rPr>
                <w:rFonts w:eastAsia="Arial" w:cs="Arial"/>
                <w:szCs w:val="21"/>
              </w:rPr>
            </w:pPr>
            <w:r w:rsidRPr="2ECFC544">
              <w:rPr>
                <w:rFonts w:eastAsia="Arial" w:cs="Arial"/>
                <w:szCs w:val="21"/>
              </w:rPr>
              <w:t xml:space="preserve">Personalised care and support is one of three national mental health and suicide prevention information priorities. It includes collecting and publishing consumer experience data at a range of levels to embed consumer experience of care at the heart of discussions about mental health services. </w:t>
            </w:r>
            <w:r w:rsidR="0087509A">
              <w:rPr>
                <w:rFonts w:eastAsia="Arial" w:cs="Arial"/>
                <w:szCs w:val="21"/>
              </w:rPr>
              <w:t>C</w:t>
            </w:r>
            <w:r w:rsidRPr="2ECFC544">
              <w:rPr>
                <w:rFonts w:eastAsia="Arial" w:cs="Arial"/>
                <w:szCs w:val="21"/>
              </w:rPr>
              <w:t>arer experience surveys are a key part of efforts to embed and amplify the voices of mental health carers in service improvement.</w:t>
            </w:r>
          </w:p>
          <w:p w14:paraId="33060B87" w14:textId="45C44D6E" w:rsidR="2ECFC544" w:rsidRDefault="2ECFC544" w:rsidP="008111B9">
            <w:pPr>
              <w:pStyle w:val="Tabletext"/>
              <w:spacing w:line="279" w:lineRule="auto"/>
              <w:rPr>
                <w:rFonts w:eastAsia="Arial" w:cs="Arial"/>
                <w:szCs w:val="21"/>
              </w:rPr>
            </w:pPr>
            <w:r w:rsidRPr="2ECFC544">
              <w:rPr>
                <w:rFonts w:eastAsia="Arial" w:cs="Arial"/>
                <w:szCs w:val="21"/>
              </w:rPr>
              <w:t xml:space="preserve">Additionally, the principles of the </w:t>
            </w:r>
            <w:r w:rsidRPr="2ECFC544">
              <w:rPr>
                <w:rFonts w:eastAsia="Arial" w:cs="Arial"/>
                <w:i/>
                <w:iCs/>
                <w:szCs w:val="21"/>
              </w:rPr>
              <w:t>Mental Health and Wellbeing Act 2022</w:t>
            </w:r>
            <w:r w:rsidRPr="2ECFC544">
              <w:rPr>
                <w:rFonts w:eastAsia="Arial" w:cs="Arial"/>
                <w:szCs w:val="21"/>
              </w:rPr>
              <w:t xml:space="preserve"> require mental health and wellbeing service providers to:</w:t>
            </w:r>
          </w:p>
          <w:p w14:paraId="281F6D26" w14:textId="36770519" w:rsidR="2ECFC544" w:rsidRDefault="2ECFC544" w:rsidP="008111B9">
            <w:pPr>
              <w:pStyle w:val="Tablebullet1"/>
              <w:spacing w:line="279" w:lineRule="auto"/>
              <w:rPr>
                <w:rFonts w:eastAsia="Arial" w:cs="Arial"/>
                <w:szCs w:val="21"/>
              </w:rPr>
            </w:pPr>
            <w:r w:rsidRPr="2ECFC544">
              <w:rPr>
                <w:rFonts w:eastAsia="Arial" w:cs="Arial"/>
                <w:szCs w:val="21"/>
              </w:rPr>
              <w:t>support the dignity and autonomy of people living with mental illness or psychological distress</w:t>
            </w:r>
          </w:p>
          <w:p w14:paraId="0B2F2F92" w14:textId="0D010940" w:rsidR="2ECFC544" w:rsidRDefault="2ECFC544" w:rsidP="008111B9">
            <w:pPr>
              <w:pStyle w:val="Tablebullet1"/>
              <w:spacing w:line="279" w:lineRule="auto"/>
              <w:rPr>
                <w:rFonts w:eastAsia="Arial" w:cs="Arial"/>
                <w:szCs w:val="21"/>
              </w:rPr>
            </w:pPr>
            <w:r w:rsidRPr="2ECFC544">
              <w:rPr>
                <w:rFonts w:eastAsia="Arial" w:cs="Arial"/>
                <w:szCs w:val="21"/>
              </w:rPr>
              <w:t>ensure people are involved in decisions about their treatment, care and support</w:t>
            </w:r>
          </w:p>
          <w:p w14:paraId="2A589027" w14:textId="60B736D3" w:rsidR="2ECFC544" w:rsidRDefault="2ECFC544" w:rsidP="008111B9">
            <w:pPr>
              <w:pStyle w:val="Tablebullet1"/>
              <w:spacing w:line="279" w:lineRule="auto"/>
              <w:rPr>
                <w:rFonts w:eastAsia="Arial" w:cs="Arial"/>
                <w:szCs w:val="21"/>
              </w:rPr>
            </w:pPr>
            <w:r w:rsidRPr="2ECFC544">
              <w:rPr>
                <w:rFonts w:eastAsia="Arial" w:cs="Arial"/>
                <w:szCs w:val="21"/>
              </w:rPr>
              <w:t>recognise the role of families, carers and supporters</w:t>
            </w:r>
          </w:p>
          <w:p w14:paraId="4A3D6E26" w14:textId="03FDA865" w:rsidR="2ECFC544" w:rsidRDefault="2ECFC544" w:rsidP="008111B9">
            <w:pPr>
              <w:pStyle w:val="Tablebullet1"/>
              <w:spacing w:line="279" w:lineRule="auto"/>
              <w:rPr>
                <w:rFonts w:eastAsia="Arial" w:cs="Arial"/>
                <w:szCs w:val="21"/>
              </w:rPr>
            </w:pPr>
            <w:r w:rsidRPr="2ECFC544">
              <w:rPr>
                <w:rFonts w:eastAsia="Arial" w:cs="Arial"/>
                <w:szCs w:val="21"/>
              </w:rPr>
              <w:t>ensure the service system responds to the diverse needs and preferences of Victorians.</w:t>
            </w:r>
          </w:p>
          <w:p w14:paraId="4D2C5785" w14:textId="14D819C7" w:rsidR="2ECFC544" w:rsidRDefault="2ECFC544" w:rsidP="008111B9">
            <w:pPr>
              <w:pStyle w:val="Tabletext"/>
              <w:spacing w:line="279" w:lineRule="auto"/>
              <w:rPr>
                <w:rFonts w:eastAsia="Arial" w:cs="Arial"/>
                <w:szCs w:val="21"/>
              </w:rPr>
            </w:pPr>
            <w:r w:rsidRPr="2ECFC544">
              <w:rPr>
                <w:rFonts w:eastAsia="Arial" w:cs="Arial"/>
                <w:szCs w:val="21"/>
              </w:rPr>
              <w:t xml:space="preserve">These principles apply to all mental health </w:t>
            </w:r>
            <w:r w:rsidR="00620E4C">
              <w:rPr>
                <w:rFonts w:eastAsia="Arial" w:cs="Arial"/>
                <w:szCs w:val="21"/>
              </w:rPr>
              <w:t xml:space="preserve">and </w:t>
            </w:r>
            <w:r w:rsidRPr="2ECFC544">
              <w:rPr>
                <w:rFonts w:eastAsia="Arial" w:cs="Arial"/>
                <w:szCs w:val="21"/>
              </w:rPr>
              <w:t>wellbeing service providers.</w:t>
            </w:r>
          </w:p>
          <w:p w14:paraId="0C161D99" w14:textId="4F855CB0" w:rsidR="2ECFC544" w:rsidRDefault="2ECFC544" w:rsidP="008111B9">
            <w:pPr>
              <w:pStyle w:val="Tabletext"/>
              <w:spacing w:line="279" w:lineRule="auto"/>
              <w:rPr>
                <w:rFonts w:eastAsia="Arial" w:cs="Arial"/>
                <w:szCs w:val="21"/>
              </w:rPr>
            </w:pPr>
            <w:r w:rsidRPr="2ECFC544">
              <w:rPr>
                <w:rFonts w:eastAsia="Arial" w:cs="Arial"/>
                <w:szCs w:val="21"/>
              </w:rPr>
              <w:t xml:space="preserve">Clinical best practice requires identification, recognition, and involvement of families and carers, including children, across the service continuum. Clinicians </w:t>
            </w:r>
            <w:r w:rsidR="00666AFA">
              <w:rPr>
                <w:rFonts w:eastAsia="Arial" w:cs="Arial"/>
                <w:szCs w:val="21"/>
              </w:rPr>
              <w:t>should</w:t>
            </w:r>
            <w:r w:rsidRPr="2ECFC544">
              <w:rPr>
                <w:rFonts w:eastAsia="Arial" w:cs="Arial"/>
                <w:szCs w:val="21"/>
              </w:rPr>
              <w:t xml:space="preserve"> actively engage with families and carers as an essential part of mental health service delivery and acknowledge that some consumers may not want their families involved </w:t>
            </w:r>
            <w:r w:rsidR="00C67C44">
              <w:rPr>
                <w:rFonts w:eastAsia="Arial" w:cs="Arial"/>
                <w:szCs w:val="21"/>
              </w:rPr>
              <w:t>or</w:t>
            </w:r>
            <w:r w:rsidRPr="2ECFC544">
              <w:rPr>
                <w:rFonts w:eastAsia="Arial" w:cs="Arial"/>
                <w:szCs w:val="21"/>
              </w:rPr>
              <w:t xml:space="preserve"> some families may not want to be involved.</w:t>
            </w:r>
          </w:p>
        </w:tc>
      </w:tr>
      <w:tr w:rsidR="2ECFC544" w14:paraId="207B3599"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0C0D947A" w14:textId="7F60E341" w:rsidR="2ECFC544" w:rsidRDefault="2ECFC544" w:rsidP="008111B9">
            <w:pPr>
              <w:pStyle w:val="Tablecolhead"/>
              <w:spacing w:line="279" w:lineRule="auto"/>
              <w:rPr>
                <w:rFonts w:eastAsia="Arial" w:cs="Arial"/>
                <w:bCs/>
                <w:szCs w:val="21"/>
              </w:rPr>
            </w:pPr>
            <w:r w:rsidRPr="2ECFC544">
              <w:rPr>
                <w:rFonts w:eastAsia="Arial" w:cs="Arial"/>
                <w:b w:val="0"/>
                <w:szCs w:val="21"/>
              </w:rPr>
              <w:t>Calculating performance</w:t>
            </w:r>
          </w:p>
        </w:tc>
        <w:tc>
          <w:tcPr>
            <w:tcW w:w="7512" w:type="dxa"/>
            <w:tcBorders>
              <w:left w:val="single" w:sz="6" w:space="0" w:color="000000" w:themeColor="text1"/>
              <w:right w:val="single" w:sz="6" w:space="0" w:color="auto"/>
            </w:tcBorders>
            <w:tcMar>
              <w:left w:w="90" w:type="dxa"/>
              <w:right w:w="90" w:type="dxa"/>
            </w:tcMar>
          </w:tcPr>
          <w:p w14:paraId="1115915A" w14:textId="4261AC00" w:rsidR="2ECFC544" w:rsidRDefault="2ECFC544" w:rsidP="008111B9">
            <w:pPr>
              <w:pStyle w:val="Tabletext"/>
              <w:spacing w:line="279" w:lineRule="auto"/>
              <w:rPr>
                <w:rFonts w:eastAsia="Arial" w:cs="Arial"/>
                <w:szCs w:val="21"/>
              </w:rPr>
            </w:pPr>
            <w:r w:rsidRPr="2ECFC544">
              <w:rPr>
                <w:rFonts w:eastAsia="Arial" w:cs="Arial"/>
                <w:szCs w:val="21"/>
              </w:rPr>
              <w:t xml:space="preserve">The percentage of valid responses to </w:t>
            </w:r>
            <w:r w:rsidR="00A66196">
              <w:rPr>
                <w:rFonts w:eastAsia="Arial" w:cs="Arial"/>
                <w:szCs w:val="21"/>
              </w:rPr>
              <w:t xml:space="preserve">the </w:t>
            </w:r>
            <w:r w:rsidRPr="2ECFC544">
              <w:rPr>
                <w:rFonts w:eastAsia="Arial" w:cs="Arial"/>
                <w:szCs w:val="21"/>
              </w:rPr>
              <w:t>Carer Experience of Service (CES) survey responding with 'Very good' or 'Excellent' to the overall experience question on each survey.</w:t>
            </w:r>
          </w:p>
        </w:tc>
      </w:tr>
      <w:tr w:rsidR="2ECFC544" w14:paraId="481E7EC9"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A0191B5" w14:textId="3FFCB607" w:rsidR="2ECFC544" w:rsidRDefault="2ECFC544" w:rsidP="008111B9">
            <w:pPr>
              <w:pStyle w:val="Tablecolhead"/>
              <w:spacing w:line="279" w:lineRule="auto"/>
              <w:rPr>
                <w:rFonts w:eastAsia="Arial" w:cs="Arial"/>
                <w:bCs/>
                <w:szCs w:val="21"/>
              </w:rPr>
            </w:pPr>
            <w:r w:rsidRPr="2ECFC544">
              <w:rPr>
                <w:rFonts w:eastAsia="Arial" w:cs="Arial"/>
                <w:b w:val="0"/>
                <w:szCs w:val="21"/>
              </w:rPr>
              <w:t>Numerator</w:t>
            </w:r>
          </w:p>
        </w:tc>
        <w:tc>
          <w:tcPr>
            <w:tcW w:w="7512" w:type="dxa"/>
            <w:tcBorders>
              <w:left w:val="single" w:sz="6" w:space="0" w:color="000000" w:themeColor="text1"/>
              <w:right w:val="single" w:sz="6" w:space="0" w:color="auto"/>
            </w:tcBorders>
            <w:tcMar>
              <w:left w:w="90" w:type="dxa"/>
              <w:right w:w="90" w:type="dxa"/>
            </w:tcMar>
          </w:tcPr>
          <w:p w14:paraId="03A2C1F7" w14:textId="57E0F61E" w:rsidR="2ECFC544" w:rsidRDefault="2ECFC544" w:rsidP="008111B9">
            <w:pPr>
              <w:pStyle w:val="Tabletext"/>
              <w:spacing w:line="279" w:lineRule="auto"/>
              <w:rPr>
                <w:rFonts w:eastAsia="Arial" w:cs="Arial"/>
                <w:szCs w:val="21"/>
              </w:rPr>
            </w:pPr>
            <w:r w:rsidRPr="2ECFC544">
              <w:rPr>
                <w:rFonts w:eastAsia="Arial" w:cs="Arial"/>
                <w:szCs w:val="21"/>
              </w:rPr>
              <w:t xml:space="preserve">Number of </w:t>
            </w:r>
            <w:r w:rsidR="00695A7F">
              <w:rPr>
                <w:rFonts w:eastAsia="Arial" w:cs="Arial"/>
                <w:szCs w:val="21"/>
              </w:rPr>
              <w:t xml:space="preserve">‘Very good’ or </w:t>
            </w:r>
            <w:r w:rsidRPr="2ECFC544">
              <w:rPr>
                <w:rFonts w:eastAsia="Arial" w:cs="Arial"/>
                <w:szCs w:val="21"/>
              </w:rPr>
              <w:t>‘Excellent’ or responses to question</w:t>
            </w:r>
            <w:r w:rsidR="00DF1745">
              <w:rPr>
                <w:rFonts w:eastAsia="Arial" w:cs="Arial"/>
                <w:szCs w:val="21"/>
              </w:rPr>
              <w:t xml:space="preserve"> 26</w:t>
            </w:r>
            <w:r w:rsidR="0099297A">
              <w:rPr>
                <w:rFonts w:eastAsia="Arial" w:cs="Arial"/>
                <w:szCs w:val="21"/>
              </w:rPr>
              <w:t>,</w:t>
            </w:r>
            <w:r w:rsidR="00DF1745">
              <w:rPr>
                <w:rFonts w:eastAsia="Arial" w:cs="Arial"/>
                <w:szCs w:val="21"/>
              </w:rPr>
              <w:t xml:space="preserve"> </w:t>
            </w:r>
            <w:r w:rsidR="00017281">
              <w:rPr>
                <w:rFonts w:eastAsia="Arial" w:cs="Arial"/>
                <w:szCs w:val="21"/>
              </w:rPr>
              <w:t>‘</w:t>
            </w:r>
            <w:r w:rsidR="00017281" w:rsidRPr="00D97498">
              <w:rPr>
                <w:rFonts w:eastAsia="Arial" w:cs="Arial"/>
                <w:i/>
                <w:szCs w:val="21"/>
              </w:rPr>
              <w:t>Overall, how would you rate your experience as a carer with this mental health service over the last six months?</w:t>
            </w:r>
            <w:r w:rsidR="00017281">
              <w:rPr>
                <w:rFonts w:eastAsia="Arial" w:cs="Arial"/>
                <w:i/>
                <w:szCs w:val="21"/>
              </w:rPr>
              <w:t>’</w:t>
            </w:r>
            <w:r w:rsidR="00231D43">
              <w:rPr>
                <w:rFonts w:eastAsia="Arial" w:cs="Arial"/>
                <w:iCs/>
                <w:szCs w:val="21"/>
              </w:rPr>
              <w:t>.</w:t>
            </w:r>
            <w:r w:rsidR="00DF1745">
              <w:rPr>
                <w:rFonts w:eastAsia="Arial" w:cs="Arial"/>
                <w:szCs w:val="21"/>
              </w:rPr>
              <w:t xml:space="preserve"> </w:t>
            </w:r>
          </w:p>
        </w:tc>
      </w:tr>
      <w:tr w:rsidR="2ECFC544" w14:paraId="5B539366"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0AAEE600" w14:textId="6980A1C0" w:rsidR="2ECFC544" w:rsidRDefault="2ECFC544" w:rsidP="008111B9">
            <w:pPr>
              <w:pStyle w:val="Tablecolhead"/>
              <w:spacing w:line="279" w:lineRule="auto"/>
              <w:rPr>
                <w:rFonts w:eastAsia="Arial" w:cs="Arial"/>
                <w:bCs/>
                <w:szCs w:val="21"/>
              </w:rPr>
            </w:pPr>
            <w:r w:rsidRPr="2ECFC544">
              <w:rPr>
                <w:rFonts w:eastAsia="Arial" w:cs="Arial"/>
                <w:b w:val="0"/>
                <w:szCs w:val="21"/>
              </w:rPr>
              <w:t>Denominator</w:t>
            </w:r>
          </w:p>
        </w:tc>
        <w:tc>
          <w:tcPr>
            <w:tcW w:w="7512" w:type="dxa"/>
            <w:tcBorders>
              <w:left w:val="single" w:sz="6" w:space="0" w:color="000000" w:themeColor="text1"/>
              <w:right w:val="single" w:sz="6" w:space="0" w:color="auto"/>
            </w:tcBorders>
            <w:tcMar>
              <w:left w:w="90" w:type="dxa"/>
              <w:right w:w="90" w:type="dxa"/>
            </w:tcMar>
          </w:tcPr>
          <w:p w14:paraId="52DF2538" w14:textId="26659B85" w:rsidR="0099297A" w:rsidRDefault="2ECFC544" w:rsidP="008111B9">
            <w:pPr>
              <w:pStyle w:val="Tabletext"/>
              <w:spacing w:line="279" w:lineRule="auto"/>
              <w:rPr>
                <w:rFonts w:eastAsia="Arial" w:cs="Arial"/>
                <w:szCs w:val="21"/>
              </w:rPr>
            </w:pPr>
            <w:r w:rsidRPr="2ECFC544">
              <w:rPr>
                <w:rFonts w:eastAsia="Arial" w:cs="Arial"/>
                <w:szCs w:val="21"/>
              </w:rPr>
              <w:t xml:space="preserve">Number of valid responses to </w:t>
            </w:r>
            <w:r w:rsidR="000F2835" w:rsidRPr="2ECFC544">
              <w:rPr>
                <w:rFonts w:eastAsia="Arial" w:cs="Arial"/>
                <w:szCs w:val="21"/>
              </w:rPr>
              <w:t>question</w:t>
            </w:r>
            <w:r w:rsidR="000F2835">
              <w:rPr>
                <w:rFonts w:eastAsia="Arial" w:cs="Arial"/>
                <w:szCs w:val="21"/>
              </w:rPr>
              <w:t xml:space="preserve"> 26 ‘</w:t>
            </w:r>
            <w:r w:rsidR="000F2835" w:rsidRPr="00D97498">
              <w:rPr>
                <w:rFonts w:eastAsia="Arial" w:cs="Arial"/>
                <w:i/>
                <w:szCs w:val="21"/>
              </w:rPr>
              <w:t>Overall, how would you rate your experience as a carer with this mental health service over the last six months?</w:t>
            </w:r>
            <w:r w:rsidR="000F2835">
              <w:rPr>
                <w:rFonts w:eastAsia="Arial" w:cs="Arial"/>
                <w:i/>
                <w:szCs w:val="21"/>
              </w:rPr>
              <w:t>’</w:t>
            </w:r>
            <w:r w:rsidR="00231D43">
              <w:rPr>
                <w:rFonts w:eastAsia="Arial" w:cs="Arial"/>
                <w:i/>
                <w:szCs w:val="21"/>
              </w:rPr>
              <w:t>.</w:t>
            </w:r>
          </w:p>
          <w:p w14:paraId="1A4BC92B" w14:textId="509A41A5" w:rsidR="2ECFC544" w:rsidRPr="00A6731D" w:rsidRDefault="2ECFC544" w:rsidP="00D705DE">
            <w:pPr>
              <w:pStyle w:val="Tabletext"/>
              <w:rPr>
                <w:rFonts w:eastAsia="Arial" w:cs="Arial"/>
                <w:szCs w:val="21"/>
              </w:rPr>
            </w:pPr>
            <w:r w:rsidRPr="2ECFC544">
              <w:rPr>
                <w:rFonts w:eastAsia="Arial" w:cs="Arial"/>
                <w:szCs w:val="21"/>
              </w:rPr>
              <w:t>The denominator excludes</w:t>
            </w:r>
            <w:r w:rsidR="00A9167A">
              <w:rPr>
                <w:rFonts w:eastAsia="Arial" w:cs="Arial"/>
                <w:szCs w:val="21"/>
              </w:rPr>
              <w:t xml:space="preserve"> </w:t>
            </w:r>
            <w:r w:rsidRPr="00A6731D">
              <w:rPr>
                <w:rFonts w:eastAsia="Arial" w:cs="Arial"/>
                <w:szCs w:val="21"/>
              </w:rPr>
              <w:t xml:space="preserve">‘don’t know’ </w:t>
            </w:r>
            <w:r w:rsidR="00A9167A">
              <w:rPr>
                <w:rFonts w:eastAsia="Arial" w:cs="Arial"/>
                <w:szCs w:val="21"/>
              </w:rPr>
              <w:t xml:space="preserve">or </w:t>
            </w:r>
            <w:r w:rsidR="002D4110">
              <w:rPr>
                <w:rFonts w:eastAsia="Arial" w:cs="Arial"/>
                <w:szCs w:val="21"/>
              </w:rPr>
              <w:t xml:space="preserve">missing </w:t>
            </w:r>
            <w:r w:rsidRPr="00A6731D">
              <w:rPr>
                <w:rFonts w:eastAsia="Arial" w:cs="Arial"/>
                <w:szCs w:val="21"/>
              </w:rPr>
              <w:t>response</w:t>
            </w:r>
            <w:r w:rsidR="003F47DA">
              <w:rPr>
                <w:rFonts w:eastAsia="Arial" w:cs="Arial"/>
                <w:szCs w:val="21"/>
              </w:rPr>
              <w:t>s</w:t>
            </w:r>
            <w:r w:rsidR="002D4110">
              <w:rPr>
                <w:rFonts w:eastAsia="Arial" w:cs="Arial"/>
                <w:szCs w:val="21"/>
              </w:rPr>
              <w:t>.</w:t>
            </w:r>
          </w:p>
        </w:tc>
      </w:tr>
      <w:tr w:rsidR="2ECFC544" w14:paraId="7277DBC2"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07756A67" w14:textId="753B989D" w:rsidR="2ECFC544" w:rsidRDefault="2ECFC544" w:rsidP="008111B9">
            <w:pPr>
              <w:pStyle w:val="Tablecolhead"/>
              <w:spacing w:line="279" w:lineRule="auto"/>
              <w:rPr>
                <w:rFonts w:eastAsia="Arial" w:cs="Arial"/>
                <w:bCs/>
                <w:szCs w:val="21"/>
              </w:rPr>
            </w:pPr>
            <w:r w:rsidRPr="2ECFC544">
              <w:rPr>
                <w:rFonts w:eastAsia="Arial" w:cs="Arial"/>
                <w:b w:val="0"/>
                <w:szCs w:val="21"/>
              </w:rPr>
              <w:t>Statewide target</w:t>
            </w:r>
          </w:p>
        </w:tc>
        <w:tc>
          <w:tcPr>
            <w:tcW w:w="7512" w:type="dxa"/>
            <w:tcBorders>
              <w:left w:val="single" w:sz="6" w:space="0" w:color="000000" w:themeColor="text1"/>
              <w:right w:val="single" w:sz="6" w:space="0" w:color="auto"/>
            </w:tcBorders>
            <w:tcMar>
              <w:left w:w="90" w:type="dxa"/>
              <w:right w:w="90" w:type="dxa"/>
            </w:tcMar>
            <w:vAlign w:val="center"/>
          </w:tcPr>
          <w:p w14:paraId="0C4C2759" w14:textId="056A38C8" w:rsidR="2ECFC544" w:rsidRDefault="2ECFC544" w:rsidP="008111B9">
            <w:pPr>
              <w:pStyle w:val="Tabletext"/>
              <w:spacing w:line="279" w:lineRule="auto"/>
              <w:rPr>
                <w:rFonts w:eastAsia="Arial" w:cs="Arial"/>
                <w:szCs w:val="21"/>
              </w:rPr>
            </w:pPr>
            <w:r w:rsidRPr="2ECFC544">
              <w:rPr>
                <w:rFonts w:eastAsia="Arial" w:cs="Arial"/>
                <w:szCs w:val="21"/>
              </w:rPr>
              <w:t>80 per cent</w:t>
            </w:r>
          </w:p>
        </w:tc>
      </w:tr>
      <w:tr w:rsidR="2ECFC544" w14:paraId="30E1BE34"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1706C9A" w14:textId="2F0F2EAF" w:rsidR="2ECFC544" w:rsidRDefault="2ECFC544" w:rsidP="008111B9">
            <w:pPr>
              <w:pStyle w:val="Tablecolhead"/>
              <w:spacing w:line="279" w:lineRule="auto"/>
              <w:rPr>
                <w:rFonts w:eastAsia="Arial" w:cs="Arial"/>
                <w:bCs/>
                <w:szCs w:val="21"/>
              </w:rPr>
            </w:pPr>
            <w:r w:rsidRPr="2ECFC544">
              <w:rPr>
                <w:rFonts w:eastAsia="Arial" w:cs="Arial"/>
                <w:b w:val="0"/>
                <w:szCs w:val="21"/>
              </w:rPr>
              <w:t>Achieved</w:t>
            </w:r>
          </w:p>
        </w:tc>
        <w:tc>
          <w:tcPr>
            <w:tcW w:w="7512" w:type="dxa"/>
            <w:tcBorders>
              <w:left w:val="single" w:sz="6" w:space="0" w:color="000000" w:themeColor="text1"/>
              <w:right w:val="single" w:sz="6" w:space="0" w:color="auto"/>
            </w:tcBorders>
            <w:tcMar>
              <w:left w:w="90" w:type="dxa"/>
              <w:right w:w="90" w:type="dxa"/>
            </w:tcMar>
          </w:tcPr>
          <w:p w14:paraId="62CF9F9C" w14:textId="468F30B2" w:rsidR="2ECFC544" w:rsidRDefault="00653331" w:rsidP="008111B9">
            <w:pPr>
              <w:pStyle w:val="Tabletext"/>
              <w:spacing w:line="279" w:lineRule="auto"/>
              <w:rPr>
                <w:rFonts w:eastAsia="Arial" w:cs="Arial"/>
                <w:szCs w:val="21"/>
              </w:rPr>
            </w:pPr>
            <w:r>
              <w:rPr>
                <w:rFonts w:eastAsia="Arial" w:cs="Arial"/>
                <w:szCs w:val="21"/>
              </w:rPr>
              <w:t>Greater than or e</w:t>
            </w:r>
            <w:r w:rsidR="2ECFC544" w:rsidRPr="2ECFC544">
              <w:rPr>
                <w:rFonts w:eastAsia="Arial" w:cs="Arial"/>
                <w:szCs w:val="21"/>
              </w:rPr>
              <w:t>qual to 80 per cent</w:t>
            </w:r>
          </w:p>
        </w:tc>
      </w:tr>
      <w:tr w:rsidR="2ECFC544" w14:paraId="44BCC30C"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49CFF670" w14:textId="7C88F3B7" w:rsidR="2ECFC544" w:rsidRDefault="2ECFC544" w:rsidP="008111B9">
            <w:pPr>
              <w:pStyle w:val="Tablecolhead"/>
              <w:spacing w:line="279" w:lineRule="auto"/>
              <w:rPr>
                <w:rFonts w:eastAsia="Arial" w:cs="Arial"/>
                <w:bCs/>
                <w:szCs w:val="21"/>
              </w:rPr>
            </w:pPr>
            <w:r w:rsidRPr="2ECFC544">
              <w:rPr>
                <w:rFonts w:eastAsia="Arial" w:cs="Arial"/>
                <w:b w:val="0"/>
                <w:szCs w:val="21"/>
              </w:rPr>
              <w:t>Not achieved</w:t>
            </w:r>
          </w:p>
        </w:tc>
        <w:tc>
          <w:tcPr>
            <w:tcW w:w="7512" w:type="dxa"/>
            <w:tcBorders>
              <w:left w:val="single" w:sz="6" w:space="0" w:color="000000" w:themeColor="text1"/>
              <w:right w:val="single" w:sz="6" w:space="0" w:color="auto"/>
            </w:tcBorders>
            <w:tcMar>
              <w:left w:w="90" w:type="dxa"/>
              <w:right w:w="90" w:type="dxa"/>
            </w:tcMar>
          </w:tcPr>
          <w:p w14:paraId="090DB7DB" w14:textId="66461DE8" w:rsidR="2ECFC544" w:rsidRDefault="00653331" w:rsidP="008111B9">
            <w:pPr>
              <w:pStyle w:val="Tabletext"/>
              <w:spacing w:line="279" w:lineRule="auto"/>
              <w:rPr>
                <w:rFonts w:eastAsia="Arial" w:cs="Arial"/>
                <w:szCs w:val="21"/>
              </w:rPr>
            </w:pPr>
            <w:r>
              <w:rPr>
                <w:rFonts w:eastAsia="Arial" w:cs="Arial"/>
                <w:szCs w:val="21"/>
              </w:rPr>
              <w:t>Less than</w:t>
            </w:r>
            <w:r w:rsidR="2ECFC544" w:rsidRPr="2ECFC544">
              <w:rPr>
                <w:rFonts w:eastAsia="Arial" w:cs="Arial"/>
                <w:szCs w:val="21"/>
              </w:rPr>
              <w:t xml:space="preserve"> 80 per cent</w:t>
            </w:r>
          </w:p>
        </w:tc>
      </w:tr>
      <w:tr w:rsidR="2ECFC544" w14:paraId="1F36DAD7"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62360024" w14:textId="7BE87E61" w:rsidR="2ECFC544" w:rsidRDefault="2ECFC544" w:rsidP="008111B9">
            <w:pPr>
              <w:pStyle w:val="Tablecolhead"/>
              <w:spacing w:line="279" w:lineRule="auto"/>
              <w:rPr>
                <w:rFonts w:eastAsia="Arial" w:cs="Arial"/>
                <w:bCs/>
                <w:szCs w:val="21"/>
              </w:rPr>
            </w:pPr>
            <w:r w:rsidRPr="2ECFC544">
              <w:rPr>
                <w:rFonts w:eastAsia="Arial" w:cs="Arial"/>
                <w:b w:val="0"/>
                <w:szCs w:val="21"/>
              </w:rPr>
              <w:t>Improvement</w:t>
            </w:r>
          </w:p>
        </w:tc>
        <w:tc>
          <w:tcPr>
            <w:tcW w:w="7512" w:type="dxa"/>
            <w:tcBorders>
              <w:left w:val="single" w:sz="6" w:space="0" w:color="000000" w:themeColor="text1"/>
              <w:right w:val="single" w:sz="6" w:space="0" w:color="auto"/>
            </w:tcBorders>
            <w:tcMar>
              <w:left w:w="90" w:type="dxa"/>
              <w:right w:w="90" w:type="dxa"/>
            </w:tcMar>
          </w:tcPr>
          <w:p w14:paraId="0E7941E7" w14:textId="709B032D" w:rsidR="2ECFC544" w:rsidRDefault="2ECFC544" w:rsidP="008111B9">
            <w:pPr>
              <w:pStyle w:val="Tabletext"/>
              <w:spacing w:line="279" w:lineRule="auto"/>
              <w:rPr>
                <w:rFonts w:eastAsia="Arial" w:cs="Arial"/>
                <w:szCs w:val="21"/>
              </w:rPr>
            </w:pPr>
            <w:r w:rsidRPr="2ECFC544">
              <w:rPr>
                <w:rFonts w:eastAsia="Arial" w:cs="Arial"/>
                <w:szCs w:val="21"/>
              </w:rPr>
              <w:t>For the purpose of the performance risk assessment, improvement is compared to previous period performance.</w:t>
            </w:r>
          </w:p>
        </w:tc>
      </w:tr>
      <w:tr w:rsidR="2ECFC544" w14:paraId="4666B33C" w14:textId="77777777" w:rsidTr="006B6DB7">
        <w:trPr>
          <w:trHeight w:val="285"/>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90" w:type="dxa"/>
              <w:right w:w="90" w:type="dxa"/>
            </w:tcMar>
          </w:tcPr>
          <w:p w14:paraId="4D7885B7" w14:textId="7B684436" w:rsidR="2ECFC544" w:rsidRDefault="2ECFC544" w:rsidP="008111B9">
            <w:pPr>
              <w:pStyle w:val="Tablecolhead"/>
              <w:spacing w:line="279" w:lineRule="auto"/>
              <w:rPr>
                <w:rFonts w:eastAsia="Arial" w:cs="Arial"/>
                <w:bCs/>
                <w:szCs w:val="21"/>
              </w:rPr>
            </w:pPr>
            <w:r w:rsidRPr="2ECFC544">
              <w:rPr>
                <w:rFonts w:eastAsia="Arial" w:cs="Arial"/>
                <w:b w:val="0"/>
                <w:szCs w:val="21"/>
              </w:rPr>
              <w:lastRenderedPageBreak/>
              <w:t>Frequency of reporting and data collection</w:t>
            </w:r>
          </w:p>
        </w:tc>
        <w:tc>
          <w:tcPr>
            <w:tcW w:w="7512" w:type="dxa"/>
            <w:tcBorders>
              <w:left w:val="single" w:sz="6" w:space="0" w:color="000000" w:themeColor="text1"/>
              <w:bottom w:val="single" w:sz="6" w:space="0" w:color="auto"/>
              <w:right w:val="single" w:sz="6" w:space="0" w:color="auto"/>
            </w:tcBorders>
            <w:tcMar>
              <w:left w:w="90" w:type="dxa"/>
              <w:right w:w="90" w:type="dxa"/>
            </w:tcMar>
          </w:tcPr>
          <w:p w14:paraId="32607145" w14:textId="0A2F6933" w:rsidR="2ECFC544" w:rsidRDefault="2ECFC544" w:rsidP="008111B9">
            <w:pPr>
              <w:pStyle w:val="Tabletext"/>
              <w:spacing w:line="279" w:lineRule="auto"/>
              <w:rPr>
                <w:rFonts w:eastAsia="Arial" w:cs="Arial"/>
                <w:szCs w:val="21"/>
              </w:rPr>
            </w:pPr>
            <w:r w:rsidRPr="2ECFC544">
              <w:rPr>
                <w:rFonts w:eastAsia="Arial" w:cs="Arial"/>
                <w:szCs w:val="21"/>
              </w:rPr>
              <w:t xml:space="preserve">Performance is reported annually by </w:t>
            </w:r>
            <w:r w:rsidR="00762B5A">
              <w:rPr>
                <w:rFonts w:eastAsia="Arial" w:cs="Arial"/>
                <w:szCs w:val="21"/>
              </w:rPr>
              <w:t>health service</w:t>
            </w:r>
            <w:r w:rsidRPr="2ECFC544">
              <w:rPr>
                <w:rFonts w:eastAsia="Arial" w:cs="Arial"/>
                <w:szCs w:val="21"/>
              </w:rPr>
              <w:t>.</w:t>
            </w:r>
          </w:p>
          <w:p w14:paraId="70B5BE47" w14:textId="75226190" w:rsidR="2ECFC544" w:rsidRDefault="2ECFC544" w:rsidP="008111B9">
            <w:pPr>
              <w:pStyle w:val="Tabletext"/>
              <w:spacing w:line="279" w:lineRule="auto"/>
              <w:rPr>
                <w:rFonts w:eastAsia="Arial" w:cs="Arial"/>
                <w:szCs w:val="21"/>
              </w:rPr>
            </w:pPr>
            <w:r w:rsidRPr="2ECFC544">
              <w:rPr>
                <w:rFonts w:eastAsia="Arial" w:cs="Arial"/>
                <w:szCs w:val="21"/>
              </w:rPr>
              <w:t xml:space="preserve">Data are sourced from the CES survey. The CES survey </w:t>
            </w:r>
            <w:r w:rsidR="00712BE0">
              <w:rPr>
                <w:rFonts w:eastAsia="Arial" w:cs="Arial"/>
                <w:szCs w:val="21"/>
              </w:rPr>
              <w:t>is</w:t>
            </w:r>
            <w:r w:rsidRPr="2ECFC544">
              <w:rPr>
                <w:rFonts w:eastAsia="Arial" w:cs="Arial"/>
                <w:szCs w:val="21"/>
              </w:rPr>
              <w:t xml:space="preserve"> generally collected during a defined census period each year. Participation is based on health services providing the questionnaire to recipients</w:t>
            </w:r>
            <w:r w:rsidR="00937C20">
              <w:rPr>
                <w:rFonts w:eastAsia="Arial" w:cs="Arial"/>
                <w:szCs w:val="21"/>
              </w:rPr>
              <w:t xml:space="preserve">. </w:t>
            </w:r>
            <w:r w:rsidR="007409B4">
              <w:rPr>
                <w:rFonts w:eastAsia="Arial" w:cs="Arial"/>
                <w:szCs w:val="21"/>
              </w:rPr>
              <w:t>A</w:t>
            </w:r>
            <w:r w:rsidR="007409B4" w:rsidRPr="2ECFC544">
              <w:rPr>
                <w:rFonts w:eastAsia="Arial" w:cs="Arial"/>
                <w:szCs w:val="21"/>
              </w:rPr>
              <w:t xml:space="preserve">t least 30 responses </w:t>
            </w:r>
            <w:r w:rsidR="007409B4">
              <w:rPr>
                <w:rFonts w:eastAsia="Arial" w:cs="Arial"/>
                <w:szCs w:val="21"/>
              </w:rPr>
              <w:t>are required</w:t>
            </w:r>
            <w:r w:rsidR="007409B4" w:rsidRPr="2ECFC544">
              <w:rPr>
                <w:rFonts w:eastAsia="Arial" w:cs="Arial"/>
                <w:szCs w:val="21"/>
              </w:rPr>
              <w:t xml:space="preserve"> to enable statistically significant analysis</w:t>
            </w:r>
            <w:r w:rsidR="007409B4">
              <w:rPr>
                <w:rFonts w:eastAsia="Arial" w:cs="Arial"/>
                <w:szCs w:val="21"/>
              </w:rPr>
              <w:t>.</w:t>
            </w:r>
          </w:p>
        </w:tc>
      </w:tr>
    </w:tbl>
    <w:p w14:paraId="523C1C6F" w14:textId="0A9A9366" w:rsidR="1561B477" w:rsidRDefault="1561B477" w:rsidP="008E7F78">
      <w:pPr>
        <w:pStyle w:val="Heading4"/>
        <w:rPr>
          <w:i/>
        </w:rPr>
      </w:pPr>
      <w:bookmarkStart w:id="46" w:name="_Toc2052012771"/>
      <w:r w:rsidRPr="7666B50E">
        <w:rPr>
          <w:rFonts w:eastAsia="Arial" w:cs="Arial"/>
        </w:rPr>
        <w:t xml:space="preserve">Percentage of families/carers who </w:t>
      </w:r>
      <w:r w:rsidRPr="60A73C79">
        <w:rPr>
          <w:rFonts w:eastAsia="Arial" w:cs="Arial"/>
        </w:rPr>
        <w:t>report</w:t>
      </w:r>
      <w:r w:rsidRPr="7666B50E">
        <w:rPr>
          <w:rFonts w:eastAsia="Arial" w:cs="Arial"/>
        </w:rPr>
        <w:t xml:space="preserve"> they ‘always’ or ‘usually’ felt their opinions as a carer were respected</w:t>
      </w:r>
      <w:bookmarkEnd w:id="46"/>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2ECFC544" w14:paraId="5832CFA4" w14:textId="77777777" w:rsidTr="006B6DB7">
        <w:trPr>
          <w:trHeight w:val="285"/>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235F66E" w14:textId="4B2C0802" w:rsidR="2ECFC544" w:rsidRDefault="2ECFC544" w:rsidP="008111B9">
            <w:pPr>
              <w:pStyle w:val="Tablecolhead"/>
              <w:spacing w:line="279" w:lineRule="auto"/>
              <w:rPr>
                <w:rFonts w:eastAsia="Arial" w:cs="Arial"/>
                <w:bCs/>
                <w:szCs w:val="21"/>
              </w:rPr>
            </w:pPr>
            <w:r w:rsidRPr="2ECFC544">
              <w:rPr>
                <w:rFonts w:eastAsia="Arial" w:cs="Arial"/>
                <w:b w:val="0"/>
                <w:szCs w:val="21"/>
              </w:rPr>
              <w:t>Measure</w:t>
            </w:r>
          </w:p>
        </w:tc>
        <w:tc>
          <w:tcPr>
            <w:tcW w:w="7512" w:type="dxa"/>
            <w:tcBorders>
              <w:top w:val="single" w:sz="6" w:space="0" w:color="auto"/>
              <w:left w:val="single" w:sz="6" w:space="0" w:color="000000" w:themeColor="text1"/>
              <w:right w:val="single" w:sz="6" w:space="0" w:color="auto"/>
            </w:tcBorders>
            <w:tcMar>
              <w:left w:w="90" w:type="dxa"/>
              <w:right w:w="90" w:type="dxa"/>
            </w:tcMar>
          </w:tcPr>
          <w:p w14:paraId="2FB93427" w14:textId="7D70C66D" w:rsidR="2ECFC544" w:rsidRDefault="2ECFC544" w:rsidP="008111B9">
            <w:pPr>
              <w:pStyle w:val="Tabletext"/>
              <w:spacing w:line="279" w:lineRule="auto"/>
              <w:rPr>
                <w:rFonts w:eastAsia="Arial" w:cs="Arial"/>
                <w:szCs w:val="21"/>
              </w:rPr>
            </w:pPr>
            <w:r w:rsidRPr="2ECFC544">
              <w:rPr>
                <w:rFonts w:eastAsia="Arial" w:cs="Arial"/>
                <w:szCs w:val="21"/>
              </w:rPr>
              <w:t>Percentage of families/carers reporting they ‘usually’ or ‘always’ felt their opinions as a carer were respected</w:t>
            </w:r>
            <w:r w:rsidR="00D14BA0">
              <w:rPr>
                <w:rFonts w:eastAsia="Arial" w:cs="Arial"/>
                <w:szCs w:val="21"/>
              </w:rPr>
              <w:t xml:space="preserve"> </w:t>
            </w:r>
            <w:r w:rsidR="00F86086">
              <w:rPr>
                <w:rFonts w:eastAsia="Arial" w:cs="Arial"/>
                <w:szCs w:val="21"/>
              </w:rPr>
              <w:fldChar w:fldCharType="begin"/>
            </w:r>
            <w:r w:rsidR="00F86086">
              <w:rPr>
                <w:rFonts w:eastAsia="Arial" w:cs="Arial"/>
                <w:szCs w:val="21"/>
              </w:rPr>
              <w:instrText xml:space="preserve"> NOTEREF _Ref201832379 \f \h </w:instrText>
            </w:r>
            <w:r w:rsidR="00F86086">
              <w:rPr>
                <w:rFonts w:eastAsia="Arial" w:cs="Arial"/>
                <w:szCs w:val="21"/>
              </w:rPr>
            </w:r>
            <w:r w:rsidR="00F86086">
              <w:rPr>
                <w:rFonts w:eastAsia="Arial" w:cs="Arial"/>
                <w:szCs w:val="21"/>
              </w:rPr>
              <w:fldChar w:fldCharType="separate"/>
            </w:r>
            <w:r w:rsidR="00F86086" w:rsidRPr="00F86086">
              <w:rPr>
                <w:rStyle w:val="EndnoteReference"/>
                <w:rFonts w:eastAsia="Arial"/>
              </w:rPr>
              <w:t>iv</w:t>
            </w:r>
            <w:r w:rsidR="00F86086">
              <w:rPr>
                <w:rFonts w:eastAsia="Arial" w:cs="Arial"/>
                <w:szCs w:val="21"/>
              </w:rPr>
              <w:fldChar w:fldCharType="end"/>
            </w:r>
          </w:p>
        </w:tc>
      </w:tr>
      <w:tr w:rsidR="2ECFC544" w14:paraId="22DA6D02"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92BB644" w14:textId="5438D33C" w:rsidR="2ECFC544" w:rsidRDefault="2ECFC544" w:rsidP="008111B9">
            <w:pPr>
              <w:pStyle w:val="Tablecolhead"/>
              <w:spacing w:line="279" w:lineRule="auto"/>
              <w:rPr>
                <w:rFonts w:eastAsia="Arial" w:cs="Arial"/>
                <w:bCs/>
                <w:szCs w:val="21"/>
              </w:rPr>
            </w:pPr>
            <w:r w:rsidRPr="2ECFC544">
              <w:rPr>
                <w:rFonts w:eastAsia="Arial" w:cs="Arial"/>
                <w:b w:val="0"/>
                <w:szCs w:val="21"/>
              </w:rPr>
              <w:t>Description </w:t>
            </w:r>
          </w:p>
        </w:tc>
        <w:tc>
          <w:tcPr>
            <w:tcW w:w="7512" w:type="dxa"/>
            <w:tcBorders>
              <w:left w:val="single" w:sz="6" w:space="0" w:color="000000" w:themeColor="text1"/>
              <w:right w:val="single" w:sz="6" w:space="0" w:color="auto"/>
            </w:tcBorders>
            <w:tcMar>
              <w:left w:w="90" w:type="dxa"/>
              <w:right w:w="90" w:type="dxa"/>
            </w:tcMar>
          </w:tcPr>
          <w:p w14:paraId="788060B2" w14:textId="71DD6241" w:rsidR="2ECFC544" w:rsidRDefault="2ECFC544" w:rsidP="008111B9">
            <w:pPr>
              <w:pStyle w:val="Tabletext"/>
              <w:spacing w:line="279" w:lineRule="auto"/>
              <w:rPr>
                <w:rFonts w:eastAsia="Arial" w:cs="Arial"/>
                <w:szCs w:val="21"/>
              </w:rPr>
            </w:pPr>
            <w:r w:rsidRPr="2ECFC544">
              <w:rPr>
                <w:rFonts w:eastAsia="Arial" w:cs="Arial"/>
                <w:szCs w:val="21"/>
              </w:rPr>
              <w:t xml:space="preserve">A key principle under the department’s </w:t>
            </w:r>
            <w:r w:rsidRPr="2ECFC544">
              <w:rPr>
                <w:rFonts w:eastAsia="Arial" w:cs="Arial"/>
                <w:i/>
                <w:iCs/>
                <w:szCs w:val="21"/>
              </w:rPr>
              <w:t xml:space="preserve">Mental Health Lived Experience Framework </w:t>
            </w:r>
            <w:r w:rsidRPr="2ECFC544">
              <w:rPr>
                <w:rFonts w:eastAsia="Arial" w:cs="Arial"/>
                <w:szCs w:val="21"/>
              </w:rPr>
              <w:t xml:space="preserve">includes valuing the experience and opinions of all those involved by providing meaningful opportunities and support to enable participation of families/carers. </w:t>
            </w:r>
          </w:p>
        </w:tc>
      </w:tr>
      <w:tr w:rsidR="2ECFC544" w14:paraId="490FE668"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65CF0138" w14:textId="1A36CC2F" w:rsidR="2ECFC544" w:rsidRDefault="2ECFC544" w:rsidP="008111B9">
            <w:pPr>
              <w:pStyle w:val="Tablecolhead"/>
              <w:spacing w:line="279" w:lineRule="auto"/>
              <w:rPr>
                <w:rFonts w:eastAsia="Arial" w:cs="Arial"/>
                <w:bCs/>
                <w:szCs w:val="21"/>
              </w:rPr>
            </w:pPr>
            <w:r w:rsidRPr="2ECFC544">
              <w:rPr>
                <w:rFonts w:eastAsia="Arial" w:cs="Arial"/>
                <w:b w:val="0"/>
                <w:szCs w:val="21"/>
              </w:rPr>
              <w:t>Calculating performance</w:t>
            </w:r>
          </w:p>
        </w:tc>
        <w:tc>
          <w:tcPr>
            <w:tcW w:w="7512" w:type="dxa"/>
            <w:tcBorders>
              <w:left w:val="single" w:sz="6" w:space="0" w:color="000000" w:themeColor="text1"/>
              <w:right w:val="single" w:sz="6" w:space="0" w:color="auto"/>
            </w:tcBorders>
            <w:tcMar>
              <w:left w:w="90" w:type="dxa"/>
              <w:right w:w="90" w:type="dxa"/>
            </w:tcMar>
          </w:tcPr>
          <w:p w14:paraId="3B2CD3FE" w14:textId="73D5E382" w:rsidR="2ECFC544" w:rsidRDefault="2ECFC544" w:rsidP="00164B12">
            <w:pPr>
              <w:pStyle w:val="Tabletext"/>
              <w:rPr>
                <w:rFonts w:eastAsia="Arial" w:cs="Arial"/>
                <w:szCs w:val="21"/>
              </w:rPr>
            </w:pPr>
            <w:r w:rsidRPr="2ECFC544">
              <w:rPr>
                <w:rFonts w:eastAsia="Arial" w:cs="Arial"/>
                <w:szCs w:val="21"/>
              </w:rPr>
              <w:t>The percentage of carers who responded with ‘Usually’ or 'Always' to the question, ‘</w:t>
            </w:r>
            <w:r w:rsidRPr="00D97498">
              <w:rPr>
                <w:rFonts w:eastAsia="Arial" w:cs="Arial"/>
                <w:i/>
                <w:szCs w:val="21"/>
              </w:rPr>
              <w:t>Your opinion as a carer was respected’</w:t>
            </w:r>
            <w:r w:rsidRPr="2ECFC544">
              <w:rPr>
                <w:rFonts w:eastAsia="Arial" w:cs="Arial"/>
                <w:szCs w:val="21"/>
              </w:rPr>
              <w:t>.</w:t>
            </w:r>
          </w:p>
        </w:tc>
      </w:tr>
      <w:tr w:rsidR="2ECFC544" w14:paraId="71979F34"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1D01FD42" w14:textId="5B13F0F7" w:rsidR="2ECFC544" w:rsidRDefault="2ECFC544" w:rsidP="008111B9">
            <w:pPr>
              <w:pStyle w:val="Tablecolhead"/>
              <w:spacing w:line="279" w:lineRule="auto"/>
              <w:rPr>
                <w:rFonts w:eastAsia="Arial" w:cs="Arial"/>
                <w:bCs/>
                <w:szCs w:val="21"/>
              </w:rPr>
            </w:pPr>
            <w:r w:rsidRPr="2ECFC544">
              <w:rPr>
                <w:rFonts w:eastAsia="Arial" w:cs="Arial"/>
                <w:b w:val="0"/>
                <w:szCs w:val="21"/>
              </w:rPr>
              <w:t>Numerator</w:t>
            </w:r>
          </w:p>
        </w:tc>
        <w:tc>
          <w:tcPr>
            <w:tcW w:w="7512" w:type="dxa"/>
            <w:tcBorders>
              <w:left w:val="single" w:sz="6" w:space="0" w:color="000000" w:themeColor="text1"/>
              <w:right w:val="single" w:sz="6" w:space="0" w:color="auto"/>
            </w:tcBorders>
            <w:tcMar>
              <w:left w:w="90" w:type="dxa"/>
              <w:right w:w="90" w:type="dxa"/>
            </w:tcMar>
          </w:tcPr>
          <w:p w14:paraId="3303B0F9" w14:textId="1612C60A" w:rsidR="2ECFC544" w:rsidRDefault="2ECFC544" w:rsidP="008111B9">
            <w:pPr>
              <w:pStyle w:val="Tabletext"/>
              <w:spacing w:line="279" w:lineRule="auto"/>
              <w:rPr>
                <w:rFonts w:eastAsia="Arial" w:cs="Arial"/>
                <w:szCs w:val="21"/>
              </w:rPr>
            </w:pPr>
            <w:r w:rsidRPr="2ECFC544">
              <w:rPr>
                <w:rFonts w:eastAsia="Arial" w:cs="Arial"/>
                <w:szCs w:val="21"/>
              </w:rPr>
              <w:t>Number of ‘Usually’ or ‘Always’ responses to the question: ‘</w:t>
            </w:r>
            <w:r w:rsidRPr="00D97498">
              <w:rPr>
                <w:rFonts w:eastAsia="Arial" w:cs="Arial"/>
                <w:i/>
                <w:szCs w:val="21"/>
              </w:rPr>
              <w:t>Your opinion as a carer was respected’.</w:t>
            </w:r>
            <w:r w:rsidRPr="2ECFC544">
              <w:rPr>
                <w:rFonts w:eastAsia="Arial" w:cs="Arial"/>
                <w:szCs w:val="21"/>
              </w:rPr>
              <w:t xml:space="preserve"> </w:t>
            </w:r>
          </w:p>
        </w:tc>
      </w:tr>
      <w:tr w:rsidR="2ECFC544" w14:paraId="207E4E32"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B536314" w14:textId="71631E47" w:rsidR="2ECFC544" w:rsidRDefault="2ECFC544" w:rsidP="008111B9">
            <w:pPr>
              <w:pStyle w:val="Tablecolhead"/>
              <w:spacing w:line="279" w:lineRule="auto"/>
              <w:rPr>
                <w:rFonts w:eastAsia="Arial" w:cs="Arial"/>
                <w:bCs/>
                <w:szCs w:val="21"/>
              </w:rPr>
            </w:pPr>
            <w:r w:rsidRPr="2ECFC544">
              <w:rPr>
                <w:rFonts w:eastAsia="Arial" w:cs="Arial"/>
                <w:b w:val="0"/>
                <w:szCs w:val="21"/>
              </w:rPr>
              <w:t>Denominator</w:t>
            </w:r>
          </w:p>
        </w:tc>
        <w:tc>
          <w:tcPr>
            <w:tcW w:w="7512" w:type="dxa"/>
            <w:tcBorders>
              <w:left w:val="single" w:sz="6" w:space="0" w:color="000000" w:themeColor="text1"/>
              <w:right w:val="single" w:sz="6" w:space="0" w:color="auto"/>
            </w:tcBorders>
            <w:tcMar>
              <w:left w:w="90" w:type="dxa"/>
              <w:right w:w="90" w:type="dxa"/>
            </w:tcMar>
          </w:tcPr>
          <w:p w14:paraId="462C4553" w14:textId="77777777" w:rsidR="2ECFC544" w:rsidRDefault="2ECFC544" w:rsidP="008111B9">
            <w:pPr>
              <w:pStyle w:val="Tabletext"/>
              <w:spacing w:line="279" w:lineRule="auto"/>
              <w:rPr>
                <w:rFonts w:eastAsia="Arial" w:cs="Arial"/>
                <w:i/>
                <w:szCs w:val="21"/>
              </w:rPr>
            </w:pPr>
            <w:r w:rsidRPr="2ECFC544">
              <w:rPr>
                <w:rFonts w:eastAsia="Arial" w:cs="Arial"/>
                <w:szCs w:val="21"/>
              </w:rPr>
              <w:t>Number of valid responses to the question: ‘</w:t>
            </w:r>
            <w:r w:rsidRPr="00D97498">
              <w:rPr>
                <w:rFonts w:eastAsia="Arial" w:cs="Arial"/>
                <w:i/>
                <w:szCs w:val="21"/>
              </w:rPr>
              <w:t>Your opinion as a carer was respected’.</w:t>
            </w:r>
          </w:p>
          <w:p w14:paraId="2E398488" w14:textId="3966A14B" w:rsidR="2ECFC544" w:rsidRDefault="00292AE7" w:rsidP="00164B12">
            <w:pPr>
              <w:pStyle w:val="Tabletext"/>
              <w:rPr>
                <w:rFonts w:eastAsia="Arial" w:cs="Arial"/>
                <w:szCs w:val="21"/>
              </w:rPr>
            </w:pPr>
            <w:r w:rsidRPr="2ECFC544">
              <w:rPr>
                <w:rFonts w:eastAsia="Arial" w:cs="Arial"/>
                <w:szCs w:val="21"/>
              </w:rPr>
              <w:t xml:space="preserve">The denominator </w:t>
            </w:r>
            <w:r w:rsidR="00774841" w:rsidRPr="2ECFC544">
              <w:rPr>
                <w:rFonts w:eastAsia="Arial" w:cs="Arial"/>
                <w:szCs w:val="21"/>
              </w:rPr>
              <w:t>excludes</w:t>
            </w:r>
            <w:r w:rsidR="00774841">
              <w:rPr>
                <w:rFonts w:eastAsia="Arial" w:cs="Arial"/>
                <w:szCs w:val="21"/>
              </w:rPr>
              <w:t xml:space="preserve"> </w:t>
            </w:r>
            <w:r w:rsidR="00774841" w:rsidRPr="00A6731D">
              <w:rPr>
                <w:rFonts w:eastAsia="Arial" w:cs="Arial"/>
                <w:szCs w:val="21"/>
              </w:rPr>
              <w:t xml:space="preserve">‘don’t know’ </w:t>
            </w:r>
            <w:r w:rsidR="00774841">
              <w:rPr>
                <w:rFonts w:eastAsia="Arial" w:cs="Arial"/>
                <w:szCs w:val="21"/>
              </w:rPr>
              <w:t xml:space="preserve">or missing </w:t>
            </w:r>
            <w:r w:rsidR="00774841" w:rsidRPr="00A6731D">
              <w:rPr>
                <w:rFonts w:eastAsia="Arial" w:cs="Arial"/>
                <w:szCs w:val="21"/>
              </w:rPr>
              <w:t>response</w:t>
            </w:r>
            <w:r w:rsidR="00774841">
              <w:rPr>
                <w:rFonts w:eastAsia="Arial" w:cs="Arial"/>
                <w:szCs w:val="21"/>
              </w:rPr>
              <w:t>s.</w:t>
            </w:r>
          </w:p>
        </w:tc>
      </w:tr>
      <w:tr w:rsidR="2ECFC544" w14:paraId="36D2A4CF"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4438FFB" w14:textId="03986885" w:rsidR="2ECFC544" w:rsidRDefault="2ECFC544" w:rsidP="008111B9">
            <w:pPr>
              <w:pStyle w:val="Tablecolhead"/>
              <w:spacing w:line="279" w:lineRule="auto"/>
              <w:rPr>
                <w:rFonts w:eastAsia="Arial" w:cs="Arial"/>
                <w:bCs/>
                <w:szCs w:val="21"/>
              </w:rPr>
            </w:pPr>
            <w:r w:rsidRPr="2ECFC544">
              <w:rPr>
                <w:rFonts w:eastAsia="Arial" w:cs="Arial"/>
                <w:b w:val="0"/>
                <w:szCs w:val="21"/>
              </w:rPr>
              <w:t>Statewide target</w:t>
            </w:r>
          </w:p>
        </w:tc>
        <w:tc>
          <w:tcPr>
            <w:tcW w:w="7512" w:type="dxa"/>
            <w:tcBorders>
              <w:left w:val="single" w:sz="6" w:space="0" w:color="000000" w:themeColor="text1"/>
              <w:right w:val="single" w:sz="6" w:space="0" w:color="auto"/>
            </w:tcBorders>
            <w:tcMar>
              <w:left w:w="90" w:type="dxa"/>
              <w:right w:w="90" w:type="dxa"/>
            </w:tcMar>
            <w:vAlign w:val="center"/>
          </w:tcPr>
          <w:p w14:paraId="300DCB5D" w14:textId="5E003B86" w:rsidR="2ECFC544" w:rsidRDefault="2ECFC544" w:rsidP="008111B9">
            <w:pPr>
              <w:pStyle w:val="Tabletext"/>
              <w:spacing w:line="279" w:lineRule="auto"/>
              <w:rPr>
                <w:rFonts w:eastAsia="Arial" w:cs="Arial"/>
                <w:szCs w:val="21"/>
              </w:rPr>
            </w:pPr>
            <w:r w:rsidRPr="2ECFC544">
              <w:rPr>
                <w:rFonts w:eastAsia="Arial" w:cs="Arial"/>
                <w:szCs w:val="21"/>
              </w:rPr>
              <w:t>90 per cent</w:t>
            </w:r>
          </w:p>
        </w:tc>
      </w:tr>
      <w:tr w:rsidR="2ECFC544" w14:paraId="05200A28"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45EC7ED3" w14:textId="0C4E14E8" w:rsidR="2ECFC544" w:rsidRDefault="2ECFC544" w:rsidP="008111B9">
            <w:pPr>
              <w:pStyle w:val="Tablecolhead"/>
              <w:spacing w:line="279" w:lineRule="auto"/>
              <w:rPr>
                <w:rFonts w:eastAsia="Arial" w:cs="Arial"/>
                <w:bCs/>
                <w:szCs w:val="21"/>
              </w:rPr>
            </w:pPr>
            <w:r w:rsidRPr="2ECFC544">
              <w:rPr>
                <w:rFonts w:eastAsia="Arial" w:cs="Arial"/>
                <w:b w:val="0"/>
                <w:szCs w:val="21"/>
              </w:rPr>
              <w:t>Achieved</w:t>
            </w:r>
          </w:p>
        </w:tc>
        <w:tc>
          <w:tcPr>
            <w:tcW w:w="7512" w:type="dxa"/>
            <w:tcBorders>
              <w:left w:val="single" w:sz="6" w:space="0" w:color="000000" w:themeColor="text1"/>
              <w:right w:val="single" w:sz="6" w:space="0" w:color="auto"/>
            </w:tcBorders>
            <w:tcMar>
              <w:left w:w="90" w:type="dxa"/>
              <w:right w:w="90" w:type="dxa"/>
            </w:tcMar>
            <w:vAlign w:val="center"/>
          </w:tcPr>
          <w:p w14:paraId="4975E798" w14:textId="6AF8640A" w:rsidR="2ECFC544" w:rsidRDefault="00C70DB9" w:rsidP="008111B9">
            <w:pPr>
              <w:pStyle w:val="Tabletext"/>
              <w:spacing w:line="279" w:lineRule="auto"/>
              <w:rPr>
                <w:rFonts w:eastAsia="Arial" w:cs="Arial"/>
                <w:szCs w:val="21"/>
              </w:rPr>
            </w:pPr>
            <w:r>
              <w:rPr>
                <w:rFonts w:eastAsia="Arial" w:cs="Arial"/>
                <w:szCs w:val="21"/>
              </w:rPr>
              <w:t>Greater than or e</w:t>
            </w:r>
            <w:r w:rsidR="2ECFC544" w:rsidRPr="2ECFC544">
              <w:rPr>
                <w:rFonts w:eastAsia="Arial" w:cs="Arial"/>
                <w:szCs w:val="21"/>
              </w:rPr>
              <w:t>qual to 90 per cent</w:t>
            </w:r>
          </w:p>
        </w:tc>
      </w:tr>
      <w:tr w:rsidR="2ECFC544" w14:paraId="6CFCE4BE"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7D294A9" w14:textId="104CBE90" w:rsidR="2ECFC544" w:rsidRDefault="2ECFC544" w:rsidP="008111B9">
            <w:pPr>
              <w:pStyle w:val="Tablecolhead"/>
              <w:spacing w:line="279" w:lineRule="auto"/>
              <w:rPr>
                <w:rFonts w:eastAsia="Arial" w:cs="Arial"/>
                <w:bCs/>
                <w:szCs w:val="21"/>
              </w:rPr>
            </w:pPr>
            <w:r w:rsidRPr="2ECFC544">
              <w:rPr>
                <w:rFonts w:eastAsia="Arial" w:cs="Arial"/>
                <w:b w:val="0"/>
                <w:szCs w:val="21"/>
              </w:rPr>
              <w:t>Not achieved</w:t>
            </w:r>
          </w:p>
        </w:tc>
        <w:tc>
          <w:tcPr>
            <w:tcW w:w="7512" w:type="dxa"/>
            <w:tcBorders>
              <w:left w:val="single" w:sz="6" w:space="0" w:color="000000" w:themeColor="text1"/>
              <w:right w:val="single" w:sz="6" w:space="0" w:color="auto"/>
            </w:tcBorders>
            <w:tcMar>
              <w:left w:w="90" w:type="dxa"/>
              <w:right w:w="90" w:type="dxa"/>
            </w:tcMar>
            <w:vAlign w:val="center"/>
          </w:tcPr>
          <w:p w14:paraId="229A841F" w14:textId="302BD901" w:rsidR="2ECFC544" w:rsidRDefault="00C70DB9" w:rsidP="008111B9">
            <w:pPr>
              <w:pStyle w:val="Tabletext"/>
              <w:spacing w:line="279" w:lineRule="auto"/>
              <w:rPr>
                <w:rFonts w:eastAsia="Arial" w:cs="Arial"/>
                <w:szCs w:val="21"/>
              </w:rPr>
            </w:pPr>
            <w:r>
              <w:rPr>
                <w:rFonts w:eastAsia="Arial" w:cs="Arial"/>
                <w:szCs w:val="21"/>
              </w:rPr>
              <w:t xml:space="preserve">Less than </w:t>
            </w:r>
            <w:r w:rsidR="2ECFC544" w:rsidRPr="2ECFC544">
              <w:rPr>
                <w:rFonts w:eastAsia="Arial" w:cs="Arial"/>
                <w:szCs w:val="21"/>
              </w:rPr>
              <w:t>90 per cent</w:t>
            </w:r>
          </w:p>
        </w:tc>
      </w:tr>
      <w:tr w:rsidR="2ECFC544" w14:paraId="08FAC5C3" w14:textId="77777777" w:rsidTr="006B6DB7">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61AB2F23" w14:textId="54199341" w:rsidR="2ECFC544" w:rsidRDefault="2ECFC544" w:rsidP="008111B9">
            <w:pPr>
              <w:pStyle w:val="Tablecolhead"/>
              <w:spacing w:line="279" w:lineRule="auto"/>
              <w:rPr>
                <w:rFonts w:eastAsia="Arial" w:cs="Arial"/>
                <w:bCs/>
                <w:szCs w:val="21"/>
              </w:rPr>
            </w:pPr>
            <w:r w:rsidRPr="2ECFC544">
              <w:rPr>
                <w:rFonts w:eastAsia="Arial" w:cs="Arial"/>
                <w:b w:val="0"/>
                <w:szCs w:val="21"/>
              </w:rPr>
              <w:t>Improvement</w:t>
            </w:r>
          </w:p>
        </w:tc>
        <w:tc>
          <w:tcPr>
            <w:tcW w:w="7512" w:type="dxa"/>
            <w:tcBorders>
              <w:left w:val="single" w:sz="6" w:space="0" w:color="000000" w:themeColor="text1"/>
              <w:right w:val="single" w:sz="6" w:space="0" w:color="auto"/>
            </w:tcBorders>
            <w:tcMar>
              <w:left w:w="90" w:type="dxa"/>
              <w:right w:w="90" w:type="dxa"/>
            </w:tcMar>
            <w:vAlign w:val="center"/>
          </w:tcPr>
          <w:p w14:paraId="3D1C0E16" w14:textId="6CD7D4CE" w:rsidR="2ECFC544" w:rsidRDefault="2ECFC544" w:rsidP="008111B9">
            <w:pPr>
              <w:pStyle w:val="Tabletext"/>
              <w:spacing w:line="279" w:lineRule="auto"/>
              <w:rPr>
                <w:rFonts w:eastAsia="Arial" w:cs="Arial"/>
                <w:szCs w:val="21"/>
              </w:rPr>
            </w:pPr>
            <w:r w:rsidRPr="2ECFC544">
              <w:rPr>
                <w:rFonts w:eastAsia="Arial" w:cs="Arial"/>
                <w:szCs w:val="21"/>
              </w:rPr>
              <w:t>For the purpose of the performance risk assessment, improvement is compared to previous period performance</w:t>
            </w:r>
          </w:p>
        </w:tc>
      </w:tr>
      <w:tr w:rsidR="2ECFC544" w14:paraId="2ADE789E" w14:textId="77777777" w:rsidTr="006B6DB7">
        <w:trPr>
          <w:trHeight w:val="285"/>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90" w:type="dxa"/>
              <w:right w:w="90" w:type="dxa"/>
            </w:tcMar>
          </w:tcPr>
          <w:p w14:paraId="0D3B2B42" w14:textId="33EBB591" w:rsidR="2ECFC544" w:rsidRDefault="2ECFC544" w:rsidP="008111B9">
            <w:pPr>
              <w:pStyle w:val="Tablecolhead"/>
              <w:spacing w:line="279" w:lineRule="auto"/>
              <w:rPr>
                <w:rFonts w:eastAsia="Arial" w:cs="Arial"/>
                <w:bCs/>
                <w:szCs w:val="21"/>
              </w:rPr>
            </w:pPr>
            <w:r w:rsidRPr="2ECFC544">
              <w:rPr>
                <w:rFonts w:eastAsia="Arial" w:cs="Arial"/>
                <w:b w:val="0"/>
                <w:szCs w:val="21"/>
              </w:rPr>
              <w:t>Frequency of reporting and data collection</w:t>
            </w:r>
          </w:p>
        </w:tc>
        <w:tc>
          <w:tcPr>
            <w:tcW w:w="7512" w:type="dxa"/>
            <w:tcBorders>
              <w:left w:val="single" w:sz="6" w:space="0" w:color="000000" w:themeColor="text1"/>
              <w:bottom w:val="single" w:sz="6" w:space="0" w:color="auto"/>
              <w:right w:val="single" w:sz="6" w:space="0" w:color="auto"/>
            </w:tcBorders>
            <w:tcMar>
              <w:left w:w="90" w:type="dxa"/>
              <w:right w:w="90" w:type="dxa"/>
            </w:tcMar>
          </w:tcPr>
          <w:p w14:paraId="5FEC5CBF" w14:textId="0E105810" w:rsidR="2ECFC544" w:rsidRDefault="2ECFC544" w:rsidP="4A3EC911">
            <w:pPr>
              <w:pStyle w:val="Tabletext"/>
              <w:spacing w:line="279" w:lineRule="auto"/>
              <w:rPr>
                <w:rFonts w:eastAsia="Arial" w:cs="Arial"/>
              </w:rPr>
            </w:pPr>
            <w:r w:rsidRPr="4A3EC911">
              <w:rPr>
                <w:rFonts w:eastAsia="Arial" w:cs="Arial"/>
              </w:rPr>
              <w:t>Performance is reported annually by Designated Mental Health Service.</w:t>
            </w:r>
          </w:p>
          <w:p w14:paraId="44B59E26" w14:textId="789285E8" w:rsidR="2ECFC544" w:rsidRDefault="2ECFC544" w:rsidP="008111B9">
            <w:pPr>
              <w:pStyle w:val="Tabletext"/>
              <w:spacing w:line="279" w:lineRule="auto"/>
              <w:rPr>
                <w:rFonts w:eastAsia="Arial" w:cs="Arial"/>
                <w:szCs w:val="21"/>
              </w:rPr>
            </w:pPr>
            <w:r w:rsidRPr="2ECFC544">
              <w:rPr>
                <w:rFonts w:eastAsia="Arial" w:cs="Arial"/>
                <w:szCs w:val="21"/>
              </w:rPr>
              <w:t>Data are sourced from the CES.</w:t>
            </w:r>
          </w:p>
          <w:p w14:paraId="29046052" w14:textId="36D3AC32" w:rsidR="2ECFC544" w:rsidRDefault="2ECFC544" w:rsidP="008111B9">
            <w:pPr>
              <w:pStyle w:val="Tabletext"/>
              <w:spacing w:line="279" w:lineRule="auto"/>
              <w:rPr>
                <w:rFonts w:eastAsia="Arial" w:cs="Arial"/>
                <w:szCs w:val="21"/>
              </w:rPr>
            </w:pPr>
            <w:r w:rsidRPr="2ECFC544">
              <w:rPr>
                <w:rFonts w:eastAsia="Arial" w:cs="Arial"/>
                <w:szCs w:val="21"/>
              </w:rPr>
              <w:t>Participation is based on health services providing the questionnaire to in-scope consumers</w:t>
            </w:r>
            <w:r w:rsidR="00774841">
              <w:rPr>
                <w:rFonts w:eastAsia="Arial" w:cs="Arial"/>
                <w:szCs w:val="21"/>
              </w:rPr>
              <w:t>. A</w:t>
            </w:r>
            <w:r w:rsidRPr="2ECFC544">
              <w:rPr>
                <w:rFonts w:eastAsia="Arial" w:cs="Arial"/>
                <w:szCs w:val="21"/>
              </w:rPr>
              <w:t xml:space="preserve">t least 30 responses </w:t>
            </w:r>
            <w:r w:rsidR="00774841">
              <w:rPr>
                <w:rFonts w:eastAsia="Arial" w:cs="Arial"/>
                <w:szCs w:val="21"/>
              </w:rPr>
              <w:t>are required</w:t>
            </w:r>
            <w:r w:rsidR="00F50737" w:rsidRPr="2ECFC544">
              <w:rPr>
                <w:rFonts w:eastAsia="Arial" w:cs="Arial"/>
                <w:szCs w:val="21"/>
              </w:rPr>
              <w:t xml:space="preserve"> </w:t>
            </w:r>
            <w:r w:rsidRPr="2ECFC544">
              <w:rPr>
                <w:rFonts w:eastAsia="Arial" w:cs="Arial"/>
                <w:szCs w:val="21"/>
              </w:rPr>
              <w:t>to enable statistically significant analysis.</w:t>
            </w:r>
          </w:p>
        </w:tc>
      </w:tr>
    </w:tbl>
    <w:p w14:paraId="482AF4AD" w14:textId="002500F0" w:rsidR="5A8F82E6" w:rsidRDefault="5A8F82E6" w:rsidP="008E7F78">
      <w:pPr>
        <w:pStyle w:val="Heading4"/>
        <w:rPr>
          <w:i/>
        </w:rPr>
      </w:pPr>
      <w:bookmarkStart w:id="47" w:name="_Toc1301199807"/>
      <w:r w:rsidRPr="2ECFC544">
        <w:rPr>
          <w:rFonts w:eastAsia="Arial" w:cs="Arial"/>
          <w:szCs w:val="24"/>
        </w:rPr>
        <w:t>Percentage of mental health consumers reporting they ‘usually’ or ‘always’ felt safe using this service</w:t>
      </w:r>
      <w:bookmarkEnd w:id="47"/>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2ECFC544" w14:paraId="6FA5FFA2" w14:textId="77777777" w:rsidTr="00225D19">
        <w:trPr>
          <w:trHeight w:val="285"/>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0980B0CB" w14:textId="31536A82" w:rsidR="2ECFC544" w:rsidRDefault="2ECFC544" w:rsidP="008111B9">
            <w:pPr>
              <w:pStyle w:val="Tablecolhead"/>
              <w:spacing w:line="279" w:lineRule="auto"/>
              <w:rPr>
                <w:rFonts w:eastAsia="Arial" w:cs="Arial"/>
                <w:bCs/>
                <w:szCs w:val="21"/>
              </w:rPr>
            </w:pPr>
            <w:r w:rsidRPr="2ECFC544">
              <w:rPr>
                <w:rFonts w:eastAsia="Arial" w:cs="Arial"/>
                <w:b w:val="0"/>
                <w:szCs w:val="21"/>
              </w:rPr>
              <w:t>Measure</w:t>
            </w:r>
          </w:p>
        </w:tc>
        <w:tc>
          <w:tcPr>
            <w:tcW w:w="7512" w:type="dxa"/>
            <w:tcBorders>
              <w:top w:val="single" w:sz="6" w:space="0" w:color="auto"/>
              <w:left w:val="single" w:sz="6" w:space="0" w:color="000000" w:themeColor="text1"/>
              <w:right w:val="single" w:sz="6" w:space="0" w:color="auto"/>
            </w:tcBorders>
            <w:tcMar>
              <w:left w:w="90" w:type="dxa"/>
              <w:right w:w="90" w:type="dxa"/>
            </w:tcMar>
          </w:tcPr>
          <w:p w14:paraId="63377DBE" w14:textId="5BDABFA3" w:rsidR="2ECFC544" w:rsidRDefault="2ECFC544" w:rsidP="008111B9">
            <w:pPr>
              <w:pStyle w:val="Tabletext"/>
              <w:spacing w:line="279" w:lineRule="auto"/>
              <w:rPr>
                <w:rFonts w:eastAsia="Arial" w:cs="Arial"/>
                <w:szCs w:val="21"/>
              </w:rPr>
            </w:pPr>
            <w:r w:rsidRPr="2ECFC544">
              <w:rPr>
                <w:rFonts w:eastAsia="Arial" w:cs="Arial"/>
                <w:szCs w:val="21"/>
              </w:rPr>
              <w:t>Percentage of consumers who reporting they ‘usually’ or ‘always’ felt safe using this service</w:t>
            </w:r>
            <w:r w:rsidR="00C55676">
              <w:rPr>
                <w:rFonts w:eastAsia="Arial" w:cs="Arial"/>
                <w:szCs w:val="21"/>
              </w:rPr>
              <w:t xml:space="preserve"> </w:t>
            </w:r>
            <w:r w:rsidR="00F86086">
              <w:rPr>
                <w:rFonts w:eastAsia="Arial"/>
              </w:rPr>
              <w:fldChar w:fldCharType="begin"/>
            </w:r>
            <w:r w:rsidR="00F86086">
              <w:rPr>
                <w:rFonts w:eastAsia="Arial" w:cs="Arial"/>
                <w:szCs w:val="21"/>
              </w:rPr>
              <w:instrText xml:space="preserve"> NOTEREF _Ref201832379 \f \h </w:instrText>
            </w:r>
            <w:r w:rsidR="00F86086">
              <w:rPr>
                <w:rFonts w:eastAsia="Arial"/>
              </w:rPr>
            </w:r>
            <w:r w:rsidR="00F86086">
              <w:rPr>
                <w:rFonts w:eastAsia="Arial"/>
              </w:rPr>
              <w:fldChar w:fldCharType="separate"/>
            </w:r>
            <w:r w:rsidR="00F86086" w:rsidRPr="00F86086">
              <w:rPr>
                <w:rStyle w:val="EndnoteReference"/>
                <w:rFonts w:eastAsia="Arial"/>
              </w:rPr>
              <w:t>iv</w:t>
            </w:r>
            <w:r w:rsidR="00F86086">
              <w:rPr>
                <w:rFonts w:eastAsia="Arial"/>
              </w:rPr>
              <w:fldChar w:fldCharType="end"/>
            </w:r>
            <w:r w:rsidRPr="2ECFC544">
              <w:rPr>
                <w:rFonts w:eastAsia="Arial" w:cs="Arial"/>
                <w:szCs w:val="21"/>
              </w:rPr>
              <w:t xml:space="preserve"> </w:t>
            </w:r>
          </w:p>
        </w:tc>
      </w:tr>
      <w:tr w:rsidR="2ECFC544" w14:paraId="0BF438DC"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23BBA3E" w14:textId="4495FE29" w:rsidR="2ECFC544" w:rsidRDefault="2ECFC544" w:rsidP="008111B9">
            <w:pPr>
              <w:pStyle w:val="Tablecolhead"/>
              <w:spacing w:line="279" w:lineRule="auto"/>
              <w:rPr>
                <w:rFonts w:eastAsia="Arial" w:cs="Arial"/>
                <w:bCs/>
                <w:szCs w:val="21"/>
              </w:rPr>
            </w:pPr>
            <w:r w:rsidRPr="2ECFC544">
              <w:rPr>
                <w:rFonts w:eastAsia="Arial" w:cs="Arial"/>
                <w:b w:val="0"/>
                <w:szCs w:val="21"/>
              </w:rPr>
              <w:t>Description </w:t>
            </w:r>
          </w:p>
        </w:tc>
        <w:tc>
          <w:tcPr>
            <w:tcW w:w="7512" w:type="dxa"/>
            <w:tcBorders>
              <w:left w:val="single" w:sz="6" w:space="0" w:color="000000" w:themeColor="text1"/>
              <w:right w:val="single" w:sz="6" w:space="0" w:color="auto"/>
            </w:tcBorders>
            <w:tcMar>
              <w:left w:w="90" w:type="dxa"/>
              <w:right w:w="90" w:type="dxa"/>
            </w:tcMar>
          </w:tcPr>
          <w:p w14:paraId="0B55F16C" w14:textId="2C0F4C93" w:rsidR="2ECFC544" w:rsidRDefault="2ECFC544" w:rsidP="008111B9">
            <w:pPr>
              <w:pStyle w:val="Tabletext"/>
              <w:spacing w:line="279" w:lineRule="auto"/>
              <w:rPr>
                <w:rFonts w:eastAsia="Arial" w:cs="Arial"/>
                <w:szCs w:val="21"/>
              </w:rPr>
            </w:pPr>
            <w:r w:rsidRPr="2ECFC544">
              <w:rPr>
                <w:rFonts w:eastAsia="Arial" w:cs="Arial"/>
                <w:szCs w:val="21"/>
              </w:rPr>
              <w:t xml:space="preserve">Patient safety is the prevention of harm to patients from the care that is intended to help them. Safety is an essential part of delivering quality care and a fundamental principle of person-centred care. Patients may be the most </w:t>
            </w:r>
            <w:r w:rsidRPr="2ECFC544">
              <w:rPr>
                <w:rFonts w:eastAsia="Arial" w:cs="Arial"/>
                <w:szCs w:val="21"/>
              </w:rPr>
              <w:lastRenderedPageBreak/>
              <w:t>reliable reporters of some aspects of healthcare processes; their perspectives should be considered when pursuing changes to improve patient safety.</w:t>
            </w:r>
          </w:p>
        </w:tc>
      </w:tr>
      <w:tr w:rsidR="2ECFC544" w14:paraId="6E967515"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07A8894" w14:textId="42D2E4E3" w:rsidR="2ECFC544" w:rsidRDefault="2ECFC544" w:rsidP="008111B9">
            <w:pPr>
              <w:pStyle w:val="Tablecolhead"/>
              <w:spacing w:line="279" w:lineRule="auto"/>
              <w:rPr>
                <w:rFonts w:eastAsia="Arial" w:cs="Arial"/>
                <w:bCs/>
                <w:szCs w:val="21"/>
              </w:rPr>
            </w:pPr>
            <w:r w:rsidRPr="2ECFC544">
              <w:rPr>
                <w:rFonts w:eastAsia="Arial" w:cs="Arial"/>
                <w:b w:val="0"/>
                <w:szCs w:val="21"/>
              </w:rPr>
              <w:lastRenderedPageBreak/>
              <w:t>Calculating performance</w:t>
            </w:r>
          </w:p>
        </w:tc>
        <w:tc>
          <w:tcPr>
            <w:tcW w:w="7512" w:type="dxa"/>
            <w:tcBorders>
              <w:left w:val="single" w:sz="6" w:space="0" w:color="000000" w:themeColor="text1"/>
              <w:right w:val="single" w:sz="6" w:space="0" w:color="auto"/>
            </w:tcBorders>
            <w:tcMar>
              <w:left w:w="90" w:type="dxa"/>
              <w:right w:w="90" w:type="dxa"/>
            </w:tcMar>
          </w:tcPr>
          <w:p w14:paraId="1DF1898D" w14:textId="0F6F5AE4" w:rsidR="2ECFC544" w:rsidRDefault="2ECFC544" w:rsidP="008111B9">
            <w:pPr>
              <w:pStyle w:val="Tabletext"/>
              <w:spacing w:line="279" w:lineRule="auto"/>
              <w:rPr>
                <w:rFonts w:eastAsia="Arial" w:cs="Arial"/>
                <w:szCs w:val="21"/>
              </w:rPr>
            </w:pPr>
            <w:r w:rsidRPr="2ECFC544">
              <w:rPr>
                <w:rFonts w:eastAsia="Arial" w:cs="Arial"/>
                <w:szCs w:val="21"/>
              </w:rPr>
              <w:t xml:space="preserve">Percentage of YES survey respondents reporting that in the last 3 months they ‘usually’ or ‘always’ felt safe using this service. </w:t>
            </w:r>
          </w:p>
          <w:p w14:paraId="13D4E833" w14:textId="38844713" w:rsidR="2ECFC544" w:rsidRDefault="2ECFC544" w:rsidP="008111B9">
            <w:pPr>
              <w:pStyle w:val="Tabletext"/>
              <w:spacing w:line="279" w:lineRule="auto"/>
              <w:rPr>
                <w:rFonts w:eastAsia="Arial" w:cs="Arial"/>
                <w:szCs w:val="21"/>
              </w:rPr>
            </w:pPr>
            <w:r w:rsidRPr="2ECFC544">
              <w:rPr>
                <w:rFonts w:eastAsia="Arial" w:cs="Arial"/>
                <w:szCs w:val="21"/>
              </w:rPr>
              <w:t>The denominator excludes:</w:t>
            </w:r>
          </w:p>
          <w:p w14:paraId="4CC5120B" w14:textId="60E645E6" w:rsidR="2ECFC544" w:rsidRDefault="00774841" w:rsidP="008111B9">
            <w:pPr>
              <w:pStyle w:val="Tablebullet1"/>
              <w:spacing w:line="279" w:lineRule="auto"/>
              <w:rPr>
                <w:rFonts w:eastAsia="Arial" w:cs="Arial"/>
                <w:szCs w:val="21"/>
              </w:rPr>
            </w:pPr>
            <w:r>
              <w:rPr>
                <w:rFonts w:eastAsia="Arial" w:cs="Arial"/>
                <w:szCs w:val="21"/>
              </w:rPr>
              <w:t>i</w:t>
            </w:r>
            <w:r w:rsidR="2ECFC544" w:rsidRPr="2ECFC544">
              <w:rPr>
                <w:rFonts w:eastAsia="Arial" w:cs="Arial"/>
                <w:szCs w:val="21"/>
              </w:rPr>
              <w:t xml:space="preserve">nvalid responses to any question, </w:t>
            </w:r>
          </w:p>
          <w:p w14:paraId="42AE2911" w14:textId="602A9D6B" w:rsidR="2ECFC544" w:rsidRPr="00760F38" w:rsidRDefault="2ECFC544" w:rsidP="001B251E">
            <w:pPr>
              <w:pStyle w:val="Tablebullet1"/>
              <w:spacing w:line="279" w:lineRule="auto"/>
              <w:rPr>
                <w:rFonts w:eastAsia="Arial" w:cs="Arial"/>
                <w:szCs w:val="21"/>
              </w:rPr>
            </w:pPr>
            <w:r w:rsidRPr="00760F38">
              <w:rPr>
                <w:rFonts w:eastAsia="Arial" w:cs="Arial"/>
                <w:szCs w:val="21"/>
              </w:rPr>
              <w:t>‘not completed’ and ‘not needed’ responses.</w:t>
            </w:r>
          </w:p>
        </w:tc>
      </w:tr>
      <w:tr w:rsidR="2ECFC544" w14:paraId="46C9A947"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1D344AC8" w14:textId="7D269976" w:rsidR="2ECFC544" w:rsidRDefault="2ECFC544" w:rsidP="008111B9">
            <w:pPr>
              <w:pStyle w:val="Tablecolhead"/>
              <w:spacing w:line="279" w:lineRule="auto"/>
              <w:rPr>
                <w:rFonts w:eastAsia="Arial" w:cs="Arial"/>
                <w:bCs/>
                <w:szCs w:val="21"/>
              </w:rPr>
            </w:pPr>
            <w:r w:rsidRPr="2ECFC544">
              <w:rPr>
                <w:rFonts w:eastAsia="Arial" w:cs="Arial"/>
                <w:b w:val="0"/>
                <w:szCs w:val="21"/>
              </w:rPr>
              <w:t>Numerator</w:t>
            </w:r>
          </w:p>
        </w:tc>
        <w:tc>
          <w:tcPr>
            <w:tcW w:w="7512" w:type="dxa"/>
            <w:tcBorders>
              <w:left w:val="single" w:sz="6" w:space="0" w:color="000000" w:themeColor="text1"/>
              <w:right w:val="single" w:sz="6" w:space="0" w:color="auto"/>
            </w:tcBorders>
            <w:tcMar>
              <w:left w:w="90" w:type="dxa"/>
              <w:right w:w="90" w:type="dxa"/>
            </w:tcMar>
          </w:tcPr>
          <w:p w14:paraId="20447319" w14:textId="2E9B1150" w:rsidR="2ECFC544" w:rsidRDefault="2ECFC544" w:rsidP="008111B9">
            <w:pPr>
              <w:pStyle w:val="Tabletext"/>
              <w:spacing w:line="279" w:lineRule="auto"/>
              <w:rPr>
                <w:rFonts w:eastAsia="Arial" w:cs="Arial"/>
                <w:szCs w:val="21"/>
              </w:rPr>
            </w:pPr>
            <w:r w:rsidRPr="2ECFC544">
              <w:rPr>
                <w:rFonts w:eastAsia="Arial" w:cs="Arial"/>
                <w:szCs w:val="21"/>
              </w:rPr>
              <w:t>Number of consumers responding ‘Always’ or ‘Usually’ to the prompt (3): ‘</w:t>
            </w:r>
            <w:r w:rsidRPr="001B251E">
              <w:rPr>
                <w:rFonts w:eastAsia="Arial" w:cs="Arial"/>
                <w:i/>
                <w:szCs w:val="21"/>
              </w:rPr>
              <w:t>You felt safe using the service’</w:t>
            </w:r>
            <w:r w:rsidRPr="2ECFC544">
              <w:rPr>
                <w:rFonts w:eastAsia="Arial" w:cs="Arial"/>
                <w:szCs w:val="21"/>
              </w:rPr>
              <w:t xml:space="preserve"> </w:t>
            </w:r>
          </w:p>
        </w:tc>
      </w:tr>
      <w:tr w:rsidR="2ECFC544" w14:paraId="29183003"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7A87C73" w14:textId="0FBA84E8" w:rsidR="2ECFC544" w:rsidRDefault="2ECFC544" w:rsidP="008111B9">
            <w:pPr>
              <w:pStyle w:val="Tablecolhead"/>
              <w:spacing w:line="279" w:lineRule="auto"/>
              <w:rPr>
                <w:rFonts w:eastAsia="Arial" w:cs="Arial"/>
                <w:bCs/>
                <w:szCs w:val="21"/>
              </w:rPr>
            </w:pPr>
            <w:r w:rsidRPr="2ECFC544">
              <w:rPr>
                <w:rFonts w:eastAsia="Arial" w:cs="Arial"/>
                <w:b w:val="0"/>
                <w:szCs w:val="21"/>
              </w:rPr>
              <w:t>Denominator</w:t>
            </w:r>
          </w:p>
        </w:tc>
        <w:tc>
          <w:tcPr>
            <w:tcW w:w="7512" w:type="dxa"/>
            <w:tcBorders>
              <w:left w:val="single" w:sz="6" w:space="0" w:color="000000" w:themeColor="text1"/>
              <w:right w:val="single" w:sz="6" w:space="0" w:color="auto"/>
            </w:tcBorders>
            <w:tcMar>
              <w:left w:w="90" w:type="dxa"/>
              <w:right w:w="90" w:type="dxa"/>
            </w:tcMar>
          </w:tcPr>
          <w:p w14:paraId="6557F91B" w14:textId="6708F2AE" w:rsidR="2ECFC544" w:rsidRDefault="2ECFC544" w:rsidP="008111B9">
            <w:pPr>
              <w:pStyle w:val="Tabletext"/>
              <w:spacing w:line="279" w:lineRule="auto"/>
              <w:rPr>
                <w:rFonts w:eastAsia="Arial" w:cs="Arial"/>
                <w:szCs w:val="21"/>
              </w:rPr>
            </w:pPr>
            <w:r w:rsidRPr="2ECFC544">
              <w:rPr>
                <w:rFonts w:eastAsia="Arial" w:cs="Arial"/>
                <w:szCs w:val="21"/>
              </w:rPr>
              <w:t>Number of consumers completing YES surveys with a valid response.</w:t>
            </w:r>
          </w:p>
        </w:tc>
      </w:tr>
      <w:tr w:rsidR="2ECFC544" w14:paraId="73ECCF38"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11A8D58A" w14:textId="552DB515" w:rsidR="2ECFC544" w:rsidRDefault="2ECFC544" w:rsidP="008111B9">
            <w:pPr>
              <w:pStyle w:val="Tablecolhead"/>
              <w:spacing w:line="279" w:lineRule="auto"/>
              <w:rPr>
                <w:rFonts w:eastAsia="Arial" w:cs="Arial"/>
                <w:bCs/>
                <w:szCs w:val="21"/>
              </w:rPr>
            </w:pPr>
            <w:r w:rsidRPr="2ECFC544">
              <w:rPr>
                <w:rFonts w:eastAsia="Arial" w:cs="Arial"/>
                <w:b w:val="0"/>
                <w:szCs w:val="21"/>
              </w:rPr>
              <w:t>Statewide target</w:t>
            </w:r>
          </w:p>
        </w:tc>
        <w:tc>
          <w:tcPr>
            <w:tcW w:w="7512" w:type="dxa"/>
            <w:tcBorders>
              <w:left w:val="single" w:sz="6" w:space="0" w:color="000000" w:themeColor="text1"/>
              <w:right w:val="single" w:sz="6" w:space="0" w:color="auto"/>
            </w:tcBorders>
            <w:tcMar>
              <w:left w:w="90" w:type="dxa"/>
              <w:right w:w="90" w:type="dxa"/>
            </w:tcMar>
          </w:tcPr>
          <w:p w14:paraId="42F946F8" w14:textId="218A36BB" w:rsidR="2ECFC544" w:rsidRDefault="2ECFC544" w:rsidP="008111B9">
            <w:pPr>
              <w:pStyle w:val="Tabletext"/>
              <w:spacing w:line="279" w:lineRule="auto"/>
              <w:rPr>
                <w:rFonts w:eastAsia="Arial" w:cs="Arial"/>
                <w:szCs w:val="21"/>
              </w:rPr>
            </w:pPr>
            <w:r w:rsidRPr="2ECFC544">
              <w:rPr>
                <w:rFonts w:eastAsia="Arial" w:cs="Arial"/>
                <w:szCs w:val="21"/>
              </w:rPr>
              <w:t>90 per cent</w:t>
            </w:r>
          </w:p>
        </w:tc>
      </w:tr>
      <w:tr w:rsidR="2ECFC544" w14:paraId="46FE580A"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634D113D" w14:textId="2B4F8AD9" w:rsidR="2ECFC544" w:rsidRDefault="2ECFC544" w:rsidP="008111B9">
            <w:pPr>
              <w:pStyle w:val="Tablecolhead"/>
              <w:spacing w:line="279" w:lineRule="auto"/>
              <w:rPr>
                <w:rFonts w:eastAsia="Arial" w:cs="Arial"/>
                <w:bCs/>
                <w:szCs w:val="21"/>
              </w:rPr>
            </w:pPr>
            <w:r w:rsidRPr="2ECFC544">
              <w:rPr>
                <w:rFonts w:eastAsia="Arial" w:cs="Arial"/>
                <w:b w:val="0"/>
                <w:szCs w:val="21"/>
              </w:rPr>
              <w:t>Achieved</w:t>
            </w:r>
          </w:p>
        </w:tc>
        <w:tc>
          <w:tcPr>
            <w:tcW w:w="7512" w:type="dxa"/>
            <w:tcBorders>
              <w:left w:val="single" w:sz="6" w:space="0" w:color="000000" w:themeColor="text1"/>
              <w:right w:val="single" w:sz="6" w:space="0" w:color="auto"/>
            </w:tcBorders>
            <w:tcMar>
              <w:left w:w="90" w:type="dxa"/>
              <w:right w:w="90" w:type="dxa"/>
            </w:tcMar>
          </w:tcPr>
          <w:p w14:paraId="09A199AD" w14:textId="674635EB" w:rsidR="2ECFC544" w:rsidRDefault="00C70DB9" w:rsidP="008111B9">
            <w:pPr>
              <w:pStyle w:val="Tabletext"/>
              <w:spacing w:line="279" w:lineRule="auto"/>
              <w:rPr>
                <w:rFonts w:eastAsia="Arial" w:cs="Arial"/>
                <w:szCs w:val="21"/>
              </w:rPr>
            </w:pPr>
            <w:r>
              <w:rPr>
                <w:rFonts w:eastAsia="Arial" w:cs="Arial"/>
                <w:szCs w:val="21"/>
              </w:rPr>
              <w:t>Greater than or e</w:t>
            </w:r>
            <w:r w:rsidR="2ECFC544" w:rsidRPr="2ECFC544">
              <w:rPr>
                <w:rFonts w:eastAsia="Arial" w:cs="Arial"/>
                <w:szCs w:val="21"/>
              </w:rPr>
              <w:t>qual to 90 per cent</w:t>
            </w:r>
          </w:p>
        </w:tc>
      </w:tr>
      <w:tr w:rsidR="2ECFC544" w14:paraId="6445985A"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C613BCE" w14:textId="4AF1ED8B" w:rsidR="2ECFC544" w:rsidRDefault="2ECFC544" w:rsidP="008111B9">
            <w:pPr>
              <w:pStyle w:val="Tablecolhead"/>
              <w:spacing w:line="279" w:lineRule="auto"/>
              <w:rPr>
                <w:rFonts w:eastAsia="Arial" w:cs="Arial"/>
                <w:bCs/>
                <w:szCs w:val="21"/>
              </w:rPr>
            </w:pPr>
            <w:r w:rsidRPr="2ECFC544">
              <w:rPr>
                <w:rFonts w:eastAsia="Arial" w:cs="Arial"/>
                <w:b w:val="0"/>
                <w:szCs w:val="21"/>
              </w:rPr>
              <w:t>Not achieved</w:t>
            </w:r>
          </w:p>
        </w:tc>
        <w:tc>
          <w:tcPr>
            <w:tcW w:w="7512" w:type="dxa"/>
            <w:tcBorders>
              <w:left w:val="single" w:sz="6" w:space="0" w:color="000000" w:themeColor="text1"/>
              <w:right w:val="single" w:sz="6" w:space="0" w:color="auto"/>
            </w:tcBorders>
            <w:tcMar>
              <w:left w:w="90" w:type="dxa"/>
              <w:right w:w="90" w:type="dxa"/>
            </w:tcMar>
          </w:tcPr>
          <w:p w14:paraId="632ED4B9" w14:textId="1FF755EB" w:rsidR="2ECFC544" w:rsidRDefault="00C70DB9" w:rsidP="008111B9">
            <w:pPr>
              <w:pStyle w:val="Tabletext"/>
              <w:spacing w:line="279" w:lineRule="auto"/>
              <w:rPr>
                <w:rFonts w:eastAsia="Arial" w:cs="Arial"/>
                <w:szCs w:val="21"/>
              </w:rPr>
            </w:pPr>
            <w:r>
              <w:rPr>
                <w:rFonts w:eastAsia="Arial" w:cs="Arial"/>
                <w:szCs w:val="21"/>
              </w:rPr>
              <w:t>Less than</w:t>
            </w:r>
            <w:r w:rsidR="2ECFC544" w:rsidRPr="2ECFC544">
              <w:rPr>
                <w:rFonts w:eastAsia="Arial" w:cs="Arial"/>
                <w:szCs w:val="21"/>
              </w:rPr>
              <w:t xml:space="preserve"> 90 per cent</w:t>
            </w:r>
          </w:p>
        </w:tc>
      </w:tr>
      <w:tr w:rsidR="2ECFC544" w14:paraId="0219B042"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4F58F87E" w14:textId="6091A543" w:rsidR="2ECFC544" w:rsidRDefault="2ECFC544" w:rsidP="008111B9">
            <w:pPr>
              <w:pStyle w:val="Tablecolhead"/>
              <w:spacing w:line="279" w:lineRule="auto"/>
              <w:rPr>
                <w:rFonts w:eastAsia="Arial" w:cs="Arial"/>
                <w:bCs/>
                <w:szCs w:val="21"/>
              </w:rPr>
            </w:pPr>
            <w:r w:rsidRPr="2ECFC544">
              <w:rPr>
                <w:rFonts w:eastAsia="Arial" w:cs="Arial"/>
                <w:b w:val="0"/>
                <w:szCs w:val="21"/>
              </w:rPr>
              <w:t>Improvement</w:t>
            </w:r>
          </w:p>
        </w:tc>
        <w:tc>
          <w:tcPr>
            <w:tcW w:w="7512" w:type="dxa"/>
            <w:tcBorders>
              <w:left w:val="single" w:sz="6" w:space="0" w:color="000000" w:themeColor="text1"/>
              <w:right w:val="single" w:sz="6" w:space="0" w:color="auto"/>
            </w:tcBorders>
            <w:tcMar>
              <w:left w:w="90" w:type="dxa"/>
              <w:right w:w="90" w:type="dxa"/>
            </w:tcMar>
          </w:tcPr>
          <w:p w14:paraId="678640C2" w14:textId="2B3C383B" w:rsidR="2ECFC544" w:rsidRDefault="2ECFC544" w:rsidP="008111B9">
            <w:pPr>
              <w:pStyle w:val="Tabletext"/>
              <w:spacing w:line="279" w:lineRule="auto"/>
              <w:rPr>
                <w:rFonts w:eastAsia="Arial" w:cs="Arial"/>
                <w:szCs w:val="21"/>
              </w:rPr>
            </w:pPr>
            <w:r w:rsidRPr="2ECFC544">
              <w:rPr>
                <w:rFonts w:eastAsia="Arial" w:cs="Arial"/>
                <w:szCs w:val="21"/>
              </w:rPr>
              <w:t>For the purpose of the performance risk assessment, improvement is compared to previous period performance</w:t>
            </w:r>
          </w:p>
        </w:tc>
      </w:tr>
      <w:tr w:rsidR="2ECFC544" w14:paraId="6E27E111" w14:textId="77777777" w:rsidTr="00225D19">
        <w:trPr>
          <w:trHeight w:val="285"/>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90" w:type="dxa"/>
              <w:right w:w="90" w:type="dxa"/>
            </w:tcMar>
          </w:tcPr>
          <w:p w14:paraId="175267BC" w14:textId="25CAFC12" w:rsidR="2ECFC544" w:rsidRDefault="2ECFC544" w:rsidP="008111B9">
            <w:pPr>
              <w:pStyle w:val="Tablecolhead"/>
              <w:spacing w:line="279" w:lineRule="auto"/>
              <w:rPr>
                <w:rFonts w:eastAsia="Arial" w:cs="Arial"/>
                <w:bCs/>
                <w:szCs w:val="21"/>
              </w:rPr>
            </w:pPr>
            <w:r w:rsidRPr="2ECFC544">
              <w:rPr>
                <w:rFonts w:eastAsia="Arial" w:cs="Arial"/>
                <w:b w:val="0"/>
                <w:szCs w:val="21"/>
              </w:rPr>
              <w:t>Frequency of reporting and data collection</w:t>
            </w:r>
          </w:p>
        </w:tc>
        <w:tc>
          <w:tcPr>
            <w:tcW w:w="7512" w:type="dxa"/>
            <w:tcBorders>
              <w:left w:val="single" w:sz="6" w:space="0" w:color="000000" w:themeColor="text1"/>
              <w:bottom w:val="single" w:sz="6" w:space="0" w:color="auto"/>
              <w:right w:val="single" w:sz="6" w:space="0" w:color="auto"/>
            </w:tcBorders>
            <w:tcMar>
              <w:left w:w="90" w:type="dxa"/>
              <w:right w:w="90" w:type="dxa"/>
            </w:tcMar>
          </w:tcPr>
          <w:p w14:paraId="70D4EB0A" w14:textId="75DAC8EF" w:rsidR="2ECFC544" w:rsidRDefault="2ECFC544" w:rsidP="4A3EC911">
            <w:pPr>
              <w:pStyle w:val="Tabletext"/>
              <w:spacing w:line="279" w:lineRule="auto"/>
              <w:rPr>
                <w:rFonts w:eastAsia="Arial" w:cs="Arial"/>
              </w:rPr>
            </w:pPr>
            <w:r w:rsidRPr="4A3EC911">
              <w:rPr>
                <w:rFonts w:eastAsia="Arial" w:cs="Arial"/>
              </w:rPr>
              <w:t>Performance is reported annually by Designated Mental Health Service.</w:t>
            </w:r>
          </w:p>
          <w:p w14:paraId="545D6989" w14:textId="2EFA0D1F" w:rsidR="2ECFC544" w:rsidRDefault="2ECFC544" w:rsidP="008111B9">
            <w:pPr>
              <w:pStyle w:val="Tabletext"/>
              <w:spacing w:line="279" w:lineRule="auto"/>
              <w:rPr>
                <w:rFonts w:eastAsia="Arial" w:cs="Arial"/>
                <w:szCs w:val="21"/>
              </w:rPr>
            </w:pPr>
            <w:r w:rsidRPr="2ECFC544">
              <w:rPr>
                <w:rFonts w:eastAsia="Arial" w:cs="Arial"/>
                <w:szCs w:val="21"/>
              </w:rPr>
              <w:t>Data are sourced from the YES survey.</w:t>
            </w:r>
          </w:p>
          <w:p w14:paraId="423D2B15" w14:textId="6C39C31D" w:rsidR="2ECFC544" w:rsidRDefault="2ECFC544" w:rsidP="008111B9">
            <w:pPr>
              <w:pStyle w:val="Tabletext"/>
              <w:spacing w:line="279" w:lineRule="auto"/>
              <w:rPr>
                <w:rFonts w:eastAsia="Arial" w:cs="Arial"/>
                <w:szCs w:val="21"/>
              </w:rPr>
            </w:pPr>
            <w:r w:rsidRPr="2ECFC544">
              <w:rPr>
                <w:rFonts w:eastAsia="Arial" w:cs="Arial"/>
                <w:szCs w:val="21"/>
              </w:rPr>
              <w:t>Participation is based on health services providing the questionnaire to in-scope consumers</w:t>
            </w:r>
            <w:r w:rsidR="00B65FA9">
              <w:rPr>
                <w:rFonts w:eastAsia="Arial" w:cs="Arial"/>
                <w:szCs w:val="21"/>
              </w:rPr>
              <w:t>. A</w:t>
            </w:r>
            <w:r w:rsidRPr="2ECFC544">
              <w:rPr>
                <w:rFonts w:eastAsia="Arial" w:cs="Arial"/>
                <w:szCs w:val="21"/>
              </w:rPr>
              <w:t xml:space="preserve">t least 30 responses </w:t>
            </w:r>
            <w:r w:rsidR="00B65FA9">
              <w:rPr>
                <w:rFonts w:eastAsia="Arial" w:cs="Arial"/>
                <w:szCs w:val="21"/>
              </w:rPr>
              <w:t>are required</w:t>
            </w:r>
            <w:r w:rsidR="006B75F3" w:rsidRPr="2ECFC544">
              <w:rPr>
                <w:rFonts w:eastAsia="Arial" w:cs="Arial"/>
                <w:szCs w:val="21"/>
              </w:rPr>
              <w:t xml:space="preserve"> </w:t>
            </w:r>
            <w:r w:rsidRPr="2ECFC544">
              <w:rPr>
                <w:rFonts w:eastAsia="Arial" w:cs="Arial"/>
                <w:szCs w:val="21"/>
              </w:rPr>
              <w:t>to enable statistically significant analysis.</w:t>
            </w:r>
          </w:p>
        </w:tc>
      </w:tr>
    </w:tbl>
    <w:p w14:paraId="7148040D" w14:textId="52969802" w:rsidR="00140581" w:rsidRPr="00315936" w:rsidRDefault="00140581" w:rsidP="00140581">
      <w:pPr>
        <w:pStyle w:val="Heading3"/>
      </w:pPr>
      <w:bookmarkStart w:id="48" w:name="_Toc245325847"/>
      <w:r w:rsidRPr="00315936">
        <w:t>Mental health readmissions and seclusions</w:t>
      </w:r>
      <w:r w:rsidR="00CD2A35" w:rsidRPr="00315936">
        <w:t xml:space="preserve"> and follow-up</w:t>
      </w:r>
      <w:bookmarkEnd w:id="48"/>
    </w:p>
    <w:p w14:paraId="65C18A33" w14:textId="5AE259D7" w:rsidR="5463EECD" w:rsidRDefault="5463EECD" w:rsidP="008E7F78">
      <w:pPr>
        <w:pStyle w:val="Heading4"/>
        <w:rPr>
          <w:i/>
        </w:rPr>
      </w:pPr>
      <w:bookmarkStart w:id="49" w:name="_Toc917807681"/>
      <w:r w:rsidRPr="2ECFC544">
        <w:rPr>
          <w:rFonts w:eastAsia="Arial" w:cs="Arial"/>
          <w:szCs w:val="24"/>
        </w:rPr>
        <w:t>Rate of seclusion episodes per 1,000 occupied bed days – Inpatient</w:t>
      </w:r>
      <w:bookmarkEnd w:id="49"/>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2ECFC544" w14:paraId="698E508F" w14:textId="77777777" w:rsidTr="00225D19">
        <w:trPr>
          <w:trHeight w:val="285"/>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4698870E" w14:textId="2D6A35D6" w:rsidR="2ECFC544" w:rsidRDefault="2ECFC544" w:rsidP="2ECFC544">
            <w:pPr>
              <w:pStyle w:val="Tablecolhead"/>
              <w:spacing w:line="279" w:lineRule="auto"/>
              <w:rPr>
                <w:rFonts w:eastAsia="Arial" w:cs="Arial"/>
                <w:bCs/>
                <w:szCs w:val="21"/>
              </w:rPr>
            </w:pPr>
            <w:r w:rsidRPr="2ECFC544">
              <w:rPr>
                <w:rFonts w:eastAsia="Arial" w:cs="Arial"/>
                <w:b w:val="0"/>
                <w:szCs w:val="21"/>
              </w:rPr>
              <w:t>Measure</w:t>
            </w:r>
          </w:p>
        </w:tc>
        <w:tc>
          <w:tcPr>
            <w:tcW w:w="7512" w:type="dxa"/>
            <w:tcBorders>
              <w:top w:val="single" w:sz="6" w:space="0" w:color="auto"/>
              <w:left w:val="single" w:sz="6" w:space="0" w:color="000000" w:themeColor="text1"/>
              <w:right w:val="single" w:sz="6" w:space="0" w:color="auto"/>
            </w:tcBorders>
            <w:tcMar>
              <w:left w:w="90" w:type="dxa"/>
              <w:right w:w="90" w:type="dxa"/>
            </w:tcMar>
            <w:vAlign w:val="bottom"/>
          </w:tcPr>
          <w:p w14:paraId="04BC93D5" w14:textId="0FACEF3A" w:rsidR="2ECFC544" w:rsidRDefault="2ECFC544" w:rsidP="2ECFC544">
            <w:pPr>
              <w:pStyle w:val="Tabletext"/>
              <w:spacing w:line="279" w:lineRule="auto"/>
              <w:rPr>
                <w:rFonts w:eastAsia="Arial" w:cs="Arial"/>
                <w:szCs w:val="21"/>
              </w:rPr>
            </w:pPr>
            <w:r w:rsidRPr="2ECFC544">
              <w:rPr>
                <w:rFonts w:eastAsia="Arial" w:cs="Arial"/>
                <w:szCs w:val="21"/>
              </w:rPr>
              <w:t xml:space="preserve">Rate of seclusion episodes per 1,000 occupied bed days </w:t>
            </w:r>
            <w:r w:rsidR="006B75F3">
              <w:rPr>
                <w:rFonts w:eastAsia="Arial" w:cs="Arial"/>
                <w:szCs w:val="21"/>
              </w:rPr>
              <w:t>‒</w:t>
            </w:r>
            <w:r w:rsidRPr="2ECFC544">
              <w:rPr>
                <w:rFonts w:eastAsia="Arial" w:cs="Arial"/>
                <w:szCs w:val="21"/>
              </w:rPr>
              <w:t xml:space="preserve"> Inpatient</w:t>
            </w:r>
            <w:r w:rsidR="00C55676">
              <w:rPr>
                <w:rFonts w:eastAsia="Arial" w:cs="Arial"/>
                <w:szCs w:val="21"/>
              </w:rPr>
              <w:t xml:space="preserve"> </w:t>
            </w:r>
            <w:r w:rsidR="00F86086">
              <w:rPr>
                <w:rFonts w:eastAsia="Arial"/>
              </w:rPr>
              <w:fldChar w:fldCharType="begin"/>
            </w:r>
            <w:r w:rsidR="00F86086">
              <w:rPr>
                <w:rFonts w:eastAsia="Arial" w:cs="Arial"/>
                <w:szCs w:val="21"/>
              </w:rPr>
              <w:instrText xml:space="preserve"> NOTEREF _Ref201832379 \f \h </w:instrText>
            </w:r>
            <w:r w:rsidR="00F86086">
              <w:rPr>
                <w:rFonts w:eastAsia="Arial"/>
              </w:rPr>
            </w:r>
            <w:r w:rsidR="00F86086">
              <w:rPr>
                <w:rFonts w:eastAsia="Arial"/>
              </w:rPr>
              <w:fldChar w:fldCharType="separate"/>
            </w:r>
            <w:r w:rsidR="00F86086" w:rsidRPr="00F86086">
              <w:rPr>
                <w:rStyle w:val="EndnoteReference"/>
                <w:rFonts w:eastAsia="Arial"/>
              </w:rPr>
              <w:t>iv</w:t>
            </w:r>
            <w:r w:rsidR="00F86086">
              <w:rPr>
                <w:rFonts w:eastAsia="Arial"/>
              </w:rPr>
              <w:fldChar w:fldCharType="end"/>
            </w:r>
            <w:r w:rsidRPr="2ECFC544">
              <w:rPr>
                <w:rFonts w:eastAsia="Arial" w:cs="Arial"/>
                <w:szCs w:val="21"/>
              </w:rPr>
              <w:t xml:space="preserve"> </w:t>
            </w:r>
          </w:p>
        </w:tc>
      </w:tr>
      <w:tr w:rsidR="2ECFC544" w14:paraId="3A768A11"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064C5532" w14:textId="4EC9A0D2" w:rsidR="2ECFC544" w:rsidRDefault="2ECFC544" w:rsidP="2ECFC544">
            <w:pPr>
              <w:pStyle w:val="Tablecolhead"/>
              <w:spacing w:line="279" w:lineRule="auto"/>
              <w:rPr>
                <w:rFonts w:eastAsia="Arial" w:cs="Arial"/>
                <w:bCs/>
                <w:szCs w:val="21"/>
              </w:rPr>
            </w:pPr>
            <w:r w:rsidRPr="2ECFC544">
              <w:rPr>
                <w:rFonts w:eastAsia="Arial" w:cs="Arial"/>
                <w:b w:val="0"/>
                <w:szCs w:val="21"/>
              </w:rPr>
              <w:t>Description </w:t>
            </w:r>
          </w:p>
        </w:tc>
        <w:tc>
          <w:tcPr>
            <w:tcW w:w="7512" w:type="dxa"/>
            <w:tcBorders>
              <w:left w:val="single" w:sz="6" w:space="0" w:color="000000" w:themeColor="text1"/>
              <w:right w:val="single" w:sz="6" w:space="0" w:color="auto"/>
            </w:tcBorders>
            <w:tcMar>
              <w:left w:w="90" w:type="dxa"/>
              <w:right w:w="90" w:type="dxa"/>
            </w:tcMar>
          </w:tcPr>
          <w:p w14:paraId="297F0119" w14:textId="6CD495B1" w:rsidR="2ECFC544" w:rsidRDefault="2ECFC544" w:rsidP="2ECFC544">
            <w:pPr>
              <w:pStyle w:val="Tabletext"/>
              <w:spacing w:line="279" w:lineRule="auto"/>
              <w:rPr>
                <w:rFonts w:eastAsia="Arial" w:cs="Arial"/>
                <w:szCs w:val="21"/>
              </w:rPr>
            </w:pPr>
            <w:r w:rsidRPr="2ECFC544">
              <w:rPr>
                <w:rFonts w:eastAsia="Arial" w:cs="Arial"/>
                <w:szCs w:val="21"/>
              </w:rPr>
              <w:t>Reducing restraint and seclusion is a priority and incorporating this measure ensures appropriate monitoring of seclusion use in mental health inpatient units in Victoria.</w:t>
            </w:r>
          </w:p>
        </w:tc>
      </w:tr>
      <w:tr w:rsidR="2ECFC544" w14:paraId="3F550BD9"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F78A944" w14:textId="0DBE069C" w:rsidR="2ECFC544" w:rsidRDefault="2ECFC544" w:rsidP="2ECFC544">
            <w:pPr>
              <w:pStyle w:val="Tablecolhead"/>
              <w:spacing w:line="279" w:lineRule="auto"/>
              <w:rPr>
                <w:rFonts w:eastAsia="Arial" w:cs="Arial"/>
                <w:bCs/>
                <w:szCs w:val="21"/>
              </w:rPr>
            </w:pPr>
            <w:r w:rsidRPr="2ECFC544">
              <w:rPr>
                <w:rFonts w:eastAsia="Arial" w:cs="Arial"/>
                <w:b w:val="0"/>
                <w:szCs w:val="21"/>
              </w:rPr>
              <w:t>Calculating performance</w:t>
            </w:r>
          </w:p>
        </w:tc>
        <w:tc>
          <w:tcPr>
            <w:tcW w:w="7512" w:type="dxa"/>
            <w:tcBorders>
              <w:left w:val="single" w:sz="6" w:space="0" w:color="000000" w:themeColor="text1"/>
              <w:right w:val="single" w:sz="6" w:space="0" w:color="auto"/>
            </w:tcBorders>
            <w:tcMar>
              <w:left w:w="90" w:type="dxa"/>
              <w:right w:w="90" w:type="dxa"/>
            </w:tcMar>
          </w:tcPr>
          <w:p w14:paraId="6D8C819E" w14:textId="2D1D11F5" w:rsidR="2ECFC544" w:rsidRDefault="2ECFC544" w:rsidP="2ECFC544">
            <w:pPr>
              <w:pStyle w:val="Tabletext"/>
              <w:spacing w:line="279" w:lineRule="auto"/>
              <w:rPr>
                <w:rFonts w:eastAsia="Arial" w:cs="Arial"/>
                <w:szCs w:val="21"/>
              </w:rPr>
            </w:pPr>
            <w:r w:rsidRPr="2ECFC544">
              <w:rPr>
                <w:rFonts w:eastAsia="Arial" w:cs="Arial"/>
                <w:szCs w:val="21"/>
              </w:rPr>
              <w:t>This measure calculates the rate of ended seclusion episodes within mental health inpatient units per 1,000 occupied bed days. Seclusion episodes ending within a mental health inpatient unit are counted. The number of seclusion episodes is divided by the number of occupied bed days. The quotient is then multiplied by 1,000.</w:t>
            </w:r>
          </w:p>
          <w:p w14:paraId="14AC31F6" w14:textId="77777777" w:rsidR="00165594" w:rsidRDefault="00165594" w:rsidP="00566407">
            <w:pPr>
              <w:pStyle w:val="Tabletext"/>
              <w:spacing w:line="279" w:lineRule="auto"/>
              <w:rPr>
                <w:rFonts w:eastAsia="Arial" w:cs="Arial"/>
                <w:szCs w:val="21"/>
              </w:rPr>
            </w:pPr>
            <w:r w:rsidRPr="2ECFC544">
              <w:rPr>
                <w:rFonts w:eastAsia="Arial" w:cs="Arial"/>
                <w:szCs w:val="21"/>
              </w:rPr>
              <w:t xml:space="preserve">Includes admission events that were open during the reference period and have an Admission Event Type in 'SA','R','A','T'. </w:t>
            </w:r>
          </w:p>
          <w:p w14:paraId="7B0DAB04" w14:textId="5293235C" w:rsidR="00566407" w:rsidRDefault="00566407" w:rsidP="00566407">
            <w:pPr>
              <w:pStyle w:val="Tabletext"/>
              <w:spacing w:line="279" w:lineRule="auto"/>
              <w:rPr>
                <w:rFonts w:eastAsia="Arial" w:cs="Arial"/>
                <w:szCs w:val="21"/>
              </w:rPr>
            </w:pPr>
            <w:r w:rsidRPr="2ECFC544">
              <w:rPr>
                <w:rFonts w:eastAsia="Arial" w:cs="Arial"/>
                <w:szCs w:val="21"/>
              </w:rPr>
              <w:t>Occupied bed days per admission event are calculated by taking the difference in minutes between the start date and time and end date and time, then converting the time difference into days.</w:t>
            </w:r>
            <w:r w:rsidR="00565C0B">
              <w:rPr>
                <w:rFonts w:eastAsia="Arial" w:cs="Arial"/>
                <w:szCs w:val="21"/>
              </w:rPr>
              <w:t xml:space="preserve"> E</w:t>
            </w:r>
            <w:r w:rsidR="00565C0B" w:rsidRPr="2ECFC544">
              <w:rPr>
                <w:rFonts w:eastAsia="Arial" w:cs="Arial"/>
                <w:szCs w:val="21"/>
              </w:rPr>
              <w:t>xclude leave days, virtual wards, and units without a seclusion room.</w:t>
            </w:r>
          </w:p>
          <w:p w14:paraId="7958C16E" w14:textId="77777777" w:rsidR="00165594" w:rsidRDefault="00165594" w:rsidP="00165594">
            <w:pPr>
              <w:pStyle w:val="Tabletext"/>
              <w:spacing w:line="279" w:lineRule="auto"/>
              <w:rPr>
                <w:rFonts w:eastAsia="Arial" w:cs="Arial"/>
                <w:szCs w:val="21"/>
              </w:rPr>
            </w:pPr>
            <w:r w:rsidRPr="2ECFC544">
              <w:rPr>
                <w:rFonts w:eastAsia="Arial" w:cs="Arial"/>
                <w:szCs w:val="21"/>
              </w:rPr>
              <w:lastRenderedPageBreak/>
              <w:t>When a seclusion episode is not recorded against an admitted episode as required (i.e., the admission ID is not recorded, or where the service location code is '3', '12' or '13'), the seclusion episode is recorded against the mental health inpatient unit where the consumer had an open admitted episode at the start of the seclusion episode.</w:t>
            </w:r>
          </w:p>
          <w:p w14:paraId="7A1B426B" w14:textId="36326861" w:rsidR="2ECFC544" w:rsidRDefault="2ECFC544" w:rsidP="2ECFC544">
            <w:pPr>
              <w:pStyle w:val="Tabletext"/>
              <w:spacing w:line="279" w:lineRule="auto"/>
              <w:rPr>
                <w:rFonts w:eastAsia="Arial" w:cs="Arial"/>
                <w:szCs w:val="21"/>
              </w:rPr>
            </w:pPr>
            <w:r w:rsidRPr="2ECFC544">
              <w:rPr>
                <w:rFonts w:eastAsia="Arial" w:cs="Arial"/>
                <w:szCs w:val="21"/>
              </w:rPr>
              <w:t>Mental health inpatient units are determined at the CMI/ODS subcentre level.</w:t>
            </w:r>
          </w:p>
        </w:tc>
      </w:tr>
      <w:tr w:rsidR="2ECFC544" w14:paraId="3AA3AD7F"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30B21E7" w14:textId="2FAF1598" w:rsidR="2ECFC544" w:rsidRDefault="2ECFC544" w:rsidP="2ECFC544">
            <w:pPr>
              <w:pStyle w:val="Tablecolhead"/>
              <w:spacing w:line="279" w:lineRule="auto"/>
              <w:rPr>
                <w:rFonts w:eastAsia="Arial" w:cs="Arial"/>
                <w:bCs/>
                <w:szCs w:val="21"/>
              </w:rPr>
            </w:pPr>
            <w:r w:rsidRPr="2ECFC544">
              <w:rPr>
                <w:rFonts w:eastAsia="Arial" w:cs="Arial"/>
                <w:b w:val="0"/>
                <w:szCs w:val="21"/>
              </w:rPr>
              <w:lastRenderedPageBreak/>
              <w:t>Numerator</w:t>
            </w:r>
          </w:p>
        </w:tc>
        <w:tc>
          <w:tcPr>
            <w:tcW w:w="7512" w:type="dxa"/>
            <w:tcBorders>
              <w:left w:val="single" w:sz="6" w:space="0" w:color="000000" w:themeColor="text1"/>
              <w:right w:val="single" w:sz="6" w:space="0" w:color="auto"/>
            </w:tcBorders>
            <w:tcMar>
              <w:left w:w="90" w:type="dxa"/>
              <w:right w:w="90" w:type="dxa"/>
            </w:tcMar>
          </w:tcPr>
          <w:p w14:paraId="37DACD55" w14:textId="4C875EDD" w:rsidR="2ECFC544" w:rsidRDefault="2ECFC544" w:rsidP="00FB0A5B">
            <w:pPr>
              <w:pStyle w:val="Tabletext"/>
              <w:spacing w:line="279" w:lineRule="auto"/>
              <w:rPr>
                <w:rFonts w:eastAsia="Arial" w:cs="Arial"/>
                <w:szCs w:val="21"/>
              </w:rPr>
            </w:pPr>
            <w:r w:rsidRPr="2ECFC544">
              <w:rPr>
                <w:rFonts w:eastAsia="Arial" w:cs="Arial"/>
                <w:szCs w:val="21"/>
              </w:rPr>
              <w:t>The number of seclusion episodes ended within a mental health inpatient unit.</w:t>
            </w:r>
          </w:p>
        </w:tc>
      </w:tr>
      <w:tr w:rsidR="2ECFC544" w14:paraId="41987389"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6FE4C34" w14:textId="635AD954" w:rsidR="2ECFC544" w:rsidRDefault="2ECFC544" w:rsidP="2ECFC544">
            <w:pPr>
              <w:pStyle w:val="Tablecolhead"/>
              <w:spacing w:line="279" w:lineRule="auto"/>
              <w:rPr>
                <w:rFonts w:eastAsia="Arial" w:cs="Arial"/>
                <w:bCs/>
                <w:szCs w:val="21"/>
              </w:rPr>
            </w:pPr>
            <w:r w:rsidRPr="2ECFC544">
              <w:rPr>
                <w:rFonts w:eastAsia="Arial" w:cs="Arial"/>
                <w:b w:val="0"/>
                <w:szCs w:val="21"/>
              </w:rPr>
              <w:t>Denominator</w:t>
            </w:r>
          </w:p>
        </w:tc>
        <w:tc>
          <w:tcPr>
            <w:tcW w:w="7512" w:type="dxa"/>
            <w:tcBorders>
              <w:left w:val="single" w:sz="6" w:space="0" w:color="000000" w:themeColor="text1"/>
              <w:right w:val="single" w:sz="6" w:space="0" w:color="auto"/>
            </w:tcBorders>
            <w:tcMar>
              <w:left w:w="90" w:type="dxa"/>
              <w:right w:w="90" w:type="dxa"/>
            </w:tcMar>
          </w:tcPr>
          <w:p w14:paraId="2C10D117" w14:textId="2C0821F0" w:rsidR="2ECFC544" w:rsidRDefault="2ECFC544" w:rsidP="00566407">
            <w:pPr>
              <w:pStyle w:val="Tabletext"/>
              <w:spacing w:line="279" w:lineRule="auto"/>
              <w:rPr>
                <w:rFonts w:eastAsia="Arial" w:cs="Arial"/>
                <w:szCs w:val="21"/>
              </w:rPr>
            </w:pPr>
            <w:r w:rsidRPr="2ECFC544">
              <w:rPr>
                <w:rFonts w:eastAsia="Arial" w:cs="Arial"/>
                <w:szCs w:val="21"/>
              </w:rPr>
              <w:t xml:space="preserve">The number of occupied bed days within a mental health inpatient unit.  </w:t>
            </w:r>
          </w:p>
        </w:tc>
      </w:tr>
      <w:tr w:rsidR="2ECFC544" w14:paraId="4E3A6A6A"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CB32B12" w14:textId="10C42381" w:rsidR="2ECFC544" w:rsidRDefault="2ECFC544" w:rsidP="2ECFC544">
            <w:pPr>
              <w:pStyle w:val="Tablecolhead"/>
              <w:spacing w:line="279" w:lineRule="auto"/>
              <w:rPr>
                <w:rFonts w:eastAsia="Arial" w:cs="Arial"/>
                <w:bCs/>
                <w:szCs w:val="21"/>
              </w:rPr>
            </w:pPr>
            <w:r w:rsidRPr="2ECFC544">
              <w:rPr>
                <w:rFonts w:eastAsia="Arial" w:cs="Arial"/>
                <w:b w:val="0"/>
                <w:szCs w:val="21"/>
              </w:rPr>
              <w:t>Statewide target</w:t>
            </w:r>
          </w:p>
        </w:tc>
        <w:tc>
          <w:tcPr>
            <w:tcW w:w="7512" w:type="dxa"/>
            <w:tcBorders>
              <w:left w:val="single" w:sz="6" w:space="0" w:color="000000" w:themeColor="text1"/>
              <w:right w:val="single" w:sz="6" w:space="0" w:color="auto"/>
            </w:tcBorders>
            <w:tcMar>
              <w:left w:w="90" w:type="dxa"/>
              <w:right w:w="90" w:type="dxa"/>
            </w:tcMar>
          </w:tcPr>
          <w:p w14:paraId="4CC8A9F1" w14:textId="77777777" w:rsidR="00BD1418" w:rsidRDefault="2ECFC544" w:rsidP="2ECFC544">
            <w:pPr>
              <w:pStyle w:val="Tabletext"/>
              <w:spacing w:line="279" w:lineRule="auto"/>
              <w:rPr>
                <w:rFonts w:eastAsia="Arial" w:cs="Arial"/>
                <w:szCs w:val="21"/>
              </w:rPr>
            </w:pPr>
            <w:r w:rsidRPr="2ECFC544">
              <w:rPr>
                <w:rFonts w:eastAsia="Arial" w:cs="Arial"/>
                <w:szCs w:val="21"/>
              </w:rPr>
              <w:t xml:space="preserve">Less than or equal to 6 seclusion episodes per 1,000 bed days </w:t>
            </w:r>
          </w:p>
          <w:p w14:paraId="3C5B26BB" w14:textId="1FB45271" w:rsidR="2ECFC544" w:rsidRDefault="000C0107" w:rsidP="00722AE2">
            <w:pPr>
              <w:pStyle w:val="Tabletext"/>
              <w:spacing w:line="279" w:lineRule="auto"/>
              <w:rPr>
                <w:rFonts w:eastAsia="Arial" w:cs="Arial"/>
                <w:szCs w:val="21"/>
              </w:rPr>
            </w:pPr>
            <w:r w:rsidRPr="00337850">
              <w:rPr>
                <w:rFonts w:eastAsia="Arial" w:cs="Arial"/>
                <w:b/>
                <w:bCs/>
                <w:szCs w:val="21"/>
              </w:rPr>
              <w:t>Forensicare</w:t>
            </w:r>
            <w:r w:rsidR="00455763">
              <w:rPr>
                <w:rFonts w:eastAsia="Arial" w:cs="Arial"/>
                <w:szCs w:val="21"/>
              </w:rPr>
              <w:t>:</w:t>
            </w:r>
            <w:r w:rsidR="00722AE2">
              <w:rPr>
                <w:rFonts w:eastAsia="Arial" w:cs="Arial"/>
                <w:szCs w:val="21"/>
              </w:rPr>
              <w:t xml:space="preserve"> </w:t>
            </w:r>
            <w:r w:rsidR="00BD1418" w:rsidRPr="2ECFC544">
              <w:rPr>
                <w:rFonts w:eastAsia="Arial" w:cs="Arial"/>
                <w:szCs w:val="21"/>
              </w:rPr>
              <w:t xml:space="preserve">Less than or equal to 6 seclusion episodes per 1,000 bed days </w:t>
            </w:r>
            <w:r w:rsidR="004D2144">
              <w:rPr>
                <w:rFonts w:eastAsia="Arial" w:cs="Arial"/>
                <w:szCs w:val="21"/>
              </w:rPr>
              <w:t xml:space="preserve">or </w:t>
            </w:r>
            <w:r w:rsidR="00C24812">
              <w:rPr>
                <w:rFonts w:eastAsia="Arial" w:cs="Arial"/>
                <w:szCs w:val="21"/>
              </w:rPr>
              <w:t xml:space="preserve">at least </w:t>
            </w:r>
            <w:r w:rsidR="004D2144">
              <w:rPr>
                <w:rFonts w:eastAsia="Arial" w:cs="Arial"/>
                <w:szCs w:val="21"/>
              </w:rPr>
              <w:t xml:space="preserve">5 per cent improvement </w:t>
            </w:r>
          </w:p>
        </w:tc>
      </w:tr>
      <w:tr w:rsidR="2ECFC544" w14:paraId="575185B2"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1A6B8F08" w14:textId="6BEDE66B" w:rsidR="2ECFC544" w:rsidRDefault="2ECFC544" w:rsidP="2ECFC544">
            <w:pPr>
              <w:pStyle w:val="Tablecolhead"/>
              <w:spacing w:line="279" w:lineRule="auto"/>
              <w:rPr>
                <w:rFonts w:eastAsia="Arial" w:cs="Arial"/>
                <w:bCs/>
                <w:szCs w:val="21"/>
              </w:rPr>
            </w:pPr>
            <w:r w:rsidRPr="2ECFC544">
              <w:rPr>
                <w:rFonts w:eastAsia="Arial" w:cs="Arial"/>
                <w:b w:val="0"/>
                <w:szCs w:val="21"/>
              </w:rPr>
              <w:t>Achieved</w:t>
            </w:r>
          </w:p>
        </w:tc>
        <w:tc>
          <w:tcPr>
            <w:tcW w:w="7512" w:type="dxa"/>
            <w:tcBorders>
              <w:left w:val="single" w:sz="6" w:space="0" w:color="000000" w:themeColor="text1"/>
              <w:right w:val="single" w:sz="6" w:space="0" w:color="auto"/>
            </w:tcBorders>
            <w:tcMar>
              <w:left w:w="90" w:type="dxa"/>
              <w:right w:w="90" w:type="dxa"/>
            </w:tcMar>
          </w:tcPr>
          <w:p w14:paraId="6E7DC68F" w14:textId="77777777" w:rsidR="2ECFC544" w:rsidRDefault="2ECFC544" w:rsidP="2ECFC544">
            <w:pPr>
              <w:pStyle w:val="Tabletext"/>
              <w:spacing w:line="279" w:lineRule="auto"/>
              <w:rPr>
                <w:rFonts w:eastAsia="Arial" w:cs="Arial"/>
                <w:szCs w:val="21"/>
              </w:rPr>
            </w:pPr>
            <w:r w:rsidRPr="2ECFC544">
              <w:rPr>
                <w:rFonts w:eastAsia="Arial" w:cs="Arial"/>
                <w:szCs w:val="21"/>
              </w:rPr>
              <w:t>Less than or equal to 6 seclusion episodes per 1,000 bed days</w:t>
            </w:r>
            <w:r w:rsidR="00105D4D">
              <w:rPr>
                <w:rFonts w:eastAsia="Arial" w:cs="Arial"/>
                <w:szCs w:val="21"/>
              </w:rPr>
              <w:t xml:space="preserve"> </w:t>
            </w:r>
          </w:p>
          <w:p w14:paraId="4E8A9960" w14:textId="4EAAF199" w:rsidR="00FA7B34" w:rsidRDefault="00AD7112" w:rsidP="00722AE2">
            <w:pPr>
              <w:pStyle w:val="Tabletext"/>
              <w:spacing w:line="279" w:lineRule="auto"/>
              <w:rPr>
                <w:rFonts w:eastAsia="Arial" w:cs="Arial"/>
                <w:szCs w:val="21"/>
              </w:rPr>
            </w:pPr>
            <w:r w:rsidRPr="00337850">
              <w:rPr>
                <w:rFonts w:eastAsia="Arial" w:cs="Arial"/>
                <w:b/>
                <w:bCs/>
                <w:szCs w:val="21"/>
              </w:rPr>
              <w:t>Forensicare</w:t>
            </w:r>
            <w:r>
              <w:rPr>
                <w:rFonts w:eastAsia="Arial" w:cs="Arial"/>
                <w:szCs w:val="21"/>
              </w:rPr>
              <w:t>:</w:t>
            </w:r>
            <w:r w:rsidR="00722AE2">
              <w:rPr>
                <w:rFonts w:eastAsia="Arial" w:cs="Arial"/>
                <w:szCs w:val="21"/>
              </w:rPr>
              <w:t xml:space="preserve"> </w:t>
            </w:r>
            <w:r w:rsidR="00FA7B34" w:rsidRPr="2ECFC544">
              <w:rPr>
                <w:rFonts w:eastAsia="Arial" w:cs="Arial"/>
                <w:szCs w:val="21"/>
              </w:rPr>
              <w:t xml:space="preserve">Less than or equal to 6 seclusion episodes per 1,000 bed days </w:t>
            </w:r>
            <w:r w:rsidR="00FA7B34">
              <w:rPr>
                <w:rFonts w:eastAsia="Arial" w:cs="Arial"/>
                <w:szCs w:val="21"/>
              </w:rPr>
              <w:t>or</w:t>
            </w:r>
            <w:r w:rsidR="00C24812">
              <w:rPr>
                <w:rFonts w:eastAsia="Arial" w:cs="Arial"/>
                <w:szCs w:val="21"/>
              </w:rPr>
              <w:t xml:space="preserve"> at least </w:t>
            </w:r>
            <w:r w:rsidR="00FA7B34">
              <w:rPr>
                <w:rFonts w:eastAsia="Arial" w:cs="Arial"/>
                <w:szCs w:val="21"/>
              </w:rPr>
              <w:t xml:space="preserve">5 per cent improvement </w:t>
            </w:r>
          </w:p>
        </w:tc>
      </w:tr>
      <w:tr w:rsidR="2ECFC544" w14:paraId="4752FFBC"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51A2C1F" w14:textId="7ECACDFF" w:rsidR="2ECFC544" w:rsidRDefault="2ECFC544" w:rsidP="2ECFC544">
            <w:pPr>
              <w:pStyle w:val="Tablecolhead"/>
              <w:spacing w:line="279" w:lineRule="auto"/>
              <w:rPr>
                <w:rFonts w:eastAsia="Arial" w:cs="Arial"/>
                <w:bCs/>
                <w:szCs w:val="21"/>
              </w:rPr>
            </w:pPr>
            <w:r w:rsidRPr="2ECFC544">
              <w:rPr>
                <w:rFonts w:eastAsia="Arial" w:cs="Arial"/>
                <w:b w:val="0"/>
                <w:szCs w:val="21"/>
              </w:rPr>
              <w:t>Not achieved</w:t>
            </w:r>
          </w:p>
        </w:tc>
        <w:tc>
          <w:tcPr>
            <w:tcW w:w="7512" w:type="dxa"/>
            <w:tcBorders>
              <w:left w:val="single" w:sz="6" w:space="0" w:color="000000" w:themeColor="text1"/>
              <w:right w:val="single" w:sz="6" w:space="0" w:color="auto"/>
            </w:tcBorders>
            <w:tcMar>
              <w:left w:w="90" w:type="dxa"/>
              <w:right w:w="90" w:type="dxa"/>
            </w:tcMar>
          </w:tcPr>
          <w:p w14:paraId="2F13C1A2" w14:textId="77777777" w:rsidR="2ECFC544" w:rsidRDefault="2ECFC544" w:rsidP="2ECFC544">
            <w:pPr>
              <w:pStyle w:val="Tabletext"/>
              <w:spacing w:line="279" w:lineRule="auto"/>
              <w:rPr>
                <w:rFonts w:eastAsia="Arial" w:cs="Arial"/>
                <w:szCs w:val="21"/>
              </w:rPr>
            </w:pPr>
            <w:r w:rsidRPr="2ECFC544">
              <w:rPr>
                <w:rFonts w:eastAsia="Arial" w:cs="Arial"/>
                <w:szCs w:val="21"/>
              </w:rPr>
              <w:t>Greater than 6 seclusion episodes per 1,000 bed days</w:t>
            </w:r>
          </w:p>
          <w:p w14:paraId="125B288B" w14:textId="6299DA88" w:rsidR="00FA7B34" w:rsidRDefault="00AD7112" w:rsidP="00722AE2">
            <w:pPr>
              <w:pStyle w:val="Tabletext"/>
              <w:spacing w:line="279" w:lineRule="auto"/>
              <w:rPr>
                <w:rFonts w:eastAsia="Arial" w:cs="Arial"/>
                <w:szCs w:val="21"/>
              </w:rPr>
            </w:pPr>
            <w:r w:rsidRPr="00337850">
              <w:rPr>
                <w:rFonts w:eastAsia="Arial" w:cs="Arial"/>
                <w:b/>
                <w:bCs/>
                <w:szCs w:val="21"/>
              </w:rPr>
              <w:t>Forensicare</w:t>
            </w:r>
            <w:r>
              <w:rPr>
                <w:rFonts w:eastAsia="Arial" w:cs="Arial"/>
                <w:szCs w:val="21"/>
              </w:rPr>
              <w:t>:</w:t>
            </w:r>
            <w:r w:rsidR="00722AE2">
              <w:rPr>
                <w:rFonts w:eastAsia="Arial" w:cs="Arial"/>
                <w:szCs w:val="21"/>
              </w:rPr>
              <w:t xml:space="preserve"> </w:t>
            </w:r>
            <w:r w:rsidR="00FA7B34">
              <w:rPr>
                <w:rFonts w:eastAsia="Arial" w:cs="Arial"/>
                <w:szCs w:val="21"/>
              </w:rPr>
              <w:t>Greater than</w:t>
            </w:r>
            <w:r w:rsidR="00FA7B34" w:rsidRPr="2ECFC544">
              <w:rPr>
                <w:rFonts w:eastAsia="Arial" w:cs="Arial"/>
                <w:szCs w:val="21"/>
              </w:rPr>
              <w:t xml:space="preserve"> 6 seclusion episodes per 1,000 bed days </w:t>
            </w:r>
            <w:r w:rsidR="00C862DA">
              <w:rPr>
                <w:rFonts w:eastAsia="Arial" w:cs="Arial"/>
                <w:szCs w:val="21"/>
              </w:rPr>
              <w:t>and</w:t>
            </w:r>
            <w:r w:rsidR="00FA7B34">
              <w:rPr>
                <w:rFonts w:eastAsia="Arial" w:cs="Arial"/>
                <w:szCs w:val="21"/>
              </w:rPr>
              <w:t xml:space="preserve"> </w:t>
            </w:r>
            <w:r>
              <w:rPr>
                <w:rFonts w:eastAsia="Arial" w:cs="Arial"/>
                <w:szCs w:val="21"/>
              </w:rPr>
              <w:t xml:space="preserve">less than </w:t>
            </w:r>
            <w:r w:rsidR="00FA7B34">
              <w:rPr>
                <w:rFonts w:eastAsia="Arial" w:cs="Arial"/>
                <w:szCs w:val="21"/>
              </w:rPr>
              <w:t xml:space="preserve">5 per cent improvement </w:t>
            </w:r>
          </w:p>
        </w:tc>
      </w:tr>
      <w:tr w:rsidR="2ECFC544" w14:paraId="712A0DC2" w14:textId="77777777" w:rsidTr="00225D19">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6B566213" w14:textId="73CE239F" w:rsidR="2ECFC544" w:rsidRDefault="2ECFC544" w:rsidP="2ECFC544">
            <w:pPr>
              <w:pStyle w:val="Tablecolhead"/>
              <w:spacing w:line="279" w:lineRule="auto"/>
              <w:rPr>
                <w:rFonts w:eastAsia="Arial" w:cs="Arial"/>
                <w:bCs/>
                <w:szCs w:val="21"/>
              </w:rPr>
            </w:pPr>
            <w:r w:rsidRPr="2ECFC544">
              <w:rPr>
                <w:rFonts w:eastAsia="Arial" w:cs="Arial"/>
                <w:b w:val="0"/>
                <w:szCs w:val="21"/>
              </w:rPr>
              <w:t>Improvement</w:t>
            </w:r>
          </w:p>
        </w:tc>
        <w:tc>
          <w:tcPr>
            <w:tcW w:w="7512" w:type="dxa"/>
            <w:tcBorders>
              <w:left w:val="single" w:sz="6" w:space="0" w:color="000000" w:themeColor="text1"/>
              <w:right w:val="single" w:sz="6" w:space="0" w:color="auto"/>
            </w:tcBorders>
            <w:tcMar>
              <w:left w:w="90" w:type="dxa"/>
              <w:right w:w="90" w:type="dxa"/>
            </w:tcMar>
          </w:tcPr>
          <w:p w14:paraId="1DE45358" w14:textId="1D9E5998" w:rsidR="2ECFC544" w:rsidRDefault="2ECFC544" w:rsidP="2ECFC544">
            <w:pPr>
              <w:pStyle w:val="Tabletext"/>
              <w:spacing w:line="279" w:lineRule="auto"/>
              <w:rPr>
                <w:rFonts w:eastAsia="Arial" w:cs="Arial"/>
                <w:szCs w:val="21"/>
              </w:rPr>
            </w:pPr>
            <w:r w:rsidRPr="2ECFC544">
              <w:rPr>
                <w:rFonts w:eastAsia="Arial" w:cs="Arial"/>
                <w:szCs w:val="21"/>
              </w:rPr>
              <w:t xml:space="preserve">For the purpose of the performance risk assessment, improvement is compared to previous quarter performance </w:t>
            </w:r>
          </w:p>
        </w:tc>
      </w:tr>
      <w:tr w:rsidR="2ECFC544" w14:paraId="0A833C7A" w14:textId="77777777" w:rsidTr="00225D19">
        <w:trPr>
          <w:trHeight w:val="285"/>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90" w:type="dxa"/>
              <w:right w:w="90" w:type="dxa"/>
            </w:tcMar>
          </w:tcPr>
          <w:p w14:paraId="3701E5FB" w14:textId="026D3818" w:rsidR="2ECFC544" w:rsidRDefault="2ECFC544" w:rsidP="2ECFC544">
            <w:pPr>
              <w:pStyle w:val="Tablecolhead"/>
              <w:spacing w:line="279" w:lineRule="auto"/>
              <w:rPr>
                <w:rFonts w:eastAsia="Arial" w:cs="Arial"/>
                <w:bCs/>
                <w:szCs w:val="21"/>
              </w:rPr>
            </w:pPr>
            <w:r w:rsidRPr="2ECFC544">
              <w:rPr>
                <w:rFonts w:eastAsia="Arial" w:cs="Arial"/>
                <w:b w:val="0"/>
                <w:szCs w:val="21"/>
              </w:rPr>
              <w:t>Frequency of reporting and data collection</w:t>
            </w:r>
          </w:p>
        </w:tc>
        <w:tc>
          <w:tcPr>
            <w:tcW w:w="7512" w:type="dxa"/>
            <w:tcBorders>
              <w:left w:val="single" w:sz="6" w:space="0" w:color="000000" w:themeColor="text1"/>
              <w:bottom w:val="single" w:sz="6" w:space="0" w:color="auto"/>
              <w:right w:val="single" w:sz="6" w:space="0" w:color="auto"/>
            </w:tcBorders>
            <w:tcMar>
              <w:left w:w="90" w:type="dxa"/>
              <w:right w:w="90" w:type="dxa"/>
            </w:tcMar>
          </w:tcPr>
          <w:p w14:paraId="36C88536" w14:textId="5ADEB5F9" w:rsidR="2ECFC544" w:rsidRDefault="2ECFC544" w:rsidP="2ECFC544">
            <w:pPr>
              <w:pStyle w:val="Tabletext"/>
              <w:spacing w:line="279" w:lineRule="auto"/>
              <w:rPr>
                <w:rFonts w:eastAsia="Arial" w:cs="Arial"/>
                <w:szCs w:val="21"/>
              </w:rPr>
            </w:pPr>
            <w:r w:rsidRPr="2ECFC544">
              <w:rPr>
                <w:rFonts w:eastAsia="Arial" w:cs="Arial"/>
                <w:szCs w:val="21"/>
              </w:rPr>
              <w:t xml:space="preserve">Performance is reported quarterly and annually by </w:t>
            </w:r>
            <w:r w:rsidR="00762B5A">
              <w:rPr>
                <w:rFonts w:eastAsia="Arial" w:cs="Arial"/>
                <w:szCs w:val="21"/>
              </w:rPr>
              <w:t>health service.</w:t>
            </w:r>
            <w:r w:rsidRPr="2ECFC544">
              <w:rPr>
                <w:rFonts w:eastAsia="Arial" w:cs="Arial"/>
                <w:szCs w:val="21"/>
              </w:rPr>
              <w:t xml:space="preserve"> </w:t>
            </w:r>
          </w:p>
          <w:p w14:paraId="3630D40A" w14:textId="1EF8D454" w:rsidR="2ECFC544" w:rsidRDefault="2ECFC544" w:rsidP="2ECFC544">
            <w:pPr>
              <w:pStyle w:val="Tabletext"/>
              <w:spacing w:line="279" w:lineRule="auto"/>
              <w:rPr>
                <w:rFonts w:eastAsia="Arial" w:cs="Arial"/>
                <w:szCs w:val="21"/>
              </w:rPr>
            </w:pPr>
            <w:r w:rsidRPr="2ECFC544">
              <w:rPr>
                <w:rFonts w:eastAsia="Arial" w:cs="Arial"/>
                <w:szCs w:val="21"/>
              </w:rPr>
              <w:t>Data are sourced from the Client Management Interface (CMI) / Operational Data Store (ODS).</w:t>
            </w:r>
          </w:p>
        </w:tc>
      </w:tr>
    </w:tbl>
    <w:p w14:paraId="1F98F34B" w14:textId="21F24C44" w:rsidR="5463EECD" w:rsidRDefault="5463EECD" w:rsidP="008E7F78">
      <w:pPr>
        <w:pStyle w:val="Heading4"/>
        <w:rPr>
          <w:i/>
        </w:rPr>
      </w:pPr>
      <w:bookmarkStart w:id="50" w:name="_Toc86932737"/>
      <w:r w:rsidRPr="2ECFC544">
        <w:rPr>
          <w:rFonts w:eastAsia="Arial" w:cs="Arial"/>
          <w:szCs w:val="24"/>
        </w:rPr>
        <w:t>Percentage of consumers re-admitted within 28 days of separation – Inpatient</w:t>
      </w:r>
      <w:bookmarkEnd w:id="50"/>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2ECFC544" w14:paraId="0FFB83DE" w14:textId="77777777" w:rsidTr="00337850">
        <w:trPr>
          <w:trHeight w:val="285"/>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E82E64B" w14:textId="6E474169" w:rsidR="2ECFC544" w:rsidRDefault="2ECFC544" w:rsidP="2ECFC544">
            <w:pPr>
              <w:pStyle w:val="Tablecolhead"/>
              <w:spacing w:line="279" w:lineRule="auto"/>
              <w:rPr>
                <w:rFonts w:eastAsia="Arial" w:cs="Arial"/>
                <w:bCs/>
                <w:szCs w:val="21"/>
              </w:rPr>
            </w:pPr>
            <w:r w:rsidRPr="2ECFC544">
              <w:rPr>
                <w:rFonts w:eastAsia="Arial" w:cs="Arial"/>
                <w:b w:val="0"/>
                <w:szCs w:val="21"/>
              </w:rPr>
              <w:t>Measure</w:t>
            </w:r>
          </w:p>
        </w:tc>
        <w:tc>
          <w:tcPr>
            <w:tcW w:w="7512" w:type="dxa"/>
            <w:tcBorders>
              <w:top w:val="single" w:sz="6" w:space="0" w:color="auto"/>
              <w:left w:val="single" w:sz="6" w:space="0" w:color="000000" w:themeColor="text1"/>
              <w:right w:val="single" w:sz="6" w:space="0" w:color="auto"/>
            </w:tcBorders>
            <w:tcMar>
              <w:left w:w="90" w:type="dxa"/>
              <w:right w:w="90" w:type="dxa"/>
            </w:tcMar>
            <w:vAlign w:val="bottom"/>
          </w:tcPr>
          <w:p w14:paraId="2008794A" w14:textId="2B37190B" w:rsidR="2ECFC544" w:rsidRDefault="2ECFC544" w:rsidP="2ECFC544">
            <w:pPr>
              <w:pStyle w:val="Tabletext"/>
              <w:spacing w:line="279" w:lineRule="auto"/>
              <w:rPr>
                <w:rFonts w:eastAsia="Arial" w:cs="Arial"/>
                <w:szCs w:val="21"/>
              </w:rPr>
            </w:pPr>
            <w:r w:rsidRPr="2ECFC544">
              <w:rPr>
                <w:rFonts w:eastAsia="Arial" w:cs="Arial"/>
                <w:szCs w:val="21"/>
              </w:rPr>
              <w:t xml:space="preserve">Percentage of consumers re-admitted within 28 days of separation </w:t>
            </w:r>
            <w:r w:rsidR="002A5841">
              <w:rPr>
                <w:rFonts w:eastAsia="Arial" w:cs="Arial"/>
                <w:szCs w:val="21"/>
              </w:rPr>
              <w:t>‒</w:t>
            </w:r>
            <w:r w:rsidRPr="2ECFC544">
              <w:rPr>
                <w:rFonts w:eastAsia="Arial" w:cs="Arial"/>
                <w:szCs w:val="21"/>
              </w:rPr>
              <w:t xml:space="preserve"> Inpatient </w:t>
            </w:r>
          </w:p>
        </w:tc>
      </w:tr>
      <w:tr w:rsidR="2ECFC544" w14:paraId="2AEF6E43"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20976088" w14:textId="5D42E36F" w:rsidR="2ECFC544" w:rsidRDefault="2ECFC544" w:rsidP="2ECFC544">
            <w:pPr>
              <w:pStyle w:val="Tablecolhead"/>
              <w:spacing w:line="279" w:lineRule="auto"/>
              <w:rPr>
                <w:rFonts w:eastAsia="Arial" w:cs="Arial"/>
                <w:bCs/>
                <w:szCs w:val="21"/>
              </w:rPr>
            </w:pPr>
            <w:r w:rsidRPr="2ECFC544">
              <w:rPr>
                <w:rFonts w:eastAsia="Arial" w:cs="Arial"/>
                <w:b w:val="0"/>
                <w:szCs w:val="21"/>
              </w:rPr>
              <w:t>Description </w:t>
            </w:r>
          </w:p>
        </w:tc>
        <w:tc>
          <w:tcPr>
            <w:tcW w:w="7512" w:type="dxa"/>
            <w:tcBorders>
              <w:left w:val="single" w:sz="6" w:space="0" w:color="000000" w:themeColor="text1"/>
              <w:right w:val="single" w:sz="6" w:space="0" w:color="auto"/>
            </w:tcBorders>
            <w:tcMar>
              <w:left w:w="90" w:type="dxa"/>
              <w:right w:w="90" w:type="dxa"/>
            </w:tcMar>
          </w:tcPr>
          <w:p w14:paraId="5E430454" w14:textId="7AA79E3A" w:rsidR="2ECFC544" w:rsidRDefault="2ECFC544" w:rsidP="2ECFC544">
            <w:pPr>
              <w:pStyle w:val="Tabletext"/>
              <w:spacing w:line="279" w:lineRule="auto"/>
              <w:rPr>
                <w:rFonts w:eastAsia="Arial" w:cs="Arial"/>
                <w:szCs w:val="21"/>
              </w:rPr>
            </w:pPr>
            <w:r w:rsidRPr="2ECFC544">
              <w:rPr>
                <w:rFonts w:eastAsia="Arial" w:cs="Arial"/>
                <w:szCs w:val="21"/>
              </w:rPr>
              <w:t>Specialist mental health services are aimed primarily at people with a serious mental illness or mental disorder who have associated significant levels of disturbance and psychosocial disability due to their illness or disorder. Readmission rates for mental health consumers can reflect the quality of care, effectiveness of discharge planning and level of support provided to patients after discharge, as well as other factors.</w:t>
            </w:r>
          </w:p>
        </w:tc>
      </w:tr>
      <w:tr w:rsidR="2ECFC544" w14:paraId="3B74713D"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93737A7" w14:textId="43523442" w:rsidR="2ECFC544" w:rsidRDefault="2ECFC544" w:rsidP="2ECFC544">
            <w:pPr>
              <w:pStyle w:val="Tablecolhead"/>
              <w:spacing w:line="279" w:lineRule="auto"/>
              <w:rPr>
                <w:rFonts w:eastAsia="Arial" w:cs="Arial"/>
                <w:bCs/>
                <w:szCs w:val="21"/>
              </w:rPr>
            </w:pPr>
            <w:r w:rsidRPr="2ECFC544">
              <w:rPr>
                <w:rFonts w:eastAsia="Arial" w:cs="Arial"/>
                <w:b w:val="0"/>
                <w:szCs w:val="21"/>
              </w:rPr>
              <w:t>Calculating performance</w:t>
            </w:r>
          </w:p>
        </w:tc>
        <w:tc>
          <w:tcPr>
            <w:tcW w:w="7512" w:type="dxa"/>
            <w:tcBorders>
              <w:left w:val="single" w:sz="6" w:space="0" w:color="000000" w:themeColor="text1"/>
              <w:right w:val="single" w:sz="6" w:space="0" w:color="auto"/>
            </w:tcBorders>
            <w:tcMar>
              <w:left w:w="90" w:type="dxa"/>
              <w:right w:w="90" w:type="dxa"/>
            </w:tcMar>
          </w:tcPr>
          <w:p w14:paraId="1AFB37A2" w14:textId="7527A55D" w:rsidR="2ECFC544" w:rsidRDefault="2ECFC544" w:rsidP="2ECFC544">
            <w:pPr>
              <w:pStyle w:val="Tabletext"/>
              <w:spacing w:line="279" w:lineRule="auto"/>
              <w:rPr>
                <w:rFonts w:eastAsia="Arial" w:cs="Arial"/>
                <w:szCs w:val="21"/>
              </w:rPr>
            </w:pPr>
            <w:r w:rsidRPr="2ECFC544">
              <w:rPr>
                <w:rFonts w:eastAsia="Arial" w:cs="Arial"/>
                <w:szCs w:val="21"/>
              </w:rPr>
              <w:t xml:space="preserve">This measure calculates the percentage of non-same day separations from mental health inpatient units where the consumer was re-admitted (planned or unplanned) to any mental health inpatient unit within 28 days of separation.  </w:t>
            </w:r>
          </w:p>
          <w:p w14:paraId="133C29F4" w14:textId="453140FC" w:rsidR="00CB4EED" w:rsidRDefault="003A5EE2" w:rsidP="2ECFC544">
            <w:pPr>
              <w:pStyle w:val="Tabletext"/>
              <w:spacing w:line="279" w:lineRule="auto"/>
              <w:rPr>
                <w:rFonts w:eastAsia="Arial" w:cs="Arial"/>
                <w:szCs w:val="21"/>
              </w:rPr>
            </w:pPr>
            <w:r w:rsidRPr="2ECFC544">
              <w:rPr>
                <w:rFonts w:eastAsia="Arial" w:cs="Arial"/>
                <w:szCs w:val="21"/>
              </w:rPr>
              <w:t>Excludes</w:t>
            </w:r>
            <w:r w:rsidR="00CB4EED">
              <w:rPr>
                <w:rFonts w:eastAsia="Arial" w:cs="Arial"/>
                <w:szCs w:val="21"/>
              </w:rPr>
              <w:t>:</w:t>
            </w:r>
            <w:r w:rsidR="005C78FD">
              <w:rPr>
                <w:rFonts w:eastAsia="Arial" w:cs="Arial"/>
                <w:szCs w:val="21"/>
              </w:rPr>
              <w:t xml:space="preserve"> s</w:t>
            </w:r>
            <w:r w:rsidRPr="2ECFC544">
              <w:rPr>
                <w:rFonts w:eastAsia="Arial" w:cs="Arial"/>
                <w:szCs w:val="21"/>
              </w:rPr>
              <w:t>ame day admissions</w:t>
            </w:r>
            <w:r w:rsidR="005C78FD">
              <w:rPr>
                <w:rFonts w:eastAsia="Arial" w:cs="Arial"/>
                <w:szCs w:val="21"/>
              </w:rPr>
              <w:t xml:space="preserve">; </w:t>
            </w:r>
            <w:r w:rsidRPr="2ECFC544">
              <w:rPr>
                <w:rFonts w:eastAsia="Arial" w:cs="Arial"/>
                <w:szCs w:val="21"/>
              </w:rPr>
              <w:t>consumers that were originally separated because they were transferred to another inpatient unit or absconded</w:t>
            </w:r>
            <w:r w:rsidR="005C78FD">
              <w:rPr>
                <w:rFonts w:eastAsia="Arial" w:cs="Arial"/>
                <w:szCs w:val="21"/>
              </w:rPr>
              <w:t xml:space="preserve">; </w:t>
            </w:r>
            <w:r w:rsidRPr="2ECFC544">
              <w:rPr>
                <w:rFonts w:eastAsia="Arial" w:cs="Arial"/>
                <w:szCs w:val="21"/>
              </w:rPr>
              <w:t>overnight ECT admissions (where ECT occurred on the day of separation)</w:t>
            </w:r>
            <w:r w:rsidR="00CB4EED">
              <w:rPr>
                <w:rFonts w:eastAsia="Arial" w:cs="Arial"/>
                <w:szCs w:val="21"/>
              </w:rPr>
              <w:t>.</w:t>
            </w:r>
          </w:p>
          <w:p w14:paraId="5FAFD385" w14:textId="0192AB79" w:rsidR="003A5EE2" w:rsidRDefault="00F97732" w:rsidP="2ECFC544">
            <w:pPr>
              <w:pStyle w:val="Tabletext"/>
              <w:spacing w:line="279" w:lineRule="auto"/>
              <w:rPr>
                <w:rFonts w:eastAsia="Arial" w:cs="Arial"/>
                <w:szCs w:val="21"/>
              </w:rPr>
            </w:pPr>
            <w:r>
              <w:rPr>
                <w:rFonts w:eastAsia="Arial" w:cs="Arial"/>
                <w:szCs w:val="21"/>
              </w:rPr>
              <w:t xml:space="preserve">Re-admissions exclude </w:t>
            </w:r>
            <w:r w:rsidR="00D54E4B">
              <w:rPr>
                <w:rFonts w:eastAsia="Arial" w:cs="Arial"/>
                <w:szCs w:val="21"/>
              </w:rPr>
              <w:t xml:space="preserve">admissions </w:t>
            </w:r>
            <w:r w:rsidR="003A5EE2" w:rsidRPr="2ECFC544">
              <w:rPr>
                <w:rFonts w:eastAsia="Arial" w:cs="Arial"/>
                <w:szCs w:val="21"/>
              </w:rPr>
              <w:t>to the following specialty inpatient units: Mother/Baby, Eating Disorder, PICU and Neuropsychiatry.</w:t>
            </w:r>
          </w:p>
          <w:p w14:paraId="126D6C00" w14:textId="1C79AAB6" w:rsidR="2ECFC544" w:rsidRDefault="2ECFC544" w:rsidP="2ECFC544">
            <w:pPr>
              <w:pStyle w:val="Tabletext"/>
              <w:spacing w:line="279" w:lineRule="auto"/>
              <w:rPr>
                <w:rFonts w:eastAsia="Arial" w:cs="Arial"/>
                <w:szCs w:val="21"/>
              </w:rPr>
            </w:pPr>
            <w:r w:rsidRPr="2ECFC544">
              <w:rPr>
                <w:rFonts w:eastAsia="Arial" w:cs="Arial"/>
                <w:szCs w:val="21"/>
              </w:rPr>
              <w:t>Mental health inpatient units are determined at the CMI/ODS subcentre level.</w:t>
            </w:r>
          </w:p>
        </w:tc>
      </w:tr>
      <w:tr w:rsidR="2ECFC544" w14:paraId="580A2E93"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47CBB11" w14:textId="728EFB06" w:rsidR="2ECFC544" w:rsidRDefault="2ECFC544" w:rsidP="2ECFC544">
            <w:pPr>
              <w:pStyle w:val="Tablecolhead"/>
              <w:spacing w:line="279" w:lineRule="auto"/>
              <w:rPr>
                <w:rFonts w:eastAsia="Arial" w:cs="Arial"/>
                <w:bCs/>
                <w:szCs w:val="21"/>
              </w:rPr>
            </w:pPr>
            <w:r w:rsidRPr="2ECFC544">
              <w:rPr>
                <w:rFonts w:eastAsia="Arial" w:cs="Arial"/>
                <w:b w:val="0"/>
                <w:szCs w:val="21"/>
              </w:rPr>
              <w:lastRenderedPageBreak/>
              <w:t>Numerator</w:t>
            </w:r>
          </w:p>
        </w:tc>
        <w:tc>
          <w:tcPr>
            <w:tcW w:w="7512" w:type="dxa"/>
            <w:tcBorders>
              <w:left w:val="single" w:sz="6" w:space="0" w:color="000000" w:themeColor="text1"/>
              <w:right w:val="single" w:sz="6" w:space="0" w:color="auto"/>
            </w:tcBorders>
            <w:tcMar>
              <w:left w:w="90" w:type="dxa"/>
              <w:right w:w="90" w:type="dxa"/>
            </w:tcMar>
          </w:tcPr>
          <w:p w14:paraId="37123E3D" w14:textId="6DFDE7CC" w:rsidR="2ECFC544" w:rsidRDefault="2ECFC544" w:rsidP="2ECFC544">
            <w:pPr>
              <w:pStyle w:val="Tabletext"/>
              <w:spacing w:line="279" w:lineRule="auto"/>
              <w:rPr>
                <w:rFonts w:eastAsia="Arial" w:cs="Arial"/>
                <w:szCs w:val="21"/>
              </w:rPr>
            </w:pPr>
            <w:r w:rsidRPr="2ECFC544">
              <w:rPr>
                <w:rFonts w:eastAsia="Arial" w:cs="Arial"/>
                <w:szCs w:val="21"/>
              </w:rPr>
              <w:t xml:space="preserve">Number of readmissions (planned or unplanned) to any mental health inpatient unit within 28 days of separation from a mental health inpatient unit. </w:t>
            </w:r>
          </w:p>
        </w:tc>
      </w:tr>
      <w:tr w:rsidR="2ECFC544" w14:paraId="54AD1D6F"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0F68ACDF" w14:textId="2764D12B" w:rsidR="2ECFC544" w:rsidRDefault="2ECFC544" w:rsidP="2ECFC544">
            <w:pPr>
              <w:pStyle w:val="Tablecolhead"/>
              <w:spacing w:line="279" w:lineRule="auto"/>
              <w:rPr>
                <w:rFonts w:eastAsia="Arial" w:cs="Arial"/>
                <w:bCs/>
                <w:szCs w:val="21"/>
              </w:rPr>
            </w:pPr>
            <w:r w:rsidRPr="2ECFC544">
              <w:rPr>
                <w:rFonts w:eastAsia="Arial" w:cs="Arial"/>
                <w:b w:val="0"/>
                <w:szCs w:val="21"/>
              </w:rPr>
              <w:t>Denominator</w:t>
            </w:r>
          </w:p>
        </w:tc>
        <w:tc>
          <w:tcPr>
            <w:tcW w:w="7512" w:type="dxa"/>
            <w:tcBorders>
              <w:left w:val="single" w:sz="6" w:space="0" w:color="000000" w:themeColor="text1"/>
              <w:right w:val="single" w:sz="6" w:space="0" w:color="auto"/>
            </w:tcBorders>
            <w:tcMar>
              <w:left w:w="90" w:type="dxa"/>
              <w:right w:w="90" w:type="dxa"/>
            </w:tcMar>
          </w:tcPr>
          <w:p w14:paraId="2D4E65FC" w14:textId="4B42CD6E" w:rsidR="2ECFC544" w:rsidRDefault="2ECFC544" w:rsidP="2ECFC544">
            <w:pPr>
              <w:pStyle w:val="Tabletext"/>
              <w:spacing w:line="279" w:lineRule="auto"/>
              <w:rPr>
                <w:rFonts w:eastAsia="Arial" w:cs="Arial"/>
                <w:szCs w:val="21"/>
              </w:rPr>
            </w:pPr>
            <w:r w:rsidRPr="2ECFC544">
              <w:rPr>
                <w:rFonts w:eastAsia="Arial" w:cs="Arial"/>
                <w:szCs w:val="21"/>
              </w:rPr>
              <w:t xml:space="preserve">Total number of separations from a mental health inpatient unit, where the consumer was discharged home or to a residential service. </w:t>
            </w:r>
          </w:p>
        </w:tc>
      </w:tr>
      <w:tr w:rsidR="2ECFC544" w14:paraId="623452DD"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1646EB40" w14:textId="164CD121" w:rsidR="2ECFC544" w:rsidRDefault="2ECFC544" w:rsidP="2ECFC544">
            <w:pPr>
              <w:pStyle w:val="Tablecolhead"/>
              <w:spacing w:line="279" w:lineRule="auto"/>
              <w:rPr>
                <w:rFonts w:eastAsia="Arial" w:cs="Arial"/>
                <w:bCs/>
                <w:szCs w:val="21"/>
              </w:rPr>
            </w:pPr>
            <w:r w:rsidRPr="2ECFC544">
              <w:rPr>
                <w:rFonts w:eastAsia="Arial" w:cs="Arial"/>
                <w:b w:val="0"/>
                <w:szCs w:val="21"/>
              </w:rPr>
              <w:t>Statewide target</w:t>
            </w:r>
          </w:p>
        </w:tc>
        <w:tc>
          <w:tcPr>
            <w:tcW w:w="7512" w:type="dxa"/>
            <w:tcBorders>
              <w:left w:val="single" w:sz="6" w:space="0" w:color="000000" w:themeColor="text1"/>
              <w:right w:val="single" w:sz="6" w:space="0" w:color="auto"/>
            </w:tcBorders>
            <w:tcMar>
              <w:left w:w="90" w:type="dxa"/>
              <w:right w:w="90" w:type="dxa"/>
            </w:tcMar>
          </w:tcPr>
          <w:p w14:paraId="11212836" w14:textId="56A8493A" w:rsidR="2ECFC544" w:rsidRDefault="00C43DBB" w:rsidP="2ECFC544">
            <w:pPr>
              <w:pStyle w:val="Tabletext"/>
              <w:spacing w:line="279" w:lineRule="auto"/>
              <w:rPr>
                <w:rFonts w:eastAsia="Arial" w:cs="Arial"/>
                <w:szCs w:val="21"/>
              </w:rPr>
            </w:pPr>
            <w:r>
              <w:rPr>
                <w:rFonts w:eastAsia="Arial" w:cs="Arial"/>
                <w:szCs w:val="21"/>
              </w:rPr>
              <w:t xml:space="preserve">Less than </w:t>
            </w:r>
            <w:r w:rsidR="2ECFC544" w:rsidRPr="2ECFC544">
              <w:rPr>
                <w:rFonts w:eastAsia="Arial" w:cs="Arial"/>
                <w:szCs w:val="21"/>
              </w:rPr>
              <w:t>14 per cent</w:t>
            </w:r>
          </w:p>
        </w:tc>
      </w:tr>
      <w:tr w:rsidR="2ECFC544" w14:paraId="3BC0931B"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36187371" w14:textId="502ABFFB" w:rsidR="2ECFC544" w:rsidRDefault="2ECFC544" w:rsidP="2ECFC544">
            <w:pPr>
              <w:pStyle w:val="Tablecolhead"/>
              <w:spacing w:line="279" w:lineRule="auto"/>
              <w:rPr>
                <w:rFonts w:eastAsia="Arial" w:cs="Arial"/>
                <w:bCs/>
                <w:szCs w:val="21"/>
              </w:rPr>
            </w:pPr>
            <w:r w:rsidRPr="2ECFC544">
              <w:rPr>
                <w:rFonts w:eastAsia="Arial" w:cs="Arial"/>
                <w:b w:val="0"/>
                <w:szCs w:val="21"/>
              </w:rPr>
              <w:t>Achieved</w:t>
            </w:r>
          </w:p>
        </w:tc>
        <w:tc>
          <w:tcPr>
            <w:tcW w:w="7512" w:type="dxa"/>
            <w:tcBorders>
              <w:left w:val="single" w:sz="6" w:space="0" w:color="000000" w:themeColor="text1"/>
              <w:right w:val="single" w:sz="6" w:space="0" w:color="auto"/>
            </w:tcBorders>
            <w:tcMar>
              <w:left w:w="90" w:type="dxa"/>
              <w:right w:w="90" w:type="dxa"/>
            </w:tcMar>
          </w:tcPr>
          <w:p w14:paraId="38FD0EB8" w14:textId="5F15ADD5" w:rsidR="2ECFC544" w:rsidRDefault="2ECFC544" w:rsidP="2ECFC544">
            <w:pPr>
              <w:pStyle w:val="Tabletext"/>
              <w:spacing w:line="279" w:lineRule="auto"/>
              <w:rPr>
                <w:rFonts w:eastAsia="Arial" w:cs="Arial"/>
                <w:szCs w:val="21"/>
              </w:rPr>
            </w:pPr>
            <w:r w:rsidRPr="2ECFC544">
              <w:rPr>
                <w:rFonts w:eastAsia="Arial" w:cs="Arial"/>
                <w:szCs w:val="21"/>
              </w:rPr>
              <w:t>Less than 14 per cent</w:t>
            </w:r>
          </w:p>
        </w:tc>
      </w:tr>
      <w:tr w:rsidR="2ECFC544" w14:paraId="5E2A3310"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831DA26" w14:textId="0D08015E" w:rsidR="2ECFC544" w:rsidRDefault="2ECFC544" w:rsidP="2ECFC544">
            <w:pPr>
              <w:pStyle w:val="Tablecolhead"/>
              <w:spacing w:line="279" w:lineRule="auto"/>
              <w:rPr>
                <w:rFonts w:eastAsia="Arial" w:cs="Arial"/>
                <w:bCs/>
                <w:szCs w:val="21"/>
              </w:rPr>
            </w:pPr>
            <w:r w:rsidRPr="2ECFC544">
              <w:rPr>
                <w:rFonts w:eastAsia="Arial" w:cs="Arial"/>
                <w:b w:val="0"/>
                <w:szCs w:val="21"/>
              </w:rPr>
              <w:t>Not achieved</w:t>
            </w:r>
          </w:p>
        </w:tc>
        <w:tc>
          <w:tcPr>
            <w:tcW w:w="7512" w:type="dxa"/>
            <w:tcBorders>
              <w:left w:val="single" w:sz="6" w:space="0" w:color="000000" w:themeColor="text1"/>
              <w:right w:val="single" w:sz="6" w:space="0" w:color="auto"/>
            </w:tcBorders>
            <w:tcMar>
              <w:left w:w="90" w:type="dxa"/>
              <w:right w:w="90" w:type="dxa"/>
            </w:tcMar>
          </w:tcPr>
          <w:p w14:paraId="48123893" w14:textId="5EC68997" w:rsidR="2ECFC544" w:rsidRDefault="2ECFC544" w:rsidP="2ECFC544">
            <w:pPr>
              <w:pStyle w:val="Tabletext"/>
              <w:spacing w:line="279" w:lineRule="auto"/>
              <w:rPr>
                <w:rFonts w:eastAsia="Arial" w:cs="Arial"/>
                <w:szCs w:val="21"/>
              </w:rPr>
            </w:pPr>
            <w:r w:rsidRPr="2ECFC544">
              <w:rPr>
                <w:rFonts w:eastAsia="Arial" w:cs="Arial"/>
                <w:szCs w:val="21"/>
              </w:rPr>
              <w:t xml:space="preserve">Greater than </w:t>
            </w:r>
            <w:r w:rsidR="00C43DBB">
              <w:rPr>
                <w:rFonts w:eastAsia="Arial" w:cs="Arial"/>
                <w:szCs w:val="21"/>
              </w:rPr>
              <w:t>or equal to</w:t>
            </w:r>
            <w:r w:rsidRPr="2ECFC544">
              <w:rPr>
                <w:rFonts w:eastAsia="Arial" w:cs="Arial"/>
                <w:szCs w:val="21"/>
              </w:rPr>
              <w:t xml:space="preserve"> 14 per cent</w:t>
            </w:r>
          </w:p>
        </w:tc>
      </w:tr>
      <w:tr w:rsidR="2ECFC544" w14:paraId="371270A6" w14:textId="77777777" w:rsidTr="00337850">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3C2CA46" w14:textId="291C28DB" w:rsidR="2ECFC544" w:rsidRDefault="2ECFC544" w:rsidP="2ECFC544">
            <w:pPr>
              <w:pStyle w:val="Tablecolhead"/>
              <w:spacing w:line="279" w:lineRule="auto"/>
              <w:rPr>
                <w:rFonts w:eastAsia="Arial" w:cs="Arial"/>
                <w:bCs/>
                <w:szCs w:val="21"/>
              </w:rPr>
            </w:pPr>
            <w:r w:rsidRPr="2ECFC544">
              <w:rPr>
                <w:rFonts w:eastAsia="Arial" w:cs="Arial"/>
                <w:b w:val="0"/>
                <w:szCs w:val="21"/>
              </w:rPr>
              <w:t>Improvement</w:t>
            </w:r>
          </w:p>
        </w:tc>
        <w:tc>
          <w:tcPr>
            <w:tcW w:w="7512" w:type="dxa"/>
            <w:tcBorders>
              <w:left w:val="single" w:sz="6" w:space="0" w:color="000000" w:themeColor="text1"/>
              <w:right w:val="single" w:sz="6" w:space="0" w:color="auto"/>
            </w:tcBorders>
            <w:tcMar>
              <w:left w:w="90" w:type="dxa"/>
              <w:right w:w="90" w:type="dxa"/>
            </w:tcMar>
          </w:tcPr>
          <w:p w14:paraId="352789E4" w14:textId="17C68E11" w:rsidR="2ECFC544" w:rsidRDefault="2ECFC544" w:rsidP="2ECFC544">
            <w:pPr>
              <w:pStyle w:val="Tabletext"/>
              <w:spacing w:line="279" w:lineRule="auto"/>
              <w:rPr>
                <w:rFonts w:eastAsia="Arial" w:cs="Arial"/>
                <w:szCs w:val="21"/>
              </w:rPr>
            </w:pPr>
            <w:r w:rsidRPr="2ECFC544">
              <w:rPr>
                <w:rFonts w:eastAsia="Arial" w:cs="Arial"/>
                <w:szCs w:val="21"/>
              </w:rPr>
              <w:t xml:space="preserve">For the purpose of the performance risk assessment, improvement is compared to previous quarter performance </w:t>
            </w:r>
          </w:p>
        </w:tc>
      </w:tr>
      <w:tr w:rsidR="2ECFC544" w14:paraId="3F98CBAD" w14:textId="77777777" w:rsidTr="00337850">
        <w:trPr>
          <w:trHeight w:val="285"/>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90" w:type="dxa"/>
              <w:right w:w="90" w:type="dxa"/>
            </w:tcMar>
          </w:tcPr>
          <w:p w14:paraId="55C43A01" w14:textId="4A56C052" w:rsidR="2ECFC544" w:rsidRDefault="2ECFC544" w:rsidP="2ECFC544">
            <w:pPr>
              <w:pStyle w:val="Tablecolhead"/>
              <w:spacing w:line="279" w:lineRule="auto"/>
              <w:rPr>
                <w:rFonts w:eastAsia="Arial" w:cs="Arial"/>
                <w:bCs/>
                <w:szCs w:val="21"/>
              </w:rPr>
            </w:pPr>
            <w:r w:rsidRPr="2ECFC544">
              <w:rPr>
                <w:rFonts w:eastAsia="Arial" w:cs="Arial"/>
                <w:b w:val="0"/>
                <w:szCs w:val="21"/>
              </w:rPr>
              <w:t>Frequency of reporting and data collection</w:t>
            </w:r>
          </w:p>
        </w:tc>
        <w:tc>
          <w:tcPr>
            <w:tcW w:w="7512" w:type="dxa"/>
            <w:tcBorders>
              <w:left w:val="single" w:sz="6" w:space="0" w:color="000000" w:themeColor="text1"/>
              <w:bottom w:val="single" w:sz="6" w:space="0" w:color="auto"/>
              <w:right w:val="single" w:sz="6" w:space="0" w:color="auto"/>
            </w:tcBorders>
            <w:tcMar>
              <w:left w:w="90" w:type="dxa"/>
              <w:right w:w="90" w:type="dxa"/>
            </w:tcMar>
          </w:tcPr>
          <w:p w14:paraId="5297E391" w14:textId="38081239" w:rsidR="2ECFC544" w:rsidRDefault="2ECFC544" w:rsidP="2ECFC544">
            <w:pPr>
              <w:pStyle w:val="Tabletext"/>
              <w:spacing w:line="279" w:lineRule="auto"/>
              <w:rPr>
                <w:rFonts w:eastAsia="Arial" w:cs="Arial"/>
                <w:szCs w:val="21"/>
              </w:rPr>
            </w:pPr>
            <w:r w:rsidRPr="2ECFC544">
              <w:rPr>
                <w:rFonts w:eastAsia="Arial" w:cs="Arial"/>
                <w:szCs w:val="21"/>
              </w:rPr>
              <w:t xml:space="preserve">Performance is reported annually and quarterly by Designated Mental Health Service. </w:t>
            </w:r>
            <w:r w:rsidR="00E16074">
              <w:rPr>
                <w:rFonts w:eastAsia="Arial" w:cs="Arial"/>
                <w:szCs w:val="21"/>
              </w:rPr>
              <w:t>Data are lagged by one month.</w:t>
            </w:r>
          </w:p>
          <w:p w14:paraId="3C643DD9" w14:textId="25DA8318" w:rsidR="2ECFC544" w:rsidRDefault="2ECFC544" w:rsidP="2ECFC544">
            <w:pPr>
              <w:pStyle w:val="Tabletext"/>
              <w:spacing w:line="279" w:lineRule="auto"/>
              <w:rPr>
                <w:rFonts w:eastAsia="Arial" w:cs="Arial"/>
                <w:szCs w:val="21"/>
              </w:rPr>
            </w:pPr>
            <w:r w:rsidRPr="2ECFC544">
              <w:rPr>
                <w:rFonts w:eastAsia="Arial" w:cs="Arial"/>
                <w:szCs w:val="21"/>
              </w:rPr>
              <w:t>Data are sourced from the Client Management Interface (CMI) / Operational Data Store (ODS)</w:t>
            </w:r>
            <w:r w:rsidRPr="2ECFC544" w:rsidDel="00575697">
              <w:rPr>
                <w:rFonts w:eastAsia="Arial" w:cs="Arial"/>
                <w:szCs w:val="21"/>
              </w:rPr>
              <w:t>.</w:t>
            </w:r>
            <w:r w:rsidR="00575697">
              <w:rPr>
                <w:rFonts w:eastAsia="Arial" w:cs="Arial"/>
                <w:szCs w:val="21"/>
              </w:rPr>
              <w:t xml:space="preserve"> </w:t>
            </w:r>
          </w:p>
        </w:tc>
      </w:tr>
    </w:tbl>
    <w:p w14:paraId="211AF2F1" w14:textId="34CB9482" w:rsidR="5463EECD" w:rsidRDefault="5463EECD" w:rsidP="008E7F78">
      <w:pPr>
        <w:pStyle w:val="Heading4"/>
        <w:rPr>
          <w:i/>
        </w:rPr>
      </w:pPr>
      <w:bookmarkStart w:id="51" w:name="_Toc911786248"/>
      <w:r w:rsidRPr="2ECFC544">
        <w:rPr>
          <w:rFonts w:eastAsia="Arial" w:cs="Arial"/>
          <w:szCs w:val="24"/>
        </w:rPr>
        <w:t>Percentage of consumers followed up within 7 days of separation – Inpatient</w:t>
      </w:r>
      <w:bookmarkEnd w:id="51"/>
      <w:r w:rsidRPr="7F26C1AA">
        <w:rPr>
          <w:rFonts w:eastAsia="Arial" w:cs="Arial"/>
        </w:rPr>
        <w:t> </w:t>
      </w:r>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2ECFC544" w14:paraId="4FBEA62E" w14:textId="77777777" w:rsidTr="00F86086">
        <w:trPr>
          <w:trHeight w:val="285"/>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47A3923" w14:textId="17213D47" w:rsidR="2ECFC544" w:rsidRDefault="2ECFC544" w:rsidP="2ECFC544">
            <w:pPr>
              <w:pStyle w:val="Tablecolhead"/>
              <w:spacing w:line="279" w:lineRule="auto"/>
              <w:rPr>
                <w:rFonts w:eastAsia="Arial" w:cs="Arial"/>
                <w:bCs/>
                <w:szCs w:val="21"/>
              </w:rPr>
            </w:pPr>
            <w:r w:rsidRPr="2ECFC544">
              <w:rPr>
                <w:rFonts w:eastAsia="Arial" w:cs="Arial"/>
                <w:b w:val="0"/>
                <w:szCs w:val="21"/>
              </w:rPr>
              <w:t>Measure</w:t>
            </w:r>
          </w:p>
        </w:tc>
        <w:tc>
          <w:tcPr>
            <w:tcW w:w="7512" w:type="dxa"/>
            <w:tcBorders>
              <w:top w:val="single" w:sz="6" w:space="0" w:color="auto"/>
              <w:left w:val="single" w:sz="6" w:space="0" w:color="000000" w:themeColor="text1"/>
              <w:right w:val="single" w:sz="6" w:space="0" w:color="auto"/>
            </w:tcBorders>
            <w:tcMar>
              <w:left w:w="90" w:type="dxa"/>
              <w:right w:w="90" w:type="dxa"/>
            </w:tcMar>
            <w:vAlign w:val="bottom"/>
          </w:tcPr>
          <w:p w14:paraId="3C5C634D" w14:textId="28028667" w:rsidR="2ECFC544" w:rsidRDefault="2ECFC544" w:rsidP="2ECFC544">
            <w:pPr>
              <w:pStyle w:val="Tabletext"/>
              <w:spacing w:line="279" w:lineRule="auto"/>
              <w:rPr>
                <w:rFonts w:eastAsia="Arial" w:cs="Arial"/>
                <w:szCs w:val="21"/>
              </w:rPr>
            </w:pPr>
            <w:r w:rsidRPr="2ECFC544">
              <w:rPr>
                <w:rFonts w:eastAsia="Arial" w:cs="Arial"/>
                <w:szCs w:val="21"/>
              </w:rPr>
              <w:t>Percentage of consumers followed up within 7 days of separation – Inpatient</w:t>
            </w:r>
          </w:p>
        </w:tc>
      </w:tr>
      <w:tr w:rsidR="2ECFC544" w14:paraId="7CE56059"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7E9AF499" w14:textId="4C3D3F59" w:rsidR="2ECFC544" w:rsidRDefault="2ECFC544" w:rsidP="2ECFC544">
            <w:pPr>
              <w:pStyle w:val="Tablecolhead"/>
              <w:spacing w:line="279" w:lineRule="auto"/>
              <w:rPr>
                <w:rFonts w:eastAsia="Arial" w:cs="Arial"/>
                <w:bCs/>
                <w:szCs w:val="21"/>
              </w:rPr>
            </w:pPr>
            <w:r w:rsidRPr="2ECFC544">
              <w:rPr>
                <w:rFonts w:eastAsia="Arial" w:cs="Arial"/>
                <w:b w:val="0"/>
                <w:szCs w:val="21"/>
              </w:rPr>
              <w:t>Description </w:t>
            </w:r>
          </w:p>
        </w:tc>
        <w:tc>
          <w:tcPr>
            <w:tcW w:w="7512" w:type="dxa"/>
            <w:tcBorders>
              <w:left w:val="single" w:sz="6" w:space="0" w:color="000000" w:themeColor="text1"/>
              <w:right w:val="single" w:sz="6" w:space="0" w:color="auto"/>
            </w:tcBorders>
            <w:tcMar>
              <w:left w:w="90" w:type="dxa"/>
              <w:right w:w="90" w:type="dxa"/>
            </w:tcMar>
          </w:tcPr>
          <w:p w14:paraId="2FE943EA" w14:textId="073BC5F4" w:rsidR="2ECFC544" w:rsidRDefault="2ECFC544" w:rsidP="2ECFC544">
            <w:pPr>
              <w:pStyle w:val="Tabletext"/>
              <w:spacing w:line="279" w:lineRule="auto"/>
              <w:rPr>
                <w:rFonts w:eastAsia="Arial" w:cs="Arial"/>
                <w:szCs w:val="21"/>
              </w:rPr>
            </w:pPr>
            <w:r w:rsidRPr="2ECFC544">
              <w:rPr>
                <w:rFonts w:eastAsia="Arial" w:cs="Arial"/>
                <w:szCs w:val="21"/>
              </w:rPr>
              <w:t>A responsive, post-discharge community support system is essential for consumers who have experienced a mental health admission to maintain clinical and functional stability, and to minimise the need for readmission.</w:t>
            </w:r>
          </w:p>
          <w:p w14:paraId="0C6677A7" w14:textId="6589CF94" w:rsidR="2ECFC544" w:rsidRDefault="2ECFC544" w:rsidP="2ECFC544">
            <w:pPr>
              <w:pStyle w:val="Tabletext"/>
              <w:spacing w:line="279" w:lineRule="auto"/>
              <w:rPr>
                <w:rFonts w:eastAsia="Arial" w:cs="Arial"/>
                <w:szCs w:val="21"/>
              </w:rPr>
            </w:pPr>
            <w:r w:rsidRPr="2ECFC544">
              <w:rPr>
                <w:rFonts w:eastAsia="Arial" w:cs="Arial"/>
                <w:szCs w:val="21"/>
              </w:rPr>
              <w:t>Consumers discharged after a mental health admission with linkages to community services and supports are less likely to be at risk of readmission.</w:t>
            </w:r>
          </w:p>
          <w:p w14:paraId="31118E43" w14:textId="2622CB15" w:rsidR="2ECFC544" w:rsidRDefault="2ECFC544" w:rsidP="2ECFC544">
            <w:pPr>
              <w:pStyle w:val="Tabletext"/>
              <w:spacing w:line="279" w:lineRule="auto"/>
              <w:rPr>
                <w:rFonts w:eastAsia="Arial" w:cs="Arial"/>
                <w:szCs w:val="21"/>
              </w:rPr>
            </w:pPr>
            <w:r w:rsidRPr="2ECFC544">
              <w:rPr>
                <w:rFonts w:eastAsia="Arial" w:cs="Arial"/>
                <w:szCs w:val="21"/>
              </w:rPr>
              <w:t>Research indicates that mental health consumers have increased vulnerability immediately following discharge, including higher risk for suicide.</w:t>
            </w:r>
          </w:p>
        </w:tc>
      </w:tr>
      <w:tr w:rsidR="2ECFC544" w14:paraId="573EB7C9"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3D8A06C2" w14:textId="56603B33" w:rsidR="2ECFC544" w:rsidRDefault="2ECFC544" w:rsidP="2ECFC544">
            <w:pPr>
              <w:pStyle w:val="Tablecolhead"/>
              <w:spacing w:line="279" w:lineRule="auto"/>
              <w:rPr>
                <w:rFonts w:eastAsia="Arial" w:cs="Arial"/>
                <w:bCs/>
                <w:szCs w:val="21"/>
              </w:rPr>
            </w:pPr>
            <w:r w:rsidRPr="2ECFC544">
              <w:rPr>
                <w:rFonts w:eastAsia="Arial" w:cs="Arial"/>
                <w:b w:val="0"/>
                <w:szCs w:val="21"/>
              </w:rPr>
              <w:t>Calculating performance</w:t>
            </w:r>
          </w:p>
        </w:tc>
        <w:tc>
          <w:tcPr>
            <w:tcW w:w="7512" w:type="dxa"/>
            <w:tcBorders>
              <w:left w:val="single" w:sz="6" w:space="0" w:color="000000" w:themeColor="text1"/>
              <w:right w:val="single" w:sz="6" w:space="0" w:color="auto"/>
            </w:tcBorders>
            <w:tcMar>
              <w:left w:w="90" w:type="dxa"/>
              <w:right w:w="90" w:type="dxa"/>
            </w:tcMar>
          </w:tcPr>
          <w:p w14:paraId="64397A67" w14:textId="15700192" w:rsidR="2ECFC544" w:rsidRDefault="2ECFC544" w:rsidP="2ECFC544">
            <w:pPr>
              <w:pStyle w:val="Tabletext"/>
              <w:spacing w:line="279" w:lineRule="auto"/>
              <w:rPr>
                <w:rFonts w:eastAsia="Arial" w:cs="Arial"/>
                <w:szCs w:val="21"/>
              </w:rPr>
            </w:pPr>
            <w:r w:rsidRPr="2ECFC544">
              <w:rPr>
                <w:rFonts w:eastAsia="Arial" w:cs="Arial"/>
                <w:szCs w:val="21"/>
              </w:rPr>
              <w:t>This measure calculates the percentage of non-same day separations from a mental health inpatient unit where the consumer was discharged to a private residence or accommodation, for which an ambulatory service contact was recorded in the 7-days post-separation, excluding contact made on the date of separation.</w:t>
            </w:r>
          </w:p>
          <w:p w14:paraId="10413FB8" w14:textId="251ED0A4" w:rsidR="009D6A2D" w:rsidRDefault="009D6A2D" w:rsidP="2ECFC544">
            <w:pPr>
              <w:pStyle w:val="Tabletext"/>
              <w:spacing w:line="279" w:lineRule="auto"/>
              <w:rPr>
                <w:rFonts w:eastAsia="Arial" w:cs="Arial"/>
                <w:szCs w:val="21"/>
              </w:rPr>
            </w:pPr>
            <w:r w:rsidRPr="4A3EC911">
              <w:rPr>
                <w:rFonts w:eastAsia="Arial" w:cs="Arial"/>
              </w:rPr>
              <w:t>Contacts can be of any duration, in any location for any type of recipient, carried out by the local mental health service or another mental health service.</w:t>
            </w:r>
          </w:p>
          <w:p w14:paraId="075A50F1" w14:textId="77777777" w:rsidR="00F039DD" w:rsidRDefault="00F039DD" w:rsidP="00F039DD">
            <w:pPr>
              <w:pStyle w:val="Tabletext"/>
              <w:spacing w:line="279" w:lineRule="auto"/>
              <w:rPr>
                <w:rFonts w:eastAsia="Arial" w:cs="Arial"/>
              </w:rPr>
            </w:pPr>
            <w:r w:rsidRPr="4A3EC911">
              <w:rPr>
                <w:rFonts w:eastAsia="Arial" w:cs="Arial"/>
              </w:rPr>
              <w:t xml:space="preserve">Excludes same day stays. </w:t>
            </w:r>
          </w:p>
          <w:p w14:paraId="702BC784" w14:textId="1ED5BFC9" w:rsidR="2ECFC544" w:rsidRDefault="2ECFC544" w:rsidP="2ECFC544">
            <w:pPr>
              <w:pStyle w:val="Tabletext"/>
              <w:spacing w:line="279" w:lineRule="auto"/>
              <w:rPr>
                <w:rFonts w:eastAsia="Arial" w:cs="Arial"/>
                <w:szCs w:val="21"/>
              </w:rPr>
            </w:pPr>
            <w:r w:rsidRPr="2ECFC544">
              <w:rPr>
                <w:rFonts w:eastAsia="Arial" w:cs="Arial"/>
                <w:szCs w:val="21"/>
              </w:rPr>
              <w:t>Mental health inpatient units are determined at the CMI/ODS subcentre level. Performance is calculated based on the campus of separation.</w:t>
            </w:r>
          </w:p>
        </w:tc>
      </w:tr>
      <w:tr w:rsidR="2ECFC544" w14:paraId="0688285B"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1B40712" w14:textId="16E17C84" w:rsidR="2ECFC544" w:rsidRDefault="2ECFC544" w:rsidP="2ECFC544">
            <w:pPr>
              <w:pStyle w:val="Tablecolhead"/>
              <w:spacing w:line="279" w:lineRule="auto"/>
              <w:rPr>
                <w:rFonts w:eastAsia="Arial" w:cs="Arial"/>
                <w:bCs/>
                <w:szCs w:val="21"/>
              </w:rPr>
            </w:pPr>
            <w:r w:rsidRPr="2ECFC544">
              <w:rPr>
                <w:rFonts w:eastAsia="Arial" w:cs="Arial"/>
                <w:b w:val="0"/>
                <w:szCs w:val="21"/>
              </w:rPr>
              <w:t>Numerator</w:t>
            </w:r>
          </w:p>
        </w:tc>
        <w:tc>
          <w:tcPr>
            <w:tcW w:w="7512" w:type="dxa"/>
            <w:tcBorders>
              <w:left w:val="single" w:sz="6" w:space="0" w:color="000000" w:themeColor="text1"/>
              <w:right w:val="single" w:sz="6" w:space="0" w:color="auto"/>
            </w:tcBorders>
            <w:tcMar>
              <w:left w:w="90" w:type="dxa"/>
              <w:right w:w="90" w:type="dxa"/>
            </w:tcMar>
          </w:tcPr>
          <w:p w14:paraId="62EC85A8" w14:textId="65D65EED" w:rsidR="2ECFC544" w:rsidRDefault="2ECFC544" w:rsidP="2ECFC544">
            <w:pPr>
              <w:pStyle w:val="Tabletext"/>
              <w:spacing w:line="279" w:lineRule="auto"/>
              <w:rPr>
                <w:rFonts w:eastAsia="Arial" w:cs="Arial"/>
              </w:rPr>
            </w:pPr>
            <w:r w:rsidRPr="4A3EC911">
              <w:rPr>
                <w:rFonts w:eastAsia="Arial" w:cs="Arial"/>
              </w:rPr>
              <w:t xml:space="preserve">Number of separations from an inpatient unit to private residence/ accommodation where the consumer was contacted within 7 days post separation. </w:t>
            </w:r>
          </w:p>
        </w:tc>
      </w:tr>
      <w:tr w:rsidR="2ECFC544" w14:paraId="7C18425B"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4382CBAE" w14:textId="275C7871" w:rsidR="2ECFC544" w:rsidRDefault="2ECFC544" w:rsidP="2ECFC544">
            <w:pPr>
              <w:pStyle w:val="Tablecolhead"/>
              <w:spacing w:line="279" w:lineRule="auto"/>
              <w:rPr>
                <w:rFonts w:eastAsia="Arial" w:cs="Arial"/>
                <w:bCs/>
                <w:szCs w:val="21"/>
              </w:rPr>
            </w:pPr>
            <w:r w:rsidRPr="2ECFC544">
              <w:rPr>
                <w:rFonts w:eastAsia="Arial" w:cs="Arial"/>
                <w:b w:val="0"/>
                <w:szCs w:val="21"/>
              </w:rPr>
              <w:t>Denominator</w:t>
            </w:r>
          </w:p>
        </w:tc>
        <w:tc>
          <w:tcPr>
            <w:tcW w:w="7512" w:type="dxa"/>
            <w:tcBorders>
              <w:left w:val="single" w:sz="6" w:space="0" w:color="000000" w:themeColor="text1"/>
              <w:right w:val="single" w:sz="6" w:space="0" w:color="auto"/>
            </w:tcBorders>
            <w:tcMar>
              <w:left w:w="90" w:type="dxa"/>
              <w:right w:w="90" w:type="dxa"/>
            </w:tcMar>
          </w:tcPr>
          <w:p w14:paraId="47BD98FB" w14:textId="6C049B89" w:rsidR="2ECFC544" w:rsidRDefault="2ECFC544" w:rsidP="2ECFC544">
            <w:pPr>
              <w:pStyle w:val="Tabletext"/>
              <w:spacing w:line="279" w:lineRule="auto"/>
              <w:rPr>
                <w:rFonts w:eastAsia="Arial" w:cs="Arial"/>
                <w:szCs w:val="21"/>
              </w:rPr>
            </w:pPr>
            <w:r w:rsidRPr="2ECFC544">
              <w:rPr>
                <w:rFonts w:eastAsia="Arial" w:cs="Arial"/>
                <w:szCs w:val="21"/>
              </w:rPr>
              <w:t xml:space="preserve">Number of separations from a mental health inpatient unit to private residence/ accommodation. </w:t>
            </w:r>
          </w:p>
        </w:tc>
      </w:tr>
      <w:tr w:rsidR="2ECFC544" w14:paraId="3EA65588"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500AA333" w14:textId="28F04C8F" w:rsidR="2ECFC544" w:rsidRDefault="2ECFC544" w:rsidP="2ECFC544">
            <w:pPr>
              <w:pStyle w:val="Tablecolhead"/>
              <w:spacing w:line="279" w:lineRule="auto"/>
              <w:rPr>
                <w:rFonts w:eastAsia="Arial" w:cs="Arial"/>
                <w:bCs/>
                <w:szCs w:val="21"/>
              </w:rPr>
            </w:pPr>
            <w:r w:rsidRPr="2ECFC544">
              <w:rPr>
                <w:rFonts w:eastAsia="Arial" w:cs="Arial"/>
                <w:b w:val="0"/>
                <w:szCs w:val="21"/>
              </w:rPr>
              <w:t>Statewide target</w:t>
            </w:r>
          </w:p>
        </w:tc>
        <w:tc>
          <w:tcPr>
            <w:tcW w:w="7512" w:type="dxa"/>
            <w:tcBorders>
              <w:left w:val="single" w:sz="6" w:space="0" w:color="000000" w:themeColor="text1"/>
              <w:right w:val="single" w:sz="6" w:space="0" w:color="auto"/>
            </w:tcBorders>
            <w:tcMar>
              <w:left w:w="90" w:type="dxa"/>
              <w:right w:w="90" w:type="dxa"/>
            </w:tcMar>
          </w:tcPr>
          <w:p w14:paraId="527A5ED4" w14:textId="3466A3D1" w:rsidR="2ECFC544" w:rsidRDefault="2ECFC544" w:rsidP="2ECFC544">
            <w:pPr>
              <w:pStyle w:val="Tabletext"/>
              <w:spacing w:line="279" w:lineRule="auto"/>
              <w:rPr>
                <w:rFonts w:eastAsia="Arial" w:cs="Arial"/>
                <w:szCs w:val="21"/>
              </w:rPr>
            </w:pPr>
            <w:r w:rsidRPr="2ECFC544">
              <w:rPr>
                <w:rFonts w:eastAsia="Arial" w:cs="Arial"/>
                <w:szCs w:val="21"/>
              </w:rPr>
              <w:t>88 per cent</w:t>
            </w:r>
          </w:p>
        </w:tc>
      </w:tr>
      <w:tr w:rsidR="2ECFC544" w14:paraId="4D276B1F"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395A818C" w14:textId="59E218DF" w:rsidR="2ECFC544" w:rsidRDefault="2ECFC544" w:rsidP="2ECFC544">
            <w:pPr>
              <w:pStyle w:val="Tablecolhead"/>
              <w:spacing w:line="279" w:lineRule="auto"/>
              <w:rPr>
                <w:rFonts w:eastAsia="Arial" w:cs="Arial"/>
                <w:bCs/>
                <w:szCs w:val="21"/>
              </w:rPr>
            </w:pPr>
            <w:r w:rsidRPr="2ECFC544">
              <w:rPr>
                <w:rFonts w:eastAsia="Arial" w:cs="Arial"/>
                <w:b w:val="0"/>
                <w:szCs w:val="21"/>
              </w:rPr>
              <w:lastRenderedPageBreak/>
              <w:t>Achieved</w:t>
            </w:r>
          </w:p>
        </w:tc>
        <w:tc>
          <w:tcPr>
            <w:tcW w:w="7512" w:type="dxa"/>
            <w:tcBorders>
              <w:left w:val="single" w:sz="6" w:space="0" w:color="000000" w:themeColor="text1"/>
              <w:right w:val="single" w:sz="6" w:space="0" w:color="auto"/>
            </w:tcBorders>
            <w:tcMar>
              <w:left w:w="90" w:type="dxa"/>
              <w:right w:w="90" w:type="dxa"/>
            </w:tcMar>
          </w:tcPr>
          <w:p w14:paraId="3E53FE24" w14:textId="085A04D5" w:rsidR="2ECFC544" w:rsidRDefault="2ECFC544" w:rsidP="2ECFC544">
            <w:pPr>
              <w:pStyle w:val="Tabletext"/>
              <w:spacing w:line="279" w:lineRule="auto"/>
              <w:rPr>
                <w:rFonts w:eastAsia="Arial" w:cs="Arial"/>
                <w:szCs w:val="21"/>
              </w:rPr>
            </w:pPr>
            <w:r w:rsidRPr="2ECFC544">
              <w:rPr>
                <w:rFonts w:eastAsia="Arial" w:cs="Arial"/>
                <w:szCs w:val="21"/>
              </w:rPr>
              <w:t>Greater than or equal to 88 per cent</w:t>
            </w:r>
          </w:p>
        </w:tc>
      </w:tr>
      <w:tr w:rsidR="2ECFC544" w14:paraId="53A58440"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055118A1" w14:textId="422FB3A0" w:rsidR="2ECFC544" w:rsidRDefault="2ECFC544" w:rsidP="2ECFC544">
            <w:pPr>
              <w:pStyle w:val="Tablecolhead"/>
              <w:spacing w:line="279" w:lineRule="auto"/>
              <w:rPr>
                <w:rFonts w:eastAsia="Arial" w:cs="Arial"/>
                <w:bCs/>
                <w:szCs w:val="21"/>
              </w:rPr>
            </w:pPr>
            <w:r w:rsidRPr="2ECFC544">
              <w:rPr>
                <w:rFonts w:eastAsia="Arial" w:cs="Arial"/>
                <w:b w:val="0"/>
                <w:szCs w:val="21"/>
              </w:rPr>
              <w:t>Not achieved</w:t>
            </w:r>
          </w:p>
        </w:tc>
        <w:tc>
          <w:tcPr>
            <w:tcW w:w="7512" w:type="dxa"/>
            <w:tcBorders>
              <w:left w:val="single" w:sz="6" w:space="0" w:color="000000" w:themeColor="text1"/>
              <w:right w:val="single" w:sz="6" w:space="0" w:color="auto"/>
            </w:tcBorders>
            <w:tcMar>
              <w:left w:w="90" w:type="dxa"/>
              <w:right w:w="90" w:type="dxa"/>
            </w:tcMar>
          </w:tcPr>
          <w:p w14:paraId="7CE65FB1" w14:textId="4DF19219" w:rsidR="2ECFC544" w:rsidRDefault="2ECFC544" w:rsidP="2ECFC544">
            <w:pPr>
              <w:pStyle w:val="Tabletext"/>
              <w:spacing w:line="279" w:lineRule="auto"/>
              <w:rPr>
                <w:rFonts w:eastAsia="Arial" w:cs="Arial"/>
                <w:szCs w:val="21"/>
              </w:rPr>
            </w:pPr>
            <w:r w:rsidRPr="2ECFC544">
              <w:rPr>
                <w:rFonts w:eastAsia="Arial" w:cs="Arial"/>
                <w:szCs w:val="21"/>
              </w:rPr>
              <w:t>Less than 88 per cent</w:t>
            </w:r>
          </w:p>
        </w:tc>
      </w:tr>
      <w:tr w:rsidR="2ECFC544" w14:paraId="4F9A0CA2" w14:textId="77777777" w:rsidTr="00F86086">
        <w:trPr>
          <w:trHeight w:val="285"/>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90" w:type="dxa"/>
              <w:right w:w="90" w:type="dxa"/>
            </w:tcMar>
          </w:tcPr>
          <w:p w14:paraId="41492412" w14:textId="1FBF2C34" w:rsidR="2ECFC544" w:rsidRDefault="2ECFC544" w:rsidP="2ECFC544">
            <w:pPr>
              <w:pStyle w:val="Tablecolhead"/>
              <w:spacing w:line="279" w:lineRule="auto"/>
              <w:rPr>
                <w:rFonts w:eastAsia="Arial" w:cs="Arial"/>
                <w:bCs/>
                <w:szCs w:val="21"/>
              </w:rPr>
            </w:pPr>
            <w:r w:rsidRPr="2ECFC544">
              <w:rPr>
                <w:rFonts w:eastAsia="Arial" w:cs="Arial"/>
                <w:b w:val="0"/>
                <w:szCs w:val="21"/>
              </w:rPr>
              <w:t>Improvement</w:t>
            </w:r>
          </w:p>
        </w:tc>
        <w:tc>
          <w:tcPr>
            <w:tcW w:w="7512" w:type="dxa"/>
            <w:tcBorders>
              <w:left w:val="single" w:sz="6" w:space="0" w:color="000000" w:themeColor="text1"/>
              <w:right w:val="single" w:sz="6" w:space="0" w:color="auto"/>
            </w:tcBorders>
            <w:tcMar>
              <w:left w:w="90" w:type="dxa"/>
              <w:right w:w="90" w:type="dxa"/>
            </w:tcMar>
          </w:tcPr>
          <w:p w14:paraId="49759AD8" w14:textId="7EF8E35B" w:rsidR="2ECFC544" w:rsidRDefault="2ECFC544" w:rsidP="2ECFC544">
            <w:pPr>
              <w:pStyle w:val="Tabletext"/>
              <w:spacing w:line="279" w:lineRule="auto"/>
              <w:rPr>
                <w:rFonts w:eastAsia="Arial" w:cs="Arial"/>
                <w:szCs w:val="21"/>
              </w:rPr>
            </w:pPr>
            <w:r w:rsidRPr="2ECFC544">
              <w:rPr>
                <w:rFonts w:eastAsia="Arial" w:cs="Arial"/>
                <w:szCs w:val="21"/>
              </w:rPr>
              <w:t>For the purpose of the performance risk assessment, improvement is compared to previous quarter performance</w:t>
            </w:r>
          </w:p>
        </w:tc>
      </w:tr>
      <w:tr w:rsidR="2ECFC544" w14:paraId="3C901341" w14:textId="77777777" w:rsidTr="00F86086">
        <w:trPr>
          <w:trHeight w:val="285"/>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90" w:type="dxa"/>
              <w:right w:w="90" w:type="dxa"/>
            </w:tcMar>
          </w:tcPr>
          <w:p w14:paraId="5F93DFCF" w14:textId="4349C35E" w:rsidR="2ECFC544" w:rsidRDefault="2ECFC544" w:rsidP="2ECFC544">
            <w:pPr>
              <w:pStyle w:val="Tablecolhead"/>
              <w:spacing w:line="279" w:lineRule="auto"/>
              <w:rPr>
                <w:rFonts w:eastAsia="Arial" w:cs="Arial"/>
                <w:bCs/>
                <w:szCs w:val="21"/>
              </w:rPr>
            </w:pPr>
            <w:r w:rsidRPr="2ECFC544">
              <w:rPr>
                <w:rFonts w:eastAsia="Arial" w:cs="Arial"/>
                <w:b w:val="0"/>
                <w:szCs w:val="21"/>
              </w:rPr>
              <w:t>Frequency of reporting and data collection</w:t>
            </w:r>
          </w:p>
        </w:tc>
        <w:tc>
          <w:tcPr>
            <w:tcW w:w="7512" w:type="dxa"/>
            <w:tcBorders>
              <w:left w:val="single" w:sz="6" w:space="0" w:color="000000" w:themeColor="text1"/>
              <w:bottom w:val="single" w:sz="6" w:space="0" w:color="auto"/>
              <w:right w:val="single" w:sz="6" w:space="0" w:color="auto"/>
            </w:tcBorders>
            <w:tcMar>
              <w:left w:w="90" w:type="dxa"/>
              <w:right w:w="90" w:type="dxa"/>
            </w:tcMar>
          </w:tcPr>
          <w:p w14:paraId="1F12DA57" w14:textId="78CC1B30" w:rsidR="2ECFC544" w:rsidRDefault="2ECFC544" w:rsidP="2ECFC544">
            <w:pPr>
              <w:pStyle w:val="Tabletext"/>
              <w:spacing w:line="279" w:lineRule="auto"/>
              <w:rPr>
                <w:rFonts w:eastAsia="Arial" w:cs="Arial"/>
              </w:rPr>
            </w:pPr>
            <w:r w:rsidRPr="31572E21">
              <w:rPr>
                <w:rFonts w:eastAsia="Arial" w:cs="Arial"/>
              </w:rPr>
              <w:t xml:space="preserve">Performance is reported annually and quarterly by </w:t>
            </w:r>
            <w:r w:rsidR="00762B5A" w:rsidRPr="31572E21">
              <w:rPr>
                <w:rFonts w:eastAsia="Arial" w:cs="Arial"/>
              </w:rPr>
              <w:t>health service.</w:t>
            </w:r>
            <w:r w:rsidRPr="31572E21">
              <w:rPr>
                <w:rFonts w:eastAsia="Arial" w:cs="Arial"/>
              </w:rPr>
              <w:t xml:space="preserve"> </w:t>
            </w:r>
          </w:p>
          <w:p w14:paraId="2035F335" w14:textId="4B7C9FF2" w:rsidR="2ECFC544" w:rsidRDefault="2ECFC544" w:rsidP="2ECFC544">
            <w:pPr>
              <w:pStyle w:val="Tabletext"/>
              <w:spacing w:line="279" w:lineRule="auto"/>
              <w:rPr>
                <w:rFonts w:eastAsia="Arial" w:cs="Arial"/>
              </w:rPr>
            </w:pPr>
            <w:r w:rsidRPr="31572E21">
              <w:rPr>
                <w:rFonts w:eastAsia="Arial" w:cs="Arial"/>
              </w:rPr>
              <w:t xml:space="preserve">The separation date is between the start of the reporting period (minus seven days) and the end of the reporting period (minus seven days). Separations are lagged by seven days to allow all post-discharge follow-up in the reporting period to be captured. For example, </w:t>
            </w:r>
            <w:r w:rsidR="00A06016" w:rsidRPr="31572E21">
              <w:rPr>
                <w:rFonts w:eastAsia="Arial" w:cs="Arial"/>
              </w:rPr>
              <w:t xml:space="preserve">separations from 24 June to 24 September are included </w:t>
            </w:r>
            <w:r w:rsidRPr="31572E21">
              <w:rPr>
                <w:rFonts w:eastAsia="Arial" w:cs="Arial"/>
              </w:rPr>
              <w:t>if the reporting period is from 1 July to 30 September.</w:t>
            </w:r>
          </w:p>
          <w:p w14:paraId="0C1BAFD4" w14:textId="58D968C2" w:rsidR="2ECFC544" w:rsidRDefault="2ECFC544" w:rsidP="2ECFC544">
            <w:pPr>
              <w:pStyle w:val="Tabletext"/>
              <w:spacing w:line="279" w:lineRule="auto"/>
              <w:rPr>
                <w:rFonts w:eastAsia="Arial" w:cs="Arial"/>
                <w:szCs w:val="21"/>
              </w:rPr>
            </w:pPr>
            <w:r w:rsidRPr="2ECFC544">
              <w:rPr>
                <w:rFonts w:eastAsia="Arial" w:cs="Arial"/>
                <w:szCs w:val="21"/>
              </w:rPr>
              <w:t>Performance is reported for the periods:</w:t>
            </w:r>
          </w:p>
          <w:p w14:paraId="6D67AB8F" w14:textId="31B4DE1C" w:rsidR="2ECFC544" w:rsidRDefault="2ECFC544" w:rsidP="00680AB6">
            <w:pPr>
              <w:pStyle w:val="Tablebullet1"/>
              <w:rPr>
                <w:rFonts w:eastAsia="Arial"/>
              </w:rPr>
            </w:pPr>
            <w:r w:rsidRPr="2ECFC544">
              <w:rPr>
                <w:rFonts w:eastAsia="Arial"/>
              </w:rPr>
              <w:t>1 July to 30 September in quarter 1</w:t>
            </w:r>
          </w:p>
          <w:p w14:paraId="38E0E545" w14:textId="0A5907F0" w:rsidR="2ECFC544" w:rsidRDefault="2ECFC544" w:rsidP="00680AB6">
            <w:pPr>
              <w:pStyle w:val="Tablebullet1"/>
              <w:rPr>
                <w:rFonts w:eastAsia="Arial"/>
              </w:rPr>
            </w:pPr>
            <w:r w:rsidRPr="2ECFC544">
              <w:rPr>
                <w:rFonts w:eastAsia="Arial"/>
              </w:rPr>
              <w:t>1 October to 31 December in quarter 2</w:t>
            </w:r>
          </w:p>
          <w:p w14:paraId="54FB1EFE" w14:textId="568B7BA4" w:rsidR="2ECFC544" w:rsidRDefault="2ECFC544" w:rsidP="00680AB6">
            <w:pPr>
              <w:pStyle w:val="Tablebullet1"/>
              <w:rPr>
                <w:rFonts w:eastAsia="Arial"/>
              </w:rPr>
            </w:pPr>
            <w:r w:rsidRPr="2ECFC544">
              <w:rPr>
                <w:rFonts w:eastAsia="Arial"/>
              </w:rPr>
              <w:t>1 January to 31 March in quarter 3</w:t>
            </w:r>
          </w:p>
          <w:p w14:paraId="1CB8FACA" w14:textId="758FA9F1" w:rsidR="2ECFC544" w:rsidRDefault="2ECFC544" w:rsidP="00680AB6">
            <w:pPr>
              <w:pStyle w:val="Tablebullet1"/>
              <w:rPr>
                <w:rFonts w:eastAsia="Arial"/>
              </w:rPr>
            </w:pPr>
            <w:r w:rsidRPr="2ECFC544">
              <w:rPr>
                <w:rFonts w:eastAsia="Arial"/>
              </w:rPr>
              <w:t>1 April to 30 June in quarter 4.</w:t>
            </w:r>
          </w:p>
          <w:p w14:paraId="2101110C" w14:textId="2D4900C3" w:rsidR="2ECFC544" w:rsidRDefault="2ECFC544" w:rsidP="2ECFC544">
            <w:pPr>
              <w:pStyle w:val="Tabletext"/>
              <w:spacing w:line="279" w:lineRule="auto"/>
              <w:rPr>
                <w:rFonts w:eastAsia="Arial" w:cs="Arial"/>
                <w:szCs w:val="21"/>
              </w:rPr>
            </w:pPr>
            <w:r w:rsidRPr="2ECFC544">
              <w:rPr>
                <w:rFonts w:eastAsia="Arial" w:cs="Arial"/>
                <w:szCs w:val="21"/>
              </w:rPr>
              <w:t>Data are sourced from the Client Management Interface (CMI)/ Operational Data Store (ODS).</w:t>
            </w:r>
          </w:p>
        </w:tc>
      </w:tr>
    </w:tbl>
    <w:p w14:paraId="6C97CA18" w14:textId="77777777" w:rsidR="00140581" w:rsidRPr="00315936" w:rsidRDefault="00140581" w:rsidP="00140581">
      <w:pPr>
        <w:pStyle w:val="Heading3"/>
      </w:pPr>
      <w:bookmarkStart w:id="52" w:name="_Toc910011126"/>
      <w:r w:rsidRPr="00315936">
        <w:t>Ambulance Victoria</w:t>
      </w:r>
      <w:bookmarkEnd w:id="52"/>
    </w:p>
    <w:p w14:paraId="5AE32E97" w14:textId="3C97484C" w:rsidR="00FE19F2" w:rsidRPr="00315936" w:rsidRDefault="006D574D" w:rsidP="008E7F78">
      <w:pPr>
        <w:pStyle w:val="Heading4"/>
      </w:pPr>
      <w:bookmarkStart w:id="53" w:name="_Toc865885314"/>
      <w:r w:rsidRPr="00315936">
        <w:t>Percentage of respondents who</w:t>
      </w:r>
      <w:r w:rsidR="00711D45" w:rsidRPr="00315936">
        <w:t xml:space="preserve"> rated their overall experience with the ambulance services as </w:t>
      </w:r>
      <w:r w:rsidR="00B178A8" w:rsidRPr="00315936">
        <w:t>‘</w:t>
      </w:r>
      <w:r w:rsidR="00711D45" w:rsidRPr="00315936">
        <w:t>satisfied</w:t>
      </w:r>
      <w:r w:rsidR="00B178A8" w:rsidRPr="00315936">
        <w:t>’</w:t>
      </w:r>
      <w:r w:rsidR="00711D45" w:rsidRPr="00315936">
        <w:t xml:space="preserve"> or </w:t>
      </w:r>
      <w:r w:rsidR="00B178A8" w:rsidRPr="00315936">
        <w:t>‘</w:t>
      </w:r>
      <w:r w:rsidR="00711D45" w:rsidRPr="00315936">
        <w:t>very satisfied</w:t>
      </w:r>
      <w:r w:rsidR="00B178A8" w:rsidRPr="00315936">
        <w:t>’</w:t>
      </w:r>
      <w:bookmarkEnd w:id="53"/>
      <w:r w:rsidRPr="00315936">
        <w:t xml:space="preserve"> </w:t>
      </w:r>
    </w:p>
    <w:tbl>
      <w:tblPr>
        <w:tblStyle w:val="TableGrid"/>
        <w:tblW w:w="9349" w:type="dxa"/>
        <w:tblLook w:val="04A0" w:firstRow="1" w:lastRow="0" w:firstColumn="1" w:lastColumn="0" w:noHBand="0" w:noVBand="1"/>
      </w:tblPr>
      <w:tblGrid>
        <w:gridCol w:w="1837"/>
        <w:gridCol w:w="7512"/>
      </w:tblGrid>
      <w:tr w:rsidR="0081595F" w:rsidRPr="00315936" w14:paraId="1508FE15" w14:textId="77777777" w:rsidTr="00642BE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02FC670A" w14:textId="03BE9C39" w:rsidR="0081595F"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2809A4EE" w14:textId="5A3F2B96" w:rsidR="0081595F" w:rsidRPr="00315936" w:rsidRDefault="00A96C30" w:rsidP="001A453F">
            <w:pPr>
              <w:pStyle w:val="Tabletext"/>
            </w:pPr>
            <w:r w:rsidRPr="00315936">
              <w:t>Percentage of respondents who</w:t>
            </w:r>
            <w:r w:rsidR="00B178A8" w:rsidRPr="00315936">
              <w:t xml:space="preserve"> rated their overall experience with the ambulance services as</w:t>
            </w:r>
            <w:r w:rsidRPr="00315936">
              <w:t xml:space="preserve"> ‘satisfied’ or ‘very satisfi</w:t>
            </w:r>
            <w:bookmarkStart w:id="54" w:name="_Ref201304130"/>
            <w:r w:rsidRPr="00315936">
              <w:t>e</w:t>
            </w:r>
            <w:bookmarkEnd w:id="54"/>
            <w:r w:rsidR="00B178A8" w:rsidRPr="00315936">
              <w:t>d’</w:t>
            </w:r>
            <w:r w:rsidRPr="00315936">
              <w:t>.</w:t>
            </w:r>
            <w:bookmarkStart w:id="55" w:name="_Ref201303719"/>
            <w:r w:rsidR="00460C27">
              <w:rPr>
                <w:rStyle w:val="EndnoteReference"/>
              </w:rPr>
              <w:endnoteReference w:id="10"/>
            </w:r>
            <w:bookmarkEnd w:id="55"/>
          </w:p>
        </w:tc>
      </w:tr>
      <w:tr w:rsidR="0081595F" w:rsidRPr="00315936" w14:paraId="39E93292"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50817EA" w14:textId="77777777" w:rsidR="0081595F" w:rsidRPr="00315936" w:rsidRDefault="0081595F">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0C0C7620" w14:textId="27B619C7" w:rsidR="004245BC" w:rsidRPr="00315936" w:rsidRDefault="00313BB3" w:rsidP="004245BC">
            <w:pPr>
              <w:pStyle w:val="Tabletext"/>
              <w:rPr>
                <w:i/>
                <w:iCs/>
              </w:rPr>
            </w:pPr>
            <w:r w:rsidRPr="00315936">
              <w:rPr>
                <w:rFonts w:eastAsia="MS Gothic" w:cs="Arial"/>
                <w:szCs w:val="21"/>
              </w:rPr>
              <w:t xml:space="preserve">This </w:t>
            </w:r>
            <w:r w:rsidR="00C3016B" w:rsidRPr="00315936">
              <w:rPr>
                <w:rFonts w:eastAsia="MS Gothic" w:cs="Arial"/>
                <w:szCs w:val="21"/>
              </w:rPr>
              <w:t>measure</w:t>
            </w:r>
            <w:r w:rsidR="00791225" w:rsidRPr="00315936">
              <w:rPr>
                <w:rFonts w:eastAsia="MS Gothic" w:cs="Arial"/>
                <w:szCs w:val="21"/>
              </w:rPr>
              <w:t>s</w:t>
            </w:r>
            <w:r w:rsidRPr="00315936">
              <w:rPr>
                <w:rFonts w:eastAsia="MS Gothic" w:cs="Arial"/>
                <w:szCs w:val="21"/>
              </w:rPr>
              <w:t xml:space="preserve"> the proportion of emergency patients, relatives or carers who were satisfied or very satisfied with the most recent experience using the ambulance service. </w:t>
            </w:r>
            <w:r w:rsidRPr="00315936">
              <w:rPr>
                <w:rStyle w:val="eop"/>
                <w:rFonts w:eastAsia="MS Mincho" w:cs="Arial"/>
                <w:szCs w:val="21"/>
              </w:rPr>
              <w:t> </w:t>
            </w:r>
            <w:r w:rsidR="004245BC" w:rsidRPr="00315936">
              <w:rPr>
                <w:rFonts w:eastAsia="MS Gothic"/>
              </w:rPr>
              <w:t xml:space="preserve">The patient satisfaction measure is reported annually in </w:t>
            </w:r>
            <w:r w:rsidR="004245BC" w:rsidRPr="001B251E">
              <w:rPr>
                <w:rFonts w:eastAsia="MS Gothic"/>
              </w:rPr>
              <w:t>the</w:t>
            </w:r>
            <w:r w:rsidR="004245BC" w:rsidRPr="00315936">
              <w:rPr>
                <w:rFonts w:eastAsia="MS Gothic"/>
                <w:i/>
                <w:iCs/>
              </w:rPr>
              <w:t xml:space="preserve"> </w:t>
            </w:r>
            <w:r w:rsidR="004245BC" w:rsidRPr="00C977FC">
              <w:rPr>
                <w:rFonts w:eastAsia="MS Gothic"/>
                <w:i/>
              </w:rPr>
              <w:t>Report on Government Services</w:t>
            </w:r>
            <w:r w:rsidR="004245BC" w:rsidRPr="00315936">
              <w:rPr>
                <w:rFonts w:eastAsia="MS Gothic"/>
                <w:i/>
                <w:iCs/>
              </w:rPr>
              <w:t>.</w:t>
            </w:r>
            <w:r w:rsidR="004245BC" w:rsidRPr="00315936">
              <w:rPr>
                <w:rFonts w:eastAsia="MS Mincho"/>
                <w:i/>
                <w:iCs/>
              </w:rPr>
              <w:t> </w:t>
            </w:r>
          </w:p>
          <w:p w14:paraId="728A2CE5" w14:textId="23F4CB75" w:rsidR="008F23ED" w:rsidRPr="00535D2B" w:rsidRDefault="0044480D" w:rsidP="004868D0">
            <w:pPr>
              <w:pStyle w:val="Tabletext"/>
              <w:rPr>
                <w:i/>
                <w:iCs/>
              </w:rPr>
            </w:pPr>
            <w:r w:rsidRPr="00315936">
              <w:rPr>
                <w:rFonts w:eastAsia="Times"/>
              </w:rPr>
              <w:t xml:space="preserve">Patient experience measures provide a patient-centred perspective on interactions with </w:t>
            </w:r>
            <w:r w:rsidR="00FA5D43" w:rsidRPr="00315936">
              <w:rPr>
                <w:rFonts w:eastAsia="Times"/>
              </w:rPr>
              <w:t>ambulance services</w:t>
            </w:r>
            <w:r w:rsidRPr="00315936">
              <w:rPr>
                <w:rFonts w:eastAsia="Times"/>
              </w:rPr>
              <w:t xml:space="preserve">. Monitoring insights from these measures contributes to improving the provision </w:t>
            </w:r>
            <w:r w:rsidR="007321AB" w:rsidRPr="00315936">
              <w:rPr>
                <w:rFonts w:eastAsia="Times"/>
              </w:rPr>
              <w:t>of ambulance services</w:t>
            </w:r>
            <w:r w:rsidRPr="00315936">
              <w:rPr>
                <w:rFonts w:eastAsia="Times"/>
              </w:rPr>
              <w:t>. These measures contribute to overall safety and quality monitoring within the health system.</w:t>
            </w:r>
          </w:p>
        </w:tc>
      </w:tr>
      <w:tr w:rsidR="0081595F" w:rsidRPr="00315936" w14:paraId="7B9E9F5F"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245DBBD" w14:textId="77777777" w:rsidR="0081595F" w:rsidRPr="00315936" w:rsidRDefault="0081595F">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7A7E384E" w14:textId="1007C0D6" w:rsidR="00E668C1" w:rsidRPr="00315936" w:rsidRDefault="006A59BA" w:rsidP="001A453F">
            <w:pPr>
              <w:pStyle w:val="Tabletext"/>
              <w:rPr>
                <w:rFonts w:ascii="Segoe UI" w:hAnsi="Segoe UI" w:cs="Segoe UI"/>
                <w:sz w:val="18"/>
                <w:szCs w:val="18"/>
              </w:rPr>
            </w:pPr>
            <w:r w:rsidRPr="00315936">
              <w:rPr>
                <w:rFonts w:eastAsia="MS Gothic" w:cs="Arial"/>
                <w:szCs w:val="21"/>
              </w:rPr>
              <w:t xml:space="preserve">The Council of Ambulance Authorities (CAA) conducts an annual survey to monitor the service quality and satisfaction ratings of ambulance services. </w:t>
            </w:r>
            <w:r w:rsidR="007F1D87">
              <w:rPr>
                <w:rFonts w:eastAsia="MS Gothic" w:cs="Arial"/>
                <w:szCs w:val="21"/>
              </w:rPr>
              <w:t xml:space="preserve">The survey is based on a </w:t>
            </w:r>
            <w:r w:rsidR="00E668C1" w:rsidRPr="00315936">
              <w:rPr>
                <w:rFonts w:eastAsia="MS Gothic" w:cs="Arial"/>
                <w:szCs w:val="21"/>
              </w:rPr>
              <w:t>random</w:t>
            </w:r>
            <w:r w:rsidR="008274FC">
              <w:rPr>
                <w:rFonts w:eastAsia="MS Gothic" w:cs="Arial"/>
                <w:szCs w:val="21"/>
              </w:rPr>
              <w:t xml:space="preserve"> </w:t>
            </w:r>
            <w:r w:rsidR="00E668C1" w:rsidRPr="00315936">
              <w:rPr>
                <w:rFonts w:eastAsia="MS Gothic" w:cs="Arial"/>
                <w:szCs w:val="21"/>
              </w:rPr>
              <w:t xml:space="preserve">sample of at least </w:t>
            </w:r>
            <w:r w:rsidR="00AA2963" w:rsidRPr="00315936">
              <w:rPr>
                <w:rFonts w:eastAsia="MS Gothic" w:cs="Arial"/>
                <w:szCs w:val="21"/>
              </w:rPr>
              <w:t>3,000</w:t>
            </w:r>
            <w:r w:rsidR="00E668C1" w:rsidRPr="00315936">
              <w:rPr>
                <w:rFonts w:eastAsia="MS Gothic" w:cs="Arial"/>
                <w:szCs w:val="21"/>
              </w:rPr>
              <w:t xml:space="preserve"> (Code 1 and 2)</w:t>
            </w:r>
            <w:r w:rsidR="003A1A30">
              <w:rPr>
                <w:rFonts w:eastAsia="MS Gothic" w:cs="Arial"/>
                <w:szCs w:val="21"/>
              </w:rPr>
              <w:t xml:space="preserve"> patients</w:t>
            </w:r>
            <w:r w:rsidR="00E668C1" w:rsidRPr="00315936">
              <w:rPr>
                <w:rFonts w:eastAsia="MS Gothic" w:cs="Arial"/>
                <w:szCs w:val="21"/>
              </w:rPr>
              <w:t>.</w:t>
            </w:r>
            <w:r w:rsidR="00E668C1" w:rsidRPr="00315936">
              <w:rPr>
                <w:rStyle w:val="eop"/>
                <w:rFonts w:eastAsia="MS Mincho" w:cs="Arial"/>
                <w:szCs w:val="21"/>
              </w:rPr>
              <w:t> </w:t>
            </w:r>
          </w:p>
          <w:p w14:paraId="5742FCB3" w14:textId="019651A7" w:rsidR="00E668C1" w:rsidRPr="00315936" w:rsidRDefault="007E16F4" w:rsidP="001A453F">
            <w:pPr>
              <w:pStyle w:val="Tabletext"/>
              <w:rPr>
                <w:rFonts w:ascii="Segoe UI" w:hAnsi="Segoe UI" w:cs="Segoe UI"/>
                <w:sz w:val="18"/>
                <w:szCs w:val="18"/>
              </w:rPr>
            </w:pPr>
            <w:r>
              <w:rPr>
                <w:rFonts w:eastAsia="MS Gothic" w:cs="Arial"/>
                <w:szCs w:val="21"/>
              </w:rPr>
              <w:t>K</w:t>
            </w:r>
            <w:r w:rsidR="00E668C1" w:rsidRPr="00315936">
              <w:rPr>
                <w:rFonts w:eastAsia="MS Gothic" w:cs="Arial"/>
                <w:szCs w:val="21"/>
              </w:rPr>
              <w:t>nown deceased patients, cardiac arrest patients and children aged under five years are excluded from the random selection process</w:t>
            </w:r>
            <w:r>
              <w:rPr>
                <w:rFonts w:eastAsia="MS Gothic" w:cs="Arial"/>
                <w:szCs w:val="21"/>
              </w:rPr>
              <w:t xml:space="preserve"> t</w:t>
            </w:r>
            <w:r w:rsidRPr="00315936">
              <w:rPr>
                <w:rFonts w:eastAsia="MS Gothic" w:cs="Arial"/>
                <w:szCs w:val="21"/>
              </w:rPr>
              <w:t>o avoid the risk of distressing family members or carers</w:t>
            </w:r>
            <w:r w:rsidR="00E668C1" w:rsidRPr="00315936">
              <w:rPr>
                <w:rFonts w:eastAsia="MS Gothic" w:cs="Arial"/>
                <w:szCs w:val="21"/>
              </w:rPr>
              <w:t>.</w:t>
            </w:r>
            <w:r w:rsidR="00E668C1" w:rsidRPr="00315936">
              <w:rPr>
                <w:rStyle w:val="eop"/>
                <w:rFonts w:eastAsia="MS Mincho" w:cs="Arial"/>
                <w:szCs w:val="21"/>
              </w:rPr>
              <w:t> </w:t>
            </w:r>
          </w:p>
          <w:p w14:paraId="3FE53C50" w14:textId="62921AED" w:rsidR="00E668C1" w:rsidRPr="00315936" w:rsidRDefault="00E668C1" w:rsidP="001A453F">
            <w:pPr>
              <w:pStyle w:val="Tabletext"/>
              <w:rPr>
                <w:rFonts w:ascii="Segoe UI" w:hAnsi="Segoe UI" w:cs="Segoe UI"/>
                <w:sz w:val="18"/>
                <w:szCs w:val="18"/>
              </w:rPr>
            </w:pPr>
            <w:r w:rsidRPr="00315936">
              <w:rPr>
                <w:rFonts w:eastAsia="MS Gothic" w:cs="Arial"/>
                <w:szCs w:val="21"/>
              </w:rPr>
              <w:t>Data</w:t>
            </w:r>
            <w:r w:rsidRPr="00315936" w:rsidDel="00FA12D9">
              <w:rPr>
                <w:rFonts w:eastAsia="MS Gothic" w:cs="Arial"/>
                <w:szCs w:val="21"/>
              </w:rPr>
              <w:t xml:space="preserve"> </w:t>
            </w:r>
            <w:r w:rsidR="00FA12D9">
              <w:rPr>
                <w:rFonts w:eastAsia="MS Gothic" w:cs="Arial"/>
                <w:szCs w:val="21"/>
              </w:rPr>
              <w:t>are</w:t>
            </w:r>
            <w:r w:rsidR="00FA12D9" w:rsidRPr="00315936">
              <w:rPr>
                <w:rFonts w:eastAsia="MS Gothic" w:cs="Arial"/>
                <w:szCs w:val="21"/>
              </w:rPr>
              <w:t xml:space="preserve"> </w:t>
            </w:r>
            <w:r w:rsidRPr="00315936">
              <w:rPr>
                <w:rFonts w:eastAsia="MS Gothic" w:cs="Arial"/>
                <w:szCs w:val="21"/>
              </w:rPr>
              <w:t>collected by Ambulance Victoria and submitted to the CAA.</w:t>
            </w:r>
            <w:r w:rsidRPr="00315936">
              <w:rPr>
                <w:rStyle w:val="eop"/>
                <w:rFonts w:eastAsia="MS Mincho" w:cs="Arial"/>
                <w:szCs w:val="21"/>
              </w:rPr>
              <w:t> </w:t>
            </w:r>
          </w:p>
          <w:p w14:paraId="5847A85F" w14:textId="26B2F586" w:rsidR="00E668C1" w:rsidRPr="00315936" w:rsidRDefault="00E668C1" w:rsidP="001A453F">
            <w:pPr>
              <w:pStyle w:val="Tabletext"/>
              <w:rPr>
                <w:rFonts w:ascii="Segoe UI" w:hAnsi="Segoe UI" w:cs="Segoe UI"/>
                <w:sz w:val="18"/>
                <w:szCs w:val="18"/>
              </w:rPr>
            </w:pPr>
            <w:r w:rsidRPr="00315936">
              <w:rPr>
                <w:rFonts w:eastAsia="MS Gothic" w:cs="Arial"/>
                <w:szCs w:val="21"/>
              </w:rPr>
              <w:t>Performance results are based on the findings of the CAA annual survey and exclude nil/don’t know responses</w:t>
            </w:r>
            <w:r w:rsidR="00FF7F5C" w:rsidRPr="00315936">
              <w:rPr>
                <w:rFonts w:eastAsia="MS Gothic" w:cs="Arial"/>
                <w:szCs w:val="21"/>
              </w:rPr>
              <w:t xml:space="preserve"> and those that failed to identify if the respondent was a </w:t>
            </w:r>
            <w:r w:rsidR="003E480C" w:rsidRPr="00315936">
              <w:rPr>
                <w:rFonts w:eastAsia="MS Gothic" w:cs="Arial"/>
                <w:szCs w:val="21"/>
              </w:rPr>
              <w:t>‘</w:t>
            </w:r>
            <w:r w:rsidR="00FF7F5C" w:rsidRPr="00315936">
              <w:rPr>
                <w:rFonts w:eastAsia="MS Gothic" w:cs="Arial"/>
                <w:szCs w:val="21"/>
              </w:rPr>
              <w:t>patient</w:t>
            </w:r>
            <w:r w:rsidR="003E480C" w:rsidRPr="00315936">
              <w:rPr>
                <w:rFonts w:eastAsia="MS Gothic" w:cs="Arial"/>
                <w:szCs w:val="21"/>
              </w:rPr>
              <w:t>’</w:t>
            </w:r>
            <w:r w:rsidR="00FF7F5C" w:rsidRPr="00315936">
              <w:rPr>
                <w:rFonts w:eastAsia="MS Gothic" w:cs="Arial"/>
                <w:szCs w:val="21"/>
              </w:rPr>
              <w:t xml:space="preserve"> or a </w:t>
            </w:r>
            <w:r w:rsidR="003E480C" w:rsidRPr="00315936">
              <w:rPr>
                <w:rFonts w:eastAsia="MS Gothic" w:cs="Arial"/>
                <w:szCs w:val="21"/>
              </w:rPr>
              <w:t>‘relative/care of the patient’</w:t>
            </w:r>
            <w:r w:rsidRPr="00315936">
              <w:rPr>
                <w:rFonts w:eastAsia="MS Gothic" w:cs="Arial"/>
                <w:szCs w:val="21"/>
              </w:rPr>
              <w:t>.</w:t>
            </w:r>
            <w:r w:rsidRPr="00315936">
              <w:rPr>
                <w:rStyle w:val="eop"/>
                <w:rFonts w:eastAsia="MS Mincho" w:cs="Arial"/>
                <w:szCs w:val="21"/>
              </w:rPr>
              <w:t> </w:t>
            </w:r>
          </w:p>
          <w:p w14:paraId="3D5832B8" w14:textId="46B3CB81" w:rsidR="0081595F" w:rsidRPr="00AC34D9" w:rsidRDefault="00E668C1">
            <w:pPr>
              <w:pStyle w:val="Tabletext"/>
            </w:pPr>
            <w:r w:rsidRPr="00315936">
              <w:rPr>
                <w:rFonts w:eastAsia="MS Gothic" w:cs="Arial"/>
                <w:szCs w:val="21"/>
              </w:rPr>
              <w:t xml:space="preserve">This </w:t>
            </w:r>
            <w:r w:rsidR="00C3016B" w:rsidRPr="00315936">
              <w:rPr>
                <w:rFonts w:eastAsia="MS Gothic" w:cs="Arial"/>
                <w:szCs w:val="21"/>
              </w:rPr>
              <w:t>measure</w:t>
            </w:r>
            <w:r w:rsidRPr="00315936">
              <w:rPr>
                <w:rFonts w:eastAsia="MS Gothic" w:cs="Arial"/>
                <w:szCs w:val="21"/>
              </w:rPr>
              <w:t xml:space="preserve"> is expressed as a </w:t>
            </w:r>
            <w:r w:rsidR="00390FCD" w:rsidRPr="00315936">
              <w:rPr>
                <w:rFonts w:eastAsia="MS Gothic" w:cs="Arial"/>
                <w:szCs w:val="21"/>
              </w:rPr>
              <w:t>whole number</w:t>
            </w:r>
            <w:r w:rsidRPr="00315936">
              <w:rPr>
                <w:rFonts w:eastAsia="MS Gothic" w:cs="Arial"/>
                <w:szCs w:val="21"/>
              </w:rPr>
              <w:t xml:space="preserve"> percentage.</w:t>
            </w:r>
            <w:r w:rsidRPr="00315936">
              <w:rPr>
                <w:rStyle w:val="eop"/>
                <w:rFonts w:eastAsia="MS Mincho" w:cs="Arial"/>
                <w:szCs w:val="21"/>
              </w:rPr>
              <w:t> </w:t>
            </w:r>
          </w:p>
        </w:tc>
      </w:tr>
      <w:tr w:rsidR="0081595F" w:rsidRPr="00315936" w14:paraId="0AD5FC49"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0F54FA3F" w14:textId="77777777" w:rsidR="0081595F" w:rsidRPr="00315936" w:rsidRDefault="0081595F">
            <w:pPr>
              <w:pStyle w:val="Tablecolhead"/>
              <w:rPr>
                <w:b w:val="0"/>
                <w:lang w:eastAsia="en-AU"/>
              </w:rPr>
            </w:pPr>
            <w:r w:rsidRPr="00315936">
              <w:rPr>
                <w:b w:val="0"/>
                <w:lang w:eastAsia="en-AU"/>
              </w:rPr>
              <w:lastRenderedPageBreak/>
              <w:t>Numerator</w:t>
            </w:r>
          </w:p>
        </w:tc>
        <w:tc>
          <w:tcPr>
            <w:tcW w:w="7512" w:type="dxa"/>
            <w:tcBorders>
              <w:left w:val="single" w:sz="6" w:space="0" w:color="000000" w:themeColor="text1"/>
            </w:tcBorders>
          </w:tcPr>
          <w:p w14:paraId="4A110ABE" w14:textId="50C6BD12" w:rsidR="0081595F" w:rsidRPr="00315936" w:rsidRDefault="00AC443B">
            <w:pPr>
              <w:pStyle w:val="Tabletext"/>
            </w:pPr>
            <w:r w:rsidRPr="00315936">
              <w:rPr>
                <w:rFonts w:eastAsia="MS Gothic"/>
              </w:rPr>
              <w:t>Number of completed surveys from Code 1 and 2 respondents (patients, relatives or carers) who were satisfied or very satisfied when answering the question: ‘</w:t>
            </w:r>
            <w:r w:rsidRPr="00C977FC">
              <w:rPr>
                <w:rFonts w:eastAsia="MS Gothic"/>
                <w:i/>
              </w:rPr>
              <w:t>How satisfied were you overall with your last experience using the Ambulance service?</w:t>
            </w:r>
            <w:r w:rsidRPr="00315936">
              <w:rPr>
                <w:rFonts w:eastAsia="MS Gothic"/>
              </w:rPr>
              <w:t>’</w:t>
            </w:r>
            <w:r w:rsidRPr="00315936">
              <w:rPr>
                <w:rStyle w:val="eop"/>
                <w:rFonts w:eastAsia="MS Mincho" w:cs="Arial"/>
                <w:szCs w:val="21"/>
              </w:rPr>
              <w:t> </w:t>
            </w:r>
          </w:p>
        </w:tc>
      </w:tr>
      <w:tr w:rsidR="0081595F" w:rsidRPr="00315936" w14:paraId="2851AFFE"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E3C2727" w14:textId="77777777" w:rsidR="0081595F" w:rsidRPr="00315936" w:rsidRDefault="0081595F">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74B6EA91" w14:textId="15020A18" w:rsidR="0081595F" w:rsidRPr="00315936" w:rsidRDefault="25A81504">
            <w:pPr>
              <w:pStyle w:val="Tabletext"/>
            </w:pPr>
            <w:r w:rsidRPr="554FA974">
              <w:rPr>
                <w:rFonts w:eastAsia="MS Gothic"/>
              </w:rPr>
              <w:t xml:space="preserve">Total number of completed surveys </w:t>
            </w:r>
            <w:r w:rsidR="35D0690A" w:rsidRPr="554FA974">
              <w:rPr>
                <w:rFonts w:eastAsia="MS Gothic"/>
              </w:rPr>
              <w:t xml:space="preserve">from Code 1 and 2 respondents (patients, relatives or carers) </w:t>
            </w:r>
            <w:r w:rsidR="2AA88483" w:rsidRPr="554FA974">
              <w:rPr>
                <w:rFonts w:eastAsia="MS Gothic"/>
              </w:rPr>
              <w:t xml:space="preserve">with a valid rating of </w:t>
            </w:r>
            <w:r w:rsidRPr="554FA974">
              <w:rPr>
                <w:rFonts w:eastAsia="MS Gothic"/>
              </w:rPr>
              <w:t>the last experience using the ambulance service</w:t>
            </w:r>
            <w:r w:rsidR="0048428C">
              <w:rPr>
                <w:rFonts w:eastAsia="MS Gothic"/>
              </w:rPr>
              <w:t>.</w:t>
            </w:r>
          </w:p>
        </w:tc>
      </w:tr>
      <w:tr w:rsidR="0081595F" w:rsidRPr="00315936" w14:paraId="6BC93B02"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0D96BBA" w14:textId="77777777" w:rsidR="0081595F" w:rsidRPr="00315936" w:rsidRDefault="0081595F">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1006B137" w14:textId="3ABAA700" w:rsidR="0081595F" w:rsidRPr="00315936" w:rsidRDefault="00607E32">
            <w:pPr>
              <w:pStyle w:val="Tabletext"/>
            </w:pPr>
            <w:r w:rsidRPr="00315936">
              <w:rPr>
                <w:rFonts w:eastAsia="MS Gothic" w:cs="Arial"/>
                <w:szCs w:val="21"/>
              </w:rPr>
              <w:t>9</w:t>
            </w:r>
            <w:r w:rsidR="003F7D3E" w:rsidRPr="00315936">
              <w:rPr>
                <w:rFonts w:eastAsia="MS Gothic" w:cs="Arial"/>
                <w:szCs w:val="21"/>
              </w:rPr>
              <w:t>5</w:t>
            </w:r>
            <w:r w:rsidRPr="00315936">
              <w:rPr>
                <w:rFonts w:eastAsia="MS Gothic" w:cs="Arial"/>
                <w:szCs w:val="21"/>
              </w:rPr>
              <w:t xml:space="preserve"> per</w:t>
            </w:r>
            <w:r w:rsidR="003F7D3E" w:rsidRPr="00315936">
              <w:rPr>
                <w:rFonts w:eastAsia="MS Gothic" w:cs="Arial"/>
                <w:szCs w:val="21"/>
              </w:rPr>
              <w:t xml:space="preserve"> </w:t>
            </w:r>
            <w:r w:rsidRPr="00315936">
              <w:rPr>
                <w:rFonts w:eastAsia="MS Gothic" w:cs="Arial"/>
                <w:szCs w:val="21"/>
              </w:rPr>
              <w:t>cent</w:t>
            </w:r>
            <w:r w:rsidRPr="00315936">
              <w:rPr>
                <w:rStyle w:val="eop"/>
                <w:rFonts w:eastAsia="MS Mincho" w:cs="Arial"/>
                <w:szCs w:val="21"/>
              </w:rPr>
              <w:t> </w:t>
            </w:r>
          </w:p>
        </w:tc>
      </w:tr>
      <w:tr w:rsidR="0081595F" w:rsidRPr="00315936" w14:paraId="2114F8C1"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B79ACE9" w14:textId="6424D2D7" w:rsidR="0081595F" w:rsidRPr="00315936" w:rsidRDefault="0081595F">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35EB5B29" w14:textId="1FB7A104" w:rsidR="0081595F" w:rsidRPr="00315936" w:rsidRDefault="00607E32">
            <w:pPr>
              <w:pStyle w:val="Tabletext"/>
              <w:rPr>
                <w:rFonts w:eastAsia="Times"/>
              </w:rPr>
            </w:pPr>
            <w:r w:rsidRPr="00315936">
              <w:rPr>
                <w:rFonts w:eastAsia="MS Gothic" w:cs="Arial"/>
                <w:szCs w:val="21"/>
              </w:rPr>
              <w:t>Greater than or equal to 9</w:t>
            </w:r>
            <w:r w:rsidR="003F7D3E" w:rsidRPr="00315936">
              <w:rPr>
                <w:rFonts w:eastAsia="MS Gothic" w:cs="Arial"/>
                <w:szCs w:val="21"/>
              </w:rPr>
              <w:t>5</w:t>
            </w:r>
            <w:r w:rsidRPr="00315936">
              <w:rPr>
                <w:rFonts w:eastAsia="MS Gothic" w:cs="Arial"/>
                <w:szCs w:val="21"/>
              </w:rPr>
              <w:t xml:space="preserve"> per</w:t>
            </w:r>
            <w:r w:rsidR="00DC4C60">
              <w:rPr>
                <w:rFonts w:eastAsia="MS Gothic" w:cs="Arial"/>
                <w:szCs w:val="21"/>
              </w:rPr>
              <w:t xml:space="preserve"> </w:t>
            </w:r>
            <w:r w:rsidRPr="00315936">
              <w:rPr>
                <w:rFonts w:eastAsia="MS Gothic" w:cs="Arial"/>
                <w:szCs w:val="21"/>
              </w:rPr>
              <w:t>cent</w:t>
            </w:r>
            <w:r w:rsidRPr="00315936">
              <w:rPr>
                <w:rStyle w:val="eop"/>
                <w:rFonts w:eastAsia="MS Mincho" w:cs="Arial"/>
                <w:szCs w:val="21"/>
              </w:rPr>
              <w:t> </w:t>
            </w:r>
          </w:p>
        </w:tc>
      </w:tr>
      <w:tr w:rsidR="0081595F" w:rsidRPr="00315936" w14:paraId="74CDA77F"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C97DB2E" w14:textId="074F7D9C" w:rsidR="0081595F" w:rsidRPr="00315936" w:rsidRDefault="0081595F">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28C05019" w14:textId="01E1CBAE" w:rsidR="0081595F" w:rsidRPr="00315936" w:rsidRDefault="00607E32">
            <w:pPr>
              <w:pStyle w:val="Tabletext"/>
              <w:rPr>
                <w:rFonts w:eastAsia="Times"/>
              </w:rPr>
            </w:pPr>
            <w:r w:rsidRPr="00315936">
              <w:rPr>
                <w:rFonts w:eastAsia="MS Gothic" w:cs="Arial"/>
                <w:szCs w:val="21"/>
              </w:rPr>
              <w:t>L</w:t>
            </w:r>
            <w:r w:rsidR="00A31FE6">
              <w:rPr>
                <w:rFonts w:eastAsia="MS Gothic" w:cs="Arial"/>
                <w:szCs w:val="21"/>
              </w:rPr>
              <w:t>e</w:t>
            </w:r>
            <w:r w:rsidR="00A31FE6">
              <w:rPr>
                <w:rFonts w:eastAsia="MS Gothic"/>
              </w:rPr>
              <w:t>ss</w:t>
            </w:r>
            <w:r w:rsidRPr="00315936">
              <w:rPr>
                <w:rFonts w:eastAsia="MS Gothic" w:cs="Arial"/>
                <w:szCs w:val="21"/>
              </w:rPr>
              <w:t xml:space="preserve"> than 9</w:t>
            </w:r>
            <w:r w:rsidR="003F7D3E" w:rsidRPr="00315936">
              <w:rPr>
                <w:rFonts w:eastAsia="MS Gothic" w:cs="Arial"/>
                <w:szCs w:val="21"/>
              </w:rPr>
              <w:t>5</w:t>
            </w:r>
            <w:r w:rsidRPr="00315936">
              <w:rPr>
                <w:rFonts w:eastAsia="MS Gothic" w:cs="Arial"/>
                <w:szCs w:val="21"/>
              </w:rPr>
              <w:t xml:space="preserve"> per</w:t>
            </w:r>
            <w:r w:rsidR="00DC4C60">
              <w:rPr>
                <w:rFonts w:eastAsia="MS Gothic" w:cs="Arial"/>
                <w:szCs w:val="21"/>
              </w:rPr>
              <w:t xml:space="preserve"> </w:t>
            </w:r>
            <w:r w:rsidRPr="00315936">
              <w:rPr>
                <w:rFonts w:eastAsia="MS Gothic" w:cs="Arial"/>
                <w:szCs w:val="21"/>
              </w:rPr>
              <w:t>cent</w:t>
            </w:r>
            <w:r w:rsidRPr="00315936">
              <w:rPr>
                <w:rStyle w:val="eop"/>
                <w:rFonts w:eastAsia="MS Mincho" w:cs="Arial"/>
                <w:szCs w:val="21"/>
              </w:rPr>
              <w:t> </w:t>
            </w:r>
          </w:p>
        </w:tc>
      </w:tr>
      <w:tr w:rsidR="0081595F" w:rsidRPr="00315936" w14:paraId="4AD61CBE" w14:textId="77777777" w:rsidTr="00642BE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EBF8DEF" w14:textId="77777777" w:rsidR="0081595F" w:rsidRPr="00315936" w:rsidRDefault="0081595F">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45B4F98B" w14:textId="5EBB2F94" w:rsidR="0081595F" w:rsidRPr="00315936" w:rsidRDefault="009721E8">
            <w:pPr>
              <w:pStyle w:val="Tabletext"/>
              <w:rPr>
                <w:lang w:eastAsia="en-AU"/>
              </w:rPr>
            </w:pPr>
            <w:r>
              <w:rPr>
                <w:rFonts w:eastAsia="MS Gothic" w:cs="Arial"/>
                <w:szCs w:val="21"/>
              </w:rPr>
              <w:t>For the purpose of the performance risk assessment</w:t>
            </w:r>
            <w:r w:rsidR="009858BB">
              <w:rPr>
                <w:rFonts w:eastAsia="MS Gothic" w:cs="Arial"/>
                <w:szCs w:val="21"/>
              </w:rPr>
              <w:t>,</w:t>
            </w:r>
            <w:r>
              <w:rPr>
                <w:rFonts w:eastAsia="MS Gothic" w:cs="Arial"/>
                <w:szCs w:val="21"/>
              </w:rPr>
              <w:t xml:space="preserve"> </w:t>
            </w:r>
            <w:r w:rsidR="009858BB">
              <w:rPr>
                <w:rFonts w:eastAsia="MS Gothic" w:cs="Arial"/>
                <w:szCs w:val="21"/>
              </w:rPr>
              <w:t>i</w:t>
            </w:r>
            <w:r w:rsidR="00607E32" w:rsidRPr="00315936">
              <w:rPr>
                <w:rFonts w:eastAsia="MS Gothic" w:cs="Arial"/>
                <w:szCs w:val="21"/>
              </w:rPr>
              <w:t>mprovement is compared to previous year performance.</w:t>
            </w:r>
            <w:r w:rsidR="00607E32" w:rsidRPr="00315936">
              <w:rPr>
                <w:rStyle w:val="eop"/>
                <w:rFonts w:eastAsia="MS Mincho" w:cs="Arial"/>
                <w:szCs w:val="21"/>
              </w:rPr>
              <w:t> </w:t>
            </w:r>
          </w:p>
        </w:tc>
      </w:tr>
      <w:tr w:rsidR="0081595F" w:rsidRPr="00315936" w14:paraId="0BFE4E0E" w14:textId="77777777" w:rsidTr="00642BE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1319774C" w14:textId="77777777" w:rsidR="0081595F" w:rsidRPr="00315936" w:rsidRDefault="0081595F">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6798B2BB" w14:textId="58D9C36D" w:rsidR="00607E32" w:rsidRPr="00315936" w:rsidRDefault="00607E32" w:rsidP="001A453F">
            <w:pPr>
              <w:pStyle w:val="Tabletext"/>
              <w:divId w:val="47270390"/>
              <w:rPr>
                <w:rFonts w:ascii="Segoe UI" w:hAnsi="Segoe UI" w:cs="Segoe UI"/>
                <w:sz w:val="18"/>
                <w:szCs w:val="18"/>
              </w:rPr>
            </w:pPr>
            <w:r w:rsidRPr="00315936">
              <w:rPr>
                <w:rFonts w:eastAsia="MS Gothic" w:cs="Arial"/>
                <w:szCs w:val="21"/>
              </w:rPr>
              <w:t xml:space="preserve">Performance is </w:t>
            </w:r>
            <w:r w:rsidR="00750BB1" w:rsidRPr="00315936">
              <w:rPr>
                <w:rFonts w:eastAsia="MS Gothic" w:cs="Arial"/>
                <w:szCs w:val="21"/>
              </w:rPr>
              <w:t xml:space="preserve">reported </w:t>
            </w:r>
            <w:r w:rsidR="00634663" w:rsidRPr="00315936">
              <w:rPr>
                <w:rFonts w:eastAsia="MS Gothic" w:cs="Arial"/>
                <w:szCs w:val="21"/>
              </w:rPr>
              <w:t>annual</w:t>
            </w:r>
            <w:r w:rsidR="003E1479" w:rsidRPr="00315936">
              <w:rPr>
                <w:rFonts w:eastAsia="MS Gothic" w:cs="Arial"/>
                <w:szCs w:val="21"/>
              </w:rPr>
              <w:t xml:space="preserve">ly </w:t>
            </w:r>
            <w:r w:rsidR="005E0D7E" w:rsidRPr="00315936">
              <w:rPr>
                <w:rFonts w:eastAsia="MS Gothic" w:cs="Arial"/>
                <w:szCs w:val="21"/>
              </w:rPr>
              <w:t>in Q4</w:t>
            </w:r>
            <w:r w:rsidR="00AC50DB" w:rsidRPr="00315936">
              <w:rPr>
                <w:rFonts w:eastAsia="MS Gothic" w:cs="Arial"/>
                <w:szCs w:val="21"/>
              </w:rPr>
              <w:t xml:space="preserve"> </w:t>
            </w:r>
            <w:r w:rsidR="00970179" w:rsidRPr="00315936">
              <w:rPr>
                <w:rFonts w:eastAsia="MS Gothic" w:cs="Arial"/>
                <w:szCs w:val="21"/>
              </w:rPr>
              <w:t xml:space="preserve">at </w:t>
            </w:r>
            <w:r w:rsidR="003E1479" w:rsidRPr="00315936">
              <w:rPr>
                <w:rFonts w:eastAsia="MS Gothic" w:cs="Arial"/>
                <w:szCs w:val="21"/>
              </w:rPr>
              <w:t>the</w:t>
            </w:r>
            <w:r w:rsidR="00970179" w:rsidRPr="00315936">
              <w:rPr>
                <w:rFonts w:eastAsia="MS Gothic" w:cs="Arial"/>
                <w:szCs w:val="21"/>
              </w:rPr>
              <w:t xml:space="preserve"> statewide level</w:t>
            </w:r>
            <w:r w:rsidRPr="00315936">
              <w:rPr>
                <w:rFonts w:eastAsia="MS Gothic" w:cs="Arial"/>
                <w:szCs w:val="21"/>
              </w:rPr>
              <w:t>.</w:t>
            </w:r>
            <w:r w:rsidRPr="00315936">
              <w:rPr>
                <w:rStyle w:val="eop"/>
                <w:rFonts w:eastAsia="MS Mincho" w:cs="Arial"/>
                <w:szCs w:val="21"/>
              </w:rPr>
              <w:t> </w:t>
            </w:r>
          </w:p>
          <w:p w14:paraId="5EDAD3DA" w14:textId="64E5D29E" w:rsidR="0081595F" w:rsidRPr="00AC34D9" w:rsidRDefault="00630267">
            <w:pPr>
              <w:pStyle w:val="Tabletext"/>
              <w:rPr>
                <w:lang w:eastAsia="en-AU"/>
              </w:rPr>
            </w:pPr>
            <w:r w:rsidRPr="00315936">
              <w:rPr>
                <w:rFonts w:eastAsia="MS Gothic" w:cs="Arial"/>
              </w:rPr>
              <w:t xml:space="preserve">Data are sourced from the </w:t>
            </w:r>
            <w:r w:rsidR="00607E32" w:rsidRPr="00315936">
              <w:rPr>
                <w:rFonts w:eastAsia="MS Gothic" w:cs="Arial"/>
              </w:rPr>
              <w:t>Council of Ambulance Authorities (CAA) annual survey</w:t>
            </w:r>
            <w:r w:rsidR="00607E32" w:rsidRPr="00315936">
              <w:rPr>
                <w:rStyle w:val="eop"/>
                <w:rFonts w:eastAsia="MS Mincho" w:cs="Arial"/>
              </w:rPr>
              <w:t> </w:t>
            </w:r>
          </w:p>
        </w:tc>
      </w:tr>
    </w:tbl>
    <w:p w14:paraId="6D42F13C" w14:textId="01BE18D4" w:rsidR="00FD36DD" w:rsidRPr="00315936" w:rsidRDefault="000A664C" w:rsidP="008E7F78">
      <w:pPr>
        <w:pStyle w:val="Heading4"/>
      </w:pPr>
      <w:bookmarkStart w:id="56" w:name="_Toc906144814"/>
      <w:r w:rsidRPr="00315936">
        <w:t xml:space="preserve">Percentage of respondents who rated the </w:t>
      </w:r>
      <w:r w:rsidR="00F90E50" w:rsidRPr="00315936">
        <w:t>lev</w:t>
      </w:r>
      <w:r w:rsidR="0070724C" w:rsidRPr="00315936">
        <w:t>el</w:t>
      </w:r>
      <w:r w:rsidRPr="00315936">
        <w:t xml:space="preserve"> of care provided by paramedics as ‘good’ or ‘very good’</w:t>
      </w:r>
      <w:bookmarkEnd w:id="56"/>
      <w:r w:rsidRPr="00315936">
        <w:t> </w:t>
      </w:r>
    </w:p>
    <w:tbl>
      <w:tblPr>
        <w:tblStyle w:val="TableGrid"/>
        <w:tblW w:w="9349" w:type="dxa"/>
        <w:tblLook w:val="04A0" w:firstRow="1" w:lastRow="0" w:firstColumn="1" w:lastColumn="0" w:noHBand="0" w:noVBand="1"/>
      </w:tblPr>
      <w:tblGrid>
        <w:gridCol w:w="1837"/>
        <w:gridCol w:w="7512"/>
      </w:tblGrid>
      <w:tr w:rsidR="00F72ABA" w:rsidRPr="00315936" w14:paraId="1F3FF303"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23CFA89D" w14:textId="77F7104F" w:rsidR="00F72ABA"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708451B8" w14:textId="64E42E22" w:rsidR="00F72ABA" w:rsidRPr="00AC34D9" w:rsidRDefault="002865E9">
            <w:pPr>
              <w:pStyle w:val="Tabletext"/>
              <w:rPr>
                <w:lang w:eastAsia="en-AU"/>
              </w:rPr>
            </w:pPr>
            <w:r w:rsidRPr="00315936">
              <w:rPr>
                <w:rFonts w:eastAsia="MS Gothic"/>
              </w:rPr>
              <w:t xml:space="preserve">Percentage of respondents who rated the overall </w:t>
            </w:r>
            <w:r w:rsidR="0070724C" w:rsidRPr="00315936">
              <w:rPr>
                <w:rFonts w:eastAsia="MS Gothic"/>
              </w:rPr>
              <w:t>level</w:t>
            </w:r>
            <w:r w:rsidRPr="00315936">
              <w:rPr>
                <w:rFonts w:eastAsia="MS Gothic"/>
              </w:rPr>
              <w:t xml:space="preserve"> of care provided by ambulance paramedics as ‘good’ or ‘very good’</w:t>
            </w:r>
            <w:r w:rsidR="00C55676">
              <w:rPr>
                <w:rFonts w:eastAsia="MS Gothic"/>
              </w:rPr>
              <w:t xml:space="preserve"> </w:t>
            </w:r>
            <w:r w:rsidR="005E1057">
              <w:rPr>
                <w:rFonts w:eastAsia="MS Gothic"/>
              </w:rPr>
              <w:fldChar w:fldCharType="begin"/>
            </w:r>
            <w:r w:rsidR="005E1057">
              <w:rPr>
                <w:rFonts w:eastAsia="MS Gothic"/>
              </w:rPr>
              <w:instrText xml:space="preserve"> NOTEREF _Ref201303719 \f \h </w:instrText>
            </w:r>
            <w:r w:rsidR="005E1057">
              <w:rPr>
                <w:rFonts w:eastAsia="MS Gothic"/>
              </w:rPr>
            </w:r>
            <w:r w:rsidR="005E1057">
              <w:rPr>
                <w:rFonts w:eastAsia="MS Gothic"/>
              </w:rPr>
              <w:fldChar w:fldCharType="separate"/>
            </w:r>
            <w:r w:rsidR="005E1057" w:rsidRPr="00F86086">
              <w:rPr>
                <w:rStyle w:val="EndnoteReference"/>
                <w:rFonts w:eastAsia="MS Gothic"/>
              </w:rPr>
              <w:t>ix</w:t>
            </w:r>
            <w:r w:rsidR="005E1057">
              <w:rPr>
                <w:rFonts w:eastAsia="MS Gothic"/>
              </w:rPr>
              <w:fldChar w:fldCharType="end"/>
            </w:r>
            <w:r w:rsidRPr="00315936">
              <w:rPr>
                <w:rFonts w:eastAsia="MS Gothic" w:cs="Arial"/>
                <w:szCs w:val="21"/>
              </w:rPr>
              <w:t xml:space="preserve"> </w:t>
            </w:r>
            <w:r w:rsidRPr="00315936">
              <w:rPr>
                <w:rStyle w:val="eop"/>
                <w:rFonts w:eastAsia="MS Mincho" w:cs="Arial"/>
                <w:szCs w:val="21"/>
              </w:rPr>
              <w:t> </w:t>
            </w:r>
          </w:p>
        </w:tc>
      </w:tr>
      <w:tr w:rsidR="00F72ABA" w:rsidRPr="00315936" w14:paraId="3CC28272"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735A749B" w14:textId="77777777" w:rsidR="00F72ABA" w:rsidRPr="00315936" w:rsidRDefault="00F72ABA">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59455FC9" w14:textId="0FDC2048" w:rsidR="002865E9" w:rsidRPr="00315936" w:rsidRDefault="002865E9" w:rsidP="001A453F">
            <w:pPr>
              <w:pStyle w:val="Tabletext"/>
              <w:divId w:val="1469082714"/>
              <w:rPr>
                <w:i/>
                <w:iCs/>
              </w:rPr>
            </w:pPr>
            <w:r w:rsidRPr="00315936">
              <w:rPr>
                <w:rFonts w:eastAsia="MS Gothic" w:cs="Arial"/>
                <w:szCs w:val="21"/>
              </w:rPr>
              <w:t xml:space="preserve">The CAA conducts an annual survey to measure the service quality and satisfaction ratings of ambulance services. </w:t>
            </w:r>
            <w:r w:rsidRPr="00315936">
              <w:rPr>
                <w:rFonts w:eastAsia="MS Gothic"/>
              </w:rPr>
              <w:t xml:space="preserve">The patient satisfaction measure is reported annually in the </w:t>
            </w:r>
            <w:r w:rsidRPr="00315936">
              <w:rPr>
                <w:rFonts w:eastAsia="MS Gothic"/>
                <w:i/>
                <w:iCs/>
              </w:rPr>
              <w:t>Report on Government Services.</w:t>
            </w:r>
            <w:r w:rsidRPr="00315936">
              <w:rPr>
                <w:rFonts w:eastAsia="MS Mincho"/>
                <w:i/>
                <w:iCs/>
              </w:rPr>
              <w:t> </w:t>
            </w:r>
          </w:p>
          <w:p w14:paraId="70385930" w14:textId="108E6486" w:rsidR="00F72ABA" w:rsidRPr="00AC34D9" w:rsidRDefault="002865E9">
            <w:pPr>
              <w:pStyle w:val="Tabletext"/>
              <w:rPr>
                <w:lang w:eastAsia="en-AU"/>
              </w:rPr>
            </w:pPr>
            <w:r w:rsidRPr="00315936">
              <w:rPr>
                <w:rFonts w:eastAsia="MS Gothic" w:cs="Arial"/>
                <w:szCs w:val="21"/>
              </w:rPr>
              <w:t xml:space="preserve">This </w:t>
            </w:r>
            <w:r w:rsidR="00C3016B" w:rsidRPr="00315936">
              <w:rPr>
                <w:rFonts w:eastAsia="MS Gothic" w:cs="Arial"/>
                <w:szCs w:val="21"/>
              </w:rPr>
              <w:t>measure</w:t>
            </w:r>
            <w:r w:rsidRPr="00315936">
              <w:rPr>
                <w:rFonts w:eastAsia="MS Gothic" w:cs="Arial"/>
                <w:szCs w:val="21"/>
              </w:rPr>
              <w:t xml:space="preserve"> </w:t>
            </w:r>
            <w:r w:rsidR="006B327A" w:rsidRPr="00315936">
              <w:rPr>
                <w:rFonts w:eastAsia="MS Gothic" w:cs="Arial"/>
                <w:szCs w:val="21"/>
              </w:rPr>
              <w:t>indicates</w:t>
            </w:r>
            <w:r w:rsidRPr="00315936">
              <w:rPr>
                <w:rFonts w:eastAsia="MS Gothic" w:cs="Arial"/>
                <w:szCs w:val="21"/>
              </w:rPr>
              <w:t xml:space="preserve"> the proportion of respondents who </w:t>
            </w:r>
            <w:r w:rsidR="00882F5F">
              <w:rPr>
                <w:rFonts w:eastAsia="MS Gothic" w:cs="Arial"/>
                <w:szCs w:val="21"/>
              </w:rPr>
              <w:t>reported that</w:t>
            </w:r>
            <w:r w:rsidR="00882F5F" w:rsidRPr="00315936">
              <w:rPr>
                <w:rFonts w:eastAsia="MS Gothic" w:cs="Arial"/>
                <w:szCs w:val="21"/>
              </w:rPr>
              <w:t xml:space="preserve"> </w:t>
            </w:r>
            <w:r w:rsidRPr="00315936">
              <w:rPr>
                <w:rFonts w:eastAsia="MS Gothic" w:cs="Arial"/>
                <w:szCs w:val="21"/>
              </w:rPr>
              <w:t>the level of care provided by ambulance paramedics was ‘good’ or ‘very good.’ </w:t>
            </w:r>
            <w:r w:rsidRPr="00315936">
              <w:rPr>
                <w:rStyle w:val="eop"/>
                <w:rFonts w:eastAsia="MS Mincho" w:cs="Arial"/>
                <w:szCs w:val="21"/>
              </w:rPr>
              <w:t> </w:t>
            </w:r>
          </w:p>
        </w:tc>
      </w:tr>
      <w:tr w:rsidR="00F72ABA" w:rsidRPr="00315936" w14:paraId="0318C153"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0D131A92" w14:textId="77777777" w:rsidR="00F72ABA" w:rsidRPr="00315936" w:rsidRDefault="00F72ABA">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535C51BD" w14:textId="07B6F396" w:rsidR="00CF2EE4" w:rsidRPr="00315936" w:rsidRDefault="00CF2EE4" w:rsidP="00CF2EE4">
            <w:pPr>
              <w:pStyle w:val="Tabletext"/>
              <w:divId w:val="1063484840"/>
              <w:rPr>
                <w:rFonts w:ascii="Segoe UI" w:hAnsi="Segoe UI" w:cs="Segoe UI"/>
                <w:sz w:val="18"/>
                <w:szCs w:val="18"/>
              </w:rPr>
            </w:pPr>
            <w:r w:rsidRPr="00315936">
              <w:rPr>
                <w:rFonts w:eastAsia="MS Gothic" w:cs="Arial"/>
                <w:szCs w:val="21"/>
              </w:rPr>
              <w:t xml:space="preserve">The Council of Ambulance Authorities (CAA) conducts an annual survey to monitor the service quality and satisfaction ratings of ambulance services. </w:t>
            </w:r>
            <w:r>
              <w:rPr>
                <w:rFonts w:eastAsia="MS Gothic" w:cs="Arial"/>
                <w:szCs w:val="21"/>
              </w:rPr>
              <w:t xml:space="preserve">The survey is based on a </w:t>
            </w:r>
            <w:r w:rsidRPr="00315936">
              <w:rPr>
                <w:rFonts w:eastAsia="MS Gothic" w:cs="Arial"/>
                <w:szCs w:val="21"/>
              </w:rPr>
              <w:t>random</w:t>
            </w:r>
            <w:r>
              <w:rPr>
                <w:rFonts w:eastAsia="MS Gothic" w:cs="Arial"/>
                <w:szCs w:val="21"/>
              </w:rPr>
              <w:t xml:space="preserve"> </w:t>
            </w:r>
            <w:r w:rsidRPr="00315936">
              <w:rPr>
                <w:rFonts w:eastAsia="MS Gothic" w:cs="Arial"/>
                <w:szCs w:val="21"/>
              </w:rPr>
              <w:t>sample of at least 3,000 (Code 1 and 2)</w:t>
            </w:r>
            <w:r>
              <w:rPr>
                <w:rFonts w:eastAsia="MS Gothic" w:cs="Arial"/>
                <w:szCs w:val="21"/>
              </w:rPr>
              <w:t xml:space="preserve"> patients</w:t>
            </w:r>
            <w:r w:rsidRPr="00315936">
              <w:rPr>
                <w:rFonts w:eastAsia="MS Gothic" w:cs="Arial"/>
                <w:szCs w:val="21"/>
              </w:rPr>
              <w:t>.</w:t>
            </w:r>
          </w:p>
          <w:p w14:paraId="7753C56D" w14:textId="6A0F6542" w:rsidR="002865E9" w:rsidRPr="00315936" w:rsidRDefault="003A1A30" w:rsidP="001A453F">
            <w:pPr>
              <w:pStyle w:val="Tabletext"/>
              <w:divId w:val="1366101868"/>
              <w:rPr>
                <w:rFonts w:ascii="Segoe UI" w:hAnsi="Segoe UI" w:cs="Segoe UI"/>
                <w:sz w:val="18"/>
                <w:szCs w:val="18"/>
              </w:rPr>
            </w:pPr>
            <w:r>
              <w:rPr>
                <w:rFonts w:eastAsia="MS Gothic" w:cs="Arial"/>
                <w:szCs w:val="21"/>
              </w:rPr>
              <w:t>K</w:t>
            </w:r>
            <w:r w:rsidRPr="00315936">
              <w:rPr>
                <w:rFonts w:eastAsia="MS Gothic" w:cs="Arial"/>
                <w:szCs w:val="21"/>
              </w:rPr>
              <w:t>nown deceased patients, cardiac arrest patients and children aged under five years are excluded from the random selection process</w:t>
            </w:r>
            <w:r>
              <w:rPr>
                <w:rFonts w:eastAsia="MS Gothic" w:cs="Arial"/>
                <w:szCs w:val="21"/>
              </w:rPr>
              <w:t xml:space="preserve"> t</w:t>
            </w:r>
            <w:r w:rsidRPr="00315936">
              <w:rPr>
                <w:rFonts w:eastAsia="MS Gothic" w:cs="Arial"/>
                <w:szCs w:val="21"/>
              </w:rPr>
              <w:t xml:space="preserve">o avoid the risk of distressing family members or </w:t>
            </w:r>
            <w:r w:rsidR="002865E9" w:rsidRPr="00315936" w:rsidDel="003A1A30">
              <w:rPr>
                <w:rFonts w:eastAsia="MS Gothic" w:cs="Arial"/>
                <w:szCs w:val="21"/>
              </w:rPr>
              <w:t>carers</w:t>
            </w:r>
            <w:r w:rsidR="002865E9" w:rsidRPr="00315936">
              <w:rPr>
                <w:rFonts w:eastAsia="MS Gothic" w:cs="Arial"/>
                <w:szCs w:val="21"/>
              </w:rPr>
              <w:t>.</w:t>
            </w:r>
            <w:r w:rsidR="002865E9" w:rsidRPr="00315936">
              <w:rPr>
                <w:rStyle w:val="eop"/>
                <w:rFonts w:eastAsia="MS Mincho" w:cs="Arial"/>
                <w:szCs w:val="21"/>
              </w:rPr>
              <w:t> </w:t>
            </w:r>
          </w:p>
          <w:p w14:paraId="63C9E513" w14:textId="77777777" w:rsidR="002865E9" w:rsidRPr="00315936" w:rsidRDefault="002865E9" w:rsidP="001A453F">
            <w:pPr>
              <w:pStyle w:val="Tabletext"/>
              <w:divId w:val="1032879487"/>
              <w:rPr>
                <w:rFonts w:ascii="Segoe UI" w:hAnsi="Segoe UI" w:cs="Segoe UI"/>
                <w:sz w:val="18"/>
                <w:szCs w:val="18"/>
              </w:rPr>
            </w:pPr>
            <w:r w:rsidRPr="00315936">
              <w:rPr>
                <w:rFonts w:eastAsia="MS Gothic" w:cs="Arial"/>
                <w:szCs w:val="21"/>
              </w:rPr>
              <w:t>Data is collected by Ambulance Victoria and submitted to the CAA.</w:t>
            </w:r>
            <w:r w:rsidRPr="00315936">
              <w:rPr>
                <w:rStyle w:val="eop"/>
                <w:rFonts w:eastAsia="MS Mincho" w:cs="Arial"/>
                <w:szCs w:val="21"/>
              </w:rPr>
              <w:t> </w:t>
            </w:r>
          </w:p>
          <w:p w14:paraId="5365FB1E" w14:textId="4C08C561" w:rsidR="002865E9" w:rsidRPr="00315936" w:rsidRDefault="002865E9" w:rsidP="001A453F">
            <w:pPr>
              <w:pStyle w:val="Tabletext"/>
              <w:divId w:val="218328588"/>
              <w:rPr>
                <w:rFonts w:ascii="Segoe UI" w:hAnsi="Segoe UI" w:cs="Segoe UI"/>
                <w:sz w:val="18"/>
                <w:szCs w:val="18"/>
              </w:rPr>
            </w:pPr>
            <w:r w:rsidRPr="00315936">
              <w:rPr>
                <w:rFonts w:eastAsia="MS Gothic" w:cs="Arial"/>
                <w:szCs w:val="21"/>
              </w:rPr>
              <w:t>Performance results are based on the findings of the CAA annual survey and exclude nil/don’t know responses</w:t>
            </w:r>
            <w:r w:rsidR="007C0DBE" w:rsidRPr="00315936">
              <w:rPr>
                <w:rFonts w:eastAsia="MS Gothic" w:cs="Arial"/>
                <w:szCs w:val="21"/>
              </w:rPr>
              <w:t xml:space="preserve"> and those that failed to identify if the respondent was a ‘patient’ or a ‘relative/care of the patient’</w:t>
            </w:r>
            <w:r w:rsidRPr="00315936">
              <w:rPr>
                <w:rFonts w:eastAsia="MS Gothic" w:cs="Arial"/>
                <w:szCs w:val="21"/>
              </w:rPr>
              <w:t>.</w:t>
            </w:r>
            <w:r w:rsidRPr="00315936">
              <w:rPr>
                <w:rStyle w:val="eop"/>
                <w:rFonts w:eastAsia="MS Mincho" w:cs="Arial"/>
                <w:szCs w:val="21"/>
              </w:rPr>
              <w:t> </w:t>
            </w:r>
          </w:p>
          <w:p w14:paraId="2747A885" w14:textId="435508BA" w:rsidR="00F72ABA" w:rsidRPr="00315936" w:rsidRDefault="002865E9">
            <w:pPr>
              <w:pStyle w:val="Tabletext"/>
              <w:rPr>
                <w:lang w:eastAsia="en-AU"/>
              </w:rPr>
            </w:pPr>
            <w:r w:rsidRPr="00315936">
              <w:rPr>
                <w:rFonts w:eastAsia="MS Gothic" w:cs="Arial"/>
                <w:szCs w:val="21"/>
              </w:rPr>
              <w:t xml:space="preserve">This </w:t>
            </w:r>
            <w:r w:rsidR="00C3016B" w:rsidRPr="00315936">
              <w:rPr>
                <w:rFonts w:eastAsia="MS Gothic" w:cs="Arial"/>
                <w:szCs w:val="21"/>
              </w:rPr>
              <w:t>measure</w:t>
            </w:r>
            <w:r w:rsidRPr="00315936">
              <w:rPr>
                <w:rFonts w:eastAsia="MS Gothic" w:cs="Arial"/>
                <w:szCs w:val="21"/>
              </w:rPr>
              <w:t xml:space="preserve"> is expressed as a </w:t>
            </w:r>
            <w:r w:rsidR="006F4E4F" w:rsidRPr="00315936">
              <w:rPr>
                <w:rFonts w:eastAsia="MS Gothic" w:cs="Arial"/>
                <w:szCs w:val="21"/>
              </w:rPr>
              <w:t xml:space="preserve">whole number </w:t>
            </w:r>
            <w:r w:rsidRPr="00315936">
              <w:rPr>
                <w:rFonts w:eastAsia="MS Gothic" w:cs="Arial"/>
                <w:szCs w:val="21"/>
              </w:rPr>
              <w:t>percentage.</w:t>
            </w:r>
            <w:r w:rsidRPr="00315936">
              <w:rPr>
                <w:rStyle w:val="eop"/>
                <w:rFonts w:eastAsia="MS Mincho" w:cs="Arial"/>
                <w:szCs w:val="21"/>
              </w:rPr>
              <w:t> </w:t>
            </w:r>
          </w:p>
        </w:tc>
      </w:tr>
      <w:tr w:rsidR="00F72ABA" w:rsidRPr="00315936" w14:paraId="2C3A9B3D"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7BD39CF" w14:textId="77777777" w:rsidR="00F72ABA" w:rsidRPr="00315936" w:rsidRDefault="00F72ABA">
            <w:pPr>
              <w:pStyle w:val="Tablecolhead"/>
              <w:rPr>
                <w:b w:val="0"/>
                <w:lang w:eastAsia="en-AU"/>
              </w:rPr>
            </w:pPr>
            <w:r w:rsidRPr="00315936">
              <w:rPr>
                <w:b w:val="0"/>
                <w:lang w:eastAsia="en-AU"/>
              </w:rPr>
              <w:t>Numerator</w:t>
            </w:r>
          </w:p>
        </w:tc>
        <w:tc>
          <w:tcPr>
            <w:tcW w:w="7512" w:type="dxa"/>
            <w:tcBorders>
              <w:left w:val="single" w:sz="6" w:space="0" w:color="000000" w:themeColor="text1"/>
            </w:tcBorders>
          </w:tcPr>
          <w:p w14:paraId="615F9DEE" w14:textId="303C975F" w:rsidR="00F72ABA" w:rsidRPr="00315936" w:rsidRDefault="007B4C96">
            <w:pPr>
              <w:pStyle w:val="Tabletext"/>
            </w:pPr>
            <w:r w:rsidRPr="00315936">
              <w:rPr>
                <w:rFonts w:eastAsia="MS Gothic"/>
              </w:rPr>
              <w:t>Number of completed surveys from Code 1 and 2 respondents (patients, relatives or carers) who rated the level of care provided by ambulance paramedics as ‘good’ or ‘very good’ </w:t>
            </w:r>
            <w:r w:rsidRPr="00315936">
              <w:rPr>
                <w:rStyle w:val="eop"/>
                <w:rFonts w:eastAsia="MS Mincho"/>
              </w:rPr>
              <w:t> </w:t>
            </w:r>
          </w:p>
        </w:tc>
      </w:tr>
      <w:tr w:rsidR="00F72ABA" w:rsidRPr="00315936" w14:paraId="699F6BD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F623C97" w14:textId="77777777" w:rsidR="00F72ABA" w:rsidRPr="00315936" w:rsidRDefault="00F72ABA">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56BB46FE" w14:textId="0BE0F994" w:rsidR="00F72ABA" w:rsidRPr="00315936" w:rsidRDefault="7D79CBB9">
            <w:pPr>
              <w:pStyle w:val="Tabletext"/>
            </w:pPr>
            <w:r w:rsidRPr="554FA974">
              <w:rPr>
                <w:rFonts w:eastAsia="MS Gothic"/>
              </w:rPr>
              <w:t xml:space="preserve">Total number of completed surveys </w:t>
            </w:r>
            <w:r w:rsidR="065BA5BF" w:rsidRPr="554FA974">
              <w:rPr>
                <w:rFonts w:eastAsia="MS Gothic"/>
              </w:rPr>
              <w:t xml:space="preserve">from Code 1 and 2 respondents (patients, relatives or carers) </w:t>
            </w:r>
            <w:r w:rsidR="1389A4A9" w:rsidRPr="554FA974">
              <w:rPr>
                <w:rFonts w:eastAsia="MS Gothic"/>
              </w:rPr>
              <w:t xml:space="preserve">with a valid rating of </w:t>
            </w:r>
            <w:r w:rsidRPr="554FA974">
              <w:rPr>
                <w:rFonts w:eastAsia="MS Gothic"/>
              </w:rPr>
              <w:t>the care provided by ambulance paramedics</w:t>
            </w:r>
            <w:r w:rsidR="003C12D7">
              <w:rPr>
                <w:rFonts w:eastAsia="MS Gothic"/>
              </w:rPr>
              <w:t>.</w:t>
            </w:r>
          </w:p>
        </w:tc>
      </w:tr>
      <w:tr w:rsidR="00F72ABA" w:rsidRPr="00315936" w14:paraId="426E017F"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3F82032" w14:textId="77777777" w:rsidR="00F72ABA" w:rsidRPr="00315936" w:rsidRDefault="00F72ABA">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00F7EDE4" w14:textId="283498FA" w:rsidR="00F72ABA" w:rsidRPr="00315936" w:rsidRDefault="007B4C96">
            <w:pPr>
              <w:pStyle w:val="Tabletext"/>
            </w:pPr>
            <w:r w:rsidRPr="00315936">
              <w:rPr>
                <w:rFonts w:eastAsia="MS Gothic"/>
              </w:rPr>
              <w:t>9</w:t>
            </w:r>
            <w:r w:rsidR="00CC258A" w:rsidRPr="00315936">
              <w:rPr>
                <w:rFonts w:eastAsia="MS Gothic"/>
              </w:rPr>
              <w:t>5</w:t>
            </w:r>
            <w:r w:rsidRPr="00315936">
              <w:rPr>
                <w:rFonts w:eastAsia="MS Gothic"/>
              </w:rPr>
              <w:t xml:space="preserve"> per</w:t>
            </w:r>
            <w:r w:rsidR="00CC258A" w:rsidRPr="00315936">
              <w:rPr>
                <w:rFonts w:eastAsia="MS Gothic"/>
              </w:rPr>
              <w:t xml:space="preserve"> </w:t>
            </w:r>
            <w:r w:rsidRPr="00315936">
              <w:rPr>
                <w:rFonts w:eastAsia="MS Gothic"/>
              </w:rPr>
              <w:t>cent</w:t>
            </w:r>
            <w:r w:rsidRPr="00315936">
              <w:rPr>
                <w:rStyle w:val="eop"/>
                <w:rFonts w:eastAsia="MS Mincho"/>
              </w:rPr>
              <w:t> </w:t>
            </w:r>
          </w:p>
        </w:tc>
      </w:tr>
      <w:tr w:rsidR="00F72ABA" w:rsidRPr="00315936" w14:paraId="0379622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4B8575C" w14:textId="77435F8C" w:rsidR="00F72ABA" w:rsidRPr="00315936" w:rsidRDefault="00F72ABA">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0EFC6347" w14:textId="2C28BC0D" w:rsidR="00F72ABA" w:rsidRPr="00315936" w:rsidRDefault="007B4C96">
            <w:pPr>
              <w:pStyle w:val="Tabletext"/>
              <w:rPr>
                <w:rFonts w:eastAsia="Times"/>
              </w:rPr>
            </w:pPr>
            <w:r w:rsidRPr="00315936">
              <w:rPr>
                <w:rFonts w:eastAsia="MS Gothic"/>
              </w:rPr>
              <w:t>Greater than or equal to 9</w:t>
            </w:r>
            <w:r w:rsidR="00CC258A" w:rsidRPr="00315936">
              <w:rPr>
                <w:rFonts w:eastAsia="MS Gothic"/>
              </w:rPr>
              <w:t>5</w:t>
            </w:r>
            <w:r w:rsidRPr="00315936">
              <w:rPr>
                <w:rFonts w:eastAsia="MS Gothic"/>
              </w:rPr>
              <w:t xml:space="preserve"> per</w:t>
            </w:r>
            <w:r w:rsidR="00DC4C60">
              <w:rPr>
                <w:rFonts w:eastAsia="MS Gothic"/>
              </w:rPr>
              <w:t xml:space="preserve"> </w:t>
            </w:r>
            <w:r w:rsidRPr="00315936">
              <w:rPr>
                <w:rFonts w:eastAsia="MS Gothic"/>
              </w:rPr>
              <w:t>cent</w:t>
            </w:r>
            <w:r w:rsidRPr="00315936">
              <w:rPr>
                <w:rStyle w:val="eop"/>
                <w:rFonts w:eastAsia="MS Mincho"/>
              </w:rPr>
              <w:t> </w:t>
            </w:r>
          </w:p>
        </w:tc>
      </w:tr>
      <w:tr w:rsidR="00F72ABA" w:rsidRPr="00315936" w14:paraId="558FB0AE"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2B63C77" w14:textId="2CA785C4" w:rsidR="00F72ABA" w:rsidRPr="00315936" w:rsidRDefault="00F72ABA">
            <w:pPr>
              <w:pStyle w:val="Tablecolhead"/>
              <w:rPr>
                <w:b w:val="0"/>
                <w:lang w:eastAsia="en-AU"/>
              </w:rPr>
            </w:pPr>
            <w:r w:rsidRPr="00315936">
              <w:rPr>
                <w:b w:val="0"/>
                <w:lang w:eastAsia="en-AU"/>
              </w:rPr>
              <w:lastRenderedPageBreak/>
              <w:t>Not achieved</w:t>
            </w:r>
          </w:p>
        </w:tc>
        <w:tc>
          <w:tcPr>
            <w:tcW w:w="7512" w:type="dxa"/>
            <w:tcBorders>
              <w:left w:val="single" w:sz="6" w:space="0" w:color="000000" w:themeColor="text1"/>
            </w:tcBorders>
          </w:tcPr>
          <w:p w14:paraId="043A8F14" w14:textId="79413870" w:rsidR="00F72ABA" w:rsidRPr="00315936" w:rsidRDefault="007B4C96">
            <w:pPr>
              <w:pStyle w:val="Tabletext"/>
              <w:rPr>
                <w:rFonts w:eastAsia="Times"/>
              </w:rPr>
            </w:pPr>
            <w:r w:rsidRPr="00315936">
              <w:rPr>
                <w:rFonts w:eastAsia="MS Gothic"/>
              </w:rPr>
              <w:t>L</w:t>
            </w:r>
            <w:r w:rsidR="00A31FE6">
              <w:rPr>
                <w:rFonts w:eastAsia="MS Gothic"/>
              </w:rPr>
              <w:t>ess</w:t>
            </w:r>
            <w:r w:rsidRPr="00315936">
              <w:rPr>
                <w:rFonts w:eastAsia="MS Gothic"/>
              </w:rPr>
              <w:t xml:space="preserve"> than 9</w:t>
            </w:r>
            <w:r w:rsidR="00CC258A" w:rsidRPr="00315936">
              <w:rPr>
                <w:rFonts w:eastAsia="MS Gothic"/>
              </w:rPr>
              <w:t>5</w:t>
            </w:r>
            <w:r w:rsidRPr="00315936">
              <w:rPr>
                <w:rFonts w:eastAsia="MS Gothic"/>
              </w:rPr>
              <w:t xml:space="preserve"> per</w:t>
            </w:r>
            <w:r w:rsidR="00DC4C60">
              <w:rPr>
                <w:rFonts w:eastAsia="MS Gothic"/>
              </w:rPr>
              <w:t xml:space="preserve"> </w:t>
            </w:r>
            <w:r w:rsidRPr="00315936">
              <w:rPr>
                <w:rFonts w:eastAsia="MS Gothic"/>
              </w:rPr>
              <w:t>cent</w:t>
            </w:r>
            <w:r w:rsidRPr="00315936">
              <w:rPr>
                <w:rStyle w:val="eop"/>
                <w:rFonts w:eastAsia="MS Mincho"/>
              </w:rPr>
              <w:t> </w:t>
            </w:r>
          </w:p>
        </w:tc>
      </w:tr>
      <w:tr w:rsidR="00F72ABA" w:rsidRPr="00315936" w14:paraId="4021E274"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733134E" w14:textId="77777777" w:rsidR="00F72ABA" w:rsidRPr="00315936" w:rsidRDefault="00F72ABA">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6D786E07" w14:textId="123A8A70" w:rsidR="00F72ABA" w:rsidRPr="00315936" w:rsidRDefault="004002A3">
            <w:pPr>
              <w:pStyle w:val="Tabletext"/>
              <w:rPr>
                <w:lang w:eastAsia="en-AU"/>
              </w:rPr>
            </w:pPr>
            <w:r>
              <w:rPr>
                <w:rFonts w:eastAsia="MS Gothic" w:cs="Arial"/>
                <w:szCs w:val="21"/>
              </w:rPr>
              <w:t>For the purpose of the performance risk assessment, i</w:t>
            </w:r>
            <w:r w:rsidRPr="00315936">
              <w:rPr>
                <w:rFonts w:eastAsia="MS Gothic" w:cs="Arial"/>
                <w:szCs w:val="21"/>
              </w:rPr>
              <w:t>mprovement is compared to previous year performance.</w:t>
            </w:r>
            <w:r w:rsidRPr="00315936">
              <w:rPr>
                <w:rStyle w:val="eop"/>
                <w:rFonts w:eastAsia="MS Mincho" w:cs="Arial"/>
                <w:szCs w:val="21"/>
              </w:rPr>
              <w:t> </w:t>
            </w:r>
          </w:p>
        </w:tc>
      </w:tr>
      <w:tr w:rsidR="00F72ABA" w:rsidRPr="00315936" w14:paraId="6F8B049F"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6EF942CC" w14:textId="77777777" w:rsidR="00F72ABA" w:rsidRPr="00315936" w:rsidRDefault="00F72ABA">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7D508FCD" w14:textId="6214E90E" w:rsidR="00630267" w:rsidRPr="00315936" w:rsidRDefault="00630267" w:rsidP="00630267">
            <w:pPr>
              <w:pStyle w:val="Tabletext"/>
              <w:rPr>
                <w:rFonts w:ascii="Segoe UI" w:hAnsi="Segoe UI" w:cs="Segoe UI"/>
                <w:sz w:val="18"/>
                <w:szCs w:val="18"/>
              </w:rPr>
            </w:pPr>
            <w:r w:rsidRPr="00315936">
              <w:rPr>
                <w:rFonts w:eastAsia="MS Gothic" w:cs="Arial"/>
                <w:szCs w:val="21"/>
              </w:rPr>
              <w:t>Performance is reported annually in Q4 at the statewide level.</w:t>
            </w:r>
            <w:r w:rsidRPr="00315936">
              <w:rPr>
                <w:rStyle w:val="eop"/>
                <w:rFonts w:eastAsia="MS Mincho" w:cs="Arial"/>
                <w:szCs w:val="21"/>
              </w:rPr>
              <w:t> </w:t>
            </w:r>
          </w:p>
          <w:p w14:paraId="0C13D2CF" w14:textId="7B9C83F8" w:rsidR="00F72ABA" w:rsidRPr="00AC34D9" w:rsidRDefault="00DC4C60">
            <w:pPr>
              <w:pStyle w:val="Tabletext"/>
              <w:rPr>
                <w:lang w:eastAsia="en-AU"/>
              </w:rPr>
            </w:pPr>
            <w:r w:rsidRPr="00315936">
              <w:rPr>
                <w:rFonts w:eastAsia="MS Gothic" w:cs="Arial"/>
              </w:rPr>
              <w:t xml:space="preserve">Data are sourced from the </w:t>
            </w:r>
            <w:r w:rsidR="00630267" w:rsidRPr="00315936">
              <w:rPr>
                <w:rFonts w:eastAsia="MS Gothic" w:cs="Arial"/>
                <w:szCs w:val="21"/>
              </w:rPr>
              <w:t>Council of Ambulance Authorities (CAA) annual survey </w:t>
            </w:r>
            <w:r w:rsidR="00630267" w:rsidRPr="00315936">
              <w:rPr>
                <w:rStyle w:val="eop"/>
                <w:rFonts w:eastAsia="MS Mincho" w:cs="Arial"/>
                <w:szCs w:val="21"/>
              </w:rPr>
              <w:t> </w:t>
            </w:r>
          </w:p>
        </w:tc>
      </w:tr>
    </w:tbl>
    <w:p w14:paraId="08F7FDA1" w14:textId="2B4C4CEC" w:rsidR="00E54913" w:rsidRPr="00315936" w:rsidRDefault="00E54913" w:rsidP="008E7F78">
      <w:pPr>
        <w:pStyle w:val="Heading4"/>
      </w:pPr>
      <w:bookmarkStart w:id="57" w:name="_Toc451272603"/>
      <w:r w:rsidRPr="00315936">
        <w:t>Percentage of patients experiencing severe cardiac or traumatic pain whose level of pain was reduced significantly</w:t>
      </w:r>
      <w:bookmarkEnd w:id="57"/>
    </w:p>
    <w:tbl>
      <w:tblPr>
        <w:tblStyle w:val="TableGrid"/>
        <w:tblW w:w="9349" w:type="dxa"/>
        <w:tblLook w:val="04A0" w:firstRow="1" w:lastRow="0" w:firstColumn="1" w:lastColumn="0" w:noHBand="0" w:noVBand="1"/>
      </w:tblPr>
      <w:tblGrid>
        <w:gridCol w:w="1837"/>
        <w:gridCol w:w="7512"/>
      </w:tblGrid>
      <w:tr w:rsidR="00BA6C51" w:rsidRPr="00315936" w14:paraId="4475D06E"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cBorders>
            <w:shd w:val="clear" w:color="auto" w:fill="000066"/>
          </w:tcPr>
          <w:p w14:paraId="08085D30" w14:textId="617D6AB4" w:rsidR="00BA6C51"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cBorders>
          </w:tcPr>
          <w:p w14:paraId="43EBB46F" w14:textId="6A793629" w:rsidR="00BA6C51" w:rsidRPr="00315936" w:rsidRDefault="00BA6C51">
            <w:pPr>
              <w:pStyle w:val="Tabletext"/>
            </w:pPr>
            <w:r w:rsidRPr="00315936">
              <w:t>Percentage of patients experiencing severe cardiac or traumatic pain whose level of pain was reduced significantly</w:t>
            </w:r>
            <w:r w:rsidR="00D14BA0">
              <w:t xml:space="preserve"> </w:t>
            </w:r>
            <w:r w:rsidR="00C40394">
              <w:fldChar w:fldCharType="begin"/>
            </w:r>
            <w:r w:rsidR="00C40394">
              <w:instrText xml:space="preserve"> NOTEREF _Ref201303719 \f \h </w:instrText>
            </w:r>
            <w:r w:rsidR="00C40394">
              <w:fldChar w:fldCharType="separate"/>
            </w:r>
            <w:r w:rsidR="00C40394" w:rsidRPr="00F86086">
              <w:rPr>
                <w:rStyle w:val="EndnoteReference"/>
              </w:rPr>
              <w:t>ix</w:t>
            </w:r>
            <w:r w:rsidR="00C40394">
              <w:fldChar w:fldCharType="end"/>
            </w:r>
          </w:p>
        </w:tc>
      </w:tr>
      <w:tr w:rsidR="00BA6C51" w:rsidRPr="00315936" w14:paraId="600ADB6D"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76C9D816" w14:textId="77777777" w:rsidR="00BA6C51" w:rsidRPr="00315936" w:rsidRDefault="00BA6C51">
            <w:pPr>
              <w:pStyle w:val="Tablecolhead"/>
              <w:rPr>
                <w:b w:val="0"/>
                <w:lang w:eastAsia="en-AU"/>
              </w:rPr>
            </w:pPr>
            <w:r w:rsidRPr="00315936">
              <w:rPr>
                <w:b w:val="0"/>
                <w:lang w:eastAsia="en-AU"/>
              </w:rPr>
              <w:t>Description </w:t>
            </w:r>
          </w:p>
        </w:tc>
        <w:tc>
          <w:tcPr>
            <w:tcW w:w="7512" w:type="dxa"/>
            <w:tcBorders>
              <w:left w:val="single" w:sz="6" w:space="0" w:color="000000"/>
            </w:tcBorders>
          </w:tcPr>
          <w:p w14:paraId="3873B2D0" w14:textId="1FC98E5C" w:rsidR="00BA6C51" w:rsidRPr="00315936" w:rsidRDefault="00BA6C51">
            <w:pPr>
              <w:pStyle w:val="Tabletext"/>
            </w:pPr>
            <w:r w:rsidRPr="00315936">
              <w:t xml:space="preserve">Adequate relief of pain is one of a series of key measures of the clinical effectiveness of interventions by paramedics. The </w:t>
            </w:r>
            <w:r w:rsidR="00C3016B" w:rsidRPr="00315936">
              <w:t>measure</w:t>
            </w:r>
            <w:r w:rsidRPr="00315936">
              <w:t xml:space="preserve"> of the proportion of patients experiencing severe cardiac or traumatic pain, whose level of pain is significantly reduced, focuses the attention of the organisation on the effectiveness of clinical interventions in two common areas of service provision – cardiac care and trauma care.</w:t>
            </w:r>
          </w:p>
          <w:p w14:paraId="499FA1EA" w14:textId="77777777" w:rsidR="00BA6C51" w:rsidRPr="00315936" w:rsidRDefault="00BA6C51">
            <w:pPr>
              <w:pStyle w:val="Tabletext"/>
            </w:pPr>
            <w:r w:rsidRPr="00315936">
              <w:t>Assessment of pain severity and the extent of relief that paramedics can provide is central to the provision of appropriate care.</w:t>
            </w:r>
          </w:p>
          <w:p w14:paraId="0C136B5F" w14:textId="52A3E25F" w:rsidR="00BA6C51" w:rsidRPr="00315936" w:rsidRDefault="007201AA">
            <w:pPr>
              <w:pStyle w:val="Tabletext"/>
              <w:rPr>
                <w:lang w:eastAsia="en-AU"/>
              </w:rPr>
            </w:pPr>
            <w:r w:rsidRPr="00315936">
              <w:t xml:space="preserve">This measure calculates the difference between the initial pain score and the final pain score according to Ambulance Victoria’s </w:t>
            </w:r>
            <w:hyperlink r:id="rId31" w:history="1">
              <w:r w:rsidRPr="00315936">
                <w:rPr>
                  <w:rStyle w:val="Hyperlink"/>
                  <w:rFonts w:eastAsia="MS Gothic"/>
                </w:rPr>
                <w:t xml:space="preserve">Clinical Practice Guidelines </w:t>
              </w:r>
            </w:hyperlink>
            <w:r w:rsidRPr="00315936">
              <w:t>&lt;https://www.ambulance.vic.gov.au/paramedics/clinical-practice-guidelines/&gt;.</w:t>
            </w:r>
          </w:p>
        </w:tc>
      </w:tr>
      <w:tr w:rsidR="00BA6C51" w:rsidRPr="00315936" w14:paraId="49F46898"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1B90BC1E" w14:textId="77777777" w:rsidR="00BA6C51" w:rsidRPr="00315936" w:rsidRDefault="00BA6C51">
            <w:pPr>
              <w:pStyle w:val="Tablecolhead"/>
              <w:rPr>
                <w:b w:val="0"/>
                <w:lang w:eastAsia="en-AU"/>
              </w:rPr>
            </w:pPr>
            <w:r w:rsidRPr="00315936">
              <w:rPr>
                <w:b w:val="0"/>
                <w:lang w:eastAsia="en-AU"/>
              </w:rPr>
              <w:t>Calculating performance</w:t>
            </w:r>
          </w:p>
        </w:tc>
        <w:tc>
          <w:tcPr>
            <w:tcW w:w="7512" w:type="dxa"/>
            <w:tcBorders>
              <w:left w:val="single" w:sz="6" w:space="0" w:color="000000"/>
            </w:tcBorders>
          </w:tcPr>
          <w:p w14:paraId="1A8D845F" w14:textId="4DFD66AE" w:rsidR="00BA6C51" w:rsidRPr="00315936" w:rsidRDefault="00BA6C51">
            <w:pPr>
              <w:pStyle w:val="Tabletext"/>
            </w:pPr>
            <w:r w:rsidRPr="00315936">
              <w:t>Patients experiencing severe pain are defined as those having an initial pain score of 8 or more, with pain measured out of 10.</w:t>
            </w:r>
          </w:p>
          <w:p w14:paraId="421BF033" w14:textId="77777777" w:rsidR="00BA6C51" w:rsidRPr="00315936" w:rsidRDefault="00BA6C51">
            <w:pPr>
              <w:pStyle w:val="Tabletext"/>
            </w:pPr>
            <w:r w:rsidRPr="00315936">
              <w:t>A patient is deemed to have had a significant reduction in pain if the difference between their initial and final pain score is 2 or more.</w:t>
            </w:r>
          </w:p>
          <w:p w14:paraId="44DABD80" w14:textId="53CE1EC7" w:rsidR="00BA6C51" w:rsidRPr="00315936" w:rsidRDefault="00382C15">
            <w:pPr>
              <w:pStyle w:val="Tabletext"/>
            </w:pPr>
            <w:r>
              <w:t>E</w:t>
            </w:r>
            <w:r w:rsidR="00BA6C51" w:rsidRPr="00315936">
              <w:t>xcludes: patients with a Glasgow Coma Score</w:t>
            </w:r>
            <w:r w:rsidR="00571259" w:rsidRPr="00315936">
              <w:t xml:space="preserve"> less than </w:t>
            </w:r>
            <w:r w:rsidR="00BA6C51" w:rsidRPr="00315936">
              <w:t xml:space="preserve">9; intubated patients; patients unable to rate pain; patients who have </w:t>
            </w:r>
            <w:r w:rsidR="00571259" w:rsidRPr="00315936">
              <w:t xml:space="preserve">less than </w:t>
            </w:r>
            <w:r w:rsidR="00BA6C51" w:rsidRPr="00315936">
              <w:t>2 recorded pain scores and patients who refuse analgesia.</w:t>
            </w:r>
          </w:p>
          <w:p w14:paraId="2B4D4AD8" w14:textId="77777777" w:rsidR="00BA6C51" w:rsidRPr="00315936" w:rsidRDefault="00BA6C51">
            <w:pPr>
              <w:pStyle w:val="Tabletext"/>
            </w:pPr>
            <w:r w:rsidRPr="00315936">
              <w:t xml:space="preserve">This </w:t>
            </w:r>
            <w:r w:rsidR="00C3016B" w:rsidRPr="00315936">
              <w:t>measure</w:t>
            </w:r>
            <w:r w:rsidRPr="00315936">
              <w:t xml:space="preserve"> is expressed as a percentage to one decimal place.</w:t>
            </w:r>
          </w:p>
          <w:p w14:paraId="16A4C3B3" w14:textId="0FC92004" w:rsidR="00BA6C51" w:rsidRPr="00315936" w:rsidRDefault="00382C15">
            <w:pPr>
              <w:pStyle w:val="Tabletext"/>
              <w:rPr>
                <w:lang w:eastAsia="en-AU"/>
              </w:rPr>
            </w:pPr>
            <w:r>
              <w:t>Includes</w:t>
            </w:r>
            <w:r w:rsidR="007201AA" w:rsidRPr="00315936">
              <w:t xml:space="preserve"> patients of all ages experiencing traumatic pain and patients who are 15 years old or older with cardiac pain.</w:t>
            </w:r>
          </w:p>
        </w:tc>
      </w:tr>
      <w:tr w:rsidR="00BA6C51" w:rsidRPr="00315936" w14:paraId="3671352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405D5C65" w14:textId="77777777" w:rsidR="00BA6C51" w:rsidRPr="00315936" w:rsidRDefault="00BA6C51">
            <w:pPr>
              <w:pStyle w:val="Tablecolhead"/>
              <w:rPr>
                <w:b w:val="0"/>
                <w:lang w:eastAsia="en-AU"/>
              </w:rPr>
            </w:pPr>
            <w:r w:rsidRPr="00315936">
              <w:rPr>
                <w:b w:val="0"/>
                <w:lang w:eastAsia="en-AU"/>
              </w:rPr>
              <w:t>Numerator</w:t>
            </w:r>
          </w:p>
        </w:tc>
        <w:tc>
          <w:tcPr>
            <w:tcW w:w="7512" w:type="dxa"/>
            <w:tcBorders>
              <w:left w:val="single" w:sz="6" w:space="0" w:color="000000"/>
            </w:tcBorders>
          </w:tcPr>
          <w:p w14:paraId="58AE6BFA" w14:textId="77777777" w:rsidR="00BA6C51" w:rsidRPr="00315936" w:rsidRDefault="00BA6C51">
            <w:pPr>
              <w:pStyle w:val="Tabletext"/>
              <w:rPr>
                <w:lang w:eastAsia="en-AU"/>
              </w:rPr>
            </w:pPr>
            <w:r w:rsidRPr="00315936">
              <w:t>Total number of adult cardiac, adult trauma and paediatric trauma patients with an initial pain score assessed as 8 or more experiencing a reduction in score of 2 or more</w:t>
            </w:r>
          </w:p>
        </w:tc>
      </w:tr>
      <w:tr w:rsidR="00BA6C51" w:rsidRPr="00315936" w14:paraId="78AD10B3"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30100EA0" w14:textId="77777777" w:rsidR="00BA6C51" w:rsidRPr="00315936" w:rsidRDefault="00BA6C51">
            <w:pPr>
              <w:pStyle w:val="Tablecolhead"/>
              <w:rPr>
                <w:b w:val="0"/>
                <w:lang w:eastAsia="en-AU"/>
              </w:rPr>
            </w:pPr>
            <w:r w:rsidRPr="00315936">
              <w:rPr>
                <w:b w:val="0"/>
                <w:lang w:eastAsia="en-AU"/>
              </w:rPr>
              <w:t>Denominator</w:t>
            </w:r>
          </w:p>
        </w:tc>
        <w:tc>
          <w:tcPr>
            <w:tcW w:w="7512" w:type="dxa"/>
            <w:tcBorders>
              <w:left w:val="single" w:sz="6" w:space="0" w:color="000000"/>
            </w:tcBorders>
          </w:tcPr>
          <w:p w14:paraId="730DEF95" w14:textId="77777777" w:rsidR="00BA6C51" w:rsidRPr="00315936" w:rsidRDefault="00BA6C51">
            <w:pPr>
              <w:pStyle w:val="Tabletext"/>
              <w:rPr>
                <w:lang w:eastAsia="en-AU"/>
              </w:rPr>
            </w:pPr>
            <w:r w:rsidRPr="00315936">
              <w:t>Total number of adult cardiac, adult trauma and paediatric trauma patients with an initial pain score assessed as 8 or more</w:t>
            </w:r>
          </w:p>
        </w:tc>
      </w:tr>
      <w:tr w:rsidR="00BA6C51" w:rsidRPr="00315936" w14:paraId="699B14C9"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2266A0AF" w14:textId="77777777" w:rsidR="00BA6C51" w:rsidRPr="00315936" w:rsidRDefault="00BA6C51">
            <w:pPr>
              <w:pStyle w:val="Tablecolhead"/>
              <w:rPr>
                <w:b w:val="0"/>
                <w:lang w:eastAsia="en-AU"/>
              </w:rPr>
            </w:pPr>
            <w:r w:rsidRPr="00315936">
              <w:rPr>
                <w:b w:val="0"/>
                <w:lang w:eastAsia="en-AU"/>
              </w:rPr>
              <w:t>Statewide target</w:t>
            </w:r>
          </w:p>
        </w:tc>
        <w:tc>
          <w:tcPr>
            <w:tcW w:w="7512" w:type="dxa"/>
            <w:tcBorders>
              <w:left w:val="single" w:sz="6" w:space="0" w:color="000000"/>
            </w:tcBorders>
          </w:tcPr>
          <w:p w14:paraId="562F2494" w14:textId="3294C393" w:rsidR="00BA6C51" w:rsidRPr="00315936" w:rsidRDefault="00BA6C51">
            <w:pPr>
              <w:pStyle w:val="Tabletext"/>
              <w:rPr>
                <w:lang w:eastAsia="en-AU"/>
              </w:rPr>
            </w:pPr>
            <w:r w:rsidRPr="00315936">
              <w:t>90</w:t>
            </w:r>
            <w:r w:rsidR="00A67D0D" w:rsidRPr="00315936">
              <w:t xml:space="preserve"> per cent</w:t>
            </w:r>
          </w:p>
        </w:tc>
      </w:tr>
      <w:tr w:rsidR="00BA6C51" w:rsidRPr="00315936" w14:paraId="6475A5A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271D03BB" w14:textId="0453AB7E" w:rsidR="00BA6C51" w:rsidRPr="00315936" w:rsidRDefault="00BA6C51">
            <w:pPr>
              <w:pStyle w:val="Tablecolhead"/>
              <w:rPr>
                <w:b w:val="0"/>
                <w:lang w:eastAsia="en-AU"/>
              </w:rPr>
            </w:pPr>
            <w:r w:rsidRPr="00315936">
              <w:rPr>
                <w:b w:val="0"/>
                <w:lang w:eastAsia="en-AU"/>
              </w:rPr>
              <w:t>Achieved</w:t>
            </w:r>
          </w:p>
        </w:tc>
        <w:tc>
          <w:tcPr>
            <w:tcW w:w="7512" w:type="dxa"/>
            <w:tcBorders>
              <w:left w:val="single" w:sz="6" w:space="0" w:color="000000"/>
            </w:tcBorders>
          </w:tcPr>
          <w:p w14:paraId="1F24DE6C" w14:textId="0FFD966A" w:rsidR="00BA6C51" w:rsidRPr="00315936" w:rsidRDefault="00A31FE6">
            <w:pPr>
              <w:pStyle w:val="Tabletext"/>
            </w:pPr>
            <w:r>
              <w:t>Greater than or e</w:t>
            </w:r>
            <w:r w:rsidR="00BA6C51" w:rsidRPr="00315936">
              <w:t>qual to 90</w:t>
            </w:r>
            <w:r w:rsidR="00A67D0D" w:rsidRPr="00315936">
              <w:t xml:space="preserve"> per cent</w:t>
            </w:r>
          </w:p>
        </w:tc>
      </w:tr>
      <w:tr w:rsidR="00BA6C51" w:rsidRPr="00315936" w14:paraId="4E5A056C"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10600DDF" w14:textId="0C70C199" w:rsidR="00BA6C51" w:rsidRPr="00315936" w:rsidRDefault="00BA6C51">
            <w:pPr>
              <w:pStyle w:val="Tablecolhead"/>
              <w:rPr>
                <w:b w:val="0"/>
                <w:lang w:eastAsia="en-AU"/>
              </w:rPr>
            </w:pPr>
            <w:r w:rsidRPr="00315936">
              <w:rPr>
                <w:b w:val="0"/>
                <w:lang w:eastAsia="en-AU"/>
              </w:rPr>
              <w:t>Not achieved</w:t>
            </w:r>
          </w:p>
        </w:tc>
        <w:tc>
          <w:tcPr>
            <w:tcW w:w="7512" w:type="dxa"/>
            <w:tcBorders>
              <w:left w:val="single" w:sz="6" w:space="0" w:color="000000"/>
            </w:tcBorders>
          </w:tcPr>
          <w:p w14:paraId="5000EB91" w14:textId="3A347D63" w:rsidR="00BA6C51" w:rsidRPr="00315936" w:rsidRDefault="00BA6C51">
            <w:pPr>
              <w:pStyle w:val="Tabletext"/>
            </w:pPr>
            <w:r w:rsidRPr="00315936">
              <w:t>Less than 90</w:t>
            </w:r>
            <w:r w:rsidR="00A67D0D" w:rsidRPr="00315936">
              <w:t xml:space="preserve"> per cent</w:t>
            </w:r>
          </w:p>
        </w:tc>
      </w:tr>
      <w:tr w:rsidR="00BA6C51" w:rsidRPr="00315936" w14:paraId="2C1F45CA"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02715726" w14:textId="77777777" w:rsidR="00BA6C51" w:rsidRPr="00315936" w:rsidRDefault="00BA6C51">
            <w:pPr>
              <w:pStyle w:val="Tablecolhead"/>
              <w:rPr>
                <w:b w:val="0"/>
                <w:lang w:eastAsia="en-AU"/>
              </w:rPr>
            </w:pPr>
            <w:r w:rsidRPr="00315936">
              <w:rPr>
                <w:b w:val="0"/>
                <w:lang w:eastAsia="en-AU"/>
              </w:rPr>
              <w:t>Improvement</w:t>
            </w:r>
          </w:p>
        </w:tc>
        <w:tc>
          <w:tcPr>
            <w:tcW w:w="7512" w:type="dxa"/>
            <w:tcBorders>
              <w:left w:val="single" w:sz="6" w:space="0" w:color="000000"/>
            </w:tcBorders>
          </w:tcPr>
          <w:p w14:paraId="5128FA83" w14:textId="40A20209" w:rsidR="00BA6C51" w:rsidRPr="00315936" w:rsidRDefault="008C3B78">
            <w:pPr>
              <w:pStyle w:val="Tabletext"/>
            </w:pPr>
            <w:r>
              <w:rPr>
                <w:rFonts w:eastAsia="MS Gothic" w:cs="Arial"/>
                <w:szCs w:val="21"/>
              </w:rPr>
              <w:t>For the purpose of the performance risk assessment, i</w:t>
            </w:r>
            <w:r w:rsidRPr="00315936">
              <w:rPr>
                <w:rFonts w:eastAsia="MS Gothic" w:cs="Arial"/>
                <w:szCs w:val="21"/>
              </w:rPr>
              <w:t xml:space="preserve">mprovement is compared to previous </w:t>
            </w:r>
            <w:r w:rsidR="007B58E1" w:rsidRPr="00315936">
              <w:rPr>
                <w:rFonts w:eastAsia="MS Gothic"/>
              </w:rPr>
              <w:t>quarter</w:t>
            </w:r>
            <w:r w:rsidRPr="00315936">
              <w:rPr>
                <w:rFonts w:eastAsia="MS Gothic"/>
              </w:rPr>
              <w:t xml:space="preserve"> performance</w:t>
            </w:r>
            <w:r w:rsidRPr="00315936">
              <w:rPr>
                <w:rFonts w:eastAsia="MS Gothic" w:cs="Arial"/>
                <w:szCs w:val="21"/>
              </w:rPr>
              <w:t>.</w:t>
            </w:r>
            <w:r w:rsidRPr="00315936">
              <w:rPr>
                <w:rStyle w:val="eop"/>
                <w:rFonts w:eastAsia="MS Mincho" w:cs="Arial"/>
                <w:szCs w:val="21"/>
              </w:rPr>
              <w:t> </w:t>
            </w:r>
          </w:p>
        </w:tc>
      </w:tr>
      <w:tr w:rsidR="00BA6C51" w:rsidRPr="00315936" w14:paraId="4338261D"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cBorders>
            <w:shd w:val="clear" w:color="auto" w:fill="000066"/>
          </w:tcPr>
          <w:p w14:paraId="46C52AD4" w14:textId="77777777" w:rsidR="00BA6C51" w:rsidRPr="00315936" w:rsidRDefault="00BA6C51">
            <w:pPr>
              <w:pStyle w:val="Tablecolhead"/>
              <w:rPr>
                <w:b w:val="0"/>
                <w:lang w:eastAsia="en-AU"/>
              </w:rPr>
            </w:pPr>
            <w:r w:rsidRPr="00315936">
              <w:rPr>
                <w:b w:val="0"/>
                <w:lang w:eastAsia="en-AU"/>
              </w:rPr>
              <w:t>Frequency of reporting and data collection</w:t>
            </w:r>
          </w:p>
        </w:tc>
        <w:tc>
          <w:tcPr>
            <w:tcW w:w="7512" w:type="dxa"/>
            <w:tcBorders>
              <w:left w:val="single" w:sz="6" w:space="0" w:color="000000"/>
            </w:tcBorders>
          </w:tcPr>
          <w:p w14:paraId="1508D5B1" w14:textId="2A8D64A6" w:rsidR="00BA6C51" w:rsidRPr="00315936" w:rsidRDefault="00BA6C51">
            <w:pPr>
              <w:pStyle w:val="Tabletext"/>
            </w:pPr>
            <w:r w:rsidRPr="00315936">
              <w:t xml:space="preserve">Performance is </w:t>
            </w:r>
            <w:r w:rsidR="002A7911" w:rsidRPr="00315936">
              <w:t xml:space="preserve">reported </w:t>
            </w:r>
            <w:r w:rsidRPr="00315936">
              <w:t>quarterly</w:t>
            </w:r>
            <w:r w:rsidR="00970179" w:rsidRPr="00315936">
              <w:t xml:space="preserve"> at </w:t>
            </w:r>
            <w:r w:rsidR="002A7911" w:rsidRPr="00315936">
              <w:t>the</w:t>
            </w:r>
            <w:r w:rsidR="00970179" w:rsidRPr="00315936">
              <w:t xml:space="preserve"> statewide level</w:t>
            </w:r>
            <w:r w:rsidRPr="00315936">
              <w:t>.</w:t>
            </w:r>
          </w:p>
          <w:p w14:paraId="0EFAB681" w14:textId="1ED7D42B" w:rsidR="00BA6C51" w:rsidRPr="00315936" w:rsidRDefault="00BA6C51">
            <w:pPr>
              <w:pStyle w:val="Tabletext"/>
              <w:rPr>
                <w:lang w:eastAsia="en-AU"/>
              </w:rPr>
            </w:pPr>
            <w:r w:rsidRPr="00315936">
              <w:t xml:space="preserve">Data are </w:t>
            </w:r>
            <w:r w:rsidR="002A7911" w:rsidRPr="00315936">
              <w:t xml:space="preserve">sourced from </w:t>
            </w:r>
            <w:r w:rsidRPr="00315936">
              <w:t>Ambulance Victoria.</w:t>
            </w:r>
          </w:p>
        </w:tc>
      </w:tr>
    </w:tbl>
    <w:p w14:paraId="102C5A2B" w14:textId="6346EFC5" w:rsidR="002833D1" w:rsidRPr="00315936" w:rsidRDefault="002833D1" w:rsidP="008E7F78">
      <w:pPr>
        <w:pStyle w:val="Heading4"/>
      </w:pPr>
      <w:bookmarkStart w:id="58" w:name="_Toc1311606899"/>
      <w:r w:rsidRPr="00315936">
        <w:lastRenderedPageBreak/>
        <w:t>Percentage of adult stroke patients transported to definitive care within 60 minutes</w:t>
      </w:r>
      <w:bookmarkEnd w:id="58"/>
    </w:p>
    <w:tbl>
      <w:tblPr>
        <w:tblStyle w:val="TableGrid"/>
        <w:tblW w:w="9349" w:type="dxa"/>
        <w:tblLook w:val="04A0" w:firstRow="1" w:lastRow="0" w:firstColumn="1" w:lastColumn="0" w:noHBand="0" w:noVBand="1"/>
      </w:tblPr>
      <w:tblGrid>
        <w:gridCol w:w="1837"/>
        <w:gridCol w:w="7512"/>
      </w:tblGrid>
      <w:tr w:rsidR="002E396D" w:rsidRPr="00315936" w14:paraId="27D2E3C8"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cBorders>
            <w:shd w:val="clear" w:color="auto" w:fill="000066"/>
          </w:tcPr>
          <w:p w14:paraId="2D6AACA0" w14:textId="5CA8EDD3" w:rsidR="002E396D"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cBorders>
          </w:tcPr>
          <w:p w14:paraId="706D2FE2" w14:textId="012EC887" w:rsidR="002E396D" w:rsidRPr="00315936" w:rsidRDefault="002E396D">
            <w:pPr>
              <w:pStyle w:val="Tabletext"/>
            </w:pPr>
            <w:r w:rsidRPr="00315936">
              <w:t>Percentage of adult stroke patients transported to definitive care within 60 minutes</w:t>
            </w:r>
            <w:r w:rsidR="00876388">
              <w:t xml:space="preserve"> </w:t>
            </w:r>
            <w:r w:rsidR="00BA6B46">
              <w:fldChar w:fldCharType="begin"/>
            </w:r>
            <w:r w:rsidR="00BA6B46">
              <w:instrText xml:space="preserve"> NOTEREF _Ref201303719 \f \h </w:instrText>
            </w:r>
            <w:r w:rsidR="00BA6B46">
              <w:fldChar w:fldCharType="separate"/>
            </w:r>
            <w:r w:rsidR="00BA6B46" w:rsidRPr="00F86086">
              <w:rPr>
                <w:rStyle w:val="EndnoteReference"/>
              </w:rPr>
              <w:t>ix</w:t>
            </w:r>
            <w:r w:rsidR="00BA6B46">
              <w:fldChar w:fldCharType="end"/>
            </w:r>
            <w:r w:rsidR="00C40394">
              <w:fldChar w:fldCharType="begin"/>
            </w:r>
            <w:r w:rsidR="00C40394">
              <w:instrText xml:space="preserve"> NOTEREF _Ref201303719 \f \h </w:instrText>
            </w:r>
            <w:r w:rsidR="00C40394">
              <w:fldChar w:fldCharType="separate"/>
            </w:r>
            <w:r w:rsidR="00C40394">
              <w:fldChar w:fldCharType="end"/>
            </w:r>
          </w:p>
        </w:tc>
      </w:tr>
      <w:tr w:rsidR="002E396D" w:rsidRPr="00315936" w14:paraId="73B5B8A7"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60793676" w14:textId="77777777" w:rsidR="002E396D" w:rsidRPr="00315936" w:rsidRDefault="002E396D">
            <w:pPr>
              <w:pStyle w:val="Tablecolhead"/>
              <w:rPr>
                <w:b w:val="0"/>
                <w:lang w:eastAsia="en-AU"/>
              </w:rPr>
            </w:pPr>
            <w:r w:rsidRPr="00315936">
              <w:rPr>
                <w:b w:val="0"/>
                <w:lang w:eastAsia="en-AU"/>
              </w:rPr>
              <w:t>Description </w:t>
            </w:r>
          </w:p>
        </w:tc>
        <w:tc>
          <w:tcPr>
            <w:tcW w:w="7512" w:type="dxa"/>
            <w:tcBorders>
              <w:left w:val="single" w:sz="6" w:space="0" w:color="000000"/>
            </w:tcBorders>
          </w:tcPr>
          <w:p w14:paraId="1C21EE3B" w14:textId="77777777" w:rsidR="006A29FC" w:rsidRPr="00315936" w:rsidRDefault="006A29FC" w:rsidP="006A29FC">
            <w:pPr>
              <w:pStyle w:val="Tabletext"/>
            </w:pPr>
            <w:r w:rsidRPr="00315936">
              <w:t xml:space="preserve">This </w:t>
            </w:r>
            <w:r w:rsidRPr="00315936" w:rsidDel="00997CA6">
              <w:t xml:space="preserve">measure </w:t>
            </w:r>
            <w:r>
              <w:t>calculates</w:t>
            </w:r>
            <w:r w:rsidRPr="00315936" w:rsidDel="00997CA6">
              <w:t xml:space="preserve"> </w:t>
            </w:r>
            <w:r w:rsidRPr="00315936">
              <w:t>ambulance response to adult patients (15 years or older) suspected of having a stroke within the last six hours who are transported within 60 minutes to a health service with the capability to deliver intravenous thrombolysis.</w:t>
            </w:r>
          </w:p>
          <w:p w14:paraId="252B3FA9" w14:textId="77777777" w:rsidR="002E396D" w:rsidRPr="00315936" w:rsidRDefault="002E396D">
            <w:pPr>
              <w:pStyle w:val="Tabletext"/>
            </w:pPr>
            <w:r w:rsidRPr="00315936">
              <w:t>The early recognition of stroke symptoms and the timing and the destination to which patients are transported are critical to ensuring optimal outcomes for stroke patients.</w:t>
            </w:r>
          </w:p>
          <w:p w14:paraId="3BEC4F94" w14:textId="786B77F3" w:rsidR="002E396D" w:rsidRPr="00315936" w:rsidRDefault="002E396D">
            <w:pPr>
              <w:pStyle w:val="Tabletext"/>
              <w:rPr>
                <w:lang w:eastAsia="en-AU"/>
              </w:rPr>
            </w:pPr>
            <w:r w:rsidRPr="00315936">
              <w:t xml:space="preserve">A list of health services providing thrombolysis for stroke patients can be found at </w:t>
            </w:r>
            <w:hyperlink r:id="rId32" w:history="1">
              <w:r w:rsidRPr="00315936">
                <w:rPr>
                  <w:color w:val="3366FF"/>
                  <w:u w:val="dotted"/>
                </w:rPr>
                <w:t>HealthVic statewide frameworks for acute stroke services</w:t>
              </w:r>
            </w:hyperlink>
            <w:r w:rsidRPr="00315936">
              <w:t xml:space="preserve"> </w:t>
            </w:r>
            <w:r w:rsidR="00E1195A" w:rsidRPr="00315936">
              <w:t>&lt;</w:t>
            </w:r>
            <w:r w:rsidR="00223D7E" w:rsidRPr="00AC34D9">
              <w:t>https://www2.health.vic.gov.au/hospitals-and-health-services/quality-safety-service/clinical-networks/clinical-network-stroke/stroke-statewide-frameworks</w:t>
            </w:r>
            <w:r w:rsidR="00E1195A" w:rsidRPr="00315936">
              <w:t>&gt;</w:t>
            </w:r>
            <w:r w:rsidR="00E1195A" w:rsidRPr="00315936">
              <w:rPr>
                <w:color w:val="000000" w:themeColor="text1"/>
              </w:rPr>
              <w:t>.</w:t>
            </w:r>
          </w:p>
        </w:tc>
      </w:tr>
      <w:tr w:rsidR="002E396D" w:rsidRPr="00315936" w14:paraId="325024A6"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1D79E158" w14:textId="77777777" w:rsidR="002E396D" w:rsidRPr="00315936" w:rsidRDefault="002E396D">
            <w:pPr>
              <w:pStyle w:val="Tablecolhead"/>
              <w:rPr>
                <w:b w:val="0"/>
                <w:lang w:eastAsia="en-AU"/>
              </w:rPr>
            </w:pPr>
            <w:r w:rsidRPr="00315936">
              <w:rPr>
                <w:b w:val="0"/>
                <w:lang w:eastAsia="en-AU"/>
              </w:rPr>
              <w:t>Calculating performance</w:t>
            </w:r>
          </w:p>
        </w:tc>
        <w:tc>
          <w:tcPr>
            <w:tcW w:w="7512" w:type="dxa"/>
            <w:tcBorders>
              <w:left w:val="single" w:sz="6" w:space="0" w:color="000000"/>
            </w:tcBorders>
          </w:tcPr>
          <w:p w14:paraId="67C6BE6A" w14:textId="5B543707" w:rsidR="002E396D" w:rsidRPr="00315936" w:rsidRDefault="00195B4E">
            <w:pPr>
              <w:pStyle w:val="Tabletext"/>
            </w:pPr>
            <w:r>
              <w:t>E</w:t>
            </w:r>
            <w:r w:rsidR="002E396D" w:rsidRPr="00315936">
              <w:t>xcludes inter-hospital transfers, patients with an estimated stroke onset of greater than six hours, patients with significant pre-existing disability</w:t>
            </w:r>
            <w:r w:rsidR="005579A2">
              <w:t>,</w:t>
            </w:r>
            <w:r w:rsidR="002E396D" w:rsidRPr="00315936">
              <w:t xml:space="preserve"> or </w:t>
            </w:r>
            <w:r w:rsidR="003F2A73" w:rsidRPr="00315936">
              <w:t xml:space="preserve">patients </w:t>
            </w:r>
            <w:r w:rsidR="002E396D" w:rsidRPr="00315936">
              <w:t>dependent on others for daily living.</w:t>
            </w:r>
          </w:p>
          <w:p w14:paraId="4E83D35B" w14:textId="69425CEC" w:rsidR="002E396D" w:rsidRPr="00315936" w:rsidRDefault="002E396D">
            <w:pPr>
              <w:pStyle w:val="Tabletext"/>
              <w:rPr>
                <w:lang w:eastAsia="en-AU"/>
              </w:rPr>
            </w:pPr>
            <w:r w:rsidRPr="00315936">
              <w:t xml:space="preserve">This </w:t>
            </w:r>
            <w:r w:rsidR="00C3016B" w:rsidRPr="00315936">
              <w:t>measure</w:t>
            </w:r>
            <w:r w:rsidRPr="00315936">
              <w:t xml:space="preserve"> is expressed as a percentage to one decimal place.</w:t>
            </w:r>
          </w:p>
        </w:tc>
      </w:tr>
      <w:tr w:rsidR="002E396D" w:rsidRPr="00315936" w14:paraId="6D56C11E"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479ABEEF" w14:textId="77777777" w:rsidR="002E396D" w:rsidRPr="00315936" w:rsidRDefault="002E396D">
            <w:pPr>
              <w:pStyle w:val="Tablecolhead"/>
              <w:rPr>
                <w:b w:val="0"/>
                <w:lang w:eastAsia="en-AU"/>
              </w:rPr>
            </w:pPr>
            <w:r w:rsidRPr="00315936">
              <w:rPr>
                <w:b w:val="0"/>
                <w:lang w:eastAsia="en-AU"/>
              </w:rPr>
              <w:t>Numerator</w:t>
            </w:r>
          </w:p>
        </w:tc>
        <w:tc>
          <w:tcPr>
            <w:tcW w:w="7512" w:type="dxa"/>
            <w:tcBorders>
              <w:left w:val="single" w:sz="6" w:space="0" w:color="000000"/>
            </w:tcBorders>
          </w:tcPr>
          <w:p w14:paraId="169BAD5F" w14:textId="0C72D099" w:rsidR="002E396D" w:rsidRPr="00315936" w:rsidRDefault="002E396D">
            <w:pPr>
              <w:pStyle w:val="Tabletext"/>
              <w:rPr>
                <w:lang w:eastAsia="en-AU"/>
              </w:rPr>
            </w:pPr>
            <w:r w:rsidRPr="00315936">
              <w:t>Total number of adult patients suspected of having a stroke and meeting the above criteria who were transported within 60 minutes to a health service with the capability to deliver intravenous thrombolysis.</w:t>
            </w:r>
          </w:p>
        </w:tc>
      </w:tr>
      <w:tr w:rsidR="002E396D" w:rsidRPr="00315936" w14:paraId="7021CB1E"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343B912A" w14:textId="77777777" w:rsidR="002E396D" w:rsidRPr="00315936" w:rsidRDefault="002E396D">
            <w:pPr>
              <w:pStyle w:val="Tablecolhead"/>
              <w:rPr>
                <w:b w:val="0"/>
                <w:lang w:eastAsia="en-AU"/>
              </w:rPr>
            </w:pPr>
            <w:r w:rsidRPr="00315936">
              <w:rPr>
                <w:b w:val="0"/>
                <w:lang w:eastAsia="en-AU"/>
              </w:rPr>
              <w:t>Denominator</w:t>
            </w:r>
          </w:p>
        </w:tc>
        <w:tc>
          <w:tcPr>
            <w:tcW w:w="7512" w:type="dxa"/>
            <w:tcBorders>
              <w:left w:val="single" w:sz="6" w:space="0" w:color="000000"/>
            </w:tcBorders>
          </w:tcPr>
          <w:p w14:paraId="6C3CB612" w14:textId="420671A7" w:rsidR="002E396D" w:rsidRPr="00315936" w:rsidRDefault="002E396D">
            <w:pPr>
              <w:pStyle w:val="Tabletext"/>
              <w:rPr>
                <w:lang w:eastAsia="en-AU"/>
              </w:rPr>
            </w:pPr>
            <w:r w:rsidRPr="00315936">
              <w:t>Total number of adult patients suspected of having a stroke and meeting the above criteria</w:t>
            </w:r>
          </w:p>
        </w:tc>
      </w:tr>
      <w:tr w:rsidR="002E396D" w:rsidRPr="00315936" w14:paraId="6F2C1FF9"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5B7A4465" w14:textId="77777777" w:rsidR="002E396D" w:rsidRPr="00315936" w:rsidRDefault="002E396D">
            <w:pPr>
              <w:pStyle w:val="Tablecolhead"/>
              <w:rPr>
                <w:b w:val="0"/>
                <w:lang w:eastAsia="en-AU"/>
              </w:rPr>
            </w:pPr>
            <w:r w:rsidRPr="00315936">
              <w:rPr>
                <w:b w:val="0"/>
                <w:lang w:eastAsia="en-AU"/>
              </w:rPr>
              <w:t>Statewide target</w:t>
            </w:r>
          </w:p>
        </w:tc>
        <w:tc>
          <w:tcPr>
            <w:tcW w:w="7512" w:type="dxa"/>
            <w:tcBorders>
              <w:left w:val="single" w:sz="6" w:space="0" w:color="000000"/>
            </w:tcBorders>
          </w:tcPr>
          <w:p w14:paraId="7C9EB253" w14:textId="3CC78D6F" w:rsidR="002E396D" w:rsidRPr="00315936" w:rsidRDefault="002E396D">
            <w:pPr>
              <w:pStyle w:val="Tabletext"/>
              <w:rPr>
                <w:lang w:eastAsia="en-AU"/>
              </w:rPr>
            </w:pPr>
            <w:r w:rsidRPr="00315936">
              <w:t>90</w:t>
            </w:r>
            <w:r w:rsidR="00A67D0D" w:rsidRPr="00315936">
              <w:t xml:space="preserve"> per cent</w:t>
            </w:r>
          </w:p>
        </w:tc>
      </w:tr>
      <w:tr w:rsidR="002E396D" w:rsidRPr="00315936" w14:paraId="7CE10BAF"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6EFE36F6" w14:textId="6A7D8D67" w:rsidR="002E396D" w:rsidRPr="00315936" w:rsidRDefault="002E396D">
            <w:pPr>
              <w:pStyle w:val="Tablecolhead"/>
              <w:rPr>
                <w:b w:val="0"/>
                <w:lang w:eastAsia="en-AU"/>
              </w:rPr>
            </w:pPr>
            <w:r w:rsidRPr="00315936">
              <w:rPr>
                <w:b w:val="0"/>
                <w:lang w:eastAsia="en-AU"/>
              </w:rPr>
              <w:t>Achieved</w:t>
            </w:r>
          </w:p>
        </w:tc>
        <w:tc>
          <w:tcPr>
            <w:tcW w:w="7512" w:type="dxa"/>
            <w:tcBorders>
              <w:left w:val="single" w:sz="6" w:space="0" w:color="000000"/>
            </w:tcBorders>
          </w:tcPr>
          <w:p w14:paraId="298F634B" w14:textId="4B8B3F47" w:rsidR="002E396D" w:rsidRPr="00315936" w:rsidRDefault="00A31FE6">
            <w:pPr>
              <w:pStyle w:val="Tabletext"/>
            </w:pPr>
            <w:r>
              <w:t>G</w:t>
            </w:r>
            <w:r w:rsidR="002E396D" w:rsidRPr="00315936">
              <w:t>reater than</w:t>
            </w:r>
            <w:r>
              <w:t xml:space="preserve"> or equal to</w:t>
            </w:r>
            <w:r w:rsidR="002E396D" w:rsidRPr="00315936">
              <w:t xml:space="preserve"> 90</w:t>
            </w:r>
            <w:r w:rsidR="00A67D0D" w:rsidRPr="00315936">
              <w:t xml:space="preserve"> per cent</w:t>
            </w:r>
          </w:p>
        </w:tc>
      </w:tr>
      <w:tr w:rsidR="002E396D" w:rsidRPr="00315936" w14:paraId="54316B48"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608A37CD" w14:textId="1E1A7F00" w:rsidR="002E396D" w:rsidRPr="00315936" w:rsidRDefault="002E396D">
            <w:pPr>
              <w:pStyle w:val="Tablecolhead"/>
              <w:rPr>
                <w:b w:val="0"/>
                <w:lang w:eastAsia="en-AU"/>
              </w:rPr>
            </w:pPr>
            <w:r w:rsidRPr="00315936">
              <w:rPr>
                <w:b w:val="0"/>
                <w:lang w:eastAsia="en-AU"/>
              </w:rPr>
              <w:t>Not achieved</w:t>
            </w:r>
          </w:p>
        </w:tc>
        <w:tc>
          <w:tcPr>
            <w:tcW w:w="7512" w:type="dxa"/>
            <w:tcBorders>
              <w:left w:val="single" w:sz="6" w:space="0" w:color="000000"/>
            </w:tcBorders>
          </w:tcPr>
          <w:p w14:paraId="318B9DCC" w14:textId="085A7664" w:rsidR="002E396D" w:rsidRPr="00315936" w:rsidRDefault="002E396D">
            <w:pPr>
              <w:pStyle w:val="Tabletext"/>
            </w:pPr>
            <w:r w:rsidRPr="00315936">
              <w:t>Less than 90</w:t>
            </w:r>
            <w:r w:rsidR="00A67D0D" w:rsidRPr="00315936">
              <w:t xml:space="preserve"> per cent</w:t>
            </w:r>
          </w:p>
        </w:tc>
      </w:tr>
      <w:tr w:rsidR="002E396D" w:rsidRPr="00315936" w14:paraId="6E5ED5DF"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4BB78AFD" w14:textId="77777777" w:rsidR="002E396D" w:rsidRPr="00315936" w:rsidRDefault="002E396D">
            <w:pPr>
              <w:pStyle w:val="Tablecolhead"/>
              <w:rPr>
                <w:b w:val="0"/>
                <w:lang w:eastAsia="en-AU"/>
              </w:rPr>
            </w:pPr>
            <w:r w:rsidRPr="00315936">
              <w:rPr>
                <w:b w:val="0"/>
                <w:lang w:eastAsia="en-AU"/>
              </w:rPr>
              <w:t>Improvement</w:t>
            </w:r>
          </w:p>
        </w:tc>
        <w:tc>
          <w:tcPr>
            <w:tcW w:w="7512" w:type="dxa"/>
            <w:tcBorders>
              <w:left w:val="single" w:sz="6" w:space="0" w:color="000000"/>
            </w:tcBorders>
          </w:tcPr>
          <w:p w14:paraId="5B5BDDF5" w14:textId="529ABDE9" w:rsidR="002E396D" w:rsidRPr="00315936" w:rsidRDefault="001F4FCB">
            <w:pPr>
              <w:pStyle w:val="Tabletext"/>
              <w:rPr>
                <w:lang w:eastAsia="en-AU"/>
              </w:rPr>
            </w:pPr>
            <w:r w:rsidRPr="00315936">
              <w:rPr>
                <w:rFonts w:eastAsia="Times"/>
              </w:rPr>
              <w:t>For the purpose of the performance risk assessment</w:t>
            </w:r>
            <w:r>
              <w:rPr>
                <w:rFonts w:eastAsia="Times"/>
              </w:rPr>
              <w:t>,</w:t>
            </w:r>
            <w:r w:rsidRPr="00315936">
              <w:rPr>
                <w:rFonts w:eastAsia="Times"/>
              </w:rPr>
              <w:t xml:space="preserve"> improvement is </w:t>
            </w:r>
            <w:r w:rsidRPr="00315936">
              <w:rPr>
                <w:rFonts w:eastAsia="MS Gothic" w:cs="Arial"/>
                <w:szCs w:val="21"/>
              </w:rPr>
              <w:t>compared to</w:t>
            </w:r>
            <w:r w:rsidRPr="00315936">
              <w:rPr>
                <w:rFonts w:eastAsia="Times"/>
              </w:rPr>
              <w:t xml:space="preserve"> previous </w:t>
            </w:r>
            <w:r>
              <w:rPr>
                <w:rFonts w:eastAsia="MS Gothic" w:cs="Arial"/>
                <w:szCs w:val="21"/>
              </w:rPr>
              <w:t>quarter</w:t>
            </w:r>
            <w:r w:rsidRPr="00315936">
              <w:rPr>
                <w:rFonts w:eastAsia="MS Gothic" w:cs="Arial"/>
                <w:szCs w:val="21"/>
              </w:rPr>
              <w:t xml:space="preserve"> </w:t>
            </w:r>
            <w:r w:rsidRPr="00315936">
              <w:rPr>
                <w:rFonts w:eastAsia="Times"/>
              </w:rPr>
              <w:t>performance</w:t>
            </w:r>
            <w:r w:rsidRPr="00315936">
              <w:rPr>
                <w:rFonts w:eastAsia="MS Gothic" w:cs="Arial"/>
                <w:szCs w:val="21"/>
              </w:rPr>
              <w:t>.</w:t>
            </w:r>
            <w:r w:rsidRPr="00315936">
              <w:rPr>
                <w:rStyle w:val="eop"/>
                <w:rFonts w:eastAsia="MS Mincho" w:cs="Arial"/>
                <w:szCs w:val="21"/>
              </w:rPr>
              <w:t> </w:t>
            </w:r>
          </w:p>
        </w:tc>
      </w:tr>
      <w:tr w:rsidR="002E396D" w:rsidRPr="00315936" w14:paraId="5B63E360"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cBorders>
            <w:shd w:val="clear" w:color="auto" w:fill="000066"/>
          </w:tcPr>
          <w:p w14:paraId="473FABFF" w14:textId="77777777" w:rsidR="002E396D" w:rsidRPr="00315936" w:rsidRDefault="002E396D">
            <w:pPr>
              <w:pStyle w:val="Tablecolhead"/>
              <w:rPr>
                <w:b w:val="0"/>
                <w:lang w:eastAsia="en-AU"/>
              </w:rPr>
            </w:pPr>
            <w:r w:rsidRPr="00315936">
              <w:rPr>
                <w:b w:val="0"/>
                <w:lang w:eastAsia="en-AU"/>
              </w:rPr>
              <w:t>Frequency of reporting and data collection</w:t>
            </w:r>
          </w:p>
        </w:tc>
        <w:tc>
          <w:tcPr>
            <w:tcW w:w="7512" w:type="dxa"/>
            <w:tcBorders>
              <w:left w:val="single" w:sz="6" w:space="0" w:color="000000"/>
            </w:tcBorders>
          </w:tcPr>
          <w:p w14:paraId="70B62356" w14:textId="12936DF8" w:rsidR="002E396D" w:rsidRPr="00315936" w:rsidRDefault="002E396D">
            <w:pPr>
              <w:pStyle w:val="Tabletext"/>
            </w:pPr>
            <w:r w:rsidRPr="00315936">
              <w:t xml:space="preserve">Performance is </w:t>
            </w:r>
            <w:r w:rsidR="003628F9" w:rsidRPr="00315936">
              <w:t xml:space="preserve">reported </w:t>
            </w:r>
            <w:r w:rsidRPr="00315936">
              <w:t>quarterly</w:t>
            </w:r>
            <w:r w:rsidR="00970179" w:rsidRPr="00315936">
              <w:t xml:space="preserve"> at </w:t>
            </w:r>
            <w:r w:rsidR="003628F9" w:rsidRPr="00315936">
              <w:t>the</w:t>
            </w:r>
            <w:r w:rsidR="00970179" w:rsidRPr="00315936">
              <w:t xml:space="preserve"> statewide level</w:t>
            </w:r>
            <w:r w:rsidRPr="00315936">
              <w:t>.</w:t>
            </w:r>
          </w:p>
          <w:p w14:paraId="167681F2" w14:textId="3CEE8269" w:rsidR="002E396D" w:rsidRPr="00315936" w:rsidRDefault="002E396D">
            <w:pPr>
              <w:pStyle w:val="Tabletext"/>
              <w:rPr>
                <w:lang w:eastAsia="en-AU"/>
              </w:rPr>
            </w:pPr>
            <w:r w:rsidRPr="00315936">
              <w:t xml:space="preserve">Data are </w:t>
            </w:r>
            <w:r w:rsidR="003628F9" w:rsidRPr="00315936">
              <w:t xml:space="preserve">sourced </w:t>
            </w:r>
            <w:r w:rsidRPr="00315936">
              <w:t>from Ambulance Victoria.</w:t>
            </w:r>
          </w:p>
        </w:tc>
      </w:tr>
    </w:tbl>
    <w:p w14:paraId="4EE94A8D" w14:textId="4AF22E15" w:rsidR="00D73EE8" w:rsidRPr="00315936" w:rsidRDefault="00D73EE8" w:rsidP="008E7F78">
      <w:pPr>
        <w:pStyle w:val="Heading4"/>
      </w:pPr>
      <w:bookmarkStart w:id="59" w:name="_Toc906868845"/>
      <w:r w:rsidRPr="00315936">
        <w:t>Percentage of major trauma patients that meet destination compliance (by 45 minutes)</w:t>
      </w:r>
      <w:bookmarkEnd w:id="59"/>
    </w:p>
    <w:tbl>
      <w:tblPr>
        <w:tblStyle w:val="TableGrid"/>
        <w:tblW w:w="9349" w:type="dxa"/>
        <w:tblLook w:val="04A0" w:firstRow="1" w:lastRow="0" w:firstColumn="1" w:lastColumn="0" w:noHBand="0" w:noVBand="1"/>
      </w:tblPr>
      <w:tblGrid>
        <w:gridCol w:w="1837"/>
        <w:gridCol w:w="7512"/>
      </w:tblGrid>
      <w:tr w:rsidR="00FD086B" w:rsidRPr="00315936" w14:paraId="1CBE2416"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cBorders>
            <w:shd w:val="clear" w:color="auto" w:fill="000066"/>
          </w:tcPr>
          <w:p w14:paraId="620604E1" w14:textId="6C5DFE7C" w:rsidR="00FD086B" w:rsidRPr="00315936" w:rsidRDefault="00C3016B" w:rsidP="001A453F">
            <w:pPr>
              <w:pStyle w:val="Tablecolhead"/>
              <w:keepNext/>
              <w:rPr>
                <w:b w:val="0"/>
                <w:lang w:eastAsia="en-AU"/>
              </w:rPr>
            </w:pPr>
            <w:r w:rsidRPr="00315936">
              <w:rPr>
                <w:b w:val="0"/>
                <w:lang w:eastAsia="en-AU"/>
              </w:rPr>
              <w:t>Measure</w:t>
            </w:r>
          </w:p>
        </w:tc>
        <w:tc>
          <w:tcPr>
            <w:tcW w:w="7512" w:type="dxa"/>
            <w:tcBorders>
              <w:left w:val="single" w:sz="6" w:space="0" w:color="000000"/>
            </w:tcBorders>
          </w:tcPr>
          <w:p w14:paraId="49B0BFE2" w14:textId="3F889CCA" w:rsidR="00FD086B" w:rsidRPr="00315936" w:rsidRDefault="00FD086B" w:rsidP="001A453F">
            <w:pPr>
              <w:pStyle w:val="Tabletext"/>
              <w:keepNext/>
              <w:rPr>
                <w:lang w:eastAsia="en-AU"/>
              </w:rPr>
            </w:pPr>
            <w:r w:rsidRPr="00315936">
              <w:t>Percentage of major trauma patients that meet destination compliance (by 45 minutes)</w:t>
            </w:r>
            <w:r w:rsidR="00C55676">
              <w:t xml:space="preserve"> </w:t>
            </w:r>
            <w:r w:rsidR="00A55D39">
              <w:fldChar w:fldCharType="begin"/>
            </w:r>
            <w:r w:rsidR="00A55D39">
              <w:instrText xml:space="preserve"> NOTEREF _Ref201303719 \f \h </w:instrText>
            </w:r>
            <w:r w:rsidR="00A55D39">
              <w:fldChar w:fldCharType="separate"/>
            </w:r>
            <w:r w:rsidR="00A55D39" w:rsidRPr="00AE0086">
              <w:rPr>
                <w:rStyle w:val="EndnoteReference"/>
              </w:rPr>
              <w:t>ix</w:t>
            </w:r>
            <w:r w:rsidR="00A55D39">
              <w:fldChar w:fldCharType="end"/>
            </w:r>
            <w:r w:rsidR="00C83969" w:rsidDel="00C83969">
              <w:t xml:space="preserve"> </w:t>
            </w:r>
          </w:p>
        </w:tc>
      </w:tr>
      <w:tr w:rsidR="00FD086B" w:rsidRPr="00315936" w14:paraId="16ADC4C8"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457B1172" w14:textId="77777777" w:rsidR="00FD086B" w:rsidRPr="00315936" w:rsidRDefault="00FD086B">
            <w:pPr>
              <w:pStyle w:val="Tablecolhead"/>
              <w:rPr>
                <w:b w:val="0"/>
                <w:lang w:eastAsia="en-AU"/>
              </w:rPr>
            </w:pPr>
            <w:r w:rsidRPr="00315936">
              <w:rPr>
                <w:b w:val="0"/>
                <w:lang w:eastAsia="en-AU"/>
              </w:rPr>
              <w:t>Description </w:t>
            </w:r>
          </w:p>
        </w:tc>
        <w:tc>
          <w:tcPr>
            <w:tcW w:w="7512" w:type="dxa"/>
            <w:tcBorders>
              <w:left w:val="single" w:sz="6" w:space="0" w:color="000000"/>
            </w:tcBorders>
          </w:tcPr>
          <w:p w14:paraId="7DF1430B" w14:textId="44C4EC63" w:rsidR="00FD086B" w:rsidRPr="00315936" w:rsidRDefault="00FD086B">
            <w:pPr>
              <w:pStyle w:val="Tabletext"/>
            </w:pPr>
            <w:r w:rsidRPr="00315936">
              <w:t>This measure</w:t>
            </w:r>
            <w:r w:rsidR="00536202">
              <w:t>s</w:t>
            </w:r>
            <w:r w:rsidRPr="00315936">
              <w:t xml:space="preserve"> ambulance response to patients </w:t>
            </w:r>
            <w:r w:rsidR="003D1E21">
              <w:t>with</w:t>
            </w:r>
            <w:r w:rsidRPr="00315936">
              <w:t xml:space="preserve"> major trauma who are transported to a major trauma service or to the highest-level designated trauma service within 45 minutes of the ambulance departing the scene.</w:t>
            </w:r>
          </w:p>
          <w:p w14:paraId="53354497" w14:textId="77777777" w:rsidR="00536202" w:rsidRPr="00315936" w:rsidRDefault="00536202" w:rsidP="00536202">
            <w:pPr>
              <w:pStyle w:val="Tabletext"/>
            </w:pPr>
            <w:r w:rsidRPr="00315936">
              <w:t>Mortality and morbidity can be reduced by effective field triage, treatment, and transport of severely injured patients to specialised trauma hospitals.</w:t>
            </w:r>
          </w:p>
          <w:p w14:paraId="2BA5E779" w14:textId="55BC79C9" w:rsidR="00FD086B" w:rsidRPr="00315936" w:rsidRDefault="00FD086B">
            <w:pPr>
              <w:pStyle w:val="Tabletext"/>
              <w:rPr>
                <w:lang w:eastAsia="en-AU"/>
              </w:rPr>
            </w:pPr>
            <w:r w:rsidRPr="00315936">
              <w:t>Major trauma patients are defined by the Victorian State Trauma Registry</w:t>
            </w:r>
            <w:r w:rsidR="00FF54EF">
              <w:t>. T</w:t>
            </w:r>
            <w:r w:rsidRPr="00315936">
              <w:t>his process relies on hospital diagnostic procedures, and in</w:t>
            </w:r>
            <w:r w:rsidR="00FF54EF">
              <w:t>-</w:t>
            </w:r>
            <w:r w:rsidRPr="00315936">
              <w:t>hospital treatment data</w:t>
            </w:r>
            <w:r w:rsidR="009B2982">
              <w:t>,</w:t>
            </w:r>
            <w:r w:rsidRPr="00315936">
              <w:t xml:space="preserve"> which causes a lag of one quarter for all data.</w:t>
            </w:r>
          </w:p>
        </w:tc>
      </w:tr>
      <w:tr w:rsidR="00FD086B" w:rsidRPr="00315936" w14:paraId="3A6BDDB9"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2362EC7F" w14:textId="77777777" w:rsidR="00FD086B" w:rsidRPr="00315936" w:rsidRDefault="00FD086B">
            <w:pPr>
              <w:pStyle w:val="Tablecolhead"/>
              <w:rPr>
                <w:b w:val="0"/>
                <w:lang w:eastAsia="en-AU"/>
              </w:rPr>
            </w:pPr>
            <w:r w:rsidRPr="00315936">
              <w:rPr>
                <w:b w:val="0"/>
                <w:lang w:eastAsia="en-AU"/>
              </w:rPr>
              <w:lastRenderedPageBreak/>
              <w:t>Calculating performance</w:t>
            </w:r>
          </w:p>
        </w:tc>
        <w:tc>
          <w:tcPr>
            <w:tcW w:w="7512" w:type="dxa"/>
            <w:tcBorders>
              <w:left w:val="single" w:sz="6" w:space="0" w:color="000000"/>
            </w:tcBorders>
          </w:tcPr>
          <w:p w14:paraId="251794B0" w14:textId="62289CE1" w:rsidR="00FD086B" w:rsidRPr="00315936" w:rsidRDefault="004D3CDB">
            <w:pPr>
              <w:pStyle w:val="Tabletext"/>
            </w:pPr>
            <w:r>
              <w:t>Excludes</w:t>
            </w:r>
            <w:r w:rsidR="00514F9F">
              <w:t xml:space="preserve"> </w:t>
            </w:r>
            <w:r w:rsidR="00FD086B" w:rsidRPr="00315936">
              <w:t>inter-hospital transports and patients not meeting the Ambulance Victoria Trauma Triage Guidelines.</w:t>
            </w:r>
          </w:p>
          <w:p w14:paraId="14AFE188" w14:textId="6127FAA7" w:rsidR="00FD086B" w:rsidRPr="00315936" w:rsidRDefault="00FD086B">
            <w:pPr>
              <w:pStyle w:val="Tabletext"/>
              <w:rPr>
                <w:lang w:eastAsia="en-AU"/>
              </w:rPr>
            </w:pPr>
            <w:r w:rsidRPr="00315936">
              <w:t xml:space="preserve">This </w:t>
            </w:r>
            <w:r w:rsidR="00C3016B" w:rsidRPr="00315936">
              <w:t>measure</w:t>
            </w:r>
            <w:r w:rsidRPr="00315936">
              <w:t xml:space="preserve"> is expressed as a percentage to one decimal place.</w:t>
            </w:r>
          </w:p>
        </w:tc>
      </w:tr>
      <w:tr w:rsidR="00FD086B" w:rsidRPr="00315936" w14:paraId="54A0650D"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5725C857" w14:textId="77777777" w:rsidR="00FD086B" w:rsidRPr="00315936" w:rsidRDefault="00FD086B">
            <w:pPr>
              <w:pStyle w:val="Tablecolhead"/>
              <w:rPr>
                <w:b w:val="0"/>
                <w:lang w:eastAsia="en-AU"/>
              </w:rPr>
            </w:pPr>
            <w:r w:rsidRPr="00315936">
              <w:rPr>
                <w:b w:val="0"/>
                <w:lang w:eastAsia="en-AU"/>
              </w:rPr>
              <w:t>Numerator</w:t>
            </w:r>
          </w:p>
        </w:tc>
        <w:tc>
          <w:tcPr>
            <w:tcW w:w="7512" w:type="dxa"/>
            <w:tcBorders>
              <w:left w:val="single" w:sz="6" w:space="0" w:color="000000"/>
            </w:tcBorders>
          </w:tcPr>
          <w:p w14:paraId="5F838C0B" w14:textId="186F3BD4" w:rsidR="00FD086B" w:rsidRPr="00315936" w:rsidRDefault="00B116D0">
            <w:pPr>
              <w:pStyle w:val="Tabletext"/>
              <w:rPr>
                <w:lang w:eastAsia="en-AU"/>
              </w:rPr>
            </w:pPr>
            <w:r>
              <w:t>N</w:t>
            </w:r>
            <w:r w:rsidR="00FD086B" w:rsidRPr="00315936">
              <w:t>umber of major trauma patients transported to a major trauma service or to the highest-level designated trauma service within 45 minutes travel time (from scene</w:t>
            </w:r>
            <w:r w:rsidR="009B2982">
              <w:t xml:space="preserve"> departure</w:t>
            </w:r>
            <w:r w:rsidR="00FD086B" w:rsidRPr="00315936">
              <w:t>)</w:t>
            </w:r>
          </w:p>
        </w:tc>
      </w:tr>
      <w:tr w:rsidR="00FD086B" w:rsidRPr="00315936" w14:paraId="141ABFB9"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28518282" w14:textId="77777777" w:rsidR="00FD086B" w:rsidRPr="00315936" w:rsidRDefault="00FD086B">
            <w:pPr>
              <w:pStyle w:val="Tablecolhead"/>
              <w:rPr>
                <w:b w:val="0"/>
                <w:lang w:eastAsia="en-AU"/>
              </w:rPr>
            </w:pPr>
            <w:r w:rsidRPr="00315936">
              <w:rPr>
                <w:b w:val="0"/>
                <w:lang w:eastAsia="en-AU"/>
              </w:rPr>
              <w:t>Denominator</w:t>
            </w:r>
          </w:p>
        </w:tc>
        <w:tc>
          <w:tcPr>
            <w:tcW w:w="7512" w:type="dxa"/>
            <w:tcBorders>
              <w:left w:val="single" w:sz="6" w:space="0" w:color="000000"/>
            </w:tcBorders>
          </w:tcPr>
          <w:p w14:paraId="5A088673" w14:textId="17C749CE" w:rsidR="00FD086B" w:rsidRPr="00315936" w:rsidRDefault="00FD086B">
            <w:pPr>
              <w:pStyle w:val="Tabletext"/>
              <w:rPr>
                <w:lang w:eastAsia="en-AU"/>
              </w:rPr>
            </w:pPr>
            <w:r w:rsidRPr="00315936">
              <w:t xml:space="preserve">Number of patients </w:t>
            </w:r>
            <w:r w:rsidR="00EF2837">
              <w:t>with</w:t>
            </w:r>
            <w:r w:rsidRPr="00315936">
              <w:t xml:space="preserve"> major trauma</w:t>
            </w:r>
            <w:r w:rsidR="00A96D33">
              <w:t xml:space="preserve"> as per the </w:t>
            </w:r>
            <w:r w:rsidR="00EB4AA0">
              <w:t>Ambulance Victoria Trauma Triage Guidelines.</w:t>
            </w:r>
          </w:p>
        </w:tc>
      </w:tr>
      <w:tr w:rsidR="00FD086B" w:rsidRPr="00315936" w14:paraId="1B403325"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6139DCCB" w14:textId="77777777" w:rsidR="00FD086B" w:rsidRPr="00315936" w:rsidRDefault="00FD086B">
            <w:pPr>
              <w:pStyle w:val="Tablecolhead"/>
              <w:rPr>
                <w:b w:val="0"/>
                <w:lang w:eastAsia="en-AU"/>
              </w:rPr>
            </w:pPr>
            <w:r w:rsidRPr="00315936">
              <w:rPr>
                <w:b w:val="0"/>
                <w:lang w:eastAsia="en-AU"/>
              </w:rPr>
              <w:t>Statewide target</w:t>
            </w:r>
          </w:p>
        </w:tc>
        <w:tc>
          <w:tcPr>
            <w:tcW w:w="7512" w:type="dxa"/>
            <w:tcBorders>
              <w:left w:val="single" w:sz="6" w:space="0" w:color="000000"/>
            </w:tcBorders>
          </w:tcPr>
          <w:p w14:paraId="03D8479E" w14:textId="481EB4C7" w:rsidR="00FD086B" w:rsidRPr="00315936" w:rsidRDefault="00FD086B">
            <w:pPr>
              <w:pStyle w:val="Tabletext"/>
              <w:rPr>
                <w:lang w:eastAsia="en-AU"/>
              </w:rPr>
            </w:pPr>
            <w:r w:rsidRPr="00315936">
              <w:t>85</w:t>
            </w:r>
            <w:r w:rsidR="00A67D0D" w:rsidRPr="00315936">
              <w:t xml:space="preserve"> per cent</w:t>
            </w:r>
          </w:p>
        </w:tc>
      </w:tr>
      <w:tr w:rsidR="00FD086B" w:rsidRPr="00315936" w14:paraId="68ACA748"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566E24F6" w14:textId="0D7D3BA1" w:rsidR="00FD086B" w:rsidRPr="00315936" w:rsidRDefault="00FD086B">
            <w:pPr>
              <w:pStyle w:val="Tablecolhead"/>
              <w:rPr>
                <w:b w:val="0"/>
                <w:lang w:eastAsia="en-AU"/>
              </w:rPr>
            </w:pPr>
            <w:r w:rsidRPr="00315936">
              <w:rPr>
                <w:b w:val="0"/>
                <w:lang w:eastAsia="en-AU"/>
              </w:rPr>
              <w:t>Achieved</w:t>
            </w:r>
          </w:p>
        </w:tc>
        <w:tc>
          <w:tcPr>
            <w:tcW w:w="7512" w:type="dxa"/>
            <w:tcBorders>
              <w:left w:val="single" w:sz="6" w:space="0" w:color="000000"/>
            </w:tcBorders>
          </w:tcPr>
          <w:p w14:paraId="5A8CDAA4" w14:textId="2F28151E" w:rsidR="00FD086B" w:rsidRPr="00315936" w:rsidRDefault="00A31FE6">
            <w:pPr>
              <w:pStyle w:val="Tabletext"/>
            </w:pPr>
            <w:r>
              <w:t>G</w:t>
            </w:r>
            <w:r w:rsidR="00FD086B" w:rsidRPr="00315936">
              <w:t>reater than</w:t>
            </w:r>
            <w:r>
              <w:t xml:space="preserve"> or equal to</w:t>
            </w:r>
            <w:r w:rsidR="00FD086B" w:rsidRPr="00315936">
              <w:t xml:space="preserve"> 85</w:t>
            </w:r>
            <w:r w:rsidR="00A67D0D" w:rsidRPr="00315936">
              <w:t xml:space="preserve"> per cent</w:t>
            </w:r>
          </w:p>
        </w:tc>
      </w:tr>
      <w:tr w:rsidR="00FD086B" w:rsidRPr="00315936" w14:paraId="0195D5FC"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429A6FF7" w14:textId="74FEA02C" w:rsidR="00FD086B" w:rsidRPr="00315936" w:rsidRDefault="00FD086B">
            <w:pPr>
              <w:pStyle w:val="Tablecolhead"/>
              <w:rPr>
                <w:b w:val="0"/>
                <w:lang w:eastAsia="en-AU"/>
              </w:rPr>
            </w:pPr>
            <w:r w:rsidRPr="00315936">
              <w:rPr>
                <w:b w:val="0"/>
                <w:lang w:eastAsia="en-AU"/>
              </w:rPr>
              <w:t>Not achieved</w:t>
            </w:r>
          </w:p>
        </w:tc>
        <w:tc>
          <w:tcPr>
            <w:tcW w:w="7512" w:type="dxa"/>
            <w:tcBorders>
              <w:left w:val="single" w:sz="6" w:space="0" w:color="000000"/>
            </w:tcBorders>
          </w:tcPr>
          <w:p w14:paraId="39C62568" w14:textId="5A13585D" w:rsidR="00FD086B" w:rsidRPr="00315936" w:rsidRDefault="00FD086B">
            <w:pPr>
              <w:pStyle w:val="Tabletext"/>
            </w:pPr>
            <w:r w:rsidRPr="00315936">
              <w:t>Less than 85</w:t>
            </w:r>
            <w:r w:rsidR="00A67D0D" w:rsidRPr="00315936">
              <w:t xml:space="preserve"> per cent</w:t>
            </w:r>
          </w:p>
        </w:tc>
      </w:tr>
      <w:tr w:rsidR="00FD086B" w:rsidRPr="00315936" w14:paraId="7188F827"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cBorders>
            <w:shd w:val="clear" w:color="auto" w:fill="000066"/>
          </w:tcPr>
          <w:p w14:paraId="500AC203" w14:textId="77777777" w:rsidR="00FD086B" w:rsidRPr="00315936" w:rsidRDefault="00FD086B">
            <w:pPr>
              <w:pStyle w:val="Tablecolhead"/>
              <w:rPr>
                <w:b w:val="0"/>
                <w:lang w:eastAsia="en-AU"/>
              </w:rPr>
            </w:pPr>
            <w:r w:rsidRPr="00315936">
              <w:rPr>
                <w:b w:val="0"/>
                <w:lang w:eastAsia="en-AU"/>
              </w:rPr>
              <w:t>Improvement</w:t>
            </w:r>
          </w:p>
        </w:tc>
        <w:tc>
          <w:tcPr>
            <w:tcW w:w="7512" w:type="dxa"/>
            <w:tcBorders>
              <w:left w:val="single" w:sz="6" w:space="0" w:color="000000"/>
            </w:tcBorders>
          </w:tcPr>
          <w:p w14:paraId="47C1D158" w14:textId="29E487F3" w:rsidR="00FD086B" w:rsidRPr="00315936" w:rsidRDefault="001F4FCB">
            <w:pPr>
              <w:pStyle w:val="Tabletext"/>
              <w:rPr>
                <w:lang w:eastAsia="en-AU"/>
              </w:rPr>
            </w:pPr>
            <w:r>
              <w:rPr>
                <w:rFonts w:eastAsia="MS Gothic" w:cs="Arial"/>
                <w:szCs w:val="21"/>
              </w:rPr>
              <w:t>For the purpose of the performance risk assessment, i</w:t>
            </w:r>
            <w:r w:rsidRPr="00315936">
              <w:rPr>
                <w:rFonts w:eastAsia="MS Gothic" w:cs="Arial"/>
                <w:szCs w:val="21"/>
              </w:rPr>
              <w:t>mprovement</w:t>
            </w:r>
            <w:r w:rsidRPr="00315936">
              <w:rPr>
                <w:rFonts w:eastAsia="MS Gothic"/>
              </w:rPr>
              <w:t xml:space="preserve"> is compared to previous quarter performance.</w:t>
            </w:r>
            <w:r w:rsidRPr="00315936">
              <w:rPr>
                <w:rStyle w:val="eop"/>
                <w:rFonts w:eastAsia="MS Mincho" w:cs="Arial"/>
                <w:szCs w:val="21"/>
              </w:rPr>
              <w:t> </w:t>
            </w:r>
          </w:p>
        </w:tc>
      </w:tr>
      <w:tr w:rsidR="00FD086B" w:rsidRPr="00315936" w14:paraId="754B2AF4"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cBorders>
            <w:shd w:val="clear" w:color="auto" w:fill="000066"/>
          </w:tcPr>
          <w:p w14:paraId="2EA4F28B" w14:textId="77777777" w:rsidR="00FD086B" w:rsidRPr="00315936" w:rsidRDefault="00FD086B">
            <w:pPr>
              <w:pStyle w:val="Tablecolhead"/>
              <w:rPr>
                <w:b w:val="0"/>
                <w:lang w:eastAsia="en-AU"/>
              </w:rPr>
            </w:pPr>
            <w:r w:rsidRPr="00315936">
              <w:rPr>
                <w:b w:val="0"/>
                <w:lang w:eastAsia="en-AU"/>
              </w:rPr>
              <w:t>Frequency of reporting and data collection</w:t>
            </w:r>
          </w:p>
        </w:tc>
        <w:tc>
          <w:tcPr>
            <w:tcW w:w="7512" w:type="dxa"/>
            <w:tcBorders>
              <w:left w:val="single" w:sz="6" w:space="0" w:color="000000"/>
            </w:tcBorders>
          </w:tcPr>
          <w:p w14:paraId="08F99A70" w14:textId="5AC87434" w:rsidR="00FD086B" w:rsidRPr="00315936" w:rsidRDefault="00FD086B">
            <w:pPr>
              <w:pStyle w:val="Tabletext"/>
            </w:pPr>
            <w:r w:rsidRPr="00315936">
              <w:t>Performance is</w:t>
            </w:r>
            <w:r w:rsidR="003628F9" w:rsidRPr="00315936">
              <w:t xml:space="preserve"> reported</w:t>
            </w:r>
            <w:r w:rsidRPr="00315936">
              <w:t xml:space="preserve"> quarterly</w:t>
            </w:r>
            <w:r w:rsidR="00970179" w:rsidRPr="00315936">
              <w:t xml:space="preserve"> at </w:t>
            </w:r>
            <w:r w:rsidR="00EC271E" w:rsidRPr="00315936">
              <w:t>the</w:t>
            </w:r>
            <w:r w:rsidR="00970179" w:rsidRPr="00315936">
              <w:t xml:space="preserve"> statewide level</w:t>
            </w:r>
            <w:r w:rsidR="00EF2837">
              <w:t>.</w:t>
            </w:r>
          </w:p>
          <w:p w14:paraId="6AA6694A" w14:textId="77777777" w:rsidR="00FD086B" w:rsidRPr="00315936" w:rsidRDefault="00FD086B">
            <w:pPr>
              <w:pStyle w:val="Tabletext"/>
            </w:pPr>
            <w:r w:rsidRPr="00315936">
              <w:t>Reported data are lagged by one quarter.</w:t>
            </w:r>
          </w:p>
          <w:p w14:paraId="0D223B57" w14:textId="02AE1CBD" w:rsidR="00FD086B" w:rsidRPr="00315936" w:rsidRDefault="00FD086B">
            <w:pPr>
              <w:pStyle w:val="Tabletext"/>
              <w:rPr>
                <w:lang w:eastAsia="en-AU"/>
              </w:rPr>
            </w:pPr>
            <w:r w:rsidRPr="00315936">
              <w:t xml:space="preserve">Data are </w:t>
            </w:r>
            <w:r w:rsidR="00EC271E" w:rsidRPr="00315936">
              <w:t xml:space="preserve">sourced </w:t>
            </w:r>
            <w:r w:rsidRPr="00315936">
              <w:t>from Ambulance Victoria.</w:t>
            </w:r>
          </w:p>
        </w:tc>
      </w:tr>
    </w:tbl>
    <w:p w14:paraId="00BA042C" w14:textId="37D46BA4" w:rsidR="00D73EE8" w:rsidRPr="00315936" w:rsidRDefault="00FB02CA" w:rsidP="008E7F78">
      <w:pPr>
        <w:pStyle w:val="Heading4"/>
      </w:pPr>
      <w:bookmarkStart w:id="60" w:name="_Toc901883310"/>
      <w:r w:rsidRPr="00315936">
        <w:t>Percentage of adult cardiac arrest patients surviving to hospital</w:t>
      </w:r>
      <w:bookmarkEnd w:id="60"/>
    </w:p>
    <w:tbl>
      <w:tblPr>
        <w:tblStyle w:val="TableGrid"/>
        <w:tblW w:w="9349" w:type="dxa"/>
        <w:tblLook w:val="04A0" w:firstRow="1" w:lastRow="0" w:firstColumn="1" w:lastColumn="0" w:noHBand="0" w:noVBand="1"/>
      </w:tblPr>
      <w:tblGrid>
        <w:gridCol w:w="1837"/>
        <w:gridCol w:w="7512"/>
      </w:tblGrid>
      <w:tr w:rsidR="00121D23" w:rsidRPr="00315936" w14:paraId="457A42A5"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473B9273" w14:textId="6A4E68EE" w:rsidR="00121D23"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536E31D3" w14:textId="7ACF8788" w:rsidR="00121D23" w:rsidRPr="00AC34D9" w:rsidRDefault="00121D23">
            <w:pPr>
              <w:pStyle w:val="Tabletext"/>
            </w:pPr>
            <w:r w:rsidRPr="00315936">
              <w:t>Percentage of adult cardiac arrest patients surviving to hospital</w:t>
            </w:r>
            <w:r w:rsidR="00876388">
              <w:t xml:space="preserve"> </w:t>
            </w:r>
            <w:r w:rsidR="00A55D39">
              <w:fldChar w:fldCharType="begin"/>
            </w:r>
            <w:r w:rsidR="00A55D39">
              <w:instrText xml:space="preserve"> NOTEREF _Ref201303719 \f \h </w:instrText>
            </w:r>
            <w:r w:rsidR="00A55D39">
              <w:fldChar w:fldCharType="separate"/>
            </w:r>
            <w:r w:rsidR="00A55D39" w:rsidRPr="00AE0086">
              <w:rPr>
                <w:rStyle w:val="EndnoteReference"/>
              </w:rPr>
              <w:t>ix</w:t>
            </w:r>
            <w:r w:rsidR="00A55D39">
              <w:fldChar w:fldCharType="end"/>
            </w:r>
          </w:p>
        </w:tc>
      </w:tr>
      <w:tr w:rsidR="00121D23" w:rsidRPr="00315936" w14:paraId="0DE7FBE3"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7E5B895B" w14:textId="77777777" w:rsidR="00121D23" w:rsidRPr="00315936" w:rsidRDefault="00121D23">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69611F6E" w14:textId="2C6ADF45" w:rsidR="00121D23" w:rsidRPr="00315936" w:rsidRDefault="00121D23">
            <w:pPr>
              <w:pStyle w:val="Tabletext"/>
            </w:pPr>
            <w:r w:rsidRPr="00315936">
              <w:t>The cardiac arrest survival</w:t>
            </w:r>
            <w:r w:rsidR="005E05BD">
              <w:t>-</w:t>
            </w:r>
            <w:r w:rsidRPr="00315936">
              <w:t>to</w:t>
            </w:r>
            <w:r w:rsidR="005E05BD">
              <w:t>-</w:t>
            </w:r>
            <w:r w:rsidRPr="00315936">
              <w:t xml:space="preserve">hospital rate </w:t>
            </w:r>
            <w:r w:rsidR="00C709DD">
              <w:t>is measured as</w:t>
            </w:r>
            <w:r w:rsidR="00C709DD" w:rsidRPr="00315936">
              <w:t xml:space="preserve"> </w:t>
            </w:r>
            <w:r w:rsidRPr="00315936">
              <w:t xml:space="preserve">the percentage of adult patients in out-of-hospital cardiac arrest </w:t>
            </w:r>
            <w:r w:rsidR="004B0FFE">
              <w:t>who</w:t>
            </w:r>
            <w:r w:rsidRPr="00315936">
              <w:t xml:space="preserve"> initially present in a shockable rhythm where any chest compressions and/or defibrillation was undertaken by ambulance/EMS (fire brigade first responders, community emergency response teams or ambulance) or where defibrillation was performed by a public access defibrillator (PAD) and who have a return to spontaneous circulation (palpable pulse) on arrival at hospital.</w:t>
            </w:r>
          </w:p>
          <w:p w14:paraId="63534E19" w14:textId="45F5474F" w:rsidR="00121D23" w:rsidRPr="00315936" w:rsidRDefault="00B06F08" w:rsidP="00F4516D">
            <w:pPr>
              <w:pStyle w:val="Tabletext"/>
              <w:rPr>
                <w:lang w:eastAsia="en-AU"/>
              </w:rPr>
            </w:pPr>
            <w:r w:rsidRPr="00315936">
              <w:t>Cardiac arrest survival is strongly impacted by Emergency Medical Services (EMS) response times, clinical interventions, and treatments.</w:t>
            </w:r>
          </w:p>
        </w:tc>
      </w:tr>
      <w:tr w:rsidR="00121D23" w:rsidRPr="00315936" w14:paraId="4E0CAC4D"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7B6EF09" w14:textId="77777777" w:rsidR="00121D23" w:rsidRPr="00315936" w:rsidRDefault="00121D23">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591EE50C" w14:textId="0E14E558" w:rsidR="00F4516D" w:rsidRDefault="00F4516D">
            <w:pPr>
              <w:pStyle w:val="Tabletext"/>
            </w:pPr>
            <w:r w:rsidRPr="00315936">
              <w:t>Data are collected and reported according to the internationally recognised Utstein template and definitions.</w:t>
            </w:r>
          </w:p>
          <w:p w14:paraId="5FFCEF41" w14:textId="03B51E34" w:rsidR="00121D23" w:rsidRPr="00315936" w:rsidRDefault="00576A0C">
            <w:pPr>
              <w:pStyle w:val="Tabletext"/>
            </w:pPr>
            <w:r>
              <w:t>I</w:t>
            </w:r>
            <w:r w:rsidR="00504A1B">
              <w:t>ncludes</w:t>
            </w:r>
            <w:r w:rsidR="00121D23">
              <w:t xml:space="preserve"> adult patients </w:t>
            </w:r>
            <w:r w:rsidR="00504A1B">
              <w:t xml:space="preserve">(15 years or older) </w:t>
            </w:r>
            <w:r w:rsidR="00121D23">
              <w:t xml:space="preserve">who are in </w:t>
            </w:r>
            <w:r w:rsidR="00504A1B">
              <w:t>ventricular fibrillation or pulseless ventricular tachycardia (</w:t>
            </w:r>
            <w:r w:rsidR="00121D23">
              <w:t>VF/VT</w:t>
            </w:r>
            <w:r w:rsidR="00504A1B">
              <w:t>)</w:t>
            </w:r>
            <w:r w:rsidR="00121D23">
              <w:t xml:space="preserve"> on EMS arrival for whom resuscitation is commenced </w:t>
            </w:r>
            <w:r w:rsidR="00504A1B">
              <w:t xml:space="preserve">(minimum is cardiopulmonary resuscitation) </w:t>
            </w:r>
            <w:r w:rsidR="00121D23">
              <w:t>by EMS</w:t>
            </w:r>
            <w:r w:rsidR="00607A8F">
              <w:t xml:space="preserve"> </w:t>
            </w:r>
            <w:r w:rsidR="00121D23">
              <w:t>or patients defibrillated by PAD.</w:t>
            </w:r>
          </w:p>
          <w:p w14:paraId="0573794B" w14:textId="18A070AD" w:rsidR="00121D23" w:rsidRPr="00315936" w:rsidRDefault="00C527C3">
            <w:pPr>
              <w:pStyle w:val="Tabletext"/>
            </w:pPr>
            <w:r>
              <w:t>Excludes c</w:t>
            </w:r>
            <w:r w:rsidR="00121D23" w:rsidRPr="00315936">
              <w:t>ardiac arrests witnessed by EMS and patients where vital signs at hospital are unknown</w:t>
            </w:r>
            <w:r>
              <w:t>.</w:t>
            </w:r>
          </w:p>
          <w:p w14:paraId="3A00DC35" w14:textId="4104E3C4" w:rsidR="00121D23" w:rsidRPr="00315936" w:rsidRDefault="00121D23">
            <w:pPr>
              <w:pStyle w:val="Tabletext"/>
              <w:rPr>
                <w:lang w:eastAsia="en-AU"/>
              </w:rPr>
            </w:pPr>
            <w:r w:rsidRPr="00315936">
              <w:t xml:space="preserve">This </w:t>
            </w:r>
            <w:r w:rsidR="00C3016B" w:rsidRPr="00315936">
              <w:t>measure</w:t>
            </w:r>
            <w:r w:rsidRPr="00315936">
              <w:t xml:space="preserve"> is expressed as a percentage to one decimal place.</w:t>
            </w:r>
          </w:p>
        </w:tc>
      </w:tr>
      <w:tr w:rsidR="00121D23" w:rsidRPr="00315936" w14:paraId="795271DE"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73AF803" w14:textId="77777777" w:rsidR="00121D23" w:rsidRPr="00315936" w:rsidRDefault="00121D23">
            <w:pPr>
              <w:pStyle w:val="Tablecolhead"/>
              <w:rPr>
                <w:b w:val="0"/>
                <w:lang w:eastAsia="en-AU"/>
              </w:rPr>
            </w:pPr>
            <w:r w:rsidRPr="00315936">
              <w:rPr>
                <w:b w:val="0"/>
                <w:lang w:eastAsia="en-AU"/>
              </w:rPr>
              <w:t>Numerator</w:t>
            </w:r>
          </w:p>
        </w:tc>
        <w:tc>
          <w:tcPr>
            <w:tcW w:w="7512" w:type="dxa"/>
            <w:tcBorders>
              <w:left w:val="single" w:sz="6" w:space="0" w:color="000000" w:themeColor="text1"/>
            </w:tcBorders>
          </w:tcPr>
          <w:p w14:paraId="0C497677" w14:textId="77777777" w:rsidR="00121D23" w:rsidRPr="00315936" w:rsidRDefault="00121D23">
            <w:pPr>
              <w:pStyle w:val="Tabletext"/>
              <w:rPr>
                <w:lang w:eastAsia="en-AU"/>
              </w:rPr>
            </w:pPr>
            <w:r w:rsidRPr="00315936">
              <w:t xml:space="preserve">The number of adult VF/VT cardiac arrest patients with a palpable pulse on arrival at hospital </w:t>
            </w:r>
          </w:p>
        </w:tc>
      </w:tr>
      <w:tr w:rsidR="00121D23" w:rsidRPr="00315936" w14:paraId="23A3334C"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AE74C27" w14:textId="77777777" w:rsidR="00121D23" w:rsidRPr="00315936" w:rsidRDefault="00121D23">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466173C5" w14:textId="26C700F7" w:rsidR="00121D23" w:rsidRPr="00315936" w:rsidRDefault="00121D23">
            <w:pPr>
              <w:pStyle w:val="Tabletext"/>
              <w:rPr>
                <w:lang w:eastAsia="en-AU"/>
              </w:rPr>
            </w:pPr>
            <w:r w:rsidRPr="00315936">
              <w:t xml:space="preserve">The total number of </w:t>
            </w:r>
            <w:r w:rsidR="008023A1">
              <w:t xml:space="preserve">in-scope </w:t>
            </w:r>
            <w:r w:rsidRPr="00315936">
              <w:t xml:space="preserve">adult VF/VT cardiac arrest patients </w:t>
            </w:r>
          </w:p>
        </w:tc>
      </w:tr>
      <w:tr w:rsidR="00121D23" w:rsidRPr="00315936" w14:paraId="3D5C1E82"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6F39F35" w14:textId="77777777" w:rsidR="00121D23" w:rsidRPr="00315936" w:rsidRDefault="00121D23">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0B2FA1BA" w14:textId="50378A4B" w:rsidR="00121D23" w:rsidRPr="00315936" w:rsidRDefault="00121D23">
            <w:pPr>
              <w:pStyle w:val="Tabletext"/>
              <w:rPr>
                <w:lang w:eastAsia="en-AU"/>
              </w:rPr>
            </w:pPr>
            <w:r w:rsidRPr="00315936">
              <w:t>50</w:t>
            </w:r>
            <w:r w:rsidR="00A67D0D" w:rsidRPr="00315936">
              <w:t xml:space="preserve"> per cent</w:t>
            </w:r>
          </w:p>
        </w:tc>
      </w:tr>
      <w:tr w:rsidR="00121D23" w:rsidRPr="00315936" w14:paraId="60DB92D4"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A06AB74" w14:textId="784E06EB" w:rsidR="00121D23" w:rsidRPr="00315936" w:rsidRDefault="00121D23">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0CEC5091" w14:textId="65B8B6F0" w:rsidR="00121D23" w:rsidRPr="00315936" w:rsidRDefault="00A31FE6">
            <w:pPr>
              <w:pStyle w:val="Tabletext"/>
            </w:pPr>
            <w:r>
              <w:t>G</w:t>
            </w:r>
            <w:r w:rsidR="00121D23" w:rsidRPr="00315936">
              <w:t>reater than</w:t>
            </w:r>
            <w:r>
              <w:t xml:space="preserve"> or equal</w:t>
            </w:r>
            <w:r w:rsidR="00121D23" w:rsidRPr="00315936">
              <w:t xml:space="preserve"> 50</w:t>
            </w:r>
            <w:r w:rsidR="00A67D0D" w:rsidRPr="00315936">
              <w:t xml:space="preserve"> per cent</w:t>
            </w:r>
          </w:p>
        </w:tc>
      </w:tr>
      <w:tr w:rsidR="00121D23" w:rsidRPr="00315936" w14:paraId="1170A254"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29CCC25" w14:textId="0A71CB05" w:rsidR="00121D23" w:rsidRPr="00315936" w:rsidRDefault="00121D23">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34508E52" w14:textId="4A8FCD61" w:rsidR="00121D23" w:rsidRPr="00315936" w:rsidRDefault="00121D23">
            <w:pPr>
              <w:pStyle w:val="Tabletext"/>
            </w:pPr>
            <w:r w:rsidRPr="00315936">
              <w:t>Less than 50</w:t>
            </w:r>
            <w:r w:rsidR="00A67D0D" w:rsidRPr="00315936">
              <w:t xml:space="preserve"> per cent</w:t>
            </w:r>
          </w:p>
        </w:tc>
      </w:tr>
      <w:tr w:rsidR="00121D23" w:rsidRPr="00315936" w14:paraId="655BD75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BD2724A" w14:textId="77777777" w:rsidR="00121D23" w:rsidRPr="00315936" w:rsidRDefault="00121D23">
            <w:pPr>
              <w:pStyle w:val="Tablecolhead"/>
              <w:rPr>
                <w:b w:val="0"/>
                <w:lang w:eastAsia="en-AU"/>
              </w:rPr>
            </w:pPr>
            <w:r w:rsidRPr="00315936">
              <w:rPr>
                <w:b w:val="0"/>
                <w:lang w:eastAsia="en-AU"/>
              </w:rPr>
              <w:lastRenderedPageBreak/>
              <w:t>Improvement</w:t>
            </w:r>
          </w:p>
        </w:tc>
        <w:tc>
          <w:tcPr>
            <w:tcW w:w="7512" w:type="dxa"/>
            <w:tcBorders>
              <w:left w:val="single" w:sz="6" w:space="0" w:color="000000" w:themeColor="text1"/>
            </w:tcBorders>
          </w:tcPr>
          <w:p w14:paraId="13775DF2" w14:textId="3FB9BEC1" w:rsidR="00121D23" w:rsidRPr="00315936" w:rsidRDefault="005620CE">
            <w:pPr>
              <w:pStyle w:val="Tabletext"/>
              <w:rPr>
                <w:lang w:eastAsia="en-AU"/>
              </w:rPr>
            </w:pPr>
            <w:r>
              <w:rPr>
                <w:rFonts w:eastAsia="MS Gothic" w:cs="Arial"/>
                <w:szCs w:val="21"/>
              </w:rPr>
              <w:t>For the purpose of the performance risk assessment, i</w:t>
            </w:r>
            <w:r w:rsidRPr="00315936">
              <w:rPr>
                <w:rFonts w:eastAsia="MS Gothic" w:cs="Arial"/>
                <w:szCs w:val="21"/>
              </w:rPr>
              <w:t>mprovement</w:t>
            </w:r>
            <w:r w:rsidRPr="00315936">
              <w:rPr>
                <w:rFonts w:eastAsia="MS Gothic"/>
              </w:rPr>
              <w:t xml:space="preserve"> is compared to previous quarter performance.</w:t>
            </w:r>
            <w:r w:rsidRPr="00315936">
              <w:rPr>
                <w:rStyle w:val="eop"/>
                <w:rFonts w:eastAsia="MS Mincho" w:cs="Arial"/>
                <w:szCs w:val="21"/>
              </w:rPr>
              <w:t> </w:t>
            </w:r>
          </w:p>
        </w:tc>
      </w:tr>
      <w:tr w:rsidR="00121D23" w:rsidRPr="00315936" w14:paraId="55660B66"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0F60266E" w14:textId="77777777" w:rsidR="00121D23" w:rsidRPr="00315936" w:rsidRDefault="00121D23">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76AF01EE" w14:textId="66F640D5" w:rsidR="00121D23" w:rsidRPr="00315936" w:rsidRDefault="00121D23">
            <w:pPr>
              <w:pStyle w:val="Tabletext"/>
            </w:pPr>
            <w:r w:rsidRPr="00315936">
              <w:t>Performance is</w:t>
            </w:r>
            <w:r w:rsidR="007823B2" w:rsidRPr="00315936">
              <w:t xml:space="preserve"> </w:t>
            </w:r>
            <w:r w:rsidR="00EC271E" w:rsidRPr="00315936">
              <w:t>reported</w:t>
            </w:r>
            <w:r w:rsidRPr="00315936">
              <w:t xml:space="preserve"> quarterly </w:t>
            </w:r>
            <w:r w:rsidR="00DA0D62" w:rsidRPr="00315936">
              <w:t>(</w:t>
            </w:r>
            <w:r w:rsidRPr="00315936">
              <w:t>using 12-month rolling percentages due to small sample sizes</w:t>
            </w:r>
            <w:r w:rsidR="00DA0D62" w:rsidRPr="00315936">
              <w:t>) at the statewide level</w:t>
            </w:r>
            <w:r w:rsidR="005B0ACE">
              <w:t>.</w:t>
            </w:r>
          </w:p>
          <w:p w14:paraId="32E9FB9A" w14:textId="65976DDD" w:rsidR="00121D23" w:rsidRPr="00315936" w:rsidRDefault="00121D23">
            <w:pPr>
              <w:pStyle w:val="Tabletext"/>
              <w:rPr>
                <w:lang w:eastAsia="en-AU"/>
              </w:rPr>
            </w:pPr>
            <w:r w:rsidRPr="00315936">
              <w:t xml:space="preserve">Data are </w:t>
            </w:r>
            <w:r w:rsidR="007823B2" w:rsidRPr="00315936">
              <w:t xml:space="preserve">sourced </w:t>
            </w:r>
            <w:r w:rsidRPr="00315936">
              <w:t>from Ambulance Victoria</w:t>
            </w:r>
            <w:r w:rsidR="003E43B1">
              <w:t>.</w:t>
            </w:r>
          </w:p>
        </w:tc>
      </w:tr>
    </w:tbl>
    <w:p w14:paraId="7BE13426" w14:textId="729A8D61" w:rsidR="00FB02CA" w:rsidRPr="00315936" w:rsidRDefault="00A5693F" w:rsidP="008E7F78">
      <w:pPr>
        <w:pStyle w:val="Heading4"/>
      </w:pPr>
      <w:bookmarkStart w:id="61" w:name="_Toc1546369743"/>
      <w:r w:rsidRPr="00315936">
        <w:t>Percentage of adult cardiac arrest patients surviving to hospital discharge</w:t>
      </w:r>
      <w:bookmarkEnd w:id="61"/>
    </w:p>
    <w:tbl>
      <w:tblPr>
        <w:tblStyle w:val="TableGrid"/>
        <w:tblW w:w="9349" w:type="dxa"/>
        <w:tblLook w:val="04A0" w:firstRow="1" w:lastRow="0" w:firstColumn="1" w:lastColumn="0" w:noHBand="0" w:noVBand="1"/>
      </w:tblPr>
      <w:tblGrid>
        <w:gridCol w:w="1837"/>
        <w:gridCol w:w="7512"/>
      </w:tblGrid>
      <w:tr w:rsidR="003914B2" w:rsidRPr="00315936" w14:paraId="46A5441F"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39EBF8E8" w14:textId="426DF17F" w:rsidR="003914B2"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2CB8BFDD" w14:textId="068F57DC" w:rsidR="003914B2" w:rsidRPr="00315936" w:rsidRDefault="003914B2">
            <w:pPr>
              <w:pStyle w:val="Tabletext"/>
            </w:pPr>
            <w:r w:rsidRPr="00315936">
              <w:t>Percentage of adult cardiac arrest patients surviving to hospital discharge</w:t>
            </w:r>
            <w:r w:rsidR="00876388">
              <w:t xml:space="preserve"> </w:t>
            </w:r>
            <w:r w:rsidR="00A55D39">
              <w:fldChar w:fldCharType="begin"/>
            </w:r>
            <w:r w:rsidR="00A55D39">
              <w:instrText xml:space="preserve"> NOTEREF _Ref201303719 \f \h </w:instrText>
            </w:r>
            <w:r w:rsidR="00A55D39">
              <w:fldChar w:fldCharType="separate"/>
            </w:r>
            <w:r w:rsidR="00A55D39" w:rsidRPr="005A4BFE">
              <w:rPr>
                <w:rStyle w:val="EndnoteReference"/>
              </w:rPr>
              <w:t>ix</w:t>
            </w:r>
            <w:r w:rsidR="00A55D39">
              <w:fldChar w:fldCharType="end"/>
            </w:r>
          </w:p>
        </w:tc>
      </w:tr>
      <w:tr w:rsidR="003914B2" w:rsidRPr="00315936" w14:paraId="707A955A" w14:textId="77777777" w:rsidTr="00535D2B">
        <w:trPr>
          <w:trHeight w:val="300"/>
        </w:trPr>
        <w:tc>
          <w:tcPr>
            <w:tcW w:w="1837" w:type="dxa"/>
            <w:tcBorders>
              <w:top w:val="single" w:sz="6" w:space="0" w:color="FFFFFF" w:themeColor="background1"/>
              <w:left w:val="single" w:sz="6" w:space="0" w:color="auto"/>
              <w:bottom w:val="single" w:sz="4" w:space="0" w:color="FFFFFF" w:themeColor="background1"/>
              <w:right w:val="single" w:sz="6" w:space="0" w:color="000000" w:themeColor="text1"/>
            </w:tcBorders>
            <w:shd w:val="clear" w:color="auto" w:fill="000066"/>
          </w:tcPr>
          <w:p w14:paraId="4D333400" w14:textId="77777777" w:rsidR="003914B2" w:rsidRPr="00315936" w:rsidRDefault="003914B2">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337F333F" w14:textId="41D73554" w:rsidR="005F519A" w:rsidRDefault="005F519A">
            <w:pPr>
              <w:pStyle w:val="Tabletext"/>
            </w:pPr>
            <w:r>
              <w:t>This measures the percentage of ventricular fibrillation or pulseless ventricular tachycardia (VF/VT)</w:t>
            </w:r>
            <w:r w:rsidR="00C36D9F">
              <w:t xml:space="preserve"> patients on EMS arrival </w:t>
            </w:r>
            <w:r w:rsidR="004160C4">
              <w:t xml:space="preserve">for whom resuscitation is commenced (minimum is cardiopulmonary resuscitation) by EMS or defibrillated by </w:t>
            </w:r>
            <w:r w:rsidR="004A3820">
              <w:t xml:space="preserve">a </w:t>
            </w:r>
            <w:r w:rsidR="004160C4">
              <w:t>P</w:t>
            </w:r>
            <w:r w:rsidR="00FE5699">
              <w:t xml:space="preserve">ublic </w:t>
            </w:r>
            <w:r w:rsidR="004160C4">
              <w:t>A</w:t>
            </w:r>
            <w:r w:rsidR="00FE5699">
              <w:t xml:space="preserve">ccess </w:t>
            </w:r>
            <w:r w:rsidR="004160C4">
              <w:t>D</w:t>
            </w:r>
            <w:r w:rsidR="00FE5699">
              <w:t>efibrillator (</w:t>
            </w:r>
            <w:r w:rsidR="004160C4">
              <w:t>PAD</w:t>
            </w:r>
            <w:r w:rsidR="00FE5699">
              <w:t>)</w:t>
            </w:r>
            <w:r w:rsidR="008A7AE3">
              <w:t xml:space="preserve"> who were discharged alive from hospital.</w:t>
            </w:r>
          </w:p>
          <w:p w14:paraId="561B4D8A" w14:textId="67E15FA7" w:rsidR="003914B2" w:rsidRPr="00315936" w:rsidRDefault="003914B2">
            <w:pPr>
              <w:pStyle w:val="Tabletext"/>
              <w:rPr>
                <w:lang w:eastAsia="en-AU"/>
              </w:rPr>
            </w:pPr>
            <w:r w:rsidRPr="00315936">
              <w:t>Cardiac arrest survival is strongly impacted by EMS response times, clinical interventions, and treatments.</w:t>
            </w:r>
          </w:p>
        </w:tc>
      </w:tr>
      <w:tr w:rsidR="003914B2" w:rsidRPr="00315936" w14:paraId="4AF9EE7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9C07EF4" w14:textId="77777777" w:rsidR="003914B2" w:rsidRPr="00315936" w:rsidRDefault="003914B2">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vAlign w:val="center"/>
          </w:tcPr>
          <w:p w14:paraId="1639DE63" w14:textId="77777777" w:rsidR="00FE5699" w:rsidRDefault="00FE5699" w:rsidP="00FE5699">
            <w:pPr>
              <w:pStyle w:val="Tabletext"/>
            </w:pPr>
            <w:r w:rsidRPr="00315936">
              <w:t>Data are collected and reported according to the internationally recognised Utstein template and definitions.</w:t>
            </w:r>
          </w:p>
          <w:p w14:paraId="083A81BC" w14:textId="772B5664" w:rsidR="00B936F8" w:rsidRPr="00315936" w:rsidRDefault="00230607" w:rsidP="00767D27">
            <w:pPr>
              <w:pStyle w:val="Tabletext"/>
            </w:pPr>
            <w:r>
              <w:t>The sco</w:t>
            </w:r>
            <w:r w:rsidR="00A31349">
              <w:t>pe of t</w:t>
            </w:r>
            <w:r w:rsidR="00B936F8">
              <w:t xml:space="preserve">his measure includes adult patients (15 years or older) who are in ventricular fibrillation or pulseless ventricular tachycardia (VF/VT) on EMS arrival </w:t>
            </w:r>
            <w:r w:rsidR="00B17881">
              <w:t>as described above</w:t>
            </w:r>
            <w:r w:rsidR="00B936F8">
              <w:t>.</w:t>
            </w:r>
          </w:p>
          <w:p w14:paraId="37AA3F5C" w14:textId="53F11C75" w:rsidR="003914B2" w:rsidRPr="00315936" w:rsidRDefault="001579A2">
            <w:pPr>
              <w:pStyle w:val="Tabletext"/>
            </w:pPr>
            <w:r>
              <w:t>Excludes c</w:t>
            </w:r>
            <w:r w:rsidR="003914B2">
              <w:t>ardiac arrests witnessed by EMS and patients where discharge status is unknown.</w:t>
            </w:r>
          </w:p>
          <w:p w14:paraId="194D7122" w14:textId="1B4132F8" w:rsidR="003914B2" w:rsidRPr="00315936" w:rsidRDefault="003914B2">
            <w:pPr>
              <w:pStyle w:val="Tabletext"/>
              <w:rPr>
                <w:lang w:eastAsia="en-AU"/>
              </w:rPr>
            </w:pPr>
            <w:r w:rsidRPr="00315936">
              <w:t xml:space="preserve">This </w:t>
            </w:r>
            <w:r w:rsidR="00C3016B" w:rsidRPr="00315936">
              <w:t>measure</w:t>
            </w:r>
            <w:r w:rsidRPr="00315936">
              <w:t xml:space="preserve"> is expressed as a percentage to one decimal place.</w:t>
            </w:r>
          </w:p>
        </w:tc>
      </w:tr>
      <w:tr w:rsidR="003914B2" w:rsidRPr="00315936" w14:paraId="5E56A27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13EC94F" w14:textId="77777777" w:rsidR="003914B2" w:rsidRPr="00315936" w:rsidRDefault="003914B2">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10BDD9BB" w14:textId="77777777" w:rsidR="003914B2" w:rsidRPr="00315936" w:rsidRDefault="003914B2">
            <w:pPr>
              <w:pStyle w:val="Tabletext"/>
              <w:rPr>
                <w:lang w:eastAsia="en-AU"/>
              </w:rPr>
            </w:pPr>
            <w:r w:rsidRPr="00315936">
              <w:t>The number of adult VF/VT cardiac arrest patients discharged alive from hospital</w:t>
            </w:r>
          </w:p>
        </w:tc>
      </w:tr>
      <w:tr w:rsidR="003914B2" w:rsidRPr="00315936" w14:paraId="0D8F01F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CA48128" w14:textId="77777777" w:rsidR="003914B2" w:rsidRPr="00315936" w:rsidRDefault="003914B2">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0DFBBD04" w14:textId="27D7763C" w:rsidR="003914B2" w:rsidRPr="00315936" w:rsidRDefault="003914B2">
            <w:pPr>
              <w:pStyle w:val="Tabletext"/>
              <w:rPr>
                <w:lang w:eastAsia="en-AU"/>
              </w:rPr>
            </w:pPr>
            <w:r w:rsidRPr="00315936">
              <w:t>The total number of adult VF/VT cardiac arrest patients meeting the criteria</w:t>
            </w:r>
            <w:r w:rsidR="00C12394">
              <w:t xml:space="preserve"> </w:t>
            </w:r>
            <w:r w:rsidR="000E48BD">
              <w:t xml:space="preserve">as </w:t>
            </w:r>
            <w:r w:rsidR="00C12394">
              <w:t xml:space="preserve">described </w:t>
            </w:r>
            <w:r w:rsidR="000E48BD">
              <w:t>above.</w:t>
            </w:r>
          </w:p>
        </w:tc>
      </w:tr>
      <w:tr w:rsidR="003914B2" w:rsidRPr="00315936" w14:paraId="384269E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24C4850" w14:textId="77777777" w:rsidR="003914B2" w:rsidRPr="00315936" w:rsidRDefault="003914B2">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037EF324" w14:textId="3734E58D" w:rsidR="003914B2" w:rsidRPr="00315936" w:rsidRDefault="003914B2">
            <w:pPr>
              <w:pStyle w:val="Tabletext"/>
              <w:rPr>
                <w:lang w:eastAsia="en-AU"/>
              </w:rPr>
            </w:pPr>
            <w:r w:rsidRPr="00315936">
              <w:t>25</w:t>
            </w:r>
            <w:r w:rsidR="00A67D0D" w:rsidRPr="00315936">
              <w:t xml:space="preserve"> per cent</w:t>
            </w:r>
            <w:r w:rsidRPr="00315936">
              <w:t xml:space="preserve"> </w:t>
            </w:r>
          </w:p>
        </w:tc>
      </w:tr>
      <w:tr w:rsidR="003914B2" w:rsidRPr="00315936" w14:paraId="28FBB25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D458FEC" w14:textId="4FD8C55B" w:rsidR="003914B2" w:rsidRPr="00315936" w:rsidRDefault="003914B2">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10AF1D17" w14:textId="3F710B42" w:rsidR="003914B2" w:rsidRPr="00315936" w:rsidRDefault="00A31FE6">
            <w:pPr>
              <w:pStyle w:val="Tabletext"/>
            </w:pPr>
            <w:r>
              <w:t>G</w:t>
            </w:r>
            <w:r w:rsidR="003914B2" w:rsidRPr="00315936">
              <w:t>reater than</w:t>
            </w:r>
            <w:r>
              <w:t xml:space="preserve"> or equal to</w:t>
            </w:r>
            <w:r w:rsidR="003914B2" w:rsidRPr="00315936">
              <w:t xml:space="preserve"> 25</w:t>
            </w:r>
            <w:r w:rsidR="00A67D0D" w:rsidRPr="00315936">
              <w:t xml:space="preserve"> per cent</w:t>
            </w:r>
          </w:p>
        </w:tc>
      </w:tr>
      <w:tr w:rsidR="003914B2" w:rsidRPr="00315936" w14:paraId="743FC74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AF60CF9" w14:textId="3C4DF1B7" w:rsidR="003914B2" w:rsidRPr="00315936" w:rsidRDefault="003914B2">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2C5C83FA" w14:textId="431D3A04" w:rsidR="003914B2" w:rsidRPr="00315936" w:rsidRDefault="003914B2">
            <w:pPr>
              <w:pStyle w:val="Tabletext"/>
            </w:pPr>
            <w:r w:rsidRPr="00315936">
              <w:t>Less than 25</w:t>
            </w:r>
            <w:r w:rsidR="00A67D0D" w:rsidRPr="00315936">
              <w:t xml:space="preserve"> per cent</w:t>
            </w:r>
          </w:p>
        </w:tc>
      </w:tr>
      <w:tr w:rsidR="003914B2" w:rsidRPr="00315936" w14:paraId="777262C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DFA5DFD" w14:textId="77777777" w:rsidR="003914B2" w:rsidRPr="00315936" w:rsidRDefault="003914B2">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18F483D6" w14:textId="58F1466E" w:rsidR="003914B2" w:rsidRPr="00315936" w:rsidRDefault="00ED583D">
            <w:pPr>
              <w:pStyle w:val="Tabletext"/>
              <w:rPr>
                <w:lang w:eastAsia="en-AU"/>
              </w:rPr>
            </w:pPr>
            <w:r>
              <w:rPr>
                <w:rFonts w:eastAsia="MS Gothic" w:cs="Arial"/>
                <w:szCs w:val="21"/>
              </w:rPr>
              <w:t>For the purpose of the performance risk assessment, i</w:t>
            </w:r>
            <w:r w:rsidRPr="00315936">
              <w:rPr>
                <w:rFonts w:eastAsia="MS Gothic" w:cs="Arial"/>
                <w:szCs w:val="21"/>
              </w:rPr>
              <w:t>mprovement</w:t>
            </w:r>
            <w:r w:rsidRPr="00315936">
              <w:rPr>
                <w:rFonts w:eastAsia="MS Gothic"/>
              </w:rPr>
              <w:t xml:space="preserve"> is compared to previous quarter performance.</w:t>
            </w:r>
            <w:r w:rsidRPr="00315936">
              <w:rPr>
                <w:rStyle w:val="eop"/>
                <w:rFonts w:eastAsia="MS Mincho" w:cs="Arial"/>
                <w:szCs w:val="21"/>
              </w:rPr>
              <w:t> </w:t>
            </w:r>
          </w:p>
        </w:tc>
      </w:tr>
      <w:tr w:rsidR="003914B2" w:rsidRPr="00315936" w14:paraId="2EA5DC8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A4596A2" w14:textId="77777777" w:rsidR="003914B2" w:rsidRPr="00315936" w:rsidRDefault="003914B2">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5AB0B35F" w14:textId="759B4E7E" w:rsidR="003914B2" w:rsidRPr="00315936" w:rsidRDefault="003914B2">
            <w:pPr>
              <w:pStyle w:val="Tabletext"/>
            </w:pPr>
            <w:r w:rsidRPr="00315936">
              <w:t xml:space="preserve">Performance is </w:t>
            </w:r>
            <w:r w:rsidR="007823B2" w:rsidRPr="00315936">
              <w:t xml:space="preserve">reported </w:t>
            </w:r>
            <w:r w:rsidRPr="00315936">
              <w:t xml:space="preserve">quarterly </w:t>
            </w:r>
            <w:r w:rsidR="004C3CFD" w:rsidRPr="00315936">
              <w:t>(</w:t>
            </w:r>
            <w:r w:rsidRPr="00315936">
              <w:t>using 12-month rolling percentages</w:t>
            </w:r>
            <w:r w:rsidR="004C3CFD" w:rsidRPr="00315936">
              <w:t>) the statewide level</w:t>
            </w:r>
            <w:r w:rsidR="005B0ACE">
              <w:t>.</w:t>
            </w:r>
          </w:p>
          <w:p w14:paraId="47DE1A5A" w14:textId="1E046ED7" w:rsidR="003914B2" w:rsidRPr="00315936" w:rsidRDefault="003914B2">
            <w:pPr>
              <w:pStyle w:val="Tabletext"/>
              <w:rPr>
                <w:lang w:eastAsia="en-AU"/>
              </w:rPr>
            </w:pPr>
            <w:r w:rsidRPr="00315936">
              <w:t xml:space="preserve">Data are </w:t>
            </w:r>
            <w:r w:rsidR="004C3CFD" w:rsidRPr="00315936">
              <w:t xml:space="preserve">sourced </w:t>
            </w:r>
            <w:r w:rsidRPr="00315936">
              <w:t>from Ambulance Victoria.</w:t>
            </w:r>
          </w:p>
        </w:tc>
      </w:tr>
    </w:tbl>
    <w:p w14:paraId="20E14B42" w14:textId="3DA5721D" w:rsidR="00140581" w:rsidRPr="00315936" w:rsidRDefault="00140581" w:rsidP="00140581">
      <w:pPr>
        <w:pStyle w:val="Heading2"/>
      </w:pPr>
      <w:bookmarkStart w:id="62" w:name="_Toc167781668"/>
      <w:bookmarkStart w:id="63" w:name="_Toc204853419"/>
      <w:r w:rsidRPr="00315936">
        <w:lastRenderedPageBreak/>
        <w:t>Strong governance, leadership and culture</w:t>
      </w:r>
      <w:bookmarkEnd w:id="62"/>
      <w:bookmarkEnd w:id="63"/>
    </w:p>
    <w:p w14:paraId="5FB1B905" w14:textId="70FC24AE" w:rsidR="003914B2" w:rsidRPr="00315936" w:rsidRDefault="00140581" w:rsidP="003914B2">
      <w:pPr>
        <w:pStyle w:val="Heading3"/>
      </w:pPr>
      <w:bookmarkStart w:id="64" w:name="_Toc1947797449"/>
      <w:r w:rsidRPr="00315936">
        <w:t>Organisational culture</w:t>
      </w:r>
      <w:bookmarkEnd w:id="64"/>
    </w:p>
    <w:p w14:paraId="375F596B" w14:textId="33FDDBF9" w:rsidR="00B3621B" w:rsidRPr="00315936" w:rsidRDefault="00B3621B" w:rsidP="008E7F78">
      <w:pPr>
        <w:pStyle w:val="Heading4"/>
      </w:pPr>
      <w:bookmarkStart w:id="65" w:name="_Toc1081861970"/>
      <w:r w:rsidRPr="00315936">
        <w:t xml:space="preserve">People </w:t>
      </w:r>
      <w:r w:rsidR="005B0ACE">
        <w:t>M</w:t>
      </w:r>
      <w:r w:rsidRPr="00315936">
        <w:t>atter survey – Percentage of staff with an overall positive response to safety culture survey questions</w:t>
      </w:r>
      <w:bookmarkEnd w:id="65"/>
    </w:p>
    <w:tbl>
      <w:tblPr>
        <w:tblStyle w:val="TableGrid"/>
        <w:tblW w:w="9349" w:type="dxa"/>
        <w:tblLook w:val="04A0" w:firstRow="1" w:lastRow="0" w:firstColumn="1" w:lastColumn="0" w:noHBand="0" w:noVBand="1"/>
      </w:tblPr>
      <w:tblGrid>
        <w:gridCol w:w="1837"/>
        <w:gridCol w:w="7512"/>
      </w:tblGrid>
      <w:tr w:rsidR="001B4B67" w:rsidRPr="00315936" w14:paraId="1F8942F5" w14:textId="77777777" w:rsidTr="00535D2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509281CD" w14:textId="39AC77C3" w:rsidR="001B4B67"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1F8A8126" w14:textId="27AD1220" w:rsidR="001B4B67" w:rsidRPr="00315936" w:rsidRDefault="3159958A">
            <w:pPr>
              <w:pStyle w:val="Tabletext"/>
              <w:rPr>
                <w:vertAlign w:val="superscript"/>
              </w:rPr>
            </w:pPr>
            <w:r w:rsidRPr="00315936">
              <w:t xml:space="preserve">People </w:t>
            </w:r>
            <w:r w:rsidR="005B0ACE">
              <w:t>M</w:t>
            </w:r>
            <w:r w:rsidRPr="00315936">
              <w:t>atter survey – Percentage of staff with an overall positive response to safety culture survey questions</w:t>
            </w:r>
            <w:r w:rsidR="00862D35">
              <w:t xml:space="preserve"> </w:t>
            </w:r>
            <w:r w:rsidR="0093021A">
              <w:fldChar w:fldCharType="begin"/>
            </w:r>
            <w:r w:rsidR="0093021A">
              <w:instrText xml:space="preserve"> NOTEREF _Ref201832379 \f \h </w:instrText>
            </w:r>
            <w:r w:rsidR="0093021A">
              <w:fldChar w:fldCharType="separate"/>
            </w:r>
            <w:proofErr w:type="spellStart"/>
            <w:r w:rsidR="0093021A" w:rsidRPr="0093021A">
              <w:rPr>
                <w:rStyle w:val="EndnoteReference"/>
              </w:rPr>
              <w:t>iv</w:t>
            </w:r>
            <w:r w:rsidR="0093021A">
              <w:fldChar w:fldCharType="end"/>
            </w:r>
            <w:r w:rsidR="0093021A" w:rsidRPr="0093021A">
              <w:rPr>
                <w:vertAlign w:val="superscript"/>
              </w:rPr>
              <w:t>,</w:t>
            </w:r>
            <w:r w:rsidR="0093021A">
              <w:rPr>
                <w:vertAlign w:val="superscript"/>
              </w:rPr>
              <w:fldChar w:fldCharType="begin"/>
            </w:r>
            <w:r w:rsidR="0093021A">
              <w:rPr>
                <w:vertAlign w:val="superscript"/>
              </w:rPr>
              <w:instrText xml:space="preserve"> NOTEREF _Ref201833119 \f \h </w:instrText>
            </w:r>
            <w:r w:rsidR="0093021A">
              <w:rPr>
                <w:vertAlign w:val="superscript"/>
              </w:rPr>
            </w:r>
            <w:r w:rsidR="0093021A">
              <w:rPr>
                <w:vertAlign w:val="superscript"/>
              </w:rPr>
              <w:fldChar w:fldCharType="separate"/>
            </w:r>
            <w:r w:rsidR="0093021A" w:rsidRPr="0093021A">
              <w:rPr>
                <w:rStyle w:val="EndnoteReference"/>
              </w:rPr>
              <w:t>v</w:t>
            </w:r>
            <w:proofErr w:type="spellEnd"/>
            <w:r w:rsidR="0093021A">
              <w:rPr>
                <w:vertAlign w:val="superscript"/>
              </w:rPr>
              <w:fldChar w:fldCharType="end"/>
            </w:r>
            <w:r w:rsidR="005A4BFE" w:rsidRPr="0093021A" w:rsidDel="005A4BFE">
              <w:rPr>
                <w:vertAlign w:val="superscript"/>
              </w:rPr>
              <w:t xml:space="preserve"> </w:t>
            </w:r>
          </w:p>
        </w:tc>
      </w:tr>
      <w:tr w:rsidR="001B4B67" w:rsidRPr="00315936" w14:paraId="6FD06312"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FDA74A9" w14:textId="77777777" w:rsidR="001B4B67" w:rsidRPr="00315936" w:rsidRDefault="001B4B67">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2ABA786C" w14:textId="77777777" w:rsidR="001B4B67" w:rsidRPr="00315936" w:rsidRDefault="001B4B67">
            <w:pPr>
              <w:pStyle w:val="Tabletext"/>
            </w:pPr>
            <w:r w:rsidRPr="00315936">
              <w:t>Organisational culture can significantly influence patient safety through its impact on effective communication, collaboration, and engagement across the health service. Poor safety cultures have been identified internationally as recurring features of serious failings in care.</w:t>
            </w:r>
          </w:p>
          <w:p w14:paraId="4EAA98FB" w14:textId="77777777" w:rsidR="001B4B67" w:rsidRPr="00315936" w:rsidRDefault="001B4B67">
            <w:pPr>
              <w:pStyle w:val="Tabletext"/>
            </w:pPr>
            <w:r w:rsidRPr="00315936">
              <w:t>Organisational culture surveys (such as the People Matter survey) offer an independent mechanism of assessing staff’s anonymous perception of safety within the organisation.</w:t>
            </w:r>
          </w:p>
          <w:p w14:paraId="01BBB58C" w14:textId="359D0D26" w:rsidR="001B4B67" w:rsidRPr="00315936" w:rsidRDefault="001B4B67">
            <w:pPr>
              <w:pStyle w:val="Tabletext"/>
            </w:pPr>
            <w:r w:rsidRPr="00315936">
              <w:t>All Victorian public healthcare organisations must participate in the People Matter survey annually</w:t>
            </w:r>
            <w:r w:rsidR="005000BE">
              <w:t>.</w:t>
            </w:r>
            <w:r w:rsidR="00EF314D">
              <w:rPr>
                <w:rStyle w:val="EndnoteReference"/>
              </w:rPr>
              <w:endnoteReference w:id="11"/>
            </w:r>
            <w:r w:rsidR="00FB5602">
              <w:t xml:space="preserve"> </w:t>
            </w:r>
            <w:r w:rsidR="00FB5602" w:rsidRPr="00315936">
              <w:t>Health services receive a report on their results and are also benchmarked against other like healthcare organisations.</w:t>
            </w:r>
          </w:p>
          <w:p w14:paraId="19305F9A" w14:textId="77777777" w:rsidR="001B4B67" w:rsidRPr="00315936" w:rsidRDefault="001B4B67">
            <w:pPr>
              <w:pStyle w:val="Tabletext"/>
              <w:rPr>
                <w:lang w:eastAsia="en-AU"/>
              </w:rPr>
            </w:pPr>
            <w:r w:rsidRPr="00315936">
              <w:t>While staff participation in the survey is voluntary, low participation rates can generate misleading results or signal staff engagement concerns.</w:t>
            </w:r>
          </w:p>
        </w:tc>
      </w:tr>
      <w:tr w:rsidR="001B4B67" w:rsidRPr="00315936" w14:paraId="5E270DE5"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875AF5D" w14:textId="77777777" w:rsidR="001B4B67" w:rsidRPr="00315936" w:rsidRDefault="001B4B67">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45D54625" w14:textId="650E3522" w:rsidR="001B4B67" w:rsidRPr="00315936" w:rsidRDefault="00851176">
            <w:pPr>
              <w:pStyle w:val="Tabletext"/>
            </w:pPr>
            <w:r>
              <w:t>This measure</w:t>
            </w:r>
            <w:r w:rsidR="00505CB3">
              <w:t>s</w:t>
            </w:r>
            <w:r>
              <w:t xml:space="preserve"> the proportion of </w:t>
            </w:r>
            <w:r w:rsidR="00EC37B6">
              <w:t>survey respondents</w:t>
            </w:r>
            <w:r w:rsidR="00505CB3">
              <w:t xml:space="preserve"> who</w:t>
            </w:r>
            <w:r w:rsidR="00EC37B6">
              <w:t xml:space="preserve"> repor</w:t>
            </w:r>
            <w:r w:rsidR="00505CB3">
              <w:t>t</w:t>
            </w:r>
            <w:r w:rsidR="00EC37B6">
              <w:t xml:space="preserve"> </w:t>
            </w:r>
            <w:r>
              <w:t xml:space="preserve">positive responses (i.e. ‘agree’ or ‘strongly agree’) </w:t>
            </w:r>
            <w:r w:rsidR="00F54775">
              <w:t xml:space="preserve">across the following organisational </w:t>
            </w:r>
            <w:r w:rsidR="00B94506" w:rsidRPr="00315936">
              <w:t>c</w:t>
            </w:r>
            <w:r w:rsidR="00FA6644">
              <w:t>limate</w:t>
            </w:r>
            <w:r w:rsidR="00B94506" w:rsidRPr="00315936">
              <w:t xml:space="preserve"> </w:t>
            </w:r>
            <w:r w:rsidR="00F54775">
              <w:t>questions:</w:t>
            </w:r>
          </w:p>
          <w:p w14:paraId="2044093F" w14:textId="77777777" w:rsidR="000518EB" w:rsidRPr="000518EB" w:rsidRDefault="3E07CDC7" w:rsidP="00FA6644">
            <w:pPr>
              <w:pStyle w:val="Tablebullet1"/>
            </w:pPr>
            <w:r>
              <w:t>I am encouraged by my colleagues to report any patient safety concerns I may have.</w:t>
            </w:r>
          </w:p>
          <w:p w14:paraId="6D236AB5" w14:textId="77777777" w:rsidR="000518EB" w:rsidRPr="000518EB" w:rsidRDefault="000518EB" w:rsidP="00FA6644">
            <w:pPr>
              <w:pStyle w:val="Tablebullet1"/>
            </w:pPr>
            <w:r w:rsidRPr="000518EB">
              <w:t>Patient care errors are handled appropriately in my work area.</w:t>
            </w:r>
          </w:p>
          <w:p w14:paraId="02C1A422" w14:textId="77777777" w:rsidR="000518EB" w:rsidRPr="000518EB" w:rsidRDefault="000518EB" w:rsidP="00FA6644">
            <w:pPr>
              <w:pStyle w:val="Tablebullet1"/>
            </w:pPr>
            <w:r w:rsidRPr="000518EB">
              <w:t>My suggestions about patient safety would be acted upon if I expressed them to my manager.</w:t>
            </w:r>
          </w:p>
          <w:p w14:paraId="59C261ED" w14:textId="77777777" w:rsidR="000518EB" w:rsidRPr="000518EB" w:rsidRDefault="000518EB" w:rsidP="00FA6644">
            <w:pPr>
              <w:pStyle w:val="Tablebullet1"/>
            </w:pPr>
            <w:r w:rsidRPr="000518EB">
              <w:t>The culture in my work area makes it easy to learn from the errors of others.</w:t>
            </w:r>
          </w:p>
          <w:p w14:paraId="11339612" w14:textId="77777777" w:rsidR="000518EB" w:rsidRPr="000518EB" w:rsidRDefault="000518EB" w:rsidP="00FA6644">
            <w:pPr>
              <w:pStyle w:val="Tablebullet1"/>
            </w:pPr>
            <w:r w:rsidRPr="000518EB">
              <w:t>Management is driving us to be a safety-centred organisation.</w:t>
            </w:r>
          </w:p>
          <w:p w14:paraId="0310FA46" w14:textId="77777777" w:rsidR="000518EB" w:rsidRPr="000518EB" w:rsidRDefault="000518EB" w:rsidP="00FA6644">
            <w:pPr>
              <w:pStyle w:val="Tablebullet1"/>
            </w:pPr>
            <w:r w:rsidRPr="000518EB">
              <w:t>This health service does a good job of training new and existing staff.</w:t>
            </w:r>
          </w:p>
          <w:p w14:paraId="47F8C690" w14:textId="77777777" w:rsidR="000518EB" w:rsidRDefault="000518EB" w:rsidP="00FA6644">
            <w:pPr>
              <w:pStyle w:val="Tablebullet1"/>
            </w:pPr>
            <w:r w:rsidRPr="000518EB">
              <w:t>Trainees in my discipline are adequately supervised.</w:t>
            </w:r>
          </w:p>
          <w:p w14:paraId="020C1379" w14:textId="41F8811B" w:rsidR="00505CB3" w:rsidRPr="000518EB" w:rsidRDefault="3E07CDC7" w:rsidP="00FA6644">
            <w:pPr>
              <w:pStyle w:val="Tablebullet1"/>
            </w:pPr>
            <w:r>
              <w:t>I would recommend a friend or relative to be treated as a patient here</w:t>
            </w:r>
          </w:p>
          <w:p w14:paraId="30984F4D" w14:textId="1A5FA101" w:rsidR="001B4B67" w:rsidRPr="00315936" w:rsidRDefault="001B4B67" w:rsidP="00FA6644">
            <w:pPr>
              <w:pStyle w:val="Tablebullet1"/>
              <w:numPr>
                <w:ilvl w:val="0"/>
                <w:numId w:val="0"/>
              </w:numPr>
            </w:pPr>
          </w:p>
        </w:tc>
      </w:tr>
      <w:tr w:rsidR="001B4B67" w:rsidRPr="00315936" w14:paraId="3BB9E589"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B4CEAA0" w14:textId="77777777" w:rsidR="001B4B67" w:rsidRPr="00315936" w:rsidRDefault="001B4B67">
            <w:pPr>
              <w:pStyle w:val="Tablecolhead"/>
              <w:rPr>
                <w:b w:val="0"/>
                <w:lang w:eastAsia="en-AU"/>
              </w:rPr>
            </w:pPr>
            <w:r w:rsidRPr="00315936">
              <w:rPr>
                <w:b w:val="0"/>
                <w:lang w:eastAsia="en-AU"/>
              </w:rPr>
              <w:t>Numerator</w:t>
            </w:r>
          </w:p>
        </w:tc>
        <w:tc>
          <w:tcPr>
            <w:tcW w:w="7512" w:type="dxa"/>
            <w:tcBorders>
              <w:left w:val="single" w:sz="6" w:space="0" w:color="000000" w:themeColor="text1"/>
            </w:tcBorders>
          </w:tcPr>
          <w:p w14:paraId="70D1CD32" w14:textId="50DF39C4" w:rsidR="001B4B67" w:rsidRPr="00315936" w:rsidRDefault="7D27E2F3">
            <w:pPr>
              <w:pStyle w:val="Tabletext"/>
              <w:rPr>
                <w:lang w:eastAsia="en-AU"/>
              </w:rPr>
            </w:pPr>
            <w:r>
              <w:t xml:space="preserve">The </w:t>
            </w:r>
            <w:r w:rsidR="7525983F">
              <w:t>number</w:t>
            </w:r>
            <w:r>
              <w:t xml:space="preserve"> of ‘agree’ or ‘strongly agree’ responses </w:t>
            </w:r>
            <w:r w:rsidR="00C30E0B">
              <w:t>to in-scope questions</w:t>
            </w:r>
            <w:r w:rsidR="17923C82">
              <w:t>.</w:t>
            </w:r>
          </w:p>
        </w:tc>
      </w:tr>
      <w:tr w:rsidR="001B4B67" w:rsidRPr="00315936" w14:paraId="71DE5A1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5A781AC" w14:textId="77777777" w:rsidR="001B4B67" w:rsidRPr="00315936" w:rsidRDefault="001B4B67">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66269992" w14:textId="73F66201" w:rsidR="001B4B67" w:rsidRPr="00315936" w:rsidRDefault="7D27E2F3">
            <w:pPr>
              <w:pStyle w:val="Tabletext"/>
              <w:rPr>
                <w:lang w:eastAsia="en-AU"/>
              </w:rPr>
            </w:pPr>
            <w:r>
              <w:t xml:space="preserve">The </w:t>
            </w:r>
            <w:r w:rsidR="05330E3F">
              <w:t>number</w:t>
            </w:r>
            <w:r w:rsidR="58F91E8C">
              <w:t xml:space="preserve"> of</w:t>
            </w:r>
            <w:r w:rsidR="022E0DD1">
              <w:t xml:space="preserve"> valid</w:t>
            </w:r>
            <w:r w:rsidR="0AD6136A">
              <w:t xml:space="preserve"> responses (i.e.</w:t>
            </w:r>
            <w:r>
              <w:t xml:space="preserve"> ‘agree’, ‘strongly agree’, ‘disagree’</w:t>
            </w:r>
            <w:r w:rsidR="75525091">
              <w:t>,</w:t>
            </w:r>
            <w:r>
              <w:t xml:space="preserve"> ‘strongly disagree’, ‘neither agree nor disagree’</w:t>
            </w:r>
            <w:r w:rsidR="00F9651B">
              <w:t>, ‘don’t know’</w:t>
            </w:r>
            <w:r w:rsidR="21D29D85">
              <w:t>)</w:t>
            </w:r>
            <w:r>
              <w:t xml:space="preserve"> </w:t>
            </w:r>
            <w:r w:rsidR="00C30E0B">
              <w:t>to in-scope questions</w:t>
            </w:r>
            <w:r w:rsidR="14C091E8">
              <w:t>.</w:t>
            </w:r>
          </w:p>
        </w:tc>
      </w:tr>
      <w:tr w:rsidR="001B4B67" w:rsidRPr="00315936" w14:paraId="60EFEE63"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7A322AD2" w14:textId="77777777" w:rsidR="001B4B67" w:rsidRPr="00315936" w:rsidRDefault="001B4B67">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71A1A2D0" w14:textId="16CE7AD0" w:rsidR="001B4B67" w:rsidRPr="00315936" w:rsidRDefault="001B4B67">
            <w:pPr>
              <w:pStyle w:val="Tabletext"/>
              <w:rPr>
                <w:lang w:eastAsia="en-AU"/>
              </w:rPr>
            </w:pPr>
            <w:r w:rsidRPr="00315936">
              <w:t>80</w:t>
            </w:r>
            <w:r w:rsidR="00A67D0D" w:rsidRPr="00315936">
              <w:t xml:space="preserve"> per cent</w:t>
            </w:r>
          </w:p>
        </w:tc>
      </w:tr>
      <w:tr w:rsidR="001B4B67" w:rsidRPr="00315936" w14:paraId="3B1CE901"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6FBC7B2" w14:textId="73091C95" w:rsidR="001B4B67" w:rsidRPr="00315936" w:rsidRDefault="001B4B67">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5428C510" w14:textId="151F8F65" w:rsidR="001B4B67" w:rsidRPr="00315936" w:rsidRDefault="00A31FE6">
            <w:pPr>
              <w:pStyle w:val="Tabletext"/>
            </w:pPr>
            <w:r>
              <w:t>G</w:t>
            </w:r>
            <w:r w:rsidR="001B4B67" w:rsidRPr="00315936">
              <w:t>reater than</w:t>
            </w:r>
            <w:r>
              <w:t xml:space="preserve"> or equal to</w:t>
            </w:r>
            <w:r w:rsidR="001B4B67" w:rsidRPr="00315936">
              <w:t xml:space="preserve"> 80</w:t>
            </w:r>
            <w:r w:rsidR="00A67D0D" w:rsidRPr="00315936">
              <w:t xml:space="preserve"> per cent</w:t>
            </w:r>
          </w:p>
        </w:tc>
      </w:tr>
      <w:tr w:rsidR="001B4B67" w:rsidRPr="00315936" w14:paraId="7E4698C2"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F239E4F" w14:textId="7CCD7764" w:rsidR="001B4B67" w:rsidRPr="00315936" w:rsidRDefault="001B4B67">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747D1975" w14:textId="3D11B53C" w:rsidR="001B4B67" w:rsidRPr="00315936" w:rsidRDefault="001B4B67">
            <w:pPr>
              <w:pStyle w:val="Tabletext"/>
            </w:pPr>
            <w:r w:rsidRPr="00315936">
              <w:t>Less than 80</w:t>
            </w:r>
            <w:r w:rsidR="00A67D0D" w:rsidRPr="00315936">
              <w:t xml:space="preserve"> per cent</w:t>
            </w:r>
          </w:p>
        </w:tc>
      </w:tr>
      <w:tr w:rsidR="001B4B67" w:rsidRPr="00315936" w14:paraId="1668FE4C"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7CEB729" w14:textId="77777777" w:rsidR="001B4B67" w:rsidRPr="00315936" w:rsidRDefault="001B4B67">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705560A1" w14:textId="46858FFA" w:rsidR="001B4B67" w:rsidRPr="00315936" w:rsidRDefault="00D71AFC">
            <w:pPr>
              <w:pStyle w:val="Tabletext"/>
              <w:rPr>
                <w:lang w:eastAsia="en-AU"/>
              </w:rPr>
            </w:pPr>
            <w:r>
              <w:rPr>
                <w:rFonts w:eastAsia="MS Gothic" w:cs="Arial"/>
                <w:szCs w:val="21"/>
              </w:rPr>
              <w:t>For the purpose of the performance risk assessment, i</w:t>
            </w:r>
            <w:r w:rsidRPr="00315936">
              <w:rPr>
                <w:rFonts w:eastAsia="MS Gothic" w:cs="Arial"/>
                <w:szCs w:val="21"/>
              </w:rPr>
              <w:t xml:space="preserve">mprovement is compared to previous </w:t>
            </w:r>
            <w:r>
              <w:rPr>
                <w:rFonts w:eastAsia="MS Gothic" w:cs="Arial"/>
                <w:szCs w:val="21"/>
              </w:rPr>
              <w:t>year</w:t>
            </w:r>
            <w:r w:rsidRPr="00315936">
              <w:rPr>
                <w:rFonts w:eastAsia="MS Gothic" w:cs="Arial"/>
                <w:szCs w:val="21"/>
              </w:rPr>
              <w:t xml:space="preserve"> performance.</w:t>
            </w:r>
            <w:r w:rsidRPr="00315936">
              <w:rPr>
                <w:rStyle w:val="eop"/>
                <w:rFonts w:eastAsia="MS Mincho" w:cs="Arial"/>
                <w:szCs w:val="21"/>
              </w:rPr>
              <w:t> </w:t>
            </w:r>
          </w:p>
        </w:tc>
      </w:tr>
      <w:tr w:rsidR="001B4B67" w:rsidRPr="00315936" w14:paraId="6262FD8A"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54F05C2F" w14:textId="77777777" w:rsidR="001B4B67" w:rsidRPr="00315936" w:rsidRDefault="001B4B67">
            <w:pPr>
              <w:pStyle w:val="Tablecolhead"/>
              <w:rPr>
                <w:b w:val="0"/>
                <w:lang w:eastAsia="en-AU"/>
              </w:rPr>
            </w:pPr>
            <w:r w:rsidRPr="00315936">
              <w:rPr>
                <w:b w:val="0"/>
                <w:lang w:eastAsia="en-AU"/>
              </w:rPr>
              <w:lastRenderedPageBreak/>
              <w:t>Frequency of reporting and data collection</w:t>
            </w:r>
          </w:p>
        </w:tc>
        <w:tc>
          <w:tcPr>
            <w:tcW w:w="7512" w:type="dxa"/>
            <w:tcBorders>
              <w:left w:val="single" w:sz="6" w:space="0" w:color="000000" w:themeColor="text1"/>
            </w:tcBorders>
          </w:tcPr>
          <w:p w14:paraId="240D6838" w14:textId="5B9E830E" w:rsidR="001B4B67" w:rsidRPr="00315936" w:rsidRDefault="001B4B67">
            <w:pPr>
              <w:pStyle w:val="Tabletext"/>
            </w:pPr>
            <w:r w:rsidRPr="00315936">
              <w:t xml:space="preserve">Performance is </w:t>
            </w:r>
            <w:r w:rsidR="00B52B57" w:rsidRPr="00315936">
              <w:t xml:space="preserve">reported </w:t>
            </w:r>
            <w:r w:rsidRPr="00315936">
              <w:t>annually</w:t>
            </w:r>
            <w:r w:rsidR="002D57F1" w:rsidRPr="00315936">
              <w:t xml:space="preserve"> </w:t>
            </w:r>
            <w:r w:rsidR="00065085">
              <w:t>at</w:t>
            </w:r>
            <w:r w:rsidR="00B52B57" w:rsidRPr="00315936">
              <w:t xml:space="preserve"> </w:t>
            </w:r>
            <w:r w:rsidR="002D57F1" w:rsidRPr="00315936">
              <w:t>the</w:t>
            </w:r>
            <w:r w:rsidR="00B52B57" w:rsidRPr="00315936">
              <w:t xml:space="preserve"> health service level</w:t>
            </w:r>
            <w:r w:rsidR="00983D10">
              <w:t>.</w:t>
            </w:r>
          </w:p>
          <w:p w14:paraId="7A67277E" w14:textId="29ABE5CD" w:rsidR="001B4B67" w:rsidRPr="00315936" w:rsidRDefault="002D57F1" w:rsidP="00FB5602">
            <w:pPr>
              <w:pStyle w:val="Tabletext"/>
              <w:rPr>
                <w:lang w:eastAsia="en-AU"/>
              </w:rPr>
            </w:pPr>
            <w:r w:rsidRPr="00315936">
              <w:t>D</w:t>
            </w:r>
            <w:r w:rsidR="001B4B67" w:rsidRPr="00315936">
              <w:t xml:space="preserve">ata </w:t>
            </w:r>
            <w:r w:rsidRPr="00315936">
              <w:t xml:space="preserve">are sourced from </w:t>
            </w:r>
            <w:r w:rsidR="001B4B67" w:rsidRPr="00315936">
              <w:t>the Victorian Public Sector Commission.</w:t>
            </w:r>
          </w:p>
        </w:tc>
      </w:tr>
    </w:tbl>
    <w:p w14:paraId="6D8C9F5C" w14:textId="62E52722" w:rsidR="00140581" w:rsidRPr="00315936" w:rsidRDefault="00140581" w:rsidP="00140581">
      <w:pPr>
        <w:pStyle w:val="Heading2"/>
      </w:pPr>
      <w:bookmarkStart w:id="66" w:name="_Toc204853420"/>
      <w:r w:rsidRPr="00315936">
        <w:t>Timely access to care</w:t>
      </w:r>
      <w:bookmarkEnd w:id="66"/>
    </w:p>
    <w:p w14:paraId="0BDBCF08" w14:textId="41E59BCC" w:rsidR="00B11BB6" w:rsidRDefault="00140581" w:rsidP="00B11BB6">
      <w:pPr>
        <w:pStyle w:val="Heading3"/>
      </w:pPr>
      <w:bookmarkStart w:id="67" w:name="_Toc1327487664"/>
      <w:r w:rsidRPr="00315936">
        <w:t>Planned surgery</w:t>
      </w:r>
      <w:bookmarkStart w:id="68" w:name="_Toc1280014920"/>
      <w:bookmarkEnd w:id="67"/>
    </w:p>
    <w:p w14:paraId="3A118540" w14:textId="28E00CE3" w:rsidR="003D7E28" w:rsidRDefault="00255992" w:rsidP="003D7E28">
      <w:pPr>
        <w:pStyle w:val="Body"/>
        <w:rPr>
          <w:i/>
          <w:iCs/>
        </w:rPr>
      </w:pPr>
      <w:r>
        <w:t>Planned surgery performanc</w:t>
      </w:r>
      <w:r w:rsidR="003B7137">
        <w:t xml:space="preserve">e data are collected </w:t>
      </w:r>
      <w:r w:rsidR="004A4300">
        <w:t>via the Elective Surgery Information System (ESIS)</w:t>
      </w:r>
      <w:r w:rsidR="00C80BC6">
        <w:t xml:space="preserve"> to </w:t>
      </w:r>
      <w:r w:rsidR="00E14798">
        <w:t>monitor and evaluate the timeliness</w:t>
      </w:r>
      <w:r w:rsidR="00852799">
        <w:t xml:space="preserve">, efficiency and quality of </w:t>
      </w:r>
      <w:r w:rsidR="00D90622">
        <w:t>planned surgery</w:t>
      </w:r>
      <w:r w:rsidR="008D74DA">
        <w:t>, ensuring patients receive care within clinically recommended timeframes</w:t>
      </w:r>
      <w:r w:rsidR="00222FB9">
        <w:t xml:space="preserve">, </w:t>
      </w:r>
      <w:r w:rsidR="008F423F">
        <w:t>support</w:t>
      </w:r>
      <w:r w:rsidR="00222FB9">
        <w:t>ing</w:t>
      </w:r>
      <w:r w:rsidR="008F423F">
        <w:t xml:space="preserve"> </w:t>
      </w:r>
      <w:r w:rsidR="004D739F">
        <w:t>accountability and improvement</w:t>
      </w:r>
      <w:r w:rsidR="00A66433">
        <w:t xml:space="preserve"> in accordance with </w:t>
      </w:r>
      <w:r w:rsidR="00AE7ACF">
        <w:t xml:space="preserve">the </w:t>
      </w:r>
      <w:r w:rsidR="00F32FF7" w:rsidRPr="00862E00">
        <w:rPr>
          <w:i/>
          <w:iCs/>
        </w:rPr>
        <w:t>P</w:t>
      </w:r>
      <w:r w:rsidR="00AE7ACF" w:rsidRPr="00862E00">
        <w:rPr>
          <w:i/>
          <w:iCs/>
        </w:rPr>
        <w:t>lanned surgery access policy</w:t>
      </w:r>
      <w:r w:rsidR="00BA20E0">
        <w:rPr>
          <w:i/>
          <w:iCs/>
        </w:rPr>
        <w:t xml:space="preserve"> 2024</w:t>
      </w:r>
      <w:r w:rsidR="00E365CF" w:rsidRPr="00862E00">
        <w:rPr>
          <w:i/>
          <w:iCs/>
        </w:rPr>
        <w:t>.</w:t>
      </w:r>
      <w:r w:rsidR="00EF314D">
        <w:rPr>
          <w:rStyle w:val="EndnoteReference"/>
          <w:i/>
          <w:iCs/>
        </w:rPr>
        <w:endnoteReference w:id="12"/>
      </w:r>
    </w:p>
    <w:p w14:paraId="6D36A3B5" w14:textId="7D343905" w:rsidR="00AD1703" w:rsidRPr="00FA1FFA" w:rsidRDefault="00AD1703" w:rsidP="00862E00">
      <w:pPr>
        <w:pStyle w:val="Body"/>
      </w:pPr>
      <w:r w:rsidRPr="00862E00">
        <w:t>T</w:t>
      </w:r>
      <w:r w:rsidR="00EC159A" w:rsidRPr="00862E00">
        <w:t xml:space="preserve">he policy </w:t>
      </w:r>
      <w:r w:rsidR="00FA1FFA" w:rsidRPr="00862E00">
        <w:t>sets out the</w:t>
      </w:r>
      <w:r w:rsidR="003E0F33">
        <w:t xml:space="preserve"> department’s expectations </w:t>
      </w:r>
      <w:r w:rsidR="00F617DF">
        <w:t xml:space="preserve">for access to planned surgery </w:t>
      </w:r>
      <w:r w:rsidR="003C54EA">
        <w:t xml:space="preserve">and procedures within Victorian health services. </w:t>
      </w:r>
      <w:r w:rsidR="005D4ACB">
        <w:t xml:space="preserve">All </w:t>
      </w:r>
      <w:r w:rsidR="008D0F0E">
        <w:t xml:space="preserve">Victorian health services are </w:t>
      </w:r>
      <w:r w:rsidR="00091ADA">
        <w:t xml:space="preserve">required to adhere to the policy </w:t>
      </w:r>
      <w:r w:rsidR="00142864">
        <w:t>regardless of their ESIS reporting status</w:t>
      </w:r>
      <w:r w:rsidR="00F12285">
        <w:t>.</w:t>
      </w:r>
      <w:r w:rsidR="00012605">
        <w:rPr>
          <w:rStyle w:val="EndnoteReference"/>
        </w:rPr>
        <w:endnoteReference w:id="13"/>
      </w:r>
    </w:p>
    <w:p w14:paraId="6904910B" w14:textId="456D4423" w:rsidR="00123B11" w:rsidRPr="00315936" w:rsidRDefault="00123B11" w:rsidP="008E7F78">
      <w:pPr>
        <w:pStyle w:val="Heading4"/>
      </w:pPr>
      <w:r w:rsidRPr="00315936">
        <w:t>Percentage of urgency category 1 planned surgery patients admitted within 30 days</w:t>
      </w:r>
      <w:bookmarkEnd w:id="68"/>
    </w:p>
    <w:tbl>
      <w:tblPr>
        <w:tblStyle w:val="TableGrid"/>
        <w:tblW w:w="9349" w:type="dxa"/>
        <w:tblLook w:val="04A0" w:firstRow="1" w:lastRow="0" w:firstColumn="1" w:lastColumn="0" w:noHBand="0" w:noVBand="1"/>
      </w:tblPr>
      <w:tblGrid>
        <w:gridCol w:w="1837"/>
        <w:gridCol w:w="7512"/>
      </w:tblGrid>
      <w:tr w:rsidR="000D2FBE" w:rsidRPr="00315936" w14:paraId="4C8D152E" w14:textId="77777777" w:rsidTr="00F65621">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70CCE8C9" w14:textId="72D734DD" w:rsidR="000D2FBE"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vAlign w:val="bottom"/>
          </w:tcPr>
          <w:p w14:paraId="000B4CC7" w14:textId="77777777" w:rsidR="000D2FBE" w:rsidRPr="00315936" w:rsidRDefault="000D2FBE">
            <w:pPr>
              <w:pStyle w:val="Tabletext"/>
            </w:pPr>
            <w:r w:rsidRPr="00315936">
              <w:t xml:space="preserve">Percentage of urgency category 1 </w:t>
            </w:r>
            <w:r w:rsidRPr="00315936">
              <w:rPr>
                <w:rFonts w:eastAsia="Times"/>
              </w:rPr>
              <w:t xml:space="preserve">planned </w:t>
            </w:r>
            <w:r w:rsidRPr="00315936">
              <w:t>surgery patients admitted within 30 days</w:t>
            </w:r>
          </w:p>
        </w:tc>
      </w:tr>
      <w:tr w:rsidR="000D2FBE" w:rsidRPr="00315936" w14:paraId="00A652DA"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B7269F7" w14:textId="77777777" w:rsidR="000D2FBE" w:rsidRPr="00315936" w:rsidRDefault="000D2FBE">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4F58118E" w14:textId="399FFB66" w:rsidR="000D2FBE" w:rsidRPr="00315936" w:rsidRDefault="000D2FBE">
            <w:pPr>
              <w:pStyle w:val="Tabletext"/>
            </w:pPr>
            <w:r w:rsidRPr="00315936">
              <w:t xml:space="preserve">Urgency category 1 </w:t>
            </w:r>
            <w:r w:rsidRPr="00315936">
              <w:rPr>
                <w:rFonts w:eastAsia="Times"/>
              </w:rPr>
              <w:t xml:space="preserve">planned </w:t>
            </w:r>
            <w:r w:rsidRPr="00315936">
              <w:t xml:space="preserve">surgery patients are </w:t>
            </w:r>
            <w:r w:rsidR="00F12285">
              <w:t>those</w:t>
            </w:r>
            <w:r w:rsidR="00F12285" w:rsidRPr="00315936">
              <w:t xml:space="preserve"> </w:t>
            </w:r>
            <w:r w:rsidRPr="00315936">
              <w:t>for whom admission within 30 days is desirable for a condition that has the potential to deteriorate quickly to the point that it might become an emergency.</w:t>
            </w:r>
          </w:p>
        </w:tc>
      </w:tr>
      <w:tr w:rsidR="000D2FBE" w:rsidRPr="00315936" w14:paraId="1A5F13E0"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07C515A5" w14:textId="77777777" w:rsidR="000D2FBE" w:rsidRPr="00315936" w:rsidRDefault="000D2FBE">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13BDCE06" w14:textId="77777777" w:rsidR="00401FBD" w:rsidRDefault="00401FBD" w:rsidP="00973E52">
            <w:pPr>
              <w:pStyle w:val="Tablebullet1"/>
              <w:numPr>
                <w:ilvl w:val="0"/>
                <w:numId w:val="0"/>
              </w:numPr>
            </w:pPr>
            <w:r>
              <w:t>This measure is reported at the health service level. Where a health service has multiple campuses, the aggregate for all campuses is used.</w:t>
            </w:r>
          </w:p>
          <w:p w14:paraId="2EDC0102" w14:textId="2B3CD3B8" w:rsidR="000D2FBE" w:rsidRPr="00315936" w:rsidRDefault="71AA4309">
            <w:pPr>
              <w:pStyle w:val="Tablebullet1"/>
              <w:numPr>
                <w:ilvl w:val="0"/>
                <w:numId w:val="0"/>
              </w:numPr>
            </w:pPr>
            <w:r w:rsidRPr="00315936">
              <w:t>This measure is assessed using</w:t>
            </w:r>
            <w:r w:rsidR="689ED704" w:rsidRPr="00315936">
              <w:t xml:space="preserve"> records assigned an intended procedure</w:t>
            </w:r>
            <w:bookmarkStart w:id="69" w:name="_Ref169538741"/>
            <w:r w:rsidR="0020142C">
              <w:t xml:space="preserve"> code other than IP401 (</w:t>
            </w:r>
            <w:r w:rsidR="00D65DA3" w:rsidRPr="00D65DA3">
              <w:t>Gastroscopy</w:t>
            </w:r>
            <w:r w:rsidR="0020142C">
              <w:t>) or IP402 (</w:t>
            </w:r>
            <w:r w:rsidR="00D65DA3">
              <w:t>Colonoscopy</w:t>
            </w:r>
            <w:r w:rsidR="0020142C">
              <w:t>)</w:t>
            </w:r>
            <w:bookmarkStart w:id="70" w:name="_Ref201833425"/>
            <w:r w:rsidR="00A11901">
              <w:rPr>
                <w:rStyle w:val="EndnoteReference"/>
              </w:rPr>
              <w:endnoteReference w:id="14"/>
            </w:r>
            <w:bookmarkEnd w:id="69"/>
            <w:bookmarkEnd w:id="70"/>
            <w:r w:rsidR="006C560B">
              <w:t xml:space="preserve"> </w:t>
            </w:r>
            <w:r w:rsidR="689ED704" w:rsidRPr="00315936">
              <w:t>and with a “Readiness Status” code of either:</w:t>
            </w:r>
          </w:p>
          <w:p w14:paraId="491F7332" w14:textId="5734CEC4" w:rsidR="000D2FBE" w:rsidRPr="00315936" w:rsidRDefault="000D2FBE" w:rsidP="009C5829">
            <w:pPr>
              <w:pStyle w:val="Tablebullet1"/>
            </w:pPr>
            <w:r w:rsidRPr="00315936">
              <w:t xml:space="preserve"> ‘R’ ready for surgery</w:t>
            </w:r>
          </w:p>
          <w:p w14:paraId="56930F9B" w14:textId="611CAFC2" w:rsidR="000D2FBE" w:rsidRPr="00315936" w:rsidRDefault="000D2FBE" w:rsidP="009C5829">
            <w:pPr>
              <w:pStyle w:val="Tablebullet1"/>
            </w:pPr>
            <w:r w:rsidRPr="00315936">
              <w:t xml:space="preserve"> ‘V’ ready for surgery, but delayed due to COVID-19 response</w:t>
            </w:r>
            <w:r w:rsidR="006C560B">
              <w:t>.</w:t>
            </w:r>
          </w:p>
          <w:p w14:paraId="0E733132" w14:textId="497C436F" w:rsidR="000D2FBE" w:rsidRPr="00315936" w:rsidRDefault="005D497A" w:rsidP="00D82520">
            <w:pPr>
              <w:pStyle w:val="Tablebullet1"/>
              <w:numPr>
                <w:ilvl w:val="0"/>
                <w:numId w:val="0"/>
              </w:numPr>
            </w:pPr>
            <w:r>
              <w:t xml:space="preserve">A patient is counted as being admitted if the </w:t>
            </w:r>
            <w:r w:rsidR="20FA4C8A">
              <w:t>admission</w:t>
            </w:r>
            <w:r w:rsidRPr="00315936">
              <w:t xml:space="preserve"> date falls within the </w:t>
            </w:r>
            <w:r>
              <w:t xml:space="preserve">reporting period and </w:t>
            </w:r>
            <w:r w:rsidRPr="00315936">
              <w:t xml:space="preserve">the reason for removal is any one of the </w:t>
            </w:r>
            <w:r w:rsidR="000D2FBE" w:rsidRPr="00315936" w:rsidDel="005D497A">
              <w:t>following</w:t>
            </w:r>
            <w:r w:rsidR="000D2FBE" w:rsidRPr="00315936">
              <w:t>:</w:t>
            </w:r>
          </w:p>
          <w:p w14:paraId="74330801" w14:textId="1F6B93E4" w:rsidR="000D2FBE" w:rsidRPr="00315936" w:rsidRDefault="00F65621" w:rsidP="00FF2FFD">
            <w:pPr>
              <w:pStyle w:val="Tablebullet1"/>
            </w:pPr>
            <w:r>
              <w:t>‘</w:t>
            </w:r>
            <w:r w:rsidR="000D2FBE" w:rsidRPr="00315936">
              <w:t>W</w:t>
            </w:r>
            <w:r>
              <w:t>’</w:t>
            </w:r>
            <w:r w:rsidR="000D2FBE" w:rsidRPr="00315936">
              <w:t xml:space="preserve"> – admitted to the intended campus and has received the awaited procedure</w:t>
            </w:r>
          </w:p>
          <w:p w14:paraId="64C6FB15" w14:textId="289DE249" w:rsidR="000D2FBE" w:rsidRPr="00315936" w:rsidRDefault="00F65621" w:rsidP="00FF2FFD">
            <w:pPr>
              <w:pStyle w:val="Tablebullet1"/>
            </w:pPr>
            <w:r>
              <w:t>‘</w:t>
            </w:r>
            <w:r w:rsidR="000D2FBE" w:rsidRPr="00315936">
              <w:t>S</w:t>
            </w:r>
            <w:r>
              <w:t>’</w:t>
            </w:r>
            <w:r w:rsidR="000D2FBE" w:rsidRPr="00315936">
              <w:t xml:space="preserve"> – admitted to another campus arranged by ESAS and has received the awaited procedure</w:t>
            </w:r>
          </w:p>
          <w:p w14:paraId="409B440C" w14:textId="63FBF173" w:rsidR="000D2FBE" w:rsidRPr="00315936" w:rsidRDefault="00F65621" w:rsidP="00FF2FFD">
            <w:pPr>
              <w:pStyle w:val="Tablebullet1"/>
            </w:pPr>
            <w:r>
              <w:t>‘</w:t>
            </w:r>
            <w:r w:rsidR="000D2FBE" w:rsidRPr="00315936">
              <w:t>X</w:t>
            </w:r>
            <w:r>
              <w:t>’</w:t>
            </w:r>
            <w:r w:rsidR="000D2FBE" w:rsidRPr="00315936">
              <w:t xml:space="preserve"> – admitted to another campus arranged by this campus/health service and has received the awaited procedure under other contract or similar arrangement</w:t>
            </w:r>
          </w:p>
          <w:p w14:paraId="33B9C19B" w14:textId="64340C09" w:rsidR="000D2FBE" w:rsidRPr="00315936" w:rsidRDefault="00F65621" w:rsidP="001A453F">
            <w:pPr>
              <w:pStyle w:val="Tablebullet1"/>
            </w:pPr>
            <w:r>
              <w:t>‘</w:t>
            </w:r>
            <w:r w:rsidR="000D2FBE" w:rsidRPr="00315936">
              <w:t>P</w:t>
            </w:r>
            <w:r>
              <w:t>’</w:t>
            </w:r>
            <w:r w:rsidR="000D2FBE" w:rsidRPr="00315936">
              <w:t xml:space="preserve"> – special purpose, COVID-19 </w:t>
            </w:r>
            <w:r w:rsidR="000D2FBE" w:rsidRPr="00315936">
              <w:br/>
              <w:t>admitted to another campus arranged by this campus/health service and has received the awaited procedure under contract or similar arrangement due to the COVID-19 response</w:t>
            </w:r>
            <w:r w:rsidR="007958BF">
              <w:t>.</w:t>
            </w:r>
          </w:p>
          <w:p w14:paraId="44A4A261" w14:textId="5AC50049" w:rsidR="00D549C5" w:rsidRDefault="00836E0A" w:rsidP="00D549C5">
            <w:pPr>
              <w:pStyle w:val="Tabletext"/>
            </w:pPr>
            <w:r>
              <w:t>Assessment of whether an admission was</w:t>
            </w:r>
            <w:r w:rsidR="00D549C5">
              <w:t xml:space="preserve"> within time is based on the number of days the patient was waiting and ready for surgery.</w:t>
            </w:r>
          </w:p>
          <w:p w14:paraId="791B63AD" w14:textId="1213765A" w:rsidR="000D2FBE" w:rsidRPr="00315936" w:rsidRDefault="7E0DF63F" w:rsidP="09C793CA">
            <w:pPr>
              <w:pStyle w:val="Tabletext"/>
              <w:rPr>
                <w:b/>
                <w:bCs/>
              </w:rPr>
            </w:pPr>
            <w:r>
              <w:t>Th</w:t>
            </w:r>
            <w:r w:rsidR="162D241A">
              <w:t>e</w:t>
            </w:r>
            <w:r>
              <w:t xml:space="preserve"> </w:t>
            </w:r>
            <w:r w:rsidR="08051A60">
              <w:t>measure</w:t>
            </w:r>
            <w:r>
              <w:t xml:space="preserve"> is expressed as a percentage rounded to </w:t>
            </w:r>
            <w:r w:rsidR="0AC373A6">
              <w:t>two decimal places</w:t>
            </w:r>
            <w:r w:rsidR="1F97599E">
              <w:t>.</w:t>
            </w:r>
          </w:p>
          <w:p w14:paraId="4C6F1E51" w14:textId="6937ED1C" w:rsidR="000D2FBE" w:rsidRPr="00315936" w:rsidRDefault="000D2FBE" w:rsidP="4A3EC911">
            <w:pPr>
              <w:pStyle w:val="Tabletext"/>
              <w:rPr>
                <w:b/>
                <w:bCs/>
              </w:rPr>
            </w:pPr>
            <w:r w:rsidRPr="4A3EC911">
              <w:rPr>
                <w:b/>
                <w:bCs/>
              </w:rPr>
              <w:t>Performance breach notification</w:t>
            </w:r>
          </w:p>
          <w:p w14:paraId="5DEAF8FE" w14:textId="77777777" w:rsidR="000D2FBE" w:rsidRPr="00315936" w:rsidRDefault="000D2FBE">
            <w:pPr>
              <w:pStyle w:val="Tabletext"/>
              <w:rPr>
                <w:lang w:eastAsia="en-AU"/>
              </w:rPr>
            </w:pPr>
            <w:r w:rsidRPr="00315936">
              <w:lastRenderedPageBreak/>
              <w:t xml:space="preserve">If a category 1 </w:t>
            </w:r>
            <w:r w:rsidRPr="00315936">
              <w:rPr>
                <w:rFonts w:eastAsia="Times"/>
              </w:rPr>
              <w:t xml:space="preserve">planned </w:t>
            </w:r>
            <w:r w:rsidRPr="00315936">
              <w:t>surgery patient is overdue and the event has been verified and confirmed as accurate, the patient will be regarded as a breach for the purposes of performance and a departmental notification procedure must be initiated by the health service.</w:t>
            </w:r>
          </w:p>
        </w:tc>
      </w:tr>
      <w:tr w:rsidR="000D2FBE" w:rsidRPr="00315936" w14:paraId="3B3C2E39"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C8A258E" w14:textId="77777777" w:rsidR="000D2FBE" w:rsidRPr="00315936" w:rsidRDefault="000D2FBE">
            <w:pPr>
              <w:pStyle w:val="Tablecolhead"/>
              <w:rPr>
                <w:b w:val="0"/>
                <w:lang w:eastAsia="en-AU"/>
              </w:rPr>
            </w:pPr>
            <w:r w:rsidRPr="00315936">
              <w:rPr>
                <w:b w:val="0"/>
                <w:lang w:eastAsia="en-AU"/>
              </w:rPr>
              <w:lastRenderedPageBreak/>
              <w:t>Numerator</w:t>
            </w:r>
          </w:p>
        </w:tc>
        <w:tc>
          <w:tcPr>
            <w:tcW w:w="7512" w:type="dxa"/>
            <w:tcBorders>
              <w:left w:val="single" w:sz="6" w:space="0" w:color="000000" w:themeColor="text1"/>
            </w:tcBorders>
          </w:tcPr>
          <w:p w14:paraId="6ACFA6BA" w14:textId="77777777" w:rsidR="000D2FBE" w:rsidRPr="00315936" w:rsidRDefault="000D2FBE">
            <w:pPr>
              <w:pStyle w:val="Tabletext"/>
              <w:rPr>
                <w:lang w:eastAsia="en-AU"/>
              </w:rPr>
            </w:pPr>
            <w:r w:rsidRPr="00315936">
              <w:t>Number of urgency category 1 patients admitted within 30 days</w:t>
            </w:r>
          </w:p>
        </w:tc>
      </w:tr>
      <w:tr w:rsidR="000D2FBE" w:rsidRPr="00315936" w14:paraId="065F1B94"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0EC615E7" w14:textId="77777777" w:rsidR="000D2FBE" w:rsidRPr="00315936" w:rsidRDefault="000D2FBE">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6043068C" w14:textId="77777777" w:rsidR="000D2FBE" w:rsidRPr="00315936" w:rsidRDefault="000D2FBE">
            <w:pPr>
              <w:pStyle w:val="Tabletext"/>
              <w:rPr>
                <w:lang w:eastAsia="en-AU"/>
              </w:rPr>
            </w:pPr>
            <w:r w:rsidRPr="00315936">
              <w:t>Total urgency category 1 patients admitted</w:t>
            </w:r>
          </w:p>
        </w:tc>
      </w:tr>
      <w:tr w:rsidR="000D2FBE" w:rsidRPr="00315936" w14:paraId="14A5246B"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09B1B3C4" w14:textId="77777777" w:rsidR="000D2FBE" w:rsidRPr="00315936" w:rsidRDefault="000D2FBE">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014A261F" w14:textId="3D0E3ED9" w:rsidR="000D2FBE" w:rsidRPr="00315936" w:rsidRDefault="000D2FBE">
            <w:pPr>
              <w:pStyle w:val="Tabletext"/>
              <w:rPr>
                <w:lang w:eastAsia="en-AU"/>
              </w:rPr>
            </w:pPr>
            <w:r w:rsidRPr="00315936">
              <w:t>100</w:t>
            </w:r>
            <w:r w:rsidR="00A67D0D" w:rsidRPr="00315936">
              <w:t xml:space="preserve"> per cent</w:t>
            </w:r>
          </w:p>
        </w:tc>
      </w:tr>
      <w:tr w:rsidR="000D2FBE" w:rsidRPr="00315936" w14:paraId="2BC6773C"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732B2540" w14:textId="094ED45F" w:rsidR="000D2FBE" w:rsidRPr="00315936" w:rsidRDefault="000D2FBE">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5940F366" w14:textId="09D3EA39" w:rsidR="000D2FBE" w:rsidRPr="00315936" w:rsidRDefault="000D2FBE">
            <w:pPr>
              <w:pStyle w:val="Tabletext"/>
            </w:pPr>
            <w:r w:rsidRPr="00315936">
              <w:t>100</w:t>
            </w:r>
            <w:r w:rsidR="00A67D0D" w:rsidRPr="00315936">
              <w:t xml:space="preserve"> per cent</w:t>
            </w:r>
          </w:p>
        </w:tc>
      </w:tr>
      <w:tr w:rsidR="000D2FBE" w:rsidRPr="00315936" w14:paraId="0296F93F"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77D8F0D7" w14:textId="38296976" w:rsidR="000D2FBE" w:rsidRPr="00315936" w:rsidRDefault="000D2FBE">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589C6336" w14:textId="71628617" w:rsidR="000D2FBE" w:rsidRPr="00315936" w:rsidRDefault="000D2FBE">
            <w:pPr>
              <w:pStyle w:val="Tabletext"/>
            </w:pPr>
            <w:r w:rsidRPr="00315936">
              <w:t>Less than 100</w:t>
            </w:r>
            <w:r w:rsidR="00A67D0D" w:rsidRPr="00315936">
              <w:t xml:space="preserve"> per cent</w:t>
            </w:r>
          </w:p>
        </w:tc>
      </w:tr>
      <w:tr w:rsidR="000D2FBE" w:rsidRPr="00315936" w14:paraId="0F38DC25" w14:textId="77777777" w:rsidTr="00F65621">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D1D0560" w14:textId="77777777" w:rsidR="000D2FBE" w:rsidRPr="00315936" w:rsidRDefault="000D2FBE">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4D63F849" w14:textId="7DC66299" w:rsidR="000D2FBE" w:rsidRPr="00315936" w:rsidRDefault="000D2FBE">
            <w:pPr>
              <w:pStyle w:val="Tabletext"/>
              <w:rPr>
                <w:lang w:eastAsia="en-AU"/>
              </w:rPr>
            </w:pPr>
            <w:r w:rsidRPr="00315936">
              <w:t xml:space="preserve">For the purpose of the performance risk assessment, improvement is compared to </w:t>
            </w:r>
            <w:r w:rsidR="003F6723" w:rsidRPr="00315936">
              <w:t xml:space="preserve">performance </w:t>
            </w:r>
            <w:r w:rsidR="003F6723">
              <w:t xml:space="preserve">at the </w:t>
            </w:r>
            <w:r w:rsidRPr="00315936">
              <w:t>same time last year.</w:t>
            </w:r>
          </w:p>
        </w:tc>
      </w:tr>
      <w:tr w:rsidR="000D2FBE" w:rsidRPr="00315936" w14:paraId="64324C2E" w14:textId="77777777" w:rsidTr="00F65621">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13621FD5" w14:textId="77777777" w:rsidR="000D2FBE" w:rsidRPr="00315936" w:rsidRDefault="000D2FBE">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5560F163" w14:textId="77777777" w:rsidR="003F6723" w:rsidRDefault="000D2FBE">
            <w:pPr>
              <w:pStyle w:val="Tabletext"/>
            </w:pPr>
            <w:r w:rsidRPr="00315936">
              <w:t xml:space="preserve">Performance is </w:t>
            </w:r>
            <w:r w:rsidR="00D82520" w:rsidRPr="00315936">
              <w:t xml:space="preserve">reported </w:t>
            </w:r>
            <w:r w:rsidRPr="00315936">
              <w:t>monthly</w:t>
            </w:r>
            <w:r w:rsidR="00D82520" w:rsidRPr="00315936">
              <w:t xml:space="preserve"> at the health service level</w:t>
            </w:r>
            <w:r w:rsidR="003F6723">
              <w:t>.</w:t>
            </w:r>
            <w:r w:rsidR="00D82520" w:rsidRPr="00315936">
              <w:t xml:space="preserve"> </w:t>
            </w:r>
          </w:p>
          <w:p w14:paraId="63378691" w14:textId="53B15F97" w:rsidR="000D2FBE" w:rsidRPr="00315936" w:rsidRDefault="000D2FBE">
            <w:pPr>
              <w:pStyle w:val="Tabletext"/>
              <w:rPr>
                <w:lang w:eastAsia="en-AU"/>
              </w:rPr>
            </w:pPr>
            <w:r w:rsidRPr="00315936">
              <w:t xml:space="preserve">Data are </w:t>
            </w:r>
            <w:r w:rsidR="00067B87" w:rsidRPr="00315936">
              <w:t xml:space="preserve">sourced from </w:t>
            </w:r>
            <w:r w:rsidR="003F6723">
              <w:t>the Elective Surgery Information System (ESIS)</w:t>
            </w:r>
            <w:r w:rsidRPr="00315936">
              <w:t xml:space="preserve">. </w:t>
            </w:r>
          </w:p>
        </w:tc>
      </w:tr>
    </w:tbl>
    <w:p w14:paraId="546CCB52" w14:textId="666B255A" w:rsidR="00416460" w:rsidRPr="008E7F78" w:rsidRDefault="00416460" w:rsidP="008E7F78">
      <w:pPr>
        <w:pStyle w:val="Heading4"/>
      </w:pPr>
      <w:bookmarkStart w:id="71" w:name="_Toc1651305451"/>
      <w:r w:rsidRPr="008E7F78">
        <w:t xml:space="preserve">Percentage of planned surgery patients admitted within clinically recommended </w:t>
      </w:r>
      <w:r w:rsidR="00024E00" w:rsidRPr="008E7F78">
        <w:t>time</w:t>
      </w:r>
    </w:p>
    <w:tbl>
      <w:tblPr>
        <w:tblStyle w:val="TableGrid"/>
        <w:tblW w:w="93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7"/>
        <w:gridCol w:w="7512"/>
      </w:tblGrid>
      <w:tr w:rsidR="0BCB349E" w14:paraId="7DB34AC7" w14:textId="77777777" w:rsidTr="0030151B">
        <w:trPr>
          <w:trHeight w:val="300"/>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3849A7CB" w14:textId="7823D546" w:rsidR="0BCB349E" w:rsidRDefault="0BCB349E" w:rsidP="0BCB349E">
            <w:pPr>
              <w:pStyle w:val="Tablecolhead"/>
              <w:rPr>
                <w:rFonts w:eastAsia="Arial" w:cs="Arial"/>
                <w:bCs/>
                <w:szCs w:val="21"/>
              </w:rPr>
            </w:pPr>
            <w:r w:rsidRPr="0BCB349E">
              <w:rPr>
                <w:rFonts w:eastAsia="Arial" w:cs="Arial"/>
                <w:b w:val="0"/>
                <w:szCs w:val="21"/>
              </w:rPr>
              <w:t>Measure</w:t>
            </w:r>
          </w:p>
        </w:tc>
        <w:tc>
          <w:tcPr>
            <w:tcW w:w="7512" w:type="dxa"/>
            <w:tcBorders>
              <w:left w:val="single" w:sz="6" w:space="0" w:color="000000" w:themeColor="text1"/>
            </w:tcBorders>
            <w:tcMar>
              <w:left w:w="105" w:type="dxa"/>
              <w:right w:w="105" w:type="dxa"/>
            </w:tcMar>
            <w:vAlign w:val="bottom"/>
          </w:tcPr>
          <w:p w14:paraId="7DDB3371" w14:textId="1985B91F"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Percentage of planned surgery patients admitted within clinically recommended time</w:t>
            </w:r>
          </w:p>
        </w:tc>
      </w:tr>
      <w:tr w:rsidR="0BCB349E" w14:paraId="4E7A18E3"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7B155E00" w14:textId="4DBEEE11" w:rsidR="0BCB349E" w:rsidRDefault="0BCB349E" w:rsidP="0BCB349E">
            <w:pPr>
              <w:pStyle w:val="Tablecolhead"/>
              <w:rPr>
                <w:rFonts w:eastAsia="Arial" w:cs="Arial"/>
                <w:bCs/>
                <w:szCs w:val="21"/>
              </w:rPr>
            </w:pPr>
            <w:r w:rsidRPr="0BCB349E">
              <w:rPr>
                <w:rFonts w:eastAsia="Arial" w:cs="Arial"/>
                <w:b w:val="0"/>
                <w:szCs w:val="21"/>
              </w:rPr>
              <w:t>Description </w:t>
            </w:r>
          </w:p>
        </w:tc>
        <w:tc>
          <w:tcPr>
            <w:tcW w:w="7512" w:type="dxa"/>
            <w:tcBorders>
              <w:left w:val="single" w:sz="6" w:space="0" w:color="000000" w:themeColor="text1"/>
            </w:tcBorders>
            <w:tcMar>
              <w:left w:w="105" w:type="dxa"/>
              <w:right w:w="105" w:type="dxa"/>
            </w:tcMar>
          </w:tcPr>
          <w:p w14:paraId="2C5AB41C" w14:textId="6A886BF3"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All planned surgery patients are allocated an urgency category that indicates the desirable timeframe for admission due to their clinical condition.</w:t>
            </w:r>
          </w:p>
          <w:p w14:paraId="6045B5DC" w14:textId="3F33C8D3"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The urgency categories are:</w:t>
            </w:r>
          </w:p>
          <w:p w14:paraId="5C675C1F" w14:textId="34979991" w:rsidR="0BCB349E" w:rsidRDefault="0BCB349E" w:rsidP="0BCB349E">
            <w:pPr>
              <w:pStyle w:val="Tablebullet1"/>
              <w:rPr>
                <w:rFonts w:eastAsia="Arial" w:cs="Arial"/>
                <w:color w:val="000000" w:themeColor="text1"/>
                <w:szCs w:val="21"/>
              </w:rPr>
            </w:pPr>
            <w:r w:rsidRPr="0BCB349E">
              <w:rPr>
                <w:rFonts w:eastAsia="Arial" w:cs="Arial"/>
                <w:color w:val="000000" w:themeColor="text1"/>
                <w:szCs w:val="21"/>
              </w:rPr>
              <w:t>urgency category 1</w:t>
            </w:r>
            <w:r w:rsidR="00122291">
              <w:rPr>
                <w:rFonts w:eastAsia="Arial" w:cs="Arial"/>
                <w:color w:val="000000" w:themeColor="text1"/>
                <w:szCs w:val="21"/>
              </w:rPr>
              <w:t xml:space="preserve"> </w:t>
            </w:r>
            <w:r w:rsidRPr="0BCB349E">
              <w:rPr>
                <w:rFonts w:eastAsia="Arial" w:cs="Arial"/>
                <w:color w:val="000000" w:themeColor="text1"/>
                <w:szCs w:val="21"/>
              </w:rPr>
              <w:t>– admission within 30 days is desirable</w:t>
            </w:r>
          </w:p>
          <w:p w14:paraId="57DF37CF" w14:textId="056BD9DD" w:rsidR="0BCB349E" w:rsidRDefault="0BCB349E" w:rsidP="0BCB349E">
            <w:pPr>
              <w:pStyle w:val="Tablebullet1"/>
              <w:rPr>
                <w:rFonts w:eastAsia="Arial" w:cs="Arial"/>
                <w:color w:val="000000" w:themeColor="text1"/>
              </w:rPr>
            </w:pPr>
            <w:r w:rsidRPr="31572E21">
              <w:rPr>
                <w:rFonts w:eastAsia="Arial" w:cs="Arial"/>
                <w:color w:val="000000" w:themeColor="text1"/>
              </w:rPr>
              <w:t>urgency category 2</w:t>
            </w:r>
            <w:r w:rsidR="00122291" w:rsidRPr="31572E21">
              <w:rPr>
                <w:rFonts w:eastAsia="Arial" w:cs="Arial"/>
                <w:color w:val="000000" w:themeColor="text1"/>
              </w:rPr>
              <w:t xml:space="preserve"> </w:t>
            </w:r>
            <w:r w:rsidRPr="31572E21">
              <w:rPr>
                <w:rFonts w:eastAsia="Arial" w:cs="Arial"/>
                <w:color w:val="000000" w:themeColor="text1"/>
              </w:rPr>
              <w:t>– admission within 90 days is desirable</w:t>
            </w:r>
          </w:p>
          <w:p w14:paraId="24620C22" w14:textId="31B7D281" w:rsidR="0BCB349E" w:rsidRPr="00280631" w:rsidRDefault="0BCB349E" w:rsidP="00280631">
            <w:pPr>
              <w:pStyle w:val="Tablebullet1"/>
              <w:rPr>
                <w:rFonts w:eastAsia="Arial" w:cs="Arial"/>
                <w:color w:val="000000" w:themeColor="text1"/>
                <w:szCs w:val="21"/>
              </w:rPr>
            </w:pPr>
            <w:r w:rsidRPr="0BCB349E">
              <w:rPr>
                <w:rFonts w:eastAsia="Arial" w:cs="Arial"/>
                <w:color w:val="000000" w:themeColor="text1"/>
                <w:szCs w:val="21"/>
              </w:rPr>
              <w:t>urgency category 3</w:t>
            </w:r>
            <w:r w:rsidRPr="0BCB349E" w:rsidDel="00122291">
              <w:rPr>
                <w:rFonts w:eastAsia="Arial" w:cs="Arial"/>
                <w:color w:val="000000" w:themeColor="text1"/>
                <w:szCs w:val="21"/>
              </w:rPr>
              <w:t xml:space="preserve"> </w:t>
            </w:r>
            <w:r w:rsidRPr="0BCB349E">
              <w:rPr>
                <w:rFonts w:eastAsia="Arial" w:cs="Arial"/>
                <w:color w:val="000000" w:themeColor="text1"/>
                <w:szCs w:val="21"/>
              </w:rPr>
              <w:t>– admission within 365 days is desirable.</w:t>
            </w:r>
          </w:p>
        </w:tc>
      </w:tr>
      <w:tr w:rsidR="0BCB349E" w14:paraId="7A662693"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04E86758" w14:textId="181DFBA5" w:rsidR="0BCB349E" w:rsidRDefault="0BCB349E" w:rsidP="0BCB349E">
            <w:pPr>
              <w:pStyle w:val="Tablecolhead"/>
              <w:rPr>
                <w:rFonts w:eastAsia="Arial" w:cs="Arial"/>
                <w:bCs/>
                <w:szCs w:val="21"/>
              </w:rPr>
            </w:pPr>
            <w:r w:rsidRPr="0BCB349E">
              <w:rPr>
                <w:rFonts w:eastAsia="Arial" w:cs="Arial"/>
                <w:b w:val="0"/>
                <w:szCs w:val="21"/>
              </w:rPr>
              <w:t>Calculating performance</w:t>
            </w:r>
          </w:p>
        </w:tc>
        <w:tc>
          <w:tcPr>
            <w:tcW w:w="7512" w:type="dxa"/>
            <w:tcBorders>
              <w:left w:val="single" w:sz="6" w:space="0" w:color="000000" w:themeColor="text1"/>
            </w:tcBorders>
            <w:tcMar>
              <w:left w:w="105" w:type="dxa"/>
              <w:right w:w="105" w:type="dxa"/>
            </w:tcMar>
          </w:tcPr>
          <w:p w14:paraId="1DEA4C8B" w14:textId="77777777" w:rsidR="00401FBD" w:rsidRDefault="00401FBD" w:rsidP="0BCB349E">
            <w:pPr>
              <w:pStyle w:val="Tabletext"/>
            </w:pPr>
            <w:r>
              <w:t>This measure is reported at the health service level. Where a health service has multiple campuses, the aggregate for all campuses is used.</w:t>
            </w:r>
          </w:p>
          <w:p w14:paraId="1B569EEE" w14:textId="0117DE22" w:rsidR="0BCB349E" w:rsidRDefault="00D65DA3" w:rsidP="4A3EC911">
            <w:pPr>
              <w:pStyle w:val="Tabletext"/>
              <w:rPr>
                <w:rFonts w:eastAsia="Arial" w:cs="Arial"/>
                <w:color w:val="000000" w:themeColor="text1"/>
              </w:rPr>
            </w:pPr>
            <w:r w:rsidRPr="00315936">
              <w:rPr>
                <w:rFonts w:eastAsia="Arial"/>
              </w:rPr>
              <w:t xml:space="preserve">This measure is assessed using records assigned an </w:t>
            </w:r>
            <w:r w:rsidRPr="00315936">
              <w:t>intended procedure</w:t>
            </w:r>
            <w:r>
              <w:t xml:space="preserve"> code other than IP401 (</w:t>
            </w:r>
            <w:r w:rsidRPr="00D65DA3">
              <w:t>Gastroscopy</w:t>
            </w:r>
            <w:r>
              <w:t>) or IP402 (Colonoscopy)</w:t>
            </w:r>
            <w:r w:rsidR="00D71E0A">
              <w:fldChar w:fldCharType="begin"/>
            </w:r>
            <w:r w:rsidR="00D71E0A">
              <w:instrText xml:space="preserve"> NOTEREF _Ref201833425 \f \h </w:instrText>
            </w:r>
            <w:r w:rsidR="00D71E0A">
              <w:fldChar w:fldCharType="separate"/>
            </w:r>
            <w:r w:rsidR="00D71E0A" w:rsidRPr="00D71E0A">
              <w:rPr>
                <w:rStyle w:val="EndnoteReference"/>
              </w:rPr>
              <w:t>xiii</w:t>
            </w:r>
            <w:r w:rsidR="00D71E0A">
              <w:fldChar w:fldCharType="end"/>
            </w:r>
            <w:r w:rsidRPr="00315936">
              <w:rPr>
                <w:rFonts w:eastAsia="Arial"/>
              </w:rPr>
              <w:t xml:space="preserve"> and with a “Readiness Status” code of either</w:t>
            </w:r>
            <w:r w:rsidR="0BCB349E" w:rsidRPr="4A3EC911">
              <w:rPr>
                <w:rFonts w:eastAsia="Arial" w:cs="Arial"/>
                <w:color w:val="000000" w:themeColor="text1"/>
              </w:rPr>
              <w:t>:</w:t>
            </w:r>
          </w:p>
          <w:p w14:paraId="2B5CEF32" w14:textId="2C1E8FA0" w:rsidR="0BCB349E" w:rsidRDefault="0BCB349E" w:rsidP="0BCB349E">
            <w:pPr>
              <w:pStyle w:val="Tablebullet1"/>
              <w:rPr>
                <w:rFonts w:eastAsia="Arial" w:cs="Arial"/>
                <w:color w:val="000000" w:themeColor="text1"/>
                <w:szCs w:val="21"/>
              </w:rPr>
            </w:pPr>
            <w:r w:rsidRPr="0BCB349E">
              <w:rPr>
                <w:rFonts w:eastAsia="Arial" w:cs="Arial"/>
                <w:color w:val="000000" w:themeColor="text1"/>
                <w:szCs w:val="21"/>
              </w:rPr>
              <w:t>readiness status of ‘R’ (ready for surgery)</w:t>
            </w:r>
          </w:p>
          <w:p w14:paraId="6E7071B9" w14:textId="41EF80E1" w:rsidR="0BCB349E" w:rsidRDefault="0BCB349E" w:rsidP="0BCB349E">
            <w:pPr>
              <w:pStyle w:val="Tablebullet1"/>
              <w:rPr>
                <w:rFonts w:eastAsia="Arial" w:cs="Arial"/>
                <w:color w:val="000000" w:themeColor="text1"/>
                <w:szCs w:val="21"/>
              </w:rPr>
            </w:pPr>
            <w:r w:rsidRPr="0BCB349E">
              <w:rPr>
                <w:rFonts w:eastAsia="Arial" w:cs="Arial"/>
                <w:color w:val="000000" w:themeColor="text1"/>
                <w:szCs w:val="21"/>
              </w:rPr>
              <w:t>readiness status of ‘V’ (ready for surgery, but delayed due to COVID-19 response)</w:t>
            </w:r>
            <w:r w:rsidR="00BF1EF2">
              <w:rPr>
                <w:rFonts w:eastAsia="Arial" w:cs="Arial"/>
                <w:color w:val="000000" w:themeColor="text1"/>
                <w:szCs w:val="21"/>
              </w:rPr>
              <w:t>.</w:t>
            </w:r>
          </w:p>
          <w:p w14:paraId="6B86563A" w14:textId="24CC45F1" w:rsidR="0BCB349E" w:rsidRPr="00280631" w:rsidRDefault="005D497A" w:rsidP="00280631">
            <w:pPr>
              <w:pStyle w:val="Tablebullet1"/>
              <w:numPr>
                <w:ilvl w:val="0"/>
                <w:numId w:val="0"/>
              </w:numPr>
            </w:pPr>
            <w:r>
              <w:t xml:space="preserve">A patient is counted as being admitted if the </w:t>
            </w:r>
            <w:r w:rsidR="008E76FC">
              <w:t xml:space="preserve">admission </w:t>
            </w:r>
            <w:r w:rsidRPr="00315936">
              <w:t xml:space="preserve">date falls within the </w:t>
            </w:r>
            <w:r>
              <w:t xml:space="preserve">reporting period and </w:t>
            </w:r>
            <w:r w:rsidRPr="00315936">
              <w:t>the reason for removal is any one of the following:</w:t>
            </w:r>
          </w:p>
          <w:p w14:paraId="1638E426" w14:textId="1463E752" w:rsidR="0BCB349E" w:rsidRDefault="0BCB349E" w:rsidP="0BCB349E">
            <w:pPr>
              <w:pStyle w:val="Tablebullet1"/>
              <w:rPr>
                <w:rFonts w:eastAsia="Arial" w:cs="Arial"/>
                <w:color w:val="000000" w:themeColor="text1"/>
                <w:szCs w:val="21"/>
              </w:rPr>
            </w:pPr>
            <w:r w:rsidRPr="0BCB349E">
              <w:rPr>
                <w:rFonts w:eastAsia="Arial" w:cs="Arial"/>
                <w:color w:val="000000" w:themeColor="text1"/>
                <w:szCs w:val="21"/>
              </w:rPr>
              <w:t>W – admitted to the intended campus and has received the awaited procedure</w:t>
            </w:r>
          </w:p>
          <w:p w14:paraId="33EAE3D0" w14:textId="37A8E3AD" w:rsidR="0BCB349E" w:rsidRDefault="0BCB349E" w:rsidP="0BCB349E">
            <w:pPr>
              <w:pStyle w:val="Tablebullet1"/>
              <w:rPr>
                <w:rFonts w:eastAsia="Arial" w:cs="Arial"/>
                <w:color w:val="000000" w:themeColor="text1"/>
                <w:szCs w:val="21"/>
              </w:rPr>
            </w:pPr>
            <w:r w:rsidRPr="0BCB349E">
              <w:rPr>
                <w:rFonts w:eastAsia="Arial" w:cs="Arial"/>
                <w:color w:val="000000" w:themeColor="text1"/>
                <w:szCs w:val="21"/>
              </w:rPr>
              <w:t>S – admitted to another campus arranged by planned Surgery Access Service (ESAS) and has received the awaited procedure</w:t>
            </w:r>
          </w:p>
          <w:p w14:paraId="77009135" w14:textId="07952F9C" w:rsidR="0BCB349E" w:rsidRDefault="0BCB349E" w:rsidP="0BCB349E">
            <w:pPr>
              <w:pStyle w:val="Tablebullet1"/>
              <w:rPr>
                <w:rFonts w:eastAsia="Arial" w:cs="Arial"/>
                <w:color w:val="000000" w:themeColor="text1"/>
                <w:szCs w:val="21"/>
              </w:rPr>
            </w:pPr>
            <w:r w:rsidRPr="0BCB349E">
              <w:rPr>
                <w:rFonts w:eastAsia="Arial" w:cs="Arial"/>
                <w:color w:val="000000" w:themeColor="text1"/>
                <w:szCs w:val="21"/>
              </w:rPr>
              <w:t>X – admitted to another campus arranged by this campus/health service and has received the awaited procedure under other contract or similar arrangement</w:t>
            </w:r>
          </w:p>
          <w:p w14:paraId="1DF012B6" w14:textId="76BA483C" w:rsidR="0BCB349E" w:rsidRDefault="0BCB349E" w:rsidP="0BCB349E">
            <w:pPr>
              <w:pStyle w:val="Tablebullet1"/>
              <w:rPr>
                <w:rFonts w:eastAsia="Arial" w:cs="Arial"/>
                <w:color w:val="000000" w:themeColor="text1"/>
                <w:szCs w:val="21"/>
              </w:rPr>
            </w:pPr>
            <w:r w:rsidRPr="0BCB349E">
              <w:rPr>
                <w:rFonts w:eastAsia="Arial" w:cs="Arial"/>
                <w:color w:val="000000" w:themeColor="text1"/>
                <w:szCs w:val="21"/>
              </w:rPr>
              <w:t xml:space="preserve">P – special purpose, COVID-19 </w:t>
            </w:r>
            <w:r>
              <w:br/>
            </w:r>
            <w:r w:rsidRPr="0BCB349E">
              <w:rPr>
                <w:rFonts w:eastAsia="Arial" w:cs="Arial"/>
                <w:color w:val="000000" w:themeColor="text1"/>
                <w:szCs w:val="21"/>
              </w:rPr>
              <w:t>admitted to another campus arranged by this campus/health service and has received the awaited procedure under contract or similar arrangement due to the COVID-19 response</w:t>
            </w:r>
          </w:p>
          <w:p w14:paraId="0A84D3A2" w14:textId="77777777" w:rsidR="00A52A14" w:rsidRDefault="00A52A14" w:rsidP="00A52A14">
            <w:pPr>
              <w:pStyle w:val="Tabletext"/>
            </w:pPr>
            <w:r>
              <w:lastRenderedPageBreak/>
              <w:t>Assessment of whether an admission was within time is based on the number of days the patient was waiting and ready for surgery.</w:t>
            </w:r>
          </w:p>
          <w:p w14:paraId="0A6E6357" w14:textId="6C375B1D" w:rsidR="0BCB349E" w:rsidRDefault="0BCB349E" w:rsidP="0BCB349E">
            <w:pPr>
              <w:pStyle w:val="Tabletext"/>
              <w:rPr>
                <w:rFonts w:eastAsia="Arial" w:cs="Arial"/>
                <w:color w:val="000000" w:themeColor="text1"/>
              </w:rPr>
            </w:pPr>
            <w:r w:rsidRPr="4A3EC911">
              <w:rPr>
                <w:rFonts w:eastAsia="Arial" w:cs="Arial"/>
                <w:color w:val="000000" w:themeColor="text1"/>
              </w:rPr>
              <w:t>This measure is expressed as a percentage rounded to one decimal place</w:t>
            </w:r>
            <w:r w:rsidR="256C76A9" w:rsidRPr="4A3EC911">
              <w:rPr>
                <w:rFonts w:eastAsia="Arial" w:cs="Arial"/>
                <w:color w:val="000000" w:themeColor="text1"/>
              </w:rPr>
              <w:t>.</w:t>
            </w:r>
          </w:p>
        </w:tc>
      </w:tr>
      <w:tr w:rsidR="0BCB349E" w14:paraId="3AED651E"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671E3987" w14:textId="60C94895" w:rsidR="0BCB349E" w:rsidRDefault="0BCB349E" w:rsidP="0BCB349E">
            <w:pPr>
              <w:pStyle w:val="Tablecolhead"/>
              <w:rPr>
                <w:rFonts w:eastAsia="Arial" w:cs="Arial"/>
                <w:bCs/>
                <w:szCs w:val="21"/>
              </w:rPr>
            </w:pPr>
            <w:r w:rsidRPr="0BCB349E">
              <w:rPr>
                <w:rFonts w:eastAsia="Arial" w:cs="Arial"/>
                <w:b w:val="0"/>
                <w:szCs w:val="21"/>
              </w:rPr>
              <w:lastRenderedPageBreak/>
              <w:t>Numerator</w:t>
            </w:r>
          </w:p>
        </w:tc>
        <w:tc>
          <w:tcPr>
            <w:tcW w:w="7512" w:type="dxa"/>
            <w:tcBorders>
              <w:left w:val="single" w:sz="6" w:space="0" w:color="000000" w:themeColor="text1"/>
            </w:tcBorders>
            <w:tcMar>
              <w:left w:w="105" w:type="dxa"/>
              <w:right w:w="105" w:type="dxa"/>
            </w:tcMar>
          </w:tcPr>
          <w:p w14:paraId="345170C9" w14:textId="6C0678C4"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Number of patients admitted within clinically recommended timeframes, aggregated across all urgency categories.</w:t>
            </w:r>
          </w:p>
        </w:tc>
      </w:tr>
      <w:tr w:rsidR="0BCB349E" w14:paraId="5B923236"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7B6B4557" w14:textId="7E6B8EB5" w:rsidR="0BCB349E" w:rsidRDefault="0BCB349E" w:rsidP="0BCB349E">
            <w:pPr>
              <w:pStyle w:val="Tablecolhead"/>
              <w:rPr>
                <w:rFonts w:eastAsia="Arial" w:cs="Arial"/>
                <w:bCs/>
                <w:szCs w:val="21"/>
              </w:rPr>
            </w:pPr>
            <w:r w:rsidRPr="0BCB349E">
              <w:rPr>
                <w:rFonts w:eastAsia="Arial" w:cs="Arial"/>
                <w:b w:val="0"/>
                <w:szCs w:val="21"/>
              </w:rPr>
              <w:t>Denominator</w:t>
            </w:r>
          </w:p>
        </w:tc>
        <w:tc>
          <w:tcPr>
            <w:tcW w:w="7512" w:type="dxa"/>
            <w:tcBorders>
              <w:left w:val="single" w:sz="6" w:space="0" w:color="000000" w:themeColor="text1"/>
            </w:tcBorders>
            <w:tcMar>
              <w:left w:w="105" w:type="dxa"/>
              <w:right w:w="105" w:type="dxa"/>
            </w:tcMar>
          </w:tcPr>
          <w:p w14:paraId="56A39402" w14:textId="2023C846"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Total number of patients admitted</w:t>
            </w:r>
          </w:p>
        </w:tc>
      </w:tr>
      <w:tr w:rsidR="0BCB349E" w14:paraId="14F351EB"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28523CC0" w14:textId="77827F9A" w:rsidR="0BCB349E" w:rsidRDefault="0BCB349E" w:rsidP="0BCB349E">
            <w:pPr>
              <w:pStyle w:val="Tablecolhead"/>
              <w:rPr>
                <w:rFonts w:eastAsia="Arial" w:cs="Arial"/>
                <w:bCs/>
                <w:szCs w:val="21"/>
              </w:rPr>
            </w:pPr>
            <w:r w:rsidRPr="0BCB349E">
              <w:rPr>
                <w:rFonts w:eastAsia="Arial" w:cs="Arial"/>
                <w:b w:val="0"/>
                <w:szCs w:val="21"/>
              </w:rPr>
              <w:t>Statewide target</w:t>
            </w:r>
          </w:p>
        </w:tc>
        <w:tc>
          <w:tcPr>
            <w:tcW w:w="7512" w:type="dxa"/>
            <w:tcBorders>
              <w:left w:val="single" w:sz="6" w:space="0" w:color="000000" w:themeColor="text1"/>
            </w:tcBorders>
            <w:tcMar>
              <w:left w:w="105" w:type="dxa"/>
              <w:right w:w="105" w:type="dxa"/>
            </w:tcMar>
          </w:tcPr>
          <w:p w14:paraId="45984F4D" w14:textId="3EAC8AC1"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94 per cent</w:t>
            </w:r>
          </w:p>
        </w:tc>
      </w:tr>
      <w:tr w:rsidR="0BCB349E" w14:paraId="3E0293E3"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773F7FD3" w14:textId="254F7932" w:rsidR="0BCB349E" w:rsidRDefault="0BCB349E" w:rsidP="0BCB349E">
            <w:pPr>
              <w:pStyle w:val="Tablecolhead"/>
              <w:rPr>
                <w:rFonts w:eastAsia="Arial" w:cs="Arial"/>
                <w:bCs/>
                <w:szCs w:val="21"/>
              </w:rPr>
            </w:pPr>
            <w:r w:rsidRPr="0BCB349E">
              <w:rPr>
                <w:rFonts w:eastAsia="Arial" w:cs="Arial"/>
                <w:b w:val="0"/>
                <w:szCs w:val="21"/>
              </w:rPr>
              <w:t>Achieved</w:t>
            </w:r>
          </w:p>
        </w:tc>
        <w:tc>
          <w:tcPr>
            <w:tcW w:w="7512" w:type="dxa"/>
            <w:tcBorders>
              <w:left w:val="single" w:sz="6" w:space="0" w:color="000000" w:themeColor="text1"/>
            </w:tcBorders>
            <w:tcMar>
              <w:left w:w="105" w:type="dxa"/>
              <w:right w:w="105" w:type="dxa"/>
            </w:tcMar>
          </w:tcPr>
          <w:p w14:paraId="112A2509" w14:textId="4F78D5E6"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Greater than or equal to 94 per cent</w:t>
            </w:r>
          </w:p>
        </w:tc>
      </w:tr>
      <w:tr w:rsidR="0BCB349E" w14:paraId="0CEA9B4D"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62AE1E4E" w14:textId="4C67E5BA" w:rsidR="0BCB349E" w:rsidRDefault="0BCB349E" w:rsidP="0BCB349E">
            <w:pPr>
              <w:pStyle w:val="Tablecolhead"/>
              <w:rPr>
                <w:rFonts w:eastAsia="Arial" w:cs="Arial"/>
                <w:bCs/>
                <w:szCs w:val="21"/>
              </w:rPr>
            </w:pPr>
            <w:r w:rsidRPr="0BCB349E">
              <w:rPr>
                <w:rFonts w:eastAsia="Arial" w:cs="Arial"/>
                <w:b w:val="0"/>
                <w:szCs w:val="21"/>
              </w:rPr>
              <w:t>Not achieved</w:t>
            </w:r>
          </w:p>
        </w:tc>
        <w:tc>
          <w:tcPr>
            <w:tcW w:w="7512" w:type="dxa"/>
            <w:tcBorders>
              <w:left w:val="single" w:sz="6" w:space="0" w:color="000000" w:themeColor="text1"/>
            </w:tcBorders>
            <w:tcMar>
              <w:left w:w="105" w:type="dxa"/>
              <w:right w:w="105" w:type="dxa"/>
            </w:tcMar>
          </w:tcPr>
          <w:p w14:paraId="41F65F7A" w14:textId="5826D411"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Less than 94 per cent</w:t>
            </w:r>
          </w:p>
        </w:tc>
      </w:tr>
      <w:tr w:rsidR="0BCB349E" w14:paraId="0EDD8F79" w14:textId="77777777" w:rsidTr="0030151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Mar>
              <w:left w:w="105" w:type="dxa"/>
              <w:right w:w="105" w:type="dxa"/>
            </w:tcMar>
          </w:tcPr>
          <w:p w14:paraId="107DD63F" w14:textId="53DD6509" w:rsidR="0BCB349E" w:rsidRDefault="0BCB349E" w:rsidP="0BCB349E">
            <w:pPr>
              <w:pStyle w:val="Tablecolhead"/>
              <w:rPr>
                <w:rFonts w:eastAsia="Arial" w:cs="Arial"/>
                <w:bCs/>
                <w:szCs w:val="21"/>
              </w:rPr>
            </w:pPr>
            <w:r w:rsidRPr="0BCB349E">
              <w:rPr>
                <w:rFonts w:eastAsia="Arial" w:cs="Arial"/>
                <w:b w:val="0"/>
                <w:szCs w:val="21"/>
              </w:rPr>
              <w:t>Improvement</w:t>
            </w:r>
          </w:p>
        </w:tc>
        <w:tc>
          <w:tcPr>
            <w:tcW w:w="7512" w:type="dxa"/>
            <w:tcBorders>
              <w:left w:val="single" w:sz="6" w:space="0" w:color="000000" w:themeColor="text1"/>
            </w:tcBorders>
            <w:tcMar>
              <w:left w:w="105" w:type="dxa"/>
              <w:right w:w="105" w:type="dxa"/>
            </w:tcMar>
          </w:tcPr>
          <w:p w14:paraId="6DB78BE3" w14:textId="28028228"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 xml:space="preserve">For the purpose of the performance risk assessment, improvement is compared to </w:t>
            </w:r>
            <w:r w:rsidR="00F22539">
              <w:rPr>
                <w:rFonts w:eastAsia="Arial" w:cs="Arial"/>
                <w:color w:val="000000" w:themeColor="text1"/>
                <w:szCs w:val="21"/>
              </w:rPr>
              <w:t xml:space="preserve">performance at </w:t>
            </w:r>
            <w:r w:rsidRPr="0BCB349E">
              <w:rPr>
                <w:rFonts w:eastAsia="Arial" w:cs="Arial"/>
                <w:color w:val="000000" w:themeColor="text1"/>
                <w:szCs w:val="21"/>
              </w:rPr>
              <w:t>same time last year.</w:t>
            </w:r>
          </w:p>
        </w:tc>
      </w:tr>
      <w:tr w:rsidR="0BCB349E" w14:paraId="261E9D49" w14:textId="77777777" w:rsidTr="0030151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Mar>
              <w:left w:w="105" w:type="dxa"/>
              <w:right w:w="105" w:type="dxa"/>
            </w:tcMar>
          </w:tcPr>
          <w:p w14:paraId="1EE597F3" w14:textId="4348812F" w:rsidR="0BCB349E" w:rsidRDefault="0BCB349E" w:rsidP="0BCB349E">
            <w:pPr>
              <w:pStyle w:val="Tablecolhead"/>
              <w:rPr>
                <w:rFonts w:eastAsia="Arial" w:cs="Arial"/>
                <w:bCs/>
                <w:szCs w:val="21"/>
              </w:rPr>
            </w:pPr>
            <w:r w:rsidRPr="0BCB349E">
              <w:rPr>
                <w:rFonts w:eastAsia="Arial" w:cs="Arial"/>
                <w:b w:val="0"/>
                <w:szCs w:val="21"/>
              </w:rPr>
              <w:t>Frequency of reporting and data collection</w:t>
            </w:r>
          </w:p>
        </w:tc>
        <w:tc>
          <w:tcPr>
            <w:tcW w:w="7512" w:type="dxa"/>
            <w:tcBorders>
              <w:left w:val="single" w:sz="6" w:space="0" w:color="000000" w:themeColor="text1"/>
            </w:tcBorders>
            <w:tcMar>
              <w:left w:w="105" w:type="dxa"/>
              <w:right w:w="105" w:type="dxa"/>
            </w:tcMar>
          </w:tcPr>
          <w:p w14:paraId="734C7BD8" w14:textId="0197A980" w:rsidR="0BCB349E" w:rsidRDefault="0BCB349E" w:rsidP="0BCB349E">
            <w:pPr>
              <w:pStyle w:val="Tabletext"/>
              <w:rPr>
                <w:rFonts w:eastAsia="Arial" w:cs="Arial"/>
                <w:color w:val="000000" w:themeColor="text1"/>
                <w:szCs w:val="21"/>
              </w:rPr>
            </w:pPr>
            <w:r w:rsidRPr="0BCB349E">
              <w:rPr>
                <w:rFonts w:eastAsia="Arial" w:cs="Arial"/>
                <w:color w:val="000000" w:themeColor="text1"/>
                <w:szCs w:val="21"/>
              </w:rPr>
              <w:t>Performance is reported monthly at the health service level.</w:t>
            </w:r>
          </w:p>
          <w:p w14:paraId="38C24247" w14:textId="022B60AD" w:rsidR="0BCB349E" w:rsidRDefault="00F22539" w:rsidP="0BCB349E">
            <w:pPr>
              <w:pStyle w:val="Tabletext"/>
              <w:rPr>
                <w:rFonts w:eastAsia="Arial" w:cs="Arial"/>
                <w:color w:val="000000" w:themeColor="text1"/>
                <w:szCs w:val="21"/>
              </w:rPr>
            </w:pPr>
            <w:r w:rsidRPr="00315936">
              <w:t xml:space="preserve">Data are sourced from </w:t>
            </w:r>
            <w:r>
              <w:t>the Elective Surgery Information System (ESIS)</w:t>
            </w:r>
            <w:r w:rsidRPr="00315936">
              <w:t>.</w:t>
            </w:r>
          </w:p>
        </w:tc>
      </w:tr>
    </w:tbl>
    <w:p w14:paraId="359A24A1" w14:textId="1CC867D5" w:rsidR="00551F01" w:rsidRPr="00315936" w:rsidRDefault="00551F01" w:rsidP="008E7F78">
      <w:pPr>
        <w:pStyle w:val="Heading4"/>
      </w:pPr>
      <w:r>
        <w:t>Percentage of patients on the waiting list who have waited longer than clinically recommended for their respective triage category</w:t>
      </w:r>
      <w:bookmarkEnd w:id="71"/>
    </w:p>
    <w:tbl>
      <w:tblPr>
        <w:tblStyle w:val="TableGrid"/>
        <w:tblW w:w="9349" w:type="dxa"/>
        <w:tblCellMar>
          <w:right w:w="85" w:type="dxa"/>
        </w:tblCellMar>
        <w:tblLook w:val="04A0" w:firstRow="1" w:lastRow="0" w:firstColumn="1" w:lastColumn="0" w:noHBand="0" w:noVBand="1"/>
      </w:tblPr>
      <w:tblGrid>
        <w:gridCol w:w="1837"/>
        <w:gridCol w:w="7512"/>
      </w:tblGrid>
      <w:tr w:rsidR="0068157E" w:rsidRPr="00315936" w14:paraId="63120833" w14:textId="77777777" w:rsidTr="00535D2B">
        <w:trPr>
          <w:trHeight w:val="582"/>
        </w:trPr>
        <w:tc>
          <w:tcPr>
            <w:tcW w:w="1837"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2EF3C9BD" w14:textId="7E168EFB" w:rsidR="0068157E" w:rsidRPr="00315936" w:rsidRDefault="00C3016B">
            <w:pPr>
              <w:pStyle w:val="Tablecolhead"/>
              <w:rPr>
                <w:b w:val="0"/>
                <w:lang w:eastAsia="en-AU"/>
              </w:rPr>
            </w:pPr>
            <w:r w:rsidRPr="00315936">
              <w:rPr>
                <w:b w:val="0"/>
                <w:lang w:eastAsia="en-AU"/>
              </w:rPr>
              <w:t>Measure</w:t>
            </w:r>
          </w:p>
        </w:tc>
        <w:tc>
          <w:tcPr>
            <w:tcW w:w="7512" w:type="dxa"/>
            <w:tcBorders>
              <w:left w:val="single" w:sz="6" w:space="0" w:color="000000" w:themeColor="text1"/>
            </w:tcBorders>
          </w:tcPr>
          <w:p w14:paraId="598F21D7" w14:textId="4D762840" w:rsidR="0068157E" w:rsidRPr="00280631" w:rsidRDefault="2EDB414B" w:rsidP="00901057">
            <w:pPr>
              <w:pStyle w:val="Tabletext"/>
              <w:rPr>
                <w:rFonts w:eastAsia="Arial" w:cs="Arial"/>
                <w:color w:val="000000" w:themeColor="text1"/>
                <w:szCs w:val="21"/>
              </w:rPr>
            </w:pPr>
            <w:r w:rsidRPr="18ED453A">
              <w:rPr>
                <w:rFonts w:eastAsia="Arial" w:cs="Arial"/>
                <w:color w:val="000000" w:themeColor="text1"/>
                <w:szCs w:val="21"/>
              </w:rPr>
              <w:t>Percentage of patients on the waiting list who have waited longer than clinically recommended for their respective triage category</w:t>
            </w:r>
          </w:p>
        </w:tc>
      </w:tr>
      <w:tr w:rsidR="0068157E" w:rsidRPr="00315936" w14:paraId="687E70AF"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5D1773A" w14:textId="77777777" w:rsidR="0068157E" w:rsidRPr="00315936" w:rsidRDefault="0068157E">
            <w:pPr>
              <w:pStyle w:val="Tablecolhead"/>
              <w:rPr>
                <w:b w:val="0"/>
                <w:lang w:eastAsia="en-AU"/>
              </w:rPr>
            </w:pPr>
            <w:r w:rsidRPr="00315936">
              <w:rPr>
                <w:b w:val="0"/>
                <w:lang w:eastAsia="en-AU"/>
              </w:rPr>
              <w:t>Description </w:t>
            </w:r>
          </w:p>
        </w:tc>
        <w:tc>
          <w:tcPr>
            <w:tcW w:w="7512" w:type="dxa"/>
            <w:tcBorders>
              <w:left w:val="single" w:sz="6" w:space="0" w:color="000000" w:themeColor="text1"/>
            </w:tcBorders>
          </w:tcPr>
          <w:p w14:paraId="4AB13261" w14:textId="11184538" w:rsidR="004756EA" w:rsidRDefault="0068157E" w:rsidP="004756EA">
            <w:pPr>
              <w:pStyle w:val="Tabletext"/>
            </w:pPr>
            <w:r w:rsidRPr="00315936">
              <w:t xml:space="preserve">All </w:t>
            </w:r>
            <w:r w:rsidRPr="00315936">
              <w:rPr>
                <w:rFonts w:eastAsia="Times"/>
              </w:rPr>
              <w:t xml:space="preserve">planned </w:t>
            </w:r>
            <w:r w:rsidRPr="00315936">
              <w:t>surgery patients are allocated an urgency category that indicates the desirable timeframe for admissions due to their clinical condition.</w:t>
            </w:r>
          </w:p>
          <w:p w14:paraId="76368D6A" w14:textId="25C3FF65" w:rsidR="004756EA" w:rsidRDefault="004756EA" w:rsidP="004756EA">
            <w:pPr>
              <w:pStyle w:val="Tabletext"/>
              <w:rPr>
                <w:rFonts w:eastAsia="Arial" w:cs="Arial"/>
                <w:color w:val="000000" w:themeColor="text1"/>
                <w:szCs w:val="21"/>
              </w:rPr>
            </w:pPr>
            <w:r w:rsidRPr="0BCB349E">
              <w:rPr>
                <w:rFonts w:eastAsia="Arial" w:cs="Arial"/>
                <w:color w:val="000000" w:themeColor="text1"/>
                <w:szCs w:val="21"/>
              </w:rPr>
              <w:t>The urgency categories are:</w:t>
            </w:r>
          </w:p>
          <w:p w14:paraId="25DC22D5" w14:textId="77777777" w:rsidR="004756EA" w:rsidRDefault="004756EA" w:rsidP="004756EA">
            <w:pPr>
              <w:pStyle w:val="Tablebullet1"/>
              <w:rPr>
                <w:rFonts w:eastAsia="Arial" w:cs="Arial"/>
                <w:color w:val="000000" w:themeColor="text1"/>
                <w:szCs w:val="21"/>
              </w:rPr>
            </w:pPr>
            <w:r w:rsidRPr="0BCB349E">
              <w:rPr>
                <w:rFonts w:eastAsia="Arial" w:cs="Arial"/>
                <w:color w:val="000000" w:themeColor="text1"/>
                <w:szCs w:val="21"/>
              </w:rPr>
              <w:t>urgency category 1</w:t>
            </w:r>
            <w:r>
              <w:rPr>
                <w:rFonts w:eastAsia="Arial" w:cs="Arial"/>
                <w:color w:val="000000" w:themeColor="text1"/>
                <w:szCs w:val="21"/>
              </w:rPr>
              <w:t xml:space="preserve"> </w:t>
            </w:r>
            <w:r w:rsidRPr="0BCB349E">
              <w:rPr>
                <w:rFonts w:eastAsia="Arial" w:cs="Arial"/>
                <w:color w:val="000000" w:themeColor="text1"/>
                <w:szCs w:val="21"/>
              </w:rPr>
              <w:t>– admission within 30 days is desirable</w:t>
            </w:r>
          </w:p>
          <w:p w14:paraId="228C5CCE" w14:textId="77777777" w:rsidR="004756EA" w:rsidRDefault="004756EA" w:rsidP="004756EA">
            <w:pPr>
              <w:pStyle w:val="Tablebullet1"/>
              <w:rPr>
                <w:rFonts w:eastAsia="Arial" w:cs="Arial"/>
                <w:color w:val="000000" w:themeColor="text1"/>
                <w:szCs w:val="21"/>
              </w:rPr>
            </w:pPr>
            <w:r w:rsidRPr="0BCB349E">
              <w:rPr>
                <w:rFonts w:eastAsia="Arial" w:cs="Arial"/>
                <w:color w:val="000000" w:themeColor="text1"/>
                <w:szCs w:val="21"/>
              </w:rPr>
              <w:t>urgency category 2</w:t>
            </w:r>
            <w:r>
              <w:rPr>
                <w:rFonts w:eastAsia="Arial" w:cs="Arial"/>
                <w:color w:val="000000" w:themeColor="text1"/>
                <w:szCs w:val="21"/>
              </w:rPr>
              <w:t xml:space="preserve"> </w:t>
            </w:r>
            <w:r w:rsidRPr="0BCB349E">
              <w:rPr>
                <w:rFonts w:eastAsia="Arial" w:cs="Arial"/>
                <w:color w:val="000000" w:themeColor="text1"/>
                <w:szCs w:val="21"/>
              </w:rPr>
              <w:t>– admission within 90 days is desirable</w:t>
            </w:r>
          </w:p>
          <w:p w14:paraId="64854A40" w14:textId="7F1ED540" w:rsidR="0068157E" w:rsidRPr="00BA0A52" w:rsidRDefault="004756EA" w:rsidP="00BA0A52">
            <w:pPr>
              <w:pStyle w:val="Tablebullet1"/>
              <w:rPr>
                <w:rFonts w:eastAsia="Arial" w:cs="Arial"/>
                <w:color w:val="000000" w:themeColor="text1"/>
                <w:szCs w:val="21"/>
              </w:rPr>
            </w:pPr>
            <w:r w:rsidRPr="004756EA">
              <w:rPr>
                <w:rFonts w:eastAsia="Arial" w:cs="Arial"/>
                <w:color w:val="000000" w:themeColor="text1"/>
                <w:szCs w:val="21"/>
              </w:rPr>
              <w:t>urgency category 3 – admission within 365 days is desirable.</w:t>
            </w:r>
          </w:p>
        </w:tc>
      </w:tr>
      <w:tr w:rsidR="00416460" w:rsidRPr="00315936" w14:paraId="064CD9B5" w14:textId="77777777" w:rsidTr="00535D2B">
        <w:trPr>
          <w:trHeight w:val="1491"/>
        </w:trPr>
        <w:tc>
          <w:tcPr>
            <w:tcW w:w="1837" w:type="dxa"/>
            <w:tcBorders>
              <w:top w:val="single" w:sz="6" w:space="0" w:color="FFFFFF" w:themeColor="background1"/>
              <w:left w:val="single" w:sz="6" w:space="0" w:color="auto"/>
              <w:right w:val="single" w:sz="6" w:space="0" w:color="000000" w:themeColor="text1"/>
            </w:tcBorders>
            <w:shd w:val="clear" w:color="auto" w:fill="000066"/>
          </w:tcPr>
          <w:p w14:paraId="55B5D7F1" w14:textId="77777777" w:rsidR="00416460" w:rsidRPr="00315936" w:rsidRDefault="00416460">
            <w:pPr>
              <w:pStyle w:val="Tablecolhead"/>
              <w:rPr>
                <w:b w:val="0"/>
                <w:lang w:eastAsia="en-AU"/>
              </w:rPr>
            </w:pPr>
            <w:r w:rsidRPr="00315936">
              <w:rPr>
                <w:b w:val="0"/>
                <w:lang w:eastAsia="en-AU"/>
              </w:rPr>
              <w:t>Calculating performance</w:t>
            </w:r>
          </w:p>
        </w:tc>
        <w:tc>
          <w:tcPr>
            <w:tcW w:w="7512" w:type="dxa"/>
            <w:tcBorders>
              <w:left w:val="single" w:sz="6" w:space="0" w:color="000000" w:themeColor="text1"/>
            </w:tcBorders>
          </w:tcPr>
          <w:p w14:paraId="4C28BFFB" w14:textId="77777777" w:rsidR="00401FBD" w:rsidRDefault="00401FBD" w:rsidP="18ED453A">
            <w:pPr>
              <w:pStyle w:val="Tabletext"/>
              <w:spacing w:line="279" w:lineRule="auto"/>
            </w:pPr>
            <w:r>
              <w:t>This measure is reported at the health service level. Where a health service has multiple campuses, the aggregate for all campuses is used.</w:t>
            </w:r>
          </w:p>
          <w:p w14:paraId="41CC33E4" w14:textId="03707006" w:rsidR="00D1184E" w:rsidRPr="00315936" w:rsidRDefault="00D1184E" w:rsidP="00D1184E">
            <w:pPr>
              <w:pStyle w:val="Tabletext"/>
              <w:spacing w:line="279" w:lineRule="auto"/>
              <w:rPr>
                <w:rFonts w:eastAsia="Arial" w:cs="Arial"/>
                <w:color w:val="000000" w:themeColor="text1"/>
                <w:szCs w:val="21"/>
              </w:rPr>
            </w:pPr>
            <w:r w:rsidRPr="18ED453A">
              <w:rPr>
                <w:rFonts w:eastAsia="Arial" w:cs="Arial"/>
                <w:color w:val="000000" w:themeColor="text1"/>
                <w:szCs w:val="21"/>
              </w:rPr>
              <w:t xml:space="preserve">The measure considers the </w:t>
            </w:r>
            <w:r w:rsidR="00832D53">
              <w:rPr>
                <w:rFonts w:eastAsia="Arial" w:cs="Arial"/>
                <w:color w:val="000000" w:themeColor="text1"/>
                <w:szCs w:val="21"/>
              </w:rPr>
              <w:t>whole</w:t>
            </w:r>
            <w:r w:rsidRPr="18ED453A">
              <w:rPr>
                <w:rFonts w:eastAsia="Arial" w:cs="Arial"/>
                <w:color w:val="000000" w:themeColor="text1"/>
                <w:szCs w:val="21"/>
              </w:rPr>
              <w:t xml:space="preserve"> </w:t>
            </w:r>
            <w:r w:rsidR="007F0853">
              <w:rPr>
                <w:rFonts w:eastAsia="Arial" w:cs="Arial"/>
                <w:color w:val="000000" w:themeColor="text1"/>
                <w:szCs w:val="21"/>
              </w:rPr>
              <w:t>waiting</w:t>
            </w:r>
            <w:r w:rsidRPr="18ED453A">
              <w:rPr>
                <w:rFonts w:eastAsia="Arial" w:cs="Arial"/>
                <w:color w:val="000000" w:themeColor="text1"/>
                <w:szCs w:val="21"/>
              </w:rPr>
              <w:t xml:space="preserve"> list at a health service, not only patients who are ‘ready for surgery’. </w:t>
            </w:r>
            <w:r w:rsidR="0034068C">
              <w:rPr>
                <w:rFonts w:eastAsia="Arial" w:cs="Arial"/>
                <w:color w:val="000000" w:themeColor="text1"/>
                <w:szCs w:val="21"/>
              </w:rPr>
              <w:t xml:space="preserve">This includes </w:t>
            </w:r>
            <w:r w:rsidRPr="18ED453A">
              <w:rPr>
                <w:rFonts w:eastAsia="Arial" w:cs="Arial"/>
                <w:color w:val="000000" w:themeColor="text1"/>
                <w:szCs w:val="21"/>
              </w:rPr>
              <w:t>patients with readiness status of:</w:t>
            </w:r>
          </w:p>
          <w:p w14:paraId="51EF782F" w14:textId="77777777" w:rsidR="00D1184E" w:rsidRPr="00315936" w:rsidRDefault="00D1184E" w:rsidP="00D1184E">
            <w:pPr>
              <w:pStyle w:val="Tablebullet1"/>
              <w:spacing w:line="279" w:lineRule="auto"/>
              <w:rPr>
                <w:rFonts w:eastAsia="Arial" w:cs="Arial"/>
                <w:color w:val="000000" w:themeColor="text1"/>
                <w:szCs w:val="21"/>
              </w:rPr>
            </w:pPr>
            <w:r w:rsidRPr="18ED453A">
              <w:rPr>
                <w:rFonts w:eastAsia="Arial" w:cs="Arial"/>
                <w:color w:val="000000" w:themeColor="text1"/>
                <w:szCs w:val="21"/>
              </w:rPr>
              <w:t>‘R’ - ready for surgery</w:t>
            </w:r>
          </w:p>
          <w:p w14:paraId="6AE2926A" w14:textId="77777777" w:rsidR="00D1184E" w:rsidRPr="00315936" w:rsidRDefault="00D1184E" w:rsidP="00D1184E">
            <w:pPr>
              <w:pStyle w:val="Tablebullet1"/>
              <w:spacing w:line="279" w:lineRule="auto"/>
              <w:rPr>
                <w:rFonts w:eastAsia="Arial" w:cs="Arial"/>
                <w:color w:val="000000" w:themeColor="text1"/>
                <w:szCs w:val="21"/>
              </w:rPr>
            </w:pPr>
            <w:r w:rsidRPr="18ED453A">
              <w:rPr>
                <w:rFonts w:eastAsia="Arial" w:cs="Arial"/>
                <w:color w:val="000000" w:themeColor="text1"/>
                <w:szCs w:val="21"/>
              </w:rPr>
              <w:t>‘S’ – Not ready for surgery – staged patients</w:t>
            </w:r>
          </w:p>
          <w:p w14:paraId="1117E991" w14:textId="77777777" w:rsidR="00D1184E" w:rsidRPr="00315936" w:rsidRDefault="00D1184E" w:rsidP="00D1184E">
            <w:pPr>
              <w:pStyle w:val="Tablebullet1"/>
              <w:spacing w:line="279" w:lineRule="auto"/>
              <w:rPr>
                <w:rFonts w:eastAsia="Arial" w:cs="Arial"/>
                <w:color w:val="000000" w:themeColor="text1"/>
                <w:szCs w:val="21"/>
              </w:rPr>
            </w:pPr>
            <w:r w:rsidRPr="18ED453A">
              <w:rPr>
                <w:rFonts w:eastAsia="Arial" w:cs="Arial"/>
                <w:color w:val="000000" w:themeColor="text1"/>
                <w:szCs w:val="21"/>
              </w:rPr>
              <w:t>‘F’ – Not ready for surgery – programmed procedure</w:t>
            </w:r>
          </w:p>
          <w:p w14:paraId="5D68194B" w14:textId="77777777" w:rsidR="00D1184E" w:rsidRPr="00315936" w:rsidRDefault="00D1184E" w:rsidP="00D1184E">
            <w:pPr>
              <w:pStyle w:val="Tablebullet1"/>
              <w:spacing w:line="279" w:lineRule="auto"/>
              <w:rPr>
                <w:rFonts w:eastAsia="Arial" w:cs="Arial"/>
                <w:color w:val="000000" w:themeColor="text1"/>
                <w:szCs w:val="21"/>
              </w:rPr>
            </w:pPr>
            <w:r w:rsidRPr="18ED453A">
              <w:rPr>
                <w:rFonts w:eastAsia="Arial" w:cs="Arial"/>
                <w:color w:val="000000" w:themeColor="text1"/>
                <w:szCs w:val="21"/>
              </w:rPr>
              <w:t>‘C’ – Not ready for surgery – pending improvement of clinical condition</w:t>
            </w:r>
          </w:p>
          <w:p w14:paraId="7D9F463B" w14:textId="77777777" w:rsidR="00D1184E" w:rsidRPr="00315936" w:rsidRDefault="00D1184E" w:rsidP="00D1184E">
            <w:pPr>
              <w:pStyle w:val="Tablebullet1"/>
              <w:spacing w:line="279" w:lineRule="auto"/>
              <w:rPr>
                <w:rFonts w:eastAsia="Arial" w:cs="Arial"/>
                <w:color w:val="000000" w:themeColor="text1"/>
                <w:szCs w:val="21"/>
              </w:rPr>
            </w:pPr>
            <w:r w:rsidRPr="18ED453A">
              <w:rPr>
                <w:rFonts w:eastAsia="Arial" w:cs="Arial"/>
                <w:color w:val="000000" w:themeColor="text1"/>
                <w:szCs w:val="21"/>
              </w:rPr>
              <w:t>‘P’ – Not ready for surgery – deferred for personal reasons</w:t>
            </w:r>
          </w:p>
          <w:p w14:paraId="2FE2830F" w14:textId="37C2CE09" w:rsidR="000C22E1" w:rsidRPr="00D71E0A" w:rsidRDefault="00D1184E" w:rsidP="0094229C">
            <w:pPr>
              <w:pStyle w:val="Tablebullet1"/>
              <w:rPr>
                <w:rFonts w:eastAsia="Arial"/>
              </w:rPr>
            </w:pPr>
            <w:r w:rsidRPr="31572E21">
              <w:rPr>
                <w:rFonts w:eastAsia="Arial"/>
              </w:rPr>
              <w:t xml:space="preserve">‘V’ - ready for </w:t>
            </w:r>
            <w:r w:rsidR="000260E5" w:rsidRPr="31572E21">
              <w:rPr>
                <w:rFonts w:eastAsia="Arial"/>
              </w:rPr>
              <w:t>surgery but</w:t>
            </w:r>
            <w:r w:rsidRPr="31572E21">
              <w:rPr>
                <w:rFonts w:eastAsia="Arial"/>
              </w:rPr>
              <w:t xml:space="preserve"> delayed due to COVID-19 response</w:t>
            </w:r>
            <w:r w:rsidR="00FE57AC">
              <w:rPr>
                <w:rFonts w:eastAsia="Arial"/>
              </w:rPr>
              <w:t>.</w:t>
            </w:r>
          </w:p>
          <w:p w14:paraId="45EB5354" w14:textId="0B8640E4" w:rsidR="00535BF2" w:rsidRDefault="0034068C" w:rsidP="4A3EC911">
            <w:pPr>
              <w:pStyle w:val="Tabletext"/>
              <w:spacing w:line="279" w:lineRule="auto"/>
            </w:pPr>
            <w:r>
              <w:t>T</w:t>
            </w:r>
            <w:r w:rsidR="00095DE5">
              <w:t xml:space="preserve">he actual time spent on the </w:t>
            </w:r>
            <w:r w:rsidR="00832D53">
              <w:t>waiting</w:t>
            </w:r>
            <w:r w:rsidR="00095DE5">
              <w:t xml:space="preserve"> list is calculated as the number of days between </w:t>
            </w:r>
            <w:r w:rsidR="006F2AAB">
              <w:t>Administrative</w:t>
            </w:r>
            <w:r w:rsidR="00095DE5">
              <w:t xml:space="preserve"> Registration Date</w:t>
            </w:r>
            <w:r w:rsidR="0094229C">
              <w:rPr>
                <w:rStyle w:val="EndnoteReference"/>
              </w:rPr>
              <w:endnoteReference w:id="15"/>
            </w:r>
            <w:r w:rsidR="00095DE5">
              <w:t xml:space="preserve"> and </w:t>
            </w:r>
            <w:r w:rsidR="00A0564A">
              <w:t xml:space="preserve">the </w:t>
            </w:r>
            <w:r w:rsidR="00956D06">
              <w:t>Quarter end date</w:t>
            </w:r>
            <w:r w:rsidR="00472613">
              <w:t xml:space="preserve"> </w:t>
            </w:r>
            <w:r w:rsidR="006F176B">
              <w:t>during which</w:t>
            </w:r>
            <w:r w:rsidR="00472613">
              <w:t xml:space="preserve"> the patient was waiting and ready for surgery.</w:t>
            </w:r>
            <w:r w:rsidR="00095DE5">
              <w:t xml:space="preserve"> </w:t>
            </w:r>
            <w:r w:rsidR="006F2AAB">
              <w:t>Elapsed days w</w:t>
            </w:r>
            <w:r w:rsidR="006F176B">
              <w:t>h</w:t>
            </w:r>
            <w:r w:rsidR="006F2AAB">
              <w:t>ere the patient was not ready for sur</w:t>
            </w:r>
            <w:r w:rsidR="006F176B">
              <w:t>g</w:t>
            </w:r>
            <w:r w:rsidR="006F2AAB">
              <w:t>ery are excluded.</w:t>
            </w:r>
          </w:p>
          <w:p w14:paraId="6AAEA360" w14:textId="16361C42" w:rsidR="00416460" w:rsidRPr="00315936" w:rsidRDefault="00D65DA3" w:rsidP="4A3EC911">
            <w:pPr>
              <w:pStyle w:val="Tabletext"/>
              <w:spacing w:line="279" w:lineRule="auto"/>
              <w:rPr>
                <w:rFonts w:eastAsia="Arial" w:cs="Arial"/>
                <w:color w:val="000000" w:themeColor="text1"/>
              </w:rPr>
            </w:pPr>
            <w:r w:rsidRPr="00315936">
              <w:t>This measure is assessed using records assigned an intended procedure</w:t>
            </w:r>
            <w:r>
              <w:t xml:space="preserve"> code other than IP401 (</w:t>
            </w:r>
            <w:r w:rsidRPr="00D65DA3">
              <w:t>Gastroscopy</w:t>
            </w:r>
            <w:r>
              <w:t>) or IP402 (Colonoscopy)</w:t>
            </w:r>
            <w:r w:rsidR="000C22E1">
              <w:t>.</w:t>
            </w:r>
            <w:r w:rsidR="006753DC">
              <w:fldChar w:fldCharType="begin"/>
            </w:r>
            <w:r w:rsidR="006753DC">
              <w:instrText xml:space="preserve"> NOTEREF _Ref201833425 \f \h </w:instrText>
            </w:r>
            <w:r w:rsidR="006753DC">
              <w:fldChar w:fldCharType="separate"/>
            </w:r>
            <w:r w:rsidR="006753DC" w:rsidRPr="006753DC">
              <w:rPr>
                <w:rStyle w:val="EndnoteReference"/>
              </w:rPr>
              <w:t>xiii</w:t>
            </w:r>
            <w:r w:rsidR="006753DC">
              <w:fldChar w:fldCharType="end"/>
            </w:r>
          </w:p>
          <w:p w14:paraId="1A179185" w14:textId="7599B632" w:rsidR="00B81017" w:rsidRPr="00315936" w:rsidRDefault="00B81017" w:rsidP="008B7E36">
            <w:pPr>
              <w:pStyle w:val="Tabletext"/>
              <w:spacing w:line="279" w:lineRule="auto"/>
              <w:rPr>
                <w:rFonts w:eastAsia="Arial" w:cs="Arial"/>
                <w:color w:val="000000" w:themeColor="text1"/>
                <w:szCs w:val="21"/>
              </w:rPr>
            </w:pPr>
            <w:r w:rsidRPr="4A3EC911">
              <w:rPr>
                <w:rFonts w:eastAsia="Arial" w:cs="Arial"/>
                <w:color w:val="000000" w:themeColor="text1"/>
              </w:rPr>
              <w:lastRenderedPageBreak/>
              <w:t>This measure is expressed as a percentage rounded to one decimal place.</w:t>
            </w:r>
          </w:p>
          <w:p w14:paraId="0817E333" w14:textId="0CE7C7F2" w:rsidR="00416460" w:rsidRPr="00315936" w:rsidRDefault="00416460" w:rsidP="4A3EC911">
            <w:pPr>
              <w:pStyle w:val="Tabletext"/>
              <w:spacing w:line="279" w:lineRule="auto"/>
              <w:rPr>
                <w:rFonts w:eastAsia="Arial" w:cs="Arial"/>
                <w:color w:val="000000" w:themeColor="text1"/>
              </w:rPr>
            </w:pPr>
            <w:r w:rsidRPr="4A3EC911">
              <w:rPr>
                <w:rFonts w:eastAsia="Arial" w:cs="Arial"/>
                <w:b/>
                <w:bCs/>
                <w:color w:val="000000" w:themeColor="text1"/>
              </w:rPr>
              <w:t>Example</w:t>
            </w:r>
          </w:p>
          <w:p w14:paraId="103BBBCF" w14:textId="09F5CB3D" w:rsidR="00416460" w:rsidRPr="00315936" w:rsidRDefault="00416460" w:rsidP="008B7E36">
            <w:pPr>
              <w:pStyle w:val="Tabletext"/>
              <w:spacing w:line="279" w:lineRule="auto"/>
              <w:rPr>
                <w:rFonts w:eastAsia="Arial" w:cs="Arial"/>
                <w:color w:val="000000" w:themeColor="text1"/>
                <w:szCs w:val="21"/>
              </w:rPr>
            </w:pPr>
            <w:r w:rsidRPr="18ED453A">
              <w:rPr>
                <w:rFonts w:eastAsia="Arial" w:cs="Arial"/>
                <w:color w:val="000000" w:themeColor="text1"/>
                <w:szCs w:val="21"/>
              </w:rPr>
              <w:t>At 30 June (Year 1), Health Service A has:</w:t>
            </w:r>
          </w:p>
          <w:p w14:paraId="70906EF6" w14:textId="1C1FDBA8" w:rsidR="00416460" w:rsidRPr="00315936" w:rsidRDefault="00416460" w:rsidP="008B7E36">
            <w:pPr>
              <w:pStyle w:val="Tablebullet1"/>
              <w:spacing w:line="279" w:lineRule="auto"/>
              <w:rPr>
                <w:rFonts w:eastAsia="Arial" w:cs="Arial"/>
                <w:color w:val="000000" w:themeColor="text1"/>
                <w:szCs w:val="21"/>
              </w:rPr>
            </w:pPr>
            <w:r w:rsidRPr="18ED453A">
              <w:rPr>
                <w:rFonts w:eastAsia="Arial" w:cs="Arial"/>
                <w:color w:val="000000" w:themeColor="text1"/>
                <w:szCs w:val="21"/>
              </w:rPr>
              <w:t>1</w:t>
            </w:r>
            <w:r w:rsidR="007B0BD1">
              <w:rPr>
                <w:rFonts w:eastAsia="Arial" w:cs="Arial"/>
                <w:color w:val="000000" w:themeColor="text1"/>
                <w:szCs w:val="21"/>
              </w:rPr>
              <w:t>2</w:t>
            </w:r>
            <w:r w:rsidRPr="18ED453A">
              <w:rPr>
                <w:rFonts w:eastAsia="Arial" w:cs="Arial"/>
                <w:color w:val="000000" w:themeColor="text1"/>
                <w:szCs w:val="21"/>
              </w:rPr>
              <w:t xml:space="preserve">0 patients on the planned surgery </w:t>
            </w:r>
            <w:r w:rsidR="00832D53">
              <w:rPr>
                <w:rFonts w:eastAsia="Arial" w:cs="Arial"/>
                <w:color w:val="000000" w:themeColor="text1"/>
                <w:szCs w:val="21"/>
              </w:rPr>
              <w:t>waiting</w:t>
            </w:r>
            <w:r w:rsidR="00832D53" w:rsidRPr="18ED453A">
              <w:rPr>
                <w:rFonts w:eastAsia="Arial" w:cs="Arial"/>
                <w:color w:val="000000" w:themeColor="text1"/>
                <w:szCs w:val="21"/>
              </w:rPr>
              <w:t xml:space="preserve"> </w:t>
            </w:r>
            <w:r w:rsidRPr="18ED453A">
              <w:rPr>
                <w:rFonts w:eastAsia="Arial" w:cs="Arial"/>
                <w:color w:val="000000" w:themeColor="text1"/>
                <w:szCs w:val="21"/>
              </w:rPr>
              <w:t>list who have waited longer than clinically recommended for their given urgency category (regardless of their current readiness status).</w:t>
            </w:r>
          </w:p>
          <w:p w14:paraId="4FBCED83" w14:textId="4D99F77B" w:rsidR="00416460" w:rsidRPr="00B11BB6" w:rsidRDefault="00416460" w:rsidP="00B11BB6">
            <w:pPr>
              <w:pStyle w:val="Tablebullet1"/>
              <w:spacing w:line="279" w:lineRule="auto"/>
              <w:rPr>
                <w:rFonts w:eastAsia="Arial" w:cs="Arial"/>
                <w:color w:val="000000" w:themeColor="text1"/>
                <w:szCs w:val="21"/>
              </w:rPr>
            </w:pPr>
            <w:r w:rsidRPr="18ED453A">
              <w:rPr>
                <w:rFonts w:eastAsia="Arial" w:cs="Arial"/>
                <w:color w:val="000000" w:themeColor="text1"/>
                <w:szCs w:val="21"/>
              </w:rPr>
              <w:t>1,</w:t>
            </w:r>
            <w:r w:rsidR="007B0BD1">
              <w:rPr>
                <w:rFonts w:eastAsia="Arial" w:cs="Arial"/>
                <w:color w:val="000000" w:themeColor="text1"/>
                <w:szCs w:val="21"/>
              </w:rPr>
              <w:t>1</w:t>
            </w:r>
            <w:r w:rsidRPr="18ED453A">
              <w:rPr>
                <w:rFonts w:eastAsia="Arial" w:cs="Arial"/>
                <w:color w:val="000000" w:themeColor="text1"/>
                <w:szCs w:val="21"/>
              </w:rPr>
              <w:t xml:space="preserve">00 patients on the planned surgery </w:t>
            </w:r>
            <w:r w:rsidR="00832D53">
              <w:rPr>
                <w:rFonts w:eastAsia="Arial" w:cs="Arial"/>
                <w:color w:val="000000" w:themeColor="text1"/>
                <w:szCs w:val="21"/>
              </w:rPr>
              <w:t>waiting</w:t>
            </w:r>
            <w:r w:rsidR="00832D53" w:rsidRPr="18ED453A">
              <w:rPr>
                <w:rFonts w:eastAsia="Arial" w:cs="Arial"/>
                <w:color w:val="000000" w:themeColor="text1"/>
                <w:szCs w:val="21"/>
              </w:rPr>
              <w:t xml:space="preserve"> </w:t>
            </w:r>
            <w:r w:rsidRPr="18ED453A">
              <w:rPr>
                <w:rFonts w:eastAsia="Arial" w:cs="Arial"/>
                <w:color w:val="000000" w:themeColor="text1"/>
                <w:szCs w:val="21"/>
              </w:rPr>
              <w:t>list (regardless of readiness status).</w:t>
            </w:r>
          </w:p>
          <w:p w14:paraId="15A27429" w14:textId="2110234C" w:rsidR="00416460" w:rsidRPr="00315936" w:rsidRDefault="00416460" w:rsidP="008B7E36">
            <w:pPr>
              <w:pStyle w:val="Tabletext"/>
              <w:spacing w:line="279" w:lineRule="auto"/>
              <w:rPr>
                <w:rFonts w:eastAsia="Arial" w:cs="Arial"/>
                <w:color w:val="000000" w:themeColor="text1"/>
                <w:szCs w:val="21"/>
              </w:rPr>
            </w:pPr>
            <w:r w:rsidRPr="18ED453A">
              <w:rPr>
                <w:rFonts w:eastAsia="Arial" w:cs="Arial"/>
                <w:color w:val="000000" w:themeColor="text1"/>
                <w:szCs w:val="21"/>
              </w:rPr>
              <w:t>Therefore, 10 per cent of patients had waited longer than clinically recommended</w:t>
            </w:r>
            <w:r w:rsidR="00DF67C4">
              <w:rPr>
                <w:rFonts w:eastAsia="Arial" w:cs="Arial"/>
                <w:color w:val="000000" w:themeColor="text1"/>
                <w:szCs w:val="21"/>
              </w:rPr>
              <w:t xml:space="preserve"> in Year 1</w:t>
            </w:r>
            <w:r w:rsidRPr="18ED453A">
              <w:rPr>
                <w:rFonts w:eastAsia="Arial" w:cs="Arial"/>
                <w:color w:val="000000" w:themeColor="text1"/>
                <w:szCs w:val="21"/>
              </w:rPr>
              <w:t>.</w:t>
            </w:r>
          </w:p>
          <w:p w14:paraId="0992462A" w14:textId="51C24F5F" w:rsidR="00416460" w:rsidRPr="00315936" w:rsidRDefault="00416460" w:rsidP="008B7E36">
            <w:pPr>
              <w:pStyle w:val="Tabletext"/>
              <w:spacing w:line="279" w:lineRule="auto"/>
              <w:rPr>
                <w:rFonts w:eastAsia="Arial" w:cs="Arial"/>
                <w:color w:val="000000" w:themeColor="text1"/>
                <w:szCs w:val="21"/>
              </w:rPr>
            </w:pPr>
            <w:r w:rsidRPr="18ED453A">
              <w:rPr>
                <w:rFonts w:eastAsia="Arial" w:cs="Arial"/>
                <w:color w:val="000000" w:themeColor="text1"/>
                <w:szCs w:val="21"/>
              </w:rPr>
              <w:t>At 30 June (Year 2), Health Service A has:</w:t>
            </w:r>
          </w:p>
          <w:p w14:paraId="33BFD9CE" w14:textId="049B01C5" w:rsidR="00416460" w:rsidRPr="00315936" w:rsidRDefault="00416460" w:rsidP="008B7E36">
            <w:pPr>
              <w:pStyle w:val="Tablebullet1"/>
              <w:spacing w:line="279" w:lineRule="auto"/>
              <w:rPr>
                <w:rFonts w:eastAsia="Arial" w:cs="Arial"/>
                <w:color w:val="000000" w:themeColor="text1"/>
                <w:szCs w:val="21"/>
              </w:rPr>
            </w:pPr>
            <w:r w:rsidRPr="18ED453A">
              <w:rPr>
                <w:rFonts w:eastAsia="Arial" w:cs="Arial"/>
                <w:color w:val="000000" w:themeColor="text1"/>
                <w:szCs w:val="21"/>
              </w:rPr>
              <w:t xml:space="preserve">75 patients on the planned surgery </w:t>
            </w:r>
            <w:r w:rsidR="00832D53">
              <w:rPr>
                <w:rFonts w:eastAsia="Arial" w:cs="Arial"/>
                <w:color w:val="000000" w:themeColor="text1"/>
                <w:szCs w:val="21"/>
              </w:rPr>
              <w:t>waiting</w:t>
            </w:r>
            <w:r w:rsidR="00832D53" w:rsidRPr="18ED453A">
              <w:rPr>
                <w:rFonts w:eastAsia="Arial" w:cs="Arial"/>
                <w:color w:val="000000" w:themeColor="text1"/>
                <w:szCs w:val="21"/>
              </w:rPr>
              <w:t xml:space="preserve"> </w:t>
            </w:r>
            <w:r w:rsidRPr="18ED453A">
              <w:rPr>
                <w:rFonts w:eastAsia="Arial" w:cs="Arial"/>
                <w:color w:val="000000" w:themeColor="text1"/>
                <w:szCs w:val="21"/>
              </w:rPr>
              <w:t>list who have waited longer than clinically recommended time for their given urgency category (regardless of their current readiness status)</w:t>
            </w:r>
          </w:p>
          <w:p w14:paraId="42F07A16" w14:textId="4CF10348" w:rsidR="00416460" w:rsidRPr="00315936" w:rsidRDefault="00416460" w:rsidP="008B7E36">
            <w:pPr>
              <w:pStyle w:val="Tablebullet1"/>
              <w:spacing w:line="279" w:lineRule="auto"/>
              <w:rPr>
                <w:rFonts w:eastAsia="Arial" w:cs="Arial"/>
                <w:color w:val="000000" w:themeColor="text1"/>
                <w:szCs w:val="21"/>
              </w:rPr>
            </w:pPr>
            <w:r w:rsidRPr="18ED453A">
              <w:rPr>
                <w:rFonts w:eastAsia="Arial" w:cs="Arial"/>
                <w:color w:val="000000" w:themeColor="text1"/>
                <w:szCs w:val="21"/>
              </w:rPr>
              <w:t xml:space="preserve">1,000 patients on the planned surgery </w:t>
            </w:r>
            <w:r w:rsidR="00832D53">
              <w:rPr>
                <w:rFonts w:eastAsia="Arial" w:cs="Arial"/>
                <w:color w:val="000000" w:themeColor="text1"/>
                <w:szCs w:val="21"/>
              </w:rPr>
              <w:t>waiting</w:t>
            </w:r>
            <w:r w:rsidR="00832D53" w:rsidRPr="18ED453A">
              <w:rPr>
                <w:rFonts w:eastAsia="Arial" w:cs="Arial"/>
                <w:color w:val="000000" w:themeColor="text1"/>
                <w:szCs w:val="21"/>
              </w:rPr>
              <w:t xml:space="preserve"> </w:t>
            </w:r>
            <w:r w:rsidRPr="18ED453A">
              <w:rPr>
                <w:rFonts w:eastAsia="Arial" w:cs="Arial"/>
                <w:color w:val="000000" w:themeColor="text1"/>
                <w:szCs w:val="21"/>
              </w:rPr>
              <w:t>list (regardless of readiness status).</w:t>
            </w:r>
          </w:p>
          <w:p w14:paraId="13941A04" w14:textId="4C1ACAB0" w:rsidR="00165A13" w:rsidRPr="00315936" w:rsidRDefault="00165A13" w:rsidP="00165A13">
            <w:pPr>
              <w:pStyle w:val="Tabletext"/>
              <w:spacing w:line="279" w:lineRule="auto"/>
              <w:rPr>
                <w:rFonts w:eastAsia="Arial" w:cs="Arial"/>
                <w:color w:val="000000" w:themeColor="text1"/>
                <w:szCs w:val="21"/>
              </w:rPr>
            </w:pPr>
            <w:r>
              <w:rPr>
                <w:rFonts w:eastAsia="Arial" w:cs="Arial"/>
                <w:color w:val="000000" w:themeColor="text1"/>
                <w:szCs w:val="21"/>
              </w:rPr>
              <w:t>In Year 2, 8</w:t>
            </w:r>
            <w:r w:rsidRPr="18ED453A">
              <w:rPr>
                <w:rFonts w:eastAsia="Arial" w:cs="Arial"/>
                <w:color w:val="000000" w:themeColor="text1"/>
                <w:szCs w:val="21"/>
              </w:rPr>
              <w:t xml:space="preserve"> per cent of patients had waited longer than clinically recommended.</w:t>
            </w:r>
          </w:p>
          <w:p w14:paraId="442F6D96" w14:textId="3A7D63B1" w:rsidR="00416460" w:rsidRPr="00315936" w:rsidRDefault="00165A13" w:rsidP="00C55AC2">
            <w:pPr>
              <w:pStyle w:val="Tabletext"/>
              <w:tabs>
                <w:tab w:val="left" w:pos="184"/>
              </w:tabs>
              <w:spacing w:line="279" w:lineRule="auto"/>
              <w:rPr>
                <w:rFonts w:eastAsia="Arial" w:cs="Arial"/>
                <w:color w:val="000000" w:themeColor="text1"/>
                <w:szCs w:val="21"/>
              </w:rPr>
            </w:pPr>
            <w:r>
              <w:rPr>
                <w:rFonts w:eastAsia="Arial" w:cs="Arial"/>
                <w:color w:val="000000" w:themeColor="text1"/>
                <w:szCs w:val="21"/>
              </w:rPr>
              <w:t xml:space="preserve">To calculate </w:t>
            </w:r>
            <w:r w:rsidR="009A7A0C">
              <w:rPr>
                <w:rFonts w:eastAsia="Arial" w:cs="Arial"/>
                <w:color w:val="000000" w:themeColor="text1"/>
                <w:szCs w:val="21"/>
              </w:rPr>
              <w:t>performance</w:t>
            </w:r>
            <w:r w:rsidR="004F0065">
              <w:rPr>
                <w:rFonts w:eastAsia="Arial" w:cs="Arial"/>
                <w:color w:val="000000" w:themeColor="text1"/>
                <w:szCs w:val="21"/>
              </w:rPr>
              <w:t xml:space="preserve"> from the previous year</w:t>
            </w:r>
            <w:r>
              <w:rPr>
                <w:rFonts w:eastAsia="Arial" w:cs="Arial"/>
                <w:color w:val="000000" w:themeColor="text1"/>
                <w:szCs w:val="21"/>
              </w:rPr>
              <w:t xml:space="preserve">: </w:t>
            </w:r>
            <w:r w:rsidR="004F0065">
              <w:rPr>
                <w:rFonts w:eastAsia="Arial" w:cs="Arial"/>
                <w:color w:val="000000" w:themeColor="text1"/>
                <w:szCs w:val="21"/>
              </w:rPr>
              <w:br/>
            </w:r>
            <w:r w:rsidR="004F0065">
              <w:rPr>
                <w:rFonts w:eastAsia="Arial" w:cs="Arial"/>
                <w:color w:val="000000" w:themeColor="text1"/>
                <w:szCs w:val="21"/>
              </w:rPr>
              <w:tab/>
            </w:r>
            <w:r w:rsidR="00D43D22">
              <w:rPr>
                <w:rFonts w:eastAsia="Arial" w:cs="Arial"/>
                <w:color w:val="000000" w:themeColor="text1"/>
                <w:szCs w:val="21"/>
              </w:rPr>
              <w:t xml:space="preserve"> (</w:t>
            </w:r>
            <w:r w:rsidR="007D22AD">
              <w:rPr>
                <w:rFonts w:eastAsia="Arial" w:cs="Arial"/>
                <w:color w:val="000000" w:themeColor="text1"/>
                <w:szCs w:val="21"/>
              </w:rPr>
              <w:t>75/1000 – 1</w:t>
            </w:r>
            <w:r w:rsidR="001A7B86">
              <w:rPr>
                <w:rFonts w:eastAsia="Arial" w:cs="Arial"/>
                <w:color w:val="000000" w:themeColor="text1"/>
                <w:szCs w:val="21"/>
              </w:rPr>
              <w:t>2</w:t>
            </w:r>
            <w:r w:rsidR="007D22AD">
              <w:rPr>
                <w:rFonts w:eastAsia="Arial" w:cs="Arial"/>
                <w:color w:val="000000" w:themeColor="text1"/>
                <w:szCs w:val="21"/>
              </w:rPr>
              <w:t>0/1</w:t>
            </w:r>
            <w:r w:rsidR="001A7B86">
              <w:rPr>
                <w:rFonts w:eastAsia="Arial" w:cs="Arial"/>
                <w:color w:val="000000" w:themeColor="text1"/>
                <w:szCs w:val="21"/>
              </w:rPr>
              <w:t>1</w:t>
            </w:r>
            <w:r w:rsidR="007D22AD">
              <w:rPr>
                <w:rFonts w:eastAsia="Arial" w:cs="Arial"/>
                <w:color w:val="000000" w:themeColor="text1"/>
                <w:szCs w:val="21"/>
              </w:rPr>
              <w:t>00)/(1</w:t>
            </w:r>
            <w:r w:rsidR="001A7B86">
              <w:rPr>
                <w:rFonts w:eastAsia="Arial" w:cs="Arial"/>
                <w:color w:val="000000" w:themeColor="text1"/>
                <w:szCs w:val="21"/>
              </w:rPr>
              <w:t>2</w:t>
            </w:r>
            <w:r w:rsidR="007D22AD">
              <w:rPr>
                <w:rFonts w:eastAsia="Arial" w:cs="Arial"/>
                <w:color w:val="000000" w:themeColor="text1"/>
                <w:szCs w:val="21"/>
              </w:rPr>
              <w:t>0/1</w:t>
            </w:r>
            <w:r w:rsidR="001A7B86">
              <w:rPr>
                <w:rFonts w:eastAsia="Arial" w:cs="Arial"/>
                <w:color w:val="000000" w:themeColor="text1"/>
                <w:szCs w:val="21"/>
              </w:rPr>
              <w:t>1</w:t>
            </w:r>
            <w:r w:rsidR="007D22AD">
              <w:rPr>
                <w:rFonts w:eastAsia="Arial" w:cs="Arial"/>
                <w:color w:val="000000" w:themeColor="text1"/>
                <w:szCs w:val="21"/>
              </w:rPr>
              <w:t>00)</w:t>
            </w:r>
            <w:r w:rsidR="00D24E47">
              <w:rPr>
                <w:rFonts w:eastAsia="Arial" w:cs="Arial"/>
                <w:color w:val="000000" w:themeColor="text1"/>
                <w:szCs w:val="21"/>
              </w:rPr>
              <w:t xml:space="preserve"> x100</w:t>
            </w:r>
            <w:r w:rsidR="00ED6DE0">
              <w:rPr>
                <w:rFonts w:eastAsia="Arial" w:cs="Arial"/>
                <w:color w:val="000000" w:themeColor="text1"/>
                <w:szCs w:val="21"/>
              </w:rPr>
              <w:t xml:space="preserve"> = -</w:t>
            </w:r>
            <w:r w:rsidR="00B81017">
              <w:rPr>
                <w:rFonts w:eastAsia="Arial" w:cs="Arial"/>
                <w:color w:val="000000" w:themeColor="text1"/>
                <w:szCs w:val="21"/>
              </w:rPr>
              <w:t>31.3</w:t>
            </w:r>
          </w:p>
          <w:p w14:paraId="7D176A10" w14:textId="34AA378B" w:rsidR="00416460" w:rsidRPr="00315936" w:rsidRDefault="00416460" w:rsidP="008B7E36">
            <w:pPr>
              <w:pStyle w:val="Tabletext"/>
              <w:spacing w:line="279" w:lineRule="auto"/>
              <w:rPr>
                <w:rFonts w:eastAsia="Arial" w:cs="Arial"/>
                <w:color w:val="000000" w:themeColor="text1"/>
                <w:szCs w:val="21"/>
              </w:rPr>
            </w:pPr>
            <w:r w:rsidRPr="18ED453A">
              <w:rPr>
                <w:rFonts w:eastAsia="Arial" w:cs="Arial"/>
                <w:color w:val="000000" w:themeColor="text1"/>
                <w:szCs w:val="21"/>
              </w:rPr>
              <w:t xml:space="preserve">Therefore, Health Service A had a </w:t>
            </w:r>
            <w:r w:rsidR="00B81017">
              <w:rPr>
                <w:rFonts w:eastAsia="Arial" w:cs="Arial"/>
                <w:color w:val="000000" w:themeColor="text1"/>
                <w:szCs w:val="21"/>
              </w:rPr>
              <w:t>31</w:t>
            </w:r>
            <w:r w:rsidRPr="18ED453A">
              <w:rPr>
                <w:rFonts w:eastAsia="Arial" w:cs="Arial"/>
                <w:color w:val="000000" w:themeColor="text1"/>
                <w:szCs w:val="21"/>
              </w:rPr>
              <w:t xml:space="preserve"> per cent reduction in patients who waited longer than clinically recommended </w:t>
            </w:r>
            <w:r w:rsidR="002771F8">
              <w:rPr>
                <w:rFonts w:eastAsia="Arial" w:cs="Arial"/>
                <w:color w:val="000000" w:themeColor="text1"/>
                <w:szCs w:val="21"/>
              </w:rPr>
              <w:t>and has met</w:t>
            </w:r>
            <w:r w:rsidR="00BC59FE">
              <w:rPr>
                <w:rFonts w:eastAsia="Arial" w:cs="Arial"/>
                <w:color w:val="000000" w:themeColor="text1"/>
                <w:szCs w:val="21"/>
              </w:rPr>
              <w:t xml:space="preserve"> the target for</w:t>
            </w:r>
            <w:r w:rsidRPr="18ED453A" w:rsidDel="00BC59FE">
              <w:rPr>
                <w:rFonts w:eastAsia="Arial" w:cs="Arial"/>
                <w:color w:val="000000" w:themeColor="text1"/>
                <w:szCs w:val="21"/>
              </w:rPr>
              <w:t xml:space="preserve"> </w:t>
            </w:r>
            <w:r w:rsidRPr="18ED453A">
              <w:rPr>
                <w:rFonts w:eastAsia="Arial" w:cs="Arial"/>
                <w:color w:val="000000" w:themeColor="text1"/>
                <w:szCs w:val="21"/>
              </w:rPr>
              <w:t>this measure.</w:t>
            </w:r>
          </w:p>
        </w:tc>
      </w:tr>
      <w:tr w:rsidR="0068157E" w:rsidRPr="00315936" w14:paraId="004D0CF4"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D48ABD3" w14:textId="77777777" w:rsidR="0068157E" w:rsidRPr="00315936" w:rsidRDefault="0068157E">
            <w:pPr>
              <w:pStyle w:val="Tablecolhead"/>
              <w:rPr>
                <w:b w:val="0"/>
                <w:lang w:eastAsia="en-AU"/>
              </w:rPr>
            </w:pPr>
            <w:r w:rsidRPr="00315936">
              <w:rPr>
                <w:b w:val="0"/>
                <w:lang w:eastAsia="en-AU"/>
              </w:rPr>
              <w:lastRenderedPageBreak/>
              <w:t>Numerator</w:t>
            </w:r>
          </w:p>
        </w:tc>
        <w:tc>
          <w:tcPr>
            <w:tcW w:w="7512" w:type="dxa"/>
            <w:tcBorders>
              <w:left w:val="single" w:sz="6" w:space="0" w:color="000000" w:themeColor="text1"/>
            </w:tcBorders>
          </w:tcPr>
          <w:p w14:paraId="77F4AAE5" w14:textId="0C80A7AE" w:rsidR="0068157E" w:rsidRPr="00315936" w:rsidRDefault="68998855" w:rsidP="00C55AC2">
            <w:pPr>
              <w:pStyle w:val="Tabletext"/>
              <w:spacing w:line="279" w:lineRule="auto"/>
              <w:rPr>
                <w:rFonts w:eastAsia="Arial"/>
              </w:rPr>
            </w:pPr>
            <w:r w:rsidRPr="31572E21">
              <w:rPr>
                <w:rFonts w:eastAsia="Arial" w:cs="Arial"/>
                <w:color w:val="000000" w:themeColor="text1"/>
              </w:rPr>
              <w:t xml:space="preserve">Total number of patients on the planned surgery </w:t>
            </w:r>
            <w:r w:rsidR="00832D53">
              <w:rPr>
                <w:rFonts w:eastAsia="Arial" w:cs="Arial"/>
                <w:color w:val="000000" w:themeColor="text1"/>
              </w:rPr>
              <w:t>waiting</w:t>
            </w:r>
            <w:r w:rsidR="00832D53" w:rsidRPr="31572E21">
              <w:rPr>
                <w:rFonts w:eastAsia="Arial" w:cs="Arial"/>
                <w:color w:val="000000" w:themeColor="text1"/>
              </w:rPr>
              <w:t xml:space="preserve"> </w:t>
            </w:r>
            <w:r w:rsidRPr="31572E21">
              <w:rPr>
                <w:rFonts w:eastAsia="Arial" w:cs="Arial"/>
                <w:color w:val="000000" w:themeColor="text1"/>
              </w:rPr>
              <w:t>list (regardless of readiness status) who have waited longer than clinically recommended times for their respective triage category</w:t>
            </w:r>
            <w:r w:rsidR="00BC59FE" w:rsidRPr="31572E21">
              <w:rPr>
                <w:rFonts w:eastAsia="Arial" w:cs="Arial"/>
                <w:color w:val="000000" w:themeColor="text1"/>
              </w:rPr>
              <w:t>.</w:t>
            </w:r>
          </w:p>
        </w:tc>
      </w:tr>
      <w:tr w:rsidR="0068157E" w:rsidRPr="00315936" w14:paraId="19B80B6A"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6F6A690" w14:textId="77777777" w:rsidR="0068157E" w:rsidRPr="00315936" w:rsidRDefault="0068157E">
            <w:pPr>
              <w:pStyle w:val="Tablecolhead"/>
              <w:rPr>
                <w:b w:val="0"/>
                <w:lang w:eastAsia="en-AU"/>
              </w:rPr>
            </w:pPr>
            <w:r w:rsidRPr="00315936">
              <w:rPr>
                <w:b w:val="0"/>
                <w:lang w:eastAsia="en-AU"/>
              </w:rPr>
              <w:t>Denominator</w:t>
            </w:r>
          </w:p>
        </w:tc>
        <w:tc>
          <w:tcPr>
            <w:tcW w:w="7512" w:type="dxa"/>
            <w:tcBorders>
              <w:left w:val="single" w:sz="6" w:space="0" w:color="000000" w:themeColor="text1"/>
            </w:tcBorders>
          </w:tcPr>
          <w:p w14:paraId="5F60A573" w14:textId="44ED944D" w:rsidR="0068157E" w:rsidRPr="00315936" w:rsidRDefault="6D2B5F98" w:rsidP="18ED453A">
            <w:pPr>
              <w:pStyle w:val="Tabletext"/>
              <w:spacing w:line="279" w:lineRule="auto"/>
            </w:pPr>
            <w:r w:rsidRPr="18ED453A">
              <w:rPr>
                <w:rFonts w:eastAsia="Arial" w:cs="Arial"/>
                <w:color w:val="000000" w:themeColor="text1"/>
                <w:szCs w:val="21"/>
              </w:rPr>
              <w:t xml:space="preserve">Total number of patients on the planned surgery </w:t>
            </w:r>
            <w:r>
              <w:t xml:space="preserve">waiting </w:t>
            </w:r>
            <w:r w:rsidRPr="18ED453A">
              <w:rPr>
                <w:rFonts w:eastAsia="Arial" w:cs="Arial"/>
                <w:color w:val="000000" w:themeColor="text1"/>
                <w:szCs w:val="21"/>
              </w:rPr>
              <w:t>list (regardless of readiness status).</w:t>
            </w:r>
          </w:p>
        </w:tc>
      </w:tr>
      <w:tr w:rsidR="0068157E" w:rsidRPr="00315936" w14:paraId="4B3ED9AA"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49AA4CB" w14:textId="77777777" w:rsidR="0068157E" w:rsidRPr="00315936" w:rsidRDefault="0068157E">
            <w:pPr>
              <w:pStyle w:val="Tablecolhead"/>
              <w:rPr>
                <w:b w:val="0"/>
                <w:lang w:eastAsia="en-AU"/>
              </w:rPr>
            </w:pPr>
            <w:r w:rsidRPr="00315936">
              <w:rPr>
                <w:b w:val="0"/>
                <w:lang w:eastAsia="en-AU"/>
              </w:rPr>
              <w:t>Statewide target</w:t>
            </w:r>
          </w:p>
        </w:tc>
        <w:tc>
          <w:tcPr>
            <w:tcW w:w="7512" w:type="dxa"/>
            <w:tcBorders>
              <w:left w:val="single" w:sz="6" w:space="0" w:color="000000" w:themeColor="text1"/>
            </w:tcBorders>
          </w:tcPr>
          <w:p w14:paraId="7BB0DDED" w14:textId="7A4B7853" w:rsidR="0068157E" w:rsidRPr="00315936" w:rsidRDefault="003C0230" w:rsidP="18ED453A">
            <w:pPr>
              <w:pStyle w:val="Tabletext"/>
              <w:spacing w:line="279" w:lineRule="auto"/>
            </w:pPr>
            <w:r>
              <w:rPr>
                <w:rFonts w:eastAsia="Arial" w:cs="Arial"/>
                <w:color w:val="000000" w:themeColor="text1"/>
                <w:szCs w:val="21"/>
              </w:rPr>
              <w:t xml:space="preserve">Greater than or equal to </w:t>
            </w:r>
            <w:r w:rsidR="4C3E731F" w:rsidRPr="18ED453A">
              <w:rPr>
                <w:rFonts w:eastAsia="Arial" w:cs="Arial"/>
                <w:color w:val="000000" w:themeColor="text1"/>
                <w:szCs w:val="21"/>
              </w:rPr>
              <w:t>25 per cent improvement based on prior year result</w:t>
            </w:r>
          </w:p>
        </w:tc>
      </w:tr>
      <w:tr w:rsidR="0068157E" w:rsidRPr="00315936" w14:paraId="2E4EA506"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71FFA8BC" w14:textId="1980A65F" w:rsidR="0068157E" w:rsidRPr="00315936" w:rsidRDefault="0068157E">
            <w:pPr>
              <w:pStyle w:val="Tablecolhead"/>
              <w:rPr>
                <w:b w:val="0"/>
                <w:lang w:eastAsia="en-AU"/>
              </w:rPr>
            </w:pPr>
            <w:r w:rsidRPr="00315936">
              <w:rPr>
                <w:b w:val="0"/>
                <w:lang w:eastAsia="en-AU"/>
              </w:rPr>
              <w:t>Achieved</w:t>
            </w:r>
          </w:p>
        </w:tc>
        <w:tc>
          <w:tcPr>
            <w:tcW w:w="7512" w:type="dxa"/>
            <w:tcBorders>
              <w:left w:val="single" w:sz="6" w:space="0" w:color="000000" w:themeColor="text1"/>
            </w:tcBorders>
          </w:tcPr>
          <w:p w14:paraId="77F9340C" w14:textId="5CCF0492" w:rsidR="0068157E" w:rsidRPr="00315936" w:rsidRDefault="02943DB1" w:rsidP="18ED453A">
            <w:pPr>
              <w:pStyle w:val="Tabletext"/>
              <w:spacing w:line="279" w:lineRule="auto"/>
            </w:pPr>
            <w:r w:rsidRPr="18ED453A">
              <w:rPr>
                <w:rFonts w:eastAsia="Arial" w:cs="Arial"/>
                <w:color w:val="000000" w:themeColor="text1"/>
                <w:szCs w:val="21"/>
              </w:rPr>
              <w:t>Greater than or equal to 25 per cent improvement from prior year</w:t>
            </w:r>
            <w:r w:rsidR="00BB6436">
              <w:rPr>
                <w:rFonts w:eastAsia="Arial" w:cs="Arial"/>
                <w:color w:val="000000" w:themeColor="text1"/>
                <w:szCs w:val="21"/>
              </w:rPr>
              <w:t xml:space="preserve"> </w:t>
            </w:r>
            <w:r w:rsidR="00F067C0">
              <w:rPr>
                <w:rFonts w:eastAsia="Arial" w:cs="Arial"/>
                <w:color w:val="000000" w:themeColor="text1"/>
                <w:szCs w:val="21"/>
              </w:rPr>
              <w:fldChar w:fldCharType="begin"/>
            </w:r>
            <w:r w:rsidR="00F067C0">
              <w:rPr>
                <w:rFonts w:eastAsia="Arial" w:cs="Arial"/>
                <w:color w:val="000000" w:themeColor="text1"/>
                <w:szCs w:val="21"/>
              </w:rPr>
              <w:instrText xml:space="preserve"> NOTEREF _Ref201831384 \f \h </w:instrText>
            </w:r>
            <w:r w:rsidR="00F067C0">
              <w:rPr>
                <w:rFonts w:eastAsia="Arial" w:cs="Arial"/>
                <w:color w:val="000000" w:themeColor="text1"/>
                <w:szCs w:val="21"/>
              </w:rPr>
            </w:r>
            <w:r w:rsidR="00F067C0">
              <w:rPr>
                <w:rFonts w:eastAsia="Arial" w:cs="Arial"/>
                <w:color w:val="000000" w:themeColor="text1"/>
                <w:szCs w:val="21"/>
              </w:rPr>
              <w:fldChar w:fldCharType="separate"/>
            </w:r>
            <w:r w:rsidR="00F067C0" w:rsidRPr="00D2794C">
              <w:rPr>
                <w:rStyle w:val="EndnoteReference"/>
                <w:rFonts w:eastAsia="Arial"/>
              </w:rPr>
              <w:t>ii</w:t>
            </w:r>
            <w:r w:rsidR="00F067C0">
              <w:rPr>
                <w:rFonts w:eastAsia="Arial" w:cs="Arial"/>
                <w:color w:val="000000" w:themeColor="text1"/>
                <w:szCs w:val="21"/>
              </w:rPr>
              <w:fldChar w:fldCharType="end"/>
            </w:r>
          </w:p>
        </w:tc>
      </w:tr>
      <w:tr w:rsidR="0068157E" w:rsidRPr="00315936" w14:paraId="70B55913"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1A1DA9FA" w14:textId="1A42676A" w:rsidR="0068157E" w:rsidRPr="00315936" w:rsidRDefault="0068157E">
            <w:pPr>
              <w:pStyle w:val="Tablecolhead"/>
              <w:rPr>
                <w:b w:val="0"/>
                <w:lang w:eastAsia="en-AU"/>
              </w:rPr>
            </w:pPr>
            <w:r w:rsidRPr="00315936">
              <w:rPr>
                <w:b w:val="0"/>
                <w:lang w:eastAsia="en-AU"/>
              </w:rPr>
              <w:t>Not achieved</w:t>
            </w:r>
          </w:p>
        </w:tc>
        <w:tc>
          <w:tcPr>
            <w:tcW w:w="7512" w:type="dxa"/>
            <w:tcBorders>
              <w:left w:val="single" w:sz="6" w:space="0" w:color="000000" w:themeColor="text1"/>
            </w:tcBorders>
          </w:tcPr>
          <w:p w14:paraId="7F0EAAA4" w14:textId="61A86B49" w:rsidR="0068157E" w:rsidRPr="00315936" w:rsidRDefault="3E4E57C1" w:rsidP="18ED453A">
            <w:pPr>
              <w:pStyle w:val="Tabletext"/>
              <w:spacing w:line="279" w:lineRule="auto"/>
            </w:pPr>
            <w:r w:rsidRPr="18ED453A">
              <w:rPr>
                <w:rFonts w:eastAsia="Arial" w:cs="Arial"/>
                <w:color w:val="000000" w:themeColor="text1"/>
                <w:szCs w:val="21"/>
              </w:rPr>
              <w:t>Less than 25 per cent improvement from prior year</w:t>
            </w:r>
          </w:p>
        </w:tc>
      </w:tr>
      <w:tr w:rsidR="0068157E" w:rsidRPr="00315936" w14:paraId="644F0FD4" w14:textId="77777777" w:rsidTr="00535D2B">
        <w:trPr>
          <w:trHeight w:val="300"/>
        </w:trPr>
        <w:tc>
          <w:tcPr>
            <w:tcW w:w="1837"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436815B7" w14:textId="77777777" w:rsidR="0068157E" w:rsidRPr="00315936" w:rsidRDefault="0068157E">
            <w:pPr>
              <w:pStyle w:val="Tablecolhead"/>
              <w:rPr>
                <w:b w:val="0"/>
                <w:lang w:eastAsia="en-AU"/>
              </w:rPr>
            </w:pPr>
            <w:r w:rsidRPr="00315936">
              <w:rPr>
                <w:b w:val="0"/>
                <w:lang w:eastAsia="en-AU"/>
              </w:rPr>
              <w:t>Improvement</w:t>
            </w:r>
          </w:p>
        </w:tc>
        <w:tc>
          <w:tcPr>
            <w:tcW w:w="7512" w:type="dxa"/>
            <w:tcBorders>
              <w:left w:val="single" w:sz="6" w:space="0" w:color="000000" w:themeColor="text1"/>
            </w:tcBorders>
          </w:tcPr>
          <w:p w14:paraId="0B15F46F" w14:textId="5D806B39" w:rsidR="0068157E" w:rsidRPr="00315936" w:rsidRDefault="42B78375" w:rsidP="18ED453A">
            <w:pPr>
              <w:pStyle w:val="Tabletext"/>
              <w:spacing w:line="279" w:lineRule="auto"/>
            </w:pPr>
            <w:r w:rsidRPr="4A3EC911">
              <w:rPr>
                <w:rFonts w:eastAsia="Arial" w:cs="Arial"/>
                <w:color w:val="000000" w:themeColor="text1"/>
              </w:rPr>
              <w:t xml:space="preserve">Performance is monitored against the previous </w:t>
            </w:r>
            <w:r w:rsidR="00CE27DF">
              <w:rPr>
                <w:rFonts w:eastAsia="Arial" w:cs="Arial"/>
                <w:color w:val="000000" w:themeColor="text1"/>
              </w:rPr>
              <w:t>year</w:t>
            </w:r>
            <w:r w:rsidR="00CE27DF" w:rsidRPr="4A3EC911">
              <w:rPr>
                <w:rFonts w:eastAsia="Arial" w:cs="Arial"/>
                <w:color w:val="000000" w:themeColor="text1"/>
              </w:rPr>
              <w:t xml:space="preserve">’s </w:t>
            </w:r>
            <w:r w:rsidRPr="4A3EC911">
              <w:rPr>
                <w:rFonts w:eastAsia="Arial" w:cs="Arial"/>
                <w:color w:val="000000" w:themeColor="text1"/>
              </w:rPr>
              <w:t>performance</w:t>
            </w:r>
          </w:p>
        </w:tc>
      </w:tr>
      <w:tr w:rsidR="0068157E" w:rsidRPr="00315936" w14:paraId="402710B2" w14:textId="77777777" w:rsidTr="00535D2B">
        <w:trPr>
          <w:trHeight w:val="300"/>
        </w:trPr>
        <w:tc>
          <w:tcPr>
            <w:tcW w:w="1837"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481F191F" w14:textId="77777777" w:rsidR="0068157E" w:rsidRPr="00315936" w:rsidRDefault="0068157E">
            <w:pPr>
              <w:pStyle w:val="Tablecolhead"/>
              <w:rPr>
                <w:b w:val="0"/>
                <w:lang w:eastAsia="en-AU"/>
              </w:rPr>
            </w:pPr>
            <w:r w:rsidRPr="00315936">
              <w:rPr>
                <w:b w:val="0"/>
                <w:lang w:eastAsia="en-AU"/>
              </w:rPr>
              <w:t>Frequency of reporting and data collection</w:t>
            </w:r>
          </w:p>
        </w:tc>
        <w:tc>
          <w:tcPr>
            <w:tcW w:w="7512" w:type="dxa"/>
            <w:tcBorders>
              <w:left w:val="single" w:sz="6" w:space="0" w:color="000000" w:themeColor="text1"/>
            </w:tcBorders>
          </w:tcPr>
          <w:p w14:paraId="2481A0F7" w14:textId="1528C1B7" w:rsidR="73A12A2A" w:rsidRDefault="725DDECB" w:rsidP="18ED453A">
            <w:pPr>
              <w:pStyle w:val="Tabletext"/>
              <w:spacing w:line="279" w:lineRule="auto"/>
            </w:pPr>
            <w:r w:rsidRPr="18ED453A">
              <w:rPr>
                <w:rFonts w:eastAsia="Arial" w:cs="Arial"/>
                <w:color w:val="000000" w:themeColor="text1"/>
                <w:szCs w:val="21"/>
              </w:rPr>
              <w:t>Performance is monitored quarterly and assessed annually at the health service level.</w:t>
            </w:r>
          </w:p>
          <w:p w14:paraId="487B6038" w14:textId="6F383027" w:rsidR="0068157E" w:rsidRPr="00315936" w:rsidRDefault="0068157E">
            <w:pPr>
              <w:pStyle w:val="Tabletext"/>
              <w:rPr>
                <w:lang w:eastAsia="en-AU"/>
              </w:rPr>
            </w:pPr>
            <w:r w:rsidRPr="00315936">
              <w:t xml:space="preserve">Data are </w:t>
            </w:r>
            <w:r w:rsidR="005E56F4" w:rsidRPr="00315936">
              <w:t xml:space="preserve">sourced from </w:t>
            </w:r>
            <w:r w:rsidR="00B3760A">
              <w:t>Elective Surgery Information System (ESIS)</w:t>
            </w:r>
            <w:r w:rsidR="00B3760A" w:rsidRPr="00315936">
              <w:t>.</w:t>
            </w:r>
            <w:r w:rsidRPr="00315936">
              <w:t xml:space="preserve"> </w:t>
            </w:r>
          </w:p>
        </w:tc>
      </w:tr>
    </w:tbl>
    <w:p w14:paraId="628B27C7" w14:textId="34FA61C3" w:rsidR="00551F01" w:rsidRPr="00176947" w:rsidRDefault="00A478BC" w:rsidP="008E7F78">
      <w:pPr>
        <w:pStyle w:val="Heading4"/>
      </w:pPr>
      <w:bookmarkStart w:id="72" w:name="_Toc301510355"/>
      <w:r w:rsidRPr="00176947">
        <w:t>Number of patients admitted from the planned surgery waiting list</w:t>
      </w:r>
      <w:bookmarkEnd w:id="72"/>
    </w:p>
    <w:tbl>
      <w:tblPr>
        <w:tblStyle w:val="TableGrid"/>
        <w:tblW w:w="9352" w:type="dxa"/>
        <w:tblInd w:w="-3" w:type="dxa"/>
        <w:tblLook w:val="04A0" w:firstRow="1" w:lastRow="0" w:firstColumn="1" w:lastColumn="0" w:noHBand="0" w:noVBand="1"/>
      </w:tblPr>
      <w:tblGrid>
        <w:gridCol w:w="1838"/>
        <w:gridCol w:w="7514"/>
      </w:tblGrid>
      <w:tr w:rsidR="00DD7928" w:rsidRPr="00315936" w14:paraId="7C1B4401" w14:textId="77777777" w:rsidTr="008556CC">
        <w:trPr>
          <w:trHeight w:val="300"/>
        </w:trPr>
        <w:tc>
          <w:tcPr>
            <w:tcW w:w="1838" w:type="dxa"/>
            <w:tcBorders>
              <w:top w:val="single" w:sz="6" w:space="0" w:color="auto"/>
              <w:left w:val="single" w:sz="6" w:space="0" w:color="auto"/>
              <w:bottom w:val="single" w:sz="6" w:space="0" w:color="FFFFFF" w:themeColor="background1"/>
              <w:right w:val="single" w:sz="6" w:space="0" w:color="000000" w:themeColor="text1"/>
            </w:tcBorders>
            <w:shd w:val="clear" w:color="auto" w:fill="000066"/>
          </w:tcPr>
          <w:p w14:paraId="6941AF6C" w14:textId="4AAF0172" w:rsidR="00F929D1" w:rsidRPr="00315936" w:rsidRDefault="00C3016B">
            <w:pPr>
              <w:pStyle w:val="Tablecolhead"/>
              <w:rPr>
                <w:b w:val="0"/>
                <w:lang w:eastAsia="en-AU"/>
              </w:rPr>
            </w:pPr>
            <w:r w:rsidRPr="00315936">
              <w:rPr>
                <w:b w:val="0"/>
                <w:lang w:eastAsia="en-AU"/>
              </w:rPr>
              <w:t>Measure</w:t>
            </w:r>
          </w:p>
        </w:tc>
        <w:tc>
          <w:tcPr>
            <w:tcW w:w="7514" w:type="dxa"/>
            <w:tcBorders>
              <w:left w:val="single" w:sz="6" w:space="0" w:color="000000" w:themeColor="text1"/>
            </w:tcBorders>
            <w:vAlign w:val="bottom"/>
          </w:tcPr>
          <w:p w14:paraId="17F3B960" w14:textId="77777777" w:rsidR="00F929D1" w:rsidRPr="00315936" w:rsidRDefault="00F929D1">
            <w:pPr>
              <w:pStyle w:val="Tabletext"/>
              <w:rPr>
                <w:lang w:eastAsia="en-AU"/>
              </w:rPr>
            </w:pPr>
            <w:r w:rsidRPr="00315936">
              <w:t>Number of patients admitted from the planned surgery waiting list</w:t>
            </w:r>
          </w:p>
        </w:tc>
      </w:tr>
      <w:tr w:rsidR="00DD7928" w:rsidRPr="00315936" w14:paraId="27FD327F" w14:textId="77777777" w:rsidTr="008556CC">
        <w:trPr>
          <w:trHeight w:val="300"/>
        </w:trPr>
        <w:tc>
          <w:tcPr>
            <w:tcW w:w="1838"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D0CDA0B" w14:textId="77777777" w:rsidR="00F929D1" w:rsidRPr="00315936" w:rsidRDefault="00F929D1">
            <w:pPr>
              <w:pStyle w:val="Tablecolhead"/>
              <w:rPr>
                <w:b w:val="0"/>
                <w:lang w:eastAsia="en-AU"/>
              </w:rPr>
            </w:pPr>
            <w:r w:rsidRPr="00315936">
              <w:rPr>
                <w:b w:val="0"/>
                <w:lang w:eastAsia="en-AU"/>
              </w:rPr>
              <w:t>Description </w:t>
            </w:r>
          </w:p>
        </w:tc>
        <w:tc>
          <w:tcPr>
            <w:tcW w:w="7514" w:type="dxa"/>
            <w:tcBorders>
              <w:left w:val="single" w:sz="6" w:space="0" w:color="000000" w:themeColor="text1"/>
            </w:tcBorders>
          </w:tcPr>
          <w:p w14:paraId="31159F41" w14:textId="30974F6F" w:rsidR="00F929D1" w:rsidRPr="00315936" w:rsidRDefault="00F929D1">
            <w:pPr>
              <w:pStyle w:val="Tabletext"/>
            </w:pPr>
            <w:r w:rsidRPr="00315936">
              <w:t>This</w:t>
            </w:r>
            <w:r w:rsidRPr="00315936" w:rsidDel="00DC7231">
              <w:t xml:space="preserve"> </w:t>
            </w:r>
            <w:r w:rsidRPr="00315936">
              <w:t xml:space="preserve">measures the stocks and flows of planned surgery patients and assists </w:t>
            </w:r>
            <w:r w:rsidR="00D121E6">
              <w:t xml:space="preserve">in </w:t>
            </w:r>
            <w:r w:rsidRPr="00315936">
              <w:t>understanding demand management of planned surgery patients.</w:t>
            </w:r>
          </w:p>
          <w:p w14:paraId="6C9B9703" w14:textId="0573E73C" w:rsidR="00F929D1" w:rsidRPr="00315936" w:rsidRDefault="00F929D1">
            <w:pPr>
              <w:pStyle w:val="Tabletext"/>
              <w:rPr>
                <w:lang w:eastAsia="en-AU"/>
              </w:rPr>
            </w:pPr>
          </w:p>
        </w:tc>
      </w:tr>
      <w:tr w:rsidR="00DD7928" w:rsidRPr="00315936" w14:paraId="7F5ABCC2" w14:textId="77777777" w:rsidTr="008556CC">
        <w:trPr>
          <w:trHeight w:val="300"/>
        </w:trPr>
        <w:tc>
          <w:tcPr>
            <w:tcW w:w="1838"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786F4E6" w14:textId="77777777" w:rsidR="00F929D1" w:rsidRPr="00315936" w:rsidRDefault="00F929D1">
            <w:pPr>
              <w:pStyle w:val="Tablecolhead"/>
              <w:rPr>
                <w:b w:val="0"/>
                <w:lang w:eastAsia="en-AU"/>
              </w:rPr>
            </w:pPr>
            <w:r w:rsidRPr="00315936">
              <w:rPr>
                <w:b w:val="0"/>
                <w:lang w:eastAsia="en-AU"/>
              </w:rPr>
              <w:lastRenderedPageBreak/>
              <w:t>Calculating performance</w:t>
            </w:r>
          </w:p>
        </w:tc>
        <w:tc>
          <w:tcPr>
            <w:tcW w:w="7514" w:type="dxa"/>
            <w:tcBorders>
              <w:left w:val="single" w:sz="6" w:space="0" w:color="000000" w:themeColor="text1"/>
            </w:tcBorders>
          </w:tcPr>
          <w:p w14:paraId="4F6DEF53" w14:textId="579C3610" w:rsidR="00F929D1" w:rsidRPr="00315936" w:rsidRDefault="00F929D1">
            <w:pPr>
              <w:pStyle w:val="Tabletext"/>
            </w:pPr>
            <w:r w:rsidRPr="00315936">
              <w:t>The number of patients during the reporting period who have been admitted for the awaited procedure, or</w:t>
            </w:r>
            <w:r w:rsidR="00205CA2">
              <w:t xml:space="preserve"> a</w:t>
            </w:r>
            <w:r w:rsidRPr="00315936">
              <w:t xml:space="preserve"> related procedure that addresses the clinical condition for which they were added to the planned surgery list.</w:t>
            </w:r>
          </w:p>
          <w:p w14:paraId="55CAF48D" w14:textId="5C40014F" w:rsidR="00921793" w:rsidRDefault="00EA31B4" w:rsidP="009B24D3">
            <w:pPr>
              <w:pStyle w:val="Tablebullet1"/>
              <w:numPr>
                <w:ilvl w:val="0"/>
                <w:numId w:val="0"/>
              </w:numPr>
            </w:pPr>
            <w:r w:rsidRPr="00315936">
              <w:t>This measure is assessed using records assigned an intended procedure</w:t>
            </w:r>
            <w:r>
              <w:t xml:space="preserve"> code other than IP401 (</w:t>
            </w:r>
            <w:r w:rsidRPr="00D65DA3">
              <w:t>Gastroscopy</w:t>
            </w:r>
            <w:r>
              <w:t>) or IP402 (Colonoscopy</w:t>
            </w:r>
            <w:r w:rsidR="00F6529F">
              <w:t>).</w:t>
            </w:r>
            <w:r w:rsidR="00673E52">
              <w:fldChar w:fldCharType="begin"/>
            </w:r>
            <w:r w:rsidR="00673E52">
              <w:instrText xml:space="preserve"> NOTEREF _Ref201833425 \f \h </w:instrText>
            </w:r>
            <w:r w:rsidR="00673E52">
              <w:fldChar w:fldCharType="separate"/>
            </w:r>
            <w:r w:rsidR="00673E52" w:rsidRPr="00673E52">
              <w:rPr>
                <w:rStyle w:val="EndnoteReference"/>
              </w:rPr>
              <w:t>xiii</w:t>
            </w:r>
            <w:r w:rsidR="00673E52">
              <w:fldChar w:fldCharType="end"/>
            </w:r>
          </w:p>
          <w:p w14:paraId="73DB74BF" w14:textId="0C0BEF3D" w:rsidR="009B24D3" w:rsidRPr="00315936" w:rsidRDefault="009B24D3" w:rsidP="009B24D3">
            <w:pPr>
              <w:pStyle w:val="Tablebullet1"/>
              <w:numPr>
                <w:ilvl w:val="0"/>
                <w:numId w:val="0"/>
              </w:numPr>
            </w:pPr>
            <w:r>
              <w:t xml:space="preserve">A patient is counted as being admitted </w:t>
            </w:r>
            <w:r w:rsidR="00D32CE3">
              <w:t xml:space="preserve">if the </w:t>
            </w:r>
            <w:r w:rsidR="00264626">
              <w:t>admission</w:t>
            </w:r>
            <w:r w:rsidR="00264626" w:rsidRPr="00315936">
              <w:t xml:space="preserve"> </w:t>
            </w:r>
            <w:r w:rsidR="00D32CE3" w:rsidRPr="00315936">
              <w:t xml:space="preserve">date falls within the </w:t>
            </w:r>
            <w:r w:rsidR="00D32CE3">
              <w:t xml:space="preserve">reporting period and </w:t>
            </w:r>
            <w:r w:rsidRPr="00315936">
              <w:t>the reason for removal is any one of the following:</w:t>
            </w:r>
          </w:p>
          <w:p w14:paraId="3E238E26" w14:textId="77777777" w:rsidR="00F929D1" w:rsidRPr="00315936" w:rsidRDefault="00F929D1">
            <w:pPr>
              <w:pStyle w:val="Tablebullet1"/>
            </w:pPr>
            <w:r w:rsidRPr="00315936">
              <w:t>W – admitted to the intended campus and has received the awaited procedure</w:t>
            </w:r>
          </w:p>
          <w:p w14:paraId="75112443" w14:textId="77777777" w:rsidR="00F929D1" w:rsidRPr="00315936" w:rsidRDefault="00F929D1">
            <w:pPr>
              <w:pStyle w:val="Tablebullet1"/>
            </w:pPr>
            <w:r w:rsidRPr="00315936">
              <w:t>S – admitted to another campus arranged by ESAS and has received the awaited procedure</w:t>
            </w:r>
          </w:p>
          <w:p w14:paraId="2DA92417" w14:textId="77777777" w:rsidR="00F929D1" w:rsidRPr="00315936" w:rsidRDefault="00F929D1">
            <w:pPr>
              <w:pStyle w:val="Tablebullet1"/>
            </w:pPr>
            <w:r w:rsidRPr="00315936">
              <w:t>X – admitted to another campus arranged by this campus/health service and has received the awaited procedure under other contract or similar arrangement.</w:t>
            </w:r>
          </w:p>
          <w:p w14:paraId="505D4FA0" w14:textId="753F23AA" w:rsidR="008619D0" w:rsidRDefault="00F929D1" w:rsidP="00D82F1E">
            <w:pPr>
              <w:pStyle w:val="Tablebullet1"/>
            </w:pPr>
            <w:r w:rsidRPr="00315936">
              <w:t xml:space="preserve">P – special purpose, COVID-19 </w:t>
            </w:r>
            <w:r w:rsidRPr="00315936">
              <w:br/>
              <w:t>admitted to another campus arranged by this campus/health service and has received the awaited procedure under contract or similar arrangement due to the COVID-19 response</w:t>
            </w:r>
            <w:r w:rsidR="00F6529F">
              <w:t>.</w:t>
            </w:r>
          </w:p>
          <w:p w14:paraId="4E3DA932" w14:textId="2CB09C90" w:rsidR="00F96211" w:rsidRDefault="00F96211" w:rsidP="00F96211">
            <w:pPr>
              <w:pStyle w:val="Tabletext"/>
            </w:pPr>
            <w:r>
              <w:t>Individual targets are negotiated with each health service</w:t>
            </w:r>
            <w:r w:rsidR="00552A1F">
              <w:t xml:space="preserve"> and are set</w:t>
            </w:r>
            <w:r>
              <w:t xml:space="preserve"> at the health service level, rather than individual hospital level.</w:t>
            </w:r>
            <w:r w:rsidR="00552A1F">
              <w:t xml:space="preserve"> </w:t>
            </w:r>
            <w:r>
              <w:t>H</w:t>
            </w:r>
            <w:r w:rsidRPr="00315936">
              <w:t>ealth services provide the department with phased monthly targets</w:t>
            </w:r>
            <w:r w:rsidR="003A4114">
              <w:t xml:space="preserve"> which </w:t>
            </w:r>
            <w:r w:rsidR="003A4114" w:rsidRPr="00315936">
              <w:t>reflect peaks in emergency demand and seasonal capacity limitations</w:t>
            </w:r>
            <w:r>
              <w:t xml:space="preserve"> t</w:t>
            </w:r>
            <w:r w:rsidRPr="00315936">
              <w:t xml:space="preserve">o enable </w:t>
            </w:r>
            <w:r>
              <w:t>monitoring across the year</w:t>
            </w:r>
            <w:r w:rsidRPr="00315936">
              <w:t>.</w:t>
            </w:r>
          </w:p>
          <w:p w14:paraId="6D3E0535" w14:textId="2111DC0A" w:rsidR="00F929D1" w:rsidRPr="00535D2B" w:rsidRDefault="008619D0" w:rsidP="00F96211">
            <w:pPr>
              <w:pStyle w:val="Tabletext"/>
              <w:rPr>
                <w:rFonts w:eastAsia="VIC" w:cs="VIC"/>
                <w:color w:val="000000" w:themeColor="text1"/>
              </w:rPr>
            </w:pPr>
            <w:r w:rsidRPr="00315936">
              <w:rPr>
                <w:rFonts w:eastAsia="VIC" w:cs="VIC"/>
              </w:rPr>
              <w:t>The target will be reported as a year-to-date figure that will be cumulative across the financial year.</w:t>
            </w:r>
          </w:p>
        </w:tc>
      </w:tr>
      <w:tr w:rsidR="00DD7928" w:rsidRPr="00315936" w14:paraId="70EEEA3C" w14:textId="77777777" w:rsidTr="008556CC">
        <w:trPr>
          <w:trHeight w:val="300"/>
        </w:trPr>
        <w:tc>
          <w:tcPr>
            <w:tcW w:w="1838"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57085E14" w14:textId="77777777" w:rsidR="00F929D1" w:rsidRPr="00315936" w:rsidRDefault="00F929D1">
            <w:pPr>
              <w:pStyle w:val="Tablecolhead"/>
              <w:rPr>
                <w:b w:val="0"/>
                <w:lang w:eastAsia="en-AU"/>
              </w:rPr>
            </w:pPr>
            <w:r w:rsidRPr="00315936">
              <w:rPr>
                <w:b w:val="0"/>
                <w:lang w:eastAsia="en-AU"/>
              </w:rPr>
              <w:t>Numerator</w:t>
            </w:r>
          </w:p>
        </w:tc>
        <w:tc>
          <w:tcPr>
            <w:tcW w:w="7514" w:type="dxa"/>
            <w:tcBorders>
              <w:left w:val="single" w:sz="6" w:space="0" w:color="000000" w:themeColor="text1"/>
            </w:tcBorders>
          </w:tcPr>
          <w:p w14:paraId="770E0BFD" w14:textId="77777777" w:rsidR="00F929D1" w:rsidRPr="00315936" w:rsidRDefault="00F929D1">
            <w:pPr>
              <w:pStyle w:val="Tabletext"/>
              <w:rPr>
                <w:lang w:eastAsia="en-AU"/>
              </w:rPr>
            </w:pPr>
            <w:r w:rsidRPr="00315936">
              <w:t xml:space="preserve">Total number of admitted patients </w:t>
            </w:r>
          </w:p>
        </w:tc>
      </w:tr>
      <w:tr w:rsidR="00862D35" w:rsidRPr="00315936" w14:paraId="05B9FDC1" w14:textId="77777777" w:rsidTr="008556CC">
        <w:trPr>
          <w:trHeight w:val="30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05774B5" w14:textId="77777777" w:rsidR="0082431A" w:rsidRPr="00315936" w:rsidRDefault="0082431A">
            <w:pPr>
              <w:pStyle w:val="Tablecolhead"/>
              <w:rPr>
                <w:b w:val="0"/>
                <w:lang w:eastAsia="en-AU"/>
              </w:rPr>
            </w:pPr>
            <w:r w:rsidRPr="00315936">
              <w:rPr>
                <w:b w:val="0"/>
                <w:lang w:eastAsia="en-AU"/>
              </w:rPr>
              <w:t>Denominator</w:t>
            </w:r>
          </w:p>
        </w:tc>
        <w:tc>
          <w:tcPr>
            <w:tcW w:w="7514" w:type="dxa"/>
            <w:tcBorders>
              <w:left w:val="single" w:sz="4" w:space="0" w:color="FFFFFF" w:themeColor="background1"/>
            </w:tcBorders>
          </w:tcPr>
          <w:p w14:paraId="7625083D" w14:textId="77777777" w:rsidR="0082431A" w:rsidRPr="00315936" w:rsidRDefault="0082431A">
            <w:pPr>
              <w:pStyle w:val="Tabletext"/>
              <w:rPr>
                <w:rFonts w:eastAsia="Arial Nova"/>
              </w:rPr>
            </w:pPr>
            <w:r w:rsidRPr="00315936">
              <w:rPr>
                <w:rFonts w:eastAsia="Arial Nova"/>
              </w:rPr>
              <w:t xml:space="preserve">N/A </w:t>
            </w:r>
          </w:p>
        </w:tc>
      </w:tr>
      <w:tr w:rsidR="00DD7928" w:rsidRPr="00315936" w14:paraId="5644FB93" w14:textId="77777777" w:rsidTr="008556CC">
        <w:trPr>
          <w:trHeight w:val="300"/>
        </w:trPr>
        <w:tc>
          <w:tcPr>
            <w:tcW w:w="1838"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596F335" w14:textId="77777777" w:rsidR="00F929D1" w:rsidRPr="00315936" w:rsidRDefault="00F929D1">
            <w:pPr>
              <w:pStyle w:val="Tablecolhead"/>
              <w:rPr>
                <w:b w:val="0"/>
                <w:lang w:eastAsia="en-AU"/>
              </w:rPr>
            </w:pPr>
            <w:r w:rsidRPr="00315936">
              <w:rPr>
                <w:b w:val="0"/>
                <w:lang w:eastAsia="en-AU"/>
              </w:rPr>
              <w:t>Statewide target</w:t>
            </w:r>
          </w:p>
        </w:tc>
        <w:tc>
          <w:tcPr>
            <w:tcW w:w="7514" w:type="dxa"/>
            <w:tcBorders>
              <w:left w:val="single" w:sz="6" w:space="0" w:color="000000" w:themeColor="text1"/>
            </w:tcBorders>
            <w:vAlign w:val="bottom"/>
          </w:tcPr>
          <w:p w14:paraId="7AFCFB63" w14:textId="0E388694" w:rsidR="00F929D1" w:rsidRPr="00315936" w:rsidRDefault="00731DF5">
            <w:pPr>
              <w:pStyle w:val="Tabletext"/>
              <w:rPr>
                <w:lang w:eastAsia="en-AU"/>
              </w:rPr>
            </w:pPr>
            <w:r w:rsidRPr="00315936">
              <w:t>As agreed in the SoP for each health service</w:t>
            </w:r>
          </w:p>
        </w:tc>
      </w:tr>
      <w:tr w:rsidR="00DD7928" w:rsidRPr="00315936" w14:paraId="61ADF17F" w14:textId="77777777" w:rsidTr="008556CC">
        <w:trPr>
          <w:trHeight w:val="300"/>
        </w:trPr>
        <w:tc>
          <w:tcPr>
            <w:tcW w:w="1838"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3F994BDE" w14:textId="64F633FF" w:rsidR="007B7063" w:rsidRPr="00315936" w:rsidRDefault="007B7063" w:rsidP="007B7063">
            <w:pPr>
              <w:pStyle w:val="Tablecolhead"/>
              <w:rPr>
                <w:b w:val="0"/>
                <w:lang w:eastAsia="en-AU"/>
              </w:rPr>
            </w:pPr>
            <w:r w:rsidRPr="00315936">
              <w:rPr>
                <w:b w:val="0"/>
                <w:lang w:eastAsia="en-AU"/>
              </w:rPr>
              <w:t>Achieved</w:t>
            </w:r>
          </w:p>
        </w:tc>
        <w:tc>
          <w:tcPr>
            <w:tcW w:w="7514" w:type="dxa"/>
            <w:tcBorders>
              <w:left w:val="single" w:sz="6" w:space="0" w:color="000000" w:themeColor="text1"/>
            </w:tcBorders>
          </w:tcPr>
          <w:p w14:paraId="77004D9A" w14:textId="34481C29" w:rsidR="007B7063" w:rsidRPr="00315936" w:rsidRDefault="007B7063" w:rsidP="007B7063">
            <w:pPr>
              <w:pStyle w:val="Tabletext"/>
            </w:pPr>
            <w:r w:rsidRPr="00E65A9B">
              <w:rPr>
                <w:rFonts w:eastAsia="Aptos"/>
              </w:rPr>
              <w:t>Greater than or equal to health service target</w:t>
            </w:r>
          </w:p>
        </w:tc>
      </w:tr>
      <w:tr w:rsidR="00DD7928" w:rsidRPr="00315936" w14:paraId="72B8664D" w14:textId="77777777" w:rsidTr="008556CC">
        <w:trPr>
          <w:trHeight w:val="300"/>
        </w:trPr>
        <w:tc>
          <w:tcPr>
            <w:tcW w:w="1838"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69168C58" w14:textId="3C774372" w:rsidR="007B7063" w:rsidRPr="00315936" w:rsidRDefault="007B7063" w:rsidP="007B7063">
            <w:pPr>
              <w:pStyle w:val="Tablecolhead"/>
              <w:rPr>
                <w:b w:val="0"/>
                <w:lang w:eastAsia="en-AU"/>
              </w:rPr>
            </w:pPr>
            <w:r w:rsidRPr="00315936">
              <w:rPr>
                <w:b w:val="0"/>
                <w:lang w:eastAsia="en-AU"/>
              </w:rPr>
              <w:t>Not achieved</w:t>
            </w:r>
          </w:p>
        </w:tc>
        <w:tc>
          <w:tcPr>
            <w:tcW w:w="7514" w:type="dxa"/>
            <w:tcBorders>
              <w:left w:val="single" w:sz="6" w:space="0" w:color="000000" w:themeColor="text1"/>
            </w:tcBorders>
          </w:tcPr>
          <w:p w14:paraId="21130BCC" w14:textId="37DE48E3" w:rsidR="007B7063" w:rsidRPr="00315936" w:rsidRDefault="007B7063" w:rsidP="007B7063">
            <w:pPr>
              <w:pStyle w:val="Tabletext"/>
            </w:pPr>
            <w:r w:rsidRPr="00E65A9B">
              <w:rPr>
                <w:rFonts w:eastAsia="Aptos"/>
              </w:rPr>
              <w:t>Less than health service target</w:t>
            </w:r>
          </w:p>
        </w:tc>
      </w:tr>
      <w:tr w:rsidR="00DD7928" w:rsidRPr="00315936" w14:paraId="18AF328D" w14:textId="77777777" w:rsidTr="008556CC">
        <w:trPr>
          <w:trHeight w:val="300"/>
        </w:trPr>
        <w:tc>
          <w:tcPr>
            <w:tcW w:w="1838" w:type="dxa"/>
            <w:tcBorders>
              <w:top w:val="single" w:sz="6" w:space="0" w:color="FFFFFF" w:themeColor="background1"/>
              <w:left w:val="single" w:sz="6" w:space="0" w:color="auto"/>
              <w:bottom w:val="single" w:sz="6" w:space="0" w:color="FFFFFF" w:themeColor="background1"/>
              <w:right w:val="single" w:sz="6" w:space="0" w:color="000000" w:themeColor="text1"/>
            </w:tcBorders>
            <w:shd w:val="clear" w:color="auto" w:fill="000066"/>
          </w:tcPr>
          <w:p w14:paraId="2818101A" w14:textId="77777777" w:rsidR="00F929D1" w:rsidRPr="00315936" w:rsidRDefault="00F929D1">
            <w:pPr>
              <w:pStyle w:val="Tablecolhead"/>
              <w:rPr>
                <w:b w:val="0"/>
                <w:lang w:eastAsia="en-AU"/>
              </w:rPr>
            </w:pPr>
            <w:r w:rsidRPr="00315936">
              <w:rPr>
                <w:b w:val="0"/>
                <w:lang w:eastAsia="en-AU"/>
              </w:rPr>
              <w:t>Improvement</w:t>
            </w:r>
          </w:p>
        </w:tc>
        <w:tc>
          <w:tcPr>
            <w:tcW w:w="7514" w:type="dxa"/>
            <w:tcBorders>
              <w:left w:val="single" w:sz="6" w:space="0" w:color="000000" w:themeColor="text1"/>
            </w:tcBorders>
          </w:tcPr>
          <w:p w14:paraId="3E2E7E47" w14:textId="0E98F103" w:rsidR="00F929D1" w:rsidRPr="00315936" w:rsidRDefault="00F929D1">
            <w:pPr>
              <w:pStyle w:val="Tabletext"/>
              <w:rPr>
                <w:lang w:eastAsia="en-AU"/>
              </w:rPr>
            </w:pPr>
            <w:r>
              <w:t xml:space="preserve">For the purpose of the performance risk assessment, improvement is assessed quarterly based on performance against phased targets, compared to previous quarter performance. </w:t>
            </w:r>
          </w:p>
        </w:tc>
      </w:tr>
      <w:tr w:rsidR="00DD7928" w:rsidRPr="00315936" w14:paraId="59A0E3D3" w14:textId="77777777" w:rsidTr="008556CC">
        <w:trPr>
          <w:trHeight w:val="300"/>
        </w:trPr>
        <w:tc>
          <w:tcPr>
            <w:tcW w:w="1838" w:type="dxa"/>
            <w:tcBorders>
              <w:top w:val="single" w:sz="6" w:space="0" w:color="FFFFFF" w:themeColor="background1"/>
              <w:left w:val="single" w:sz="6" w:space="0" w:color="auto"/>
              <w:bottom w:val="single" w:sz="6" w:space="0" w:color="auto"/>
              <w:right w:val="single" w:sz="6" w:space="0" w:color="000000" w:themeColor="text1"/>
            </w:tcBorders>
            <w:shd w:val="clear" w:color="auto" w:fill="000066"/>
          </w:tcPr>
          <w:p w14:paraId="14330D03" w14:textId="77777777" w:rsidR="00F929D1" w:rsidRPr="00315936" w:rsidRDefault="00F929D1">
            <w:pPr>
              <w:pStyle w:val="Tablecolhead"/>
              <w:rPr>
                <w:b w:val="0"/>
                <w:lang w:eastAsia="en-AU"/>
              </w:rPr>
            </w:pPr>
            <w:r w:rsidRPr="00315936">
              <w:rPr>
                <w:b w:val="0"/>
                <w:lang w:eastAsia="en-AU"/>
              </w:rPr>
              <w:t>Frequency of reporting and data collection</w:t>
            </w:r>
          </w:p>
        </w:tc>
        <w:tc>
          <w:tcPr>
            <w:tcW w:w="7514" w:type="dxa"/>
            <w:tcBorders>
              <w:left w:val="single" w:sz="6" w:space="0" w:color="000000" w:themeColor="text1"/>
            </w:tcBorders>
          </w:tcPr>
          <w:p w14:paraId="6763ED60" w14:textId="5C8699E0" w:rsidR="00CF79CE" w:rsidRPr="00315936" w:rsidRDefault="00CF79CE">
            <w:pPr>
              <w:pStyle w:val="Tabletext"/>
            </w:pPr>
            <w:r w:rsidRPr="00315936">
              <w:t>Year to date p</w:t>
            </w:r>
            <w:r w:rsidR="00F929D1" w:rsidRPr="00315936">
              <w:t xml:space="preserve">erformance is </w:t>
            </w:r>
            <w:r w:rsidR="00257AAD" w:rsidRPr="00315936">
              <w:t xml:space="preserve">reported </w:t>
            </w:r>
            <w:r w:rsidR="00F929D1" w:rsidRPr="00315936">
              <w:t>monthly</w:t>
            </w:r>
            <w:r w:rsidR="00C1040E" w:rsidRPr="00315936">
              <w:t xml:space="preserve"> </w:t>
            </w:r>
            <w:r w:rsidRPr="00315936">
              <w:t>at the health service level</w:t>
            </w:r>
            <w:r w:rsidR="00F929D1" w:rsidRPr="00315936">
              <w:t>.</w:t>
            </w:r>
          </w:p>
          <w:p w14:paraId="24FEAF89" w14:textId="2A3EF89F" w:rsidR="00F929D1" w:rsidRPr="00315936" w:rsidRDefault="00F929D1">
            <w:pPr>
              <w:pStyle w:val="Tabletext"/>
              <w:rPr>
                <w:lang w:eastAsia="en-AU"/>
              </w:rPr>
            </w:pPr>
            <w:r w:rsidRPr="00315936">
              <w:t xml:space="preserve">Data are </w:t>
            </w:r>
            <w:r w:rsidR="00CF79CE" w:rsidRPr="00315936">
              <w:t>sourced</w:t>
            </w:r>
            <w:r w:rsidR="002870A4" w:rsidRPr="00315936">
              <w:t xml:space="preserve"> from</w:t>
            </w:r>
            <w:r w:rsidR="00C1040E" w:rsidRPr="00315936">
              <w:t xml:space="preserve"> </w:t>
            </w:r>
            <w:r w:rsidR="000B40BE">
              <w:t>the Elective Surgery Information System (ESIS)</w:t>
            </w:r>
            <w:r w:rsidRPr="00315936">
              <w:t xml:space="preserve">. </w:t>
            </w:r>
          </w:p>
        </w:tc>
      </w:tr>
    </w:tbl>
    <w:p w14:paraId="66BE8C3F" w14:textId="47DA3303" w:rsidR="007C0EE4" w:rsidRPr="00315936" w:rsidRDefault="007C0EE4" w:rsidP="008E7F78">
      <w:pPr>
        <w:pStyle w:val="Heading4"/>
      </w:pPr>
      <w:bookmarkStart w:id="73" w:name="RM_revew_from_here"/>
      <w:bookmarkEnd w:id="73"/>
      <w:r w:rsidRPr="00315936">
        <w:t>Optimisation of surgical inpatient length of stay, including through use of virtual and home-based pre- and post-operative models of care </w:t>
      </w:r>
    </w:p>
    <w:tbl>
      <w:tblPr>
        <w:tblStyle w:val="TableGrid"/>
        <w:tblW w:w="9349" w:type="dxa"/>
        <w:tblLook w:val="04A0" w:firstRow="1" w:lastRow="0" w:firstColumn="1" w:lastColumn="0" w:noHBand="0" w:noVBand="1"/>
      </w:tblPr>
      <w:tblGrid>
        <w:gridCol w:w="1837"/>
        <w:gridCol w:w="7512"/>
      </w:tblGrid>
      <w:tr w:rsidR="007C0EE4" w:rsidRPr="00315936" w14:paraId="6E1550E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AC9D576" w14:textId="77777777" w:rsidR="007C0EE4" w:rsidRPr="00315936" w:rsidRDefault="007C0EE4">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4C0EC7D7" w14:textId="77777777" w:rsidR="007C0EE4" w:rsidRPr="00315936" w:rsidRDefault="007C0EE4">
            <w:pPr>
              <w:pStyle w:val="Tabletext"/>
              <w:rPr>
                <w:lang w:eastAsia="en-AU"/>
              </w:rPr>
            </w:pPr>
            <w:r w:rsidRPr="00315936">
              <w:rPr>
                <w:rFonts w:cs="Arial"/>
                <w:color w:val="000000"/>
                <w:szCs w:val="21"/>
                <w:shd w:val="clear" w:color="auto" w:fill="FFFFFF"/>
              </w:rPr>
              <w:t>Optimisation of surgical inpatient length of stay, including through use of virtual and home-based pre- and post-operative models of care</w:t>
            </w:r>
            <w:r w:rsidRPr="00315936">
              <w:rPr>
                <w:rStyle w:val="eop"/>
                <w:rFonts w:eastAsia="MS Gothic" w:cs="Arial"/>
                <w:color w:val="000000"/>
                <w:szCs w:val="21"/>
                <w:shd w:val="clear" w:color="auto" w:fill="FFFFFF"/>
              </w:rPr>
              <w:t> </w:t>
            </w:r>
          </w:p>
        </w:tc>
      </w:tr>
      <w:tr w:rsidR="007C0EE4" w:rsidRPr="00315936" w14:paraId="228985C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2CCB668" w14:textId="77777777" w:rsidR="007C0EE4" w:rsidRPr="00315936" w:rsidRDefault="007C0EE4">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0DAF8B8E" w14:textId="0ACAA620" w:rsidR="007C0EE4" w:rsidRPr="008C46AF" w:rsidRDefault="007C0EE4">
            <w:pPr>
              <w:pStyle w:val="Tabletext"/>
              <w:rPr>
                <w:rFonts w:eastAsia="Arial Nova"/>
              </w:rPr>
            </w:pPr>
            <w:r w:rsidRPr="00315936">
              <w:rPr>
                <w:rFonts w:eastAsia="Arial Nova"/>
              </w:rPr>
              <w:t>This measure</w:t>
            </w:r>
            <w:r w:rsidR="008C46AF">
              <w:rPr>
                <w:rFonts w:eastAsia="Arial Nova"/>
              </w:rPr>
              <w:t xml:space="preserve">s </w:t>
            </w:r>
            <w:r w:rsidRPr="00315936">
              <w:rPr>
                <w:rFonts w:eastAsia="Arial Nova"/>
              </w:rPr>
              <w:t xml:space="preserve">the reduction in average inpatient length of stay for planned surgery patients using virtual and home-based pre- and post-operative models of care. </w:t>
            </w:r>
          </w:p>
        </w:tc>
      </w:tr>
      <w:tr w:rsidR="007C0EE4" w:rsidRPr="00315936" w14:paraId="6341870A" w14:textId="77777777" w:rsidTr="00535D2B">
        <w:trPr>
          <w:trHeight w:val="6032"/>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0DCF550" w14:textId="77777777" w:rsidR="007C0EE4" w:rsidRPr="00315936" w:rsidRDefault="007C0EE4">
            <w:pPr>
              <w:pStyle w:val="Tablecolhead"/>
              <w:rPr>
                <w:b w:val="0"/>
                <w:lang w:eastAsia="en-AU"/>
              </w:rPr>
            </w:pPr>
            <w:r w:rsidRPr="00315936">
              <w:rPr>
                <w:b w:val="0"/>
                <w:lang w:eastAsia="en-AU"/>
              </w:rPr>
              <w:lastRenderedPageBreak/>
              <w:t>Calculating performance</w:t>
            </w:r>
          </w:p>
        </w:tc>
        <w:tc>
          <w:tcPr>
            <w:tcW w:w="7512" w:type="dxa"/>
            <w:tcBorders>
              <w:left w:val="single" w:sz="4" w:space="0" w:color="FFFFFF" w:themeColor="background1"/>
            </w:tcBorders>
          </w:tcPr>
          <w:p w14:paraId="07BBBA62" w14:textId="0443A869" w:rsidR="007C0EE4" w:rsidRPr="00A4286C" w:rsidRDefault="007C0EE4">
            <w:pPr>
              <w:spacing w:before="80" w:after="60" w:line="259" w:lineRule="auto"/>
              <w:rPr>
                <w:rFonts w:eastAsia="Arial Nova" w:cs="Arial"/>
                <w:color w:val="000000" w:themeColor="text1"/>
                <w:szCs w:val="21"/>
              </w:rPr>
            </w:pPr>
            <w:r w:rsidRPr="00A4286C">
              <w:rPr>
                <w:rFonts w:eastAsia="Arial Nova" w:cs="Arial"/>
                <w:color w:val="000000" w:themeColor="text1"/>
                <w:szCs w:val="21"/>
              </w:rPr>
              <w:t>This measure is calculated by comparing the average length of stay o</w:t>
            </w:r>
            <w:r w:rsidRPr="00A4286C">
              <w:rPr>
                <w:rFonts w:eastAsia="Arial Nova" w:cs="Arial"/>
                <w:szCs w:val="21"/>
              </w:rPr>
              <w:t>f in-scope planned surgery inpatient separations t</w:t>
            </w:r>
            <w:r w:rsidRPr="00A4286C">
              <w:rPr>
                <w:rFonts w:eastAsia="Arial Nova" w:cs="Arial"/>
                <w:color w:val="000000" w:themeColor="text1"/>
                <w:szCs w:val="21"/>
              </w:rPr>
              <w:t xml:space="preserve">o </w:t>
            </w:r>
            <w:r w:rsidR="00820DEB">
              <w:rPr>
                <w:rFonts w:eastAsia="Arial Nova" w:cs="Arial"/>
                <w:color w:val="000000" w:themeColor="text1"/>
                <w:szCs w:val="21"/>
              </w:rPr>
              <w:t>the prior year average</w:t>
            </w:r>
            <w:r w:rsidRPr="00A4286C">
              <w:rPr>
                <w:rFonts w:eastAsia="Arial Nova" w:cs="Arial"/>
                <w:color w:val="000000" w:themeColor="text1"/>
                <w:szCs w:val="21"/>
              </w:rPr>
              <w:t>.</w:t>
            </w:r>
          </w:p>
          <w:p w14:paraId="47E9FD8B" w14:textId="6EDBA38D" w:rsidR="007C0EE4" w:rsidRPr="00A4286C" w:rsidRDefault="007C0EE4">
            <w:pPr>
              <w:spacing w:before="80" w:after="60" w:line="259" w:lineRule="auto"/>
              <w:rPr>
                <w:rFonts w:eastAsia="Arial Nova" w:cs="Arial"/>
                <w:color w:val="000000" w:themeColor="text1"/>
                <w:szCs w:val="21"/>
              </w:rPr>
            </w:pPr>
            <w:r w:rsidRPr="00A4286C">
              <w:rPr>
                <w:rFonts w:eastAsia="Arial Nova" w:cs="Arial"/>
                <w:szCs w:val="21"/>
              </w:rPr>
              <w:t>In-scope inpatient separations are those for which a matched</w:t>
            </w:r>
            <w:r w:rsidR="00820DEB">
              <w:rPr>
                <w:rFonts w:eastAsia="Arial Nova" w:cs="Arial"/>
                <w:szCs w:val="21"/>
              </w:rPr>
              <w:t xml:space="preserve"> Elective Surgery Information System (</w:t>
            </w:r>
            <w:r w:rsidRPr="00A4286C">
              <w:rPr>
                <w:rFonts w:eastAsia="Arial Nova" w:cs="Arial"/>
                <w:szCs w:val="21"/>
              </w:rPr>
              <w:t>ESIS</w:t>
            </w:r>
            <w:r w:rsidR="00820DEB">
              <w:rPr>
                <w:rFonts w:eastAsia="Arial Nova" w:cs="Arial"/>
                <w:szCs w:val="21"/>
              </w:rPr>
              <w:t>)</w:t>
            </w:r>
            <w:r w:rsidRPr="00A4286C">
              <w:rPr>
                <w:rFonts w:eastAsia="Arial Nova" w:cs="Arial"/>
                <w:szCs w:val="21"/>
              </w:rPr>
              <w:t xml:space="preserve"> waiting list episode exists, where the intended procedure is an ESIS-reportable procedure (excluding IP401 Gastroscopy and IP402 Colonoscopy</w:t>
            </w:r>
            <w:r w:rsidR="001A559A">
              <w:rPr>
                <w:rFonts w:eastAsia="Arial Nova" w:cs="Arial"/>
                <w:szCs w:val="21"/>
              </w:rPr>
              <w:t>)</w:t>
            </w:r>
            <w:r w:rsidR="00003CA9">
              <w:rPr>
                <w:rFonts w:eastAsia="Arial Nova" w:cs="Arial"/>
                <w:szCs w:val="21"/>
              </w:rPr>
              <w:fldChar w:fldCharType="begin"/>
            </w:r>
            <w:r w:rsidR="00003CA9">
              <w:rPr>
                <w:rFonts w:eastAsia="Arial Nova" w:cs="Arial"/>
                <w:szCs w:val="21"/>
              </w:rPr>
              <w:instrText xml:space="preserve"> NOTEREF _Ref201833425 \f \h </w:instrText>
            </w:r>
            <w:r w:rsidR="00003CA9">
              <w:rPr>
                <w:rFonts w:eastAsia="Arial Nova" w:cs="Arial"/>
                <w:szCs w:val="21"/>
              </w:rPr>
            </w:r>
            <w:r w:rsidR="00003CA9">
              <w:rPr>
                <w:rFonts w:eastAsia="Arial Nova" w:cs="Arial"/>
                <w:szCs w:val="21"/>
              </w:rPr>
              <w:fldChar w:fldCharType="separate"/>
            </w:r>
            <w:r w:rsidR="00003CA9" w:rsidRPr="00003CA9">
              <w:rPr>
                <w:rStyle w:val="EndnoteReference"/>
                <w:rFonts w:eastAsia="Arial Nova"/>
              </w:rPr>
              <w:t>xiii</w:t>
            </w:r>
            <w:r w:rsidR="00003CA9">
              <w:rPr>
                <w:rFonts w:eastAsia="Arial Nova" w:cs="Arial"/>
                <w:szCs w:val="21"/>
              </w:rPr>
              <w:fldChar w:fldCharType="end"/>
            </w:r>
            <w:r w:rsidRPr="00A4286C">
              <w:rPr>
                <w:rFonts w:eastAsia="Arial Nova" w:cs="Arial"/>
                <w:szCs w:val="21"/>
              </w:rPr>
              <w:t>, and where the reason for removal is one of the following:</w:t>
            </w:r>
          </w:p>
          <w:p w14:paraId="76B0A352" w14:textId="77777777" w:rsidR="007C0EE4" w:rsidRPr="00884A11" w:rsidRDefault="007C0EE4">
            <w:pPr>
              <w:pStyle w:val="Tablebullet1"/>
              <w:rPr>
                <w:rFonts w:eastAsia="Arial Nova"/>
                <w:color w:val="000000" w:themeColor="text1"/>
              </w:rPr>
            </w:pPr>
            <w:r w:rsidRPr="00884A11">
              <w:rPr>
                <w:rFonts w:eastAsia="Arial Nova"/>
              </w:rPr>
              <w:t>W - Admitted to the intended campus and has received the awaited procedure</w:t>
            </w:r>
          </w:p>
          <w:p w14:paraId="71767B38" w14:textId="77777777" w:rsidR="007C0EE4" w:rsidRPr="00884A11" w:rsidRDefault="007C0EE4">
            <w:pPr>
              <w:pStyle w:val="Tablebullet1"/>
              <w:rPr>
                <w:rFonts w:eastAsia="Arial Nova"/>
                <w:color w:val="000000" w:themeColor="text1"/>
              </w:rPr>
            </w:pPr>
            <w:r w:rsidRPr="00884A11">
              <w:rPr>
                <w:rFonts w:eastAsia="Arial Nova"/>
              </w:rPr>
              <w:t>X - Admitted to another campus arranged by this campus/health service and has received the awaited procedure under contract or similar arrangement</w:t>
            </w:r>
          </w:p>
          <w:p w14:paraId="69620C0D" w14:textId="77777777" w:rsidR="007C0EE4" w:rsidRPr="00884A11" w:rsidRDefault="007C0EE4">
            <w:pPr>
              <w:pStyle w:val="Tablebullet1"/>
              <w:rPr>
                <w:rFonts w:eastAsia="Arial Nova"/>
                <w:color w:val="000000" w:themeColor="text1"/>
              </w:rPr>
            </w:pPr>
            <w:r w:rsidRPr="00884A11">
              <w:rPr>
                <w:rFonts w:eastAsia="Arial Nova"/>
              </w:rPr>
              <w:t>S - Admitted to another campus arranged by ESAS and has received the awaited procedure</w:t>
            </w:r>
          </w:p>
          <w:p w14:paraId="71754089" w14:textId="07D365A5" w:rsidR="007C0EE4" w:rsidRPr="00884A11" w:rsidRDefault="007C0EE4">
            <w:pPr>
              <w:pStyle w:val="Tablebullet1"/>
              <w:rPr>
                <w:rFonts w:eastAsia="Arial Nova"/>
                <w:color w:val="000000" w:themeColor="text1"/>
              </w:rPr>
            </w:pPr>
            <w:r w:rsidRPr="00884A11">
              <w:rPr>
                <w:rFonts w:eastAsia="Arial Nova"/>
              </w:rPr>
              <w:t>P - COVID-19 - Admitted to another campus arranged by this campus/health service and has received the awaited procedure under contract or similar arrangement due to the COVID-19 response</w:t>
            </w:r>
            <w:r w:rsidR="001A559A">
              <w:rPr>
                <w:rFonts w:eastAsia="Arial Nova"/>
              </w:rPr>
              <w:t>.</w:t>
            </w:r>
            <w:r w:rsidRPr="00884A11">
              <w:rPr>
                <w:rFonts w:eastAsia="Arial Nova"/>
              </w:rPr>
              <w:t xml:space="preserve"> </w:t>
            </w:r>
          </w:p>
          <w:p w14:paraId="55381319" w14:textId="25380FB5" w:rsidR="007C0EE4" w:rsidRPr="00315936" w:rsidRDefault="007C0EE4" w:rsidP="00767127">
            <w:pPr>
              <w:spacing w:before="80" w:after="60" w:line="259" w:lineRule="auto"/>
              <w:rPr>
                <w:rFonts w:ascii="Arial Nova" w:eastAsia="Arial Nova" w:hAnsi="Arial Nova" w:cs="Arial Nova"/>
                <w:color w:val="000000" w:themeColor="text1"/>
                <w:sz w:val="20"/>
              </w:rPr>
            </w:pPr>
            <w:r w:rsidRPr="00A4286C">
              <w:rPr>
                <w:rFonts w:eastAsia="Arial Nova" w:cs="Arial"/>
                <w:szCs w:val="21"/>
              </w:rPr>
              <w:t xml:space="preserve">Average length of stay is calculated </w:t>
            </w:r>
            <w:r w:rsidR="00803DB6">
              <w:rPr>
                <w:rFonts w:eastAsia="Arial Nova" w:cs="Arial"/>
                <w:szCs w:val="21"/>
              </w:rPr>
              <w:t>using</w:t>
            </w:r>
            <w:r w:rsidR="00803DB6" w:rsidRPr="00A4286C">
              <w:rPr>
                <w:rFonts w:eastAsia="Arial Nova" w:cs="Arial"/>
                <w:szCs w:val="21"/>
              </w:rPr>
              <w:t xml:space="preserve"> </w:t>
            </w:r>
            <w:r w:rsidRPr="00A4286C">
              <w:rPr>
                <w:rFonts w:eastAsia="Arial Nova" w:cs="Arial"/>
                <w:szCs w:val="21"/>
              </w:rPr>
              <w:t xml:space="preserve">the length of stay of planned surgery </w:t>
            </w:r>
            <w:r w:rsidRPr="00535D2B">
              <w:rPr>
                <w:rFonts w:eastAsia="Arial Nova" w:cs="Arial"/>
                <w:i/>
                <w:iCs/>
                <w:szCs w:val="21"/>
              </w:rPr>
              <w:t>acute</w:t>
            </w:r>
            <w:r w:rsidRPr="00A4286C">
              <w:rPr>
                <w:rFonts w:eastAsia="Arial Nova" w:cs="Arial"/>
                <w:szCs w:val="21"/>
              </w:rPr>
              <w:t xml:space="preserve"> inpatient separations, including any </w:t>
            </w:r>
            <w:r w:rsidRPr="00535D2B">
              <w:rPr>
                <w:rFonts w:eastAsia="Arial Nova" w:cs="Arial"/>
                <w:i/>
                <w:iCs/>
                <w:szCs w:val="21"/>
              </w:rPr>
              <w:t>acute</w:t>
            </w:r>
            <w:r w:rsidRPr="00A4286C">
              <w:rPr>
                <w:rFonts w:eastAsia="Arial Nova" w:cs="Arial"/>
                <w:szCs w:val="21"/>
              </w:rPr>
              <w:t xml:space="preserve"> transfers to facilities within the same health service only. Subacute and Hospital in the Home (HITH) length of stay are excluded.</w:t>
            </w:r>
            <w:r w:rsidR="00A01C7E">
              <w:rPr>
                <w:rFonts w:eastAsia="Arial Nova" w:cs="Arial"/>
                <w:szCs w:val="21"/>
              </w:rPr>
              <w:t xml:space="preserve"> Leave days with and without permission are also excluded.</w:t>
            </w:r>
            <w:r w:rsidR="00767127">
              <w:rPr>
                <w:rFonts w:eastAsia="Arial Nova" w:cs="Arial"/>
                <w:szCs w:val="21"/>
              </w:rPr>
              <w:t xml:space="preserve"> </w:t>
            </w:r>
            <w:r w:rsidRPr="00A4286C">
              <w:rPr>
                <w:rFonts w:eastAsia="Arial Nova" w:cs="Arial"/>
                <w:szCs w:val="21"/>
              </w:rPr>
              <w:t>The calculation of average length of stay excludes outliers</w:t>
            </w:r>
            <w:r>
              <w:rPr>
                <w:rFonts w:eastAsia="Arial Nova" w:cs="Arial"/>
                <w:szCs w:val="21"/>
              </w:rPr>
              <w:t>.</w:t>
            </w:r>
          </w:p>
        </w:tc>
      </w:tr>
      <w:tr w:rsidR="007C0EE4" w:rsidRPr="00315936" w14:paraId="2B3ADE7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3E6661E" w14:textId="77777777" w:rsidR="007C0EE4" w:rsidRPr="00315936" w:rsidRDefault="007C0EE4">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18E884C9" w14:textId="77777777" w:rsidR="007C0EE4" w:rsidRPr="00315936" w:rsidRDefault="007C0EE4">
            <w:pPr>
              <w:pStyle w:val="Tabletext"/>
              <w:rPr>
                <w:rFonts w:eastAsia="Arial Nova"/>
              </w:rPr>
            </w:pPr>
            <w:r w:rsidRPr="00315936">
              <w:rPr>
                <w:rFonts w:eastAsia="Arial Nova"/>
              </w:rPr>
              <w:t xml:space="preserve">Average length of stay of planned surgery acute inpatient separations. </w:t>
            </w:r>
          </w:p>
        </w:tc>
      </w:tr>
      <w:tr w:rsidR="007C0EE4" w:rsidRPr="00315936" w14:paraId="477794F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C759E6E" w14:textId="77777777" w:rsidR="007C0EE4" w:rsidRPr="00315936" w:rsidRDefault="007C0EE4">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174B869B" w14:textId="77777777" w:rsidR="007C0EE4" w:rsidRPr="00315936" w:rsidRDefault="007C0EE4">
            <w:pPr>
              <w:pStyle w:val="Tabletext"/>
              <w:rPr>
                <w:rFonts w:eastAsia="Arial Nova"/>
              </w:rPr>
            </w:pPr>
            <w:r w:rsidRPr="00315936">
              <w:rPr>
                <w:rFonts w:eastAsia="Arial Nova"/>
              </w:rPr>
              <w:t xml:space="preserve">N/A </w:t>
            </w:r>
          </w:p>
        </w:tc>
      </w:tr>
      <w:tr w:rsidR="007C0EE4" w:rsidRPr="00315936" w14:paraId="53C2CC1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19AAB76" w14:textId="77777777" w:rsidR="007C0EE4" w:rsidRPr="00315936" w:rsidRDefault="007C0EE4">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vAlign w:val="center"/>
          </w:tcPr>
          <w:p w14:paraId="35B09EA4" w14:textId="77777777" w:rsidR="007C0EE4" w:rsidRPr="00315936" w:rsidRDefault="007C0EE4">
            <w:pPr>
              <w:pStyle w:val="Tabletext"/>
            </w:pPr>
            <w:r w:rsidRPr="00315936">
              <w:rPr>
                <w:rFonts w:eastAsia="Arial Nova"/>
              </w:rPr>
              <w:t>2 per cent reduction in average length of stay of planned surgery inpatient separations compared to previous financial year.</w:t>
            </w:r>
          </w:p>
        </w:tc>
      </w:tr>
      <w:tr w:rsidR="007C0EE4" w:rsidRPr="00315936" w14:paraId="302140E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31BCE37" w14:textId="77777777" w:rsidR="007C0EE4" w:rsidRPr="00315936" w:rsidRDefault="007C0EE4">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0CC3019B" w14:textId="77777777" w:rsidR="007C0EE4" w:rsidRPr="00C107FF" w:rsidRDefault="007C0EE4">
            <w:pPr>
              <w:pStyle w:val="Tabletext"/>
              <w:rPr>
                <w:rFonts w:eastAsia="VIC"/>
              </w:rPr>
            </w:pPr>
            <w:r w:rsidRPr="00334E3A">
              <w:rPr>
                <w:rFonts w:eastAsia="Arial Nova"/>
              </w:rPr>
              <w:t>Greater than or equal to 2 per cent reduction</w:t>
            </w:r>
          </w:p>
        </w:tc>
      </w:tr>
      <w:tr w:rsidR="007C0EE4" w:rsidRPr="00315936" w14:paraId="25925EC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6C363C4" w14:textId="77777777" w:rsidR="007C0EE4" w:rsidRPr="00315936" w:rsidRDefault="007C0EE4">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10D71020" w14:textId="77777777" w:rsidR="007C0EE4" w:rsidRPr="00315936" w:rsidRDefault="007C0EE4">
            <w:pPr>
              <w:pStyle w:val="Tabletext"/>
              <w:rPr>
                <w:lang w:eastAsia="en-AU"/>
              </w:rPr>
            </w:pPr>
            <w:r w:rsidRPr="18ED453A">
              <w:rPr>
                <w:rFonts w:eastAsia="VIC"/>
              </w:rPr>
              <w:t>Less than 2 per cent reduction</w:t>
            </w:r>
          </w:p>
        </w:tc>
      </w:tr>
      <w:tr w:rsidR="007C0EE4" w:rsidRPr="00315936" w14:paraId="7B9091A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B4A2F16" w14:textId="77777777" w:rsidR="007C0EE4" w:rsidRPr="00315936" w:rsidRDefault="007C0EE4">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67FD4D6F" w14:textId="4981BAF8" w:rsidR="007C0EE4" w:rsidRPr="00315936" w:rsidRDefault="00B93CD2">
            <w:pPr>
              <w:pStyle w:val="Tabletext"/>
              <w:rPr>
                <w:lang w:eastAsia="en-AU"/>
              </w:rPr>
            </w:pPr>
            <w:r>
              <w:rPr>
                <w:rFonts w:eastAsia="Arial"/>
              </w:rPr>
              <w:t>For the purpose of the performance risk assessment, i</w:t>
            </w:r>
            <w:r w:rsidR="007C0EE4" w:rsidRPr="00315936">
              <w:rPr>
                <w:rFonts w:eastAsia="Arial"/>
              </w:rPr>
              <w:t xml:space="preserve">mprovement is assessed against previous year’s performance </w:t>
            </w:r>
          </w:p>
        </w:tc>
      </w:tr>
      <w:tr w:rsidR="007C0EE4" w:rsidRPr="00315936" w14:paraId="7DF73FE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42FECC8" w14:textId="77777777" w:rsidR="007C0EE4" w:rsidRPr="00315936" w:rsidRDefault="007C0EE4">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6D9BBB73" w14:textId="691E789C" w:rsidR="007C0EE4" w:rsidRPr="00315936" w:rsidRDefault="007C0EE4">
            <w:pPr>
              <w:pStyle w:val="Tabletext"/>
              <w:rPr>
                <w:rFonts w:eastAsia="Arial"/>
              </w:rPr>
            </w:pPr>
            <w:r w:rsidRPr="18ED453A">
              <w:rPr>
                <w:rFonts w:eastAsia="Arial"/>
              </w:rPr>
              <w:t>Performance is reported monthly based on year</w:t>
            </w:r>
            <w:r>
              <w:rPr>
                <w:rFonts w:eastAsia="Arial"/>
              </w:rPr>
              <w:t>-</w:t>
            </w:r>
            <w:r w:rsidRPr="18ED453A">
              <w:rPr>
                <w:rFonts w:eastAsia="Arial"/>
              </w:rPr>
              <w:t>to</w:t>
            </w:r>
            <w:r>
              <w:rPr>
                <w:rFonts w:eastAsia="Arial"/>
              </w:rPr>
              <w:t>-</w:t>
            </w:r>
            <w:r w:rsidRPr="18ED453A">
              <w:rPr>
                <w:rFonts w:eastAsia="Arial"/>
              </w:rPr>
              <w:t>date results and annually at the health service level</w:t>
            </w:r>
          </w:p>
          <w:p w14:paraId="0A73224B" w14:textId="77777777" w:rsidR="007C0EE4" w:rsidRPr="00444EDE" w:rsidRDefault="007C0EE4">
            <w:pPr>
              <w:pStyle w:val="Tabletext"/>
              <w:rPr>
                <w:rFonts w:eastAsia="Arial"/>
              </w:rPr>
            </w:pPr>
            <w:r w:rsidRPr="00444EDE">
              <w:rPr>
                <w:rFonts w:eastAsia="Arial"/>
              </w:rPr>
              <w:t xml:space="preserve">Data are sourced from </w:t>
            </w:r>
            <w:r w:rsidRPr="00334E3A">
              <w:rPr>
                <w:rFonts w:eastAsia="Arial Nova"/>
              </w:rPr>
              <w:t>linked Victorian Admitted Episodes Dataset (VAED) and Elective Surgery Information System (ESIS).</w:t>
            </w:r>
          </w:p>
        </w:tc>
      </w:tr>
    </w:tbl>
    <w:p w14:paraId="136FC9EA" w14:textId="42A1CD74" w:rsidR="00140581" w:rsidRPr="00315936" w:rsidRDefault="00140581" w:rsidP="00140581">
      <w:pPr>
        <w:pStyle w:val="Heading3"/>
      </w:pPr>
      <w:bookmarkStart w:id="74" w:name="_Toc1902992572"/>
      <w:r w:rsidRPr="18ED453A">
        <w:t>Emergency care</w:t>
      </w:r>
      <w:bookmarkEnd w:id="74"/>
    </w:p>
    <w:p w14:paraId="766D2360" w14:textId="53F309AB" w:rsidR="009875D9" w:rsidRPr="00315936" w:rsidRDefault="009875D9" w:rsidP="008E7F78">
      <w:pPr>
        <w:pStyle w:val="Heading4"/>
      </w:pPr>
      <w:bookmarkStart w:id="75" w:name="_Toc1687765408"/>
      <w:r w:rsidRPr="00315936">
        <w:t>Percentage of patients transferred from ambulance to emergency department within 40 minutes</w:t>
      </w:r>
      <w:bookmarkEnd w:id="75"/>
    </w:p>
    <w:tbl>
      <w:tblPr>
        <w:tblStyle w:val="TableGrid"/>
        <w:tblW w:w="9349" w:type="dxa"/>
        <w:tblLook w:val="04A0" w:firstRow="1" w:lastRow="0" w:firstColumn="1" w:lastColumn="0" w:noHBand="0" w:noVBand="1"/>
      </w:tblPr>
      <w:tblGrid>
        <w:gridCol w:w="1837"/>
        <w:gridCol w:w="7512"/>
      </w:tblGrid>
      <w:tr w:rsidR="00C46B17" w:rsidRPr="00315936" w14:paraId="1CE46FE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9067D9A" w14:textId="4A82C8F8" w:rsidR="00C46B17"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490D4387" w14:textId="67AB61D2" w:rsidR="00C46B17" w:rsidRPr="00315936" w:rsidRDefault="31C3737D">
            <w:pPr>
              <w:pStyle w:val="Tabletext"/>
            </w:pPr>
            <w:r w:rsidRPr="00315936">
              <w:t xml:space="preserve">Percentage of patients transferred from ambulance to emergency department within 40 </w:t>
            </w:r>
            <w:proofErr w:type="spellStart"/>
            <w:r w:rsidRPr="00315936">
              <w:t>minutes</w:t>
            </w:r>
            <w:r w:rsidR="00E22352">
              <w:fldChar w:fldCharType="begin"/>
            </w:r>
            <w:r w:rsidR="00E22352">
              <w:instrText xml:space="preserve"> NOTEREF _Ref201833119 \f \h </w:instrText>
            </w:r>
            <w:r w:rsidR="00E22352">
              <w:fldChar w:fldCharType="separate"/>
            </w:r>
            <w:r w:rsidR="00E22352" w:rsidRPr="00E22352">
              <w:rPr>
                <w:rStyle w:val="EndnoteReference"/>
              </w:rPr>
              <w:t>v</w:t>
            </w:r>
            <w:proofErr w:type="spellEnd"/>
            <w:r w:rsidR="00E22352">
              <w:fldChar w:fldCharType="end"/>
            </w:r>
          </w:p>
        </w:tc>
      </w:tr>
      <w:tr w:rsidR="00C46B17" w:rsidRPr="00315936" w14:paraId="2165D52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2A6C7CB" w14:textId="77777777" w:rsidR="00C46B17" w:rsidRPr="00315936" w:rsidRDefault="00C46B17">
            <w:pPr>
              <w:pStyle w:val="Tabletext"/>
            </w:pPr>
            <w:r w:rsidRPr="00315936">
              <w:t>Description </w:t>
            </w:r>
          </w:p>
        </w:tc>
        <w:tc>
          <w:tcPr>
            <w:tcW w:w="7512" w:type="dxa"/>
            <w:tcBorders>
              <w:left w:val="single" w:sz="4" w:space="0" w:color="FFFFFF" w:themeColor="background1"/>
            </w:tcBorders>
          </w:tcPr>
          <w:p w14:paraId="20A8BF14" w14:textId="4D756787" w:rsidR="00BE2E7A" w:rsidRDefault="00BE2E7A">
            <w:pPr>
              <w:pStyle w:val="Tabletext"/>
            </w:pPr>
            <w:r w:rsidRPr="00315936">
              <w:t>This measure</w:t>
            </w:r>
            <w:r w:rsidR="007639A9">
              <w:t>s</w:t>
            </w:r>
            <w:r w:rsidRPr="00315936">
              <w:t xml:space="preserve"> the percentage of patients who were transferred from paramedic care to hospital emergency care within 40 minutes of ambulance arrival.</w:t>
            </w:r>
          </w:p>
          <w:p w14:paraId="104AD1F8" w14:textId="0D4B6685" w:rsidR="00C46B17" w:rsidRPr="00315936" w:rsidRDefault="00C46B17">
            <w:pPr>
              <w:pStyle w:val="Tabletext"/>
            </w:pPr>
            <w:r w:rsidRPr="00315936">
              <w:t xml:space="preserve">Timely </w:t>
            </w:r>
            <w:r w:rsidR="002435FD" w:rsidRPr="00315936">
              <w:t>handover of patients</w:t>
            </w:r>
            <w:r w:rsidR="00736514" w:rsidRPr="00315936">
              <w:t xml:space="preserve"> arriving via ambulance to hospital </w:t>
            </w:r>
            <w:r w:rsidR="000B40BE">
              <w:t>emergency departments</w:t>
            </w:r>
            <w:r w:rsidR="000B40BE" w:rsidRPr="00315936">
              <w:t xml:space="preserve"> </w:t>
            </w:r>
            <w:r w:rsidR="00736514" w:rsidRPr="00315936">
              <w:t xml:space="preserve">is crucial for </w:t>
            </w:r>
            <w:r w:rsidRPr="00315936">
              <w:t>delivering responsive and safe emergency care</w:t>
            </w:r>
            <w:r w:rsidR="00736514" w:rsidRPr="00315936">
              <w:t xml:space="preserve">. </w:t>
            </w:r>
            <w:r w:rsidR="00736514" w:rsidRPr="00315936">
              <w:lastRenderedPageBreak/>
              <w:t>Improved performance in this area leads to better</w:t>
            </w:r>
            <w:r w:rsidRPr="00315936">
              <w:t xml:space="preserve"> patient outcomes</w:t>
            </w:r>
            <w:r w:rsidR="00736514" w:rsidRPr="00315936">
              <w:t xml:space="preserve"> by enab</w:t>
            </w:r>
            <w:r w:rsidR="00D0744A" w:rsidRPr="00315936">
              <w:t>ling faster assessment, diagnosis and treatment</w:t>
            </w:r>
            <w:r w:rsidR="00F21F79" w:rsidRPr="00315936">
              <w:t xml:space="preserve">. </w:t>
            </w:r>
          </w:p>
        </w:tc>
      </w:tr>
      <w:tr w:rsidR="00C46B17" w:rsidRPr="00315936" w14:paraId="01C6278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AAE627A" w14:textId="77777777" w:rsidR="00C46B17" w:rsidRPr="00315936" w:rsidRDefault="00C46B17">
            <w:pPr>
              <w:pStyle w:val="Tabletext"/>
            </w:pPr>
            <w:r w:rsidRPr="00315936">
              <w:lastRenderedPageBreak/>
              <w:t>Calculating performance</w:t>
            </w:r>
          </w:p>
        </w:tc>
        <w:tc>
          <w:tcPr>
            <w:tcW w:w="7512" w:type="dxa"/>
            <w:tcBorders>
              <w:left w:val="single" w:sz="4" w:space="0" w:color="FFFFFF" w:themeColor="background1"/>
            </w:tcBorders>
          </w:tcPr>
          <w:p w14:paraId="10209766" w14:textId="7F2D0E79" w:rsidR="007639A9" w:rsidRPr="00315936" w:rsidRDefault="007639A9" w:rsidP="007639A9">
            <w:pPr>
              <w:pStyle w:val="Tablebullet1"/>
              <w:numPr>
                <w:ilvl w:val="0"/>
                <w:numId w:val="0"/>
              </w:numPr>
            </w:pPr>
            <w:r>
              <w:t>The ED Departure Date (not Arrival Date) is used to identify presentations in scope for the reporting period</w:t>
            </w:r>
            <w:r w:rsidRPr="00315936">
              <w:t>.</w:t>
            </w:r>
          </w:p>
          <w:p w14:paraId="6F04B616" w14:textId="0615BA1E" w:rsidR="00C46B17" w:rsidRPr="00315936" w:rsidRDefault="00C46B17">
            <w:pPr>
              <w:pStyle w:val="Tabletext"/>
            </w:pPr>
            <w:r w:rsidRPr="00315936">
              <w:t>Ambulance patient transfer time is the total time from ambulance arrival at the hospital (‘at destination time’) to the physical transfer of the patient and handover of care to hospital staff (‘ambulance handover complete’).</w:t>
            </w:r>
          </w:p>
          <w:p w14:paraId="22CA6D0B" w14:textId="74413DEC" w:rsidR="00C46B17" w:rsidRPr="00315936" w:rsidRDefault="00C46B17">
            <w:pPr>
              <w:pStyle w:val="Tabletext"/>
            </w:pPr>
            <w:r w:rsidRPr="00315936">
              <w:t>The following Arrival Transport Mode (VEMD) codes are applied:</w:t>
            </w:r>
          </w:p>
          <w:p w14:paraId="4AC60CFF" w14:textId="77777777" w:rsidR="00C46B17" w:rsidRPr="00315936" w:rsidRDefault="00C46B17" w:rsidP="00F97044">
            <w:pPr>
              <w:pStyle w:val="Tablebullet1"/>
            </w:pPr>
            <w:r w:rsidRPr="00315936">
              <w:t>‘01’ Air Ambulance – excludes helicopter</w:t>
            </w:r>
          </w:p>
          <w:p w14:paraId="29FFEA4E" w14:textId="77777777" w:rsidR="00C46B17" w:rsidRPr="00315936" w:rsidRDefault="00C46B17" w:rsidP="008472F8">
            <w:pPr>
              <w:pStyle w:val="Tablebullet1"/>
            </w:pPr>
            <w:r w:rsidRPr="00315936">
              <w:t>‘02’ Helicopter</w:t>
            </w:r>
          </w:p>
          <w:p w14:paraId="5E17A20F" w14:textId="7AA16650" w:rsidR="006619C1" w:rsidRDefault="00B57558" w:rsidP="001A453F">
            <w:pPr>
              <w:pStyle w:val="Tablebullet1"/>
            </w:pPr>
            <w:r w:rsidRPr="00315936">
              <w:t>‘03’ Road Ambulance Service</w:t>
            </w:r>
            <w:r w:rsidR="008746AF">
              <w:t>.</w:t>
            </w:r>
          </w:p>
          <w:p w14:paraId="561D5F9F" w14:textId="31B71EBE" w:rsidR="005F61E9" w:rsidRPr="00315936" w:rsidRDefault="00C46B17" w:rsidP="004D0574">
            <w:pPr>
              <w:pStyle w:val="Tablebullet1"/>
              <w:numPr>
                <w:ilvl w:val="0"/>
                <w:numId w:val="0"/>
              </w:numPr>
            </w:pPr>
            <w:r w:rsidRPr="00315936">
              <w:t>Exclusion</w:t>
            </w:r>
            <w:r w:rsidR="00066866">
              <w:t>s</w:t>
            </w:r>
            <w:r w:rsidRPr="00315936">
              <w:t xml:space="preserve">: </w:t>
            </w:r>
          </w:p>
          <w:p w14:paraId="71CC5AEA" w14:textId="34D49B0B" w:rsidR="05F7AFCE" w:rsidRDefault="05F7AFCE" w:rsidP="554FA974">
            <w:pPr>
              <w:pStyle w:val="Tablebullet1"/>
            </w:pPr>
            <w:r w:rsidRPr="554FA974">
              <w:rPr>
                <w:rFonts w:eastAsia="Arial" w:cs="Arial"/>
                <w:szCs w:val="21"/>
              </w:rPr>
              <w:t>Ambulance Handover In target Flag = ‘U’ (Unknown)</w:t>
            </w:r>
          </w:p>
          <w:p w14:paraId="5B5A72DB" w14:textId="48F0CAC1" w:rsidR="05F7AFCE" w:rsidRDefault="05F7AFCE" w:rsidP="554FA974">
            <w:pPr>
              <w:pStyle w:val="Tablebullet1"/>
            </w:pPr>
            <w:r w:rsidRPr="554FA974">
              <w:rPr>
                <w:rFonts w:eastAsia="Arial" w:cs="Arial"/>
                <w:szCs w:val="21"/>
              </w:rPr>
              <w:t xml:space="preserve">Triage Category = ‘6’ </w:t>
            </w:r>
            <w:r w:rsidR="00D65D2D">
              <w:rPr>
                <w:rFonts w:eastAsia="Arial" w:cs="Arial"/>
                <w:szCs w:val="21"/>
              </w:rPr>
              <w:t>D</w:t>
            </w:r>
            <w:r w:rsidRPr="554FA974">
              <w:rPr>
                <w:rFonts w:eastAsia="Arial" w:cs="Arial"/>
                <w:szCs w:val="21"/>
              </w:rPr>
              <w:t>ead on arrival</w:t>
            </w:r>
          </w:p>
          <w:p w14:paraId="2168058F" w14:textId="3CD258E2" w:rsidR="00707B9A" w:rsidRPr="00336D2D" w:rsidRDefault="00707B9A" w:rsidP="554FA974">
            <w:pPr>
              <w:pStyle w:val="Tablebullet1"/>
            </w:pPr>
            <w:r>
              <w:rPr>
                <w:rFonts w:eastAsia="Times"/>
              </w:rPr>
              <w:t xml:space="preserve">Departure status code </w:t>
            </w:r>
            <w:r w:rsidR="00403108">
              <w:rPr>
                <w:rFonts w:eastAsia="Times"/>
              </w:rPr>
              <w:t>=</w:t>
            </w:r>
            <w:r>
              <w:rPr>
                <w:rFonts w:eastAsia="Times"/>
              </w:rPr>
              <w:t xml:space="preserve"> </w:t>
            </w:r>
            <w:r w:rsidR="00403108">
              <w:rPr>
                <w:rFonts w:eastAsia="Times"/>
              </w:rPr>
              <w:t>‘</w:t>
            </w:r>
            <w:r>
              <w:rPr>
                <w:rFonts w:eastAsia="Times"/>
              </w:rPr>
              <w:t>30</w:t>
            </w:r>
            <w:r w:rsidR="00403108">
              <w:rPr>
                <w:rFonts w:eastAsia="Times"/>
              </w:rPr>
              <w:t>’</w:t>
            </w:r>
            <w:r>
              <w:rPr>
                <w:rFonts w:eastAsia="Times"/>
              </w:rPr>
              <w:t xml:space="preserve"> </w:t>
            </w:r>
            <w:r w:rsidR="00403108">
              <w:rPr>
                <w:rFonts w:eastAsia="Times"/>
              </w:rPr>
              <w:t xml:space="preserve">Left after clinical advice regarding treatment options - </w:t>
            </w:r>
            <w:r>
              <w:rPr>
                <w:rFonts w:eastAsia="Times"/>
              </w:rPr>
              <w:t>GP co-located clinic</w:t>
            </w:r>
            <w:r w:rsidR="00403108">
              <w:rPr>
                <w:rFonts w:eastAsia="Times"/>
              </w:rPr>
              <w:t xml:space="preserve"> or PPCC</w:t>
            </w:r>
          </w:p>
          <w:p w14:paraId="5632AD4C" w14:textId="588772B7" w:rsidR="00F02FB3" w:rsidRDefault="00561E3C" w:rsidP="554FA974">
            <w:pPr>
              <w:pStyle w:val="Tablebullet1"/>
            </w:pPr>
            <w:r>
              <w:t>VVED presentations</w:t>
            </w:r>
          </w:p>
          <w:p w14:paraId="0866166C" w14:textId="5A1A64C0" w:rsidR="00933779" w:rsidRDefault="00F02FB3" w:rsidP="554FA974">
            <w:pPr>
              <w:pStyle w:val="Tablebullet1"/>
            </w:pPr>
            <w:r>
              <w:t>Other virtual care</w:t>
            </w:r>
            <w:r w:rsidR="00F541C1">
              <w:t xml:space="preserve"> presentations</w:t>
            </w:r>
            <w:r w:rsidR="008746AF">
              <w:t>.</w:t>
            </w:r>
          </w:p>
          <w:p w14:paraId="42459085" w14:textId="331718DA" w:rsidR="00C46B17" w:rsidRPr="00315936" w:rsidRDefault="00C46B17">
            <w:pPr>
              <w:pStyle w:val="Tabletext"/>
            </w:pPr>
            <w:r w:rsidRPr="00315936">
              <w:t xml:space="preserve">This </w:t>
            </w:r>
            <w:r w:rsidR="00C3016B" w:rsidRPr="00315936">
              <w:t>measure</w:t>
            </w:r>
            <w:r w:rsidRPr="00315936">
              <w:t xml:space="preserve"> is expressed as a percentage rounded to the nearest whole number (0.5 is rounded up).</w:t>
            </w:r>
          </w:p>
        </w:tc>
      </w:tr>
      <w:tr w:rsidR="00C46B17" w:rsidRPr="00315936" w14:paraId="0EFF44F4"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9E6CDB1" w14:textId="77777777" w:rsidR="00C46B17" w:rsidRPr="00315936" w:rsidRDefault="00C46B17">
            <w:pPr>
              <w:pStyle w:val="Tabletext"/>
            </w:pPr>
            <w:r w:rsidRPr="00315936">
              <w:t>Numerator</w:t>
            </w:r>
          </w:p>
        </w:tc>
        <w:tc>
          <w:tcPr>
            <w:tcW w:w="7512" w:type="dxa"/>
            <w:tcBorders>
              <w:left w:val="single" w:sz="4" w:space="0" w:color="FFFFFF" w:themeColor="background1"/>
            </w:tcBorders>
          </w:tcPr>
          <w:p w14:paraId="166DD7DF" w14:textId="159539FB" w:rsidR="00C46B17" w:rsidRPr="00315936" w:rsidRDefault="00C46B17">
            <w:pPr>
              <w:pStyle w:val="Tabletext"/>
            </w:pPr>
            <w:r w:rsidRPr="00315936">
              <w:t xml:space="preserve">Patients arriving by emergency ambulance who are transferred within 40 minutes to the </w:t>
            </w:r>
            <w:r w:rsidR="001A5330">
              <w:t>emergency department</w:t>
            </w:r>
          </w:p>
        </w:tc>
      </w:tr>
      <w:tr w:rsidR="00C46B17" w:rsidRPr="00315936" w14:paraId="3CB5F23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2050E4B" w14:textId="77777777" w:rsidR="00C46B17" w:rsidRPr="00315936" w:rsidRDefault="00C46B17">
            <w:pPr>
              <w:pStyle w:val="Tabletext"/>
            </w:pPr>
            <w:r w:rsidRPr="00315936">
              <w:t>Denominator</w:t>
            </w:r>
          </w:p>
        </w:tc>
        <w:tc>
          <w:tcPr>
            <w:tcW w:w="7512" w:type="dxa"/>
            <w:tcBorders>
              <w:left w:val="single" w:sz="4" w:space="0" w:color="FFFFFF" w:themeColor="background1"/>
            </w:tcBorders>
          </w:tcPr>
          <w:p w14:paraId="4702424A" w14:textId="40043B83" w:rsidR="00C46B17" w:rsidRPr="00315936" w:rsidRDefault="4E030DEB">
            <w:pPr>
              <w:pStyle w:val="Tabletext"/>
            </w:pPr>
            <w:r>
              <w:t xml:space="preserve">All patients arriving by emergency ambulance who are transferred to the </w:t>
            </w:r>
            <w:r w:rsidR="7E852024">
              <w:t>emergency department</w:t>
            </w:r>
            <w:r w:rsidR="3FD07073">
              <w:t xml:space="preserve"> that are in scope of this measure as defined above.</w:t>
            </w:r>
          </w:p>
        </w:tc>
      </w:tr>
      <w:tr w:rsidR="00C46B17" w:rsidRPr="00315936" w14:paraId="1165AD7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B19FFF3" w14:textId="3CE20E0F" w:rsidR="00C46B17" w:rsidRPr="00315936" w:rsidRDefault="00C46B17">
            <w:pPr>
              <w:pStyle w:val="Tabletext"/>
            </w:pPr>
            <w:r w:rsidRPr="00315936">
              <w:t>Statewide</w:t>
            </w:r>
            <w:r w:rsidRPr="00315936" w:rsidDel="002B2730">
              <w:t xml:space="preserve"> t</w:t>
            </w:r>
            <w:r w:rsidRPr="00315936">
              <w:t>arget</w:t>
            </w:r>
          </w:p>
        </w:tc>
        <w:tc>
          <w:tcPr>
            <w:tcW w:w="7512" w:type="dxa"/>
            <w:tcBorders>
              <w:left w:val="single" w:sz="4" w:space="0" w:color="FFFFFF" w:themeColor="background1"/>
            </w:tcBorders>
          </w:tcPr>
          <w:p w14:paraId="11EC2F1C" w14:textId="0B805B32" w:rsidR="00F72949" w:rsidRDefault="00D97752" w:rsidP="00535D2B">
            <w:pPr>
              <w:pStyle w:val="Tabletext"/>
            </w:pPr>
            <w:r>
              <w:t>S</w:t>
            </w:r>
            <w:r w:rsidR="002B2730">
              <w:t>tatewide target</w:t>
            </w:r>
            <w:r>
              <w:t>:</w:t>
            </w:r>
            <w:r w:rsidR="004A3A43">
              <w:t xml:space="preserve"> g</w:t>
            </w:r>
            <w:r w:rsidR="004B10A5">
              <w:t xml:space="preserve">reater than or equal to </w:t>
            </w:r>
            <w:r w:rsidR="56DC0D1F">
              <w:t xml:space="preserve">80 per cent or </w:t>
            </w:r>
            <w:r w:rsidR="006A2004">
              <w:t>3</w:t>
            </w:r>
            <w:r w:rsidR="56DC0D1F">
              <w:t xml:space="preserve"> per cent improvement on prior year performance</w:t>
            </w:r>
            <w:r w:rsidR="006F0CCE">
              <w:t xml:space="preserve"> </w:t>
            </w:r>
            <w:r w:rsidR="56DC0D1F">
              <w:t>with progress expected towards 90 per cent</w:t>
            </w:r>
            <w:r w:rsidR="004A3A43">
              <w:t>.</w:t>
            </w:r>
          </w:p>
          <w:p w14:paraId="7EAA5A1A" w14:textId="3AEB3947" w:rsidR="0087770E" w:rsidRDefault="009821AE" w:rsidP="3F528552">
            <w:pPr>
              <w:pStyle w:val="Tabletext"/>
            </w:pPr>
            <w:r>
              <w:t xml:space="preserve">Tiered </w:t>
            </w:r>
            <w:r w:rsidR="004D1057">
              <w:t xml:space="preserve">performance targets </w:t>
            </w:r>
            <w:r w:rsidR="00A53F52">
              <w:t>are set for</w:t>
            </w:r>
            <w:r w:rsidR="004D1057">
              <w:t xml:space="preserve"> </w:t>
            </w:r>
            <w:r w:rsidR="00F32519">
              <w:t>individual</w:t>
            </w:r>
            <w:r w:rsidR="004D1057">
              <w:t xml:space="preserve"> </w:t>
            </w:r>
            <w:r>
              <w:t>h</w:t>
            </w:r>
            <w:r w:rsidR="0075167E">
              <w:t>ealth service c</w:t>
            </w:r>
            <w:r w:rsidR="004D1057">
              <w:t>am</w:t>
            </w:r>
            <w:r w:rsidR="00F32519">
              <w:t>puses</w:t>
            </w:r>
            <w:r w:rsidR="00A53F52">
              <w:t xml:space="preserve"> to encourage and recognise incremental improvement towards the overall statewide target</w:t>
            </w:r>
            <w:r w:rsidR="00030291">
              <w:t>:</w:t>
            </w:r>
          </w:p>
          <w:p w14:paraId="55C71774" w14:textId="2B1960FC" w:rsidR="000D2CAB" w:rsidRPr="00C926CC" w:rsidRDefault="000D2CAB" w:rsidP="004D30B0">
            <w:pPr>
              <w:pStyle w:val="Tablebullet1"/>
            </w:pPr>
            <w:r w:rsidRPr="00DD6429">
              <w:t xml:space="preserve">Tier 1: </w:t>
            </w:r>
            <w:r w:rsidR="00F602C4" w:rsidRPr="00DD6429">
              <w:t>Greater than or equal to 80 per cent</w:t>
            </w:r>
            <w:r w:rsidR="0085534B" w:rsidRPr="00DD6429">
              <w:t xml:space="preserve"> (i.</w:t>
            </w:r>
            <w:r w:rsidR="0085534B" w:rsidRPr="00C926CC">
              <w:t>e. maintain performance)</w:t>
            </w:r>
          </w:p>
          <w:p w14:paraId="7E8BF14F" w14:textId="4B5C46DC" w:rsidR="00F602C4" w:rsidRPr="00C926CC" w:rsidRDefault="00F602C4" w:rsidP="004D30B0">
            <w:pPr>
              <w:pStyle w:val="Tablebullet1"/>
            </w:pPr>
            <w:r w:rsidRPr="00C926CC">
              <w:t xml:space="preserve">Tier 2: 8 per cent improvement on </w:t>
            </w:r>
            <w:r w:rsidR="00B857B3" w:rsidRPr="00C926CC">
              <w:t>performance</w:t>
            </w:r>
            <w:r w:rsidR="00B27345" w:rsidRPr="00C926CC">
              <w:t xml:space="preserve"> from the same quarter of previous year</w:t>
            </w:r>
          </w:p>
          <w:p w14:paraId="2988A20C" w14:textId="4BAF61FD" w:rsidR="00B857B3" w:rsidRPr="00C926CC" w:rsidRDefault="00B857B3" w:rsidP="004D30B0">
            <w:pPr>
              <w:pStyle w:val="Tablebullet1"/>
            </w:pPr>
            <w:r w:rsidRPr="00C926CC">
              <w:t xml:space="preserve">Tier 3: </w:t>
            </w:r>
            <w:r w:rsidR="00AD052E" w:rsidRPr="00C926CC">
              <w:t>6 per cent improvement on performance</w:t>
            </w:r>
            <w:r w:rsidR="00AA6103" w:rsidRPr="00C926CC">
              <w:t xml:space="preserve"> from the same quarter of previous year</w:t>
            </w:r>
          </w:p>
          <w:p w14:paraId="2966025C" w14:textId="2BB65092" w:rsidR="00AD052E" w:rsidRPr="00C926CC" w:rsidRDefault="00AD052E" w:rsidP="004D30B0">
            <w:pPr>
              <w:pStyle w:val="Tablebullet1"/>
            </w:pPr>
            <w:r w:rsidRPr="00C926CC">
              <w:t>Tier 4: 4 per cent improvement on performance</w:t>
            </w:r>
            <w:r w:rsidR="00AA6103" w:rsidRPr="00C926CC">
              <w:t xml:space="preserve"> from the s</w:t>
            </w:r>
            <w:r w:rsidR="006562D8" w:rsidRPr="00C926CC">
              <w:t>ame quarter of previous year</w:t>
            </w:r>
            <w:r w:rsidR="004A3A43">
              <w:t>.</w:t>
            </w:r>
          </w:p>
          <w:p w14:paraId="2FC99C65" w14:textId="2860AAEA" w:rsidR="0075167E" w:rsidRDefault="00AD052E" w:rsidP="00535D2B">
            <w:pPr>
              <w:pStyle w:val="Tabletext"/>
            </w:pPr>
            <w:r>
              <w:t>Ambulance Victoria</w:t>
            </w:r>
            <w:r w:rsidR="00D90D7C">
              <w:t>:</w:t>
            </w:r>
            <w:r w:rsidR="004A3A43">
              <w:t xml:space="preserve"> </w:t>
            </w:r>
            <w:r w:rsidR="0080642D">
              <w:t xml:space="preserve">80 per cent or 3 per cent improvement on performance </w:t>
            </w:r>
            <w:r w:rsidR="003067FA">
              <w:t>from the same quarter of previous year</w:t>
            </w:r>
            <w:r w:rsidR="0080642D">
              <w:t xml:space="preserve"> with progress expected towards 90 per cent</w:t>
            </w:r>
          </w:p>
          <w:p w14:paraId="1F7CCA32" w14:textId="7CEA5BA0" w:rsidR="0075167E" w:rsidRPr="004B69E0" w:rsidRDefault="3C814893" w:rsidP="000B3782">
            <w:pPr>
              <w:pStyle w:val="Tabletext"/>
            </w:pPr>
            <w:r>
              <w:t xml:space="preserve">For annual </w:t>
            </w:r>
            <w:r w:rsidR="007D780C">
              <w:t>results</w:t>
            </w:r>
            <w:r>
              <w:t xml:space="preserve">, </w:t>
            </w:r>
            <w:r w:rsidR="002C6161">
              <w:t xml:space="preserve">percentage </w:t>
            </w:r>
            <w:r w:rsidR="006957A8">
              <w:t xml:space="preserve">improvement will be </w:t>
            </w:r>
            <w:r w:rsidR="00AC3AF3">
              <w:t xml:space="preserve">based on </w:t>
            </w:r>
            <w:r w:rsidR="6C03246C">
              <w:t xml:space="preserve">comparison with </w:t>
            </w:r>
            <w:r w:rsidR="2975AD8B">
              <w:t>the</w:t>
            </w:r>
            <w:r w:rsidR="006957A8">
              <w:t xml:space="preserve"> performance for the whole of the previous </w:t>
            </w:r>
            <w:r w:rsidR="5257C8B2">
              <w:t>financial</w:t>
            </w:r>
            <w:r w:rsidR="1F3A2E7D">
              <w:t xml:space="preserve"> </w:t>
            </w:r>
            <w:r w:rsidR="64CED591">
              <w:t>year.</w:t>
            </w:r>
          </w:p>
        </w:tc>
      </w:tr>
      <w:tr w:rsidR="00C46B17" w:rsidRPr="00315936" w14:paraId="3CF1C93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0408B0D" w14:textId="29424FBC" w:rsidR="00C46B17" w:rsidRPr="00315936" w:rsidRDefault="00C46B17">
            <w:pPr>
              <w:pStyle w:val="Tabletext"/>
            </w:pPr>
            <w:r w:rsidRPr="00315936">
              <w:t>Achieved</w:t>
            </w:r>
          </w:p>
        </w:tc>
        <w:tc>
          <w:tcPr>
            <w:tcW w:w="7512" w:type="dxa"/>
            <w:tcBorders>
              <w:left w:val="single" w:sz="4" w:space="0" w:color="FFFFFF" w:themeColor="background1"/>
            </w:tcBorders>
          </w:tcPr>
          <w:p w14:paraId="0E5EF45E" w14:textId="1A913985" w:rsidR="00F72949" w:rsidRDefault="0057256D" w:rsidP="00535D2B">
            <w:pPr>
              <w:pStyle w:val="Tabletext"/>
            </w:pPr>
            <w:r>
              <w:t>Statewide and Ambulance Victoria:</w:t>
            </w:r>
            <w:r w:rsidR="00FB4663">
              <w:t xml:space="preserve"> </w:t>
            </w:r>
            <w:r w:rsidR="40A182DB" w:rsidRPr="00D65D2D">
              <w:rPr>
                <w:rFonts w:eastAsia="Times"/>
              </w:rPr>
              <w:t xml:space="preserve">Greater than or equal to </w:t>
            </w:r>
            <w:r w:rsidR="61AD8867" w:rsidRPr="00D65D2D">
              <w:rPr>
                <w:rFonts w:eastAsia="Times"/>
              </w:rPr>
              <w:t>8</w:t>
            </w:r>
            <w:r w:rsidR="3327A067" w:rsidRPr="00D65D2D">
              <w:rPr>
                <w:rFonts w:eastAsia="Times"/>
              </w:rPr>
              <w:t xml:space="preserve">0 percent, or </w:t>
            </w:r>
            <w:r w:rsidR="004F7CEB" w:rsidRPr="00D65D2D">
              <w:rPr>
                <w:rFonts w:eastAsia="Times"/>
              </w:rPr>
              <w:t>3</w:t>
            </w:r>
            <w:r w:rsidR="241417C9" w:rsidRPr="00D65D2D">
              <w:rPr>
                <w:rFonts w:eastAsia="Times"/>
              </w:rPr>
              <w:t xml:space="preserve"> per cent</w:t>
            </w:r>
            <w:r w:rsidR="2AABB851" w:rsidRPr="00D65D2D">
              <w:rPr>
                <w:rFonts w:eastAsia="Times"/>
              </w:rPr>
              <w:t xml:space="preserve"> improvement on performance</w:t>
            </w:r>
            <w:r w:rsidR="004F7CEB" w:rsidRPr="00D65D2D">
              <w:rPr>
                <w:rFonts w:eastAsia="Times"/>
              </w:rPr>
              <w:t xml:space="preserve"> </w:t>
            </w:r>
            <w:r w:rsidR="003067FA" w:rsidRPr="00D65D2D">
              <w:rPr>
                <w:rFonts w:eastAsia="Times"/>
              </w:rPr>
              <w:t xml:space="preserve">from the same quarter </w:t>
            </w:r>
            <w:r w:rsidR="002C583A" w:rsidRPr="00D65D2D">
              <w:rPr>
                <w:rFonts w:eastAsia="Times"/>
              </w:rPr>
              <w:t xml:space="preserve">of previous year </w:t>
            </w:r>
          </w:p>
          <w:p w14:paraId="5BCFAB2B" w14:textId="1B0DF72C" w:rsidR="001B1C81" w:rsidRDefault="001B1C81" w:rsidP="00C41610">
            <w:pPr>
              <w:pStyle w:val="Tabletext"/>
            </w:pPr>
            <w:r>
              <w:t>Health service campuses:</w:t>
            </w:r>
          </w:p>
          <w:p w14:paraId="3A5470DB" w14:textId="77777777" w:rsidR="001B1C81" w:rsidRPr="00E35417" w:rsidRDefault="001B1C81" w:rsidP="00D65D2D">
            <w:pPr>
              <w:pStyle w:val="Tablebullet1"/>
            </w:pPr>
            <w:r w:rsidRPr="00E35417">
              <w:t>Tier 1: Greater than or equal to 80 per cent</w:t>
            </w:r>
          </w:p>
          <w:p w14:paraId="547A674F" w14:textId="31FFF44F" w:rsidR="001B1C81" w:rsidRPr="00E35417" w:rsidRDefault="001B1C81" w:rsidP="00D65D2D">
            <w:pPr>
              <w:pStyle w:val="Tablebullet1"/>
            </w:pPr>
            <w:r w:rsidRPr="00E35417">
              <w:lastRenderedPageBreak/>
              <w:t>Tier 2: Greater than or equal to 8 per cent improvement on performance</w:t>
            </w:r>
            <w:r w:rsidR="0021550F" w:rsidRPr="00E35417">
              <w:t xml:space="preserve"> from the same quarter of </w:t>
            </w:r>
            <w:r w:rsidR="001E0004" w:rsidRPr="00E35417">
              <w:t>previous year</w:t>
            </w:r>
          </w:p>
          <w:p w14:paraId="76DA3529" w14:textId="4D12C1C0" w:rsidR="001B1C81" w:rsidRPr="00E35417" w:rsidRDefault="001B1C81" w:rsidP="00D65D2D">
            <w:pPr>
              <w:pStyle w:val="Tablebullet1"/>
            </w:pPr>
            <w:r w:rsidRPr="00E35417">
              <w:t>Tier 3: Greater than or equal to 6 per cent improvement on performance</w:t>
            </w:r>
            <w:r w:rsidR="001E0004" w:rsidRPr="00E35417">
              <w:t xml:space="preserve"> from the same quarter of previous year</w:t>
            </w:r>
          </w:p>
          <w:p w14:paraId="17233696" w14:textId="31878CC1" w:rsidR="001B1C81" w:rsidRPr="004B69E0" w:rsidRDefault="001B1C81" w:rsidP="00D65D2D">
            <w:pPr>
              <w:pStyle w:val="Tablebullet1"/>
            </w:pPr>
            <w:r w:rsidRPr="00E35417">
              <w:t>Tier 4: Greater than or equal to 4 per cent improvement on performance</w:t>
            </w:r>
            <w:r w:rsidR="001E0004" w:rsidRPr="00E35417">
              <w:t xml:space="preserve"> from the same quarter of previous year</w:t>
            </w:r>
          </w:p>
        </w:tc>
      </w:tr>
      <w:tr w:rsidR="00C46B17" w:rsidRPr="00315936" w14:paraId="31A05FF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2C05F8E" w14:textId="5198C8CC" w:rsidR="00C46B17" w:rsidRPr="00315936" w:rsidRDefault="00C46B17">
            <w:pPr>
              <w:pStyle w:val="Tabletext"/>
            </w:pPr>
            <w:r w:rsidRPr="00315936">
              <w:lastRenderedPageBreak/>
              <w:t>Not achieved</w:t>
            </w:r>
          </w:p>
        </w:tc>
        <w:tc>
          <w:tcPr>
            <w:tcW w:w="7512" w:type="dxa"/>
            <w:tcBorders>
              <w:left w:val="single" w:sz="4" w:space="0" w:color="FFFFFF" w:themeColor="background1"/>
            </w:tcBorders>
          </w:tcPr>
          <w:p w14:paraId="1B83454A" w14:textId="18248C87" w:rsidR="00C46B17" w:rsidRDefault="0057256D" w:rsidP="00535D2B">
            <w:pPr>
              <w:pStyle w:val="Tabletext"/>
            </w:pPr>
            <w:r>
              <w:t>Statewide and Ambulance Victoria:</w:t>
            </w:r>
            <w:r w:rsidR="00FB4663">
              <w:t xml:space="preserve"> </w:t>
            </w:r>
            <w:r w:rsidR="209A82B1">
              <w:t xml:space="preserve">Less than 80 percent, </w:t>
            </w:r>
            <w:r w:rsidR="006D6C57">
              <w:t xml:space="preserve">and </w:t>
            </w:r>
            <w:r w:rsidR="209A82B1">
              <w:t xml:space="preserve">less than </w:t>
            </w:r>
            <w:r w:rsidR="004F7CEB">
              <w:t>3</w:t>
            </w:r>
            <w:r w:rsidR="209A82B1">
              <w:t xml:space="preserve"> per cent improvement on performance</w:t>
            </w:r>
            <w:r w:rsidR="004F7CEB">
              <w:t xml:space="preserve"> </w:t>
            </w:r>
            <w:r w:rsidR="006D6C57">
              <w:t xml:space="preserve">from the same quarter of previous year </w:t>
            </w:r>
          </w:p>
          <w:p w14:paraId="5A885EE4" w14:textId="77777777" w:rsidR="001B1C81" w:rsidRDefault="001B1C81" w:rsidP="00C41610">
            <w:pPr>
              <w:pStyle w:val="Tabletext"/>
            </w:pPr>
            <w:r>
              <w:t>Health service campuses:</w:t>
            </w:r>
          </w:p>
          <w:p w14:paraId="3CAD46D7" w14:textId="48B387B3" w:rsidR="001B1C81" w:rsidRPr="003C0F20" w:rsidRDefault="001B1C81" w:rsidP="00D65D2D">
            <w:pPr>
              <w:pStyle w:val="Tablebullet1"/>
            </w:pPr>
            <w:r w:rsidRPr="003C0F20">
              <w:t>Tier 1:</w:t>
            </w:r>
            <w:r w:rsidR="00813A4C" w:rsidRPr="003C0F20">
              <w:t xml:space="preserve"> Less than</w:t>
            </w:r>
            <w:r w:rsidRPr="003C0F20">
              <w:t xml:space="preserve"> 80 per cent</w:t>
            </w:r>
          </w:p>
          <w:p w14:paraId="5E83832A" w14:textId="7F0B53CA" w:rsidR="001B1C81" w:rsidRPr="003C0F20" w:rsidRDefault="001B1C81" w:rsidP="00D65D2D">
            <w:pPr>
              <w:pStyle w:val="Tablebullet1"/>
            </w:pPr>
            <w:r w:rsidRPr="003C0F20">
              <w:t xml:space="preserve">Tier 2: </w:t>
            </w:r>
            <w:r w:rsidR="00D12B58" w:rsidRPr="003C0F20">
              <w:t>Less than</w:t>
            </w:r>
            <w:r w:rsidRPr="003C0F20">
              <w:t xml:space="preserve"> 8 per cent improvement on performance</w:t>
            </w:r>
            <w:r w:rsidR="00534B3E" w:rsidRPr="003C0F20">
              <w:t xml:space="preserve"> from the same quarter of previous year</w:t>
            </w:r>
          </w:p>
          <w:p w14:paraId="764BD306" w14:textId="2B57AB3A" w:rsidR="001B1C81" w:rsidRPr="003C0F20" w:rsidRDefault="001B1C81" w:rsidP="00D65D2D">
            <w:pPr>
              <w:pStyle w:val="Tablebullet1"/>
            </w:pPr>
            <w:r w:rsidRPr="003C0F20">
              <w:t xml:space="preserve">Tier 3: </w:t>
            </w:r>
            <w:r w:rsidR="00D12B58" w:rsidRPr="003C0F20">
              <w:t>Less than</w:t>
            </w:r>
            <w:r w:rsidRPr="003C0F20">
              <w:t xml:space="preserve"> 6 per cent improvement on performance</w:t>
            </w:r>
            <w:r w:rsidR="00534B3E" w:rsidRPr="003C0F20">
              <w:t xml:space="preserve"> from the same quarter of previous year</w:t>
            </w:r>
          </w:p>
          <w:p w14:paraId="491E7CA3" w14:textId="156CE667" w:rsidR="001B1C81" w:rsidRPr="004B69E0" w:rsidRDefault="001B1C81" w:rsidP="00D65D2D">
            <w:pPr>
              <w:pStyle w:val="Tablebullet1"/>
            </w:pPr>
            <w:r w:rsidRPr="003C0F20">
              <w:t xml:space="preserve">Tier 4: </w:t>
            </w:r>
            <w:r w:rsidR="00D12B58" w:rsidRPr="003C0F20">
              <w:t>Less than</w:t>
            </w:r>
            <w:r w:rsidRPr="003C0F20">
              <w:t xml:space="preserve"> 4 per cent improvement on performance</w:t>
            </w:r>
            <w:r w:rsidR="00534B3E" w:rsidRPr="003C0F20">
              <w:t xml:space="preserve"> from the same quarter of previous year</w:t>
            </w:r>
          </w:p>
        </w:tc>
      </w:tr>
      <w:tr w:rsidR="00C46B17" w:rsidRPr="00315936" w14:paraId="2594997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F099EAE" w14:textId="77777777" w:rsidR="00C46B17" w:rsidRPr="00315936" w:rsidRDefault="00C46B17">
            <w:pPr>
              <w:pStyle w:val="Tabletext"/>
            </w:pPr>
            <w:r w:rsidRPr="00315936">
              <w:t>Improvement</w:t>
            </w:r>
          </w:p>
        </w:tc>
        <w:tc>
          <w:tcPr>
            <w:tcW w:w="7512" w:type="dxa"/>
            <w:tcBorders>
              <w:left w:val="single" w:sz="4" w:space="0" w:color="FFFFFF" w:themeColor="background1"/>
            </w:tcBorders>
          </w:tcPr>
          <w:p w14:paraId="1F193861" w14:textId="755C070F" w:rsidR="00C46B17" w:rsidRPr="00315936" w:rsidRDefault="00B93CD2">
            <w:pPr>
              <w:pStyle w:val="Tabletext"/>
            </w:pPr>
            <w:r>
              <w:t>For the purpose of the performance risk assessment, i</w:t>
            </w:r>
            <w:r w:rsidR="00C46B17" w:rsidRPr="00315936">
              <w:t>mprovement is calculated based on same time last year performance.</w:t>
            </w:r>
          </w:p>
        </w:tc>
      </w:tr>
      <w:tr w:rsidR="00C46B17" w:rsidRPr="00315936" w14:paraId="21AC7D8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0CF1A01" w14:textId="77777777" w:rsidR="00C46B17" w:rsidRPr="00315936" w:rsidRDefault="00C46B17">
            <w:pPr>
              <w:pStyle w:val="Tabletext"/>
            </w:pPr>
            <w:r w:rsidRPr="00315936">
              <w:t>Frequency of reporting and data collection</w:t>
            </w:r>
          </w:p>
        </w:tc>
        <w:tc>
          <w:tcPr>
            <w:tcW w:w="7512" w:type="dxa"/>
            <w:tcBorders>
              <w:left w:val="single" w:sz="4" w:space="0" w:color="FFFFFF" w:themeColor="background1"/>
            </w:tcBorders>
          </w:tcPr>
          <w:p w14:paraId="48D53A2B" w14:textId="7D0EE7BC" w:rsidR="002A3E24" w:rsidRPr="00315936" w:rsidRDefault="005E5A3B">
            <w:pPr>
              <w:pStyle w:val="Tabletext"/>
            </w:pPr>
            <w:r w:rsidRPr="00315936">
              <w:t>Performance is reported monthly</w:t>
            </w:r>
            <w:r w:rsidR="00B93CD2">
              <w:t xml:space="preserve"> </w:t>
            </w:r>
            <w:r w:rsidRPr="00315936">
              <w:t xml:space="preserve">and annually at the campus level. </w:t>
            </w:r>
          </w:p>
          <w:p w14:paraId="526C5959" w14:textId="280E3AEA" w:rsidR="00C46B17" w:rsidRPr="00315936" w:rsidRDefault="005E5A3B">
            <w:pPr>
              <w:pStyle w:val="Tabletext"/>
            </w:pPr>
            <w:r w:rsidRPr="00315936">
              <w:t xml:space="preserve">Data are sourced from the </w:t>
            </w:r>
            <w:r w:rsidR="001A5330">
              <w:t>Victorian Emergency Minimum Dataset (VEMD)</w:t>
            </w:r>
            <w:r w:rsidR="002A3E24" w:rsidRPr="00315936">
              <w:t>.</w:t>
            </w:r>
            <w:r w:rsidRPr="00315936">
              <w:t xml:space="preserve"> </w:t>
            </w:r>
          </w:p>
        </w:tc>
      </w:tr>
    </w:tbl>
    <w:p w14:paraId="2056745A" w14:textId="2FBA5B11" w:rsidR="00671221" w:rsidRPr="00315936" w:rsidRDefault="00671221" w:rsidP="008E7F78">
      <w:pPr>
        <w:pStyle w:val="Heading4"/>
      </w:pPr>
      <w:bookmarkStart w:id="76" w:name="_Toc1348508944"/>
      <w:r w:rsidRPr="00315936">
        <w:t>Number of patients with a length of stay in the emergency department greater than 24 hours</w:t>
      </w:r>
      <w:bookmarkEnd w:id="76"/>
    </w:p>
    <w:tbl>
      <w:tblPr>
        <w:tblStyle w:val="TableGrid"/>
        <w:tblW w:w="9349" w:type="dxa"/>
        <w:tblLook w:val="04A0" w:firstRow="1" w:lastRow="0" w:firstColumn="1" w:lastColumn="0" w:noHBand="0" w:noVBand="1"/>
      </w:tblPr>
      <w:tblGrid>
        <w:gridCol w:w="1837"/>
        <w:gridCol w:w="7512"/>
      </w:tblGrid>
      <w:tr w:rsidR="00ED7105" w:rsidRPr="00315936" w14:paraId="4DEB8F9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FFFEA25" w14:textId="4DC8D303" w:rsidR="00ED7105"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37C64FAE" w14:textId="77777777" w:rsidR="00ED7105" w:rsidRPr="00315936" w:rsidRDefault="00ED7105">
            <w:pPr>
              <w:pStyle w:val="Tabletext"/>
            </w:pPr>
            <w:r w:rsidRPr="00315936">
              <w:t>Number of patients with a length of stay in the emergency department greater than 24 hours</w:t>
            </w:r>
          </w:p>
        </w:tc>
      </w:tr>
      <w:tr w:rsidR="00ED7105" w:rsidRPr="00315936" w14:paraId="21F3973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0EF80D8" w14:textId="77777777" w:rsidR="00ED7105" w:rsidRPr="00315936" w:rsidRDefault="00ED7105">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5F2ED022" w14:textId="28F06226" w:rsidR="00ED7105" w:rsidRPr="00315936" w:rsidRDefault="00ED7105">
            <w:pPr>
              <w:pStyle w:val="Tabletext"/>
              <w:rPr>
                <w:lang w:eastAsia="en-AU"/>
              </w:rPr>
            </w:pPr>
            <w:r w:rsidRPr="00315936">
              <w:t xml:space="preserve">This </w:t>
            </w:r>
            <w:r w:rsidR="00C3016B" w:rsidRPr="00315936">
              <w:t>measure</w:t>
            </w:r>
            <w:r w:rsidRPr="00315936">
              <w:t xml:space="preserve"> m</w:t>
            </w:r>
            <w:r w:rsidR="00D0744A" w:rsidRPr="00315936">
              <w:t>onitors</w:t>
            </w:r>
            <w:r w:rsidRPr="00315936">
              <w:t xml:space="preserve"> the tim</w:t>
            </w:r>
            <w:r w:rsidR="00D0744A" w:rsidRPr="00315936">
              <w:t>eliness of</w:t>
            </w:r>
            <w:r w:rsidRPr="00315936">
              <w:t xml:space="preserve"> </w:t>
            </w:r>
            <w:r w:rsidR="006443AB">
              <w:t xml:space="preserve">discharging or </w:t>
            </w:r>
            <w:r w:rsidRPr="00315936">
              <w:t>transfer</w:t>
            </w:r>
            <w:r w:rsidR="00D0744A" w:rsidRPr="00315936">
              <w:t>ring</w:t>
            </w:r>
            <w:r w:rsidRPr="00315936">
              <w:t xml:space="preserve"> </w:t>
            </w:r>
            <w:r w:rsidR="006443AB">
              <w:t xml:space="preserve">ED </w:t>
            </w:r>
            <w:r w:rsidRPr="00315936">
              <w:t>patients</w:t>
            </w:r>
            <w:r w:rsidR="006443AB">
              <w:t xml:space="preserve"> </w:t>
            </w:r>
            <w:r w:rsidRPr="00315936">
              <w:t>to an inpatient bed. It reflects the effectiveness of hospital patient flow processes and discharge planning.</w:t>
            </w:r>
          </w:p>
        </w:tc>
      </w:tr>
      <w:tr w:rsidR="00ED7105" w:rsidRPr="00315936" w14:paraId="5970703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8FE1F22" w14:textId="77777777" w:rsidR="00ED7105" w:rsidRPr="00315936" w:rsidRDefault="00ED7105">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6AC53C70" w14:textId="23F3D113" w:rsidR="00B13550" w:rsidRDefault="00B13550" w:rsidP="00A67D0D">
            <w:pPr>
              <w:pStyle w:val="Tabletext"/>
            </w:pPr>
            <w:bookmarkStart w:id="77" w:name="_Hlk50123300"/>
            <w:r>
              <w:t>Length of stay in ED is calculated as the departure date and time minus the arrival date and time (converted to hours)</w:t>
            </w:r>
            <w:r w:rsidR="00126308">
              <w:t>.</w:t>
            </w:r>
          </w:p>
          <w:p w14:paraId="05F4E915" w14:textId="36F77C0C" w:rsidR="00ED7105" w:rsidRPr="00315936" w:rsidRDefault="3976064A" w:rsidP="00A67D0D">
            <w:pPr>
              <w:pStyle w:val="Tabletext"/>
            </w:pPr>
            <w:r>
              <w:t xml:space="preserve">The </w:t>
            </w:r>
            <w:r w:rsidR="15AD33F7">
              <w:t xml:space="preserve">ED </w:t>
            </w:r>
            <w:r>
              <w:t xml:space="preserve">Departure Date (not Arrival Date) is used </w:t>
            </w:r>
            <w:r w:rsidR="00DB4C8D">
              <w:t xml:space="preserve">to identify presentations in scope </w:t>
            </w:r>
            <w:r w:rsidR="00041D4E">
              <w:t xml:space="preserve">for the reporting period. </w:t>
            </w:r>
          </w:p>
          <w:p w14:paraId="011EB501" w14:textId="072BEF29" w:rsidR="00AB174D" w:rsidRPr="00315936" w:rsidRDefault="00ED7105" w:rsidP="00AB174D">
            <w:pPr>
              <w:pStyle w:val="Tabletext"/>
            </w:pPr>
            <w:r w:rsidRPr="00315936">
              <w:t>Exclusion</w:t>
            </w:r>
            <w:r w:rsidR="00066866">
              <w:t>s</w:t>
            </w:r>
            <w:r w:rsidRPr="00315936">
              <w:t xml:space="preserve">: </w:t>
            </w:r>
          </w:p>
          <w:p w14:paraId="3F980771" w14:textId="51C6EFF5" w:rsidR="008D5A0B" w:rsidRPr="00CC06EC" w:rsidRDefault="005E5A3B" w:rsidP="00CC06EC">
            <w:pPr>
              <w:pStyle w:val="Tablebullet1"/>
            </w:pPr>
            <w:r w:rsidRPr="00315936">
              <w:t xml:space="preserve">Triage </w:t>
            </w:r>
            <w:r w:rsidR="008D5A0B" w:rsidRPr="00CC06EC">
              <w:t>category</w:t>
            </w:r>
            <w:r w:rsidR="00DE74AE">
              <w:t xml:space="preserve"> =</w:t>
            </w:r>
            <w:r w:rsidR="008D5A0B" w:rsidRPr="00CC06EC">
              <w:t xml:space="preserve"> </w:t>
            </w:r>
            <w:r w:rsidR="00DE74AE">
              <w:t>‘</w:t>
            </w:r>
            <w:r w:rsidR="008D5A0B" w:rsidRPr="00CC06EC">
              <w:t>6</w:t>
            </w:r>
            <w:r w:rsidR="00DE74AE">
              <w:t>’</w:t>
            </w:r>
            <w:r w:rsidR="008D5A0B" w:rsidRPr="00CC06EC">
              <w:t xml:space="preserve"> Dead on arrival</w:t>
            </w:r>
          </w:p>
          <w:p w14:paraId="241CA3FE" w14:textId="6944F1B2" w:rsidR="006D25E6" w:rsidRPr="00AA1615" w:rsidRDefault="003B6556" w:rsidP="00BC6D23">
            <w:pPr>
              <w:pStyle w:val="Tablebullet1"/>
            </w:pPr>
            <w:r>
              <w:rPr>
                <w:rFonts w:eastAsia="Times"/>
              </w:rPr>
              <w:t xml:space="preserve">Departure status code </w:t>
            </w:r>
            <w:r w:rsidR="0007458E">
              <w:rPr>
                <w:rFonts w:eastAsia="Times"/>
              </w:rPr>
              <w:t>=</w:t>
            </w:r>
            <w:r w:rsidR="00AA1615">
              <w:rPr>
                <w:rFonts w:eastAsia="Times"/>
              </w:rPr>
              <w:t xml:space="preserve"> </w:t>
            </w:r>
            <w:r w:rsidR="0007458E">
              <w:rPr>
                <w:rFonts w:eastAsia="Times"/>
              </w:rPr>
              <w:t>‘</w:t>
            </w:r>
            <w:r>
              <w:rPr>
                <w:rFonts w:eastAsia="Times"/>
              </w:rPr>
              <w:t>30</w:t>
            </w:r>
            <w:r w:rsidR="0007458E">
              <w:rPr>
                <w:rFonts w:eastAsia="Times"/>
              </w:rPr>
              <w:t>’</w:t>
            </w:r>
            <w:r>
              <w:rPr>
                <w:rFonts w:eastAsia="Times"/>
              </w:rPr>
              <w:t xml:space="preserve"> </w:t>
            </w:r>
            <w:r w:rsidR="0007458E">
              <w:rPr>
                <w:rFonts w:eastAsia="Times"/>
              </w:rPr>
              <w:t>Left a</w:t>
            </w:r>
            <w:r w:rsidR="00445262">
              <w:rPr>
                <w:rFonts w:eastAsia="Times"/>
              </w:rPr>
              <w:t xml:space="preserve">fter clinical advice regarding treatment options - </w:t>
            </w:r>
            <w:r>
              <w:rPr>
                <w:rFonts w:eastAsia="Times"/>
              </w:rPr>
              <w:t>GP co-located clinic</w:t>
            </w:r>
            <w:r w:rsidR="00DE74AE">
              <w:rPr>
                <w:rFonts w:eastAsia="Times"/>
              </w:rPr>
              <w:t xml:space="preserve"> or PPCC</w:t>
            </w:r>
          </w:p>
          <w:p w14:paraId="320DC866" w14:textId="77777777" w:rsidR="006473AE" w:rsidRDefault="003B4614" w:rsidP="00BC6D23">
            <w:pPr>
              <w:pStyle w:val="Tablebullet1"/>
            </w:pPr>
            <w:r>
              <w:t>VVED presentations</w:t>
            </w:r>
          </w:p>
          <w:p w14:paraId="2B779529" w14:textId="4C0F1C38" w:rsidR="00A24C96" w:rsidRDefault="006473AE" w:rsidP="00535D2B">
            <w:pPr>
              <w:pStyle w:val="Tablebullet1"/>
            </w:pPr>
            <w:r>
              <w:t>Other virtual care presentations</w:t>
            </w:r>
            <w:r w:rsidR="00FB4663">
              <w:t>.</w:t>
            </w:r>
            <w:r w:rsidR="003B4614">
              <w:t xml:space="preserve"> </w:t>
            </w:r>
            <w:bookmarkEnd w:id="77"/>
          </w:p>
          <w:p w14:paraId="1DCBC9D2" w14:textId="7CF70494" w:rsidR="00ED7105" w:rsidRPr="00315936" w:rsidRDefault="00ED7105">
            <w:pPr>
              <w:pStyle w:val="Tabletext"/>
              <w:rPr>
                <w:b/>
              </w:rPr>
            </w:pPr>
            <w:r w:rsidRPr="00315936">
              <w:rPr>
                <w:b/>
              </w:rPr>
              <w:t>Performance breach notification</w:t>
            </w:r>
          </w:p>
          <w:p w14:paraId="2E0A3A6F" w14:textId="77777777" w:rsidR="00ED7105" w:rsidRPr="00315936" w:rsidRDefault="00ED7105">
            <w:pPr>
              <w:pStyle w:val="Tabletext"/>
              <w:rPr>
                <w:lang w:eastAsia="en-AU"/>
              </w:rPr>
            </w:pPr>
            <w:r w:rsidRPr="00315936">
              <w:t>If a patient has exceeded 24hrs length of stay in ED and the event verified as accurate, the patient will be regarded as a breach for the purposes of performance and a departmental notification procedure must be initiated by the health service.</w:t>
            </w:r>
          </w:p>
        </w:tc>
      </w:tr>
      <w:tr w:rsidR="00ED7105" w:rsidRPr="00315936" w14:paraId="01D1815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98CE6A9" w14:textId="77777777" w:rsidR="00ED7105" w:rsidRPr="00315936" w:rsidRDefault="00ED7105">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3D79B996" w14:textId="46F5D05E" w:rsidR="00ED7105" w:rsidRPr="00315936" w:rsidRDefault="3976064A">
            <w:pPr>
              <w:pStyle w:val="Tabletext"/>
              <w:rPr>
                <w:lang w:eastAsia="en-AU"/>
              </w:rPr>
            </w:pPr>
            <w:r>
              <w:t xml:space="preserve">Number of </w:t>
            </w:r>
            <w:r w:rsidR="328225AA">
              <w:t>emergency department presentations</w:t>
            </w:r>
            <w:r>
              <w:t xml:space="preserve"> with length of stay </w:t>
            </w:r>
            <w:r w:rsidR="01CC46FD">
              <w:t xml:space="preserve">in ED </w:t>
            </w:r>
            <w:r>
              <w:t>greater than 24 hours (1,440 minutes)</w:t>
            </w:r>
            <w:r w:rsidR="001E283A">
              <w:t>.</w:t>
            </w:r>
            <w:r>
              <w:t xml:space="preserve"> </w:t>
            </w:r>
          </w:p>
        </w:tc>
      </w:tr>
      <w:tr w:rsidR="00ED7105" w:rsidRPr="00315936" w14:paraId="5EB8E39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D5AC163" w14:textId="77777777" w:rsidR="00ED7105" w:rsidRPr="00315936" w:rsidRDefault="00ED7105">
            <w:pPr>
              <w:pStyle w:val="Tablecolhead"/>
              <w:rPr>
                <w:b w:val="0"/>
                <w:lang w:eastAsia="en-AU"/>
              </w:rPr>
            </w:pPr>
            <w:r w:rsidRPr="00315936">
              <w:rPr>
                <w:b w:val="0"/>
                <w:lang w:eastAsia="en-AU"/>
              </w:rPr>
              <w:lastRenderedPageBreak/>
              <w:t>Denominator</w:t>
            </w:r>
          </w:p>
        </w:tc>
        <w:tc>
          <w:tcPr>
            <w:tcW w:w="7512" w:type="dxa"/>
            <w:tcBorders>
              <w:left w:val="single" w:sz="4" w:space="0" w:color="FFFFFF" w:themeColor="background1"/>
            </w:tcBorders>
          </w:tcPr>
          <w:p w14:paraId="7DB9DF4F" w14:textId="77777777" w:rsidR="00ED7105" w:rsidRPr="00315936" w:rsidRDefault="00ED7105">
            <w:pPr>
              <w:pStyle w:val="Tabletext"/>
              <w:rPr>
                <w:lang w:eastAsia="en-AU"/>
              </w:rPr>
            </w:pPr>
            <w:r w:rsidRPr="00315936">
              <w:rPr>
                <w:lang w:eastAsia="en-AU"/>
              </w:rPr>
              <w:t>N/A</w:t>
            </w:r>
          </w:p>
        </w:tc>
      </w:tr>
      <w:tr w:rsidR="00ED7105" w:rsidRPr="00315936" w14:paraId="30DF5F6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5FF13E7" w14:textId="77777777" w:rsidR="00ED7105" w:rsidRPr="00315936" w:rsidRDefault="00ED7105">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55AB8A24" w14:textId="77777777" w:rsidR="00ED7105" w:rsidRPr="00315936" w:rsidRDefault="00ED7105">
            <w:pPr>
              <w:pStyle w:val="Tabletext"/>
              <w:rPr>
                <w:lang w:eastAsia="en-AU"/>
              </w:rPr>
            </w:pPr>
            <w:r w:rsidRPr="00315936">
              <w:rPr>
                <w:lang w:eastAsia="en-AU"/>
              </w:rPr>
              <w:t>0</w:t>
            </w:r>
          </w:p>
        </w:tc>
      </w:tr>
      <w:tr w:rsidR="00ED7105" w:rsidRPr="00315936" w14:paraId="086D490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5504673" w14:textId="575F90E2" w:rsidR="00ED7105" w:rsidRPr="00315936" w:rsidRDefault="00ED7105">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23AB9484" w14:textId="7F0D10B7" w:rsidR="00ED7105" w:rsidRPr="00315936" w:rsidRDefault="00ED7105">
            <w:pPr>
              <w:pStyle w:val="Tabletext"/>
              <w:rPr>
                <w:lang w:eastAsia="en-AU"/>
              </w:rPr>
            </w:pPr>
            <w:r w:rsidRPr="00315936">
              <w:t>0</w:t>
            </w:r>
          </w:p>
        </w:tc>
      </w:tr>
      <w:tr w:rsidR="00ED7105" w:rsidRPr="00315936" w14:paraId="6FAF82B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3972014" w14:textId="07EFBA04" w:rsidR="00ED7105" w:rsidRPr="00315936" w:rsidRDefault="00ED7105">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37B6823F" w14:textId="0C62B746" w:rsidR="00ED7105" w:rsidRPr="00315936" w:rsidRDefault="00ED7105">
            <w:pPr>
              <w:pStyle w:val="Tabletext"/>
              <w:rPr>
                <w:lang w:eastAsia="en-AU"/>
              </w:rPr>
            </w:pPr>
            <w:r w:rsidRPr="00315936">
              <w:t>Greater than 0</w:t>
            </w:r>
          </w:p>
        </w:tc>
      </w:tr>
      <w:tr w:rsidR="00ED7105" w:rsidRPr="00315936" w14:paraId="2A574954"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6DC1D4E" w14:textId="77777777" w:rsidR="00ED7105" w:rsidRPr="00315936" w:rsidRDefault="00ED7105">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155CF608" w14:textId="36A3FA5E" w:rsidR="00ED7105" w:rsidRPr="00315936" w:rsidRDefault="008344A5">
            <w:pPr>
              <w:pStyle w:val="Tabletext"/>
              <w:rPr>
                <w:lang w:eastAsia="en-AU"/>
              </w:rPr>
            </w:pPr>
            <w:r>
              <w:t>For the purpose of the performance risk assessment, i</w:t>
            </w:r>
            <w:r w:rsidR="00ED7105" w:rsidRPr="00315936">
              <w:t xml:space="preserve">mprovement is calculated based on </w:t>
            </w:r>
            <w:r w:rsidR="005345E0">
              <w:t>per</w:t>
            </w:r>
            <w:r w:rsidR="00596589">
              <w:t>formance from the same period</w:t>
            </w:r>
            <w:r w:rsidR="005229CE">
              <w:t xml:space="preserve"> (</w:t>
            </w:r>
            <w:r w:rsidR="00DE6D05">
              <w:t xml:space="preserve">quarter or </w:t>
            </w:r>
            <w:r w:rsidR="00A43448">
              <w:t>year)</w:t>
            </w:r>
            <w:r w:rsidR="00596589">
              <w:t xml:space="preserve"> in the previous year</w:t>
            </w:r>
            <w:r w:rsidR="005229CE">
              <w:t>.</w:t>
            </w:r>
          </w:p>
        </w:tc>
      </w:tr>
      <w:tr w:rsidR="00ED7105" w:rsidRPr="00315936" w14:paraId="1B9DE57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1A4ECBC" w14:textId="77777777" w:rsidR="00ED7105" w:rsidRPr="00315936" w:rsidRDefault="00ED7105">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3A8A3CD1" w14:textId="5094A045" w:rsidR="003E6882" w:rsidRPr="00315936" w:rsidRDefault="00ED7105">
            <w:pPr>
              <w:pStyle w:val="Tabletext"/>
            </w:pPr>
            <w:r w:rsidRPr="00315936">
              <w:t xml:space="preserve">Performance </w:t>
            </w:r>
            <w:r w:rsidR="002169F6">
              <w:t xml:space="preserve">is </w:t>
            </w:r>
            <w:r w:rsidR="008D5A0B" w:rsidRPr="00315936">
              <w:t>reported monthly and annually at the campus level</w:t>
            </w:r>
            <w:r w:rsidR="002169F6">
              <w:t>.</w:t>
            </w:r>
          </w:p>
          <w:p w14:paraId="70D0F6ED" w14:textId="5DC8D59E" w:rsidR="00ED7105" w:rsidRPr="00315936" w:rsidRDefault="00ED7105">
            <w:pPr>
              <w:pStyle w:val="Tabletext"/>
              <w:rPr>
                <w:lang w:eastAsia="en-AU"/>
              </w:rPr>
            </w:pPr>
            <w:r w:rsidRPr="00315936">
              <w:t>Data are</w:t>
            </w:r>
            <w:r w:rsidR="008D5A0B" w:rsidRPr="00315936">
              <w:t xml:space="preserve"> sourced from </w:t>
            </w:r>
            <w:r w:rsidR="001A5330" w:rsidRPr="00315936">
              <w:t xml:space="preserve">the </w:t>
            </w:r>
            <w:r w:rsidR="001A5330">
              <w:t>Victorian Emergency Minimum Dataset (VEMD)</w:t>
            </w:r>
            <w:r w:rsidR="001A5330" w:rsidRPr="00315936">
              <w:t>.</w:t>
            </w:r>
            <w:r w:rsidRPr="00315936">
              <w:t xml:space="preserve"> </w:t>
            </w:r>
          </w:p>
        </w:tc>
      </w:tr>
    </w:tbl>
    <w:p w14:paraId="7632C4BF" w14:textId="5CA6910A" w:rsidR="001F76CB" w:rsidRPr="00315936" w:rsidRDefault="00DC7658" w:rsidP="008E7F78">
      <w:pPr>
        <w:pStyle w:val="Heading4"/>
      </w:pPr>
      <w:bookmarkStart w:id="78" w:name="_Toc1392607794"/>
      <w:r w:rsidRPr="00315936">
        <w:t xml:space="preserve">Average ED length of stay </w:t>
      </w:r>
      <w:r w:rsidR="002E47BA">
        <w:t xml:space="preserve">for </w:t>
      </w:r>
      <w:r w:rsidRPr="00315936">
        <w:t>admitted</w:t>
      </w:r>
      <w:r w:rsidR="002E47BA">
        <w:t xml:space="preserve"> patients</w:t>
      </w:r>
      <w:r w:rsidRPr="00315936">
        <w:t>, in minutes</w:t>
      </w:r>
      <w:bookmarkEnd w:id="78"/>
    </w:p>
    <w:tbl>
      <w:tblPr>
        <w:tblStyle w:val="TableGrid"/>
        <w:tblW w:w="9349" w:type="dxa"/>
        <w:tblLook w:val="04A0" w:firstRow="1" w:lastRow="0" w:firstColumn="1" w:lastColumn="0" w:noHBand="0" w:noVBand="1"/>
      </w:tblPr>
      <w:tblGrid>
        <w:gridCol w:w="1837"/>
        <w:gridCol w:w="7512"/>
      </w:tblGrid>
      <w:tr w:rsidR="0073592E" w:rsidRPr="00315936" w14:paraId="7399BC4D" w14:textId="77777777" w:rsidTr="00535D2B">
        <w:trPr>
          <w:trHeight w:val="499"/>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A6F177C" w14:textId="2D71042F" w:rsidR="0073592E" w:rsidRPr="00624626" w:rsidRDefault="00C3016B">
            <w:pPr>
              <w:pStyle w:val="Tablecolhead"/>
              <w:rPr>
                <w:b w:val="0"/>
                <w:bCs/>
                <w:lang w:eastAsia="en-AU"/>
              </w:rPr>
            </w:pPr>
            <w:r w:rsidRPr="00624626">
              <w:rPr>
                <w:b w:val="0"/>
                <w:bCs/>
                <w:lang w:eastAsia="en-AU"/>
              </w:rPr>
              <w:t>Measure</w:t>
            </w:r>
          </w:p>
        </w:tc>
        <w:tc>
          <w:tcPr>
            <w:tcW w:w="7512" w:type="dxa"/>
            <w:tcBorders>
              <w:left w:val="single" w:sz="4" w:space="0" w:color="FFFFFF" w:themeColor="background1"/>
            </w:tcBorders>
          </w:tcPr>
          <w:p w14:paraId="12E4EE61" w14:textId="50982B00" w:rsidR="00A67D0D" w:rsidRPr="00315936" w:rsidRDefault="7B2761E8" w:rsidP="00447F30">
            <w:pPr>
              <w:pStyle w:val="Tabletext"/>
            </w:pPr>
            <w:r>
              <w:t>Average</w:t>
            </w:r>
            <w:r w:rsidR="1E04DFEC">
              <w:t xml:space="preserve"> emergency department length of stay </w:t>
            </w:r>
            <w:r w:rsidR="00B103AF">
              <w:t>for</w:t>
            </w:r>
            <w:r w:rsidR="43D21044">
              <w:t xml:space="preserve"> </w:t>
            </w:r>
            <w:r w:rsidR="009B5BBE">
              <w:t xml:space="preserve">admitted </w:t>
            </w:r>
            <w:r w:rsidR="43D21044">
              <w:t>patients</w:t>
            </w:r>
            <w:r w:rsidR="104D0362">
              <w:t>, in minutes</w:t>
            </w:r>
          </w:p>
        </w:tc>
      </w:tr>
      <w:tr w:rsidR="0073592E" w:rsidRPr="00315936" w14:paraId="32CF8AF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BD9D799" w14:textId="77777777" w:rsidR="0073592E" w:rsidRPr="00624626" w:rsidRDefault="0073592E">
            <w:pPr>
              <w:pStyle w:val="Tablecolhead"/>
              <w:rPr>
                <w:b w:val="0"/>
                <w:bCs/>
                <w:lang w:eastAsia="en-AU"/>
              </w:rPr>
            </w:pPr>
            <w:r w:rsidRPr="00624626">
              <w:rPr>
                <w:b w:val="0"/>
                <w:bCs/>
                <w:lang w:eastAsia="en-AU"/>
              </w:rPr>
              <w:t>Description </w:t>
            </w:r>
          </w:p>
        </w:tc>
        <w:tc>
          <w:tcPr>
            <w:tcW w:w="7512" w:type="dxa"/>
            <w:tcBorders>
              <w:left w:val="single" w:sz="4" w:space="0" w:color="FFFFFF" w:themeColor="background1"/>
            </w:tcBorders>
          </w:tcPr>
          <w:p w14:paraId="0B9F0B0E" w14:textId="3F0AB3C7" w:rsidR="00227C00" w:rsidRDefault="00345ABD" w:rsidP="00345ABD">
            <w:pPr>
              <w:pStyle w:val="Tabletext"/>
              <w:rPr>
                <w:rFonts w:eastAsia="VIC"/>
              </w:rPr>
            </w:pPr>
            <w:r w:rsidRPr="00315936">
              <w:rPr>
                <w:rFonts w:eastAsia="VIC"/>
              </w:rPr>
              <w:t xml:space="preserve">This </w:t>
            </w:r>
            <w:r w:rsidR="00227C00" w:rsidRPr="554FA974">
              <w:rPr>
                <w:rFonts w:eastAsia="VIC"/>
              </w:rPr>
              <w:t xml:space="preserve">measures the </w:t>
            </w:r>
            <w:r w:rsidR="00227C00" w:rsidRPr="554FA974">
              <w:rPr>
                <w:rFonts w:eastAsia="Arial" w:cs="Arial"/>
              </w:rPr>
              <w:t>average length</w:t>
            </w:r>
            <w:r w:rsidR="00227C00" w:rsidRPr="554FA974">
              <w:rPr>
                <w:rFonts w:eastAsia="VIC"/>
              </w:rPr>
              <w:t xml:space="preserve"> of stay in ED for patients who were admitted to a ward</w:t>
            </w:r>
            <w:r w:rsidR="0048476E">
              <w:rPr>
                <w:rFonts w:eastAsia="VIC"/>
              </w:rPr>
              <w:t xml:space="preserve">, excluding </w:t>
            </w:r>
            <w:r w:rsidR="0048476E">
              <w:t>Short Stay Units (SSUs)</w:t>
            </w:r>
            <w:r w:rsidR="00227C00">
              <w:rPr>
                <w:rFonts w:eastAsia="VIC"/>
              </w:rPr>
              <w:t>.</w:t>
            </w:r>
          </w:p>
          <w:p w14:paraId="1F30EBB7" w14:textId="5D679CB2" w:rsidR="0073592E" w:rsidRPr="00315936" w:rsidRDefault="00227C00" w:rsidP="00227C00">
            <w:pPr>
              <w:pStyle w:val="Tabletext"/>
              <w:rPr>
                <w:lang w:eastAsia="en-AU"/>
              </w:rPr>
            </w:pPr>
            <w:r>
              <w:rPr>
                <w:rFonts w:eastAsia="VIC"/>
              </w:rPr>
              <w:t>It</w:t>
            </w:r>
            <w:r w:rsidRPr="00315936">
              <w:rPr>
                <w:rFonts w:eastAsia="VIC"/>
              </w:rPr>
              <w:t xml:space="preserve"> </w:t>
            </w:r>
            <w:r w:rsidR="00345ABD" w:rsidRPr="00315936">
              <w:rPr>
                <w:rFonts w:eastAsia="VIC"/>
              </w:rPr>
              <w:t>reflects continuous improvement in the efficiency of timely assessment and treatment</w:t>
            </w:r>
            <w:r w:rsidR="00D84D14" w:rsidRPr="00315936">
              <w:rPr>
                <w:rFonts w:eastAsia="VIC"/>
              </w:rPr>
              <w:t xml:space="preserve"> of patients in the ED</w:t>
            </w:r>
            <w:r>
              <w:rPr>
                <w:rFonts w:eastAsia="VIC"/>
              </w:rPr>
              <w:t xml:space="preserve"> and </w:t>
            </w:r>
            <w:r w:rsidR="00CC73C4" w:rsidRPr="00315936">
              <w:rPr>
                <w:rFonts w:eastAsia="VIC"/>
              </w:rPr>
              <w:t>encourages services to refine their processes</w:t>
            </w:r>
            <w:r w:rsidR="003473C9" w:rsidRPr="00315936">
              <w:rPr>
                <w:rFonts w:eastAsia="VIC"/>
              </w:rPr>
              <w:t xml:space="preserve"> across</w:t>
            </w:r>
            <w:r w:rsidR="00524D8C" w:rsidRPr="00315936">
              <w:rPr>
                <w:rFonts w:eastAsia="VIC"/>
              </w:rPr>
              <w:t xml:space="preserve"> their hospitals</w:t>
            </w:r>
            <w:r w:rsidR="00CC73C4" w:rsidRPr="00315936">
              <w:rPr>
                <w:rFonts w:eastAsia="VIC"/>
              </w:rPr>
              <w:t>, adopt best practices, and implement strategies that minimise the time admitted patients spend in the ED.</w:t>
            </w:r>
          </w:p>
        </w:tc>
      </w:tr>
      <w:tr w:rsidR="0073592E" w:rsidRPr="00315936" w14:paraId="1F0B3ED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F1239FB" w14:textId="77777777" w:rsidR="0073592E" w:rsidRPr="00624626" w:rsidRDefault="0073592E">
            <w:pPr>
              <w:pStyle w:val="Tablecolhead"/>
              <w:rPr>
                <w:b w:val="0"/>
                <w:bCs/>
                <w:lang w:eastAsia="en-AU"/>
              </w:rPr>
            </w:pPr>
            <w:r w:rsidRPr="00624626">
              <w:rPr>
                <w:b w:val="0"/>
                <w:bCs/>
                <w:lang w:eastAsia="en-AU"/>
              </w:rPr>
              <w:t>Calculating performance</w:t>
            </w:r>
          </w:p>
        </w:tc>
        <w:tc>
          <w:tcPr>
            <w:tcW w:w="7512" w:type="dxa"/>
            <w:tcBorders>
              <w:left w:val="single" w:sz="4" w:space="0" w:color="FFFFFF" w:themeColor="background1"/>
            </w:tcBorders>
          </w:tcPr>
          <w:p w14:paraId="070F0FFE" w14:textId="3D468280" w:rsidR="00CF5BCC" w:rsidRPr="00315936" w:rsidRDefault="00CF5BCC" w:rsidP="00270109">
            <w:pPr>
              <w:pStyle w:val="Tabletext"/>
            </w:pPr>
            <w:r>
              <w:t>Length of stay in ED is calculated as the departure date and time minus the arrival date and time (</w:t>
            </w:r>
            <w:r w:rsidR="00566190">
              <w:t>in minutes</w:t>
            </w:r>
            <w:r>
              <w:t>)</w:t>
            </w:r>
          </w:p>
          <w:p w14:paraId="0981A471" w14:textId="568ABD7F" w:rsidR="00D035DA" w:rsidRDefault="00D035DA" w:rsidP="00D035DA">
            <w:pPr>
              <w:pStyle w:val="Tabletext"/>
            </w:pPr>
            <w:r>
              <w:t>The ED Departure Date (not Arrival Date) is used to identify presentations in scope for the reporting period.</w:t>
            </w:r>
            <w:r w:rsidRPr="00315936">
              <w:t xml:space="preserve"> </w:t>
            </w:r>
          </w:p>
          <w:p w14:paraId="579A142E" w14:textId="6FCC6675" w:rsidR="0096127A" w:rsidRPr="00315936" w:rsidRDefault="128669B6" w:rsidP="00270109">
            <w:pPr>
              <w:pStyle w:val="Tabletext"/>
            </w:pPr>
            <w:r>
              <w:t>ED presentations in scope of this measure include the following</w:t>
            </w:r>
            <w:r w:rsidR="009469C6">
              <w:t>:</w:t>
            </w:r>
            <w:r w:rsidR="54A55E8E">
              <w:t xml:space="preserve"> </w:t>
            </w:r>
          </w:p>
          <w:p w14:paraId="75A28850" w14:textId="164AA19D" w:rsidR="0096127A" w:rsidRPr="00315936" w:rsidRDefault="251AFD34" w:rsidP="002823F4">
            <w:pPr>
              <w:pStyle w:val="Tablebullet1"/>
            </w:pPr>
            <w:r>
              <w:t xml:space="preserve">Presentations that departed ED during the reference period, </w:t>
            </w:r>
            <w:r w:rsidR="00D51976">
              <w:t xml:space="preserve">up to </w:t>
            </w:r>
            <w:r w:rsidR="009B2E62">
              <w:t>11:59pm on the</w:t>
            </w:r>
            <w:r>
              <w:t xml:space="preserve"> reference period end date</w:t>
            </w:r>
            <w:r w:rsidR="21381213">
              <w:t>.</w:t>
            </w:r>
          </w:p>
          <w:p w14:paraId="55772FCE" w14:textId="408E287A" w:rsidR="00492538" w:rsidRDefault="3D25069D" w:rsidP="002823F4">
            <w:pPr>
              <w:pStyle w:val="Tabletext"/>
            </w:pPr>
            <w:r>
              <w:t>The departure status code is any of the following:</w:t>
            </w:r>
          </w:p>
          <w:p w14:paraId="1C3F7311" w14:textId="420223CB" w:rsidR="006803B5" w:rsidRDefault="006803B5" w:rsidP="00836E49">
            <w:pPr>
              <w:pStyle w:val="Tablebullet1"/>
            </w:pPr>
            <w:r>
              <w:t>Tran</w:t>
            </w:r>
            <w:r w:rsidR="00D06532">
              <w:t>sfer to another hospital campus:</w:t>
            </w:r>
          </w:p>
          <w:p w14:paraId="7A809C84" w14:textId="2192EB5F" w:rsidR="0096127A" w:rsidRPr="00F401FA" w:rsidRDefault="1DB0E262" w:rsidP="00022AB4">
            <w:pPr>
              <w:pStyle w:val="DHTablebullet2"/>
            </w:pPr>
            <w:r w:rsidRPr="00F401FA">
              <w:t>‘17’ Mental Health</w:t>
            </w:r>
            <w:r w:rsidR="002F5765">
              <w:t xml:space="preserve"> bed at another </w:t>
            </w:r>
            <w:r w:rsidR="00613EAF">
              <w:t xml:space="preserve">hospital </w:t>
            </w:r>
            <w:r w:rsidR="002F5765">
              <w:t>campus</w:t>
            </w:r>
          </w:p>
          <w:p w14:paraId="33017B46" w14:textId="785EE845" w:rsidR="0096127A" w:rsidRPr="00F401FA" w:rsidRDefault="1DB0E262" w:rsidP="002823F4">
            <w:pPr>
              <w:pStyle w:val="Tablebullet2"/>
            </w:pPr>
            <w:r w:rsidRPr="00F401FA">
              <w:t xml:space="preserve">‘19’ </w:t>
            </w:r>
            <w:r w:rsidR="00400097">
              <w:t xml:space="preserve"> Another hospital</w:t>
            </w:r>
            <w:r w:rsidR="00670261">
              <w:t xml:space="preserve"> campus</w:t>
            </w:r>
            <w:r w:rsidRPr="00F401FA">
              <w:t xml:space="preserve"> </w:t>
            </w:r>
          </w:p>
          <w:p w14:paraId="5AE30811" w14:textId="18ADA862" w:rsidR="0096127A" w:rsidRPr="0079080E" w:rsidRDefault="5DE9ECE3" w:rsidP="002823F4">
            <w:pPr>
              <w:pStyle w:val="Tablebullet2"/>
            </w:pPr>
            <w:r w:rsidRPr="0079080E">
              <w:t xml:space="preserve">‘20’ </w:t>
            </w:r>
            <w:r w:rsidR="00A51D6B" w:rsidRPr="0079080E">
              <w:t xml:space="preserve">Another </w:t>
            </w:r>
            <w:r w:rsidR="00A2297C" w:rsidRPr="0079080E">
              <w:t xml:space="preserve">hospital campus </w:t>
            </w:r>
            <w:r w:rsidR="014A3AB4" w:rsidRPr="0079080E">
              <w:t xml:space="preserve">- </w:t>
            </w:r>
            <w:r w:rsidRPr="0079080E">
              <w:t>ICU</w:t>
            </w:r>
          </w:p>
          <w:p w14:paraId="2ACA576D" w14:textId="2460F028" w:rsidR="0096127A" w:rsidRPr="0079080E" w:rsidRDefault="21F4FF2F" w:rsidP="0079080E">
            <w:pPr>
              <w:pStyle w:val="DHTablebullet2"/>
            </w:pPr>
            <w:r w:rsidRPr="0079080E">
              <w:t xml:space="preserve">‘21’ </w:t>
            </w:r>
            <w:r w:rsidR="00A2297C" w:rsidRPr="0079080E">
              <w:t>Another hospital campus</w:t>
            </w:r>
            <w:r w:rsidR="00E21E5F" w:rsidRPr="0079080E">
              <w:t xml:space="preserve"> -</w:t>
            </w:r>
            <w:r w:rsidR="4D3FA603" w:rsidRPr="0079080E">
              <w:t xml:space="preserve"> </w:t>
            </w:r>
            <w:r w:rsidRPr="0079080E">
              <w:t>CCU</w:t>
            </w:r>
          </w:p>
          <w:p w14:paraId="46A93537" w14:textId="1CF5DDB2" w:rsidR="006A12BA" w:rsidRPr="00004988" w:rsidRDefault="006A12BA" w:rsidP="00F26F04">
            <w:pPr>
              <w:pStyle w:val="Tablebullet1"/>
            </w:pPr>
            <w:r w:rsidRPr="00F26F04">
              <w:t>Same hospital campus</w:t>
            </w:r>
          </w:p>
          <w:p w14:paraId="48E1B8B1" w14:textId="0434347D" w:rsidR="0096127A" w:rsidRPr="00F401FA" w:rsidRDefault="1DB0E262" w:rsidP="002823F4">
            <w:pPr>
              <w:pStyle w:val="Tablebullet2"/>
            </w:pPr>
            <w:r w:rsidRPr="00F401FA">
              <w:t>‘14’ Medical Assess</w:t>
            </w:r>
            <w:r w:rsidR="008650A9">
              <w:t>ment</w:t>
            </w:r>
            <w:r w:rsidRPr="00F401FA">
              <w:t>. &amp; Planning Unit</w:t>
            </w:r>
          </w:p>
          <w:p w14:paraId="16773239" w14:textId="35E9F03F" w:rsidR="0096127A" w:rsidRPr="00F401FA" w:rsidRDefault="1DB0E262" w:rsidP="002823F4">
            <w:pPr>
              <w:pStyle w:val="Tablebullet2"/>
            </w:pPr>
            <w:r w:rsidRPr="00F401FA">
              <w:t>‘15’ ICU</w:t>
            </w:r>
            <w:r w:rsidR="00E21E5F" w:rsidRPr="0079080E">
              <w:t xml:space="preserve"> -</w:t>
            </w:r>
            <w:r w:rsidR="003D40DB">
              <w:t xml:space="preserve"> this campus </w:t>
            </w:r>
          </w:p>
          <w:p w14:paraId="0D0387C8" w14:textId="5DFB0FF7" w:rsidR="0096127A" w:rsidRPr="00F401FA" w:rsidRDefault="1DB0E262" w:rsidP="002823F4">
            <w:pPr>
              <w:pStyle w:val="Tablebullet2"/>
            </w:pPr>
            <w:r w:rsidRPr="00F401FA">
              <w:t>‘18’ Ward  not elsewhere described</w:t>
            </w:r>
          </w:p>
          <w:p w14:paraId="5B7CB46F" w14:textId="694FBE9A" w:rsidR="0096127A" w:rsidRPr="00F401FA" w:rsidRDefault="1DB0E262" w:rsidP="002823F4">
            <w:pPr>
              <w:pStyle w:val="Tablebullet2"/>
            </w:pPr>
            <w:r w:rsidRPr="00F401FA">
              <w:t xml:space="preserve">‘22’ CCU </w:t>
            </w:r>
            <w:r w:rsidR="003D40DB">
              <w:t>-</w:t>
            </w:r>
            <w:r w:rsidRPr="00F401FA">
              <w:t xml:space="preserve"> this</w:t>
            </w:r>
            <w:r w:rsidR="003D40DB">
              <w:t xml:space="preserve"> campus</w:t>
            </w:r>
            <w:r w:rsidRPr="00F401FA">
              <w:t xml:space="preserve"> </w:t>
            </w:r>
          </w:p>
          <w:p w14:paraId="5A22E9AE" w14:textId="3BD518E8" w:rsidR="0096127A" w:rsidRPr="00F401FA" w:rsidRDefault="1DB0E262" w:rsidP="002823F4">
            <w:pPr>
              <w:pStyle w:val="Tablebullet2"/>
            </w:pPr>
            <w:r w:rsidRPr="00F401FA">
              <w:t>‘25’ Mental Health Obs</w:t>
            </w:r>
            <w:r w:rsidR="0032486B">
              <w:t>ervation</w:t>
            </w:r>
            <w:r w:rsidRPr="00F401FA">
              <w:t>/Assess Unit</w:t>
            </w:r>
          </w:p>
          <w:p w14:paraId="086B8C82" w14:textId="58FA621B" w:rsidR="0096127A" w:rsidRPr="00F401FA" w:rsidRDefault="1DB0E262" w:rsidP="002823F4">
            <w:pPr>
              <w:pStyle w:val="Tablebullet2"/>
            </w:pPr>
            <w:r w:rsidRPr="00F401FA">
              <w:t xml:space="preserve">‘26’ </w:t>
            </w:r>
            <w:r w:rsidR="003C1607">
              <w:t xml:space="preserve">Other </w:t>
            </w:r>
            <w:r w:rsidRPr="00F401FA">
              <w:t xml:space="preserve">Mental Health Bed </w:t>
            </w:r>
            <w:r w:rsidR="003C1607">
              <w:t>-</w:t>
            </w:r>
            <w:r w:rsidRPr="00F401FA">
              <w:t xml:space="preserve"> this </w:t>
            </w:r>
            <w:r w:rsidR="003C1607">
              <w:t>campus</w:t>
            </w:r>
          </w:p>
          <w:p w14:paraId="20FA17F8" w14:textId="77777777" w:rsidR="0096127A" w:rsidRPr="00F401FA" w:rsidRDefault="1DB0E262" w:rsidP="002823F4">
            <w:pPr>
              <w:pStyle w:val="Tablebullet2"/>
            </w:pPr>
            <w:r w:rsidRPr="00F401FA">
              <w:t>‘27’ Cardiac catheter laboratory</w:t>
            </w:r>
          </w:p>
          <w:p w14:paraId="13090EDA" w14:textId="11BFA400" w:rsidR="0096127A" w:rsidRPr="00F401FA" w:rsidRDefault="1DB0E262" w:rsidP="002823F4">
            <w:pPr>
              <w:pStyle w:val="Tablebullet2"/>
            </w:pPr>
            <w:r w:rsidRPr="00F401FA">
              <w:t>‘28’ Other operating theatre/procedure room</w:t>
            </w:r>
            <w:r w:rsidR="005A0485">
              <w:t>.</w:t>
            </w:r>
          </w:p>
          <w:p w14:paraId="58C39C3D" w14:textId="33384C4D" w:rsidR="00617168" w:rsidRDefault="2AC3B328" w:rsidP="00854E06">
            <w:pPr>
              <w:pStyle w:val="Tablebullet1"/>
              <w:numPr>
                <w:ilvl w:val="0"/>
                <w:numId w:val="0"/>
              </w:numPr>
            </w:pPr>
            <w:r>
              <w:t>Exclusions</w:t>
            </w:r>
            <w:r w:rsidR="21381213">
              <w:t>:</w:t>
            </w:r>
          </w:p>
          <w:p w14:paraId="4B97298F" w14:textId="77777777" w:rsidR="0096127A" w:rsidRPr="00315936" w:rsidRDefault="1DB0E262" w:rsidP="00FA36E9">
            <w:pPr>
              <w:pStyle w:val="Tablebullet1"/>
            </w:pPr>
            <w:r>
              <w:t>Triage Category code 6 (Dead on arrival)</w:t>
            </w:r>
          </w:p>
          <w:p w14:paraId="6B63CFBA" w14:textId="641D5127" w:rsidR="0083772E" w:rsidRDefault="007D1848" w:rsidP="001A74C0">
            <w:pPr>
              <w:pStyle w:val="Tablebullet1"/>
            </w:pPr>
            <w:r>
              <w:lastRenderedPageBreak/>
              <w:t>VVED presentations</w:t>
            </w:r>
          </w:p>
          <w:p w14:paraId="626763D6" w14:textId="7ACB35BA" w:rsidR="00EF3605" w:rsidRDefault="00EF3605" w:rsidP="001A74C0">
            <w:pPr>
              <w:pStyle w:val="Tablebullet1"/>
            </w:pPr>
            <w:r>
              <w:t>Other virtual care presentations.</w:t>
            </w:r>
          </w:p>
          <w:p w14:paraId="59474ABE" w14:textId="0463A256" w:rsidR="0073592E" w:rsidRPr="00315936" w:rsidRDefault="21381213" w:rsidP="00617168">
            <w:pPr>
              <w:pStyle w:val="Tabletext"/>
              <w:rPr>
                <w:lang w:eastAsia="en-AU"/>
              </w:rPr>
            </w:pPr>
            <w:r>
              <w:t xml:space="preserve">This </w:t>
            </w:r>
            <w:r w:rsidR="3C94C49E">
              <w:t>measure</w:t>
            </w:r>
            <w:r>
              <w:t xml:space="preserve"> is </w:t>
            </w:r>
            <w:r w:rsidR="3044CC1A">
              <w:t>reported</w:t>
            </w:r>
            <w:r>
              <w:t xml:space="preserve"> at the campus level</w:t>
            </w:r>
            <w:r w:rsidR="6D3672E6">
              <w:t xml:space="preserve"> and</w:t>
            </w:r>
            <w:r w:rsidR="579953E2">
              <w:t xml:space="preserve"> </w:t>
            </w:r>
            <w:r>
              <w:t xml:space="preserve">expressed as </w:t>
            </w:r>
            <w:r w:rsidR="00314572">
              <w:t xml:space="preserve">the </w:t>
            </w:r>
            <w:r>
              <w:t xml:space="preserve">number of </w:t>
            </w:r>
            <w:r w:rsidR="00AB277C">
              <w:t>completed minutes</w:t>
            </w:r>
            <w:r w:rsidR="000B7F98">
              <w:t xml:space="preserve"> rounded to zero decimal places</w:t>
            </w:r>
            <w:r>
              <w:t>.</w:t>
            </w:r>
          </w:p>
        </w:tc>
      </w:tr>
      <w:tr w:rsidR="0073592E" w:rsidRPr="00315936" w14:paraId="577E96E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D7622C3" w14:textId="77777777" w:rsidR="0073592E" w:rsidRPr="00624626" w:rsidRDefault="0073592E">
            <w:pPr>
              <w:pStyle w:val="Tablecolhead"/>
              <w:rPr>
                <w:b w:val="0"/>
                <w:bCs/>
                <w:lang w:eastAsia="en-AU"/>
              </w:rPr>
            </w:pPr>
            <w:r w:rsidRPr="00624626">
              <w:rPr>
                <w:b w:val="0"/>
                <w:bCs/>
                <w:lang w:eastAsia="en-AU"/>
              </w:rPr>
              <w:lastRenderedPageBreak/>
              <w:t>Numerator</w:t>
            </w:r>
          </w:p>
        </w:tc>
        <w:tc>
          <w:tcPr>
            <w:tcW w:w="7512" w:type="dxa"/>
            <w:tcBorders>
              <w:left w:val="single" w:sz="4" w:space="0" w:color="FFFFFF" w:themeColor="background1"/>
            </w:tcBorders>
          </w:tcPr>
          <w:p w14:paraId="08203ADB" w14:textId="11E215F1" w:rsidR="0073592E" w:rsidRPr="00315936" w:rsidRDefault="521ACEFD" w:rsidP="03643049">
            <w:pPr>
              <w:pStyle w:val="Tabletext"/>
              <w:rPr>
                <w:rFonts w:eastAsia="VIC"/>
              </w:rPr>
            </w:pPr>
            <w:r w:rsidRPr="03643049">
              <w:rPr>
                <w:rFonts w:eastAsia="VIC"/>
              </w:rPr>
              <w:t>ED length of stay for patients subsequently admitted to hospital</w:t>
            </w:r>
          </w:p>
        </w:tc>
      </w:tr>
      <w:tr w:rsidR="0073592E" w:rsidRPr="00315936" w14:paraId="5377965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E6F4634" w14:textId="77777777" w:rsidR="0073592E" w:rsidRPr="00624626" w:rsidRDefault="0073592E">
            <w:pPr>
              <w:pStyle w:val="Tablecolhead"/>
              <w:rPr>
                <w:b w:val="0"/>
                <w:bCs/>
                <w:lang w:eastAsia="en-AU"/>
              </w:rPr>
            </w:pPr>
            <w:r w:rsidRPr="00624626">
              <w:rPr>
                <w:b w:val="0"/>
                <w:bCs/>
                <w:lang w:eastAsia="en-AU"/>
              </w:rPr>
              <w:t>Denominator</w:t>
            </w:r>
          </w:p>
        </w:tc>
        <w:tc>
          <w:tcPr>
            <w:tcW w:w="7512" w:type="dxa"/>
            <w:tcBorders>
              <w:left w:val="single" w:sz="4" w:space="0" w:color="FFFFFF" w:themeColor="background1"/>
            </w:tcBorders>
          </w:tcPr>
          <w:p w14:paraId="7DE4F428" w14:textId="245A78A3" w:rsidR="0073592E" w:rsidRPr="00315936" w:rsidRDefault="00985CB7" w:rsidP="00A67D0D">
            <w:pPr>
              <w:pStyle w:val="Tabletext"/>
            </w:pPr>
            <w:r w:rsidRPr="00315936">
              <w:rPr>
                <w:rFonts w:eastAsia="VIC"/>
              </w:rPr>
              <w:t>N/A</w:t>
            </w:r>
          </w:p>
        </w:tc>
      </w:tr>
      <w:tr w:rsidR="0073592E" w:rsidRPr="00315936" w14:paraId="1BF76B9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DD08D75" w14:textId="77777777" w:rsidR="0073592E" w:rsidRPr="00624626" w:rsidRDefault="0073592E">
            <w:pPr>
              <w:pStyle w:val="Tablecolhead"/>
              <w:rPr>
                <w:b w:val="0"/>
                <w:bCs/>
                <w:lang w:eastAsia="en-AU"/>
              </w:rPr>
            </w:pPr>
            <w:r w:rsidRPr="00624626">
              <w:rPr>
                <w:b w:val="0"/>
                <w:bCs/>
                <w:lang w:eastAsia="en-AU"/>
              </w:rPr>
              <w:t>Statewide target</w:t>
            </w:r>
          </w:p>
        </w:tc>
        <w:tc>
          <w:tcPr>
            <w:tcW w:w="7512" w:type="dxa"/>
            <w:tcBorders>
              <w:left w:val="single" w:sz="4" w:space="0" w:color="FFFFFF" w:themeColor="background1"/>
            </w:tcBorders>
          </w:tcPr>
          <w:p w14:paraId="43A96524" w14:textId="6D3201D0" w:rsidR="0073592E" w:rsidRDefault="00A27953" w:rsidP="00D04002">
            <w:pPr>
              <w:pStyle w:val="Tabletext"/>
              <w:spacing w:line="259" w:lineRule="auto"/>
            </w:pPr>
            <w:r>
              <w:rPr>
                <w:rFonts w:eastAsia="VIC"/>
              </w:rPr>
              <w:t>5</w:t>
            </w:r>
            <w:r w:rsidR="521ACEFD" w:rsidRPr="03643049">
              <w:rPr>
                <w:rFonts w:eastAsia="VIC"/>
              </w:rPr>
              <w:t xml:space="preserve"> per cent </w:t>
            </w:r>
            <w:r w:rsidR="0B85FAC8" w:rsidRPr="03643049">
              <w:rPr>
                <w:rFonts w:eastAsia="VIC"/>
              </w:rPr>
              <w:t xml:space="preserve">reduction </w:t>
            </w:r>
            <w:r w:rsidR="521ACEFD" w:rsidRPr="03643049">
              <w:rPr>
                <w:rFonts w:eastAsia="VIC"/>
              </w:rPr>
              <w:t xml:space="preserve">compared to same </w:t>
            </w:r>
            <w:r w:rsidR="00AB277C">
              <w:rPr>
                <w:rFonts w:eastAsia="VIC"/>
              </w:rPr>
              <w:t>period</w:t>
            </w:r>
            <w:r w:rsidR="521ACEFD" w:rsidRPr="03643049">
              <w:rPr>
                <w:rFonts w:eastAsia="VIC"/>
              </w:rPr>
              <w:t xml:space="preserve"> last year. </w:t>
            </w:r>
            <w:r w:rsidR="521ACEFD">
              <w:t>Health services that had an ED length of stay for admitted patients of</w:t>
            </w:r>
            <w:r w:rsidR="00A11865">
              <w:t xml:space="preserve"> </w:t>
            </w:r>
            <w:r w:rsidR="006C1944">
              <w:t>414</w:t>
            </w:r>
            <w:r w:rsidR="521ACEFD">
              <w:t xml:space="preserve"> minutes</w:t>
            </w:r>
            <w:r w:rsidR="008111F1">
              <w:t xml:space="preserve"> or less</w:t>
            </w:r>
            <w:r w:rsidR="521ACEFD">
              <w:t xml:space="preserve"> during the same </w:t>
            </w:r>
            <w:r w:rsidR="00AB277C">
              <w:t>period</w:t>
            </w:r>
            <w:r w:rsidR="521ACEFD">
              <w:t xml:space="preserve"> last year are expected to maintain this level of performance to achieve the target.</w:t>
            </w:r>
          </w:p>
          <w:p w14:paraId="34CF9E44" w14:textId="5DF8DB0E" w:rsidR="0073592E" w:rsidRPr="00315936" w:rsidRDefault="00612178" w:rsidP="00D04002">
            <w:pPr>
              <w:pStyle w:val="Tabletext"/>
              <w:spacing w:line="259" w:lineRule="auto"/>
            </w:pPr>
            <w:r>
              <w:t xml:space="preserve">Quarterly performances will be compared with performance for the same quarter in the previous year. Annual performance will be compared with </w:t>
            </w:r>
            <w:r w:rsidR="00316CDA">
              <w:t>performance for the whole of the previous year.</w:t>
            </w:r>
          </w:p>
        </w:tc>
      </w:tr>
      <w:tr w:rsidR="00E30B45" w:rsidRPr="00315936" w14:paraId="2D98525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1F0737D" w14:textId="3DE153A1" w:rsidR="00E30B45" w:rsidRPr="00624626" w:rsidRDefault="00E30B45" w:rsidP="00E30B45">
            <w:pPr>
              <w:pStyle w:val="Tablecolhead"/>
              <w:rPr>
                <w:b w:val="0"/>
                <w:bCs/>
                <w:lang w:eastAsia="en-AU"/>
              </w:rPr>
            </w:pPr>
            <w:r w:rsidRPr="00624626">
              <w:rPr>
                <w:b w:val="0"/>
                <w:bCs/>
                <w:lang w:eastAsia="en-AU"/>
              </w:rPr>
              <w:t>Achieved</w:t>
            </w:r>
          </w:p>
        </w:tc>
        <w:tc>
          <w:tcPr>
            <w:tcW w:w="7512" w:type="dxa"/>
            <w:tcBorders>
              <w:left w:val="single" w:sz="4" w:space="0" w:color="FFFFFF" w:themeColor="background1"/>
            </w:tcBorders>
          </w:tcPr>
          <w:p w14:paraId="708B5DBF" w14:textId="17CE1A76" w:rsidR="00E30B45" w:rsidRPr="00315936" w:rsidRDefault="001D7C3C" w:rsidP="00A67D0D">
            <w:pPr>
              <w:pStyle w:val="Tabletext"/>
            </w:pPr>
            <w:r>
              <w:rPr>
                <w:rFonts w:eastAsia="VIC"/>
              </w:rPr>
              <w:t xml:space="preserve">Average ED </w:t>
            </w:r>
            <w:r w:rsidR="001459D9">
              <w:rPr>
                <w:rFonts w:eastAsia="VIC"/>
              </w:rPr>
              <w:t>length of stay</w:t>
            </w:r>
            <w:r>
              <w:rPr>
                <w:rFonts w:eastAsia="VIC"/>
              </w:rPr>
              <w:t xml:space="preserve"> </w:t>
            </w:r>
            <w:r w:rsidR="00054F30">
              <w:rPr>
                <w:rFonts w:eastAsia="VIC"/>
              </w:rPr>
              <w:t>less</w:t>
            </w:r>
            <w:r w:rsidR="008E632B">
              <w:rPr>
                <w:rFonts w:eastAsia="VIC"/>
              </w:rPr>
              <w:t xml:space="preserve"> than </w:t>
            </w:r>
            <w:r w:rsidR="004039A1">
              <w:rPr>
                <w:rFonts w:eastAsia="VIC"/>
              </w:rPr>
              <w:t xml:space="preserve">or equal to </w:t>
            </w:r>
            <w:r w:rsidR="008E632B">
              <w:rPr>
                <w:rFonts w:eastAsia="VIC"/>
              </w:rPr>
              <w:t xml:space="preserve">414 minutes </w:t>
            </w:r>
            <w:r w:rsidR="00054F30">
              <w:rPr>
                <w:rFonts w:eastAsia="VIC"/>
              </w:rPr>
              <w:t xml:space="preserve">or </w:t>
            </w:r>
            <w:r w:rsidR="00CE5C72">
              <w:rPr>
                <w:rFonts w:eastAsia="VIC"/>
              </w:rPr>
              <w:t xml:space="preserve">at least 5 </w:t>
            </w:r>
            <w:r w:rsidR="00A300C5">
              <w:rPr>
                <w:rFonts w:eastAsia="VIC"/>
              </w:rPr>
              <w:t xml:space="preserve">per cent improvement </w:t>
            </w:r>
            <w:r w:rsidR="00CE5C72">
              <w:rPr>
                <w:rFonts w:eastAsia="VIC"/>
              </w:rPr>
              <w:t>on</w:t>
            </w:r>
            <w:r w:rsidR="00A300C5">
              <w:rPr>
                <w:rFonts w:eastAsia="VIC"/>
              </w:rPr>
              <w:t xml:space="preserve"> performance for the same </w:t>
            </w:r>
            <w:r w:rsidR="008F6E42">
              <w:rPr>
                <w:rFonts w:eastAsia="VIC"/>
              </w:rPr>
              <w:t xml:space="preserve">period (e.g. </w:t>
            </w:r>
            <w:r w:rsidR="00A300C5">
              <w:rPr>
                <w:rFonts w:eastAsia="VIC"/>
              </w:rPr>
              <w:t>quarter</w:t>
            </w:r>
            <w:r w:rsidR="008F6E42">
              <w:rPr>
                <w:rFonts w:eastAsia="VIC"/>
              </w:rPr>
              <w:t>)</w:t>
            </w:r>
            <w:r w:rsidR="00A300C5">
              <w:rPr>
                <w:rFonts w:eastAsia="VIC"/>
              </w:rPr>
              <w:t xml:space="preserve"> in the previous year</w:t>
            </w:r>
            <w:r w:rsidR="00CE5C72">
              <w:rPr>
                <w:rFonts w:eastAsia="VIC"/>
              </w:rPr>
              <w:t>.</w:t>
            </w:r>
            <w:r w:rsidR="008E632B">
              <w:rPr>
                <w:rFonts w:eastAsia="VIC"/>
              </w:rPr>
              <w:t xml:space="preserve"> </w:t>
            </w:r>
          </w:p>
        </w:tc>
      </w:tr>
      <w:tr w:rsidR="00E30B45" w:rsidRPr="00315936" w14:paraId="1D56061D" w14:textId="77777777" w:rsidTr="00535D2B">
        <w:trPr>
          <w:trHeight w:val="287"/>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79B8116" w14:textId="397B6438" w:rsidR="00E30B45" w:rsidRPr="00624626" w:rsidRDefault="00E30B45" w:rsidP="00E30B45">
            <w:pPr>
              <w:pStyle w:val="Tablecolhead"/>
              <w:rPr>
                <w:b w:val="0"/>
                <w:bCs/>
                <w:lang w:eastAsia="en-AU"/>
              </w:rPr>
            </w:pPr>
            <w:r w:rsidRPr="00624626">
              <w:rPr>
                <w:b w:val="0"/>
                <w:bCs/>
                <w:lang w:eastAsia="en-AU"/>
              </w:rPr>
              <w:t>Not achieved</w:t>
            </w:r>
          </w:p>
        </w:tc>
        <w:tc>
          <w:tcPr>
            <w:tcW w:w="7512" w:type="dxa"/>
            <w:tcBorders>
              <w:left w:val="single" w:sz="4" w:space="0" w:color="FFFFFF" w:themeColor="background1"/>
            </w:tcBorders>
          </w:tcPr>
          <w:p w14:paraId="33B40CA6" w14:textId="522AF4E8" w:rsidR="00E30B45" w:rsidRPr="00315936" w:rsidRDefault="008A13CF" w:rsidP="00A67D0D">
            <w:pPr>
              <w:pStyle w:val="Tabletext"/>
            </w:pPr>
            <w:r>
              <w:rPr>
                <w:rFonts w:eastAsia="VIC"/>
              </w:rPr>
              <w:t xml:space="preserve">Average ED </w:t>
            </w:r>
            <w:r w:rsidR="001459D9">
              <w:rPr>
                <w:rFonts w:eastAsia="VIC"/>
              </w:rPr>
              <w:t xml:space="preserve">length of stay </w:t>
            </w:r>
            <w:r>
              <w:rPr>
                <w:rFonts w:eastAsia="VIC"/>
              </w:rPr>
              <w:t xml:space="preserve">greater than 414 minutes and less than 5 per cent improvement on performance for the same </w:t>
            </w:r>
            <w:r w:rsidR="008F6E42">
              <w:rPr>
                <w:rFonts w:eastAsia="VIC"/>
              </w:rPr>
              <w:t xml:space="preserve">period (e.g. </w:t>
            </w:r>
            <w:r>
              <w:rPr>
                <w:rFonts w:eastAsia="VIC"/>
              </w:rPr>
              <w:t>quarter</w:t>
            </w:r>
            <w:r w:rsidR="008F6E42">
              <w:rPr>
                <w:rFonts w:eastAsia="VIC"/>
              </w:rPr>
              <w:t>)</w:t>
            </w:r>
            <w:r>
              <w:rPr>
                <w:rFonts w:eastAsia="VIC"/>
              </w:rPr>
              <w:t xml:space="preserve"> in the previous year.</w:t>
            </w:r>
          </w:p>
        </w:tc>
      </w:tr>
      <w:tr w:rsidR="00A67D0D" w:rsidRPr="00315936" w14:paraId="3DBF778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E68B932" w14:textId="77777777" w:rsidR="00A67D0D" w:rsidRPr="00624626" w:rsidRDefault="00A67D0D" w:rsidP="00A67D0D">
            <w:pPr>
              <w:pStyle w:val="Tablecolhead"/>
              <w:rPr>
                <w:b w:val="0"/>
                <w:bCs/>
                <w:lang w:eastAsia="en-AU"/>
              </w:rPr>
            </w:pPr>
            <w:r w:rsidRPr="00624626">
              <w:rPr>
                <w:b w:val="0"/>
                <w:bCs/>
                <w:lang w:eastAsia="en-AU"/>
              </w:rPr>
              <w:t>Improvement</w:t>
            </w:r>
          </w:p>
        </w:tc>
        <w:tc>
          <w:tcPr>
            <w:tcW w:w="7512" w:type="dxa"/>
            <w:tcBorders>
              <w:left w:val="single" w:sz="4" w:space="0" w:color="FFFFFF" w:themeColor="background1"/>
            </w:tcBorders>
          </w:tcPr>
          <w:p w14:paraId="02958943" w14:textId="0CDFF2C8" w:rsidR="00A67D0D" w:rsidRPr="00315936" w:rsidRDefault="00CF626B" w:rsidP="00A67D0D">
            <w:pPr>
              <w:pStyle w:val="Tabletext"/>
              <w:rPr>
                <w:lang w:eastAsia="en-AU"/>
              </w:rPr>
            </w:pPr>
            <w:r>
              <w:rPr>
                <w:rFonts w:eastAsia="VIC"/>
              </w:rPr>
              <w:t>For the purpose of the performance risk assessment, i</w:t>
            </w:r>
            <w:r w:rsidR="00A67D0D" w:rsidRPr="00315936">
              <w:rPr>
                <w:rFonts w:eastAsia="VIC"/>
              </w:rPr>
              <w:t>mprovement is calculated based on same time last year performance.</w:t>
            </w:r>
          </w:p>
        </w:tc>
      </w:tr>
      <w:tr w:rsidR="00A67D0D" w:rsidRPr="00315936" w14:paraId="58D03B6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5585120" w14:textId="77777777" w:rsidR="00A67D0D" w:rsidRPr="00624626" w:rsidRDefault="00A67D0D" w:rsidP="00A67D0D">
            <w:pPr>
              <w:pStyle w:val="Tablecolhead"/>
              <w:rPr>
                <w:b w:val="0"/>
                <w:bCs/>
                <w:lang w:eastAsia="en-AU"/>
              </w:rPr>
            </w:pPr>
            <w:r w:rsidRPr="00624626">
              <w:rPr>
                <w:b w:val="0"/>
                <w:bCs/>
                <w:lang w:eastAsia="en-AU"/>
              </w:rPr>
              <w:t>Frequency of reporting and data collection</w:t>
            </w:r>
          </w:p>
        </w:tc>
        <w:tc>
          <w:tcPr>
            <w:tcW w:w="7512" w:type="dxa"/>
            <w:tcBorders>
              <w:left w:val="single" w:sz="4" w:space="0" w:color="FFFFFF" w:themeColor="background1"/>
            </w:tcBorders>
          </w:tcPr>
          <w:p w14:paraId="2E025FD1" w14:textId="77777777" w:rsidR="001A5330" w:rsidRDefault="008D5A0B" w:rsidP="00A67D0D">
            <w:pPr>
              <w:pStyle w:val="Tabletext"/>
              <w:rPr>
                <w:rFonts w:eastAsia="VIC"/>
              </w:rPr>
            </w:pPr>
            <w:r w:rsidRPr="00315936">
              <w:rPr>
                <w:rFonts w:eastAsia="VIC"/>
              </w:rPr>
              <w:t xml:space="preserve">Performance is reported </w:t>
            </w:r>
            <w:r w:rsidR="00EE17C7" w:rsidRPr="00315936">
              <w:rPr>
                <w:rFonts w:eastAsia="VIC"/>
              </w:rPr>
              <w:t xml:space="preserve">monthly, quarterly and annually at the campus level. </w:t>
            </w:r>
          </w:p>
          <w:p w14:paraId="582D317C" w14:textId="7FC9F688" w:rsidR="00A67D0D" w:rsidRPr="00315936" w:rsidRDefault="00EE17C7" w:rsidP="00A67D0D">
            <w:pPr>
              <w:pStyle w:val="Tabletext"/>
              <w:rPr>
                <w:lang w:eastAsia="en-AU"/>
              </w:rPr>
            </w:pPr>
            <w:r w:rsidRPr="00315936">
              <w:rPr>
                <w:rFonts w:eastAsia="VIC"/>
              </w:rPr>
              <w:t xml:space="preserve">Data are sourced from </w:t>
            </w:r>
            <w:r w:rsidR="001A5330" w:rsidRPr="00315936">
              <w:t xml:space="preserve">the </w:t>
            </w:r>
            <w:r w:rsidR="001A5330">
              <w:t>Victorian Emergency Minimum Dataset (VEMD)</w:t>
            </w:r>
            <w:r w:rsidRPr="00315936">
              <w:rPr>
                <w:rFonts w:eastAsia="VIC"/>
              </w:rPr>
              <w:t>.</w:t>
            </w:r>
          </w:p>
        </w:tc>
      </w:tr>
    </w:tbl>
    <w:p w14:paraId="206773C0" w14:textId="77777777" w:rsidR="00237087" w:rsidRPr="00AC0D08" w:rsidRDefault="00237087" w:rsidP="008E7F78">
      <w:pPr>
        <w:pStyle w:val="Heading4"/>
      </w:pPr>
      <w:bookmarkStart w:id="79" w:name="_Toc1339649489"/>
      <w:r w:rsidRPr="00AC0D08">
        <w:t xml:space="preserve">Average ED length of stay </w:t>
      </w:r>
      <w:r>
        <w:t xml:space="preserve">for </w:t>
      </w:r>
      <w:r w:rsidRPr="00AC0D08">
        <w:t>non-admitted</w:t>
      </w:r>
      <w:r>
        <w:t xml:space="preserve"> patients,</w:t>
      </w:r>
      <w:r w:rsidRPr="00AC0D08">
        <w:t xml:space="preserve"> in minutes</w:t>
      </w:r>
    </w:p>
    <w:tbl>
      <w:tblPr>
        <w:tblStyle w:val="TableGrid"/>
        <w:tblW w:w="9349" w:type="dxa"/>
        <w:tblLook w:val="04A0" w:firstRow="1" w:lastRow="0" w:firstColumn="1" w:lastColumn="0" w:noHBand="0" w:noVBand="1"/>
      </w:tblPr>
      <w:tblGrid>
        <w:gridCol w:w="1837"/>
        <w:gridCol w:w="7512"/>
      </w:tblGrid>
      <w:tr w:rsidR="00237087" w:rsidRPr="00315936" w14:paraId="09522672" w14:textId="77777777" w:rsidTr="00535D2B">
        <w:trPr>
          <w:trHeight w:val="499"/>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EC5767D" w14:textId="77777777" w:rsidR="00237087" w:rsidRPr="00624626" w:rsidRDefault="00237087">
            <w:pPr>
              <w:pStyle w:val="Tablecolhead"/>
              <w:rPr>
                <w:b w:val="0"/>
                <w:bCs/>
                <w:lang w:eastAsia="en-AU"/>
              </w:rPr>
            </w:pPr>
            <w:r w:rsidRPr="00624626">
              <w:rPr>
                <w:b w:val="0"/>
                <w:bCs/>
                <w:lang w:eastAsia="en-AU"/>
              </w:rPr>
              <w:t>Measure</w:t>
            </w:r>
          </w:p>
        </w:tc>
        <w:tc>
          <w:tcPr>
            <w:tcW w:w="7512" w:type="dxa"/>
            <w:tcBorders>
              <w:left w:val="single" w:sz="4" w:space="0" w:color="FFFFFF" w:themeColor="background1"/>
            </w:tcBorders>
          </w:tcPr>
          <w:p w14:paraId="485F411F" w14:textId="082F0D44" w:rsidR="00237087" w:rsidRPr="00315936" w:rsidRDefault="00BA63B5">
            <w:pPr>
              <w:pStyle w:val="Tabletext"/>
            </w:pPr>
            <w:r w:rsidRPr="00BA63B5">
              <w:t>Average emergency department length of stay for non-admitted patients</w:t>
            </w:r>
          </w:p>
        </w:tc>
      </w:tr>
      <w:tr w:rsidR="00237087" w:rsidRPr="00315936" w14:paraId="05CF222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F999146" w14:textId="77777777" w:rsidR="00237087" w:rsidRPr="00624626" w:rsidRDefault="00237087">
            <w:pPr>
              <w:pStyle w:val="Tablecolhead"/>
              <w:rPr>
                <w:b w:val="0"/>
                <w:bCs/>
                <w:lang w:eastAsia="en-AU"/>
              </w:rPr>
            </w:pPr>
            <w:r w:rsidRPr="00624626">
              <w:rPr>
                <w:b w:val="0"/>
                <w:bCs/>
                <w:lang w:eastAsia="en-AU"/>
              </w:rPr>
              <w:t>Description </w:t>
            </w:r>
          </w:p>
        </w:tc>
        <w:tc>
          <w:tcPr>
            <w:tcW w:w="7512" w:type="dxa"/>
            <w:tcBorders>
              <w:left w:val="single" w:sz="4" w:space="0" w:color="FFFFFF" w:themeColor="background1"/>
            </w:tcBorders>
          </w:tcPr>
          <w:p w14:paraId="7D6A1ABA" w14:textId="32629F9D" w:rsidR="00961B0F" w:rsidRDefault="00961B0F" w:rsidP="00961B0F">
            <w:pPr>
              <w:pStyle w:val="Tabletext"/>
              <w:rPr>
                <w:rFonts w:eastAsia="VIC"/>
              </w:rPr>
            </w:pPr>
            <w:r w:rsidRPr="00315936">
              <w:rPr>
                <w:rFonts w:eastAsia="VIC"/>
              </w:rPr>
              <w:t xml:space="preserve">This </w:t>
            </w:r>
            <w:r w:rsidRPr="554FA974">
              <w:rPr>
                <w:rFonts w:eastAsia="VIC"/>
              </w:rPr>
              <w:t xml:space="preserve">measures the </w:t>
            </w:r>
            <w:r w:rsidRPr="554FA974">
              <w:rPr>
                <w:rFonts w:eastAsia="Arial" w:cs="Arial"/>
              </w:rPr>
              <w:t>average length</w:t>
            </w:r>
            <w:r w:rsidRPr="554FA974">
              <w:rPr>
                <w:rFonts w:eastAsia="VIC"/>
              </w:rPr>
              <w:t xml:space="preserve"> of stay in ED for patients who </w:t>
            </w:r>
            <w:r w:rsidR="006439EC" w:rsidRPr="03643049">
              <w:rPr>
                <w:rFonts w:eastAsia="VIC"/>
              </w:rPr>
              <w:t>were not subsequently admitted to hospital</w:t>
            </w:r>
            <w:r>
              <w:rPr>
                <w:rFonts w:eastAsia="VIC"/>
              </w:rPr>
              <w:t>.</w:t>
            </w:r>
          </w:p>
          <w:p w14:paraId="3BE9F214" w14:textId="77777777" w:rsidR="00BA63B5" w:rsidRPr="00BA63B5" w:rsidRDefault="00BA63B5" w:rsidP="00BA63B5">
            <w:pPr>
              <w:pStyle w:val="Tabletext"/>
              <w:rPr>
                <w:rFonts w:eastAsia="VIC"/>
              </w:rPr>
            </w:pPr>
            <w:r w:rsidRPr="00BA63B5">
              <w:rPr>
                <w:rFonts w:eastAsia="VIC"/>
              </w:rPr>
              <w:t>This measure reflects continuous improvement in the timely assessment, treatment, disposition and transfer of emergency patients who are not admitted and are discharged from the ED. It reflects the processes and models within the ED and effectiveness of hospital patient flow more broadly.</w:t>
            </w:r>
          </w:p>
          <w:p w14:paraId="589FCED8" w14:textId="18F8AC54" w:rsidR="00237087" w:rsidRPr="00315936" w:rsidRDefault="00BA63B5" w:rsidP="00BA63B5">
            <w:pPr>
              <w:pStyle w:val="Tabletext"/>
              <w:rPr>
                <w:lang w:eastAsia="en-AU"/>
              </w:rPr>
            </w:pPr>
            <w:r w:rsidRPr="00BA63B5">
              <w:rPr>
                <w:rFonts w:eastAsia="VIC"/>
              </w:rPr>
              <w:t>By focusing on this metric, health services aim to provide timely and high-quality care to patients to ensure their prompt assessment, treatment, and discharge. The measure encourages health services to streamline processes, optimise resource allocation, and adopt best practices that minimise waiting times and enhance patient flow</w:t>
            </w:r>
            <w:r w:rsidR="00237087" w:rsidRPr="00315936">
              <w:rPr>
                <w:rFonts w:eastAsia="VIC"/>
              </w:rPr>
              <w:t>.</w:t>
            </w:r>
          </w:p>
        </w:tc>
      </w:tr>
      <w:tr w:rsidR="00237087" w:rsidRPr="00315936" w14:paraId="656726E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65E7C19" w14:textId="77777777" w:rsidR="00237087" w:rsidRPr="00624626" w:rsidRDefault="00237087">
            <w:pPr>
              <w:pStyle w:val="Tablecolhead"/>
              <w:rPr>
                <w:b w:val="0"/>
                <w:bCs/>
                <w:lang w:eastAsia="en-AU"/>
              </w:rPr>
            </w:pPr>
            <w:r w:rsidRPr="00624626">
              <w:rPr>
                <w:b w:val="0"/>
                <w:bCs/>
                <w:lang w:eastAsia="en-AU"/>
              </w:rPr>
              <w:t>Calculating performance</w:t>
            </w:r>
          </w:p>
        </w:tc>
        <w:tc>
          <w:tcPr>
            <w:tcW w:w="7512" w:type="dxa"/>
            <w:tcBorders>
              <w:left w:val="single" w:sz="4" w:space="0" w:color="FFFFFF" w:themeColor="background1"/>
            </w:tcBorders>
          </w:tcPr>
          <w:p w14:paraId="1DD60A15" w14:textId="2E35C157" w:rsidR="00306032" w:rsidRDefault="00306032" w:rsidP="00BA63B5">
            <w:pPr>
              <w:pStyle w:val="Tabletext"/>
            </w:pPr>
            <w:r>
              <w:t>Length of stay in ED is calculated as the departure date and time minus the arrival date and time (</w:t>
            </w:r>
            <w:r w:rsidR="00746532">
              <w:t>in minutes</w:t>
            </w:r>
            <w:r>
              <w:t>).</w:t>
            </w:r>
          </w:p>
          <w:p w14:paraId="303B2AC5" w14:textId="148FF954" w:rsidR="00BA63B5" w:rsidRPr="00315936" w:rsidRDefault="00D035DA" w:rsidP="00BA63B5">
            <w:pPr>
              <w:pStyle w:val="Tabletext"/>
            </w:pPr>
            <w:r>
              <w:t>The ED Departure Date (not Arrival Date) is used to identify presentations in scope for the reporting period</w:t>
            </w:r>
            <w:r w:rsidR="00BA63B5">
              <w:t>.</w:t>
            </w:r>
            <w:r w:rsidR="003F7E6A">
              <w:t xml:space="preserve"> </w:t>
            </w:r>
            <w:r w:rsidR="00FC3649">
              <w:t>The scope includes p</w:t>
            </w:r>
            <w:r w:rsidR="003F7E6A">
              <w:t>resentations that departed ED during the reference period, up to 11:59pm on the reference period end date.</w:t>
            </w:r>
          </w:p>
          <w:p w14:paraId="68E48C93" w14:textId="77777777" w:rsidR="00BA63B5" w:rsidRDefault="00BA63B5" w:rsidP="00BA63B5">
            <w:pPr>
              <w:pStyle w:val="Tabletext"/>
              <w:rPr>
                <w:rFonts w:eastAsia="VIC"/>
              </w:rPr>
            </w:pPr>
            <w:r w:rsidRPr="00315936">
              <w:rPr>
                <w:rFonts w:eastAsia="VIC"/>
              </w:rPr>
              <w:t>The following Departure status (VEMD) codes are applied:</w:t>
            </w:r>
          </w:p>
          <w:p w14:paraId="2A11B76F" w14:textId="7C13E0D1" w:rsidR="00277A2A" w:rsidRPr="00315936" w:rsidRDefault="00277A2A" w:rsidP="00B43DDA">
            <w:pPr>
              <w:pStyle w:val="Tablebullet1"/>
              <w:rPr>
                <w:rFonts w:eastAsia="VIC"/>
              </w:rPr>
            </w:pPr>
            <w:r>
              <w:rPr>
                <w:rFonts w:eastAsia="VIC"/>
              </w:rPr>
              <w:t>Return to usual residence:</w:t>
            </w:r>
          </w:p>
          <w:p w14:paraId="30A211ED" w14:textId="77777777" w:rsidR="00BA63B5" w:rsidRDefault="00BA63B5" w:rsidP="00277A2A">
            <w:pPr>
              <w:pStyle w:val="DHTablebullet2"/>
              <w:rPr>
                <w:rFonts w:eastAsia="VIC"/>
              </w:rPr>
            </w:pPr>
            <w:r w:rsidRPr="00315936">
              <w:rPr>
                <w:rFonts w:eastAsia="VIC"/>
              </w:rPr>
              <w:lastRenderedPageBreak/>
              <w:t>‘1’ Home</w:t>
            </w:r>
          </w:p>
          <w:p w14:paraId="184F997F" w14:textId="77777777" w:rsidR="00F32174" w:rsidRPr="00315936" w:rsidRDefault="00F32174" w:rsidP="00B43DDA">
            <w:pPr>
              <w:pStyle w:val="DHTablebullet2"/>
              <w:rPr>
                <w:rFonts w:eastAsia="VIC"/>
              </w:rPr>
            </w:pPr>
            <w:r w:rsidRPr="00315936">
              <w:rPr>
                <w:rFonts w:eastAsia="VIC"/>
              </w:rPr>
              <w:t>‘12’ Correctional/Custodial Facility</w:t>
            </w:r>
          </w:p>
          <w:p w14:paraId="69E7F810" w14:textId="0EFDDA72" w:rsidR="00F32174" w:rsidRDefault="00DD5A5E" w:rsidP="00277A2A">
            <w:pPr>
              <w:pStyle w:val="DHTablebullet2"/>
              <w:rPr>
                <w:rFonts w:eastAsia="VIC"/>
              </w:rPr>
            </w:pPr>
            <w:r>
              <w:rPr>
                <w:rFonts w:eastAsia="VIC"/>
              </w:rPr>
              <w:t>‘</w:t>
            </w:r>
            <w:r w:rsidR="00B74998" w:rsidRPr="00315936">
              <w:rPr>
                <w:rFonts w:eastAsia="VIC"/>
              </w:rPr>
              <w:t>23’ Mental Health Residential Facility</w:t>
            </w:r>
          </w:p>
          <w:p w14:paraId="6DEB7301" w14:textId="77777777" w:rsidR="00B74998" w:rsidRPr="00315936" w:rsidRDefault="00B74998" w:rsidP="00B43DDA">
            <w:pPr>
              <w:pStyle w:val="DHTablebullet2"/>
              <w:rPr>
                <w:rFonts w:eastAsia="VIC"/>
              </w:rPr>
            </w:pPr>
            <w:r w:rsidRPr="00315936">
              <w:rPr>
                <w:rFonts w:eastAsia="VIC"/>
              </w:rPr>
              <w:t>‘24’ Residential care facility</w:t>
            </w:r>
          </w:p>
          <w:p w14:paraId="67410928" w14:textId="0C8B6086" w:rsidR="00B74998" w:rsidRPr="00315936" w:rsidRDefault="00A963A8" w:rsidP="00A963A8">
            <w:pPr>
              <w:pStyle w:val="Tablebullet1"/>
              <w:rPr>
                <w:rFonts w:eastAsia="VIC"/>
              </w:rPr>
            </w:pPr>
            <w:r>
              <w:rPr>
                <w:rFonts w:eastAsia="VIC"/>
              </w:rPr>
              <w:t>Departed before treatment completed:</w:t>
            </w:r>
          </w:p>
          <w:p w14:paraId="54968A43" w14:textId="77777777" w:rsidR="00BA63B5" w:rsidRPr="00315936" w:rsidRDefault="00BA63B5" w:rsidP="00B43DDA">
            <w:pPr>
              <w:pStyle w:val="DHTablebullet2"/>
              <w:rPr>
                <w:rFonts w:eastAsia="VIC"/>
              </w:rPr>
            </w:pPr>
            <w:r w:rsidRPr="3F528552">
              <w:rPr>
                <w:rFonts w:eastAsia="VIC"/>
              </w:rPr>
              <w:t>‘5’ Left at own risk after treatment started</w:t>
            </w:r>
          </w:p>
          <w:p w14:paraId="2E430C06" w14:textId="77777777" w:rsidR="00BA63B5" w:rsidRPr="00315936" w:rsidRDefault="00BA63B5" w:rsidP="00B43DDA">
            <w:pPr>
              <w:pStyle w:val="DHTablebullet2"/>
              <w:rPr>
                <w:rFonts w:eastAsia="VIC"/>
              </w:rPr>
            </w:pPr>
            <w:r w:rsidRPr="00315936">
              <w:rPr>
                <w:rFonts w:eastAsia="VIC"/>
              </w:rPr>
              <w:t>‘7’ Died within ED</w:t>
            </w:r>
          </w:p>
          <w:p w14:paraId="3FCAA077" w14:textId="23DB6363" w:rsidR="00BA63B5" w:rsidRPr="00315936" w:rsidRDefault="00BA63B5" w:rsidP="00B43DDA">
            <w:pPr>
              <w:pStyle w:val="DHTablebullet2"/>
              <w:rPr>
                <w:rFonts w:eastAsia="VIC"/>
              </w:rPr>
            </w:pPr>
            <w:r w:rsidRPr="00315936">
              <w:rPr>
                <w:rFonts w:eastAsia="VIC"/>
              </w:rPr>
              <w:t xml:space="preserve">‘10’ Left </w:t>
            </w:r>
            <w:r w:rsidR="00C73DEF">
              <w:rPr>
                <w:rFonts w:eastAsia="VIC"/>
              </w:rPr>
              <w:t xml:space="preserve">after clinical advice regarding </w:t>
            </w:r>
            <w:r w:rsidR="001E77EA">
              <w:rPr>
                <w:rFonts w:eastAsia="VIC"/>
              </w:rPr>
              <w:t>treatment</w:t>
            </w:r>
            <w:r w:rsidRPr="00315936">
              <w:rPr>
                <w:rFonts w:eastAsia="VIC"/>
              </w:rPr>
              <w:t xml:space="preserve"> </w:t>
            </w:r>
            <w:r w:rsidR="001E77EA">
              <w:rPr>
                <w:rFonts w:eastAsia="VIC"/>
              </w:rPr>
              <w:t>o</w:t>
            </w:r>
            <w:r w:rsidRPr="00315936">
              <w:rPr>
                <w:rFonts w:eastAsia="VIC"/>
              </w:rPr>
              <w:t>ptions</w:t>
            </w:r>
          </w:p>
          <w:p w14:paraId="5B7ABA50" w14:textId="53FD66BC" w:rsidR="00BA63B5" w:rsidRPr="00315936" w:rsidRDefault="00BA63B5" w:rsidP="00B43DDA">
            <w:pPr>
              <w:pStyle w:val="DHTablebullet2"/>
              <w:rPr>
                <w:rFonts w:eastAsia="VIC"/>
              </w:rPr>
            </w:pPr>
            <w:r w:rsidRPr="00315936">
              <w:rPr>
                <w:rFonts w:eastAsia="VIC"/>
              </w:rPr>
              <w:t>‘11’ Left at own risk</w:t>
            </w:r>
            <w:r w:rsidR="00BA4339">
              <w:rPr>
                <w:rFonts w:eastAsia="VIC"/>
              </w:rPr>
              <w:t>,</w:t>
            </w:r>
            <w:r w:rsidRPr="00315936">
              <w:rPr>
                <w:rFonts w:eastAsia="VIC"/>
              </w:rPr>
              <w:t xml:space="preserve"> without treatment</w:t>
            </w:r>
            <w:r w:rsidR="00FB5B3F">
              <w:rPr>
                <w:rFonts w:eastAsia="VIC"/>
              </w:rPr>
              <w:t>.</w:t>
            </w:r>
          </w:p>
          <w:p w14:paraId="33201404" w14:textId="1D789BD9" w:rsidR="00BA63B5" w:rsidRPr="00315936" w:rsidRDefault="00BA63B5" w:rsidP="00BA63B5">
            <w:pPr>
              <w:pStyle w:val="Tabletext"/>
            </w:pPr>
            <w:r>
              <w:t>Exclusions:</w:t>
            </w:r>
          </w:p>
          <w:p w14:paraId="2CA48E0F" w14:textId="57A1149E" w:rsidR="00BA63B5" w:rsidRPr="00315936" w:rsidRDefault="00BA63B5" w:rsidP="00BA63B5">
            <w:pPr>
              <w:pStyle w:val="Tablebullet1"/>
            </w:pPr>
            <w:r w:rsidRPr="00315936">
              <w:t xml:space="preserve">Triage Category code </w:t>
            </w:r>
            <w:r w:rsidR="00D57AC0">
              <w:t>‘</w:t>
            </w:r>
            <w:r w:rsidRPr="00315936">
              <w:t>6</w:t>
            </w:r>
            <w:r w:rsidR="00D57AC0">
              <w:t>’</w:t>
            </w:r>
            <w:r w:rsidRPr="00315936">
              <w:t xml:space="preserve"> Dead on arrival</w:t>
            </w:r>
          </w:p>
          <w:p w14:paraId="36896E46" w14:textId="1B05787A" w:rsidR="00944AE7" w:rsidRDefault="000D6169" w:rsidP="00944AE7">
            <w:pPr>
              <w:pStyle w:val="Tablebullet1"/>
            </w:pPr>
            <w:r>
              <w:t>VVED presentations</w:t>
            </w:r>
          </w:p>
          <w:p w14:paraId="2C26B701" w14:textId="780D43FC" w:rsidR="00BB2113" w:rsidRDefault="004C32EB" w:rsidP="00944AE7">
            <w:pPr>
              <w:pStyle w:val="Tablebullet1"/>
            </w:pPr>
            <w:r>
              <w:rPr>
                <w:rFonts w:eastAsia="Arial" w:cs="Arial"/>
                <w:szCs w:val="21"/>
              </w:rPr>
              <w:t>Other virtual care presentations.</w:t>
            </w:r>
          </w:p>
          <w:p w14:paraId="55B68CBC" w14:textId="5A526F04" w:rsidR="00C77712" w:rsidRPr="00315936" w:rsidRDefault="00C77712" w:rsidP="00C24A2D">
            <w:pPr>
              <w:pStyle w:val="Tablebullet1"/>
            </w:pPr>
            <w:r>
              <w:t xml:space="preserve">SSUs because </w:t>
            </w:r>
            <w:r w:rsidR="00C24A2D">
              <w:t>they</w:t>
            </w:r>
            <w:r>
              <w:t xml:space="preserve"> are considered an admitted service.</w:t>
            </w:r>
          </w:p>
          <w:p w14:paraId="3DF1195F" w14:textId="4D92F54C" w:rsidR="00237087" w:rsidRPr="00315936" w:rsidRDefault="00BA63B5" w:rsidP="00BA63B5">
            <w:pPr>
              <w:pStyle w:val="Tabletext"/>
              <w:rPr>
                <w:lang w:eastAsia="en-AU"/>
              </w:rPr>
            </w:pPr>
            <w:r w:rsidRPr="00315936">
              <w:t xml:space="preserve">This measure is </w:t>
            </w:r>
            <w:r w:rsidR="008E09A3">
              <w:t>reported</w:t>
            </w:r>
            <w:r w:rsidRPr="00315936">
              <w:t xml:space="preserve"> at the campus level and</w:t>
            </w:r>
            <w:r w:rsidRPr="00315936" w:rsidDel="00AF7DA0">
              <w:t xml:space="preserve"> </w:t>
            </w:r>
            <w:r w:rsidR="00B83593">
              <w:t>expressed as the number of completed minutes rounded to zero decimal places</w:t>
            </w:r>
            <w:r w:rsidR="00237087">
              <w:t>.</w:t>
            </w:r>
          </w:p>
        </w:tc>
      </w:tr>
      <w:tr w:rsidR="00237087" w:rsidRPr="00315936" w14:paraId="1BA6E86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14D54FF" w14:textId="77777777" w:rsidR="00237087" w:rsidRPr="00624626" w:rsidRDefault="00237087">
            <w:pPr>
              <w:pStyle w:val="Tablecolhead"/>
              <w:rPr>
                <w:b w:val="0"/>
                <w:bCs/>
                <w:lang w:eastAsia="en-AU"/>
              </w:rPr>
            </w:pPr>
            <w:r w:rsidRPr="00624626">
              <w:rPr>
                <w:b w:val="0"/>
                <w:bCs/>
                <w:lang w:eastAsia="en-AU"/>
              </w:rPr>
              <w:lastRenderedPageBreak/>
              <w:t>Numerator</w:t>
            </w:r>
          </w:p>
        </w:tc>
        <w:tc>
          <w:tcPr>
            <w:tcW w:w="7512" w:type="dxa"/>
            <w:tcBorders>
              <w:left w:val="single" w:sz="4" w:space="0" w:color="FFFFFF" w:themeColor="background1"/>
            </w:tcBorders>
          </w:tcPr>
          <w:p w14:paraId="4EC2A0FD" w14:textId="6A883487" w:rsidR="00237087" w:rsidRPr="00315936" w:rsidRDefault="00465FBC">
            <w:pPr>
              <w:pStyle w:val="Tabletext"/>
              <w:rPr>
                <w:rFonts w:eastAsia="VIC"/>
              </w:rPr>
            </w:pPr>
            <w:r w:rsidRPr="03643049">
              <w:rPr>
                <w:rFonts w:eastAsia="VIC"/>
              </w:rPr>
              <w:t>ED length of stay for patients who were not subsequently admitted to hospital</w:t>
            </w:r>
          </w:p>
        </w:tc>
      </w:tr>
      <w:tr w:rsidR="00237087" w:rsidRPr="00315936" w14:paraId="46191AF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D2E4667" w14:textId="77777777" w:rsidR="00237087" w:rsidRPr="00624626" w:rsidRDefault="00237087">
            <w:pPr>
              <w:pStyle w:val="Tablecolhead"/>
              <w:rPr>
                <w:b w:val="0"/>
                <w:bCs/>
                <w:lang w:eastAsia="en-AU"/>
              </w:rPr>
            </w:pPr>
            <w:r w:rsidRPr="00624626">
              <w:rPr>
                <w:b w:val="0"/>
                <w:bCs/>
                <w:lang w:eastAsia="en-AU"/>
              </w:rPr>
              <w:t>Denominator</w:t>
            </w:r>
          </w:p>
        </w:tc>
        <w:tc>
          <w:tcPr>
            <w:tcW w:w="7512" w:type="dxa"/>
            <w:tcBorders>
              <w:left w:val="single" w:sz="4" w:space="0" w:color="FFFFFF" w:themeColor="background1"/>
            </w:tcBorders>
          </w:tcPr>
          <w:p w14:paraId="234FC3D9" w14:textId="77777777" w:rsidR="00237087" w:rsidRPr="00315936" w:rsidRDefault="00237087">
            <w:pPr>
              <w:pStyle w:val="Tabletext"/>
            </w:pPr>
            <w:r w:rsidRPr="00315936">
              <w:rPr>
                <w:rFonts w:eastAsia="VIC"/>
              </w:rPr>
              <w:t>N/A</w:t>
            </w:r>
          </w:p>
        </w:tc>
      </w:tr>
      <w:tr w:rsidR="00465FBC" w:rsidRPr="00315936" w14:paraId="7355D4C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C2D8732" w14:textId="77777777" w:rsidR="00465FBC" w:rsidRPr="00624626" w:rsidRDefault="00465FBC" w:rsidP="00465FBC">
            <w:pPr>
              <w:pStyle w:val="Tablecolhead"/>
              <w:rPr>
                <w:b w:val="0"/>
                <w:bCs/>
                <w:lang w:eastAsia="en-AU"/>
              </w:rPr>
            </w:pPr>
            <w:r w:rsidRPr="00624626">
              <w:rPr>
                <w:b w:val="0"/>
                <w:bCs/>
                <w:lang w:eastAsia="en-AU"/>
              </w:rPr>
              <w:t>Statewide target</w:t>
            </w:r>
          </w:p>
        </w:tc>
        <w:tc>
          <w:tcPr>
            <w:tcW w:w="7512" w:type="dxa"/>
            <w:tcBorders>
              <w:left w:val="single" w:sz="4" w:space="0" w:color="FFFFFF" w:themeColor="background1"/>
            </w:tcBorders>
          </w:tcPr>
          <w:p w14:paraId="09A86BD9" w14:textId="6A6CF30A" w:rsidR="00465FBC" w:rsidRDefault="00465FBC" w:rsidP="00465FBC">
            <w:pPr>
              <w:pStyle w:val="Tabletext"/>
              <w:keepNext/>
            </w:pPr>
            <w:r w:rsidRPr="18ED453A">
              <w:rPr>
                <w:rFonts w:eastAsia="VIC"/>
              </w:rPr>
              <w:t xml:space="preserve">3 per cent reduction compared to same </w:t>
            </w:r>
            <w:r w:rsidR="00597B4F">
              <w:rPr>
                <w:rFonts w:eastAsia="VIC"/>
              </w:rPr>
              <w:t>period</w:t>
            </w:r>
            <w:r w:rsidRPr="18ED453A">
              <w:rPr>
                <w:rFonts w:eastAsia="VIC"/>
              </w:rPr>
              <w:t xml:space="preserve"> last year. </w:t>
            </w:r>
            <w:r>
              <w:t xml:space="preserve">Health services that had an </w:t>
            </w:r>
            <w:r w:rsidR="00B41610">
              <w:t xml:space="preserve">average </w:t>
            </w:r>
            <w:r>
              <w:t xml:space="preserve">ED length of stay for non-admitted patients of 240 minutes or less during the same </w:t>
            </w:r>
            <w:r w:rsidR="00597B4F">
              <w:t>period</w:t>
            </w:r>
            <w:r>
              <w:t xml:space="preserve"> last year</w:t>
            </w:r>
            <w:r w:rsidRPr="18ED453A">
              <w:rPr>
                <w:b/>
                <w:bCs/>
                <w:sz w:val="22"/>
                <w:szCs w:val="22"/>
              </w:rPr>
              <w:t xml:space="preserve"> </w:t>
            </w:r>
            <w:r>
              <w:t>are expected to maintain this level of performance to achieve the target.</w:t>
            </w:r>
          </w:p>
          <w:p w14:paraId="1D3E1FC7" w14:textId="77777777" w:rsidR="00465FBC" w:rsidRPr="00315936" w:rsidRDefault="00465FBC" w:rsidP="00465FBC">
            <w:pPr>
              <w:pStyle w:val="Tabletext"/>
              <w:spacing w:line="259" w:lineRule="auto"/>
            </w:pPr>
            <w:r>
              <w:t>Quarterly performances will be compared with performance for the same quarter in the previous year. Annual performance will be compared with performance for the whole of the previous year.</w:t>
            </w:r>
          </w:p>
        </w:tc>
      </w:tr>
      <w:tr w:rsidR="00465FBC" w:rsidRPr="00315936" w14:paraId="61CAEFA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ECFEA8C" w14:textId="77777777" w:rsidR="00465FBC" w:rsidRPr="00624626" w:rsidRDefault="00465FBC" w:rsidP="00465FBC">
            <w:pPr>
              <w:pStyle w:val="Tablecolhead"/>
              <w:rPr>
                <w:b w:val="0"/>
                <w:bCs/>
                <w:lang w:eastAsia="en-AU"/>
              </w:rPr>
            </w:pPr>
            <w:r w:rsidRPr="00624626">
              <w:rPr>
                <w:b w:val="0"/>
                <w:bCs/>
                <w:lang w:eastAsia="en-AU"/>
              </w:rPr>
              <w:t>Achieved</w:t>
            </w:r>
          </w:p>
        </w:tc>
        <w:tc>
          <w:tcPr>
            <w:tcW w:w="7512" w:type="dxa"/>
            <w:tcBorders>
              <w:left w:val="single" w:sz="4" w:space="0" w:color="FFFFFF" w:themeColor="background1"/>
            </w:tcBorders>
          </w:tcPr>
          <w:p w14:paraId="4965CF35" w14:textId="48C9AA49" w:rsidR="00465FBC" w:rsidRPr="00315936" w:rsidRDefault="00465FBC" w:rsidP="00465FBC">
            <w:pPr>
              <w:pStyle w:val="Tabletext"/>
            </w:pPr>
            <w:r>
              <w:rPr>
                <w:rFonts w:eastAsia="VIC"/>
              </w:rPr>
              <w:t xml:space="preserve">Average ED </w:t>
            </w:r>
            <w:r w:rsidR="00B41610">
              <w:rPr>
                <w:rFonts w:eastAsia="VIC"/>
              </w:rPr>
              <w:t>length or stay</w:t>
            </w:r>
            <w:r>
              <w:rPr>
                <w:rFonts w:eastAsia="VIC"/>
              </w:rPr>
              <w:t xml:space="preserve"> less than </w:t>
            </w:r>
            <w:r w:rsidR="00241F0C">
              <w:rPr>
                <w:rFonts w:eastAsia="VIC"/>
              </w:rPr>
              <w:t xml:space="preserve">or equal to </w:t>
            </w:r>
            <w:r>
              <w:rPr>
                <w:rFonts w:eastAsia="VIC"/>
              </w:rPr>
              <w:t>240 minutes or at least 3 per cent improvement on performance for the same period (e.g. quarter) in the previous year.</w:t>
            </w:r>
          </w:p>
        </w:tc>
      </w:tr>
      <w:tr w:rsidR="00465FBC" w:rsidRPr="00315936" w14:paraId="66E67AEF" w14:textId="77777777" w:rsidTr="00535D2B">
        <w:trPr>
          <w:trHeight w:val="287"/>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157E95A" w14:textId="77777777" w:rsidR="00465FBC" w:rsidRPr="00624626" w:rsidRDefault="00465FBC" w:rsidP="00465FBC">
            <w:pPr>
              <w:pStyle w:val="Tablecolhead"/>
              <w:rPr>
                <w:b w:val="0"/>
                <w:bCs/>
                <w:lang w:eastAsia="en-AU"/>
              </w:rPr>
            </w:pPr>
            <w:r w:rsidRPr="00624626">
              <w:rPr>
                <w:b w:val="0"/>
                <w:bCs/>
                <w:lang w:eastAsia="en-AU"/>
              </w:rPr>
              <w:t>Not achieved</w:t>
            </w:r>
          </w:p>
        </w:tc>
        <w:tc>
          <w:tcPr>
            <w:tcW w:w="7512" w:type="dxa"/>
            <w:tcBorders>
              <w:left w:val="single" w:sz="4" w:space="0" w:color="FFFFFF" w:themeColor="background1"/>
            </w:tcBorders>
          </w:tcPr>
          <w:p w14:paraId="649FF0D1" w14:textId="7253359A" w:rsidR="00465FBC" w:rsidRPr="00315936" w:rsidRDefault="00465FBC" w:rsidP="00E36E53">
            <w:pPr>
              <w:pStyle w:val="Tabletext"/>
              <w:keepNext/>
            </w:pPr>
            <w:r>
              <w:rPr>
                <w:rFonts w:eastAsia="VIC"/>
              </w:rPr>
              <w:t xml:space="preserve">Average ED </w:t>
            </w:r>
            <w:r w:rsidR="00B41610">
              <w:rPr>
                <w:rFonts w:eastAsia="VIC"/>
              </w:rPr>
              <w:t>length or stay</w:t>
            </w:r>
            <w:r>
              <w:rPr>
                <w:rFonts w:eastAsia="VIC"/>
              </w:rPr>
              <w:t xml:space="preserve"> greater than 240 minutes and less than 3 per cent improvement on performance for the same period (e.g. quarter) in the previous year.</w:t>
            </w:r>
          </w:p>
        </w:tc>
      </w:tr>
      <w:tr w:rsidR="00465FBC" w:rsidRPr="00315936" w14:paraId="7EEC7AC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3070A14" w14:textId="77777777" w:rsidR="00465FBC" w:rsidRPr="00624626" w:rsidRDefault="00465FBC" w:rsidP="00465FBC">
            <w:pPr>
              <w:pStyle w:val="Tablecolhead"/>
              <w:rPr>
                <w:b w:val="0"/>
                <w:bCs/>
                <w:lang w:eastAsia="en-AU"/>
              </w:rPr>
            </w:pPr>
            <w:r w:rsidRPr="00624626">
              <w:rPr>
                <w:b w:val="0"/>
                <w:bCs/>
                <w:lang w:eastAsia="en-AU"/>
              </w:rPr>
              <w:t>Improvement</w:t>
            </w:r>
          </w:p>
        </w:tc>
        <w:tc>
          <w:tcPr>
            <w:tcW w:w="7512" w:type="dxa"/>
            <w:tcBorders>
              <w:left w:val="single" w:sz="4" w:space="0" w:color="FFFFFF" w:themeColor="background1"/>
            </w:tcBorders>
          </w:tcPr>
          <w:p w14:paraId="301A6048" w14:textId="20D56413" w:rsidR="00465FBC" w:rsidRPr="00315936" w:rsidRDefault="00944AE7" w:rsidP="00465FBC">
            <w:pPr>
              <w:pStyle w:val="Tabletext"/>
              <w:rPr>
                <w:lang w:eastAsia="en-AU"/>
              </w:rPr>
            </w:pPr>
            <w:r>
              <w:rPr>
                <w:rFonts w:eastAsia="VIC"/>
              </w:rPr>
              <w:t>For the purpose of the performance risk assessment, i</w:t>
            </w:r>
            <w:r w:rsidR="00465FBC" w:rsidRPr="00315936">
              <w:rPr>
                <w:rFonts w:eastAsia="VIC"/>
              </w:rPr>
              <w:t xml:space="preserve">mprovement is calculated based on same </w:t>
            </w:r>
            <w:r w:rsidR="007F5C77">
              <w:rPr>
                <w:rFonts w:eastAsia="VIC"/>
              </w:rPr>
              <w:t>period</w:t>
            </w:r>
            <w:r w:rsidR="00465FBC" w:rsidRPr="00315936">
              <w:rPr>
                <w:rFonts w:eastAsia="VIC"/>
              </w:rPr>
              <w:t xml:space="preserve"> last year performance.</w:t>
            </w:r>
          </w:p>
        </w:tc>
      </w:tr>
      <w:tr w:rsidR="00465FBC" w:rsidRPr="00315936" w14:paraId="0EE69A64"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12F0F37" w14:textId="77777777" w:rsidR="00465FBC" w:rsidRPr="00624626" w:rsidRDefault="00465FBC" w:rsidP="00465FBC">
            <w:pPr>
              <w:pStyle w:val="Tablecolhead"/>
              <w:rPr>
                <w:b w:val="0"/>
                <w:bCs/>
                <w:lang w:eastAsia="en-AU"/>
              </w:rPr>
            </w:pPr>
            <w:r w:rsidRPr="00624626">
              <w:rPr>
                <w:b w:val="0"/>
                <w:bCs/>
                <w:lang w:eastAsia="en-AU"/>
              </w:rPr>
              <w:t>Frequency of reporting and data collection</w:t>
            </w:r>
          </w:p>
        </w:tc>
        <w:tc>
          <w:tcPr>
            <w:tcW w:w="7512" w:type="dxa"/>
            <w:tcBorders>
              <w:left w:val="single" w:sz="4" w:space="0" w:color="FFFFFF" w:themeColor="background1"/>
            </w:tcBorders>
          </w:tcPr>
          <w:p w14:paraId="6391C196" w14:textId="6F7D7C3A" w:rsidR="00465FBC" w:rsidRPr="00315936" w:rsidRDefault="00465FBC" w:rsidP="00465FBC">
            <w:pPr>
              <w:pStyle w:val="Tabletext"/>
              <w:keepNext/>
              <w:rPr>
                <w:rFonts w:eastAsia="VIC"/>
              </w:rPr>
            </w:pPr>
            <w:r w:rsidRPr="00315936">
              <w:rPr>
                <w:rFonts w:eastAsia="VIC"/>
              </w:rPr>
              <w:t xml:space="preserve">Performance is reported </w:t>
            </w:r>
            <w:r w:rsidR="00944AE7" w:rsidRPr="00315936">
              <w:rPr>
                <w:rFonts w:eastAsia="VIC"/>
              </w:rPr>
              <w:t>monthly</w:t>
            </w:r>
            <w:r w:rsidR="00944AE7">
              <w:rPr>
                <w:rFonts w:eastAsia="VIC"/>
              </w:rPr>
              <w:t>,</w:t>
            </w:r>
            <w:r w:rsidR="00944AE7" w:rsidRPr="00315936">
              <w:rPr>
                <w:rFonts w:eastAsia="VIC"/>
              </w:rPr>
              <w:t xml:space="preserve"> quarterly</w:t>
            </w:r>
            <w:r w:rsidRPr="00315936">
              <w:rPr>
                <w:rFonts w:eastAsia="VIC"/>
              </w:rPr>
              <w:t xml:space="preserve"> and annually at the campus level.</w:t>
            </w:r>
          </w:p>
          <w:p w14:paraId="41705E83" w14:textId="77777777" w:rsidR="00465FBC" w:rsidRPr="00315936" w:rsidRDefault="00465FBC" w:rsidP="00465FBC">
            <w:pPr>
              <w:pStyle w:val="Tabletext"/>
              <w:rPr>
                <w:lang w:eastAsia="en-AU"/>
              </w:rPr>
            </w:pPr>
            <w:r w:rsidRPr="00315936">
              <w:rPr>
                <w:rFonts w:eastAsia="VIC"/>
              </w:rPr>
              <w:t xml:space="preserve">Data are sourced from </w:t>
            </w:r>
            <w:r w:rsidRPr="00315936">
              <w:t xml:space="preserve">the </w:t>
            </w:r>
            <w:r>
              <w:t>Victorian Emergency Minimum Dataset (VEMD)</w:t>
            </w:r>
            <w:r w:rsidRPr="58AE7E44">
              <w:rPr>
                <w:rFonts w:eastAsia="VIC"/>
              </w:rPr>
              <w:t>.</w:t>
            </w:r>
          </w:p>
        </w:tc>
      </w:tr>
    </w:tbl>
    <w:p w14:paraId="50086DB8" w14:textId="688F4681" w:rsidR="00140581" w:rsidRDefault="00140581" w:rsidP="00B00402">
      <w:pPr>
        <w:pStyle w:val="Heading3"/>
      </w:pPr>
      <w:bookmarkStart w:id="80" w:name="_Toc1158170083"/>
      <w:bookmarkEnd w:id="79"/>
      <w:r w:rsidRPr="00315936">
        <w:t>Mental health</w:t>
      </w:r>
      <w:bookmarkEnd w:id="80"/>
    </w:p>
    <w:p w14:paraId="66F74CF3" w14:textId="35A3282C" w:rsidR="00464E49" w:rsidRDefault="00464E49" w:rsidP="00E36E53">
      <w:pPr>
        <w:pStyle w:val="Heading4"/>
        <w:rPr>
          <w:rFonts w:ascii="Cambria" w:hAnsi="Cambria" w:cs="Cambria"/>
          <w:lang w:eastAsia="en-AU"/>
        </w:rPr>
      </w:pPr>
      <w:r w:rsidRPr="00315936">
        <w:rPr>
          <w:lang w:val="en-US" w:eastAsia="en-AU"/>
        </w:rPr>
        <w:t>Percentage of mental health-related emergency department presentations with a length of stay of less than four hours</w:t>
      </w:r>
      <w:r w:rsidRPr="00315936">
        <w:rPr>
          <w:rFonts w:ascii="Cambria" w:hAnsi="Cambria" w:cs="Cambria"/>
          <w:lang w:eastAsia="en-AU"/>
        </w:rPr>
        <w:t> </w:t>
      </w:r>
    </w:p>
    <w:tbl>
      <w:tblPr>
        <w:tblStyle w:val="TableGrid"/>
        <w:tblW w:w="9349" w:type="dxa"/>
        <w:tblLook w:val="04A0" w:firstRow="1" w:lastRow="0" w:firstColumn="1" w:lastColumn="0" w:noHBand="0" w:noVBand="1"/>
      </w:tblPr>
      <w:tblGrid>
        <w:gridCol w:w="1837"/>
        <w:gridCol w:w="7512"/>
      </w:tblGrid>
      <w:tr w:rsidR="00B44BDA" w:rsidRPr="00315936" w14:paraId="1D13398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5D905CB" w14:textId="77777777" w:rsidR="00B44BDA" w:rsidRPr="00315936" w:rsidRDefault="00B44BDA">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61BFFB29" w14:textId="77777777" w:rsidR="00B44BDA" w:rsidRPr="00315936" w:rsidRDefault="00B44BDA">
            <w:pPr>
              <w:pStyle w:val="Tabletext"/>
              <w:rPr>
                <w:rFonts w:ascii="Cambria" w:hAnsi="Cambria" w:cs="Cambria"/>
                <w:lang w:eastAsia="en-AU"/>
              </w:rPr>
            </w:pPr>
            <w:r w:rsidRPr="00315936">
              <w:rPr>
                <w:lang w:val="en-US" w:eastAsia="en-AU"/>
              </w:rPr>
              <w:t>Percentage of mental health-related emergency department presentations with a length of stay of less than four hours</w:t>
            </w:r>
            <w:r w:rsidRPr="00315936">
              <w:rPr>
                <w:rFonts w:ascii="Cambria" w:hAnsi="Cambria" w:cs="Cambria"/>
                <w:lang w:eastAsia="en-AU"/>
              </w:rPr>
              <w:t> </w:t>
            </w:r>
          </w:p>
        </w:tc>
      </w:tr>
      <w:tr w:rsidR="00B44BDA" w:rsidRPr="00315936" w14:paraId="6B09301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591A2AB" w14:textId="77777777" w:rsidR="00B44BDA" w:rsidRPr="00315936" w:rsidRDefault="00B44BDA">
            <w:pPr>
              <w:pStyle w:val="Tablecolhead"/>
              <w:rPr>
                <w:b w:val="0"/>
                <w:lang w:eastAsia="en-AU"/>
              </w:rPr>
            </w:pPr>
            <w:r w:rsidRPr="00315936">
              <w:rPr>
                <w:b w:val="0"/>
                <w:lang w:eastAsia="en-AU"/>
              </w:rPr>
              <w:lastRenderedPageBreak/>
              <w:t>Description </w:t>
            </w:r>
          </w:p>
        </w:tc>
        <w:tc>
          <w:tcPr>
            <w:tcW w:w="7512" w:type="dxa"/>
            <w:tcBorders>
              <w:left w:val="single" w:sz="4" w:space="0" w:color="FFFFFF" w:themeColor="background1"/>
            </w:tcBorders>
          </w:tcPr>
          <w:p w14:paraId="0EC6BED5" w14:textId="77777777" w:rsidR="00737D90" w:rsidRDefault="00737D90">
            <w:pPr>
              <w:pStyle w:val="Tabletext"/>
            </w:pPr>
            <w:r w:rsidRPr="00315936">
              <w:t xml:space="preserve">Percentage of mental health–related presentations to Victorian emergency departments with a length of stay of less than four hours. </w:t>
            </w:r>
          </w:p>
          <w:p w14:paraId="3F1A3251" w14:textId="77777777" w:rsidR="00B44BDA" w:rsidRPr="00315936" w:rsidRDefault="00B44BDA">
            <w:pPr>
              <w:pStyle w:val="Tabletext"/>
            </w:pPr>
            <w:r w:rsidRPr="00315936">
              <w:t>This</w:t>
            </w:r>
            <w:r w:rsidRPr="00315936" w:rsidDel="000514CA">
              <w:t xml:space="preserve"> </w:t>
            </w:r>
            <w:r w:rsidRPr="00315936">
              <w:t>measures the effectiveness of emergency department processes and patient flow. The measure aims to encourage more timely management of people presenting to emergency department for mental health-related reasons who are admitted to the hospital, referred to another hospital or departed within four hours. </w:t>
            </w:r>
          </w:p>
        </w:tc>
      </w:tr>
      <w:tr w:rsidR="00B44BDA" w:rsidRPr="00315936" w14:paraId="1896AD3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A875E1D" w14:textId="77777777" w:rsidR="00B44BDA" w:rsidRPr="00315936" w:rsidRDefault="00B44BDA">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1627790B" w14:textId="0D55EC71" w:rsidR="00737D90" w:rsidRDefault="00737D90" w:rsidP="00737D90">
            <w:pPr>
              <w:pStyle w:val="Tabletext"/>
            </w:pPr>
            <w:r>
              <w:t>The ED Departure Date (not Arrival Date) is used to identify presentations in scope for the reporting period.</w:t>
            </w:r>
          </w:p>
          <w:p w14:paraId="6A7DFBE6" w14:textId="7E3585EF" w:rsidR="00BF49FF" w:rsidRPr="00315936" w:rsidRDefault="00BF49FF" w:rsidP="00737D90">
            <w:pPr>
              <w:pStyle w:val="Tabletext"/>
            </w:pPr>
            <w:r>
              <w:t>Length of stay in ED is calculated as the departure date and time minus the arrival date and time (converted to hours).</w:t>
            </w:r>
          </w:p>
          <w:p w14:paraId="2A3CFEC2" w14:textId="77777777" w:rsidR="00B44BDA" w:rsidRPr="00315936" w:rsidRDefault="00B44BDA">
            <w:pPr>
              <w:pStyle w:val="Tabletext"/>
            </w:pPr>
            <w:r w:rsidRPr="00315936">
              <w:t xml:space="preserve">Mental health-related emergency department presentations include </w:t>
            </w:r>
            <w:r>
              <w:t>those</w:t>
            </w:r>
            <w:r w:rsidRPr="00315936">
              <w:t xml:space="preserve"> flagged with any one of the following: </w:t>
            </w:r>
          </w:p>
          <w:p w14:paraId="010615EC" w14:textId="0FC532F7" w:rsidR="00B44BDA" w:rsidRPr="00315936" w:rsidRDefault="00B44BDA">
            <w:pPr>
              <w:pStyle w:val="Tablebullet1"/>
            </w:pPr>
            <w:r w:rsidRPr="00315936">
              <w:t>A ‘referred by’ code of: </w:t>
            </w:r>
          </w:p>
          <w:p w14:paraId="6183B01C" w14:textId="77777777" w:rsidR="00B44BDA" w:rsidRPr="00315936" w:rsidRDefault="00B44BDA" w:rsidP="00C71BBA">
            <w:pPr>
              <w:pStyle w:val="Tablebullet2"/>
            </w:pPr>
            <w:r w:rsidRPr="00680103">
              <w:t>16</w:t>
            </w:r>
            <w:r w:rsidRPr="00315936">
              <w:t>: Mental health telephone assessment/advisory line </w:t>
            </w:r>
          </w:p>
          <w:p w14:paraId="140816EA" w14:textId="77777777" w:rsidR="00B44BDA" w:rsidRPr="00315936" w:rsidRDefault="00B44BDA" w:rsidP="00C71BBA">
            <w:pPr>
              <w:pStyle w:val="Tablebullet2"/>
            </w:pPr>
            <w:r w:rsidRPr="00315936">
              <w:t>18: Other mental health staff </w:t>
            </w:r>
          </w:p>
          <w:p w14:paraId="19D7DD3D" w14:textId="6127C1A2" w:rsidR="009F61D9" w:rsidRPr="00315936" w:rsidRDefault="00B44BDA" w:rsidP="00C71BBA">
            <w:pPr>
              <w:pStyle w:val="Tablebullet2"/>
            </w:pPr>
            <w:r w:rsidRPr="00FA00F6">
              <w:t xml:space="preserve">21: Apprehended under the </w:t>
            </w:r>
            <w:r w:rsidRPr="00B92D5D">
              <w:rPr>
                <w:i/>
                <w:iCs/>
              </w:rPr>
              <w:t>Mental Health and Wellbeing Act 2022</w:t>
            </w:r>
            <w:r w:rsidRPr="00FA00F6">
              <w:t xml:space="preserve"> –</w:t>
            </w:r>
            <w:r>
              <w:t xml:space="preserve"> </w:t>
            </w:r>
            <w:r w:rsidR="00A52886">
              <w:t>P</w:t>
            </w:r>
            <w:r w:rsidRPr="00B92D5D">
              <w:t>olice</w:t>
            </w:r>
            <w:r w:rsidR="00B006DA">
              <w:t>/P</w:t>
            </w:r>
            <w:r w:rsidRPr="00B92D5D">
              <w:t xml:space="preserve">rotective </w:t>
            </w:r>
            <w:r w:rsidR="00B006DA">
              <w:t>S</w:t>
            </w:r>
            <w:r w:rsidRPr="00B92D5D">
              <w:t xml:space="preserve">ervices </w:t>
            </w:r>
            <w:r w:rsidR="00B006DA">
              <w:t>O</w:t>
            </w:r>
            <w:r w:rsidRPr="00B92D5D">
              <w:t xml:space="preserve">fficer </w:t>
            </w:r>
          </w:p>
          <w:p w14:paraId="30DAED31" w14:textId="77777777" w:rsidR="00B44BDA" w:rsidRPr="00315936" w:rsidRDefault="00B44BDA">
            <w:pPr>
              <w:pStyle w:val="Tablebullet1"/>
            </w:pPr>
            <w:r w:rsidRPr="00315936">
              <w:t>A ‘human intent’ code of: </w:t>
            </w:r>
          </w:p>
          <w:p w14:paraId="3F4836A4" w14:textId="77777777" w:rsidR="00B44BDA" w:rsidRPr="00315936" w:rsidRDefault="00B44BDA" w:rsidP="00C71BBA">
            <w:pPr>
              <w:pStyle w:val="Tablebullet2"/>
            </w:pPr>
            <w:r w:rsidRPr="00315936">
              <w:t>18: Intentional self-harm – non-suicidal self-injury </w:t>
            </w:r>
          </w:p>
          <w:p w14:paraId="506502A6" w14:textId="77777777" w:rsidR="00B44BDA" w:rsidRPr="00315936" w:rsidRDefault="00B44BDA" w:rsidP="00C71BBA">
            <w:pPr>
              <w:pStyle w:val="Tablebullet2"/>
            </w:pPr>
            <w:r w:rsidRPr="00315936">
              <w:t>19: Intentional self-harm – suicide attempt </w:t>
            </w:r>
          </w:p>
          <w:p w14:paraId="4E2388AC" w14:textId="77777777" w:rsidR="00B44BDA" w:rsidRPr="00315936" w:rsidRDefault="00B44BDA" w:rsidP="00C71BBA">
            <w:pPr>
              <w:pStyle w:val="Tablebullet2"/>
            </w:pPr>
            <w:r w:rsidRPr="00315936">
              <w:t>20: Intentional self-harm – suicidal intent cannot be determined </w:t>
            </w:r>
          </w:p>
          <w:p w14:paraId="443F1DAE" w14:textId="77777777" w:rsidR="00B44BDA" w:rsidRPr="00315936" w:rsidRDefault="00B44BDA">
            <w:pPr>
              <w:pStyle w:val="Tablebullet1"/>
            </w:pPr>
            <w:r w:rsidRPr="00315936">
              <w:t>A primary or other diagnosis of: </w:t>
            </w:r>
          </w:p>
          <w:p w14:paraId="446264F7" w14:textId="77777777" w:rsidR="00B44BDA" w:rsidRPr="00315936" w:rsidRDefault="00B44BDA" w:rsidP="00C71BBA">
            <w:pPr>
              <w:pStyle w:val="Tablebullet2"/>
            </w:pPr>
            <w:r w:rsidRPr="00315936">
              <w:t>F01-F99: Mental and behavioural disorders </w:t>
            </w:r>
          </w:p>
          <w:p w14:paraId="0DC83FE2" w14:textId="77777777" w:rsidR="00B44BDA" w:rsidRPr="00315936" w:rsidRDefault="00B44BDA" w:rsidP="00C71BBA">
            <w:pPr>
              <w:pStyle w:val="Tablebullet2"/>
            </w:pPr>
            <w:r w:rsidRPr="00315936">
              <w:t>Z004: General psychiatric examination, not elsewhere classified </w:t>
            </w:r>
          </w:p>
          <w:p w14:paraId="56478702" w14:textId="77777777" w:rsidR="00B44BDA" w:rsidRPr="00315936" w:rsidRDefault="00B44BDA" w:rsidP="00C71BBA">
            <w:pPr>
              <w:pStyle w:val="Tablebullet2"/>
            </w:pPr>
            <w:r w:rsidRPr="00315936">
              <w:t>Z046: General psychiatric examination, requested by authority </w:t>
            </w:r>
          </w:p>
          <w:p w14:paraId="111343A0" w14:textId="77777777" w:rsidR="00B44BDA" w:rsidRPr="00315936" w:rsidRDefault="00B44BDA" w:rsidP="00C71BBA">
            <w:pPr>
              <w:pStyle w:val="Tablebullet2"/>
            </w:pPr>
            <w:r w:rsidRPr="00315936">
              <w:t>Z915: Personal history of self-harm </w:t>
            </w:r>
          </w:p>
          <w:p w14:paraId="2B161A2F" w14:textId="77777777" w:rsidR="00B44BDA" w:rsidRPr="00315936" w:rsidRDefault="00B44BDA" w:rsidP="00C71BBA">
            <w:pPr>
              <w:pStyle w:val="Tablebullet2"/>
            </w:pPr>
            <w:r w:rsidRPr="00315936">
              <w:t>R4581: Suicidal ideation </w:t>
            </w:r>
          </w:p>
          <w:p w14:paraId="09F73460" w14:textId="77777777" w:rsidR="00B44BDA" w:rsidRPr="00315936" w:rsidRDefault="00B44BDA">
            <w:pPr>
              <w:pStyle w:val="Tablebullet1"/>
            </w:pPr>
            <w:r w:rsidRPr="00315936">
              <w:t>The ‘seen by mental health practitioner’ date/time field is not null  </w:t>
            </w:r>
          </w:p>
          <w:p w14:paraId="6BA0FC4C" w14:textId="77777777" w:rsidR="00B44BDA" w:rsidRPr="00315936" w:rsidRDefault="00B44BDA">
            <w:pPr>
              <w:pStyle w:val="Tablebullet1"/>
            </w:pPr>
            <w:r w:rsidRPr="00315936">
              <w:t>A ‘departure status’ code of: </w:t>
            </w:r>
          </w:p>
          <w:p w14:paraId="19FBDD02" w14:textId="77777777" w:rsidR="00B44BDA" w:rsidRPr="00315936" w:rsidRDefault="00B44BDA" w:rsidP="00C71BBA">
            <w:pPr>
              <w:pStyle w:val="Tablebullet2"/>
            </w:pPr>
            <w:r w:rsidRPr="00315936">
              <w:t>17: Mental health bed at another hospital campus </w:t>
            </w:r>
          </w:p>
          <w:p w14:paraId="6E5A50B1" w14:textId="77777777" w:rsidR="00B44BDA" w:rsidRPr="00315936" w:rsidRDefault="00B44BDA" w:rsidP="00C71BBA">
            <w:pPr>
              <w:pStyle w:val="Tablebullet2"/>
            </w:pPr>
            <w:r w:rsidRPr="00315936">
              <w:t>23: Mental health residential facility </w:t>
            </w:r>
          </w:p>
          <w:p w14:paraId="19D694A2" w14:textId="77777777" w:rsidR="00B44BDA" w:rsidRPr="00315936" w:rsidRDefault="00B44BDA" w:rsidP="00C71BBA">
            <w:pPr>
              <w:pStyle w:val="Tablebullet2"/>
            </w:pPr>
            <w:r w:rsidRPr="00315936">
              <w:t>25: Mental health observation / assessment unit </w:t>
            </w:r>
          </w:p>
          <w:p w14:paraId="5810C7EB" w14:textId="77777777" w:rsidR="00B44BDA" w:rsidRPr="00315936" w:rsidRDefault="00B44BDA" w:rsidP="00C71BBA">
            <w:pPr>
              <w:pStyle w:val="Tablebullet2"/>
            </w:pPr>
            <w:r w:rsidRPr="00315936">
              <w:t>26: Other mental health bed – this campus</w:t>
            </w:r>
          </w:p>
          <w:p w14:paraId="16D25DA3" w14:textId="77777777" w:rsidR="00B44BDA" w:rsidRPr="00315936" w:rsidRDefault="00B44BDA" w:rsidP="00C71BBA">
            <w:pPr>
              <w:pStyle w:val="Tablebullet2"/>
            </w:pPr>
            <w:r w:rsidRPr="00315936">
              <w:t>31: Mental health and AoD hub short stay unit </w:t>
            </w:r>
          </w:p>
          <w:p w14:paraId="5ACCF1DF" w14:textId="1EB37C67" w:rsidR="00356EB8" w:rsidRDefault="054ED135" w:rsidP="00004ACC">
            <w:pPr>
              <w:pStyle w:val="Tablebullet1"/>
            </w:pPr>
            <w:r>
              <w:t>A ‘referred to on departure’ code of ‘11’: Mental Health Community Service</w:t>
            </w:r>
          </w:p>
          <w:p w14:paraId="4A9CEF5E" w14:textId="35496D56" w:rsidR="00B44BDA" w:rsidRPr="00D079B2" w:rsidRDefault="24BD7979" w:rsidP="00004ACC">
            <w:pPr>
              <w:pStyle w:val="Tabletext"/>
              <w:rPr>
                <w:rFonts w:eastAsia="VIC"/>
              </w:rPr>
            </w:pPr>
            <w:r>
              <w:t>Exclusions:</w:t>
            </w:r>
          </w:p>
          <w:p w14:paraId="1F0BAB3D" w14:textId="2C1FA42A" w:rsidR="00B44BDA" w:rsidRPr="00315936" w:rsidRDefault="24BD7979" w:rsidP="00004ACC">
            <w:pPr>
              <w:pStyle w:val="Tablebullet1"/>
              <w:rPr>
                <w:rFonts w:eastAsia="VIC"/>
              </w:rPr>
            </w:pPr>
            <w:r w:rsidRPr="554FA974">
              <w:rPr>
                <w:rFonts w:eastAsia="VIC"/>
              </w:rPr>
              <w:t xml:space="preserve">Triage Category '6' Dead on Arrival. </w:t>
            </w:r>
          </w:p>
          <w:p w14:paraId="615ADC8B" w14:textId="18DD0969" w:rsidR="00B44BDA" w:rsidRDefault="00780C3F" w:rsidP="00004ACC">
            <w:pPr>
              <w:pStyle w:val="Tablebullet1"/>
              <w:rPr>
                <w:rFonts w:eastAsia="VIC"/>
              </w:rPr>
            </w:pPr>
            <w:r>
              <w:rPr>
                <w:rFonts w:eastAsia="VIC"/>
              </w:rPr>
              <w:t>VVED presentations</w:t>
            </w:r>
          </w:p>
          <w:p w14:paraId="4367F55B" w14:textId="71646FAF" w:rsidR="0053255B" w:rsidRPr="00315936" w:rsidRDefault="004958C8" w:rsidP="00004ACC">
            <w:pPr>
              <w:pStyle w:val="Tablebullet1"/>
              <w:rPr>
                <w:rFonts w:eastAsia="VIC"/>
              </w:rPr>
            </w:pPr>
            <w:r>
              <w:rPr>
                <w:rFonts w:eastAsia="VIC"/>
              </w:rPr>
              <w:t>Other virtual care presentations</w:t>
            </w:r>
          </w:p>
          <w:p w14:paraId="53A7744F" w14:textId="25A04308" w:rsidR="00B44BDA" w:rsidRPr="00315936" w:rsidRDefault="00643F75" w:rsidP="00004ACC">
            <w:pPr>
              <w:pStyle w:val="Tablebullet1"/>
              <w:rPr>
                <w:rFonts w:eastAsia="VIC"/>
              </w:rPr>
            </w:pPr>
            <w:r>
              <w:rPr>
                <w:rFonts w:eastAsia="VIC"/>
              </w:rPr>
              <w:t>P</w:t>
            </w:r>
            <w:r w:rsidR="24BD7979" w:rsidRPr="554FA974">
              <w:rPr>
                <w:rFonts w:eastAsia="VIC"/>
              </w:rPr>
              <w:t>resentations to Mercy Women's, Royal Women's and Eye and Ear emergency departments</w:t>
            </w:r>
            <w:r w:rsidR="00011E8B">
              <w:rPr>
                <w:rFonts w:eastAsia="VIC"/>
              </w:rPr>
              <w:t>.</w:t>
            </w:r>
          </w:p>
          <w:p w14:paraId="1F5EF2D6" w14:textId="5FB06230" w:rsidR="00B44BDA" w:rsidRPr="00315936" w:rsidRDefault="008408D6">
            <w:pPr>
              <w:pStyle w:val="Tabletext"/>
            </w:pPr>
            <w:r w:rsidRPr="00315936">
              <w:t>This measure is measured at the campus level</w:t>
            </w:r>
            <w:r w:rsidR="00A7107B">
              <w:t>.</w:t>
            </w:r>
            <w:r w:rsidRPr="00315936">
              <w:t xml:space="preserve"> </w:t>
            </w:r>
          </w:p>
        </w:tc>
      </w:tr>
      <w:tr w:rsidR="00B44BDA" w:rsidRPr="00315936" w14:paraId="3C1DF23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77F2C81" w14:textId="77777777" w:rsidR="00B44BDA" w:rsidRPr="00315936" w:rsidRDefault="00B44BDA">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14DB4CCC" w14:textId="77777777" w:rsidR="00B44BDA" w:rsidRPr="00315936" w:rsidRDefault="00B44BDA">
            <w:pPr>
              <w:pStyle w:val="Tabletext"/>
            </w:pPr>
            <w:r w:rsidRPr="00315936">
              <w:t>Number of mental health-related emergency department presentations where arrival to departure was less than four hours. </w:t>
            </w:r>
          </w:p>
        </w:tc>
      </w:tr>
      <w:tr w:rsidR="00B44BDA" w:rsidRPr="00315936" w14:paraId="2DCF608C"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3E22C74" w14:textId="77777777" w:rsidR="00B44BDA" w:rsidRPr="00315936" w:rsidRDefault="00B44BDA">
            <w:pPr>
              <w:pStyle w:val="Tablecolhead"/>
              <w:rPr>
                <w:b w:val="0"/>
                <w:lang w:eastAsia="en-AU"/>
              </w:rPr>
            </w:pPr>
            <w:r w:rsidRPr="00315936">
              <w:rPr>
                <w:b w:val="0"/>
                <w:lang w:eastAsia="en-AU"/>
              </w:rPr>
              <w:lastRenderedPageBreak/>
              <w:t>Denominator</w:t>
            </w:r>
          </w:p>
        </w:tc>
        <w:tc>
          <w:tcPr>
            <w:tcW w:w="7512" w:type="dxa"/>
            <w:tcBorders>
              <w:left w:val="single" w:sz="4" w:space="0" w:color="FFFFFF" w:themeColor="background1"/>
            </w:tcBorders>
          </w:tcPr>
          <w:p w14:paraId="76D03D5F" w14:textId="77777777" w:rsidR="00B44BDA" w:rsidRPr="00315936" w:rsidRDefault="00B44BDA">
            <w:pPr>
              <w:pStyle w:val="Tabletext"/>
            </w:pPr>
            <w:r w:rsidRPr="00315936">
              <w:t>Number of mental health-related emergency department presentations. </w:t>
            </w:r>
          </w:p>
        </w:tc>
      </w:tr>
      <w:tr w:rsidR="00B44BDA" w:rsidRPr="00315936" w14:paraId="258165F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7B7983B" w14:textId="77777777" w:rsidR="00B44BDA" w:rsidRPr="00315936" w:rsidRDefault="00B44BDA">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2957B9D8" w14:textId="77777777" w:rsidR="00B44BDA" w:rsidRPr="00315936" w:rsidRDefault="00B44BDA">
            <w:pPr>
              <w:pStyle w:val="Tabletext"/>
            </w:pPr>
            <w:r w:rsidRPr="00315936">
              <w:t>65 per cent</w:t>
            </w:r>
          </w:p>
        </w:tc>
      </w:tr>
      <w:tr w:rsidR="00B44BDA" w:rsidRPr="00315936" w14:paraId="3800625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0318E0B" w14:textId="77777777" w:rsidR="00B44BDA" w:rsidRPr="00315936" w:rsidRDefault="00B44BDA">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3823299E" w14:textId="77777777" w:rsidR="00B44BDA" w:rsidRPr="00315936" w:rsidRDefault="00B44BDA">
            <w:pPr>
              <w:pStyle w:val="Tabletext"/>
            </w:pPr>
            <w:r w:rsidRPr="00315936">
              <w:t>Greater than or equal to 65 per cent</w:t>
            </w:r>
          </w:p>
        </w:tc>
      </w:tr>
      <w:tr w:rsidR="00B44BDA" w:rsidRPr="00315936" w14:paraId="21ACA60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1C9C2E8" w14:textId="77777777" w:rsidR="00B44BDA" w:rsidRPr="00315936" w:rsidRDefault="00B44BDA">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3446F834" w14:textId="77777777" w:rsidR="00B44BDA" w:rsidRPr="00315936" w:rsidRDefault="00B44BDA">
            <w:pPr>
              <w:pStyle w:val="Tabletext"/>
            </w:pPr>
            <w:r w:rsidRPr="00315936">
              <w:t>Less than 65 per cent</w:t>
            </w:r>
          </w:p>
        </w:tc>
      </w:tr>
      <w:tr w:rsidR="00B44BDA" w:rsidRPr="00315936" w14:paraId="1B3E125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76A41CB" w14:textId="77777777" w:rsidR="00B44BDA" w:rsidRPr="00315936" w:rsidRDefault="00B44BDA">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426AEE20" w14:textId="41E37F52" w:rsidR="00B44BDA" w:rsidRPr="00315936" w:rsidRDefault="00944AE7">
            <w:pPr>
              <w:pStyle w:val="Tabletext"/>
              <w:rPr>
                <w:lang w:eastAsia="en-AU"/>
              </w:rPr>
            </w:pPr>
            <w:r>
              <w:rPr>
                <w:lang w:val="en-US" w:eastAsia="en-AU"/>
              </w:rPr>
              <w:t>For the purpose of the performance risk assessment, i</w:t>
            </w:r>
            <w:r w:rsidR="00B44BDA" w:rsidRPr="00315936">
              <w:rPr>
                <w:lang w:val="en-US" w:eastAsia="en-AU"/>
              </w:rPr>
              <w:t xml:space="preserve">mprovement is calculated based on same </w:t>
            </w:r>
            <w:r w:rsidR="00BB4E8A">
              <w:rPr>
                <w:lang w:val="en-US" w:eastAsia="en-AU"/>
              </w:rPr>
              <w:t>period</w:t>
            </w:r>
            <w:r w:rsidR="00B44BDA" w:rsidRPr="00315936">
              <w:rPr>
                <w:lang w:val="en-US" w:eastAsia="en-AU"/>
              </w:rPr>
              <w:t xml:space="preserve"> last year performance.</w:t>
            </w:r>
            <w:r w:rsidR="00B44BDA" w:rsidRPr="00315936">
              <w:rPr>
                <w:rFonts w:ascii="Cambria" w:hAnsi="Cambria" w:cs="Cambria"/>
                <w:lang w:eastAsia="en-AU"/>
              </w:rPr>
              <w:t> </w:t>
            </w:r>
          </w:p>
        </w:tc>
      </w:tr>
      <w:tr w:rsidR="00B44BDA" w:rsidRPr="00315936" w14:paraId="04CEF8D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751C5AE" w14:textId="77777777" w:rsidR="00B44BDA" w:rsidRPr="00315936" w:rsidRDefault="00B44BDA">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571981A5" w14:textId="72BEC70D" w:rsidR="00B44BDA" w:rsidRPr="00315936" w:rsidRDefault="00B44BDA">
            <w:pPr>
              <w:pStyle w:val="Tabletext"/>
              <w:rPr>
                <w:lang w:val="en-US" w:eastAsia="en-AU"/>
              </w:rPr>
            </w:pPr>
            <w:r w:rsidRPr="00315936">
              <w:rPr>
                <w:lang w:val="en-US" w:eastAsia="en-AU"/>
              </w:rPr>
              <w:t>Performance is reported monthly, quarterly and annually.</w:t>
            </w:r>
          </w:p>
          <w:p w14:paraId="088F8431" w14:textId="77777777" w:rsidR="00B44BDA" w:rsidRPr="00315936" w:rsidRDefault="00B44BDA">
            <w:pPr>
              <w:pStyle w:val="Tabletext"/>
              <w:rPr>
                <w:lang w:eastAsia="en-AU"/>
              </w:rPr>
            </w:pPr>
            <w:r w:rsidRPr="00315936">
              <w:rPr>
                <w:szCs w:val="18"/>
                <w:lang w:eastAsia="en-AU"/>
              </w:rPr>
              <w:t xml:space="preserve">Data are sourced from </w:t>
            </w:r>
            <w:r w:rsidRPr="00315936">
              <w:t xml:space="preserve">the </w:t>
            </w:r>
            <w:r>
              <w:t>Victorian Emergency Minimum Dataset (VEMD)</w:t>
            </w:r>
            <w:r w:rsidRPr="00315936">
              <w:t>.</w:t>
            </w:r>
          </w:p>
        </w:tc>
      </w:tr>
    </w:tbl>
    <w:p w14:paraId="31F9D47B" w14:textId="77777777" w:rsidR="00B44BDA" w:rsidRPr="00236F6E" w:rsidRDefault="00B44BDA" w:rsidP="00E36E53">
      <w:pPr>
        <w:pStyle w:val="Body"/>
      </w:pPr>
    </w:p>
    <w:p w14:paraId="1F22B451" w14:textId="1FC589B2" w:rsidR="002F5726" w:rsidRDefault="002F5726" w:rsidP="008E7F78">
      <w:pPr>
        <w:pStyle w:val="Heading4"/>
        <w:rPr>
          <w:rStyle w:val="eop"/>
        </w:rPr>
      </w:pPr>
      <w:r w:rsidRPr="686ABE5A">
        <w:t>Percentage of departures from emergency departments to a mental health bed within 8 hours </w:t>
      </w:r>
    </w:p>
    <w:tbl>
      <w:tblPr>
        <w:tblStyle w:val="TableGrid"/>
        <w:tblW w:w="9349" w:type="dxa"/>
        <w:tblLook w:val="04A0" w:firstRow="1" w:lastRow="0" w:firstColumn="1" w:lastColumn="0" w:noHBand="0" w:noVBand="1"/>
      </w:tblPr>
      <w:tblGrid>
        <w:gridCol w:w="1837"/>
        <w:gridCol w:w="7512"/>
      </w:tblGrid>
      <w:tr w:rsidR="004D3F3E" w14:paraId="14488D7C"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9F62512" w14:textId="77777777" w:rsidR="002F5726" w:rsidRDefault="002F5726">
            <w:pPr>
              <w:pStyle w:val="Tablecolhead"/>
              <w:keepNext/>
              <w:rPr>
                <w:b w:val="0"/>
                <w:lang w:eastAsia="en-AU"/>
              </w:rPr>
            </w:pPr>
            <w:r w:rsidRPr="686ABE5A">
              <w:rPr>
                <w:b w:val="0"/>
                <w:lang w:eastAsia="en-AU"/>
              </w:rPr>
              <w:t>Measure</w:t>
            </w:r>
          </w:p>
        </w:tc>
        <w:tc>
          <w:tcPr>
            <w:tcW w:w="7512" w:type="dxa"/>
            <w:tcBorders>
              <w:left w:val="single" w:sz="4" w:space="0" w:color="FFFFFF" w:themeColor="background1"/>
            </w:tcBorders>
          </w:tcPr>
          <w:p w14:paraId="32F8F7D6" w14:textId="77777777" w:rsidR="002F5726" w:rsidRDefault="002F5726">
            <w:pPr>
              <w:pStyle w:val="Tabletext"/>
              <w:keepNext/>
              <w:rPr>
                <w:lang w:eastAsia="en-AU"/>
              </w:rPr>
            </w:pPr>
            <w:r w:rsidRPr="686ABE5A">
              <w:rPr>
                <w:rFonts w:cs="Arial"/>
                <w:color w:val="000000" w:themeColor="text1"/>
              </w:rPr>
              <w:t>Percentage of departures from emergency departments to a mental health bed within 8 hours</w:t>
            </w:r>
            <w:r w:rsidRPr="686ABE5A">
              <w:rPr>
                <w:rStyle w:val="eop"/>
                <w:rFonts w:eastAsia="MS Gothic" w:cs="Arial"/>
                <w:color w:val="000000" w:themeColor="text1"/>
              </w:rPr>
              <w:t> </w:t>
            </w:r>
          </w:p>
        </w:tc>
      </w:tr>
      <w:tr w:rsidR="002F5726" w14:paraId="53506CB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E687F20" w14:textId="77777777" w:rsidR="002F5726" w:rsidRDefault="002F5726">
            <w:pPr>
              <w:pStyle w:val="Tablecolhead"/>
              <w:keepNext/>
              <w:rPr>
                <w:b w:val="0"/>
                <w:lang w:eastAsia="en-AU"/>
              </w:rPr>
            </w:pPr>
            <w:r w:rsidRPr="686ABE5A">
              <w:rPr>
                <w:b w:val="0"/>
                <w:lang w:eastAsia="en-AU"/>
              </w:rPr>
              <w:t>Description </w:t>
            </w:r>
          </w:p>
        </w:tc>
        <w:tc>
          <w:tcPr>
            <w:tcW w:w="7512" w:type="dxa"/>
            <w:tcBorders>
              <w:left w:val="single" w:sz="4" w:space="0" w:color="FFFFFF" w:themeColor="background1"/>
            </w:tcBorders>
          </w:tcPr>
          <w:p w14:paraId="269CB167" w14:textId="31668782" w:rsidR="00C534AC" w:rsidRDefault="00C534AC">
            <w:pPr>
              <w:pStyle w:val="Tabletext"/>
              <w:keepNext/>
              <w:rPr>
                <w:rFonts w:cs="Arial"/>
                <w:szCs w:val="21"/>
                <w:lang w:eastAsia="en-AU"/>
              </w:rPr>
            </w:pPr>
            <w:r>
              <w:rPr>
                <w:lang w:eastAsia="en-AU"/>
              </w:rPr>
              <w:t>P</w:t>
            </w:r>
            <w:r w:rsidRPr="686ABE5A">
              <w:rPr>
                <w:lang w:eastAsia="en-AU"/>
              </w:rPr>
              <w:t xml:space="preserve">ercentage of emergency department </w:t>
            </w:r>
            <w:r w:rsidRPr="007715B2">
              <w:rPr>
                <w:rFonts w:cs="Arial"/>
                <w:szCs w:val="21"/>
                <w:lang w:eastAsia="en-AU"/>
              </w:rPr>
              <w:t>presentations departing to a mental health bed within 8 hours of arrival to the emergency department.</w:t>
            </w:r>
          </w:p>
          <w:p w14:paraId="49E1C77D" w14:textId="4779CC3A" w:rsidR="002F5726" w:rsidRDefault="002F5726">
            <w:pPr>
              <w:pStyle w:val="Tabletext"/>
              <w:keepNext/>
              <w:rPr>
                <w:rFonts w:ascii="Segoe UI" w:hAnsi="Segoe UI"/>
                <w:sz w:val="18"/>
                <w:szCs w:val="18"/>
                <w:lang w:eastAsia="en-AU"/>
              </w:rPr>
            </w:pPr>
            <w:r w:rsidRPr="686ABE5A">
              <w:rPr>
                <w:lang w:val="en-US" w:eastAsia="en-AU"/>
              </w:rPr>
              <w:t>Mental health services provide a clear and consistent point of entry 24 hours a day, seven days a week, linking consumers and carers to appropriately qualified and experienced mental health professionals, or the right care and supports where a mental health service response is not required.</w:t>
            </w:r>
            <w:r w:rsidRPr="686ABE5A">
              <w:rPr>
                <w:rFonts w:ascii="Cambria" w:hAnsi="Cambria" w:cs="Cambria"/>
                <w:lang w:eastAsia="en-AU"/>
              </w:rPr>
              <w:t> </w:t>
            </w:r>
          </w:p>
          <w:p w14:paraId="75AEF095" w14:textId="77777777" w:rsidR="002F5726" w:rsidRDefault="002F5726">
            <w:pPr>
              <w:pStyle w:val="Tabletext"/>
              <w:keepNext/>
              <w:rPr>
                <w:lang w:eastAsia="en-AU"/>
              </w:rPr>
            </w:pPr>
            <w:r w:rsidRPr="686ABE5A">
              <w:rPr>
                <w:lang w:val="en-US" w:eastAsia="en-AU"/>
              </w:rPr>
              <w:t>Monitoring access and response times is an important measure for how clinical models are being developed and implemented in the mental health triage system, to improve triage outcomes and identify areas for service and/or system improvement.</w:t>
            </w:r>
            <w:r w:rsidRPr="686ABE5A">
              <w:rPr>
                <w:rFonts w:ascii="Cambria" w:hAnsi="Cambria" w:cs="Cambria"/>
                <w:lang w:eastAsia="en-AU"/>
              </w:rPr>
              <w:t> </w:t>
            </w:r>
          </w:p>
        </w:tc>
      </w:tr>
      <w:tr w:rsidR="002F5726" w14:paraId="0F8589D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F680B4A" w14:textId="77777777" w:rsidR="002F5726" w:rsidRDefault="002F5726">
            <w:pPr>
              <w:pStyle w:val="Tablecolhead"/>
              <w:rPr>
                <w:b w:val="0"/>
                <w:lang w:eastAsia="en-AU"/>
              </w:rPr>
            </w:pPr>
            <w:r w:rsidRPr="686ABE5A">
              <w:rPr>
                <w:b w:val="0"/>
                <w:lang w:eastAsia="en-AU"/>
              </w:rPr>
              <w:t>Calculating performance</w:t>
            </w:r>
          </w:p>
        </w:tc>
        <w:tc>
          <w:tcPr>
            <w:tcW w:w="7512" w:type="dxa"/>
            <w:tcBorders>
              <w:left w:val="single" w:sz="4" w:space="0" w:color="FFFFFF" w:themeColor="background1"/>
            </w:tcBorders>
          </w:tcPr>
          <w:p w14:paraId="688E1AC8" w14:textId="48A71AAB" w:rsidR="00C534AC" w:rsidRDefault="00C534AC" w:rsidP="00C534AC">
            <w:pPr>
              <w:pStyle w:val="Tabletext"/>
            </w:pPr>
            <w:r>
              <w:t>The ED Departure Date (not Arrival Date) is used to identify presentations in scope for the reporting period.</w:t>
            </w:r>
          </w:p>
          <w:p w14:paraId="2EA64CAA" w14:textId="00B96CC0" w:rsidR="00C534AC" w:rsidRPr="00315936" w:rsidRDefault="00C534AC" w:rsidP="00C534AC">
            <w:pPr>
              <w:pStyle w:val="Tabletext"/>
            </w:pPr>
            <w:r>
              <w:t>Length of stay in ED is calculated as the departure date and time minus the arrival date and time (converted to hours).</w:t>
            </w:r>
          </w:p>
          <w:p w14:paraId="5BD00B2F" w14:textId="77777777" w:rsidR="00C534AC" w:rsidRPr="00315936" w:rsidRDefault="00C534AC" w:rsidP="00C534AC">
            <w:pPr>
              <w:pStyle w:val="Tabletext"/>
            </w:pPr>
            <w:r w:rsidRPr="00315936">
              <w:t xml:space="preserve">Mental health-related emergency department presentations include </w:t>
            </w:r>
            <w:r>
              <w:t>those</w:t>
            </w:r>
            <w:r w:rsidRPr="00315936">
              <w:t xml:space="preserve"> flagged with any one of the following: </w:t>
            </w:r>
          </w:p>
          <w:p w14:paraId="5749F778" w14:textId="14A56035" w:rsidR="00C534AC" w:rsidRPr="00315936" w:rsidRDefault="00C534AC" w:rsidP="00C534AC">
            <w:pPr>
              <w:pStyle w:val="Tablebullet1"/>
            </w:pPr>
            <w:r w:rsidRPr="00315936">
              <w:t>A ‘referred by’ code of: </w:t>
            </w:r>
          </w:p>
          <w:p w14:paraId="4BA797ED" w14:textId="77777777" w:rsidR="00C534AC" w:rsidRPr="00315936" w:rsidRDefault="00C534AC" w:rsidP="00C534AC">
            <w:pPr>
              <w:pStyle w:val="Tablebullet2"/>
            </w:pPr>
            <w:r w:rsidRPr="00680103">
              <w:t>16</w:t>
            </w:r>
            <w:r w:rsidRPr="00315936">
              <w:t>: Mental health telephone assessment/advisory line </w:t>
            </w:r>
          </w:p>
          <w:p w14:paraId="777C370F" w14:textId="77777777" w:rsidR="00C534AC" w:rsidRPr="00315936" w:rsidRDefault="00C534AC" w:rsidP="00C534AC">
            <w:pPr>
              <w:pStyle w:val="Tablebullet2"/>
            </w:pPr>
            <w:r w:rsidRPr="00315936">
              <w:t>18: Other mental health staff </w:t>
            </w:r>
          </w:p>
          <w:p w14:paraId="73594417" w14:textId="434E4028" w:rsidR="00C534AC" w:rsidRPr="00315936" w:rsidRDefault="00C534AC" w:rsidP="00C534AC">
            <w:pPr>
              <w:pStyle w:val="Tablebullet2"/>
            </w:pPr>
            <w:r w:rsidRPr="00FA00F6">
              <w:t xml:space="preserve">21: Apprehended under the </w:t>
            </w:r>
            <w:r w:rsidRPr="00B92D5D">
              <w:rPr>
                <w:i/>
                <w:iCs/>
              </w:rPr>
              <w:t>Mental Health and Wellbeing Act 2022</w:t>
            </w:r>
            <w:r w:rsidRPr="00FA00F6">
              <w:t xml:space="preserve"> –</w:t>
            </w:r>
            <w:r w:rsidR="004854EB">
              <w:t>P</w:t>
            </w:r>
            <w:r w:rsidRPr="00B92D5D">
              <w:t>olice</w:t>
            </w:r>
            <w:r w:rsidR="004854EB">
              <w:t>/P</w:t>
            </w:r>
            <w:r w:rsidRPr="00B92D5D">
              <w:t xml:space="preserve">rotective </w:t>
            </w:r>
            <w:r w:rsidR="004854EB">
              <w:t>S</w:t>
            </w:r>
            <w:r w:rsidRPr="00B92D5D">
              <w:t xml:space="preserve">ervices </w:t>
            </w:r>
            <w:r w:rsidR="004854EB">
              <w:t>O</w:t>
            </w:r>
            <w:r w:rsidRPr="00B92D5D">
              <w:t xml:space="preserve">fficer </w:t>
            </w:r>
          </w:p>
          <w:p w14:paraId="42961A1F" w14:textId="77777777" w:rsidR="00C534AC" w:rsidRPr="00315936" w:rsidRDefault="00C534AC" w:rsidP="00C534AC">
            <w:pPr>
              <w:pStyle w:val="Tablebullet1"/>
            </w:pPr>
            <w:r w:rsidRPr="00315936">
              <w:t>A ‘human intent’ code of: </w:t>
            </w:r>
          </w:p>
          <w:p w14:paraId="063B9C2D" w14:textId="77777777" w:rsidR="00C534AC" w:rsidRPr="00315936" w:rsidRDefault="00C534AC" w:rsidP="00C534AC">
            <w:pPr>
              <w:pStyle w:val="Tablebullet2"/>
            </w:pPr>
            <w:r w:rsidRPr="00315936">
              <w:t>18: Intentional self-harm – non-suicidal self-injury </w:t>
            </w:r>
          </w:p>
          <w:p w14:paraId="37E31CA0" w14:textId="77777777" w:rsidR="00C534AC" w:rsidRPr="00315936" w:rsidRDefault="00C534AC" w:rsidP="00C534AC">
            <w:pPr>
              <w:pStyle w:val="Tablebullet2"/>
            </w:pPr>
            <w:r w:rsidRPr="00315936">
              <w:t>19: Intentional self-harm – suicide attempt </w:t>
            </w:r>
          </w:p>
          <w:p w14:paraId="1ECDFB65" w14:textId="77777777" w:rsidR="00C534AC" w:rsidRPr="00315936" w:rsidRDefault="00C534AC" w:rsidP="00C534AC">
            <w:pPr>
              <w:pStyle w:val="Tablebullet2"/>
            </w:pPr>
            <w:r w:rsidRPr="00315936">
              <w:t>20: Intentional self-harm – suicidal intent cannot be determined </w:t>
            </w:r>
          </w:p>
          <w:p w14:paraId="5F32204A" w14:textId="77777777" w:rsidR="00C534AC" w:rsidRPr="00315936" w:rsidRDefault="00C534AC" w:rsidP="00C534AC">
            <w:pPr>
              <w:pStyle w:val="Tablebullet1"/>
            </w:pPr>
            <w:r w:rsidRPr="00315936">
              <w:t>A primary or other diagnosis of: </w:t>
            </w:r>
          </w:p>
          <w:p w14:paraId="210DA57B" w14:textId="77777777" w:rsidR="00C534AC" w:rsidRPr="00315936" w:rsidRDefault="00C534AC" w:rsidP="00C534AC">
            <w:pPr>
              <w:pStyle w:val="Tablebullet2"/>
            </w:pPr>
            <w:r w:rsidRPr="00315936">
              <w:t>F01-F99: Mental and behavioural disorders </w:t>
            </w:r>
          </w:p>
          <w:p w14:paraId="2392170F" w14:textId="77777777" w:rsidR="00C534AC" w:rsidRPr="00315936" w:rsidRDefault="00C534AC" w:rsidP="00C534AC">
            <w:pPr>
              <w:pStyle w:val="Tablebullet2"/>
            </w:pPr>
            <w:r w:rsidRPr="00315936">
              <w:t>Z004: General psychiatric examination, not elsewhere classified </w:t>
            </w:r>
          </w:p>
          <w:p w14:paraId="368B56D8" w14:textId="77777777" w:rsidR="00C534AC" w:rsidRPr="00315936" w:rsidRDefault="00C534AC" w:rsidP="00C534AC">
            <w:pPr>
              <w:pStyle w:val="Tablebullet2"/>
            </w:pPr>
            <w:r w:rsidRPr="00315936">
              <w:t>Z046: General psychiatric examination, requested by authority </w:t>
            </w:r>
          </w:p>
          <w:p w14:paraId="1A8F5F62" w14:textId="77777777" w:rsidR="00C534AC" w:rsidRPr="00315936" w:rsidRDefault="00C534AC" w:rsidP="00C534AC">
            <w:pPr>
              <w:pStyle w:val="Tablebullet2"/>
            </w:pPr>
            <w:r w:rsidRPr="00315936">
              <w:t>Z915: Personal history of self-harm </w:t>
            </w:r>
          </w:p>
          <w:p w14:paraId="094AEDF3" w14:textId="77777777" w:rsidR="00C534AC" w:rsidRPr="00315936" w:rsidRDefault="00C534AC" w:rsidP="00C534AC">
            <w:pPr>
              <w:pStyle w:val="Tablebullet2"/>
            </w:pPr>
            <w:r w:rsidRPr="00315936">
              <w:lastRenderedPageBreak/>
              <w:t>R4581: Suicidal ideation </w:t>
            </w:r>
          </w:p>
          <w:p w14:paraId="1A97315C" w14:textId="77777777" w:rsidR="00C534AC" w:rsidRPr="00315936" w:rsidRDefault="00C534AC" w:rsidP="00C534AC">
            <w:pPr>
              <w:pStyle w:val="Tablebullet1"/>
            </w:pPr>
            <w:r w:rsidRPr="00315936">
              <w:t>The ‘seen by mental health practitioner’ date/time field is not null  </w:t>
            </w:r>
          </w:p>
          <w:p w14:paraId="354D6519" w14:textId="77777777" w:rsidR="00C534AC" w:rsidRPr="00315936" w:rsidRDefault="00C534AC" w:rsidP="00C534AC">
            <w:pPr>
              <w:pStyle w:val="Tablebullet1"/>
            </w:pPr>
            <w:r w:rsidRPr="00315936">
              <w:t>A ‘departure status’ code of: </w:t>
            </w:r>
          </w:p>
          <w:p w14:paraId="752C3F47" w14:textId="77777777" w:rsidR="00C534AC" w:rsidRPr="00315936" w:rsidRDefault="00C534AC" w:rsidP="00C534AC">
            <w:pPr>
              <w:pStyle w:val="Tablebullet2"/>
            </w:pPr>
            <w:r w:rsidRPr="00315936">
              <w:t>17: Mental health bed at another hospital campus </w:t>
            </w:r>
          </w:p>
          <w:p w14:paraId="3D8486C5" w14:textId="77777777" w:rsidR="00C534AC" w:rsidRPr="00315936" w:rsidRDefault="00C534AC" w:rsidP="00C534AC">
            <w:pPr>
              <w:pStyle w:val="Tablebullet2"/>
            </w:pPr>
            <w:r w:rsidRPr="00315936">
              <w:t>23: Mental health residential facility </w:t>
            </w:r>
          </w:p>
          <w:p w14:paraId="203316B3" w14:textId="77777777" w:rsidR="00C534AC" w:rsidRPr="00315936" w:rsidRDefault="00C534AC" w:rsidP="00C534AC">
            <w:pPr>
              <w:pStyle w:val="Tablebullet2"/>
            </w:pPr>
            <w:r w:rsidRPr="00315936">
              <w:t>25: Mental health observation / assessment unit </w:t>
            </w:r>
          </w:p>
          <w:p w14:paraId="62FA906A" w14:textId="77777777" w:rsidR="00C534AC" w:rsidRPr="00315936" w:rsidRDefault="00C534AC" w:rsidP="00C534AC">
            <w:pPr>
              <w:pStyle w:val="Tablebullet2"/>
            </w:pPr>
            <w:r w:rsidRPr="00315936">
              <w:t>26: Other mental health bed – this campus</w:t>
            </w:r>
          </w:p>
          <w:p w14:paraId="418325F9" w14:textId="77777777" w:rsidR="00C534AC" w:rsidRPr="00315936" w:rsidRDefault="00C534AC" w:rsidP="00C534AC">
            <w:pPr>
              <w:pStyle w:val="Tablebullet2"/>
            </w:pPr>
            <w:r w:rsidRPr="00315936">
              <w:t>31: Mental health and AoD hub short stay unit </w:t>
            </w:r>
          </w:p>
          <w:p w14:paraId="7BEE2657" w14:textId="77777777" w:rsidR="00186A4F" w:rsidRPr="00535D2B" w:rsidRDefault="00C534AC" w:rsidP="00C534AC">
            <w:pPr>
              <w:pStyle w:val="Tablebullet1"/>
              <w:rPr>
                <w:rFonts w:eastAsia="Arial" w:cs="Arial"/>
                <w:color w:val="000000" w:themeColor="text1"/>
                <w:szCs w:val="21"/>
              </w:rPr>
            </w:pPr>
            <w:r>
              <w:t>A ‘referred to on departure’ code of ‘11’: Mental Health Community Service</w:t>
            </w:r>
          </w:p>
          <w:p w14:paraId="2359343D" w14:textId="2F74AB18" w:rsidR="002F5726" w:rsidRPr="00EA430A" w:rsidRDefault="70639E67" w:rsidP="554FA974">
            <w:pPr>
              <w:pStyle w:val="Tabletext"/>
              <w:ind w:right="113"/>
              <w:rPr>
                <w:rFonts w:eastAsia="VIC" w:cs="Arial"/>
                <w:szCs w:val="21"/>
              </w:rPr>
            </w:pPr>
            <w:r w:rsidRPr="00EA430A">
              <w:rPr>
                <w:rFonts w:eastAsia="VIC" w:cs="Arial"/>
                <w:szCs w:val="21"/>
              </w:rPr>
              <w:t>Exclusions:</w:t>
            </w:r>
          </w:p>
          <w:p w14:paraId="23854307" w14:textId="32B3D671" w:rsidR="002F5726" w:rsidRPr="00EA430A" w:rsidRDefault="70639E67" w:rsidP="00EA430A">
            <w:pPr>
              <w:pStyle w:val="Tablebullet1"/>
              <w:rPr>
                <w:rFonts w:eastAsia="VIC" w:cs="Arial"/>
                <w:color w:val="000000" w:themeColor="text1"/>
                <w:szCs w:val="21"/>
              </w:rPr>
            </w:pPr>
            <w:r w:rsidRPr="003D3F86">
              <w:rPr>
                <w:rFonts w:eastAsia="VIC"/>
              </w:rPr>
              <w:t xml:space="preserve">Triage Category '6' Dead on Arrival. </w:t>
            </w:r>
          </w:p>
          <w:p w14:paraId="71DEE8BB" w14:textId="23BF81C5" w:rsidR="002B7B00" w:rsidRPr="00535D2B" w:rsidRDefault="00780C3F">
            <w:pPr>
              <w:pStyle w:val="Tablebullet1"/>
              <w:rPr>
                <w:rFonts w:ascii="VIC" w:eastAsia="VIC" w:hAnsi="VIC" w:cs="VIC"/>
                <w:sz w:val="20"/>
              </w:rPr>
            </w:pPr>
            <w:r>
              <w:rPr>
                <w:rFonts w:eastAsia="VIC"/>
              </w:rPr>
              <w:t>VVED presentations</w:t>
            </w:r>
          </w:p>
          <w:p w14:paraId="38BD652F" w14:textId="7EF58463" w:rsidR="0005326D" w:rsidRPr="0005326D" w:rsidRDefault="00BB0A1A">
            <w:pPr>
              <w:pStyle w:val="Tablebullet1"/>
              <w:rPr>
                <w:rFonts w:ascii="VIC" w:eastAsia="VIC" w:hAnsi="VIC" w:cs="VIC"/>
                <w:sz w:val="20"/>
              </w:rPr>
            </w:pPr>
            <w:r>
              <w:rPr>
                <w:rFonts w:eastAsia="VIC"/>
              </w:rPr>
              <w:t>Other virtual care presentations.</w:t>
            </w:r>
            <w:r w:rsidR="009934D6">
              <w:rPr>
                <w:rFonts w:eastAsia="VIC"/>
              </w:rPr>
              <w:t xml:space="preserve"> </w:t>
            </w:r>
          </w:p>
          <w:p w14:paraId="7FDA07B7" w14:textId="400FC9CC" w:rsidR="002F5726" w:rsidRPr="00EA40F1" w:rsidRDefault="00D932F4">
            <w:pPr>
              <w:pStyle w:val="Tablebullet1"/>
              <w:rPr>
                <w:rFonts w:ascii="VIC" w:eastAsia="VIC" w:hAnsi="VIC" w:cs="VIC"/>
                <w:sz w:val="20"/>
              </w:rPr>
            </w:pPr>
            <w:r>
              <w:rPr>
                <w:rFonts w:eastAsia="VIC"/>
              </w:rPr>
              <w:t>P</w:t>
            </w:r>
            <w:r w:rsidR="70639E67" w:rsidRPr="00CD6D6D">
              <w:rPr>
                <w:rFonts w:eastAsia="VIC"/>
              </w:rPr>
              <w:t>resentations to Mercy Women's, Royal Women's and Eye and Ear emergency</w:t>
            </w:r>
          </w:p>
          <w:p w14:paraId="5D4A8963" w14:textId="04E23A89" w:rsidR="002F5726" w:rsidRDefault="00EA40F1" w:rsidP="00EA40F1">
            <w:pPr>
              <w:pStyle w:val="Tabletext"/>
              <w:rPr>
                <w:rFonts w:ascii="VIC" w:eastAsia="VIC" w:hAnsi="VIC" w:cs="VIC"/>
                <w:sz w:val="20"/>
              </w:rPr>
            </w:pPr>
            <w:r w:rsidRPr="00315936">
              <w:t xml:space="preserve">This measure is </w:t>
            </w:r>
            <w:r w:rsidR="00B0172B">
              <w:t>reported</w:t>
            </w:r>
            <w:r w:rsidR="00B0172B" w:rsidRPr="00315936">
              <w:t xml:space="preserve"> </w:t>
            </w:r>
            <w:r w:rsidRPr="00315936">
              <w:t>at the campus level</w:t>
            </w:r>
            <w:r w:rsidR="00A7107B">
              <w:t>.</w:t>
            </w:r>
            <w:r w:rsidRPr="00315936">
              <w:t xml:space="preserve"> </w:t>
            </w:r>
          </w:p>
        </w:tc>
      </w:tr>
      <w:tr w:rsidR="002F5726" w14:paraId="73977C9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106902C" w14:textId="77777777" w:rsidR="002F5726" w:rsidRDefault="002F5726">
            <w:pPr>
              <w:pStyle w:val="Tablecolhead"/>
              <w:rPr>
                <w:b w:val="0"/>
                <w:lang w:eastAsia="en-AU"/>
              </w:rPr>
            </w:pPr>
            <w:r w:rsidRPr="686ABE5A">
              <w:rPr>
                <w:b w:val="0"/>
                <w:lang w:eastAsia="en-AU"/>
              </w:rPr>
              <w:lastRenderedPageBreak/>
              <w:t>Numerator</w:t>
            </w:r>
          </w:p>
        </w:tc>
        <w:tc>
          <w:tcPr>
            <w:tcW w:w="7512" w:type="dxa"/>
            <w:tcBorders>
              <w:left w:val="single" w:sz="4" w:space="0" w:color="FFFFFF" w:themeColor="background1"/>
            </w:tcBorders>
          </w:tcPr>
          <w:p w14:paraId="43D593E4" w14:textId="77777777" w:rsidR="002F5726" w:rsidRDefault="002F5726">
            <w:pPr>
              <w:pStyle w:val="Tabletext"/>
              <w:rPr>
                <w:lang w:eastAsia="en-AU"/>
              </w:rPr>
            </w:pPr>
            <w:r w:rsidRPr="686ABE5A">
              <w:rPr>
                <w:lang w:val="en-US" w:eastAsia="en-AU"/>
              </w:rPr>
              <w:t xml:space="preserve">Number of emergency department presentations transferred to a mental health bed within 8 hours of arrival.  </w:t>
            </w:r>
          </w:p>
        </w:tc>
      </w:tr>
      <w:tr w:rsidR="002F5726" w14:paraId="0F8FBBC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593F391" w14:textId="77777777" w:rsidR="002F5726" w:rsidRDefault="002F5726">
            <w:pPr>
              <w:pStyle w:val="Tablecolhead"/>
              <w:rPr>
                <w:b w:val="0"/>
                <w:lang w:eastAsia="en-AU"/>
              </w:rPr>
            </w:pPr>
            <w:r w:rsidRPr="686ABE5A">
              <w:rPr>
                <w:b w:val="0"/>
                <w:lang w:eastAsia="en-AU"/>
              </w:rPr>
              <w:t>Denominator</w:t>
            </w:r>
          </w:p>
        </w:tc>
        <w:tc>
          <w:tcPr>
            <w:tcW w:w="7512" w:type="dxa"/>
            <w:tcBorders>
              <w:left w:val="single" w:sz="4" w:space="0" w:color="FFFFFF" w:themeColor="background1"/>
            </w:tcBorders>
          </w:tcPr>
          <w:p w14:paraId="67F3D06C" w14:textId="77777777" w:rsidR="002F5726" w:rsidRDefault="002F5726">
            <w:pPr>
              <w:pStyle w:val="Tabletext"/>
              <w:rPr>
                <w:lang w:eastAsia="en-AU"/>
              </w:rPr>
            </w:pPr>
            <w:r w:rsidRPr="686ABE5A">
              <w:rPr>
                <w:lang w:val="en-US" w:eastAsia="en-AU"/>
              </w:rPr>
              <w:t xml:space="preserve">Number of emergency department presentations that were transferred to a mental health bed. </w:t>
            </w:r>
          </w:p>
        </w:tc>
      </w:tr>
      <w:tr w:rsidR="002F5726" w14:paraId="59401ED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82323B3" w14:textId="77777777" w:rsidR="002F5726" w:rsidRDefault="002F5726">
            <w:pPr>
              <w:pStyle w:val="Tablecolhead"/>
              <w:rPr>
                <w:b w:val="0"/>
                <w:lang w:eastAsia="en-AU"/>
              </w:rPr>
            </w:pPr>
            <w:r w:rsidRPr="686ABE5A">
              <w:rPr>
                <w:b w:val="0"/>
                <w:lang w:eastAsia="en-AU"/>
              </w:rPr>
              <w:t>Statewide target</w:t>
            </w:r>
          </w:p>
        </w:tc>
        <w:tc>
          <w:tcPr>
            <w:tcW w:w="7512" w:type="dxa"/>
            <w:tcBorders>
              <w:left w:val="single" w:sz="4" w:space="0" w:color="FFFFFF" w:themeColor="background1"/>
            </w:tcBorders>
          </w:tcPr>
          <w:p w14:paraId="171D472C" w14:textId="77777777" w:rsidR="002F5726" w:rsidRDefault="002F5726">
            <w:pPr>
              <w:pStyle w:val="Tabletext"/>
              <w:rPr>
                <w:lang w:eastAsia="en-AU"/>
              </w:rPr>
            </w:pPr>
            <w:r w:rsidRPr="686ABE5A">
              <w:rPr>
                <w:lang w:val="en-US" w:eastAsia="en-AU"/>
              </w:rPr>
              <w:t>80 per cent</w:t>
            </w:r>
            <w:r w:rsidRPr="686ABE5A">
              <w:rPr>
                <w:rFonts w:ascii="Cambria" w:hAnsi="Cambria" w:cs="Cambria"/>
                <w:lang w:eastAsia="en-AU"/>
              </w:rPr>
              <w:t> </w:t>
            </w:r>
          </w:p>
        </w:tc>
      </w:tr>
      <w:tr w:rsidR="002F5726" w14:paraId="229EF29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BEC700F" w14:textId="77777777" w:rsidR="002F5726" w:rsidRDefault="002F5726">
            <w:pPr>
              <w:pStyle w:val="Tablecolhead"/>
              <w:rPr>
                <w:b w:val="0"/>
                <w:lang w:eastAsia="en-AU"/>
              </w:rPr>
            </w:pPr>
            <w:r w:rsidRPr="686ABE5A">
              <w:rPr>
                <w:b w:val="0"/>
                <w:lang w:eastAsia="en-AU"/>
              </w:rPr>
              <w:t>Achieved</w:t>
            </w:r>
          </w:p>
        </w:tc>
        <w:tc>
          <w:tcPr>
            <w:tcW w:w="7512" w:type="dxa"/>
            <w:tcBorders>
              <w:left w:val="single" w:sz="4" w:space="0" w:color="FFFFFF" w:themeColor="background1"/>
            </w:tcBorders>
          </w:tcPr>
          <w:p w14:paraId="0893A148" w14:textId="77777777" w:rsidR="002F5726" w:rsidRDefault="002F5726">
            <w:pPr>
              <w:pStyle w:val="Tabletext"/>
              <w:rPr>
                <w:lang w:eastAsia="en-AU"/>
              </w:rPr>
            </w:pPr>
            <w:r w:rsidRPr="686ABE5A">
              <w:rPr>
                <w:lang w:val="en-US" w:eastAsia="en-AU"/>
              </w:rPr>
              <w:t>Greater than or equal to 80 per cent</w:t>
            </w:r>
            <w:r w:rsidRPr="686ABE5A">
              <w:rPr>
                <w:rFonts w:ascii="Cambria" w:hAnsi="Cambria" w:cs="Cambria"/>
                <w:lang w:eastAsia="en-AU"/>
              </w:rPr>
              <w:t> </w:t>
            </w:r>
          </w:p>
        </w:tc>
      </w:tr>
      <w:tr w:rsidR="002F5726" w14:paraId="01B72B1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6CE585C" w14:textId="77777777" w:rsidR="002F5726" w:rsidRDefault="002F5726">
            <w:pPr>
              <w:pStyle w:val="Tablecolhead"/>
              <w:rPr>
                <w:b w:val="0"/>
                <w:lang w:eastAsia="en-AU"/>
              </w:rPr>
            </w:pPr>
            <w:r w:rsidRPr="686ABE5A">
              <w:rPr>
                <w:b w:val="0"/>
                <w:lang w:eastAsia="en-AU"/>
              </w:rPr>
              <w:t>Not achieved</w:t>
            </w:r>
          </w:p>
        </w:tc>
        <w:tc>
          <w:tcPr>
            <w:tcW w:w="7512" w:type="dxa"/>
            <w:tcBorders>
              <w:left w:val="single" w:sz="4" w:space="0" w:color="FFFFFF" w:themeColor="background1"/>
            </w:tcBorders>
          </w:tcPr>
          <w:p w14:paraId="7520ADC4" w14:textId="77777777" w:rsidR="002F5726" w:rsidRDefault="002F5726">
            <w:pPr>
              <w:pStyle w:val="Tabletext"/>
              <w:rPr>
                <w:lang w:eastAsia="en-AU"/>
              </w:rPr>
            </w:pPr>
            <w:r w:rsidRPr="686ABE5A">
              <w:rPr>
                <w:lang w:val="en-US" w:eastAsia="en-AU"/>
              </w:rPr>
              <w:t>Less than 80 per cent</w:t>
            </w:r>
            <w:r w:rsidRPr="686ABE5A">
              <w:rPr>
                <w:rFonts w:ascii="Cambria" w:hAnsi="Cambria" w:cs="Cambria"/>
                <w:lang w:eastAsia="en-AU"/>
              </w:rPr>
              <w:t> </w:t>
            </w:r>
          </w:p>
        </w:tc>
      </w:tr>
      <w:tr w:rsidR="002F5726" w14:paraId="03C1528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AFC168C" w14:textId="77777777" w:rsidR="002F5726" w:rsidRDefault="002F5726">
            <w:pPr>
              <w:pStyle w:val="Tablecolhead"/>
              <w:rPr>
                <w:b w:val="0"/>
                <w:lang w:eastAsia="en-AU"/>
              </w:rPr>
            </w:pPr>
            <w:r w:rsidRPr="686ABE5A">
              <w:rPr>
                <w:b w:val="0"/>
                <w:lang w:eastAsia="en-AU"/>
              </w:rPr>
              <w:t>Improvement</w:t>
            </w:r>
          </w:p>
        </w:tc>
        <w:tc>
          <w:tcPr>
            <w:tcW w:w="7512" w:type="dxa"/>
            <w:tcBorders>
              <w:left w:val="single" w:sz="4" w:space="0" w:color="FFFFFF" w:themeColor="background1"/>
            </w:tcBorders>
          </w:tcPr>
          <w:p w14:paraId="63F9DDDD" w14:textId="64F56B6D" w:rsidR="002F5726" w:rsidRDefault="003915D7">
            <w:pPr>
              <w:pStyle w:val="Tabletext"/>
              <w:rPr>
                <w:lang w:eastAsia="en-AU"/>
              </w:rPr>
            </w:pPr>
            <w:r>
              <w:rPr>
                <w:lang w:val="en-US" w:eastAsia="en-AU"/>
              </w:rPr>
              <w:t>For the purpose of the performance risk assessment, i</w:t>
            </w:r>
            <w:r w:rsidR="002F5726" w:rsidRPr="686ABE5A">
              <w:rPr>
                <w:lang w:val="en-US" w:eastAsia="en-AU"/>
              </w:rPr>
              <w:t xml:space="preserve">mprovement is calculated based on same </w:t>
            </w:r>
            <w:r w:rsidR="006738BA">
              <w:rPr>
                <w:lang w:val="en-US" w:eastAsia="en-AU"/>
              </w:rPr>
              <w:t>period</w:t>
            </w:r>
            <w:r w:rsidR="002F5726" w:rsidRPr="686ABE5A">
              <w:rPr>
                <w:lang w:val="en-US" w:eastAsia="en-AU"/>
              </w:rPr>
              <w:t xml:space="preserve"> last year performance.</w:t>
            </w:r>
            <w:r w:rsidR="002F5726" w:rsidRPr="686ABE5A">
              <w:rPr>
                <w:rFonts w:ascii="Cambria" w:hAnsi="Cambria" w:cs="Cambria"/>
                <w:lang w:eastAsia="en-AU"/>
              </w:rPr>
              <w:t> </w:t>
            </w:r>
          </w:p>
        </w:tc>
      </w:tr>
      <w:tr w:rsidR="002F5726" w14:paraId="2811876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A871C4B" w14:textId="77777777" w:rsidR="002F5726" w:rsidRDefault="002F5726">
            <w:pPr>
              <w:pStyle w:val="Tablecolhead"/>
              <w:rPr>
                <w:b w:val="0"/>
                <w:lang w:eastAsia="en-AU"/>
              </w:rPr>
            </w:pPr>
            <w:r w:rsidRPr="686ABE5A">
              <w:rPr>
                <w:b w:val="0"/>
                <w:lang w:eastAsia="en-AU"/>
              </w:rPr>
              <w:t>Frequency of reporting and data collection</w:t>
            </w:r>
          </w:p>
        </w:tc>
        <w:tc>
          <w:tcPr>
            <w:tcW w:w="7512" w:type="dxa"/>
            <w:tcBorders>
              <w:left w:val="single" w:sz="4" w:space="0" w:color="FFFFFF" w:themeColor="background1"/>
            </w:tcBorders>
          </w:tcPr>
          <w:p w14:paraId="1C5545A3" w14:textId="75EC56AF" w:rsidR="002F5726" w:rsidRDefault="002F5726">
            <w:pPr>
              <w:pStyle w:val="Tabletext"/>
              <w:rPr>
                <w:lang w:val="en-US" w:eastAsia="en-AU"/>
              </w:rPr>
            </w:pPr>
            <w:r w:rsidRPr="686ABE5A">
              <w:rPr>
                <w:lang w:val="en-US" w:eastAsia="en-AU"/>
              </w:rPr>
              <w:t>Performance is reported monthly, quarterly and annually.</w:t>
            </w:r>
          </w:p>
          <w:p w14:paraId="0E5D3045" w14:textId="77777777" w:rsidR="002F5726" w:rsidRDefault="002F5726">
            <w:pPr>
              <w:pStyle w:val="Tabletext"/>
              <w:rPr>
                <w:lang w:eastAsia="en-AU"/>
              </w:rPr>
            </w:pPr>
            <w:r w:rsidRPr="686ABE5A">
              <w:rPr>
                <w:lang w:eastAsia="en-AU"/>
              </w:rPr>
              <w:t xml:space="preserve">Data are sourced from </w:t>
            </w:r>
            <w:r>
              <w:t>the Victorian Emergency Minimum Dataset (VEMD).</w:t>
            </w:r>
          </w:p>
        </w:tc>
      </w:tr>
    </w:tbl>
    <w:p w14:paraId="46DC2F78" w14:textId="4E21DCA0" w:rsidR="0082352B" w:rsidRPr="00315936" w:rsidRDefault="755E87E8" w:rsidP="008E7F78">
      <w:pPr>
        <w:pStyle w:val="Heading4"/>
      </w:pPr>
      <w:r w:rsidRPr="686ABE5A">
        <w:t>Number of admitted mental health occupied bed days</w:t>
      </w:r>
    </w:p>
    <w:tbl>
      <w:tblPr>
        <w:tblStyle w:val="TableGrid"/>
        <w:tblW w:w="9349" w:type="dxa"/>
        <w:tblLook w:val="04A0" w:firstRow="1" w:lastRow="0" w:firstColumn="1" w:lastColumn="0" w:noHBand="0" w:noVBand="1"/>
      </w:tblPr>
      <w:tblGrid>
        <w:gridCol w:w="1837"/>
        <w:gridCol w:w="7512"/>
      </w:tblGrid>
      <w:tr w:rsidR="007B4887" w:rsidRPr="00315936" w14:paraId="2B18BBB8"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211F945" w14:textId="3479D490" w:rsidR="00186950" w:rsidRPr="00315936" w:rsidRDefault="00C3016B" w:rsidP="001A453F">
            <w:pPr>
              <w:pStyle w:val="Tablecolhead"/>
              <w:keepNext/>
              <w:rPr>
                <w:b w:val="0"/>
                <w:lang w:eastAsia="en-AU"/>
              </w:rPr>
            </w:pPr>
            <w:r w:rsidRPr="00315936">
              <w:rPr>
                <w:b w:val="0"/>
                <w:lang w:eastAsia="en-AU"/>
              </w:rPr>
              <w:t>Measure</w:t>
            </w:r>
          </w:p>
        </w:tc>
        <w:tc>
          <w:tcPr>
            <w:tcW w:w="7512" w:type="dxa"/>
            <w:tcBorders>
              <w:left w:val="single" w:sz="4" w:space="0" w:color="FFFFFF" w:themeColor="background1"/>
            </w:tcBorders>
          </w:tcPr>
          <w:p w14:paraId="130676DF" w14:textId="18122A1E" w:rsidR="686ABE5A" w:rsidRDefault="686ABE5A" w:rsidP="002D13DE">
            <w:pPr>
              <w:pStyle w:val="Tabletext"/>
              <w:rPr>
                <w:rFonts w:eastAsia="Arial"/>
              </w:rPr>
            </w:pPr>
            <w:r w:rsidRPr="686ABE5A">
              <w:rPr>
                <w:rFonts w:eastAsia="Arial"/>
              </w:rPr>
              <w:t>Number of admitted mental health occupied bed days</w:t>
            </w:r>
          </w:p>
        </w:tc>
      </w:tr>
      <w:tr w:rsidR="00ED61B3" w:rsidRPr="00315936" w14:paraId="4F18DA8E"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EE654A3" w14:textId="77777777" w:rsidR="004D2D42" w:rsidRPr="00315936" w:rsidRDefault="004D2D42" w:rsidP="001A453F">
            <w:pPr>
              <w:pStyle w:val="Tablecolhead"/>
              <w:keepNext/>
              <w:rPr>
                <w:b w:val="0"/>
                <w:lang w:eastAsia="en-AU"/>
              </w:rPr>
            </w:pPr>
            <w:r w:rsidRPr="00315936">
              <w:rPr>
                <w:b w:val="0"/>
                <w:lang w:eastAsia="en-AU"/>
              </w:rPr>
              <w:t>Description </w:t>
            </w:r>
          </w:p>
        </w:tc>
        <w:tc>
          <w:tcPr>
            <w:tcW w:w="7512" w:type="dxa"/>
            <w:tcBorders>
              <w:left w:val="single" w:sz="4" w:space="0" w:color="FFFFFF" w:themeColor="background1"/>
            </w:tcBorders>
          </w:tcPr>
          <w:p w14:paraId="752F2E43" w14:textId="77777777" w:rsidR="00427776" w:rsidRPr="00315936" w:rsidRDefault="00427776" w:rsidP="00CD6D6D">
            <w:pPr>
              <w:pStyle w:val="Tabletext"/>
              <w:rPr>
                <w:rFonts w:eastAsia="Arial"/>
              </w:rPr>
            </w:pPr>
            <w:r w:rsidRPr="686ABE5A">
              <w:rPr>
                <w:rFonts w:eastAsia="Arial"/>
              </w:rPr>
              <w:t>This measure calculates the number of occupied bed days within mental health inpatient units and secure extended care units (SECU).</w:t>
            </w:r>
          </w:p>
          <w:p w14:paraId="1549E668" w14:textId="5DD9C007" w:rsidR="004D2D42" w:rsidRPr="003078AC" w:rsidRDefault="001B3C0E" w:rsidP="002D13DE">
            <w:pPr>
              <w:pStyle w:val="Tabletext"/>
              <w:rPr>
                <w:rFonts w:eastAsia="Arial"/>
              </w:rPr>
            </w:pPr>
            <w:r w:rsidRPr="002D13DE">
              <w:rPr>
                <w:rFonts w:eastAsia="Arial"/>
              </w:rPr>
              <w:t>Occu</w:t>
            </w:r>
            <w:r w:rsidR="00074B3B" w:rsidRPr="002D13DE">
              <w:rPr>
                <w:rFonts w:eastAsia="Arial"/>
              </w:rPr>
              <w:t xml:space="preserve">pied bed days are used by the department to </w:t>
            </w:r>
            <w:r w:rsidR="001468CC" w:rsidRPr="002D13DE">
              <w:rPr>
                <w:rFonts w:eastAsia="Arial"/>
              </w:rPr>
              <w:t xml:space="preserve">monitor current levels of </w:t>
            </w:r>
            <w:r w:rsidR="003A2324" w:rsidRPr="002D13DE">
              <w:rPr>
                <w:rFonts w:eastAsia="Arial"/>
              </w:rPr>
              <w:t>mental health activity and operational beds.</w:t>
            </w:r>
          </w:p>
        </w:tc>
      </w:tr>
      <w:tr w:rsidR="00ED61B3" w:rsidRPr="00315936" w14:paraId="5E58C8CF"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7854AF6" w14:textId="77777777" w:rsidR="004D2D42" w:rsidRPr="00315936" w:rsidRDefault="004D2D42" w:rsidP="004D2D42">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34658BBE" w14:textId="050DD491" w:rsidR="00326601" w:rsidRDefault="00326601" w:rsidP="007E702A">
            <w:pPr>
              <w:pStyle w:val="Tabletext"/>
              <w:rPr>
                <w:rFonts w:eastAsia="Arial" w:cs="Arial"/>
              </w:rPr>
            </w:pPr>
            <w:r w:rsidRPr="007E702A">
              <w:rPr>
                <w:rFonts w:eastAsia="Arial"/>
              </w:rPr>
              <w:t xml:space="preserve">Occupied bed days </w:t>
            </w:r>
            <w:r w:rsidR="006D48FC" w:rsidRPr="007E702A">
              <w:rPr>
                <w:rFonts w:eastAsia="Arial"/>
              </w:rPr>
              <w:t xml:space="preserve">(including </w:t>
            </w:r>
            <w:r w:rsidRPr="007E702A">
              <w:rPr>
                <w:rFonts w:eastAsia="Arial"/>
              </w:rPr>
              <w:t>leave days</w:t>
            </w:r>
            <w:r w:rsidR="006D48FC" w:rsidRPr="007E702A">
              <w:rPr>
                <w:rFonts w:eastAsia="Arial"/>
              </w:rPr>
              <w:t>)</w:t>
            </w:r>
            <w:r w:rsidRPr="007E702A">
              <w:rPr>
                <w:rFonts w:eastAsia="Arial"/>
              </w:rPr>
              <w:t xml:space="preserve"> per admission event are calculated by taking the difference in minutes between the start date and time and end date and time, </w:t>
            </w:r>
            <w:r w:rsidR="00667CDB">
              <w:rPr>
                <w:rFonts w:eastAsia="Arial"/>
              </w:rPr>
              <w:t>and</w:t>
            </w:r>
            <w:r w:rsidR="00667CDB" w:rsidRPr="007E702A">
              <w:rPr>
                <w:rFonts w:eastAsia="Arial"/>
              </w:rPr>
              <w:t xml:space="preserve"> </w:t>
            </w:r>
            <w:r w:rsidRPr="007E702A">
              <w:rPr>
                <w:rFonts w:eastAsia="Arial"/>
              </w:rPr>
              <w:t>converting the time difference to days</w:t>
            </w:r>
            <w:r w:rsidR="0017419F" w:rsidRPr="007E702A">
              <w:rPr>
                <w:rFonts w:eastAsia="Arial"/>
              </w:rPr>
              <w:t xml:space="preserve">, including part days. </w:t>
            </w:r>
            <w:r w:rsidR="00BB008F" w:rsidRPr="007E702A">
              <w:rPr>
                <w:rFonts w:eastAsia="Arial"/>
              </w:rPr>
              <w:t xml:space="preserve">For example, </w:t>
            </w:r>
            <w:r w:rsidR="007745DD" w:rsidRPr="007E702A">
              <w:rPr>
                <w:rFonts w:eastAsia="Arial"/>
              </w:rPr>
              <w:t>36 hours convert</w:t>
            </w:r>
            <w:r w:rsidR="001E626C">
              <w:rPr>
                <w:rFonts w:eastAsia="Arial"/>
              </w:rPr>
              <w:t>s</w:t>
            </w:r>
            <w:r w:rsidR="007745DD" w:rsidRPr="007E702A">
              <w:rPr>
                <w:rFonts w:eastAsia="Arial"/>
              </w:rPr>
              <w:t xml:space="preserve"> to 1.5 days.</w:t>
            </w:r>
            <w:r w:rsidRPr="007E702A">
              <w:rPr>
                <w:rFonts w:eastAsia="Arial"/>
              </w:rPr>
              <w:t xml:space="preserve"> </w:t>
            </w:r>
            <w:r w:rsidRPr="3F528552">
              <w:rPr>
                <w:rFonts w:eastAsia="Arial" w:cs="Arial"/>
              </w:rPr>
              <w:t xml:space="preserve"> </w:t>
            </w:r>
          </w:p>
          <w:p w14:paraId="5606505C" w14:textId="3D9ACD06" w:rsidR="004D2D42" w:rsidRPr="007E702A" w:rsidRDefault="446F8537" w:rsidP="007E702A">
            <w:pPr>
              <w:pStyle w:val="Tabletext"/>
              <w:rPr>
                <w:rFonts w:eastAsia="Arial"/>
              </w:rPr>
            </w:pPr>
            <w:r w:rsidRPr="007E702A">
              <w:rPr>
                <w:rFonts w:eastAsia="Arial"/>
              </w:rPr>
              <w:t xml:space="preserve">Mental health inpatient units and SECUs are determined at the CMI/ODS subcentre level. </w:t>
            </w:r>
          </w:p>
          <w:p w14:paraId="6FEE1850" w14:textId="749FB7E8" w:rsidR="004D2D42" w:rsidRPr="007E702A" w:rsidRDefault="446F8537" w:rsidP="007E702A">
            <w:pPr>
              <w:pStyle w:val="Tabletext"/>
              <w:rPr>
                <w:rFonts w:eastAsia="Arial"/>
              </w:rPr>
            </w:pPr>
            <w:r w:rsidRPr="007E702A">
              <w:rPr>
                <w:rFonts w:eastAsia="Arial"/>
              </w:rPr>
              <w:t xml:space="preserve">The following bed types are excluded from the calculation: </w:t>
            </w:r>
          </w:p>
          <w:p w14:paraId="42034227" w14:textId="77EE5CA7" w:rsidR="004D2D42" w:rsidRPr="00CD6D6D" w:rsidRDefault="446F8537" w:rsidP="00CD6D6D">
            <w:pPr>
              <w:pStyle w:val="Tablebullet1"/>
              <w:rPr>
                <w:rFonts w:eastAsia="Arial"/>
              </w:rPr>
            </w:pPr>
            <w:r w:rsidRPr="00CD6D6D">
              <w:rPr>
                <w:rFonts w:eastAsia="Arial"/>
              </w:rPr>
              <w:t xml:space="preserve">Sub-contracted private beds - excluding the Women’s Recovery Network, and </w:t>
            </w:r>
          </w:p>
          <w:p w14:paraId="1F997CE3" w14:textId="1E1187F1" w:rsidR="004D2D42" w:rsidRPr="00C6447E" w:rsidRDefault="446F8537" w:rsidP="00CD6D6D">
            <w:pPr>
              <w:pStyle w:val="Tablebullet1"/>
              <w:rPr>
                <w:rFonts w:eastAsia="Arial" w:cs="Arial"/>
                <w:sz w:val="22"/>
                <w:szCs w:val="22"/>
              </w:rPr>
            </w:pPr>
            <w:r w:rsidRPr="00CD6D6D">
              <w:rPr>
                <w:rFonts w:eastAsia="Arial"/>
              </w:rPr>
              <w:lastRenderedPageBreak/>
              <w:t>The Victorian Institute of Forensic Mental Health</w:t>
            </w:r>
            <w:r w:rsidR="00F137DB">
              <w:rPr>
                <w:rFonts w:eastAsia="Arial"/>
              </w:rPr>
              <w:t>.</w:t>
            </w:r>
          </w:p>
        </w:tc>
      </w:tr>
      <w:tr w:rsidR="00ED61B3" w:rsidRPr="00315936" w14:paraId="2900B47D"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F1C9DD2" w14:textId="77777777" w:rsidR="00347551" w:rsidRPr="00315936" w:rsidRDefault="00347551" w:rsidP="00347551">
            <w:pPr>
              <w:pStyle w:val="Tablecolhead"/>
              <w:rPr>
                <w:b w:val="0"/>
                <w:lang w:eastAsia="en-AU"/>
              </w:rPr>
            </w:pPr>
            <w:r w:rsidRPr="00315936">
              <w:rPr>
                <w:b w:val="0"/>
                <w:lang w:eastAsia="en-AU"/>
              </w:rPr>
              <w:lastRenderedPageBreak/>
              <w:t>Numerator</w:t>
            </w:r>
          </w:p>
        </w:tc>
        <w:tc>
          <w:tcPr>
            <w:tcW w:w="7512" w:type="dxa"/>
            <w:tcBorders>
              <w:left w:val="single" w:sz="4" w:space="0" w:color="FFFFFF" w:themeColor="background1"/>
            </w:tcBorders>
          </w:tcPr>
          <w:p w14:paraId="57DF34FD" w14:textId="00865A59" w:rsidR="00347551" w:rsidRPr="00326601" w:rsidRDefault="440EB785" w:rsidP="002D13DE">
            <w:pPr>
              <w:pStyle w:val="Tabletext"/>
              <w:rPr>
                <w:rFonts w:eastAsia="Arial"/>
              </w:rPr>
            </w:pPr>
            <w:r w:rsidRPr="686ABE5A">
              <w:rPr>
                <w:rFonts w:eastAsia="Arial"/>
                <w:lang w:val="en-US"/>
              </w:rPr>
              <w:t xml:space="preserve">The number of occupied bed days within mental health inpatient units and secure extended care units (SECU), including leave </w:t>
            </w:r>
            <w:r w:rsidR="009258DF">
              <w:rPr>
                <w:rFonts w:eastAsia="Arial"/>
                <w:lang w:val="en-US"/>
              </w:rPr>
              <w:t xml:space="preserve">days </w:t>
            </w:r>
            <w:r w:rsidRPr="686ABE5A">
              <w:rPr>
                <w:rFonts w:eastAsia="Arial"/>
                <w:lang w:val="en-US"/>
              </w:rPr>
              <w:t xml:space="preserve">and same day admissions. </w:t>
            </w:r>
          </w:p>
        </w:tc>
      </w:tr>
      <w:tr w:rsidR="00ED61B3" w:rsidRPr="00315936" w14:paraId="1A2BC4D3"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B18EC70" w14:textId="77777777" w:rsidR="00347551" w:rsidRPr="00315936" w:rsidRDefault="00347551" w:rsidP="00347551">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2633540A" w14:textId="3D8FEF35" w:rsidR="00347551" w:rsidRPr="00315936" w:rsidRDefault="2931F962" w:rsidP="686ABE5A">
            <w:pPr>
              <w:pStyle w:val="Tabletext"/>
              <w:spacing w:line="259" w:lineRule="auto"/>
              <w:rPr>
                <w:rFonts w:eastAsia="Arial" w:cs="Arial"/>
                <w:lang w:val="en-US" w:eastAsia="en-AU"/>
              </w:rPr>
            </w:pPr>
            <w:r w:rsidRPr="686ABE5A">
              <w:rPr>
                <w:rFonts w:eastAsia="Arial" w:cs="Arial"/>
                <w:lang w:val="en-US" w:eastAsia="en-AU"/>
              </w:rPr>
              <w:t>N/A</w:t>
            </w:r>
          </w:p>
        </w:tc>
      </w:tr>
      <w:tr w:rsidR="00ED61B3" w:rsidRPr="00315936" w14:paraId="17B70442"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C2A872E" w14:textId="77777777" w:rsidR="00186950" w:rsidRPr="00315936" w:rsidRDefault="00186950">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57E1E65F" w14:textId="5036FB8E" w:rsidR="686ABE5A" w:rsidRDefault="00431FCD" w:rsidP="686ABE5A">
            <w:pPr>
              <w:rPr>
                <w:rFonts w:eastAsia="Arial" w:cs="Arial"/>
                <w:sz w:val="22"/>
                <w:szCs w:val="22"/>
              </w:rPr>
            </w:pPr>
            <w:r w:rsidRPr="00315936">
              <w:t xml:space="preserve">As agreed in the SoP for each health </w:t>
            </w:r>
            <w:r w:rsidRPr="00315936">
              <w:rPr>
                <w:rFonts w:eastAsia="Arial"/>
              </w:rPr>
              <w:t>service</w:t>
            </w:r>
          </w:p>
        </w:tc>
      </w:tr>
      <w:tr w:rsidR="00ED61B3" w:rsidRPr="00315936" w14:paraId="2C40063F"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32B0515" w14:textId="77777777" w:rsidR="00697D50" w:rsidRPr="00315936" w:rsidRDefault="00697D50" w:rsidP="00697D50">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18E33A39" w14:textId="145D6EC3" w:rsidR="00697D50" w:rsidRDefault="00697D50" w:rsidP="00697D50">
            <w:pPr>
              <w:rPr>
                <w:rFonts w:eastAsia="Arial" w:cs="Arial"/>
                <w:sz w:val="22"/>
                <w:szCs w:val="22"/>
              </w:rPr>
            </w:pPr>
            <w:r w:rsidRPr="00E65A9B">
              <w:rPr>
                <w:rFonts w:eastAsia="Aptos"/>
              </w:rPr>
              <w:t>Greater than or equal to health service target</w:t>
            </w:r>
          </w:p>
        </w:tc>
      </w:tr>
      <w:tr w:rsidR="00ED61B3" w:rsidRPr="00315936" w14:paraId="7B828858"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F3C73A2" w14:textId="77777777" w:rsidR="00697D50" w:rsidRPr="00315936" w:rsidRDefault="00697D50" w:rsidP="00697D50">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2E85E343" w14:textId="53C6D3E2" w:rsidR="00697D50" w:rsidRDefault="00697D50" w:rsidP="00697D50">
            <w:pPr>
              <w:rPr>
                <w:rFonts w:eastAsia="Arial" w:cs="Arial"/>
                <w:sz w:val="22"/>
                <w:szCs w:val="22"/>
              </w:rPr>
            </w:pPr>
            <w:r w:rsidRPr="00E65A9B">
              <w:rPr>
                <w:rFonts w:eastAsia="Aptos"/>
              </w:rPr>
              <w:t>Less than health service target</w:t>
            </w:r>
          </w:p>
        </w:tc>
      </w:tr>
      <w:tr w:rsidR="00ED61B3" w:rsidRPr="00315936" w14:paraId="0E428B91"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9B59972" w14:textId="77777777" w:rsidR="00990A4A" w:rsidRPr="00315936" w:rsidRDefault="00990A4A" w:rsidP="00990A4A">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26CC7F76" w14:textId="0E8019A1" w:rsidR="00990A4A" w:rsidRPr="00315936" w:rsidRDefault="28AFB1FE" w:rsidP="002059D3">
            <w:pPr>
              <w:pStyle w:val="Tabletext"/>
              <w:rPr>
                <w:rFonts w:eastAsia="Arial" w:cs="Arial"/>
              </w:rPr>
            </w:pPr>
            <w:r w:rsidRPr="002D13DE">
              <w:rPr>
                <w:rFonts w:eastAsia="Arial"/>
              </w:rPr>
              <w:t xml:space="preserve">For the purpose of the performance risk assessment, improvement is based on same period last year performance   </w:t>
            </w:r>
            <w:r w:rsidRPr="686ABE5A">
              <w:rPr>
                <w:rFonts w:eastAsia="Arial" w:cs="Arial"/>
              </w:rPr>
              <w:t xml:space="preserve"> </w:t>
            </w:r>
          </w:p>
        </w:tc>
      </w:tr>
      <w:tr w:rsidR="00ED61B3" w:rsidRPr="00315936" w14:paraId="2EEC9726" w14:textId="77777777" w:rsidTr="001941E7">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9F0E7E9" w14:textId="77777777" w:rsidR="00990A4A" w:rsidRPr="00315936" w:rsidRDefault="00990A4A" w:rsidP="00990A4A">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49E4A21D" w14:textId="3680C84C" w:rsidR="00990A4A" w:rsidRPr="00315936" w:rsidRDefault="11658BEF" w:rsidP="002D13DE">
            <w:pPr>
              <w:pStyle w:val="Tabletext"/>
              <w:rPr>
                <w:rFonts w:eastAsia="Arial"/>
              </w:rPr>
            </w:pPr>
            <w:r w:rsidRPr="686ABE5A">
              <w:rPr>
                <w:rFonts w:eastAsia="Arial"/>
              </w:rPr>
              <w:t xml:space="preserve">Performance is reported quarterly and annually by Designated Mental Health Service.  </w:t>
            </w:r>
          </w:p>
          <w:p w14:paraId="19FD8BE5" w14:textId="56035F69" w:rsidR="00990A4A" w:rsidRPr="00315936" w:rsidRDefault="11658BEF" w:rsidP="002059D3">
            <w:pPr>
              <w:pStyle w:val="Tabletext"/>
              <w:rPr>
                <w:rFonts w:eastAsia="Arial" w:cs="Arial"/>
              </w:rPr>
            </w:pPr>
            <w:r w:rsidRPr="686ABE5A">
              <w:rPr>
                <w:rFonts w:eastAsia="Arial"/>
              </w:rPr>
              <w:t>Data are sourced from the Client Management Interface (CMI)/</w:t>
            </w:r>
            <w:r w:rsidR="00CF02AF">
              <w:br/>
            </w:r>
            <w:r w:rsidRPr="686ABE5A">
              <w:rPr>
                <w:rFonts w:eastAsia="Arial"/>
              </w:rPr>
              <w:t xml:space="preserve">Operational Data Store (ODS). </w:t>
            </w:r>
            <w:r w:rsidRPr="686ABE5A">
              <w:rPr>
                <w:rFonts w:eastAsia="Arial" w:cs="Arial"/>
              </w:rPr>
              <w:t xml:space="preserve"> </w:t>
            </w:r>
          </w:p>
        </w:tc>
      </w:tr>
    </w:tbl>
    <w:p w14:paraId="6F629457" w14:textId="1B23A601" w:rsidR="00D502A7" w:rsidRDefault="00D502A7" w:rsidP="008E7F78">
      <w:pPr>
        <w:pStyle w:val="Heading4"/>
      </w:pPr>
      <w:r>
        <w:t xml:space="preserve">Number of community mental health </w:t>
      </w:r>
      <w:r w:rsidR="002555D8">
        <w:t>service hours</w:t>
      </w:r>
    </w:p>
    <w:tbl>
      <w:tblPr>
        <w:tblStyle w:val="TableGrid"/>
        <w:tblW w:w="9349" w:type="dxa"/>
        <w:tblLook w:val="04A0" w:firstRow="1" w:lastRow="0" w:firstColumn="1" w:lastColumn="0" w:noHBand="0" w:noVBand="1"/>
      </w:tblPr>
      <w:tblGrid>
        <w:gridCol w:w="1837"/>
        <w:gridCol w:w="7512"/>
      </w:tblGrid>
      <w:tr w:rsidR="002555D8" w:rsidRPr="00315936" w14:paraId="1ADC3298"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85AFE68" w14:textId="77777777" w:rsidR="002555D8" w:rsidRPr="00315936" w:rsidRDefault="002555D8">
            <w:pPr>
              <w:pStyle w:val="Tablecolhead"/>
              <w:keepNext/>
              <w:rPr>
                <w:b w:val="0"/>
                <w:lang w:eastAsia="en-AU"/>
              </w:rPr>
            </w:pPr>
            <w:r w:rsidRPr="00315936">
              <w:rPr>
                <w:b w:val="0"/>
                <w:lang w:eastAsia="en-AU"/>
              </w:rPr>
              <w:t>Measure</w:t>
            </w:r>
          </w:p>
        </w:tc>
        <w:tc>
          <w:tcPr>
            <w:tcW w:w="7512" w:type="dxa"/>
            <w:tcBorders>
              <w:left w:val="single" w:sz="4" w:space="0" w:color="FFFFFF" w:themeColor="background1"/>
            </w:tcBorders>
          </w:tcPr>
          <w:p w14:paraId="15DEAE94" w14:textId="64AE3B79" w:rsidR="002555D8" w:rsidRDefault="002555D8" w:rsidP="007E702A">
            <w:pPr>
              <w:pStyle w:val="Tabletext"/>
              <w:rPr>
                <w:rFonts w:eastAsia="Arial"/>
              </w:rPr>
            </w:pPr>
            <w:r w:rsidRPr="686ABE5A">
              <w:rPr>
                <w:rFonts w:eastAsia="Arial"/>
              </w:rPr>
              <w:t xml:space="preserve">Number of </w:t>
            </w:r>
            <w:r w:rsidR="008E0078">
              <w:rPr>
                <w:rFonts w:eastAsia="Arial"/>
              </w:rPr>
              <w:t xml:space="preserve">community mental health service hours </w:t>
            </w:r>
          </w:p>
        </w:tc>
      </w:tr>
      <w:tr w:rsidR="002555D8" w:rsidRPr="00315936" w14:paraId="128A79D3"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C8DA7FF" w14:textId="77777777" w:rsidR="002555D8" w:rsidRPr="00315936" w:rsidRDefault="002555D8">
            <w:pPr>
              <w:pStyle w:val="Tablecolhead"/>
              <w:keepNext/>
              <w:rPr>
                <w:b w:val="0"/>
                <w:lang w:eastAsia="en-AU"/>
              </w:rPr>
            </w:pPr>
            <w:r w:rsidRPr="00315936">
              <w:rPr>
                <w:b w:val="0"/>
                <w:lang w:eastAsia="en-AU"/>
              </w:rPr>
              <w:t>Description </w:t>
            </w:r>
          </w:p>
        </w:tc>
        <w:tc>
          <w:tcPr>
            <w:tcW w:w="7512" w:type="dxa"/>
            <w:tcBorders>
              <w:left w:val="single" w:sz="4" w:space="0" w:color="FFFFFF" w:themeColor="background1"/>
            </w:tcBorders>
          </w:tcPr>
          <w:p w14:paraId="31728CA6" w14:textId="6BDDB89F" w:rsidR="002555D8" w:rsidRPr="00315936" w:rsidRDefault="000B6B8D" w:rsidP="007E702A">
            <w:pPr>
              <w:pStyle w:val="Tabletext"/>
              <w:rPr>
                <w:rFonts w:eastAsia="Arial"/>
              </w:rPr>
            </w:pPr>
            <w:r w:rsidRPr="000B6B8D">
              <w:rPr>
                <w:rFonts w:eastAsia="Arial"/>
              </w:rPr>
              <w:t>Service hours are a key component of the Policy and Funding Guidelines</w:t>
            </w:r>
            <w:r w:rsidR="008E641B">
              <w:rPr>
                <w:rFonts w:eastAsia="Arial"/>
              </w:rPr>
              <w:t xml:space="preserve"> for Victorian health services</w:t>
            </w:r>
            <w:r w:rsidRPr="000B6B8D">
              <w:rPr>
                <w:rFonts w:eastAsia="Arial"/>
              </w:rPr>
              <w:t>, which articulates the performance and financial framework within which government-funded health sector entities operate. They are a reference for funded organisations regarding the parameters that they are expected to work to and within, as well as the funding linked to various services, in order to achieve the expected outcomes of the Victorian Government.</w:t>
            </w:r>
          </w:p>
        </w:tc>
      </w:tr>
      <w:tr w:rsidR="002555D8" w:rsidRPr="00315936" w14:paraId="3A941A1E"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5704BFF" w14:textId="77777777" w:rsidR="002555D8" w:rsidRPr="00315936" w:rsidRDefault="002555D8">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19A79E2D" w14:textId="6923597A" w:rsidR="00265D25" w:rsidRPr="00265D25" w:rsidRDefault="002555D8" w:rsidP="007E702A">
            <w:pPr>
              <w:pStyle w:val="Tabletext"/>
              <w:rPr>
                <w:rFonts w:eastAsia="Arial"/>
              </w:rPr>
            </w:pPr>
            <w:r w:rsidRPr="686ABE5A">
              <w:rPr>
                <w:rFonts w:eastAsia="Arial"/>
              </w:rPr>
              <w:t xml:space="preserve">This measure calculates the number </w:t>
            </w:r>
            <w:r w:rsidR="00265D25" w:rsidRPr="00265D25">
              <w:rPr>
                <w:rFonts w:eastAsia="Arial"/>
              </w:rPr>
              <w:t>of service hours, by sector, excluding (a) Bouverie Centre, Albury contacts, (b) contacts reported against inpatient or residential services and (c) block funded and PHN commissioned programs.   </w:t>
            </w:r>
          </w:p>
          <w:p w14:paraId="4E6BECA7" w14:textId="77777777" w:rsidR="00265D25" w:rsidRPr="00265D25" w:rsidRDefault="00265D25" w:rsidP="007E702A">
            <w:pPr>
              <w:pStyle w:val="Tabletext"/>
              <w:rPr>
                <w:rFonts w:eastAsia="Arial"/>
              </w:rPr>
            </w:pPr>
            <w:r w:rsidRPr="00265D25">
              <w:rPr>
                <w:rFonts w:eastAsia="Arial"/>
              </w:rPr>
              <w:t>Step 1: Select reportable contacts that have occurred in the applicable time period.  </w:t>
            </w:r>
          </w:p>
          <w:p w14:paraId="1D62A760" w14:textId="77777777" w:rsidR="00265D25" w:rsidRPr="00265D25" w:rsidRDefault="00265D25" w:rsidP="007E702A">
            <w:pPr>
              <w:pStyle w:val="Tabletext"/>
              <w:rPr>
                <w:rFonts w:eastAsia="Arial"/>
              </w:rPr>
            </w:pPr>
            <w:r w:rsidRPr="00265D25">
              <w:rPr>
                <w:rFonts w:eastAsia="Arial"/>
              </w:rPr>
              <w:t>Apply the following exclusions: </w:t>
            </w:r>
          </w:p>
          <w:p w14:paraId="6CBBC625" w14:textId="3B01B56E" w:rsidR="00265D25" w:rsidRPr="002059D3" w:rsidRDefault="00265D25" w:rsidP="002059D3">
            <w:pPr>
              <w:pStyle w:val="Tablebullet1"/>
              <w:rPr>
                <w:rFonts w:eastAsia="Arial"/>
              </w:rPr>
            </w:pPr>
            <w:r w:rsidRPr="002059D3">
              <w:rPr>
                <w:rFonts w:eastAsia="Arial"/>
              </w:rPr>
              <w:t>Contacts reported by The Bouverie Centre (campus code 5910) and Albury (campus code 1691).  </w:t>
            </w:r>
          </w:p>
          <w:p w14:paraId="7AAD6316" w14:textId="6FC5714E" w:rsidR="00265D25" w:rsidRPr="002059D3" w:rsidRDefault="00265D25" w:rsidP="002059D3">
            <w:pPr>
              <w:pStyle w:val="Tablebullet1"/>
              <w:rPr>
                <w:rFonts w:eastAsia="Arial"/>
              </w:rPr>
            </w:pPr>
            <w:r w:rsidRPr="002059D3">
              <w:rPr>
                <w:rFonts w:eastAsia="Arial"/>
              </w:rPr>
              <w:t>Contacts reported against CMI/ODS subcentres that the department has identified as ‘block funded’.  </w:t>
            </w:r>
          </w:p>
          <w:p w14:paraId="68BF47B0" w14:textId="7703284F" w:rsidR="00265D25" w:rsidRPr="002059D3" w:rsidRDefault="00265D25" w:rsidP="002059D3">
            <w:pPr>
              <w:pStyle w:val="Tablebullet1"/>
              <w:rPr>
                <w:rFonts w:eastAsia="Arial"/>
              </w:rPr>
            </w:pPr>
            <w:r w:rsidRPr="002059D3">
              <w:rPr>
                <w:rFonts w:eastAsia="Arial"/>
              </w:rPr>
              <w:t>Contacts reported against CMI/ODS subcentres with a setting flag other than ‘community’.  </w:t>
            </w:r>
          </w:p>
          <w:p w14:paraId="0D2E1F28" w14:textId="6FEFE1D0" w:rsidR="00265D25" w:rsidRPr="002059D3" w:rsidRDefault="00265D25" w:rsidP="002059D3">
            <w:pPr>
              <w:pStyle w:val="Tablebullet1"/>
              <w:rPr>
                <w:rFonts w:eastAsia="Arial"/>
              </w:rPr>
            </w:pPr>
            <w:r w:rsidRPr="002059D3">
              <w:rPr>
                <w:rFonts w:eastAsia="Arial"/>
              </w:rPr>
              <w:t>Contacts reported against programs with the funding source of ‘costing’, ‘DHHS block funded’ or ‘PHN commissioned’.  </w:t>
            </w:r>
          </w:p>
          <w:p w14:paraId="4DFE9482" w14:textId="1711E909" w:rsidR="002555D8" w:rsidRPr="00315936" w:rsidRDefault="00265D25" w:rsidP="007E702A">
            <w:pPr>
              <w:pStyle w:val="Tabletext"/>
              <w:rPr>
                <w:rFonts w:eastAsia="Arial"/>
              </w:rPr>
            </w:pPr>
            <w:r w:rsidRPr="00265D25">
              <w:rPr>
                <w:rFonts w:eastAsia="Arial"/>
              </w:rPr>
              <w:t>Step 2: Sum the duration of in-scope contacts (in hours) and adjust for group session contacts. For group session contacts, multiply contact duration (in hours) by number of healthcare professionals present and divide by the number of consumers involved. </w:t>
            </w:r>
          </w:p>
        </w:tc>
      </w:tr>
      <w:tr w:rsidR="002555D8" w:rsidRPr="00315936" w14:paraId="28BE63BF"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EBAB109" w14:textId="77777777" w:rsidR="002555D8" w:rsidRPr="00315936" w:rsidRDefault="002555D8">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51D663C5" w14:textId="617A0F86" w:rsidR="002555D8" w:rsidRPr="00315936" w:rsidRDefault="00F30FEB">
            <w:pPr>
              <w:pStyle w:val="Tabletext"/>
              <w:rPr>
                <w:rFonts w:eastAsia="Arial" w:cs="Arial"/>
              </w:rPr>
            </w:pPr>
            <w:r w:rsidRPr="00F30FEB">
              <w:rPr>
                <w:rFonts w:eastAsia="Arial" w:cs="Arial"/>
              </w:rPr>
              <w:t>Number of community mental health service hours, adjusted for group session contacts.</w:t>
            </w:r>
          </w:p>
        </w:tc>
      </w:tr>
      <w:tr w:rsidR="002555D8" w:rsidRPr="00315936" w14:paraId="382DEFBA"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B054E6F" w14:textId="77777777" w:rsidR="002555D8" w:rsidRPr="00315936" w:rsidRDefault="002555D8">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059ECD12" w14:textId="77777777" w:rsidR="002555D8" w:rsidRPr="00315936" w:rsidRDefault="002555D8">
            <w:pPr>
              <w:pStyle w:val="Tabletext"/>
              <w:spacing w:line="259" w:lineRule="auto"/>
              <w:rPr>
                <w:rFonts w:eastAsia="Arial" w:cs="Arial"/>
                <w:lang w:val="en-US" w:eastAsia="en-AU"/>
              </w:rPr>
            </w:pPr>
            <w:r w:rsidRPr="686ABE5A">
              <w:rPr>
                <w:rFonts w:eastAsia="Arial" w:cs="Arial"/>
                <w:lang w:val="en-US" w:eastAsia="en-AU"/>
              </w:rPr>
              <w:t>N/A</w:t>
            </w:r>
          </w:p>
        </w:tc>
      </w:tr>
      <w:tr w:rsidR="002555D8" w:rsidRPr="00315936" w14:paraId="251393E6"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5527149" w14:textId="77777777" w:rsidR="002555D8" w:rsidRPr="00315936" w:rsidRDefault="002555D8">
            <w:pPr>
              <w:pStyle w:val="Tablecolhead"/>
              <w:rPr>
                <w:b w:val="0"/>
                <w:lang w:eastAsia="en-AU"/>
              </w:rPr>
            </w:pPr>
            <w:r w:rsidRPr="00315936">
              <w:rPr>
                <w:b w:val="0"/>
                <w:lang w:eastAsia="en-AU"/>
              </w:rPr>
              <w:lastRenderedPageBreak/>
              <w:t>Statewide target</w:t>
            </w:r>
          </w:p>
        </w:tc>
        <w:tc>
          <w:tcPr>
            <w:tcW w:w="7512" w:type="dxa"/>
            <w:tcBorders>
              <w:left w:val="single" w:sz="4" w:space="0" w:color="FFFFFF" w:themeColor="background1"/>
            </w:tcBorders>
          </w:tcPr>
          <w:p w14:paraId="56D0D8A2" w14:textId="506F6E36" w:rsidR="002555D8" w:rsidRDefault="00F15D40">
            <w:pPr>
              <w:rPr>
                <w:rFonts w:eastAsia="Arial" w:cs="Arial"/>
                <w:sz w:val="22"/>
                <w:szCs w:val="22"/>
              </w:rPr>
            </w:pPr>
            <w:r w:rsidRPr="00315936">
              <w:t xml:space="preserve">As agreed in the SoP for each health </w:t>
            </w:r>
            <w:r w:rsidRPr="00315936">
              <w:rPr>
                <w:rFonts w:eastAsia="Arial"/>
              </w:rPr>
              <w:t>service</w:t>
            </w:r>
          </w:p>
        </w:tc>
      </w:tr>
      <w:tr w:rsidR="00697D50" w:rsidRPr="00315936" w14:paraId="31A87228"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B1D983F" w14:textId="77777777" w:rsidR="00697D50" w:rsidRPr="00315936" w:rsidRDefault="00697D50" w:rsidP="00697D50">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3966A3D8" w14:textId="7C242E5E" w:rsidR="00697D50" w:rsidRDefault="00697D50" w:rsidP="00697D50">
            <w:pPr>
              <w:rPr>
                <w:rFonts w:eastAsia="Arial" w:cs="Arial"/>
                <w:sz w:val="22"/>
                <w:szCs w:val="22"/>
              </w:rPr>
            </w:pPr>
            <w:r w:rsidRPr="00E65A9B">
              <w:rPr>
                <w:rFonts w:eastAsia="Aptos"/>
              </w:rPr>
              <w:t>Greater than or equal to health service target</w:t>
            </w:r>
          </w:p>
        </w:tc>
      </w:tr>
      <w:tr w:rsidR="00697D50" w:rsidRPr="00315936" w14:paraId="54DE07D9"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6303675" w14:textId="77777777" w:rsidR="00697D50" w:rsidRPr="00315936" w:rsidRDefault="00697D50" w:rsidP="00697D50">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22A5FCC0" w14:textId="04F4E2D6" w:rsidR="00697D50" w:rsidRDefault="00697D50" w:rsidP="00697D50">
            <w:pPr>
              <w:rPr>
                <w:rFonts w:eastAsia="Arial" w:cs="Arial"/>
                <w:sz w:val="22"/>
                <w:szCs w:val="22"/>
              </w:rPr>
            </w:pPr>
            <w:r w:rsidRPr="00E65A9B">
              <w:rPr>
                <w:rFonts w:eastAsia="Aptos"/>
              </w:rPr>
              <w:t>Less than health service target</w:t>
            </w:r>
          </w:p>
        </w:tc>
      </w:tr>
      <w:tr w:rsidR="002555D8" w:rsidRPr="00315936" w14:paraId="6CD59CD4"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4DFEF37" w14:textId="77777777" w:rsidR="002555D8" w:rsidRPr="00315936" w:rsidRDefault="002555D8">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7DE8F395" w14:textId="77777777" w:rsidR="002555D8" w:rsidRPr="00315936" w:rsidRDefault="002555D8" w:rsidP="002059D3">
            <w:pPr>
              <w:pStyle w:val="Tabletext"/>
              <w:rPr>
                <w:rFonts w:eastAsia="Arial" w:cs="Arial"/>
              </w:rPr>
            </w:pPr>
            <w:r w:rsidRPr="686ABE5A">
              <w:rPr>
                <w:rFonts w:eastAsia="Arial"/>
              </w:rPr>
              <w:t xml:space="preserve">For the purpose of the performance risk assessment, improvement is based on same period last year performance   </w:t>
            </w:r>
            <w:r w:rsidRPr="686ABE5A">
              <w:rPr>
                <w:rFonts w:eastAsia="Arial" w:cs="Arial"/>
              </w:rPr>
              <w:t xml:space="preserve"> </w:t>
            </w:r>
          </w:p>
        </w:tc>
      </w:tr>
      <w:tr w:rsidR="002555D8" w:rsidRPr="00315936" w14:paraId="6F7ADF90" w14:textId="77777777" w:rsidTr="007E702A">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9EE5B0A" w14:textId="77777777" w:rsidR="002555D8" w:rsidRPr="00315936" w:rsidRDefault="002555D8">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2827695F" w14:textId="77777777" w:rsidR="002555D8" w:rsidRPr="00315936" w:rsidRDefault="002555D8" w:rsidP="007E702A">
            <w:pPr>
              <w:pStyle w:val="Tabletext"/>
              <w:rPr>
                <w:rFonts w:eastAsia="Arial"/>
              </w:rPr>
            </w:pPr>
            <w:r w:rsidRPr="686ABE5A">
              <w:rPr>
                <w:rFonts w:eastAsia="Arial"/>
              </w:rPr>
              <w:t xml:space="preserve">Performance is reported quarterly and annually by Designated Mental Health Service.  </w:t>
            </w:r>
          </w:p>
          <w:p w14:paraId="0B023A15" w14:textId="3400AA9E" w:rsidR="002555D8" w:rsidRPr="00315936" w:rsidRDefault="002555D8" w:rsidP="002059D3">
            <w:pPr>
              <w:pStyle w:val="Tabletext"/>
              <w:rPr>
                <w:rFonts w:eastAsia="Arial" w:cs="Arial"/>
              </w:rPr>
            </w:pPr>
            <w:r w:rsidRPr="686ABE5A">
              <w:rPr>
                <w:rFonts w:eastAsia="Arial"/>
              </w:rPr>
              <w:t>Data are sourced from the Client Management Interface (CMI)/</w:t>
            </w:r>
            <w:r>
              <w:br/>
            </w:r>
            <w:r w:rsidRPr="686ABE5A">
              <w:rPr>
                <w:rFonts w:eastAsia="Arial"/>
              </w:rPr>
              <w:t xml:space="preserve">Operational Data Store (ODS). </w:t>
            </w:r>
            <w:r w:rsidRPr="686ABE5A">
              <w:rPr>
                <w:rFonts w:eastAsia="Arial" w:cs="Arial"/>
              </w:rPr>
              <w:t xml:space="preserve"> </w:t>
            </w:r>
          </w:p>
        </w:tc>
      </w:tr>
    </w:tbl>
    <w:p w14:paraId="2870A838" w14:textId="04F23E78" w:rsidR="00140581" w:rsidRPr="00315936" w:rsidRDefault="00140581" w:rsidP="00140581">
      <w:pPr>
        <w:pStyle w:val="Heading3"/>
      </w:pPr>
      <w:bookmarkStart w:id="81" w:name="_Toc147002728"/>
      <w:r w:rsidRPr="00315936">
        <w:t>Specialist clinics</w:t>
      </w:r>
      <w:bookmarkEnd w:id="81"/>
    </w:p>
    <w:p w14:paraId="4304105D" w14:textId="086E3FEA" w:rsidR="005032A4" w:rsidRPr="00315936" w:rsidRDefault="00D93031" w:rsidP="00EC29B6">
      <w:pPr>
        <w:pStyle w:val="Body"/>
      </w:pPr>
      <w:r w:rsidRPr="00315936">
        <w:t xml:space="preserve">Specialist clinic performance </w:t>
      </w:r>
      <w:r w:rsidR="00C3016B" w:rsidRPr="00315936">
        <w:t>measure</w:t>
      </w:r>
      <w:r w:rsidRPr="00315936">
        <w:t>s aim to improve performance in managing access for patients who are referred to a specialist clinic by a GP or external specialist. Manag</w:t>
      </w:r>
      <w:r w:rsidR="009E0888">
        <w:t>ing</w:t>
      </w:r>
      <w:r w:rsidRPr="00315936">
        <w:t xml:space="preserve"> patient referrals to specialist clinics, including </w:t>
      </w:r>
      <w:r w:rsidR="00D54526" w:rsidRPr="00315936">
        <w:t xml:space="preserve">appointment </w:t>
      </w:r>
      <w:r w:rsidRPr="00315936">
        <w:t>allocation should be provided in accordance with</w:t>
      </w:r>
      <w:r w:rsidR="001D71FE" w:rsidRPr="00315936">
        <w:t xml:space="preserve"> </w:t>
      </w:r>
      <w:r w:rsidR="001D71FE" w:rsidRPr="2ECFC544">
        <w:rPr>
          <w:i/>
          <w:iCs/>
        </w:rPr>
        <w:t>Managing referrals</w:t>
      </w:r>
      <w:r w:rsidR="0049634A" w:rsidRPr="2ECFC544">
        <w:rPr>
          <w:i/>
          <w:iCs/>
        </w:rPr>
        <w:t xml:space="preserve"> to non-admitted</w:t>
      </w:r>
      <w:r w:rsidR="00471D69" w:rsidRPr="2ECFC544">
        <w:rPr>
          <w:i/>
          <w:iCs/>
        </w:rPr>
        <w:t xml:space="preserve"> specialist </w:t>
      </w:r>
      <w:r w:rsidR="00431699" w:rsidRPr="2ECFC544">
        <w:rPr>
          <w:i/>
          <w:iCs/>
        </w:rPr>
        <w:t>services in</w:t>
      </w:r>
      <w:r w:rsidR="00B30ED2" w:rsidRPr="2ECFC544">
        <w:rPr>
          <w:i/>
          <w:iCs/>
        </w:rPr>
        <w:t xml:space="preserve"> Victorian</w:t>
      </w:r>
      <w:r w:rsidR="002C6356" w:rsidRPr="2ECFC544">
        <w:rPr>
          <w:i/>
          <w:iCs/>
        </w:rPr>
        <w:t xml:space="preserve"> public health services</w:t>
      </w:r>
      <w:r w:rsidR="00683805" w:rsidRPr="2ECFC544">
        <w:rPr>
          <w:i/>
          <w:iCs/>
        </w:rPr>
        <w:t xml:space="preserve"> policy</w:t>
      </w:r>
      <w:r w:rsidR="00892088" w:rsidRPr="00315936">
        <w:t>.</w:t>
      </w:r>
      <w:r w:rsidR="002D13DE">
        <w:rPr>
          <w:rStyle w:val="EndnoteReference"/>
        </w:rPr>
        <w:endnoteReference w:id="16"/>
      </w:r>
      <w:r w:rsidR="002D13DE">
        <w:t xml:space="preserve"> </w:t>
      </w:r>
    </w:p>
    <w:p w14:paraId="5F65E022" w14:textId="65228C44" w:rsidR="00D21DDC" w:rsidRPr="00315936" w:rsidRDefault="0082352B" w:rsidP="008E7F78">
      <w:pPr>
        <w:pStyle w:val="Heading4"/>
      </w:pPr>
      <w:bookmarkStart w:id="82" w:name="_Toc1567851633"/>
      <w:r w:rsidRPr="00315936">
        <w:t>Percentage of patients referred by a GP or external specialist who attended a first appointment within the recommended timeframe</w:t>
      </w:r>
      <w:bookmarkEnd w:id="82"/>
    </w:p>
    <w:tbl>
      <w:tblPr>
        <w:tblStyle w:val="TableGrid"/>
        <w:tblW w:w="9349" w:type="dxa"/>
        <w:tblLook w:val="04A0" w:firstRow="1" w:lastRow="0" w:firstColumn="1" w:lastColumn="0" w:noHBand="0" w:noVBand="1"/>
      </w:tblPr>
      <w:tblGrid>
        <w:gridCol w:w="1837"/>
        <w:gridCol w:w="7512"/>
      </w:tblGrid>
      <w:tr w:rsidR="00256158" w:rsidRPr="00315936" w14:paraId="1C176E69"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57F4B81" w14:textId="6B1F7265" w:rsidR="00256158"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1F8067B6" w14:textId="72B8467E" w:rsidR="00256158" w:rsidRPr="00315936" w:rsidRDefault="00256158">
            <w:pPr>
              <w:pStyle w:val="Tabletext"/>
            </w:pPr>
            <w:r w:rsidRPr="00315936">
              <w:t>Percentage of patients referred by a GP or external specialist who attended a first appointment within the recommended timeframe</w:t>
            </w:r>
          </w:p>
        </w:tc>
      </w:tr>
      <w:tr w:rsidR="00BA0420" w:rsidRPr="00315936" w14:paraId="628DFD21"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9F37BF3" w14:textId="77777777" w:rsidR="00BA0420" w:rsidRPr="00315936" w:rsidRDefault="00BA0420" w:rsidP="00BA0420">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vAlign w:val="bottom"/>
          </w:tcPr>
          <w:p w14:paraId="1CE6EFE6" w14:textId="69EC4DAD" w:rsidR="00CC1243" w:rsidRPr="00315936" w:rsidRDefault="000557F6" w:rsidP="00BA0420">
            <w:pPr>
              <w:pStyle w:val="Tabletext"/>
              <w:rPr>
                <w:lang w:eastAsia="en-AU"/>
              </w:rPr>
            </w:pPr>
            <w:r w:rsidRPr="00315936">
              <w:t>Th</w:t>
            </w:r>
            <w:r w:rsidR="000770B1">
              <w:t>is</w:t>
            </w:r>
            <w:r w:rsidRPr="00315936">
              <w:t xml:space="preserve"> </w:t>
            </w:r>
            <w:r w:rsidR="00C3016B" w:rsidRPr="00315936">
              <w:t>measure</w:t>
            </w:r>
            <w:r w:rsidR="000770B1">
              <w:t>s</w:t>
            </w:r>
            <w:r w:rsidRPr="00315936">
              <w:t xml:space="preserve"> the proportion</w:t>
            </w:r>
            <w:r w:rsidR="00BA0420" w:rsidRPr="00315936">
              <w:t xml:space="preserve"> of patients referred by a GP or external specialist who attended a first appointment within </w:t>
            </w:r>
            <w:r w:rsidRPr="00315936">
              <w:t>the recommended timeframe</w:t>
            </w:r>
            <w:r w:rsidR="000F6BA4" w:rsidRPr="00315936">
              <w:t xml:space="preserve"> for the</w:t>
            </w:r>
            <w:r w:rsidR="00E51F13" w:rsidRPr="00315936">
              <w:t xml:space="preserve"> relevant</w:t>
            </w:r>
            <w:r w:rsidR="000F6BA4" w:rsidRPr="00315936">
              <w:t xml:space="preserve"> </w:t>
            </w:r>
            <w:r w:rsidR="00946AD4" w:rsidRPr="00315936">
              <w:t>clinical priority category</w:t>
            </w:r>
            <w:r w:rsidR="00DC5D59" w:rsidRPr="00315936">
              <w:t xml:space="preserve"> (</w:t>
            </w:r>
            <w:r w:rsidR="00C60456">
              <w:t xml:space="preserve">30 days for </w:t>
            </w:r>
            <w:r w:rsidR="009B52FE">
              <w:t>urgent</w:t>
            </w:r>
            <w:r w:rsidR="009A68F2">
              <w:t xml:space="preserve"> appointments</w:t>
            </w:r>
            <w:r w:rsidR="009B52FE">
              <w:t xml:space="preserve"> </w:t>
            </w:r>
            <w:r w:rsidR="009A68F2">
              <w:t>and</w:t>
            </w:r>
            <w:r w:rsidR="009B52FE">
              <w:t xml:space="preserve"> </w:t>
            </w:r>
            <w:r w:rsidR="00C60456">
              <w:t xml:space="preserve">365 days for </w:t>
            </w:r>
            <w:r w:rsidR="00DC5D59" w:rsidRPr="00315936">
              <w:t>routine</w:t>
            </w:r>
            <w:r w:rsidR="009A68F2">
              <w:t xml:space="preserve"> appointments</w:t>
            </w:r>
            <w:r w:rsidR="00DC5D59" w:rsidRPr="00315936">
              <w:t>)</w:t>
            </w:r>
            <w:r w:rsidR="003C619B" w:rsidRPr="00315936">
              <w:t xml:space="preserve"> for non</w:t>
            </w:r>
            <w:r w:rsidR="0035658C" w:rsidRPr="00315936">
              <w:t>-admitted acute services</w:t>
            </w:r>
            <w:r w:rsidR="00946AD4" w:rsidRPr="00315936">
              <w:t>.</w:t>
            </w:r>
          </w:p>
        </w:tc>
      </w:tr>
      <w:tr w:rsidR="00BA0420" w:rsidRPr="00315936" w14:paraId="4A6DAF66"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C34CC20" w14:textId="77777777" w:rsidR="00BA0420" w:rsidRPr="00315936" w:rsidRDefault="00BA0420" w:rsidP="00BA0420">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252DC937" w14:textId="4FE513CA" w:rsidR="000557F6" w:rsidRDefault="00BA0420" w:rsidP="000557F6">
            <w:pPr>
              <w:pStyle w:val="Tabletext"/>
            </w:pPr>
            <w:r w:rsidRPr="00315936">
              <w:t xml:space="preserve">The </w:t>
            </w:r>
            <w:r w:rsidR="00C3016B" w:rsidRPr="00315936">
              <w:t>measure</w:t>
            </w:r>
            <w:r w:rsidRPr="00315936">
              <w:t xml:space="preserve"> </w:t>
            </w:r>
            <w:r w:rsidR="000557F6" w:rsidRPr="00315936">
              <w:t xml:space="preserve">includes all </w:t>
            </w:r>
            <w:r w:rsidRPr="00315936">
              <w:t xml:space="preserve">patients referred </w:t>
            </w:r>
            <w:r w:rsidR="000557F6" w:rsidRPr="00315936">
              <w:t>from either</w:t>
            </w:r>
            <w:r w:rsidRPr="00315936">
              <w:t xml:space="preserve"> a GP or external specialist who attended a first appointment </w:t>
            </w:r>
            <w:r w:rsidR="000557F6" w:rsidRPr="00315936">
              <w:t xml:space="preserve">during </w:t>
            </w:r>
            <w:r w:rsidR="00AD58A7">
              <w:t>the reference period</w:t>
            </w:r>
            <w:r w:rsidR="000557F6" w:rsidRPr="00315936">
              <w:t xml:space="preserve"> or </w:t>
            </w:r>
            <w:r w:rsidR="00AD58A7">
              <w:t>whose</w:t>
            </w:r>
            <w:r w:rsidR="000557F6" w:rsidRPr="00315936">
              <w:t xml:space="preserve"> first appointment booked date </w:t>
            </w:r>
            <w:r w:rsidR="008A7350">
              <w:t>was during the reference period</w:t>
            </w:r>
            <w:r w:rsidR="00F14553">
              <w:t>, whichever date is earlier</w:t>
            </w:r>
            <w:r w:rsidR="000557F6" w:rsidRPr="00315936">
              <w:t>.</w:t>
            </w:r>
          </w:p>
          <w:p w14:paraId="688D139A" w14:textId="118A1936" w:rsidR="000557F6" w:rsidRPr="00315936" w:rsidRDefault="000557F6" w:rsidP="000557F6">
            <w:pPr>
              <w:pStyle w:val="Tabletext"/>
            </w:pPr>
            <w:r w:rsidRPr="00315936">
              <w:t xml:space="preserve">This </w:t>
            </w:r>
            <w:r w:rsidR="00C3016B" w:rsidRPr="00315936">
              <w:t>measure</w:t>
            </w:r>
            <w:r w:rsidRPr="00315936">
              <w:t xml:space="preserve"> </w:t>
            </w:r>
            <w:r w:rsidR="0876CB9F">
              <w:t>ex</w:t>
            </w:r>
            <w:r w:rsidRPr="00315936">
              <w:t>cludes patients</w:t>
            </w:r>
            <w:r w:rsidR="00161AE5">
              <w:t xml:space="preserve"> who failed to attend </w:t>
            </w:r>
            <w:r w:rsidRPr="00315936">
              <w:t>a scheduled appointment.</w:t>
            </w:r>
          </w:p>
          <w:p w14:paraId="4362D9F1" w14:textId="4E609191" w:rsidR="00BA0420" w:rsidRDefault="000557F6" w:rsidP="00BA0420">
            <w:pPr>
              <w:pStyle w:val="Tabletext"/>
            </w:pPr>
            <w:r w:rsidRPr="00315936">
              <w:t xml:space="preserve">The waiting time for a first appointment is the number of days between the Referral in Received Date and </w:t>
            </w:r>
            <w:r w:rsidR="00C67AED">
              <w:t xml:space="preserve">either </w:t>
            </w:r>
            <w:r w:rsidRPr="00315936">
              <w:t xml:space="preserve">the </w:t>
            </w:r>
            <w:r w:rsidR="00CE4FFF">
              <w:t xml:space="preserve">first </w:t>
            </w:r>
            <w:r w:rsidRPr="00315936">
              <w:t xml:space="preserve">Contact Date/Time </w:t>
            </w:r>
            <w:r w:rsidR="00213613">
              <w:t>within a</w:t>
            </w:r>
            <w:r w:rsidR="00CE4FFF">
              <w:t>n episode of care</w:t>
            </w:r>
            <w:r w:rsidRPr="00315936">
              <w:t xml:space="preserve"> or </w:t>
            </w:r>
            <w:r w:rsidR="00CE4FFF">
              <w:t>the</w:t>
            </w:r>
            <w:r w:rsidRPr="00315936">
              <w:t xml:space="preserve"> First Appointment Booked Date, whichever occurs first</w:t>
            </w:r>
            <w:r w:rsidR="00BA0420" w:rsidRPr="00315936">
              <w:t>.</w:t>
            </w:r>
          </w:p>
          <w:p w14:paraId="240A9E3A" w14:textId="2040CFA0" w:rsidR="003110CE" w:rsidRDefault="003110CE" w:rsidP="00BA0420">
            <w:pPr>
              <w:pStyle w:val="Tabletext"/>
            </w:pPr>
            <w:r>
              <w:t xml:space="preserve">Patients in scope for this measure </w:t>
            </w:r>
            <w:r w:rsidR="00281E18">
              <w:t>must satisfy the following criteria</w:t>
            </w:r>
            <w:r w:rsidR="00784A8E">
              <w:t>:</w:t>
            </w:r>
          </w:p>
          <w:p w14:paraId="300B3CE6" w14:textId="62C3CF54" w:rsidR="00784A8E" w:rsidRDefault="00202F21" w:rsidP="007E702A">
            <w:pPr>
              <w:pStyle w:val="Tablebullet1"/>
            </w:pPr>
            <w:r>
              <w:t>Referral In Clinical Urgency Category</w:t>
            </w:r>
            <w:r w:rsidR="00E13C24">
              <w:t xml:space="preserve"> </w:t>
            </w:r>
            <w:r w:rsidR="00736BD8">
              <w:t>is:</w:t>
            </w:r>
          </w:p>
          <w:p w14:paraId="7783664B" w14:textId="77777777" w:rsidR="00E13C24" w:rsidRDefault="00E13C24" w:rsidP="007E702A">
            <w:pPr>
              <w:pStyle w:val="DHTablebullet2"/>
            </w:pPr>
            <w:r>
              <w:t>‘1’ Urgent</w:t>
            </w:r>
          </w:p>
          <w:p w14:paraId="328C84A5" w14:textId="77777777" w:rsidR="00E13C24" w:rsidRDefault="00E13C24" w:rsidP="007E702A">
            <w:pPr>
              <w:pStyle w:val="DHTablebullet2"/>
            </w:pPr>
            <w:r>
              <w:t>‘2’ Routine</w:t>
            </w:r>
          </w:p>
          <w:p w14:paraId="06692B52" w14:textId="3F348334" w:rsidR="00E13C24" w:rsidRDefault="002E0313" w:rsidP="007E702A">
            <w:pPr>
              <w:pStyle w:val="Tablebullet1"/>
            </w:pPr>
            <w:r>
              <w:t>Referral In</w:t>
            </w:r>
            <w:r w:rsidR="007B5CF2">
              <w:t xml:space="preserve"> Service Type</w:t>
            </w:r>
            <w:r w:rsidR="00736BD8">
              <w:t xml:space="preserve"> is:</w:t>
            </w:r>
          </w:p>
          <w:p w14:paraId="18060589" w14:textId="77777777" w:rsidR="007A173A" w:rsidRDefault="007A173A" w:rsidP="007E702A">
            <w:pPr>
              <w:pStyle w:val="DHTablebullet2"/>
            </w:pPr>
            <w:r>
              <w:t>‘201’ GP</w:t>
            </w:r>
          </w:p>
          <w:p w14:paraId="69F6F380" w14:textId="77777777" w:rsidR="002C3151" w:rsidRDefault="00DA20BA" w:rsidP="00CD514A">
            <w:pPr>
              <w:pStyle w:val="DHTablebullet2"/>
            </w:pPr>
            <w:r>
              <w:t>‘202’ Specialist</w:t>
            </w:r>
            <w:r w:rsidR="000B3DA1">
              <w:t>.</w:t>
            </w:r>
          </w:p>
          <w:p w14:paraId="1087F278" w14:textId="03700BA6" w:rsidR="00B570AA" w:rsidRPr="00315936" w:rsidRDefault="004D2DDF" w:rsidP="00535D2B">
            <w:pPr>
              <w:pStyle w:val="DHTablebullet2"/>
              <w:numPr>
                <w:ilvl w:val="0"/>
                <w:numId w:val="0"/>
              </w:numPr>
            </w:pPr>
            <w:r>
              <w:t xml:space="preserve">The </w:t>
            </w:r>
            <w:r w:rsidR="00153D9E">
              <w:t>measure is reported at the health service level.</w:t>
            </w:r>
          </w:p>
        </w:tc>
      </w:tr>
      <w:tr w:rsidR="00BA0420" w:rsidRPr="00315936" w14:paraId="4292A574"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CEEB2AB" w14:textId="77777777" w:rsidR="00BA0420" w:rsidRPr="00315936" w:rsidRDefault="00BA0420" w:rsidP="00BA0420">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1C49496D" w14:textId="2A5C5D7C" w:rsidR="00BA0420" w:rsidRPr="00AC34D9" w:rsidRDefault="00B47D29" w:rsidP="00BA0420">
            <w:pPr>
              <w:pStyle w:val="Tabletext"/>
            </w:pPr>
            <w:r w:rsidRPr="00315936">
              <w:t xml:space="preserve">The number of </w:t>
            </w:r>
            <w:r w:rsidR="00BA0420" w:rsidRPr="00315936">
              <w:t xml:space="preserve">patients referred </w:t>
            </w:r>
            <w:r w:rsidRPr="00315936">
              <w:t>by</w:t>
            </w:r>
            <w:r w:rsidR="00BA0420" w:rsidRPr="00315936">
              <w:t xml:space="preserve"> a GP or external specialist</w:t>
            </w:r>
            <w:r w:rsidRPr="00315936">
              <w:t>,</w:t>
            </w:r>
            <w:r w:rsidR="00BA0420" w:rsidRPr="00315936">
              <w:t xml:space="preserve"> who </w:t>
            </w:r>
            <w:r w:rsidR="002824B1">
              <w:t>had a</w:t>
            </w:r>
            <w:r w:rsidR="00D065EC">
              <w:t xml:space="preserve"> first appointment </w:t>
            </w:r>
            <w:r w:rsidR="00AA6B83" w:rsidRPr="00315936">
              <w:t xml:space="preserve">within </w:t>
            </w:r>
            <w:r w:rsidR="003325CA" w:rsidRPr="00315936">
              <w:t xml:space="preserve">the </w:t>
            </w:r>
            <w:r w:rsidR="00BC51A0">
              <w:t>clinically</w:t>
            </w:r>
            <w:r w:rsidR="003325CA" w:rsidRPr="00315936">
              <w:t xml:space="preserve"> recommended timeframe</w:t>
            </w:r>
            <w:r w:rsidR="00817817">
              <w:t>.</w:t>
            </w:r>
          </w:p>
        </w:tc>
      </w:tr>
      <w:tr w:rsidR="00BA0420" w:rsidRPr="00315936" w14:paraId="24B3993D"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EE2183A" w14:textId="77777777" w:rsidR="00BA0420" w:rsidRPr="00315936" w:rsidRDefault="00BA0420" w:rsidP="00BA0420">
            <w:pPr>
              <w:pStyle w:val="Tablecolhead"/>
              <w:rPr>
                <w:b w:val="0"/>
                <w:lang w:eastAsia="en-AU"/>
              </w:rPr>
            </w:pPr>
            <w:r w:rsidRPr="00315936">
              <w:rPr>
                <w:b w:val="0"/>
                <w:lang w:eastAsia="en-AU"/>
              </w:rPr>
              <w:lastRenderedPageBreak/>
              <w:t>Denominator</w:t>
            </w:r>
          </w:p>
        </w:tc>
        <w:tc>
          <w:tcPr>
            <w:tcW w:w="7512" w:type="dxa"/>
            <w:tcBorders>
              <w:left w:val="single" w:sz="4" w:space="0" w:color="FFFFFF" w:themeColor="background1"/>
            </w:tcBorders>
          </w:tcPr>
          <w:p w14:paraId="12C82EAF" w14:textId="4577E2BC" w:rsidR="00BA0420" w:rsidRPr="00AC34D9" w:rsidRDefault="00BA0420" w:rsidP="00BA0420">
            <w:pPr>
              <w:pStyle w:val="Tabletext"/>
            </w:pPr>
            <w:r w:rsidRPr="00315936">
              <w:t xml:space="preserve">The number of patients referred by a GP or external </w:t>
            </w:r>
            <w:r w:rsidR="00817817">
              <w:t>s</w:t>
            </w:r>
            <w:r w:rsidR="00B57C75" w:rsidRPr="00315936">
              <w:t>pecialist</w:t>
            </w:r>
            <w:r w:rsidRPr="00315936">
              <w:t xml:space="preserve">, who </w:t>
            </w:r>
            <w:r w:rsidR="00B57C75" w:rsidRPr="00315936">
              <w:t>attended</w:t>
            </w:r>
            <w:r w:rsidRPr="00315936">
              <w:t xml:space="preserve"> a first appointment, or </w:t>
            </w:r>
            <w:r w:rsidR="00B57C75" w:rsidRPr="00315936">
              <w:t xml:space="preserve">had a </w:t>
            </w:r>
            <w:r w:rsidRPr="00315936">
              <w:t xml:space="preserve">first appointment booked date </w:t>
            </w:r>
            <w:r w:rsidR="00FD61CA">
              <w:t>during the reference</w:t>
            </w:r>
            <w:r w:rsidRPr="00315936">
              <w:t xml:space="preserve"> period.</w:t>
            </w:r>
          </w:p>
        </w:tc>
      </w:tr>
      <w:tr w:rsidR="00256158" w:rsidRPr="00315936" w14:paraId="34BB884B"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90A6C57" w14:textId="77777777" w:rsidR="00256158" w:rsidRPr="00315936" w:rsidRDefault="00256158">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3FEAFB68" w14:textId="2D742ACC" w:rsidR="00256158" w:rsidRPr="00315936" w:rsidRDefault="00E94E5A">
            <w:pPr>
              <w:pStyle w:val="Tabletext"/>
              <w:rPr>
                <w:lang w:eastAsia="en-AU"/>
              </w:rPr>
            </w:pPr>
            <w:r w:rsidRPr="00315936">
              <w:t>95</w:t>
            </w:r>
            <w:r w:rsidR="00A67D0D" w:rsidRPr="00315936">
              <w:t xml:space="preserve"> per cent</w:t>
            </w:r>
          </w:p>
        </w:tc>
      </w:tr>
      <w:tr w:rsidR="001373D9" w:rsidRPr="00315936" w14:paraId="4BFB3048"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96871FA" w14:textId="77777777" w:rsidR="001373D9" w:rsidRPr="00315936" w:rsidRDefault="001373D9" w:rsidP="001373D9">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56E9374C" w14:textId="0A8B2CE7" w:rsidR="001373D9" w:rsidRPr="00315936" w:rsidRDefault="00C94572" w:rsidP="001373D9">
            <w:pPr>
              <w:pStyle w:val="Tabletext"/>
              <w:rPr>
                <w:lang w:eastAsia="en-AU"/>
              </w:rPr>
            </w:pPr>
            <w:r>
              <w:t>Greater than or e</w:t>
            </w:r>
            <w:r w:rsidR="001373D9" w:rsidRPr="00315936">
              <w:t xml:space="preserve">qual to </w:t>
            </w:r>
            <w:r w:rsidR="00E94E5A" w:rsidRPr="00315936">
              <w:t>95</w:t>
            </w:r>
            <w:r w:rsidR="00A67D0D" w:rsidRPr="00315936">
              <w:t xml:space="preserve"> per cent</w:t>
            </w:r>
          </w:p>
        </w:tc>
      </w:tr>
      <w:tr w:rsidR="001373D9" w:rsidRPr="00315936" w14:paraId="197A07BF"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E78138B" w14:textId="77777777" w:rsidR="001373D9" w:rsidRPr="00315936" w:rsidRDefault="001373D9" w:rsidP="001373D9">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5F92B015" w14:textId="4B11DA86" w:rsidR="001373D9" w:rsidRPr="00315936" w:rsidRDefault="001373D9" w:rsidP="001373D9">
            <w:pPr>
              <w:pStyle w:val="Tabletext"/>
              <w:rPr>
                <w:lang w:eastAsia="en-AU"/>
              </w:rPr>
            </w:pPr>
            <w:r w:rsidRPr="00315936">
              <w:t xml:space="preserve">Less than </w:t>
            </w:r>
            <w:r w:rsidR="00E94E5A" w:rsidRPr="00315936">
              <w:t>95</w:t>
            </w:r>
            <w:r w:rsidR="00A67D0D" w:rsidRPr="00315936">
              <w:t xml:space="preserve"> per cent</w:t>
            </w:r>
          </w:p>
        </w:tc>
      </w:tr>
      <w:tr w:rsidR="00E94E5A" w:rsidRPr="00315936" w14:paraId="45222AB7"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987F65C" w14:textId="77777777" w:rsidR="00E94E5A" w:rsidRPr="00315936" w:rsidRDefault="00E94E5A" w:rsidP="00E94E5A">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70032EAA" w14:textId="433AA5C8" w:rsidR="00E94E5A" w:rsidRPr="00315936" w:rsidRDefault="00E94E5A" w:rsidP="00E94E5A">
            <w:pPr>
              <w:pStyle w:val="Tabletext"/>
              <w:rPr>
                <w:lang w:eastAsia="en-AU"/>
              </w:rPr>
            </w:pPr>
            <w:r w:rsidRPr="00315936">
              <w:t>For the purpose of the performance risk assessment, improvement is compared to same time last year performance.</w:t>
            </w:r>
          </w:p>
        </w:tc>
      </w:tr>
      <w:tr w:rsidR="00E94E5A" w:rsidRPr="00315936" w14:paraId="7C7AD719"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ACD8B2B" w14:textId="77777777" w:rsidR="00E94E5A" w:rsidRPr="00315936" w:rsidRDefault="00E94E5A" w:rsidP="00E94E5A">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3BF6CCC9" w14:textId="79F5D753" w:rsidR="00E94E5A" w:rsidRPr="00315936" w:rsidRDefault="00E94E5A" w:rsidP="00E94E5A">
            <w:pPr>
              <w:pStyle w:val="Tabletext"/>
            </w:pPr>
            <w:r w:rsidRPr="00315936">
              <w:t xml:space="preserve">Performance is </w:t>
            </w:r>
            <w:r w:rsidR="009E21A3" w:rsidRPr="00315936">
              <w:t>reported monthly</w:t>
            </w:r>
            <w:r w:rsidR="007D645A" w:rsidRPr="00315936">
              <w:t>.</w:t>
            </w:r>
            <w:r w:rsidR="009E21A3" w:rsidRPr="00315936">
              <w:t xml:space="preserve"> </w:t>
            </w:r>
          </w:p>
          <w:p w14:paraId="4A60BE8C" w14:textId="0A08CC6C" w:rsidR="00E94E5A" w:rsidRPr="00315936" w:rsidRDefault="00E94E5A" w:rsidP="00E94E5A">
            <w:pPr>
              <w:pStyle w:val="Tabletext"/>
              <w:rPr>
                <w:lang w:eastAsia="en-AU"/>
              </w:rPr>
            </w:pPr>
            <w:r w:rsidRPr="00315936">
              <w:t>Data are</w:t>
            </w:r>
            <w:r w:rsidR="009E21A3" w:rsidRPr="00315936">
              <w:t xml:space="preserve"> sourced from</w:t>
            </w:r>
            <w:r w:rsidRPr="00315936">
              <w:t xml:space="preserve"> </w:t>
            </w:r>
            <w:r w:rsidR="00EE7E49">
              <w:t xml:space="preserve">the Victorian Integrated </w:t>
            </w:r>
            <w:r w:rsidR="009F16A9">
              <w:t>Non-Admitted Health (VINAH) Minimum Dataset</w:t>
            </w:r>
            <w:r w:rsidRPr="00315936">
              <w:t xml:space="preserve">. </w:t>
            </w:r>
          </w:p>
        </w:tc>
      </w:tr>
    </w:tbl>
    <w:p w14:paraId="0FE648FA" w14:textId="108A66FB" w:rsidR="00140581" w:rsidRPr="00315936" w:rsidRDefault="00140581" w:rsidP="00140581">
      <w:pPr>
        <w:pStyle w:val="Heading3"/>
      </w:pPr>
      <w:bookmarkStart w:id="83" w:name="_Toc1611405236"/>
      <w:r w:rsidRPr="00315936">
        <w:t>Home based care</w:t>
      </w:r>
      <w:bookmarkEnd w:id="83"/>
    </w:p>
    <w:p w14:paraId="7E2C19A9" w14:textId="582736CD" w:rsidR="00022590" w:rsidRPr="00315936" w:rsidRDefault="00850922" w:rsidP="008E7F78">
      <w:pPr>
        <w:pStyle w:val="Heading4"/>
      </w:pPr>
      <w:bookmarkStart w:id="84" w:name="_Toc1098099762"/>
      <w:r w:rsidRPr="00315936">
        <w:t>Percentage of admitted bed days delivered at home</w:t>
      </w:r>
      <w:bookmarkEnd w:id="84"/>
    </w:p>
    <w:tbl>
      <w:tblPr>
        <w:tblStyle w:val="TableGrid"/>
        <w:tblW w:w="9349" w:type="dxa"/>
        <w:tblLook w:val="04A0" w:firstRow="1" w:lastRow="0" w:firstColumn="1" w:lastColumn="0" w:noHBand="0" w:noVBand="1"/>
      </w:tblPr>
      <w:tblGrid>
        <w:gridCol w:w="1837"/>
        <w:gridCol w:w="7512"/>
      </w:tblGrid>
      <w:tr w:rsidR="00BC1A43" w:rsidRPr="00315936" w14:paraId="2C48B2E5"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D8E4B9C" w14:textId="20E33EE6" w:rsidR="00BC1A43"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16F76775" w14:textId="439DCD1A" w:rsidR="00BC1A43" w:rsidRPr="00315936" w:rsidRDefault="00BC1A43">
            <w:pPr>
              <w:pStyle w:val="Tabletext"/>
              <w:rPr>
                <w:lang w:eastAsia="en-AU"/>
              </w:rPr>
            </w:pPr>
            <w:r w:rsidRPr="00315936">
              <w:rPr>
                <w:rFonts w:eastAsia="VIC"/>
              </w:rPr>
              <w:t>Percentage of admitted bed days delivered at home</w:t>
            </w:r>
          </w:p>
        </w:tc>
      </w:tr>
      <w:tr w:rsidR="00BC1A43" w:rsidRPr="00315936" w14:paraId="675366BE"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C03C84A" w14:textId="77777777" w:rsidR="00BC1A43" w:rsidRPr="00315936" w:rsidRDefault="00BC1A43">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3827BB90" w14:textId="67527985" w:rsidR="00BC1A43" w:rsidRPr="00315936" w:rsidRDefault="00BC1A43">
            <w:pPr>
              <w:pStyle w:val="Tabletext"/>
              <w:rPr>
                <w:lang w:eastAsia="en-AU"/>
              </w:rPr>
            </w:pPr>
            <w:r w:rsidRPr="00315936">
              <w:rPr>
                <w:color w:val="000000"/>
                <w:shd w:val="clear" w:color="auto" w:fill="FFFFFF"/>
              </w:rPr>
              <w:t>This measure</w:t>
            </w:r>
            <w:r w:rsidR="006269B3">
              <w:rPr>
                <w:color w:val="000000"/>
                <w:shd w:val="clear" w:color="auto" w:fill="FFFFFF"/>
              </w:rPr>
              <w:t>s</w:t>
            </w:r>
            <w:r w:rsidRPr="00315936" w:rsidDel="006269B3">
              <w:rPr>
                <w:color w:val="000000"/>
                <w:shd w:val="clear" w:color="auto" w:fill="FFFFFF"/>
              </w:rPr>
              <w:t xml:space="preserve"> </w:t>
            </w:r>
            <w:r w:rsidRPr="00315936">
              <w:rPr>
                <w:color w:val="000000"/>
                <w:shd w:val="clear" w:color="auto" w:fill="FFFFFF"/>
              </w:rPr>
              <w:t>the proportion of total admitted bed days that are delivered to patients in their usual place of residence.</w:t>
            </w:r>
          </w:p>
        </w:tc>
      </w:tr>
      <w:tr w:rsidR="00BC1A43" w:rsidRPr="00315936" w14:paraId="1BF54C94"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599624A" w14:textId="77777777" w:rsidR="00BC1A43" w:rsidRPr="00315936" w:rsidRDefault="00BC1A43">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58515759" w14:textId="45213214" w:rsidR="007E415D" w:rsidRDefault="000C40FD">
            <w:pPr>
              <w:pStyle w:val="Tabletext"/>
              <w:rPr>
                <w:rFonts w:cs="Calibri"/>
                <w:color w:val="000000"/>
                <w:bdr w:val="none" w:sz="0" w:space="0" w:color="auto" w:frame="1"/>
                <w:lang w:eastAsia="en-AU"/>
              </w:rPr>
            </w:pPr>
            <w:r>
              <w:rPr>
                <w:rFonts w:cs="Calibri"/>
                <w:color w:val="000000"/>
                <w:bdr w:val="none" w:sz="0" w:space="0" w:color="auto" w:frame="1"/>
                <w:lang w:eastAsia="en-AU"/>
              </w:rPr>
              <w:t xml:space="preserve">The scope of the measure includes all </w:t>
            </w:r>
            <w:r w:rsidR="005D09EA">
              <w:rPr>
                <w:rFonts w:cs="Calibri"/>
                <w:color w:val="000000"/>
                <w:bdr w:val="none" w:sz="0" w:space="0" w:color="auto" w:frame="1"/>
                <w:lang w:eastAsia="en-AU"/>
              </w:rPr>
              <w:t xml:space="preserve">inpatient episodes </w:t>
            </w:r>
            <w:r w:rsidR="006903F0">
              <w:rPr>
                <w:rFonts w:cs="Calibri"/>
                <w:color w:val="000000"/>
                <w:bdr w:val="none" w:sz="0" w:space="0" w:color="auto" w:frame="1"/>
                <w:lang w:eastAsia="en-AU"/>
              </w:rPr>
              <w:t xml:space="preserve">with </w:t>
            </w:r>
            <w:r w:rsidR="0020430C">
              <w:rPr>
                <w:rFonts w:cs="Calibri"/>
                <w:color w:val="000000"/>
                <w:bdr w:val="none" w:sz="0" w:space="0" w:color="auto" w:frame="1"/>
                <w:lang w:eastAsia="en-AU"/>
              </w:rPr>
              <w:t>no</w:t>
            </w:r>
            <w:r w:rsidR="006903F0">
              <w:rPr>
                <w:rFonts w:cs="Calibri"/>
                <w:color w:val="000000"/>
                <w:bdr w:val="none" w:sz="0" w:space="0" w:color="auto" w:frame="1"/>
                <w:lang w:eastAsia="en-AU"/>
              </w:rPr>
              <w:t xml:space="preserve"> exclusions</w:t>
            </w:r>
            <w:r w:rsidR="0020430C">
              <w:rPr>
                <w:rFonts w:cs="Calibri"/>
                <w:color w:val="000000"/>
                <w:bdr w:val="none" w:sz="0" w:space="0" w:color="auto" w:frame="1"/>
                <w:lang w:eastAsia="en-AU"/>
              </w:rPr>
              <w:t>.</w:t>
            </w:r>
          </w:p>
          <w:p w14:paraId="3CE19F51" w14:textId="07FA63EF" w:rsidR="00BC1A43" w:rsidRPr="00315936" w:rsidRDefault="007212CD" w:rsidP="007E415D">
            <w:pPr>
              <w:pStyle w:val="Tabletext"/>
              <w:rPr>
                <w:rFonts w:ascii="Calibri" w:hAnsi="Calibri"/>
                <w:lang w:eastAsia="en-AU"/>
              </w:rPr>
            </w:pPr>
            <w:r>
              <w:rPr>
                <w:bdr w:val="none" w:sz="0" w:space="0" w:color="auto" w:frame="1"/>
                <w:lang w:eastAsia="en-AU"/>
              </w:rPr>
              <w:t>‘Total b</w:t>
            </w:r>
            <w:r w:rsidR="00BC1A43" w:rsidRPr="00315936">
              <w:rPr>
                <w:bdr w:val="none" w:sz="0" w:space="0" w:color="auto" w:frame="1"/>
                <w:lang w:eastAsia="en-AU"/>
              </w:rPr>
              <w:t xml:space="preserve">ed days’ are </w:t>
            </w:r>
            <w:r w:rsidR="005F6BD4">
              <w:rPr>
                <w:bdr w:val="none" w:sz="0" w:space="0" w:color="auto" w:frame="1"/>
                <w:lang w:eastAsia="en-AU"/>
              </w:rPr>
              <w:t>the</w:t>
            </w:r>
            <w:r w:rsidR="006E5F5B">
              <w:rPr>
                <w:bdr w:val="none" w:sz="0" w:space="0" w:color="auto" w:frame="1"/>
                <w:lang w:eastAsia="en-AU"/>
              </w:rPr>
              <w:t xml:space="preserve"> number of </w:t>
            </w:r>
            <w:r w:rsidR="005F6BD4">
              <w:rPr>
                <w:bdr w:val="none" w:sz="0" w:space="0" w:color="auto" w:frame="1"/>
                <w:lang w:eastAsia="en-AU"/>
              </w:rPr>
              <w:t>midnights</w:t>
            </w:r>
            <w:r w:rsidR="00416406">
              <w:rPr>
                <w:bdr w:val="none" w:sz="0" w:space="0" w:color="auto" w:frame="1"/>
                <w:lang w:eastAsia="en-AU"/>
              </w:rPr>
              <w:t xml:space="preserve"> during which a patient receiving admitted care occupies </w:t>
            </w:r>
            <w:r w:rsidR="002068EC">
              <w:rPr>
                <w:bdr w:val="none" w:sz="0" w:space="0" w:color="auto" w:frame="1"/>
                <w:lang w:eastAsia="en-AU"/>
              </w:rPr>
              <w:t>an inpatient bed at the health service.</w:t>
            </w:r>
            <w:r w:rsidR="00E54F7B">
              <w:rPr>
                <w:bdr w:val="none" w:sz="0" w:space="0" w:color="auto" w:frame="1"/>
                <w:lang w:eastAsia="en-AU"/>
              </w:rPr>
              <w:t xml:space="preserve"> Leave with or without permission are excluded from total bed days.</w:t>
            </w:r>
          </w:p>
          <w:p w14:paraId="36A9BBC5" w14:textId="297049A3" w:rsidR="00BC1A43" w:rsidRPr="00315936" w:rsidRDefault="00BC1A43" w:rsidP="007E415D">
            <w:pPr>
              <w:pStyle w:val="Tablebullet1"/>
              <w:numPr>
                <w:ilvl w:val="0"/>
                <w:numId w:val="0"/>
              </w:numPr>
              <w:rPr>
                <w:rFonts w:ascii="Calibri" w:hAnsi="Calibri"/>
                <w:lang w:eastAsia="en-AU"/>
              </w:rPr>
            </w:pPr>
            <w:r w:rsidRPr="00315936">
              <w:rPr>
                <w:bdr w:val="none" w:sz="0" w:space="0" w:color="auto" w:frame="1"/>
                <w:lang w:eastAsia="en-AU"/>
              </w:rPr>
              <w:t>‘</w:t>
            </w:r>
            <w:r w:rsidR="00464D3F">
              <w:rPr>
                <w:bdr w:val="none" w:sz="0" w:space="0" w:color="auto" w:frame="1"/>
                <w:lang w:eastAsia="en-AU"/>
              </w:rPr>
              <w:t>Bed days delivered a</w:t>
            </w:r>
            <w:r w:rsidRPr="00315936">
              <w:rPr>
                <w:bdr w:val="none" w:sz="0" w:space="0" w:color="auto" w:frame="1"/>
                <w:lang w:eastAsia="en-AU"/>
              </w:rPr>
              <w:t xml:space="preserve">t home’ are </w:t>
            </w:r>
            <w:r w:rsidR="007212CD">
              <w:rPr>
                <w:bdr w:val="none" w:sz="0" w:space="0" w:color="auto" w:frame="1"/>
                <w:lang w:eastAsia="en-AU"/>
              </w:rPr>
              <w:t>identified</w:t>
            </w:r>
            <w:r w:rsidR="007212CD" w:rsidRPr="00315936">
              <w:rPr>
                <w:bdr w:val="none" w:sz="0" w:space="0" w:color="auto" w:frame="1"/>
                <w:lang w:eastAsia="en-AU"/>
              </w:rPr>
              <w:t xml:space="preserve"> </w:t>
            </w:r>
            <w:r w:rsidRPr="00315936">
              <w:rPr>
                <w:bdr w:val="none" w:sz="0" w:space="0" w:color="auto" w:frame="1"/>
                <w:lang w:eastAsia="en-AU"/>
              </w:rPr>
              <w:t>as those in which ‘Accommodation type’ at midnight is coded as ‘4 – Hospital in the Home (HITH).’</w:t>
            </w:r>
          </w:p>
          <w:p w14:paraId="0A132814" w14:textId="7EC3FC7E" w:rsidR="00BC1A43" w:rsidRPr="00315936" w:rsidRDefault="00BC1A43" w:rsidP="007E415D">
            <w:pPr>
              <w:pStyle w:val="Tablebullet1"/>
              <w:numPr>
                <w:ilvl w:val="0"/>
                <w:numId w:val="0"/>
              </w:numPr>
              <w:rPr>
                <w:lang w:eastAsia="en-AU"/>
              </w:rPr>
            </w:pPr>
            <w:r w:rsidRPr="00315936">
              <w:rPr>
                <w:bdr w:val="none" w:sz="0" w:space="0" w:color="auto" w:frame="1"/>
                <w:lang w:eastAsia="en-AU"/>
              </w:rPr>
              <w:t xml:space="preserve">Same-day patients who are transferred </w:t>
            </w:r>
            <w:r w:rsidR="00C65073">
              <w:rPr>
                <w:bdr w:val="none" w:sz="0" w:space="0" w:color="auto" w:frame="1"/>
                <w:lang w:eastAsia="en-AU"/>
              </w:rPr>
              <w:t>to HITH accommodation</w:t>
            </w:r>
            <w:r w:rsidR="00C65073" w:rsidRPr="00315936">
              <w:rPr>
                <w:bdr w:val="none" w:sz="0" w:space="0" w:color="auto" w:frame="1"/>
                <w:lang w:eastAsia="en-AU"/>
              </w:rPr>
              <w:t xml:space="preserve"> </w:t>
            </w:r>
            <w:r w:rsidRPr="00315936">
              <w:rPr>
                <w:bdr w:val="none" w:sz="0" w:space="0" w:color="auto" w:frame="1"/>
                <w:lang w:eastAsia="en-AU"/>
              </w:rPr>
              <w:t xml:space="preserve">before separation, or whose entire </w:t>
            </w:r>
            <w:r w:rsidR="002C1E57">
              <w:rPr>
                <w:bdr w:val="none" w:sz="0" w:space="0" w:color="auto" w:frame="1"/>
                <w:lang w:eastAsia="en-AU"/>
              </w:rPr>
              <w:t>accommodation</w:t>
            </w:r>
            <w:r w:rsidR="00230EBF">
              <w:rPr>
                <w:bdr w:val="none" w:sz="0" w:space="0" w:color="auto" w:frame="1"/>
                <w:lang w:eastAsia="en-AU"/>
              </w:rPr>
              <w:t xml:space="preserve"> type</w:t>
            </w:r>
            <w:r w:rsidRPr="00315936">
              <w:rPr>
                <w:bdr w:val="none" w:sz="0" w:space="0" w:color="auto" w:frame="1"/>
                <w:lang w:eastAsia="en-AU"/>
              </w:rPr>
              <w:t xml:space="preserve"> is </w:t>
            </w:r>
            <w:r w:rsidR="002C1E57">
              <w:rPr>
                <w:bdr w:val="none" w:sz="0" w:space="0" w:color="auto" w:frame="1"/>
                <w:lang w:eastAsia="en-AU"/>
              </w:rPr>
              <w:t>HITH</w:t>
            </w:r>
            <w:r w:rsidRPr="00315936">
              <w:rPr>
                <w:bdr w:val="none" w:sz="0" w:space="0" w:color="auto" w:frame="1"/>
                <w:lang w:eastAsia="en-AU"/>
              </w:rPr>
              <w:t xml:space="preserve"> will </w:t>
            </w:r>
            <w:r w:rsidR="00230EBF">
              <w:rPr>
                <w:bdr w:val="none" w:sz="0" w:space="0" w:color="auto" w:frame="1"/>
                <w:lang w:eastAsia="en-AU"/>
              </w:rPr>
              <w:t xml:space="preserve">be included in scope and </w:t>
            </w:r>
            <w:r w:rsidR="00D352BD">
              <w:rPr>
                <w:bdr w:val="none" w:sz="0" w:space="0" w:color="auto" w:frame="1"/>
                <w:lang w:eastAsia="en-AU"/>
              </w:rPr>
              <w:t xml:space="preserve">will </w:t>
            </w:r>
            <w:r w:rsidRPr="00315936">
              <w:rPr>
                <w:bdr w:val="none" w:sz="0" w:space="0" w:color="auto" w:frame="1"/>
                <w:lang w:eastAsia="en-AU"/>
              </w:rPr>
              <w:t>have their bed day</w:t>
            </w:r>
            <w:r w:rsidR="003A3654">
              <w:rPr>
                <w:bdr w:val="none" w:sz="0" w:space="0" w:color="auto" w:frame="1"/>
                <w:lang w:eastAsia="en-AU"/>
              </w:rPr>
              <w:t>(s)</w:t>
            </w:r>
            <w:r w:rsidRPr="00315936">
              <w:rPr>
                <w:bdr w:val="none" w:sz="0" w:space="0" w:color="auto" w:frame="1"/>
                <w:lang w:eastAsia="en-AU"/>
              </w:rPr>
              <w:t xml:space="preserve"> recorded as ‘at home’.</w:t>
            </w:r>
          </w:p>
        </w:tc>
      </w:tr>
      <w:tr w:rsidR="00BC1A43" w:rsidRPr="00315936" w14:paraId="5B686191"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C877DEB" w14:textId="77777777" w:rsidR="00BC1A43" w:rsidRPr="00315936" w:rsidRDefault="00BC1A43">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64F66408" w14:textId="77777777" w:rsidR="00BC1A43" w:rsidRPr="00315936" w:rsidRDefault="00BC1A43">
            <w:pPr>
              <w:pStyle w:val="Tabletext"/>
              <w:rPr>
                <w:lang w:eastAsia="en-AU"/>
              </w:rPr>
            </w:pPr>
            <w:r w:rsidRPr="00315936">
              <w:rPr>
                <w:rFonts w:eastAsia="VIC"/>
                <w:color w:val="242424"/>
              </w:rPr>
              <w:t>Total number of bed days delivered at home</w:t>
            </w:r>
          </w:p>
        </w:tc>
      </w:tr>
      <w:tr w:rsidR="00BC1A43" w:rsidRPr="00315936" w14:paraId="0080C991"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E73EFA3" w14:textId="77777777" w:rsidR="00BC1A43" w:rsidRPr="00315936" w:rsidRDefault="00BC1A43">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50BD12A3" w14:textId="77777777" w:rsidR="00BC1A43" w:rsidRPr="00315936" w:rsidRDefault="00BC1A43">
            <w:pPr>
              <w:pStyle w:val="Tabletext"/>
              <w:rPr>
                <w:lang w:eastAsia="en-AU"/>
              </w:rPr>
            </w:pPr>
            <w:r w:rsidRPr="00315936">
              <w:rPr>
                <w:rFonts w:eastAsia="VIC"/>
                <w:color w:val="242424"/>
              </w:rPr>
              <w:t>Total number of bed days delivered</w:t>
            </w:r>
          </w:p>
        </w:tc>
      </w:tr>
      <w:tr w:rsidR="00BC1A43" w:rsidRPr="00315936" w14:paraId="28BEF810"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7C164B0" w14:textId="77777777" w:rsidR="00BC1A43" w:rsidRPr="00315936" w:rsidRDefault="00BC1A43">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0140A9CE" w14:textId="4F7FF0AC" w:rsidR="00BC1A43" w:rsidRPr="00315936" w:rsidRDefault="008E04E3">
            <w:pPr>
              <w:pStyle w:val="Tabletext"/>
              <w:rPr>
                <w:rFonts w:ascii="Aptos" w:eastAsia="Aptos" w:hAnsi="Aptos" w:cs="Aptos"/>
                <w:sz w:val="24"/>
                <w:szCs w:val="24"/>
              </w:rPr>
            </w:pPr>
            <w:r w:rsidRPr="00315936">
              <w:t>As agreed in the SoP for each health service</w:t>
            </w:r>
          </w:p>
        </w:tc>
      </w:tr>
      <w:tr w:rsidR="00BC1A43" w:rsidRPr="00315936" w14:paraId="70AE4116"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874399D" w14:textId="0911A039" w:rsidR="00BC1A43" w:rsidRPr="00315936" w:rsidRDefault="009F0405">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0DD2F283" w14:textId="56A2FF6C" w:rsidR="00BC1A43" w:rsidRPr="00315936" w:rsidRDefault="66DE7039">
            <w:pPr>
              <w:pStyle w:val="Tabletext"/>
              <w:rPr>
                <w:rFonts w:eastAsia="VIC"/>
              </w:rPr>
            </w:pPr>
            <w:r w:rsidRPr="00E65A9B">
              <w:rPr>
                <w:rFonts w:eastAsia="Aptos"/>
              </w:rPr>
              <w:t>Greater than or equal to health service target</w:t>
            </w:r>
          </w:p>
        </w:tc>
      </w:tr>
      <w:tr w:rsidR="00BC1A43" w:rsidRPr="00315936" w14:paraId="4AEC1447"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803DD5B" w14:textId="3300B87B" w:rsidR="00BC1A43" w:rsidRPr="00315936" w:rsidRDefault="009F0405">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774FC957" w14:textId="5BCEE4DE" w:rsidR="00BC1A43" w:rsidRPr="00315936" w:rsidRDefault="6CA44D23">
            <w:pPr>
              <w:pStyle w:val="Tabletext"/>
              <w:rPr>
                <w:rFonts w:eastAsia="VIC"/>
              </w:rPr>
            </w:pPr>
            <w:r w:rsidRPr="00E65A9B">
              <w:rPr>
                <w:rFonts w:eastAsia="Aptos"/>
              </w:rPr>
              <w:t>Less than health service target</w:t>
            </w:r>
          </w:p>
        </w:tc>
      </w:tr>
      <w:tr w:rsidR="00BC1A43" w:rsidRPr="00315936" w14:paraId="426772EC"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A645F87" w14:textId="77777777" w:rsidR="00BC1A43" w:rsidRPr="00315936" w:rsidRDefault="00BC1A43">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07B1932A" w14:textId="6E9208AC" w:rsidR="00BC1A43" w:rsidRPr="00315936" w:rsidRDefault="003B0A6B" w:rsidP="00CB6F3F">
            <w:pPr>
              <w:pStyle w:val="Tabletext"/>
              <w:spacing w:line="259" w:lineRule="auto"/>
              <w:rPr>
                <w:lang w:eastAsia="en-AU"/>
              </w:rPr>
            </w:pPr>
            <w:r>
              <w:rPr>
                <w:rFonts w:eastAsia="VIC"/>
              </w:rPr>
              <w:t>For the purpose of the performance risk assessment, i</w:t>
            </w:r>
            <w:r w:rsidR="00BC1A43" w:rsidRPr="4A3EC911">
              <w:rPr>
                <w:rFonts w:eastAsia="VIC"/>
              </w:rPr>
              <w:t xml:space="preserve">mprovement is assessed against the previous </w:t>
            </w:r>
            <w:r w:rsidR="42B4E63A" w:rsidRPr="4A3EC911">
              <w:rPr>
                <w:rFonts w:eastAsia="VIC"/>
              </w:rPr>
              <w:t>year</w:t>
            </w:r>
            <w:r w:rsidR="1E77553C" w:rsidRPr="4A3EC911">
              <w:rPr>
                <w:rFonts w:eastAsia="VIC"/>
              </w:rPr>
              <w:t>’s</w:t>
            </w:r>
            <w:r w:rsidR="00BC1A43" w:rsidRPr="4A3EC911">
              <w:rPr>
                <w:rFonts w:eastAsia="VIC"/>
              </w:rPr>
              <w:t xml:space="preserve"> performance.</w:t>
            </w:r>
          </w:p>
        </w:tc>
      </w:tr>
      <w:tr w:rsidR="00BC1A43" w:rsidRPr="00315936" w14:paraId="6DE13395" w14:textId="77777777" w:rsidTr="003A05B3">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5B09836" w14:textId="77777777" w:rsidR="00BC1A43" w:rsidRPr="00315936" w:rsidRDefault="00BC1A43">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32CC063E" w14:textId="21595647" w:rsidR="00BC1A43" w:rsidRPr="00315936" w:rsidRDefault="00BC1A43">
            <w:pPr>
              <w:pStyle w:val="Tabletext"/>
            </w:pPr>
            <w:r w:rsidRPr="00315936">
              <w:t xml:space="preserve">Performance is </w:t>
            </w:r>
            <w:r w:rsidR="009E21A3" w:rsidRPr="00315936">
              <w:t>reported quarterly and annually at the health service level.</w:t>
            </w:r>
          </w:p>
          <w:p w14:paraId="34C11220" w14:textId="5814745C" w:rsidR="00BC1A43" w:rsidRPr="00315936" w:rsidRDefault="00BC1A43" w:rsidP="002A3E24">
            <w:pPr>
              <w:pStyle w:val="Tablebullet1"/>
              <w:numPr>
                <w:ilvl w:val="0"/>
                <w:numId w:val="0"/>
              </w:numPr>
              <w:ind w:left="227" w:hanging="227"/>
            </w:pPr>
            <w:r w:rsidRPr="00315936">
              <w:t xml:space="preserve">Data </w:t>
            </w:r>
            <w:r w:rsidR="009E21A3" w:rsidRPr="00315936">
              <w:t xml:space="preserve">are sourced </w:t>
            </w:r>
            <w:r w:rsidRPr="00315936">
              <w:t>from</w:t>
            </w:r>
            <w:r w:rsidR="002A7D5D" w:rsidRPr="00315936">
              <w:t xml:space="preserve"> </w:t>
            </w:r>
            <w:r w:rsidR="00126CDF">
              <w:t>the Victorian Admitted Episodes Dataset (VAED).</w:t>
            </w:r>
            <w:r w:rsidR="00126CDF" w:rsidRPr="00315936">
              <w:t xml:space="preserve"> </w:t>
            </w:r>
          </w:p>
        </w:tc>
      </w:tr>
    </w:tbl>
    <w:p w14:paraId="78071126" w14:textId="4229D617" w:rsidR="00140581" w:rsidRPr="00315936" w:rsidRDefault="00140581" w:rsidP="00140581">
      <w:pPr>
        <w:pStyle w:val="Heading3"/>
      </w:pPr>
      <w:bookmarkStart w:id="85" w:name="_Toc91792769"/>
      <w:r w:rsidRPr="00315936">
        <w:lastRenderedPageBreak/>
        <w:t>Ambulance Victoria</w:t>
      </w:r>
      <w:bookmarkEnd w:id="85"/>
    </w:p>
    <w:p w14:paraId="4C84BDE3" w14:textId="19B21D5A" w:rsidR="00A166FD" w:rsidRDefault="00A166FD" w:rsidP="008E7F78">
      <w:pPr>
        <w:pStyle w:val="Heading4"/>
      </w:pPr>
      <w:bookmarkStart w:id="86" w:name="_Toc2044746889"/>
      <w:r w:rsidRPr="00315936">
        <w:t>Percentage of emergency (Code 1) incidents</w:t>
      </w:r>
      <w:r>
        <w:t xml:space="preserve"> (modified Secondary Triage call start time)</w:t>
      </w:r>
      <w:r w:rsidRPr="00315936">
        <w:t xml:space="preserve"> responded to within 15 minutes</w:t>
      </w:r>
      <w:r w:rsidR="00A303F1">
        <w:t xml:space="preserve"> </w:t>
      </w:r>
    </w:p>
    <w:tbl>
      <w:tblPr>
        <w:tblStyle w:val="TableGrid"/>
        <w:tblW w:w="9349" w:type="dxa"/>
        <w:tblLook w:val="04A0" w:firstRow="1" w:lastRow="0" w:firstColumn="1" w:lastColumn="0" w:noHBand="0" w:noVBand="1"/>
      </w:tblPr>
      <w:tblGrid>
        <w:gridCol w:w="1837"/>
        <w:gridCol w:w="7512"/>
      </w:tblGrid>
      <w:tr w:rsidR="00A166FD" w:rsidRPr="00315936" w14:paraId="048C568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0ED87DA" w14:textId="77777777" w:rsidR="00A166FD" w:rsidRPr="00315936" w:rsidRDefault="00A166FD">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33815AFC" w14:textId="5E9CAAC8" w:rsidR="00A166FD" w:rsidRPr="00315936" w:rsidRDefault="00A166FD">
            <w:pPr>
              <w:pStyle w:val="Tabletext"/>
              <w:rPr>
                <w:lang w:eastAsia="en-AU"/>
              </w:rPr>
            </w:pPr>
            <w:r w:rsidRPr="00315936">
              <w:t>Percentage of emergency (Code 1) incidents</w:t>
            </w:r>
            <w:r w:rsidR="00046F5C">
              <w:t xml:space="preserve"> (modified Secondary Triage call start time)</w:t>
            </w:r>
            <w:r w:rsidRPr="00315936">
              <w:t xml:space="preserve"> responded to within 15 minutes</w:t>
            </w:r>
            <w:r w:rsidR="00D14BA0">
              <w:t xml:space="preserve"> </w:t>
            </w:r>
            <w:r w:rsidR="00036D6F">
              <w:fldChar w:fldCharType="begin"/>
            </w:r>
            <w:r w:rsidR="00036D6F">
              <w:instrText xml:space="preserve"> NOTEREF _Ref201303719 \f \h </w:instrText>
            </w:r>
            <w:r w:rsidR="00036D6F">
              <w:fldChar w:fldCharType="separate"/>
            </w:r>
            <w:r w:rsidR="00036D6F" w:rsidRPr="00036D6F">
              <w:rPr>
                <w:rStyle w:val="EndnoteReference"/>
              </w:rPr>
              <w:t>ix</w:t>
            </w:r>
            <w:r w:rsidR="00036D6F">
              <w:fldChar w:fldCharType="end"/>
            </w:r>
            <w:r w:rsidR="007B4887">
              <w:fldChar w:fldCharType="begin"/>
            </w:r>
            <w:r w:rsidR="007B4887">
              <w:instrText xml:space="preserve"> NOTEREF _Ref201303719 \f \h </w:instrText>
            </w:r>
            <w:r w:rsidR="007B4887">
              <w:fldChar w:fldCharType="separate"/>
            </w:r>
            <w:r w:rsidR="007B4887">
              <w:fldChar w:fldCharType="end"/>
            </w:r>
            <w:r w:rsidR="007B4887" w:rsidDel="007B4887">
              <w:t xml:space="preserve"> </w:t>
            </w:r>
          </w:p>
        </w:tc>
      </w:tr>
      <w:tr w:rsidR="00A166FD" w:rsidRPr="00315936" w14:paraId="60A3F6B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6DF79DB" w14:textId="77777777" w:rsidR="00A166FD" w:rsidRPr="00315936" w:rsidRDefault="00A166FD">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1652805E" w14:textId="1210C047" w:rsidR="00A166FD" w:rsidRPr="00315936" w:rsidRDefault="00A166FD">
            <w:pPr>
              <w:pStyle w:val="Tabletext"/>
            </w:pPr>
            <w:r w:rsidRPr="00315936">
              <w:t>Statewide response times are a</w:t>
            </w:r>
            <w:r w:rsidR="002201A7">
              <w:t>n indicator</w:t>
            </w:r>
            <w:r w:rsidRPr="00315936">
              <w:t xml:space="preserve"> of the provision of accessible and effective ambulance service to communities.</w:t>
            </w:r>
          </w:p>
          <w:p w14:paraId="334138D1" w14:textId="77777777" w:rsidR="00F44F93" w:rsidRDefault="00A166FD">
            <w:pPr>
              <w:pStyle w:val="Tabletext"/>
            </w:pPr>
            <w:r w:rsidRPr="00315936">
              <w:t>Code 1 incidents are potentially life threatening and are time-critical, requiring a lights and sirens response.</w:t>
            </w:r>
          </w:p>
          <w:p w14:paraId="76136203" w14:textId="620CD295" w:rsidR="001E74E8" w:rsidRPr="00315936" w:rsidRDefault="001E74E8">
            <w:pPr>
              <w:pStyle w:val="Tabletext"/>
            </w:pPr>
            <w:r>
              <w:t xml:space="preserve">Some Code 1 </w:t>
            </w:r>
            <w:r w:rsidR="0035132A">
              <w:t xml:space="preserve">incidents involve a </w:t>
            </w:r>
            <w:r w:rsidR="00667D57">
              <w:t>‘</w:t>
            </w:r>
            <w:r w:rsidR="0035132A">
              <w:t>modified Secondary Triage call start time</w:t>
            </w:r>
            <w:r w:rsidR="00667D57">
              <w:t>’</w:t>
            </w:r>
            <w:r w:rsidR="0035132A">
              <w:t xml:space="preserve">, where the initial </w:t>
            </w:r>
            <w:r w:rsidR="00E92012">
              <w:t xml:space="preserve">triple zero (000) </w:t>
            </w:r>
            <w:r w:rsidR="00667D57">
              <w:t>call is redirected to secondary triage</w:t>
            </w:r>
            <w:r w:rsidR="00FD4B9C">
              <w:t xml:space="preserve"> for further assessment. If the incident is subsequently deemed a priority, it is classified as Code 1</w:t>
            </w:r>
            <w:r w:rsidR="00B332FC">
              <w:t xml:space="preserve">. In these cases, the response time is measured from the point at which secondary triage confirms the Code 1 classification, rather than </w:t>
            </w:r>
            <w:r w:rsidR="00E3646E">
              <w:t xml:space="preserve">the time of the initial call. </w:t>
            </w:r>
          </w:p>
        </w:tc>
      </w:tr>
      <w:tr w:rsidR="00A166FD" w:rsidRPr="00315936" w14:paraId="08A09B0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D3C1EF3" w14:textId="77777777" w:rsidR="00A166FD" w:rsidRPr="00315936" w:rsidRDefault="00A166FD">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567C15A9" w14:textId="4E2D7CF2" w:rsidR="00A166FD" w:rsidRPr="00315936" w:rsidRDefault="00A166FD">
            <w:pPr>
              <w:pStyle w:val="Tabletext"/>
            </w:pPr>
            <w:r w:rsidRPr="00315936">
              <w:t xml:space="preserve">Response time </w:t>
            </w:r>
            <w:r w:rsidR="002F188B">
              <w:t>is calculated as</w:t>
            </w:r>
            <w:r w:rsidRPr="00315936">
              <w:t xml:space="preserve"> the time from a triple zero (000) call being answered by the Emergency Services Telecommunications Authority (ESTA) </w:t>
            </w:r>
            <w:r w:rsidR="00555FDB">
              <w:t xml:space="preserve"> o</w:t>
            </w:r>
            <w:r w:rsidR="00BE655B">
              <w:t>r</w:t>
            </w:r>
            <w:r w:rsidR="003B6A92">
              <w:t xml:space="preserve"> when</w:t>
            </w:r>
            <w:r w:rsidR="00A56D8C">
              <w:t xml:space="preserve"> Ambulance Victoria’s Triage Services identifies the call</w:t>
            </w:r>
            <w:r w:rsidR="00A04C4F">
              <w:t xml:space="preserve"> requires a Code 1 response</w:t>
            </w:r>
            <w:r w:rsidR="00D057B5">
              <w:t>,</w:t>
            </w:r>
            <w:r w:rsidR="00FA51F8">
              <w:t xml:space="preserve"> </w:t>
            </w:r>
            <w:r w:rsidRPr="00315936">
              <w:t>to the time an Ambulance Victoria paramedic, community emergency response team or ambulance community officer</w:t>
            </w:r>
            <w:r w:rsidR="002F188B">
              <w:t xml:space="preserve"> </w:t>
            </w:r>
            <w:r w:rsidR="002F188B" w:rsidRPr="00315936">
              <w:t xml:space="preserve">first </w:t>
            </w:r>
            <w:r w:rsidR="002F188B">
              <w:t>arrives</w:t>
            </w:r>
            <w:r w:rsidR="002F188B" w:rsidRPr="00315936">
              <w:t xml:space="preserve"> at the incident scene</w:t>
            </w:r>
            <w:r w:rsidRPr="00315936">
              <w:t>.</w:t>
            </w:r>
            <w:r w:rsidR="00DF1F1A">
              <w:t xml:space="preserve"> </w:t>
            </w:r>
          </w:p>
          <w:p w14:paraId="7157D5E0" w14:textId="20F79438" w:rsidR="00A166FD" w:rsidRPr="00315936" w:rsidRDefault="00A166FD">
            <w:pPr>
              <w:pStyle w:val="Tabletext"/>
            </w:pPr>
            <w:r w:rsidRPr="00315936">
              <w:t xml:space="preserve">This </w:t>
            </w:r>
            <w:r w:rsidR="008B6B05">
              <w:t>indicator</w:t>
            </w:r>
            <w:r w:rsidRPr="00315936">
              <w:t xml:space="preserve"> applies to all emergency road Code 1 incidents </w:t>
            </w:r>
            <w:r w:rsidR="00DB2297">
              <w:t>to which a response had been dispatched</w:t>
            </w:r>
            <w:r w:rsidRPr="00315936">
              <w:t>.</w:t>
            </w:r>
          </w:p>
          <w:p w14:paraId="51B4D847" w14:textId="0ED6AFD5" w:rsidR="00A166FD" w:rsidRPr="00315936" w:rsidRDefault="00A166FD">
            <w:pPr>
              <w:pStyle w:val="Tabletext"/>
            </w:pPr>
            <w:r w:rsidRPr="00315936">
              <w:t xml:space="preserve">This </w:t>
            </w:r>
            <w:r w:rsidR="008B6B05">
              <w:t>indicator</w:t>
            </w:r>
            <w:r w:rsidRPr="00315936">
              <w:t xml:space="preserve"> excludes:</w:t>
            </w:r>
          </w:p>
          <w:p w14:paraId="21D9F6D5" w14:textId="39EA17A5" w:rsidR="00A166FD" w:rsidRPr="00315936" w:rsidRDefault="00A166FD" w:rsidP="00277D0E">
            <w:pPr>
              <w:pStyle w:val="Tablebullet1"/>
            </w:pPr>
            <w:r w:rsidRPr="00315936">
              <w:t>incidents for which the response time was recorded as</w:t>
            </w:r>
            <w:r w:rsidR="0086359E">
              <w:t xml:space="preserve"> negative,</w:t>
            </w:r>
            <w:r w:rsidRPr="00315936">
              <w:t xml:space="preserve"> greater than 2 hours</w:t>
            </w:r>
            <w:r w:rsidR="00277D0E">
              <w:t xml:space="preserve"> or </w:t>
            </w:r>
            <w:r w:rsidR="004A72D9">
              <w:t xml:space="preserve">incidents </w:t>
            </w:r>
            <w:r w:rsidR="002051E9">
              <w:t>with</w:t>
            </w:r>
            <w:r w:rsidRPr="00315936">
              <w:t xml:space="preserve"> missing time stamps</w:t>
            </w:r>
          </w:p>
          <w:p w14:paraId="069E8D52" w14:textId="77777777" w:rsidR="00BF3156" w:rsidRDefault="00A166FD">
            <w:pPr>
              <w:pStyle w:val="Tablebullet1"/>
            </w:pPr>
            <w:r w:rsidRPr="00315936">
              <w:t xml:space="preserve">responses to ambulance incidents by </w:t>
            </w:r>
            <w:r w:rsidR="000721AE">
              <w:t>Fire Rescue Victoria</w:t>
            </w:r>
            <w:r w:rsidRPr="00315936">
              <w:t>, the Country Fire Authority, NSW Ambulance Service, and remote area nurses</w:t>
            </w:r>
          </w:p>
          <w:p w14:paraId="41DF1774" w14:textId="7CA5C252" w:rsidR="00A166FD" w:rsidRPr="00315936" w:rsidRDefault="00A166FD">
            <w:pPr>
              <w:pStyle w:val="Tablebullet1"/>
            </w:pPr>
            <w:r w:rsidRPr="00315936">
              <w:t>responses by air ambulance resources.</w:t>
            </w:r>
          </w:p>
          <w:p w14:paraId="142DC9AF" w14:textId="77777777" w:rsidR="00155898" w:rsidRDefault="00A166FD">
            <w:pPr>
              <w:pStyle w:val="Tabletext"/>
            </w:pPr>
            <w:r w:rsidRPr="00315936">
              <w:t xml:space="preserve">This </w:t>
            </w:r>
            <w:r w:rsidR="0074177A">
              <w:t>indicator</w:t>
            </w:r>
            <w:r w:rsidRPr="00315936">
              <w:t xml:space="preserve"> is expressed as a percentage to one decimal place.</w:t>
            </w:r>
          </w:p>
          <w:p w14:paraId="2693A152" w14:textId="54FDE602" w:rsidR="00620643" w:rsidRPr="00315936" w:rsidRDefault="00620643">
            <w:pPr>
              <w:pStyle w:val="Tabletext"/>
              <w:rPr>
                <w:lang w:eastAsia="en-AU"/>
              </w:rPr>
            </w:pPr>
            <w:r>
              <w:t xml:space="preserve">For incidents with a modified Secondary Triage call start time, the response time begins when secondary triage confirms the incident </w:t>
            </w:r>
            <w:r w:rsidR="00AF4EE8">
              <w:t>as a Code 1 priority, rather than the initial triple zero (000) call.</w:t>
            </w:r>
          </w:p>
        </w:tc>
      </w:tr>
      <w:tr w:rsidR="00A166FD" w:rsidRPr="00315936" w14:paraId="7825A78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4677BDD" w14:textId="77777777" w:rsidR="00A166FD" w:rsidRPr="00315936" w:rsidRDefault="00A166FD">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6107827C" w14:textId="52AA5CB2" w:rsidR="00A166FD" w:rsidRPr="00315936" w:rsidRDefault="00066718">
            <w:pPr>
              <w:pStyle w:val="Tabletext"/>
              <w:rPr>
                <w:lang w:eastAsia="en-AU"/>
              </w:rPr>
            </w:pPr>
            <w:r>
              <w:t>N</w:t>
            </w:r>
            <w:r w:rsidR="00382738">
              <w:t>umber</w:t>
            </w:r>
            <w:r w:rsidR="00A166FD" w:rsidRPr="00315936">
              <w:t xml:space="preserve"> of emergency road Code 1 incident</w:t>
            </w:r>
            <w:r w:rsidR="004F2523">
              <w:t>s</w:t>
            </w:r>
            <w:r w:rsidR="00A166FD" w:rsidRPr="00315936">
              <w:t xml:space="preserve"> responded to</w:t>
            </w:r>
            <w:r w:rsidR="00E37B48">
              <w:t xml:space="preserve">, </w:t>
            </w:r>
            <w:r w:rsidR="00540337">
              <w:t xml:space="preserve">adjusted for changes in Secondary Triage call start times, where arrival </w:t>
            </w:r>
            <w:r w:rsidR="000A6F07">
              <w:t>occurred</w:t>
            </w:r>
            <w:r w:rsidR="00A166FD" w:rsidRPr="00315936">
              <w:t xml:space="preserve"> within 15 minutes</w:t>
            </w:r>
            <w:r w:rsidR="00E46BEF">
              <w:t xml:space="preserve"> </w:t>
            </w:r>
          </w:p>
        </w:tc>
      </w:tr>
      <w:tr w:rsidR="00A166FD" w:rsidRPr="00315936" w14:paraId="36963C6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7992077" w14:textId="77777777" w:rsidR="00A166FD" w:rsidRPr="00315936" w:rsidRDefault="00A166FD">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287F4C13" w14:textId="2B6DC760" w:rsidR="00A166FD" w:rsidRPr="00315936" w:rsidRDefault="00066718">
            <w:pPr>
              <w:pStyle w:val="Tabletext"/>
              <w:rPr>
                <w:lang w:eastAsia="en-AU"/>
              </w:rPr>
            </w:pPr>
            <w:r>
              <w:t>N</w:t>
            </w:r>
            <w:r w:rsidR="00A166FD" w:rsidRPr="00315936">
              <w:t xml:space="preserve">umber of emergency road Code 1 incidents </w:t>
            </w:r>
            <w:r w:rsidR="00DB2297">
              <w:t>to which a response had been dispatched</w:t>
            </w:r>
            <w:r w:rsidR="00A166FD" w:rsidRPr="00315936">
              <w:t xml:space="preserve"> </w:t>
            </w:r>
          </w:p>
        </w:tc>
      </w:tr>
      <w:tr w:rsidR="00A166FD" w:rsidRPr="00315936" w14:paraId="7B3273A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C976061" w14:textId="77777777" w:rsidR="00A166FD" w:rsidRPr="00315936" w:rsidRDefault="00A166FD">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16594ED8" w14:textId="2E739746" w:rsidR="00A166FD" w:rsidRPr="00315936" w:rsidRDefault="00046F5C">
            <w:pPr>
              <w:pStyle w:val="Tabletext"/>
              <w:rPr>
                <w:lang w:eastAsia="en-AU"/>
              </w:rPr>
            </w:pPr>
            <w:r>
              <w:t>90</w:t>
            </w:r>
            <w:r w:rsidR="00A166FD" w:rsidRPr="00315936">
              <w:t xml:space="preserve"> per cent</w:t>
            </w:r>
            <w:r w:rsidR="00A166FD">
              <w:t xml:space="preserve"> or</w:t>
            </w:r>
            <w:r w:rsidR="00AD1E30">
              <w:t xml:space="preserve"> 4 per cent</w:t>
            </w:r>
            <w:r w:rsidR="00A166FD">
              <w:t xml:space="preserve"> improvement o</w:t>
            </w:r>
            <w:r w:rsidR="004E4405">
              <w:t>n performance</w:t>
            </w:r>
            <w:r w:rsidR="2E86B53F">
              <w:t xml:space="preserve"> from the same period last year</w:t>
            </w:r>
          </w:p>
        </w:tc>
      </w:tr>
      <w:tr w:rsidR="00A166FD" w:rsidRPr="00315936" w14:paraId="265AF2B4"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98AEC69" w14:textId="77777777" w:rsidR="00A166FD" w:rsidRPr="00315936" w:rsidRDefault="00A166FD">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419C5AFA" w14:textId="50F707CD" w:rsidR="00A166FD" w:rsidRPr="00315936" w:rsidRDefault="001F01B4">
            <w:pPr>
              <w:pStyle w:val="Tabletext"/>
            </w:pPr>
            <w:r>
              <w:t>G</w:t>
            </w:r>
            <w:r w:rsidR="00A166FD" w:rsidRPr="00315936">
              <w:t xml:space="preserve">reater than </w:t>
            </w:r>
            <w:r>
              <w:t>or equal to</w:t>
            </w:r>
            <w:r w:rsidR="00A166FD" w:rsidRPr="00315936">
              <w:t xml:space="preserve"> </w:t>
            </w:r>
            <w:r w:rsidR="00AD12B2">
              <w:t>90</w:t>
            </w:r>
            <w:r w:rsidR="00A166FD" w:rsidRPr="00315936">
              <w:t xml:space="preserve"> per cent</w:t>
            </w:r>
            <w:r w:rsidR="003171F6">
              <w:t xml:space="preserve"> or 4 per cent improvement on performance from the same period last year</w:t>
            </w:r>
          </w:p>
        </w:tc>
      </w:tr>
      <w:tr w:rsidR="00A166FD" w:rsidRPr="00315936" w14:paraId="0ED495B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A1D9A9E" w14:textId="77777777" w:rsidR="00A166FD" w:rsidRPr="00315936" w:rsidRDefault="00A166FD">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2CC14DDB" w14:textId="55FD0E53" w:rsidR="00A166FD" w:rsidRPr="00315936" w:rsidRDefault="00A166FD">
            <w:pPr>
              <w:pStyle w:val="Tabletext"/>
            </w:pPr>
            <w:r w:rsidRPr="00315936">
              <w:t xml:space="preserve">Less than </w:t>
            </w:r>
            <w:r w:rsidR="00AD12B2">
              <w:t>90</w:t>
            </w:r>
            <w:r w:rsidRPr="00315936">
              <w:t xml:space="preserve"> per cent</w:t>
            </w:r>
            <w:r w:rsidR="003A65BF">
              <w:t xml:space="preserve"> </w:t>
            </w:r>
            <w:r w:rsidR="00090AD3">
              <w:t>and</w:t>
            </w:r>
            <w:r w:rsidR="003A65BF">
              <w:t xml:space="preserve"> </w:t>
            </w:r>
            <w:r w:rsidR="00090AD3">
              <w:t>below</w:t>
            </w:r>
            <w:r w:rsidR="003A65BF">
              <w:t xml:space="preserve"> 4 per cent improvement</w:t>
            </w:r>
          </w:p>
        </w:tc>
      </w:tr>
      <w:tr w:rsidR="00A166FD" w:rsidRPr="00315936" w14:paraId="0268B9D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C804814" w14:textId="77777777" w:rsidR="00A166FD" w:rsidRPr="00315936" w:rsidRDefault="00A166FD">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3059DC64" w14:textId="3F5CFB43" w:rsidR="00A166FD" w:rsidRPr="00315936" w:rsidRDefault="00A166FD">
            <w:pPr>
              <w:pStyle w:val="Tabletext"/>
              <w:rPr>
                <w:lang w:eastAsia="en-AU"/>
              </w:rPr>
            </w:pPr>
            <w:r w:rsidRPr="00315936">
              <w:t xml:space="preserve">For the purpose of the performance risk assessment, improvement is compared to </w:t>
            </w:r>
            <w:r w:rsidR="00A6748E">
              <w:t xml:space="preserve">performance at the </w:t>
            </w:r>
            <w:r w:rsidRPr="00315936">
              <w:t xml:space="preserve">same </w:t>
            </w:r>
            <w:r w:rsidR="009609A5">
              <w:t>period</w:t>
            </w:r>
            <w:r w:rsidRPr="00315936">
              <w:t xml:space="preserve"> last year</w:t>
            </w:r>
            <w:r w:rsidR="00A6748E">
              <w:t xml:space="preserve"> (Monthly, quarterly </w:t>
            </w:r>
            <w:r w:rsidR="00AD12B2">
              <w:t>and annually).</w:t>
            </w:r>
          </w:p>
        </w:tc>
      </w:tr>
      <w:tr w:rsidR="00A166FD" w:rsidRPr="00315936" w14:paraId="448EDB4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6AEABA7" w14:textId="77777777" w:rsidR="00A166FD" w:rsidRPr="00315936" w:rsidRDefault="00A166FD">
            <w:pPr>
              <w:pStyle w:val="Tablecolhead"/>
              <w:rPr>
                <w:b w:val="0"/>
                <w:lang w:eastAsia="en-AU"/>
              </w:rPr>
            </w:pPr>
            <w:r w:rsidRPr="00315936">
              <w:rPr>
                <w:b w:val="0"/>
                <w:lang w:eastAsia="en-AU"/>
              </w:rPr>
              <w:lastRenderedPageBreak/>
              <w:t>Frequency of reporting and data collection</w:t>
            </w:r>
          </w:p>
        </w:tc>
        <w:tc>
          <w:tcPr>
            <w:tcW w:w="7512" w:type="dxa"/>
            <w:tcBorders>
              <w:left w:val="single" w:sz="4" w:space="0" w:color="FFFFFF" w:themeColor="background1"/>
            </w:tcBorders>
          </w:tcPr>
          <w:p w14:paraId="75FBD5C5" w14:textId="6CB30682" w:rsidR="00A166FD" w:rsidRPr="00315936" w:rsidRDefault="00A166FD">
            <w:pPr>
              <w:pStyle w:val="Tabletext"/>
              <w:rPr>
                <w:b/>
                <w:bCs/>
                <w:i/>
                <w:iCs/>
              </w:rPr>
            </w:pPr>
            <w:r w:rsidRPr="00315936">
              <w:t>Performance is reported monthly.</w:t>
            </w:r>
          </w:p>
          <w:p w14:paraId="5944EEED" w14:textId="77777777" w:rsidR="00A166FD" w:rsidRPr="00315936" w:rsidRDefault="00A166FD">
            <w:pPr>
              <w:pStyle w:val="Tabletext"/>
              <w:rPr>
                <w:lang w:eastAsia="en-AU"/>
              </w:rPr>
            </w:pPr>
            <w:r w:rsidRPr="00315936">
              <w:t xml:space="preserve">Data are sourced by Ambulance Victoria </w:t>
            </w:r>
          </w:p>
        </w:tc>
      </w:tr>
    </w:tbl>
    <w:p w14:paraId="719A885B" w14:textId="481A82F2" w:rsidR="00865C68" w:rsidRPr="00315936" w:rsidRDefault="00865C68" w:rsidP="008E7F78">
      <w:pPr>
        <w:pStyle w:val="Heading4"/>
      </w:pPr>
      <w:r w:rsidRPr="00315936">
        <w:t>Percentage of emergency (Code 1) incidents responded to within 15 minutes</w:t>
      </w:r>
      <w:bookmarkEnd w:id="86"/>
    </w:p>
    <w:tbl>
      <w:tblPr>
        <w:tblStyle w:val="TableGrid"/>
        <w:tblW w:w="9349" w:type="dxa"/>
        <w:tblLook w:val="04A0" w:firstRow="1" w:lastRow="0" w:firstColumn="1" w:lastColumn="0" w:noHBand="0" w:noVBand="1"/>
      </w:tblPr>
      <w:tblGrid>
        <w:gridCol w:w="1837"/>
        <w:gridCol w:w="7512"/>
      </w:tblGrid>
      <w:tr w:rsidR="00C64C50" w:rsidRPr="00315936" w14:paraId="31B40E1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925DECE" w14:textId="0BCEB9AA" w:rsidR="00C64C50"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3CE17E38" w14:textId="22CDF9DA" w:rsidR="00C64C50" w:rsidRPr="00315936" w:rsidRDefault="00C64C50">
            <w:pPr>
              <w:pStyle w:val="Tabletext"/>
              <w:rPr>
                <w:lang w:eastAsia="en-AU"/>
              </w:rPr>
            </w:pPr>
            <w:r w:rsidRPr="00315936">
              <w:t>Percentage of emergency (Code 1) incidents responded to within 15 minutes</w:t>
            </w:r>
            <w:r w:rsidR="00876388">
              <w:t xml:space="preserve"> </w:t>
            </w:r>
            <w:r w:rsidR="00036D6F">
              <w:fldChar w:fldCharType="begin"/>
            </w:r>
            <w:r w:rsidR="00036D6F">
              <w:instrText xml:space="preserve"> NOTEREF _Ref201303719 \f \h </w:instrText>
            </w:r>
            <w:r w:rsidR="00036D6F">
              <w:fldChar w:fldCharType="separate"/>
            </w:r>
            <w:r w:rsidR="00036D6F" w:rsidRPr="00036D6F">
              <w:rPr>
                <w:rStyle w:val="EndnoteReference"/>
              </w:rPr>
              <w:t>ix</w:t>
            </w:r>
            <w:r w:rsidR="00036D6F">
              <w:fldChar w:fldCharType="end"/>
            </w:r>
            <w:r w:rsidR="00CA6B2D">
              <w:fldChar w:fldCharType="begin"/>
            </w:r>
            <w:r w:rsidR="00CA6B2D">
              <w:instrText xml:space="preserve"> NOTEREF _Ref201303719 \f \h </w:instrText>
            </w:r>
            <w:r w:rsidR="00CA6B2D">
              <w:fldChar w:fldCharType="separate"/>
            </w:r>
            <w:r w:rsidR="00CA6B2D">
              <w:fldChar w:fldCharType="end"/>
            </w:r>
          </w:p>
        </w:tc>
      </w:tr>
      <w:tr w:rsidR="00C64C50" w:rsidRPr="00315936" w14:paraId="1249AEC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38CBFAC" w14:textId="77777777" w:rsidR="00C64C50" w:rsidRPr="00315936" w:rsidRDefault="00C64C50">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29A22258" w14:textId="23D572C2" w:rsidR="00C64C50" w:rsidRPr="00315936" w:rsidRDefault="00C64C50">
            <w:pPr>
              <w:pStyle w:val="Tabletext"/>
            </w:pPr>
            <w:r w:rsidRPr="00315936">
              <w:t xml:space="preserve">Statewide response times are a </w:t>
            </w:r>
            <w:r w:rsidR="00C3016B" w:rsidRPr="00315936">
              <w:t>measure</w:t>
            </w:r>
            <w:r w:rsidRPr="00315936">
              <w:t xml:space="preserve"> of the provision of accessible and effective ambulance service to communities.</w:t>
            </w:r>
          </w:p>
          <w:p w14:paraId="4C0C6348" w14:textId="77777777" w:rsidR="00C64C50" w:rsidRPr="00315936" w:rsidRDefault="00C64C50">
            <w:pPr>
              <w:pStyle w:val="Tabletext"/>
              <w:rPr>
                <w:lang w:eastAsia="en-AU"/>
              </w:rPr>
            </w:pPr>
            <w:r w:rsidRPr="00315936">
              <w:t>Code 1 incidents are potentially life threatening and are time-critical, requiring a lights and sirens response.</w:t>
            </w:r>
          </w:p>
        </w:tc>
      </w:tr>
      <w:tr w:rsidR="00C64C50" w:rsidRPr="00315936" w14:paraId="6C90616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FC2D82B" w14:textId="77777777" w:rsidR="00C64C50" w:rsidRPr="00315936" w:rsidRDefault="00C64C50">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60EBB539" w14:textId="130281AF" w:rsidR="00C64C50" w:rsidRPr="00315936" w:rsidRDefault="00C64C50">
            <w:pPr>
              <w:pStyle w:val="Tabletext"/>
            </w:pPr>
            <w:r w:rsidRPr="00315936">
              <w:t>Response time measures the time from a triple zero (000) call being answered by the Emergency Services Telecommunications Authority (ESTA) to the time an Ambulance Victoria paramedic, community emergency response team or ambulance community officer</w:t>
            </w:r>
            <w:r w:rsidR="00687F01">
              <w:t xml:space="preserve"> </w:t>
            </w:r>
            <w:r w:rsidR="00687F01" w:rsidRPr="00315936">
              <w:t xml:space="preserve">first </w:t>
            </w:r>
            <w:r w:rsidR="00687F01">
              <w:t>arrives</w:t>
            </w:r>
            <w:r w:rsidR="00687F01" w:rsidRPr="00315936">
              <w:t xml:space="preserve"> at the incident scene</w:t>
            </w:r>
            <w:r w:rsidRPr="00315936">
              <w:t>.</w:t>
            </w:r>
          </w:p>
          <w:p w14:paraId="4D94301C" w14:textId="00593392" w:rsidR="00C64C50" w:rsidRPr="00315936" w:rsidRDefault="00C64C50">
            <w:pPr>
              <w:pStyle w:val="Tabletext"/>
            </w:pPr>
            <w:r w:rsidRPr="00315936">
              <w:t xml:space="preserve">This </w:t>
            </w:r>
            <w:r w:rsidR="00C3016B" w:rsidRPr="00315936">
              <w:t>measure</w:t>
            </w:r>
            <w:r w:rsidRPr="00315936">
              <w:t xml:space="preserve"> applies to all emergency road Code 1 incidents </w:t>
            </w:r>
            <w:r w:rsidR="00475C8E">
              <w:t>to which a response had been dispatched</w:t>
            </w:r>
            <w:r w:rsidRPr="00315936">
              <w:t>.</w:t>
            </w:r>
          </w:p>
          <w:p w14:paraId="49068B4C" w14:textId="7B25A441" w:rsidR="00C64C50" w:rsidRPr="00315936" w:rsidRDefault="00C64C50">
            <w:pPr>
              <w:pStyle w:val="Tabletext"/>
            </w:pPr>
            <w:r w:rsidRPr="00315936">
              <w:t xml:space="preserve">This </w:t>
            </w:r>
            <w:r w:rsidR="00C3016B" w:rsidRPr="00315936">
              <w:t>measure</w:t>
            </w:r>
            <w:r w:rsidRPr="00315936">
              <w:t xml:space="preserve"> excludes:</w:t>
            </w:r>
          </w:p>
          <w:p w14:paraId="3B21F3F8" w14:textId="77777777" w:rsidR="00687F01" w:rsidRDefault="00C64C50" w:rsidP="001A453F">
            <w:pPr>
              <w:pStyle w:val="Tablebullet1"/>
            </w:pPr>
            <w:r w:rsidRPr="00315936">
              <w:t xml:space="preserve">incidents for which the response time was recorded as </w:t>
            </w:r>
            <w:r w:rsidR="00E55B90" w:rsidRPr="00315936">
              <w:t xml:space="preserve">greater than </w:t>
            </w:r>
            <w:r w:rsidRPr="00315936">
              <w:t>2 hours</w:t>
            </w:r>
          </w:p>
          <w:p w14:paraId="1B1AB662" w14:textId="4A8BF6AC" w:rsidR="00C64C50" w:rsidRPr="00315936" w:rsidRDefault="00687F01" w:rsidP="001A453F">
            <w:pPr>
              <w:pStyle w:val="Tablebullet1"/>
            </w:pPr>
            <w:r>
              <w:t>incidents with</w:t>
            </w:r>
            <w:r w:rsidR="00C64C50" w:rsidRPr="00315936">
              <w:t xml:space="preserve"> missing time stamps</w:t>
            </w:r>
          </w:p>
          <w:p w14:paraId="3890B045" w14:textId="77777777" w:rsidR="00ED046E" w:rsidRDefault="00C64C50" w:rsidP="001A453F">
            <w:pPr>
              <w:pStyle w:val="Tablebullet1"/>
            </w:pPr>
            <w:r w:rsidRPr="00315936">
              <w:t xml:space="preserve">responses to ambulance incidents by  </w:t>
            </w:r>
            <w:r w:rsidR="000721AE">
              <w:t>Fire Rescue Victoria</w:t>
            </w:r>
            <w:r w:rsidRPr="00315936">
              <w:t>, the Country Fire Authority, NSW Ambulance Service, and remote area nurses</w:t>
            </w:r>
          </w:p>
          <w:p w14:paraId="6AD383EC" w14:textId="400A0B0F" w:rsidR="00C64C50" w:rsidRPr="00315936" w:rsidRDefault="00C64C50" w:rsidP="001A453F">
            <w:pPr>
              <w:pStyle w:val="Tablebullet1"/>
            </w:pPr>
            <w:r w:rsidRPr="00315936">
              <w:t>responses by air ambulance resources.</w:t>
            </w:r>
          </w:p>
          <w:p w14:paraId="4F78E906" w14:textId="7CFA3E04" w:rsidR="00C64C50" w:rsidRPr="00315936" w:rsidRDefault="00C64C50">
            <w:pPr>
              <w:pStyle w:val="Tabletext"/>
              <w:rPr>
                <w:lang w:eastAsia="en-AU"/>
              </w:rPr>
            </w:pPr>
            <w:r w:rsidRPr="00315936">
              <w:t xml:space="preserve">This </w:t>
            </w:r>
            <w:r w:rsidR="00C3016B" w:rsidRPr="00315936">
              <w:t>measure</w:t>
            </w:r>
            <w:r w:rsidRPr="00315936">
              <w:t xml:space="preserve"> </w:t>
            </w:r>
            <w:r w:rsidR="00F21243">
              <w:t xml:space="preserve">is reported by region and </w:t>
            </w:r>
            <w:r w:rsidRPr="00315936">
              <w:t>is expressed as a percentage to one decimal place.</w:t>
            </w:r>
          </w:p>
        </w:tc>
      </w:tr>
      <w:tr w:rsidR="00C64C50" w:rsidRPr="00315936" w14:paraId="24C0D2C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9F648B1" w14:textId="77777777" w:rsidR="00C64C50" w:rsidRPr="00315936" w:rsidRDefault="00C64C50">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784FB432" w14:textId="79ECD32E" w:rsidR="00C64C50" w:rsidRPr="00315936" w:rsidRDefault="00687F01">
            <w:pPr>
              <w:pStyle w:val="Tabletext"/>
              <w:rPr>
                <w:lang w:eastAsia="en-AU"/>
              </w:rPr>
            </w:pPr>
            <w:r>
              <w:t>Number</w:t>
            </w:r>
            <w:r w:rsidR="00C64C50" w:rsidRPr="00315936">
              <w:t xml:space="preserve"> of emergency road Code 1 </w:t>
            </w:r>
            <w:r w:rsidRPr="00315936">
              <w:t>incident</w:t>
            </w:r>
            <w:r>
              <w:t>s</w:t>
            </w:r>
            <w:r w:rsidR="00C64C50" w:rsidRPr="00315936">
              <w:t xml:space="preserve"> responded to within 15 minutes</w:t>
            </w:r>
          </w:p>
        </w:tc>
      </w:tr>
      <w:tr w:rsidR="00C64C50" w:rsidRPr="00315936" w14:paraId="7A8A572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4631CCC" w14:textId="77777777" w:rsidR="00C64C50" w:rsidRPr="00315936" w:rsidRDefault="00C64C50">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3954854B" w14:textId="6FF39E3F" w:rsidR="00C64C50" w:rsidRPr="00315936" w:rsidRDefault="00DC4125">
            <w:pPr>
              <w:pStyle w:val="Tabletext"/>
              <w:rPr>
                <w:lang w:eastAsia="en-AU"/>
              </w:rPr>
            </w:pPr>
            <w:r>
              <w:t>N</w:t>
            </w:r>
            <w:r w:rsidRPr="00315936">
              <w:t>umber</w:t>
            </w:r>
            <w:r w:rsidR="00C64C50" w:rsidRPr="00315936">
              <w:t xml:space="preserve"> of emergency road Code 1 incident</w:t>
            </w:r>
            <w:r w:rsidR="008D150E">
              <w:t>s</w:t>
            </w:r>
            <w:r w:rsidR="00C64C50" w:rsidRPr="00315936">
              <w:t xml:space="preserve"> </w:t>
            </w:r>
            <w:r w:rsidR="008D150E">
              <w:t>to which a response had been dispatched</w:t>
            </w:r>
          </w:p>
        </w:tc>
      </w:tr>
      <w:tr w:rsidR="00C64C50" w:rsidRPr="00315936" w14:paraId="44F5A634"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83E42E5" w14:textId="77777777" w:rsidR="00C64C50" w:rsidRPr="00315936" w:rsidRDefault="00C64C50">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779908DB" w14:textId="38704C5D" w:rsidR="00C64C50" w:rsidRPr="00F17FA4" w:rsidRDefault="00C64C50">
            <w:pPr>
              <w:pStyle w:val="Tabletext"/>
              <w:rPr>
                <w:lang w:eastAsia="en-AU"/>
              </w:rPr>
            </w:pPr>
            <w:r w:rsidRPr="00F17FA4">
              <w:t>85</w:t>
            </w:r>
            <w:r w:rsidR="00A67D0D" w:rsidRPr="00F17FA4">
              <w:t xml:space="preserve"> per cent</w:t>
            </w:r>
            <w:r w:rsidR="00491F12" w:rsidRPr="00F17FA4">
              <w:t xml:space="preserve"> or improvement of 4 per</w:t>
            </w:r>
            <w:r w:rsidR="004A50AD" w:rsidRPr="00CA6B2D">
              <w:t xml:space="preserve"> </w:t>
            </w:r>
            <w:r w:rsidR="00491F12" w:rsidRPr="00F17FA4">
              <w:t>cent compared to the same time last year</w:t>
            </w:r>
            <w:r w:rsidR="00F538C8" w:rsidRPr="00F17FA4">
              <w:t xml:space="preserve"> </w:t>
            </w:r>
          </w:p>
        </w:tc>
      </w:tr>
      <w:tr w:rsidR="00C64C50" w:rsidRPr="00315936" w14:paraId="4C77E4A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223C87B" w14:textId="34E3F9FA" w:rsidR="00C64C50" w:rsidRPr="00315936" w:rsidRDefault="00142813">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11CEFACA" w14:textId="6B04C1DA" w:rsidR="00C64C50" w:rsidRPr="00F17FA4" w:rsidRDefault="001F01B4">
            <w:pPr>
              <w:pStyle w:val="Tabletext"/>
            </w:pPr>
            <w:r w:rsidRPr="00F17FA4">
              <w:t>G</w:t>
            </w:r>
            <w:r w:rsidR="00C64C50" w:rsidRPr="00F17FA4">
              <w:t xml:space="preserve">reater than </w:t>
            </w:r>
            <w:r w:rsidRPr="00F17FA4">
              <w:t>or equal to</w:t>
            </w:r>
            <w:r w:rsidR="00C64C50" w:rsidRPr="00F17FA4">
              <w:t xml:space="preserve"> 85</w:t>
            </w:r>
            <w:r w:rsidR="00A67D0D" w:rsidRPr="00F17FA4">
              <w:t xml:space="preserve"> per cent</w:t>
            </w:r>
            <w:r w:rsidR="00820794" w:rsidRPr="00F17FA4">
              <w:t xml:space="preserve"> or </w:t>
            </w:r>
            <w:r w:rsidR="001A574C" w:rsidRPr="00F17FA4">
              <w:t>4 per</w:t>
            </w:r>
            <w:r w:rsidR="00F17FA4" w:rsidRPr="00CA6B2D">
              <w:t xml:space="preserve"> </w:t>
            </w:r>
            <w:r w:rsidR="001A574C" w:rsidRPr="00F17FA4">
              <w:t>cent improvement</w:t>
            </w:r>
            <w:r w:rsidR="00015305" w:rsidRPr="00F17FA4">
              <w:t xml:space="preserve"> compared to the same time last year</w:t>
            </w:r>
          </w:p>
        </w:tc>
      </w:tr>
      <w:tr w:rsidR="00C64C50" w:rsidRPr="00315936" w14:paraId="5CDFD7A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E8AFF1B" w14:textId="27405A60" w:rsidR="00C64C50" w:rsidRPr="00315936" w:rsidRDefault="00142813">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25698A00" w14:textId="5C103402" w:rsidR="00C64C50" w:rsidRPr="00F17FA4" w:rsidRDefault="00C64C50">
            <w:pPr>
              <w:pStyle w:val="Tabletext"/>
            </w:pPr>
            <w:r w:rsidRPr="00F17FA4">
              <w:t>Less than 85</w:t>
            </w:r>
            <w:r w:rsidR="00A67D0D" w:rsidRPr="00F17FA4">
              <w:t xml:space="preserve"> per cent</w:t>
            </w:r>
            <w:r w:rsidR="009F1F2D" w:rsidRPr="00F17FA4">
              <w:t xml:space="preserve"> </w:t>
            </w:r>
            <w:r w:rsidR="5ACE0F7A" w:rsidRPr="00F17FA4">
              <w:t>and</w:t>
            </w:r>
            <w:r w:rsidR="00821D33" w:rsidRPr="00F17FA4">
              <w:t xml:space="preserve"> below</w:t>
            </w:r>
            <w:r w:rsidR="00B2271B" w:rsidRPr="00F17FA4">
              <w:t xml:space="preserve"> 4 per</w:t>
            </w:r>
            <w:r w:rsidR="00F17FA4" w:rsidRPr="00CA6B2D">
              <w:t xml:space="preserve"> </w:t>
            </w:r>
            <w:r w:rsidR="00B2271B" w:rsidRPr="00F17FA4">
              <w:t>cent</w:t>
            </w:r>
            <w:r w:rsidR="00820794" w:rsidRPr="00F17FA4">
              <w:t xml:space="preserve"> improvement</w:t>
            </w:r>
            <w:r w:rsidR="00CB3642" w:rsidRPr="00F17FA4">
              <w:t xml:space="preserve"> </w:t>
            </w:r>
            <w:r w:rsidR="009F1F2D" w:rsidRPr="00F17FA4">
              <w:t xml:space="preserve"> </w:t>
            </w:r>
          </w:p>
        </w:tc>
      </w:tr>
      <w:tr w:rsidR="00C64C50" w:rsidRPr="00315936" w14:paraId="1CA9CE2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DF5749C" w14:textId="77777777" w:rsidR="00C64C50" w:rsidRPr="00315936" w:rsidRDefault="00C64C50">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6C874688" w14:textId="700ABA8A" w:rsidR="00C64C50" w:rsidRPr="00315936" w:rsidRDefault="000E530B">
            <w:pPr>
              <w:pStyle w:val="Tabletext"/>
              <w:rPr>
                <w:lang w:eastAsia="en-AU"/>
              </w:rPr>
            </w:pPr>
            <w:r w:rsidRPr="00315936">
              <w:t xml:space="preserve">For the purpose of the performance risk assessment, improvement is compared to </w:t>
            </w:r>
            <w:r>
              <w:t xml:space="preserve">performance at the </w:t>
            </w:r>
            <w:r w:rsidRPr="00315936">
              <w:t>same time last year</w:t>
            </w:r>
            <w:r>
              <w:t xml:space="preserve"> (</w:t>
            </w:r>
            <w:r w:rsidR="00662C17">
              <w:t>m</w:t>
            </w:r>
            <w:r>
              <w:t>onthly, quarterly and annually).</w:t>
            </w:r>
          </w:p>
        </w:tc>
      </w:tr>
      <w:tr w:rsidR="00C64C50" w:rsidRPr="00315936" w14:paraId="7B64517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95657E7" w14:textId="77777777" w:rsidR="00C64C50" w:rsidRPr="00315936" w:rsidRDefault="00C64C50">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4077196D" w14:textId="4E5EBD72" w:rsidR="00C64C50" w:rsidRPr="00315936" w:rsidRDefault="00C64C50">
            <w:pPr>
              <w:pStyle w:val="Tabletext"/>
              <w:rPr>
                <w:b/>
                <w:bCs/>
                <w:i/>
                <w:iCs/>
              </w:rPr>
            </w:pPr>
            <w:r w:rsidRPr="00315936">
              <w:t>Performance is</w:t>
            </w:r>
            <w:r w:rsidR="00AE57BB" w:rsidRPr="00315936">
              <w:t xml:space="preserve"> </w:t>
            </w:r>
            <w:r w:rsidR="00732695" w:rsidRPr="00315936">
              <w:t>reported monthly</w:t>
            </w:r>
            <w:r w:rsidRPr="00315936">
              <w:t>.</w:t>
            </w:r>
          </w:p>
          <w:p w14:paraId="341742A4" w14:textId="046F4AA7" w:rsidR="00C64C50" w:rsidRPr="00315936" w:rsidRDefault="00C63D86">
            <w:pPr>
              <w:pStyle w:val="Tabletext"/>
              <w:rPr>
                <w:lang w:eastAsia="en-AU"/>
              </w:rPr>
            </w:pPr>
            <w:r w:rsidRPr="00315936">
              <w:t xml:space="preserve">Data are sourced by </w:t>
            </w:r>
            <w:r w:rsidR="00C64C50" w:rsidRPr="00315936">
              <w:t xml:space="preserve">Ambulance Victoria </w:t>
            </w:r>
          </w:p>
        </w:tc>
      </w:tr>
    </w:tbl>
    <w:p w14:paraId="7FDB55F2" w14:textId="1C7D2784" w:rsidR="00E7386D" w:rsidRPr="00315936" w:rsidRDefault="00E7386D" w:rsidP="008E7F78">
      <w:pPr>
        <w:pStyle w:val="Heading4"/>
      </w:pPr>
      <w:bookmarkStart w:id="87" w:name="_Toc1936139202"/>
      <w:r w:rsidRPr="00315936">
        <w:t>Percentage of emergency (Priority 0) incidents responded to within 13 minutes</w:t>
      </w:r>
      <w:bookmarkEnd w:id="87"/>
    </w:p>
    <w:tbl>
      <w:tblPr>
        <w:tblStyle w:val="TableGrid"/>
        <w:tblW w:w="9349" w:type="dxa"/>
        <w:tblLook w:val="04A0" w:firstRow="1" w:lastRow="0" w:firstColumn="1" w:lastColumn="0" w:noHBand="0" w:noVBand="1"/>
      </w:tblPr>
      <w:tblGrid>
        <w:gridCol w:w="1837"/>
        <w:gridCol w:w="7512"/>
      </w:tblGrid>
      <w:tr w:rsidR="00C16EE8" w:rsidRPr="00315936" w14:paraId="0339B3C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AD936F0" w14:textId="08DDC7A0" w:rsidR="00C16EE8"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6A1D5B05" w14:textId="52F6DD7C" w:rsidR="00C16EE8" w:rsidRPr="00315936" w:rsidRDefault="00C16EE8">
            <w:pPr>
              <w:pStyle w:val="Tabletext"/>
              <w:rPr>
                <w:lang w:eastAsia="en-AU"/>
              </w:rPr>
            </w:pPr>
            <w:r w:rsidRPr="00315936">
              <w:t>Percentage of emergency (Priority Zero) incidents responded to within 13 minutes</w:t>
            </w:r>
            <w:r w:rsidR="00876388">
              <w:t xml:space="preserve"> </w:t>
            </w:r>
            <w:r w:rsidR="00036D6F">
              <w:fldChar w:fldCharType="begin"/>
            </w:r>
            <w:r w:rsidR="00036D6F">
              <w:instrText xml:space="preserve"> NOTEREF _Ref201303719 \f \h </w:instrText>
            </w:r>
            <w:r w:rsidR="00036D6F">
              <w:fldChar w:fldCharType="separate"/>
            </w:r>
            <w:r w:rsidR="00036D6F" w:rsidRPr="00036D6F">
              <w:rPr>
                <w:rStyle w:val="EndnoteReference"/>
              </w:rPr>
              <w:t>ix</w:t>
            </w:r>
            <w:r w:rsidR="00036D6F">
              <w:fldChar w:fldCharType="end"/>
            </w:r>
            <w:r w:rsidR="00CA6B2D">
              <w:fldChar w:fldCharType="begin"/>
            </w:r>
            <w:r w:rsidR="00CA6B2D">
              <w:instrText xml:space="preserve"> NOTEREF _Ref201303719 \f \h </w:instrText>
            </w:r>
            <w:r w:rsidR="00CA6B2D">
              <w:fldChar w:fldCharType="separate"/>
            </w:r>
            <w:r w:rsidR="00CA6B2D">
              <w:fldChar w:fldCharType="end"/>
            </w:r>
          </w:p>
        </w:tc>
      </w:tr>
      <w:tr w:rsidR="00C16EE8" w:rsidRPr="00315936" w14:paraId="1558232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7B17390" w14:textId="77777777" w:rsidR="00C16EE8" w:rsidRPr="00315936" w:rsidRDefault="00C16EE8">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4DAB389A" w14:textId="77777777" w:rsidR="00C16EE8" w:rsidRPr="00315936" w:rsidRDefault="00C16EE8">
            <w:pPr>
              <w:pStyle w:val="Tabletext"/>
            </w:pPr>
            <w:r w:rsidRPr="00315936">
              <w:t>Percentage of emergency (Priority Zero) cases attended within 13 minutes of the Triple Zero (000) call.</w:t>
            </w:r>
          </w:p>
          <w:p w14:paraId="3CA73BE5" w14:textId="56E37377" w:rsidR="00C16EE8" w:rsidRPr="00315936" w:rsidRDefault="00C16EE8">
            <w:pPr>
              <w:pStyle w:val="Tabletext"/>
            </w:pPr>
            <w:r w:rsidRPr="00315936">
              <w:lastRenderedPageBreak/>
              <w:t xml:space="preserve">Statewide response times are a </w:t>
            </w:r>
            <w:r w:rsidR="00C3016B" w:rsidRPr="00315936">
              <w:t>measure</w:t>
            </w:r>
            <w:r w:rsidRPr="00315936">
              <w:t xml:space="preserve"> of the provision of accessible and effective ambulance service to communities.</w:t>
            </w:r>
          </w:p>
          <w:p w14:paraId="76B192C2" w14:textId="77777777" w:rsidR="00C16EE8" w:rsidRPr="00315936" w:rsidRDefault="00C16EE8">
            <w:pPr>
              <w:pStyle w:val="Tabletext"/>
              <w:rPr>
                <w:lang w:eastAsia="en-AU"/>
              </w:rPr>
            </w:pPr>
            <w:r w:rsidRPr="00315936">
              <w:t>Priority Zero cases are immediately life-threatening emergencies where patient is known or suspected to be in cardiac arrest.</w:t>
            </w:r>
          </w:p>
        </w:tc>
      </w:tr>
      <w:tr w:rsidR="00C16EE8" w:rsidRPr="00315936" w14:paraId="5DB2668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14845D5" w14:textId="77777777" w:rsidR="00C16EE8" w:rsidRPr="00315936" w:rsidRDefault="00C16EE8">
            <w:pPr>
              <w:pStyle w:val="Tablecolhead"/>
              <w:rPr>
                <w:b w:val="0"/>
                <w:lang w:eastAsia="en-AU"/>
              </w:rPr>
            </w:pPr>
            <w:r w:rsidRPr="00315936">
              <w:rPr>
                <w:b w:val="0"/>
                <w:lang w:eastAsia="en-AU"/>
              </w:rPr>
              <w:lastRenderedPageBreak/>
              <w:t>Calculating performance</w:t>
            </w:r>
          </w:p>
        </w:tc>
        <w:tc>
          <w:tcPr>
            <w:tcW w:w="7512" w:type="dxa"/>
            <w:tcBorders>
              <w:left w:val="single" w:sz="4" w:space="0" w:color="FFFFFF" w:themeColor="background1"/>
            </w:tcBorders>
          </w:tcPr>
          <w:p w14:paraId="7CABF9F5" w14:textId="0C23D8D0" w:rsidR="00C16EE8" w:rsidRPr="00315936" w:rsidRDefault="00C16EE8">
            <w:pPr>
              <w:pStyle w:val="Tabletext"/>
            </w:pPr>
            <w:r w:rsidRPr="00315936">
              <w:t xml:space="preserve">Response time </w:t>
            </w:r>
            <w:r w:rsidR="00435F78">
              <w:t>is calculated as</w:t>
            </w:r>
            <w:r w:rsidRPr="00315936">
              <w:t xml:space="preserve"> the time from a triple zero (000) call being answered by the Emergency Services Telecommunications Authority (ESTA) to the time an Ambulance Victoria paramedic, community emergency response team or ambulance community officer</w:t>
            </w:r>
            <w:r w:rsidR="00435F78">
              <w:t xml:space="preserve"> </w:t>
            </w:r>
            <w:r w:rsidR="00435F78" w:rsidRPr="00315936">
              <w:t xml:space="preserve">first </w:t>
            </w:r>
            <w:r w:rsidR="00435F78">
              <w:t>arrives</w:t>
            </w:r>
            <w:r w:rsidR="00435F78" w:rsidRPr="00315936">
              <w:t xml:space="preserve"> at the incident scene</w:t>
            </w:r>
            <w:r w:rsidRPr="00315936">
              <w:t>.</w:t>
            </w:r>
          </w:p>
          <w:p w14:paraId="6CA11653" w14:textId="34996301" w:rsidR="00C16EE8" w:rsidRPr="00315936" w:rsidRDefault="00C16EE8">
            <w:pPr>
              <w:pStyle w:val="Tabletext"/>
            </w:pPr>
            <w:r w:rsidRPr="00315936">
              <w:t xml:space="preserve">This </w:t>
            </w:r>
            <w:r w:rsidR="00C3016B" w:rsidRPr="00315936">
              <w:t>measure</w:t>
            </w:r>
            <w:r w:rsidRPr="00315936">
              <w:t xml:space="preserve"> applies to all emergency road Priority Zero incidents </w:t>
            </w:r>
            <w:r w:rsidR="00C579FD">
              <w:t>to which a response had been dispatched</w:t>
            </w:r>
            <w:r w:rsidRPr="00315936">
              <w:t>.</w:t>
            </w:r>
          </w:p>
          <w:p w14:paraId="7AE264C3" w14:textId="2CAF8A30" w:rsidR="00C16EE8" w:rsidRPr="00315936" w:rsidRDefault="00C16EE8">
            <w:pPr>
              <w:pStyle w:val="Tabletext"/>
            </w:pPr>
            <w:r w:rsidRPr="00315936">
              <w:t xml:space="preserve">This </w:t>
            </w:r>
            <w:r w:rsidR="00C3016B" w:rsidRPr="00315936">
              <w:t>measure</w:t>
            </w:r>
            <w:r w:rsidRPr="00315936">
              <w:t xml:space="preserve"> excludes:</w:t>
            </w:r>
          </w:p>
          <w:p w14:paraId="0D52E97D" w14:textId="1470BA85" w:rsidR="00435F78" w:rsidRDefault="00C16EE8" w:rsidP="001A453F">
            <w:pPr>
              <w:pStyle w:val="Tablebullet1"/>
            </w:pPr>
            <w:r w:rsidRPr="00315936">
              <w:t xml:space="preserve">incidents for which the response time was recorded as </w:t>
            </w:r>
            <w:r w:rsidR="001E6938" w:rsidRPr="00315936">
              <w:t>greater</w:t>
            </w:r>
            <w:r w:rsidR="00150D69" w:rsidRPr="00315936">
              <w:t xml:space="preserve"> than </w:t>
            </w:r>
            <w:r w:rsidRPr="00315936">
              <w:t>2 hours</w:t>
            </w:r>
          </w:p>
          <w:p w14:paraId="5A407B5C" w14:textId="0C1B04E6" w:rsidR="00C16EE8" w:rsidRPr="00315936" w:rsidRDefault="00435F78" w:rsidP="001A453F">
            <w:pPr>
              <w:pStyle w:val="Tablebullet1"/>
            </w:pPr>
            <w:r>
              <w:t>incidents with</w:t>
            </w:r>
            <w:r w:rsidR="00C16EE8" w:rsidRPr="00315936">
              <w:t xml:space="preserve"> missing time stamps</w:t>
            </w:r>
          </w:p>
          <w:p w14:paraId="76C94F43" w14:textId="0A01C96E" w:rsidR="00C16EE8" w:rsidRPr="00315936" w:rsidRDefault="00C16EE8" w:rsidP="001A453F">
            <w:pPr>
              <w:pStyle w:val="Tablebullet1"/>
            </w:pPr>
            <w:r w:rsidRPr="00315936">
              <w:t xml:space="preserve">responses to ambulance incidents by </w:t>
            </w:r>
            <w:r w:rsidR="009E16AC">
              <w:t xml:space="preserve">Fire Rescue Victoria </w:t>
            </w:r>
            <w:r w:rsidRPr="00315936">
              <w:t>, the Country Fire Authority, NSW Ambulance Service, and remote area nurses</w:t>
            </w:r>
          </w:p>
          <w:p w14:paraId="23F2AB30" w14:textId="7A104B67" w:rsidR="00C16EE8" w:rsidRPr="00315936" w:rsidRDefault="00C16EE8" w:rsidP="001A453F">
            <w:pPr>
              <w:pStyle w:val="Tablebullet1"/>
            </w:pPr>
            <w:r w:rsidRPr="00315936">
              <w:t>responses by air ambulance resources.</w:t>
            </w:r>
          </w:p>
          <w:p w14:paraId="2F9E0F01" w14:textId="2463EA25" w:rsidR="00C16EE8" w:rsidRPr="00315936" w:rsidRDefault="00C16EE8">
            <w:pPr>
              <w:pStyle w:val="Tabletext"/>
              <w:rPr>
                <w:lang w:eastAsia="en-AU"/>
              </w:rPr>
            </w:pPr>
            <w:r w:rsidRPr="00315936">
              <w:t xml:space="preserve">This </w:t>
            </w:r>
            <w:r w:rsidR="00C3016B" w:rsidRPr="00315936">
              <w:t>measure</w:t>
            </w:r>
            <w:r w:rsidRPr="00315936">
              <w:t xml:space="preserve"> </w:t>
            </w:r>
            <w:r w:rsidR="00C579FD">
              <w:t xml:space="preserve">is reported by region and </w:t>
            </w:r>
            <w:r w:rsidRPr="00315936">
              <w:t>is expressed as a percentage to one decimal place.</w:t>
            </w:r>
          </w:p>
        </w:tc>
      </w:tr>
      <w:tr w:rsidR="00C16EE8" w:rsidRPr="00315936" w14:paraId="4B25295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014996C" w14:textId="77777777" w:rsidR="00C16EE8" w:rsidRPr="00315936" w:rsidRDefault="00C16EE8">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514E7D2E" w14:textId="77777777" w:rsidR="00C16EE8" w:rsidRPr="00315936" w:rsidRDefault="00C16EE8">
            <w:pPr>
              <w:pStyle w:val="Tabletext"/>
              <w:rPr>
                <w:lang w:eastAsia="en-AU"/>
              </w:rPr>
            </w:pPr>
            <w:r w:rsidRPr="00315936">
              <w:t>The sum of all first arrival responses from each emergency road Priority Zero incident responded to within 13 minutes</w:t>
            </w:r>
          </w:p>
        </w:tc>
      </w:tr>
      <w:tr w:rsidR="00C16EE8" w:rsidRPr="00315936" w14:paraId="592BAE4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BB01ACA" w14:textId="77777777" w:rsidR="00C16EE8" w:rsidRPr="00315936" w:rsidRDefault="00C16EE8">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5E00A0F5" w14:textId="77777777" w:rsidR="00C16EE8" w:rsidRPr="00315936" w:rsidRDefault="00C16EE8">
            <w:pPr>
              <w:pStyle w:val="Tabletext"/>
              <w:rPr>
                <w:lang w:eastAsia="en-AU"/>
              </w:rPr>
            </w:pPr>
            <w:r w:rsidRPr="00315936">
              <w:t>Total number of emergency road Priority Zero incidents responded to in that same reporting period</w:t>
            </w:r>
          </w:p>
        </w:tc>
      </w:tr>
      <w:tr w:rsidR="00C16EE8" w:rsidRPr="00315936" w14:paraId="2815C90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BCA6489" w14:textId="77777777" w:rsidR="00C16EE8" w:rsidRPr="00315936" w:rsidRDefault="00C16EE8">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1E7FCE30" w14:textId="098DAAD1" w:rsidR="00C16EE8" w:rsidRPr="00041023" w:rsidRDefault="00C16EE8">
            <w:pPr>
              <w:pStyle w:val="Tabletext"/>
              <w:rPr>
                <w:lang w:eastAsia="en-AU"/>
              </w:rPr>
            </w:pPr>
            <w:r w:rsidRPr="00041023">
              <w:t>85</w:t>
            </w:r>
            <w:r w:rsidR="00A67D0D" w:rsidRPr="00041023">
              <w:t xml:space="preserve"> per cent</w:t>
            </w:r>
            <w:r w:rsidR="00491F12" w:rsidRPr="00041023">
              <w:t xml:space="preserve"> or improvement of 3 per</w:t>
            </w:r>
            <w:r w:rsidR="00BA3DF9" w:rsidRPr="007E702A">
              <w:t xml:space="preserve"> </w:t>
            </w:r>
            <w:r w:rsidR="00491F12" w:rsidRPr="00041023">
              <w:t xml:space="preserve">cent compared to same </w:t>
            </w:r>
            <w:r w:rsidR="00787B2F">
              <w:t>period</w:t>
            </w:r>
            <w:r w:rsidR="00491F12" w:rsidRPr="00041023">
              <w:t xml:space="preserve"> last year</w:t>
            </w:r>
            <w:r w:rsidR="00F538C8" w:rsidRPr="00041023">
              <w:t xml:space="preserve"> </w:t>
            </w:r>
          </w:p>
        </w:tc>
      </w:tr>
      <w:tr w:rsidR="00C16EE8" w:rsidRPr="00315936" w14:paraId="4826BB9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F38CA3A" w14:textId="0E9D855D" w:rsidR="00C16EE8" w:rsidRPr="00315936" w:rsidRDefault="00C16EE8" w:rsidP="00C16EE8">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60B2D874" w14:textId="3DB29E29" w:rsidR="00C16EE8" w:rsidRPr="00041023" w:rsidRDefault="001F01B4" w:rsidP="00C16EE8">
            <w:pPr>
              <w:pStyle w:val="Tabletext"/>
            </w:pPr>
            <w:r w:rsidRPr="00041023">
              <w:t>Greater than or e</w:t>
            </w:r>
            <w:r w:rsidR="00C16EE8" w:rsidRPr="00041023">
              <w:t>qual to 85</w:t>
            </w:r>
            <w:r w:rsidR="00A67D0D" w:rsidRPr="00041023">
              <w:t xml:space="preserve"> per cent</w:t>
            </w:r>
            <w:r w:rsidR="00586126" w:rsidRPr="00041023">
              <w:t xml:space="preserve"> or </w:t>
            </w:r>
            <w:r w:rsidR="00437686" w:rsidRPr="00041023">
              <w:t>3 per</w:t>
            </w:r>
            <w:r w:rsidR="00BA3DF9" w:rsidRPr="007E702A">
              <w:t xml:space="preserve"> </w:t>
            </w:r>
            <w:r w:rsidR="00437686" w:rsidRPr="00041023">
              <w:t xml:space="preserve">cent </w:t>
            </w:r>
            <w:r w:rsidR="00EF35EA" w:rsidRPr="00041023">
              <w:t>improvement</w:t>
            </w:r>
          </w:p>
        </w:tc>
      </w:tr>
      <w:tr w:rsidR="00C16EE8" w:rsidRPr="00315936" w14:paraId="67D3CC2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0F8A8AB" w14:textId="742C004E" w:rsidR="00C16EE8" w:rsidRPr="00315936" w:rsidRDefault="00C16EE8" w:rsidP="00C16EE8">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2E6B5CCC" w14:textId="0B64613E" w:rsidR="00C16EE8" w:rsidRPr="00041023" w:rsidRDefault="001F01B4" w:rsidP="00C16EE8">
            <w:pPr>
              <w:pStyle w:val="Tabletext"/>
            </w:pPr>
            <w:r w:rsidRPr="00041023">
              <w:t>Less than</w:t>
            </w:r>
            <w:r w:rsidR="00C16EE8" w:rsidRPr="00041023">
              <w:t xml:space="preserve"> 85</w:t>
            </w:r>
            <w:r w:rsidR="00A67D0D" w:rsidRPr="00041023">
              <w:t xml:space="preserve"> per cent</w:t>
            </w:r>
            <w:r w:rsidR="00EF35EA" w:rsidRPr="00041023">
              <w:t xml:space="preserve"> </w:t>
            </w:r>
            <w:r w:rsidR="7F65D399" w:rsidRPr="00041023">
              <w:t>and</w:t>
            </w:r>
            <w:r w:rsidR="00EF35EA" w:rsidRPr="00041023">
              <w:t xml:space="preserve"> </w:t>
            </w:r>
            <w:r w:rsidR="00821D33" w:rsidRPr="00041023">
              <w:t>below 3 per</w:t>
            </w:r>
            <w:r w:rsidR="00BA3DF9" w:rsidRPr="007E702A">
              <w:t xml:space="preserve"> </w:t>
            </w:r>
            <w:r w:rsidR="00821D33" w:rsidRPr="00041023">
              <w:t>cent</w:t>
            </w:r>
            <w:r w:rsidR="00BA3DF9" w:rsidRPr="009C2E34">
              <w:t xml:space="preserve"> </w:t>
            </w:r>
            <w:r w:rsidR="00821D33" w:rsidRPr="00041023">
              <w:t>improvement</w:t>
            </w:r>
          </w:p>
        </w:tc>
      </w:tr>
      <w:tr w:rsidR="00C16EE8" w:rsidRPr="00315936" w14:paraId="713A4CD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EADB24F" w14:textId="77777777" w:rsidR="00C16EE8" w:rsidRPr="00315936" w:rsidRDefault="00C16EE8">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789E6FF7" w14:textId="7B77E6A4" w:rsidR="00C16EE8" w:rsidRPr="00315936" w:rsidRDefault="000E530B">
            <w:pPr>
              <w:pStyle w:val="Tabletext"/>
              <w:rPr>
                <w:lang w:eastAsia="en-AU"/>
              </w:rPr>
            </w:pPr>
            <w:r w:rsidRPr="00315936">
              <w:t xml:space="preserve">For the purpose of the performance risk assessment, improvement is compared to </w:t>
            </w:r>
            <w:r>
              <w:t xml:space="preserve">performance at the </w:t>
            </w:r>
            <w:r w:rsidRPr="00315936">
              <w:t xml:space="preserve">same </w:t>
            </w:r>
            <w:r w:rsidR="00787B2F">
              <w:t>period</w:t>
            </w:r>
            <w:r w:rsidRPr="00315936">
              <w:t xml:space="preserve"> last year</w:t>
            </w:r>
            <w:r>
              <w:t xml:space="preserve"> (</w:t>
            </w:r>
            <w:r w:rsidR="00C579FD">
              <w:t>m</w:t>
            </w:r>
            <w:r>
              <w:t>onthly, quarterly and annually).</w:t>
            </w:r>
          </w:p>
        </w:tc>
      </w:tr>
      <w:tr w:rsidR="00C16EE8" w:rsidRPr="00315936" w14:paraId="36C447E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4A1D1F4" w14:textId="77777777" w:rsidR="00C16EE8" w:rsidRPr="00315936" w:rsidRDefault="00C16EE8">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2F006A5D" w14:textId="19899EF1" w:rsidR="00C16EE8" w:rsidRPr="00315936" w:rsidRDefault="00C16EE8">
            <w:pPr>
              <w:pStyle w:val="Tabletext"/>
            </w:pPr>
            <w:r w:rsidRPr="00315936">
              <w:t xml:space="preserve">Performance is </w:t>
            </w:r>
            <w:r w:rsidR="00C63D86" w:rsidRPr="00315936">
              <w:t xml:space="preserve">reported </w:t>
            </w:r>
            <w:r w:rsidRPr="00315936">
              <w:t>monthly</w:t>
            </w:r>
            <w:r w:rsidR="00AE57BB" w:rsidRPr="00315936">
              <w:t>.</w:t>
            </w:r>
          </w:p>
          <w:p w14:paraId="3DFD3AC4" w14:textId="332AB98F" w:rsidR="00C16EE8" w:rsidRPr="00315936" w:rsidRDefault="00522AE3">
            <w:pPr>
              <w:pStyle w:val="Tabletext"/>
              <w:rPr>
                <w:lang w:eastAsia="en-AU"/>
              </w:rPr>
            </w:pPr>
            <w:r>
              <w:t>Ambulance Victoria submits data to the department monthly.</w:t>
            </w:r>
          </w:p>
        </w:tc>
      </w:tr>
    </w:tbl>
    <w:p w14:paraId="13211D73" w14:textId="78736D89" w:rsidR="00F83EEF" w:rsidRPr="00315936" w:rsidRDefault="00F83EEF" w:rsidP="008E7F78">
      <w:pPr>
        <w:pStyle w:val="Heading4"/>
      </w:pPr>
      <w:bookmarkStart w:id="88" w:name="_Toc323191413"/>
      <w:r w:rsidRPr="00315936">
        <w:t>Percentage of triple zero events where the caller receives advice or service from another health provider as an alternative to emergency ambulance response – statewide</w:t>
      </w:r>
      <w:bookmarkEnd w:id="88"/>
    </w:p>
    <w:tbl>
      <w:tblPr>
        <w:tblStyle w:val="TableGrid"/>
        <w:tblW w:w="9349" w:type="dxa"/>
        <w:tblLook w:val="04A0" w:firstRow="1" w:lastRow="0" w:firstColumn="1" w:lastColumn="0" w:noHBand="0" w:noVBand="1"/>
      </w:tblPr>
      <w:tblGrid>
        <w:gridCol w:w="1837"/>
        <w:gridCol w:w="7512"/>
      </w:tblGrid>
      <w:tr w:rsidR="00256BBE" w:rsidRPr="00315936" w14:paraId="4AD2329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E6E5C18" w14:textId="31139786" w:rsidR="00256BBE"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6AD00EBC" w14:textId="18EFCBED" w:rsidR="00256BBE" w:rsidRPr="00315936" w:rsidRDefault="00256BBE">
            <w:pPr>
              <w:pStyle w:val="Tabletext"/>
              <w:rPr>
                <w:lang w:eastAsia="en-AU"/>
              </w:rPr>
            </w:pPr>
            <w:r w:rsidRPr="00315936">
              <w:rPr>
                <w:lang w:val="en-GB"/>
              </w:rPr>
              <w:t>Percentage of triple zero cases where the caller receives advice or service from another health provider as an alternative to an emergency ambulance response – statewide</w:t>
            </w:r>
            <w:r w:rsidR="0027188A">
              <w:rPr>
                <w:lang w:val="en-GB"/>
              </w:rPr>
              <w:t xml:space="preserve"> </w:t>
            </w:r>
            <w:r w:rsidR="00036D6F">
              <w:rPr>
                <w:lang w:val="en-GB"/>
              </w:rPr>
              <w:fldChar w:fldCharType="begin"/>
            </w:r>
            <w:r w:rsidR="00036D6F">
              <w:rPr>
                <w:lang w:val="en-GB"/>
              </w:rPr>
              <w:instrText xml:space="preserve"> NOTEREF _Ref201303719 \f \h </w:instrText>
            </w:r>
            <w:r w:rsidR="00036D6F">
              <w:rPr>
                <w:lang w:val="en-GB"/>
              </w:rPr>
            </w:r>
            <w:r w:rsidR="00036D6F">
              <w:rPr>
                <w:lang w:val="en-GB"/>
              </w:rPr>
              <w:fldChar w:fldCharType="separate"/>
            </w:r>
            <w:r w:rsidR="00036D6F" w:rsidRPr="00036D6F">
              <w:rPr>
                <w:rStyle w:val="EndnoteReference"/>
              </w:rPr>
              <w:t>ix</w:t>
            </w:r>
            <w:r w:rsidR="00036D6F">
              <w:rPr>
                <w:lang w:val="en-GB"/>
              </w:rPr>
              <w:fldChar w:fldCharType="end"/>
            </w:r>
            <w:r w:rsidR="00CA6B2D">
              <w:fldChar w:fldCharType="begin"/>
            </w:r>
            <w:r w:rsidR="00CA6B2D">
              <w:rPr>
                <w:lang w:val="en-GB"/>
              </w:rPr>
              <w:instrText xml:space="preserve"> NOTEREF _Ref201303719 \f \h </w:instrText>
            </w:r>
            <w:r w:rsidR="00CA6B2D">
              <w:fldChar w:fldCharType="separate"/>
            </w:r>
            <w:r w:rsidR="00CA6B2D">
              <w:fldChar w:fldCharType="end"/>
            </w:r>
          </w:p>
        </w:tc>
      </w:tr>
      <w:tr w:rsidR="00256BBE" w:rsidRPr="00315936" w14:paraId="3EB3495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CEC95A9" w14:textId="77777777" w:rsidR="00256BBE" w:rsidRPr="00315936" w:rsidRDefault="00256BBE">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1B36726D" w14:textId="77777777" w:rsidR="00256BBE" w:rsidRPr="00315936" w:rsidRDefault="00256BBE">
            <w:pPr>
              <w:pStyle w:val="Tabletext"/>
            </w:pPr>
            <w:r w:rsidRPr="00315936">
              <w:t>Low-acuity triple zero (000) cases diverted to the Referral Service may be offered a more appropriate alternative to an emergency ambulance dispatch.</w:t>
            </w:r>
          </w:p>
          <w:p w14:paraId="12D08728" w14:textId="77777777" w:rsidR="00256BBE" w:rsidRPr="00315936" w:rsidRDefault="00256BBE">
            <w:pPr>
              <w:pStyle w:val="Tabletext"/>
            </w:pPr>
            <w:r w:rsidRPr="00315936">
              <w:t>A successful referral is when a triple zero call does not result in an emergency ambulance dispatch and is diverted to a non-emergency response or referred to an alternative service provider such as a medical practitioner, nursing service, other health professional service, home self-care or advice.</w:t>
            </w:r>
          </w:p>
          <w:p w14:paraId="64DDCEEA" w14:textId="77777777" w:rsidR="00256BBE" w:rsidRPr="00315936" w:rsidRDefault="00256BBE">
            <w:pPr>
              <w:pStyle w:val="Tabletext"/>
            </w:pPr>
            <w:r w:rsidRPr="00315936">
              <w:lastRenderedPageBreak/>
              <w:t>Ambulance Victoria manages call diversion via a Referral Service that performs a secondary triage with the patient, following the primary triage from the Emergency Services Telecommunications Authority (ESTA) call-taker.</w:t>
            </w:r>
          </w:p>
          <w:p w14:paraId="2C57C87E" w14:textId="616A4205" w:rsidR="00256BBE" w:rsidRPr="00315936" w:rsidRDefault="00256BBE">
            <w:pPr>
              <w:pStyle w:val="Tabletext"/>
              <w:rPr>
                <w:lang w:eastAsia="en-AU"/>
              </w:rPr>
            </w:pPr>
            <w:r w:rsidRPr="00315936">
              <w:t xml:space="preserve">This </w:t>
            </w:r>
            <w:r w:rsidR="00C3016B" w:rsidRPr="00315936">
              <w:t>measure</w:t>
            </w:r>
            <w:r w:rsidRPr="00315936">
              <w:t xml:space="preserve"> </w:t>
            </w:r>
            <w:r w:rsidR="0027716C">
              <w:t>calculates the percentage</w:t>
            </w:r>
            <w:r w:rsidRPr="00315936">
              <w:t xml:space="preserve"> </w:t>
            </w:r>
            <w:r w:rsidR="00E66431">
              <w:t xml:space="preserve">of </w:t>
            </w:r>
            <w:r w:rsidRPr="00315936">
              <w:t>triple zero calls statewide that do not result in an emergency dispatch after triage by the Referral Service.</w:t>
            </w:r>
          </w:p>
        </w:tc>
      </w:tr>
      <w:tr w:rsidR="00256BBE" w:rsidRPr="00315936" w14:paraId="50A390F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F105D19" w14:textId="77777777" w:rsidR="00256BBE" w:rsidRPr="00315936" w:rsidRDefault="00256BBE">
            <w:pPr>
              <w:pStyle w:val="Tablecolhead"/>
              <w:rPr>
                <w:b w:val="0"/>
                <w:lang w:eastAsia="en-AU"/>
              </w:rPr>
            </w:pPr>
            <w:r w:rsidRPr="00315936">
              <w:rPr>
                <w:b w:val="0"/>
                <w:lang w:eastAsia="en-AU"/>
              </w:rPr>
              <w:lastRenderedPageBreak/>
              <w:t>Calculating performance</w:t>
            </w:r>
          </w:p>
        </w:tc>
        <w:tc>
          <w:tcPr>
            <w:tcW w:w="7512" w:type="dxa"/>
            <w:tcBorders>
              <w:left w:val="single" w:sz="4" w:space="0" w:color="FFFFFF" w:themeColor="background1"/>
            </w:tcBorders>
          </w:tcPr>
          <w:p w14:paraId="31D07C86" w14:textId="77777777" w:rsidR="00256BBE" w:rsidRPr="00315936" w:rsidRDefault="00256BBE">
            <w:pPr>
              <w:pStyle w:val="Tabletext"/>
            </w:pPr>
            <w:r w:rsidRPr="00315936">
              <w:t>Proportion of triple zero cases where the caller receives advice or service from another health provider or non-emergency ambulance transport as an alternative to emergency ambulance response statewide.</w:t>
            </w:r>
          </w:p>
          <w:p w14:paraId="617B4219" w14:textId="77BDACE0" w:rsidR="00256BBE" w:rsidRPr="00315936" w:rsidRDefault="00256BBE">
            <w:pPr>
              <w:pStyle w:val="Tabletext"/>
              <w:rPr>
                <w:lang w:eastAsia="en-AU"/>
              </w:rPr>
            </w:pPr>
            <w:r w:rsidRPr="00315936">
              <w:t xml:space="preserve">This </w:t>
            </w:r>
            <w:r w:rsidR="00C3016B" w:rsidRPr="00315936">
              <w:t>measure</w:t>
            </w:r>
            <w:r w:rsidRPr="00315936">
              <w:t xml:space="preserve"> is expressed as a percentage to one decimal place.</w:t>
            </w:r>
          </w:p>
        </w:tc>
      </w:tr>
      <w:tr w:rsidR="00256BBE" w:rsidRPr="00315936" w14:paraId="06EB54F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DFD7CC5" w14:textId="77777777" w:rsidR="00256BBE" w:rsidRPr="00315936" w:rsidRDefault="00256BBE">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70A86303" w14:textId="61C4F483" w:rsidR="00256BBE" w:rsidRPr="00315936" w:rsidRDefault="00CD47BE">
            <w:pPr>
              <w:pStyle w:val="Tabletext"/>
              <w:rPr>
                <w:lang w:eastAsia="en-AU"/>
              </w:rPr>
            </w:pPr>
            <w:r>
              <w:t>N</w:t>
            </w:r>
            <w:r w:rsidR="00256BBE" w:rsidRPr="00315936">
              <w:t>umber of cases managed by the Referral Service that did not result in an emergency response</w:t>
            </w:r>
          </w:p>
        </w:tc>
      </w:tr>
      <w:tr w:rsidR="00256BBE" w:rsidRPr="00315936" w14:paraId="3439710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D2655EE" w14:textId="77777777" w:rsidR="00256BBE" w:rsidRPr="00315936" w:rsidRDefault="00256BBE">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12BB3DAA" w14:textId="562E5D98" w:rsidR="00256BBE" w:rsidRPr="00315936" w:rsidRDefault="000E0972">
            <w:pPr>
              <w:pStyle w:val="Tabletext"/>
              <w:rPr>
                <w:lang w:eastAsia="en-AU"/>
              </w:rPr>
            </w:pPr>
            <w:r>
              <w:t xml:space="preserve">Number of triple zero calls that resulted in a referral or emergency </w:t>
            </w:r>
            <w:r w:rsidR="25604B8A">
              <w:t xml:space="preserve">first </w:t>
            </w:r>
            <w:r>
              <w:t>response.</w:t>
            </w:r>
          </w:p>
        </w:tc>
      </w:tr>
      <w:tr w:rsidR="00272156" w:rsidRPr="00315936" w14:paraId="26D6F35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AB31F2C" w14:textId="77777777" w:rsidR="00256BBE" w:rsidRPr="00315936" w:rsidRDefault="00256BBE">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64BFA2D7" w14:textId="2F28019A" w:rsidR="00256BBE" w:rsidRPr="00315936" w:rsidRDefault="00D958A7">
            <w:pPr>
              <w:pStyle w:val="Tabletext"/>
              <w:rPr>
                <w:lang w:eastAsia="en-AU"/>
              </w:rPr>
            </w:pPr>
            <w:r>
              <w:t>2</w:t>
            </w:r>
            <w:r w:rsidR="001E1C68">
              <w:t>5</w:t>
            </w:r>
            <w:r w:rsidR="00A67D0D" w:rsidRPr="00315936">
              <w:t xml:space="preserve"> per cent</w:t>
            </w:r>
            <w:r w:rsidR="00E06329">
              <w:t xml:space="preserve"> or </w:t>
            </w:r>
            <w:r w:rsidR="00E83555">
              <w:t xml:space="preserve">at least </w:t>
            </w:r>
            <w:r w:rsidR="001E1C68">
              <w:t>5</w:t>
            </w:r>
            <w:r w:rsidR="00E06329">
              <w:t xml:space="preserve"> </w:t>
            </w:r>
            <w:r w:rsidR="00E06329" w:rsidRPr="00DA2303">
              <w:t>per</w:t>
            </w:r>
            <w:r w:rsidR="00041023" w:rsidRPr="0046785A">
              <w:t xml:space="preserve"> </w:t>
            </w:r>
            <w:r w:rsidR="00E06329" w:rsidRPr="00DA2303">
              <w:t>cent</w:t>
            </w:r>
            <w:r w:rsidR="00E06329">
              <w:t xml:space="preserve"> </w:t>
            </w:r>
            <w:r w:rsidR="00E83555">
              <w:t xml:space="preserve">improvement </w:t>
            </w:r>
            <w:r w:rsidR="00E06329">
              <w:t>compared to same time last year</w:t>
            </w:r>
          </w:p>
        </w:tc>
      </w:tr>
      <w:tr w:rsidR="00272156" w:rsidRPr="00315936" w14:paraId="44E8721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76EAA53" w14:textId="58D070D2" w:rsidR="00256BBE" w:rsidRPr="00315936" w:rsidRDefault="00256BBE" w:rsidP="00256BBE">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2B89149C" w14:textId="6344C5EC" w:rsidR="00256BBE" w:rsidRPr="00315936" w:rsidRDefault="00256BBE" w:rsidP="00256BBE">
            <w:pPr>
              <w:pStyle w:val="Tabletext"/>
            </w:pPr>
            <w:r w:rsidRPr="00315936">
              <w:t xml:space="preserve">Equal to or greater than </w:t>
            </w:r>
            <w:r w:rsidR="00D958A7">
              <w:t>2</w:t>
            </w:r>
            <w:r w:rsidR="001E1C68">
              <w:t>5</w:t>
            </w:r>
            <w:r w:rsidR="00A67D0D" w:rsidRPr="00315936">
              <w:t xml:space="preserve"> per cent</w:t>
            </w:r>
            <w:r w:rsidR="001B7824">
              <w:t xml:space="preserve"> or </w:t>
            </w:r>
            <w:r w:rsidR="00EC292E">
              <w:t xml:space="preserve">5 </w:t>
            </w:r>
            <w:r w:rsidR="00EC292E" w:rsidRPr="00DA2303">
              <w:t>per</w:t>
            </w:r>
            <w:r w:rsidR="00216F02" w:rsidRPr="0046785A">
              <w:t xml:space="preserve"> </w:t>
            </w:r>
            <w:r w:rsidR="00EC292E" w:rsidRPr="00DA2303">
              <w:t>cent</w:t>
            </w:r>
            <w:r w:rsidR="00EC292E">
              <w:t xml:space="preserve"> </w:t>
            </w:r>
            <w:r w:rsidR="00803373">
              <w:t>improvement</w:t>
            </w:r>
          </w:p>
        </w:tc>
      </w:tr>
      <w:tr w:rsidR="00272156" w:rsidRPr="00315936" w14:paraId="180B0A81" w14:textId="77777777" w:rsidTr="00535D2B">
        <w:trPr>
          <w:trHeight w:val="5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46D0EBB" w14:textId="405E533E" w:rsidR="00256BBE" w:rsidRPr="00315936" w:rsidRDefault="00256BBE" w:rsidP="00256BBE">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06DAEEE2" w14:textId="1E025614" w:rsidR="00256BBE" w:rsidRPr="00315936" w:rsidRDefault="00256BBE" w:rsidP="00256BBE">
            <w:pPr>
              <w:pStyle w:val="Tabletext"/>
            </w:pPr>
            <w:r w:rsidRPr="00315936">
              <w:t xml:space="preserve">Less than </w:t>
            </w:r>
            <w:r w:rsidR="00E457AF">
              <w:t>2</w:t>
            </w:r>
            <w:r w:rsidR="001E1C68">
              <w:t>5</w:t>
            </w:r>
            <w:r w:rsidR="00A67D0D" w:rsidRPr="00315936">
              <w:t xml:space="preserve"> per cent</w:t>
            </w:r>
            <w:r w:rsidR="00803373">
              <w:t xml:space="preserve"> </w:t>
            </w:r>
            <w:r w:rsidR="0C06C6B0">
              <w:t>and</w:t>
            </w:r>
            <w:r w:rsidR="00803373">
              <w:t xml:space="preserve"> below</w:t>
            </w:r>
            <w:r w:rsidR="003208E6">
              <w:t xml:space="preserve"> 5 </w:t>
            </w:r>
            <w:r w:rsidR="003208E6" w:rsidRPr="00DA2303">
              <w:t>per</w:t>
            </w:r>
            <w:r w:rsidR="00216F02" w:rsidRPr="0046785A">
              <w:t xml:space="preserve"> </w:t>
            </w:r>
            <w:r w:rsidR="003208E6" w:rsidRPr="00DA2303">
              <w:t>cent</w:t>
            </w:r>
            <w:r w:rsidR="003208E6">
              <w:t xml:space="preserve"> improvement</w:t>
            </w:r>
          </w:p>
        </w:tc>
      </w:tr>
      <w:tr w:rsidR="00256BBE" w:rsidRPr="00315936" w14:paraId="0544D59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A0D4CE8" w14:textId="77777777" w:rsidR="00256BBE" w:rsidRPr="00315936" w:rsidRDefault="00256BBE">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0B4C32C8" w14:textId="429E02A4" w:rsidR="00256BBE" w:rsidRPr="00315936" w:rsidRDefault="00813B51">
            <w:pPr>
              <w:pStyle w:val="Tabletext"/>
              <w:rPr>
                <w:lang w:eastAsia="en-AU"/>
              </w:rPr>
            </w:pPr>
            <w:r w:rsidRPr="00315936">
              <w:t xml:space="preserve">For the purpose of the performance risk assessment, improvement is compared to </w:t>
            </w:r>
            <w:r>
              <w:t xml:space="preserve">performance at the </w:t>
            </w:r>
            <w:r w:rsidRPr="00315936">
              <w:t>same time last year</w:t>
            </w:r>
            <w:r>
              <w:t xml:space="preserve"> (</w:t>
            </w:r>
            <w:r w:rsidR="00BB6891">
              <w:t>m</w:t>
            </w:r>
            <w:r>
              <w:t>onthly, quarterly and annually).</w:t>
            </w:r>
          </w:p>
        </w:tc>
      </w:tr>
      <w:tr w:rsidR="00256BBE" w:rsidRPr="00315936" w14:paraId="7688EADF"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CC388EE" w14:textId="77777777" w:rsidR="00256BBE" w:rsidRPr="00315936" w:rsidRDefault="00256BBE">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3468E256" w14:textId="73A2B556" w:rsidR="00256BBE" w:rsidRPr="00315936" w:rsidRDefault="00256BBE">
            <w:pPr>
              <w:pStyle w:val="Tabletext"/>
            </w:pPr>
            <w:r w:rsidRPr="00315936">
              <w:t>Performance is monitored and assessed monthly.</w:t>
            </w:r>
          </w:p>
          <w:p w14:paraId="36BFC8D9" w14:textId="77777777" w:rsidR="00256BBE" w:rsidRPr="00315936" w:rsidRDefault="00256BBE">
            <w:pPr>
              <w:pStyle w:val="Tabletext"/>
              <w:rPr>
                <w:lang w:eastAsia="en-AU"/>
              </w:rPr>
            </w:pPr>
            <w:r>
              <w:t>Ambulance Victoria submits data to the department monthly.</w:t>
            </w:r>
          </w:p>
        </w:tc>
      </w:tr>
    </w:tbl>
    <w:p w14:paraId="2FAF650B" w14:textId="76C4242B" w:rsidR="00022590" w:rsidRPr="00315936" w:rsidRDefault="00022590" w:rsidP="008E7F78">
      <w:pPr>
        <w:pStyle w:val="Heading4"/>
      </w:pPr>
      <w:bookmarkStart w:id="89" w:name="_Toc1439771788"/>
      <w:r w:rsidRPr="00315936">
        <w:t>Average ambulance hospital clearing time</w:t>
      </w:r>
      <w:bookmarkEnd w:id="89"/>
    </w:p>
    <w:tbl>
      <w:tblPr>
        <w:tblStyle w:val="TableGrid"/>
        <w:tblW w:w="9349" w:type="dxa"/>
        <w:tblLook w:val="04A0" w:firstRow="1" w:lastRow="0" w:firstColumn="1" w:lastColumn="0" w:noHBand="0" w:noVBand="1"/>
      </w:tblPr>
      <w:tblGrid>
        <w:gridCol w:w="1837"/>
        <w:gridCol w:w="7512"/>
      </w:tblGrid>
      <w:tr w:rsidR="00AA0230" w:rsidRPr="00315936" w14:paraId="6A2293E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C21E61B" w14:textId="503701C3" w:rsidR="00AA0230"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1B857693" w14:textId="47FCF55B" w:rsidR="00AA0230" w:rsidRPr="00315936" w:rsidRDefault="00AA0230">
            <w:pPr>
              <w:pStyle w:val="Tabletext"/>
              <w:rPr>
                <w:lang w:eastAsia="en-AU"/>
              </w:rPr>
            </w:pPr>
            <w:r w:rsidRPr="00315936">
              <w:rPr>
                <w:lang w:val="en-GB"/>
              </w:rPr>
              <w:t>Average ambulance hospital clearing time</w:t>
            </w:r>
            <w:r w:rsidR="00BB6891">
              <w:rPr>
                <w:lang w:val="en-GB"/>
              </w:rPr>
              <w:t xml:space="preserve"> </w:t>
            </w:r>
            <w:r w:rsidR="00036D6F">
              <w:rPr>
                <w:lang w:val="en-GB"/>
              </w:rPr>
              <w:fldChar w:fldCharType="begin"/>
            </w:r>
            <w:r w:rsidR="00036D6F">
              <w:rPr>
                <w:lang w:val="en-GB"/>
              </w:rPr>
              <w:instrText xml:space="preserve"> NOTEREF _Ref201303719 \f \h </w:instrText>
            </w:r>
            <w:r w:rsidR="00036D6F">
              <w:rPr>
                <w:lang w:val="en-GB"/>
              </w:rPr>
            </w:r>
            <w:r w:rsidR="00036D6F">
              <w:rPr>
                <w:lang w:val="en-GB"/>
              </w:rPr>
              <w:fldChar w:fldCharType="separate"/>
            </w:r>
            <w:r w:rsidR="00036D6F" w:rsidRPr="00036D6F">
              <w:rPr>
                <w:rStyle w:val="EndnoteReference"/>
              </w:rPr>
              <w:t>ix</w:t>
            </w:r>
            <w:r w:rsidR="00036D6F">
              <w:rPr>
                <w:lang w:val="en-GB"/>
              </w:rPr>
              <w:fldChar w:fldCharType="end"/>
            </w:r>
            <w:r w:rsidR="00CA6B2D">
              <w:rPr>
                <w:lang w:val="en-GB"/>
              </w:rPr>
              <w:fldChar w:fldCharType="begin"/>
            </w:r>
            <w:r w:rsidR="00CA6B2D">
              <w:rPr>
                <w:lang w:val="en-GB"/>
              </w:rPr>
              <w:instrText xml:space="preserve"> NOTEREF _Ref201303719 \f \h </w:instrText>
            </w:r>
            <w:r w:rsidR="00CA6B2D">
              <w:rPr>
                <w:lang w:val="en-GB"/>
              </w:rPr>
            </w:r>
            <w:r w:rsidR="00CA6B2D">
              <w:rPr>
                <w:lang w:val="en-GB"/>
              </w:rPr>
              <w:fldChar w:fldCharType="separate"/>
            </w:r>
            <w:r w:rsidR="00CA6B2D">
              <w:rPr>
                <w:lang w:val="en-GB"/>
              </w:rPr>
              <w:fldChar w:fldCharType="end"/>
            </w:r>
          </w:p>
        </w:tc>
      </w:tr>
      <w:tr w:rsidR="00AA0230" w:rsidRPr="00315936" w14:paraId="22F63C0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B9209F2" w14:textId="77777777" w:rsidR="00AA0230" w:rsidRPr="00315936" w:rsidRDefault="00AA0230">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2410529D" w14:textId="09FC1DB4" w:rsidR="00AA0230" w:rsidRPr="00315936" w:rsidRDefault="00AA0230">
            <w:pPr>
              <w:pStyle w:val="Tabletext"/>
              <w:rPr>
                <w:lang w:val="en-GB"/>
              </w:rPr>
            </w:pPr>
            <w:r w:rsidRPr="00315936">
              <w:rPr>
                <w:lang w:val="en-GB"/>
              </w:rPr>
              <w:t>This</w:t>
            </w:r>
            <w:r w:rsidRPr="00315936" w:rsidDel="00CE6142">
              <w:rPr>
                <w:lang w:val="en-GB"/>
              </w:rPr>
              <w:t xml:space="preserve"> </w:t>
            </w:r>
            <w:r w:rsidRPr="00315936">
              <w:rPr>
                <w:lang w:val="en-GB"/>
              </w:rPr>
              <w:t xml:space="preserve">measures the </w:t>
            </w:r>
            <w:r w:rsidR="004252E1">
              <w:rPr>
                <w:lang w:val="en-GB"/>
              </w:rPr>
              <w:t xml:space="preserve">average </w:t>
            </w:r>
            <w:r w:rsidRPr="00315936">
              <w:rPr>
                <w:lang w:val="en-GB"/>
              </w:rPr>
              <w:t xml:space="preserve">elapsed time </w:t>
            </w:r>
            <w:r w:rsidR="00E4214C">
              <w:rPr>
                <w:lang w:val="en-GB"/>
              </w:rPr>
              <w:t>between</w:t>
            </w:r>
            <w:r w:rsidR="00E4214C" w:rsidRPr="00315936">
              <w:rPr>
                <w:lang w:val="en-GB"/>
              </w:rPr>
              <w:t xml:space="preserve"> </w:t>
            </w:r>
            <w:r w:rsidRPr="00315936">
              <w:rPr>
                <w:lang w:val="en-GB"/>
              </w:rPr>
              <w:t xml:space="preserve">the </w:t>
            </w:r>
            <w:r w:rsidR="007D3385">
              <w:rPr>
                <w:lang w:val="en-GB"/>
              </w:rPr>
              <w:t xml:space="preserve">time an ambulance paramedic </w:t>
            </w:r>
            <w:r w:rsidR="00B861F5">
              <w:rPr>
                <w:lang w:val="en-GB"/>
              </w:rPr>
              <w:t xml:space="preserve">transfers responsibility for a patient to </w:t>
            </w:r>
            <w:r w:rsidRPr="00315936">
              <w:rPr>
                <w:lang w:val="en-GB"/>
              </w:rPr>
              <w:t xml:space="preserve">a hospital emergency department </w:t>
            </w:r>
            <w:r w:rsidR="00E4214C">
              <w:rPr>
                <w:lang w:val="en-GB"/>
              </w:rPr>
              <w:t>and</w:t>
            </w:r>
            <w:r w:rsidR="00E4214C" w:rsidRPr="00315936">
              <w:rPr>
                <w:lang w:val="en-GB"/>
              </w:rPr>
              <w:t xml:space="preserve"> </w:t>
            </w:r>
            <w:r w:rsidR="00744028">
              <w:rPr>
                <w:lang w:val="en-GB"/>
              </w:rPr>
              <w:t xml:space="preserve">the </w:t>
            </w:r>
            <w:r w:rsidRPr="00315936">
              <w:rPr>
                <w:lang w:val="en-GB"/>
              </w:rPr>
              <w:t xml:space="preserve">completion </w:t>
            </w:r>
            <w:r w:rsidR="00744028">
              <w:rPr>
                <w:lang w:val="en-GB"/>
              </w:rPr>
              <w:t xml:space="preserve">time </w:t>
            </w:r>
            <w:r w:rsidRPr="00315936">
              <w:rPr>
                <w:lang w:val="en-GB"/>
              </w:rPr>
              <w:t xml:space="preserve">of all tasks </w:t>
            </w:r>
            <w:r w:rsidR="00B31866">
              <w:rPr>
                <w:lang w:val="en-GB"/>
              </w:rPr>
              <w:t xml:space="preserve">necessary </w:t>
            </w:r>
            <w:r w:rsidRPr="00315936">
              <w:rPr>
                <w:lang w:val="en-GB"/>
              </w:rPr>
              <w:t>to ensure the ambulance crew is available to respond to another incident.</w:t>
            </w:r>
          </w:p>
          <w:p w14:paraId="6739797A" w14:textId="2037EC0B" w:rsidR="00AA0230" w:rsidRPr="00315936" w:rsidRDefault="0001633D">
            <w:pPr>
              <w:pStyle w:val="Tabletext"/>
              <w:rPr>
                <w:lang w:eastAsia="en-AU"/>
              </w:rPr>
            </w:pPr>
            <w:r w:rsidRPr="00315936">
              <w:t>Clearing time is a key component of total paramedic hospital time that is directly attributable to Ambulance Victoria.</w:t>
            </w:r>
          </w:p>
        </w:tc>
      </w:tr>
      <w:tr w:rsidR="00AA0230" w:rsidRPr="00315936" w14:paraId="3195C4A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B6991F0" w14:textId="77777777" w:rsidR="00AA0230" w:rsidRPr="00315936" w:rsidRDefault="00AA0230">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09FF68E0" w14:textId="17A8C172" w:rsidR="0004232D" w:rsidRPr="00315936" w:rsidRDefault="0004232D" w:rsidP="0004232D">
            <w:pPr>
              <w:pStyle w:val="Tabletext"/>
            </w:pPr>
            <w:r w:rsidRPr="00315936">
              <w:t>Handover involves a patient being physically transferred to a hospital trolley, bed, chair or waiting area</w:t>
            </w:r>
            <w:r w:rsidR="00FB0DA7">
              <w:t xml:space="preserve"> </w:t>
            </w:r>
            <w:r w:rsidR="00182022">
              <w:t xml:space="preserve">and </w:t>
            </w:r>
            <w:r w:rsidR="0080384D">
              <w:t xml:space="preserve">the responsibility for patient care transferred to </w:t>
            </w:r>
            <w:r w:rsidR="0011541D">
              <w:t>the hospital emergency department</w:t>
            </w:r>
            <w:r w:rsidRPr="00315936">
              <w:t xml:space="preserve">. </w:t>
            </w:r>
            <w:r w:rsidR="00E13FD1">
              <w:t>A</w:t>
            </w:r>
            <w:r w:rsidRPr="00315936">
              <w:t>mbulance handover completion time (also known as ‘off-stretcher time’) is recorded in a Patient Care Record (PCR) by a paramedic after agreement with an emergency department clinician.</w:t>
            </w:r>
            <w:r w:rsidR="006E7C19">
              <w:t xml:space="preserve"> </w:t>
            </w:r>
          </w:p>
          <w:p w14:paraId="1D7981FF" w14:textId="4011EA03" w:rsidR="0004232D" w:rsidRDefault="0004232D" w:rsidP="0004232D">
            <w:pPr>
              <w:pStyle w:val="Tabletext"/>
            </w:pPr>
            <w:r w:rsidRPr="00315936">
              <w:t xml:space="preserve">This measure applies to all emergency </w:t>
            </w:r>
            <w:r w:rsidR="00097AB4">
              <w:t xml:space="preserve">ambulance road </w:t>
            </w:r>
            <w:r w:rsidRPr="00315936">
              <w:t>transports to a hospital emergency department statewide</w:t>
            </w:r>
            <w:r w:rsidR="004252E1">
              <w:t xml:space="preserve"> </w:t>
            </w:r>
            <w:r w:rsidR="6F5F6BE3">
              <w:t xml:space="preserve">where the emergency presentation departed ED </w:t>
            </w:r>
            <w:r w:rsidR="004252E1">
              <w:t xml:space="preserve">within the </w:t>
            </w:r>
            <w:r w:rsidR="00207ED5">
              <w:t>reporting period</w:t>
            </w:r>
            <w:r w:rsidR="00097AB4">
              <w:t>.</w:t>
            </w:r>
          </w:p>
          <w:p w14:paraId="2088DB2A" w14:textId="4DE994B9" w:rsidR="00AA0230" w:rsidRPr="00315936" w:rsidRDefault="00AA0230">
            <w:pPr>
              <w:pStyle w:val="Tabletext"/>
            </w:pPr>
            <w:r w:rsidRPr="00315936">
              <w:t xml:space="preserve">This </w:t>
            </w:r>
            <w:r w:rsidR="00C3016B" w:rsidRPr="00315936">
              <w:t>measure</w:t>
            </w:r>
            <w:r w:rsidRPr="00315936">
              <w:t xml:space="preserve"> excludes:</w:t>
            </w:r>
          </w:p>
          <w:p w14:paraId="0EF47031" w14:textId="77777777" w:rsidR="00EF1D16" w:rsidRDefault="00AA0230" w:rsidP="001A453F">
            <w:pPr>
              <w:pStyle w:val="Tablebullet1"/>
            </w:pPr>
            <w:r w:rsidRPr="00315936">
              <w:t xml:space="preserve">hospital transports where the </w:t>
            </w:r>
            <w:r w:rsidR="00A5536B">
              <w:t xml:space="preserve">reported </w:t>
            </w:r>
            <w:r w:rsidRPr="00315936">
              <w:t xml:space="preserve">clearing time was </w:t>
            </w:r>
            <w:r w:rsidR="00FB3D3D" w:rsidRPr="00315936">
              <w:t xml:space="preserve">greater </w:t>
            </w:r>
            <w:r w:rsidR="00A5536B">
              <w:t xml:space="preserve">than </w:t>
            </w:r>
            <w:r w:rsidRPr="00315936">
              <w:t xml:space="preserve">3 hours </w:t>
            </w:r>
          </w:p>
          <w:p w14:paraId="3D4C9FB8" w14:textId="2E1F3938" w:rsidR="00AA0230" w:rsidRPr="00315936" w:rsidRDefault="00EF1D16" w:rsidP="001A453F">
            <w:pPr>
              <w:pStyle w:val="Tablebullet1"/>
            </w:pPr>
            <w:r w:rsidRPr="00315936">
              <w:t xml:space="preserve">hospital transports </w:t>
            </w:r>
            <w:r>
              <w:t>with</w:t>
            </w:r>
            <w:r w:rsidR="00AA0230" w:rsidRPr="00315936">
              <w:t xml:space="preserve"> missing time stamps</w:t>
            </w:r>
          </w:p>
          <w:p w14:paraId="3F9817EE" w14:textId="77777777" w:rsidR="00AA0230" w:rsidRPr="00315936" w:rsidRDefault="00AA0230" w:rsidP="001A453F">
            <w:pPr>
              <w:pStyle w:val="Tablebullet1"/>
            </w:pPr>
            <w:r w:rsidRPr="00315936">
              <w:t>transports by air ambulance resources</w:t>
            </w:r>
          </w:p>
          <w:p w14:paraId="48DAE73E" w14:textId="77777777" w:rsidR="00AA0230" w:rsidRPr="00315936" w:rsidRDefault="00AA0230" w:rsidP="001A453F">
            <w:pPr>
              <w:pStyle w:val="Tablebullet1"/>
            </w:pPr>
            <w:r w:rsidRPr="00315936">
              <w:t>non-emergency hospital transports</w:t>
            </w:r>
          </w:p>
          <w:p w14:paraId="10E610F0" w14:textId="77777777" w:rsidR="00AA0230" w:rsidRPr="00315936" w:rsidRDefault="00AA0230" w:rsidP="001A453F">
            <w:pPr>
              <w:pStyle w:val="Tablebullet1"/>
            </w:pPr>
            <w:r w:rsidRPr="00315936">
              <w:lastRenderedPageBreak/>
              <w:t>inter-hospital transports.</w:t>
            </w:r>
          </w:p>
          <w:p w14:paraId="46F7F599" w14:textId="1D7DFF23" w:rsidR="005E1A3E" w:rsidRPr="00315936" w:rsidRDefault="00AA0230">
            <w:pPr>
              <w:pStyle w:val="Tabletext"/>
            </w:pPr>
            <w:r w:rsidRPr="00315936">
              <w:t xml:space="preserve">This </w:t>
            </w:r>
            <w:r w:rsidR="00C3016B" w:rsidRPr="00315936">
              <w:t>measure</w:t>
            </w:r>
            <w:r w:rsidRPr="00315936">
              <w:t xml:space="preserve"> is </w:t>
            </w:r>
            <w:r w:rsidR="00362BBF">
              <w:t xml:space="preserve">reported by region and </w:t>
            </w:r>
            <w:r w:rsidRPr="00315936">
              <w:t>expressed as minutes to one decimal place.</w:t>
            </w:r>
          </w:p>
        </w:tc>
      </w:tr>
      <w:tr w:rsidR="00AA0230" w:rsidRPr="00315936" w14:paraId="6ECADB9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9A6EF5F" w14:textId="77777777" w:rsidR="00AA0230" w:rsidRPr="00315936" w:rsidRDefault="00AA0230">
            <w:pPr>
              <w:pStyle w:val="Tablecolhead"/>
              <w:rPr>
                <w:b w:val="0"/>
                <w:lang w:eastAsia="en-AU"/>
              </w:rPr>
            </w:pPr>
            <w:r w:rsidRPr="00315936">
              <w:rPr>
                <w:b w:val="0"/>
                <w:lang w:eastAsia="en-AU"/>
              </w:rPr>
              <w:lastRenderedPageBreak/>
              <w:t>Numerator</w:t>
            </w:r>
          </w:p>
        </w:tc>
        <w:tc>
          <w:tcPr>
            <w:tcW w:w="7512" w:type="dxa"/>
            <w:tcBorders>
              <w:left w:val="single" w:sz="4" w:space="0" w:color="FFFFFF" w:themeColor="background1"/>
            </w:tcBorders>
          </w:tcPr>
          <w:p w14:paraId="7439F722" w14:textId="1F2A86A3" w:rsidR="00AA0230" w:rsidRPr="00315936" w:rsidRDefault="4282DE7A">
            <w:pPr>
              <w:pStyle w:val="Tabletext"/>
              <w:rPr>
                <w:lang w:eastAsia="en-AU"/>
              </w:rPr>
            </w:pPr>
            <w:r>
              <w:t xml:space="preserve">The sum of </w:t>
            </w:r>
            <w:r w:rsidR="0176F3EE">
              <w:t xml:space="preserve">in-scope </w:t>
            </w:r>
            <w:r>
              <w:t>emergency road clearing times</w:t>
            </w:r>
          </w:p>
        </w:tc>
      </w:tr>
      <w:tr w:rsidR="00AA0230" w:rsidRPr="00315936" w14:paraId="38E986CC"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7565291" w14:textId="77777777" w:rsidR="00AA0230" w:rsidRPr="00315936" w:rsidRDefault="00AA0230">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45AA7F7C" w14:textId="1490EEF8" w:rsidR="00AA0230" w:rsidRPr="00315936" w:rsidRDefault="4282DE7A">
            <w:pPr>
              <w:pStyle w:val="Tabletext"/>
              <w:rPr>
                <w:lang w:eastAsia="en-AU"/>
              </w:rPr>
            </w:pPr>
            <w:r>
              <w:t xml:space="preserve">The total number </w:t>
            </w:r>
            <w:r w:rsidR="003F3E1E">
              <w:t xml:space="preserve">of </w:t>
            </w:r>
            <w:r w:rsidR="001D7414">
              <w:t>patients transported to hospital</w:t>
            </w:r>
            <w:r>
              <w:t xml:space="preserve"> </w:t>
            </w:r>
          </w:p>
        </w:tc>
      </w:tr>
      <w:tr w:rsidR="00AA0230" w:rsidRPr="00315936" w14:paraId="66B10F1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1E51646" w14:textId="77777777" w:rsidR="00AA0230" w:rsidRPr="00315936" w:rsidRDefault="00AA0230">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7C947748" w14:textId="77777777" w:rsidR="00AA0230" w:rsidRPr="00315936" w:rsidRDefault="00AA0230">
            <w:pPr>
              <w:pStyle w:val="Tabletext"/>
              <w:rPr>
                <w:lang w:eastAsia="en-AU"/>
              </w:rPr>
            </w:pPr>
            <w:r w:rsidRPr="00315936">
              <w:t>20 minutes</w:t>
            </w:r>
          </w:p>
        </w:tc>
      </w:tr>
      <w:tr w:rsidR="00AA0230" w:rsidRPr="00315936" w14:paraId="5D940A7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E7DD714" w14:textId="0A4C787F" w:rsidR="00AA0230" w:rsidRPr="00315936" w:rsidRDefault="00AA0230" w:rsidP="00AA0230">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6CB10184" w14:textId="662B1EC6" w:rsidR="00AA0230" w:rsidRPr="00315936" w:rsidRDefault="00AA0230" w:rsidP="00AA0230">
            <w:pPr>
              <w:pStyle w:val="Tabletext"/>
            </w:pPr>
            <w:r w:rsidRPr="00315936">
              <w:t>Less than or equal to 20 minutes</w:t>
            </w:r>
          </w:p>
        </w:tc>
      </w:tr>
      <w:tr w:rsidR="00AA0230" w:rsidRPr="00315936" w14:paraId="3F38171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362EF52" w14:textId="32B74800" w:rsidR="00AA0230" w:rsidRPr="00315936" w:rsidRDefault="00AA0230" w:rsidP="00AA0230">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5583E013" w14:textId="1F4890DC" w:rsidR="00AA0230" w:rsidRPr="00315936" w:rsidRDefault="00AA0230" w:rsidP="00AA0230">
            <w:pPr>
              <w:pStyle w:val="Tabletext"/>
            </w:pPr>
            <w:r w:rsidRPr="00315936">
              <w:t>Greater than 20 minutes</w:t>
            </w:r>
          </w:p>
        </w:tc>
      </w:tr>
      <w:tr w:rsidR="00AA0230" w:rsidRPr="00315936" w14:paraId="61F43EF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6B26879" w14:textId="77777777" w:rsidR="00AA0230" w:rsidRPr="00315936" w:rsidRDefault="00AA0230">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455ED3E8" w14:textId="53AB2644" w:rsidR="00AA0230" w:rsidRPr="00315936" w:rsidRDefault="00813B51">
            <w:pPr>
              <w:pStyle w:val="Tabletext"/>
              <w:rPr>
                <w:lang w:eastAsia="en-AU"/>
              </w:rPr>
            </w:pPr>
            <w:r w:rsidRPr="00315936">
              <w:t xml:space="preserve">For the purpose of the performance risk assessment, improvement is compared to </w:t>
            </w:r>
            <w:r>
              <w:t xml:space="preserve">performance at the </w:t>
            </w:r>
            <w:r w:rsidRPr="00315936">
              <w:t xml:space="preserve">same </w:t>
            </w:r>
            <w:r w:rsidR="0004232D">
              <w:t>period</w:t>
            </w:r>
            <w:r w:rsidRPr="00315936">
              <w:t xml:space="preserve"> last year</w:t>
            </w:r>
            <w:r>
              <w:t xml:space="preserve"> (Monthly, quarterly and annually).</w:t>
            </w:r>
          </w:p>
        </w:tc>
      </w:tr>
      <w:tr w:rsidR="00AA0230" w:rsidRPr="00315936" w14:paraId="06DC923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220D289" w14:textId="77777777" w:rsidR="00AA0230" w:rsidRPr="00315936" w:rsidRDefault="00AA0230">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7039CA2D" w14:textId="094AC3C0" w:rsidR="00AA0230" w:rsidRPr="00315936" w:rsidRDefault="00AA0230">
            <w:pPr>
              <w:pStyle w:val="Tabletext"/>
            </w:pPr>
            <w:r w:rsidRPr="00315936">
              <w:t xml:space="preserve">Performance is </w:t>
            </w:r>
            <w:r w:rsidR="00C63D86" w:rsidRPr="00315936">
              <w:t xml:space="preserve">reported </w:t>
            </w:r>
            <w:r w:rsidRPr="00315936">
              <w:t>monthly</w:t>
            </w:r>
            <w:r w:rsidR="00C63D86" w:rsidRPr="00315936">
              <w:t xml:space="preserve"> </w:t>
            </w:r>
            <w:r w:rsidR="00FE1697" w:rsidRPr="00315936">
              <w:t>with a one month lag</w:t>
            </w:r>
            <w:r w:rsidR="00A0309A" w:rsidRPr="00315936">
              <w:t>.</w:t>
            </w:r>
          </w:p>
          <w:p w14:paraId="5C6E19B1" w14:textId="14445FAA" w:rsidR="00AA0230" w:rsidRPr="00315936" w:rsidRDefault="00093239">
            <w:pPr>
              <w:pStyle w:val="Tabletext"/>
              <w:rPr>
                <w:lang w:eastAsia="en-AU"/>
              </w:rPr>
            </w:pPr>
            <w:r>
              <w:t xml:space="preserve">Data are sourced from </w:t>
            </w:r>
            <w:r w:rsidR="00522AE3">
              <w:t>Ambulance Victoria</w:t>
            </w:r>
            <w:r>
              <w:t xml:space="preserve">’s </w:t>
            </w:r>
            <w:r w:rsidR="00DB4F10" w:rsidRPr="00315936">
              <w:t>Patient Care Record (PCR)</w:t>
            </w:r>
            <w:r w:rsidR="00627E1C">
              <w:t xml:space="preserve"> and are submitted </w:t>
            </w:r>
            <w:r w:rsidR="00522AE3">
              <w:t>to the department monthly.</w:t>
            </w:r>
          </w:p>
        </w:tc>
      </w:tr>
    </w:tbl>
    <w:p w14:paraId="6C290C9A" w14:textId="7DD56DF9" w:rsidR="00140581" w:rsidRPr="00315936" w:rsidRDefault="00140581" w:rsidP="00790525">
      <w:pPr>
        <w:pStyle w:val="Heading3"/>
      </w:pPr>
      <w:bookmarkStart w:id="90" w:name="_Toc864828636"/>
      <w:r w:rsidRPr="00315936">
        <w:t>Forensicare</w:t>
      </w:r>
      <w:bookmarkEnd w:id="90"/>
    </w:p>
    <w:p w14:paraId="10459ABD" w14:textId="3D3B7C00" w:rsidR="00080072" w:rsidRPr="00315936" w:rsidRDefault="00080072" w:rsidP="00790525">
      <w:pPr>
        <w:pStyle w:val="Body"/>
        <w:keepNext/>
      </w:pPr>
      <w:r w:rsidRPr="00315936">
        <w:t xml:space="preserve">Forensicare is the trading name for the Victorian Institute of Forensic Mental Health. Forensicare provides adult mental health services in Victoria </w:t>
      </w:r>
      <w:r w:rsidR="00C85D90">
        <w:t>to</w:t>
      </w:r>
      <w:r w:rsidR="00C85D90" w:rsidRPr="00315936">
        <w:t xml:space="preserve"> </w:t>
      </w:r>
      <w:r w:rsidRPr="00315936">
        <w:t>people involved in the criminal justice system via the Thomas Embling Hospital.</w:t>
      </w:r>
    </w:p>
    <w:p w14:paraId="2DCCDFBE" w14:textId="0ADAF6AC" w:rsidR="005D3AB6" w:rsidRPr="00315936" w:rsidRDefault="005D6FF1" w:rsidP="008E7F78">
      <w:pPr>
        <w:pStyle w:val="Heading4"/>
      </w:pPr>
      <w:bookmarkStart w:id="91" w:name="_Toc1037101442"/>
      <w:r w:rsidRPr="00315936">
        <w:t xml:space="preserve">Percentage of male </w:t>
      </w:r>
      <w:r w:rsidR="6AE5BB50" w:rsidRPr="00315936">
        <w:t>s</w:t>
      </w:r>
      <w:r w:rsidRPr="00315936">
        <w:t xml:space="preserve">ecurity </w:t>
      </w:r>
      <w:r w:rsidR="540ED6A1" w:rsidRPr="00315936">
        <w:t>p</w:t>
      </w:r>
      <w:r w:rsidRPr="00315936">
        <w:t>atients admitted to Thomas Embling Hospital within 7 days of recommendation for compulsory treatment</w:t>
      </w:r>
      <w:bookmarkEnd w:id="91"/>
    </w:p>
    <w:tbl>
      <w:tblPr>
        <w:tblStyle w:val="TableGrid"/>
        <w:tblW w:w="9349" w:type="dxa"/>
        <w:tblLook w:val="04A0" w:firstRow="1" w:lastRow="0" w:firstColumn="1" w:lastColumn="0" w:noHBand="0" w:noVBand="1"/>
      </w:tblPr>
      <w:tblGrid>
        <w:gridCol w:w="1837"/>
        <w:gridCol w:w="7512"/>
      </w:tblGrid>
      <w:tr w:rsidR="006E4D8B" w:rsidRPr="00315936" w14:paraId="5AC8CAE0"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17B99D4" w14:textId="4E2D24BC" w:rsidR="006E4D8B"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6DC9337A" w14:textId="119E14B9" w:rsidR="006E4D8B" w:rsidRPr="00315936" w:rsidRDefault="006E4D8B">
            <w:pPr>
              <w:pStyle w:val="Tabletext"/>
              <w:rPr>
                <w:lang w:eastAsia="en-AU"/>
              </w:rPr>
            </w:pPr>
            <w:r w:rsidRPr="00315936">
              <w:t>Percentage of male security patients admitted to Thomas Embling Hospital within 7 days of recommendation for compulsory trea</w:t>
            </w:r>
            <w:bookmarkStart w:id="92" w:name="_Ref201304253"/>
            <w:r w:rsidRPr="00315936">
              <w:t>t</w:t>
            </w:r>
            <w:bookmarkEnd w:id="92"/>
            <w:r w:rsidRPr="00315936">
              <w:t>ment</w:t>
            </w:r>
            <w:bookmarkStart w:id="93" w:name="_Ref201835099"/>
            <w:bookmarkStart w:id="94" w:name="_Ref201304203"/>
            <w:r w:rsidR="00336B35">
              <w:t xml:space="preserve"> </w:t>
            </w:r>
            <w:r w:rsidR="00CA6B2D">
              <w:rPr>
                <w:rStyle w:val="EndnoteReference"/>
              </w:rPr>
              <w:endnoteReference w:id="17"/>
            </w:r>
            <w:bookmarkEnd w:id="93"/>
            <w:r w:rsidR="00CA6B2D">
              <w:t xml:space="preserve"> </w:t>
            </w:r>
            <w:bookmarkEnd w:id="94"/>
          </w:p>
        </w:tc>
      </w:tr>
      <w:tr w:rsidR="006E4D8B" w:rsidRPr="00315936" w14:paraId="7376F689"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41BE171" w14:textId="77777777" w:rsidR="006E4D8B" w:rsidRPr="00315936" w:rsidRDefault="006E4D8B">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6AB3AFD3" w14:textId="38135F38" w:rsidR="00A75F02" w:rsidRDefault="00A75F02">
            <w:pPr>
              <w:pStyle w:val="Tabletext"/>
            </w:pPr>
            <w:bookmarkStart w:id="95" w:name="_Ref201304274"/>
            <w:r w:rsidRPr="00315936">
              <w:t xml:space="preserve">This measures the proportion of male security patients admitted to Thomas Embling Hospital within 7 days of </w:t>
            </w:r>
            <w:r w:rsidR="005836A0" w:rsidRPr="1E2588F2">
              <w:rPr>
                <w:rFonts w:eastAsia="Arial" w:cs="Arial"/>
              </w:rPr>
              <w:t xml:space="preserve">being certified as requiring </w:t>
            </w:r>
            <w:r w:rsidRPr="00315936">
              <w:t xml:space="preserve">compulsory treatment. </w:t>
            </w:r>
          </w:p>
          <w:bookmarkEnd w:id="95"/>
          <w:p w14:paraId="1CA4A5BD" w14:textId="4A91C9C9" w:rsidR="006E4D8B" w:rsidRPr="00A75F02" w:rsidRDefault="00AC3C31">
            <w:pPr>
              <w:pStyle w:val="Tabletext"/>
              <w:rPr>
                <w:i/>
              </w:rPr>
            </w:pPr>
            <w:r w:rsidRPr="00315936">
              <w:t xml:space="preserve">Thomas Embling </w:t>
            </w:r>
            <w:r w:rsidR="00A11C83">
              <w:t>H</w:t>
            </w:r>
            <w:r w:rsidRPr="00315936">
              <w:t>ospital</w:t>
            </w:r>
            <w:r w:rsidR="00955489" w:rsidRPr="00315936">
              <w:t xml:space="preserve"> </w:t>
            </w:r>
            <w:r w:rsidR="00623499" w:rsidRPr="00315936">
              <w:t>manages the care of</w:t>
            </w:r>
            <w:r w:rsidR="0094393D" w:rsidRPr="00315936">
              <w:t xml:space="preserve"> security patients (prisoners) </w:t>
            </w:r>
            <w:r w:rsidR="00F0266F" w:rsidRPr="00315936">
              <w:t xml:space="preserve">who </w:t>
            </w:r>
            <w:r w:rsidR="00854748" w:rsidRPr="00315936">
              <w:t xml:space="preserve">require compulsory </w:t>
            </w:r>
            <w:r w:rsidR="009135CA" w:rsidRPr="00315936">
              <w:t xml:space="preserve">mental health treatment under the </w:t>
            </w:r>
            <w:r w:rsidR="0000455B" w:rsidRPr="00315936">
              <w:rPr>
                <w:i/>
                <w:iCs/>
              </w:rPr>
              <w:t>Mental Health and Wellbeing Act 2022</w:t>
            </w:r>
            <w:r w:rsidR="00F00210" w:rsidRPr="00315936">
              <w:rPr>
                <w:i/>
                <w:iCs/>
              </w:rPr>
              <w:t>.</w:t>
            </w:r>
          </w:p>
        </w:tc>
      </w:tr>
      <w:tr w:rsidR="006E4D8B" w:rsidRPr="00315936" w14:paraId="440FA567"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5DCCC6C" w14:textId="77777777" w:rsidR="006E4D8B" w:rsidRPr="00315936" w:rsidRDefault="006E4D8B">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60CC50BD" w14:textId="557C177A" w:rsidR="006E4D8B" w:rsidRPr="00315936" w:rsidRDefault="25C04076" w:rsidP="1E2588F2">
            <w:pPr>
              <w:pStyle w:val="Tabletext"/>
              <w:spacing w:line="259" w:lineRule="auto"/>
              <w:rPr>
                <w:rFonts w:eastAsia="Arial" w:cs="Arial"/>
              </w:rPr>
            </w:pPr>
            <w:r w:rsidRPr="1E2588F2">
              <w:rPr>
                <w:rFonts w:eastAsia="Arial" w:cs="Arial"/>
              </w:rPr>
              <w:t xml:space="preserve">Number of </w:t>
            </w:r>
            <w:r w:rsidR="00C41485" w:rsidRPr="1E2588F2">
              <w:rPr>
                <w:rFonts w:eastAsia="Arial" w:cs="Arial"/>
              </w:rPr>
              <w:t xml:space="preserve">male security </w:t>
            </w:r>
            <w:r w:rsidRPr="1E2588F2">
              <w:rPr>
                <w:rFonts w:eastAsia="Arial" w:cs="Arial"/>
              </w:rPr>
              <w:t xml:space="preserve">patients admitted within 7 days of </w:t>
            </w:r>
            <w:r w:rsidR="003D064D" w:rsidRPr="1E2588F2">
              <w:rPr>
                <w:rFonts w:eastAsia="Arial" w:cs="Arial"/>
              </w:rPr>
              <w:t xml:space="preserve">being certified </w:t>
            </w:r>
            <w:r w:rsidR="00AA2E18" w:rsidRPr="1E2588F2">
              <w:rPr>
                <w:rFonts w:eastAsia="Arial" w:cs="Arial"/>
              </w:rPr>
              <w:t>as requiring compulsory treatment</w:t>
            </w:r>
            <w:r w:rsidR="003D064D" w:rsidRPr="1E2588F2">
              <w:rPr>
                <w:rFonts w:eastAsia="Arial" w:cs="Arial"/>
              </w:rPr>
              <w:t xml:space="preserve"> </w:t>
            </w:r>
            <w:r w:rsidRPr="1E2588F2">
              <w:rPr>
                <w:rFonts w:eastAsia="Arial" w:cs="Arial"/>
              </w:rPr>
              <w:t xml:space="preserve">divided by the total number of </w:t>
            </w:r>
            <w:r w:rsidR="004913F1" w:rsidRPr="1E2588F2">
              <w:rPr>
                <w:rFonts w:eastAsia="Arial" w:cs="Arial"/>
              </w:rPr>
              <w:t>male security</w:t>
            </w:r>
            <w:r w:rsidRPr="1E2588F2">
              <w:rPr>
                <w:rFonts w:eastAsia="Arial" w:cs="Arial"/>
              </w:rPr>
              <w:t xml:space="preserve"> patients </w:t>
            </w:r>
            <w:r w:rsidR="00447D28" w:rsidRPr="1E2588F2">
              <w:rPr>
                <w:rFonts w:eastAsia="Arial" w:cs="Arial"/>
              </w:rPr>
              <w:t xml:space="preserve">certified as </w:t>
            </w:r>
            <w:r w:rsidR="00755A56" w:rsidRPr="1E2588F2">
              <w:rPr>
                <w:rFonts w:eastAsia="Arial" w:cs="Arial"/>
              </w:rPr>
              <w:t xml:space="preserve">requiring compulsory treatment </w:t>
            </w:r>
            <w:r w:rsidRPr="1E2588F2">
              <w:rPr>
                <w:rFonts w:eastAsia="Arial" w:cs="Arial"/>
              </w:rPr>
              <w:t>within the reporting period, reported to one decimal place</w:t>
            </w:r>
            <w:r w:rsidR="15D0A801" w:rsidRPr="1E2588F2">
              <w:rPr>
                <w:rFonts w:eastAsia="Arial" w:cs="Arial"/>
              </w:rPr>
              <w:t>.</w:t>
            </w:r>
          </w:p>
          <w:p w14:paraId="729B1F60" w14:textId="55F6F4DE" w:rsidR="006E4D8B" w:rsidRPr="00315936" w:rsidRDefault="15D0A801" w:rsidP="00490C9E">
            <w:pPr>
              <w:pStyle w:val="Tabletext"/>
              <w:spacing w:line="259" w:lineRule="auto"/>
              <w:rPr>
                <w:rFonts w:eastAsia="Arial"/>
                <w:lang w:eastAsia="en-AU"/>
              </w:rPr>
            </w:pPr>
            <w:r w:rsidRPr="1E2588F2">
              <w:rPr>
                <w:lang w:eastAsia="en-AU"/>
              </w:rPr>
              <w:t xml:space="preserve">Data </w:t>
            </w:r>
            <w:r w:rsidR="00A41398">
              <w:rPr>
                <w:lang w:eastAsia="en-AU"/>
              </w:rPr>
              <w:t>are</w:t>
            </w:r>
            <w:r w:rsidR="00A41398" w:rsidRPr="1E2588F2">
              <w:rPr>
                <w:lang w:eastAsia="en-AU"/>
              </w:rPr>
              <w:t xml:space="preserve"> </w:t>
            </w:r>
            <w:r w:rsidRPr="1E2588F2">
              <w:rPr>
                <w:lang w:eastAsia="en-AU"/>
              </w:rPr>
              <w:t>lagged by seven days.</w:t>
            </w:r>
          </w:p>
        </w:tc>
      </w:tr>
      <w:tr w:rsidR="006E4D8B" w:rsidRPr="00315936" w14:paraId="5510BA19"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7494041" w14:textId="77777777" w:rsidR="006E4D8B" w:rsidRPr="00315936" w:rsidRDefault="006E4D8B">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745DFF1C" w14:textId="1636655D" w:rsidR="006E4D8B" w:rsidRPr="00315936" w:rsidRDefault="006E4D8B">
            <w:pPr>
              <w:pStyle w:val="Tabletext"/>
              <w:rPr>
                <w:lang w:eastAsia="en-AU"/>
              </w:rPr>
            </w:pPr>
            <w:r w:rsidRPr="00315936">
              <w:t xml:space="preserve">Total number of male security patients </w:t>
            </w:r>
            <w:r w:rsidR="6A294EA6">
              <w:t>admitted</w:t>
            </w:r>
            <w:r w:rsidRPr="00315936">
              <w:t xml:space="preserve"> to Thomas Embling </w:t>
            </w:r>
            <w:r w:rsidR="008F0B31">
              <w:t xml:space="preserve">Hospital </w:t>
            </w:r>
            <w:r w:rsidRPr="00315936">
              <w:t xml:space="preserve">within </w:t>
            </w:r>
            <w:r w:rsidR="006667A9" w:rsidRPr="00315936">
              <w:t>7</w:t>
            </w:r>
            <w:r w:rsidRPr="00315936">
              <w:t xml:space="preserve"> days</w:t>
            </w:r>
            <w:r w:rsidR="665B04DA">
              <w:t xml:space="preserve"> of being certified as requiring compulsory treatment</w:t>
            </w:r>
            <w:r w:rsidRPr="00315936">
              <w:t>.</w:t>
            </w:r>
          </w:p>
        </w:tc>
      </w:tr>
      <w:tr w:rsidR="006E4D8B" w:rsidRPr="00315936" w14:paraId="4218C6B5"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DC044B1" w14:textId="77777777" w:rsidR="006E4D8B" w:rsidRPr="00315936" w:rsidRDefault="006E4D8B">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541844EB" w14:textId="156470AA" w:rsidR="006E4D8B" w:rsidRPr="00315936" w:rsidRDefault="1C1949F5">
            <w:pPr>
              <w:pStyle w:val="Tabletext"/>
              <w:rPr>
                <w:lang w:eastAsia="en-AU"/>
              </w:rPr>
            </w:pPr>
            <w:r w:rsidRPr="00315936">
              <w:t xml:space="preserve">Total number of male security patients certified as requiring compulsory treatment. </w:t>
            </w:r>
          </w:p>
        </w:tc>
      </w:tr>
      <w:tr w:rsidR="006E4D8B" w:rsidRPr="00315936" w14:paraId="503389B6"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B8BF7B4" w14:textId="77777777" w:rsidR="006E4D8B" w:rsidRPr="00315936" w:rsidRDefault="006E4D8B">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53AA8816" w14:textId="495AB15E" w:rsidR="006E4D8B" w:rsidRPr="00315936" w:rsidRDefault="00754416">
            <w:pPr>
              <w:pStyle w:val="Tabletext"/>
              <w:rPr>
                <w:lang w:eastAsia="en-AU"/>
              </w:rPr>
            </w:pPr>
            <w:r>
              <w:t xml:space="preserve">Greater than or equal to </w:t>
            </w:r>
            <w:r w:rsidR="006E4D8B" w:rsidRPr="00315936">
              <w:t>80</w:t>
            </w:r>
            <w:r w:rsidR="00A67D0D" w:rsidRPr="00315936">
              <w:t xml:space="preserve"> per cent</w:t>
            </w:r>
            <w:r w:rsidR="00166C3F">
              <w:t xml:space="preserve"> </w:t>
            </w:r>
            <w:r w:rsidR="00A67E67">
              <w:t>or</w:t>
            </w:r>
            <w:r w:rsidR="003F03CA">
              <w:t xml:space="preserve"> 5 percentage point improvement</w:t>
            </w:r>
            <w:r w:rsidR="00696D20">
              <w:t xml:space="preserve"> </w:t>
            </w:r>
            <w:r w:rsidR="00B763F5">
              <w:t>compared to the same time last year</w:t>
            </w:r>
          </w:p>
        </w:tc>
      </w:tr>
      <w:tr w:rsidR="006E4D8B" w:rsidRPr="00315936" w14:paraId="5B906135"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6349EB3" w14:textId="3DAA88BD" w:rsidR="006E4D8B" w:rsidRPr="00315936" w:rsidRDefault="006E4D8B" w:rsidP="006E4D8B">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0BB9376F" w14:textId="24FFF980" w:rsidR="006E4D8B" w:rsidRPr="00315936" w:rsidRDefault="006E4D8B" w:rsidP="006E4D8B">
            <w:pPr>
              <w:pStyle w:val="Tabletext"/>
            </w:pPr>
            <w:r w:rsidRPr="00315936">
              <w:t>Greater than or equal to 80</w:t>
            </w:r>
            <w:r w:rsidR="00A67D0D" w:rsidRPr="00315936">
              <w:t xml:space="preserve"> per cent</w:t>
            </w:r>
            <w:r w:rsidR="008223BE">
              <w:t xml:space="preserve"> or 5 percentage point improvement</w:t>
            </w:r>
          </w:p>
        </w:tc>
      </w:tr>
      <w:tr w:rsidR="006E4D8B" w:rsidRPr="00315936" w14:paraId="665E9402"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CEE1DD2" w14:textId="2EB41EE5" w:rsidR="006E4D8B" w:rsidRPr="00315936" w:rsidRDefault="006E4D8B" w:rsidP="006E4D8B">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65FAECE2" w14:textId="2572BCD7" w:rsidR="006E4D8B" w:rsidRPr="00315936" w:rsidRDefault="006E4D8B" w:rsidP="006E4D8B">
            <w:pPr>
              <w:pStyle w:val="Tabletext"/>
            </w:pPr>
            <w:r w:rsidRPr="00315936">
              <w:t>Less than 80</w:t>
            </w:r>
            <w:r w:rsidR="00A67D0D" w:rsidRPr="00315936">
              <w:t xml:space="preserve"> per cent</w:t>
            </w:r>
            <w:r w:rsidR="008223BE">
              <w:t xml:space="preserve"> </w:t>
            </w:r>
            <w:r w:rsidR="6A886789">
              <w:t>and</w:t>
            </w:r>
            <w:r w:rsidR="008223BE">
              <w:t xml:space="preserve"> below 5 percentage point improvement</w:t>
            </w:r>
          </w:p>
        </w:tc>
      </w:tr>
      <w:tr w:rsidR="006E4D8B" w:rsidRPr="00315936" w14:paraId="3A1799B0"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42F1F89" w14:textId="77777777" w:rsidR="006E4D8B" w:rsidRPr="00315936" w:rsidRDefault="006E4D8B">
            <w:pPr>
              <w:pStyle w:val="Tablecolhead"/>
              <w:rPr>
                <w:b w:val="0"/>
                <w:lang w:eastAsia="en-AU"/>
              </w:rPr>
            </w:pPr>
            <w:r w:rsidRPr="00315936">
              <w:rPr>
                <w:b w:val="0"/>
                <w:lang w:eastAsia="en-AU"/>
              </w:rPr>
              <w:lastRenderedPageBreak/>
              <w:t>Improvement</w:t>
            </w:r>
          </w:p>
        </w:tc>
        <w:tc>
          <w:tcPr>
            <w:tcW w:w="7512" w:type="dxa"/>
            <w:tcBorders>
              <w:left w:val="single" w:sz="4" w:space="0" w:color="FFFFFF" w:themeColor="background1"/>
            </w:tcBorders>
          </w:tcPr>
          <w:p w14:paraId="3ED986DD" w14:textId="326D0C1A" w:rsidR="006E4D8B" w:rsidRPr="00315936" w:rsidRDefault="006E4D8B">
            <w:pPr>
              <w:pStyle w:val="Tabletext"/>
              <w:rPr>
                <w:lang w:eastAsia="en-AU"/>
              </w:rPr>
            </w:pPr>
            <w:r w:rsidRPr="00315936">
              <w:t>For the purpose of the performance risk assessment</w:t>
            </w:r>
            <w:r w:rsidR="00883B17">
              <w:t>,</w:t>
            </w:r>
            <w:r w:rsidRPr="00315936">
              <w:t xml:space="preserve"> improvement is compared to previous quarter performance.</w:t>
            </w:r>
          </w:p>
        </w:tc>
      </w:tr>
      <w:tr w:rsidR="006E4D8B" w:rsidRPr="00315936" w14:paraId="30E7771F" w14:textId="77777777" w:rsidTr="009C6B39">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66FC0C4" w14:textId="77777777" w:rsidR="006E4D8B" w:rsidRPr="00315936" w:rsidRDefault="006E4D8B">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3B507891" w14:textId="5A1486D3" w:rsidR="006E4D8B" w:rsidRPr="00315936" w:rsidRDefault="00A0309A">
            <w:pPr>
              <w:pStyle w:val="Tabletext"/>
            </w:pPr>
            <w:r w:rsidRPr="00315936">
              <w:t xml:space="preserve">Performance is </w:t>
            </w:r>
            <w:r w:rsidR="006E4D8B" w:rsidRPr="00315936">
              <w:t>reported quarterly</w:t>
            </w:r>
            <w:r w:rsidR="006518B9">
              <w:t>.</w:t>
            </w:r>
          </w:p>
          <w:p w14:paraId="41F36145" w14:textId="2D264073" w:rsidR="006E4D8B" w:rsidRPr="00315936" w:rsidRDefault="00B7714A">
            <w:pPr>
              <w:pStyle w:val="Tabletext"/>
              <w:rPr>
                <w:lang w:eastAsia="en-AU"/>
              </w:rPr>
            </w:pPr>
            <w:r w:rsidRPr="2ECFC544">
              <w:rPr>
                <w:rFonts w:eastAsia="Arial" w:cs="Arial"/>
                <w:szCs w:val="21"/>
              </w:rPr>
              <w:t>Data are sourced from</w:t>
            </w:r>
            <w:r w:rsidR="00A0781D" w:rsidRPr="2ECFC544">
              <w:rPr>
                <w:rFonts w:eastAsia="Arial" w:cs="Arial"/>
                <w:szCs w:val="21"/>
              </w:rPr>
              <w:t xml:space="preserve"> </w:t>
            </w:r>
            <w:r w:rsidR="006E4D8B" w:rsidRPr="2ECFC544">
              <w:rPr>
                <w:rFonts w:eastAsia="Arial" w:cs="Arial"/>
                <w:szCs w:val="21"/>
              </w:rPr>
              <w:t>the Client Management Interface (CMI</w:t>
            </w:r>
            <w:r w:rsidR="00FA6BB5" w:rsidRPr="2ECFC544">
              <w:rPr>
                <w:rFonts w:eastAsia="Arial" w:cs="Arial"/>
                <w:szCs w:val="21"/>
              </w:rPr>
              <w:t xml:space="preserve">) / </w:t>
            </w:r>
            <w:r w:rsidR="006E4D8B" w:rsidRPr="2ECFC544">
              <w:rPr>
                <w:rFonts w:eastAsia="Arial" w:cs="Arial"/>
                <w:szCs w:val="21"/>
              </w:rPr>
              <w:t>Operational Data Store (ODS</w:t>
            </w:r>
            <w:r w:rsidR="00FA6BB5" w:rsidRPr="2ECFC544">
              <w:rPr>
                <w:rFonts w:eastAsia="Arial" w:cs="Arial"/>
                <w:szCs w:val="21"/>
              </w:rPr>
              <w:t>).</w:t>
            </w:r>
          </w:p>
        </w:tc>
      </w:tr>
    </w:tbl>
    <w:p w14:paraId="10152227" w14:textId="405A3544" w:rsidR="00C638BE" w:rsidRPr="00315936" w:rsidRDefault="00C638BE" w:rsidP="008E7F78">
      <w:pPr>
        <w:pStyle w:val="Heading4"/>
      </w:pPr>
      <w:bookmarkStart w:id="96" w:name="_Toc1184295160"/>
      <w:r w:rsidRPr="00315936">
        <w:t xml:space="preserve">Percentage of female </w:t>
      </w:r>
      <w:r w:rsidR="12A47811" w:rsidRPr="00315936">
        <w:t>s</w:t>
      </w:r>
      <w:r w:rsidRPr="00315936">
        <w:t xml:space="preserve">ecurity </w:t>
      </w:r>
      <w:r w:rsidR="4B368D7E" w:rsidRPr="00315936">
        <w:t>p</w:t>
      </w:r>
      <w:r w:rsidRPr="00315936">
        <w:t>atients admitted to Thomas Embling Hospital within 7 days of recommendation for compulsory treatment.</w:t>
      </w:r>
      <w:bookmarkEnd w:id="96"/>
      <w:r w:rsidRPr="00315936">
        <w:t> </w:t>
      </w:r>
    </w:p>
    <w:tbl>
      <w:tblPr>
        <w:tblStyle w:val="TableGrid"/>
        <w:tblW w:w="9349" w:type="dxa"/>
        <w:tblLook w:val="04A0" w:firstRow="1" w:lastRow="0" w:firstColumn="1" w:lastColumn="0" w:noHBand="0" w:noVBand="1"/>
      </w:tblPr>
      <w:tblGrid>
        <w:gridCol w:w="1837"/>
        <w:gridCol w:w="7512"/>
      </w:tblGrid>
      <w:tr w:rsidR="00541789" w:rsidRPr="00315936" w14:paraId="7324479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D590DF8" w14:textId="7BC538E0" w:rsidR="00541789"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4C79AE65" w14:textId="7E1CC21C" w:rsidR="00541789" w:rsidRPr="00315936" w:rsidRDefault="00541789">
            <w:pPr>
              <w:pStyle w:val="Tabletext"/>
              <w:rPr>
                <w:lang w:eastAsia="en-AU"/>
              </w:rPr>
            </w:pPr>
            <w:r w:rsidRPr="00315936">
              <w:t>Percentage of female security patients admitted to Thomas Embling Hospital within 7 days of recommendation for compulsory treatment</w:t>
            </w:r>
            <w:r w:rsidR="001340C4">
              <w:t xml:space="preserve"> </w:t>
            </w:r>
            <w:r w:rsidR="00A63F04">
              <w:fldChar w:fldCharType="begin"/>
            </w:r>
            <w:r w:rsidR="00A63F04">
              <w:instrText xml:space="preserve"> NOTEREF _Ref201835099 \f \h </w:instrText>
            </w:r>
            <w:r w:rsidR="00A63F04">
              <w:fldChar w:fldCharType="separate"/>
            </w:r>
            <w:r w:rsidR="00A63F04" w:rsidRPr="00A63F04">
              <w:rPr>
                <w:rStyle w:val="EndnoteReference"/>
              </w:rPr>
              <w:t>xvi</w:t>
            </w:r>
            <w:r w:rsidR="00A63F04">
              <w:fldChar w:fldCharType="end"/>
            </w:r>
            <w:r w:rsidR="00A63F04" w:rsidDel="00A63F04">
              <w:t xml:space="preserve"> </w:t>
            </w:r>
          </w:p>
        </w:tc>
      </w:tr>
      <w:tr w:rsidR="00541789" w:rsidRPr="00315936" w14:paraId="023B611C"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1DB18BD" w14:textId="77777777" w:rsidR="00541789" w:rsidRPr="00315936" w:rsidRDefault="00541789">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4598BE2B" w14:textId="5D3AFEE6" w:rsidR="0059475E" w:rsidRDefault="0059475E" w:rsidP="008C730C">
            <w:pPr>
              <w:pStyle w:val="Tabletext"/>
            </w:pPr>
            <w:r w:rsidRPr="00315936">
              <w:t xml:space="preserve">This measures the proportion of female security patients admitted to Thomas Embling Hospital within 7 days of </w:t>
            </w:r>
            <w:r w:rsidR="001340C4" w:rsidRPr="1E2588F2">
              <w:rPr>
                <w:rFonts w:eastAsia="Arial" w:cs="Arial"/>
              </w:rPr>
              <w:t>being certified as requiring</w:t>
            </w:r>
            <w:r w:rsidR="001340C4" w:rsidRPr="1E2588F2" w:rsidDel="001340C4">
              <w:rPr>
                <w:rFonts w:eastAsia="Arial" w:cs="Arial"/>
              </w:rPr>
              <w:t xml:space="preserve"> </w:t>
            </w:r>
            <w:r w:rsidRPr="00315936">
              <w:t>compulsory treatment</w:t>
            </w:r>
            <w:r>
              <w:t>.</w:t>
            </w:r>
          </w:p>
          <w:p w14:paraId="5D50DD01" w14:textId="3B5196CB" w:rsidR="00541789" w:rsidRPr="0059475E" w:rsidRDefault="008C730C" w:rsidP="008C730C">
            <w:pPr>
              <w:pStyle w:val="Tabletext"/>
              <w:rPr>
                <w:i/>
              </w:rPr>
            </w:pPr>
            <w:r w:rsidRPr="00315936">
              <w:t xml:space="preserve">Thomas Embling </w:t>
            </w:r>
            <w:r w:rsidR="00A11C83">
              <w:t>H</w:t>
            </w:r>
            <w:r w:rsidRPr="00315936">
              <w:t xml:space="preserve">ospital manages the care of security patients (prisoners) who require compulsory mental health treatment under the </w:t>
            </w:r>
            <w:r w:rsidRPr="00315936">
              <w:rPr>
                <w:i/>
                <w:iCs/>
              </w:rPr>
              <w:t>Mental Health and Wellbeing Act 2022</w:t>
            </w:r>
            <w:r w:rsidR="00213566" w:rsidRPr="00315936">
              <w:rPr>
                <w:i/>
                <w:iCs/>
              </w:rPr>
              <w:t>.</w:t>
            </w:r>
          </w:p>
        </w:tc>
      </w:tr>
      <w:tr w:rsidR="00541789" w:rsidRPr="00315936" w14:paraId="147A514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B09184F" w14:textId="77777777" w:rsidR="00541789" w:rsidRPr="00315936" w:rsidRDefault="00541789">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0932DA2C" w14:textId="6ABD76BF" w:rsidR="00541789" w:rsidRPr="00315936" w:rsidRDefault="00896653" w:rsidP="1E2588F2">
            <w:pPr>
              <w:pStyle w:val="Tabletext"/>
              <w:rPr>
                <w:lang w:eastAsia="en-AU"/>
              </w:rPr>
            </w:pPr>
            <w:r w:rsidRPr="1E2588F2">
              <w:rPr>
                <w:rFonts w:eastAsia="Arial" w:cs="Arial"/>
              </w:rPr>
              <w:t>Number of female security patients admitted within 7 days of being certified as requiring compulsory treatment divided by the total number of female security patients certified as requiring compulsory treatment within the reporting period, reported to one decimal place</w:t>
            </w:r>
            <w:r w:rsidR="199190D6" w:rsidRPr="1E2588F2">
              <w:rPr>
                <w:rFonts w:eastAsia="Arial" w:cs="Arial"/>
              </w:rPr>
              <w:t>.</w:t>
            </w:r>
          </w:p>
          <w:p w14:paraId="66F65DD3" w14:textId="4412D066" w:rsidR="00541789" w:rsidRPr="00315936" w:rsidRDefault="199190D6">
            <w:pPr>
              <w:pStyle w:val="Tabletext"/>
              <w:rPr>
                <w:lang w:eastAsia="en-AU"/>
              </w:rPr>
            </w:pPr>
            <w:r w:rsidRPr="1E2588F2">
              <w:rPr>
                <w:lang w:eastAsia="en-AU"/>
              </w:rPr>
              <w:t xml:space="preserve">Data </w:t>
            </w:r>
            <w:r w:rsidR="00176F53">
              <w:rPr>
                <w:lang w:eastAsia="en-AU"/>
              </w:rPr>
              <w:t>are</w:t>
            </w:r>
            <w:r w:rsidR="00176F53" w:rsidRPr="1E2588F2">
              <w:rPr>
                <w:lang w:eastAsia="en-AU"/>
              </w:rPr>
              <w:t xml:space="preserve"> </w:t>
            </w:r>
            <w:r w:rsidRPr="1E2588F2">
              <w:rPr>
                <w:lang w:eastAsia="en-AU"/>
              </w:rPr>
              <w:t>lagged by seven days.</w:t>
            </w:r>
          </w:p>
        </w:tc>
      </w:tr>
      <w:tr w:rsidR="00541789" w:rsidRPr="00315936" w14:paraId="489043E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38DD529" w14:textId="77777777" w:rsidR="00541789" w:rsidRPr="00315936" w:rsidRDefault="00541789">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3DCEFB6C" w14:textId="4FE41CCA" w:rsidR="00541789" w:rsidRPr="00315936" w:rsidRDefault="00541789">
            <w:pPr>
              <w:pStyle w:val="Tabletext"/>
              <w:rPr>
                <w:lang w:eastAsia="en-AU"/>
              </w:rPr>
            </w:pPr>
            <w:r w:rsidRPr="00315936">
              <w:t xml:space="preserve">Total number of female security patients </w:t>
            </w:r>
            <w:r w:rsidR="07F2C262">
              <w:t>admitted</w:t>
            </w:r>
            <w:r w:rsidRPr="00315936">
              <w:t xml:space="preserve"> to Thomas Embling </w:t>
            </w:r>
            <w:r w:rsidR="003D1B14">
              <w:t xml:space="preserve">Hospital </w:t>
            </w:r>
            <w:r w:rsidRPr="00315936">
              <w:t xml:space="preserve">within </w:t>
            </w:r>
            <w:r w:rsidR="006A7615" w:rsidRPr="00315936">
              <w:t>7</w:t>
            </w:r>
            <w:r w:rsidRPr="00315936">
              <w:t xml:space="preserve"> days</w:t>
            </w:r>
            <w:r w:rsidR="16338284">
              <w:t xml:space="preserve"> of being certified as </w:t>
            </w:r>
            <w:r w:rsidR="049C395C">
              <w:t>requiring</w:t>
            </w:r>
            <w:r w:rsidR="16338284">
              <w:t xml:space="preserve"> compulsory treatment</w:t>
            </w:r>
            <w:r w:rsidRPr="00315936">
              <w:t>.</w:t>
            </w:r>
          </w:p>
        </w:tc>
      </w:tr>
      <w:tr w:rsidR="00541789" w:rsidRPr="00315936" w14:paraId="118FAC0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18A2E24" w14:textId="77777777" w:rsidR="00541789" w:rsidRPr="00315936" w:rsidRDefault="00541789">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0D18F585" w14:textId="55775878" w:rsidR="00541789" w:rsidRPr="00315936" w:rsidRDefault="6702A122">
            <w:pPr>
              <w:pStyle w:val="Tabletext"/>
              <w:rPr>
                <w:lang w:eastAsia="en-AU"/>
              </w:rPr>
            </w:pPr>
            <w:r w:rsidRPr="00315936">
              <w:t>Total number of female security patients certified as requiring compulsory treatment.</w:t>
            </w:r>
          </w:p>
        </w:tc>
      </w:tr>
      <w:tr w:rsidR="00541789" w:rsidRPr="00315936" w14:paraId="2C258A8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FC6A783" w14:textId="77777777" w:rsidR="00541789" w:rsidRPr="00315936" w:rsidRDefault="00541789">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13151DD1" w14:textId="3B89E077" w:rsidR="00541789" w:rsidRPr="00315936" w:rsidRDefault="00541789">
            <w:pPr>
              <w:pStyle w:val="Tabletext"/>
              <w:rPr>
                <w:lang w:eastAsia="en-AU"/>
              </w:rPr>
            </w:pPr>
            <w:r w:rsidRPr="00315936">
              <w:t>80</w:t>
            </w:r>
            <w:r w:rsidR="00A67D0D" w:rsidRPr="00315936">
              <w:t xml:space="preserve"> per cent</w:t>
            </w:r>
            <w:r w:rsidRPr="00315936">
              <w:t xml:space="preserve"> </w:t>
            </w:r>
          </w:p>
        </w:tc>
      </w:tr>
      <w:tr w:rsidR="00541789" w:rsidRPr="00315936" w14:paraId="40710EC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6AE6C26" w14:textId="2D2DC261" w:rsidR="00541789" w:rsidRPr="00315936" w:rsidRDefault="00541789" w:rsidP="00541789">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1C77F14E" w14:textId="29594ED6" w:rsidR="00541789" w:rsidRPr="00315936" w:rsidRDefault="00541789" w:rsidP="00541789">
            <w:pPr>
              <w:pStyle w:val="Tabletext"/>
            </w:pPr>
            <w:r w:rsidRPr="00315936">
              <w:t>Greater than or equal to 80</w:t>
            </w:r>
            <w:r w:rsidR="00A67D0D" w:rsidRPr="00315936">
              <w:t xml:space="preserve"> per cent</w:t>
            </w:r>
          </w:p>
        </w:tc>
      </w:tr>
      <w:tr w:rsidR="00541789" w:rsidRPr="00315936" w14:paraId="3731C0C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C50F981" w14:textId="17AB89E3" w:rsidR="00541789" w:rsidRPr="00315936" w:rsidRDefault="00541789" w:rsidP="00541789">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5980A473" w14:textId="3D21C1C4" w:rsidR="00541789" w:rsidRPr="00315936" w:rsidRDefault="00541789" w:rsidP="00541789">
            <w:pPr>
              <w:pStyle w:val="Tabletext"/>
            </w:pPr>
            <w:r w:rsidRPr="00315936">
              <w:t>Less than 80</w:t>
            </w:r>
            <w:r w:rsidR="00A67D0D" w:rsidRPr="00315936">
              <w:t xml:space="preserve"> per cent</w:t>
            </w:r>
          </w:p>
        </w:tc>
      </w:tr>
      <w:tr w:rsidR="00541789" w:rsidRPr="00315936" w14:paraId="05A2910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B097C41" w14:textId="77777777" w:rsidR="00541789" w:rsidRPr="00315936" w:rsidRDefault="00541789">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55F07AC4" w14:textId="70DD5CF7" w:rsidR="00541789" w:rsidRPr="00315936" w:rsidRDefault="00541789">
            <w:pPr>
              <w:pStyle w:val="Tabletext"/>
              <w:rPr>
                <w:lang w:eastAsia="en-AU"/>
              </w:rPr>
            </w:pPr>
            <w:r w:rsidRPr="00315936">
              <w:t>For the purpose of the performance risk assessment</w:t>
            </w:r>
            <w:r w:rsidR="00B66A5B">
              <w:t>,</w:t>
            </w:r>
            <w:r w:rsidRPr="00315936">
              <w:t xml:space="preserve"> improvement is compared to previous quarter performance.</w:t>
            </w:r>
          </w:p>
        </w:tc>
      </w:tr>
      <w:tr w:rsidR="00541789" w:rsidRPr="00315936" w14:paraId="21DD93D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8A2EC52" w14:textId="77777777" w:rsidR="00541789" w:rsidRPr="00315936" w:rsidRDefault="00541789">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14E49B0A" w14:textId="2ADBCDB7" w:rsidR="00541789" w:rsidRPr="00315936" w:rsidRDefault="00A0781D">
            <w:pPr>
              <w:pStyle w:val="Tabletext"/>
            </w:pPr>
            <w:r w:rsidRPr="00315936">
              <w:t xml:space="preserve">Performance </w:t>
            </w:r>
            <w:r w:rsidR="00541789" w:rsidRPr="00315936">
              <w:t>is reported quarterly.</w:t>
            </w:r>
          </w:p>
          <w:p w14:paraId="5A73A714" w14:textId="0E1EE312" w:rsidR="00541789" w:rsidRPr="00315936" w:rsidRDefault="00FA6BB5">
            <w:pPr>
              <w:pStyle w:val="Tabletext"/>
              <w:rPr>
                <w:lang w:eastAsia="en-AU"/>
              </w:rPr>
            </w:pPr>
            <w:r w:rsidRPr="577F0062">
              <w:rPr>
                <w:rFonts w:eastAsia="Arial" w:cs="Arial"/>
              </w:rPr>
              <w:t>Data are sourced from the Client Management Interface (CMI) / Operational Data Store (ODS).</w:t>
            </w:r>
          </w:p>
        </w:tc>
      </w:tr>
    </w:tbl>
    <w:p w14:paraId="5F689867" w14:textId="4AAB8B39" w:rsidR="00D66B24" w:rsidRPr="00315936" w:rsidRDefault="00D66B24" w:rsidP="008E7F78">
      <w:pPr>
        <w:pStyle w:val="Heading4"/>
      </w:pPr>
      <w:bookmarkStart w:id="97" w:name="_Toc1827959432"/>
      <w:r w:rsidRPr="00315936">
        <w:t>Percentage of male security patients discharged from Thomas Embling Hospital to a correctional centre within 21 days</w:t>
      </w:r>
      <w:bookmarkEnd w:id="97"/>
    </w:p>
    <w:tbl>
      <w:tblPr>
        <w:tblStyle w:val="TableGrid"/>
        <w:tblW w:w="9349" w:type="dxa"/>
        <w:tblLook w:val="04A0" w:firstRow="1" w:lastRow="0" w:firstColumn="1" w:lastColumn="0" w:noHBand="0" w:noVBand="1"/>
      </w:tblPr>
      <w:tblGrid>
        <w:gridCol w:w="1837"/>
        <w:gridCol w:w="7512"/>
      </w:tblGrid>
      <w:tr w:rsidR="00F248E2" w:rsidRPr="00315936" w14:paraId="21631C0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319FB3D" w14:textId="42851D18" w:rsidR="00F248E2"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66C7FDDE" w14:textId="639BCE36" w:rsidR="00F248E2" w:rsidRPr="00315936" w:rsidRDefault="00F248E2">
            <w:pPr>
              <w:pStyle w:val="Tabletext"/>
              <w:rPr>
                <w:lang w:eastAsia="en-AU"/>
              </w:rPr>
            </w:pPr>
            <w:r>
              <w:t>Percentage of male security patients discharged from Thomas Embling Hospital to a correctional centre within 21 days</w:t>
            </w:r>
            <w:r w:rsidR="00D177E2">
              <w:t xml:space="preserve"> </w:t>
            </w:r>
            <w:r w:rsidR="00307D89">
              <w:t>of admission</w:t>
            </w:r>
            <w:r w:rsidR="00876388">
              <w:t xml:space="preserve"> </w:t>
            </w:r>
            <w:r w:rsidR="00A63F04">
              <w:fldChar w:fldCharType="begin"/>
            </w:r>
            <w:r w:rsidR="00A63F04">
              <w:instrText xml:space="preserve"> NOTEREF _Ref201835099 \f \h </w:instrText>
            </w:r>
            <w:r w:rsidR="00A63F04">
              <w:fldChar w:fldCharType="separate"/>
            </w:r>
            <w:r w:rsidR="00A63F04" w:rsidRPr="00A63F04">
              <w:rPr>
                <w:rStyle w:val="EndnoteReference"/>
              </w:rPr>
              <w:t>xvi</w:t>
            </w:r>
            <w:r w:rsidR="00A63F04">
              <w:fldChar w:fldCharType="end"/>
            </w:r>
          </w:p>
        </w:tc>
      </w:tr>
      <w:tr w:rsidR="00F248E2" w:rsidRPr="00315936" w14:paraId="6AAAE0AC"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236B4A5" w14:textId="77777777" w:rsidR="00F248E2" w:rsidRPr="00315936" w:rsidRDefault="00F248E2">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20A32064" w14:textId="5845384A" w:rsidR="00110017" w:rsidRDefault="14E52959" w:rsidP="005002D3">
            <w:pPr>
              <w:pStyle w:val="Tabletext"/>
            </w:pPr>
            <w:r>
              <w:t xml:space="preserve">This </w:t>
            </w:r>
            <w:r w:rsidR="2DC5381D">
              <w:t>measures</w:t>
            </w:r>
            <w:r>
              <w:t xml:space="preserve"> the proportion of </w:t>
            </w:r>
            <w:r w:rsidR="5CC43680">
              <w:t>male security patients discharged from Thomas Embling Hospital to a correctional centre within 21 days</w:t>
            </w:r>
            <w:r w:rsidR="44F704C8">
              <w:t xml:space="preserve"> of admission</w:t>
            </w:r>
            <w:r w:rsidR="38C3E230">
              <w:t xml:space="preserve">, excluding </w:t>
            </w:r>
            <w:r w:rsidR="000260E5">
              <w:t>same day</w:t>
            </w:r>
            <w:r w:rsidR="38C3E230">
              <w:t xml:space="preserve"> stays.</w:t>
            </w:r>
          </w:p>
          <w:p w14:paraId="37BD0D10" w14:textId="502F608B" w:rsidR="00F248E2" w:rsidRPr="00110017" w:rsidRDefault="005002D3" w:rsidP="005002D3">
            <w:pPr>
              <w:pStyle w:val="Tabletext"/>
              <w:rPr>
                <w:i/>
              </w:rPr>
            </w:pPr>
            <w:r w:rsidRPr="00315936">
              <w:t xml:space="preserve">Thomas Embling </w:t>
            </w:r>
            <w:r w:rsidR="00A11C83">
              <w:t>H</w:t>
            </w:r>
            <w:r w:rsidRPr="00315936">
              <w:t xml:space="preserve">ospital manages the care of security patients (prisoners) who require compulsory mental health treatment under the </w:t>
            </w:r>
            <w:r w:rsidRPr="00315936">
              <w:rPr>
                <w:i/>
                <w:iCs/>
              </w:rPr>
              <w:t>Mental Health and Wellbeing Act 2022</w:t>
            </w:r>
            <w:r w:rsidR="0005700F">
              <w:rPr>
                <w:i/>
                <w:iCs/>
              </w:rPr>
              <w:t>.</w:t>
            </w:r>
          </w:p>
        </w:tc>
      </w:tr>
      <w:tr w:rsidR="00F248E2" w:rsidRPr="00315936" w14:paraId="24074DF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87A19BA" w14:textId="77777777" w:rsidR="00F248E2" w:rsidRPr="00315936" w:rsidRDefault="00F248E2">
            <w:pPr>
              <w:pStyle w:val="Tablecolhead"/>
              <w:rPr>
                <w:b w:val="0"/>
                <w:lang w:eastAsia="en-AU"/>
              </w:rPr>
            </w:pPr>
            <w:r w:rsidRPr="00315936">
              <w:rPr>
                <w:b w:val="0"/>
                <w:lang w:eastAsia="en-AU"/>
              </w:rPr>
              <w:lastRenderedPageBreak/>
              <w:t>Calculating performance</w:t>
            </w:r>
          </w:p>
        </w:tc>
        <w:tc>
          <w:tcPr>
            <w:tcW w:w="7512" w:type="dxa"/>
            <w:tcBorders>
              <w:left w:val="single" w:sz="4" w:space="0" w:color="FFFFFF" w:themeColor="background1"/>
            </w:tcBorders>
          </w:tcPr>
          <w:p w14:paraId="28FCEC97" w14:textId="15FB4571" w:rsidR="005211E5" w:rsidRDefault="005211E5" w:rsidP="005002D3">
            <w:pPr>
              <w:pStyle w:val="Tabletext"/>
              <w:rPr>
                <w:lang w:eastAsia="en-AU"/>
              </w:rPr>
            </w:pPr>
            <w:r>
              <w:rPr>
                <w:lang w:eastAsia="en-AU"/>
              </w:rPr>
              <w:t>The scope for this measure includes</w:t>
            </w:r>
            <w:r w:rsidR="004C5BF4">
              <w:rPr>
                <w:lang w:eastAsia="en-AU"/>
              </w:rPr>
              <w:t>:</w:t>
            </w:r>
          </w:p>
          <w:p w14:paraId="32BD36CA" w14:textId="1271AC3F" w:rsidR="005211E5" w:rsidRDefault="00310CE1" w:rsidP="00A63F04">
            <w:pPr>
              <w:pStyle w:val="Tablebullet1"/>
              <w:rPr>
                <w:lang w:eastAsia="en-AU"/>
              </w:rPr>
            </w:pPr>
            <w:r>
              <w:t>separations from Thomas Embling Hospital acute units within the re</w:t>
            </w:r>
            <w:r w:rsidR="00354D66">
              <w:t>ference</w:t>
            </w:r>
            <w:r>
              <w:t xml:space="preserve"> period where the consumer was male and on a security order (order codes 105 and 202) at the time of separation. </w:t>
            </w:r>
            <w:r w:rsidRPr="3CFE9675">
              <w:rPr>
                <w:lang w:eastAsia="en-AU"/>
              </w:rPr>
              <w:t>This is based on episode end date, except where a consumer was discharged while on leave, in which case the date sent on leave is used.</w:t>
            </w:r>
          </w:p>
          <w:p w14:paraId="7B9EFD06" w14:textId="461C9977" w:rsidR="00310CE1" w:rsidRDefault="00714F58" w:rsidP="00A63F04">
            <w:pPr>
              <w:pStyle w:val="Tablebullet1"/>
              <w:rPr>
                <w:lang w:eastAsia="en-AU"/>
              </w:rPr>
            </w:pPr>
            <w:r>
              <w:rPr>
                <w:lang w:eastAsia="en-AU"/>
              </w:rPr>
              <w:t>m</w:t>
            </w:r>
            <w:r w:rsidR="000A07BA">
              <w:rPr>
                <w:lang w:eastAsia="en-AU"/>
              </w:rPr>
              <w:t>ale c</w:t>
            </w:r>
            <w:r w:rsidR="00641EE7">
              <w:rPr>
                <w:lang w:eastAsia="en-AU"/>
              </w:rPr>
              <w:t>onsumers</w:t>
            </w:r>
            <w:r w:rsidR="00494D54">
              <w:rPr>
                <w:lang w:eastAsia="en-AU"/>
              </w:rPr>
              <w:t xml:space="preserve"> </w:t>
            </w:r>
            <w:r w:rsidR="002129E4">
              <w:rPr>
                <w:lang w:eastAsia="en-AU"/>
              </w:rPr>
              <w:t xml:space="preserve">who have not been separated </w:t>
            </w:r>
            <w:r w:rsidR="040EAA77" w:rsidRPr="1E2588F2">
              <w:rPr>
                <w:lang w:eastAsia="en-AU"/>
              </w:rPr>
              <w:t>(i.e. open episodes)</w:t>
            </w:r>
            <w:r w:rsidR="048F1C3A" w:rsidRPr="1E2588F2">
              <w:rPr>
                <w:lang w:eastAsia="en-AU"/>
              </w:rPr>
              <w:t xml:space="preserve"> </w:t>
            </w:r>
            <w:r w:rsidR="000A07BA">
              <w:rPr>
                <w:lang w:eastAsia="en-AU"/>
              </w:rPr>
              <w:t xml:space="preserve">and were </w:t>
            </w:r>
            <w:r w:rsidR="003403DC">
              <w:rPr>
                <w:lang w:eastAsia="en-AU"/>
              </w:rPr>
              <w:t>on a security order</w:t>
            </w:r>
            <w:r w:rsidR="007D565A">
              <w:rPr>
                <w:lang w:eastAsia="en-AU"/>
              </w:rPr>
              <w:t xml:space="preserve"> (order codes 105 and 202) </w:t>
            </w:r>
            <w:r w:rsidR="007841B5">
              <w:rPr>
                <w:lang w:eastAsia="en-AU"/>
              </w:rPr>
              <w:t xml:space="preserve">and had </w:t>
            </w:r>
            <w:r w:rsidR="006C2649">
              <w:rPr>
                <w:lang w:eastAsia="en-AU"/>
              </w:rPr>
              <w:t xml:space="preserve">length of stay </w:t>
            </w:r>
            <w:r w:rsidR="00DA088E">
              <w:rPr>
                <w:lang w:eastAsia="en-AU"/>
              </w:rPr>
              <w:t>of at least 21 days</w:t>
            </w:r>
            <w:r w:rsidR="00B36051">
              <w:rPr>
                <w:lang w:eastAsia="en-AU"/>
              </w:rPr>
              <w:t xml:space="preserve"> </w:t>
            </w:r>
            <w:r w:rsidR="00817E94">
              <w:rPr>
                <w:lang w:eastAsia="en-AU"/>
              </w:rPr>
              <w:t>as at the end of the reference period.</w:t>
            </w:r>
          </w:p>
          <w:p w14:paraId="1152DA89" w14:textId="7507DDA0" w:rsidR="003F705F" w:rsidRDefault="00B869A9" w:rsidP="005002D3">
            <w:pPr>
              <w:pStyle w:val="Tabletext"/>
              <w:rPr>
                <w:lang w:eastAsia="en-AU"/>
              </w:rPr>
            </w:pPr>
            <w:r>
              <w:rPr>
                <w:lang w:eastAsia="en-AU"/>
              </w:rPr>
              <w:t xml:space="preserve">Same day stays </w:t>
            </w:r>
            <w:r w:rsidR="0093136B">
              <w:rPr>
                <w:lang w:eastAsia="en-AU"/>
              </w:rPr>
              <w:t xml:space="preserve">(i.e. patient was admitted and discharged on the same day) </w:t>
            </w:r>
            <w:r>
              <w:rPr>
                <w:lang w:eastAsia="en-AU"/>
              </w:rPr>
              <w:t xml:space="preserve"> are excluded from scope.</w:t>
            </w:r>
          </w:p>
          <w:p w14:paraId="1393F185" w14:textId="2121BDC2" w:rsidR="005002D3" w:rsidRPr="00315936" w:rsidRDefault="00393ED0" w:rsidP="1E2588F2">
            <w:pPr>
              <w:pStyle w:val="Tabletext"/>
              <w:rPr>
                <w:lang w:eastAsia="en-AU"/>
              </w:rPr>
            </w:pPr>
            <w:r w:rsidRPr="3CFE9675">
              <w:rPr>
                <w:lang w:eastAsia="en-AU"/>
              </w:rPr>
              <w:t>Length of stay is calculated as the difference in minutes between the episode start date/time and the episode end date/time.</w:t>
            </w:r>
          </w:p>
          <w:p w14:paraId="3F39B5FC" w14:textId="440D8FB4" w:rsidR="005002D3" w:rsidRPr="00315936" w:rsidRDefault="1053F2D4" w:rsidP="00036D6F">
            <w:pPr>
              <w:pStyle w:val="Tabletext"/>
              <w:rPr>
                <w:lang w:eastAsia="en-AU"/>
              </w:rPr>
            </w:pPr>
            <w:r w:rsidRPr="1E2588F2">
              <w:rPr>
                <w:lang w:eastAsia="en-AU"/>
              </w:rPr>
              <w:t xml:space="preserve">Data </w:t>
            </w:r>
            <w:r w:rsidR="00EC5B57">
              <w:rPr>
                <w:lang w:eastAsia="en-AU"/>
              </w:rPr>
              <w:t>are</w:t>
            </w:r>
            <w:r w:rsidR="00EC5B57" w:rsidRPr="1E2588F2">
              <w:rPr>
                <w:lang w:eastAsia="en-AU"/>
              </w:rPr>
              <w:t xml:space="preserve"> </w:t>
            </w:r>
            <w:r w:rsidRPr="1E2588F2">
              <w:rPr>
                <w:lang w:eastAsia="en-AU"/>
              </w:rPr>
              <w:t>lagged by 21 days.</w:t>
            </w:r>
          </w:p>
        </w:tc>
      </w:tr>
      <w:tr w:rsidR="00F248E2" w:rsidRPr="00315936" w14:paraId="6FB4768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74749F5" w14:textId="77777777" w:rsidR="00F248E2" w:rsidRPr="00315936" w:rsidRDefault="00F248E2">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38C81AAF" w14:textId="2C501066" w:rsidR="00F248E2" w:rsidRPr="00315936" w:rsidRDefault="006F25BB">
            <w:pPr>
              <w:pStyle w:val="Tabletext"/>
              <w:rPr>
                <w:lang w:eastAsia="en-AU"/>
              </w:rPr>
            </w:pPr>
            <w:r>
              <w:rPr>
                <w:lang w:eastAsia="en-AU"/>
              </w:rPr>
              <w:t>N</w:t>
            </w:r>
            <w:r w:rsidR="5CC43680" w:rsidRPr="3CFE9675">
              <w:rPr>
                <w:lang w:eastAsia="en-AU"/>
              </w:rPr>
              <w:t xml:space="preserve">umber of </w:t>
            </w:r>
            <w:r w:rsidR="5DF37595" w:rsidRPr="3CFE9675">
              <w:rPr>
                <w:lang w:eastAsia="en-AU"/>
              </w:rPr>
              <w:t>separation</w:t>
            </w:r>
            <w:r w:rsidR="1A61E42F" w:rsidRPr="3CFE9675">
              <w:rPr>
                <w:lang w:eastAsia="en-AU"/>
              </w:rPr>
              <w:t>s</w:t>
            </w:r>
            <w:r w:rsidR="5CC43680" w:rsidRPr="3CFE9675">
              <w:rPr>
                <w:lang w:eastAsia="en-AU"/>
              </w:rPr>
              <w:t xml:space="preserve"> from Forensicare </w:t>
            </w:r>
            <w:r w:rsidR="00F25681">
              <w:rPr>
                <w:lang w:eastAsia="en-AU"/>
              </w:rPr>
              <w:t>inpatient</w:t>
            </w:r>
            <w:r w:rsidR="00F25681" w:rsidRPr="3CFE9675">
              <w:rPr>
                <w:lang w:eastAsia="en-AU"/>
              </w:rPr>
              <w:t xml:space="preserve"> </w:t>
            </w:r>
            <w:r w:rsidR="5CC43680" w:rsidRPr="3CFE9675">
              <w:rPr>
                <w:lang w:eastAsia="en-AU"/>
              </w:rPr>
              <w:t xml:space="preserve">units (Thomas Embling Hospital) </w:t>
            </w:r>
            <w:r w:rsidR="00393ED0">
              <w:rPr>
                <w:lang w:eastAsia="en-AU"/>
              </w:rPr>
              <w:t>during</w:t>
            </w:r>
            <w:r w:rsidR="00393ED0" w:rsidRPr="3CFE9675">
              <w:rPr>
                <w:lang w:eastAsia="en-AU"/>
              </w:rPr>
              <w:t xml:space="preserve"> </w:t>
            </w:r>
            <w:r w:rsidR="5CC43680" w:rsidRPr="3CFE9675">
              <w:rPr>
                <w:lang w:eastAsia="en-AU"/>
              </w:rPr>
              <w:t xml:space="preserve">the </w:t>
            </w:r>
            <w:r w:rsidR="00393ED0" w:rsidRPr="3CFE9675">
              <w:rPr>
                <w:lang w:eastAsia="en-AU"/>
              </w:rPr>
              <w:t>re</w:t>
            </w:r>
            <w:r w:rsidR="00393ED0">
              <w:rPr>
                <w:lang w:eastAsia="en-AU"/>
              </w:rPr>
              <w:t>ference</w:t>
            </w:r>
            <w:r w:rsidR="00393ED0" w:rsidRPr="3CFE9675">
              <w:rPr>
                <w:lang w:eastAsia="en-AU"/>
              </w:rPr>
              <w:t xml:space="preserve"> </w:t>
            </w:r>
            <w:r w:rsidR="5CC43680" w:rsidRPr="3CFE9675">
              <w:rPr>
                <w:lang w:eastAsia="en-AU"/>
              </w:rPr>
              <w:t xml:space="preserve">period, where the </w:t>
            </w:r>
            <w:r w:rsidR="3B3AB284" w:rsidRPr="3CFE9675">
              <w:rPr>
                <w:lang w:eastAsia="en-AU"/>
              </w:rPr>
              <w:t>consumer</w:t>
            </w:r>
            <w:r w:rsidR="5CC43680" w:rsidRPr="3CFE9675">
              <w:rPr>
                <w:lang w:eastAsia="en-AU"/>
              </w:rPr>
              <w:t xml:space="preserve"> was male</w:t>
            </w:r>
            <w:r w:rsidR="1A61E42F" w:rsidRPr="3CFE9675">
              <w:rPr>
                <w:lang w:eastAsia="en-AU"/>
              </w:rPr>
              <w:t xml:space="preserve">, </w:t>
            </w:r>
            <w:r w:rsidR="5CC43680" w:rsidRPr="3CFE9675">
              <w:rPr>
                <w:lang w:eastAsia="en-AU"/>
              </w:rPr>
              <w:t>on a security order</w:t>
            </w:r>
            <w:r w:rsidR="6CF639B6" w:rsidRPr="3CFE9675">
              <w:rPr>
                <w:lang w:eastAsia="en-AU"/>
              </w:rPr>
              <w:t xml:space="preserve"> and had a length of stay less</w:t>
            </w:r>
            <w:r w:rsidR="33423CB3" w:rsidRPr="3CFE9675">
              <w:rPr>
                <w:lang w:eastAsia="en-AU"/>
              </w:rPr>
              <w:t xml:space="preserve"> </w:t>
            </w:r>
            <w:r w:rsidR="6CF639B6" w:rsidRPr="3CFE9675">
              <w:rPr>
                <w:lang w:eastAsia="en-AU"/>
              </w:rPr>
              <w:t>than 21 days</w:t>
            </w:r>
            <w:r w:rsidR="7838D063" w:rsidRPr="3CFE9675">
              <w:rPr>
                <w:lang w:eastAsia="en-AU"/>
              </w:rPr>
              <w:t>.</w:t>
            </w:r>
          </w:p>
        </w:tc>
      </w:tr>
      <w:tr w:rsidR="00F248E2" w:rsidRPr="00315936" w14:paraId="10DB1DC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932FEEA" w14:textId="77777777" w:rsidR="00F248E2" w:rsidRPr="00315936" w:rsidRDefault="00F248E2">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3A4F5776" w14:textId="49322CC4" w:rsidR="00F248E2" w:rsidRPr="00315936" w:rsidRDefault="0089449F" w:rsidP="001A453F">
            <w:pPr>
              <w:pStyle w:val="Tabletext"/>
              <w:rPr>
                <w:lang w:eastAsia="en-AU"/>
              </w:rPr>
            </w:pPr>
            <w:r>
              <w:rPr>
                <w:lang w:eastAsia="en-AU"/>
              </w:rPr>
              <w:t>N</w:t>
            </w:r>
            <w:r w:rsidR="5CC43680" w:rsidRPr="4A3EC911">
              <w:rPr>
                <w:lang w:eastAsia="en-AU"/>
              </w:rPr>
              <w:t xml:space="preserve">umber of </w:t>
            </w:r>
            <w:r w:rsidR="7D8F569D" w:rsidRPr="4A3EC911">
              <w:rPr>
                <w:lang w:eastAsia="en-AU"/>
              </w:rPr>
              <w:t>separation</w:t>
            </w:r>
            <w:r w:rsidR="5EEC0F7F" w:rsidRPr="4A3EC911">
              <w:rPr>
                <w:lang w:eastAsia="en-AU"/>
              </w:rPr>
              <w:t xml:space="preserve">s </w:t>
            </w:r>
            <w:r w:rsidR="00D600E8">
              <w:rPr>
                <w:lang w:eastAsia="en-AU"/>
              </w:rPr>
              <w:t>(</w:t>
            </w:r>
            <w:r w:rsidR="00E5059C">
              <w:rPr>
                <w:lang w:eastAsia="en-AU"/>
              </w:rPr>
              <w:t>regardless of length of stay</w:t>
            </w:r>
            <w:r w:rsidR="001C3BED">
              <w:rPr>
                <w:lang w:eastAsia="en-AU"/>
              </w:rPr>
              <w:t xml:space="preserve"> but excluding same day stays</w:t>
            </w:r>
            <w:r w:rsidR="00E5059C">
              <w:rPr>
                <w:lang w:eastAsia="en-AU"/>
              </w:rPr>
              <w:t xml:space="preserve">) </w:t>
            </w:r>
            <w:r w:rsidR="001F45A6" w:rsidRPr="4A3EC911">
              <w:rPr>
                <w:lang w:eastAsia="en-AU"/>
              </w:rPr>
              <w:t xml:space="preserve">at Forensicare acute units (Thomas Embling Hospital) </w:t>
            </w:r>
            <w:r w:rsidR="5EEC0F7F" w:rsidRPr="4A3EC911">
              <w:rPr>
                <w:lang w:eastAsia="en-AU"/>
              </w:rPr>
              <w:t xml:space="preserve">plus admitted </w:t>
            </w:r>
            <w:r w:rsidR="368BF5DE" w:rsidRPr="4A3EC911">
              <w:rPr>
                <w:lang w:eastAsia="en-AU"/>
              </w:rPr>
              <w:t xml:space="preserve">episodes </w:t>
            </w:r>
            <w:r w:rsidR="00311547">
              <w:rPr>
                <w:lang w:eastAsia="en-AU"/>
              </w:rPr>
              <w:t>that have not been separated a</w:t>
            </w:r>
            <w:r w:rsidR="00982713">
              <w:rPr>
                <w:lang w:eastAsia="en-AU"/>
              </w:rPr>
              <w:t>s at the end of the reference period</w:t>
            </w:r>
            <w:r w:rsidR="368BF5DE" w:rsidRPr="4A3EC911">
              <w:rPr>
                <w:lang w:eastAsia="en-AU"/>
              </w:rPr>
              <w:t xml:space="preserve"> </w:t>
            </w:r>
            <w:r w:rsidR="4348B5E2" w:rsidRPr="4A3EC911">
              <w:rPr>
                <w:lang w:eastAsia="en-AU"/>
              </w:rPr>
              <w:t>with a</w:t>
            </w:r>
            <w:r w:rsidR="368BF5DE" w:rsidRPr="4A3EC911">
              <w:rPr>
                <w:lang w:eastAsia="en-AU"/>
              </w:rPr>
              <w:t xml:space="preserve"> length of stay greater than</w:t>
            </w:r>
            <w:r w:rsidR="4B24BB7A" w:rsidRPr="4A3EC911">
              <w:rPr>
                <w:lang w:eastAsia="en-AU"/>
              </w:rPr>
              <w:t xml:space="preserve"> or </w:t>
            </w:r>
            <w:r w:rsidR="58684783" w:rsidRPr="4A3EC911">
              <w:rPr>
                <w:lang w:eastAsia="en-AU"/>
              </w:rPr>
              <w:t>equal to</w:t>
            </w:r>
            <w:r w:rsidR="368BF5DE" w:rsidRPr="4A3EC911">
              <w:rPr>
                <w:lang w:eastAsia="en-AU"/>
              </w:rPr>
              <w:t xml:space="preserve"> 21 days</w:t>
            </w:r>
            <w:r w:rsidR="5CC43680" w:rsidRPr="4A3EC911">
              <w:rPr>
                <w:lang w:eastAsia="en-AU"/>
              </w:rPr>
              <w:t xml:space="preserve">, where the </w:t>
            </w:r>
            <w:r w:rsidR="77EEF07C" w:rsidRPr="4A3EC911">
              <w:rPr>
                <w:lang w:eastAsia="en-AU"/>
              </w:rPr>
              <w:t xml:space="preserve">consumer </w:t>
            </w:r>
            <w:r w:rsidR="5CC43680" w:rsidRPr="4A3EC911">
              <w:rPr>
                <w:lang w:eastAsia="en-AU"/>
              </w:rPr>
              <w:t xml:space="preserve">was male and was on a security order (at discharge/end of reporting period). </w:t>
            </w:r>
          </w:p>
        </w:tc>
      </w:tr>
      <w:tr w:rsidR="00F248E2" w:rsidRPr="00315936" w14:paraId="43FC961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11292A5" w14:textId="77777777" w:rsidR="00F248E2" w:rsidRPr="00315936" w:rsidRDefault="00F248E2">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009089A1" w14:textId="7975494B" w:rsidR="00F248E2" w:rsidRPr="00315936" w:rsidRDefault="009730A1">
            <w:pPr>
              <w:pStyle w:val="Tabletext"/>
              <w:rPr>
                <w:lang w:eastAsia="en-AU"/>
              </w:rPr>
            </w:pPr>
            <w:r>
              <w:t xml:space="preserve">Greater than or equal to </w:t>
            </w:r>
            <w:r w:rsidR="00F248E2" w:rsidRPr="00315936">
              <w:t>80</w:t>
            </w:r>
            <w:r w:rsidR="00A67D0D" w:rsidRPr="00315936">
              <w:t xml:space="preserve"> per cent</w:t>
            </w:r>
            <w:r w:rsidR="00C97D39">
              <w:t xml:space="preserve"> </w:t>
            </w:r>
            <w:r w:rsidR="005A4BCE">
              <w:t>or</w:t>
            </w:r>
            <w:r w:rsidR="00C97D39">
              <w:t xml:space="preserve"> </w:t>
            </w:r>
            <w:r w:rsidR="008E03C7">
              <w:t xml:space="preserve">a </w:t>
            </w:r>
            <w:r w:rsidR="00C97D39">
              <w:t>5 percentage point</w:t>
            </w:r>
            <w:r w:rsidR="008E03C7">
              <w:t xml:space="preserve"> improvement</w:t>
            </w:r>
            <w:r w:rsidR="007E1954">
              <w:t xml:space="preserve"> compared to the same </w:t>
            </w:r>
            <w:r w:rsidR="007C2AB4">
              <w:t>period</w:t>
            </w:r>
            <w:r w:rsidR="007E1954">
              <w:t xml:space="preserve"> last year</w:t>
            </w:r>
            <w:r w:rsidR="00C97D39">
              <w:t xml:space="preserve"> </w:t>
            </w:r>
          </w:p>
        </w:tc>
      </w:tr>
      <w:tr w:rsidR="00F248E2" w:rsidRPr="00315936" w14:paraId="678AF25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11EEE7A" w14:textId="68FEB580" w:rsidR="00F248E2" w:rsidRPr="00315936" w:rsidRDefault="00F248E2" w:rsidP="00F248E2">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6AAF70E5" w14:textId="29F2C6FF" w:rsidR="00F248E2" w:rsidRPr="00315936" w:rsidRDefault="00F248E2" w:rsidP="00F248E2">
            <w:pPr>
              <w:pStyle w:val="Tabletext"/>
            </w:pPr>
            <w:r w:rsidRPr="00315936">
              <w:t>Equal to or greater than 80</w:t>
            </w:r>
            <w:r w:rsidR="00A67D0D" w:rsidRPr="00315936">
              <w:t xml:space="preserve"> per cent</w:t>
            </w:r>
            <w:r w:rsidR="004048ED">
              <w:t xml:space="preserve"> or a 5 percentage point improvement</w:t>
            </w:r>
          </w:p>
        </w:tc>
      </w:tr>
      <w:tr w:rsidR="00F248E2" w:rsidRPr="00315936" w14:paraId="404F31D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87F8B5B" w14:textId="537F92D5" w:rsidR="00F248E2" w:rsidRPr="00315936" w:rsidRDefault="00123CE8" w:rsidP="00F248E2">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30121227" w14:textId="4E0DE4DF" w:rsidR="00F248E2" w:rsidRPr="00315936" w:rsidRDefault="00F248E2" w:rsidP="00F248E2">
            <w:pPr>
              <w:pStyle w:val="Tabletext"/>
            </w:pPr>
            <w:r w:rsidRPr="00315936">
              <w:t>Less than 80</w:t>
            </w:r>
            <w:r w:rsidR="00A67D0D" w:rsidRPr="00315936">
              <w:t xml:space="preserve"> per cent</w:t>
            </w:r>
            <w:r w:rsidR="004048ED">
              <w:t xml:space="preserve"> </w:t>
            </w:r>
            <w:r w:rsidR="5FCD874E">
              <w:t>and</w:t>
            </w:r>
            <w:r w:rsidR="004048ED">
              <w:t xml:space="preserve"> below a 5 percentage point imp</w:t>
            </w:r>
            <w:r w:rsidR="00182E35">
              <w:t>rovement</w:t>
            </w:r>
          </w:p>
        </w:tc>
      </w:tr>
      <w:tr w:rsidR="00F248E2" w:rsidRPr="00315936" w14:paraId="7C65B9A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32EFCA8" w14:textId="77777777" w:rsidR="00F248E2" w:rsidRPr="00315936" w:rsidRDefault="00F248E2">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2C9F755A" w14:textId="2B339A9F" w:rsidR="00F248E2" w:rsidRPr="00315936" w:rsidRDefault="5CC43680">
            <w:pPr>
              <w:pStyle w:val="Tabletext"/>
              <w:rPr>
                <w:lang w:eastAsia="en-AU"/>
              </w:rPr>
            </w:pPr>
            <w:r>
              <w:t>For the purpose of the performance risk assessment</w:t>
            </w:r>
            <w:r w:rsidR="5EDEBAAA">
              <w:t>,</w:t>
            </w:r>
            <w:r>
              <w:t xml:space="preserve"> improvement is compared to previous quarter performance.</w:t>
            </w:r>
          </w:p>
        </w:tc>
      </w:tr>
      <w:tr w:rsidR="00F248E2" w:rsidRPr="00315936" w14:paraId="35F0E5E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58F880A" w14:textId="77777777" w:rsidR="00F248E2" w:rsidRPr="00315936" w:rsidRDefault="00F248E2">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4E62E224" w14:textId="47C161AC" w:rsidR="00F248E2" w:rsidRPr="00315936" w:rsidRDefault="005F7A00">
            <w:pPr>
              <w:pStyle w:val="Tabletext"/>
            </w:pPr>
            <w:r w:rsidRPr="00315936">
              <w:t>Performance</w:t>
            </w:r>
            <w:r w:rsidR="006D02CB" w:rsidRPr="00315936">
              <w:t xml:space="preserve"> is reported quarterly.</w:t>
            </w:r>
          </w:p>
          <w:p w14:paraId="1FDE8068" w14:textId="09118877" w:rsidR="00F248E2" w:rsidRPr="00315936" w:rsidRDefault="00AC58E5">
            <w:pPr>
              <w:pStyle w:val="Tabletext"/>
              <w:rPr>
                <w:lang w:eastAsia="en-AU"/>
              </w:rPr>
            </w:pPr>
            <w:r w:rsidRPr="2ECFC544">
              <w:rPr>
                <w:rFonts w:eastAsia="Arial" w:cs="Arial"/>
                <w:szCs w:val="21"/>
              </w:rPr>
              <w:t>Data are sourced from</w:t>
            </w:r>
            <w:r w:rsidRPr="2ECFC544" w:rsidDel="00B855E6">
              <w:rPr>
                <w:rFonts w:eastAsia="Arial" w:cs="Arial"/>
                <w:szCs w:val="21"/>
              </w:rPr>
              <w:t xml:space="preserve"> </w:t>
            </w:r>
            <w:r w:rsidR="00F248E2" w:rsidRPr="2ECFC544">
              <w:rPr>
                <w:rFonts w:eastAsia="Arial" w:cs="Arial"/>
                <w:szCs w:val="21"/>
              </w:rPr>
              <w:t>the Client Management Interface (CMI</w:t>
            </w:r>
            <w:r w:rsidR="00FA6BB5" w:rsidRPr="2ECFC544">
              <w:rPr>
                <w:rFonts w:eastAsia="Arial" w:cs="Arial"/>
                <w:szCs w:val="21"/>
              </w:rPr>
              <w:t xml:space="preserve">) / </w:t>
            </w:r>
            <w:r w:rsidR="00F248E2" w:rsidRPr="2ECFC544">
              <w:rPr>
                <w:rFonts w:eastAsia="Arial" w:cs="Arial"/>
                <w:szCs w:val="21"/>
              </w:rPr>
              <w:t>Operational Data Store (ODS</w:t>
            </w:r>
            <w:r w:rsidR="00FA6BB5" w:rsidRPr="2ECFC544">
              <w:rPr>
                <w:rFonts w:eastAsia="Arial" w:cs="Arial"/>
                <w:szCs w:val="21"/>
              </w:rPr>
              <w:t>).</w:t>
            </w:r>
          </w:p>
        </w:tc>
      </w:tr>
    </w:tbl>
    <w:p w14:paraId="253B5E91" w14:textId="71A7A336" w:rsidR="00635737" w:rsidRPr="00315936" w:rsidRDefault="00635737" w:rsidP="008E7F78">
      <w:pPr>
        <w:pStyle w:val="Heading4"/>
      </w:pPr>
      <w:bookmarkStart w:id="98" w:name="_Toc1843253624"/>
      <w:r>
        <w:t xml:space="preserve">Percentage of female security patients discharged from Thomas Embling Hospital to a correctional centre within 28 </w:t>
      </w:r>
      <w:bookmarkEnd w:id="98"/>
      <w:r w:rsidR="52B56D3E">
        <w:t>days </w:t>
      </w:r>
    </w:p>
    <w:tbl>
      <w:tblPr>
        <w:tblStyle w:val="TableGrid"/>
        <w:tblW w:w="9349" w:type="dxa"/>
        <w:tblLook w:val="04A0" w:firstRow="1" w:lastRow="0" w:firstColumn="1" w:lastColumn="0" w:noHBand="0" w:noVBand="1"/>
      </w:tblPr>
      <w:tblGrid>
        <w:gridCol w:w="1837"/>
        <w:gridCol w:w="7512"/>
      </w:tblGrid>
      <w:tr w:rsidR="001464CB" w:rsidRPr="00315936" w14:paraId="33298F3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A0BD340" w14:textId="4EA82DC5" w:rsidR="001464CB" w:rsidRPr="00315936" w:rsidRDefault="00C3016B" w:rsidP="001A453F">
            <w:pPr>
              <w:pStyle w:val="Tablecolhead"/>
              <w:keepNext/>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62B41F81" w14:textId="6B42EA98" w:rsidR="001464CB" w:rsidRPr="00315936" w:rsidRDefault="001464CB" w:rsidP="001A453F">
            <w:pPr>
              <w:pStyle w:val="Tabletext"/>
              <w:keepNext/>
              <w:rPr>
                <w:lang w:eastAsia="en-AU"/>
              </w:rPr>
            </w:pPr>
            <w:r>
              <w:t>Percentage of female security patients discharged from Thomas Embling Hospital to a correctional centre within 28 days</w:t>
            </w:r>
            <w:r w:rsidR="1F6614E6">
              <w:t xml:space="preserve"> of admission</w:t>
            </w:r>
            <w:r w:rsidR="00876388">
              <w:t xml:space="preserve"> </w:t>
            </w:r>
            <w:r w:rsidR="002C26E1">
              <w:fldChar w:fldCharType="begin"/>
            </w:r>
            <w:r w:rsidR="002C26E1">
              <w:instrText xml:space="preserve"> NOTEREF _Ref201835099 \f \h </w:instrText>
            </w:r>
            <w:r w:rsidR="002C26E1">
              <w:fldChar w:fldCharType="separate"/>
            </w:r>
            <w:r w:rsidR="002C26E1" w:rsidRPr="002C26E1">
              <w:rPr>
                <w:rStyle w:val="EndnoteReference"/>
              </w:rPr>
              <w:t>xvi</w:t>
            </w:r>
            <w:r w:rsidR="002C26E1">
              <w:fldChar w:fldCharType="end"/>
            </w:r>
          </w:p>
        </w:tc>
      </w:tr>
      <w:tr w:rsidR="001464CB" w:rsidRPr="00315936" w14:paraId="71A0840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C68651B" w14:textId="77777777" w:rsidR="001464CB" w:rsidRPr="00315936" w:rsidRDefault="001464CB">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123562E5" w14:textId="77777777" w:rsidR="00BA642E" w:rsidRDefault="00BA642E" w:rsidP="004E2C29">
            <w:pPr>
              <w:pStyle w:val="Tabletext"/>
            </w:pPr>
            <w:r>
              <w:t>This measures the proportion of female security patients discharged from Thomas Embling Hospital to a correctional centre within 28 days of admission.</w:t>
            </w:r>
          </w:p>
          <w:p w14:paraId="2BFBB020" w14:textId="4CD85DBD" w:rsidR="001464CB" w:rsidRPr="00BA642E" w:rsidRDefault="004E2C29" w:rsidP="004E2C29">
            <w:pPr>
              <w:pStyle w:val="Tabletext"/>
              <w:rPr>
                <w:i/>
              </w:rPr>
            </w:pPr>
            <w:r w:rsidRPr="00315936">
              <w:t xml:space="preserve">The Thomas Embling hospital manages the care of security patients (prisoners) who require compulsory mental health treatment under the </w:t>
            </w:r>
            <w:r w:rsidRPr="00315936">
              <w:rPr>
                <w:i/>
                <w:iCs/>
              </w:rPr>
              <w:t>Mental Health and Wellbeing Act 2022</w:t>
            </w:r>
            <w:r w:rsidR="00366C6A">
              <w:rPr>
                <w:i/>
                <w:iCs/>
              </w:rPr>
              <w:t>.</w:t>
            </w:r>
          </w:p>
        </w:tc>
      </w:tr>
      <w:tr w:rsidR="001464CB" w:rsidRPr="00315936" w14:paraId="47B7FF8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5F50609" w14:textId="77777777" w:rsidR="001464CB" w:rsidRPr="00315936" w:rsidRDefault="001464CB">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431469F1" w14:textId="26A67925" w:rsidR="00390C77" w:rsidRDefault="00390C77" w:rsidP="00390C77">
            <w:pPr>
              <w:pStyle w:val="Tabletext"/>
              <w:rPr>
                <w:lang w:eastAsia="en-AU"/>
              </w:rPr>
            </w:pPr>
            <w:r>
              <w:rPr>
                <w:lang w:eastAsia="en-AU"/>
              </w:rPr>
              <w:t>The scope for this measure includes</w:t>
            </w:r>
            <w:r w:rsidR="00CD5E44">
              <w:rPr>
                <w:lang w:eastAsia="en-AU"/>
              </w:rPr>
              <w:t>:</w:t>
            </w:r>
          </w:p>
          <w:p w14:paraId="01310CFF" w14:textId="210EBB6F" w:rsidR="00390C77" w:rsidRDefault="00390C77" w:rsidP="002C26E1">
            <w:pPr>
              <w:pStyle w:val="Tablebullet1"/>
              <w:rPr>
                <w:lang w:eastAsia="en-AU"/>
              </w:rPr>
            </w:pPr>
            <w:r>
              <w:t xml:space="preserve">separations from Thomas Embling Hospital acute units within the reference period where the consumer was female and on a security order (order codes 105 and 202) at the time of separation. </w:t>
            </w:r>
            <w:r w:rsidRPr="3CFE9675">
              <w:rPr>
                <w:lang w:eastAsia="en-AU"/>
              </w:rPr>
              <w:t>This is based on episode end date, except where a consumer was discharged while on leave, in which case the date sent on leave is used.</w:t>
            </w:r>
          </w:p>
          <w:p w14:paraId="51CC448A" w14:textId="167B01B5" w:rsidR="00390C77" w:rsidRDefault="00390C77" w:rsidP="002C26E1">
            <w:pPr>
              <w:pStyle w:val="Tablebullet1"/>
              <w:rPr>
                <w:lang w:eastAsia="en-AU"/>
              </w:rPr>
            </w:pPr>
            <w:r>
              <w:rPr>
                <w:lang w:eastAsia="en-AU"/>
              </w:rPr>
              <w:lastRenderedPageBreak/>
              <w:t xml:space="preserve">female consumers who have not been separated </w:t>
            </w:r>
            <w:r w:rsidR="1142ED30" w:rsidRPr="1E2588F2">
              <w:rPr>
                <w:lang w:eastAsia="en-AU"/>
              </w:rPr>
              <w:t>(i.e. open episodes)</w:t>
            </w:r>
            <w:r w:rsidRPr="1E2588F2">
              <w:rPr>
                <w:lang w:eastAsia="en-AU"/>
              </w:rPr>
              <w:t xml:space="preserve"> </w:t>
            </w:r>
            <w:r>
              <w:rPr>
                <w:lang w:eastAsia="en-AU"/>
              </w:rPr>
              <w:t>and were on a security order (order codes 105 and 202)  and had length of stay of at least 28 days as at the end of the reference period.</w:t>
            </w:r>
          </w:p>
          <w:p w14:paraId="246E3AED" w14:textId="395ACF84" w:rsidR="00390C77" w:rsidRDefault="00390C77" w:rsidP="00390C77">
            <w:pPr>
              <w:pStyle w:val="Tabletext"/>
              <w:rPr>
                <w:lang w:eastAsia="en-AU"/>
              </w:rPr>
            </w:pPr>
            <w:r>
              <w:rPr>
                <w:lang w:eastAsia="en-AU"/>
              </w:rPr>
              <w:t xml:space="preserve">Same day stays </w:t>
            </w:r>
            <w:r w:rsidR="00AA24BC">
              <w:rPr>
                <w:lang w:eastAsia="en-AU"/>
              </w:rPr>
              <w:t xml:space="preserve">(i.e. patients who were admitted </w:t>
            </w:r>
            <w:r w:rsidR="00316445">
              <w:rPr>
                <w:lang w:eastAsia="en-AU"/>
              </w:rPr>
              <w:t>and discharged on the same day)</w:t>
            </w:r>
            <w:r>
              <w:rPr>
                <w:lang w:eastAsia="en-AU"/>
              </w:rPr>
              <w:t xml:space="preserve"> are excluded from scope.</w:t>
            </w:r>
          </w:p>
          <w:p w14:paraId="3754DE11" w14:textId="4C226015" w:rsidR="3D35ABFB" w:rsidRPr="7B07F654" w:rsidRDefault="00390C77" w:rsidP="1E2588F2">
            <w:pPr>
              <w:pStyle w:val="Tabletext"/>
              <w:rPr>
                <w:lang w:eastAsia="en-AU"/>
              </w:rPr>
            </w:pPr>
            <w:r w:rsidRPr="3CFE9675">
              <w:rPr>
                <w:lang w:eastAsia="en-AU"/>
              </w:rPr>
              <w:t>Length of stay is calculated as the difference in minutes between the episode start date/time and the episode end date/time.</w:t>
            </w:r>
          </w:p>
          <w:p w14:paraId="1A777F6E" w14:textId="3936B32E" w:rsidR="3D35ABFB" w:rsidRPr="7B07F654" w:rsidRDefault="120480FD" w:rsidP="004E2C29">
            <w:pPr>
              <w:pStyle w:val="Tabletext"/>
              <w:rPr>
                <w:lang w:eastAsia="en-AU"/>
              </w:rPr>
            </w:pPr>
            <w:r w:rsidRPr="1E2588F2">
              <w:rPr>
                <w:lang w:eastAsia="en-AU"/>
              </w:rPr>
              <w:t xml:space="preserve">Data </w:t>
            </w:r>
            <w:r w:rsidR="009C729A">
              <w:rPr>
                <w:lang w:eastAsia="en-AU"/>
              </w:rPr>
              <w:t>are</w:t>
            </w:r>
            <w:r w:rsidR="009C729A" w:rsidRPr="1E2588F2">
              <w:rPr>
                <w:lang w:eastAsia="en-AU"/>
              </w:rPr>
              <w:t xml:space="preserve"> </w:t>
            </w:r>
            <w:r w:rsidRPr="1E2588F2">
              <w:rPr>
                <w:lang w:eastAsia="en-AU"/>
              </w:rPr>
              <w:t>lagged by 28 days.</w:t>
            </w:r>
          </w:p>
        </w:tc>
      </w:tr>
      <w:tr w:rsidR="001464CB" w:rsidRPr="00315936" w14:paraId="30415EF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8D39AC3" w14:textId="77777777" w:rsidR="001464CB" w:rsidRPr="00315936" w:rsidRDefault="001464CB">
            <w:pPr>
              <w:pStyle w:val="Tablecolhead"/>
              <w:rPr>
                <w:b w:val="0"/>
                <w:lang w:eastAsia="en-AU"/>
              </w:rPr>
            </w:pPr>
            <w:r w:rsidRPr="00315936">
              <w:rPr>
                <w:b w:val="0"/>
                <w:lang w:eastAsia="en-AU"/>
              </w:rPr>
              <w:lastRenderedPageBreak/>
              <w:t>Numerator</w:t>
            </w:r>
          </w:p>
        </w:tc>
        <w:tc>
          <w:tcPr>
            <w:tcW w:w="7512" w:type="dxa"/>
            <w:tcBorders>
              <w:left w:val="single" w:sz="4" w:space="0" w:color="FFFFFF" w:themeColor="background1"/>
            </w:tcBorders>
          </w:tcPr>
          <w:p w14:paraId="13D367CA" w14:textId="42D26A85" w:rsidR="001464CB" w:rsidRPr="00315936" w:rsidRDefault="00926DF4">
            <w:pPr>
              <w:pStyle w:val="Tabletext"/>
              <w:rPr>
                <w:lang w:eastAsia="en-AU"/>
              </w:rPr>
            </w:pPr>
            <w:r>
              <w:rPr>
                <w:lang w:eastAsia="en-AU"/>
              </w:rPr>
              <w:t>N</w:t>
            </w:r>
            <w:r w:rsidR="1B47B79E" w:rsidRPr="3CFE9675">
              <w:rPr>
                <w:lang w:eastAsia="en-AU"/>
              </w:rPr>
              <w:t xml:space="preserve">umber of </w:t>
            </w:r>
            <w:r w:rsidR="007645D0" w:rsidRPr="3CFE9675">
              <w:rPr>
                <w:lang w:eastAsia="en-AU"/>
              </w:rPr>
              <w:t>separations</w:t>
            </w:r>
            <w:r w:rsidR="1B47B79E" w:rsidRPr="3CFE9675">
              <w:rPr>
                <w:lang w:eastAsia="en-AU"/>
              </w:rPr>
              <w:t xml:space="preserve"> from Forensicare inpatient units (Thomas Embling Hospital) </w:t>
            </w:r>
            <w:r w:rsidR="00726198">
              <w:rPr>
                <w:lang w:eastAsia="en-AU"/>
              </w:rPr>
              <w:t>during</w:t>
            </w:r>
            <w:r w:rsidR="1B47B79E" w:rsidRPr="3CFE9675">
              <w:rPr>
                <w:lang w:eastAsia="en-AU"/>
              </w:rPr>
              <w:t xml:space="preserve"> the re</w:t>
            </w:r>
            <w:r w:rsidR="00726198">
              <w:rPr>
                <w:lang w:eastAsia="en-AU"/>
              </w:rPr>
              <w:t>ference</w:t>
            </w:r>
            <w:r w:rsidR="1B47B79E" w:rsidRPr="3CFE9675">
              <w:rPr>
                <w:lang w:eastAsia="en-AU"/>
              </w:rPr>
              <w:t xml:space="preserve"> period, where the consumer was female,</w:t>
            </w:r>
            <w:r w:rsidR="69945440" w:rsidRPr="3CFE9675">
              <w:rPr>
                <w:lang w:eastAsia="en-AU"/>
              </w:rPr>
              <w:t xml:space="preserve"> </w:t>
            </w:r>
            <w:r w:rsidR="1B47B79E" w:rsidRPr="3CFE9675">
              <w:rPr>
                <w:lang w:eastAsia="en-AU"/>
              </w:rPr>
              <w:t xml:space="preserve">on a security order and had a length of stay </w:t>
            </w:r>
            <w:r w:rsidR="00F449C0">
              <w:rPr>
                <w:lang w:eastAsia="en-AU"/>
              </w:rPr>
              <w:t>l</w:t>
            </w:r>
            <w:r w:rsidR="1B47B79E" w:rsidRPr="3CFE9675">
              <w:rPr>
                <w:lang w:eastAsia="en-AU"/>
              </w:rPr>
              <w:t xml:space="preserve">ess than </w:t>
            </w:r>
            <w:r w:rsidR="406178BA" w:rsidRPr="3CFE9675">
              <w:rPr>
                <w:lang w:eastAsia="en-AU"/>
              </w:rPr>
              <w:t xml:space="preserve">28 </w:t>
            </w:r>
            <w:r w:rsidR="1B47B79E" w:rsidRPr="3CFE9675">
              <w:rPr>
                <w:lang w:eastAsia="en-AU"/>
              </w:rPr>
              <w:t>days</w:t>
            </w:r>
            <w:r w:rsidR="00936954">
              <w:rPr>
                <w:lang w:eastAsia="en-AU"/>
              </w:rPr>
              <w:t>.</w:t>
            </w:r>
            <w:r w:rsidR="1B47B79E" w:rsidRPr="3CFE9675">
              <w:rPr>
                <w:lang w:eastAsia="en-AU"/>
              </w:rPr>
              <w:t xml:space="preserve"> </w:t>
            </w:r>
          </w:p>
        </w:tc>
      </w:tr>
      <w:tr w:rsidR="001464CB" w:rsidRPr="00315936" w14:paraId="1F51D90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6E5E900" w14:textId="77777777" w:rsidR="001464CB" w:rsidRPr="00315936" w:rsidRDefault="001464CB">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18235A74" w14:textId="0284BA77" w:rsidR="001464CB" w:rsidRPr="00315936" w:rsidRDefault="00697041" w:rsidP="001A453F">
            <w:pPr>
              <w:pStyle w:val="Tabletext"/>
              <w:rPr>
                <w:lang w:eastAsia="en-AU"/>
              </w:rPr>
            </w:pPr>
            <w:r>
              <w:rPr>
                <w:lang w:eastAsia="en-AU"/>
              </w:rPr>
              <w:t>N</w:t>
            </w:r>
            <w:r w:rsidR="3406751D" w:rsidRPr="4A3EC911">
              <w:rPr>
                <w:lang w:eastAsia="en-AU"/>
              </w:rPr>
              <w:t>umber of separation</w:t>
            </w:r>
            <w:r w:rsidR="406178BA" w:rsidRPr="4A3EC911">
              <w:rPr>
                <w:lang w:eastAsia="en-AU"/>
              </w:rPr>
              <w:t xml:space="preserve">s </w:t>
            </w:r>
            <w:r w:rsidR="008F2AB6">
              <w:rPr>
                <w:lang w:eastAsia="en-AU"/>
              </w:rPr>
              <w:t>(regardless of length of stay</w:t>
            </w:r>
            <w:r w:rsidR="0020422C">
              <w:rPr>
                <w:lang w:eastAsia="en-AU"/>
              </w:rPr>
              <w:t xml:space="preserve"> but excluding same day stays</w:t>
            </w:r>
            <w:r w:rsidR="008F2AB6">
              <w:rPr>
                <w:lang w:eastAsia="en-AU"/>
              </w:rPr>
              <w:t xml:space="preserve">) </w:t>
            </w:r>
            <w:r w:rsidR="008F2AB6" w:rsidRPr="4A3EC911">
              <w:rPr>
                <w:lang w:eastAsia="en-AU"/>
              </w:rPr>
              <w:t>at Forensicare acute units (Thomas Embling Hospital)</w:t>
            </w:r>
            <w:r w:rsidR="0023736E">
              <w:rPr>
                <w:lang w:eastAsia="en-AU"/>
              </w:rPr>
              <w:t xml:space="preserve"> </w:t>
            </w:r>
            <w:r w:rsidR="406178BA" w:rsidRPr="4A3EC911">
              <w:rPr>
                <w:lang w:eastAsia="en-AU"/>
              </w:rPr>
              <w:t xml:space="preserve">plus </w:t>
            </w:r>
            <w:r w:rsidR="65ED0C03" w:rsidRPr="4A3EC911">
              <w:rPr>
                <w:lang w:eastAsia="en-AU"/>
              </w:rPr>
              <w:t>admitted</w:t>
            </w:r>
            <w:r w:rsidR="3406751D" w:rsidRPr="4A3EC911">
              <w:rPr>
                <w:lang w:eastAsia="en-AU"/>
              </w:rPr>
              <w:t xml:space="preserve"> episodes </w:t>
            </w:r>
            <w:r w:rsidR="0023736E">
              <w:rPr>
                <w:lang w:eastAsia="en-AU"/>
              </w:rPr>
              <w:t>that have not been separated as at the end of the reference period</w:t>
            </w:r>
            <w:r w:rsidR="3406751D" w:rsidRPr="4A3EC911">
              <w:rPr>
                <w:lang w:eastAsia="en-AU"/>
              </w:rPr>
              <w:t xml:space="preserve"> </w:t>
            </w:r>
            <w:r w:rsidR="4348B5E2" w:rsidRPr="4A3EC911">
              <w:rPr>
                <w:lang w:eastAsia="en-AU"/>
              </w:rPr>
              <w:t>with</w:t>
            </w:r>
            <w:r w:rsidR="3406751D" w:rsidRPr="4A3EC911">
              <w:rPr>
                <w:lang w:eastAsia="en-AU"/>
              </w:rPr>
              <w:t xml:space="preserve"> a length of stay greater than </w:t>
            </w:r>
            <w:r w:rsidR="4348B5E2" w:rsidRPr="4A3EC911">
              <w:rPr>
                <w:lang w:eastAsia="en-AU"/>
              </w:rPr>
              <w:t xml:space="preserve">or equal to 28 </w:t>
            </w:r>
            <w:r w:rsidR="3406751D" w:rsidRPr="4A3EC911">
              <w:rPr>
                <w:lang w:eastAsia="en-AU"/>
              </w:rPr>
              <w:t xml:space="preserve">days, where the </w:t>
            </w:r>
            <w:r w:rsidR="2FED6FCF" w:rsidRPr="4A3EC911">
              <w:rPr>
                <w:lang w:eastAsia="en-AU"/>
              </w:rPr>
              <w:t xml:space="preserve">consumer </w:t>
            </w:r>
            <w:r w:rsidR="3406751D" w:rsidRPr="4A3EC911">
              <w:rPr>
                <w:lang w:eastAsia="en-AU"/>
              </w:rPr>
              <w:t xml:space="preserve">was </w:t>
            </w:r>
            <w:r w:rsidR="757D1C2A" w:rsidRPr="4A3EC911">
              <w:rPr>
                <w:lang w:eastAsia="en-AU"/>
              </w:rPr>
              <w:t>fe</w:t>
            </w:r>
            <w:r w:rsidR="3406751D" w:rsidRPr="4A3EC911">
              <w:rPr>
                <w:lang w:eastAsia="en-AU"/>
              </w:rPr>
              <w:t>male and was on a security order (at discharge/end of reporting period).</w:t>
            </w:r>
          </w:p>
        </w:tc>
      </w:tr>
      <w:tr w:rsidR="001464CB" w:rsidRPr="00315936" w14:paraId="431C40B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1FEAC12" w14:textId="77777777" w:rsidR="001464CB" w:rsidRPr="00315936" w:rsidRDefault="001464CB">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421BE490" w14:textId="2EAAB5A2" w:rsidR="001464CB" w:rsidRPr="00315936" w:rsidRDefault="001464CB">
            <w:pPr>
              <w:pStyle w:val="Tabletext"/>
              <w:rPr>
                <w:lang w:eastAsia="en-AU"/>
              </w:rPr>
            </w:pPr>
            <w:r w:rsidRPr="00315936">
              <w:t>80</w:t>
            </w:r>
            <w:r w:rsidR="00A67D0D" w:rsidRPr="00315936">
              <w:t xml:space="preserve"> per cent</w:t>
            </w:r>
            <w:r w:rsidRPr="00315936">
              <w:t xml:space="preserve"> </w:t>
            </w:r>
          </w:p>
        </w:tc>
      </w:tr>
      <w:tr w:rsidR="003549B0" w:rsidRPr="00315936" w14:paraId="7AB2507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4BFEFAE" w14:textId="39400C2E" w:rsidR="002B431B" w:rsidRPr="00315936" w:rsidRDefault="002B431B" w:rsidP="002B431B">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525AA680" w14:textId="2609976D" w:rsidR="002B431B" w:rsidRPr="00315936" w:rsidRDefault="002B431B" w:rsidP="002B431B">
            <w:pPr>
              <w:pStyle w:val="Tabletext"/>
            </w:pPr>
            <w:r w:rsidRPr="00315936">
              <w:t>Equal to or greater than 80</w:t>
            </w:r>
            <w:r w:rsidR="00A67D0D" w:rsidRPr="00315936">
              <w:t xml:space="preserve"> per cent</w:t>
            </w:r>
          </w:p>
        </w:tc>
      </w:tr>
      <w:tr w:rsidR="003549B0" w:rsidRPr="00315936" w14:paraId="4B91737C"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5C6E35E" w14:textId="739929A9" w:rsidR="002B431B" w:rsidRPr="00315936" w:rsidRDefault="002B431B" w:rsidP="002B431B">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5A0D4EB6" w14:textId="620DDAE1" w:rsidR="002B431B" w:rsidRPr="00315936" w:rsidRDefault="002B431B" w:rsidP="002B431B">
            <w:pPr>
              <w:pStyle w:val="Tabletext"/>
            </w:pPr>
            <w:r w:rsidRPr="00315936">
              <w:t>Less than 80</w:t>
            </w:r>
            <w:r w:rsidR="00A67D0D" w:rsidRPr="00315936">
              <w:t xml:space="preserve"> per cent</w:t>
            </w:r>
          </w:p>
        </w:tc>
      </w:tr>
      <w:tr w:rsidR="001464CB" w:rsidRPr="00315936" w14:paraId="2F4F5F2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4D17C8F" w14:textId="77777777" w:rsidR="001464CB" w:rsidRPr="00315936" w:rsidRDefault="001464CB">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63A4409B" w14:textId="77777777" w:rsidR="001464CB" w:rsidRPr="00315936" w:rsidRDefault="001464CB">
            <w:pPr>
              <w:pStyle w:val="Tabletext"/>
              <w:rPr>
                <w:lang w:eastAsia="en-AU"/>
              </w:rPr>
            </w:pPr>
            <w:r w:rsidRPr="00315936">
              <w:t>For the purpose of the performance risk assessment improvement is compared to previous quarter performance.</w:t>
            </w:r>
          </w:p>
        </w:tc>
      </w:tr>
      <w:tr w:rsidR="001464CB" w:rsidRPr="00315936" w14:paraId="292C451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3029478" w14:textId="77777777" w:rsidR="001464CB" w:rsidRPr="00315936" w:rsidRDefault="001464CB">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65067AA3" w14:textId="047FABE6" w:rsidR="001464CB" w:rsidRPr="00315936" w:rsidRDefault="00AC58E5">
            <w:pPr>
              <w:pStyle w:val="Tabletext"/>
            </w:pPr>
            <w:r w:rsidRPr="00315936">
              <w:t>Performance</w:t>
            </w:r>
            <w:r w:rsidR="001464CB" w:rsidRPr="00315936">
              <w:t xml:space="preserve"> is reported quarterly.</w:t>
            </w:r>
          </w:p>
          <w:p w14:paraId="767CB4AD" w14:textId="45462CEA" w:rsidR="001464CB" w:rsidRPr="00315936" w:rsidRDefault="00FA6BB5">
            <w:pPr>
              <w:pStyle w:val="Tabletext"/>
              <w:rPr>
                <w:lang w:eastAsia="en-AU"/>
              </w:rPr>
            </w:pPr>
            <w:r w:rsidRPr="577F0062">
              <w:rPr>
                <w:rFonts w:eastAsia="Arial" w:cs="Arial"/>
              </w:rPr>
              <w:t>Data are sourced from the Client Management Interface (CMI) / Operational Data Store (ODS).</w:t>
            </w:r>
          </w:p>
        </w:tc>
      </w:tr>
    </w:tbl>
    <w:p w14:paraId="5F8D7231" w14:textId="5062A12F" w:rsidR="00E31E12" w:rsidRPr="00315936" w:rsidRDefault="00E31E12" w:rsidP="008E7F78">
      <w:pPr>
        <w:pStyle w:val="Heading4"/>
      </w:pPr>
      <w:bookmarkStart w:id="99" w:name="_Toc2143440535"/>
      <w:r w:rsidRPr="00315936">
        <w:t>Percentage of male security patients discharged within 7 days of becoming a civil client</w:t>
      </w:r>
      <w:bookmarkEnd w:id="99"/>
    </w:p>
    <w:tbl>
      <w:tblPr>
        <w:tblStyle w:val="TableGrid"/>
        <w:tblW w:w="9349" w:type="dxa"/>
        <w:tblLook w:val="04A0" w:firstRow="1" w:lastRow="0" w:firstColumn="1" w:lastColumn="0" w:noHBand="0" w:noVBand="1"/>
      </w:tblPr>
      <w:tblGrid>
        <w:gridCol w:w="1837"/>
        <w:gridCol w:w="7512"/>
      </w:tblGrid>
      <w:tr w:rsidR="00DA0E5B" w:rsidRPr="00315936" w14:paraId="4FC88D3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1A6579F" w14:textId="56F8C0E7" w:rsidR="00DA0E5B"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vAlign w:val="bottom"/>
          </w:tcPr>
          <w:p w14:paraId="457C6201" w14:textId="74D0DD39" w:rsidR="00DA0E5B" w:rsidRPr="00315936" w:rsidRDefault="00DA0E5B">
            <w:pPr>
              <w:pStyle w:val="Tabletext"/>
              <w:rPr>
                <w:lang w:eastAsia="en-AU"/>
              </w:rPr>
            </w:pPr>
            <w:r w:rsidRPr="00315936">
              <w:t>Percentage of male security patients at Thomas Embling Hospital discharged within 7 days of becoming a civil client</w:t>
            </w:r>
            <w:r w:rsidR="00DA37E7">
              <w:fldChar w:fldCharType="begin"/>
            </w:r>
            <w:r w:rsidR="00DA37E7">
              <w:instrText xml:space="preserve"> NOTEREF _Ref201304274 \f \h </w:instrText>
            </w:r>
            <w:r w:rsidR="00DA37E7">
              <w:fldChar w:fldCharType="separate"/>
            </w:r>
            <w:r w:rsidR="00DA37E7">
              <w:rPr>
                <w:b/>
                <w:bCs/>
                <w:lang w:val="en-US"/>
              </w:rPr>
              <w:t>.</w:t>
            </w:r>
            <w:r w:rsidR="00DA37E7">
              <w:fldChar w:fldCharType="end"/>
            </w:r>
            <w:r w:rsidR="00170B3A">
              <w:fldChar w:fldCharType="begin"/>
            </w:r>
            <w:r w:rsidR="00170B3A">
              <w:instrText xml:space="preserve"> NOTEREF _Ref201835099 \f \h </w:instrText>
            </w:r>
            <w:r w:rsidR="00170B3A">
              <w:fldChar w:fldCharType="separate"/>
            </w:r>
            <w:r w:rsidR="00170B3A" w:rsidRPr="00170B3A">
              <w:rPr>
                <w:rStyle w:val="EndnoteReference"/>
              </w:rPr>
              <w:t>xvi</w:t>
            </w:r>
            <w:r w:rsidR="00170B3A">
              <w:fldChar w:fldCharType="end"/>
            </w:r>
          </w:p>
        </w:tc>
      </w:tr>
      <w:tr w:rsidR="00DA0E5B" w:rsidRPr="00315936" w14:paraId="6BDAAB8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BDF44EF" w14:textId="77777777" w:rsidR="00DA0E5B" w:rsidRPr="00315936" w:rsidRDefault="00DA0E5B">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2A126176" w14:textId="569EC89D" w:rsidR="00BA642E" w:rsidRDefault="00D22C07">
            <w:pPr>
              <w:pStyle w:val="Tabletext"/>
              <w:rPr>
                <w:rFonts w:cs="Verdana"/>
                <w:lang w:eastAsia="en-AU"/>
              </w:rPr>
            </w:pPr>
            <w:r w:rsidRPr="00315936">
              <w:t xml:space="preserve">This </w:t>
            </w:r>
            <w:r w:rsidR="1BDAE4B9">
              <w:t>measures</w:t>
            </w:r>
            <w:r w:rsidRPr="00315936">
              <w:t xml:space="preserve"> the proportion of </w:t>
            </w:r>
            <w:r w:rsidR="00DA0E5B" w:rsidRPr="00315936">
              <w:rPr>
                <w:rFonts w:eastAsia="Times"/>
              </w:rPr>
              <w:t>male security patients at Thomas Embling Hospital whose security order expired</w:t>
            </w:r>
            <w:r w:rsidR="00307E4B">
              <w:rPr>
                <w:rFonts w:eastAsia="Times"/>
              </w:rPr>
              <w:t xml:space="preserve"> and </w:t>
            </w:r>
            <w:r w:rsidR="00DA0E5B" w:rsidRPr="00315936">
              <w:rPr>
                <w:rFonts w:eastAsia="Times"/>
              </w:rPr>
              <w:t xml:space="preserve">were discharged to community or </w:t>
            </w:r>
            <w:r w:rsidR="001978C6">
              <w:rPr>
                <w:rFonts w:eastAsia="Times"/>
              </w:rPr>
              <w:t xml:space="preserve">a </w:t>
            </w:r>
            <w:r w:rsidR="00DA0E5B" w:rsidRPr="00315936">
              <w:rPr>
                <w:rFonts w:eastAsia="Times"/>
              </w:rPr>
              <w:t>Designated Mental Health Service within 7 days.</w:t>
            </w:r>
            <w:r w:rsidR="00DA0E5B" w:rsidRPr="00315936">
              <w:rPr>
                <w:rFonts w:cs="Verdana"/>
                <w:lang w:eastAsia="en-AU"/>
              </w:rPr>
              <w:t xml:space="preserve"> </w:t>
            </w:r>
          </w:p>
          <w:p w14:paraId="1F64749F" w14:textId="31D49417" w:rsidR="00DA0E5B" w:rsidRPr="00315936" w:rsidRDefault="00D22C07">
            <w:pPr>
              <w:pStyle w:val="Tabletext"/>
              <w:rPr>
                <w:lang w:eastAsia="en-AU"/>
              </w:rPr>
            </w:pPr>
            <w:r w:rsidRPr="00315936">
              <w:t>The Thomas Embling hospital manages the care of</w:t>
            </w:r>
            <w:r w:rsidR="000906C6" w:rsidRPr="00315936">
              <w:t xml:space="preserve"> s</w:t>
            </w:r>
            <w:r w:rsidRPr="00315936">
              <w:t xml:space="preserve">ecurity patients (prisoners) who require compulsory mental health treatment under the </w:t>
            </w:r>
            <w:r w:rsidRPr="00315936">
              <w:rPr>
                <w:i/>
                <w:iCs/>
              </w:rPr>
              <w:t>Mental Health and Wellbeing Act 2022</w:t>
            </w:r>
            <w:r w:rsidR="00D2150D" w:rsidRPr="00315936">
              <w:t xml:space="preserve">. </w:t>
            </w:r>
          </w:p>
        </w:tc>
      </w:tr>
      <w:tr w:rsidR="00DA0E5B" w:rsidRPr="00315936" w14:paraId="53B83C5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EF39451" w14:textId="77777777" w:rsidR="00DA0E5B" w:rsidRPr="00315936" w:rsidRDefault="00DA0E5B">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77BC027E" w14:textId="4BF6FD92" w:rsidR="00535B16" w:rsidRDefault="00C448CE">
            <w:pPr>
              <w:pStyle w:val="Tabletext"/>
              <w:rPr>
                <w:lang w:eastAsia="en-AU"/>
              </w:rPr>
            </w:pPr>
            <w:r>
              <w:t xml:space="preserve">The scope </w:t>
            </w:r>
            <w:r w:rsidR="00B4400B">
              <w:t>for this measure includes</w:t>
            </w:r>
            <w:r w:rsidR="00B15CB0">
              <w:t xml:space="preserve"> </w:t>
            </w:r>
            <w:r w:rsidR="0085165D">
              <w:t xml:space="preserve">all male clients </w:t>
            </w:r>
            <w:r w:rsidR="00343E71">
              <w:t xml:space="preserve">who were </w:t>
            </w:r>
            <w:r w:rsidR="00BE492F" w:rsidRPr="3CFE9675">
              <w:rPr>
                <w:lang w:eastAsia="en-AU"/>
              </w:rPr>
              <w:t>admitted to Thomas Embling Hospital acute units</w:t>
            </w:r>
            <w:r w:rsidR="00A06ADC">
              <w:rPr>
                <w:lang w:eastAsia="en-AU"/>
              </w:rPr>
              <w:t>,</w:t>
            </w:r>
            <w:r w:rsidR="00BE492F" w:rsidRPr="3CFE9675">
              <w:rPr>
                <w:lang w:eastAsia="en-AU"/>
              </w:rPr>
              <w:t xml:space="preserve"> had a security order </w:t>
            </w:r>
            <w:r w:rsidR="00BE492F">
              <w:rPr>
                <w:lang w:eastAsia="en-AU"/>
              </w:rPr>
              <w:t xml:space="preserve">end </w:t>
            </w:r>
            <w:r w:rsidR="00BE492F" w:rsidRPr="3CFE9675">
              <w:rPr>
                <w:lang w:eastAsia="en-AU"/>
              </w:rPr>
              <w:t>(code 105 &amp; 202) during the re</w:t>
            </w:r>
            <w:r w:rsidR="00BE492F">
              <w:rPr>
                <w:lang w:eastAsia="en-AU"/>
              </w:rPr>
              <w:t>ference</w:t>
            </w:r>
            <w:r w:rsidR="00BE492F" w:rsidRPr="3CFE9675">
              <w:rPr>
                <w:lang w:eastAsia="en-AU"/>
              </w:rPr>
              <w:t xml:space="preserve"> period</w:t>
            </w:r>
            <w:r w:rsidR="00912C1F">
              <w:rPr>
                <w:lang w:eastAsia="en-AU"/>
              </w:rPr>
              <w:t xml:space="preserve">, and a subsequent </w:t>
            </w:r>
            <w:r w:rsidR="00880687">
              <w:rPr>
                <w:lang w:eastAsia="en-AU"/>
              </w:rPr>
              <w:t>civil order.</w:t>
            </w:r>
            <w:r w:rsidR="00EB19BA">
              <w:rPr>
                <w:lang w:eastAsia="en-AU"/>
              </w:rPr>
              <w:t xml:space="preserve"> </w:t>
            </w:r>
          </w:p>
          <w:p w14:paraId="22C086E1" w14:textId="3246D96B" w:rsidR="00DA0E5B" w:rsidRPr="00315936" w:rsidRDefault="001B4AEA" w:rsidP="1E2588F2">
            <w:pPr>
              <w:pStyle w:val="Tabletext"/>
              <w:rPr>
                <w:lang w:eastAsia="en-AU"/>
              </w:rPr>
            </w:pPr>
            <w:r>
              <w:rPr>
                <w:lang w:eastAsia="en-AU"/>
              </w:rPr>
              <w:t xml:space="preserve">Those who </w:t>
            </w:r>
            <w:r w:rsidRPr="4A3EC911">
              <w:rPr>
                <w:lang w:eastAsia="en-AU"/>
              </w:rPr>
              <w:t>have had an extension with a subsequent security order or who have returned to M</w:t>
            </w:r>
            <w:r w:rsidR="00E2740A">
              <w:rPr>
                <w:lang w:eastAsia="en-AU"/>
              </w:rPr>
              <w:t xml:space="preserve">elbourne </w:t>
            </w:r>
            <w:r w:rsidRPr="4A3EC911">
              <w:rPr>
                <w:lang w:eastAsia="en-AU"/>
              </w:rPr>
              <w:t>A</w:t>
            </w:r>
            <w:r w:rsidR="00E2740A">
              <w:rPr>
                <w:lang w:eastAsia="en-AU"/>
              </w:rPr>
              <w:t xml:space="preserve">ssessment </w:t>
            </w:r>
            <w:r w:rsidRPr="4A3EC911">
              <w:rPr>
                <w:lang w:eastAsia="en-AU"/>
              </w:rPr>
              <w:t>P</w:t>
            </w:r>
            <w:r w:rsidR="00E2740A">
              <w:rPr>
                <w:lang w:eastAsia="en-AU"/>
              </w:rPr>
              <w:t>rison (MAP)</w:t>
            </w:r>
            <w:r>
              <w:rPr>
                <w:lang w:eastAsia="en-AU"/>
              </w:rPr>
              <w:t xml:space="preserve"> are excluded.</w:t>
            </w:r>
          </w:p>
          <w:p w14:paraId="218DB07C" w14:textId="79AF4403" w:rsidR="00DA0E5B" w:rsidRPr="00315936" w:rsidRDefault="34E6BB27" w:rsidP="00170B3A">
            <w:pPr>
              <w:pStyle w:val="Tabletext"/>
              <w:rPr>
                <w:lang w:eastAsia="en-AU"/>
              </w:rPr>
            </w:pPr>
            <w:r w:rsidRPr="1E2588F2">
              <w:rPr>
                <w:lang w:eastAsia="en-AU"/>
              </w:rPr>
              <w:t xml:space="preserve">Data </w:t>
            </w:r>
            <w:r w:rsidR="0077198E">
              <w:rPr>
                <w:lang w:eastAsia="en-AU"/>
              </w:rPr>
              <w:t>are</w:t>
            </w:r>
            <w:r w:rsidR="0077198E" w:rsidRPr="1E2588F2">
              <w:rPr>
                <w:lang w:eastAsia="en-AU"/>
              </w:rPr>
              <w:t xml:space="preserve"> </w:t>
            </w:r>
            <w:r w:rsidRPr="1E2588F2">
              <w:rPr>
                <w:lang w:eastAsia="en-AU"/>
              </w:rPr>
              <w:t>lagged by seven days.</w:t>
            </w:r>
          </w:p>
        </w:tc>
      </w:tr>
      <w:tr w:rsidR="00DA0E5B" w:rsidRPr="00315936" w14:paraId="4647C8C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DEFD7C1" w14:textId="77777777" w:rsidR="00DA0E5B" w:rsidRPr="00315936" w:rsidRDefault="00DA0E5B">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1B2A7143" w14:textId="31CDA32D" w:rsidR="00DA0E5B" w:rsidRPr="00315936" w:rsidRDefault="000F6ED9" w:rsidP="001A453F">
            <w:pPr>
              <w:pStyle w:val="Tabletext"/>
              <w:rPr>
                <w:lang w:eastAsia="en-AU"/>
              </w:rPr>
            </w:pPr>
            <w:r>
              <w:t>N</w:t>
            </w:r>
            <w:r w:rsidR="00DA0E5B" w:rsidRPr="00315936">
              <w:t xml:space="preserve">umber of </w:t>
            </w:r>
            <w:r>
              <w:t xml:space="preserve">in-scope </w:t>
            </w:r>
            <w:r w:rsidR="00DA0E5B" w:rsidRPr="00315936">
              <w:t xml:space="preserve">male security patients </w:t>
            </w:r>
            <w:r>
              <w:t>discharged from</w:t>
            </w:r>
            <w:r w:rsidRPr="00315936">
              <w:t xml:space="preserve"> </w:t>
            </w:r>
            <w:r w:rsidR="00DA0E5B" w:rsidRPr="00315936">
              <w:t xml:space="preserve">Thomas Embling Hospital  to the community or an area mental health service within </w:t>
            </w:r>
            <w:r w:rsidR="00DE170A" w:rsidRPr="00315936">
              <w:t>7</w:t>
            </w:r>
            <w:r w:rsidR="00DA0E5B" w:rsidRPr="00315936">
              <w:t xml:space="preserve"> days. </w:t>
            </w:r>
          </w:p>
        </w:tc>
      </w:tr>
      <w:tr w:rsidR="00DA0E5B" w:rsidRPr="00315936" w14:paraId="74342D1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AEEE917" w14:textId="77777777" w:rsidR="00DA0E5B" w:rsidRPr="00315936" w:rsidRDefault="00DA0E5B">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3C4312C7" w14:textId="45A3E4B7" w:rsidR="00DA0E5B" w:rsidRPr="00315936" w:rsidRDefault="00A81FF7" w:rsidP="001A453F">
            <w:pPr>
              <w:pStyle w:val="Tabletext"/>
              <w:rPr>
                <w:lang w:eastAsia="en-AU"/>
              </w:rPr>
            </w:pPr>
            <w:r>
              <w:rPr>
                <w:lang w:eastAsia="en-AU"/>
              </w:rPr>
              <w:t>N</w:t>
            </w:r>
            <w:r w:rsidR="00DA0E5B" w:rsidRPr="00315936">
              <w:rPr>
                <w:lang w:eastAsia="en-AU"/>
              </w:rPr>
              <w:t xml:space="preserve">umber of </w:t>
            </w:r>
            <w:r>
              <w:rPr>
                <w:lang w:eastAsia="en-AU"/>
              </w:rPr>
              <w:t>in-scope</w:t>
            </w:r>
            <w:r w:rsidR="00DA0E5B" w:rsidRPr="00315936">
              <w:rPr>
                <w:lang w:eastAsia="en-AU"/>
              </w:rPr>
              <w:t xml:space="preserve"> male Forensicare inpatient (Thomas Embling Hospital) clients whose security order </w:t>
            </w:r>
            <w:r w:rsidR="0764CE15" w:rsidRPr="3EBBED57">
              <w:rPr>
                <w:lang w:eastAsia="en-AU"/>
              </w:rPr>
              <w:t>ended</w:t>
            </w:r>
            <w:r w:rsidR="00444E7E">
              <w:rPr>
                <w:lang w:eastAsia="en-AU"/>
              </w:rPr>
              <w:t xml:space="preserve"> </w:t>
            </w:r>
            <w:r w:rsidR="00DA0E5B" w:rsidRPr="00315936">
              <w:rPr>
                <w:lang w:eastAsia="en-AU"/>
              </w:rPr>
              <w:t>during the reference period</w:t>
            </w:r>
            <w:r w:rsidR="77D7B48C" w:rsidRPr="1E2588F2">
              <w:rPr>
                <w:lang w:eastAsia="en-AU"/>
              </w:rPr>
              <w:t xml:space="preserve"> and became a civil client</w:t>
            </w:r>
            <w:r w:rsidR="00DA0E5B" w:rsidRPr="00315936">
              <w:rPr>
                <w:lang w:eastAsia="en-AU"/>
              </w:rPr>
              <w:t xml:space="preserve">. </w:t>
            </w:r>
          </w:p>
        </w:tc>
      </w:tr>
      <w:tr w:rsidR="00DA0E5B" w:rsidRPr="00315936" w14:paraId="0C73D19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0B1B7AD" w14:textId="77777777" w:rsidR="00DA0E5B" w:rsidRPr="00315936" w:rsidRDefault="00DA0E5B">
            <w:pPr>
              <w:pStyle w:val="Tablecolhead"/>
              <w:rPr>
                <w:b w:val="0"/>
                <w:lang w:eastAsia="en-AU"/>
              </w:rPr>
            </w:pPr>
            <w:r w:rsidRPr="00315936">
              <w:rPr>
                <w:b w:val="0"/>
                <w:lang w:eastAsia="en-AU"/>
              </w:rPr>
              <w:lastRenderedPageBreak/>
              <w:t>Statewide target</w:t>
            </w:r>
          </w:p>
        </w:tc>
        <w:tc>
          <w:tcPr>
            <w:tcW w:w="7512" w:type="dxa"/>
            <w:tcBorders>
              <w:left w:val="single" w:sz="4" w:space="0" w:color="FFFFFF" w:themeColor="background1"/>
            </w:tcBorders>
          </w:tcPr>
          <w:p w14:paraId="0CE01AE1" w14:textId="4359FFEF" w:rsidR="00DA0E5B" w:rsidRPr="00315936" w:rsidRDefault="00DA0E5B">
            <w:pPr>
              <w:pStyle w:val="Tabletext"/>
              <w:rPr>
                <w:lang w:eastAsia="en-AU"/>
              </w:rPr>
            </w:pPr>
            <w:r w:rsidRPr="00315936">
              <w:t>80</w:t>
            </w:r>
            <w:r w:rsidR="00A67D0D" w:rsidRPr="00315936">
              <w:t xml:space="preserve"> per cent</w:t>
            </w:r>
          </w:p>
        </w:tc>
      </w:tr>
      <w:tr w:rsidR="00DA0E5B" w:rsidRPr="00315936" w14:paraId="1C8DE14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7B8DF26" w14:textId="73D2C2F7" w:rsidR="00DA0E5B" w:rsidRPr="00315936" w:rsidRDefault="00DA0E5B" w:rsidP="00DA0E5B">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5A557C49" w14:textId="4AB130C6" w:rsidR="00DA0E5B" w:rsidRPr="00315936" w:rsidRDefault="00DA0E5B" w:rsidP="00DA0E5B">
            <w:pPr>
              <w:pStyle w:val="Tabletext"/>
            </w:pPr>
            <w:r w:rsidRPr="00315936">
              <w:rPr>
                <w:rFonts w:eastAsia="Times"/>
              </w:rPr>
              <w:t>Equal to or greater than 80</w:t>
            </w:r>
            <w:r w:rsidR="00A67D0D" w:rsidRPr="00315936">
              <w:rPr>
                <w:rFonts w:eastAsia="Times"/>
              </w:rPr>
              <w:t xml:space="preserve"> per cent</w:t>
            </w:r>
          </w:p>
        </w:tc>
      </w:tr>
      <w:tr w:rsidR="00DA0E5B" w:rsidRPr="00315936" w14:paraId="13C40901"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A090637" w14:textId="54AFAE1C" w:rsidR="00DA0E5B" w:rsidRPr="00315936" w:rsidRDefault="00DA0E5B" w:rsidP="00DA0E5B">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17402B26" w14:textId="0CFAEE7C" w:rsidR="00DA0E5B" w:rsidRPr="00315936" w:rsidRDefault="00DA0E5B" w:rsidP="00DA0E5B">
            <w:pPr>
              <w:pStyle w:val="Tabletext"/>
            </w:pPr>
            <w:r w:rsidRPr="00315936">
              <w:rPr>
                <w:rFonts w:eastAsia="Times"/>
              </w:rPr>
              <w:t>Less than 80</w:t>
            </w:r>
            <w:r w:rsidR="00A67D0D" w:rsidRPr="00315936">
              <w:rPr>
                <w:rFonts w:eastAsia="Times"/>
              </w:rPr>
              <w:t xml:space="preserve"> per cent</w:t>
            </w:r>
          </w:p>
        </w:tc>
      </w:tr>
      <w:tr w:rsidR="00DA0E5B" w:rsidRPr="00315936" w14:paraId="4D0B696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66BB9BA" w14:textId="77777777" w:rsidR="00DA0E5B" w:rsidRPr="00315936" w:rsidRDefault="00DA0E5B">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5DC0EB30" w14:textId="242408FC" w:rsidR="00DA0E5B" w:rsidRPr="00315936" w:rsidRDefault="00DA0E5B">
            <w:pPr>
              <w:pStyle w:val="Tabletext"/>
              <w:rPr>
                <w:lang w:eastAsia="en-AU"/>
              </w:rPr>
            </w:pPr>
            <w:r w:rsidRPr="00315936">
              <w:t>For the purpose of the performance risk assessment</w:t>
            </w:r>
            <w:r w:rsidR="00832351" w:rsidRPr="00315936">
              <w:t>,</w:t>
            </w:r>
            <w:r w:rsidRPr="00315936">
              <w:t xml:space="preserve"> improvement is compared to previous quarter performance.</w:t>
            </w:r>
          </w:p>
        </w:tc>
      </w:tr>
      <w:tr w:rsidR="00DA0E5B" w:rsidRPr="00315936" w14:paraId="6914156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9D67904" w14:textId="77777777" w:rsidR="00DA0E5B" w:rsidRPr="00315936" w:rsidRDefault="00DA0E5B">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43ED72EF" w14:textId="22CDACFB" w:rsidR="00DA0E5B" w:rsidRPr="00315936" w:rsidRDefault="00AC58E5">
            <w:pPr>
              <w:pStyle w:val="Tabletext"/>
            </w:pPr>
            <w:r w:rsidRPr="00315936">
              <w:t>Performance</w:t>
            </w:r>
            <w:r w:rsidR="00DA0E5B" w:rsidRPr="00315936">
              <w:t xml:space="preserve"> is reported quarterly.</w:t>
            </w:r>
          </w:p>
          <w:p w14:paraId="6B3B9D72" w14:textId="5D4F89AE" w:rsidR="00DA0E5B" w:rsidRPr="00315936" w:rsidRDefault="00FA6BB5">
            <w:pPr>
              <w:pStyle w:val="Tabletext"/>
              <w:rPr>
                <w:lang w:eastAsia="en-AU"/>
              </w:rPr>
            </w:pPr>
            <w:r w:rsidRPr="2ECFC544">
              <w:rPr>
                <w:rFonts w:eastAsia="Arial" w:cs="Arial"/>
                <w:szCs w:val="21"/>
              </w:rPr>
              <w:t>Data are sourced from the Client Management Interface (CMI) / Operational Data Store (ODS).</w:t>
            </w:r>
          </w:p>
        </w:tc>
      </w:tr>
    </w:tbl>
    <w:p w14:paraId="1E4907E3" w14:textId="16D2BC64" w:rsidR="00140581" w:rsidRPr="00315936" w:rsidRDefault="00140581" w:rsidP="00140581">
      <w:pPr>
        <w:pStyle w:val="Heading2"/>
      </w:pPr>
      <w:bookmarkStart w:id="100" w:name="_Toc204853421"/>
      <w:r w:rsidRPr="00315936">
        <w:t>Effective financial management</w:t>
      </w:r>
      <w:bookmarkEnd w:id="100"/>
    </w:p>
    <w:p w14:paraId="18DBE749" w14:textId="77777777" w:rsidR="006C06C3" w:rsidRPr="00315936" w:rsidRDefault="006C06C3" w:rsidP="00F13D2B">
      <w:pPr>
        <w:pStyle w:val="Heading3"/>
      </w:pPr>
      <w:bookmarkStart w:id="101" w:name="_Toc126945720"/>
      <w:r w:rsidRPr="00315936">
        <w:t>Effective financial management</w:t>
      </w:r>
      <w:bookmarkEnd w:id="101"/>
    </w:p>
    <w:p w14:paraId="26DC9DC1" w14:textId="7A2A99EE" w:rsidR="00F13D2B" w:rsidRPr="00315936" w:rsidRDefault="000C08D8" w:rsidP="008E7F78">
      <w:pPr>
        <w:pStyle w:val="Heading4"/>
      </w:pPr>
      <w:bookmarkStart w:id="102" w:name="_Toc2132944225"/>
      <w:r w:rsidRPr="00315936">
        <w:t>O</w:t>
      </w:r>
      <w:r w:rsidR="00EC0471" w:rsidRPr="00315936">
        <w:t>perating result ($M)</w:t>
      </w:r>
      <w:bookmarkEnd w:id="102"/>
    </w:p>
    <w:tbl>
      <w:tblPr>
        <w:tblStyle w:val="TableGrid"/>
        <w:tblW w:w="9349" w:type="dxa"/>
        <w:tblLook w:val="04A0" w:firstRow="1" w:lastRow="0" w:firstColumn="1" w:lastColumn="0" w:noHBand="0" w:noVBand="1"/>
      </w:tblPr>
      <w:tblGrid>
        <w:gridCol w:w="1837"/>
        <w:gridCol w:w="7512"/>
      </w:tblGrid>
      <w:tr w:rsidR="005B72BF" w:rsidRPr="00315936" w14:paraId="4B173CC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D693F8D" w14:textId="1CD0C5DB" w:rsidR="005B72BF"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69B7CBED" w14:textId="33D613D7" w:rsidR="005B72BF" w:rsidRPr="00F56390" w:rsidRDefault="005B72BF">
            <w:pPr>
              <w:pStyle w:val="Tabletext"/>
              <w:rPr>
                <w:vertAlign w:val="superscript"/>
                <w:lang w:eastAsia="en-AU"/>
              </w:rPr>
            </w:pPr>
            <w:r w:rsidRPr="00315936">
              <w:t xml:space="preserve">Operating result </w:t>
            </w:r>
            <w:r w:rsidR="002A2D41" w:rsidRPr="00315936">
              <w:t>($M)</w:t>
            </w:r>
            <w:r w:rsidR="00AB44F2">
              <w:t xml:space="preserve"> </w:t>
            </w:r>
            <w:r w:rsidR="00F56390">
              <w:fldChar w:fldCharType="begin"/>
            </w:r>
            <w:r w:rsidR="00F56390">
              <w:instrText xml:space="preserve"> NOTEREF _Ref201832379 \f \h </w:instrText>
            </w:r>
            <w:r w:rsidR="00F56390">
              <w:fldChar w:fldCharType="separate"/>
            </w:r>
            <w:proofErr w:type="spellStart"/>
            <w:r w:rsidR="00F56390" w:rsidRPr="00F56390">
              <w:rPr>
                <w:rStyle w:val="EndnoteReference"/>
              </w:rPr>
              <w:t>iv</w:t>
            </w:r>
            <w:r w:rsidR="00F56390">
              <w:fldChar w:fldCharType="end"/>
            </w:r>
            <w:r w:rsidR="00F56390">
              <w:rPr>
                <w:vertAlign w:val="superscript"/>
              </w:rPr>
              <w:t>,</w:t>
            </w:r>
            <w:r w:rsidR="00F56390">
              <w:rPr>
                <w:vertAlign w:val="superscript"/>
              </w:rPr>
              <w:fldChar w:fldCharType="begin"/>
            </w:r>
            <w:r w:rsidR="00F56390">
              <w:rPr>
                <w:vertAlign w:val="superscript"/>
              </w:rPr>
              <w:instrText xml:space="preserve"> NOTEREF _Ref201833119 \f \h </w:instrText>
            </w:r>
            <w:r w:rsidR="00F56390">
              <w:rPr>
                <w:vertAlign w:val="superscript"/>
              </w:rPr>
            </w:r>
            <w:r w:rsidR="00F56390">
              <w:rPr>
                <w:vertAlign w:val="superscript"/>
              </w:rPr>
              <w:fldChar w:fldCharType="separate"/>
            </w:r>
            <w:r w:rsidR="00F56390" w:rsidRPr="00F56390">
              <w:rPr>
                <w:rStyle w:val="EndnoteReference"/>
              </w:rPr>
              <w:t>v</w:t>
            </w:r>
            <w:proofErr w:type="spellEnd"/>
            <w:r w:rsidR="00F56390">
              <w:rPr>
                <w:vertAlign w:val="superscript"/>
              </w:rPr>
              <w:fldChar w:fldCharType="end"/>
            </w:r>
          </w:p>
        </w:tc>
      </w:tr>
      <w:tr w:rsidR="005B72BF" w:rsidRPr="00315936" w14:paraId="51DD0A75"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5839DE5" w14:textId="77777777" w:rsidR="005B72BF" w:rsidRPr="00315936" w:rsidRDefault="005B72BF">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1C4DA804" w14:textId="0785B55D" w:rsidR="00931559" w:rsidRDefault="00A47D64">
            <w:pPr>
              <w:pStyle w:val="Tabletext"/>
            </w:pPr>
            <w:r>
              <w:t>The Year to Date (YTD)</w:t>
            </w:r>
            <w:r w:rsidR="005D199F" w:rsidRPr="00315936">
              <w:t xml:space="preserve"> </w:t>
            </w:r>
            <w:r w:rsidR="00E340C6">
              <w:t xml:space="preserve">operating result before </w:t>
            </w:r>
            <w:r w:rsidR="00E340C6" w:rsidRPr="00315936">
              <w:t>capital and depreciation</w:t>
            </w:r>
            <w:r w:rsidR="00931559">
              <w:t>.</w:t>
            </w:r>
          </w:p>
          <w:p w14:paraId="354D40D8" w14:textId="39917F02" w:rsidR="005B72BF" w:rsidRPr="00315936" w:rsidRDefault="00931559">
            <w:pPr>
              <w:pStyle w:val="Tabletext"/>
            </w:pPr>
            <w:r>
              <w:t>This</w:t>
            </w:r>
            <w:r w:rsidR="00E340C6">
              <w:t xml:space="preserve"> </w:t>
            </w:r>
            <w:r w:rsidR="00510A42" w:rsidRPr="00315936">
              <w:t xml:space="preserve">is a </w:t>
            </w:r>
            <w:r w:rsidR="00C3016B" w:rsidRPr="00315936">
              <w:t>measure</w:t>
            </w:r>
            <w:r w:rsidR="005B72BF" w:rsidRPr="00315936">
              <w:t xml:space="preserve"> of financial sustainability.</w:t>
            </w:r>
          </w:p>
          <w:p w14:paraId="6FBD7276" w14:textId="5B5D4759" w:rsidR="005B72BF" w:rsidRPr="00315936" w:rsidRDefault="005B72BF">
            <w:pPr>
              <w:pStyle w:val="Tabletext"/>
              <w:rPr>
                <w:lang w:eastAsia="en-AU"/>
              </w:rPr>
            </w:pPr>
            <w:r>
              <w:t xml:space="preserve">The agreed </w:t>
            </w:r>
            <w:r w:rsidR="007B6C58">
              <w:t>SoP</w:t>
            </w:r>
            <w:r>
              <w:t xml:space="preserve"> Operating Result ($M) target </w:t>
            </w:r>
            <w:r w:rsidR="0094167D">
              <w:t>aims to</w:t>
            </w:r>
            <w:r>
              <w:t xml:space="preserve"> achieve an operating surplus necessary to maintain or, where necessary, improve the current operating cash position. This requirement aligns with the department’s reform priority to increase the financial sustainability and productivity of the health system.</w:t>
            </w:r>
          </w:p>
        </w:tc>
      </w:tr>
      <w:tr w:rsidR="005B72BF" w:rsidRPr="00315936" w14:paraId="6C54BCE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7E7126E" w14:textId="77777777" w:rsidR="005B72BF" w:rsidRPr="00315936" w:rsidRDefault="005B72BF">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2A572292" w14:textId="639480A9" w:rsidR="00D86C03" w:rsidRDefault="00FA30B4">
            <w:pPr>
              <w:pStyle w:val="Tabletext"/>
            </w:pPr>
            <w:r>
              <w:t xml:space="preserve">The operating result is calculated as the </w:t>
            </w:r>
            <w:r w:rsidR="00D86C03">
              <w:t xml:space="preserve">YTD revenue </w:t>
            </w:r>
            <w:r w:rsidR="00E745B3">
              <w:t xml:space="preserve">from all sources </w:t>
            </w:r>
            <w:r w:rsidR="00D86C03">
              <w:t xml:space="preserve">minus YTD </w:t>
            </w:r>
            <w:r w:rsidR="00E745B3" w:rsidRPr="00E745B3">
              <w:t>expenses from transactions for all cost centres</w:t>
            </w:r>
            <w:r w:rsidR="00D86C03">
              <w:t>, before capital and depreciation.</w:t>
            </w:r>
          </w:p>
          <w:p w14:paraId="66BADD53" w14:textId="641F92FF" w:rsidR="005B72BF" w:rsidRPr="00315936" w:rsidRDefault="005B72BF">
            <w:pPr>
              <w:pStyle w:val="Tabletext"/>
            </w:pPr>
            <w:r>
              <w:t xml:space="preserve">The </w:t>
            </w:r>
            <w:r w:rsidR="00C3016B">
              <w:t>measure</w:t>
            </w:r>
            <w:r>
              <w:t xml:space="preserve"> excludes consolidated entities</w:t>
            </w:r>
            <w:r w:rsidR="77BFCCFD">
              <w:t>/foundations</w:t>
            </w:r>
            <w:r>
              <w:t xml:space="preserve"> (with the exception of Monash Health, which includes Jessie McPherson Private Hospital and Western Health which includes the Foundation).</w:t>
            </w:r>
          </w:p>
          <w:p w14:paraId="29C9B16A" w14:textId="64420824" w:rsidR="005B72BF" w:rsidRPr="00315936" w:rsidRDefault="005B72BF">
            <w:pPr>
              <w:pStyle w:val="Tabletext"/>
            </w:pPr>
            <w:r>
              <w:t xml:space="preserve">Phased monthly targets are based on the </w:t>
            </w:r>
            <w:r w:rsidR="00E83FB1">
              <w:t>Health Agencies Reporting Tool (</w:t>
            </w:r>
            <w:r>
              <w:t>HeART</w:t>
            </w:r>
            <w:r w:rsidR="00E83FB1">
              <w:t>)</w:t>
            </w:r>
            <w:r>
              <w:t xml:space="preserve"> </w:t>
            </w:r>
            <w:r w:rsidR="00013CA1">
              <w:t xml:space="preserve">September </w:t>
            </w:r>
            <w:r>
              <w:t xml:space="preserve">submission for the </w:t>
            </w:r>
            <w:r w:rsidR="003A4C40">
              <w:t>current</w:t>
            </w:r>
            <w:r>
              <w:t xml:space="preserve"> financial year. Changes thereafter are only reported on agreement between the department and the health service</w:t>
            </w:r>
            <w:r w:rsidR="006F33D5">
              <w:t>,</w:t>
            </w:r>
            <w:r>
              <w:t xml:space="preserve"> regardless of the data submitted in HeART.</w:t>
            </w:r>
          </w:p>
          <w:p w14:paraId="0F0AA379" w14:textId="48B1E472" w:rsidR="005B72BF" w:rsidRPr="00315936" w:rsidRDefault="005B72BF">
            <w:pPr>
              <w:pStyle w:val="Tabletext"/>
            </w:pPr>
            <w:r>
              <w:t>Should the phasings require adjusting; these changes will be considered on a quarterly basis and, where agreed, submitted in the HeART by the health service.</w:t>
            </w:r>
          </w:p>
          <w:p w14:paraId="7BCC6BE9" w14:textId="77777777" w:rsidR="005B72BF" w:rsidRPr="00315936" w:rsidRDefault="005B72BF">
            <w:pPr>
              <w:pStyle w:val="Tabletext"/>
              <w:rPr>
                <w:lang w:eastAsia="en-AU"/>
              </w:rPr>
            </w:pPr>
            <w:r w:rsidRPr="00315936">
              <w:t>Note that the department does not support retrospective changes to phased targets.</w:t>
            </w:r>
          </w:p>
        </w:tc>
      </w:tr>
      <w:tr w:rsidR="005B72BF" w:rsidRPr="00315936" w14:paraId="5D5F356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9DF1208" w14:textId="77777777" w:rsidR="005B72BF" w:rsidRPr="00315936" w:rsidRDefault="005B72BF">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4DC36DFC" w14:textId="77777777" w:rsidR="005B72BF" w:rsidRPr="00315936" w:rsidRDefault="005B72BF">
            <w:pPr>
              <w:pStyle w:val="Tabletext"/>
              <w:rPr>
                <w:lang w:eastAsia="en-AU"/>
              </w:rPr>
            </w:pPr>
            <w:r w:rsidRPr="00315936">
              <w:t>YTD operating result before capital and depreciation</w:t>
            </w:r>
          </w:p>
        </w:tc>
      </w:tr>
      <w:tr w:rsidR="005B72BF" w:rsidRPr="00315936" w14:paraId="583F90E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890E752" w14:textId="51D7B118" w:rsidR="005B72BF" w:rsidRPr="00315936" w:rsidRDefault="005B72BF">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5A06F706" w14:textId="72E74DD2" w:rsidR="005B72BF" w:rsidRPr="00315936" w:rsidRDefault="22A2ED4E">
            <w:pPr>
              <w:pStyle w:val="Tabletext"/>
              <w:rPr>
                <w:lang w:eastAsia="en-AU"/>
              </w:rPr>
            </w:pPr>
            <w:r w:rsidRPr="28E5DB04">
              <w:rPr>
                <w:lang w:eastAsia="en-AU"/>
              </w:rPr>
              <w:t>N/A</w:t>
            </w:r>
          </w:p>
        </w:tc>
      </w:tr>
      <w:tr w:rsidR="005B72BF" w:rsidRPr="00315936" w14:paraId="0BB105E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9A69ABA" w14:textId="77777777" w:rsidR="005B72BF" w:rsidRPr="00315936" w:rsidRDefault="005B72BF">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278A9CE0" w14:textId="77777777" w:rsidR="005B72BF" w:rsidRPr="00315936" w:rsidRDefault="005B72BF">
            <w:pPr>
              <w:pStyle w:val="Tabletext"/>
              <w:rPr>
                <w:lang w:eastAsia="en-AU"/>
              </w:rPr>
            </w:pPr>
            <w:r w:rsidRPr="00315936">
              <w:t xml:space="preserve">As agreed in the </w:t>
            </w:r>
            <w:r w:rsidR="007B6C58" w:rsidRPr="00315936">
              <w:t>SoP</w:t>
            </w:r>
            <w:r w:rsidRPr="00315936">
              <w:t xml:space="preserve"> for each health service</w:t>
            </w:r>
          </w:p>
        </w:tc>
      </w:tr>
      <w:tr w:rsidR="00011735" w:rsidRPr="00315936" w14:paraId="4C14EE4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07CB9BC" w14:textId="73A1C9C4" w:rsidR="00011735" w:rsidRPr="00315936" w:rsidRDefault="00011735" w:rsidP="00011735">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0BEE3286" w14:textId="568BB173" w:rsidR="00011735" w:rsidRPr="00315936" w:rsidRDefault="00011735" w:rsidP="00011735">
            <w:pPr>
              <w:pStyle w:val="Tabletext"/>
            </w:pPr>
            <w:r w:rsidRPr="00E65A9B">
              <w:rPr>
                <w:rFonts w:eastAsia="Aptos"/>
              </w:rPr>
              <w:t>Greater than or equal to health service target</w:t>
            </w:r>
          </w:p>
        </w:tc>
      </w:tr>
      <w:tr w:rsidR="00011735" w:rsidRPr="00315936" w14:paraId="7B3CEBD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A0540ED" w14:textId="0317471A" w:rsidR="00011735" w:rsidRPr="00315936" w:rsidRDefault="00011735" w:rsidP="00011735">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1698B3F8" w14:textId="7FA49DEE" w:rsidR="00011735" w:rsidRPr="00315936" w:rsidRDefault="00011735" w:rsidP="00011735">
            <w:pPr>
              <w:pStyle w:val="Tabletext"/>
            </w:pPr>
            <w:r w:rsidRPr="00E65A9B">
              <w:rPr>
                <w:rFonts w:eastAsia="Aptos"/>
              </w:rPr>
              <w:t>Less than health service target</w:t>
            </w:r>
          </w:p>
        </w:tc>
      </w:tr>
      <w:tr w:rsidR="005B72BF" w:rsidRPr="00315936" w14:paraId="05AB92E3"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55A6D0B6" w14:textId="77777777" w:rsidR="005B72BF" w:rsidRPr="00315936" w:rsidRDefault="005B72BF">
            <w:pPr>
              <w:pStyle w:val="Tablecolhead"/>
              <w:rPr>
                <w:b w:val="0"/>
                <w:lang w:eastAsia="en-AU"/>
              </w:rPr>
            </w:pPr>
            <w:r w:rsidRPr="00315936">
              <w:rPr>
                <w:b w:val="0"/>
                <w:lang w:eastAsia="en-AU"/>
              </w:rPr>
              <w:lastRenderedPageBreak/>
              <w:t>Improvement</w:t>
            </w:r>
          </w:p>
        </w:tc>
        <w:tc>
          <w:tcPr>
            <w:tcW w:w="7512" w:type="dxa"/>
            <w:tcBorders>
              <w:left w:val="single" w:sz="4" w:space="0" w:color="FFFFFF" w:themeColor="background1"/>
            </w:tcBorders>
          </w:tcPr>
          <w:p w14:paraId="7BA1B50C" w14:textId="45AF192C" w:rsidR="005B72BF" w:rsidRPr="00315936" w:rsidRDefault="005B72BF">
            <w:pPr>
              <w:pStyle w:val="Tabletext"/>
              <w:rPr>
                <w:lang w:eastAsia="en-AU"/>
              </w:rPr>
            </w:pPr>
            <w:r>
              <w:t xml:space="preserve">For the purpose of the performance risk assessment, improvement is assessed against </w:t>
            </w:r>
            <w:r w:rsidR="00D86C03">
              <w:t>the</w:t>
            </w:r>
            <w:r>
              <w:t xml:space="preserve"> </w:t>
            </w:r>
            <w:r w:rsidR="66CE8120">
              <w:t>p</w:t>
            </w:r>
            <w:r w:rsidR="390DFCF8">
              <w:t>revious quarter</w:t>
            </w:r>
            <w:r>
              <w:t>, except for Q1 (</w:t>
            </w:r>
            <w:r w:rsidR="66CE8120">
              <w:t>no</w:t>
            </w:r>
            <w:r w:rsidR="4F9EF46B">
              <w:t>t assessed</w:t>
            </w:r>
            <w:r>
              <w:t xml:space="preserve">). </w:t>
            </w:r>
          </w:p>
        </w:tc>
      </w:tr>
      <w:tr w:rsidR="005B72BF" w:rsidRPr="00315936" w14:paraId="02A4E04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22EB5F4" w14:textId="77777777" w:rsidR="005B72BF" w:rsidRPr="00315936" w:rsidRDefault="005B72BF">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750720E9" w14:textId="2C723081" w:rsidR="005B72BF" w:rsidRPr="00315936" w:rsidRDefault="005B72BF">
            <w:pPr>
              <w:pStyle w:val="Tabletext"/>
            </w:pPr>
            <w:r w:rsidRPr="00315936">
              <w:t xml:space="preserve">Performance is </w:t>
            </w:r>
            <w:r w:rsidR="00122CA1" w:rsidRPr="00315936">
              <w:t xml:space="preserve">reported </w:t>
            </w:r>
            <w:r w:rsidRPr="00315936">
              <w:t>monthly</w:t>
            </w:r>
            <w:r w:rsidR="00B7298F">
              <w:t xml:space="preserve"> </w:t>
            </w:r>
            <w:r w:rsidR="007247B1" w:rsidRPr="00315936">
              <w:t>and annually</w:t>
            </w:r>
            <w:r w:rsidRPr="00315936">
              <w:t>.</w:t>
            </w:r>
          </w:p>
          <w:p w14:paraId="1E8C2CF1" w14:textId="3B7F7353" w:rsidR="005B72BF" w:rsidRPr="00315936" w:rsidRDefault="005B72BF">
            <w:pPr>
              <w:pStyle w:val="Tabletext"/>
            </w:pPr>
            <w:r w:rsidRPr="00315936">
              <w:t>Data are</w:t>
            </w:r>
            <w:r w:rsidR="00B823AB" w:rsidRPr="00315936">
              <w:t xml:space="preserve"> sourced from</w:t>
            </w:r>
            <w:r w:rsidRPr="00315936">
              <w:t xml:space="preserve"> HeART</w:t>
            </w:r>
            <w:r w:rsidR="00B5107F">
              <w:t>.</w:t>
            </w:r>
            <w:r w:rsidRPr="00315936">
              <w:t xml:space="preserve"> </w:t>
            </w:r>
            <w:r w:rsidR="00233573">
              <w:t xml:space="preserve"> </w:t>
            </w:r>
            <w:r w:rsidR="00233573" w:rsidRPr="00315936">
              <w:t>The annual result is generated on receipt of audited financial data submitted in HeART.</w:t>
            </w:r>
          </w:p>
        </w:tc>
      </w:tr>
    </w:tbl>
    <w:p w14:paraId="7E3A512C" w14:textId="680CB1E2" w:rsidR="00140581" w:rsidRPr="00315936" w:rsidRDefault="007C3AAA" w:rsidP="008E7F78">
      <w:pPr>
        <w:pStyle w:val="Heading4"/>
      </w:pPr>
      <w:bookmarkStart w:id="103" w:name="_Toc1386842645"/>
      <w:r w:rsidRPr="00315936">
        <w:t>Adjusted Current Asset Ratio (</w:t>
      </w:r>
      <w:r w:rsidR="008F647F" w:rsidRPr="00315936">
        <w:t>ACAR</w:t>
      </w:r>
      <w:r w:rsidRPr="00315936">
        <w:t>)</w:t>
      </w:r>
      <w:r w:rsidR="008F647F" w:rsidRPr="00315936">
        <w:t xml:space="preserve"> </w:t>
      </w:r>
      <w:bookmarkEnd w:id="103"/>
    </w:p>
    <w:tbl>
      <w:tblPr>
        <w:tblStyle w:val="TableGrid"/>
        <w:tblW w:w="9349" w:type="dxa"/>
        <w:tblLook w:val="04A0" w:firstRow="1" w:lastRow="0" w:firstColumn="1" w:lastColumn="0" w:noHBand="0" w:noVBand="1"/>
      </w:tblPr>
      <w:tblGrid>
        <w:gridCol w:w="1837"/>
        <w:gridCol w:w="7512"/>
      </w:tblGrid>
      <w:tr w:rsidR="00C125A9" w:rsidRPr="00315936" w14:paraId="427BCBB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1393B43" w14:textId="136FF2AB" w:rsidR="00C125A9"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7BA34ADC" w14:textId="386E5EBE" w:rsidR="00C125A9" w:rsidRPr="00315936" w:rsidRDefault="00C125A9">
            <w:pPr>
              <w:pStyle w:val="Tabletext"/>
              <w:rPr>
                <w:lang w:eastAsia="en-AU"/>
              </w:rPr>
            </w:pPr>
            <w:r w:rsidRPr="00315936">
              <w:t>Adjusted current asset ratio (ACAR)</w:t>
            </w:r>
            <w:r w:rsidR="007F0C08">
              <w:t xml:space="preserve"> </w:t>
            </w:r>
            <w:r w:rsidR="00F56390">
              <w:fldChar w:fldCharType="begin"/>
            </w:r>
            <w:r w:rsidR="00F56390">
              <w:instrText xml:space="preserve"> NOTEREF _Ref201832379 \f \h </w:instrText>
            </w:r>
            <w:r w:rsidR="00F56390">
              <w:fldChar w:fldCharType="separate"/>
            </w:r>
            <w:proofErr w:type="spellStart"/>
            <w:r w:rsidR="00F56390" w:rsidRPr="00F56390">
              <w:rPr>
                <w:rStyle w:val="EndnoteReference"/>
              </w:rPr>
              <w:t>iv</w:t>
            </w:r>
            <w:r w:rsidR="00F56390">
              <w:fldChar w:fldCharType="end"/>
            </w:r>
            <w:r w:rsidR="009D6C93" w:rsidRPr="00F56390">
              <w:rPr>
                <w:vertAlign w:val="superscript"/>
              </w:rPr>
              <w:t>,</w:t>
            </w:r>
            <w:r w:rsidR="00F56390">
              <w:rPr>
                <w:vertAlign w:val="superscript"/>
              </w:rPr>
              <w:fldChar w:fldCharType="begin"/>
            </w:r>
            <w:r w:rsidR="00F56390">
              <w:rPr>
                <w:vertAlign w:val="superscript"/>
              </w:rPr>
              <w:instrText xml:space="preserve"> NOTEREF _Ref201833119 \f \h </w:instrText>
            </w:r>
            <w:r w:rsidR="00F56390">
              <w:rPr>
                <w:vertAlign w:val="superscript"/>
              </w:rPr>
            </w:r>
            <w:r w:rsidR="00F56390">
              <w:rPr>
                <w:vertAlign w:val="superscript"/>
              </w:rPr>
              <w:fldChar w:fldCharType="separate"/>
            </w:r>
            <w:r w:rsidR="00F56390" w:rsidRPr="00F56390">
              <w:rPr>
                <w:rStyle w:val="EndnoteReference"/>
              </w:rPr>
              <w:t>v</w:t>
            </w:r>
            <w:proofErr w:type="spellEnd"/>
            <w:r w:rsidR="00F56390">
              <w:rPr>
                <w:vertAlign w:val="superscript"/>
              </w:rPr>
              <w:fldChar w:fldCharType="end"/>
            </w:r>
            <w:r w:rsidR="00F56390" w:rsidDel="00F56390">
              <w:t xml:space="preserve"> </w:t>
            </w:r>
          </w:p>
        </w:tc>
      </w:tr>
      <w:tr w:rsidR="00C125A9" w:rsidRPr="00315936" w14:paraId="169B7AA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243E834" w14:textId="77777777" w:rsidR="00C125A9" w:rsidRPr="00315936" w:rsidRDefault="00C125A9">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222FE4DD" w14:textId="6AEA6D5D" w:rsidR="00C125A9" w:rsidRPr="00315936" w:rsidRDefault="00C125A9">
            <w:pPr>
              <w:pStyle w:val="Tabletext"/>
            </w:pPr>
            <w:r w:rsidRPr="00315936">
              <w:t xml:space="preserve">This </w:t>
            </w:r>
            <w:r w:rsidR="00C3016B" w:rsidRPr="00315936">
              <w:t>measure</w:t>
            </w:r>
            <w:r w:rsidRPr="00315936">
              <w:t xml:space="preserve"> </w:t>
            </w:r>
            <w:r w:rsidR="001A3202">
              <w:t>assesses the</w:t>
            </w:r>
            <w:r w:rsidRPr="00315936">
              <w:t xml:space="preserve"> financial liquidity</w:t>
            </w:r>
            <w:r w:rsidR="001A3202">
              <w:t xml:space="preserve"> of an organisation by comparing </w:t>
            </w:r>
            <w:r w:rsidR="004D744C">
              <w:t>its</w:t>
            </w:r>
            <w:r w:rsidR="001A3202" w:rsidRPr="00315936">
              <w:t xml:space="preserve"> current assets to its current liabilities</w:t>
            </w:r>
            <w:r w:rsidRPr="00315936">
              <w:t>.</w:t>
            </w:r>
          </w:p>
          <w:p w14:paraId="226BC130" w14:textId="6DF97E44" w:rsidR="00C125A9" w:rsidRPr="00315936" w:rsidRDefault="00C125A9">
            <w:pPr>
              <w:pStyle w:val="Tabletext"/>
            </w:pPr>
            <w:r w:rsidRPr="00315936">
              <w:t xml:space="preserve">The generally accepted current asset ratio (CAR) is a financial ratio that measures whether or not an organisation has enough resources to pay its debts over the next 12 months. </w:t>
            </w:r>
          </w:p>
          <w:p w14:paraId="1ADF0C2E" w14:textId="0821C2EC" w:rsidR="00C125A9" w:rsidRPr="00315936" w:rsidRDefault="00C125A9">
            <w:pPr>
              <w:pStyle w:val="Tabletext"/>
            </w:pPr>
            <w:r w:rsidRPr="00315936">
              <w:t xml:space="preserve">The CAR </w:t>
            </w:r>
            <w:r w:rsidR="0075409C">
              <w:t>is</w:t>
            </w:r>
            <w:r w:rsidRPr="00315936">
              <w:t xml:space="preserve"> adjusted to include ‘Long-Term Investments: Other financial assets’ (which excludes Land and Buildings)</w:t>
            </w:r>
            <w:r w:rsidR="003F0456">
              <w:t xml:space="preserve"> to recognise</w:t>
            </w:r>
            <w:r w:rsidRPr="00315936">
              <w:t xml:space="preserve"> the different cash management approaches/</w:t>
            </w:r>
            <w:r w:rsidR="003F0456">
              <w:t xml:space="preserve"> </w:t>
            </w:r>
            <w:r w:rsidRPr="00315936">
              <w:t xml:space="preserve">strategies employed by health services. For example, health services may move short-term cash assets into longer term investments, which are not recognised by traditional CAR calculations. Further, the Long Service Leave liability </w:t>
            </w:r>
            <w:r w:rsidR="003F0456">
              <w:t>is</w:t>
            </w:r>
            <w:r w:rsidRPr="00315936">
              <w:t xml:space="preserve"> adjusted </w:t>
            </w:r>
            <w:r w:rsidR="009D0D04">
              <w:t>to include</w:t>
            </w:r>
            <w:r w:rsidR="009D0D04" w:rsidRPr="00315936">
              <w:t xml:space="preserve"> </w:t>
            </w:r>
            <w:r w:rsidRPr="00315936">
              <w:t xml:space="preserve">only the current portion of liability. This </w:t>
            </w:r>
            <w:r w:rsidR="009D0D04">
              <w:t>uses</w:t>
            </w:r>
            <w:r w:rsidRPr="00315936">
              <w:t xml:space="preserve"> a factor based on the previous year’s full year balances.</w:t>
            </w:r>
          </w:p>
          <w:p w14:paraId="79E30DF5" w14:textId="0F59A7E1" w:rsidR="00C125A9" w:rsidRPr="00315936" w:rsidRDefault="007B6C58">
            <w:pPr>
              <w:pStyle w:val="Tabletext"/>
              <w:rPr>
                <w:lang w:eastAsia="en-AU"/>
              </w:rPr>
            </w:pPr>
            <w:r w:rsidRPr="00315936">
              <w:t>SoP</w:t>
            </w:r>
            <w:r w:rsidR="00C125A9" w:rsidRPr="00315936">
              <w:t xml:space="preserve"> targets</w:t>
            </w:r>
            <w:r w:rsidR="00C125A9" w:rsidRPr="00315936" w:rsidDel="00625595">
              <w:t xml:space="preserve"> </w:t>
            </w:r>
            <w:r w:rsidR="00C125A9" w:rsidRPr="00315936">
              <w:t>recognise the different starting points for health services and focus on achieving performance improvement overtime or maintaining good performance. This aligns with the department’s reform priority to increase the financial sustainability and productivity of the health system.</w:t>
            </w:r>
          </w:p>
        </w:tc>
      </w:tr>
      <w:tr w:rsidR="00C125A9" w:rsidRPr="00315936" w14:paraId="077AA4AE"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5BC0119" w14:textId="77777777" w:rsidR="00C125A9" w:rsidRPr="00315936" w:rsidRDefault="00C125A9">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78830607" w14:textId="573DE067" w:rsidR="00C125A9" w:rsidRPr="00315936" w:rsidRDefault="002441C9">
            <w:pPr>
              <w:pStyle w:val="Tabletext"/>
            </w:pPr>
            <w:r>
              <w:t>Performance is measured by t</w:t>
            </w:r>
            <w:r w:rsidR="00C125A9" w:rsidRPr="00315936">
              <w:t>he variance between actual ACAR based on the audited 30 June result and the target/benchmark. Targets are based on a health service’s final audited ACAR result for the previous financial year, which form the ‘base’ upon which health services will be measured.</w:t>
            </w:r>
          </w:p>
          <w:p w14:paraId="558B349A" w14:textId="58FB6B3E" w:rsidR="00C125A9" w:rsidRPr="00315936" w:rsidRDefault="00C125A9">
            <w:pPr>
              <w:pStyle w:val="Tabletext"/>
            </w:pPr>
            <w:r w:rsidRPr="00315936">
              <w:t xml:space="preserve">Health services </w:t>
            </w:r>
            <w:r w:rsidR="00531C2C">
              <w:t>with</w:t>
            </w:r>
            <w:r w:rsidRPr="00315936">
              <w:t xml:space="preserve"> a base of 0.7 or above (that is, their audited ACAR for the previous year was 0.7 or greater) will obtain full achievement of </w:t>
            </w:r>
            <w:r w:rsidR="000A4371">
              <w:t>target</w:t>
            </w:r>
            <w:r w:rsidRPr="00315936">
              <w:t xml:space="preserve"> provided they maintain their ACAR above 0.7 (statewide benchmark).</w:t>
            </w:r>
          </w:p>
          <w:p w14:paraId="586DCDBD" w14:textId="7F303C4B" w:rsidR="00C125A9" w:rsidRPr="00315936" w:rsidRDefault="00C125A9">
            <w:pPr>
              <w:pStyle w:val="Tabletext"/>
              <w:rPr>
                <w:lang w:eastAsia="en-AU"/>
              </w:rPr>
            </w:pPr>
            <w:r w:rsidRPr="00315936">
              <w:t xml:space="preserve">Health services </w:t>
            </w:r>
            <w:r w:rsidRPr="00315936" w:rsidDel="000A4371">
              <w:t xml:space="preserve">starting </w:t>
            </w:r>
            <w:r w:rsidRPr="00315936">
              <w:t>with a base below 0.7 will be required to achieve a 3 per cent improvement (improvement target) from their base</w:t>
            </w:r>
            <w:r w:rsidRPr="00315936" w:rsidDel="000A4371">
              <w:t xml:space="preserve"> </w:t>
            </w:r>
            <w:r w:rsidRPr="00315936">
              <w:t>to</w:t>
            </w:r>
            <w:r w:rsidR="00531C2C">
              <w:t xml:space="preserve"> achieve target</w:t>
            </w:r>
            <w:r w:rsidRPr="00315936" w:rsidDel="00531C2C">
              <w:t>.</w:t>
            </w:r>
          </w:p>
        </w:tc>
      </w:tr>
      <w:tr w:rsidR="00C125A9" w:rsidRPr="00315936" w14:paraId="3C0F2C6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70C5299" w14:textId="77777777" w:rsidR="00C125A9" w:rsidRPr="00315936" w:rsidRDefault="00C125A9">
            <w:pPr>
              <w:pStyle w:val="Tablecolhead"/>
              <w:rPr>
                <w:b w:val="0"/>
                <w:lang w:eastAsia="en-AU"/>
              </w:rPr>
            </w:pPr>
            <w:r w:rsidRPr="00315936">
              <w:rPr>
                <w:b w:val="0"/>
                <w:lang w:eastAsia="en-AU"/>
              </w:rPr>
              <w:t>Numerator</w:t>
            </w:r>
          </w:p>
        </w:tc>
        <w:tc>
          <w:tcPr>
            <w:tcW w:w="7512" w:type="dxa"/>
            <w:tcBorders>
              <w:left w:val="single" w:sz="4" w:space="0" w:color="FFFFFF" w:themeColor="background1"/>
            </w:tcBorders>
          </w:tcPr>
          <w:p w14:paraId="7EC97193" w14:textId="398FC459" w:rsidR="00C125A9" w:rsidRPr="00315936" w:rsidRDefault="006B0CBC">
            <w:pPr>
              <w:pStyle w:val="Tabletext"/>
              <w:rPr>
                <w:lang w:val="en-GB"/>
              </w:rPr>
            </w:pPr>
            <w:r>
              <w:rPr>
                <w:lang w:val="en-GB"/>
              </w:rPr>
              <w:t xml:space="preserve">The sum of </w:t>
            </w:r>
            <w:r w:rsidR="003436E2">
              <w:rPr>
                <w:lang w:val="en-GB"/>
              </w:rPr>
              <w:t>dollar values of c</w:t>
            </w:r>
            <w:r w:rsidR="00C125A9" w:rsidRPr="00315936">
              <w:rPr>
                <w:lang w:val="en-GB"/>
              </w:rPr>
              <w:t>urrent asset</w:t>
            </w:r>
            <w:r>
              <w:rPr>
                <w:lang w:val="en-GB"/>
              </w:rPr>
              <w:t>s</w:t>
            </w:r>
            <w:r w:rsidR="00C125A9" w:rsidRPr="00315936">
              <w:rPr>
                <w:lang w:val="en-GB"/>
              </w:rPr>
              <w:t xml:space="preserve"> and long-term investment</w:t>
            </w:r>
            <w:r>
              <w:rPr>
                <w:lang w:val="en-GB"/>
              </w:rPr>
              <w:t>s</w:t>
            </w:r>
            <w:r w:rsidR="003436E2">
              <w:rPr>
                <w:lang w:val="en-GB"/>
              </w:rPr>
              <w:t>,</w:t>
            </w:r>
            <w:r w:rsidR="00C125A9" w:rsidRPr="00315936" w:rsidDel="003436E2">
              <w:rPr>
                <w:lang w:val="en-GB"/>
              </w:rPr>
              <w:t xml:space="preserve"> </w:t>
            </w:r>
            <w:r w:rsidR="00C125A9" w:rsidRPr="00315936">
              <w:rPr>
                <w:lang w:val="en-GB"/>
              </w:rPr>
              <w:t xml:space="preserve">defined </w:t>
            </w:r>
            <w:r w:rsidR="00A755BC">
              <w:rPr>
                <w:lang w:val="en-GB"/>
              </w:rPr>
              <w:t>by</w:t>
            </w:r>
            <w:r w:rsidR="00C125A9" w:rsidRPr="00315936">
              <w:rPr>
                <w:lang w:val="en-GB"/>
              </w:rPr>
              <w:t>:</w:t>
            </w:r>
          </w:p>
          <w:p w14:paraId="111704DF" w14:textId="77777777" w:rsidR="00C125A9" w:rsidRPr="00315936" w:rsidRDefault="00C125A9" w:rsidP="001A453F">
            <w:pPr>
              <w:pStyle w:val="Tablebullet1"/>
            </w:pPr>
            <w:r w:rsidRPr="00315936">
              <w:t>accounts 70001 to 73391: cash at bank and on hand, patient trusts, other trusts, and short-term investments – cash equivalents</w:t>
            </w:r>
          </w:p>
          <w:p w14:paraId="3B22AB37" w14:textId="6414D1B2" w:rsidR="00C125A9" w:rsidRPr="00315936" w:rsidRDefault="00C125A9" w:rsidP="001A453F">
            <w:pPr>
              <w:pStyle w:val="Tablebullet1"/>
              <w:rPr>
                <w:lang w:eastAsia="en-AU"/>
              </w:rPr>
            </w:pPr>
            <w:r w:rsidRPr="00315936">
              <w:t>accounts 75001 to 75269: long-term investments</w:t>
            </w:r>
            <w:r w:rsidR="009640F6">
              <w:t>.</w:t>
            </w:r>
          </w:p>
        </w:tc>
      </w:tr>
      <w:tr w:rsidR="00C125A9" w:rsidRPr="00315936" w14:paraId="21B99DD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D2759F0" w14:textId="77777777" w:rsidR="00C125A9" w:rsidRPr="00315936" w:rsidRDefault="00C125A9">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21F3D185" w14:textId="525DBA4B" w:rsidR="00C125A9" w:rsidRPr="00315936" w:rsidRDefault="003436E2" w:rsidP="00A755BC">
            <w:pPr>
              <w:pStyle w:val="Tabletext"/>
              <w:rPr>
                <w:lang w:eastAsia="en-AU"/>
              </w:rPr>
            </w:pPr>
            <w:r>
              <w:rPr>
                <w:lang w:val="en-GB"/>
              </w:rPr>
              <w:t>The sum of dollar values of a</w:t>
            </w:r>
            <w:r w:rsidR="00C125A9" w:rsidRPr="00315936">
              <w:t>ll short-term liabilities</w:t>
            </w:r>
            <w:r w:rsidR="00C631E4">
              <w:t>,</w:t>
            </w:r>
            <w:r w:rsidR="00C125A9" w:rsidRPr="00315936">
              <w:t xml:space="preserve"> defined </w:t>
            </w:r>
            <w:r w:rsidR="00A755BC">
              <w:t>by</w:t>
            </w:r>
            <w:r w:rsidR="00C125A9" w:rsidRPr="00315936">
              <w:t xml:space="preserve"> accounts 80000 to 86699</w:t>
            </w:r>
            <w:r w:rsidR="00A755BC">
              <w:t>, excluding</w:t>
            </w:r>
            <w:r w:rsidR="00C125A9" w:rsidRPr="00315936">
              <w:t xml:space="preserve"> the non-current portion of long service leave (LSL) liability</w:t>
            </w:r>
            <w:r w:rsidR="00A755BC">
              <w:t xml:space="preserve"> </w:t>
            </w:r>
            <w:r w:rsidR="00C125A9" w:rsidRPr="00315936">
              <w:t xml:space="preserve">based on previous year’s </w:t>
            </w:r>
            <w:r w:rsidR="00A67D0D" w:rsidRPr="00315936">
              <w:t>per cent</w:t>
            </w:r>
            <w:r w:rsidR="00C125A9" w:rsidRPr="00315936">
              <w:t xml:space="preserve"> of total LSL balance for each health service.</w:t>
            </w:r>
          </w:p>
        </w:tc>
      </w:tr>
      <w:tr w:rsidR="00C125A9" w:rsidRPr="00315936" w14:paraId="42979652"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8E9996C" w14:textId="77777777" w:rsidR="00C125A9" w:rsidRPr="00315936" w:rsidRDefault="00C125A9">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64AFAD48" w14:textId="058CA9F0" w:rsidR="00C125A9" w:rsidRPr="00185862" w:rsidRDefault="00C125A9">
            <w:pPr>
              <w:pStyle w:val="Tabletext"/>
              <w:rPr>
                <w:lang w:eastAsia="en-AU"/>
              </w:rPr>
            </w:pPr>
            <w:r w:rsidRPr="00185862">
              <w:t>0.7</w:t>
            </w:r>
            <w:r w:rsidR="3BEDF975" w:rsidRPr="00185862">
              <w:t xml:space="preserve"> or 3 per cent improvement from base target</w:t>
            </w:r>
          </w:p>
        </w:tc>
      </w:tr>
      <w:tr w:rsidR="00C125A9" w:rsidRPr="00315936" w14:paraId="227D7E1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49504A0" w14:textId="1752C3F3" w:rsidR="00C125A9" w:rsidRPr="00315936" w:rsidRDefault="00CC6FEF">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03DF243A" w14:textId="2BA14342" w:rsidR="00C125A9" w:rsidRPr="00315936" w:rsidRDefault="5C2CE458">
            <w:pPr>
              <w:pStyle w:val="Tabletext"/>
            </w:pPr>
            <w:r>
              <w:t>At least 0.7 or greater than or equal to 3 per cent improvement from health service base target.</w:t>
            </w:r>
          </w:p>
        </w:tc>
      </w:tr>
      <w:tr w:rsidR="00C125A9" w:rsidRPr="00315936" w14:paraId="68412556"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35B1AF6" w14:textId="28C13627" w:rsidR="00C125A9" w:rsidRPr="00315936" w:rsidRDefault="00CC6FEF">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19262AB5" w14:textId="1DBC4616" w:rsidR="00C125A9" w:rsidRPr="00315936" w:rsidRDefault="3896B150">
            <w:pPr>
              <w:pStyle w:val="Tabletext"/>
            </w:pPr>
            <w:r>
              <w:t>Less than 0.7 and less than 3 per cent improvement from health service base target.</w:t>
            </w:r>
          </w:p>
        </w:tc>
      </w:tr>
      <w:tr w:rsidR="00C125A9" w:rsidRPr="00315936" w14:paraId="0EB1460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767FAA2" w14:textId="77777777" w:rsidR="00C125A9" w:rsidRPr="00315936" w:rsidRDefault="00C125A9">
            <w:pPr>
              <w:pStyle w:val="Tablecolhead"/>
              <w:rPr>
                <w:b w:val="0"/>
                <w:lang w:eastAsia="en-AU"/>
              </w:rPr>
            </w:pPr>
            <w:r w:rsidRPr="00315936">
              <w:rPr>
                <w:b w:val="0"/>
                <w:lang w:eastAsia="en-AU"/>
              </w:rPr>
              <w:lastRenderedPageBreak/>
              <w:t>Improvement</w:t>
            </w:r>
          </w:p>
        </w:tc>
        <w:tc>
          <w:tcPr>
            <w:tcW w:w="7512" w:type="dxa"/>
            <w:tcBorders>
              <w:left w:val="single" w:sz="4" w:space="0" w:color="FFFFFF" w:themeColor="background1"/>
            </w:tcBorders>
          </w:tcPr>
          <w:p w14:paraId="3B06CB47" w14:textId="0EF229C8" w:rsidR="00C125A9" w:rsidRPr="00315936" w:rsidRDefault="00C125A9">
            <w:pPr>
              <w:pStyle w:val="Tabletext"/>
              <w:rPr>
                <w:lang w:eastAsia="en-AU"/>
              </w:rPr>
            </w:pPr>
            <w:r w:rsidRPr="00315936">
              <w:t>For the purpose of the performance risk assessment</w:t>
            </w:r>
            <w:r w:rsidR="00355069" w:rsidRPr="00315936">
              <w:t>,</w:t>
            </w:r>
            <w:r w:rsidRPr="00315936">
              <w:t xml:space="preserve"> improvement is assessed against the phased target results, except for Q1 which is assessed against same time last year performance.</w:t>
            </w:r>
          </w:p>
        </w:tc>
      </w:tr>
      <w:tr w:rsidR="00C125A9" w:rsidRPr="00315936" w14:paraId="52059A2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41D7345C" w14:textId="77777777" w:rsidR="00C125A9" w:rsidRPr="00315936" w:rsidRDefault="00C125A9">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78007666" w14:textId="5A58E463" w:rsidR="00C125A9" w:rsidRPr="00315936" w:rsidRDefault="00C125A9">
            <w:pPr>
              <w:pStyle w:val="Tabletext"/>
            </w:pPr>
            <w:r w:rsidRPr="00315936">
              <w:t xml:space="preserve">Performance is </w:t>
            </w:r>
            <w:r w:rsidR="005446D7" w:rsidRPr="00315936">
              <w:t xml:space="preserve">reported </w:t>
            </w:r>
            <w:r w:rsidRPr="00315936">
              <w:t>monthly</w:t>
            </w:r>
            <w:r w:rsidR="005446D7" w:rsidRPr="00315936">
              <w:t xml:space="preserve"> and annually</w:t>
            </w:r>
            <w:r w:rsidRPr="00315936">
              <w:t>.</w:t>
            </w:r>
          </w:p>
          <w:p w14:paraId="40352628" w14:textId="7E49DCFB" w:rsidR="00C125A9" w:rsidRPr="00315936" w:rsidRDefault="00C125A9">
            <w:pPr>
              <w:pStyle w:val="Tabletext"/>
            </w:pPr>
            <w:r w:rsidRPr="00315936">
              <w:t>Data are</w:t>
            </w:r>
            <w:r w:rsidR="00DE2DAC" w:rsidRPr="00315936">
              <w:t xml:space="preserve"> sourced from</w:t>
            </w:r>
            <w:r w:rsidRPr="00315936">
              <w:t xml:space="preserve"> HeART. </w:t>
            </w:r>
            <w:r w:rsidR="00C2354D" w:rsidRPr="00315936">
              <w:t>The annual result is generated on receipt of audited financial data submitted in HeART.</w:t>
            </w:r>
          </w:p>
        </w:tc>
      </w:tr>
    </w:tbl>
    <w:p w14:paraId="0C948461" w14:textId="54C5223D" w:rsidR="005D3AB6" w:rsidRPr="00315936" w:rsidRDefault="005D3AB6" w:rsidP="008E7F78">
      <w:pPr>
        <w:pStyle w:val="Heading4"/>
      </w:pPr>
      <w:bookmarkStart w:id="104" w:name="_Toc608118194"/>
      <w:r w:rsidRPr="00315936">
        <w:t xml:space="preserve">Variance between forecast and actual </w:t>
      </w:r>
      <w:r w:rsidR="00203928">
        <w:t>Operating</w:t>
      </w:r>
      <w:r w:rsidRPr="00315936">
        <w:t xml:space="preserve"> </w:t>
      </w:r>
      <w:r w:rsidR="00203928">
        <w:t>R</w:t>
      </w:r>
      <w:r w:rsidRPr="00315936">
        <w:t xml:space="preserve">esult </w:t>
      </w:r>
      <w:r w:rsidR="00203928">
        <w:t xml:space="preserve">(OR) </w:t>
      </w:r>
      <w:r w:rsidR="00051451">
        <w:t>as a percentage of the forecast OR</w:t>
      </w:r>
      <w:r w:rsidRPr="00315936">
        <w:t xml:space="preserve"> for the current financial year ending 30 June</w:t>
      </w:r>
      <w:bookmarkEnd w:id="104"/>
    </w:p>
    <w:tbl>
      <w:tblPr>
        <w:tblStyle w:val="TableGrid"/>
        <w:tblW w:w="9349" w:type="dxa"/>
        <w:tblLook w:val="04A0" w:firstRow="1" w:lastRow="0" w:firstColumn="1" w:lastColumn="0" w:noHBand="0" w:noVBand="1"/>
      </w:tblPr>
      <w:tblGrid>
        <w:gridCol w:w="1837"/>
        <w:gridCol w:w="7512"/>
      </w:tblGrid>
      <w:tr w:rsidR="009B509E" w:rsidRPr="00315936" w14:paraId="753FFBEB"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3895E1E" w14:textId="503F6B5A" w:rsidR="009B509E" w:rsidRPr="00315936" w:rsidRDefault="00C3016B">
            <w:pPr>
              <w:pStyle w:val="Tablecolhead"/>
              <w:rPr>
                <w:b w:val="0"/>
                <w:lang w:eastAsia="en-AU"/>
              </w:rPr>
            </w:pPr>
            <w:r w:rsidRPr="00315936">
              <w:rPr>
                <w:b w:val="0"/>
                <w:lang w:eastAsia="en-AU"/>
              </w:rPr>
              <w:t>Measure</w:t>
            </w:r>
          </w:p>
        </w:tc>
        <w:tc>
          <w:tcPr>
            <w:tcW w:w="7512" w:type="dxa"/>
            <w:tcBorders>
              <w:left w:val="single" w:sz="4" w:space="0" w:color="FFFFFF" w:themeColor="background1"/>
            </w:tcBorders>
          </w:tcPr>
          <w:p w14:paraId="67EC748C" w14:textId="324B294F" w:rsidR="009B509E" w:rsidRPr="00AC34D9" w:rsidRDefault="009B509E">
            <w:pPr>
              <w:pStyle w:val="Tabletext"/>
              <w:rPr>
                <w:rFonts w:ascii="VIC" w:eastAsia="VIC" w:hAnsi="VIC" w:cs="VIC"/>
                <w:sz w:val="20"/>
              </w:rPr>
            </w:pPr>
            <w:r w:rsidRPr="008742FB">
              <w:t xml:space="preserve">Variance between forecast and actual </w:t>
            </w:r>
            <w:r w:rsidR="00B76E7D">
              <w:t>operating result (</w:t>
            </w:r>
            <w:r w:rsidR="00051451">
              <w:t>OR</w:t>
            </w:r>
            <w:r w:rsidR="00B76E7D">
              <w:t>)</w:t>
            </w:r>
            <w:r w:rsidRPr="008742FB">
              <w:t xml:space="preserve"> </w:t>
            </w:r>
            <w:r w:rsidR="00446B3A">
              <w:t xml:space="preserve">as a </w:t>
            </w:r>
            <w:r w:rsidR="00F86D37">
              <w:t>percentage of the forecast OR</w:t>
            </w:r>
            <w:r w:rsidRPr="008742FB">
              <w:t xml:space="preserve"> for the current financial year ending 30 June</w:t>
            </w:r>
            <w:r w:rsidR="00F56390">
              <w:t xml:space="preserve"> </w:t>
            </w:r>
            <w:r w:rsidR="00F56390">
              <w:fldChar w:fldCharType="begin"/>
            </w:r>
            <w:r w:rsidR="00F56390">
              <w:instrText xml:space="preserve"> NOTEREF _Ref201832379 \f \h </w:instrText>
            </w:r>
            <w:r w:rsidR="00F56390">
              <w:fldChar w:fldCharType="separate"/>
            </w:r>
            <w:proofErr w:type="spellStart"/>
            <w:r w:rsidR="00F56390" w:rsidRPr="00F56390">
              <w:rPr>
                <w:rStyle w:val="EndnoteReference"/>
              </w:rPr>
              <w:t>iv</w:t>
            </w:r>
            <w:r w:rsidR="00F56390">
              <w:fldChar w:fldCharType="end"/>
            </w:r>
            <w:r w:rsidR="00FB5302" w:rsidRPr="00F56390">
              <w:rPr>
                <w:vertAlign w:val="superscript"/>
              </w:rPr>
              <w:t>,</w:t>
            </w:r>
            <w:r w:rsidR="00F56390">
              <w:rPr>
                <w:vertAlign w:val="superscript"/>
              </w:rPr>
              <w:fldChar w:fldCharType="begin"/>
            </w:r>
            <w:r w:rsidR="00F56390">
              <w:rPr>
                <w:vertAlign w:val="superscript"/>
              </w:rPr>
              <w:instrText xml:space="preserve"> NOTEREF _Ref201833119 \f \h </w:instrText>
            </w:r>
            <w:r w:rsidR="00F56390">
              <w:rPr>
                <w:vertAlign w:val="superscript"/>
              </w:rPr>
            </w:r>
            <w:r w:rsidR="00F56390">
              <w:rPr>
                <w:vertAlign w:val="superscript"/>
              </w:rPr>
              <w:fldChar w:fldCharType="separate"/>
            </w:r>
            <w:r w:rsidR="00F56390" w:rsidRPr="00F56390">
              <w:rPr>
                <w:rStyle w:val="EndnoteReference"/>
              </w:rPr>
              <w:t>v</w:t>
            </w:r>
            <w:proofErr w:type="spellEnd"/>
            <w:r w:rsidR="00F56390">
              <w:rPr>
                <w:vertAlign w:val="superscript"/>
              </w:rPr>
              <w:fldChar w:fldCharType="end"/>
            </w:r>
            <w:r w:rsidR="00FB5302">
              <w:fldChar w:fldCharType="begin"/>
            </w:r>
            <w:r w:rsidR="00FB5302">
              <w:instrText xml:space="preserve"> NOTEREF _Ref201303849 \f \h </w:instrText>
            </w:r>
            <w:r w:rsidR="00FB5302">
              <w:fldChar w:fldCharType="separate"/>
            </w:r>
            <w:r w:rsidR="00FB5302">
              <w:fldChar w:fldCharType="end"/>
            </w:r>
          </w:p>
        </w:tc>
      </w:tr>
      <w:tr w:rsidR="009B509E" w:rsidRPr="00315936" w14:paraId="59C8F497"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2B05724" w14:textId="77777777" w:rsidR="009B509E" w:rsidRPr="00315936" w:rsidRDefault="009B509E">
            <w:pPr>
              <w:pStyle w:val="Tablecolhead"/>
              <w:rPr>
                <w:b w:val="0"/>
                <w:lang w:eastAsia="en-AU"/>
              </w:rPr>
            </w:pPr>
            <w:r w:rsidRPr="00315936">
              <w:rPr>
                <w:b w:val="0"/>
                <w:lang w:eastAsia="en-AU"/>
              </w:rPr>
              <w:t>Description </w:t>
            </w:r>
          </w:p>
        </w:tc>
        <w:tc>
          <w:tcPr>
            <w:tcW w:w="7512" w:type="dxa"/>
            <w:tcBorders>
              <w:left w:val="single" w:sz="4" w:space="0" w:color="FFFFFF" w:themeColor="background1"/>
            </w:tcBorders>
          </w:tcPr>
          <w:p w14:paraId="320BC1CB" w14:textId="2E69EA5F" w:rsidR="009B509E" w:rsidRPr="00315936" w:rsidRDefault="009B509E">
            <w:pPr>
              <w:pStyle w:val="Tabletext"/>
              <w:rPr>
                <w:rFonts w:ascii="VIC" w:eastAsia="VIC" w:hAnsi="VIC" w:cs="VIC"/>
                <w:color w:val="000000" w:themeColor="text1"/>
                <w:sz w:val="20"/>
              </w:rPr>
            </w:pPr>
            <w:r w:rsidRPr="00315936">
              <w:t>This measure</w:t>
            </w:r>
            <w:r w:rsidR="00555D48">
              <w:t>s</w:t>
            </w:r>
            <w:r w:rsidRPr="00315936" w:rsidDel="00555D48">
              <w:t xml:space="preserve"> </w:t>
            </w:r>
            <w:r w:rsidRPr="00315936">
              <w:t>the accuracy of forecasting the</w:t>
            </w:r>
            <w:r w:rsidR="00F86D37">
              <w:t xml:space="preserve"> OR</w:t>
            </w:r>
            <w:r w:rsidRPr="00315936">
              <w:t xml:space="preserve"> for the current financial year ending 30 June.</w:t>
            </w:r>
          </w:p>
          <w:p w14:paraId="081647B1" w14:textId="5D296907" w:rsidR="009B509E" w:rsidRPr="00315936" w:rsidRDefault="3A48FD23" w:rsidP="554FA974">
            <w:pPr>
              <w:pStyle w:val="Tabletext"/>
              <w:rPr>
                <w:rFonts w:ascii="VIC" w:eastAsia="VIC" w:hAnsi="VIC" w:cs="VIC"/>
                <w:color w:val="000000" w:themeColor="text1"/>
                <w:sz w:val="20"/>
              </w:rPr>
            </w:pPr>
            <w:r>
              <w:t>H</w:t>
            </w:r>
            <w:r w:rsidR="4B8DD418">
              <w:t xml:space="preserve">ealth services </w:t>
            </w:r>
            <w:r w:rsidR="288F07F7">
              <w:t>should</w:t>
            </w:r>
            <w:r w:rsidR="0FA3276D">
              <w:t xml:space="preserve"> forecast </w:t>
            </w:r>
            <w:r w:rsidR="04C35B40">
              <w:t xml:space="preserve">the </w:t>
            </w:r>
            <w:r w:rsidR="0DBE2989">
              <w:t>OR</w:t>
            </w:r>
            <w:r w:rsidR="4B8DD418">
              <w:t xml:space="preserve"> with sufficient accuracy</w:t>
            </w:r>
            <w:r w:rsidR="066F7899">
              <w:t xml:space="preserve">. Acceptable variance is </w:t>
            </w:r>
            <w:r w:rsidR="4B8DD418">
              <w:t xml:space="preserve">within </w:t>
            </w:r>
            <w:r w:rsidR="2C472942">
              <w:t>five per cent</w:t>
            </w:r>
            <w:r w:rsidR="4B8DD418">
              <w:t xml:space="preserve"> </w:t>
            </w:r>
            <w:r w:rsidR="04A63939">
              <w:t>of actual OR</w:t>
            </w:r>
            <w:r w:rsidR="4B8DD418">
              <w:t>.</w:t>
            </w:r>
          </w:p>
        </w:tc>
      </w:tr>
      <w:tr w:rsidR="009B509E" w:rsidRPr="00315936" w14:paraId="7A370E50" w14:textId="77777777" w:rsidTr="00535D2B">
        <w:trPr>
          <w:trHeight w:val="3264"/>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D5C33E7" w14:textId="77777777" w:rsidR="009B509E" w:rsidRPr="00315936" w:rsidRDefault="009B509E">
            <w:pPr>
              <w:pStyle w:val="Tablecolhead"/>
              <w:rPr>
                <w:b w:val="0"/>
                <w:lang w:eastAsia="en-AU"/>
              </w:rPr>
            </w:pPr>
            <w:r w:rsidRPr="00315936">
              <w:rPr>
                <w:b w:val="0"/>
                <w:lang w:eastAsia="en-AU"/>
              </w:rPr>
              <w:t>Calculating performance</w:t>
            </w:r>
          </w:p>
        </w:tc>
        <w:tc>
          <w:tcPr>
            <w:tcW w:w="7512" w:type="dxa"/>
            <w:tcBorders>
              <w:left w:val="single" w:sz="4" w:space="0" w:color="FFFFFF" w:themeColor="background1"/>
            </w:tcBorders>
          </w:tcPr>
          <w:p w14:paraId="48737AB1" w14:textId="2A0647A2" w:rsidR="00E40186" w:rsidRDefault="009B509E">
            <w:pPr>
              <w:pStyle w:val="Tabletext"/>
            </w:pPr>
            <w:r w:rsidRPr="00315936">
              <w:t>The result compares the consolidated</w:t>
            </w:r>
            <w:r w:rsidR="00102336">
              <w:t xml:space="preserve"> May</w:t>
            </w:r>
            <w:r w:rsidRPr="00315936">
              <w:t xml:space="preserve"> forecast </w:t>
            </w:r>
            <w:r w:rsidR="00D6747C">
              <w:t>OR</w:t>
            </w:r>
            <w:r w:rsidR="00587ADC">
              <w:t>,</w:t>
            </w:r>
            <w:r w:rsidRPr="00315936">
              <w:t xml:space="preserve"> as reported to the department </w:t>
            </w:r>
            <w:r w:rsidR="00D6747C">
              <w:t>on 20</w:t>
            </w:r>
            <w:r w:rsidR="004F508C" w:rsidRPr="00315936">
              <w:t xml:space="preserve"> June</w:t>
            </w:r>
            <w:r w:rsidRPr="00315936">
              <w:t xml:space="preserve"> of the current financial year, in the </w:t>
            </w:r>
            <w:r w:rsidR="00535102" w:rsidRPr="00315936">
              <w:t xml:space="preserve">Health Agencies Reporting Tool (HeART) </w:t>
            </w:r>
            <w:r w:rsidR="00385E49" w:rsidRPr="00315936">
              <w:t xml:space="preserve">Revised Estimates </w:t>
            </w:r>
            <w:r w:rsidRPr="00315936">
              <w:t xml:space="preserve">submission, with the consolidated actual </w:t>
            </w:r>
            <w:r w:rsidR="007A0E3B">
              <w:t>OR</w:t>
            </w:r>
            <w:r w:rsidRPr="00315936">
              <w:t xml:space="preserve"> reported in the Comprehensive Operating Statement in the Audited Financial Statements. </w:t>
            </w:r>
          </w:p>
          <w:p w14:paraId="253FDFBD" w14:textId="0E32A869" w:rsidR="009B509E" w:rsidRPr="00315936" w:rsidRDefault="009B509E">
            <w:pPr>
              <w:pStyle w:val="Tabletext"/>
              <w:rPr>
                <w:rFonts w:ascii="VIC" w:eastAsia="VIC" w:hAnsi="VIC" w:cs="VIC"/>
                <w:color w:val="000000" w:themeColor="text1"/>
                <w:sz w:val="20"/>
              </w:rPr>
            </w:pPr>
            <w:r w:rsidRPr="00315936">
              <w:t>This comparison is</w:t>
            </w:r>
            <w:r w:rsidR="0006069F">
              <w:t xml:space="preserve"> calculated using numerical variance</w:t>
            </w:r>
            <w:r w:rsidRPr="00315936">
              <w:t xml:space="preserve"> expressed as a</w:t>
            </w:r>
            <w:r w:rsidR="002C65B7">
              <w:t xml:space="preserve"> percentage of forecast OR. If the </w:t>
            </w:r>
            <w:r w:rsidR="009643CF">
              <w:t>forecast OR is zero, the measure will default to zero.</w:t>
            </w:r>
            <w:r w:rsidRPr="00315936">
              <w:t xml:space="preserve"> </w:t>
            </w:r>
          </w:p>
          <w:p w14:paraId="1E771FB1" w14:textId="65411BBF" w:rsidR="009B509E" w:rsidRPr="00315936" w:rsidRDefault="009B509E">
            <w:pPr>
              <w:pStyle w:val="Tabletext"/>
              <w:rPr>
                <w:rFonts w:ascii="VIC" w:eastAsia="VIC" w:hAnsi="VIC" w:cs="VIC"/>
                <w:color w:val="000000" w:themeColor="text1"/>
                <w:sz w:val="20"/>
              </w:rPr>
            </w:pPr>
            <w:r w:rsidRPr="00315936">
              <w:t xml:space="preserve">It is expected that the final HeART consolidated trial balance will accurately reflect the </w:t>
            </w:r>
            <w:r w:rsidR="009643CF">
              <w:t>OR</w:t>
            </w:r>
            <w:r w:rsidRPr="00315936">
              <w:t xml:space="preserve"> as reported in the audited financial statements.</w:t>
            </w:r>
          </w:p>
          <w:p w14:paraId="4BF11172" w14:textId="6C951D59" w:rsidR="009B509E" w:rsidRPr="00AC34D9" w:rsidRDefault="009B509E" w:rsidP="00783FF8">
            <w:pPr>
              <w:pStyle w:val="Tabletext"/>
              <w:rPr>
                <w:rFonts w:ascii="VIC" w:eastAsia="VIC" w:hAnsi="VIC" w:cs="VIC"/>
                <w:color w:val="000000" w:themeColor="text1"/>
                <w:sz w:val="20"/>
              </w:rPr>
            </w:pPr>
            <w:r w:rsidRPr="00315936">
              <w:t xml:space="preserve">The </w:t>
            </w:r>
            <w:r w:rsidR="00426937">
              <w:t>OR</w:t>
            </w:r>
            <w:r w:rsidRPr="00315936">
              <w:t xml:space="preserve"> is the sum of all revenue and all expenses from transactions for all cost centres. This will exclude Other economic flows included in the net result.</w:t>
            </w:r>
          </w:p>
        </w:tc>
      </w:tr>
      <w:tr w:rsidR="009B509E" w:rsidRPr="00315936" w14:paraId="37744B28"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2D2D1357" w14:textId="77777777" w:rsidR="009B509E" w:rsidRPr="00315936" w:rsidRDefault="009B509E" w:rsidP="001A453F">
            <w:r w:rsidRPr="00315936">
              <w:t>Numerator</w:t>
            </w:r>
          </w:p>
        </w:tc>
        <w:tc>
          <w:tcPr>
            <w:tcW w:w="7512" w:type="dxa"/>
            <w:tcBorders>
              <w:left w:val="single" w:sz="4" w:space="0" w:color="FFFFFF" w:themeColor="background1"/>
            </w:tcBorders>
          </w:tcPr>
          <w:p w14:paraId="354BC93F" w14:textId="7528F5C2" w:rsidR="009B509E" w:rsidRPr="00315936" w:rsidRDefault="00A7605B">
            <w:pPr>
              <w:pStyle w:val="Tabletext"/>
              <w:rPr>
                <w:rFonts w:ascii="VIC" w:eastAsia="VIC" w:hAnsi="VIC" w:cs="VIC"/>
                <w:color w:val="000000" w:themeColor="text1"/>
                <w:sz w:val="20"/>
              </w:rPr>
            </w:pPr>
            <w:r>
              <w:t>The difference between a</w:t>
            </w:r>
            <w:r w:rsidR="009B509E" w:rsidRPr="00315936">
              <w:t xml:space="preserve">ctual </w:t>
            </w:r>
            <w:r w:rsidR="00F526FC">
              <w:t>OR</w:t>
            </w:r>
            <w:r w:rsidR="009B509E" w:rsidRPr="00315936">
              <w:t xml:space="preserve"> as reported in the audited financial statements, </w:t>
            </w:r>
            <w:r>
              <w:t>and the</w:t>
            </w:r>
            <w:r w:rsidRPr="00315936">
              <w:t xml:space="preserve"> </w:t>
            </w:r>
            <w:r w:rsidR="00F526FC">
              <w:t>f</w:t>
            </w:r>
            <w:r w:rsidR="009B509E" w:rsidRPr="00315936">
              <w:t xml:space="preserve">orecast </w:t>
            </w:r>
            <w:r w:rsidR="00F526FC">
              <w:t>OR</w:t>
            </w:r>
            <w:r w:rsidR="009B509E" w:rsidRPr="00315936">
              <w:t xml:space="preserve"> as reported in the Revised Estimates HeART submission to the department </w:t>
            </w:r>
            <w:r w:rsidR="00990DF7">
              <w:t>on</w:t>
            </w:r>
            <w:r w:rsidR="00471B46" w:rsidRPr="00315936">
              <w:t xml:space="preserve"> </w:t>
            </w:r>
            <w:r w:rsidR="00990DF7">
              <w:t xml:space="preserve">20 </w:t>
            </w:r>
            <w:r w:rsidR="00471B46" w:rsidRPr="00315936">
              <w:t>June</w:t>
            </w:r>
            <w:r w:rsidR="009B509E" w:rsidRPr="00315936" w:rsidDel="00471B46">
              <w:t xml:space="preserve"> </w:t>
            </w:r>
            <w:r w:rsidR="009B509E" w:rsidRPr="00315936">
              <w:t>for the current financial year.</w:t>
            </w:r>
          </w:p>
        </w:tc>
      </w:tr>
      <w:tr w:rsidR="009B509E" w:rsidRPr="00315936" w14:paraId="6EDAFDD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03740C23" w14:textId="77777777" w:rsidR="009B509E" w:rsidRPr="00315936" w:rsidRDefault="009B509E">
            <w:pPr>
              <w:pStyle w:val="Tablecolhead"/>
              <w:rPr>
                <w:b w:val="0"/>
                <w:lang w:eastAsia="en-AU"/>
              </w:rPr>
            </w:pPr>
            <w:r w:rsidRPr="00315936">
              <w:rPr>
                <w:b w:val="0"/>
                <w:lang w:eastAsia="en-AU"/>
              </w:rPr>
              <w:t>Denominator</w:t>
            </w:r>
          </w:p>
        </w:tc>
        <w:tc>
          <w:tcPr>
            <w:tcW w:w="7512" w:type="dxa"/>
            <w:tcBorders>
              <w:left w:val="single" w:sz="4" w:space="0" w:color="FFFFFF" w:themeColor="background1"/>
            </w:tcBorders>
          </w:tcPr>
          <w:p w14:paraId="16023C96" w14:textId="0297902E" w:rsidR="009B509E" w:rsidRPr="00315936" w:rsidRDefault="00A20E46">
            <w:pPr>
              <w:pStyle w:val="Tabletext"/>
              <w:rPr>
                <w:lang w:eastAsia="en-AU"/>
              </w:rPr>
            </w:pPr>
            <w:r w:rsidRPr="00A20E46">
              <w:rPr>
                <w:lang w:eastAsia="en-AU"/>
              </w:rPr>
              <w:t xml:space="preserve">Forecast </w:t>
            </w:r>
            <w:r w:rsidR="00990DF7">
              <w:rPr>
                <w:lang w:eastAsia="en-AU"/>
              </w:rPr>
              <w:t xml:space="preserve">OR </w:t>
            </w:r>
            <w:r w:rsidRPr="00A20E46">
              <w:rPr>
                <w:lang w:eastAsia="en-AU"/>
              </w:rPr>
              <w:t xml:space="preserve">as reported in the Revised Estimates HeART submission to the department by early </w:t>
            </w:r>
            <w:r w:rsidR="001976E2">
              <w:rPr>
                <w:lang w:eastAsia="en-AU"/>
              </w:rPr>
              <w:t>October</w:t>
            </w:r>
            <w:r w:rsidRPr="00A20E46">
              <w:rPr>
                <w:lang w:eastAsia="en-AU"/>
              </w:rPr>
              <w:t xml:space="preserve"> for the current financial year.</w:t>
            </w:r>
          </w:p>
        </w:tc>
      </w:tr>
      <w:tr w:rsidR="009B509E" w:rsidRPr="00315936" w14:paraId="66ABE7BA"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249EA0A" w14:textId="77777777" w:rsidR="009B509E" w:rsidRPr="00315936" w:rsidRDefault="009B509E">
            <w:pPr>
              <w:pStyle w:val="Tablecolhead"/>
              <w:rPr>
                <w:b w:val="0"/>
                <w:lang w:eastAsia="en-AU"/>
              </w:rPr>
            </w:pPr>
            <w:r w:rsidRPr="00315936">
              <w:rPr>
                <w:b w:val="0"/>
                <w:lang w:eastAsia="en-AU"/>
              </w:rPr>
              <w:t>Statewide target</w:t>
            </w:r>
          </w:p>
        </w:tc>
        <w:tc>
          <w:tcPr>
            <w:tcW w:w="7512" w:type="dxa"/>
            <w:tcBorders>
              <w:left w:val="single" w:sz="4" w:space="0" w:color="FFFFFF" w:themeColor="background1"/>
            </w:tcBorders>
          </w:tcPr>
          <w:p w14:paraId="48A46B0F" w14:textId="41A6DD15" w:rsidR="009B509E" w:rsidRPr="00315936" w:rsidRDefault="00311A1F">
            <w:pPr>
              <w:pStyle w:val="Tabletext"/>
              <w:rPr>
                <w:rFonts w:eastAsia="VIC" w:cs="VIC"/>
                <w:color w:val="000000" w:themeColor="text1"/>
              </w:rPr>
            </w:pPr>
            <w:r w:rsidRPr="00E442EC">
              <w:rPr>
                <w:rFonts w:eastAsia="VIC" w:cs="VIC"/>
                <w:color w:val="000000" w:themeColor="text1"/>
              </w:rPr>
              <w:t xml:space="preserve">Variance within </w:t>
            </w:r>
            <w:r w:rsidR="009B509E" w:rsidRPr="00E442EC">
              <w:rPr>
                <w:rFonts w:eastAsia="VIC" w:cs="VIC"/>
                <w:color w:val="000000" w:themeColor="text1"/>
              </w:rPr>
              <w:t>5</w:t>
            </w:r>
            <w:r w:rsidR="00A67D0D" w:rsidRPr="00E442EC">
              <w:rPr>
                <w:rFonts w:eastAsia="VIC" w:cs="VIC"/>
                <w:color w:val="000000" w:themeColor="text1"/>
              </w:rPr>
              <w:t xml:space="preserve"> per cent</w:t>
            </w:r>
            <w:r w:rsidRPr="00E442EC">
              <w:rPr>
                <w:rFonts w:eastAsia="VIC" w:cs="VIC"/>
                <w:color w:val="000000" w:themeColor="text1"/>
              </w:rPr>
              <w:t xml:space="preserve"> of forecast OR</w:t>
            </w:r>
            <w:r w:rsidR="4D60D264" w:rsidRPr="00E442EC">
              <w:rPr>
                <w:rFonts w:eastAsia="VIC" w:cs="VIC"/>
                <w:color w:val="000000" w:themeColor="text1"/>
              </w:rPr>
              <w:t xml:space="preserve"> </w:t>
            </w:r>
          </w:p>
        </w:tc>
      </w:tr>
      <w:tr w:rsidR="009B509E" w:rsidRPr="00315936" w14:paraId="57B3876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7DA18D3D" w14:textId="29946952" w:rsidR="009B509E" w:rsidRPr="00315936" w:rsidRDefault="009B509E" w:rsidP="009B509E">
            <w:pPr>
              <w:pStyle w:val="Tablecolhead"/>
              <w:rPr>
                <w:b w:val="0"/>
                <w:lang w:eastAsia="en-AU"/>
              </w:rPr>
            </w:pPr>
            <w:r w:rsidRPr="00315936">
              <w:rPr>
                <w:b w:val="0"/>
                <w:lang w:eastAsia="en-AU"/>
              </w:rPr>
              <w:t>Achieved</w:t>
            </w:r>
          </w:p>
        </w:tc>
        <w:tc>
          <w:tcPr>
            <w:tcW w:w="7512" w:type="dxa"/>
            <w:tcBorders>
              <w:left w:val="single" w:sz="4" w:space="0" w:color="FFFFFF" w:themeColor="background1"/>
            </w:tcBorders>
          </w:tcPr>
          <w:p w14:paraId="39B45F29" w14:textId="222581D9" w:rsidR="009B509E" w:rsidRPr="00315936" w:rsidRDefault="009B509E" w:rsidP="009B509E">
            <w:pPr>
              <w:pStyle w:val="Tabletext"/>
              <w:rPr>
                <w:rFonts w:eastAsia="VIC" w:cs="VIC"/>
                <w:color w:val="000000" w:themeColor="text1"/>
              </w:rPr>
            </w:pPr>
            <w:r w:rsidRPr="00315936">
              <w:t>Variance less than or equal to 5</w:t>
            </w:r>
            <w:r w:rsidR="00A67D0D" w:rsidRPr="00315936">
              <w:t xml:space="preserve"> per cent</w:t>
            </w:r>
            <w:r w:rsidR="001976E2">
              <w:t xml:space="preserve"> of forecast OR</w:t>
            </w:r>
          </w:p>
        </w:tc>
      </w:tr>
      <w:tr w:rsidR="009B509E" w:rsidRPr="00315936" w14:paraId="02A573B0"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1D5F5124" w14:textId="376C7A5C" w:rsidR="009B509E" w:rsidRPr="00315936" w:rsidRDefault="009B509E" w:rsidP="009B509E">
            <w:pPr>
              <w:pStyle w:val="Tablecolhead"/>
              <w:rPr>
                <w:b w:val="0"/>
                <w:lang w:eastAsia="en-AU"/>
              </w:rPr>
            </w:pPr>
            <w:r w:rsidRPr="00315936">
              <w:rPr>
                <w:b w:val="0"/>
                <w:lang w:eastAsia="en-AU"/>
              </w:rPr>
              <w:t>Not achieved</w:t>
            </w:r>
          </w:p>
        </w:tc>
        <w:tc>
          <w:tcPr>
            <w:tcW w:w="7512" w:type="dxa"/>
            <w:tcBorders>
              <w:left w:val="single" w:sz="4" w:space="0" w:color="FFFFFF" w:themeColor="background1"/>
            </w:tcBorders>
          </w:tcPr>
          <w:p w14:paraId="6CB8A52C" w14:textId="2086559F" w:rsidR="009B509E" w:rsidRPr="00315936" w:rsidRDefault="009B509E" w:rsidP="009B509E">
            <w:pPr>
              <w:pStyle w:val="Tabletext"/>
              <w:rPr>
                <w:rFonts w:eastAsia="VIC" w:cs="VIC"/>
                <w:color w:val="000000" w:themeColor="text1"/>
              </w:rPr>
            </w:pPr>
            <w:r w:rsidRPr="00315936">
              <w:t>Variance greater than 5</w:t>
            </w:r>
            <w:r w:rsidR="00A67D0D" w:rsidRPr="00315936">
              <w:t xml:space="preserve"> per cent</w:t>
            </w:r>
            <w:r w:rsidR="001976E2">
              <w:t xml:space="preserve"> of forecast OR</w:t>
            </w:r>
          </w:p>
        </w:tc>
      </w:tr>
      <w:tr w:rsidR="009B509E" w:rsidRPr="00315936" w14:paraId="4495A13D"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60B2AA7B" w14:textId="77777777" w:rsidR="009B509E" w:rsidRPr="00315936" w:rsidRDefault="009B509E">
            <w:pPr>
              <w:pStyle w:val="Tablecolhead"/>
              <w:rPr>
                <w:b w:val="0"/>
                <w:lang w:eastAsia="en-AU"/>
              </w:rPr>
            </w:pPr>
            <w:r w:rsidRPr="00315936">
              <w:rPr>
                <w:b w:val="0"/>
                <w:lang w:eastAsia="en-AU"/>
              </w:rPr>
              <w:t>Improvement</w:t>
            </w:r>
          </w:p>
        </w:tc>
        <w:tc>
          <w:tcPr>
            <w:tcW w:w="7512" w:type="dxa"/>
            <w:tcBorders>
              <w:left w:val="single" w:sz="4" w:space="0" w:color="FFFFFF" w:themeColor="background1"/>
            </w:tcBorders>
          </w:tcPr>
          <w:p w14:paraId="41430EA5" w14:textId="755EBE8E" w:rsidR="009B509E" w:rsidRPr="00315936" w:rsidRDefault="002573E1">
            <w:pPr>
              <w:pStyle w:val="Tabletext"/>
              <w:rPr>
                <w:rFonts w:ascii="VIC" w:eastAsia="VIC" w:hAnsi="VIC" w:cs="VIC"/>
                <w:color w:val="000000" w:themeColor="text1"/>
                <w:sz w:val="20"/>
              </w:rPr>
            </w:pPr>
            <w:r>
              <w:t xml:space="preserve">Performance is assessed </w:t>
            </w:r>
            <w:r w:rsidR="003178E0">
              <w:t>based on the target only and not a r</w:t>
            </w:r>
            <w:r w:rsidR="009B509E" w:rsidRPr="00315936">
              <w:t>educed variance from the previous year</w:t>
            </w:r>
            <w:r w:rsidR="003178E0">
              <w:t>.</w:t>
            </w:r>
          </w:p>
        </w:tc>
      </w:tr>
      <w:tr w:rsidR="009B509E" w14:paraId="16E73B79" w14:textId="77777777" w:rsidTr="00535D2B">
        <w:trPr>
          <w:trHeight w:val="300"/>
        </w:trPr>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66"/>
          </w:tcPr>
          <w:p w14:paraId="3B577E12" w14:textId="77777777" w:rsidR="009B509E" w:rsidRPr="00315936" w:rsidRDefault="009B509E">
            <w:pPr>
              <w:pStyle w:val="Tablecolhead"/>
              <w:rPr>
                <w:b w:val="0"/>
                <w:lang w:eastAsia="en-AU"/>
              </w:rPr>
            </w:pPr>
            <w:r w:rsidRPr="00315936">
              <w:rPr>
                <w:b w:val="0"/>
                <w:lang w:eastAsia="en-AU"/>
              </w:rPr>
              <w:t>Frequency of reporting and data collection</w:t>
            </w:r>
          </w:p>
        </w:tc>
        <w:tc>
          <w:tcPr>
            <w:tcW w:w="7512" w:type="dxa"/>
            <w:tcBorders>
              <w:left w:val="single" w:sz="4" w:space="0" w:color="FFFFFF" w:themeColor="background1"/>
            </w:tcBorders>
          </w:tcPr>
          <w:p w14:paraId="268C5B5F" w14:textId="758DE1E8" w:rsidR="009B509E" w:rsidRDefault="00DE2DAC">
            <w:pPr>
              <w:pStyle w:val="Tabletext"/>
            </w:pPr>
            <w:r w:rsidRPr="00315936">
              <w:t xml:space="preserve">Performance is reported </w:t>
            </w:r>
            <w:r w:rsidR="003178E0">
              <w:t xml:space="preserve">in </w:t>
            </w:r>
            <w:r w:rsidR="00D92D65">
              <w:t xml:space="preserve">Q4 (April to June) and </w:t>
            </w:r>
            <w:r w:rsidRPr="00315936">
              <w:t>a</w:t>
            </w:r>
            <w:r w:rsidR="009B509E" w:rsidRPr="00315936">
              <w:t>nnually.</w:t>
            </w:r>
          </w:p>
          <w:p w14:paraId="274A8ED5" w14:textId="1E3D46BE" w:rsidR="00EB5BD1" w:rsidRPr="00315936" w:rsidRDefault="00EB5BD1">
            <w:pPr>
              <w:pStyle w:val="Tabletext"/>
              <w:rPr>
                <w:rFonts w:ascii="VIC" w:eastAsia="VIC" w:hAnsi="VIC" w:cs="VIC"/>
                <w:color w:val="000000" w:themeColor="text1"/>
                <w:sz w:val="20"/>
              </w:rPr>
            </w:pPr>
            <w:r w:rsidRPr="00315936">
              <w:t>Data are sourced from HeART</w:t>
            </w:r>
            <w:r>
              <w:t>.</w:t>
            </w:r>
          </w:p>
          <w:p w14:paraId="719A1563" w14:textId="27D41484" w:rsidR="009B509E" w:rsidRPr="00315936" w:rsidRDefault="009B509E">
            <w:pPr>
              <w:pStyle w:val="Tabletext"/>
              <w:rPr>
                <w:rFonts w:ascii="VIC" w:eastAsia="VIC" w:hAnsi="VIC" w:cs="VIC"/>
                <w:color w:val="000000" w:themeColor="text1"/>
                <w:sz w:val="20"/>
              </w:rPr>
            </w:pPr>
            <w:r w:rsidRPr="00315936">
              <w:t>The Revised Estimates are updated and provided to the Department of Treasury and Finance multiple times each financial year. As year-end approaches, the forecasts should be most accurate when the Revised Estimates for the final feed to the Department of Treasury and Finance are provided in early June.</w:t>
            </w:r>
          </w:p>
          <w:p w14:paraId="3E106B0A" w14:textId="5A05138B" w:rsidR="009B509E" w:rsidRPr="001A453F" w:rsidRDefault="009B509E">
            <w:pPr>
              <w:pStyle w:val="Tabletext"/>
              <w:rPr>
                <w:rFonts w:ascii="VIC" w:eastAsia="VIC" w:hAnsi="VIC" w:cs="VIC"/>
                <w:color w:val="000000" w:themeColor="text1"/>
                <w:sz w:val="20"/>
              </w:rPr>
            </w:pPr>
            <w:r w:rsidRPr="00315936">
              <w:t>These estimates assist the Treasurer in determining the State’s final financial result.</w:t>
            </w:r>
          </w:p>
        </w:tc>
      </w:tr>
    </w:tbl>
    <w:p w14:paraId="708E70EE" w14:textId="0CFAC6FD" w:rsidR="00064E49" w:rsidRDefault="00064E49" w:rsidP="00064E49">
      <w:pPr>
        <w:pStyle w:val="Heading1"/>
      </w:pPr>
      <w:bookmarkStart w:id="105" w:name="_Toc204853422"/>
      <w:r>
        <w:lastRenderedPageBreak/>
        <w:t>Appendices</w:t>
      </w:r>
      <w:bookmarkEnd w:id="105"/>
    </w:p>
    <w:p w14:paraId="79BCA770" w14:textId="77777777" w:rsidR="00F56430" w:rsidRPr="00786106" w:rsidRDefault="00F56430" w:rsidP="00427FA4">
      <w:pPr>
        <w:spacing w:after="0" w:line="240" w:lineRule="auto"/>
        <w:rPr>
          <w:rFonts w:eastAsia="Times"/>
        </w:rPr>
      </w:pPr>
    </w:p>
    <w:p w14:paraId="26EA0D99" w14:textId="77777777" w:rsidR="00786106" w:rsidRDefault="00786106" w:rsidP="00CC0E14">
      <w:pPr>
        <w:pStyle w:val="Heading1"/>
        <w:sectPr w:rsidR="00786106" w:rsidSect="008A0448">
          <w:footerReference w:type="even" r:id="rId33"/>
          <w:footerReference w:type="default" r:id="rId34"/>
          <w:headerReference w:type="first" r:id="rId35"/>
          <w:footerReference w:type="first" r:id="rId36"/>
          <w:pgSz w:w="11906" w:h="16838" w:code="9"/>
          <w:pgMar w:top="0" w:right="1304" w:bottom="1276" w:left="1304" w:header="680" w:footer="851" w:gutter="0"/>
          <w:cols w:space="340"/>
          <w:titlePg/>
          <w:docGrid w:linePitch="360"/>
        </w:sectPr>
      </w:pPr>
    </w:p>
    <w:p w14:paraId="5D305F5F" w14:textId="623E30BE" w:rsidR="005727C8" w:rsidRDefault="009B6974" w:rsidP="005D2EF3">
      <w:pPr>
        <w:pStyle w:val="Heading1"/>
      </w:pPr>
      <w:bookmarkStart w:id="106" w:name="_Toc204853423"/>
      <w:r>
        <w:lastRenderedPageBreak/>
        <w:t>A</w:t>
      </w:r>
      <w:r w:rsidR="00125368">
        <w:t>ppendix A – Ambulance Victoria</w:t>
      </w:r>
      <w:bookmarkEnd w:id="106"/>
    </w:p>
    <w:p w14:paraId="03DCC1C5" w14:textId="79E69C8C" w:rsidR="00F4076D" w:rsidRDefault="00F4076D" w:rsidP="005D2EF3">
      <w:pPr>
        <w:pStyle w:val="Heading2"/>
      </w:pPr>
      <w:bookmarkStart w:id="107" w:name="_Toc204853424"/>
      <w:r>
        <w:t>Ambulance Victoria – Change summary</w:t>
      </w:r>
      <w:bookmarkEnd w:id="107"/>
    </w:p>
    <w:p w14:paraId="088DBC03" w14:textId="1B60BD88" w:rsidR="00670655" w:rsidRPr="00670655" w:rsidRDefault="00670655" w:rsidP="00670655">
      <w:pPr>
        <w:pStyle w:val="Body"/>
      </w:pPr>
      <w:r w:rsidRPr="00315936">
        <w:t xml:space="preserve">This section summarises key changes to SoP Part B measures including updated targets and reporting requirements. </w:t>
      </w:r>
    </w:p>
    <w:p w14:paraId="6DAE0662" w14:textId="2B0CDB93" w:rsidR="00DC779D" w:rsidRDefault="0055645E" w:rsidP="008E7F78">
      <w:pPr>
        <w:pStyle w:val="Heading3"/>
      </w:pPr>
      <w:r>
        <w:t>High quality and safe care</w:t>
      </w:r>
    </w:p>
    <w:p w14:paraId="2BE9DD57" w14:textId="3F4F3AE7" w:rsidR="003006A3" w:rsidRPr="003006A3" w:rsidRDefault="003006A3" w:rsidP="003006A3">
      <w:pPr>
        <w:pStyle w:val="Body"/>
      </w:pPr>
      <w:r>
        <w:t>No changes to measures in this domain.</w:t>
      </w:r>
    </w:p>
    <w:p w14:paraId="2DF76903" w14:textId="77777777" w:rsidR="00DC779D" w:rsidRDefault="00DC779D" w:rsidP="008E7F78">
      <w:pPr>
        <w:pStyle w:val="Heading3"/>
      </w:pPr>
      <w:r>
        <w:t>Strong governance, leadership and culture</w:t>
      </w:r>
    </w:p>
    <w:p w14:paraId="17CFAA2A" w14:textId="02AC2A76" w:rsidR="003006A3" w:rsidRPr="003006A3" w:rsidRDefault="003006A3" w:rsidP="008E7F78">
      <w:pPr>
        <w:pStyle w:val="Body"/>
      </w:pPr>
      <w:r>
        <w:t>No changes to measures in this domain.</w:t>
      </w:r>
    </w:p>
    <w:p w14:paraId="078463C5" w14:textId="77777777" w:rsidR="00DC779D" w:rsidRDefault="00DC779D" w:rsidP="008E7F78">
      <w:pPr>
        <w:pStyle w:val="Heading3"/>
      </w:pPr>
      <w:r>
        <w:t>Timely access to care</w:t>
      </w:r>
    </w:p>
    <w:tbl>
      <w:tblPr>
        <w:tblStyle w:val="TableGrid"/>
        <w:tblW w:w="4961" w:type="pct"/>
        <w:tblLayout w:type="fixed"/>
        <w:tblLook w:val="04A0" w:firstRow="1" w:lastRow="0" w:firstColumn="1" w:lastColumn="0" w:noHBand="0" w:noVBand="1"/>
      </w:tblPr>
      <w:tblGrid>
        <w:gridCol w:w="3458"/>
        <w:gridCol w:w="3459"/>
        <w:gridCol w:w="3457"/>
      </w:tblGrid>
      <w:tr w:rsidR="002940D4" w:rsidRPr="00315936" w14:paraId="006BED10" w14:textId="77777777" w:rsidTr="002940D4">
        <w:trPr>
          <w:trHeight w:val="340"/>
          <w:tblHeader/>
        </w:trPr>
        <w:tc>
          <w:tcPr>
            <w:tcW w:w="1667" w:type="pct"/>
            <w:shd w:val="clear" w:color="auto" w:fill="000066"/>
          </w:tcPr>
          <w:p w14:paraId="022EE687" w14:textId="77777777" w:rsidR="00E63586" w:rsidRPr="003477D2" w:rsidRDefault="00E63586">
            <w:pPr>
              <w:pStyle w:val="Tablecolhead"/>
            </w:pPr>
            <w:r w:rsidRPr="003477D2">
              <w:t>Key performance measure</w:t>
            </w:r>
          </w:p>
        </w:tc>
        <w:tc>
          <w:tcPr>
            <w:tcW w:w="1667" w:type="pct"/>
            <w:shd w:val="clear" w:color="auto" w:fill="000066"/>
          </w:tcPr>
          <w:p w14:paraId="5C4E84E9" w14:textId="77777777" w:rsidR="00E63586" w:rsidRPr="003477D2" w:rsidRDefault="00E63586">
            <w:pPr>
              <w:pStyle w:val="Tablecolhead"/>
            </w:pPr>
            <w:r w:rsidRPr="003477D2">
              <w:t>Change</w:t>
            </w:r>
          </w:p>
        </w:tc>
        <w:tc>
          <w:tcPr>
            <w:tcW w:w="1667" w:type="pct"/>
            <w:shd w:val="clear" w:color="auto" w:fill="000066"/>
          </w:tcPr>
          <w:p w14:paraId="4B4DBD81" w14:textId="77777777" w:rsidR="00E63586" w:rsidRPr="003477D2" w:rsidRDefault="00E63586">
            <w:pPr>
              <w:pStyle w:val="Tablecolhead"/>
            </w:pPr>
            <w:r w:rsidRPr="003477D2">
              <w:t>Commentary</w:t>
            </w:r>
          </w:p>
        </w:tc>
      </w:tr>
      <w:tr w:rsidR="00E63586" w:rsidRPr="00315936" w14:paraId="43A131AF" w14:textId="77777777" w:rsidTr="002940D4">
        <w:trPr>
          <w:trHeight w:val="794"/>
        </w:trPr>
        <w:tc>
          <w:tcPr>
            <w:tcW w:w="1667" w:type="pct"/>
          </w:tcPr>
          <w:p w14:paraId="2392A2A3" w14:textId="0AD0C63F" w:rsidR="00E63586" w:rsidRPr="00913936" w:rsidRDefault="00E63586">
            <w:pPr>
              <w:pStyle w:val="Tabletext"/>
            </w:pPr>
            <w:r w:rsidRPr="00A567F8">
              <w:rPr>
                <w:rFonts w:eastAsia="Arial"/>
              </w:rPr>
              <w:t>Percentage of emergency (Code 1) incidents (modified Secondary Triage call start time) responded to within 15 minutes</w:t>
            </w:r>
          </w:p>
        </w:tc>
        <w:tc>
          <w:tcPr>
            <w:tcW w:w="1667" w:type="pct"/>
          </w:tcPr>
          <w:p w14:paraId="4B761703" w14:textId="30BB57AB" w:rsidR="00E63586" w:rsidRDefault="00E63586">
            <w:pPr>
              <w:pStyle w:val="Tabletext"/>
              <w:rPr>
                <w:b/>
                <w:bCs/>
              </w:rPr>
            </w:pPr>
            <w:r w:rsidRPr="00A567F8">
              <w:rPr>
                <w:b/>
                <w:bCs/>
              </w:rPr>
              <w:t>New measure</w:t>
            </w:r>
          </w:p>
          <w:p w14:paraId="0C5DB917" w14:textId="05FBAE88" w:rsidR="00E63586" w:rsidRPr="00CD77CC" w:rsidRDefault="00E63586">
            <w:pPr>
              <w:pStyle w:val="Tabletext"/>
            </w:pPr>
            <w:r w:rsidRPr="000D7238">
              <w:rPr>
                <w:b/>
                <w:bCs/>
              </w:rPr>
              <w:t>Target</w:t>
            </w:r>
            <w:r w:rsidR="0093767F">
              <w:rPr>
                <w:b/>
                <w:bCs/>
              </w:rPr>
              <w:t>:</w:t>
            </w:r>
            <w:r w:rsidRPr="00CD77CC">
              <w:t xml:space="preserve"> </w:t>
            </w:r>
            <w:r>
              <w:t xml:space="preserve">greater than or equal to </w:t>
            </w:r>
            <w:r w:rsidRPr="00CD77CC">
              <w:t>90 per cent or</w:t>
            </w:r>
            <w:r>
              <w:t xml:space="preserve"> at least</w:t>
            </w:r>
            <w:r w:rsidRPr="00CD77CC">
              <w:t xml:space="preserve"> 4 per cent improvement from the same time last year</w:t>
            </w:r>
          </w:p>
        </w:tc>
        <w:tc>
          <w:tcPr>
            <w:tcW w:w="1667" w:type="pct"/>
          </w:tcPr>
          <w:p w14:paraId="45E6D5B4" w14:textId="6539D223" w:rsidR="00E63586" w:rsidRPr="00315936" w:rsidRDefault="00E63586" w:rsidP="000006C3">
            <w:pPr>
              <w:pStyle w:val="Tabletext"/>
            </w:pPr>
            <w:r w:rsidRPr="002D4D70">
              <w:rPr>
                <w:b/>
                <w:bCs/>
              </w:rPr>
              <w:t>Rationale:</w:t>
            </w:r>
            <w:r w:rsidR="000006C3">
              <w:rPr>
                <w:b/>
                <w:bCs/>
              </w:rPr>
              <w:t xml:space="preserve"> </w:t>
            </w:r>
            <w:r w:rsidRPr="002D4D70">
              <w:t>Inclusion of this measure addresses current performance gaps by providing visibility on potential delays in secondary triage.</w:t>
            </w:r>
          </w:p>
        </w:tc>
      </w:tr>
      <w:tr w:rsidR="00E63586" w:rsidRPr="00315936" w14:paraId="26391D72" w14:textId="77777777" w:rsidTr="002940D4">
        <w:trPr>
          <w:trHeight w:val="794"/>
        </w:trPr>
        <w:tc>
          <w:tcPr>
            <w:tcW w:w="1667" w:type="pct"/>
          </w:tcPr>
          <w:p w14:paraId="19FBE882" w14:textId="77777777" w:rsidR="00E63586" w:rsidRPr="00315936" w:rsidRDefault="00E63586">
            <w:pPr>
              <w:pStyle w:val="Tabletext"/>
              <w:rPr>
                <w:rFonts w:eastAsia="MS Gothic"/>
              </w:rPr>
            </w:pPr>
            <w:r w:rsidRPr="00315936">
              <w:t>Percentage of patients transferred from ambulance to emergency department within 40 minutes</w:t>
            </w:r>
          </w:p>
        </w:tc>
        <w:tc>
          <w:tcPr>
            <w:tcW w:w="1667" w:type="pct"/>
          </w:tcPr>
          <w:p w14:paraId="353D8C29" w14:textId="1075EA69" w:rsidR="00E63586" w:rsidRPr="00CD4B6B" w:rsidRDefault="00E63586" w:rsidP="00535D2B">
            <w:pPr>
              <w:pStyle w:val="Tabletext"/>
            </w:pPr>
            <w:r>
              <w:rPr>
                <w:b/>
              </w:rPr>
              <w:t>Target change</w:t>
            </w:r>
            <w:r w:rsidR="00A06F38">
              <w:rPr>
                <w:b/>
              </w:rPr>
              <w:t xml:space="preserve">: </w:t>
            </w:r>
            <w:r w:rsidRPr="00AC1CE9">
              <w:t xml:space="preserve">greater than or equal to 80 per cent or at least 3 per cent improvement on the same time last year </w:t>
            </w:r>
          </w:p>
        </w:tc>
        <w:tc>
          <w:tcPr>
            <w:tcW w:w="1667" w:type="pct"/>
          </w:tcPr>
          <w:p w14:paraId="43AEDBF5" w14:textId="10227AFE" w:rsidR="00E63586" w:rsidRPr="00BC2918" w:rsidRDefault="00E63586" w:rsidP="000D7238">
            <w:pPr>
              <w:pStyle w:val="Tabletext"/>
              <w:rPr>
                <w:b/>
                <w:bCs/>
              </w:rPr>
            </w:pPr>
            <w:r w:rsidRPr="00DE3506">
              <w:rPr>
                <w:b/>
                <w:bCs/>
              </w:rPr>
              <w:t>Rationale</w:t>
            </w:r>
            <w:r w:rsidR="000006C3">
              <w:rPr>
                <w:b/>
                <w:bCs/>
              </w:rPr>
              <w:t xml:space="preserve">: </w:t>
            </w:r>
            <w:r w:rsidRPr="00DE3506">
              <w:t>Aligns with targets assigned to health services for this same measure with progress expected towards 90%.</w:t>
            </w:r>
          </w:p>
        </w:tc>
      </w:tr>
      <w:tr w:rsidR="00E63586" w:rsidRPr="00315936" w14:paraId="3EF6F482" w14:textId="77777777" w:rsidTr="002940D4">
        <w:trPr>
          <w:trHeight w:val="794"/>
        </w:trPr>
        <w:tc>
          <w:tcPr>
            <w:tcW w:w="1667" w:type="pct"/>
          </w:tcPr>
          <w:p w14:paraId="7097C748" w14:textId="77777777" w:rsidR="00E63586" w:rsidRPr="00315936" w:rsidRDefault="00E63586">
            <w:pPr>
              <w:pStyle w:val="Tabletext"/>
            </w:pPr>
            <w:r w:rsidRPr="00315936">
              <w:t>Percentage of triple zero events where the caller receives advice or service from another health provider as an alternative to emergency ambulance response – statewide</w:t>
            </w:r>
          </w:p>
        </w:tc>
        <w:tc>
          <w:tcPr>
            <w:tcW w:w="1667" w:type="pct"/>
          </w:tcPr>
          <w:p w14:paraId="092EB2FA" w14:textId="746CE912" w:rsidR="00E63586" w:rsidRDefault="00E63586" w:rsidP="00535D2B">
            <w:pPr>
              <w:pStyle w:val="Tabletext"/>
            </w:pPr>
            <w:r w:rsidRPr="00A37B0D">
              <w:rPr>
                <w:b/>
                <w:bCs/>
              </w:rPr>
              <w:t>Target change</w:t>
            </w:r>
            <w:r w:rsidR="00A06F38">
              <w:rPr>
                <w:b/>
                <w:bCs/>
              </w:rPr>
              <w:t xml:space="preserve">: </w:t>
            </w:r>
            <w:r w:rsidRPr="00AF012F">
              <w:t>greater than or equal to 25 per cent or at least 5 per cent improvement compared to the same time last year</w:t>
            </w:r>
          </w:p>
        </w:tc>
        <w:tc>
          <w:tcPr>
            <w:tcW w:w="1667" w:type="pct"/>
          </w:tcPr>
          <w:p w14:paraId="69FD8C29" w14:textId="24FEE2DB" w:rsidR="00E63586" w:rsidRPr="00315936" w:rsidRDefault="00E63586" w:rsidP="000006C3">
            <w:pPr>
              <w:pStyle w:val="Tabletext"/>
            </w:pPr>
            <w:r w:rsidRPr="00644B3A">
              <w:rPr>
                <w:b/>
                <w:bCs/>
              </w:rPr>
              <w:t>Rationale:</w:t>
            </w:r>
            <w:r w:rsidR="000006C3">
              <w:rPr>
                <w:b/>
                <w:bCs/>
              </w:rPr>
              <w:t xml:space="preserve"> </w:t>
            </w:r>
            <w:r w:rsidRPr="00644B3A">
              <w:t>Reflects commitment to continue improving response times as AV consistently exceeding previous 20</w:t>
            </w:r>
            <w:r>
              <w:t xml:space="preserve"> per cent</w:t>
            </w:r>
            <w:r w:rsidRPr="00644B3A">
              <w:t xml:space="preserve"> target, demonstrating capacity for improvement.</w:t>
            </w:r>
          </w:p>
        </w:tc>
      </w:tr>
      <w:tr w:rsidR="00E63586" w:rsidRPr="00315936" w14:paraId="42D457B5" w14:textId="77777777" w:rsidTr="002940D4">
        <w:trPr>
          <w:trHeight w:val="794"/>
        </w:trPr>
        <w:tc>
          <w:tcPr>
            <w:tcW w:w="1667" w:type="pct"/>
          </w:tcPr>
          <w:p w14:paraId="42184D2C" w14:textId="77777777" w:rsidR="00E63586" w:rsidRDefault="00E63586">
            <w:pPr>
              <w:pStyle w:val="Tabletext"/>
            </w:pPr>
            <w:r w:rsidRPr="00315936">
              <w:t>Percentage of emergency (Code 1) incidents responded to within 15 minutes in centres with a population greater than 7,500</w:t>
            </w:r>
          </w:p>
        </w:tc>
        <w:tc>
          <w:tcPr>
            <w:tcW w:w="1667" w:type="pct"/>
          </w:tcPr>
          <w:p w14:paraId="395558EB" w14:textId="77777777" w:rsidR="00E63586" w:rsidRDefault="00E63586">
            <w:pPr>
              <w:pStyle w:val="Tabletext"/>
              <w:rPr>
                <w:b/>
                <w:bCs/>
              </w:rPr>
            </w:pPr>
            <w:r w:rsidRPr="00C4056D">
              <w:rPr>
                <w:b/>
                <w:bCs/>
              </w:rPr>
              <w:t>Measure removal</w:t>
            </w:r>
          </w:p>
        </w:tc>
        <w:tc>
          <w:tcPr>
            <w:tcW w:w="1667" w:type="pct"/>
          </w:tcPr>
          <w:p w14:paraId="487357AC" w14:textId="6A852169" w:rsidR="00E63586" w:rsidRDefault="00E63586">
            <w:pPr>
              <w:pStyle w:val="Tabletext"/>
            </w:pPr>
            <w:r w:rsidRPr="00323D02">
              <w:rPr>
                <w:b/>
                <w:bCs/>
              </w:rPr>
              <w:t>Rationale:</w:t>
            </w:r>
            <w:r w:rsidR="000006C3">
              <w:rPr>
                <w:b/>
                <w:bCs/>
              </w:rPr>
              <w:t xml:space="preserve"> </w:t>
            </w:r>
            <w:r>
              <w:t>The state-level ambulance response time metric already provides comprehensive coverage for monitoring code 1 response times across Victoria. The population-specific metric (&gt;7500) creates an artificial subdivision that doesn't align with operational realities or drive additional improvement. The state-level metric maintains a realistic and achievable target without this subdivision.</w:t>
            </w:r>
          </w:p>
          <w:p w14:paraId="28C258C5" w14:textId="77777777" w:rsidR="00E63586" w:rsidRDefault="00E63586">
            <w:pPr>
              <w:pStyle w:val="Tabletext"/>
              <w:rPr>
                <w:b/>
                <w:bCs/>
              </w:rPr>
            </w:pPr>
            <w:r>
              <w:t>To continue being monitored and tracked internally.</w:t>
            </w:r>
          </w:p>
        </w:tc>
      </w:tr>
    </w:tbl>
    <w:p w14:paraId="7CF44192" w14:textId="77777777" w:rsidR="00DC779D" w:rsidRDefault="00DC779D" w:rsidP="008E7F78">
      <w:pPr>
        <w:pStyle w:val="Heading3"/>
      </w:pPr>
      <w:r>
        <w:lastRenderedPageBreak/>
        <w:t>Effective financial management</w:t>
      </w:r>
    </w:p>
    <w:tbl>
      <w:tblPr>
        <w:tblStyle w:val="TableGrid"/>
        <w:tblW w:w="4961" w:type="pct"/>
        <w:tblLayout w:type="fixed"/>
        <w:tblLook w:val="04A0" w:firstRow="1" w:lastRow="0" w:firstColumn="1" w:lastColumn="0" w:noHBand="0" w:noVBand="1"/>
      </w:tblPr>
      <w:tblGrid>
        <w:gridCol w:w="3458"/>
        <w:gridCol w:w="3459"/>
        <w:gridCol w:w="3457"/>
      </w:tblGrid>
      <w:tr w:rsidR="00C22E57" w:rsidRPr="00315936" w14:paraId="7A2299F6" w14:textId="77777777" w:rsidTr="002940D4">
        <w:trPr>
          <w:trHeight w:val="340"/>
          <w:tblHeader/>
        </w:trPr>
        <w:tc>
          <w:tcPr>
            <w:tcW w:w="1667" w:type="pct"/>
            <w:shd w:val="clear" w:color="auto" w:fill="000066"/>
          </w:tcPr>
          <w:p w14:paraId="2652F818" w14:textId="77777777" w:rsidR="00C22E57" w:rsidRPr="003477D2" w:rsidRDefault="00C22E57">
            <w:pPr>
              <w:pStyle w:val="Tablecolhead"/>
            </w:pPr>
            <w:r w:rsidRPr="003477D2">
              <w:t>Key performance measure</w:t>
            </w:r>
          </w:p>
        </w:tc>
        <w:tc>
          <w:tcPr>
            <w:tcW w:w="1667" w:type="pct"/>
            <w:shd w:val="clear" w:color="auto" w:fill="000066"/>
          </w:tcPr>
          <w:p w14:paraId="58046B29" w14:textId="77777777" w:rsidR="00C22E57" w:rsidRPr="003477D2" w:rsidRDefault="00C22E57">
            <w:pPr>
              <w:pStyle w:val="Tablecolhead"/>
            </w:pPr>
            <w:r w:rsidRPr="003477D2">
              <w:t>Change</w:t>
            </w:r>
          </w:p>
        </w:tc>
        <w:tc>
          <w:tcPr>
            <w:tcW w:w="1667" w:type="pct"/>
            <w:shd w:val="clear" w:color="auto" w:fill="000066"/>
          </w:tcPr>
          <w:p w14:paraId="3C8FF7CF" w14:textId="77777777" w:rsidR="00C22E57" w:rsidRPr="003477D2" w:rsidRDefault="00C22E57">
            <w:pPr>
              <w:pStyle w:val="Tablecolhead"/>
            </w:pPr>
            <w:r w:rsidRPr="003477D2">
              <w:t>Commentary</w:t>
            </w:r>
          </w:p>
        </w:tc>
      </w:tr>
      <w:tr w:rsidR="00C22E57" w:rsidRPr="00315936" w14:paraId="15F7EF13" w14:textId="77777777" w:rsidTr="002940D4">
        <w:trPr>
          <w:trHeight w:val="794"/>
        </w:trPr>
        <w:tc>
          <w:tcPr>
            <w:tcW w:w="1667" w:type="pct"/>
          </w:tcPr>
          <w:p w14:paraId="1C796370" w14:textId="70287563" w:rsidR="00C22E57" w:rsidRPr="00315936" w:rsidRDefault="00C22E57">
            <w:pPr>
              <w:pStyle w:val="Tabletext"/>
            </w:pPr>
            <w:r w:rsidRPr="00315936">
              <w:t>Variance between forecast and actual Net result from transactions (NRFT) for the current financial year ending 30 June</w:t>
            </w:r>
            <w:r w:rsidR="00E25CF8" w:rsidRPr="00315936" w:rsidDel="00E25CF8">
              <w:t xml:space="preserve"> </w:t>
            </w:r>
          </w:p>
        </w:tc>
        <w:tc>
          <w:tcPr>
            <w:tcW w:w="1667" w:type="pct"/>
          </w:tcPr>
          <w:p w14:paraId="2C269D77" w14:textId="603AC967" w:rsidR="00C22E57" w:rsidRDefault="00C22E57">
            <w:pPr>
              <w:pStyle w:val="Tabletext"/>
            </w:pPr>
            <w:r>
              <w:rPr>
                <w:b/>
              </w:rPr>
              <w:t>Rename</w:t>
            </w:r>
            <w:r w:rsidR="00081CC7">
              <w:rPr>
                <w:b/>
              </w:rPr>
              <w:t xml:space="preserve"> to: </w:t>
            </w:r>
            <w:r>
              <w:t>V</w:t>
            </w:r>
            <w:r w:rsidRPr="006B2CF1">
              <w:t>ariance between the forecast and actual operating result (OR) as a percentage of the forecast OR for the current financial year ending 30 June</w:t>
            </w:r>
            <w:r>
              <w:t>.</w:t>
            </w:r>
          </w:p>
          <w:p w14:paraId="5035F58F" w14:textId="215574B9" w:rsidR="00C22E57" w:rsidRPr="00A37B0D" w:rsidRDefault="00C22E57" w:rsidP="00535D2B">
            <w:pPr>
              <w:pStyle w:val="Tabletext"/>
            </w:pPr>
            <w:r w:rsidRPr="000D7238">
              <w:rPr>
                <w:b/>
                <w:bCs/>
              </w:rPr>
              <w:t>Business rules change:</w:t>
            </w:r>
            <w:r w:rsidR="009D5BA0" w:rsidRPr="000D7238">
              <w:rPr>
                <w:b/>
                <w:bCs/>
              </w:rPr>
              <w:t xml:space="preserve"> </w:t>
            </w:r>
            <w:r w:rsidR="00B479F6">
              <w:t>variance between the forecast and actual OR as a percentage of the forecast OR for the current financial year</w:t>
            </w:r>
          </w:p>
        </w:tc>
        <w:tc>
          <w:tcPr>
            <w:tcW w:w="1667" w:type="pct"/>
          </w:tcPr>
          <w:p w14:paraId="28A67C36" w14:textId="32C0D1B6" w:rsidR="00C22E57" w:rsidRPr="00315936" w:rsidRDefault="00C22E57" w:rsidP="00081CC7">
            <w:pPr>
              <w:pStyle w:val="Tabletext"/>
            </w:pPr>
            <w:r w:rsidRPr="00DB0CA1">
              <w:rPr>
                <w:b/>
                <w:bCs/>
              </w:rPr>
              <w:t>Rationale:</w:t>
            </w:r>
            <w:r w:rsidR="00081CC7">
              <w:rPr>
                <w:b/>
                <w:bCs/>
              </w:rPr>
              <w:t xml:space="preserve"> </w:t>
            </w:r>
            <w:r w:rsidRPr="00DB0CA1">
              <w:t xml:space="preserve">Operating result forecast is a more useful </w:t>
            </w:r>
            <w:r>
              <w:t>indicator</w:t>
            </w:r>
            <w:r w:rsidRPr="00DB0CA1">
              <w:t xml:space="preserve"> of financial performance</w:t>
            </w:r>
          </w:p>
        </w:tc>
      </w:tr>
    </w:tbl>
    <w:p w14:paraId="6AD0EAA5" w14:textId="77777777" w:rsidR="00F4076D" w:rsidRPr="00F4076D" w:rsidRDefault="00F4076D" w:rsidP="001C1FD5">
      <w:pPr>
        <w:pStyle w:val="Body"/>
      </w:pPr>
    </w:p>
    <w:p w14:paraId="11044876" w14:textId="29D54853" w:rsidR="00566B30" w:rsidRDefault="00E45443" w:rsidP="001C1FD5">
      <w:pPr>
        <w:pStyle w:val="Heading2"/>
      </w:pPr>
      <w:bookmarkStart w:id="108" w:name="_Toc204853425"/>
      <w:r>
        <w:t>Ambulance Victoria</w:t>
      </w:r>
      <w:r w:rsidR="00CC0E14">
        <w:t xml:space="preserve"> </w:t>
      </w:r>
      <w:r w:rsidR="0090527C">
        <w:t xml:space="preserve">– Key </w:t>
      </w:r>
      <w:r w:rsidR="00CF3E7C">
        <w:t>p</w:t>
      </w:r>
      <w:r w:rsidR="0090527C">
        <w:t xml:space="preserve">erformance </w:t>
      </w:r>
      <w:r w:rsidR="00C407A8">
        <w:t>measures</w:t>
      </w:r>
      <w:bookmarkEnd w:id="108"/>
    </w:p>
    <w:p w14:paraId="1512159F" w14:textId="5C4D5E54" w:rsidR="00C407A8" w:rsidRDefault="00594A0B" w:rsidP="008E7F78">
      <w:pPr>
        <w:pStyle w:val="Heading3"/>
      </w:pPr>
      <w:r>
        <w:t>High quality and safe care</w:t>
      </w:r>
    </w:p>
    <w:tbl>
      <w:tblPr>
        <w:tblStyle w:val="TableGrid"/>
        <w:tblW w:w="10374" w:type="dxa"/>
        <w:tblLook w:val="04A0" w:firstRow="1" w:lastRow="0" w:firstColumn="1" w:lastColumn="0" w:noHBand="0" w:noVBand="1"/>
      </w:tblPr>
      <w:tblGrid>
        <w:gridCol w:w="3458"/>
        <w:gridCol w:w="3458"/>
        <w:gridCol w:w="3458"/>
      </w:tblGrid>
      <w:tr w:rsidR="00594A0B" w:rsidRPr="00315936" w14:paraId="08DCE386" w14:textId="77777777" w:rsidTr="002940D4">
        <w:trPr>
          <w:cantSplit/>
          <w:trHeight w:val="340"/>
          <w:tblHeader/>
        </w:trPr>
        <w:tc>
          <w:tcPr>
            <w:tcW w:w="3458" w:type="dxa"/>
            <w:shd w:val="clear" w:color="auto" w:fill="000066"/>
          </w:tcPr>
          <w:p w14:paraId="495E2730" w14:textId="77777777" w:rsidR="00594A0B" w:rsidRPr="00315936" w:rsidRDefault="00594A0B">
            <w:pPr>
              <w:pStyle w:val="Tablecolhead"/>
            </w:pPr>
            <w:r w:rsidRPr="00315936">
              <w:t>Program</w:t>
            </w:r>
          </w:p>
        </w:tc>
        <w:tc>
          <w:tcPr>
            <w:tcW w:w="3458" w:type="dxa"/>
            <w:shd w:val="clear" w:color="auto" w:fill="000066"/>
          </w:tcPr>
          <w:p w14:paraId="3C124989" w14:textId="77777777" w:rsidR="00594A0B" w:rsidRPr="00315936" w:rsidRDefault="00594A0B">
            <w:pPr>
              <w:pStyle w:val="Tablecolhead"/>
            </w:pPr>
            <w:r w:rsidRPr="00315936">
              <w:t>Measure</w:t>
            </w:r>
          </w:p>
        </w:tc>
        <w:tc>
          <w:tcPr>
            <w:tcW w:w="3458" w:type="dxa"/>
            <w:shd w:val="clear" w:color="auto" w:fill="000066"/>
          </w:tcPr>
          <w:p w14:paraId="249BD23B" w14:textId="77777777" w:rsidR="00594A0B" w:rsidRPr="00315936" w:rsidRDefault="00594A0B">
            <w:pPr>
              <w:pStyle w:val="Tablecolhead"/>
            </w:pPr>
            <w:r w:rsidRPr="00315936">
              <w:t>Target</w:t>
            </w:r>
          </w:p>
        </w:tc>
      </w:tr>
      <w:tr w:rsidR="00594A0B" w:rsidRPr="00315936" w14:paraId="2C6BECE0" w14:textId="77777777" w:rsidTr="002940D4">
        <w:trPr>
          <w:cantSplit/>
        </w:trPr>
        <w:tc>
          <w:tcPr>
            <w:tcW w:w="3458" w:type="dxa"/>
          </w:tcPr>
          <w:p w14:paraId="1D11471A" w14:textId="77777777" w:rsidR="00594A0B" w:rsidRPr="00315936" w:rsidRDefault="00594A0B">
            <w:pPr>
              <w:pStyle w:val="Tabletext"/>
            </w:pPr>
            <w:r w:rsidRPr="00315936">
              <w:t>Infection prevention and control</w:t>
            </w:r>
          </w:p>
        </w:tc>
        <w:tc>
          <w:tcPr>
            <w:tcW w:w="3458" w:type="dxa"/>
          </w:tcPr>
          <w:p w14:paraId="3AE1657F" w14:textId="1066FBC2" w:rsidR="00594A0B" w:rsidRPr="00315936" w:rsidRDefault="00594A0B">
            <w:pPr>
              <w:pStyle w:val="Tabletext"/>
              <w:rPr>
                <w:vertAlign w:val="superscript"/>
              </w:rPr>
            </w:pPr>
            <w:r w:rsidRPr="00315936">
              <w:t>Percentage of healthcare workers immunised for influenza</w:t>
            </w:r>
          </w:p>
        </w:tc>
        <w:tc>
          <w:tcPr>
            <w:tcW w:w="3458" w:type="dxa"/>
          </w:tcPr>
          <w:p w14:paraId="73FF83B0" w14:textId="77777777" w:rsidR="00594A0B" w:rsidRPr="00315936" w:rsidRDefault="00594A0B">
            <w:pPr>
              <w:pStyle w:val="Tabletext"/>
            </w:pPr>
            <w:r w:rsidRPr="00315936">
              <w:t>94 per cent</w:t>
            </w:r>
          </w:p>
        </w:tc>
      </w:tr>
      <w:tr w:rsidR="00594A0B" w:rsidRPr="00315936" w14:paraId="1AE754DB" w14:textId="77777777" w:rsidTr="002940D4">
        <w:trPr>
          <w:cantSplit/>
        </w:trPr>
        <w:tc>
          <w:tcPr>
            <w:tcW w:w="3458" w:type="dxa"/>
          </w:tcPr>
          <w:p w14:paraId="48C73971" w14:textId="04FAC435" w:rsidR="00594A0B" w:rsidRPr="00315936" w:rsidRDefault="00E42091">
            <w:pPr>
              <w:pStyle w:val="Tabletext"/>
            </w:pPr>
            <w:r w:rsidRPr="00315936">
              <w:t>Patient experience</w:t>
            </w:r>
          </w:p>
        </w:tc>
        <w:tc>
          <w:tcPr>
            <w:tcW w:w="3458" w:type="dxa"/>
          </w:tcPr>
          <w:p w14:paraId="1DF372F4" w14:textId="77777777" w:rsidR="00594A0B" w:rsidRPr="00315936" w:rsidRDefault="00594A0B">
            <w:pPr>
              <w:pStyle w:val="Tabletext"/>
              <w:rPr>
                <w:rFonts w:eastAsia="MS Gothic"/>
              </w:rPr>
            </w:pPr>
            <w:r w:rsidRPr="00315936">
              <w:t>Percentage of respondents who rated their overall experience with the ambulance services as ‘satisfied’ or ‘very satisfied’</w:t>
            </w:r>
          </w:p>
        </w:tc>
        <w:tc>
          <w:tcPr>
            <w:tcW w:w="3458" w:type="dxa"/>
          </w:tcPr>
          <w:p w14:paraId="1F8DB862" w14:textId="77777777" w:rsidR="00594A0B" w:rsidRPr="00315936" w:rsidRDefault="00594A0B">
            <w:pPr>
              <w:pStyle w:val="Tabletext"/>
            </w:pPr>
            <w:r>
              <w:t>95</w:t>
            </w:r>
            <w:r w:rsidRPr="00315936">
              <w:t xml:space="preserve"> per cent</w:t>
            </w:r>
          </w:p>
        </w:tc>
      </w:tr>
      <w:tr w:rsidR="00594A0B" w:rsidRPr="00315936" w14:paraId="5481FCF6" w14:textId="77777777" w:rsidTr="002940D4">
        <w:trPr>
          <w:cantSplit/>
        </w:trPr>
        <w:tc>
          <w:tcPr>
            <w:tcW w:w="3458" w:type="dxa"/>
          </w:tcPr>
          <w:p w14:paraId="37AF1373" w14:textId="03B1D4DC" w:rsidR="00594A0B" w:rsidRPr="00315936" w:rsidRDefault="00E42091">
            <w:pPr>
              <w:pStyle w:val="Tabletext"/>
            </w:pPr>
            <w:r w:rsidRPr="00315936">
              <w:t>Patient experience</w:t>
            </w:r>
          </w:p>
        </w:tc>
        <w:tc>
          <w:tcPr>
            <w:tcW w:w="3458" w:type="dxa"/>
          </w:tcPr>
          <w:p w14:paraId="5289FDF7" w14:textId="77777777" w:rsidR="00594A0B" w:rsidRPr="00315936" w:rsidRDefault="00594A0B">
            <w:pPr>
              <w:pStyle w:val="Tabletext"/>
              <w:rPr>
                <w:rFonts w:eastAsia="MS Gothic"/>
              </w:rPr>
            </w:pPr>
            <w:r w:rsidRPr="00315936">
              <w:rPr>
                <w:rFonts w:eastAsia="MS Gothic"/>
              </w:rPr>
              <w:t xml:space="preserve">Percentage </w:t>
            </w:r>
            <w:r w:rsidRPr="00315936">
              <w:rPr>
                <w:rFonts w:eastAsia="MS Gothic"/>
                <w:color w:val="000000"/>
                <w:szCs w:val="21"/>
              </w:rPr>
              <w:t xml:space="preserve">of respondents who rated the </w:t>
            </w:r>
            <w:r>
              <w:rPr>
                <w:rFonts w:eastAsia="MS Gothic"/>
                <w:color w:val="000000"/>
                <w:szCs w:val="21"/>
              </w:rPr>
              <w:t>level</w:t>
            </w:r>
            <w:r w:rsidRPr="00315936">
              <w:rPr>
                <w:rFonts w:eastAsia="MS Gothic"/>
                <w:color w:val="000000"/>
                <w:szCs w:val="21"/>
              </w:rPr>
              <w:t xml:space="preserve"> of care provided by paramedics as ‘good’ or ‘very good</w:t>
            </w:r>
            <w:r>
              <w:rPr>
                <w:rFonts w:eastAsia="MS Gothic"/>
                <w:color w:val="000000"/>
                <w:szCs w:val="21"/>
              </w:rPr>
              <w:t>’</w:t>
            </w:r>
          </w:p>
        </w:tc>
        <w:tc>
          <w:tcPr>
            <w:tcW w:w="3458" w:type="dxa"/>
          </w:tcPr>
          <w:p w14:paraId="12E0C8BF" w14:textId="77777777" w:rsidR="00594A0B" w:rsidRPr="00AC34D9" w:rsidRDefault="00594A0B">
            <w:pPr>
              <w:pStyle w:val="Tabletext"/>
            </w:pPr>
            <w:r>
              <w:t>95 per cent</w:t>
            </w:r>
          </w:p>
        </w:tc>
      </w:tr>
      <w:tr w:rsidR="00594A0B" w:rsidRPr="00315936" w14:paraId="26189675" w14:textId="77777777" w:rsidTr="002940D4">
        <w:trPr>
          <w:cantSplit/>
        </w:trPr>
        <w:tc>
          <w:tcPr>
            <w:tcW w:w="3458" w:type="dxa"/>
          </w:tcPr>
          <w:p w14:paraId="19D23E57" w14:textId="487BBEDF" w:rsidR="00594A0B" w:rsidRPr="00315936" w:rsidRDefault="00E42091">
            <w:pPr>
              <w:pStyle w:val="Tabletext"/>
              <w:rPr>
                <w:rFonts w:eastAsia="MS Gothic"/>
              </w:rPr>
            </w:pPr>
            <w:r w:rsidRPr="00315936">
              <w:t>Patient experience</w:t>
            </w:r>
          </w:p>
        </w:tc>
        <w:tc>
          <w:tcPr>
            <w:tcW w:w="3458" w:type="dxa"/>
          </w:tcPr>
          <w:p w14:paraId="31AE4255" w14:textId="77777777" w:rsidR="00594A0B" w:rsidRPr="00315936" w:rsidRDefault="00594A0B">
            <w:pPr>
              <w:pStyle w:val="Tabletext"/>
              <w:rPr>
                <w:rFonts w:eastAsia="MS Gothic"/>
                <w:b/>
              </w:rPr>
            </w:pPr>
            <w:r w:rsidRPr="00315936">
              <w:t>Percentage of patients experiencing severe cardiac or traumatic pain whose level of pain was reduced significantly</w:t>
            </w:r>
          </w:p>
        </w:tc>
        <w:tc>
          <w:tcPr>
            <w:tcW w:w="3458" w:type="dxa"/>
          </w:tcPr>
          <w:p w14:paraId="05338F99" w14:textId="77777777" w:rsidR="00594A0B" w:rsidRPr="00315936" w:rsidRDefault="00594A0B">
            <w:pPr>
              <w:pStyle w:val="Tabletext"/>
            </w:pPr>
            <w:r>
              <w:t>90 per cent</w:t>
            </w:r>
          </w:p>
        </w:tc>
      </w:tr>
      <w:tr w:rsidR="00594A0B" w:rsidRPr="00315936" w14:paraId="637223C0" w14:textId="77777777" w:rsidTr="002940D4">
        <w:trPr>
          <w:cantSplit/>
        </w:trPr>
        <w:tc>
          <w:tcPr>
            <w:tcW w:w="3458" w:type="dxa"/>
            <w:vAlign w:val="center"/>
          </w:tcPr>
          <w:p w14:paraId="1850D0FC" w14:textId="027F288D" w:rsidR="00594A0B" w:rsidRPr="00315936" w:rsidRDefault="00E42091">
            <w:pPr>
              <w:pStyle w:val="Tabletext"/>
              <w:rPr>
                <w:rFonts w:cs="Arial"/>
                <w:color w:val="000000"/>
                <w:sz w:val="18"/>
                <w:szCs w:val="18"/>
                <w:shd w:val="clear" w:color="auto" w:fill="FFFFFF"/>
              </w:rPr>
            </w:pPr>
            <w:r w:rsidRPr="00315936">
              <w:t>Patient experience</w:t>
            </w:r>
          </w:p>
        </w:tc>
        <w:tc>
          <w:tcPr>
            <w:tcW w:w="3458" w:type="dxa"/>
          </w:tcPr>
          <w:p w14:paraId="6F6E1C26" w14:textId="77777777" w:rsidR="00594A0B" w:rsidRPr="00315936" w:rsidRDefault="00594A0B">
            <w:pPr>
              <w:pStyle w:val="Tabletext"/>
              <w:rPr>
                <w:rFonts w:eastAsia="MS Gothic"/>
              </w:rPr>
            </w:pPr>
            <w:r w:rsidRPr="00315936">
              <w:t>Percentage of adult stroke patients transported to definitive care within 60 minutes</w:t>
            </w:r>
          </w:p>
        </w:tc>
        <w:tc>
          <w:tcPr>
            <w:tcW w:w="3458" w:type="dxa"/>
          </w:tcPr>
          <w:p w14:paraId="6E3ADE61" w14:textId="77777777" w:rsidR="00594A0B" w:rsidRPr="00315936" w:rsidRDefault="00594A0B">
            <w:pPr>
              <w:pStyle w:val="Tabletext"/>
            </w:pPr>
            <w:r>
              <w:t>90 per cent</w:t>
            </w:r>
          </w:p>
        </w:tc>
      </w:tr>
      <w:tr w:rsidR="00594A0B" w:rsidRPr="00315936" w14:paraId="798C9397" w14:textId="77777777" w:rsidTr="002940D4">
        <w:trPr>
          <w:cantSplit/>
        </w:trPr>
        <w:tc>
          <w:tcPr>
            <w:tcW w:w="3458" w:type="dxa"/>
          </w:tcPr>
          <w:p w14:paraId="2CD267F9" w14:textId="76562C01" w:rsidR="00594A0B" w:rsidRPr="00315936" w:rsidRDefault="00BA1F79">
            <w:pPr>
              <w:pStyle w:val="Tabletext"/>
              <w:rPr>
                <w:rFonts w:cs="Arial"/>
                <w:color w:val="000000"/>
                <w:sz w:val="18"/>
                <w:szCs w:val="18"/>
                <w:shd w:val="clear" w:color="auto" w:fill="FFFFFF"/>
              </w:rPr>
            </w:pPr>
            <w:r w:rsidRPr="00315936">
              <w:t>Patient experience</w:t>
            </w:r>
          </w:p>
        </w:tc>
        <w:tc>
          <w:tcPr>
            <w:tcW w:w="3458" w:type="dxa"/>
          </w:tcPr>
          <w:p w14:paraId="1EEB9287" w14:textId="77777777" w:rsidR="00594A0B" w:rsidRPr="00315936" w:rsidRDefault="00594A0B">
            <w:pPr>
              <w:pStyle w:val="Tabletext"/>
              <w:rPr>
                <w:rFonts w:eastAsia="MS Gothic"/>
              </w:rPr>
            </w:pPr>
            <w:r w:rsidRPr="00315936">
              <w:t>Percentage of major trauma patients that meet destination compliance (by 45 minutes)</w:t>
            </w:r>
          </w:p>
        </w:tc>
        <w:tc>
          <w:tcPr>
            <w:tcW w:w="3458" w:type="dxa"/>
          </w:tcPr>
          <w:p w14:paraId="4E60FB11" w14:textId="77777777" w:rsidR="00594A0B" w:rsidRPr="00315936" w:rsidRDefault="00594A0B">
            <w:pPr>
              <w:pStyle w:val="Tabletext"/>
            </w:pPr>
            <w:r>
              <w:t>85 per cent</w:t>
            </w:r>
          </w:p>
        </w:tc>
      </w:tr>
      <w:tr w:rsidR="00594A0B" w:rsidRPr="00315936" w14:paraId="5EE500D7" w14:textId="77777777" w:rsidTr="002940D4">
        <w:trPr>
          <w:cantSplit/>
        </w:trPr>
        <w:tc>
          <w:tcPr>
            <w:tcW w:w="3458" w:type="dxa"/>
          </w:tcPr>
          <w:p w14:paraId="2106EE96" w14:textId="7D0CD9AE" w:rsidR="00594A0B" w:rsidRPr="00315936" w:rsidRDefault="00BA1F79">
            <w:pPr>
              <w:pStyle w:val="Tabletext"/>
              <w:rPr>
                <w:rFonts w:cs="Arial"/>
                <w:color w:val="000000"/>
                <w:sz w:val="18"/>
                <w:szCs w:val="18"/>
                <w:shd w:val="clear" w:color="auto" w:fill="FFFFFF"/>
              </w:rPr>
            </w:pPr>
            <w:r w:rsidRPr="00315936">
              <w:t>Patient experience</w:t>
            </w:r>
          </w:p>
        </w:tc>
        <w:tc>
          <w:tcPr>
            <w:tcW w:w="3458" w:type="dxa"/>
          </w:tcPr>
          <w:p w14:paraId="21FBA52B" w14:textId="77777777" w:rsidR="00594A0B" w:rsidRPr="00315936" w:rsidRDefault="00594A0B">
            <w:pPr>
              <w:pStyle w:val="Tabletext"/>
              <w:rPr>
                <w:rFonts w:eastAsia="MS Gothic"/>
              </w:rPr>
            </w:pPr>
            <w:r w:rsidRPr="00315936">
              <w:t>Percentage of adult cardiac arrest patients surviving to hospital</w:t>
            </w:r>
          </w:p>
        </w:tc>
        <w:tc>
          <w:tcPr>
            <w:tcW w:w="3458" w:type="dxa"/>
          </w:tcPr>
          <w:p w14:paraId="4DFC30B2" w14:textId="77777777" w:rsidR="00594A0B" w:rsidRPr="00315936" w:rsidRDefault="00594A0B">
            <w:pPr>
              <w:pStyle w:val="Tabletext"/>
            </w:pPr>
            <w:r>
              <w:t>50 per cent</w:t>
            </w:r>
          </w:p>
        </w:tc>
      </w:tr>
      <w:tr w:rsidR="00594A0B" w:rsidRPr="00315936" w14:paraId="73C38DEF" w14:textId="77777777" w:rsidTr="002940D4">
        <w:trPr>
          <w:cantSplit/>
        </w:trPr>
        <w:tc>
          <w:tcPr>
            <w:tcW w:w="3458" w:type="dxa"/>
          </w:tcPr>
          <w:p w14:paraId="125E32B1" w14:textId="3C12FBD9" w:rsidR="00594A0B" w:rsidRPr="00315936" w:rsidRDefault="00BA1F79">
            <w:pPr>
              <w:pStyle w:val="Tabletext"/>
            </w:pPr>
            <w:r w:rsidRPr="00315936">
              <w:t>Patient experience</w:t>
            </w:r>
          </w:p>
        </w:tc>
        <w:tc>
          <w:tcPr>
            <w:tcW w:w="3458" w:type="dxa"/>
          </w:tcPr>
          <w:p w14:paraId="42CB6A12" w14:textId="77777777" w:rsidR="00594A0B" w:rsidRPr="00315936" w:rsidRDefault="00594A0B">
            <w:pPr>
              <w:pStyle w:val="Tabletext"/>
            </w:pPr>
            <w:r w:rsidRPr="00315936">
              <w:t>Percentage of adult cardiac arrest patients surviving to hospital discharge</w:t>
            </w:r>
          </w:p>
        </w:tc>
        <w:tc>
          <w:tcPr>
            <w:tcW w:w="3458" w:type="dxa"/>
          </w:tcPr>
          <w:p w14:paraId="10B1101B" w14:textId="77777777" w:rsidR="00594A0B" w:rsidRPr="00315936" w:rsidRDefault="00594A0B">
            <w:pPr>
              <w:pStyle w:val="Tabletext"/>
            </w:pPr>
            <w:r>
              <w:t>25 per cent</w:t>
            </w:r>
          </w:p>
        </w:tc>
      </w:tr>
    </w:tbl>
    <w:p w14:paraId="7D9363CA" w14:textId="77777777" w:rsidR="00EA1570" w:rsidRDefault="00EA1570" w:rsidP="008E7F78">
      <w:pPr>
        <w:pStyle w:val="Heading3"/>
      </w:pPr>
      <w:r>
        <w:lastRenderedPageBreak/>
        <w:t>Strong governance, leadership and culture</w:t>
      </w:r>
    </w:p>
    <w:tbl>
      <w:tblPr>
        <w:tblStyle w:val="TableGrid"/>
        <w:tblW w:w="10374" w:type="dxa"/>
        <w:tblLook w:val="04A0" w:firstRow="1" w:lastRow="0" w:firstColumn="1" w:lastColumn="0" w:noHBand="0" w:noVBand="1"/>
      </w:tblPr>
      <w:tblGrid>
        <w:gridCol w:w="3458"/>
        <w:gridCol w:w="3458"/>
        <w:gridCol w:w="3458"/>
      </w:tblGrid>
      <w:tr w:rsidR="002967EB" w:rsidRPr="00315936" w14:paraId="03287199" w14:textId="77777777" w:rsidTr="002940D4">
        <w:trPr>
          <w:cantSplit/>
          <w:trHeight w:val="340"/>
          <w:tblHeader/>
        </w:trPr>
        <w:tc>
          <w:tcPr>
            <w:tcW w:w="3458" w:type="dxa"/>
            <w:shd w:val="clear" w:color="auto" w:fill="000066"/>
          </w:tcPr>
          <w:p w14:paraId="3AB0779C" w14:textId="77777777" w:rsidR="002967EB" w:rsidRPr="00315936" w:rsidRDefault="002967EB">
            <w:pPr>
              <w:pStyle w:val="Tablecolhead"/>
            </w:pPr>
            <w:r w:rsidRPr="00315936">
              <w:t>Program</w:t>
            </w:r>
          </w:p>
        </w:tc>
        <w:tc>
          <w:tcPr>
            <w:tcW w:w="3458" w:type="dxa"/>
            <w:shd w:val="clear" w:color="auto" w:fill="000066"/>
          </w:tcPr>
          <w:p w14:paraId="1EE97DD5" w14:textId="77777777" w:rsidR="002967EB" w:rsidRPr="00315936" w:rsidRDefault="002967EB">
            <w:pPr>
              <w:pStyle w:val="Tablecolhead"/>
            </w:pPr>
            <w:r w:rsidRPr="00315936">
              <w:t>Measure</w:t>
            </w:r>
          </w:p>
        </w:tc>
        <w:tc>
          <w:tcPr>
            <w:tcW w:w="3458" w:type="dxa"/>
            <w:shd w:val="clear" w:color="auto" w:fill="000066"/>
          </w:tcPr>
          <w:p w14:paraId="7E8D05E7" w14:textId="77777777" w:rsidR="002967EB" w:rsidRPr="00315936" w:rsidRDefault="002967EB">
            <w:pPr>
              <w:pStyle w:val="Tablecolhead"/>
            </w:pPr>
            <w:r w:rsidRPr="00315936">
              <w:t>Target</w:t>
            </w:r>
          </w:p>
        </w:tc>
      </w:tr>
      <w:tr w:rsidR="002967EB" w:rsidRPr="00315936" w14:paraId="329ABB7B" w14:textId="77777777" w:rsidTr="002940D4">
        <w:trPr>
          <w:cantSplit/>
          <w:trHeight w:val="801"/>
        </w:trPr>
        <w:tc>
          <w:tcPr>
            <w:tcW w:w="3458" w:type="dxa"/>
          </w:tcPr>
          <w:p w14:paraId="419AA5AB" w14:textId="77777777" w:rsidR="002967EB" w:rsidRPr="00315936" w:rsidRDefault="002967EB">
            <w:pPr>
              <w:pStyle w:val="Tabletext"/>
            </w:pPr>
            <w:r w:rsidRPr="00315936">
              <w:t>Organisational culture</w:t>
            </w:r>
          </w:p>
        </w:tc>
        <w:tc>
          <w:tcPr>
            <w:tcW w:w="3458" w:type="dxa"/>
          </w:tcPr>
          <w:p w14:paraId="64D2559B" w14:textId="227194BD" w:rsidR="002967EB" w:rsidRPr="00315936" w:rsidRDefault="002967EB">
            <w:pPr>
              <w:pStyle w:val="Tabletext"/>
            </w:pPr>
            <w:r w:rsidRPr="00315936">
              <w:t>People matter survey – Percentage of staff with an overall positive response to safety culture survey questions</w:t>
            </w:r>
          </w:p>
        </w:tc>
        <w:tc>
          <w:tcPr>
            <w:tcW w:w="3458" w:type="dxa"/>
          </w:tcPr>
          <w:p w14:paraId="742B0CE6" w14:textId="77777777" w:rsidR="002967EB" w:rsidRPr="00315936" w:rsidRDefault="002967EB">
            <w:pPr>
              <w:pStyle w:val="Tabletext"/>
            </w:pPr>
            <w:r>
              <w:t>80 per cent</w:t>
            </w:r>
          </w:p>
        </w:tc>
      </w:tr>
    </w:tbl>
    <w:p w14:paraId="363B99F9" w14:textId="77777777" w:rsidR="002967EB" w:rsidRPr="002967EB" w:rsidRDefault="002967EB" w:rsidP="008E7F78">
      <w:pPr>
        <w:pStyle w:val="Body"/>
      </w:pPr>
    </w:p>
    <w:p w14:paraId="1A684129" w14:textId="77777777" w:rsidR="00EA1570" w:rsidRDefault="00EA1570" w:rsidP="008E7F78">
      <w:pPr>
        <w:pStyle w:val="Heading3"/>
      </w:pPr>
      <w:r>
        <w:t>Timely access to care</w:t>
      </w:r>
    </w:p>
    <w:tbl>
      <w:tblPr>
        <w:tblStyle w:val="TableGrid"/>
        <w:tblW w:w="10374" w:type="dxa"/>
        <w:tblLook w:val="04A0" w:firstRow="1" w:lastRow="0" w:firstColumn="1" w:lastColumn="0" w:noHBand="0" w:noVBand="1"/>
      </w:tblPr>
      <w:tblGrid>
        <w:gridCol w:w="3458"/>
        <w:gridCol w:w="3458"/>
        <w:gridCol w:w="3458"/>
      </w:tblGrid>
      <w:tr w:rsidR="000C1C90" w:rsidRPr="00315936" w14:paraId="6EEB574F" w14:textId="77777777" w:rsidTr="002940D4">
        <w:trPr>
          <w:cantSplit/>
          <w:trHeight w:val="340"/>
          <w:tblHeader/>
        </w:trPr>
        <w:tc>
          <w:tcPr>
            <w:tcW w:w="3458" w:type="dxa"/>
            <w:shd w:val="clear" w:color="auto" w:fill="000066"/>
          </w:tcPr>
          <w:p w14:paraId="06FEF8CB" w14:textId="77777777" w:rsidR="000C1C90" w:rsidRPr="00315936" w:rsidRDefault="000C1C90">
            <w:pPr>
              <w:pStyle w:val="Tablecolhead"/>
            </w:pPr>
            <w:r w:rsidRPr="00315936">
              <w:t>Program</w:t>
            </w:r>
          </w:p>
        </w:tc>
        <w:tc>
          <w:tcPr>
            <w:tcW w:w="3458" w:type="dxa"/>
            <w:shd w:val="clear" w:color="auto" w:fill="000066"/>
          </w:tcPr>
          <w:p w14:paraId="7E9B34BF" w14:textId="77777777" w:rsidR="000C1C90" w:rsidRPr="00315936" w:rsidRDefault="000C1C90">
            <w:pPr>
              <w:pStyle w:val="Tablecolhead"/>
            </w:pPr>
            <w:r w:rsidRPr="00315936">
              <w:t>Measure</w:t>
            </w:r>
          </w:p>
        </w:tc>
        <w:tc>
          <w:tcPr>
            <w:tcW w:w="3458" w:type="dxa"/>
            <w:shd w:val="clear" w:color="auto" w:fill="000066"/>
          </w:tcPr>
          <w:p w14:paraId="23437BA6" w14:textId="77777777" w:rsidR="000C1C90" w:rsidRPr="00315936" w:rsidRDefault="000C1C90">
            <w:pPr>
              <w:pStyle w:val="Tablecolhead"/>
            </w:pPr>
            <w:r w:rsidRPr="00315936">
              <w:t>Target</w:t>
            </w:r>
          </w:p>
        </w:tc>
      </w:tr>
      <w:tr w:rsidR="000C1C90" w:rsidRPr="00315936" w14:paraId="30F060D6" w14:textId="77777777" w:rsidTr="002940D4">
        <w:trPr>
          <w:cantSplit/>
        </w:trPr>
        <w:tc>
          <w:tcPr>
            <w:tcW w:w="3458" w:type="dxa"/>
          </w:tcPr>
          <w:p w14:paraId="7D57DB89" w14:textId="77777777" w:rsidR="000C1C90" w:rsidRPr="00315936" w:rsidRDefault="000C1C90">
            <w:pPr>
              <w:pStyle w:val="Tabletext"/>
              <w:rPr>
                <w:rFonts w:eastAsia="MS Gothic"/>
              </w:rPr>
            </w:pPr>
            <w:r w:rsidRPr="00315936">
              <w:rPr>
                <w:rFonts w:eastAsia="MS Gothic"/>
              </w:rPr>
              <w:t>Emergency care</w:t>
            </w:r>
          </w:p>
        </w:tc>
        <w:tc>
          <w:tcPr>
            <w:tcW w:w="3458" w:type="dxa"/>
          </w:tcPr>
          <w:p w14:paraId="2E8E22D0" w14:textId="1F2C7A9D" w:rsidR="000C1C90" w:rsidRPr="00691DC3" w:rsidRDefault="000C1C90">
            <w:pPr>
              <w:pStyle w:val="Tabletext"/>
              <w:rPr>
                <w:rFonts w:eastAsia="MS Gothic"/>
              </w:rPr>
            </w:pPr>
            <w:r w:rsidRPr="00691DC3">
              <w:t>Percentage of patients transferred from ambulance to emergency department within 40 minutes</w:t>
            </w:r>
          </w:p>
        </w:tc>
        <w:tc>
          <w:tcPr>
            <w:tcW w:w="3458" w:type="dxa"/>
          </w:tcPr>
          <w:p w14:paraId="44EF71DF" w14:textId="77777777" w:rsidR="000C1C90" w:rsidRPr="000D7238" w:rsidRDefault="000C1C90" w:rsidP="000D7238">
            <w:pPr>
              <w:pStyle w:val="Tabletext"/>
            </w:pPr>
            <w:r w:rsidRPr="00691DC3">
              <w:t xml:space="preserve">80 per cent or 3 per cent improvement on the same time last year </w:t>
            </w:r>
          </w:p>
        </w:tc>
      </w:tr>
      <w:tr w:rsidR="000C1C90" w:rsidRPr="00315936" w14:paraId="75B57C95" w14:textId="77777777" w:rsidTr="002940D4">
        <w:trPr>
          <w:cantSplit/>
        </w:trPr>
        <w:tc>
          <w:tcPr>
            <w:tcW w:w="3458" w:type="dxa"/>
          </w:tcPr>
          <w:p w14:paraId="6B603E73" w14:textId="77777777" w:rsidR="000C1C90" w:rsidRPr="00315936" w:rsidRDefault="000C1C90">
            <w:pPr>
              <w:pStyle w:val="Tabletext"/>
            </w:pPr>
            <w:r w:rsidRPr="00315936">
              <w:t>Ambulance Victoria</w:t>
            </w:r>
          </w:p>
        </w:tc>
        <w:tc>
          <w:tcPr>
            <w:tcW w:w="3458" w:type="dxa"/>
          </w:tcPr>
          <w:p w14:paraId="6648BC0F" w14:textId="77777777" w:rsidR="000C1C90" w:rsidRPr="00315936" w:rsidRDefault="000C1C90">
            <w:pPr>
              <w:pStyle w:val="Tabletext"/>
            </w:pPr>
            <w:r w:rsidRPr="00315936">
              <w:t>Percentage of emergency (Code 1) incidents</w:t>
            </w:r>
            <w:r>
              <w:t xml:space="preserve"> (modified Secondary Triage call start time)</w:t>
            </w:r>
            <w:r w:rsidRPr="00315936">
              <w:t xml:space="preserve"> responded to within 15 minutes</w:t>
            </w:r>
          </w:p>
        </w:tc>
        <w:tc>
          <w:tcPr>
            <w:tcW w:w="3458" w:type="dxa"/>
          </w:tcPr>
          <w:p w14:paraId="0F637613" w14:textId="77777777" w:rsidR="000C1C90" w:rsidRDefault="000C1C90">
            <w:pPr>
              <w:pStyle w:val="Tabletext"/>
            </w:pPr>
            <w:r>
              <w:t>Greater than or equal to 90 per cent or at least 4 per cent improvement compared to same time last year</w:t>
            </w:r>
          </w:p>
        </w:tc>
      </w:tr>
      <w:tr w:rsidR="000C1C90" w:rsidRPr="00315936" w14:paraId="04D00773" w14:textId="77777777" w:rsidTr="002940D4">
        <w:trPr>
          <w:cantSplit/>
        </w:trPr>
        <w:tc>
          <w:tcPr>
            <w:tcW w:w="3458" w:type="dxa"/>
          </w:tcPr>
          <w:p w14:paraId="4E795D7C" w14:textId="77777777" w:rsidR="000C1C90" w:rsidRPr="00315936" w:rsidRDefault="000C1C90">
            <w:pPr>
              <w:pStyle w:val="Tabletext"/>
            </w:pPr>
            <w:r w:rsidRPr="00315936">
              <w:t>Ambulance Victoria</w:t>
            </w:r>
          </w:p>
        </w:tc>
        <w:tc>
          <w:tcPr>
            <w:tcW w:w="3458" w:type="dxa"/>
          </w:tcPr>
          <w:p w14:paraId="2104338B" w14:textId="77777777" w:rsidR="000C1C90" w:rsidRPr="00315936" w:rsidRDefault="000C1C90">
            <w:pPr>
              <w:pStyle w:val="Tabletext"/>
              <w:rPr>
                <w:rFonts w:eastAsia="MS Gothic"/>
              </w:rPr>
            </w:pPr>
            <w:r w:rsidRPr="00315936">
              <w:t>Percentage of emergency (Code 1) incidents responded to within 15 minutes</w:t>
            </w:r>
          </w:p>
        </w:tc>
        <w:tc>
          <w:tcPr>
            <w:tcW w:w="3458" w:type="dxa"/>
          </w:tcPr>
          <w:p w14:paraId="393A18A3" w14:textId="2CCF9456" w:rsidR="000C1C90" w:rsidRPr="00315936" w:rsidRDefault="000C1C90">
            <w:pPr>
              <w:pStyle w:val="Tabletext"/>
            </w:pPr>
            <w:r w:rsidRPr="00B4553D">
              <w:t>Greater than or equal to 85 per cent or at least a 4 per</w:t>
            </w:r>
            <w:r w:rsidRPr="00C4056D">
              <w:t xml:space="preserve"> </w:t>
            </w:r>
            <w:r w:rsidRPr="00B4553D">
              <w:t>cent improvement compared to same time last year</w:t>
            </w:r>
          </w:p>
        </w:tc>
      </w:tr>
      <w:tr w:rsidR="000C1C90" w:rsidRPr="00315936" w14:paraId="5CE06474" w14:textId="77777777" w:rsidTr="002940D4">
        <w:trPr>
          <w:cantSplit/>
        </w:trPr>
        <w:tc>
          <w:tcPr>
            <w:tcW w:w="3458" w:type="dxa"/>
          </w:tcPr>
          <w:p w14:paraId="3BBA7F46" w14:textId="77777777" w:rsidR="000C1C90" w:rsidRPr="00315936" w:rsidRDefault="000C1C90">
            <w:pPr>
              <w:pStyle w:val="Tabletext"/>
              <w:rPr>
                <w:rFonts w:eastAsia="MS Gothic"/>
              </w:rPr>
            </w:pPr>
            <w:r w:rsidRPr="00315936">
              <w:t>Ambulance Victoria</w:t>
            </w:r>
          </w:p>
        </w:tc>
        <w:tc>
          <w:tcPr>
            <w:tcW w:w="3458" w:type="dxa"/>
          </w:tcPr>
          <w:p w14:paraId="7CB1789E" w14:textId="77777777" w:rsidR="000C1C90" w:rsidRPr="00315936" w:rsidRDefault="000C1C90">
            <w:pPr>
              <w:pStyle w:val="Tabletext"/>
              <w:rPr>
                <w:rFonts w:eastAsia="MS Gothic"/>
                <w:b/>
              </w:rPr>
            </w:pPr>
            <w:r w:rsidRPr="00315936">
              <w:t>Percentage of emergency (Priority 0) incidents responded to within 13 minutes</w:t>
            </w:r>
          </w:p>
        </w:tc>
        <w:tc>
          <w:tcPr>
            <w:tcW w:w="3458" w:type="dxa"/>
          </w:tcPr>
          <w:p w14:paraId="3F6D3D95" w14:textId="327A62BD" w:rsidR="000C1C90" w:rsidRPr="00315936" w:rsidRDefault="000C1C90">
            <w:pPr>
              <w:pStyle w:val="Tabletext"/>
            </w:pPr>
            <w:r w:rsidRPr="00B4553D">
              <w:t>Greater than or equal to 85 per cent or at least a 3 per</w:t>
            </w:r>
            <w:r w:rsidRPr="00C4056D">
              <w:t xml:space="preserve"> </w:t>
            </w:r>
            <w:r w:rsidRPr="00B4553D">
              <w:t>cent improvement compared to same time last year</w:t>
            </w:r>
          </w:p>
        </w:tc>
      </w:tr>
      <w:tr w:rsidR="000C1C90" w:rsidRPr="00315936" w14:paraId="1561A3C3" w14:textId="77777777" w:rsidTr="002940D4">
        <w:trPr>
          <w:cantSplit/>
        </w:trPr>
        <w:tc>
          <w:tcPr>
            <w:tcW w:w="3458" w:type="dxa"/>
          </w:tcPr>
          <w:p w14:paraId="277AA27D" w14:textId="77777777" w:rsidR="000C1C90" w:rsidRPr="00315936" w:rsidRDefault="000C1C90">
            <w:pPr>
              <w:pStyle w:val="Tabletext"/>
              <w:rPr>
                <w:rFonts w:cs="Arial"/>
                <w:color w:val="000000"/>
                <w:sz w:val="18"/>
                <w:szCs w:val="18"/>
                <w:shd w:val="clear" w:color="auto" w:fill="FFFFFF"/>
              </w:rPr>
            </w:pPr>
            <w:r w:rsidRPr="00315936">
              <w:t>Ambulance Victoria</w:t>
            </w:r>
          </w:p>
        </w:tc>
        <w:tc>
          <w:tcPr>
            <w:tcW w:w="3458" w:type="dxa"/>
          </w:tcPr>
          <w:p w14:paraId="26B861EA" w14:textId="77777777" w:rsidR="000C1C90" w:rsidRPr="00315936" w:rsidRDefault="000C1C90">
            <w:pPr>
              <w:pStyle w:val="Tabletext"/>
              <w:rPr>
                <w:rFonts w:eastAsia="MS Gothic"/>
              </w:rPr>
            </w:pPr>
            <w:r w:rsidRPr="00315936">
              <w:t>Percentage of triple zero events where the caller receives advice or service from another health provider as an alternative to emergency ambulance response – statewide</w:t>
            </w:r>
          </w:p>
        </w:tc>
        <w:tc>
          <w:tcPr>
            <w:tcW w:w="3458" w:type="dxa"/>
          </w:tcPr>
          <w:p w14:paraId="7A908595" w14:textId="2C199517" w:rsidR="000C1C90" w:rsidRPr="00315936" w:rsidRDefault="000C1C90">
            <w:pPr>
              <w:pStyle w:val="Tabletext"/>
            </w:pPr>
            <w:r>
              <w:t>Greater than or equal to 25 per cent or at least 5 per cent improvement compared to the same time last year</w:t>
            </w:r>
          </w:p>
        </w:tc>
      </w:tr>
      <w:tr w:rsidR="000C1C90" w:rsidRPr="00315936" w14:paraId="271871C0" w14:textId="77777777" w:rsidTr="002940D4">
        <w:trPr>
          <w:cantSplit/>
        </w:trPr>
        <w:tc>
          <w:tcPr>
            <w:tcW w:w="3458" w:type="dxa"/>
          </w:tcPr>
          <w:p w14:paraId="5DD4226A" w14:textId="77777777" w:rsidR="000C1C90" w:rsidRPr="00315936" w:rsidRDefault="000C1C90">
            <w:pPr>
              <w:pStyle w:val="Tabletext"/>
              <w:rPr>
                <w:rFonts w:cs="Arial"/>
                <w:color w:val="000000"/>
                <w:sz w:val="18"/>
                <w:szCs w:val="18"/>
                <w:shd w:val="clear" w:color="auto" w:fill="FFFFFF"/>
              </w:rPr>
            </w:pPr>
            <w:r w:rsidRPr="00315936">
              <w:t>Ambulance Victoria</w:t>
            </w:r>
          </w:p>
        </w:tc>
        <w:tc>
          <w:tcPr>
            <w:tcW w:w="3458" w:type="dxa"/>
          </w:tcPr>
          <w:p w14:paraId="2E392DA7" w14:textId="77777777" w:rsidR="000C1C90" w:rsidRPr="00315936" w:rsidRDefault="000C1C90">
            <w:pPr>
              <w:pStyle w:val="Tabletext"/>
              <w:rPr>
                <w:rFonts w:eastAsia="MS Gothic"/>
              </w:rPr>
            </w:pPr>
            <w:r w:rsidRPr="00315936">
              <w:t>Average ambulance hospital clearing time</w:t>
            </w:r>
          </w:p>
        </w:tc>
        <w:tc>
          <w:tcPr>
            <w:tcW w:w="3458" w:type="dxa"/>
          </w:tcPr>
          <w:p w14:paraId="62991DC8" w14:textId="77777777" w:rsidR="000C1C90" w:rsidRPr="00315936" w:rsidRDefault="000C1C90">
            <w:pPr>
              <w:pStyle w:val="Tabletext"/>
            </w:pPr>
            <w:r w:rsidRPr="00315936">
              <w:t>20 minutes</w:t>
            </w:r>
          </w:p>
        </w:tc>
      </w:tr>
    </w:tbl>
    <w:p w14:paraId="2C987047" w14:textId="77777777" w:rsidR="00EA1570" w:rsidRDefault="00EA1570" w:rsidP="008E7F78">
      <w:pPr>
        <w:pStyle w:val="Heading3"/>
      </w:pPr>
      <w:r>
        <w:t>Effective financial management</w:t>
      </w:r>
    </w:p>
    <w:tbl>
      <w:tblPr>
        <w:tblStyle w:val="TableGrid"/>
        <w:tblW w:w="10374" w:type="dxa"/>
        <w:tblLook w:val="04A0" w:firstRow="1" w:lastRow="0" w:firstColumn="1" w:lastColumn="0" w:noHBand="0" w:noVBand="1"/>
      </w:tblPr>
      <w:tblGrid>
        <w:gridCol w:w="3458"/>
        <w:gridCol w:w="3458"/>
        <w:gridCol w:w="3458"/>
      </w:tblGrid>
      <w:tr w:rsidR="00E16CB5" w:rsidRPr="00315936" w14:paraId="35B12C05" w14:textId="77777777" w:rsidTr="002940D4">
        <w:trPr>
          <w:cantSplit/>
          <w:trHeight w:val="340"/>
          <w:tblHeader/>
        </w:trPr>
        <w:tc>
          <w:tcPr>
            <w:tcW w:w="3458" w:type="dxa"/>
            <w:shd w:val="clear" w:color="auto" w:fill="000066"/>
          </w:tcPr>
          <w:p w14:paraId="1F9896C2" w14:textId="77777777" w:rsidR="00E16CB5" w:rsidRPr="00315936" w:rsidRDefault="00E16CB5">
            <w:pPr>
              <w:pStyle w:val="Tablecolhead"/>
            </w:pPr>
            <w:r w:rsidRPr="00315936">
              <w:t>Program</w:t>
            </w:r>
          </w:p>
        </w:tc>
        <w:tc>
          <w:tcPr>
            <w:tcW w:w="3458" w:type="dxa"/>
            <w:shd w:val="clear" w:color="auto" w:fill="000066"/>
          </w:tcPr>
          <w:p w14:paraId="3BDC490C" w14:textId="77777777" w:rsidR="00E16CB5" w:rsidRPr="00315936" w:rsidRDefault="00E16CB5">
            <w:pPr>
              <w:pStyle w:val="Tablecolhead"/>
            </w:pPr>
            <w:r w:rsidRPr="00315936">
              <w:t>Measure</w:t>
            </w:r>
          </w:p>
        </w:tc>
        <w:tc>
          <w:tcPr>
            <w:tcW w:w="3458" w:type="dxa"/>
            <w:shd w:val="clear" w:color="auto" w:fill="000066"/>
          </w:tcPr>
          <w:p w14:paraId="0CEB3086" w14:textId="77777777" w:rsidR="00E16CB5" w:rsidRPr="00315936" w:rsidRDefault="00E16CB5">
            <w:pPr>
              <w:pStyle w:val="Tablecolhead"/>
            </w:pPr>
            <w:r w:rsidRPr="00315936">
              <w:t>Target</w:t>
            </w:r>
          </w:p>
        </w:tc>
      </w:tr>
      <w:tr w:rsidR="00E16CB5" w:rsidRPr="00315936" w14:paraId="6AD2F593" w14:textId="77777777" w:rsidTr="002940D4">
        <w:trPr>
          <w:cantSplit/>
        </w:trPr>
        <w:tc>
          <w:tcPr>
            <w:tcW w:w="3458" w:type="dxa"/>
          </w:tcPr>
          <w:p w14:paraId="68F27D27" w14:textId="77777777" w:rsidR="00E16CB5" w:rsidRPr="00315936" w:rsidRDefault="00E16CB5">
            <w:pPr>
              <w:pStyle w:val="Tabletext"/>
            </w:pPr>
            <w:r w:rsidRPr="00315936">
              <w:t>Effective financial management</w:t>
            </w:r>
          </w:p>
        </w:tc>
        <w:tc>
          <w:tcPr>
            <w:tcW w:w="3458" w:type="dxa"/>
          </w:tcPr>
          <w:p w14:paraId="39B829FE" w14:textId="4B6E0687" w:rsidR="00E16CB5" w:rsidRPr="00315936" w:rsidRDefault="00E16CB5">
            <w:pPr>
              <w:pStyle w:val="Tabletext"/>
            </w:pPr>
            <w:r w:rsidRPr="00315936">
              <w:t>Operating result ($M)</w:t>
            </w:r>
          </w:p>
        </w:tc>
        <w:tc>
          <w:tcPr>
            <w:tcW w:w="3458" w:type="dxa"/>
          </w:tcPr>
          <w:p w14:paraId="692FD388" w14:textId="5757B668" w:rsidR="00E16CB5" w:rsidRPr="00315936" w:rsidRDefault="004B3CAA">
            <w:pPr>
              <w:pStyle w:val="Tabletext"/>
            </w:pPr>
            <w:r>
              <w:t>S</w:t>
            </w:r>
            <w:r w:rsidR="00E16CB5" w:rsidRPr="00315936">
              <w:t>ervice specific</w:t>
            </w:r>
          </w:p>
        </w:tc>
      </w:tr>
      <w:tr w:rsidR="00E16CB5" w:rsidRPr="00315936" w14:paraId="2CFF6A55" w14:textId="77777777" w:rsidTr="002940D4">
        <w:trPr>
          <w:cantSplit/>
        </w:trPr>
        <w:tc>
          <w:tcPr>
            <w:tcW w:w="3458" w:type="dxa"/>
          </w:tcPr>
          <w:p w14:paraId="3A23FB31" w14:textId="77777777" w:rsidR="00E16CB5" w:rsidRPr="00315936" w:rsidRDefault="00E16CB5">
            <w:pPr>
              <w:pStyle w:val="Tabletext"/>
            </w:pPr>
            <w:r w:rsidRPr="00315936">
              <w:t>Effective financial management</w:t>
            </w:r>
          </w:p>
        </w:tc>
        <w:tc>
          <w:tcPr>
            <w:tcW w:w="3458" w:type="dxa"/>
          </w:tcPr>
          <w:p w14:paraId="11686B22" w14:textId="166758AE" w:rsidR="00E16CB5" w:rsidRPr="00315936" w:rsidRDefault="00E16CB5">
            <w:pPr>
              <w:pStyle w:val="Tabletext"/>
            </w:pPr>
            <w:r w:rsidRPr="00315936">
              <w:t>Adjusted Current Asset Ratio (ACAR)</w:t>
            </w:r>
          </w:p>
        </w:tc>
        <w:tc>
          <w:tcPr>
            <w:tcW w:w="3458" w:type="dxa"/>
          </w:tcPr>
          <w:p w14:paraId="6DE2B324" w14:textId="77777777" w:rsidR="00E16CB5" w:rsidRPr="00315936" w:rsidRDefault="00E16CB5">
            <w:pPr>
              <w:pStyle w:val="Tabletext"/>
            </w:pPr>
            <w:r>
              <w:t>Greater than or equal to 0</w:t>
            </w:r>
            <w:r w:rsidRPr="00315936">
              <w:t xml:space="preserve">.7 or </w:t>
            </w:r>
            <w:r>
              <w:t xml:space="preserve">at least </w:t>
            </w:r>
            <w:r w:rsidRPr="00315936">
              <w:t xml:space="preserve">3 per cent improvement from health service base target </w:t>
            </w:r>
          </w:p>
        </w:tc>
      </w:tr>
      <w:tr w:rsidR="00E16CB5" w:rsidRPr="00315936" w14:paraId="65631E16" w14:textId="77777777" w:rsidTr="002940D4">
        <w:trPr>
          <w:cantSplit/>
        </w:trPr>
        <w:tc>
          <w:tcPr>
            <w:tcW w:w="3458" w:type="dxa"/>
          </w:tcPr>
          <w:p w14:paraId="5D9F1B44" w14:textId="77777777" w:rsidR="00E16CB5" w:rsidRPr="00315936" w:rsidRDefault="00E16CB5">
            <w:pPr>
              <w:pStyle w:val="Tabletext"/>
            </w:pPr>
            <w:r w:rsidRPr="00315936">
              <w:t>Effective financial management</w:t>
            </w:r>
          </w:p>
        </w:tc>
        <w:tc>
          <w:tcPr>
            <w:tcW w:w="3458" w:type="dxa"/>
          </w:tcPr>
          <w:p w14:paraId="3BE5D81E" w14:textId="77777777" w:rsidR="00E16CB5" w:rsidRPr="00315936" w:rsidRDefault="00E16CB5">
            <w:pPr>
              <w:pStyle w:val="Tabletext"/>
            </w:pPr>
            <w:r w:rsidRPr="006B2CF1">
              <w:t>Variance between the forecast and actual operating result (OR) as a percentage of the forecast OR for the current financial year ending 30 June</w:t>
            </w:r>
          </w:p>
        </w:tc>
        <w:tc>
          <w:tcPr>
            <w:tcW w:w="3458" w:type="dxa"/>
          </w:tcPr>
          <w:p w14:paraId="7BA0DD9F" w14:textId="77777777" w:rsidR="00E16CB5" w:rsidRPr="00315936" w:rsidRDefault="00E16CB5">
            <w:pPr>
              <w:pStyle w:val="Tabletext"/>
            </w:pPr>
            <w:r w:rsidRPr="00D15422">
              <w:t>Less than or equal to 5 per cent variance</w:t>
            </w:r>
          </w:p>
        </w:tc>
      </w:tr>
    </w:tbl>
    <w:p w14:paraId="320257D3" w14:textId="0BFDF1DD" w:rsidR="00594A0B" w:rsidRDefault="00A66F42" w:rsidP="001C1FD5">
      <w:pPr>
        <w:pStyle w:val="Heading1"/>
      </w:pPr>
      <w:bookmarkStart w:id="109" w:name="_Toc204853426"/>
      <w:r>
        <w:lastRenderedPageBreak/>
        <w:t xml:space="preserve">Appendix </w:t>
      </w:r>
      <w:r w:rsidR="00EF7B11">
        <w:t>B – Forensicare</w:t>
      </w:r>
      <w:bookmarkEnd w:id="109"/>
    </w:p>
    <w:p w14:paraId="416DF16A" w14:textId="5A10815A" w:rsidR="00EF7B11" w:rsidRDefault="0004204E" w:rsidP="001C1FD5">
      <w:pPr>
        <w:pStyle w:val="Heading2"/>
      </w:pPr>
      <w:bookmarkStart w:id="110" w:name="_Toc204853427"/>
      <w:r>
        <w:t>Forensicare – Change summary</w:t>
      </w:r>
      <w:bookmarkEnd w:id="110"/>
    </w:p>
    <w:p w14:paraId="47B6E0EE" w14:textId="7E74EA11" w:rsidR="00670655" w:rsidRPr="00670655" w:rsidRDefault="00670655" w:rsidP="00670655">
      <w:pPr>
        <w:pStyle w:val="Body"/>
      </w:pPr>
      <w:r w:rsidRPr="00315936">
        <w:t xml:space="preserve">This section summarises key changes to SoP Part B measures including updated targets and reporting requirements. </w:t>
      </w:r>
    </w:p>
    <w:p w14:paraId="5296A889" w14:textId="24CEE334" w:rsidR="0004204E" w:rsidRDefault="0004204E" w:rsidP="001C1FD5">
      <w:pPr>
        <w:pStyle w:val="Heading3"/>
      </w:pPr>
      <w:r>
        <w:t>High quality and safe care</w:t>
      </w:r>
    </w:p>
    <w:tbl>
      <w:tblPr>
        <w:tblStyle w:val="TableGrid"/>
        <w:tblW w:w="4961" w:type="pct"/>
        <w:tblLayout w:type="fixed"/>
        <w:tblLook w:val="04A0" w:firstRow="1" w:lastRow="0" w:firstColumn="1" w:lastColumn="0" w:noHBand="0" w:noVBand="1"/>
      </w:tblPr>
      <w:tblGrid>
        <w:gridCol w:w="3458"/>
        <w:gridCol w:w="3459"/>
        <w:gridCol w:w="3457"/>
      </w:tblGrid>
      <w:tr w:rsidR="0004204E" w:rsidRPr="00315936" w14:paraId="60E0A614" w14:textId="77777777" w:rsidTr="002940D4">
        <w:trPr>
          <w:trHeight w:val="340"/>
          <w:tblHeader/>
        </w:trPr>
        <w:tc>
          <w:tcPr>
            <w:tcW w:w="1667" w:type="pct"/>
            <w:shd w:val="clear" w:color="auto" w:fill="000066"/>
          </w:tcPr>
          <w:p w14:paraId="3AFD49B6" w14:textId="77777777" w:rsidR="0004204E" w:rsidRPr="003477D2" w:rsidRDefault="0004204E">
            <w:pPr>
              <w:pStyle w:val="Tablecolhead"/>
            </w:pPr>
            <w:r w:rsidRPr="003477D2">
              <w:t>Key performance measure</w:t>
            </w:r>
          </w:p>
        </w:tc>
        <w:tc>
          <w:tcPr>
            <w:tcW w:w="1667" w:type="pct"/>
            <w:shd w:val="clear" w:color="auto" w:fill="000066"/>
          </w:tcPr>
          <w:p w14:paraId="220190A7" w14:textId="77777777" w:rsidR="0004204E" w:rsidRPr="003477D2" w:rsidRDefault="0004204E">
            <w:pPr>
              <w:pStyle w:val="Tablecolhead"/>
            </w:pPr>
            <w:r w:rsidRPr="003477D2">
              <w:t>Change</w:t>
            </w:r>
          </w:p>
        </w:tc>
        <w:tc>
          <w:tcPr>
            <w:tcW w:w="1667" w:type="pct"/>
            <w:shd w:val="clear" w:color="auto" w:fill="000066"/>
          </w:tcPr>
          <w:p w14:paraId="31172B30" w14:textId="77777777" w:rsidR="0004204E" w:rsidRPr="003477D2" w:rsidRDefault="0004204E">
            <w:pPr>
              <w:pStyle w:val="Tablecolhead"/>
            </w:pPr>
            <w:r w:rsidRPr="003477D2">
              <w:t>Commentary</w:t>
            </w:r>
          </w:p>
        </w:tc>
      </w:tr>
      <w:tr w:rsidR="0004204E" w14:paraId="351B439A" w14:textId="77777777" w:rsidTr="002940D4">
        <w:trPr>
          <w:trHeight w:val="794"/>
        </w:trPr>
        <w:tc>
          <w:tcPr>
            <w:tcW w:w="1667" w:type="pct"/>
          </w:tcPr>
          <w:p w14:paraId="3055EF1C" w14:textId="77777777" w:rsidR="0004204E" w:rsidRDefault="0004204E">
            <w:pPr>
              <w:pStyle w:val="Tabletext"/>
              <w:rPr>
                <w:rStyle w:val="FootnoteReference"/>
                <w:rFonts w:eastAsia="MS Gothic"/>
              </w:rPr>
            </w:pPr>
            <w:r>
              <w:t>Percentage of consumers/families/carers reporting a ‘very good’ or ‘excellent’ overall experience of the service</w:t>
            </w:r>
          </w:p>
        </w:tc>
        <w:tc>
          <w:tcPr>
            <w:tcW w:w="1667" w:type="pct"/>
          </w:tcPr>
          <w:p w14:paraId="2C8AF7EE" w14:textId="3850ED40" w:rsidR="0004204E" w:rsidRPr="00A567F8" w:rsidRDefault="0004204E">
            <w:pPr>
              <w:pStyle w:val="Tabletext"/>
            </w:pPr>
            <w:r w:rsidRPr="00A567F8">
              <w:rPr>
                <w:b/>
                <w:bCs/>
              </w:rPr>
              <w:t>Business rule change</w:t>
            </w:r>
            <w:r w:rsidRPr="00005EAE">
              <w:rPr>
                <w:b/>
                <w:bCs/>
              </w:rPr>
              <w:t>:</w:t>
            </w:r>
            <w:r w:rsidR="009D5BA0">
              <w:rPr>
                <w:b/>
                <w:bCs/>
              </w:rPr>
              <w:t xml:space="preserve"> </w:t>
            </w:r>
            <w:r>
              <w:t>S</w:t>
            </w:r>
            <w:r w:rsidRPr="00A567F8">
              <w:t>eparate the existing measure into the following:</w:t>
            </w:r>
          </w:p>
          <w:p w14:paraId="6A5628F8" w14:textId="77777777" w:rsidR="0004204E" w:rsidRPr="00435CB2" w:rsidRDefault="0004204E">
            <w:pPr>
              <w:pStyle w:val="Tablebullet1"/>
            </w:pPr>
            <w:r w:rsidRPr="00435CB2">
              <w:t>Percentage of consumers who rated their overall experience with a service in the last three months as positive</w:t>
            </w:r>
          </w:p>
          <w:p w14:paraId="066EA530" w14:textId="77777777" w:rsidR="0004204E" w:rsidRPr="00A567F8" w:rsidRDefault="0004204E">
            <w:pPr>
              <w:pStyle w:val="Tablebullet1"/>
              <w:rPr>
                <w:rStyle w:val="FootnoteReference"/>
                <w:vertAlign w:val="baseline"/>
              </w:rPr>
            </w:pPr>
            <w:r w:rsidRPr="00435CB2">
              <w:t>Percentage of families/carers reporting a ‘very good’ or ‘excellent’ overall experience of the service</w:t>
            </w:r>
          </w:p>
        </w:tc>
        <w:tc>
          <w:tcPr>
            <w:tcW w:w="1667" w:type="pct"/>
          </w:tcPr>
          <w:p w14:paraId="3CF243AE" w14:textId="35836E9B" w:rsidR="0004204E" w:rsidRDefault="0004204E" w:rsidP="00AD4342">
            <w:pPr>
              <w:pStyle w:val="Tabletext"/>
            </w:pPr>
            <w:r w:rsidRPr="00AF0240">
              <w:rPr>
                <w:b/>
                <w:bCs/>
              </w:rPr>
              <w:t>Rationale:</w:t>
            </w:r>
            <w:r w:rsidR="00AD4342">
              <w:rPr>
                <w:b/>
                <w:bCs/>
              </w:rPr>
              <w:t xml:space="preserve"> </w:t>
            </w:r>
            <w:r>
              <w:t>Measure was previously a consolidation of two separate measures supported by discrete surveys and questions. Keeping the measures separate is a robust and statistical sound approach.</w:t>
            </w:r>
          </w:p>
        </w:tc>
      </w:tr>
      <w:tr w:rsidR="0004204E" w:rsidRPr="00315936" w14:paraId="475968B8" w14:textId="77777777" w:rsidTr="002940D4">
        <w:trPr>
          <w:trHeight w:val="794"/>
        </w:trPr>
        <w:tc>
          <w:tcPr>
            <w:tcW w:w="1667" w:type="pct"/>
          </w:tcPr>
          <w:p w14:paraId="71FD392B" w14:textId="431F9D2D" w:rsidR="0004204E" w:rsidRPr="00315936" w:rsidRDefault="0004204E">
            <w:pPr>
              <w:pStyle w:val="Tabletext"/>
              <w:rPr>
                <w:rFonts w:eastAsia="MS Gothic"/>
              </w:rPr>
            </w:pPr>
            <w:r w:rsidRPr="00315936">
              <w:t>Rate of seclusion episodes per 1,000 occupied bed days - Inpatient</w:t>
            </w:r>
          </w:p>
        </w:tc>
        <w:tc>
          <w:tcPr>
            <w:tcW w:w="1667" w:type="pct"/>
          </w:tcPr>
          <w:p w14:paraId="574A597E" w14:textId="1347314E" w:rsidR="0004204E" w:rsidRPr="00A567F8" w:rsidRDefault="0004204E" w:rsidP="00535D2B">
            <w:pPr>
              <w:pStyle w:val="Tabletext"/>
            </w:pPr>
            <w:r w:rsidRPr="00A567F8">
              <w:rPr>
                <w:b/>
                <w:bCs/>
              </w:rPr>
              <w:t>Target change:</w:t>
            </w:r>
            <w:r w:rsidR="000C48E6">
              <w:rPr>
                <w:b/>
                <w:bCs/>
              </w:rPr>
              <w:t xml:space="preserve"> </w:t>
            </w:r>
            <w:r w:rsidRPr="00606C12">
              <w:t>less than or equal to 6 seclusion episodes per 1,000 bed days or at least 5 per cent improvement compared to the same quarter last year.</w:t>
            </w:r>
            <w:r>
              <w:t xml:space="preserve"> </w:t>
            </w:r>
          </w:p>
        </w:tc>
        <w:tc>
          <w:tcPr>
            <w:tcW w:w="1667" w:type="pct"/>
          </w:tcPr>
          <w:p w14:paraId="7EEF8F4D" w14:textId="487CEDC4" w:rsidR="0004204E" w:rsidRPr="00315936" w:rsidRDefault="0004204E" w:rsidP="00AD4342">
            <w:pPr>
              <w:pStyle w:val="Tabletext"/>
            </w:pPr>
            <w:r w:rsidRPr="006F1EC8">
              <w:rPr>
                <w:b/>
                <w:bCs/>
              </w:rPr>
              <w:t>Rationale:</w:t>
            </w:r>
            <w:r w:rsidR="00AD4342">
              <w:rPr>
                <w:b/>
                <w:bCs/>
              </w:rPr>
              <w:t xml:space="preserve"> </w:t>
            </w:r>
            <w:r w:rsidRPr="00693E52">
              <w:t>Reflects consideration for the unique patient mix served by Forensicare</w:t>
            </w:r>
            <w:r>
              <w:t>.</w:t>
            </w:r>
          </w:p>
        </w:tc>
      </w:tr>
    </w:tbl>
    <w:p w14:paraId="6CD22429" w14:textId="21FE4465" w:rsidR="000C0EE5" w:rsidRDefault="000C0EE5" w:rsidP="008E7F78">
      <w:pPr>
        <w:pStyle w:val="Heading3"/>
      </w:pPr>
      <w:r>
        <w:t>Strong governance, leadership and culture</w:t>
      </w:r>
    </w:p>
    <w:p w14:paraId="298E929D" w14:textId="249D090D" w:rsidR="003006A3" w:rsidRPr="003006A3" w:rsidRDefault="003006A3" w:rsidP="003006A3">
      <w:pPr>
        <w:pStyle w:val="Body"/>
      </w:pPr>
      <w:r>
        <w:t>No changes to measures in this domain.</w:t>
      </w:r>
    </w:p>
    <w:p w14:paraId="4D440E16" w14:textId="232D62F9" w:rsidR="00BC2322" w:rsidRDefault="00BC2322" w:rsidP="008E7F78">
      <w:pPr>
        <w:pStyle w:val="Heading3"/>
      </w:pPr>
      <w:r>
        <w:t>Timely access to care</w:t>
      </w:r>
    </w:p>
    <w:tbl>
      <w:tblPr>
        <w:tblStyle w:val="TableGrid"/>
        <w:tblW w:w="4961" w:type="pct"/>
        <w:tblLayout w:type="fixed"/>
        <w:tblLook w:val="04A0" w:firstRow="1" w:lastRow="0" w:firstColumn="1" w:lastColumn="0" w:noHBand="0" w:noVBand="1"/>
      </w:tblPr>
      <w:tblGrid>
        <w:gridCol w:w="3458"/>
        <w:gridCol w:w="3459"/>
        <w:gridCol w:w="3457"/>
      </w:tblGrid>
      <w:tr w:rsidR="00693726" w:rsidRPr="00315936" w14:paraId="38C1BED3" w14:textId="77777777" w:rsidTr="00A54F7B">
        <w:trPr>
          <w:trHeight w:val="340"/>
          <w:tblHeader/>
        </w:trPr>
        <w:tc>
          <w:tcPr>
            <w:tcW w:w="1667" w:type="pct"/>
            <w:shd w:val="clear" w:color="auto" w:fill="000066"/>
          </w:tcPr>
          <w:p w14:paraId="735149F2" w14:textId="77777777" w:rsidR="00693726" w:rsidRPr="003477D2" w:rsidRDefault="00693726">
            <w:pPr>
              <w:pStyle w:val="Tablecolhead"/>
            </w:pPr>
            <w:r w:rsidRPr="003477D2">
              <w:t>Key performance measure</w:t>
            </w:r>
          </w:p>
        </w:tc>
        <w:tc>
          <w:tcPr>
            <w:tcW w:w="1667" w:type="pct"/>
            <w:shd w:val="clear" w:color="auto" w:fill="000066"/>
          </w:tcPr>
          <w:p w14:paraId="108EBE7B" w14:textId="77777777" w:rsidR="00693726" w:rsidRPr="003477D2" w:rsidRDefault="00693726">
            <w:pPr>
              <w:pStyle w:val="Tablecolhead"/>
            </w:pPr>
            <w:r w:rsidRPr="003477D2">
              <w:t>Change</w:t>
            </w:r>
          </w:p>
        </w:tc>
        <w:tc>
          <w:tcPr>
            <w:tcW w:w="1667" w:type="pct"/>
            <w:shd w:val="clear" w:color="auto" w:fill="000066"/>
          </w:tcPr>
          <w:p w14:paraId="4F2E2802" w14:textId="77777777" w:rsidR="00693726" w:rsidRPr="003477D2" w:rsidRDefault="00693726">
            <w:pPr>
              <w:pStyle w:val="Tablecolhead"/>
            </w:pPr>
            <w:r w:rsidRPr="003477D2">
              <w:t>Commentary</w:t>
            </w:r>
          </w:p>
        </w:tc>
      </w:tr>
      <w:tr w:rsidR="00693726" w:rsidRPr="00315936" w14:paraId="4CD6CF8D" w14:textId="77777777" w:rsidTr="00A54F7B">
        <w:trPr>
          <w:trHeight w:val="794"/>
        </w:trPr>
        <w:tc>
          <w:tcPr>
            <w:tcW w:w="1667" w:type="pct"/>
          </w:tcPr>
          <w:p w14:paraId="6BA4D51F" w14:textId="77777777" w:rsidR="00693726" w:rsidRPr="00315936" w:rsidRDefault="00693726">
            <w:pPr>
              <w:pStyle w:val="Tabletext"/>
            </w:pPr>
            <w:r w:rsidRPr="00315936">
              <w:rPr>
                <w:rFonts w:eastAsia="MS Gothic"/>
              </w:rPr>
              <w:t xml:space="preserve">Percentage of male </w:t>
            </w:r>
            <w:r>
              <w:rPr>
                <w:rFonts w:eastAsia="MS Gothic"/>
              </w:rPr>
              <w:t>s</w:t>
            </w:r>
            <w:r w:rsidRPr="001A453F">
              <w:rPr>
                <w:rFonts w:eastAsia="MS Gothic"/>
              </w:rPr>
              <w:t xml:space="preserve">ecurity </w:t>
            </w:r>
            <w:r>
              <w:rPr>
                <w:rFonts w:eastAsia="MS Gothic"/>
              </w:rPr>
              <w:t>p</w:t>
            </w:r>
            <w:r w:rsidRPr="001A453F">
              <w:rPr>
                <w:rFonts w:eastAsia="MS Gothic"/>
              </w:rPr>
              <w:t>atients</w:t>
            </w:r>
            <w:r w:rsidRPr="00315936">
              <w:rPr>
                <w:rFonts w:eastAsia="MS Gothic"/>
              </w:rPr>
              <w:t xml:space="preserve"> admitted to Thomas Embling Hospital within 7 days of recommendation for compulsory treatment</w:t>
            </w:r>
          </w:p>
        </w:tc>
        <w:tc>
          <w:tcPr>
            <w:tcW w:w="1667" w:type="pct"/>
          </w:tcPr>
          <w:p w14:paraId="3CB6FBC5" w14:textId="43D17A2B" w:rsidR="00693726" w:rsidRPr="007F1E8B" w:rsidRDefault="00693726" w:rsidP="00535D2B">
            <w:pPr>
              <w:pStyle w:val="Tabletext"/>
            </w:pPr>
            <w:r w:rsidRPr="00A37B0D">
              <w:rPr>
                <w:b/>
                <w:bCs/>
              </w:rPr>
              <w:t>Target change:</w:t>
            </w:r>
            <w:r w:rsidR="000C48E6">
              <w:rPr>
                <w:b/>
                <w:bCs/>
              </w:rPr>
              <w:t xml:space="preserve"> </w:t>
            </w:r>
            <w:r w:rsidRPr="007F1E8B">
              <w:t>greater than or equal to 80 per cent or a</w:t>
            </w:r>
            <w:r>
              <w:t>t least a</w:t>
            </w:r>
            <w:r w:rsidRPr="007F1E8B">
              <w:t xml:space="preserve"> 5-percentage point improvement on the same quarter last year</w:t>
            </w:r>
          </w:p>
          <w:p w14:paraId="52E5954C" w14:textId="77777777" w:rsidR="00693726" w:rsidRPr="00315936" w:rsidRDefault="00693726">
            <w:pPr>
              <w:pStyle w:val="Tablebullet1"/>
              <w:numPr>
                <w:ilvl w:val="0"/>
                <w:numId w:val="0"/>
              </w:numPr>
            </w:pPr>
            <w:r>
              <w:t>This measure applies to Forensicare only.</w:t>
            </w:r>
          </w:p>
        </w:tc>
        <w:tc>
          <w:tcPr>
            <w:tcW w:w="1667" w:type="pct"/>
          </w:tcPr>
          <w:p w14:paraId="4F1A3278" w14:textId="2800ACEC" w:rsidR="00693726" w:rsidRDefault="00693726" w:rsidP="005C5C48">
            <w:pPr>
              <w:pStyle w:val="Tabletext"/>
            </w:pPr>
            <w:r w:rsidRPr="0078031E">
              <w:rPr>
                <w:b/>
                <w:bCs/>
              </w:rPr>
              <w:t>Rationale:</w:t>
            </w:r>
            <w:r w:rsidR="00962355">
              <w:rPr>
                <w:b/>
                <w:bCs/>
              </w:rPr>
              <w:t xml:space="preserve"> </w:t>
            </w:r>
            <w:r>
              <w:t>Acknowledges that Forensicare is unlikely to meet these key performance measures in 2025</w:t>
            </w:r>
            <w:r w:rsidR="005C5C48">
              <w:t>–</w:t>
            </w:r>
            <w:r>
              <w:t xml:space="preserve">26 due to the continuing high demand for Forensicare services. </w:t>
            </w:r>
          </w:p>
          <w:p w14:paraId="3B0F1649" w14:textId="44F81EF4" w:rsidR="00693726" w:rsidRPr="00315936" w:rsidRDefault="00693726" w:rsidP="005C5C48">
            <w:pPr>
              <w:pStyle w:val="Tabletext"/>
            </w:pPr>
            <w:r>
              <w:t>Timely access to care key performance measures will be reviewed ahead of 2026</w:t>
            </w:r>
            <w:r w:rsidR="005C5C48">
              <w:t>–</w:t>
            </w:r>
            <w:r>
              <w:t>27, in the context of new capacity anticipated to come online.</w:t>
            </w:r>
          </w:p>
        </w:tc>
      </w:tr>
      <w:tr w:rsidR="00693726" w:rsidRPr="00315936" w14:paraId="779BE120" w14:textId="77777777" w:rsidTr="00A54F7B">
        <w:trPr>
          <w:trHeight w:val="794"/>
        </w:trPr>
        <w:tc>
          <w:tcPr>
            <w:tcW w:w="1667" w:type="pct"/>
          </w:tcPr>
          <w:p w14:paraId="67E536AD" w14:textId="77777777" w:rsidR="00693726" w:rsidRPr="00315936" w:rsidRDefault="00693726">
            <w:pPr>
              <w:pStyle w:val="Tabletext"/>
              <w:rPr>
                <w:rFonts w:eastAsia="MS Gothic"/>
              </w:rPr>
            </w:pPr>
            <w:r w:rsidRPr="00315936">
              <w:t>Percentage of male security patients discharged from Thomas Embling Hospital to a correctional centre within 21 days</w:t>
            </w:r>
          </w:p>
        </w:tc>
        <w:tc>
          <w:tcPr>
            <w:tcW w:w="1667" w:type="pct"/>
          </w:tcPr>
          <w:p w14:paraId="1C1BA93C" w14:textId="615D2850" w:rsidR="00693726" w:rsidRPr="007F1E8B" w:rsidRDefault="00693726" w:rsidP="00535D2B">
            <w:pPr>
              <w:pStyle w:val="Tabletext"/>
            </w:pPr>
            <w:r w:rsidRPr="00A37B0D">
              <w:rPr>
                <w:b/>
                <w:bCs/>
              </w:rPr>
              <w:t>Target change:</w:t>
            </w:r>
            <w:r w:rsidR="000C48E6">
              <w:rPr>
                <w:b/>
                <w:bCs/>
              </w:rPr>
              <w:t xml:space="preserve"> </w:t>
            </w:r>
            <w:r w:rsidRPr="007F1E8B">
              <w:t>greater than or equal to 80 per cent or a</w:t>
            </w:r>
            <w:r>
              <w:t>t least a</w:t>
            </w:r>
            <w:r w:rsidRPr="007F1E8B">
              <w:t xml:space="preserve"> 5-percentage point improvement on the same quarter last year</w:t>
            </w:r>
          </w:p>
          <w:p w14:paraId="6C381931" w14:textId="77777777" w:rsidR="00693726" w:rsidRPr="00315936" w:rsidRDefault="00693726">
            <w:pPr>
              <w:pStyle w:val="Tabletext"/>
            </w:pPr>
            <w:r>
              <w:lastRenderedPageBreak/>
              <w:t>This measure applies to Forensicare only.</w:t>
            </w:r>
          </w:p>
        </w:tc>
        <w:tc>
          <w:tcPr>
            <w:tcW w:w="1667" w:type="pct"/>
          </w:tcPr>
          <w:p w14:paraId="7F43D9A4" w14:textId="51D54C98" w:rsidR="00693726" w:rsidRDefault="00693726" w:rsidP="005C5C48">
            <w:pPr>
              <w:pStyle w:val="Tabletext"/>
            </w:pPr>
            <w:r w:rsidRPr="0078031E">
              <w:rPr>
                <w:b/>
                <w:bCs/>
              </w:rPr>
              <w:lastRenderedPageBreak/>
              <w:t>Rationale:</w:t>
            </w:r>
            <w:r w:rsidR="002F141C">
              <w:rPr>
                <w:b/>
                <w:bCs/>
              </w:rPr>
              <w:t xml:space="preserve"> </w:t>
            </w:r>
            <w:r w:rsidR="002F141C">
              <w:t>A</w:t>
            </w:r>
            <w:r>
              <w:t>cknowledges that Forensicare is unlikely to meet these key performance measures in 2025</w:t>
            </w:r>
            <w:r w:rsidR="005C5C48">
              <w:t>–</w:t>
            </w:r>
            <w:r>
              <w:t xml:space="preserve">26 due to the continuing </w:t>
            </w:r>
            <w:r>
              <w:lastRenderedPageBreak/>
              <w:t xml:space="preserve">high demand for Forensicare services. </w:t>
            </w:r>
          </w:p>
          <w:p w14:paraId="690172BE" w14:textId="768432A9" w:rsidR="00693726" w:rsidRPr="00315936" w:rsidRDefault="00693726" w:rsidP="005C5C48">
            <w:pPr>
              <w:pStyle w:val="Tabletext"/>
            </w:pPr>
            <w:r>
              <w:t>Timely access to care key performance measures will be reviewed ahead of 2026</w:t>
            </w:r>
            <w:r w:rsidR="005C5C48">
              <w:t>–</w:t>
            </w:r>
            <w:r>
              <w:t>27, in the context of new capacity anticipated to come online.</w:t>
            </w:r>
          </w:p>
        </w:tc>
      </w:tr>
    </w:tbl>
    <w:p w14:paraId="24155219" w14:textId="6523E408" w:rsidR="000C0EE5" w:rsidRDefault="000C0EE5" w:rsidP="005C5C48">
      <w:pPr>
        <w:pStyle w:val="Heading3"/>
      </w:pPr>
      <w:r>
        <w:lastRenderedPageBreak/>
        <w:t>Effective financial management</w:t>
      </w:r>
    </w:p>
    <w:tbl>
      <w:tblPr>
        <w:tblStyle w:val="TableGrid"/>
        <w:tblW w:w="4961" w:type="pct"/>
        <w:tblLayout w:type="fixed"/>
        <w:tblLook w:val="04A0" w:firstRow="1" w:lastRow="0" w:firstColumn="1" w:lastColumn="0" w:noHBand="0" w:noVBand="1"/>
      </w:tblPr>
      <w:tblGrid>
        <w:gridCol w:w="3458"/>
        <w:gridCol w:w="3459"/>
        <w:gridCol w:w="3457"/>
      </w:tblGrid>
      <w:tr w:rsidR="004C51DD" w:rsidRPr="00315936" w14:paraId="21A43DB0" w14:textId="77777777" w:rsidTr="00A54F7B">
        <w:trPr>
          <w:trHeight w:val="340"/>
          <w:tblHeader/>
        </w:trPr>
        <w:tc>
          <w:tcPr>
            <w:tcW w:w="1667" w:type="pct"/>
            <w:shd w:val="clear" w:color="auto" w:fill="000066"/>
          </w:tcPr>
          <w:p w14:paraId="177ED263" w14:textId="77777777" w:rsidR="004C51DD" w:rsidRPr="003477D2" w:rsidRDefault="004C51DD">
            <w:pPr>
              <w:pStyle w:val="Tablecolhead"/>
            </w:pPr>
            <w:r w:rsidRPr="003477D2">
              <w:t>Key performance measure</w:t>
            </w:r>
          </w:p>
        </w:tc>
        <w:tc>
          <w:tcPr>
            <w:tcW w:w="1667" w:type="pct"/>
            <w:shd w:val="clear" w:color="auto" w:fill="000066"/>
          </w:tcPr>
          <w:p w14:paraId="7759CF51" w14:textId="77777777" w:rsidR="004C51DD" w:rsidRPr="003477D2" w:rsidRDefault="004C51DD">
            <w:pPr>
              <w:pStyle w:val="Tablecolhead"/>
            </w:pPr>
            <w:r w:rsidRPr="003477D2">
              <w:t>Change</w:t>
            </w:r>
          </w:p>
        </w:tc>
        <w:tc>
          <w:tcPr>
            <w:tcW w:w="1667" w:type="pct"/>
            <w:shd w:val="clear" w:color="auto" w:fill="000066"/>
          </w:tcPr>
          <w:p w14:paraId="4B734ED6" w14:textId="77777777" w:rsidR="004C51DD" w:rsidRPr="003477D2" w:rsidRDefault="004C51DD">
            <w:pPr>
              <w:pStyle w:val="Tablecolhead"/>
            </w:pPr>
            <w:r w:rsidRPr="003477D2">
              <w:t>Commentary</w:t>
            </w:r>
          </w:p>
        </w:tc>
      </w:tr>
      <w:tr w:rsidR="004C51DD" w:rsidRPr="00315936" w14:paraId="129C0DA6" w14:textId="77777777" w:rsidTr="00A54F7B">
        <w:trPr>
          <w:trHeight w:val="794"/>
        </w:trPr>
        <w:tc>
          <w:tcPr>
            <w:tcW w:w="1667" w:type="pct"/>
          </w:tcPr>
          <w:p w14:paraId="34DF4987" w14:textId="184314A1" w:rsidR="004C51DD" w:rsidRPr="00315936" w:rsidRDefault="004C51DD">
            <w:pPr>
              <w:pStyle w:val="Tabletext"/>
            </w:pPr>
            <w:r w:rsidRPr="00315936">
              <w:t xml:space="preserve">Variance between forecast and actual Net result from transactions (NRFT) for the current financial year ending 30 June </w:t>
            </w:r>
          </w:p>
        </w:tc>
        <w:tc>
          <w:tcPr>
            <w:tcW w:w="1667" w:type="pct"/>
          </w:tcPr>
          <w:p w14:paraId="2FEDA0F8" w14:textId="2ECA6043" w:rsidR="004C51DD" w:rsidRDefault="004C51DD" w:rsidP="002F141C">
            <w:pPr>
              <w:pStyle w:val="Tabletext"/>
            </w:pPr>
            <w:r>
              <w:rPr>
                <w:b/>
              </w:rPr>
              <w:t>Rename</w:t>
            </w:r>
            <w:r w:rsidR="002F141C">
              <w:rPr>
                <w:b/>
              </w:rPr>
              <w:t xml:space="preserve"> to: </w:t>
            </w:r>
            <w:r>
              <w:rPr>
                <w:b/>
              </w:rPr>
              <w:t xml:space="preserve"> </w:t>
            </w:r>
            <w:r>
              <w:t>V</w:t>
            </w:r>
            <w:r w:rsidRPr="006B2CF1">
              <w:t>ariance between the forecast and actual operating result (OR) as a percentage of the forecast OR for the current financial year ending 30 June</w:t>
            </w:r>
            <w:r>
              <w:t>.</w:t>
            </w:r>
          </w:p>
          <w:p w14:paraId="561680CF" w14:textId="67EE3256" w:rsidR="004C51DD" w:rsidRPr="00A37B0D" w:rsidRDefault="004C51DD" w:rsidP="00535D2B">
            <w:pPr>
              <w:pStyle w:val="Tabletext"/>
              <w:rPr>
                <w:bCs/>
              </w:rPr>
            </w:pPr>
            <w:r>
              <w:rPr>
                <w:b/>
              </w:rPr>
              <w:t>Business rules change:</w:t>
            </w:r>
            <w:r w:rsidR="009D5BA0">
              <w:rPr>
                <w:b/>
              </w:rPr>
              <w:t xml:space="preserve"> </w:t>
            </w:r>
            <w:r w:rsidR="008D10AF">
              <w:rPr>
                <w:bCs/>
              </w:rPr>
              <w:t>variance between the forecast and actual OR</w:t>
            </w:r>
            <w:r w:rsidR="001A0852">
              <w:rPr>
                <w:bCs/>
              </w:rPr>
              <w:t xml:space="preserve"> as a percentage of the forecast OR</w:t>
            </w:r>
            <w:r w:rsidR="00C94DE8">
              <w:t xml:space="preserve"> for the current financial year</w:t>
            </w:r>
          </w:p>
        </w:tc>
        <w:tc>
          <w:tcPr>
            <w:tcW w:w="1667" w:type="pct"/>
          </w:tcPr>
          <w:p w14:paraId="34F769A1" w14:textId="1F20582C" w:rsidR="004C51DD" w:rsidRPr="00315936" w:rsidRDefault="004C51DD" w:rsidP="002F141C">
            <w:pPr>
              <w:pStyle w:val="Tabletext"/>
            </w:pPr>
            <w:r w:rsidRPr="00DB0CA1">
              <w:rPr>
                <w:b/>
                <w:bCs/>
              </w:rPr>
              <w:t>Rationale:</w:t>
            </w:r>
            <w:r w:rsidR="002F141C">
              <w:rPr>
                <w:b/>
                <w:bCs/>
              </w:rPr>
              <w:t xml:space="preserve"> </w:t>
            </w:r>
            <w:r w:rsidRPr="00DB0CA1">
              <w:t xml:space="preserve">Operating result forecast is a more useful </w:t>
            </w:r>
            <w:r>
              <w:t>indicator</w:t>
            </w:r>
            <w:r w:rsidRPr="00DB0CA1">
              <w:t xml:space="preserve"> of financial performance</w:t>
            </w:r>
          </w:p>
        </w:tc>
      </w:tr>
    </w:tbl>
    <w:p w14:paraId="083B193C" w14:textId="45370549" w:rsidR="00B131C8" w:rsidRDefault="00B131C8" w:rsidP="005C5C48">
      <w:pPr>
        <w:pStyle w:val="Heading2"/>
      </w:pPr>
      <w:bookmarkStart w:id="111" w:name="_Toc204853428"/>
      <w:r>
        <w:t xml:space="preserve">Forensicare – Key </w:t>
      </w:r>
      <w:r w:rsidR="00CF3E7C">
        <w:t xml:space="preserve">performance </w:t>
      </w:r>
      <w:r w:rsidR="00C407A8">
        <w:t>measures</w:t>
      </w:r>
      <w:bookmarkEnd w:id="111"/>
    </w:p>
    <w:p w14:paraId="36CDF3EA" w14:textId="2FD93470" w:rsidR="009F388A" w:rsidRDefault="009F388A" w:rsidP="008E7F78">
      <w:pPr>
        <w:pStyle w:val="Heading3"/>
      </w:pPr>
      <w:r>
        <w:t>High quality and safe care</w:t>
      </w:r>
    </w:p>
    <w:tbl>
      <w:tblPr>
        <w:tblStyle w:val="TableGrid"/>
        <w:tblW w:w="10374" w:type="dxa"/>
        <w:tblLook w:val="04A0" w:firstRow="1" w:lastRow="0" w:firstColumn="1" w:lastColumn="0" w:noHBand="0" w:noVBand="1"/>
      </w:tblPr>
      <w:tblGrid>
        <w:gridCol w:w="3458"/>
        <w:gridCol w:w="3458"/>
        <w:gridCol w:w="3458"/>
      </w:tblGrid>
      <w:tr w:rsidR="00793C71" w:rsidRPr="00315936" w14:paraId="665680A2" w14:textId="77777777" w:rsidTr="00793C71">
        <w:trPr>
          <w:cantSplit/>
          <w:trHeight w:val="380"/>
          <w:tblHeader/>
        </w:trPr>
        <w:tc>
          <w:tcPr>
            <w:tcW w:w="3458" w:type="dxa"/>
            <w:shd w:val="clear" w:color="auto" w:fill="000066"/>
          </w:tcPr>
          <w:p w14:paraId="75F2BED5" w14:textId="77777777" w:rsidR="009F388A" w:rsidRPr="00315936" w:rsidRDefault="009F388A">
            <w:pPr>
              <w:pStyle w:val="Tablecolhead"/>
            </w:pPr>
            <w:r w:rsidRPr="00315936">
              <w:t>Program</w:t>
            </w:r>
          </w:p>
        </w:tc>
        <w:tc>
          <w:tcPr>
            <w:tcW w:w="3458" w:type="dxa"/>
            <w:shd w:val="clear" w:color="auto" w:fill="000066"/>
          </w:tcPr>
          <w:p w14:paraId="7C8FE4C4" w14:textId="77777777" w:rsidR="009F388A" w:rsidRPr="00315936" w:rsidRDefault="009F388A">
            <w:pPr>
              <w:pStyle w:val="Tablecolhead"/>
            </w:pPr>
            <w:r w:rsidRPr="00315936">
              <w:t>Measure</w:t>
            </w:r>
          </w:p>
        </w:tc>
        <w:tc>
          <w:tcPr>
            <w:tcW w:w="3458" w:type="dxa"/>
            <w:shd w:val="clear" w:color="auto" w:fill="000066"/>
          </w:tcPr>
          <w:p w14:paraId="374828EB" w14:textId="77777777" w:rsidR="009F388A" w:rsidRPr="00315936" w:rsidRDefault="009F388A">
            <w:pPr>
              <w:pStyle w:val="Tablecolhead"/>
            </w:pPr>
            <w:r w:rsidRPr="00315936">
              <w:t>Target</w:t>
            </w:r>
          </w:p>
        </w:tc>
      </w:tr>
      <w:tr w:rsidR="00793C71" w:rsidRPr="00315936" w14:paraId="58582CC1" w14:textId="77777777" w:rsidTr="00793C71">
        <w:trPr>
          <w:cantSplit/>
          <w:trHeight w:val="405"/>
        </w:trPr>
        <w:tc>
          <w:tcPr>
            <w:tcW w:w="3458" w:type="dxa"/>
          </w:tcPr>
          <w:p w14:paraId="1F91A8B6" w14:textId="77777777" w:rsidR="009F388A" w:rsidRPr="00315936" w:rsidRDefault="009F388A">
            <w:pPr>
              <w:pStyle w:val="Tabletext"/>
            </w:pPr>
            <w:r w:rsidRPr="00315936">
              <w:t>Infection prevention and control</w:t>
            </w:r>
          </w:p>
        </w:tc>
        <w:tc>
          <w:tcPr>
            <w:tcW w:w="3458" w:type="dxa"/>
          </w:tcPr>
          <w:p w14:paraId="32020A23" w14:textId="22BDF40B" w:rsidR="009F388A" w:rsidRPr="00315936" w:rsidRDefault="009F388A">
            <w:pPr>
              <w:pStyle w:val="Tabletext"/>
              <w:rPr>
                <w:vertAlign w:val="superscript"/>
              </w:rPr>
            </w:pPr>
            <w:r w:rsidRPr="00315936">
              <w:t>Percentage of healthcare workers immunised for influenza</w:t>
            </w:r>
          </w:p>
        </w:tc>
        <w:tc>
          <w:tcPr>
            <w:tcW w:w="3458" w:type="dxa"/>
          </w:tcPr>
          <w:p w14:paraId="134BA727" w14:textId="77777777" w:rsidR="009F388A" w:rsidRPr="00315936" w:rsidRDefault="009F388A">
            <w:pPr>
              <w:pStyle w:val="Tabletext"/>
            </w:pPr>
            <w:r w:rsidRPr="00315936">
              <w:t>94 per cent</w:t>
            </w:r>
          </w:p>
        </w:tc>
      </w:tr>
      <w:tr w:rsidR="00793C71" w:rsidRPr="00315936" w14:paraId="728641B2" w14:textId="77777777" w:rsidTr="00793C71">
        <w:trPr>
          <w:cantSplit/>
          <w:trHeight w:val="896"/>
        </w:trPr>
        <w:tc>
          <w:tcPr>
            <w:tcW w:w="3458" w:type="dxa"/>
          </w:tcPr>
          <w:p w14:paraId="49B9BAAF" w14:textId="77777777" w:rsidR="009F388A" w:rsidRPr="00315936" w:rsidRDefault="009F388A">
            <w:pPr>
              <w:pStyle w:val="Tabletext"/>
            </w:pPr>
            <w:r w:rsidRPr="00315936">
              <w:t>Adverse events</w:t>
            </w:r>
          </w:p>
        </w:tc>
        <w:tc>
          <w:tcPr>
            <w:tcW w:w="3458" w:type="dxa"/>
          </w:tcPr>
          <w:p w14:paraId="753BABDB" w14:textId="62E30B80" w:rsidR="009F388A" w:rsidRPr="00315936" w:rsidRDefault="009F388A">
            <w:pPr>
              <w:pStyle w:val="Tabletext"/>
            </w:pPr>
            <w:r w:rsidRPr="00315936">
              <w:rPr>
                <w:rFonts w:eastAsia="MS Gothic"/>
              </w:rPr>
              <w:t>Percentage of reported sentinel events for which a root cause analysis (RCA) report was submitted within 30 business days from notification of the event</w:t>
            </w:r>
          </w:p>
        </w:tc>
        <w:tc>
          <w:tcPr>
            <w:tcW w:w="3458" w:type="dxa"/>
          </w:tcPr>
          <w:p w14:paraId="0D3CDA10" w14:textId="77777777" w:rsidR="009F388A" w:rsidRPr="00315936" w:rsidRDefault="009F388A">
            <w:pPr>
              <w:pStyle w:val="Tabletext"/>
            </w:pPr>
            <w:r w:rsidRPr="00315936">
              <w:t>All sentinel event reports submitted within 30 business days from notification</w:t>
            </w:r>
          </w:p>
        </w:tc>
      </w:tr>
      <w:tr w:rsidR="00793C71" w:rsidRPr="00315936" w14:paraId="2E772827" w14:textId="77777777" w:rsidTr="00793C71">
        <w:trPr>
          <w:cantSplit/>
          <w:trHeight w:val="650"/>
        </w:trPr>
        <w:tc>
          <w:tcPr>
            <w:tcW w:w="3458" w:type="dxa"/>
          </w:tcPr>
          <w:p w14:paraId="4CBD2CE5" w14:textId="77777777" w:rsidR="009F388A" w:rsidRPr="00315936" w:rsidRDefault="009F388A">
            <w:pPr>
              <w:pStyle w:val="Tabletext"/>
              <w:rPr>
                <w:rFonts w:eastAsia="MS Gothic"/>
              </w:rPr>
            </w:pPr>
            <w:r w:rsidRPr="00315936">
              <w:rPr>
                <w:rFonts w:eastAsia="MS Gothic"/>
              </w:rPr>
              <w:t>Mental health patient experience</w:t>
            </w:r>
          </w:p>
        </w:tc>
        <w:tc>
          <w:tcPr>
            <w:tcW w:w="3458" w:type="dxa"/>
          </w:tcPr>
          <w:p w14:paraId="10701D71" w14:textId="28BC823D" w:rsidR="009F388A" w:rsidRDefault="009F388A">
            <w:pPr>
              <w:pStyle w:val="Tabletext"/>
            </w:pPr>
            <w:r w:rsidRPr="00435CB2">
              <w:t>Percentage of consumers who rated their overall experience with a service in the last three months as positive</w:t>
            </w:r>
          </w:p>
        </w:tc>
        <w:tc>
          <w:tcPr>
            <w:tcW w:w="3458" w:type="dxa"/>
          </w:tcPr>
          <w:p w14:paraId="38264022" w14:textId="77777777" w:rsidR="009F388A" w:rsidDel="00482182" w:rsidRDefault="009F388A">
            <w:pPr>
              <w:pStyle w:val="Tabletext"/>
            </w:pPr>
            <w:r>
              <w:t>80 per cent</w:t>
            </w:r>
          </w:p>
        </w:tc>
      </w:tr>
      <w:tr w:rsidR="00793C71" w:rsidRPr="00315936" w14:paraId="03454443" w14:textId="77777777" w:rsidTr="00793C71">
        <w:trPr>
          <w:cantSplit/>
          <w:trHeight w:val="650"/>
        </w:trPr>
        <w:tc>
          <w:tcPr>
            <w:tcW w:w="3458" w:type="dxa"/>
          </w:tcPr>
          <w:p w14:paraId="2C4C24CE" w14:textId="77777777" w:rsidR="009F388A" w:rsidRPr="00315936" w:rsidRDefault="009F388A">
            <w:pPr>
              <w:pStyle w:val="Tabletext"/>
              <w:rPr>
                <w:rFonts w:eastAsia="MS Gothic"/>
              </w:rPr>
            </w:pPr>
            <w:r w:rsidRPr="00315936">
              <w:rPr>
                <w:rFonts w:eastAsia="MS Gothic"/>
              </w:rPr>
              <w:t>Mental health patient experience</w:t>
            </w:r>
          </w:p>
        </w:tc>
        <w:tc>
          <w:tcPr>
            <w:tcW w:w="3458" w:type="dxa"/>
          </w:tcPr>
          <w:p w14:paraId="002CB500" w14:textId="6F74119C" w:rsidR="009F388A" w:rsidRPr="00315936" w:rsidRDefault="009F388A">
            <w:pPr>
              <w:pStyle w:val="Tabletext"/>
            </w:pPr>
            <w:r>
              <w:t>Percentage of families/carers reporting a ‘very good’ or ‘excellent’ overall experience of the service</w:t>
            </w:r>
          </w:p>
        </w:tc>
        <w:tc>
          <w:tcPr>
            <w:tcW w:w="3458" w:type="dxa"/>
          </w:tcPr>
          <w:p w14:paraId="4E288363" w14:textId="77777777" w:rsidR="009F388A" w:rsidRPr="00315936" w:rsidRDefault="009F388A">
            <w:pPr>
              <w:pStyle w:val="Tabletext"/>
            </w:pPr>
            <w:r>
              <w:t>80 per cent</w:t>
            </w:r>
          </w:p>
        </w:tc>
      </w:tr>
      <w:tr w:rsidR="00793C71" w:rsidRPr="00315936" w14:paraId="5772038F" w14:textId="77777777" w:rsidTr="00793C71">
        <w:trPr>
          <w:cantSplit/>
          <w:trHeight w:val="650"/>
        </w:trPr>
        <w:tc>
          <w:tcPr>
            <w:tcW w:w="3458" w:type="dxa"/>
          </w:tcPr>
          <w:p w14:paraId="1358714B" w14:textId="77777777" w:rsidR="009F388A" w:rsidRPr="00315936" w:rsidRDefault="009F388A">
            <w:pPr>
              <w:pStyle w:val="Tabletext"/>
              <w:rPr>
                <w:rFonts w:eastAsia="MS Gothic"/>
              </w:rPr>
            </w:pPr>
            <w:r w:rsidRPr="00315936">
              <w:rPr>
                <w:rFonts w:eastAsia="MS Gothic"/>
              </w:rPr>
              <w:t>Mental health patient experience</w:t>
            </w:r>
          </w:p>
        </w:tc>
        <w:tc>
          <w:tcPr>
            <w:tcW w:w="3458" w:type="dxa"/>
          </w:tcPr>
          <w:p w14:paraId="42FF1181" w14:textId="581EEF27" w:rsidR="009F388A" w:rsidRPr="00315936" w:rsidRDefault="009F388A">
            <w:pPr>
              <w:pStyle w:val="Tabletext"/>
              <w:rPr>
                <w:rFonts w:eastAsia="MS Gothic"/>
              </w:rPr>
            </w:pPr>
            <w:r w:rsidRPr="00315936">
              <w:t>Percentage of families/carers who report they ‘always’ or ‘usually’ felt their opinions as a carer were respected</w:t>
            </w:r>
          </w:p>
        </w:tc>
        <w:tc>
          <w:tcPr>
            <w:tcW w:w="3458" w:type="dxa"/>
          </w:tcPr>
          <w:p w14:paraId="4E4F68BD" w14:textId="77777777" w:rsidR="009F388A" w:rsidRPr="00315936" w:rsidRDefault="009F388A">
            <w:pPr>
              <w:pStyle w:val="Tabletext"/>
            </w:pPr>
            <w:r>
              <w:t>90 per cent</w:t>
            </w:r>
          </w:p>
        </w:tc>
      </w:tr>
      <w:tr w:rsidR="00793C71" w:rsidRPr="00315936" w14:paraId="6205845D" w14:textId="77777777" w:rsidTr="00793C71">
        <w:trPr>
          <w:cantSplit/>
          <w:trHeight w:val="650"/>
        </w:trPr>
        <w:tc>
          <w:tcPr>
            <w:tcW w:w="3458" w:type="dxa"/>
          </w:tcPr>
          <w:p w14:paraId="4BFF6A2D" w14:textId="77777777" w:rsidR="009F388A" w:rsidRPr="00315936" w:rsidRDefault="009F388A">
            <w:pPr>
              <w:pStyle w:val="Tabletext"/>
              <w:rPr>
                <w:rFonts w:eastAsia="MS Gothic"/>
              </w:rPr>
            </w:pPr>
            <w:r w:rsidRPr="00315936">
              <w:rPr>
                <w:rFonts w:eastAsia="MS Gothic"/>
              </w:rPr>
              <w:lastRenderedPageBreak/>
              <w:t>Mental health patient experience</w:t>
            </w:r>
          </w:p>
        </w:tc>
        <w:tc>
          <w:tcPr>
            <w:tcW w:w="3458" w:type="dxa"/>
          </w:tcPr>
          <w:p w14:paraId="20992966" w14:textId="77417AD0" w:rsidR="009F388A" w:rsidRPr="00315936" w:rsidRDefault="009F388A">
            <w:pPr>
              <w:pStyle w:val="Tabletext"/>
            </w:pPr>
            <w:r w:rsidRPr="00315936">
              <w:t>Percentage of mental health consumers reporting they ‘usually’ or ‘always’ felt safe using this service</w:t>
            </w:r>
          </w:p>
        </w:tc>
        <w:tc>
          <w:tcPr>
            <w:tcW w:w="3458" w:type="dxa"/>
          </w:tcPr>
          <w:p w14:paraId="2ED5FADC" w14:textId="77777777" w:rsidR="009F388A" w:rsidRPr="00315936" w:rsidRDefault="009F388A">
            <w:pPr>
              <w:pStyle w:val="Tabletext"/>
            </w:pPr>
            <w:r>
              <w:t>90 per cent</w:t>
            </w:r>
          </w:p>
        </w:tc>
      </w:tr>
      <w:tr w:rsidR="00793C71" w:rsidRPr="00315936" w14:paraId="08230425" w14:textId="77777777" w:rsidTr="00793C71">
        <w:trPr>
          <w:cantSplit/>
          <w:trHeight w:val="970"/>
        </w:trPr>
        <w:tc>
          <w:tcPr>
            <w:tcW w:w="3458" w:type="dxa"/>
          </w:tcPr>
          <w:p w14:paraId="08B3D7B4" w14:textId="77777777" w:rsidR="009F388A" w:rsidRPr="00315936" w:rsidRDefault="009F388A">
            <w:pPr>
              <w:pStyle w:val="Tabletext"/>
              <w:rPr>
                <w:rFonts w:eastAsia="MS Gothic"/>
              </w:rPr>
            </w:pPr>
            <w:r w:rsidRPr="00315936">
              <w:rPr>
                <w:rFonts w:eastAsia="MS Gothic"/>
              </w:rPr>
              <w:t>Mental health seclusions</w:t>
            </w:r>
          </w:p>
        </w:tc>
        <w:tc>
          <w:tcPr>
            <w:tcW w:w="3458" w:type="dxa"/>
          </w:tcPr>
          <w:p w14:paraId="7666C7CA" w14:textId="4D31C6A3" w:rsidR="009F388A" w:rsidRPr="00315936" w:rsidRDefault="009F388A">
            <w:pPr>
              <w:pStyle w:val="Tabletext"/>
              <w:rPr>
                <w:rFonts w:eastAsia="MS Gothic"/>
              </w:rPr>
            </w:pPr>
            <w:r w:rsidRPr="00315936">
              <w:t>Rate of seclusion episodes per 1,000 occupied bed days - Inpatient</w:t>
            </w:r>
          </w:p>
        </w:tc>
        <w:tc>
          <w:tcPr>
            <w:tcW w:w="3458" w:type="dxa"/>
          </w:tcPr>
          <w:p w14:paraId="671412D3" w14:textId="137F4B88" w:rsidR="009F388A" w:rsidRPr="00315936" w:rsidRDefault="009F388A" w:rsidP="00CD5A20">
            <w:pPr>
              <w:pStyle w:val="Tabletext"/>
            </w:pPr>
            <w:r>
              <w:t>Less than or equal to 6 episodes</w:t>
            </w:r>
            <w:r w:rsidR="00CD5A20">
              <w:t xml:space="preserve"> </w:t>
            </w:r>
            <w:r w:rsidRPr="00535D2B">
              <w:rPr>
                <w:b/>
                <w:bCs/>
              </w:rPr>
              <w:t>or</w:t>
            </w:r>
            <w:r w:rsidR="00CD5A20">
              <w:rPr>
                <w:b/>
                <w:bCs/>
              </w:rPr>
              <w:t xml:space="preserve"> </w:t>
            </w:r>
            <w:r>
              <w:t>at least 5 per cent improvement compared to the same quarter last year</w:t>
            </w:r>
            <w:r w:rsidR="008B45AE">
              <w:rPr>
                <w:rStyle w:val="EndnoteReference"/>
              </w:rPr>
              <w:endnoteReference w:id="18"/>
            </w:r>
          </w:p>
        </w:tc>
      </w:tr>
    </w:tbl>
    <w:p w14:paraId="42BF7982" w14:textId="01CEC2C8" w:rsidR="006B1E76" w:rsidRDefault="006B1E76" w:rsidP="008E7F78">
      <w:pPr>
        <w:pStyle w:val="Heading3"/>
      </w:pPr>
      <w:r>
        <w:t>Strong governance, leadership and culture</w:t>
      </w:r>
    </w:p>
    <w:tbl>
      <w:tblPr>
        <w:tblStyle w:val="TableGrid"/>
        <w:tblW w:w="10374" w:type="dxa"/>
        <w:tblLook w:val="04A0" w:firstRow="1" w:lastRow="0" w:firstColumn="1" w:lastColumn="0" w:noHBand="0" w:noVBand="1"/>
      </w:tblPr>
      <w:tblGrid>
        <w:gridCol w:w="3458"/>
        <w:gridCol w:w="3458"/>
        <w:gridCol w:w="3458"/>
      </w:tblGrid>
      <w:tr w:rsidR="00793C71" w:rsidRPr="00315936" w14:paraId="41AC7C9E" w14:textId="77777777" w:rsidTr="00793C71">
        <w:trPr>
          <w:cantSplit/>
          <w:trHeight w:val="340"/>
          <w:tblHeader/>
        </w:trPr>
        <w:tc>
          <w:tcPr>
            <w:tcW w:w="3458" w:type="dxa"/>
            <w:shd w:val="clear" w:color="auto" w:fill="000066"/>
          </w:tcPr>
          <w:p w14:paraId="6A239A36" w14:textId="77777777" w:rsidR="00980220" w:rsidRPr="00315936" w:rsidRDefault="00980220">
            <w:pPr>
              <w:pStyle w:val="Tablecolhead"/>
            </w:pPr>
            <w:r w:rsidRPr="00315936">
              <w:t>Program</w:t>
            </w:r>
          </w:p>
        </w:tc>
        <w:tc>
          <w:tcPr>
            <w:tcW w:w="3458" w:type="dxa"/>
            <w:shd w:val="clear" w:color="auto" w:fill="000066"/>
          </w:tcPr>
          <w:p w14:paraId="72DFF2AA" w14:textId="77777777" w:rsidR="00980220" w:rsidRPr="00315936" w:rsidRDefault="00980220">
            <w:pPr>
              <w:pStyle w:val="Tablecolhead"/>
            </w:pPr>
            <w:r w:rsidRPr="00315936">
              <w:t>Measure</w:t>
            </w:r>
          </w:p>
        </w:tc>
        <w:tc>
          <w:tcPr>
            <w:tcW w:w="3458" w:type="dxa"/>
            <w:shd w:val="clear" w:color="auto" w:fill="000066"/>
          </w:tcPr>
          <w:p w14:paraId="146D56ED" w14:textId="77777777" w:rsidR="00980220" w:rsidRPr="00315936" w:rsidRDefault="00980220">
            <w:pPr>
              <w:pStyle w:val="Tablecolhead"/>
            </w:pPr>
            <w:r w:rsidRPr="00315936">
              <w:t>Target</w:t>
            </w:r>
          </w:p>
        </w:tc>
      </w:tr>
      <w:tr w:rsidR="00793C71" w:rsidRPr="00315936" w14:paraId="545D8565" w14:textId="77777777" w:rsidTr="00793C71">
        <w:trPr>
          <w:cantSplit/>
          <w:trHeight w:val="1107"/>
        </w:trPr>
        <w:tc>
          <w:tcPr>
            <w:tcW w:w="3458" w:type="dxa"/>
          </w:tcPr>
          <w:p w14:paraId="11358DEC" w14:textId="77777777" w:rsidR="00980220" w:rsidRPr="00315936" w:rsidRDefault="00980220">
            <w:pPr>
              <w:pStyle w:val="Tabletext"/>
            </w:pPr>
            <w:r w:rsidRPr="00315936">
              <w:t>Organisational culture</w:t>
            </w:r>
          </w:p>
        </w:tc>
        <w:tc>
          <w:tcPr>
            <w:tcW w:w="3458" w:type="dxa"/>
          </w:tcPr>
          <w:p w14:paraId="4E924603" w14:textId="77777777" w:rsidR="00980220" w:rsidRPr="00315936" w:rsidRDefault="00980220">
            <w:pPr>
              <w:pStyle w:val="Tabletext"/>
            </w:pPr>
            <w:r w:rsidRPr="00315936">
              <w:t>People matter survey – Percentage of staff with an overall positive response to safety culture survey questions</w:t>
            </w:r>
          </w:p>
        </w:tc>
        <w:tc>
          <w:tcPr>
            <w:tcW w:w="3458" w:type="dxa"/>
          </w:tcPr>
          <w:p w14:paraId="5C94D288" w14:textId="77777777" w:rsidR="00980220" w:rsidRPr="00315936" w:rsidRDefault="00980220">
            <w:pPr>
              <w:pStyle w:val="Tabletext"/>
            </w:pPr>
            <w:r>
              <w:t>80 per cent</w:t>
            </w:r>
          </w:p>
        </w:tc>
      </w:tr>
    </w:tbl>
    <w:p w14:paraId="3C9F1E18" w14:textId="48FC29D5" w:rsidR="006B1E76" w:rsidRDefault="006B1E76" w:rsidP="008E7F78">
      <w:pPr>
        <w:pStyle w:val="Heading3"/>
      </w:pPr>
      <w:r>
        <w:t>Timely access to care</w:t>
      </w:r>
      <w:r w:rsidR="003B1202">
        <w:rPr>
          <w:rStyle w:val="EndnoteReference"/>
        </w:rPr>
        <w:endnoteReference w:id="19"/>
      </w:r>
    </w:p>
    <w:tbl>
      <w:tblPr>
        <w:tblStyle w:val="TableGrid"/>
        <w:tblW w:w="10374" w:type="dxa"/>
        <w:tblLook w:val="04A0" w:firstRow="1" w:lastRow="0" w:firstColumn="1" w:lastColumn="0" w:noHBand="0" w:noVBand="1"/>
      </w:tblPr>
      <w:tblGrid>
        <w:gridCol w:w="3458"/>
        <w:gridCol w:w="3458"/>
        <w:gridCol w:w="3458"/>
      </w:tblGrid>
      <w:tr w:rsidR="00D11EA6" w:rsidRPr="00315936" w14:paraId="5F44CCC4" w14:textId="77777777" w:rsidTr="00535D2B">
        <w:trPr>
          <w:cantSplit/>
          <w:trHeight w:val="340"/>
          <w:tblHeader/>
        </w:trPr>
        <w:tc>
          <w:tcPr>
            <w:tcW w:w="3458" w:type="dxa"/>
            <w:shd w:val="clear" w:color="auto" w:fill="000066"/>
          </w:tcPr>
          <w:p w14:paraId="5EF571C9" w14:textId="77777777" w:rsidR="00455E65" w:rsidRPr="00315936" w:rsidRDefault="00455E65">
            <w:pPr>
              <w:pStyle w:val="Tablecolhead"/>
            </w:pPr>
            <w:r w:rsidRPr="00315936">
              <w:t>Program</w:t>
            </w:r>
          </w:p>
        </w:tc>
        <w:tc>
          <w:tcPr>
            <w:tcW w:w="3458" w:type="dxa"/>
            <w:shd w:val="clear" w:color="auto" w:fill="000066"/>
          </w:tcPr>
          <w:p w14:paraId="091B0C9B" w14:textId="77777777" w:rsidR="00455E65" w:rsidRPr="00315936" w:rsidRDefault="00455E65">
            <w:pPr>
              <w:pStyle w:val="Tablecolhead"/>
            </w:pPr>
            <w:r w:rsidRPr="00315936">
              <w:t>Measure</w:t>
            </w:r>
          </w:p>
        </w:tc>
        <w:tc>
          <w:tcPr>
            <w:tcW w:w="3458" w:type="dxa"/>
            <w:shd w:val="clear" w:color="auto" w:fill="000066"/>
          </w:tcPr>
          <w:p w14:paraId="6DBF4EF4" w14:textId="77777777" w:rsidR="00455E65" w:rsidRPr="00315936" w:rsidRDefault="00455E65">
            <w:pPr>
              <w:pStyle w:val="Tablecolhead"/>
            </w:pPr>
            <w:r w:rsidRPr="00315936">
              <w:t>Target</w:t>
            </w:r>
          </w:p>
        </w:tc>
      </w:tr>
      <w:tr w:rsidR="00793C71" w:rsidRPr="00315936" w14:paraId="16873829" w14:textId="77777777" w:rsidTr="00535D2B">
        <w:trPr>
          <w:cantSplit/>
          <w:trHeight w:val="1147"/>
        </w:trPr>
        <w:tc>
          <w:tcPr>
            <w:tcW w:w="3458" w:type="dxa"/>
          </w:tcPr>
          <w:p w14:paraId="45412398" w14:textId="77777777" w:rsidR="00455E65" w:rsidRPr="00315936" w:rsidRDefault="00455E65">
            <w:pPr>
              <w:pStyle w:val="Tabletext"/>
            </w:pPr>
            <w:r w:rsidRPr="00315936">
              <w:t>Forensicare</w:t>
            </w:r>
          </w:p>
        </w:tc>
        <w:tc>
          <w:tcPr>
            <w:tcW w:w="3458" w:type="dxa"/>
          </w:tcPr>
          <w:p w14:paraId="6EFF58BB" w14:textId="77777777" w:rsidR="00455E65" w:rsidRPr="00315936" w:rsidRDefault="00455E65">
            <w:pPr>
              <w:pStyle w:val="Tabletext"/>
            </w:pPr>
            <w:r w:rsidRPr="00315936">
              <w:rPr>
                <w:rFonts w:eastAsia="MS Gothic"/>
              </w:rPr>
              <w:t xml:space="preserve">Percentage of male </w:t>
            </w:r>
            <w:r>
              <w:rPr>
                <w:rFonts w:eastAsia="MS Gothic"/>
              </w:rPr>
              <w:t>s</w:t>
            </w:r>
            <w:r w:rsidRPr="001A453F">
              <w:rPr>
                <w:rFonts w:eastAsia="MS Gothic"/>
              </w:rPr>
              <w:t xml:space="preserve">ecurity </w:t>
            </w:r>
            <w:r>
              <w:rPr>
                <w:rFonts w:eastAsia="MS Gothic"/>
              </w:rPr>
              <w:t>p</w:t>
            </w:r>
            <w:r w:rsidRPr="001A453F">
              <w:rPr>
                <w:rFonts w:eastAsia="MS Gothic"/>
              </w:rPr>
              <w:t>atients</w:t>
            </w:r>
            <w:r w:rsidRPr="00315936">
              <w:rPr>
                <w:rFonts w:eastAsia="MS Gothic"/>
              </w:rPr>
              <w:t xml:space="preserve"> admitted to Thomas Embling Hospital within 7 days of recommendation for compulsory treatment</w:t>
            </w:r>
          </w:p>
        </w:tc>
        <w:tc>
          <w:tcPr>
            <w:tcW w:w="3458" w:type="dxa"/>
          </w:tcPr>
          <w:p w14:paraId="64045D96" w14:textId="15814E7D" w:rsidR="00455E65" w:rsidRPr="00315936" w:rsidRDefault="00455E65" w:rsidP="002F141C">
            <w:pPr>
              <w:pStyle w:val="Tabletext"/>
            </w:pPr>
            <w:r>
              <w:t xml:space="preserve">Greater than or equal to 80 per cent </w:t>
            </w:r>
            <w:r w:rsidRPr="00535D2B">
              <w:rPr>
                <w:b/>
                <w:bCs/>
              </w:rPr>
              <w:t>or</w:t>
            </w:r>
            <w:r w:rsidR="002F141C" w:rsidRPr="00575B8A">
              <w:rPr>
                <w:b/>
                <w:bCs/>
              </w:rPr>
              <w:t xml:space="preserve"> </w:t>
            </w:r>
            <w:r>
              <w:t>at least a 5-percentage point improvement compared to the same quarter last year</w:t>
            </w:r>
            <w:bookmarkStart w:id="112" w:name="_Ref201836115"/>
            <w:r w:rsidR="008709D7">
              <w:rPr>
                <w:rStyle w:val="EndnoteReference"/>
              </w:rPr>
              <w:endnoteReference w:id="20"/>
            </w:r>
            <w:bookmarkEnd w:id="112"/>
          </w:p>
        </w:tc>
      </w:tr>
      <w:tr w:rsidR="00793C71" w:rsidRPr="00315936" w14:paraId="737DA231" w14:textId="77777777" w:rsidTr="00535D2B">
        <w:trPr>
          <w:cantSplit/>
          <w:trHeight w:val="1147"/>
        </w:trPr>
        <w:tc>
          <w:tcPr>
            <w:tcW w:w="3458" w:type="dxa"/>
          </w:tcPr>
          <w:p w14:paraId="5C822940" w14:textId="77777777" w:rsidR="00455E65" w:rsidRPr="00315936" w:rsidRDefault="00455E65">
            <w:pPr>
              <w:pStyle w:val="Tabletext"/>
            </w:pPr>
            <w:r w:rsidRPr="00315936">
              <w:t>Forensicare</w:t>
            </w:r>
          </w:p>
        </w:tc>
        <w:tc>
          <w:tcPr>
            <w:tcW w:w="3458" w:type="dxa"/>
          </w:tcPr>
          <w:p w14:paraId="08756A79" w14:textId="77777777" w:rsidR="00455E65" w:rsidRPr="00315936" w:rsidRDefault="00455E65">
            <w:pPr>
              <w:pStyle w:val="Tabletext"/>
            </w:pPr>
            <w:r w:rsidRPr="00315936">
              <w:t xml:space="preserve">Percentage of female </w:t>
            </w:r>
            <w:r>
              <w:t>s</w:t>
            </w:r>
            <w:r w:rsidRPr="001A453F">
              <w:t xml:space="preserve">ecurity </w:t>
            </w:r>
            <w:r>
              <w:t>p</w:t>
            </w:r>
            <w:r w:rsidRPr="001A453F">
              <w:t>atients</w:t>
            </w:r>
            <w:r w:rsidRPr="00315936">
              <w:t xml:space="preserve"> admitted to Thomas Embling Hospital within 7 days of recommendation for compulsory treatment.</w:t>
            </w:r>
            <w:r w:rsidRPr="00315936">
              <w:rPr>
                <w:rFonts w:eastAsia="MS Gothic"/>
              </w:rPr>
              <w:t> </w:t>
            </w:r>
          </w:p>
        </w:tc>
        <w:tc>
          <w:tcPr>
            <w:tcW w:w="3458" w:type="dxa"/>
          </w:tcPr>
          <w:p w14:paraId="1B825EDA" w14:textId="77777777" w:rsidR="00455E65" w:rsidRPr="00315936" w:rsidRDefault="00455E65">
            <w:pPr>
              <w:pStyle w:val="Tabletext"/>
            </w:pPr>
            <w:r>
              <w:t xml:space="preserve">80 per cent </w:t>
            </w:r>
          </w:p>
        </w:tc>
      </w:tr>
      <w:tr w:rsidR="00793C71" w:rsidRPr="00315936" w14:paraId="3C491161" w14:textId="77777777" w:rsidTr="00535D2B">
        <w:trPr>
          <w:cantSplit/>
          <w:trHeight w:val="987"/>
        </w:trPr>
        <w:tc>
          <w:tcPr>
            <w:tcW w:w="3458" w:type="dxa"/>
          </w:tcPr>
          <w:p w14:paraId="35C41934" w14:textId="77777777" w:rsidR="00455E65" w:rsidRPr="00315936" w:rsidRDefault="00455E65">
            <w:pPr>
              <w:pStyle w:val="Tabletext"/>
            </w:pPr>
            <w:r w:rsidRPr="00315936">
              <w:t>Forensicare</w:t>
            </w:r>
          </w:p>
        </w:tc>
        <w:tc>
          <w:tcPr>
            <w:tcW w:w="3458" w:type="dxa"/>
          </w:tcPr>
          <w:p w14:paraId="3F07ACD8" w14:textId="77777777" w:rsidR="00455E65" w:rsidRPr="00315936" w:rsidRDefault="00455E65">
            <w:pPr>
              <w:pStyle w:val="Tabletext"/>
            </w:pPr>
            <w:r w:rsidRPr="00315936">
              <w:t>Percentage of male security patients discharged from Thomas Embling Hospital to a correctional centre within 21 days</w:t>
            </w:r>
          </w:p>
        </w:tc>
        <w:tc>
          <w:tcPr>
            <w:tcW w:w="3458" w:type="dxa"/>
          </w:tcPr>
          <w:p w14:paraId="293A4A81" w14:textId="190BE06B" w:rsidR="00455E65" w:rsidRPr="00315936" w:rsidRDefault="00455E65" w:rsidP="00575B8A">
            <w:pPr>
              <w:pStyle w:val="Tabletext"/>
            </w:pPr>
            <w:r>
              <w:t xml:space="preserve">Greater than or equal to 80 per cent </w:t>
            </w:r>
            <w:r w:rsidRPr="00535D2B">
              <w:rPr>
                <w:b/>
                <w:bCs/>
              </w:rPr>
              <w:t>or</w:t>
            </w:r>
            <w:r w:rsidR="00575B8A">
              <w:rPr>
                <w:b/>
                <w:bCs/>
              </w:rPr>
              <w:t xml:space="preserve"> </w:t>
            </w:r>
            <w:r>
              <w:t>at least a 5-percentage point improvement compared to the same quarter last year</w:t>
            </w:r>
            <w:r w:rsidR="00575B8A">
              <w:t xml:space="preserve"> </w:t>
            </w:r>
            <w:r w:rsidR="003B7DF7">
              <w:fldChar w:fldCharType="begin"/>
            </w:r>
            <w:r w:rsidR="003B7DF7">
              <w:instrText xml:space="preserve"> NOTEREF _Ref201836115 \f \h </w:instrText>
            </w:r>
            <w:r w:rsidR="00321B9F">
              <w:instrText xml:space="preserve"> \* MERGEFORMAT </w:instrText>
            </w:r>
            <w:r w:rsidR="003B7DF7">
              <w:fldChar w:fldCharType="separate"/>
            </w:r>
            <w:r w:rsidR="003B7DF7" w:rsidRPr="003B7DF7">
              <w:rPr>
                <w:rStyle w:val="EndnoteReference"/>
              </w:rPr>
              <w:t>xix</w:t>
            </w:r>
            <w:r w:rsidR="003B7DF7">
              <w:fldChar w:fldCharType="end"/>
            </w:r>
          </w:p>
        </w:tc>
      </w:tr>
      <w:tr w:rsidR="00793C71" w:rsidRPr="00315936" w14:paraId="49DAF00C" w14:textId="77777777" w:rsidTr="00535D2B">
        <w:trPr>
          <w:cantSplit/>
          <w:trHeight w:val="900"/>
        </w:trPr>
        <w:tc>
          <w:tcPr>
            <w:tcW w:w="3458" w:type="dxa"/>
          </w:tcPr>
          <w:p w14:paraId="5A2C79E6" w14:textId="77777777" w:rsidR="00455E65" w:rsidRPr="00315936" w:rsidRDefault="00455E65">
            <w:pPr>
              <w:pStyle w:val="Tabletext"/>
            </w:pPr>
            <w:r w:rsidRPr="00315936">
              <w:t>Forensicare</w:t>
            </w:r>
          </w:p>
        </w:tc>
        <w:tc>
          <w:tcPr>
            <w:tcW w:w="3458" w:type="dxa"/>
          </w:tcPr>
          <w:p w14:paraId="774D4737" w14:textId="77777777" w:rsidR="00455E65" w:rsidRPr="00315936" w:rsidRDefault="00455E65">
            <w:pPr>
              <w:pStyle w:val="Tabletext"/>
            </w:pPr>
            <w:r w:rsidRPr="00315936">
              <w:rPr>
                <w:rFonts w:eastAsia="MS Gothic"/>
              </w:rPr>
              <w:t>Percentage of female security patients discharged from Thomas Embling Hospital to a correctional centre within 28 days </w:t>
            </w:r>
          </w:p>
        </w:tc>
        <w:tc>
          <w:tcPr>
            <w:tcW w:w="3458" w:type="dxa"/>
          </w:tcPr>
          <w:p w14:paraId="6AB200F0" w14:textId="77777777" w:rsidR="00455E65" w:rsidRPr="00315936" w:rsidRDefault="00455E65">
            <w:pPr>
              <w:pStyle w:val="Tabletext"/>
            </w:pPr>
            <w:r>
              <w:t>80</w:t>
            </w:r>
            <w:r w:rsidRPr="00315936">
              <w:t xml:space="preserve"> per cent </w:t>
            </w:r>
          </w:p>
        </w:tc>
      </w:tr>
      <w:tr w:rsidR="00793C71" w:rsidRPr="00315936" w14:paraId="7A91F10B" w14:textId="77777777" w:rsidTr="00535D2B">
        <w:trPr>
          <w:cantSplit/>
          <w:trHeight w:val="888"/>
        </w:trPr>
        <w:tc>
          <w:tcPr>
            <w:tcW w:w="3458" w:type="dxa"/>
          </w:tcPr>
          <w:p w14:paraId="6F37D5AC" w14:textId="77777777" w:rsidR="00455E65" w:rsidRPr="00315936" w:rsidRDefault="00455E65">
            <w:pPr>
              <w:pStyle w:val="Tabletext"/>
            </w:pPr>
            <w:r w:rsidRPr="4A3EC911">
              <w:t>Forensicare</w:t>
            </w:r>
          </w:p>
        </w:tc>
        <w:tc>
          <w:tcPr>
            <w:tcW w:w="3458" w:type="dxa"/>
          </w:tcPr>
          <w:p w14:paraId="4C0D151B" w14:textId="77777777" w:rsidR="00455E65" w:rsidRPr="00315936" w:rsidRDefault="00455E65">
            <w:pPr>
              <w:pStyle w:val="Tabletext"/>
            </w:pPr>
            <w:r w:rsidRPr="00315936">
              <w:t>Percentage of male security patients discharged within 7 days of becoming a civil client</w:t>
            </w:r>
          </w:p>
        </w:tc>
        <w:tc>
          <w:tcPr>
            <w:tcW w:w="3458" w:type="dxa"/>
          </w:tcPr>
          <w:p w14:paraId="2CEF7CC2" w14:textId="77777777" w:rsidR="00455E65" w:rsidRPr="00315936" w:rsidRDefault="00455E65">
            <w:pPr>
              <w:pStyle w:val="Tabletext"/>
            </w:pPr>
            <w:r>
              <w:t>80 per cent</w:t>
            </w:r>
          </w:p>
        </w:tc>
      </w:tr>
    </w:tbl>
    <w:p w14:paraId="352BEAFA" w14:textId="6ECC6BEC" w:rsidR="006B1E76" w:rsidRDefault="006B1E76" w:rsidP="008E7F78">
      <w:pPr>
        <w:pStyle w:val="Heading3"/>
      </w:pPr>
      <w:r>
        <w:t>Effective financial management</w:t>
      </w:r>
    </w:p>
    <w:tbl>
      <w:tblPr>
        <w:tblStyle w:val="TableGrid"/>
        <w:tblW w:w="10374" w:type="dxa"/>
        <w:tblLayout w:type="fixed"/>
        <w:tblLook w:val="04A0" w:firstRow="1" w:lastRow="0" w:firstColumn="1" w:lastColumn="0" w:noHBand="0" w:noVBand="1"/>
      </w:tblPr>
      <w:tblGrid>
        <w:gridCol w:w="3458"/>
        <w:gridCol w:w="3458"/>
        <w:gridCol w:w="3458"/>
      </w:tblGrid>
      <w:tr w:rsidR="00793C71" w:rsidRPr="00315936" w14:paraId="3C6B2851" w14:textId="77777777" w:rsidTr="00793C71">
        <w:trPr>
          <w:cantSplit/>
          <w:trHeight w:val="340"/>
          <w:tblHeader/>
        </w:trPr>
        <w:tc>
          <w:tcPr>
            <w:tcW w:w="3458" w:type="dxa"/>
            <w:shd w:val="clear" w:color="auto" w:fill="000066"/>
          </w:tcPr>
          <w:p w14:paraId="671FA5F5" w14:textId="77777777" w:rsidR="005A4BA1" w:rsidRPr="00315936" w:rsidRDefault="005A4BA1">
            <w:pPr>
              <w:pStyle w:val="Tablecolhead"/>
            </w:pPr>
            <w:r w:rsidRPr="00315936">
              <w:t>Program</w:t>
            </w:r>
          </w:p>
        </w:tc>
        <w:tc>
          <w:tcPr>
            <w:tcW w:w="3458" w:type="dxa"/>
            <w:shd w:val="clear" w:color="auto" w:fill="000066"/>
          </w:tcPr>
          <w:p w14:paraId="442E897C" w14:textId="77777777" w:rsidR="005A4BA1" w:rsidRPr="00315936" w:rsidRDefault="005A4BA1">
            <w:pPr>
              <w:pStyle w:val="Tablecolhead"/>
            </w:pPr>
            <w:r w:rsidRPr="00315936">
              <w:t>Measure</w:t>
            </w:r>
          </w:p>
        </w:tc>
        <w:tc>
          <w:tcPr>
            <w:tcW w:w="3458" w:type="dxa"/>
            <w:shd w:val="clear" w:color="auto" w:fill="000066"/>
          </w:tcPr>
          <w:p w14:paraId="485D3FF3" w14:textId="77777777" w:rsidR="005A4BA1" w:rsidRPr="00315936" w:rsidRDefault="005A4BA1">
            <w:pPr>
              <w:pStyle w:val="Tablecolhead"/>
            </w:pPr>
            <w:r w:rsidRPr="00315936">
              <w:t>Target</w:t>
            </w:r>
          </w:p>
        </w:tc>
      </w:tr>
      <w:tr w:rsidR="00793C71" w:rsidRPr="00315936" w14:paraId="3D5CA5F7" w14:textId="77777777" w:rsidTr="00793C71">
        <w:trPr>
          <w:cantSplit/>
          <w:trHeight w:val="549"/>
        </w:trPr>
        <w:tc>
          <w:tcPr>
            <w:tcW w:w="3458" w:type="dxa"/>
          </w:tcPr>
          <w:p w14:paraId="75F67980" w14:textId="77777777" w:rsidR="005A4BA1" w:rsidRPr="00315936" w:rsidRDefault="005A4BA1">
            <w:pPr>
              <w:pStyle w:val="Tabletext"/>
            </w:pPr>
            <w:r w:rsidRPr="00315936">
              <w:t>Effective financial management</w:t>
            </w:r>
          </w:p>
        </w:tc>
        <w:tc>
          <w:tcPr>
            <w:tcW w:w="3458" w:type="dxa"/>
          </w:tcPr>
          <w:p w14:paraId="0BA007AF" w14:textId="77777777" w:rsidR="005A4BA1" w:rsidRPr="00315936" w:rsidRDefault="005A4BA1">
            <w:pPr>
              <w:pStyle w:val="Tabletext"/>
            </w:pPr>
            <w:r w:rsidRPr="00315936">
              <w:t>Operating result ($M)</w:t>
            </w:r>
          </w:p>
        </w:tc>
        <w:tc>
          <w:tcPr>
            <w:tcW w:w="3458" w:type="dxa"/>
          </w:tcPr>
          <w:p w14:paraId="15537282" w14:textId="1E329BEC" w:rsidR="005A4BA1" w:rsidRPr="00315936" w:rsidRDefault="00FD5602">
            <w:pPr>
              <w:pStyle w:val="Tabletext"/>
            </w:pPr>
            <w:r>
              <w:t>S</w:t>
            </w:r>
            <w:r w:rsidR="003E4695">
              <w:t>ervice specific</w:t>
            </w:r>
          </w:p>
        </w:tc>
      </w:tr>
      <w:tr w:rsidR="00793C71" w:rsidRPr="00315936" w14:paraId="60124DF6" w14:textId="77777777" w:rsidTr="00793C71">
        <w:trPr>
          <w:cantSplit/>
          <w:trHeight w:val="1039"/>
        </w:trPr>
        <w:tc>
          <w:tcPr>
            <w:tcW w:w="3458" w:type="dxa"/>
          </w:tcPr>
          <w:p w14:paraId="2657CC2C" w14:textId="77777777" w:rsidR="005A4BA1" w:rsidRPr="00315936" w:rsidRDefault="005A4BA1">
            <w:pPr>
              <w:pStyle w:val="Tabletext"/>
            </w:pPr>
            <w:r w:rsidRPr="00315936">
              <w:lastRenderedPageBreak/>
              <w:t>Effective financial management</w:t>
            </w:r>
          </w:p>
        </w:tc>
        <w:tc>
          <w:tcPr>
            <w:tcW w:w="3458" w:type="dxa"/>
          </w:tcPr>
          <w:p w14:paraId="11408CDA" w14:textId="77777777" w:rsidR="005A4BA1" w:rsidRPr="00315936" w:rsidRDefault="005A4BA1">
            <w:pPr>
              <w:pStyle w:val="Tabletext"/>
            </w:pPr>
            <w:r w:rsidRPr="00315936">
              <w:t>Adjusted Current Asset Ratio (ACAR)</w:t>
            </w:r>
          </w:p>
        </w:tc>
        <w:tc>
          <w:tcPr>
            <w:tcW w:w="3458" w:type="dxa"/>
          </w:tcPr>
          <w:p w14:paraId="74684B01" w14:textId="77777777" w:rsidR="005A4BA1" w:rsidRPr="00315936" w:rsidRDefault="005A4BA1">
            <w:pPr>
              <w:pStyle w:val="Tabletext"/>
            </w:pPr>
            <w:r>
              <w:t>Greater than or equal to 0</w:t>
            </w:r>
            <w:r w:rsidRPr="00315936">
              <w:t xml:space="preserve">.7 or </w:t>
            </w:r>
            <w:r>
              <w:t xml:space="preserve">at least </w:t>
            </w:r>
            <w:r w:rsidRPr="00315936">
              <w:t xml:space="preserve">3 per cent improvement from health service base target </w:t>
            </w:r>
          </w:p>
        </w:tc>
      </w:tr>
      <w:tr w:rsidR="00793C71" w:rsidRPr="00315936" w14:paraId="60ED8FD7" w14:textId="77777777" w:rsidTr="00793C71">
        <w:trPr>
          <w:cantSplit/>
          <w:trHeight w:val="1466"/>
        </w:trPr>
        <w:tc>
          <w:tcPr>
            <w:tcW w:w="3458" w:type="dxa"/>
          </w:tcPr>
          <w:p w14:paraId="3945C616" w14:textId="77777777" w:rsidR="005A4BA1" w:rsidRPr="00315936" w:rsidRDefault="005A4BA1">
            <w:pPr>
              <w:pStyle w:val="Tabletext"/>
            </w:pPr>
            <w:r w:rsidRPr="00315936">
              <w:t>Effective financial management</w:t>
            </w:r>
          </w:p>
        </w:tc>
        <w:tc>
          <w:tcPr>
            <w:tcW w:w="3458" w:type="dxa"/>
          </w:tcPr>
          <w:p w14:paraId="44CD0D2A" w14:textId="77777777" w:rsidR="005A4BA1" w:rsidRPr="00315936" w:rsidRDefault="005A4BA1">
            <w:pPr>
              <w:pStyle w:val="Tabletext"/>
            </w:pPr>
            <w:r w:rsidRPr="006B2CF1">
              <w:t>Variance between the forecast and actual operating result (OR) as a percentage of the forecast OR for the current financial year ending 30 June</w:t>
            </w:r>
          </w:p>
        </w:tc>
        <w:tc>
          <w:tcPr>
            <w:tcW w:w="3458" w:type="dxa"/>
          </w:tcPr>
          <w:p w14:paraId="097ECF90" w14:textId="77777777" w:rsidR="005A4BA1" w:rsidRPr="00315936" w:rsidRDefault="005A4BA1">
            <w:pPr>
              <w:pStyle w:val="Tabletext"/>
            </w:pPr>
            <w:r w:rsidRPr="00C4056D">
              <w:t>Less than or equal to 5 per cent variance</w:t>
            </w:r>
          </w:p>
        </w:tc>
      </w:tr>
    </w:tbl>
    <w:p w14:paraId="5092FBC4" w14:textId="40836965" w:rsidR="006055E8" w:rsidRDefault="004E5067" w:rsidP="004E5067">
      <w:pPr>
        <w:pStyle w:val="Heading1"/>
        <w:rPr>
          <w:rFonts w:eastAsia="Times"/>
        </w:rPr>
      </w:pPr>
      <w:bookmarkStart w:id="113" w:name="_Toc204853429"/>
      <w:r>
        <w:lastRenderedPageBreak/>
        <w:t>Endnotes</w:t>
      </w:r>
      <w:bookmarkEnd w:id="113"/>
    </w:p>
    <w:p w14:paraId="2733C82F" w14:textId="77777777" w:rsidR="006055E8" w:rsidRPr="00CC6FEF" w:rsidRDefault="006055E8" w:rsidP="0063241C">
      <w:pPr>
        <w:spacing w:after="0" w:line="240" w:lineRule="auto"/>
        <w:rPr>
          <w:rFonts w:eastAsia="Times"/>
        </w:rPr>
      </w:pPr>
    </w:p>
    <w:sectPr w:rsidR="006055E8" w:rsidRPr="00CC6FEF" w:rsidSect="00321B9F">
      <w:footerReference w:type="even" r:id="rId37"/>
      <w:footerReference w:type="default" r:id="rId38"/>
      <w:footerReference w:type="first" r:id="rId39"/>
      <w:pgSz w:w="11906" w:h="16838" w:code="9"/>
      <w:pgMar w:top="720" w:right="720" w:bottom="720" w:left="720"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C588" w14:textId="77777777" w:rsidR="009A45CA" w:rsidRDefault="009A45CA">
      <w:r>
        <w:separator/>
      </w:r>
    </w:p>
    <w:p w14:paraId="0F97BEB0" w14:textId="77777777" w:rsidR="009A45CA" w:rsidRDefault="009A45CA"/>
  </w:endnote>
  <w:endnote w:type="continuationSeparator" w:id="0">
    <w:p w14:paraId="4C068F21" w14:textId="77777777" w:rsidR="009A45CA" w:rsidRDefault="009A45CA">
      <w:r>
        <w:continuationSeparator/>
      </w:r>
    </w:p>
    <w:p w14:paraId="32ADBC22" w14:textId="77777777" w:rsidR="009A45CA" w:rsidRDefault="009A45CA"/>
  </w:endnote>
  <w:endnote w:type="continuationNotice" w:id="1">
    <w:p w14:paraId="68670143" w14:textId="77777777" w:rsidR="009A45CA" w:rsidRDefault="009A45CA">
      <w:pPr>
        <w:spacing w:after="0" w:line="240" w:lineRule="auto"/>
      </w:pPr>
    </w:p>
  </w:endnote>
  <w:endnote w:id="2">
    <w:p w14:paraId="1B34D2C7" w14:textId="77777777" w:rsidR="00A15C95" w:rsidRDefault="0044436A" w:rsidP="00A15C95">
      <w:pPr>
        <w:pStyle w:val="FootnoteText"/>
      </w:pPr>
      <w:r>
        <w:rPr>
          <w:rStyle w:val="EndnoteReference"/>
        </w:rPr>
        <w:endnoteRef/>
      </w:r>
      <w:r>
        <w:t xml:space="preserve"> </w:t>
      </w:r>
      <w:r w:rsidR="00A15C95" w:rsidRPr="00AC198A">
        <w:t xml:space="preserve">Differential targets have been set </w:t>
      </w:r>
      <w:r w:rsidR="00A15C95">
        <w:t>for each individual health service campus</w:t>
      </w:r>
      <w:r w:rsidR="00A15C95" w:rsidRPr="00AC198A">
        <w:t xml:space="preserve"> to encourage and recognise incremental improvement towards the overall statewide target. </w:t>
      </w:r>
    </w:p>
    <w:p w14:paraId="5486E0ED" w14:textId="77777777" w:rsidR="00A15C95" w:rsidRDefault="00A15C95" w:rsidP="004E5067">
      <w:pPr>
        <w:pStyle w:val="FootnoteText"/>
        <w:numPr>
          <w:ilvl w:val="0"/>
          <w:numId w:val="83"/>
        </w:numPr>
      </w:pPr>
      <w:r w:rsidRPr="00AC198A">
        <w:t xml:space="preserve">Tier 1: &gt;= 80% </w:t>
      </w:r>
    </w:p>
    <w:p w14:paraId="556FCC9F" w14:textId="77777777" w:rsidR="00A15C95" w:rsidRDefault="00A15C95" w:rsidP="004E5067">
      <w:pPr>
        <w:pStyle w:val="FootnoteText"/>
        <w:numPr>
          <w:ilvl w:val="0"/>
          <w:numId w:val="83"/>
        </w:numPr>
      </w:pPr>
      <w:r w:rsidRPr="00AC198A">
        <w:t xml:space="preserve">Tier 2: 8% improvement from the same time last year </w:t>
      </w:r>
    </w:p>
    <w:p w14:paraId="3D09D883" w14:textId="77777777" w:rsidR="00A15C95" w:rsidRDefault="00A15C95" w:rsidP="004E5067">
      <w:pPr>
        <w:pStyle w:val="FootnoteText"/>
        <w:numPr>
          <w:ilvl w:val="0"/>
          <w:numId w:val="83"/>
        </w:numPr>
      </w:pPr>
      <w:r w:rsidRPr="00AC198A">
        <w:t xml:space="preserve">Tier 3: 6% improvement from the same time last year </w:t>
      </w:r>
    </w:p>
    <w:p w14:paraId="75D8299B" w14:textId="3DC3F0E2" w:rsidR="0044436A" w:rsidRPr="00A042CF" w:rsidRDefault="00A15C95" w:rsidP="00535D2B">
      <w:pPr>
        <w:pStyle w:val="FootnoteText"/>
        <w:numPr>
          <w:ilvl w:val="0"/>
          <w:numId w:val="83"/>
        </w:numPr>
      </w:pPr>
      <w:r w:rsidRPr="00A042CF">
        <w:t>Tier 4: 4% improvement from the same time last year</w:t>
      </w:r>
    </w:p>
  </w:endnote>
  <w:endnote w:id="3">
    <w:p w14:paraId="217B9999" w14:textId="15077B47" w:rsidR="00153B17" w:rsidRDefault="00153B17" w:rsidP="004E5067">
      <w:pPr>
        <w:pStyle w:val="FootnoteText"/>
      </w:pPr>
      <w:r>
        <w:rPr>
          <w:rStyle w:val="EndnoteReference"/>
        </w:rPr>
        <w:endnoteRef/>
      </w:r>
      <w:r>
        <w:t xml:space="preserve"> </w:t>
      </w:r>
      <w:r>
        <w:rPr>
          <w:bCs/>
        </w:rPr>
        <w:t>If there were no remaining long waiting patients at the end of the reference period, the health service is assessed as having met the target regardless of the improvement rate from the prior year.</w:t>
      </w:r>
    </w:p>
  </w:endnote>
  <w:endnote w:id="4">
    <w:p w14:paraId="6841945E" w14:textId="2C4D7F24" w:rsidR="00004764" w:rsidRPr="004E5067" w:rsidRDefault="00004764">
      <w:pPr>
        <w:pStyle w:val="EndnoteText"/>
        <w:rPr>
          <w:sz w:val="18"/>
          <w:szCs w:val="18"/>
        </w:rPr>
      </w:pPr>
      <w:r w:rsidRPr="004E5067">
        <w:rPr>
          <w:rStyle w:val="EndnoteReference"/>
          <w:sz w:val="18"/>
          <w:szCs w:val="18"/>
        </w:rPr>
        <w:endnoteRef/>
      </w:r>
      <w:r w:rsidRPr="004E5067">
        <w:rPr>
          <w:sz w:val="18"/>
          <w:szCs w:val="18"/>
        </w:rPr>
        <w:t xml:space="preserve"> 30 days for urgent patients, 365 days for routine patients</w:t>
      </w:r>
    </w:p>
  </w:endnote>
  <w:endnote w:id="5">
    <w:p w14:paraId="6B4C118D" w14:textId="02A3F136" w:rsidR="00004764" w:rsidRPr="004E5067" w:rsidRDefault="00004764">
      <w:pPr>
        <w:pStyle w:val="EndnoteText"/>
        <w:rPr>
          <w:sz w:val="18"/>
          <w:szCs w:val="18"/>
        </w:rPr>
      </w:pPr>
      <w:r w:rsidRPr="004E5067">
        <w:rPr>
          <w:rStyle w:val="EndnoteReference"/>
          <w:sz w:val="18"/>
          <w:szCs w:val="18"/>
        </w:rPr>
        <w:endnoteRef/>
      </w:r>
      <w:r w:rsidRPr="004E5067">
        <w:rPr>
          <w:sz w:val="18"/>
          <w:szCs w:val="18"/>
        </w:rPr>
        <w:t xml:space="preserve"> Measure is also captured in Forensicare’s statement of priorities and dedicated Monitor report</w:t>
      </w:r>
    </w:p>
  </w:endnote>
  <w:endnote w:id="6">
    <w:p w14:paraId="030B3C0B" w14:textId="071D3590" w:rsidR="00D91127" w:rsidRPr="004E5067" w:rsidRDefault="00D91127">
      <w:pPr>
        <w:pStyle w:val="EndnoteText"/>
        <w:rPr>
          <w:sz w:val="18"/>
          <w:szCs w:val="18"/>
        </w:rPr>
      </w:pPr>
      <w:r w:rsidRPr="004E5067">
        <w:rPr>
          <w:rStyle w:val="EndnoteReference"/>
          <w:sz w:val="18"/>
          <w:szCs w:val="18"/>
        </w:rPr>
        <w:endnoteRef/>
      </w:r>
      <w:r w:rsidRPr="004E5067">
        <w:rPr>
          <w:sz w:val="18"/>
          <w:szCs w:val="18"/>
        </w:rPr>
        <w:t xml:space="preserve"> Measure is also captured in Ambulance Victoria’s statement of priorities and dedicated Monitor report</w:t>
      </w:r>
    </w:p>
  </w:endnote>
  <w:endnote w:id="7">
    <w:p w14:paraId="7D77BCC5" w14:textId="0EF7BF2F" w:rsidR="00FD1C2F" w:rsidRPr="004E5067" w:rsidRDefault="00FD1C2F">
      <w:pPr>
        <w:pStyle w:val="EndnoteText"/>
        <w:rPr>
          <w:sz w:val="18"/>
          <w:szCs w:val="18"/>
        </w:rPr>
      </w:pPr>
      <w:r w:rsidRPr="004E5067">
        <w:rPr>
          <w:rStyle w:val="EndnoteReference"/>
          <w:sz w:val="18"/>
          <w:szCs w:val="18"/>
        </w:rPr>
        <w:endnoteRef/>
      </w:r>
      <w:r w:rsidRPr="004E5067">
        <w:rPr>
          <w:sz w:val="18"/>
          <w:szCs w:val="18"/>
        </w:rPr>
        <w:t xml:space="preserve"> The term RCA is used interchangeably with other reports aligned with the applied review methodology such as London Protocol or AcciMap.</w:t>
      </w:r>
    </w:p>
  </w:endnote>
  <w:endnote w:id="8">
    <w:p w14:paraId="20AE7B11" w14:textId="14A0D978" w:rsidR="00630ADA" w:rsidRPr="004E5067" w:rsidRDefault="00630ADA">
      <w:pPr>
        <w:pStyle w:val="EndnoteText"/>
        <w:rPr>
          <w:sz w:val="18"/>
          <w:szCs w:val="18"/>
        </w:rPr>
      </w:pPr>
      <w:r w:rsidRPr="004E5067">
        <w:rPr>
          <w:rStyle w:val="EndnoteReference"/>
          <w:sz w:val="18"/>
          <w:szCs w:val="18"/>
        </w:rPr>
        <w:endnoteRef/>
      </w:r>
      <w:r w:rsidRPr="004E5067">
        <w:rPr>
          <w:sz w:val="18"/>
          <w:szCs w:val="18"/>
        </w:rPr>
        <w:t xml:space="preserve"> Definition extracted from the Victorian sentinel events guide</w:t>
      </w:r>
    </w:p>
  </w:endnote>
  <w:endnote w:id="9">
    <w:p w14:paraId="079F1515" w14:textId="58B16FB8" w:rsidR="00501722" w:rsidRDefault="00501722">
      <w:pPr>
        <w:pStyle w:val="EndnoteText"/>
      </w:pPr>
      <w:r w:rsidRPr="004E5067">
        <w:rPr>
          <w:rStyle w:val="EndnoteReference"/>
          <w:sz w:val="18"/>
          <w:szCs w:val="18"/>
        </w:rPr>
        <w:endnoteRef/>
      </w:r>
      <w:r w:rsidRPr="004E5067">
        <w:rPr>
          <w:sz w:val="18"/>
          <w:szCs w:val="18"/>
        </w:rPr>
        <w:t xml:space="preserve"> Examples of services managed within the governance structure of health services may include, but are not limited to, Hospital in the Home (HITH), residential aged care facilities and community health services.</w:t>
      </w:r>
    </w:p>
  </w:endnote>
  <w:endnote w:id="10">
    <w:p w14:paraId="012BD1AE" w14:textId="16FF7A37" w:rsidR="00460C27" w:rsidRPr="004E5067" w:rsidRDefault="00460C27">
      <w:pPr>
        <w:pStyle w:val="EndnoteText"/>
        <w:rPr>
          <w:sz w:val="18"/>
          <w:szCs w:val="18"/>
        </w:rPr>
      </w:pPr>
      <w:r w:rsidRPr="004E5067">
        <w:rPr>
          <w:rStyle w:val="EndnoteReference"/>
          <w:sz w:val="18"/>
          <w:szCs w:val="18"/>
        </w:rPr>
        <w:endnoteRef/>
      </w:r>
      <w:r w:rsidRPr="004E5067">
        <w:rPr>
          <w:sz w:val="18"/>
          <w:szCs w:val="18"/>
        </w:rPr>
        <w:t xml:space="preserve"> </w:t>
      </w:r>
      <w:r w:rsidR="005E1057" w:rsidRPr="004E5067">
        <w:rPr>
          <w:sz w:val="18"/>
          <w:szCs w:val="18"/>
        </w:rPr>
        <w:t>Measure only applies to Ambulance Victoria – refer to Appendix A</w:t>
      </w:r>
    </w:p>
  </w:endnote>
  <w:endnote w:id="11">
    <w:p w14:paraId="2D13A24B" w14:textId="5F6E5A53" w:rsidR="00EF314D" w:rsidRPr="004E5067" w:rsidRDefault="00EF314D">
      <w:pPr>
        <w:pStyle w:val="EndnoteText"/>
        <w:rPr>
          <w:sz w:val="18"/>
          <w:szCs w:val="18"/>
        </w:rPr>
      </w:pPr>
      <w:r w:rsidRPr="004E5067">
        <w:rPr>
          <w:rStyle w:val="EndnoteReference"/>
          <w:sz w:val="18"/>
          <w:szCs w:val="18"/>
        </w:rPr>
        <w:endnoteRef/>
      </w:r>
      <w:r w:rsidRPr="004E5067">
        <w:rPr>
          <w:sz w:val="18"/>
          <w:szCs w:val="18"/>
        </w:rPr>
        <w:t xml:space="preserve"> PMS participation is voluntary for publicly funded Victorian denominational health services</w:t>
      </w:r>
    </w:p>
  </w:endnote>
  <w:endnote w:id="12">
    <w:p w14:paraId="36AECED6" w14:textId="3EBF0028" w:rsidR="00EF314D" w:rsidRPr="004E5067" w:rsidRDefault="00EF314D">
      <w:pPr>
        <w:pStyle w:val="EndnoteText"/>
        <w:rPr>
          <w:sz w:val="18"/>
          <w:szCs w:val="18"/>
        </w:rPr>
      </w:pPr>
      <w:r w:rsidRPr="004E5067">
        <w:rPr>
          <w:rStyle w:val="EndnoteReference"/>
          <w:sz w:val="18"/>
          <w:szCs w:val="18"/>
        </w:rPr>
        <w:endnoteRef/>
      </w:r>
      <w:r w:rsidRPr="004E5067">
        <w:rPr>
          <w:sz w:val="18"/>
          <w:szCs w:val="18"/>
        </w:rPr>
        <w:t xml:space="preserve"> This policy replaces the </w:t>
      </w:r>
      <w:r w:rsidRPr="004E5067">
        <w:rPr>
          <w:i/>
          <w:iCs/>
          <w:sz w:val="18"/>
          <w:szCs w:val="18"/>
        </w:rPr>
        <w:t>Elective surgery access policy 2015</w:t>
      </w:r>
    </w:p>
  </w:endnote>
  <w:endnote w:id="13">
    <w:p w14:paraId="7121B3A3" w14:textId="1D2567E6" w:rsidR="00012605" w:rsidRPr="004E5067" w:rsidRDefault="00012605">
      <w:pPr>
        <w:pStyle w:val="EndnoteText"/>
        <w:rPr>
          <w:sz w:val="18"/>
          <w:szCs w:val="18"/>
        </w:rPr>
      </w:pPr>
      <w:r w:rsidRPr="004E5067">
        <w:rPr>
          <w:rStyle w:val="EndnoteReference"/>
          <w:sz w:val="18"/>
          <w:szCs w:val="18"/>
        </w:rPr>
        <w:endnoteRef/>
      </w:r>
      <w:r w:rsidRPr="004E5067">
        <w:rPr>
          <w:sz w:val="18"/>
          <w:szCs w:val="18"/>
        </w:rPr>
        <w:t xml:space="preserve"> All Victorian public health services report to planned surgery data to the department</w:t>
      </w:r>
      <w:r w:rsidR="008F45F4">
        <w:rPr>
          <w:sz w:val="18"/>
          <w:szCs w:val="18"/>
        </w:rPr>
        <w:t>;</w:t>
      </w:r>
      <w:r w:rsidRPr="004E5067">
        <w:rPr>
          <w:sz w:val="18"/>
          <w:szCs w:val="18"/>
        </w:rPr>
        <w:t xml:space="preserve"> however</w:t>
      </w:r>
      <w:r w:rsidR="008F45F4">
        <w:rPr>
          <w:sz w:val="18"/>
          <w:szCs w:val="18"/>
        </w:rPr>
        <w:t>,</w:t>
      </w:r>
      <w:r w:rsidRPr="004E5067">
        <w:rPr>
          <w:sz w:val="18"/>
          <w:szCs w:val="18"/>
        </w:rPr>
        <w:t xml:space="preserve"> not all services currently report to ESIS. As part of the department’s ESIS Expansion Project, 8 additional rural and regional health services are expected to commence reporting planned surgery activity via ESIS across 2024–25 and 2025–26.  </w:t>
      </w:r>
    </w:p>
  </w:endnote>
  <w:endnote w:id="14">
    <w:p w14:paraId="2FB6AFF7" w14:textId="3844936C" w:rsidR="00A11901" w:rsidRPr="004E5067" w:rsidRDefault="00A11901">
      <w:pPr>
        <w:pStyle w:val="EndnoteText"/>
        <w:rPr>
          <w:sz w:val="18"/>
          <w:szCs w:val="18"/>
        </w:rPr>
      </w:pPr>
      <w:r w:rsidRPr="004E5067">
        <w:rPr>
          <w:rStyle w:val="EndnoteReference"/>
          <w:sz w:val="18"/>
          <w:szCs w:val="18"/>
        </w:rPr>
        <w:endnoteRef/>
      </w:r>
      <w:r w:rsidRPr="004E5067">
        <w:rPr>
          <w:sz w:val="18"/>
          <w:szCs w:val="18"/>
        </w:rPr>
        <w:t xml:space="preserve"> Principal Prescribed Procedure (PPP) codes of less than 500 are accepted for episodes that were registered before 1 July 2019.</w:t>
      </w:r>
    </w:p>
  </w:endnote>
  <w:endnote w:id="15">
    <w:p w14:paraId="1788734E" w14:textId="669A9F94" w:rsidR="0094229C" w:rsidRPr="004E5067" w:rsidRDefault="0094229C">
      <w:pPr>
        <w:pStyle w:val="EndnoteText"/>
        <w:rPr>
          <w:sz w:val="18"/>
          <w:szCs w:val="18"/>
        </w:rPr>
      </w:pPr>
      <w:r w:rsidRPr="004E5067">
        <w:rPr>
          <w:rStyle w:val="EndnoteReference"/>
          <w:sz w:val="18"/>
          <w:szCs w:val="18"/>
        </w:rPr>
        <w:endnoteRef/>
      </w:r>
      <w:r w:rsidRPr="004E5067">
        <w:rPr>
          <w:sz w:val="18"/>
          <w:szCs w:val="18"/>
        </w:rPr>
        <w:t xml:space="preserve"> The Clinical Registration Date is used as the start of the waiting period where the Administrative Registration Date is greater than the Admission or Removal Date.</w:t>
      </w:r>
    </w:p>
  </w:endnote>
  <w:endnote w:id="16">
    <w:p w14:paraId="05FB7012" w14:textId="43398C91" w:rsidR="002D13DE" w:rsidRPr="004E5067" w:rsidRDefault="002D13DE">
      <w:pPr>
        <w:pStyle w:val="EndnoteText"/>
        <w:rPr>
          <w:sz w:val="18"/>
          <w:szCs w:val="18"/>
        </w:rPr>
      </w:pPr>
      <w:r w:rsidRPr="004E5067">
        <w:rPr>
          <w:rStyle w:val="EndnoteReference"/>
          <w:sz w:val="18"/>
          <w:szCs w:val="18"/>
        </w:rPr>
        <w:endnoteRef/>
      </w:r>
      <w:r w:rsidRPr="004E5067">
        <w:rPr>
          <w:sz w:val="18"/>
          <w:szCs w:val="18"/>
        </w:rPr>
        <w:t xml:space="preserve"> This policy replaces the Specialist clinics in Victorian public hospitals: access policy (2013)</w:t>
      </w:r>
    </w:p>
  </w:endnote>
  <w:endnote w:id="17">
    <w:p w14:paraId="02F9552C" w14:textId="47061058" w:rsidR="00CA6B2D" w:rsidRPr="004E5067" w:rsidRDefault="00CA6B2D">
      <w:pPr>
        <w:pStyle w:val="EndnoteText"/>
        <w:rPr>
          <w:sz w:val="18"/>
          <w:szCs w:val="18"/>
        </w:rPr>
      </w:pPr>
      <w:r w:rsidRPr="004E5067">
        <w:rPr>
          <w:rStyle w:val="EndnoteReference"/>
          <w:sz w:val="18"/>
          <w:szCs w:val="18"/>
        </w:rPr>
        <w:endnoteRef/>
      </w:r>
      <w:r w:rsidRPr="004E5067">
        <w:rPr>
          <w:sz w:val="18"/>
          <w:szCs w:val="18"/>
        </w:rPr>
        <w:t xml:space="preserve"> Measure only applies to Forensicare – Refer to Appendix B</w:t>
      </w:r>
    </w:p>
  </w:endnote>
  <w:endnote w:id="18">
    <w:p w14:paraId="546427F7" w14:textId="544EDED4" w:rsidR="008B45AE" w:rsidRPr="004E5067" w:rsidRDefault="008B45AE">
      <w:pPr>
        <w:pStyle w:val="EndnoteText"/>
        <w:rPr>
          <w:sz w:val="18"/>
          <w:szCs w:val="18"/>
        </w:rPr>
      </w:pPr>
      <w:r w:rsidRPr="004E5067">
        <w:rPr>
          <w:rStyle w:val="EndnoteReference"/>
          <w:sz w:val="18"/>
          <w:szCs w:val="18"/>
        </w:rPr>
        <w:endnoteRef/>
      </w:r>
      <w:r w:rsidRPr="004E5067">
        <w:rPr>
          <w:sz w:val="18"/>
          <w:szCs w:val="18"/>
        </w:rPr>
        <w:t xml:space="preserve"> The department acknowledges that Forensicare is unlikely to meet this key performance measure in 2025</w:t>
      </w:r>
      <w:r w:rsidR="00834A5B">
        <w:rPr>
          <w:rFonts w:cs="Arial"/>
          <w:sz w:val="18"/>
          <w:szCs w:val="18"/>
        </w:rPr>
        <w:t>‒</w:t>
      </w:r>
      <w:r w:rsidRPr="004E5067">
        <w:rPr>
          <w:sz w:val="18"/>
          <w:szCs w:val="18"/>
        </w:rPr>
        <w:t xml:space="preserve">26 due to its unique issue with rates of seclusion. </w:t>
      </w:r>
      <w:r w:rsidR="00D80BC6">
        <w:rPr>
          <w:sz w:val="18"/>
          <w:szCs w:val="18"/>
        </w:rPr>
        <w:t>While</w:t>
      </w:r>
      <w:r w:rsidR="00D80BC6" w:rsidRPr="004E5067">
        <w:rPr>
          <w:sz w:val="18"/>
          <w:szCs w:val="18"/>
        </w:rPr>
        <w:t xml:space="preserve"> </w:t>
      </w:r>
      <w:r w:rsidRPr="004E5067">
        <w:rPr>
          <w:sz w:val="18"/>
          <w:szCs w:val="18"/>
        </w:rPr>
        <w:t>the target is &lt; 6, Forensicare should also aim for a 5% improvement compared to same time last year.</w:t>
      </w:r>
    </w:p>
  </w:endnote>
  <w:endnote w:id="19">
    <w:p w14:paraId="44A466DB" w14:textId="26A36902" w:rsidR="003B1202" w:rsidRPr="004E5067" w:rsidRDefault="003B1202">
      <w:pPr>
        <w:pStyle w:val="EndnoteText"/>
        <w:rPr>
          <w:sz w:val="18"/>
          <w:szCs w:val="18"/>
        </w:rPr>
      </w:pPr>
      <w:r w:rsidRPr="004E5067">
        <w:rPr>
          <w:rStyle w:val="EndnoteReference"/>
          <w:sz w:val="18"/>
          <w:szCs w:val="18"/>
        </w:rPr>
        <w:endnoteRef/>
      </w:r>
      <w:r w:rsidRPr="004E5067">
        <w:rPr>
          <w:sz w:val="18"/>
          <w:szCs w:val="18"/>
        </w:rPr>
        <w:t xml:space="preserve"> The department acknowledges that Forensicare is unlikely to meet these key performance measures in 2025</w:t>
      </w:r>
      <w:r w:rsidR="00834A5B">
        <w:rPr>
          <w:rFonts w:cs="Arial"/>
          <w:sz w:val="18"/>
          <w:szCs w:val="18"/>
        </w:rPr>
        <w:t>‒</w:t>
      </w:r>
      <w:r w:rsidRPr="004E5067">
        <w:rPr>
          <w:sz w:val="18"/>
          <w:szCs w:val="18"/>
        </w:rPr>
        <w:t>26 due to continuing high demand for Forensicare services. Timely access to care key performance measures will be reviewed ahead of 2026</w:t>
      </w:r>
      <w:r w:rsidR="004235AF">
        <w:rPr>
          <w:rFonts w:cs="Arial"/>
          <w:sz w:val="18"/>
          <w:szCs w:val="18"/>
        </w:rPr>
        <w:t>‒</w:t>
      </w:r>
      <w:r w:rsidRPr="004E5067">
        <w:rPr>
          <w:sz w:val="18"/>
          <w:szCs w:val="18"/>
        </w:rPr>
        <w:t>27, in the context of new capacity anticipated to come online.</w:t>
      </w:r>
    </w:p>
  </w:endnote>
  <w:endnote w:id="20">
    <w:p w14:paraId="765D2B35" w14:textId="2596DB09" w:rsidR="008709D7" w:rsidRPr="004E5067" w:rsidRDefault="008709D7">
      <w:pPr>
        <w:pStyle w:val="EndnoteText"/>
        <w:rPr>
          <w:sz w:val="18"/>
          <w:szCs w:val="18"/>
        </w:rPr>
      </w:pPr>
      <w:r w:rsidRPr="004E5067">
        <w:rPr>
          <w:rStyle w:val="EndnoteReference"/>
          <w:sz w:val="18"/>
          <w:szCs w:val="18"/>
        </w:rPr>
        <w:endnoteRef/>
      </w:r>
      <w:r w:rsidRPr="004E5067">
        <w:rPr>
          <w:sz w:val="18"/>
          <w:szCs w:val="18"/>
        </w:rPr>
        <w:t xml:space="preserve"> The department acknowledges that Forensicare is unlikely to meet this key performance measure in 2025</w:t>
      </w:r>
      <w:r w:rsidR="00834A5B">
        <w:rPr>
          <w:rFonts w:cs="Arial"/>
          <w:sz w:val="18"/>
          <w:szCs w:val="18"/>
        </w:rPr>
        <w:t>‒</w:t>
      </w:r>
      <w:r w:rsidRPr="004E5067">
        <w:rPr>
          <w:sz w:val="18"/>
          <w:szCs w:val="18"/>
        </w:rPr>
        <w:t xml:space="preserve">26 due to continuing high demand for Forensicare services. </w:t>
      </w:r>
      <w:r w:rsidR="00D44E84">
        <w:rPr>
          <w:sz w:val="18"/>
          <w:szCs w:val="18"/>
        </w:rPr>
        <w:t>While</w:t>
      </w:r>
      <w:r w:rsidR="00D44E84" w:rsidRPr="004E5067">
        <w:rPr>
          <w:sz w:val="18"/>
          <w:szCs w:val="18"/>
        </w:rPr>
        <w:t xml:space="preserve"> </w:t>
      </w:r>
      <w:r w:rsidRPr="004E5067">
        <w:rPr>
          <w:sz w:val="18"/>
          <w:szCs w:val="18"/>
        </w:rPr>
        <w:t>the target is 80%, Forensicare should also aim for a 5-percentage point improvement compared to same time last year.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DDC4" w14:textId="5CA72975" w:rsidR="00EB4BC7" w:rsidRDefault="00B30170">
    <w:pPr>
      <w:pStyle w:val="Footer"/>
    </w:pPr>
    <w:r>
      <w:rPr>
        <w:noProof/>
      </w:rPr>
      <mc:AlternateContent>
        <mc:Choice Requires="wps">
          <w:drawing>
            <wp:anchor distT="0" distB="0" distL="0" distR="0" simplePos="0" relativeHeight="251659264" behindDoc="0" locked="0" layoutInCell="1" allowOverlap="1" wp14:anchorId="13EE556F" wp14:editId="6A9E346D">
              <wp:simplePos x="635" y="635"/>
              <wp:positionH relativeFrom="page">
                <wp:align>center</wp:align>
              </wp:positionH>
              <wp:positionV relativeFrom="page">
                <wp:align>bottom</wp:align>
              </wp:positionV>
              <wp:extent cx="656590" cy="369570"/>
              <wp:effectExtent l="0" t="0" r="10160" b="0"/>
              <wp:wrapNone/>
              <wp:docPr id="118059568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F44C69" w14:textId="3B244671"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E556F"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54F44C69" w14:textId="3B244671"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4E2F" w14:textId="3B158086" w:rsidR="00B30170" w:rsidRDefault="00B30170">
    <w:pPr>
      <w:pStyle w:val="Footer"/>
    </w:pPr>
    <w:r>
      <w:rPr>
        <w:noProof/>
      </w:rPr>
      <mc:AlternateContent>
        <mc:Choice Requires="wps">
          <w:drawing>
            <wp:anchor distT="0" distB="0" distL="0" distR="0" simplePos="0" relativeHeight="251668480" behindDoc="0" locked="0" layoutInCell="1" allowOverlap="1" wp14:anchorId="42F057BE" wp14:editId="40B82A8D">
              <wp:simplePos x="635" y="635"/>
              <wp:positionH relativeFrom="page">
                <wp:align>center</wp:align>
              </wp:positionH>
              <wp:positionV relativeFrom="page">
                <wp:align>bottom</wp:align>
              </wp:positionV>
              <wp:extent cx="656590" cy="369570"/>
              <wp:effectExtent l="0" t="0" r="10160" b="0"/>
              <wp:wrapNone/>
              <wp:docPr id="20634965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D0C58B" w14:textId="64370E8E"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057BE" id="_x0000_t202" coordsize="21600,21600" o:spt="202" path="m,l,21600r21600,l21600,xe">
              <v:stroke joinstyle="miter"/>
              <v:path gradientshapeok="t" o:connecttype="rect"/>
            </v:shapetype>
            <v:shape id="Text Box 11" o:spid="_x0000_s1035" type="#_x0000_t202" alt="OFFICIAL" style="position:absolute;left:0;text-align:left;margin-left:0;margin-top:0;width:51.7pt;height:29.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00D0C58B" w14:textId="64370E8E"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4954" w14:textId="1C4D82A1" w:rsidR="00A92B2B" w:rsidRDefault="00B30170">
    <w:pPr>
      <w:pStyle w:val="Footer"/>
    </w:pPr>
    <w:r>
      <w:rPr>
        <w:noProof/>
      </w:rPr>
      <mc:AlternateContent>
        <mc:Choice Requires="wps">
          <w:drawing>
            <wp:anchor distT="0" distB="0" distL="0" distR="0" simplePos="0" relativeHeight="251669504" behindDoc="0" locked="0" layoutInCell="1" allowOverlap="1" wp14:anchorId="64991B73" wp14:editId="00257594">
              <wp:simplePos x="828675" y="9820275"/>
              <wp:positionH relativeFrom="page">
                <wp:align>center</wp:align>
              </wp:positionH>
              <wp:positionV relativeFrom="page">
                <wp:align>bottom</wp:align>
              </wp:positionV>
              <wp:extent cx="656590" cy="369570"/>
              <wp:effectExtent l="0" t="0" r="10160" b="0"/>
              <wp:wrapNone/>
              <wp:docPr id="34387532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850DDEC" w14:textId="615E84C5"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91B73" id="_x0000_t202" coordsize="21600,21600" o:spt="202" path="m,l,21600r21600,l21600,xe">
              <v:stroke joinstyle="miter"/>
              <v:path gradientshapeok="t" o:connecttype="rect"/>
            </v:shapetype>
            <v:shape id="Text Box 12" o:spid="_x0000_s1036" type="#_x0000_t202" alt="OFFICIAL" style="position:absolute;left:0;text-align:left;margin-left:0;margin-top:0;width:51.7pt;height:29.1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850DDEC" w14:textId="615E84C5"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3219" w14:textId="0FDE3752" w:rsidR="0025648E" w:rsidRDefault="00B30170">
    <w:pPr>
      <w:pStyle w:val="Footer"/>
    </w:pPr>
    <w:r>
      <w:rPr>
        <w:noProof/>
      </w:rPr>
      <mc:AlternateContent>
        <mc:Choice Requires="wps">
          <w:drawing>
            <wp:anchor distT="0" distB="0" distL="0" distR="0" simplePos="0" relativeHeight="251667456" behindDoc="0" locked="0" layoutInCell="1" allowOverlap="1" wp14:anchorId="5AFCF8CA" wp14:editId="4BFA855B">
              <wp:simplePos x="635" y="635"/>
              <wp:positionH relativeFrom="page">
                <wp:align>center</wp:align>
              </wp:positionH>
              <wp:positionV relativeFrom="page">
                <wp:align>bottom</wp:align>
              </wp:positionV>
              <wp:extent cx="656590" cy="369570"/>
              <wp:effectExtent l="0" t="0" r="10160" b="0"/>
              <wp:wrapNone/>
              <wp:docPr id="173597708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C669380" w14:textId="26356659"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CF8CA" id="_x0000_t202" coordsize="21600,21600" o:spt="202" path="m,l,21600r21600,l21600,xe">
              <v:stroke joinstyle="miter"/>
              <v:path gradientshapeok="t" o:connecttype="rect"/>
            </v:shapetype>
            <v:shape id="Text Box 10" o:spid="_x0000_s1037" type="#_x0000_t202" alt="OFFICIAL" style="position:absolute;left:0;text-align:left;margin-left:0;margin-top:0;width:51.7pt;height:29.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C669380" w14:textId="26356659"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B215" w14:textId="5283AD71" w:rsidR="00B30170" w:rsidRDefault="00B30170">
    <w:pPr>
      <w:pStyle w:val="Footer"/>
    </w:pPr>
    <w:r>
      <w:rPr>
        <w:noProof/>
      </w:rPr>
      <mc:AlternateContent>
        <mc:Choice Requires="wps">
          <w:drawing>
            <wp:anchor distT="0" distB="0" distL="0" distR="0" simplePos="0" relativeHeight="251671552" behindDoc="0" locked="0" layoutInCell="1" allowOverlap="1" wp14:anchorId="20A1972D" wp14:editId="727F8AF9">
              <wp:simplePos x="635" y="635"/>
              <wp:positionH relativeFrom="page">
                <wp:align>center</wp:align>
              </wp:positionH>
              <wp:positionV relativeFrom="page">
                <wp:align>bottom</wp:align>
              </wp:positionV>
              <wp:extent cx="656590" cy="369570"/>
              <wp:effectExtent l="0" t="0" r="10160" b="0"/>
              <wp:wrapNone/>
              <wp:docPr id="214668935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1AB836" w14:textId="2719A7E4"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1972D" id="_x0000_t202" coordsize="21600,21600" o:spt="202" path="m,l,21600r21600,l21600,xe">
              <v:stroke joinstyle="miter"/>
              <v:path gradientshapeok="t" o:connecttype="rect"/>
            </v:shapetype>
            <v:shape id="Text Box 14" o:spid="_x0000_s1038" type="#_x0000_t202" alt="OFFICIAL" style="position:absolute;left:0;text-align:left;margin-left:0;margin-top:0;width:51.7pt;height:29.1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71AB836" w14:textId="2719A7E4"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7227" w14:textId="7894D7AC" w:rsidR="00A92B2B" w:rsidRDefault="00B30170">
    <w:pPr>
      <w:pStyle w:val="Footer"/>
    </w:pPr>
    <w:r>
      <w:rPr>
        <w:noProof/>
      </w:rPr>
      <mc:AlternateContent>
        <mc:Choice Requires="wps">
          <w:drawing>
            <wp:anchor distT="0" distB="0" distL="0" distR="0" simplePos="0" relativeHeight="251672576" behindDoc="0" locked="0" layoutInCell="1" allowOverlap="1" wp14:anchorId="0122EBA8" wp14:editId="1E993170">
              <wp:simplePos x="635" y="635"/>
              <wp:positionH relativeFrom="page">
                <wp:align>center</wp:align>
              </wp:positionH>
              <wp:positionV relativeFrom="page">
                <wp:align>bottom</wp:align>
              </wp:positionV>
              <wp:extent cx="656590" cy="369570"/>
              <wp:effectExtent l="0" t="0" r="10160" b="0"/>
              <wp:wrapNone/>
              <wp:docPr id="189879467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6E2DA83" w14:textId="17E57F9D"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22EBA8" id="_x0000_t202" coordsize="21600,21600" o:spt="202" path="m,l,21600r21600,l21600,xe">
              <v:stroke joinstyle="miter"/>
              <v:path gradientshapeok="t" o:connecttype="rect"/>
            </v:shapetype>
            <v:shape id="Text Box 15" o:spid="_x0000_s1039" type="#_x0000_t202" alt="OFFICIAL" style="position:absolute;left:0;text-align:left;margin-left:0;margin-top:0;width:51.7pt;height:29.1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6E2DA83" w14:textId="17E57F9D"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0E9E" w14:textId="34E8EB13" w:rsidR="00A92B2B" w:rsidRDefault="00B30170">
    <w:pPr>
      <w:pStyle w:val="Footer"/>
      <w:rPr>
        <w:noProof/>
        <w:lang w:eastAsia="en-AU"/>
      </w:rPr>
    </w:pPr>
    <w:r>
      <w:rPr>
        <w:noProof/>
        <w:lang w:eastAsia="en-AU"/>
      </w:rPr>
      <mc:AlternateContent>
        <mc:Choice Requires="wps">
          <w:drawing>
            <wp:anchor distT="0" distB="0" distL="0" distR="0" simplePos="0" relativeHeight="251670528" behindDoc="0" locked="0" layoutInCell="1" allowOverlap="1" wp14:anchorId="668F1689" wp14:editId="3F5A8607">
              <wp:simplePos x="635" y="635"/>
              <wp:positionH relativeFrom="page">
                <wp:align>center</wp:align>
              </wp:positionH>
              <wp:positionV relativeFrom="page">
                <wp:align>bottom</wp:align>
              </wp:positionV>
              <wp:extent cx="656590" cy="369570"/>
              <wp:effectExtent l="0" t="0" r="10160" b="0"/>
              <wp:wrapNone/>
              <wp:docPr id="173413725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7831149" w14:textId="7A3B146E"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F1689" id="_x0000_t202" coordsize="21600,21600" o:spt="202" path="m,l,21600r21600,l21600,xe">
              <v:stroke joinstyle="miter"/>
              <v:path gradientshapeok="t" o:connecttype="rect"/>
            </v:shapetype>
            <v:shape id="Text Box 13" o:spid="_x0000_s1040" type="#_x0000_t202" alt="OFFICIAL" style="position:absolute;left:0;text-align:left;margin-left:0;margin-top:0;width:51.7pt;height:29.1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7831149" w14:textId="7A3B146E"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p w14:paraId="102E8F8A" w14:textId="4240A84C" w:rsidR="00A92B2B" w:rsidRDefault="00A9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F814" w14:textId="1A746888" w:rsidR="00431A70" w:rsidRDefault="00B30170">
    <w:pPr>
      <w:pStyle w:val="Footer"/>
    </w:pPr>
    <w:r>
      <w:rPr>
        <w:noProof/>
      </w:rPr>
      <mc:AlternateContent>
        <mc:Choice Requires="wps">
          <w:drawing>
            <wp:anchor distT="0" distB="0" distL="0" distR="0" simplePos="0" relativeHeight="251660288" behindDoc="0" locked="0" layoutInCell="1" allowOverlap="1" wp14:anchorId="7EDAEAD1" wp14:editId="190AEF88">
              <wp:simplePos x="635" y="635"/>
              <wp:positionH relativeFrom="page">
                <wp:align>center</wp:align>
              </wp:positionH>
              <wp:positionV relativeFrom="page">
                <wp:align>bottom</wp:align>
              </wp:positionV>
              <wp:extent cx="656590" cy="369570"/>
              <wp:effectExtent l="0" t="0" r="10160" b="0"/>
              <wp:wrapNone/>
              <wp:docPr id="146365304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A85C3FB" w14:textId="58BC61BA"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AEAD1"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A85C3FB" w14:textId="58BC61BA"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CDFA" w14:textId="4C10573D" w:rsidR="00EB4BC7" w:rsidRDefault="00B30170">
    <w:pPr>
      <w:pStyle w:val="Footer"/>
    </w:pPr>
    <w:r>
      <w:rPr>
        <w:noProof/>
      </w:rPr>
      <mc:AlternateContent>
        <mc:Choice Requires="wps">
          <w:drawing>
            <wp:anchor distT="0" distB="0" distL="0" distR="0" simplePos="0" relativeHeight="251658240" behindDoc="0" locked="0" layoutInCell="1" allowOverlap="1" wp14:anchorId="29EF9D46" wp14:editId="4969E7D8">
              <wp:simplePos x="635" y="635"/>
              <wp:positionH relativeFrom="page">
                <wp:align>center</wp:align>
              </wp:positionH>
              <wp:positionV relativeFrom="page">
                <wp:align>bottom</wp:align>
              </wp:positionV>
              <wp:extent cx="656590" cy="369570"/>
              <wp:effectExtent l="0" t="0" r="10160" b="0"/>
              <wp:wrapNone/>
              <wp:docPr id="75306478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4E0DDA" w14:textId="16765D6F"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F9D46"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5D4E0DDA" w14:textId="16765D6F"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28B6" w14:textId="71DE2A64" w:rsidR="00D63636" w:rsidRDefault="00B30170">
    <w:pPr>
      <w:pStyle w:val="Footer"/>
    </w:pPr>
    <w:r>
      <w:rPr>
        <w:noProof/>
      </w:rPr>
      <mc:AlternateContent>
        <mc:Choice Requires="wps">
          <w:drawing>
            <wp:anchor distT="0" distB="0" distL="0" distR="0" simplePos="0" relativeHeight="251662336" behindDoc="0" locked="0" layoutInCell="1" allowOverlap="1" wp14:anchorId="730D2B32" wp14:editId="606444CB">
              <wp:simplePos x="635" y="635"/>
              <wp:positionH relativeFrom="page">
                <wp:align>center</wp:align>
              </wp:positionH>
              <wp:positionV relativeFrom="page">
                <wp:align>bottom</wp:align>
              </wp:positionV>
              <wp:extent cx="656590" cy="369570"/>
              <wp:effectExtent l="0" t="0" r="10160" b="0"/>
              <wp:wrapNone/>
              <wp:docPr id="352083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E935D0" w14:textId="73C229B3"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D2B32"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EE935D0" w14:textId="73C229B3"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C4CE" w14:textId="58349395" w:rsidR="00431A70" w:rsidRDefault="00B30170">
    <w:pPr>
      <w:pStyle w:val="Footer"/>
    </w:pPr>
    <w:r>
      <w:rPr>
        <w:noProof/>
      </w:rPr>
      <mc:AlternateContent>
        <mc:Choice Requires="wps">
          <w:drawing>
            <wp:anchor distT="0" distB="0" distL="0" distR="0" simplePos="0" relativeHeight="251663360" behindDoc="0" locked="0" layoutInCell="1" allowOverlap="1" wp14:anchorId="740EB02B" wp14:editId="68CBE6A2">
              <wp:simplePos x="635" y="635"/>
              <wp:positionH relativeFrom="page">
                <wp:align>center</wp:align>
              </wp:positionH>
              <wp:positionV relativeFrom="page">
                <wp:align>bottom</wp:align>
              </wp:positionV>
              <wp:extent cx="656590" cy="369570"/>
              <wp:effectExtent l="0" t="0" r="10160" b="0"/>
              <wp:wrapNone/>
              <wp:docPr id="23908850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7953A34" w14:textId="52E69A8E"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EB02B"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7953A34" w14:textId="52E69A8E"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64EA" w14:textId="69E0456E" w:rsidR="00B30170" w:rsidRDefault="00B30170">
    <w:pPr>
      <w:pStyle w:val="Footer"/>
    </w:pPr>
    <w:r>
      <w:rPr>
        <w:noProof/>
      </w:rPr>
      <mc:AlternateContent>
        <mc:Choice Requires="wps">
          <w:drawing>
            <wp:anchor distT="0" distB="0" distL="0" distR="0" simplePos="0" relativeHeight="251661312" behindDoc="0" locked="0" layoutInCell="1" allowOverlap="1" wp14:anchorId="5BD4794E" wp14:editId="3036254B">
              <wp:simplePos x="635" y="635"/>
              <wp:positionH relativeFrom="page">
                <wp:align>center</wp:align>
              </wp:positionH>
              <wp:positionV relativeFrom="page">
                <wp:align>bottom</wp:align>
              </wp:positionV>
              <wp:extent cx="656590" cy="369570"/>
              <wp:effectExtent l="0" t="0" r="10160" b="0"/>
              <wp:wrapNone/>
              <wp:docPr id="16048269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961C7D3" w14:textId="173BC7B1"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D4794E"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961C7D3" w14:textId="173BC7B1"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C70E" w14:textId="26002497" w:rsidR="00B30170" w:rsidRDefault="00B30170">
    <w:pPr>
      <w:pStyle w:val="Footer"/>
    </w:pPr>
    <w:r>
      <w:rPr>
        <w:noProof/>
      </w:rPr>
      <mc:AlternateContent>
        <mc:Choice Requires="wps">
          <w:drawing>
            <wp:anchor distT="0" distB="0" distL="0" distR="0" simplePos="0" relativeHeight="251665408" behindDoc="0" locked="0" layoutInCell="1" allowOverlap="1" wp14:anchorId="6E8887F3" wp14:editId="7006A652">
              <wp:simplePos x="635" y="635"/>
              <wp:positionH relativeFrom="page">
                <wp:align>center</wp:align>
              </wp:positionH>
              <wp:positionV relativeFrom="page">
                <wp:align>bottom</wp:align>
              </wp:positionV>
              <wp:extent cx="656590" cy="369570"/>
              <wp:effectExtent l="0" t="0" r="10160" b="0"/>
              <wp:wrapNone/>
              <wp:docPr id="17114795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C72C679" w14:textId="7A34E2D3"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887F3"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C72C679" w14:textId="7A34E2D3"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3EC6" w14:textId="6864069B" w:rsidR="00F82062" w:rsidRDefault="00B30170">
    <w:pPr>
      <w:pStyle w:val="Footer"/>
    </w:pPr>
    <w:r>
      <w:rPr>
        <w:noProof/>
      </w:rPr>
      <mc:AlternateContent>
        <mc:Choice Requires="wps">
          <w:drawing>
            <wp:anchor distT="0" distB="0" distL="0" distR="0" simplePos="0" relativeHeight="251666432" behindDoc="0" locked="0" layoutInCell="1" allowOverlap="1" wp14:anchorId="605E6224" wp14:editId="6D2B403A">
              <wp:simplePos x="635" y="635"/>
              <wp:positionH relativeFrom="page">
                <wp:align>center</wp:align>
              </wp:positionH>
              <wp:positionV relativeFrom="page">
                <wp:align>bottom</wp:align>
              </wp:positionV>
              <wp:extent cx="656590" cy="369570"/>
              <wp:effectExtent l="0" t="0" r="10160" b="0"/>
              <wp:wrapNone/>
              <wp:docPr id="108381815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792A06" w14:textId="294DFCED"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E6224"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E792A06" w14:textId="294DFCED"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1758" w14:textId="674936F3" w:rsidR="00F9328E" w:rsidRDefault="00B30170">
    <w:pPr>
      <w:pStyle w:val="Footer"/>
    </w:pPr>
    <w:r>
      <w:rPr>
        <w:noProof/>
      </w:rPr>
      <mc:AlternateContent>
        <mc:Choice Requires="wps">
          <w:drawing>
            <wp:anchor distT="0" distB="0" distL="0" distR="0" simplePos="0" relativeHeight="251664384" behindDoc="0" locked="0" layoutInCell="1" allowOverlap="1" wp14:anchorId="7ECE0362" wp14:editId="316CB08C">
              <wp:simplePos x="635" y="635"/>
              <wp:positionH relativeFrom="page">
                <wp:align>center</wp:align>
              </wp:positionH>
              <wp:positionV relativeFrom="page">
                <wp:align>bottom</wp:align>
              </wp:positionV>
              <wp:extent cx="656590" cy="369570"/>
              <wp:effectExtent l="0" t="0" r="10160" b="0"/>
              <wp:wrapNone/>
              <wp:docPr id="10975136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ECE408" w14:textId="27F4EFF5"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E0362"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1ECE408" w14:textId="27F4EFF5" w:rsidR="00B30170" w:rsidRPr="00B30170" w:rsidRDefault="00B30170" w:rsidP="00B30170">
                    <w:pPr>
                      <w:spacing w:after="0"/>
                      <w:rPr>
                        <w:rFonts w:ascii="Arial Black" w:eastAsia="Arial Black" w:hAnsi="Arial Black" w:cs="Arial Black"/>
                        <w:noProof/>
                        <w:color w:val="000000"/>
                        <w:sz w:val="20"/>
                      </w:rPr>
                    </w:pPr>
                    <w:r w:rsidRPr="00B301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1FFB4" w14:textId="77777777" w:rsidR="009A45CA" w:rsidRDefault="009A45CA" w:rsidP="00207717">
      <w:pPr>
        <w:spacing w:before="120"/>
      </w:pPr>
      <w:r>
        <w:separator/>
      </w:r>
    </w:p>
  </w:footnote>
  <w:footnote w:type="continuationSeparator" w:id="0">
    <w:p w14:paraId="0A0B5352" w14:textId="77777777" w:rsidR="009A45CA" w:rsidRDefault="009A45CA">
      <w:r>
        <w:continuationSeparator/>
      </w:r>
    </w:p>
    <w:p w14:paraId="6F883978" w14:textId="77777777" w:rsidR="009A45CA" w:rsidRDefault="009A45CA"/>
  </w:footnote>
  <w:footnote w:type="continuationNotice" w:id="1">
    <w:p w14:paraId="35124966" w14:textId="77777777" w:rsidR="009A45CA" w:rsidRDefault="009A4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48FB1110" w14:paraId="7DDB7A8F" w14:textId="77777777" w:rsidTr="48FB1110">
      <w:trPr>
        <w:trHeight w:val="300"/>
      </w:trPr>
      <w:tc>
        <w:tcPr>
          <w:tcW w:w="3095" w:type="dxa"/>
        </w:tcPr>
        <w:p w14:paraId="18C04345" w14:textId="118CBBEA" w:rsidR="48FB1110" w:rsidRDefault="48FB1110" w:rsidP="48FB1110">
          <w:pPr>
            <w:pStyle w:val="Header"/>
            <w:ind w:left="-115"/>
          </w:pPr>
        </w:p>
      </w:tc>
      <w:tc>
        <w:tcPr>
          <w:tcW w:w="3095" w:type="dxa"/>
        </w:tcPr>
        <w:p w14:paraId="6A77E96B" w14:textId="3238422D" w:rsidR="48FB1110" w:rsidRDefault="48FB1110" w:rsidP="48FB1110">
          <w:pPr>
            <w:pStyle w:val="Header"/>
            <w:jc w:val="center"/>
          </w:pPr>
        </w:p>
      </w:tc>
      <w:tc>
        <w:tcPr>
          <w:tcW w:w="3095" w:type="dxa"/>
        </w:tcPr>
        <w:p w14:paraId="3783C9AB" w14:textId="4E9A2353" w:rsidR="48FB1110" w:rsidRDefault="48FB1110" w:rsidP="48FB1110">
          <w:pPr>
            <w:pStyle w:val="Header"/>
            <w:ind w:right="-115"/>
            <w:jc w:val="right"/>
          </w:pPr>
        </w:p>
      </w:tc>
    </w:tr>
  </w:tbl>
  <w:p w14:paraId="320C0923" w14:textId="76110643" w:rsidR="48FB1110" w:rsidRDefault="48FB1110" w:rsidP="48FB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48FB1110" w14:paraId="3090AF43" w14:textId="77777777" w:rsidTr="48FB1110">
      <w:trPr>
        <w:trHeight w:val="300"/>
      </w:trPr>
      <w:tc>
        <w:tcPr>
          <w:tcW w:w="3095" w:type="dxa"/>
        </w:tcPr>
        <w:p w14:paraId="0CEB31B7" w14:textId="737F809E" w:rsidR="48FB1110" w:rsidRDefault="48FB1110" w:rsidP="48FB1110">
          <w:pPr>
            <w:pStyle w:val="Header"/>
            <w:ind w:left="-115"/>
          </w:pPr>
        </w:p>
      </w:tc>
      <w:tc>
        <w:tcPr>
          <w:tcW w:w="3095" w:type="dxa"/>
        </w:tcPr>
        <w:p w14:paraId="57E099E1" w14:textId="35380C6D" w:rsidR="48FB1110" w:rsidRDefault="48FB1110" w:rsidP="48FB1110">
          <w:pPr>
            <w:pStyle w:val="Header"/>
            <w:jc w:val="center"/>
          </w:pPr>
        </w:p>
      </w:tc>
      <w:tc>
        <w:tcPr>
          <w:tcW w:w="3095" w:type="dxa"/>
        </w:tcPr>
        <w:p w14:paraId="13B52F32" w14:textId="4B244ECD" w:rsidR="48FB1110" w:rsidRDefault="48FB1110" w:rsidP="48FB1110">
          <w:pPr>
            <w:pStyle w:val="Header"/>
            <w:ind w:right="-115"/>
            <w:jc w:val="right"/>
          </w:pPr>
        </w:p>
      </w:tc>
    </w:tr>
  </w:tbl>
  <w:p w14:paraId="1A878615" w14:textId="7F2A4C7C" w:rsidR="48FB1110" w:rsidRDefault="48FB1110" w:rsidP="48FB1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9F25" w14:textId="77777777" w:rsidR="00431A70" w:rsidRPr="00454A7D" w:rsidRDefault="00431A70"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22D9" w14:textId="77AD25A3" w:rsidR="00562811" w:rsidRPr="0051568D" w:rsidRDefault="00D936DB" w:rsidP="0017674D">
    <w:pPr>
      <w:pStyle w:val="Header"/>
    </w:pPr>
    <w:r>
      <w:t>Victorian Health Services Performance Monitoring Framework 202</w:t>
    </w:r>
    <w:r w:rsidR="00785DE7">
      <w:t>5</w:t>
    </w:r>
    <w:r>
      <w:t>–2</w:t>
    </w:r>
    <w:r w:rsidR="00785DE7">
      <w:t>6</w:t>
    </w:r>
    <w:r>
      <w:t xml:space="preserve"> Business rules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06B3" w14:textId="77777777" w:rsidR="00CB158A" w:rsidRDefault="00CB158A" w:rsidP="48FB1110">
    <w:pPr>
      <w:pStyle w:val="Header"/>
      <w:tabs>
        <w:tab w:val="left" w:pos="3203"/>
        <w:tab w:val="left" w:pos="6298"/>
      </w:tabs>
      <w:ind w:left="108" w:right="-115"/>
    </w:pPr>
    <w:r>
      <w:tab/>
    </w:r>
    <w:r>
      <w:tab/>
    </w:r>
  </w:p>
  <w:p w14:paraId="0EBDC5D4" w14:textId="4DDCB68E" w:rsidR="48FB1110" w:rsidRDefault="48FB1110" w:rsidP="48FB11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AE10" w14:textId="36AE2620" w:rsidR="00CB158A" w:rsidRDefault="00CB158A" w:rsidP="48FB1110">
    <w:pPr>
      <w:pStyle w:val="Header"/>
      <w:tabs>
        <w:tab w:val="left" w:pos="3203"/>
        <w:tab w:val="left" w:pos="6298"/>
      </w:tabs>
      <w:ind w:left="108" w:right="-115"/>
    </w:pPr>
    <w:r>
      <w:tab/>
    </w:r>
    <w:r>
      <w:tab/>
    </w:r>
  </w:p>
  <w:p w14:paraId="28A5C30C" w14:textId="62C67395" w:rsidR="00CB158A" w:rsidRDefault="00F9328E" w:rsidP="00F9328E">
    <w:pPr>
      <w:pStyle w:val="Header"/>
    </w:pPr>
    <w:r>
      <w:t>Victorian Health Services Performance Monitoring Framework 2025–26 - Business rules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w:t>
    </w:r>
    <w:r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93A3" w14:textId="4889C3F8" w:rsidR="000A281B" w:rsidRDefault="000A281B" w:rsidP="00F9328E">
    <w:pPr>
      <w:pStyle w:val="Header"/>
    </w:pPr>
    <w:r>
      <w:t>Victorian Health Services Performance Monitoring Framework 2025–26 Business rules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62CE"/>
    <w:multiLevelType w:val="hybridMultilevel"/>
    <w:tmpl w:val="FBA2139C"/>
    <w:lvl w:ilvl="0" w:tplc="B4A2371E">
      <w:start w:val="1"/>
      <w:numFmt w:val="bullet"/>
      <w:lvlText w:val="·"/>
      <w:lvlJc w:val="left"/>
      <w:pPr>
        <w:ind w:left="720" w:hanging="360"/>
      </w:pPr>
      <w:rPr>
        <w:rFonts w:ascii="Symbol" w:hAnsi="Symbol" w:hint="default"/>
      </w:rPr>
    </w:lvl>
    <w:lvl w:ilvl="1" w:tplc="D53CECF4">
      <w:start w:val="1"/>
      <w:numFmt w:val="bullet"/>
      <w:lvlText w:val="o"/>
      <w:lvlJc w:val="left"/>
      <w:pPr>
        <w:ind w:left="1440" w:hanging="360"/>
      </w:pPr>
      <w:rPr>
        <w:rFonts w:ascii="Courier New" w:hAnsi="Courier New" w:hint="default"/>
      </w:rPr>
    </w:lvl>
    <w:lvl w:ilvl="2" w:tplc="D264DC8A">
      <w:start w:val="1"/>
      <w:numFmt w:val="bullet"/>
      <w:lvlText w:val=""/>
      <w:lvlJc w:val="left"/>
      <w:pPr>
        <w:ind w:left="2160" w:hanging="360"/>
      </w:pPr>
      <w:rPr>
        <w:rFonts w:ascii="Wingdings" w:hAnsi="Wingdings" w:hint="default"/>
      </w:rPr>
    </w:lvl>
    <w:lvl w:ilvl="3" w:tplc="2AAA48DE">
      <w:start w:val="1"/>
      <w:numFmt w:val="bullet"/>
      <w:lvlText w:val=""/>
      <w:lvlJc w:val="left"/>
      <w:pPr>
        <w:ind w:left="2880" w:hanging="360"/>
      </w:pPr>
      <w:rPr>
        <w:rFonts w:ascii="Symbol" w:hAnsi="Symbol" w:hint="default"/>
      </w:rPr>
    </w:lvl>
    <w:lvl w:ilvl="4" w:tplc="D3702120">
      <w:start w:val="1"/>
      <w:numFmt w:val="bullet"/>
      <w:lvlText w:val="o"/>
      <w:lvlJc w:val="left"/>
      <w:pPr>
        <w:ind w:left="3600" w:hanging="360"/>
      </w:pPr>
      <w:rPr>
        <w:rFonts w:ascii="Courier New" w:hAnsi="Courier New" w:hint="default"/>
      </w:rPr>
    </w:lvl>
    <w:lvl w:ilvl="5" w:tplc="29BA2946">
      <w:start w:val="1"/>
      <w:numFmt w:val="bullet"/>
      <w:lvlText w:val=""/>
      <w:lvlJc w:val="left"/>
      <w:pPr>
        <w:ind w:left="4320" w:hanging="360"/>
      </w:pPr>
      <w:rPr>
        <w:rFonts w:ascii="Wingdings" w:hAnsi="Wingdings" w:hint="default"/>
      </w:rPr>
    </w:lvl>
    <w:lvl w:ilvl="6" w:tplc="C396DA9C">
      <w:start w:val="1"/>
      <w:numFmt w:val="bullet"/>
      <w:lvlText w:val=""/>
      <w:lvlJc w:val="left"/>
      <w:pPr>
        <w:ind w:left="5040" w:hanging="360"/>
      </w:pPr>
      <w:rPr>
        <w:rFonts w:ascii="Symbol" w:hAnsi="Symbol" w:hint="default"/>
      </w:rPr>
    </w:lvl>
    <w:lvl w:ilvl="7" w:tplc="34F4D154">
      <w:start w:val="1"/>
      <w:numFmt w:val="bullet"/>
      <w:lvlText w:val="o"/>
      <w:lvlJc w:val="left"/>
      <w:pPr>
        <w:ind w:left="5760" w:hanging="360"/>
      </w:pPr>
      <w:rPr>
        <w:rFonts w:ascii="Courier New" w:hAnsi="Courier New" w:hint="default"/>
      </w:rPr>
    </w:lvl>
    <w:lvl w:ilvl="8" w:tplc="1A7C4FC8">
      <w:start w:val="1"/>
      <w:numFmt w:val="bullet"/>
      <w:lvlText w:val=""/>
      <w:lvlJc w:val="left"/>
      <w:pPr>
        <w:ind w:left="6480" w:hanging="360"/>
      </w:pPr>
      <w:rPr>
        <w:rFonts w:ascii="Wingdings" w:hAnsi="Wingdings" w:hint="default"/>
      </w:rPr>
    </w:lvl>
  </w:abstractNum>
  <w:abstractNum w:abstractNumId="1" w15:restartNumberingAfterBreak="0">
    <w:nsid w:val="01E6AAA4"/>
    <w:multiLevelType w:val="multilevel"/>
    <w:tmpl w:val="B34A943A"/>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B5326"/>
    <w:multiLevelType w:val="multilevel"/>
    <w:tmpl w:val="36E2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C155A"/>
    <w:multiLevelType w:val="multilevel"/>
    <w:tmpl w:val="2ECEE34A"/>
    <w:lvl w:ilvl="0">
      <w:start w:val="1"/>
      <w:numFmt w:val="bullet"/>
      <w:lvlText w:val="►"/>
      <w:lvlJc w:val="left"/>
      <w:pPr>
        <w:ind w:left="227" w:hanging="227"/>
      </w:pPr>
      <w:rPr>
        <w:rFonts w:ascii="Arial" w:hAnsi="Arial" w:hint="default"/>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A50056"/>
    <w:multiLevelType w:val="multilevel"/>
    <w:tmpl w:val="0AAE1EBA"/>
    <w:numStyleLink w:val="ZZNumbersloweralpha"/>
  </w:abstractNum>
  <w:abstractNum w:abstractNumId="5" w15:restartNumberingAfterBreak="0">
    <w:nsid w:val="03DD64DA"/>
    <w:multiLevelType w:val="hybridMultilevel"/>
    <w:tmpl w:val="9E46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1F3826"/>
    <w:multiLevelType w:val="multilevel"/>
    <w:tmpl w:val="7D94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9712D0"/>
    <w:multiLevelType w:val="multilevel"/>
    <w:tmpl w:val="A4B416C4"/>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5A54B91"/>
    <w:multiLevelType w:val="multilevel"/>
    <w:tmpl w:val="9AF078D0"/>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69242A"/>
    <w:multiLevelType w:val="multilevel"/>
    <w:tmpl w:val="0CB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2C5E8C"/>
    <w:multiLevelType w:val="hybridMultilevel"/>
    <w:tmpl w:val="F1FA9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6DC74"/>
    <w:multiLevelType w:val="multilevel"/>
    <w:tmpl w:val="3D52BF0C"/>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8D43DB"/>
    <w:multiLevelType w:val="multilevel"/>
    <w:tmpl w:val="B33A2DBC"/>
    <w:numStyleLink w:val="ZZNumbersdigit"/>
  </w:abstractNum>
  <w:abstractNum w:abstractNumId="1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DB802DA"/>
    <w:multiLevelType w:val="multilevel"/>
    <w:tmpl w:val="AA5E61C0"/>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7E7C8C"/>
    <w:multiLevelType w:val="multilevel"/>
    <w:tmpl w:val="9DEA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D16C28"/>
    <w:multiLevelType w:val="multilevel"/>
    <w:tmpl w:val="147E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3D6CE7"/>
    <w:multiLevelType w:val="hybridMultilevel"/>
    <w:tmpl w:val="30E6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2E21B2"/>
    <w:multiLevelType w:val="hybridMultilevel"/>
    <w:tmpl w:val="68C0260E"/>
    <w:lvl w:ilvl="0" w:tplc="28EAE906">
      <w:start w:val="1"/>
      <w:numFmt w:val="bullet"/>
      <w:lvlText w:val="·"/>
      <w:lvlJc w:val="left"/>
      <w:pPr>
        <w:ind w:left="720" w:hanging="360"/>
      </w:pPr>
      <w:rPr>
        <w:rFonts w:ascii="Symbol" w:hAnsi="Symbol" w:hint="default"/>
      </w:rPr>
    </w:lvl>
    <w:lvl w:ilvl="1" w:tplc="429CE364">
      <w:start w:val="1"/>
      <w:numFmt w:val="bullet"/>
      <w:lvlText w:val="o"/>
      <w:lvlJc w:val="left"/>
      <w:pPr>
        <w:ind w:left="1440" w:hanging="360"/>
      </w:pPr>
      <w:rPr>
        <w:rFonts w:ascii="Courier New" w:hAnsi="Courier New" w:hint="default"/>
      </w:rPr>
    </w:lvl>
    <w:lvl w:ilvl="2" w:tplc="2FF09B50">
      <w:start w:val="1"/>
      <w:numFmt w:val="bullet"/>
      <w:lvlText w:val=""/>
      <w:lvlJc w:val="left"/>
      <w:pPr>
        <w:ind w:left="2160" w:hanging="360"/>
      </w:pPr>
      <w:rPr>
        <w:rFonts w:ascii="Wingdings" w:hAnsi="Wingdings" w:hint="default"/>
      </w:rPr>
    </w:lvl>
    <w:lvl w:ilvl="3" w:tplc="BA1EA966">
      <w:start w:val="1"/>
      <w:numFmt w:val="bullet"/>
      <w:lvlText w:val=""/>
      <w:lvlJc w:val="left"/>
      <w:pPr>
        <w:ind w:left="2880" w:hanging="360"/>
      </w:pPr>
      <w:rPr>
        <w:rFonts w:ascii="Symbol" w:hAnsi="Symbol" w:hint="default"/>
      </w:rPr>
    </w:lvl>
    <w:lvl w:ilvl="4" w:tplc="2CB8DD74">
      <w:start w:val="1"/>
      <w:numFmt w:val="bullet"/>
      <w:lvlText w:val="o"/>
      <w:lvlJc w:val="left"/>
      <w:pPr>
        <w:ind w:left="3600" w:hanging="360"/>
      </w:pPr>
      <w:rPr>
        <w:rFonts w:ascii="Courier New" w:hAnsi="Courier New" w:hint="default"/>
      </w:rPr>
    </w:lvl>
    <w:lvl w:ilvl="5" w:tplc="25AC9D9E">
      <w:start w:val="1"/>
      <w:numFmt w:val="bullet"/>
      <w:lvlText w:val=""/>
      <w:lvlJc w:val="left"/>
      <w:pPr>
        <w:ind w:left="4320" w:hanging="360"/>
      </w:pPr>
      <w:rPr>
        <w:rFonts w:ascii="Wingdings" w:hAnsi="Wingdings" w:hint="default"/>
      </w:rPr>
    </w:lvl>
    <w:lvl w:ilvl="6" w:tplc="45DEC02A">
      <w:start w:val="1"/>
      <w:numFmt w:val="bullet"/>
      <w:lvlText w:val=""/>
      <w:lvlJc w:val="left"/>
      <w:pPr>
        <w:ind w:left="5040" w:hanging="360"/>
      </w:pPr>
      <w:rPr>
        <w:rFonts w:ascii="Symbol" w:hAnsi="Symbol" w:hint="default"/>
      </w:rPr>
    </w:lvl>
    <w:lvl w:ilvl="7" w:tplc="86469052">
      <w:start w:val="1"/>
      <w:numFmt w:val="bullet"/>
      <w:lvlText w:val="o"/>
      <w:lvlJc w:val="left"/>
      <w:pPr>
        <w:ind w:left="5760" w:hanging="360"/>
      </w:pPr>
      <w:rPr>
        <w:rFonts w:ascii="Courier New" w:hAnsi="Courier New" w:hint="default"/>
      </w:rPr>
    </w:lvl>
    <w:lvl w:ilvl="8" w:tplc="3DA2FECC">
      <w:start w:val="1"/>
      <w:numFmt w:val="bullet"/>
      <w:lvlText w:val=""/>
      <w:lvlJc w:val="left"/>
      <w:pPr>
        <w:ind w:left="6480" w:hanging="360"/>
      </w:pPr>
      <w:rPr>
        <w:rFonts w:ascii="Wingdings" w:hAnsi="Wingdings" w:hint="default"/>
      </w:rPr>
    </w:lvl>
  </w:abstractNum>
  <w:abstractNum w:abstractNumId="19" w15:restartNumberingAfterBreak="0">
    <w:nsid w:val="17501CF7"/>
    <w:multiLevelType w:val="multilevel"/>
    <w:tmpl w:val="E602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5502D4"/>
    <w:multiLevelType w:val="multilevel"/>
    <w:tmpl w:val="3968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46009A"/>
    <w:multiLevelType w:val="hybridMultilevel"/>
    <w:tmpl w:val="70701434"/>
    <w:lvl w:ilvl="0" w:tplc="C33200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308BFA"/>
    <w:multiLevelType w:val="multilevel"/>
    <w:tmpl w:val="99D62306"/>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D0AC7"/>
    <w:multiLevelType w:val="multilevel"/>
    <w:tmpl w:val="4946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BE217E"/>
    <w:multiLevelType w:val="multilevel"/>
    <w:tmpl w:val="26B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541D97"/>
    <w:multiLevelType w:val="hybridMultilevel"/>
    <w:tmpl w:val="ADB0B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744D75"/>
    <w:multiLevelType w:val="multilevel"/>
    <w:tmpl w:val="AC26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983137"/>
    <w:multiLevelType w:val="multilevel"/>
    <w:tmpl w:val="8076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CB3302"/>
    <w:multiLevelType w:val="multilevel"/>
    <w:tmpl w:val="610218AC"/>
    <w:lvl w:ilvl="0">
      <w:start w:val="1"/>
      <w:numFmt w:val="lowerRoman"/>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25E3E3A1"/>
    <w:multiLevelType w:val="hybridMultilevel"/>
    <w:tmpl w:val="0714EF92"/>
    <w:lvl w:ilvl="0" w:tplc="3E906398">
      <w:start w:val="1"/>
      <w:numFmt w:val="bullet"/>
      <w:lvlText w:val="·"/>
      <w:lvlJc w:val="left"/>
      <w:pPr>
        <w:ind w:left="720" w:hanging="360"/>
      </w:pPr>
      <w:rPr>
        <w:rFonts w:ascii="Symbol" w:hAnsi="Symbol" w:hint="default"/>
      </w:rPr>
    </w:lvl>
    <w:lvl w:ilvl="1" w:tplc="2A2409F4">
      <w:start w:val="1"/>
      <w:numFmt w:val="bullet"/>
      <w:lvlText w:val="o"/>
      <w:lvlJc w:val="left"/>
      <w:pPr>
        <w:ind w:left="1440" w:hanging="360"/>
      </w:pPr>
      <w:rPr>
        <w:rFonts w:ascii="Courier New" w:hAnsi="Courier New" w:hint="default"/>
      </w:rPr>
    </w:lvl>
    <w:lvl w:ilvl="2" w:tplc="2682ABF0">
      <w:start w:val="1"/>
      <w:numFmt w:val="bullet"/>
      <w:lvlText w:val=""/>
      <w:lvlJc w:val="left"/>
      <w:pPr>
        <w:ind w:left="2160" w:hanging="360"/>
      </w:pPr>
      <w:rPr>
        <w:rFonts w:ascii="Wingdings" w:hAnsi="Wingdings" w:hint="default"/>
      </w:rPr>
    </w:lvl>
    <w:lvl w:ilvl="3" w:tplc="AA36618E">
      <w:start w:val="1"/>
      <w:numFmt w:val="bullet"/>
      <w:lvlText w:val=""/>
      <w:lvlJc w:val="left"/>
      <w:pPr>
        <w:ind w:left="2880" w:hanging="360"/>
      </w:pPr>
      <w:rPr>
        <w:rFonts w:ascii="Symbol" w:hAnsi="Symbol" w:hint="default"/>
      </w:rPr>
    </w:lvl>
    <w:lvl w:ilvl="4" w:tplc="DF988528">
      <w:start w:val="1"/>
      <w:numFmt w:val="bullet"/>
      <w:lvlText w:val="o"/>
      <w:lvlJc w:val="left"/>
      <w:pPr>
        <w:ind w:left="3600" w:hanging="360"/>
      </w:pPr>
      <w:rPr>
        <w:rFonts w:ascii="Courier New" w:hAnsi="Courier New" w:hint="default"/>
      </w:rPr>
    </w:lvl>
    <w:lvl w:ilvl="5" w:tplc="F0DA8C40">
      <w:start w:val="1"/>
      <w:numFmt w:val="bullet"/>
      <w:lvlText w:val=""/>
      <w:lvlJc w:val="left"/>
      <w:pPr>
        <w:ind w:left="4320" w:hanging="360"/>
      </w:pPr>
      <w:rPr>
        <w:rFonts w:ascii="Wingdings" w:hAnsi="Wingdings" w:hint="default"/>
      </w:rPr>
    </w:lvl>
    <w:lvl w:ilvl="6" w:tplc="0C1A8EC4">
      <w:start w:val="1"/>
      <w:numFmt w:val="bullet"/>
      <w:lvlText w:val=""/>
      <w:lvlJc w:val="left"/>
      <w:pPr>
        <w:ind w:left="5040" w:hanging="360"/>
      </w:pPr>
      <w:rPr>
        <w:rFonts w:ascii="Symbol" w:hAnsi="Symbol" w:hint="default"/>
      </w:rPr>
    </w:lvl>
    <w:lvl w:ilvl="7" w:tplc="78C2472C">
      <w:start w:val="1"/>
      <w:numFmt w:val="bullet"/>
      <w:lvlText w:val="o"/>
      <w:lvlJc w:val="left"/>
      <w:pPr>
        <w:ind w:left="5760" w:hanging="360"/>
      </w:pPr>
      <w:rPr>
        <w:rFonts w:ascii="Courier New" w:hAnsi="Courier New" w:hint="default"/>
      </w:rPr>
    </w:lvl>
    <w:lvl w:ilvl="8" w:tplc="E8AA3EFC">
      <w:start w:val="1"/>
      <w:numFmt w:val="bullet"/>
      <w:lvlText w:val=""/>
      <w:lvlJc w:val="left"/>
      <w:pPr>
        <w:ind w:left="6480" w:hanging="360"/>
      </w:pPr>
      <w:rPr>
        <w:rFonts w:ascii="Wingdings" w:hAnsi="Wingdings" w:hint="default"/>
      </w:rPr>
    </w:lvl>
  </w:abstractNum>
  <w:abstractNum w:abstractNumId="30" w15:restartNumberingAfterBreak="0">
    <w:nsid w:val="28CFAEF2"/>
    <w:multiLevelType w:val="hybridMultilevel"/>
    <w:tmpl w:val="FFFFFFFF"/>
    <w:lvl w:ilvl="0" w:tplc="F266C448">
      <w:start w:val="1"/>
      <w:numFmt w:val="bullet"/>
      <w:lvlText w:val=""/>
      <w:lvlJc w:val="left"/>
      <w:pPr>
        <w:ind w:left="720" w:hanging="360"/>
      </w:pPr>
      <w:rPr>
        <w:rFonts w:ascii="Symbol" w:hAnsi="Symbol" w:hint="default"/>
      </w:rPr>
    </w:lvl>
    <w:lvl w:ilvl="1" w:tplc="71902230">
      <w:start w:val="1"/>
      <w:numFmt w:val="bullet"/>
      <w:lvlText w:val="o"/>
      <w:lvlJc w:val="left"/>
      <w:pPr>
        <w:ind w:left="1440" w:hanging="360"/>
      </w:pPr>
      <w:rPr>
        <w:rFonts w:ascii="Courier New" w:hAnsi="Courier New" w:hint="default"/>
      </w:rPr>
    </w:lvl>
    <w:lvl w:ilvl="2" w:tplc="D834EA48">
      <w:start w:val="1"/>
      <w:numFmt w:val="bullet"/>
      <w:lvlText w:val=""/>
      <w:lvlJc w:val="left"/>
      <w:pPr>
        <w:ind w:left="2160" w:hanging="360"/>
      </w:pPr>
      <w:rPr>
        <w:rFonts w:ascii="Wingdings" w:hAnsi="Wingdings" w:hint="default"/>
      </w:rPr>
    </w:lvl>
    <w:lvl w:ilvl="3" w:tplc="4B488730">
      <w:start w:val="1"/>
      <w:numFmt w:val="bullet"/>
      <w:lvlText w:val=""/>
      <w:lvlJc w:val="left"/>
      <w:pPr>
        <w:ind w:left="2880" w:hanging="360"/>
      </w:pPr>
      <w:rPr>
        <w:rFonts w:ascii="Symbol" w:hAnsi="Symbol" w:hint="default"/>
      </w:rPr>
    </w:lvl>
    <w:lvl w:ilvl="4" w:tplc="A1DAC2C2">
      <w:start w:val="1"/>
      <w:numFmt w:val="bullet"/>
      <w:lvlText w:val="o"/>
      <w:lvlJc w:val="left"/>
      <w:pPr>
        <w:ind w:left="3600" w:hanging="360"/>
      </w:pPr>
      <w:rPr>
        <w:rFonts w:ascii="Courier New" w:hAnsi="Courier New" w:hint="default"/>
      </w:rPr>
    </w:lvl>
    <w:lvl w:ilvl="5" w:tplc="2A2AE68E">
      <w:start w:val="1"/>
      <w:numFmt w:val="bullet"/>
      <w:lvlText w:val=""/>
      <w:lvlJc w:val="left"/>
      <w:pPr>
        <w:ind w:left="4320" w:hanging="360"/>
      </w:pPr>
      <w:rPr>
        <w:rFonts w:ascii="Wingdings" w:hAnsi="Wingdings" w:hint="default"/>
      </w:rPr>
    </w:lvl>
    <w:lvl w:ilvl="6" w:tplc="69988D10">
      <w:start w:val="1"/>
      <w:numFmt w:val="bullet"/>
      <w:lvlText w:val=""/>
      <w:lvlJc w:val="left"/>
      <w:pPr>
        <w:ind w:left="5040" w:hanging="360"/>
      </w:pPr>
      <w:rPr>
        <w:rFonts w:ascii="Symbol" w:hAnsi="Symbol" w:hint="default"/>
      </w:rPr>
    </w:lvl>
    <w:lvl w:ilvl="7" w:tplc="17EC2E9E">
      <w:start w:val="1"/>
      <w:numFmt w:val="bullet"/>
      <w:lvlText w:val="o"/>
      <w:lvlJc w:val="left"/>
      <w:pPr>
        <w:ind w:left="5760" w:hanging="360"/>
      </w:pPr>
      <w:rPr>
        <w:rFonts w:ascii="Courier New" w:hAnsi="Courier New" w:hint="default"/>
      </w:rPr>
    </w:lvl>
    <w:lvl w:ilvl="8" w:tplc="E1B2232C">
      <w:start w:val="1"/>
      <w:numFmt w:val="bullet"/>
      <w:lvlText w:val=""/>
      <w:lvlJc w:val="left"/>
      <w:pPr>
        <w:ind w:left="6480" w:hanging="360"/>
      </w:pPr>
      <w:rPr>
        <w:rFonts w:ascii="Wingdings" w:hAnsi="Wingdings" w:hint="default"/>
      </w:rPr>
    </w:lvl>
  </w:abstractNum>
  <w:abstractNum w:abstractNumId="31" w15:restartNumberingAfterBreak="0">
    <w:nsid w:val="293F216D"/>
    <w:multiLevelType w:val="multilevel"/>
    <w:tmpl w:val="198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356B4A"/>
    <w:multiLevelType w:val="hybridMultilevel"/>
    <w:tmpl w:val="3EE0A170"/>
    <w:lvl w:ilvl="0" w:tplc="D0C0EFF4">
      <w:start w:val="1"/>
      <w:numFmt w:val="bullet"/>
      <w:lvlText w:val="·"/>
      <w:lvlJc w:val="left"/>
      <w:pPr>
        <w:ind w:left="720" w:hanging="360"/>
      </w:pPr>
      <w:rPr>
        <w:rFonts w:ascii="Symbol" w:hAnsi="Symbol" w:hint="default"/>
      </w:rPr>
    </w:lvl>
    <w:lvl w:ilvl="1" w:tplc="F2E00264">
      <w:start w:val="1"/>
      <w:numFmt w:val="bullet"/>
      <w:lvlText w:val="o"/>
      <w:lvlJc w:val="left"/>
      <w:pPr>
        <w:ind w:left="1440" w:hanging="360"/>
      </w:pPr>
      <w:rPr>
        <w:rFonts w:ascii="Courier New" w:hAnsi="Courier New" w:hint="default"/>
      </w:rPr>
    </w:lvl>
    <w:lvl w:ilvl="2" w:tplc="1F3EF09E">
      <w:start w:val="1"/>
      <w:numFmt w:val="bullet"/>
      <w:lvlText w:val=""/>
      <w:lvlJc w:val="left"/>
      <w:pPr>
        <w:ind w:left="2160" w:hanging="360"/>
      </w:pPr>
      <w:rPr>
        <w:rFonts w:ascii="Wingdings" w:hAnsi="Wingdings" w:hint="default"/>
      </w:rPr>
    </w:lvl>
    <w:lvl w:ilvl="3" w:tplc="84D0C6F2">
      <w:start w:val="1"/>
      <w:numFmt w:val="bullet"/>
      <w:lvlText w:val=""/>
      <w:lvlJc w:val="left"/>
      <w:pPr>
        <w:ind w:left="2880" w:hanging="360"/>
      </w:pPr>
      <w:rPr>
        <w:rFonts w:ascii="Symbol" w:hAnsi="Symbol" w:hint="default"/>
      </w:rPr>
    </w:lvl>
    <w:lvl w:ilvl="4" w:tplc="B7E692CE">
      <w:start w:val="1"/>
      <w:numFmt w:val="bullet"/>
      <w:lvlText w:val="o"/>
      <w:lvlJc w:val="left"/>
      <w:pPr>
        <w:ind w:left="3600" w:hanging="360"/>
      </w:pPr>
      <w:rPr>
        <w:rFonts w:ascii="Courier New" w:hAnsi="Courier New" w:hint="default"/>
      </w:rPr>
    </w:lvl>
    <w:lvl w:ilvl="5" w:tplc="6F521C3E">
      <w:start w:val="1"/>
      <w:numFmt w:val="bullet"/>
      <w:lvlText w:val=""/>
      <w:lvlJc w:val="left"/>
      <w:pPr>
        <w:ind w:left="4320" w:hanging="360"/>
      </w:pPr>
      <w:rPr>
        <w:rFonts w:ascii="Wingdings" w:hAnsi="Wingdings" w:hint="default"/>
      </w:rPr>
    </w:lvl>
    <w:lvl w:ilvl="6" w:tplc="FEDA922A">
      <w:start w:val="1"/>
      <w:numFmt w:val="bullet"/>
      <w:lvlText w:val=""/>
      <w:lvlJc w:val="left"/>
      <w:pPr>
        <w:ind w:left="5040" w:hanging="360"/>
      </w:pPr>
      <w:rPr>
        <w:rFonts w:ascii="Symbol" w:hAnsi="Symbol" w:hint="default"/>
      </w:rPr>
    </w:lvl>
    <w:lvl w:ilvl="7" w:tplc="C3983100">
      <w:start w:val="1"/>
      <w:numFmt w:val="bullet"/>
      <w:lvlText w:val="o"/>
      <w:lvlJc w:val="left"/>
      <w:pPr>
        <w:ind w:left="5760" w:hanging="360"/>
      </w:pPr>
      <w:rPr>
        <w:rFonts w:ascii="Courier New" w:hAnsi="Courier New" w:hint="default"/>
      </w:rPr>
    </w:lvl>
    <w:lvl w:ilvl="8" w:tplc="54B2C082">
      <w:start w:val="1"/>
      <w:numFmt w:val="bullet"/>
      <w:lvlText w:val=""/>
      <w:lvlJc w:val="left"/>
      <w:pPr>
        <w:ind w:left="6480" w:hanging="360"/>
      </w:pPr>
      <w:rPr>
        <w:rFonts w:ascii="Wingdings" w:hAnsi="Wingdings" w:hint="default"/>
      </w:rPr>
    </w:lvl>
  </w:abstractNum>
  <w:abstractNum w:abstractNumId="33" w15:restartNumberingAfterBreak="0">
    <w:nsid w:val="302E1B68"/>
    <w:multiLevelType w:val="multilevel"/>
    <w:tmpl w:val="3B70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351581"/>
    <w:multiLevelType w:val="multilevel"/>
    <w:tmpl w:val="47CA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E50A80"/>
    <w:multiLevelType w:val="hybridMultilevel"/>
    <w:tmpl w:val="0D18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104BE2"/>
    <w:multiLevelType w:val="multilevel"/>
    <w:tmpl w:val="B8E0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694E18"/>
    <w:multiLevelType w:val="multilevel"/>
    <w:tmpl w:val="6508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56356CD"/>
    <w:multiLevelType w:val="multilevel"/>
    <w:tmpl w:val="8190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637074"/>
    <w:multiLevelType w:val="multilevel"/>
    <w:tmpl w:val="AF3A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4661AC"/>
    <w:multiLevelType w:val="hybridMultilevel"/>
    <w:tmpl w:val="084A4A8A"/>
    <w:lvl w:ilvl="0" w:tplc="0B44B57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3A6E3D9D"/>
    <w:multiLevelType w:val="multilevel"/>
    <w:tmpl w:val="770443AA"/>
    <w:lvl w:ilvl="0">
      <w:start w:val="1"/>
      <w:numFmt w:val="lowerRoman"/>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3ABB5166"/>
    <w:multiLevelType w:val="multilevel"/>
    <w:tmpl w:val="EE4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EF2191"/>
    <w:multiLevelType w:val="multilevel"/>
    <w:tmpl w:val="FD6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441F1B77"/>
    <w:multiLevelType w:val="multilevel"/>
    <w:tmpl w:val="94C6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2C3E22"/>
    <w:multiLevelType w:val="hybridMultilevel"/>
    <w:tmpl w:val="B1C8C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11FE66"/>
    <w:multiLevelType w:val="multilevel"/>
    <w:tmpl w:val="1AF46B4E"/>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3668D3"/>
    <w:multiLevelType w:val="multilevel"/>
    <w:tmpl w:val="68D0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9E3481E"/>
    <w:multiLevelType w:val="multilevel"/>
    <w:tmpl w:val="CA9C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E5425E6"/>
    <w:multiLevelType w:val="multilevel"/>
    <w:tmpl w:val="5BA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567B04"/>
    <w:multiLevelType w:val="multilevel"/>
    <w:tmpl w:val="5A1A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F507C80"/>
    <w:multiLevelType w:val="hybridMultilevel"/>
    <w:tmpl w:val="A1EED610"/>
    <w:lvl w:ilvl="0" w:tplc="D902C176">
      <w:start w:val="1"/>
      <w:numFmt w:val="bullet"/>
      <w:lvlText w:val="○"/>
      <w:lvlJc w:val="left"/>
      <w:pPr>
        <w:ind w:left="947" w:hanging="360"/>
      </w:pPr>
      <w:rPr>
        <w:rFonts w:ascii="Arial" w:hAnsi="Arial" w:hint="default"/>
        <w:sz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01328F3"/>
    <w:multiLevelType w:val="hybridMultilevel"/>
    <w:tmpl w:val="7422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07BD6FA"/>
    <w:multiLevelType w:val="multilevel"/>
    <w:tmpl w:val="85EC38F8"/>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631C6A"/>
    <w:multiLevelType w:val="multilevel"/>
    <w:tmpl w:val="76C83F36"/>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29E38A5"/>
    <w:multiLevelType w:val="multilevel"/>
    <w:tmpl w:val="E1F89F68"/>
    <w:lvl w:ilvl="0">
      <w:start w:val="1"/>
      <w:numFmt w:val="lowerRoman"/>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5375089B"/>
    <w:multiLevelType w:val="multilevel"/>
    <w:tmpl w:val="3306B968"/>
    <w:lvl w:ilvl="0">
      <w:start w:val="1"/>
      <w:numFmt w:val="bullet"/>
      <w:lvlText w:val="›"/>
      <w:lvlJc w:val="left"/>
      <w:pPr>
        <w:ind w:left="227" w:hanging="227"/>
      </w:pPr>
      <w:rPr>
        <w:rFonts w:ascii="Arial" w:hAnsi="Arial" w:hint="default"/>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41611C2"/>
    <w:multiLevelType w:val="multilevel"/>
    <w:tmpl w:val="B5D075BE"/>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0" w15:restartNumberingAfterBreak="0">
    <w:nsid w:val="54BA1E5A"/>
    <w:multiLevelType w:val="multilevel"/>
    <w:tmpl w:val="0C1E48DC"/>
    <w:styleLink w:val="ZZBullets"/>
    <w:lvl w:ilvl="0">
      <w:start w:val="1"/>
      <w:numFmt w:val="lowerRoman"/>
      <w:pStyle w:val="Bullet1"/>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588D6437"/>
    <w:multiLevelType w:val="hybridMultilevel"/>
    <w:tmpl w:val="D2E8A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1A53425"/>
    <w:multiLevelType w:val="hybridMultilevel"/>
    <w:tmpl w:val="E012A7D8"/>
    <w:lvl w:ilvl="0" w:tplc="BBDC5D54">
      <w:start w:val="1"/>
      <w:numFmt w:val="upperLetter"/>
      <w:lvlText w:val="%1)"/>
      <w:lvlJc w:val="left"/>
      <w:pPr>
        <w:ind w:left="720" w:hanging="360"/>
      </w:pPr>
    </w:lvl>
    <w:lvl w:ilvl="1" w:tplc="D3808C58">
      <w:start w:val="1"/>
      <w:numFmt w:val="lowerLetter"/>
      <w:lvlText w:val="%2."/>
      <w:lvlJc w:val="left"/>
      <w:pPr>
        <w:ind w:left="1440" w:hanging="360"/>
      </w:pPr>
    </w:lvl>
    <w:lvl w:ilvl="2" w:tplc="AA3A19CA">
      <w:start w:val="1"/>
      <w:numFmt w:val="lowerRoman"/>
      <w:lvlText w:val="%3."/>
      <w:lvlJc w:val="right"/>
      <w:pPr>
        <w:ind w:left="2160" w:hanging="180"/>
      </w:pPr>
    </w:lvl>
    <w:lvl w:ilvl="3" w:tplc="98EABE72">
      <w:start w:val="1"/>
      <w:numFmt w:val="decimal"/>
      <w:lvlText w:val="%4."/>
      <w:lvlJc w:val="left"/>
      <w:pPr>
        <w:ind w:left="2880" w:hanging="360"/>
      </w:pPr>
    </w:lvl>
    <w:lvl w:ilvl="4" w:tplc="CB6A527A">
      <w:start w:val="1"/>
      <w:numFmt w:val="lowerLetter"/>
      <w:lvlText w:val="%5."/>
      <w:lvlJc w:val="left"/>
      <w:pPr>
        <w:ind w:left="3600" w:hanging="360"/>
      </w:pPr>
    </w:lvl>
    <w:lvl w:ilvl="5" w:tplc="79D2E84A">
      <w:start w:val="1"/>
      <w:numFmt w:val="lowerRoman"/>
      <w:lvlText w:val="%6."/>
      <w:lvlJc w:val="right"/>
      <w:pPr>
        <w:ind w:left="4320" w:hanging="180"/>
      </w:pPr>
    </w:lvl>
    <w:lvl w:ilvl="6" w:tplc="227C5ED6">
      <w:start w:val="1"/>
      <w:numFmt w:val="decimal"/>
      <w:lvlText w:val="%7."/>
      <w:lvlJc w:val="left"/>
      <w:pPr>
        <w:ind w:left="5040" w:hanging="360"/>
      </w:pPr>
    </w:lvl>
    <w:lvl w:ilvl="7" w:tplc="C1520EDA">
      <w:start w:val="1"/>
      <w:numFmt w:val="lowerLetter"/>
      <w:lvlText w:val="%8."/>
      <w:lvlJc w:val="left"/>
      <w:pPr>
        <w:ind w:left="5760" w:hanging="360"/>
      </w:pPr>
    </w:lvl>
    <w:lvl w:ilvl="8" w:tplc="3D6E3676">
      <w:start w:val="1"/>
      <w:numFmt w:val="lowerRoman"/>
      <w:lvlText w:val="%9."/>
      <w:lvlJc w:val="right"/>
      <w:pPr>
        <w:ind w:left="6480" w:hanging="180"/>
      </w:pPr>
    </w:lvl>
  </w:abstractNum>
  <w:abstractNum w:abstractNumId="63" w15:restartNumberingAfterBreak="0">
    <w:nsid w:val="62D0FB32"/>
    <w:multiLevelType w:val="multilevel"/>
    <w:tmpl w:val="2DFA24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652F1A32"/>
    <w:multiLevelType w:val="multilevel"/>
    <w:tmpl w:val="FD24FA9C"/>
    <w:lvl w:ilvl="0">
      <w:start w:val="1"/>
      <w:numFmt w:val="lowerRoman"/>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6" w15:restartNumberingAfterBreak="0">
    <w:nsid w:val="6592C7CA"/>
    <w:multiLevelType w:val="multilevel"/>
    <w:tmpl w:val="C27A6928"/>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5BB7301"/>
    <w:multiLevelType w:val="multilevel"/>
    <w:tmpl w:val="8D58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3722B6"/>
    <w:multiLevelType w:val="multilevel"/>
    <w:tmpl w:val="445E4F9C"/>
    <w:lvl w:ilvl="0">
      <w:start w:val="1"/>
      <w:numFmt w:val="bullet"/>
      <w:pStyle w:val="Bullet2"/>
      <w:lvlText w:val="○"/>
      <w:lvlJc w:val="left"/>
      <w:pPr>
        <w:ind w:left="227" w:hanging="227"/>
      </w:pPr>
      <w:rPr>
        <w:rFonts w:ascii="Arial" w:hAnsi="Arial" w:hint="default"/>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97E746F"/>
    <w:multiLevelType w:val="multilevel"/>
    <w:tmpl w:val="822E9B28"/>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B491BCB"/>
    <w:multiLevelType w:val="hybridMultilevel"/>
    <w:tmpl w:val="C08E8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3CB069D"/>
    <w:multiLevelType w:val="hybridMultilevel"/>
    <w:tmpl w:val="F0523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6F43C3D"/>
    <w:multiLevelType w:val="multilevel"/>
    <w:tmpl w:val="5A1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ADD3CBA"/>
    <w:multiLevelType w:val="hybridMultilevel"/>
    <w:tmpl w:val="D460E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610DEE"/>
    <w:multiLevelType w:val="multilevel"/>
    <w:tmpl w:val="14D8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131077">
    <w:abstractNumId w:val="29"/>
  </w:num>
  <w:num w:numId="2" w16cid:durableId="303237163">
    <w:abstractNumId w:val="32"/>
  </w:num>
  <w:num w:numId="3" w16cid:durableId="991983457">
    <w:abstractNumId w:val="62"/>
  </w:num>
  <w:num w:numId="4" w16cid:durableId="1700931657">
    <w:abstractNumId w:val="18"/>
  </w:num>
  <w:num w:numId="5" w16cid:durableId="1581135472">
    <w:abstractNumId w:val="55"/>
  </w:num>
  <w:num w:numId="6" w16cid:durableId="908348793">
    <w:abstractNumId w:val="44"/>
  </w:num>
  <w:num w:numId="7" w16cid:durableId="1449079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714392">
    <w:abstractNumId w:val="60"/>
  </w:num>
  <w:num w:numId="9" w16cid:durableId="96829322">
    <w:abstractNumId w:val="59"/>
    <w:lvlOverride w:ilvl="0">
      <w:lvl w:ilvl="0">
        <w:start w:val="1"/>
        <w:numFmt w:val="bullet"/>
        <w:pStyle w:val="Tablebullet1"/>
        <w:lvlText w:val="•"/>
        <w:lvlJc w:val="left"/>
        <w:pPr>
          <w:ind w:left="227" w:hanging="227"/>
        </w:pPr>
        <w:rPr>
          <w:rFonts w:ascii="Calibri" w:hAnsi="Calibri" w:hint="default"/>
        </w:rPr>
      </w:lvl>
    </w:lvlOverride>
    <w:lvlOverride w:ilvl="1">
      <w:lvl w:ilvl="1">
        <w:start w:val="1"/>
        <w:numFmt w:val="bullet"/>
        <w:lvlRestart w:val="0"/>
        <w:pStyle w:val="Tablebullet2"/>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0" w16cid:durableId="47732189">
    <w:abstractNumId w:val="64"/>
  </w:num>
  <w:num w:numId="11" w16cid:durableId="824511810">
    <w:abstractNumId w:val="45"/>
  </w:num>
  <w:num w:numId="12" w16cid:durableId="35391982">
    <w:abstractNumId w:val="13"/>
  </w:num>
  <w:num w:numId="13" w16cid:durableId="1585991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496677">
    <w:abstractNumId w:val="36"/>
  </w:num>
  <w:num w:numId="15" w16cid:durableId="99378900">
    <w:abstractNumId w:val="35"/>
  </w:num>
  <w:num w:numId="16" w16cid:durableId="758452957">
    <w:abstractNumId w:val="61"/>
  </w:num>
  <w:num w:numId="17" w16cid:durableId="577641827">
    <w:abstractNumId w:val="0"/>
  </w:num>
  <w:num w:numId="18" w16cid:durableId="1424448710">
    <w:abstractNumId w:val="66"/>
  </w:num>
  <w:num w:numId="19" w16cid:durableId="529994328">
    <w:abstractNumId w:val="22"/>
  </w:num>
  <w:num w:numId="20" w16cid:durableId="817117422">
    <w:abstractNumId w:val="11"/>
  </w:num>
  <w:num w:numId="21" w16cid:durableId="1160776809">
    <w:abstractNumId w:val="69"/>
  </w:num>
  <w:num w:numId="22" w16cid:durableId="57478010">
    <w:abstractNumId w:val="1"/>
  </w:num>
  <w:num w:numId="23" w16cid:durableId="871039276">
    <w:abstractNumId w:val="63"/>
  </w:num>
  <w:num w:numId="24" w16cid:durableId="1996451822">
    <w:abstractNumId w:val="56"/>
  </w:num>
  <w:num w:numId="25" w16cid:durableId="294145513">
    <w:abstractNumId w:val="14"/>
  </w:num>
  <w:num w:numId="26" w16cid:durableId="1614290304">
    <w:abstractNumId w:val="48"/>
  </w:num>
  <w:num w:numId="27" w16cid:durableId="1833451873">
    <w:abstractNumId w:val="49"/>
  </w:num>
  <w:num w:numId="28" w16cid:durableId="1108041945">
    <w:abstractNumId w:val="42"/>
  </w:num>
  <w:num w:numId="29" w16cid:durableId="1594121462">
    <w:abstractNumId w:val="37"/>
  </w:num>
  <w:num w:numId="30" w16cid:durableId="1453398898">
    <w:abstractNumId w:val="15"/>
  </w:num>
  <w:num w:numId="31" w16cid:durableId="1661423125">
    <w:abstractNumId w:val="50"/>
  </w:num>
  <w:num w:numId="32" w16cid:durableId="1138382062">
    <w:abstractNumId w:val="51"/>
  </w:num>
  <w:num w:numId="33" w16cid:durableId="1203321427">
    <w:abstractNumId w:val="23"/>
  </w:num>
  <w:num w:numId="34" w16cid:durableId="2079280562">
    <w:abstractNumId w:val="52"/>
  </w:num>
  <w:num w:numId="35" w16cid:durableId="1602756122">
    <w:abstractNumId w:val="74"/>
  </w:num>
  <w:num w:numId="36" w16cid:durableId="915625195">
    <w:abstractNumId w:val="46"/>
  </w:num>
  <w:num w:numId="37" w16cid:durableId="1381632327">
    <w:abstractNumId w:val="19"/>
  </w:num>
  <w:num w:numId="38" w16cid:durableId="204104130">
    <w:abstractNumId w:val="34"/>
  </w:num>
  <w:num w:numId="39" w16cid:durableId="1622880567">
    <w:abstractNumId w:val="24"/>
  </w:num>
  <w:num w:numId="40" w16cid:durableId="695277136">
    <w:abstractNumId w:val="2"/>
  </w:num>
  <w:num w:numId="41" w16cid:durableId="1004672898">
    <w:abstractNumId w:val="72"/>
  </w:num>
  <w:num w:numId="42" w16cid:durableId="1776899164">
    <w:abstractNumId w:val="26"/>
  </w:num>
  <w:num w:numId="43" w16cid:durableId="1766731005">
    <w:abstractNumId w:val="16"/>
  </w:num>
  <w:num w:numId="44" w16cid:durableId="1492867999">
    <w:abstractNumId w:val="20"/>
  </w:num>
  <w:num w:numId="45" w16cid:durableId="431511535">
    <w:abstractNumId w:val="9"/>
  </w:num>
  <w:num w:numId="46" w16cid:durableId="636109459">
    <w:abstractNumId w:val="39"/>
  </w:num>
  <w:num w:numId="47" w16cid:durableId="1240942776">
    <w:abstractNumId w:val="43"/>
  </w:num>
  <w:num w:numId="48" w16cid:durableId="1149907259">
    <w:abstractNumId w:val="33"/>
  </w:num>
  <w:num w:numId="49" w16cid:durableId="1290284059">
    <w:abstractNumId w:val="27"/>
  </w:num>
  <w:num w:numId="50" w16cid:durableId="1632906845">
    <w:abstractNumId w:val="38"/>
  </w:num>
  <w:num w:numId="51" w16cid:durableId="1879198925">
    <w:abstractNumId w:val="6"/>
  </w:num>
  <w:num w:numId="52" w16cid:durableId="1398437364">
    <w:abstractNumId w:val="67"/>
  </w:num>
  <w:num w:numId="53" w16cid:durableId="555363652">
    <w:abstractNumId w:val="31"/>
  </w:num>
  <w:num w:numId="54" w16cid:durableId="348066193">
    <w:abstractNumId w:val="17"/>
  </w:num>
  <w:num w:numId="55" w16cid:durableId="863327031">
    <w:abstractNumId w:val="25"/>
  </w:num>
  <w:num w:numId="56" w16cid:durableId="533276167">
    <w:abstractNumId w:val="5"/>
  </w:num>
  <w:num w:numId="57" w16cid:durableId="1734042372">
    <w:abstractNumId w:val="7"/>
  </w:num>
  <w:num w:numId="58" w16cid:durableId="1129779640">
    <w:abstractNumId w:val="57"/>
  </w:num>
  <w:num w:numId="59" w16cid:durableId="874731502">
    <w:abstractNumId w:val="65"/>
  </w:num>
  <w:num w:numId="60" w16cid:durableId="15498252">
    <w:abstractNumId w:val="28"/>
  </w:num>
  <w:num w:numId="61" w16cid:durableId="1842968615">
    <w:abstractNumId w:val="41"/>
  </w:num>
  <w:num w:numId="62" w16cid:durableId="1024987631">
    <w:abstractNumId w:val="40"/>
  </w:num>
  <w:num w:numId="63" w16cid:durableId="138037577">
    <w:abstractNumId w:val="47"/>
  </w:num>
  <w:num w:numId="64" w16cid:durableId="1327325154">
    <w:abstractNumId w:val="40"/>
  </w:num>
  <w:num w:numId="65" w16cid:durableId="655308137">
    <w:abstractNumId w:val="40"/>
  </w:num>
  <w:num w:numId="66" w16cid:durableId="1436637637">
    <w:abstractNumId w:val="40"/>
  </w:num>
  <w:num w:numId="67" w16cid:durableId="1464956863">
    <w:abstractNumId w:val="40"/>
  </w:num>
  <w:num w:numId="68" w16cid:durableId="2101556830">
    <w:abstractNumId w:val="40"/>
  </w:num>
  <w:num w:numId="69" w16cid:durableId="1489981159">
    <w:abstractNumId w:val="40"/>
  </w:num>
  <w:num w:numId="70" w16cid:durableId="1921214049">
    <w:abstractNumId w:val="40"/>
  </w:num>
  <w:num w:numId="71" w16cid:durableId="1026953287">
    <w:abstractNumId w:val="21"/>
  </w:num>
  <w:num w:numId="72" w16cid:durableId="1271666867">
    <w:abstractNumId w:val="8"/>
  </w:num>
  <w:num w:numId="73" w16cid:durableId="1256670279">
    <w:abstractNumId w:val="3"/>
  </w:num>
  <w:num w:numId="74" w16cid:durableId="1510173643">
    <w:abstractNumId w:val="58"/>
  </w:num>
  <w:num w:numId="75" w16cid:durableId="1648852858">
    <w:abstractNumId w:val="68"/>
  </w:num>
  <w:num w:numId="76" w16cid:durableId="1310397651">
    <w:abstractNumId w:val="30"/>
  </w:num>
  <w:num w:numId="77" w16cid:durableId="488520546">
    <w:abstractNumId w:val="53"/>
  </w:num>
  <w:num w:numId="78" w16cid:durableId="1928952284">
    <w:abstractNumId w:val="59"/>
  </w:num>
  <w:num w:numId="79" w16cid:durableId="520555403">
    <w:abstractNumId w:val="71"/>
  </w:num>
  <w:num w:numId="80" w16cid:durableId="1559438641">
    <w:abstractNumId w:val="73"/>
  </w:num>
  <w:num w:numId="81" w16cid:durableId="1606037823">
    <w:abstractNumId w:val="70"/>
  </w:num>
  <w:num w:numId="82" w16cid:durableId="266933574">
    <w:abstractNumId w:val="54"/>
  </w:num>
  <w:num w:numId="83" w16cid:durableId="1192692736">
    <w:abstractNumId w:val="10"/>
  </w:num>
  <w:num w:numId="84" w16cid:durableId="1213230845">
    <w:abstractNumId w:val="59"/>
    <w:lvlOverride w:ilvl="0">
      <w:lvl w:ilvl="0">
        <w:start w:val="1"/>
        <w:numFmt w:val="bullet"/>
        <w:pStyle w:val="Tablebullet1"/>
        <w:lvlText w:val="•"/>
        <w:lvlJc w:val="left"/>
        <w:pPr>
          <w:ind w:left="227" w:hanging="227"/>
        </w:pPr>
        <w:rPr>
          <w:rFonts w:ascii="Calibri" w:hAnsi="Calibri" w:hint="default"/>
        </w:rPr>
      </w:lvl>
    </w:lvlOverride>
    <w:lvlOverride w:ilvl="1">
      <w:lvl w:ilvl="1">
        <w:start w:val="1"/>
        <w:numFmt w:val="bullet"/>
        <w:lvlRestart w:val="0"/>
        <w:pStyle w:val="Tablebullet2"/>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0D"/>
    <w:rsid w:val="0000014C"/>
    <w:rsid w:val="000006C3"/>
    <w:rsid w:val="00000719"/>
    <w:rsid w:val="000007D7"/>
    <w:rsid w:val="00000A5E"/>
    <w:rsid w:val="00000A9D"/>
    <w:rsid w:val="000010B2"/>
    <w:rsid w:val="0000115A"/>
    <w:rsid w:val="000013EA"/>
    <w:rsid w:val="00001949"/>
    <w:rsid w:val="000019E0"/>
    <w:rsid w:val="00001B00"/>
    <w:rsid w:val="00001B6F"/>
    <w:rsid w:val="00001B73"/>
    <w:rsid w:val="00001CBD"/>
    <w:rsid w:val="0000221D"/>
    <w:rsid w:val="0000222C"/>
    <w:rsid w:val="00002984"/>
    <w:rsid w:val="000029D2"/>
    <w:rsid w:val="00002D68"/>
    <w:rsid w:val="00002F46"/>
    <w:rsid w:val="00002F91"/>
    <w:rsid w:val="000032F4"/>
    <w:rsid w:val="000033F7"/>
    <w:rsid w:val="00003403"/>
    <w:rsid w:val="00003583"/>
    <w:rsid w:val="00003783"/>
    <w:rsid w:val="000039F3"/>
    <w:rsid w:val="00003B81"/>
    <w:rsid w:val="00003CA9"/>
    <w:rsid w:val="00003ED4"/>
    <w:rsid w:val="00003FCD"/>
    <w:rsid w:val="00004107"/>
    <w:rsid w:val="0000413D"/>
    <w:rsid w:val="00004263"/>
    <w:rsid w:val="0000455B"/>
    <w:rsid w:val="000045D9"/>
    <w:rsid w:val="00004764"/>
    <w:rsid w:val="0000480B"/>
    <w:rsid w:val="000048C6"/>
    <w:rsid w:val="00004988"/>
    <w:rsid w:val="00004ACC"/>
    <w:rsid w:val="00004CBD"/>
    <w:rsid w:val="00004E34"/>
    <w:rsid w:val="00004FEB"/>
    <w:rsid w:val="000050B1"/>
    <w:rsid w:val="0000531B"/>
    <w:rsid w:val="00005347"/>
    <w:rsid w:val="000055A6"/>
    <w:rsid w:val="00005733"/>
    <w:rsid w:val="0000580C"/>
    <w:rsid w:val="000058F6"/>
    <w:rsid w:val="00005A12"/>
    <w:rsid w:val="00005AE0"/>
    <w:rsid w:val="00005C34"/>
    <w:rsid w:val="00005EAE"/>
    <w:rsid w:val="00005F1D"/>
    <w:rsid w:val="00006433"/>
    <w:rsid w:val="00006533"/>
    <w:rsid w:val="000069FB"/>
    <w:rsid w:val="00006B07"/>
    <w:rsid w:val="00007048"/>
    <w:rsid w:val="000070D6"/>
    <w:rsid w:val="0000718B"/>
    <w:rsid w:val="000072B6"/>
    <w:rsid w:val="00007364"/>
    <w:rsid w:val="00007493"/>
    <w:rsid w:val="000075A6"/>
    <w:rsid w:val="00007BF7"/>
    <w:rsid w:val="00007C98"/>
    <w:rsid w:val="0001021B"/>
    <w:rsid w:val="000106F5"/>
    <w:rsid w:val="00010913"/>
    <w:rsid w:val="000109B2"/>
    <w:rsid w:val="00010D80"/>
    <w:rsid w:val="00010E7D"/>
    <w:rsid w:val="00010F24"/>
    <w:rsid w:val="00010FE4"/>
    <w:rsid w:val="00011288"/>
    <w:rsid w:val="00011357"/>
    <w:rsid w:val="000114B0"/>
    <w:rsid w:val="00011735"/>
    <w:rsid w:val="00011742"/>
    <w:rsid w:val="00011A6F"/>
    <w:rsid w:val="00011B85"/>
    <w:rsid w:val="00011D89"/>
    <w:rsid w:val="00011E8B"/>
    <w:rsid w:val="000120C7"/>
    <w:rsid w:val="000122C2"/>
    <w:rsid w:val="000122F8"/>
    <w:rsid w:val="00012591"/>
    <w:rsid w:val="00012605"/>
    <w:rsid w:val="000128B9"/>
    <w:rsid w:val="0001291B"/>
    <w:rsid w:val="00012962"/>
    <w:rsid w:val="0001297A"/>
    <w:rsid w:val="00012D7A"/>
    <w:rsid w:val="00012E0C"/>
    <w:rsid w:val="00012E81"/>
    <w:rsid w:val="000131F2"/>
    <w:rsid w:val="0001320A"/>
    <w:rsid w:val="0001379F"/>
    <w:rsid w:val="000137B8"/>
    <w:rsid w:val="0001394F"/>
    <w:rsid w:val="00013AC9"/>
    <w:rsid w:val="00013CA1"/>
    <w:rsid w:val="00014471"/>
    <w:rsid w:val="00014723"/>
    <w:rsid w:val="000148BB"/>
    <w:rsid w:val="00014A7F"/>
    <w:rsid w:val="00014B02"/>
    <w:rsid w:val="00014D17"/>
    <w:rsid w:val="00014DB1"/>
    <w:rsid w:val="00014DD6"/>
    <w:rsid w:val="00015153"/>
    <w:rsid w:val="000152D3"/>
    <w:rsid w:val="00015305"/>
    <w:rsid w:val="000154FD"/>
    <w:rsid w:val="00015828"/>
    <w:rsid w:val="00015CDD"/>
    <w:rsid w:val="00015DF0"/>
    <w:rsid w:val="00015FDD"/>
    <w:rsid w:val="00016031"/>
    <w:rsid w:val="0001633D"/>
    <w:rsid w:val="000166AF"/>
    <w:rsid w:val="000167AA"/>
    <w:rsid w:val="000167E6"/>
    <w:rsid w:val="000169CE"/>
    <w:rsid w:val="00016AC8"/>
    <w:rsid w:val="00016DAF"/>
    <w:rsid w:val="00016E57"/>
    <w:rsid w:val="00016F11"/>
    <w:rsid w:val="00017281"/>
    <w:rsid w:val="00017339"/>
    <w:rsid w:val="00017461"/>
    <w:rsid w:val="000175A6"/>
    <w:rsid w:val="000176C5"/>
    <w:rsid w:val="00017793"/>
    <w:rsid w:val="00017A02"/>
    <w:rsid w:val="00017ADE"/>
    <w:rsid w:val="00017F3F"/>
    <w:rsid w:val="0002029B"/>
    <w:rsid w:val="0002048E"/>
    <w:rsid w:val="000206A4"/>
    <w:rsid w:val="00020874"/>
    <w:rsid w:val="00020B54"/>
    <w:rsid w:val="00020BC8"/>
    <w:rsid w:val="00020D61"/>
    <w:rsid w:val="00021529"/>
    <w:rsid w:val="000215F4"/>
    <w:rsid w:val="00021778"/>
    <w:rsid w:val="000217C1"/>
    <w:rsid w:val="00021B7A"/>
    <w:rsid w:val="000221C1"/>
    <w:rsid w:val="00022271"/>
    <w:rsid w:val="00022440"/>
    <w:rsid w:val="00022590"/>
    <w:rsid w:val="00022AB4"/>
    <w:rsid w:val="00022D3C"/>
    <w:rsid w:val="0002319F"/>
    <w:rsid w:val="000232E9"/>
    <w:rsid w:val="000234CF"/>
    <w:rsid w:val="000235E8"/>
    <w:rsid w:val="0002373D"/>
    <w:rsid w:val="000238DF"/>
    <w:rsid w:val="00023C40"/>
    <w:rsid w:val="00023D5B"/>
    <w:rsid w:val="00024193"/>
    <w:rsid w:val="0002436C"/>
    <w:rsid w:val="000243DA"/>
    <w:rsid w:val="00024485"/>
    <w:rsid w:val="00024614"/>
    <w:rsid w:val="000246FE"/>
    <w:rsid w:val="00024A47"/>
    <w:rsid w:val="00024BD6"/>
    <w:rsid w:val="00024C69"/>
    <w:rsid w:val="00024D89"/>
    <w:rsid w:val="00024DBA"/>
    <w:rsid w:val="00024E00"/>
    <w:rsid w:val="00024E34"/>
    <w:rsid w:val="00024F01"/>
    <w:rsid w:val="000250B6"/>
    <w:rsid w:val="000251DE"/>
    <w:rsid w:val="000252E5"/>
    <w:rsid w:val="00025654"/>
    <w:rsid w:val="000257CB"/>
    <w:rsid w:val="000257F0"/>
    <w:rsid w:val="00025B51"/>
    <w:rsid w:val="00025DA1"/>
    <w:rsid w:val="00025F0F"/>
    <w:rsid w:val="000260E5"/>
    <w:rsid w:val="00026204"/>
    <w:rsid w:val="00026397"/>
    <w:rsid w:val="000263B6"/>
    <w:rsid w:val="00026540"/>
    <w:rsid w:val="00026AFF"/>
    <w:rsid w:val="0002717F"/>
    <w:rsid w:val="00027737"/>
    <w:rsid w:val="00027797"/>
    <w:rsid w:val="0003017A"/>
    <w:rsid w:val="00030291"/>
    <w:rsid w:val="0003037D"/>
    <w:rsid w:val="00030617"/>
    <w:rsid w:val="0003070D"/>
    <w:rsid w:val="000307A1"/>
    <w:rsid w:val="00030827"/>
    <w:rsid w:val="00030CDD"/>
    <w:rsid w:val="000310DA"/>
    <w:rsid w:val="000311D6"/>
    <w:rsid w:val="000313AC"/>
    <w:rsid w:val="000314A4"/>
    <w:rsid w:val="0003155E"/>
    <w:rsid w:val="0003159A"/>
    <w:rsid w:val="0003159E"/>
    <w:rsid w:val="0003166D"/>
    <w:rsid w:val="000319EE"/>
    <w:rsid w:val="00031C81"/>
    <w:rsid w:val="00031F5C"/>
    <w:rsid w:val="00032109"/>
    <w:rsid w:val="00032110"/>
    <w:rsid w:val="00032116"/>
    <w:rsid w:val="0003230A"/>
    <w:rsid w:val="0003248F"/>
    <w:rsid w:val="000325A8"/>
    <w:rsid w:val="0003275E"/>
    <w:rsid w:val="00032844"/>
    <w:rsid w:val="000328F7"/>
    <w:rsid w:val="00032D4E"/>
    <w:rsid w:val="00032E2C"/>
    <w:rsid w:val="000331B7"/>
    <w:rsid w:val="00033B54"/>
    <w:rsid w:val="00033D81"/>
    <w:rsid w:val="00033DC9"/>
    <w:rsid w:val="00033F3A"/>
    <w:rsid w:val="00034115"/>
    <w:rsid w:val="0003417A"/>
    <w:rsid w:val="00034333"/>
    <w:rsid w:val="00034A8F"/>
    <w:rsid w:val="00034FE4"/>
    <w:rsid w:val="00035494"/>
    <w:rsid w:val="0003568B"/>
    <w:rsid w:val="00035AFC"/>
    <w:rsid w:val="00035CFF"/>
    <w:rsid w:val="00035D4B"/>
    <w:rsid w:val="00035E91"/>
    <w:rsid w:val="00036113"/>
    <w:rsid w:val="000367D7"/>
    <w:rsid w:val="000369B5"/>
    <w:rsid w:val="00036B1D"/>
    <w:rsid w:val="00036BA5"/>
    <w:rsid w:val="00036D15"/>
    <w:rsid w:val="00036D4D"/>
    <w:rsid w:val="00036D6F"/>
    <w:rsid w:val="00037366"/>
    <w:rsid w:val="000376FA"/>
    <w:rsid w:val="000377EB"/>
    <w:rsid w:val="00037CE9"/>
    <w:rsid w:val="00037CF7"/>
    <w:rsid w:val="00040255"/>
    <w:rsid w:val="0004078E"/>
    <w:rsid w:val="000409B6"/>
    <w:rsid w:val="00040BB4"/>
    <w:rsid w:val="00040D76"/>
    <w:rsid w:val="00040D9E"/>
    <w:rsid w:val="00041023"/>
    <w:rsid w:val="00041315"/>
    <w:rsid w:val="000413EE"/>
    <w:rsid w:val="0004198F"/>
    <w:rsid w:val="00041A3C"/>
    <w:rsid w:val="00041AC1"/>
    <w:rsid w:val="00041BED"/>
    <w:rsid w:val="00041BF0"/>
    <w:rsid w:val="00041D4E"/>
    <w:rsid w:val="0004204E"/>
    <w:rsid w:val="0004232D"/>
    <w:rsid w:val="000423DB"/>
    <w:rsid w:val="0004273A"/>
    <w:rsid w:val="000427D2"/>
    <w:rsid w:val="000428D0"/>
    <w:rsid w:val="00042B67"/>
    <w:rsid w:val="00042C8A"/>
    <w:rsid w:val="00042D03"/>
    <w:rsid w:val="00042DA0"/>
    <w:rsid w:val="00043212"/>
    <w:rsid w:val="00043CDB"/>
    <w:rsid w:val="00043F39"/>
    <w:rsid w:val="000441E5"/>
    <w:rsid w:val="000443F1"/>
    <w:rsid w:val="00044535"/>
    <w:rsid w:val="000446D9"/>
    <w:rsid w:val="000446F0"/>
    <w:rsid w:val="00044963"/>
    <w:rsid w:val="00044E83"/>
    <w:rsid w:val="00044ED5"/>
    <w:rsid w:val="00044FF5"/>
    <w:rsid w:val="0004536B"/>
    <w:rsid w:val="0004536F"/>
    <w:rsid w:val="0004587C"/>
    <w:rsid w:val="00045AE8"/>
    <w:rsid w:val="00045EDE"/>
    <w:rsid w:val="0004612E"/>
    <w:rsid w:val="000461FB"/>
    <w:rsid w:val="000464D4"/>
    <w:rsid w:val="00046716"/>
    <w:rsid w:val="0004674C"/>
    <w:rsid w:val="00046AC4"/>
    <w:rsid w:val="00046B68"/>
    <w:rsid w:val="00046C5B"/>
    <w:rsid w:val="00046DF5"/>
    <w:rsid w:val="00046F5C"/>
    <w:rsid w:val="000470BB"/>
    <w:rsid w:val="0004713F"/>
    <w:rsid w:val="00047495"/>
    <w:rsid w:val="00047506"/>
    <w:rsid w:val="00047669"/>
    <w:rsid w:val="00047876"/>
    <w:rsid w:val="00047B2B"/>
    <w:rsid w:val="0005003A"/>
    <w:rsid w:val="0005003D"/>
    <w:rsid w:val="000500CC"/>
    <w:rsid w:val="0005023D"/>
    <w:rsid w:val="000504CD"/>
    <w:rsid w:val="000507B0"/>
    <w:rsid w:val="000508DA"/>
    <w:rsid w:val="0005093B"/>
    <w:rsid w:val="00050A38"/>
    <w:rsid w:val="00050A94"/>
    <w:rsid w:val="00050E04"/>
    <w:rsid w:val="0005104E"/>
    <w:rsid w:val="00051451"/>
    <w:rsid w:val="000514CA"/>
    <w:rsid w:val="0005185D"/>
    <w:rsid w:val="000518EB"/>
    <w:rsid w:val="00051DD1"/>
    <w:rsid w:val="00051EC8"/>
    <w:rsid w:val="00052290"/>
    <w:rsid w:val="000524E6"/>
    <w:rsid w:val="0005250E"/>
    <w:rsid w:val="0005259D"/>
    <w:rsid w:val="000527DD"/>
    <w:rsid w:val="000529CF"/>
    <w:rsid w:val="00052A50"/>
    <w:rsid w:val="0005301D"/>
    <w:rsid w:val="0005305B"/>
    <w:rsid w:val="0005326D"/>
    <w:rsid w:val="0005337B"/>
    <w:rsid w:val="0005368E"/>
    <w:rsid w:val="0005373D"/>
    <w:rsid w:val="00053751"/>
    <w:rsid w:val="00053871"/>
    <w:rsid w:val="00053E7B"/>
    <w:rsid w:val="00053F50"/>
    <w:rsid w:val="0005464F"/>
    <w:rsid w:val="000547D9"/>
    <w:rsid w:val="00054ACB"/>
    <w:rsid w:val="00054AEC"/>
    <w:rsid w:val="00054C6E"/>
    <w:rsid w:val="00054E49"/>
    <w:rsid w:val="00054F30"/>
    <w:rsid w:val="000550E1"/>
    <w:rsid w:val="000557F6"/>
    <w:rsid w:val="0005587F"/>
    <w:rsid w:val="00055F62"/>
    <w:rsid w:val="00055FD2"/>
    <w:rsid w:val="00056156"/>
    <w:rsid w:val="00056311"/>
    <w:rsid w:val="00056322"/>
    <w:rsid w:val="0005643A"/>
    <w:rsid w:val="00056588"/>
    <w:rsid w:val="00056BC8"/>
    <w:rsid w:val="00056BEF"/>
    <w:rsid w:val="00056D36"/>
    <w:rsid w:val="00056DF8"/>
    <w:rsid w:val="00056EC4"/>
    <w:rsid w:val="0005700F"/>
    <w:rsid w:val="00057356"/>
    <w:rsid w:val="000576A9"/>
    <w:rsid w:val="00057775"/>
    <w:rsid w:val="000578AE"/>
    <w:rsid w:val="000578B2"/>
    <w:rsid w:val="00057936"/>
    <w:rsid w:val="000579F7"/>
    <w:rsid w:val="00057BED"/>
    <w:rsid w:val="00057C60"/>
    <w:rsid w:val="00057C77"/>
    <w:rsid w:val="0006002C"/>
    <w:rsid w:val="0006069F"/>
    <w:rsid w:val="0006081C"/>
    <w:rsid w:val="00060959"/>
    <w:rsid w:val="00060AA4"/>
    <w:rsid w:val="00060AB0"/>
    <w:rsid w:val="00060B3D"/>
    <w:rsid w:val="00060C8F"/>
    <w:rsid w:val="00061171"/>
    <w:rsid w:val="00061517"/>
    <w:rsid w:val="00061970"/>
    <w:rsid w:val="00061BB5"/>
    <w:rsid w:val="00061E87"/>
    <w:rsid w:val="00061F19"/>
    <w:rsid w:val="0006214A"/>
    <w:rsid w:val="000624C5"/>
    <w:rsid w:val="000625A0"/>
    <w:rsid w:val="000625A5"/>
    <w:rsid w:val="000626A7"/>
    <w:rsid w:val="0006298A"/>
    <w:rsid w:val="00062D6B"/>
    <w:rsid w:val="00062D88"/>
    <w:rsid w:val="000633B9"/>
    <w:rsid w:val="000634ED"/>
    <w:rsid w:val="00063603"/>
    <w:rsid w:val="00063752"/>
    <w:rsid w:val="00063884"/>
    <w:rsid w:val="000638B2"/>
    <w:rsid w:val="00063DEF"/>
    <w:rsid w:val="000640EB"/>
    <w:rsid w:val="0006458F"/>
    <w:rsid w:val="00064844"/>
    <w:rsid w:val="00064B39"/>
    <w:rsid w:val="00064B95"/>
    <w:rsid w:val="00064E49"/>
    <w:rsid w:val="00064FFF"/>
    <w:rsid w:val="00065085"/>
    <w:rsid w:val="00065789"/>
    <w:rsid w:val="00065E17"/>
    <w:rsid w:val="000660C9"/>
    <w:rsid w:val="000663CD"/>
    <w:rsid w:val="00066607"/>
    <w:rsid w:val="0006664B"/>
    <w:rsid w:val="00066718"/>
    <w:rsid w:val="00066866"/>
    <w:rsid w:val="00066AB3"/>
    <w:rsid w:val="00066C25"/>
    <w:rsid w:val="00066D23"/>
    <w:rsid w:val="00066F35"/>
    <w:rsid w:val="00067160"/>
    <w:rsid w:val="0006744B"/>
    <w:rsid w:val="000677F5"/>
    <w:rsid w:val="000678DD"/>
    <w:rsid w:val="00067A48"/>
    <w:rsid w:val="00067B87"/>
    <w:rsid w:val="00067F29"/>
    <w:rsid w:val="000707E5"/>
    <w:rsid w:val="00070B54"/>
    <w:rsid w:val="00070B6E"/>
    <w:rsid w:val="00070BF2"/>
    <w:rsid w:val="00070E7A"/>
    <w:rsid w:val="00071987"/>
    <w:rsid w:val="00071BAB"/>
    <w:rsid w:val="00071EEC"/>
    <w:rsid w:val="0007210F"/>
    <w:rsid w:val="000721AE"/>
    <w:rsid w:val="000725B3"/>
    <w:rsid w:val="0007283C"/>
    <w:rsid w:val="00072902"/>
    <w:rsid w:val="00072986"/>
    <w:rsid w:val="00072D52"/>
    <w:rsid w:val="00072EFB"/>
    <w:rsid w:val="00073165"/>
    <w:rsid w:val="00073232"/>
    <w:rsid w:val="0007324B"/>
    <w:rsid w:val="000733FE"/>
    <w:rsid w:val="00073479"/>
    <w:rsid w:val="0007357F"/>
    <w:rsid w:val="00073801"/>
    <w:rsid w:val="00073DBE"/>
    <w:rsid w:val="0007407E"/>
    <w:rsid w:val="000740BD"/>
    <w:rsid w:val="00074219"/>
    <w:rsid w:val="00074314"/>
    <w:rsid w:val="00074393"/>
    <w:rsid w:val="000743B8"/>
    <w:rsid w:val="0007456C"/>
    <w:rsid w:val="0007458E"/>
    <w:rsid w:val="000745EF"/>
    <w:rsid w:val="00074627"/>
    <w:rsid w:val="0007481A"/>
    <w:rsid w:val="000748F9"/>
    <w:rsid w:val="0007495E"/>
    <w:rsid w:val="00074B3B"/>
    <w:rsid w:val="00074E4A"/>
    <w:rsid w:val="00074E68"/>
    <w:rsid w:val="00074ED5"/>
    <w:rsid w:val="0007544F"/>
    <w:rsid w:val="00075531"/>
    <w:rsid w:val="000757F5"/>
    <w:rsid w:val="00075ABA"/>
    <w:rsid w:val="00075BA3"/>
    <w:rsid w:val="00075EEA"/>
    <w:rsid w:val="000764CF"/>
    <w:rsid w:val="000764D6"/>
    <w:rsid w:val="00076514"/>
    <w:rsid w:val="00076561"/>
    <w:rsid w:val="0007683E"/>
    <w:rsid w:val="00076935"/>
    <w:rsid w:val="00076E57"/>
    <w:rsid w:val="000770B1"/>
    <w:rsid w:val="00077214"/>
    <w:rsid w:val="00077334"/>
    <w:rsid w:val="000778AF"/>
    <w:rsid w:val="00077A39"/>
    <w:rsid w:val="00077B39"/>
    <w:rsid w:val="00077B8F"/>
    <w:rsid w:val="00080072"/>
    <w:rsid w:val="00080202"/>
    <w:rsid w:val="0008045C"/>
    <w:rsid w:val="000804C8"/>
    <w:rsid w:val="0008098A"/>
    <w:rsid w:val="00080C6A"/>
    <w:rsid w:val="00081044"/>
    <w:rsid w:val="000811C9"/>
    <w:rsid w:val="0008126B"/>
    <w:rsid w:val="000819F4"/>
    <w:rsid w:val="00081BD8"/>
    <w:rsid w:val="00081CC7"/>
    <w:rsid w:val="00081EE6"/>
    <w:rsid w:val="0008204A"/>
    <w:rsid w:val="000827BA"/>
    <w:rsid w:val="0008283C"/>
    <w:rsid w:val="0008285D"/>
    <w:rsid w:val="00082A2E"/>
    <w:rsid w:val="00082A5C"/>
    <w:rsid w:val="00082B35"/>
    <w:rsid w:val="00082CB4"/>
    <w:rsid w:val="00082CD4"/>
    <w:rsid w:val="000837DD"/>
    <w:rsid w:val="00083DF3"/>
    <w:rsid w:val="00083ECC"/>
    <w:rsid w:val="00083F23"/>
    <w:rsid w:val="00084B88"/>
    <w:rsid w:val="00084C5A"/>
    <w:rsid w:val="0008508E"/>
    <w:rsid w:val="00085902"/>
    <w:rsid w:val="00085917"/>
    <w:rsid w:val="000859FC"/>
    <w:rsid w:val="00085EC1"/>
    <w:rsid w:val="00086169"/>
    <w:rsid w:val="00086BC1"/>
    <w:rsid w:val="00086D61"/>
    <w:rsid w:val="00086EB2"/>
    <w:rsid w:val="00086FA3"/>
    <w:rsid w:val="000870D8"/>
    <w:rsid w:val="0008714A"/>
    <w:rsid w:val="0008793B"/>
    <w:rsid w:val="00087951"/>
    <w:rsid w:val="00087DD7"/>
    <w:rsid w:val="0009043C"/>
    <w:rsid w:val="000906C6"/>
    <w:rsid w:val="00090738"/>
    <w:rsid w:val="0009089F"/>
    <w:rsid w:val="00090AD3"/>
    <w:rsid w:val="00090EB7"/>
    <w:rsid w:val="0009109E"/>
    <w:rsid w:val="000910FE"/>
    <w:rsid w:val="0009113B"/>
    <w:rsid w:val="000914B6"/>
    <w:rsid w:val="0009157D"/>
    <w:rsid w:val="000917CB"/>
    <w:rsid w:val="00091872"/>
    <w:rsid w:val="00091ADA"/>
    <w:rsid w:val="00091FBB"/>
    <w:rsid w:val="000921DC"/>
    <w:rsid w:val="00092240"/>
    <w:rsid w:val="00092437"/>
    <w:rsid w:val="000926B7"/>
    <w:rsid w:val="000927A1"/>
    <w:rsid w:val="0009283A"/>
    <w:rsid w:val="00092904"/>
    <w:rsid w:val="00092930"/>
    <w:rsid w:val="0009296A"/>
    <w:rsid w:val="00092B2A"/>
    <w:rsid w:val="00093142"/>
    <w:rsid w:val="00093239"/>
    <w:rsid w:val="00093391"/>
    <w:rsid w:val="00093402"/>
    <w:rsid w:val="00093469"/>
    <w:rsid w:val="0009363C"/>
    <w:rsid w:val="000937BC"/>
    <w:rsid w:val="00093874"/>
    <w:rsid w:val="0009387B"/>
    <w:rsid w:val="0009396B"/>
    <w:rsid w:val="00093B27"/>
    <w:rsid w:val="00093C18"/>
    <w:rsid w:val="00093D5A"/>
    <w:rsid w:val="00094797"/>
    <w:rsid w:val="000947A3"/>
    <w:rsid w:val="00094DA3"/>
    <w:rsid w:val="0009526F"/>
    <w:rsid w:val="00095327"/>
    <w:rsid w:val="000954B0"/>
    <w:rsid w:val="000954E3"/>
    <w:rsid w:val="0009580F"/>
    <w:rsid w:val="00095839"/>
    <w:rsid w:val="00095935"/>
    <w:rsid w:val="00095C1A"/>
    <w:rsid w:val="00095C2E"/>
    <w:rsid w:val="00095CFC"/>
    <w:rsid w:val="00095D25"/>
    <w:rsid w:val="00095DE5"/>
    <w:rsid w:val="00095FC6"/>
    <w:rsid w:val="000960CE"/>
    <w:rsid w:val="0009613D"/>
    <w:rsid w:val="00096449"/>
    <w:rsid w:val="000964D4"/>
    <w:rsid w:val="0009669D"/>
    <w:rsid w:val="00096853"/>
    <w:rsid w:val="00096BDD"/>
    <w:rsid w:val="00096C3D"/>
    <w:rsid w:val="00096CD1"/>
    <w:rsid w:val="00096D2C"/>
    <w:rsid w:val="00096E3A"/>
    <w:rsid w:val="00096EC8"/>
    <w:rsid w:val="000971CA"/>
    <w:rsid w:val="00097788"/>
    <w:rsid w:val="000978A2"/>
    <w:rsid w:val="00097AB4"/>
    <w:rsid w:val="00097E67"/>
    <w:rsid w:val="000A012C"/>
    <w:rsid w:val="000A01DF"/>
    <w:rsid w:val="000A05F8"/>
    <w:rsid w:val="000A07A5"/>
    <w:rsid w:val="000A07BA"/>
    <w:rsid w:val="000A0A0A"/>
    <w:rsid w:val="000A0A1E"/>
    <w:rsid w:val="000A0A20"/>
    <w:rsid w:val="000A0EB9"/>
    <w:rsid w:val="000A1444"/>
    <w:rsid w:val="000A15C1"/>
    <w:rsid w:val="000A186C"/>
    <w:rsid w:val="000A1976"/>
    <w:rsid w:val="000A1983"/>
    <w:rsid w:val="000A1EA4"/>
    <w:rsid w:val="000A1F31"/>
    <w:rsid w:val="000A1F8E"/>
    <w:rsid w:val="000A22C8"/>
    <w:rsid w:val="000A2476"/>
    <w:rsid w:val="000A27CF"/>
    <w:rsid w:val="000A281B"/>
    <w:rsid w:val="000A2A8C"/>
    <w:rsid w:val="000A2CFD"/>
    <w:rsid w:val="000A2E0F"/>
    <w:rsid w:val="000A2EB8"/>
    <w:rsid w:val="000A2F16"/>
    <w:rsid w:val="000A2F97"/>
    <w:rsid w:val="000A326D"/>
    <w:rsid w:val="000A370E"/>
    <w:rsid w:val="000A3A16"/>
    <w:rsid w:val="000A3AA2"/>
    <w:rsid w:val="000A3E72"/>
    <w:rsid w:val="000A4371"/>
    <w:rsid w:val="000A43A5"/>
    <w:rsid w:val="000A43BD"/>
    <w:rsid w:val="000A4424"/>
    <w:rsid w:val="000A44D0"/>
    <w:rsid w:val="000A463E"/>
    <w:rsid w:val="000A470C"/>
    <w:rsid w:val="000A47F7"/>
    <w:rsid w:val="000A4980"/>
    <w:rsid w:val="000A4AE6"/>
    <w:rsid w:val="000A4B87"/>
    <w:rsid w:val="000A4F23"/>
    <w:rsid w:val="000A50BB"/>
    <w:rsid w:val="000A5504"/>
    <w:rsid w:val="000A56FD"/>
    <w:rsid w:val="000A5C77"/>
    <w:rsid w:val="000A5E4D"/>
    <w:rsid w:val="000A641A"/>
    <w:rsid w:val="000A664C"/>
    <w:rsid w:val="000A67E0"/>
    <w:rsid w:val="000A6F07"/>
    <w:rsid w:val="000A726A"/>
    <w:rsid w:val="000A73E1"/>
    <w:rsid w:val="000A76B2"/>
    <w:rsid w:val="000A7976"/>
    <w:rsid w:val="000A7A7C"/>
    <w:rsid w:val="000B074C"/>
    <w:rsid w:val="000B0776"/>
    <w:rsid w:val="000B0802"/>
    <w:rsid w:val="000B0E0A"/>
    <w:rsid w:val="000B0F00"/>
    <w:rsid w:val="000B10EE"/>
    <w:rsid w:val="000B1130"/>
    <w:rsid w:val="000B1280"/>
    <w:rsid w:val="000B1681"/>
    <w:rsid w:val="000B1AF2"/>
    <w:rsid w:val="000B1E7D"/>
    <w:rsid w:val="000B1F97"/>
    <w:rsid w:val="000B226A"/>
    <w:rsid w:val="000B22ED"/>
    <w:rsid w:val="000B2844"/>
    <w:rsid w:val="000B2858"/>
    <w:rsid w:val="000B2A6D"/>
    <w:rsid w:val="000B2A7D"/>
    <w:rsid w:val="000B2FC1"/>
    <w:rsid w:val="000B3117"/>
    <w:rsid w:val="000B31B3"/>
    <w:rsid w:val="000B3656"/>
    <w:rsid w:val="000B36B1"/>
    <w:rsid w:val="000B3782"/>
    <w:rsid w:val="000B39CF"/>
    <w:rsid w:val="000B3C91"/>
    <w:rsid w:val="000B3DA1"/>
    <w:rsid w:val="000B3DC4"/>
    <w:rsid w:val="000B3E1D"/>
    <w:rsid w:val="000B3EDB"/>
    <w:rsid w:val="000B403A"/>
    <w:rsid w:val="000B40BE"/>
    <w:rsid w:val="000B43B7"/>
    <w:rsid w:val="000B46A9"/>
    <w:rsid w:val="000B493A"/>
    <w:rsid w:val="000B4AD6"/>
    <w:rsid w:val="000B5152"/>
    <w:rsid w:val="000B537C"/>
    <w:rsid w:val="000B543D"/>
    <w:rsid w:val="000B55EA"/>
    <w:rsid w:val="000B55F9"/>
    <w:rsid w:val="000B5616"/>
    <w:rsid w:val="000B5931"/>
    <w:rsid w:val="000B5A34"/>
    <w:rsid w:val="000B5A4E"/>
    <w:rsid w:val="000B5A65"/>
    <w:rsid w:val="000B5A93"/>
    <w:rsid w:val="000B5BF7"/>
    <w:rsid w:val="000B5EBB"/>
    <w:rsid w:val="000B5EC2"/>
    <w:rsid w:val="000B6010"/>
    <w:rsid w:val="000B60A4"/>
    <w:rsid w:val="000B617C"/>
    <w:rsid w:val="000B6432"/>
    <w:rsid w:val="000B6450"/>
    <w:rsid w:val="000B661C"/>
    <w:rsid w:val="000B6901"/>
    <w:rsid w:val="000B6A36"/>
    <w:rsid w:val="000B6B8D"/>
    <w:rsid w:val="000B6BC8"/>
    <w:rsid w:val="000B715F"/>
    <w:rsid w:val="000B7446"/>
    <w:rsid w:val="000B79C3"/>
    <w:rsid w:val="000B7AEC"/>
    <w:rsid w:val="000B7DBF"/>
    <w:rsid w:val="000B7E40"/>
    <w:rsid w:val="000B7F63"/>
    <w:rsid w:val="000B7F8F"/>
    <w:rsid w:val="000B7F98"/>
    <w:rsid w:val="000C0107"/>
    <w:rsid w:val="000C0209"/>
    <w:rsid w:val="000C0292"/>
    <w:rsid w:val="000C0303"/>
    <w:rsid w:val="000C032C"/>
    <w:rsid w:val="000C036A"/>
    <w:rsid w:val="000C04DE"/>
    <w:rsid w:val="000C05C9"/>
    <w:rsid w:val="000C0821"/>
    <w:rsid w:val="000C08D8"/>
    <w:rsid w:val="000C0EE5"/>
    <w:rsid w:val="000C0F57"/>
    <w:rsid w:val="000C113A"/>
    <w:rsid w:val="000C1349"/>
    <w:rsid w:val="000C149C"/>
    <w:rsid w:val="000C1694"/>
    <w:rsid w:val="000C1B11"/>
    <w:rsid w:val="000C1BDF"/>
    <w:rsid w:val="000C1C90"/>
    <w:rsid w:val="000C2202"/>
    <w:rsid w:val="000C226B"/>
    <w:rsid w:val="000C2292"/>
    <w:rsid w:val="000C22E1"/>
    <w:rsid w:val="000C231F"/>
    <w:rsid w:val="000C2469"/>
    <w:rsid w:val="000C297F"/>
    <w:rsid w:val="000C2A50"/>
    <w:rsid w:val="000C2C59"/>
    <w:rsid w:val="000C30A1"/>
    <w:rsid w:val="000C326D"/>
    <w:rsid w:val="000C32F8"/>
    <w:rsid w:val="000C353D"/>
    <w:rsid w:val="000C35A6"/>
    <w:rsid w:val="000C3669"/>
    <w:rsid w:val="000C370A"/>
    <w:rsid w:val="000C37A6"/>
    <w:rsid w:val="000C3A65"/>
    <w:rsid w:val="000C3EC7"/>
    <w:rsid w:val="000C3F6C"/>
    <w:rsid w:val="000C40FD"/>
    <w:rsid w:val="000C42EA"/>
    <w:rsid w:val="000C4546"/>
    <w:rsid w:val="000C46B3"/>
    <w:rsid w:val="000C48E6"/>
    <w:rsid w:val="000C56D0"/>
    <w:rsid w:val="000C5882"/>
    <w:rsid w:val="000C5A0B"/>
    <w:rsid w:val="000C5C72"/>
    <w:rsid w:val="000C5CC3"/>
    <w:rsid w:val="000C5DAE"/>
    <w:rsid w:val="000C6122"/>
    <w:rsid w:val="000C71D7"/>
    <w:rsid w:val="000C7438"/>
    <w:rsid w:val="000C743F"/>
    <w:rsid w:val="000C7597"/>
    <w:rsid w:val="000C75BA"/>
    <w:rsid w:val="000C7D1B"/>
    <w:rsid w:val="000D0318"/>
    <w:rsid w:val="000D04B5"/>
    <w:rsid w:val="000D04CA"/>
    <w:rsid w:val="000D0B52"/>
    <w:rsid w:val="000D0C5F"/>
    <w:rsid w:val="000D0EF9"/>
    <w:rsid w:val="000D1242"/>
    <w:rsid w:val="000D128F"/>
    <w:rsid w:val="000D1704"/>
    <w:rsid w:val="000D1BDA"/>
    <w:rsid w:val="000D1C5C"/>
    <w:rsid w:val="000D1D4B"/>
    <w:rsid w:val="000D1D97"/>
    <w:rsid w:val="000D1F6B"/>
    <w:rsid w:val="000D1FAA"/>
    <w:rsid w:val="000D213C"/>
    <w:rsid w:val="000D23E9"/>
    <w:rsid w:val="000D2696"/>
    <w:rsid w:val="000D275A"/>
    <w:rsid w:val="000D27F3"/>
    <w:rsid w:val="000D2ABA"/>
    <w:rsid w:val="000D2C58"/>
    <w:rsid w:val="000D2CAB"/>
    <w:rsid w:val="000D2F83"/>
    <w:rsid w:val="000D2FBE"/>
    <w:rsid w:val="000D3070"/>
    <w:rsid w:val="000D3101"/>
    <w:rsid w:val="000D3827"/>
    <w:rsid w:val="000D3C73"/>
    <w:rsid w:val="000D428D"/>
    <w:rsid w:val="000D4967"/>
    <w:rsid w:val="000D4DDB"/>
    <w:rsid w:val="000D4F58"/>
    <w:rsid w:val="000D501E"/>
    <w:rsid w:val="000D5948"/>
    <w:rsid w:val="000D5CC7"/>
    <w:rsid w:val="000D6169"/>
    <w:rsid w:val="000D617F"/>
    <w:rsid w:val="000D628F"/>
    <w:rsid w:val="000D6A54"/>
    <w:rsid w:val="000D6C1E"/>
    <w:rsid w:val="000D7238"/>
    <w:rsid w:val="000D729E"/>
    <w:rsid w:val="000D7428"/>
    <w:rsid w:val="000D7473"/>
    <w:rsid w:val="000D77DE"/>
    <w:rsid w:val="000D7AC2"/>
    <w:rsid w:val="000D7FED"/>
    <w:rsid w:val="000E02C8"/>
    <w:rsid w:val="000E0970"/>
    <w:rsid w:val="000E0972"/>
    <w:rsid w:val="000E09C4"/>
    <w:rsid w:val="000E0C38"/>
    <w:rsid w:val="000E0E1D"/>
    <w:rsid w:val="000E0FDD"/>
    <w:rsid w:val="000E169C"/>
    <w:rsid w:val="000E1922"/>
    <w:rsid w:val="000E1ABC"/>
    <w:rsid w:val="000E1C0B"/>
    <w:rsid w:val="000E1FDF"/>
    <w:rsid w:val="000E20D8"/>
    <w:rsid w:val="000E20F2"/>
    <w:rsid w:val="000E22A8"/>
    <w:rsid w:val="000E22AC"/>
    <w:rsid w:val="000E266C"/>
    <w:rsid w:val="000E26C1"/>
    <w:rsid w:val="000E28B8"/>
    <w:rsid w:val="000E2998"/>
    <w:rsid w:val="000E2A68"/>
    <w:rsid w:val="000E31F7"/>
    <w:rsid w:val="000E337C"/>
    <w:rsid w:val="000E33A4"/>
    <w:rsid w:val="000E3464"/>
    <w:rsid w:val="000E353B"/>
    <w:rsid w:val="000E3567"/>
    <w:rsid w:val="000E35EC"/>
    <w:rsid w:val="000E36DE"/>
    <w:rsid w:val="000E3C90"/>
    <w:rsid w:val="000E3CC7"/>
    <w:rsid w:val="000E4321"/>
    <w:rsid w:val="000E48BD"/>
    <w:rsid w:val="000E4916"/>
    <w:rsid w:val="000E4C84"/>
    <w:rsid w:val="000E4C9A"/>
    <w:rsid w:val="000E4D9E"/>
    <w:rsid w:val="000E4DB5"/>
    <w:rsid w:val="000E530B"/>
    <w:rsid w:val="000E5753"/>
    <w:rsid w:val="000E59D4"/>
    <w:rsid w:val="000E5A17"/>
    <w:rsid w:val="000E5D7C"/>
    <w:rsid w:val="000E6286"/>
    <w:rsid w:val="000E633B"/>
    <w:rsid w:val="000E67D5"/>
    <w:rsid w:val="000E6A5E"/>
    <w:rsid w:val="000E6A6E"/>
    <w:rsid w:val="000E6BD4"/>
    <w:rsid w:val="000E6CA4"/>
    <w:rsid w:val="000E6D6D"/>
    <w:rsid w:val="000E701E"/>
    <w:rsid w:val="000E7E1E"/>
    <w:rsid w:val="000F0151"/>
    <w:rsid w:val="000F02B2"/>
    <w:rsid w:val="000F0315"/>
    <w:rsid w:val="000F05C5"/>
    <w:rsid w:val="000F0753"/>
    <w:rsid w:val="000F08B6"/>
    <w:rsid w:val="000F0EDC"/>
    <w:rsid w:val="000F0F91"/>
    <w:rsid w:val="000F0FB7"/>
    <w:rsid w:val="000F122D"/>
    <w:rsid w:val="000F1425"/>
    <w:rsid w:val="000F1653"/>
    <w:rsid w:val="000F18C0"/>
    <w:rsid w:val="000F1BCA"/>
    <w:rsid w:val="000F1D2C"/>
    <w:rsid w:val="000F1F1E"/>
    <w:rsid w:val="000F2259"/>
    <w:rsid w:val="000F23C0"/>
    <w:rsid w:val="000F2469"/>
    <w:rsid w:val="000F2627"/>
    <w:rsid w:val="000F2835"/>
    <w:rsid w:val="000F2D22"/>
    <w:rsid w:val="000F2D8B"/>
    <w:rsid w:val="000F2DDA"/>
    <w:rsid w:val="000F2EA0"/>
    <w:rsid w:val="000F2F2D"/>
    <w:rsid w:val="000F2F61"/>
    <w:rsid w:val="000F302E"/>
    <w:rsid w:val="000F3200"/>
    <w:rsid w:val="000F3271"/>
    <w:rsid w:val="000F339A"/>
    <w:rsid w:val="000F35D2"/>
    <w:rsid w:val="000F35F7"/>
    <w:rsid w:val="000F3650"/>
    <w:rsid w:val="000F3791"/>
    <w:rsid w:val="000F3F87"/>
    <w:rsid w:val="000F3FC2"/>
    <w:rsid w:val="000F40CA"/>
    <w:rsid w:val="000F4334"/>
    <w:rsid w:val="000F4377"/>
    <w:rsid w:val="000F466E"/>
    <w:rsid w:val="000F47D9"/>
    <w:rsid w:val="000F4DE1"/>
    <w:rsid w:val="000F4F8B"/>
    <w:rsid w:val="000F5018"/>
    <w:rsid w:val="000F5213"/>
    <w:rsid w:val="000F5261"/>
    <w:rsid w:val="000F52AB"/>
    <w:rsid w:val="000F531C"/>
    <w:rsid w:val="000F5693"/>
    <w:rsid w:val="000F5ADD"/>
    <w:rsid w:val="000F5AFA"/>
    <w:rsid w:val="000F6139"/>
    <w:rsid w:val="000F6430"/>
    <w:rsid w:val="000F6505"/>
    <w:rsid w:val="000F651C"/>
    <w:rsid w:val="000F65E9"/>
    <w:rsid w:val="000F66D3"/>
    <w:rsid w:val="000F6BA4"/>
    <w:rsid w:val="000F6ED9"/>
    <w:rsid w:val="000F72AC"/>
    <w:rsid w:val="000F7621"/>
    <w:rsid w:val="000F775E"/>
    <w:rsid w:val="000F797B"/>
    <w:rsid w:val="000F7A5A"/>
    <w:rsid w:val="000F7CD1"/>
    <w:rsid w:val="000F7DBC"/>
    <w:rsid w:val="0010063E"/>
    <w:rsid w:val="001006FD"/>
    <w:rsid w:val="0010084C"/>
    <w:rsid w:val="00100995"/>
    <w:rsid w:val="00100D89"/>
    <w:rsid w:val="00101001"/>
    <w:rsid w:val="0010113D"/>
    <w:rsid w:val="0010150C"/>
    <w:rsid w:val="001015D8"/>
    <w:rsid w:val="00101654"/>
    <w:rsid w:val="001016E7"/>
    <w:rsid w:val="00101C4F"/>
    <w:rsid w:val="00101D5D"/>
    <w:rsid w:val="00102336"/>
    <w:rsid w:val="00102361"/>
    <w:rsid w:val="001026D2"/>
    <w:rsid w:val="001028CA"/>
    <w:rsid w:val="00102A8A"/>
    <w:rsid w:val="00102BAB"/>
    <w:rsid w:val="00102DBC"/>
    <w:rsid w:val="00102EE2"/>
    <w:rsid w:val="00103276"/>
    <w:rsid w:val="00103758"/>
    <w:rsid w:val="00103926"/>
    <w:rsid w:val="00103929"/>
    <w:rsid w:val="0010392D"/>
    <w:rsid w:val="00103E8C"/>
    <w:rsid w:val="0010403E"/>
    <w:rsid w:val="00104198"/>
    <w:rsid w:val="00104261"/>
    <w:rsid w:val="0010447F"/>
    <w:rsid w:val="001044E6"/>
    <w:rsid w:val="00104AA0"/>
    <w:rsid w:val="00104E69"/>
    <w:rsid w:val="00104F12"/>
    <w:rsid w:val="00104F85"/>
    <w:rsid w:val="00104FE3"/>
    <w:rsid w:val="00105309"/>
    <w:rsid w:val="001056D6"/>
    <w:rsid w:val="0010571E"/>
    <w:rsid w:val="00105D4D"/>
    <w:rsid w:val="00105E43"/>
    <w:rsid w:val="0010620F"/>
    <w:rsid w:val="00106478"/>
    <w:rsid w:val="00106660"/>
    <w:rsid w:val="001067F3"/>
    <w:rsid w:val="00106949"/>
    <w:rsid w:val="00106979"/>
    <w:rsid w:val="00106C60"/>
    <w:rsid w:val="0010700C"/>
    <w:rsid w:val="0010714F"/>
    <w:rsid w:val="00107163"/>
    <w:rsid w:val="001079B5"/>
    <w:rsid w:val="00107B9D"/>
    <w:rsid w:val="00107CF5"/>
    <w:rsid w:val="00107D86"/>
    <w:rsid w:val="00110017"/>
    <w:rsid w:val="0011011F"/>
    <w:rsid w:val="00110793"/>
    <w:rsid w:val="0011095F"/>
    <w:rsid w:val="00110A26"/>
    <w:rsid w:val="00110D20"/>
    <w:rsid w:val="00110D3D"/>
    <w:rsid w:val="00111106"/>
    <w:rsid w:val="00111314"/>
    <w:rsid w:val="00111AFF"/>
    <w:rsid w:val="00111B19"/>
    <w:rsid w:val="00111F34"/>
    <w:rsid w:val="001120C5"/>
    <w:rsid w:val="001120EB"/>
    <w:rsid w:val="00112297"/>
    <w:rsid w:val="001124EB"/>
    <w:rsid w:val="00112665"/>
    <w:rsid w:val="0011299B"/>
    <w:rsid w:val="001129D7"/>
    <w:rsid w:val="001129F3"/>
    <w:rsid w:val="00113078"/>
    <w:rsid w:val="0011340D"/>
    <w:rsid w:val="00113597"/>
    <w:rsid w:val="001136D9"/>
    <w:rsid w:val="00113979"/>
    <w:rsid w:val="0011397B"/>
    <w:rsid w:val="00113C6C"/>
    <w:rsid w:val="0011404E"/>
    <w:rsid w:val="0011408B"/>
    <w:rsid w:val="00114182"/>
    <w:rsid w:val="0011422E"/>
    <w:rsid w:val="00114410"/>
    <w:rsid w:val="00114420"/>
    <w:rsid w:val="00114488"/>
    <w:rsid w:val="0011460B"/>
    <w:rsid w:val="00114746"/>
    <w:rsid w:val="00114978"/>
    <w:rsid w:val="00114B27"/>
    <w:rsid w:val="00114E1E"/>
    <w:rsid w:val="0011541D"/>
    <w:rsid w:val="001158E8"/>
    <w:rsid w:val="00115A3F"/>
    <w:rsid w:val="00115B36"/>
    <w:rsid w:val="00115B43"/>
    <w:rsid w:val="00115B46"/>
    <w:rsid w:val="00115E77"/>
    <w:rsid w:val="00115F07"/>
    <w:rsid w:val="00116121"/>
    <w:rsid w:val="001161CB"/>
    <w:rsid w:val="00116509"/>
    <w:rsid w:val="00116AE9"/>
    <w:rsid w:val="00116D24"/>
    <w:rsid w:val="0011705D"/>
    <w:rsid w:val="0011707E"/>
    <w:rsid w:val="00117115"/>
    <w:rsid w:val="00117364"/>
    <w:rsid w:val="00120006"/>
    <w:rsid w:val="00120240"/>
    <w:rsid w:val="001202C9"/>
    <w:rsid w:val="001204C0"/>
    <w:rsid w:val="001205AE"/>
    <w:rsid w:val="00120917"/>
    <w:rsid w:val="00120BD3"/>
    <w:rsid w:val="00120E78"/>
    <w:rsid w:val="00120FED"/>
    <w:rsid w:val="0012110D"/>
    <w:rsid w:val="00121453"/>
    <w:rsid w:val="00121766"/>
    <w:rsid w:val="00121C4B"/>
    <w:rsid w:val="00121D23"/>
    <w:rsid w:val="00121D74"/>
    <w:rsid w:val="001220D2"/>
    <w:rsid w:val="00122291"/>
    <w:rsid w:val="001225E1"/>
    <w:rsid w:val="001226F7"/>
    <w:rsid w:val="00122899"/>
    <w:rsid w:val="00122C08"/>
    <w:rsid w:val="00122CA1"/>
    <w:rsid w:val="00122D1B"/>
    <w:rsid w:val="00122FEA"/>
    <w:rsid w:val="00123232"/>
    <w:rsid w:val="001232BD"/>
    <w:rsid w:val="00123349"/>
    <w:rsid w:val="001234F8"/>
    <w:rsid w:val="001236DC"/>
    <w:rsid w:val="001237DE"/>
    <w:rsid w:val="00123814"/>
    <w:rsid w:val="00123940"/>
    <w:rsid w:val="00123985"/>
    <w:rsid w:val="00123B11"/>
    <w:rsid w:val="00123CE8"/>
    <w:rsid w:val="00123DCB"/>
    <w:rsid w:val="00123E14"/>
    <w:rsid w:val="0012432A"/>
    <w:rsid w:val="001243BD"/>
    <w:rsid w:val="001243C2"/>
    <w:rsid w:val="00124573"/>
    <w:rsid w:val="0012470C"/>
    <w:rsid w:val="0012488F"/>
    <w:rsid w:val="001249E7"/>
    <w:rsid w:val="00124A9F"/>
    <w:rsid w:val="00124ED5"/>
    <w:rsid w:val="00125051"/>
    <w:rsid w:val="001250F9"/>
    <w:rsid w:val="00125129"/>
    <w:rsid w:val="00125368"/>
    <w:rsid w:val="00125679"/>
    <w:rsid w:val="001256AC"/>
    <w:rsid w:val="00125824"/>
    <w:rsid w:val="0012597E"/>
    <w:rsid w:val="00125CD9"/>
    <w:rsid w:val="001261E4"/>
    <w:rsid w:val="00126308"/>
    <w:rsid w:val="0012665A"/>
    <w:rsid w:val="00126711"/>
    <w:rsid w:val="00126739"/>
    <w:rsid w:val="00126879"/>
    <w:rsid w:val="00126CB1"/>
    <w:rsid w:val="00126CDF"/>
    <w:rsid w:val="001272B9"/>
    <w:rsid w:val="001272C2"/>
    <w:rsid w:val="00127699"/>
    <w:rsid w:val="001276FA"/>
    <w:rsid w:val="0012776C"/>
    <w:rsid w:val="00127815"/>
    <w:rsid w:val="00127904"/>
    <w:rsid w:val="00127DA3"/>
    <w:rsid w:val="00127F63"/>
    <w:rsid w:val="00130226"/>
    <w:rsid w:val="001305F2"/>
    <w:rsid w:val="001309D2"/>
    <w:rsid w:val="00130C18"/>
    <w:rsid w:val="00131738"/>
    <w:rsid w:val="00131763"/>
    <w:rsid w:val="001318B6"/>
    <w:rsid w:val="001318DF"/>
    <w:rsid w:val="00131D35"/>
    <w:rsid w:val="00131DB1"/>
    <w:rsid w:val="001320A6"/>
    <w:rsid w:val="001322F2"/>
    <w:rsid w:val="0013262A"/>
    <w:rsid w:val="00132762"/>
    <w:rsid w:val="001328B1"/>
    <w:rsid w:val="00132CFB"/>
    <w:rsid w:val="00132D66"/>
    <w:rsid w:val="00132E0A"/>
    <w:rsid w:val="0013302B"/>
    <w:rsid w:val="001332F8"/>
    <w:rsid w:val="00133332"/>
    <w:rsid w:val="00133835"/>
    <w:rsid w:val="00133EDD"/>
    <w:rsid w:val="00133F8A"/>
    <w:rsid w:val="001340C4"/>
    <w:rsid w:val="00134118"/>
    <w:rsid w:val="001341D5"/>
    <w:rsid w:val="0013445F"/>
    <w:rsid w:val="001346AC"/>
    <w:rsid w:val="0013480E"/>
    <w:rsid w:val="00134B9A"/>
    <w:rsid w:val="00134C62"/>
    <w:rsid w:val="00134EDF"/>
    <w:rsid w:val="0013500F"/>
    <w:rsid w:val="001351B9"/>
    <w:rsid w:val="0013576A"/>
    <w:rsid w:val="001359E9"/>
    <w:rsid w:val="00135B63"/>
    <w:rsid w:val="00135F2D"/>
    <w:rsid w:val="00135FE3"/>
    <w:rsid w:val="00136118"/>
    <w:rsid w:val="00136275"/>
    <w:rsid w:val="001362AD"/>
    <w:rsid w:val="001362FB"/>
    <w:rsid w:val="00136458"/>
    <w:rsid w:val="001364ED"/>
    <w:rsid w:val="00136723"/>
    <w:rsid w:val="0013692C"/>
    <w:rsid w:val="00136A65"/>
    <w:rsid w:val="00136CD4"/>
    <w:rsid w:val="00136F5C"/>
    <w:rsid w:val="001373D9"/>
    <w:rsid w:val="00137E19"/>
    <w:rsid w:val="0014004D"/>
    <w:rsid w:val="001400F3"/>
    <w:rsid w:val="00140298"/>
    <w:rsid w:val="0014034E"/>
    <w:rsid w:val="001403F3"/>
    <w:rsid w:val="0014041C"/>
    <w:rsid w:val="00140581"/>
    <w:rsid w:val="001405C3"/>
    <w:rsid w:val="001406DF"/>
    <w:rsid w:val="00140CCF"/>
    <w:rsid w:val="0014119E"/>
    <w:rsid w:val="00141322"/>
    <w:rsid w:val="00141573"/>
    <w:rsid w:val="00141845"/>
    <w:rsid w:val="00141A83"/>
    <w:rsid w:val="00141DEC"/>
    <w:rsid w:val="00141E68"/>
    <w:rsid w:val="001423F1"/>
    <w:rsid w:val="001427D7"/>
    <w:rsid w:val="00142813"/>
    <w:rsid w:val="00142864"/>
    <w:rsid w:val="00142B03"/>
    <w:rsid w:val="00142B0E"/>
    <w:rsid w:val="00142F37"/>
    <w:rsid w:val="00142F4F"/>
    <w:rsid w:val="00142F62"/>
    <w:rsid w:val="00142FA6"/>
    <w:rsid w:val="00143333"/>
    <w:rsid w:val="0014353E"/>
    <w:rsid w:val="00143AC6"/>
    <w:rsid w:val="00143C0D"/>
    <w:rsid w:val="001447B3"/>
    <w:rsid w:val="001447D0"/>
    <w:rsid w:val="00144865"/>
    <w:rsid w:val="00144900"/>
    <w:rsid w:val="00144B0E"/>
    <w:rsid w:val="00144EF3"/>
    <w:rsid w:val="001451B0"/>
    <w:rsid w:val="001453B0"/>
    <w:rsid w:val="001459D9"/>
    <w:rsid w:val="001464CB"/>
    <w:rsid w:val="00146730"/>
    <w:rsid w:val="00146760"/>
    <w:rsid w:val="001468CC"/>
    <w:rsid w:val="001469A7"/>
    <w:rsid w:val="00146A9C"/>
    <w:rsid w:val="00146E6C"/>
    <w:rsid w:val="00146EE3"/>
    <w:rsid w:val="00147244"/>
    <w:rsid w:val="0014734B"/>
    <w:rsid w:val="00147403"/>
    <w:rsid w:val="001475DD"/>
    <w:rsid w:val="00147B00"/>
    <w:rsid w:val="00147B98"/>
    <w:rsid w:val="00147E86"/>
    <w:rsid w:val="001505CC"/>
    <w:rsid w:val="0015079B"/>
    <w:rsid w:val="00150D69"/>
    <w:rsid w:val="00151B2D"/>
    <w:rsid w:val="00151C68"/>
    <w:rsid w:val="00151EE8"/>
    <w:rsid w:val="00152073"/>
    <w:rsid w:val="001522B4"/>
    <w:rsid w:val="00152329"/>
    <w:rsid w:val="00152983"/>
    <w:rsid w:val="00152AF7"/>
    <w:rsid w:val="00152CE6"/>
    <w:rsid w:val="00152F81"/>
    <w:rsid w:val="001530AA"/>
    <w:rsid w:val="001530C3"/>
    <w:rsid w:val="001531E1"/>
    <w:rsid w:val="001532F3"/>
    <w:rsid w:val="00153361"/>
    <w:rsid w:val="00153876"/>
    <w:rsid w:val="00153B00"/>
    <w:rsid w:val="00153B17"/>
    <w:rsid w:val="00153B6B"/>
    <w:rsid w:val="00153D6A"/>
    <w:rsid w:val="00153D9E"/>
    <w:rsid w:val="00153DEE"/>
    <w:rsid w:val="001540AC"/>
    <w:rsid w:val="00154167"/>
    <w:rsid w:val="001541C1"/>
    <w:rsid w:val="0015429A"/>
    <w:rsid w:val="001543FA"/>
    <w:rsid w:val="001544CF"/>
    <w:rsid w:val="001544F3"/>
    <w:rsid w:val="001545F6"/>
    <w:rsid w:val="0015494E"/>
    <w:rsid w:val="00154B5B"/>
    <w:rsid w:val="00154BDD"/>
    <w:rsid w:val="00154CA9"/>
    <w:rsid w:val="00154D71"/>
    <w:rsid w:val="00154D8F"/>
    <w:rsid w:val="00154FDF"/>
    <w:rsid w:val="0015506E"/>
    <w:rsid w:val="00155898"/>
    <w:rsid w:val="00155ABC"/>
    <w:rsid w:val="00155B00"/>
    <w:rsid w:val="00155D28"/>
    <w:rsid w:val="00155D67"/>
    <w:rsid w:val="0015632E"/>
    <w:rsid w:val="00156598"/>
    <w:rsid w:val="00156DD6"/>
    <w:rsid w:val="00156F89"/>
    <w:rsid w:val="001572E4"/>
    <w:rsid w:val="0015758F"/>
    <w:rsid w:val="001577C5"/>
    <w:rsid w:val="001579A2"/>
    <w:rsid w:val="00157DDB"/>
    <w:rsid w:val="00157DF1"/>
    <w:rsid w:val="0015B647"/>
    <w:rsid w:val="0016001B"/>
    <w:rsid w:val="001607B0"/>
    <w:rsid w:val="00160C0F"/>
    <w:rsid w:val="00160C5B"/>
    <w:rsid w:val="00160E30"/>
    <w:rsid w:val="00161380"/>
    <w:rsid w:val="00161408"/>
    <w:rsid w:val="001618BA"/>
    <w:rsid w:val="00161939"/>
    <w:rsid w:val="00161AA0"/>
    <w:rsid w:val="00161AE5"/>
    <w:rsid w:val="00161D2E"/>
    <w:rsid w:val="00161E0D"/>
    <w:rsid w:val="00161F3E"/>
    <w:rsid w:val="00162093"/>
    <w:rsid w:val="00162435"/>
    <w:rsid w:val="00162541"/>
    <w:rsid w:val="00162998"/>
    <w:rsid w:val="00162AF2"/>
    <w:rsid w:val="00162B5C"/>
    <w:rsid w:val="00162BD7"/>
    <w:rsid w:val="00162CA9"/>
    <w:rsid w:val="0016359E"/>
    <w:rsid w:val="0016375A"/>
    <w:rsid w:val="0016384E"/>
    <w:rsid w:val="00164493"/>
    <w:rsid w:val="0016475B"/>
    <w:rsid w:val="001649A5"/>
    <w:rsid w:val="00164A5B"/>
    <w:rsid w:val="00164A9A"/>
    <w:rsid w:val="00164B12"/>
    <w:rsid w:val="00164FCC"/>
    <w:rsid w:val="00165163"/>
    <w:rsid w:val="00165459"/>
    <w:rsid w:val="00165594"/>
    <w:rsid w:val="001658C5"/>
    <w:rsid w:val="00165A13"/>
    <w:rsid w:val="00165A57"/>
    <w:rsid w:val="00165D43"/>
    <w:rsid w:val="00165E25"/>
    <w:rsid w:val="00166176"/>
    <w:rsid w:val="00166430"/>
    <w:rsid w:val="00166487"/>
    <w:rsid w:val="00166787"/>
    <w:rsid w:val="00166A50"/>
    <w:rsid w:val="00166BFC"/>
    <w:rsid w:val="00166C3F"/>
    <w:rsid w:val="0016702D"/>
    <w:rsid w:val="0016709E"/>
    <w:rsid w:val="0016712E"/>
    <w:rsid w:val="001672F1"/>
    <w:rsid w:val="0016737B"/>
    <w:rsid w:val="00167AFD"/>
    <w:rsid w:val="00167B24"/>
    <w:rsid w:val="001700A8"/>
    <w:rsid w:val="0017025D"/>
    <w:rsid w:val="00170743"/>
    <w:rsid w:val="001707A6"/>
    <w:rsid w:val="001708AA"/>
    <w:rsid w:val="00170904"/>
    <w:rsid w:val="00170B3A"/>
    <w:rsid w:val="00170CA8"/>
    <w:rsid w:val="001712C2"/>
    <w:rsid w:val="001712FD"/>
    <w:rsid w:val="00171576"/>
    <w:rsid w:val="00171609"/>
    <w:rsid w:val="00171924"/>
    <w:rsid w:val="00171B43"/>
    <w:rsid w:val="00171BC2"/>
    <w:rsid w:val="00171EE3"/>
    <w:rsid w:val="001727F8"/>
    <w:rsid w:val="001729D0"/>
    <w:rsid w:val="00172A2A"/>
    <w:rsid w:val="00172BAF"/>
    <w:rsid w:val="00172DEA"/>
    <w:rsid w:val="00172FD3"/>
    <w:rsid w:val="0017305D"/>
    <w:rsid w:val="0017313D"/>
    <w:rsid w:val="00173262"/>
    <w:rsid w:val="001739D8"/>
    <w:rsid w:val="00173B34"/>
    <w:rsid w:val="00173CB5"/>
    <w:rsid w:val="00173CC7"/>
    <w:rsid w:val="00173F3E"/>
    <w:rsid w:val="0017419F"/>
    <w:rsid w:val="00174424"/>
    <w:rsid w:val="00174581"/>
    <w:rsid w:val="001749A0"/>
    <w:rsid w:val="00174A13"/>
    <w:rsid w:val="00174A23"/>
    <w:rsid w:val="00174F43"/>
    <w:rsid w:val="00175088"/>
    <w:rsid w:val="00175181"/>
    <w:rsid w:val="00175BD8"/>
    <w:rsid w:val="00175D97"/>
    <w:rsid w:val="001760CE"/>
    <w:rsid w:val="00176192"/>
    <w:rsid w:val="00176327"/>
    <w:rsid w:val="001764CD"/>
    <w:rsid w:val="00176609"/>
    <w:rsid w:val="0017674D"/>
    <w:rsid w:val="00176750"/>
    <w:rsid w:val="00176947"/>
    <w:rsid w:val="001769F7"/>
    <w:rsid w:val="00176B73"/>
    <w:rsid w:val="00176F53"/>
    <w:rsid w:val="001771DD"/>
    <w:rsid w:val="00177516"/>
    <w:rsid w:val="00177665"/>
    <w:rsid w:val="0017770A"/>
    <w:rsid w:val="00177858"/>
    <w:rsid w:val="00177950"/>
    <w:rsid w:val="00177995"/>
    <w:rsid w:val="00177A8C"/>
    <w:rsid w:val="00177B11"/>
    <w:rsid w:val="00177F48"/>
    <w:rsid w:val="00180017"/>
    <w:rsid w:val="00180092"/>
    <w:rsid w:val="00180180"/>
    <w:rsid w:val="00180189"/>
    <w:rsid w:val="001809B8"/>
    <w:rsid w:val="00180AA3"/>
    <w:rsid w:val="00180B05"/>
    <w:rsid w:val="00180BA9"/>
    <w:rsid w:val="00180BC9"/>
    <w:rsid w:val="00180D3C"/>
    <w:rsid w:val="00180EF3"/>
    <w:rsid w:val="00181418"/>
    <w:rsid w:val="0018164D"/>
    <w:rsid w:val="00181820"/>
    <w:rsid w:val="001818E8"/>
    <w:rsid w:val="00181B4B"/>
    <w:rsid w:val="00181F88"/>
    <w:rsid w:val="00182022"/>
    <w:rsid w:val="0018227B"/>
    <w:rsid w:val="0018244E"/>
    <w:rsid w:val="00182451"/>
    <w:rsid w:val="0018247C"/>
    <w:rsid w:val="00182517"/>
    <w:rsid w:val="00182BD0"/>
    <w:rsid w:val="00182E35"/>
    <w:rsid w:val="00182E6E"/>
    <w:rsid w:val="00182F62"/>
    <w:rsid w:val="001831A1"/>
    <w:rsid w:val="00183343"/>
    <w:rsid w:val="001835D5"/>
    <w:rsid w:val="00183826"/>
    <w:rsid w:val="00183A6E"/>
    <w:rsid w:val="0018455C"/>
    <w:rsid w:val="0018482F"/>
    <w:rsid w:val="00184832"/>
    <w:rsid w:val="0018486C"/>
    <w:rsid w:val="00184D85"/>
    <w:rsid w:val="00184E4A"/>
    <w:rsid w:val="00184F8D"/>
    <w:rsid w:val="00185003"/>
    <w:rsid w:val="0018541B"/>
    <w:rsid w:val="0018548B"/>
    <w:rsid w:val="001854F4"/>
    <w:rsid w:val="0018577E"/>
    <w:rsid w:val="00185862"/>
    <w:rsid w:val="00185A8C"/>
    <w:rsid w:val="00185CED"/>
    <w:rsid w:val="00185D6B"/>
    <w:rsid w:val="00185F76"/>
    <w:rsid w:val="00185FC5"/>
    <w:rsid w:val="0018646F"/>
    <w:rsid w:val="0018691F"/>
    <w:rsid w:val="00186950"/>
    <w:rsid w:val="00186A4F"/>
    <w:rsid w:val="00186B33"/>
    <w:rsid w:val="00186C0E"/>
    <w:rsid w:val="00186C58"/>
    <w:rsid w:val="00186FAE"/>
    <w:rsid w:val="00187076"/>
    <w:rsid w:val="001871B7"/>
    <w:rsid w:val="0018738E"/>
    <w:rsid w:val="001873B7"/>
    <w:rsid w:val="0018765E"/>
    <w:rsid w:val="00187820"/>
    <w:rsid w:val="001902BB"/>
    <w:rsid w:val="00190497"/>
    <w:rsid w:val="001904A8"/>
    <w:rsid w:val="00190780"/>
    <w:rsid w:val="00190A30"/>
    <w:rsid w:val="00191036"/>
    <w:rsid w:val="0019169F"/>
    <w:rsid w:val="00191815"/>
    <w:rsid w:val="0019192A"/>
    <w:rsid w:val="00191B61"/>
    <w:rsid w:val="00191DF3"/>
    <w:rsid w:val="00191E2E"/>
    <w:rsid w:val="00191F41"/>
    <w:rsid w:val="00191F99"/>
    <w:rsid w:val="001929EA"/>
    <w:rsid w:val="00192AF6"/>
    <w:rsid w:val="00192CA9"/>
    <w:rsid w:val="00192F9D"/>
    <w:rsid w:val="001931AF"/>
    <w:rsid w:val="0019330D"/>
    <w:rsid w:val="00193388"/>
    <w:rsid w:val="001933C9"/>
    <w:rsid w:val="001934A2"/>
    <w:rsid w:val="001938D3"/>
    <w:rsid w:val="001938F7"/>
    <w:rsid w:val="00193AE3"/>
    <w:rsid w:val="00193FA0"/>
    <w:rsid w:val="001941E7"/>
    <w:rsid w:val="0019455A"/>
    <w:rsid w:val="00194696"/>
    <w:rsid w:val="00194703"/>
    <w:rsid w:val="00194706"/>
    <w:rsid w:val="001948E7"/>
    <w:rsid w:val="00194C8B"/>
    <w:rsid w:val="00194D6B"/>
    <w:rsid w:val="00195023"/>
    <w:rsid w:val="00195039"/>
    <w:rsid w:val="001951C4"/>
    <w:rsid w:val="0019538C"/>
    <w:rsid w:val="00195712"/>
    <w:rsid w:val="00195730"/>
    <w:rsid w:val="00195812"/>
    <w:rsid w:val="00195845"/>
    <w:rsid w:val="00195B4E"/>
    <w:rsid w:val="00195CE7"/>
    <w:rsid w:val="00195D79"/>
    <w:rsid w:val="0019605E"/>
    <w:rsid w:val="00196400"/>
    <w:rsid w:val="00196474"/>
    <w:rsid w:val="0019653C"/>
    <w:rsid w:val="001965C0"/>
    <w:rsid w:val="00196847"/>
    <w:rsid w:val="001969F3"/>
    <w:rsid w:val="00196D34"/>
    <w:rsid w:val="00196EB8"/>
    <w:rsid w:val="00196EFB"/>
    <w:rsid w:val="00196F44"/>
    <w:rsid w:val="001970D6"/>
    <w:rsid w:val="00197105"/>
    <w:rsid w:val="001976E2"/>
    <w:rsid w:val="001978C6"/>
    <w:rsid w:val="001979AC"/>
    <w:rsid w:val="001979FF"/>
    <w:rsid w:val="00197A15"/>
    <w:rsid w:val="00197B17"/>
    <w:rsid w:val="001A00A9"/>
    <w:rsid w:val="001A0141"/>
    <w:rsid w:val="001A0265"/>
    <w:rsid w:val="001A0488"/>
    <w:rsid w:val="001A04D4"/>
    <w:rsid w:val="001A0669"/>
    <w:rsid w:val="001A07A3"/>
    <w:rsid w:val="001A07DC"/>
    <w:rsid w:val="001A0852"/>
    <w:rsid w:val="001A0BEA"/>
    <w:rsid w:val="001A1895"/>
    <w:rsid w:val="001A189C"/>
    <w:rsid w:val="001A1950"/>
    <w:rsid w:val="001A1C54"/>
    <w:rsid w:val="001A1E45"/>
    <w:rsid w:val="001A2258"/>
    <w:rsid w:val="001A2263"/>
    <w:rsid w:val="001A231B"/>
    <w:rsid w:val="001A26BB"/>
    <w:rsid w:val="001A27ED"/>
    <w:rsid w:val="001A298F"/>
    <w:rsid w:val="001A2A9D"/>
    <w:rsid w:val="001A2B10"/>
    <w:rsid w:val="001A2B11"/>
    <w:rsid w:val="001A2FFA"/>
    <w:rsid w:val="001A3201"/>
    <w:rsid w:val="001A3202"/>
    <w:rsid w:val="001A36ED"/>
    <w:rsid w:val="001A39DB"/>
    <w:rsid w:val="001A3ACE"/>
    <w:rsid w:val="001A3B9D"/>
    <w:rsid w:val="001A3D21"/>
    <w:rsid w:val="001A3E0B"/>
    <w:rsid w:val="001A3E42"/>
    <w:rsid w:val="001A4138"/>
    <w:rsid w:val="001A43DA"/>
    <w:rsid w:val="001A453F"/>
    <w:rsid w:val="001A468B"/>
    <w:rsid w:val="001A4860"/>
    <w:rsid w:val="001A4A7F"/>
    <w:rsid w:val="001A4AC0"/>
    <w:rsid w:val="001A4B17"/>
    <w:rsid w:val="001A4E0A"/>
    <w:rsid w:val="001A5283"/>
    <w:rsid w:val="001A52BC"/>
    <w:rsid w:val="001A5308"/>
    <w:rsid w:val="001A530C"/>
    <w:rsid w:val="001A5330"/>
    <w:rsid w:val="001A559A"/>
    <w:rsid w:val="001A55BD"/>
    <w:rsid w:val="001A5604"/>
    <w:rsid w:val="001A574C"/>
    <w:rsid w:val="001A619C"/>
    <w:rsid w:val="001A6272"/>
    <w:rsid w:val="001A627C"/>
    <w:rsid w:val="001A6432"/>
    <w:rsid w:val="001A6541"/>
    <w:rsid w:val="001A7165"/>
    <w:rsid w:val="001A721B"/>
    <w:rsid w:val="001A74C0"/>
    <w:rsid w:val="001A74D8"/>
    <w:rsid w:val="001A752F"/>
    <w:rsid w:val="001A79FC"/>
    <w:rsid w:val="001A7B86"/>
    <w:rsid w:val="001A7C56"/>
    <w:rsid w:val="001A7D98"/>
    <w:rsid w:val="001B0300"/>
    <w:rsid w:val="001B03D9"/>
    <w:rsid w:val="001B058F"/>
    <w:rsid w:val="001B0BEA"/>
    <w:rsid w:val="001B112C"/>
    <w:rsid w:val="001B1177"/>
    <w:rsid w:val="001B12A1"/>
    <w:rsid w:val="001B12C1"/>
    <w:rsid w:val="001B139A"/>
    <w:rsid w:val="001B1623"/>
    <w:rsid w:val="001B164B"/>
    <w:rsid w:val="001B16F4"/>
    <w:rsid w:val="001B1792"/>
    <w:rsid w:val="001B1BA3"/>
    <w:rsid w:val="001B1BE7"/>
    <w:rsid w:val="001B1C81"/>
    <w:rsid w:val="001B2412"/>
    <w:rsid w:val="001B2423"/>
    <w:rsid w:val="001B251E"/>
    <w:rsid w:val="001B2AF2"/>
    <w:rsid w:val="001B2D4A"/>
    <w:rsid w:val="001B2E29"/>
    <w:rsid w:val="001B2EB9"/>
    <w:rsid w:val="001B3029"/>
    <w:rsid w:val="001B303B"/>
    <w:rsid w:val="001B350F"/>
    <w:rsid w:val="001B355D"/>
    <w:rsid w:val="001B3918"/>
    <w:rsid w:val="001B3C0E"/>
    <w:rsid w:val="001B4AEA"/>
    <w:rsid w:val="001B4B67"/>
    <w:rsid w:val="001B4CA5"/>
    <w:rsid w:val="001B4CF9"/>
    <w:rsid w:val="001B4EB7"/>
    <w:rsid w:val="001B503F"/>
    <w:rsid w:val="001B5285"/>
    <w:rsid w:val="001B5347"/>
    <w:rsid w:val="001B5428"/>
    <w:rsid w:val="001B5441"/>
    <w:rsid w:val="001B5665"/>
    <w:rsid w:val="001B5690"/>
    <w:rsid w:val="001B5917"/>
    <w:rsid w:val="001B5B69"/>
    <w:rsid w:val="001B607F"/>
    <w:rsid w:val="001B62A6"/>
    <w:rsid w:val="001B676F"/>
    <w:rsid w:val="001B6B96"/>
    <w:rsid w:val="001B6E3D"/>
    <w:rsid w:val="001B7005"/>
    <w:rsid w:val="001B738B"/>
    <w:rsid w:val="001B73B5"/>
    <w:rsid w:val="001B750D"/>
    <w:rsid w:val="001B779F"/>
    <w:rsid w:val="001B7824"/>
    <w:rsid w:val="001B7836"/>
    <w:rsid w:val="001B784D"/>
    <w:rsid w:val="001B7ACE"/>
    <w:rsid w:val="001B7AF6"/>
    <w:rsid w:val="001B7D00"/>
    <w:rsid w:val="001B7DC1"/>
    <w:rsid w:val="001C00E9"/>
    <w:rsid w:val="001C0400"/>
    <w:rsid w:val="001C0691"/>
    <w:rsid w:val="001C090F"/>
    <w:rsid w:val="001C09DB"/>
    <w:rsid w:val="001C0B33"/>
    <w:rsid w:val="001C0E54"/>
    <w:rsid w:val="001C12A0"/>
    <w:rsid w:val="001C1559"/>
    <w:rsid w:val="001C17B3"/>
    <w:rsid w:val="001C1801"/>
    <w:rsid w:val="001C1958"/>
    <w:rsid w:val="001C1BC3"/>
    <w:rsid w:val="001C1F05"/>
    <w:rsid w:val="001C1F5F"/>
    <w:rsid w:val="001C1FD5"/>
    <w:rsid w:val="001C21CC"/>
    <w:rsid w:val="001C2388"/>
    <w:rsid w:val="001C24A0"/>
    <w:rsid w:val="001C26FB"/>
    <w:rsid w:val="001C277E"/>
    <w:rsid w:val="001C2A72"/>
    <w:rsid w:val="001C31B7"/>
    <w:rsid w:val="001C3268"/>
    <w:rsid w:val="001C3333"/>
    <w:rsid w:val="001C33E5"/>
    <w:rsid w:val="001C341C"/>
    <w:rsid w:val="001C343A"/>
    <w:rsid w:val="001C35BA"/>
    <w:rsid w:val="001C37CA"/>
    <w:rsid w:val="001C3800"/>
    <w:rsid w:val="001C3BED"/>
    <w:rsid w:val="001C3EC4"/>
    <w:rsid w:val="001C4216"/>
    <w:rsid w:val="001C44A7"/>
    <w:rsid w:val="001C44CA"/>
    <w:rsid w:val="001C459E"/>
    <w:rsid w:val="001C486C"/>
    <w:rsid w:val="001C4881"/>
    <w:rsid w:val="001C48A7"/>
    <w:rsid w:val="001C49B4"/>
    <w:rsid w:val="001C49EB"/>
    <w:rsid w:val="001C4C22"/>
    <w:rsid w:val="001C4E23"/>
    <w:rsid w:val="001C50E9"/>
    <w:rsid w:val="001C52DF"/>
    <w:rsid w:val="001C5718"/>
    <w:rsid w:val="001C5847"/>
    <w:rsid w:val="001C6543"/>
    <w:rsid w:val="001C65CD"/>
    <w:rsid w:val="001C67D7"/>
    <w:rsid w:val="001C6E5C"/>
    <w:rsid w:val="001C6E98"/>
    <w:rsid w:val="001C70F4"/>
    <w:rsid w:val="001C7442"/>
    <w:rsid w:val="001C7651"/>
    <w:rsid w:val="001C78BC"/>
    <w:rsid w:val="001C7C43"/>
    <w:rsid w:val="001C7D6E"/>
    <w:rsid w:val="001C7DDE"/>
    <w:rsid w:val="001C7F38"/>
    <w:rsid w:val="001D0851"/>
    <w:rsid w:val="001D0A8C"/>
    <w:rsid w:val="001D0B75"/>
    <w:rsid w:val="001D0DC8"/>
    <w:rsid w:val="001D112F"/>
    <w:rsid w:val="001D119D"/>
    <w:rsid w:val="001D1A56"/>
    <w:rsid w:val="001D2295"/>
    <w:rsid w:val="001D232D"/>
    <w:rsid w:val="001D2429"/>
    <w:rsid w:val="001D24ED"/>
    <w:rsid w:val="001D27A7"/>
    <w:rsid w:val="001D2823"/>
    <w:rsid w:val="001D28D1"/>
    <w:rsid w:val="001D2AA3"/>
    <w:rsid w:val="001D2DA4"/>
    <w:rsid w:val="001D2DE8"/>
    <w:rsid w:val="001D2DF5"/>
    <w:rsid w:val="001D31ED"/>
    <w:rsid w:val="001D39A5"/>
    <w:rsid w:val="001D3C06"/>
    <w:rsid w:val="001D3C09"/>
    <w:rsid w:val="001D3E57"/>
    <w:rsid w:val="001D3EC7"/>
    <w:rsid w:val="001D43C8"/>
    <w:rsid w:val="001D4419"/>
    <w:rsid w:val="001D44E8"/>
    <w:rsid w:val="001D4877"/>
    <w:rsid w:val="001D49D3"/>
    <w:rsid w:val="001D49DD"/>
    <w:rsid w:val="001D4BCA"/>
    <w:rsid w:val="001D4CD4"/>
    <w:rsid w:val="001D4E5D"/>
    <w:rsid w:val="001D4ED8"/>
    <w:rsid w:val="001D56F4"/>
    <w:rsid w:val="001D57A3"/>
    <w:rsid w:val="001D594B"/>
    <w:rsid w:val="001D5C57"/>
    <w:rsid w:val="001D5D3A"/>
    <w:rsid w:val="001D5DAD"/>
    <w:rsid w:val="001D60EC"/>
    <w:rsid w:val="001D6373"/>
    <w:rsid w:val="001D66FF"/>
    <w:rsid w:val="001D674E"/>
    <w:rsid w:val="001D683D"/>
    <w:rsid w:val="001D68A2"/>
    <w:rsid w:val="001D6B44"/>
    <w:rsid w:val="001D6BCD"/>
    <w:rsid w:val="001D6CA9"/>
    <w:rsid w:val="001D6F59"/>
    <w:rsid w:val="001D6F79"/>
    <w:rsid w:val="001D7002"/>
    <w:rsid w:val="001D71FE"/>
    <w:rsid w:val="001D725B"/>
    <w:rsid w:val="001D7414"/>
    <w:rsid w:val="001D7962"/>
    <w:rsid w:val="001D7BC3"/>
    <w:rsid w:val="001D7C3C"/>
    <w:rsid w:val="001D7CF8"/>
    <w:rsid w:val="001D7FD8"/>
    <w:rsid w:val="001E0004"/>
    <w:rsid w:val="001E0204"/>
    <w:rsid w:val="001E0410"/>
    <w:rsid w:val="001E04B2"/>
    <w:rsid w:val="001E04C0"/>
    <w:rsid w:val="001E09F2"/>
    <w:rsid w:val="001E0B7C"/>
    <w:rsid w:val="001E0BDC"/>
    <w:rsid w:val="001E0D82"/>
    <w:rsid w:val="001E0E43"/>
    <w:rsid w:val="001E1181"/>
    <w:rsid w:val="001E1320"/>
    <w:rsid w:val="001E148E"/>
    <w:rsid w:val="001E1533"/>
    <w:rsid w:val="001E1553"/>
    <w:rsid w:val="001E187C"/>
    <w:rsid w:val="001E1C68"/>
    <w:rsid w:val="001E1DF1"/>
    <w:rsid w:val="001E1E03"/>
    <w:rsid w:val="001E2061"/>
    <w:rsid w:val="001E225C"/>
    <w:rsid w:val="001E23E6"/>
    <w:rsid w:val="001E283A"/>
    <w:rsid w:val="001E299F"/>
    <w:rsid w:val="001E3182"/>
    <w:rsid w:val="001E35B7"/>
    <w:rsid w:val="001E3632"/>
    <w:rsid w:val="001E3688"/>
    <w:rsid w:val="001E38C9"/>
    <w:rsid w:val="001E3D53"/>
    <w:rsid w:val="001E3E4F"/>
    <w:rsid w:val="001E43DF"/>
    <w:rsid w:val="001E44DF"/>
    <w:rsid w:val="001E453A"/>
    <w:rsid w:val="001E45C0"/>
    <w:rsid w:val="001E45F6"/>
    <w:rsid w:val="001E49B8"/>
    <w:rsid w:val="001E4E50"/>
    <w:rsid w:val="001E4F6A"/>
    <w:rsid w:val="001E5182"/>
    <w:rsid w:val="001E5196"/>
    <w:rsid w:val="001E53B1"/>
    <w:rsid w:val="001E56C4"/>
    <w:rsid w:val="001E59EC"/>
    <w:rsid w:val="001E5B31"/>
    <w:rsid w:val="001E6054"/>
    <w:rsid w:val="001E626C"/>
    <w:rsid w:val="001E64E1"/>
    <w:rsid w:val="001E6627"/>
    <w:rsid w:val="001E667E"/>
    <w:rsid w:val="001E674E"/>
    <w:rsid w:val="001E67DB"/>
    <w:rsid w:val="001E68A5"/>
    <w:rsid w:val="001E6923"/>
    <w:rsid w:val="001E6938"/>
    <w:rsid w:val="001E69DB"/>
    <w:rsid w:val="001E6AEA"/>
    <w:rsid w:val="001E6BB0"/>
    <w:rsid w:val="001E6C22"/>
    <w:rsid w:val="001E70B6"/>
    <w:rsid w:val="001E7282"/>
    <w:rsid w:val="001E7483"/>
    <w:rsid w:val="001E74E8"/>
    <w:rsid w:val="001E75FB"/>
    <w:rsid w:val="001E77EA"/>
    <w:rsid w:val="001E7BF3"/>
    <w:rsid w:val="001E7CC5"/>
    <w:rsid w:val="001F008F"/>
    <w:rsid w:val="001F01B4"/>
    <w:rsid w:val="001F0345"/>
    <w:rsid w:val="001F038E"/>
    <w:rsid w:val="001F0417"/>
    <w:rsid w:val="001F05A4"/>
    <w:rsid w:val="001F05DB"/>
    <w:rsid w:val="001F085D"/>
    <w:rsid w:val="001F0A00"/>
    <w:rsid w:val="001F0B57"/>
    <w:rsid w:val="001F0B91"/>
    <w:rsid w:val="001F0BAD"/>
    <w:rsid w:val="001F0C4B"/>
    <w:rsid w:val="001F0FE6"/>
    <w:rsid w:val="001F0FF2"/>
    <w:rsid w:val="001F136F"/>
    <w:rsid w:val="001F1532"/>
    <w:rsid w:val="001F162A"/>
    <w:rsid w:val="001F1846"/>
    <w:rsid w:val="001F192C"/>
    <w:rsid w:val="001F19AD"/>
    <w:rsid w:val="001F1A91"/>
    <w:rsid w:val="001F1C1A"/>
    <w:rsid w:val="001F1D87"/>
    <w:rsid w:val="001F1F2F"/>
    <w:rsid w:val="001F1FDC"/>
    <w:rsid w:val="001F2519"/>
    <w:rsid w:val="001F264C"/>
    <w:rsid w:val="001F26B7"/>
    <w:rsid w:val="001F2A76"/>
    <w:rsid w:val="001F2BB6"/>
    <w:rsid w:val="001F2E0C"/>
    <w:rsid w:val="001F30A8"/>
    <w:rsid w:val="001F31BB"/>
    <w:rsid w:val="001F3302"/>
    <w:rsid w:val="001F3387"/>
    <w:rsid w:val="001F3472"/>
    <w:rsid w:val="001F37B5"/>
    <w:rsid w:val="001F3826"/>
    <w:rsid w:val="001F3944"/>
    <w:rsid w:val="001F3D72"/>
    <w:rsid w:val="001F3EA4"/>
    <w:rsid w:val="001F3EC7"/>
    <w:rsid w:val="001F4160"/>
    <w:rsid w:val="001F44FB"/>
    <w:rsid w:val="001F45A6"/>
    <w:rsid w:val="001F4643"/>
    <w:rsid w:val="001F46B5"/>
    <w:rsid w:val="001F48DB"/>
    <w:rsid w:val="001F4963"/>
    <w:rsid w:val="001F4FCB"/>
    <w:rsid w:val="001F52BB"/>
    <w:rsid w:val="001F52F4"/>
    <w:rsid w:val="001F5565"/>
    <w:rsid w:val="001F5608"/>
    <w:rsid w:val="001F5D9C"/>
    <w:rsid w:val="001F5E4D"/>
    <w:rsid w:val="001F606E"/>
    <w:rsid w:val="001F614B"/>
    <w:rsid w:val="001F61C8"/>
    <w:rsid w:val="001F6383"/>
    <w:rsid w:val="001F6647"/>
    <w:rsid w:val="001F6A2F"/>
    <w:rsid w:val="001F6CCB"/>
    <w:rsid w:val="001F6E2B"/>
    <w:rsid w:val="001F6E46"/>
    <w:rsid w:val="001F6EF2"/>
    <w:rsid w:val="001F6FF1"/>
    <w:rsid w:val="001F72D1"/>
    <w:rsid w:val="001F72D8"/>
    <w:rsid w:val="001F767D"/>
    <w:rsid w:val="001F76CB"/>
    <w:rsid w:val="001F7B1F"/>
    <w:rsid w:val="001F7C91"/>
    <w:rsid w:val="00200495"/>
    <w:rsid w:val="00200580"/>
    <w:rsid w:val="00200746"/>
    <w:rsid w:val="002008AE"/>
    <w:rsid w:val="00200A52"/>
    <w:rsid w:val="00200ABF"/>
    <w:rsid w:val="00200BC6"/>
    <w:rsid w:val="00200D72"/>
    <w:rsid w:val="0020123D"/>
    <w:rsid w:val="00201390"/>
    <w:rsid w:val="0020142C"/>
    <w:rsid w:val="002014A8"/>
    <w:rsid w:val="002015EC"/>
    <w:rsid w:val="002016FF"/>
    <w:rsid w:val="00201779"/>
    <w:rsid w:val="00201D51"/>
    <w:rsid w:val="002021CF"/>
    <w:rsid w:val="00202944"/>
    <w:rsid w:val="00202AA9"/>
    <w:rsid w:val="00202BFB"/>
    <w:rsid w:val="00202F21"/>
    <w:rsid w:val="0020339B"/>
    <w:rsid w:val="002033B7"/>
    <w:rsid w:val="00203928"/>
    <w:rsid w:val="00203A70"/>
    <w:rsid w:val="00203A94"/>
    <w:rsid w:val="002041AC"/>
    <w:rsid w:val="0020422C"/>
    <w:rsid w:val="00204262"/>
    <w:rsid w:val="0020430C"/>
    <w:rsid w:val="0020462D"/>
    <w:rsid w:val="002046C4"/>
    <w:rsid w:val="002047B7"/>
    <w:rsid w:val="00204B78"/>
    <w:rsid w:val="00204E7C"/>
    <w:rsid w:val="002051E9"/>
    <w:rsid w:val="00205216"/>
    <w:rsid w:val="00205314"/>
    <w:rsid w:val="002059D3"/>
    <w:rsid w:val="00205B62"/>
    <w:rsid w:val="00205C77"/>
    <w:rsid w:val="00205CA2"/>
    <w:rsid w:val="002061F4"/>
    <w:rsid w:val="00206463"/>
    <w:rsid w:val="0020656B"/>
    <w:rsid w:val="002068EC"/>
    <w:rsid w:val="00206F2F"/>
    <w:rsid w:val="002070FD"/>
    <w:rsid w:val="002071EA"/>
    <w:rsid w:val="002071F5"/>
    <w:rsid w:val="002072E2"/>
    <w:rsid w:val="00207491"/>
    <w:rsid w:val="00207575"/>
    <w:rsid w:val="002076AC"/>
    <w:rsid w:val="00207717"/>
    <w:rsid w:val="0020772A"/>
    <w:rsid w:val="00207743"/>
    <w:rsid w:val="00207ABB"/>
    <w:rsid w:val="00207ED5"/>
    <w:rsid w:val="00210350"/>
    <w:rsid w:val="00210413"/>
    <w:rsid w:val="0021053D"/>
    <w:rsid w:val="00210563"/>
    <w:rsid w:val="00210697"/>
    <w:rsid w:val="00210A1E"/>
    <w:rsid w:val="00210A92"/>
    <w:rsid w:val="0021132F"/>
    <w:rsid w:val="0021146F"/>
    <w:rsid w:val="0021158C"/>
    <w:rsid w:val="0021186B"/>
    <w:rsid w:val="002118D9"/>
    <w:rsid w:val="00211965"/>
    <w:rsid w:val="00211E6F"/>
    <w:rsid w:val="00211ED4"/>
    <w:rsid w:val="00212190"/>
    <w:rsid w:val="00212424"/>
    <w:rsid w:val="002129E4"/>
    <w:rsid w:val="002129EF"/>
    <w:rsid w:val="00212B95"/>
    <w:rsid w:val="00212E1D"/>
    <w:rsid w:val="00212F45"/>
    <w:rsid w:val="002130F9"/>
    <w:rsid w:val="0021314E"/>
    <w:rsid w:val="00213566"/>
    <w:rsid w:val="002135EB"/>
    <w:rsid w:val="00213613"/>
    <w:rsid w:val="0021361A"/>
    <w:rsid w:val="00213E13"/>
    <w:rsid w:val="00213E1A"/>
    <w:rsid w:val="00213EBD"/>
    <w:rsid w:val="002141B4"/>
    <w:rsid w:val="002141C5"/>
    <w:rsid w:val="00214223"/>
    <w:rsid w:val="002144D2"/>
    <w:rsid w:val="00214581"/>
    <w:rsid w:val="00214898"/>
    <w:rsid w:val="00214E68"/>
    <w:rsid w:val="00215134"/>
    <w:rsid w:val="002153EF"/>
    <w:rsid w:val="0021550F"/>
    <w:rsid w:val="002155F8"/>
    <w:rsid w:val="002158EA"/>
    <w:rsid w:val="00215C06"/>
    <w:rsid w:val="00215C0E"/>
    <w:rsid w:val="00215CC8"/>
    <w:rsid w:val="00215D34"/>
    <w:rsid w:val="00216171"/>
    <w:rsid w:val="002162C9"/>
    <w:rsid w:val="002165F4"/>
    <w:rsid w:val="002169F6"/>
    <w:rsid w:val="00216C03"/>
    <w:rsid w:val="00216D02"/>
    <w:rsid w:val="00216E39"/>
    <w:rsid w:val="00216F02"/>
    <w:rsid w:val="00216FEB"/>
    <w:rsid w:val="002173D4"/>
    <w:rsid w:val="002175F3"/>
    <w:rsid w:val="00217765"/>
    <w:rsid w:val="00217E0D"/>
    <w:rsid w:val="002201A7"/>
    <w:rsid w:val="002202FB"/>
    <w:rsid w:val="002203FD"/>
    <w:rsid w:val="00220463"/>
    <w:rsid w:val="002204BF"/>
    <w:rsid w:val="00220778"/>
    <w:rsid w:val="00220A1A"/>
    <w:rsid w:val="00220B49"/>
    <w:rsid w:val="00220C04"/>
    <w:rsid w:val="00220D07"/>
    <w:rsid w:val="0022121F"/>
    <w:rsid w:val="0022179F"/>
    <w:rsid w:val="002220A9"/>
    <w:rsid w:val="00222690"/>
    <w:rsid w:val="0022278D"/>
    <w:rsid w:val="002228E5"/>
    <w:rsid w:val="00222C57"/>
    <w:rsid w:val="00222CA4"/>
    <w:rsid w:val="00222EF4"/>
    <w:rsid w:val="00222FB9"/>
    <w:rsid w:val="002236BC"/>
    <w:rsid w:val="00223731"/>
    <w:rsid w:val="0022387F"/>
    <w:rsid w:val="002239D6"/>
    <w:rsid w:val="00223D7E"/>
    <w:rsid w:val="00224037"/>
    <w:rsid w:val="00224194"/>
    <w:rsid w:val="002242D2"/>
    <w:rsid w:val="00224635"/>
    <w:rsid w:val="002247E7"/>
    <w:rsid w:val="00224978"/>
    <w:rsid w:val="00224E98"/>
    <w:rsid w:val="00224F39"/>
    <w:rsid w:val="0022541E"/>
    <w:rsid w:val="0022591C"/>
    <w:rsid w:val="00225AAB"/>
    <w:rsid w:val="00225D19"/>
    <w:rsid w:val="00225F5A"/>
    <w:rsid w:val="00225FC2"/>
    <w:rsid w:val="002260B8"/>
    <w:rsid w:val="002263B1"/>
    <w:rsid w:val="00226486"/>
    <w:rsid w:val="00226907"/>
    <w:rsid w:val="0022691F"/>
    <w:rsid w:val="00226AAA"/>
    <w:rsid w:val="00226CB3"/>
    <w:rsid w:val="0022701F"/>
    <w:rsid w:val="002270C0"/>
    <w:rsid w:val="00227345"/>
    <w:rsid w:val="0022769C"/>
    <w:rsid w:val="00227725"/>
    <w:rsid w:val="00227957"/>
    <w:rsid w:val="00227AFE"/>
    <w:rsid w:val="00227B37"/>
    <w:rsid w:val="00227C00"/>
    <w:rsid w:val="00227C68"/>
    <w:rsid w:val="00227EC1"/>
    <w:rsid w:val="00230031"/>
    <w:rsid w:val="00230113"/>
    <w:rsid w:val="00230324"/>
    <w:rsid w:val="002303F9"/>
    <w:rsid w:val="00230564"/>
    <w:rsid w:val="00230607"/>
    <w:rsid w:val="00230AEA"/>
    <w:rsid w:val="00230D09"/>
    <w:rsid w:val="00230E03"/>
    <w:rsid w:val="00230EBF"/>
    <w:rsid w:val="00230EE1"/>
    <w:rsid w:val="00231576"/>
    <w:rsid w:val="00231795"/>
    <w:rsid w:val="00231B3D"/>
    <w:rsid w:val="00231C2C"/>
    <w:rsid w:val="00231D0A"/>
    <w:rsid w:val="00231D43"/>
    <w:rsid w:val="002326DF"/>
    <w:rsid w:val="00232954"/>
    <w:rsid w:val="00232A2A"/>
    <w:rsid w:val="00232FF5"/>
    <w:rsid w:val="0023314E"/>
    <w:rsid w:val="0023336F"/>
    <w:rsid w:val="002333F5"/>
    <w:rsid w:val="00233573"/>
    <w:rsid w:val="002335B9"/>
    <w:rsid w:val="00233724"/>
    <w:rsid w:val="00233A86"/>
    <w:rsid w:val="00233BA8"/>
    <w:rsid w:val="002346F5"/>
    <w:rsid w:val="0023491D"/>
    <w:rsid w:val="0023497E"/>
    <w:rsid w:val="00234A5D"/>
    <w:rsid w:val="00234C72"/>
    <w:rsid w:val="00234EA1"/>
    <w:rsid w:val="00234F04"/>
    <w:rsid w:val="002352F0"/>
    <w:rsid w:val="002354F5"/>
    <w:rsid w:val="0023550B"/>
    <w:rsid w:val="00235B25"/>
    <w:rsid w:val="00235C47"/>
    <w:rsid w:val="00235EC1"/>
    <w:rsid w:val="002361FA"/>
    <w:rsid w:val="0023645D"/>
    <w:rsid w:val="002364F3"/>
    <w:rsid w:val="0023657D"/>
    <w:rsid w:val="002365B4"/>
    <w:rsid w:val="002366FF"/>
    <w:rsid w:val="00236A56"/>
    <w:rsid w:val="00236D8D"/>
    <w:rsid w:val="00236ECA"/>
    <w:rsid w:val="00236F6E"/>
    <w:rsid w:val="00237087"/>
    <w:rsid w:val="002372ED"/>
    <w:rsid w:val="0023736E"/>
    <w:rsid w:val="002378BA"/>
    <w:rsid w:val="00237A2C"/>
    <w:rsid w:val="00237A44"/>
    <w:rsid w:val="00237C41"/>
    <w:rsid w:val="00240131"/>
    <w:rsid w:val="0024024F"/>
    <w:rsid w:val="002402BF"/>
    <w:rsid w:val="00240420"/>
    <w:rsid w:val="002405F8"/>
    <w:rsid w:val="002408E1"/>
    <w:rsid w:val="00240942"/>
    <w:rsid w:val="00240B20"/>
    <w:rsid w:val="00240D2E"/>
    <w:rsid w:val="00240E2F"/>
    <w:rsid w:val="00240E53"/>
    <w:rsid w:val="00241442"/>
    <w:rsid w:val="002415F0"/>
    <w:rsid w:val="0024176F"/>
    <w:rsid w:val="002417A5"/>
    <w:rsid w:val="002417BB"/>
    <w:rsid w:val="00241809"/>
    <w:rsid w:val="00241862"/>
    <w:rsid w:val="00241A46"/>
    <w:rsid w:val="00241D04"/>
    <w:rsid w:val="00241DCE"/>
    <w:rsid w:val="00241F0C"/>
    <w:rsid w:val="0024205F"/>
    <w:rsid w:val="00242436"/>
    <w:rsid w:val="00242738"/>
    <w:rsid w:val="00242F53"/>
    <w:rsid w:val="00243172"/>
    <w:rsid w:val="00243190"/>
    <w:rsid w:val="002432E1"/>
    <w:rsid w:val="002433E8"/>
    <w:rsid w:val="00243544"/>
    <w:rsid w:val="002435FD"/>
    <w:rsid w:val="00243855"/>
    <w:rsid w:val="00243B25"/>
    <w:rsid w:val="00243F96"/>
    <w:rsid w:val="002441C9"/>
    <w:rsid w:val="00244579"/>
    <w:rsid w:val="00244720"/>
    <w:rsid w:val="00244983"/>
    <w:rsid w:val="00244B98"/>
    <w:rsid w:val="00244B9B"/>
    <w:rsid w:val="00244C7F"/>
    <w:rsid w:val="00244E34"/>
    <w:rsid w:val="00244FCD"/>
    <w:rsid w:val="0024511B"/>
    <w:rsid w:val="0024513C"/>
    <w:rsid w:val="0024531E"/>
    <w:rsid w:val="00245321"/>
    <w:rsid w:val="00245410"/>
    <w:rsid w:val="0024575D"/>
    <w:rsid w:val="0024595C"/>
    <w:rsid w:val="00245A35"/>
    <w:rsid w:val="00245AC4"/>
    <w:rsid w:val="00245AC7"/>
    <w:rsid w:val="00245BB4"/>
    <w:rsid w:val="00245CA5"/>
    <w:rsid w:val="00245E50"/>
    <w:rsid w:val="00246070"/>
    <w:rsid w:val="002460A9"/>
    <w:rsid w:val="00246207"/>
    <w:rsid w:val="00246B68"/>
    <w:rsid w:val="00246C5E"/>
    <w:rsid w:val="00246CDA"/>
    <w:rsid w:val="00246E36"/>
    <w:rsid w:val="00246FD4"/>
    <w:rsid w:val="00247167"/>
    <w:rsid w:val="002472AD"/>
    <w:rsid w:val="002472E6"/>
    <w:rsid w:val="00247A1C"/>
    <w:rsid w:val="00247A58"/>
    <w:rsid w:val="00247BE7"/>
    <w:rsid w:val="00247CB8"/>
    <w:rsid w:val="00247CB9"/>
    <w:rsid w:val="00247F5E"/>
    <w:rsid w:val="002501C5"/>
    <w:rsid w:val="00250327"/>
    <w:rsid w:val="002503C7"/>
    <w:rsid w:val="002503EB"/>
    <w:rsid w:val="0025085E"/>
    <w:rsid w:val="00250960"/>
    <w:rsid w:val="00250A0A"/>
    <w:rsid w:val="00250C43"/>
    <w:rsid w:val="00251323"/>
    <w:rsid w:val="00251343"/>
    <w:rsid w:val="00251638"/>
    <w:rsid w:val="00251848"/>
    <w:rsid w:val="00251BCB"/>
    <w:rsid w:val="00251D99"/>
    <w:rsid w:val="0025234A"/>
    <w:rsid w:val="002523B7"/>
    <w:rsid w:val="002528DC"/>
    <w:rsid w:val="00252AD8"/>
    <w:rsid w:val="00252AEA"/>
    <w:rsid w:val="00252B53"/>
    <w:rsid w:val="00252F79"/>
    <w:rsid w:val="0025326A"/>
    <w:rsid w:val="002535F0"/>
    <w:rsid w:val="002536A4"/>
    <w:rsid w:val="00253735"/>
    <w:rsid w:val="0025374E"/>
    <w:rsid w:val="00253876"/>
    <w:rsid w:val="002538AC"/>
    <w:rsid w:val="00253CB6"/>
    <w:rsid w:val="00253D34"/>
    <w:rsid w:val="00253DF8"/>
    <w:rsid w:val="00253F2F"/>
    <w:rsid w:val="00253F88"/>
    <w:rsid w:val="002541A4"/>
    <w:rsid w:val="002541BA"/>
    <w:rsid w:val="0025423A"/>
    <w:rsid w:val="0025476F"/>
    <w:rsid w:val="00254796"/>
    <w:rsid w:val="00254D65"/>
    <w:rsid w:val="00254F58"/>
    <w:rsid w:val="00255021"/>
    <w:rsid w:val="002554D2"/>
    <w:rsid w:val="002555CD"/>
    <w:rsid w:val="002555D8"/>
    <w:rsid w:val="00255622"/>
    <w:rsid w:val="00255829"/>
    <w:rsid w:val="00255992"/>
    <w:rsid w:val="002559FD"/>
    <w:rsid w:val="00255AAD"/>
    <w:rsid w:val="00256158"/>
    <w:rsid w:val="002561A3"/>
    <w:rsid w:val="002561D6"/>
    <w:rsid w:val="0025648E"/>
    <w:rsid w:val="0025668D"/>
    <w:rsid w:val="00256690"/>
    <w:rsid w:val="002566E0"/>
    <w:rsid w:val="0025677D"/>
    <w:rsid w:val="002567F3"/>
    <w:rsid w:val="00256ABA"/>
    <w:rsid w:val="00256B61"/>
    <w:rsid w:val="00256BBE"/>
    <w:rsid w:val="00256C99"/>
    <w:rsid w:val="00256EAC"/>
    <w:rsid w:val="00257101"/>
    <w:rsid w:val="00257244"/>
    <w:rsid w:val="00257357"/>
    <w:rsid w:val="002573E1"/>
    <w:rsid w:val="0025745E"/>
    <w:rsid w:val="00257598"/>
    <w:rsid w:val="00257AAD"/>
    <w:rsid w:val="00257AAF"/>
    <w:rsid w:val="00257CA1"/>
    <w:rsid w:val="00257CC9"/>
    <w:rsid w:val="00260157"/>
    <w:rsid w:val="0026058D"/>
    <w:rsid w:val="002605F4"/>
    <w:rsid w:val="00260D73"/>
    <w:rsid w:val="0026109A"/>
    <w:rsid w:val="00261634"/>
    <w:rsid w:val="002618FB"/>
    <w:rsid w:val="00261AAD"/>
    <w:rsid w:val="00261C98"/>
    <w:rsid w:val="00261E3F"/>
    <w:rsid w:val="002620BC"/>
    <w:rsid w:val="002620D5"/>
    <w:rsid w:val="00262139"/>
    <w:rsid w:val="00262281"/>
    <w:rsid w:val="00262732"/>
    <w:rsid w:val="00262802"/>
    <w:rsid w:val="00262A45"/>
    <w:rsid w:val="00262DA7"/>
    <w:rsid w:val="00262E5E"/>
    <w:rsid w:val="0026315A"/>
    <w:rsid w:val="002634B4"/>
    <w:rsid w:val="00263594"/>
    <w:rsid w:val="00263647"/>
    <w:rsid w:val="002637A6"/>
    <w:rsid w:val="00263A2A"/>
    <w:rsid w:val="00263A90"/>
    <w:rsid w:val="0026408B"/>
    <w:rsid w:val="00264185"/>
    <w:rsid w:val="00264191"/>
    <w:rsid w:val="00264210"/>
    <w:rsid w:val="00264485"/>
    <w:rsid w:val="00264626"/>
    <w:rsid w:val="002646EE"/>
    <w:rsid w:val="0026470F"/>
    <w:rsid w:val="00264B95"/>
    <w:rsid w:val="00264BA2"/>
    <w:rsid w:val="00264F96"/>
    <w:rsid w:val="00265CA8"/>
    <w:rsid w:val="00265D25"/>
    <w:rsid w:val="002663D0"/>
    <w:rsid w:val="00266895"/>
    <w:rsid w:val="00266896"/>
    <w:rsid w:val="00266BD4"/>
    <w:rsid w:val="002671FE"/>
    <w:rsid w:val="0026727F"/>
    <w:rsid w:val="002672CD"/>
    <w:rsid w:val="002673BA"/>
    <w:rsid w:val="002673F2"/>
    <w:rsid w:val="00267572"/>
    <w:rsid w:val="002675EC"/>
    <w:rsid w:val="00267C3E"/>
    <w:rsid w:val="00267EEF"/>
    <w:rsid w:val="00270109"/>
    <w:rsid w:val="002706CA"/>
    <w:rsid w:val="00270872"/>
    <w:rsid w:val="002708DF"/>
    <w:rsid w:val="002709BB"/>
    <w:rsid w:val="00270DAE"/>
    <w:rsid w:val="00270EB7"/>
    <w:rsid w:val="002711F4"/>
    <w:rsid w:val="0027131C"/>
    <w:rsid w:val="002715AF"/>
    <w:rsid w:val="002715C0"/>
    <w:rsid w:val="002715CD"/>
    <w:rsid w:val="0027180D"/>
    <w:rsid w:val="0027188A"/>
    <w:rsid w:val="002718B8"/>
    <w:rsid w:val="002719E0"/>
    <w:rsid w:val="00271D1F"/>
    <w:rsid w:val="00271D2C"/>
    <w:rsid w:val="00272156"/>
    <w:rsid w:val="00272481"/>
    <w:rsid w:val="0027255B"/>
    <w:rsid w:val="002726E1"/>
    <w:rsid w:val="002726F6"/>
    <w:rsid w:val="00272F56"/>
    <w:rsid w:val="00273298"/>
    <w:rsid w:val="002733BF"/>
    <w:rsid w:val="00273BAC"/>
    <w:rsid w:val="00273F25"/>
    <w:rsid w:val="00273FF9"/>
    <w:rsid w:val="00274232"/>
    <w:rsid w:val="002742A6"/>
    <w:rsid w:val="00274564"/>
    <w:rsid w:val="002746D7"/>
    <w:rsid w:val="00274A71"/>
    <w:rsid w:val="00274ED7"/>
    <w:rsid w:val="002754AD"/>
    <w:rsid w:val="002754EF"/>
    <w:rsid w:val="00275739"/>
    <w:rsid w:val="00275835"/>
    <w:rsid w:val="00275857"/>
    <w:rsid w:val="00275D95"/>
    <w:rsid w:val="00275EAA"/>
    <w:rsid w:val="00275FA7"/>
    <w:rsid w:val="002761A6"/>
    <w:rsid w:val="002763AB"/>
    <w:rsid w:val="002763B3"/>
    <w:rsid w:val="0027647F"/>
    <w:rsid w:val="002764EC"/>
    <w:rsid w:val="002766B8"/>
    <w:rsid w:val="00276C59"/>
    <w:rsid w:val="00276C86"/>
    <w:rsid w:val="00277071"/>
    <w:rsid w:val="0027716C"/>
    <w:rsid w:val="002771F8"/>
    <w:rsid w:val="00277349"/>
    <w:rsid w:val="0027749A"/>
    <w:rsid w:val="002775F5"/>
    <w:rsid w:val="00277A2A"/>
    <w:rsid w:val="00277D0E"/>
    <w:rsid w:val="00277D84"/>
    <w:rsid w:val="0028003C"/>
    <w:rsid w:val="00280221"/>
    <w:rsid w:val="002802BF"/>
    <w:rsid w:val="002802E3"/>
    <w:rsid w:val="00280390"/>
    <w:rsid w:val="00280631"/>
    <w:rsid w:val="0028071F"/>
    <w:rsid w:val="00280919"/>
    <w:rsid w:val="00280C10"/>
    <w:rsid w:val="00280E5F"/>
    <w:rsid w:val="00280F35"/>
    <w:rsid w:val="002812B3"/>
    <w:rsid w:val="002814BD"/>
    <w:rsid w:val="0028155B"/>
    <w:rsid w:val="0028162D"/>
    <w:rsid w:val="00281666"/>
    <w:rsid w:val="00281AA0"/>
    <w:rsid w:val="00281B29"/>
    <w:rsid w:val="00281DFB"/>
    <w:rsid w:val="00281E18"/>
    <w:rsid w:val="0028213D"/>
    <w:rsid w:val="002821E2"/>
    <w:rsid w:val="002823B9"/>
    <w:rsid w:val="002823F4"/>
    <w:rsid w:val="002824B1"/>
    <w:rsid w:val="00282AA8"/>
    <w:rsid w:val="00282BB8"/>
    <w:rsid w:val="00282C07"/>
    <w:rsid w:val="00282FC7"/>
    <w:rsid w:val="00283071"/>
    <w:rsid w:val="002833D1"/>
    <w:rsid w:val="00283474"/>
    <w:rsid w:val="0028362C"/>
    <w:rsid w:val="0028376A"/>
    <w:rsid w:val="002838EA"/>
    <w:rsid w:val="00283967"/>
    <w:rsid w:val="00283A16"/>
    <w:rsid w:val="00283BFE"/>
    <w:rsid w:val="002845E6"/>
    <w:rsid w:val="0028498C"/>
    <w:rsid w:val="00284A85"/>
    <w:rsid w:val="00284B23"/>
    <w:rsid w:val="00284D5B"/>
    <w:rsid w:val="002856C6"/>
    <w:rsid w:val="002857FF"/>
    <w:rsid w:val="00285B3B"/>
    <w:rsid w:val="00285C4B"/>
    <w:rsid w:val="00285E9E"/>
    <w:rsid w:val="00285EB0"/>
    <w:rsid w:val="00286138"/>
    <w:rsid w:val="002862F1"/>
    <w:rsid w:val="002865C7"/>
    <w:rsid w:val="002865E9"/>
    <w:rsid w:val="0028697B"/>
    <w:rsid w:val="00286A33"/>
    <w:rsid w:val="00286ABD"/>
    <w:rsid w:val="00286BD2"/>
    <w:rsid w:val="00286CA3"/>
    <w:rsid w:val="00286F2E"/>
    <w:rsid w:val="002870A4"/>
    <w:rsid w:val="0028752F"/>
    <w:rsid w:val="00287646"/>
    <w:rsid w:val="002878F3"/>
    <w:rsid w:val="00287D8A"/>
    <w:rsid w:val="00287E66"/>
    <w:rsid w:val="00287F4F"/>
    <w:rsid w:val="00290183"/>
    <w:rsid w:val="00290243"/>
    <w:rsid w:val="0029028B"/>
    <w:rsid w:val="00290B42"/>
    <w:rsid w:val="0029110F"/>
    <w:rsid w:val="00291373"/>
    <w:rsid w:val="00291385"/>
    <w:rsid w:val="0029157B"/>
    <w:rsid w:val="002915D8"/>
    <w:rsid w:val="002917A2"/>
    <w:rsid w:val="0029191F"/>
    <w:rsid w:val="00291EC6"/>
    <w:rsid w:val="00291ED2"/>
    <w:rsid w:val="00292609"/>
    <w:rsid w:val="00292648"/>
    <w:rsid w:val="00292771"/>
    <w:rsid w:val="0029286C"/>
    <w:rsid w:val="00292AE7"/>
    <w:rsid w:val="00293198"/>
    <w:rsid w:val="00293217"/>
    <w:rsid w:val="00293498"/>
    <w:rsid w:val="00293834"/>
    <w:rsid w:val="00293E41"/>
    <w:rsid w:val="002940D4"/>
    <w:rsid w:val="0029419D"/>
    <w:rsid w:val="00294996"/>
    <w:rsid w:val="00294A68"/>
    <w:rsid w:val="00294B8B"/>
    <w:rsid w:val="00294BBB"/>
    <w:rsid w:val="00294D9D"/>
    <w:rsid w:val="00294DC6"/>
    <w:rsid w:val="00295216"/>
    <w:rsid w:val="00295296"/>
    <w:rsid w:val="0029564E"/>
    <w:rsid w:val="00295824"/>
    <w:rsid w:val="0029597D"/>
    <w:rsid w:val="00295A03"/>
    <w:rsid w:val="00295ECB"/>
    <w:rsid w:val="002961AA"/>
    <w:rsid w:val="00296231"/>
    <w:rsid w:val="002962C3"/>
    <w:rsid w:val="002963CE"/>
    <w:rsid w:val="002967EB"/>
    <w:rsid w:val="00296839"/>
    <w:rsid w:val="00296C8D"/>
    <w:rsid w:val="00296E44"/>
    <w:rsid w:val="00296ED6"/>
    <w:rsid w:val="002972CD"/>
    <w:rsid w:val="00297489"/>
    <w:rsid w:val="0029752B"/>
    <w:rsid w:val="002977F7"/>
    <w:rsid w:val="00297980"/>
    <w:rsid w:val="00297A1E"/>
    <w:rsid w:val="00297A28"/>
    <w:rsid w:val="00297D5D"/>
    <w:rsid w:val="00297E2A"/>
    <w:rsid w:val="00297E2F"/>
    <w:rsid w:val="00297E55"/>
    <w:rsid w:val="002A01C1"/>
    <w:rsid w:val="002A03D5"/>
    <w:rsid w:val="002A042B"/>
    <w:rsid w:val="002A0A9C"/>
    <w:rsid w:val="002A0BE2"/>
    <w:rsid w:val="002A0FC3"/>
    <w:rsid w:val="002A10A8"/>
    <w:rsid w:val="002A118F"/>
    <w:rsid w:val="002A142E"/>
    <w:rsid w:val="002A1546"/>
    <w:rsid w:val="002A1866"/>
    <w:rsid w:val="002A1891"/>
    <w:rsid w:val="002A1B86"/>
    <w:rsid w:val="002A1BFE"/>
    <w:rsid w:val="002A1E80"/>
    <w:rsid w:val="002A25C2"/>
    <w:rsid w:val="002A276F"/>
    <w:rsid w:val="002A2954"/>
    <w:rsid w:val="002A2955"/>
    <w:rsid w:val="002A2AB8"/>
    <w:rsid w:val="002A2D41"/>
    <w:rsid w:val="002A3008"/>
    <w:rsid w:val="002A32AB"/>
    <w:rsid w:val="002A3729"/>
    <w:rsid w:val="002A37F8"/>
    <w:rsid w:val="002A3C2A"/>
    <w:rsid w:val="002A3E24"/>
    <w:rsid w:val="002A3ECB"/>
    <w:rsid w:val="002A4075"/>
    <w:rsid w:val="002A40F7"/>
    <w:rsid w:val="002A4787"/>
    <w:rsid w:val="002A478C"/>
    <w:rsid w:val="002A47EE"/>
    <w:rsid w:val="002A483C"/>
    <w:rsid w:val="002A4A92"/>
    <w:rsid w:val="002A4FCD"/>
    <w:rsid w:val="002A4FEB"/>
    <w:rsid w:val="002A5336"/>
    <w:rsid w:val="002A54A5"/>
    <w:rsid w:val="002A56F3"/>
    <w:rsid w:val="002A571A"/>
    <w:rsid w:val="002A5841"/>
    <w:rsid w:val="002A58C7"/>
    <w:rsid w:val="002A593D"/>
    <w:rsid w:val="002A5A6C"/>
    <w:rsid w:val="002A5EA3"/>
    <w:rsid w:val="002A697B"/>
    <w:rsid w:val="002A6A13"/>
    <w:rsid w:val="002A6C1C"/>
    <w:rsid w:val="002A7120"/>
    <w:rsid w:val="002A73FF"/>
    <w:rsid w:val="002A755E"/>
    <w:rsid w:val="002A7736"/>
    <w:rsid w:val="002A78BB"/>
    <w:rsid w:val="002A7911"/>
    <w:rsid w:val="002A7D5D"/>
    <w:rsid w:val="002A7D63"/>
    <w:rsid w:val="002A7FCB"/>
    <w:rsid w:val="002B0031"/>
    <w:rsid w:val="002B0161"/>
    <w:rsid w:val="002B05A3"/>
    <w:rsid w:val="002B096C"/>
    <w:rsid w:val="002B0AED"/>
    <w:rsid w:val="002B0C09"/>
    <w:rsid w:val="002B0C7C"/>
    <w:rsid w:val="002B0F82"/>
    <w:rsid w:val="002B101F"/>
    <w:rsid w:val="002B1157"/>
    <w:rsid w:val="002B1285"/>
    <w:rsid w:val="002B1390"/>
    <w:rsid w:val="002B1729"/>
    <w:rsid w:val="002B17EA"/>
    <w:rsid w:val="002B18FE"/>
    <w:rsid w:val="002B19EE"/>
    <w:rsid w:val="002B1B71"/>
    <w:rsid w:val="002B1F03"/>
    <w:rsid w:val="002B1F05"/>
    <w:rsid w:val="002B223A"/>
    <w:rsid w:val="002B22E3"/>
    <w:rsid w:val="002B2730"/>
    <w:rsid w:val="002B2996"/>
    <w:rsid w:val="002B2A02"/>
    <w:rsid w:val="002B2AA0"/>
    <w:rsid w:val="002B2C5E"/>
    <w:rsid w:val="002B2E76"/>
    <w:rsid w:val="002B2FA6"/>
    <w:rsid w:val="002B2FD0"/>
    <w:rsid w:val="002B3273"/>
    <w:rsid w:val="002B3413"/>
    <w:rsid w:val="002B3641"/>
    <w:rsid w:val="002B36C7"/>
    <w:rsid w:val="002B3C90"/>
    <w:rsid w:val="002B41EF"/>
    <w:rsid w:val="002B431B"/>
    <w:rsid w:val="002B43FE"/>
    <w:rsid w:val="002B4469"/>
    <w:rsid w:val="002B450B"/>
    <w:rsid w:val="002B4848"/>
    <w:rsid w:val="002B4DD4"/>
    <w:rsid w:val="002B4E2C"/>
    <w:rsid w:val="002B4E61"/>
    <w:rsid w:val="002B5277"/>
    <w:rsid w:val="002B5375"/>
    <w:rsid w:val="002B565E"/>
    <w:rsid w:val="002B59A2"/>
    <w:rsid w:val="002B5B25"/>
    <w:rsid w:val="002B5BEF"/>
    <w:rsid w:val="002B5D7E"/>
    <w:rsid w:val="002B5EF4"/>
    <w:rsid w:val="002B60C1"/>
    <w:rsid w:val="002B61C3"/>
    <w:rsid w:val="002B6A55"/>
    <w:rsid w:val="002B6C0C"/>
    <w:rsid w:val="002B6C43"/>
    <w:rsid w:val="002B6E30"/>
    <w:rsid w:val="002B6E3C"/>
    <w:rsid w:val="002B6EBF"/>
    <w:rsid w:val="002B750C"/>
    <w:rsid w:val="002B777F"/>
    <w:rsid w:val="002B77C1"/>
    <w:rsid w:val="002B7A55"/>
    <w:rsid w:val="002B7B00"/>
    <w:rsid w:val="002B7B37"/>
    <w:rsid w:val="002B7C37"/>
    <w:rsid w:val="002C011E"/>
    <w:rsid w:val="002C0244"/>
    <w:rsid w:val="002C0838"/>
    <w:rsid w:val="002C09C9"/>
    <w:rsid w:val="002C0A94"/>
    <w:rsid w:val="002C0C03"/>
    <w:rsid w:val="002C0ECF"/>
    <w:rsid w:val="002C0ED7"/>
    <w:rsid w:val="002C0F14"/>
    <w:rsid w:val="002C105E"/>
    <w:rsid w:val="002C1345"/>
    <w:rsid w:val="002C166E"/>
    <w:rsid w:val="002C1996"/>
    <w:rsid w:val="002C19A3"/>
    <w:rsid w:val="002C1A2F"/>
    <w:rsid w:val="002C1ABC"/>
    <w:rsid w:val="002C1E57"/>
    <w:rsid w:val="002C2068"/>
    <w:rsid w:val="002C21AD"/>
    <w:rsid w:val="002C2210"/>
    <w:rsid w:val="002C233E"/>
    <w:rsid w:val="002C260C"/>
    <w:rsid w:val="002C26E1"/>
    <w:rsid w:val="002C2728"/>
    <w:rsid w:val="002C299C"/>
    <w:rsid w:val="002C2F58"/>
    <w:rsid w:val="002C3151"/>
    <w:rsid w:val="002C33EF"/>
    <w:rsid w:val="002C35D4"/>
    <w:rsid w:val="002C3868"/>
    <w:rsid w:val="002C3A69"/>
    <w:rsid w:val="002C3AC8"/>
    <w:rsid w:val="002C41AE"/>
    <w:rsid w:val="002C4283"/>
    <w:rsid w:val="002C4390"/>
    <w:rsid w:val="002C45B9"/>
    <w:rsid w:val="002C4679"/>
    <w:rsid w:val="002C4CCF"/>
    <w:rsid w:val="002C4D01"/>
    <w:rsid w:val="002C50EA"/>
    <w:rsid w:val="002C515D"/>
    <w:rsid w:val="002C5305"/>
    <w:rsid w:val="002C573A"/>
    <w:rsid w:val="002C583A"/>
    <w:rsid w:val="002C5B7C"/>
    <w:rsid w:val="002C5CD8"/>
    <w:rsid w:val="002C5D1A"/>
    <w:rsid w:val="002C5D2B"/>
    <w:rsid w:val="002C5D50"/>
    <w:rsid w:val="002C6091"/>
    <w:rsid w:val="002C6161"/>
    <w:rsid w:val="002C627A"/>
    <w:rsid w:val="002C62C2"/>
    <w:rsid w:val="002C632D"/>
    <w:rsid w:val="002C6356"/>
    <w:rsid w:val="002C65B7"/>
    <w:rsid w:val="002C6D01"/>
    <w:rsid w:val="002C6FE7"/>
    <w:rsid w:val="002C70CA"/>
    <w:rsid w:val="002C74FF"/>
    <w:rsid w:val="002C7BAB"/>
    <w:rsid w:val="002C7E7B"/>
    <w:rsid w:val="002D00A0"/>
    <w:rsid w:val="002D06FD"/>
    <w:rsid w:val="002D0818"/>
    <w:rsid w:val="002D0BFA"/>
    <w:rsid w:val="002D0C00"/>
    <w:rsid w:val="002D0C02"/>
    <w:rsid w:val="002D0DA1"/>
    <w:rsid w:val="002D0F28"/>
    <w:rsid w:val="002D1015"/>
    <w:rsid w:val="002D103D"/>
    <w:rsid w:val="002D107E"/>
    <w:rsid w:val="002D13DE"/>
    <w:rsid w:val="002D14BD"/>
    <w:rsid w:val="002D1954"/>
    <w:rsid w:val="002D1AFF"/>
    <w:rsid w:val="002D1B54"/>
    <w:rsid w:val="002D1E0D"/>
    <w:rsid w:val="002D1F9B"/>
    <w:rsid w:val="002D201C"/>
    <w:rsid w:val="002D2514"/>
    <w:rsid w:val="002D255C"/>
    <w:rsid w:val="002D2CA3"/>
    <w:rsid w:val="002D2D3C"/>
    <w:rsid w:val="002D32EB"/>
    <w:rsid w:val="002D365B"/>
    <w:rsid w:val="002D37A7"/>
    <w:rsid w:val="002D380F"/>
    <w:rsid w:val="002D3902"/>
    <w:rsid w:val="002D3FC1"/>
    <w:rsid w:val="002D4110"/>
    <w:rsid w:val="002D4828"/>
    <w:rsid w:val="002D4A84"/>
    <w:rsid w:val="002D4BD0"/>
    <w:rsid w:val="002D4D12"/>
    <w:rsid w:val="002D4D30"/>
    <w:rsid w:val="002D4D70"/>
    <w:rsid w:val="002D4E62"/>
    <w:rsid w:val="002D5006"/>
    <w:rsid w:val="002D5192"/>
    <w:rsid w:val="002D55BA"/>
    <w:rsid w:val="002D57F1"/>
    <w:rsid w:val="002D5A36"/>
    <w:rsid w:val="002D5B21"/>
    <w:rsid w:val="002D6019"/>
    <w:rsid w:val="002D6131"/>
    <w:rsid w:val="002D6161"/>
    <w:rsid w:val="002D6999"/>
    <w:rsid w:val="002D6C37"/>
    <w:rsid w:val="002D6DC3"/>
    <w:rsid w:val="002D6DEB"/>
    <w:rsid w:val="002D6F2D"/>
    <w:rsid w:val="002D71B0"/>
    <w:rsid w:val="002D71BB"/>
    <w:rsid w:val="002D7223"/>
    <w:rsid w:val="002D7236"/>
    <w:rsid w:val="002D76B4"/>
    <w:rsid w:val="002D7BC6"/>
    <w:rsid w:val="002D7C61"/>
    <w:rsid w:val="002D7C6B"/>
    <w:rsid w:val="002D7D5D"/>
    <w:rsid w:val="002D7EC8"/>
    <w:rsid w:val="002D7F2E"/>
    <w:rsid w:val="002E01D0"/>
    <w:rsid w:val="002E0313"/>
    <w:rsid w:val="002E0E2F"/>
    <w:rsid w:val="002E10AF"/>
    <w:rsid w:val="002E1535"/>
    <w:rsid w:val="002E161D"/>
    <w:rsid w:val="002E1893"/>
    <w:rsid w:val="002E19D4"/>
    <w:rsid w:val="002E1AC3"/>
    <w:rsid w:val="002E1C9E"/>
    <w:rsid w:val="002E1D3F"/>
    <w:rsid w:val="002E1FEE"/>
    <w:rsid w:val="002E2799"/>
    <w:rsid w:val="002E28A2"/>
    <w:rsid w:val="002E2AF7"/>
    <w:rsid w:val="002E2D6B"/>
    <w:rsid w:val="002E2F7D"/>
    <w:rsid w:val="002E3100"/>
    <w:rsid w:val="002E311D"/>
    <w:rsid w:val="002E3231"/>
    <w:rsid w:val="002E3535"/>
    <w:rsid w:val="002E396D"/>
    <w:rsid w:val="002E3E7F"/>
    <w:rsid w:val="002E401C"/>
    <w:rsid w:val="002E428A"/>
    <w:rsid w:val="002E4718"/>
    <w:rsid w:val="002E47BA"/>
    <w:rsid w:val="002E4C77"/>
    <w:rsid w:val="002E4D88"/>
    <w:rsid w:val="002E4EC6"/>
    <w:rsid w:val="002E528B"/>
    <w:rsid w:val="002E54A0"/>
    <w:rsid w:val="002E5551"/>
    <w:rsid w:val="002E57D8"/>
    <w:rsid w:val="002E5930"/>
    <w:rsid w:val="002E5C4E"/>
    <w:rsid w:val="002E62A6"/>
    <w:rsid w:val="002E63A0"/>
    <w:rsid w:val="002E6C49"/>
    <w:rsid w:val="002E6C95"/>
    <w:rsid w:val="002E6D27"/>
    <w:rsid w:val="002E6EDF"/>
    <w:rsid w:val="002E6F92"/>
    <w:rsid w:val="002E7157"/>
    <w:rsid w:val="002E7492"/>
    <w:rsid w:val="002E7C36"/>
    <w:rsid w:val="002E7E8E"/>
    <w:rsid w:val="002F02C8"/>
    <w:rsid w:val="002F035A"/>
    <w:rsid w:val="002F0448"/>
    <w:rsid w:val="002F0723"/>
    <w:rsid w:val="002F0BCA"/>
    <w:rsid w:val="002F0D72"/>
    <w:rsid w:val="002F0E32"/>
    <w:rsid w:val="002F10A6"/>
    <w:rsid w:val="002F122E"/>
    <w:rsid w:val="002F141C"/>
    <w:rsid w:val="002F15C1"/>
    <w:rsid w:val="002F1721"/>
    <w:rsid w:val="002F1836"/>
    <w:rsid w:val="002F188B"/>
    <w:rsid w:val="002F1FC8"/>
    <w:rsid w:val="002F1FFC"/>
    <w:rsid w:val="002F22AF"/>
    <w:rsid w:val="002F2307"/>
    <w:rsid w:val="002F24AC"/>
    <w:rsid w:val="002F2CD8"/>
    <w:rsid w:val="002F30C7"/>
    <w:rsid w:val="002F322D"/>
    <w:rsid w:val="002F33BF"/>
    <w:rsid w:val="002F34A0"/>
    <w:rsid w:val="002F3608"/>
    <w:rsid w:val="002F38D4"/>
    <w:rsid w:val="002F3C31"/>
    <w:rsid w:val="002F3C62"/>
    <w:rsid w:val="002F3D32"/>
    <w:rsid w:val="002F3DF8"/>
    <w:rsid w:val="002F3E09"/>
    <w:rsid w:val="002F3ECA"/>
    <w:rsid w:val="002F42BF"/>
    <w:rsid w:val="002F449C"/>
    <w:rsid w:val="002F459F"/>
    <w:rsid w:val="002F48C1"/>
    <w:rsid w:val="002F49D9"/>
    <w:rsid w:val="002F4E09"/>
    <w:rsid w:val="002F5104"/>
    <w:rsid w:val="002F526F"/>
    <w:rsid w:val="002F5305"/>
    <w:rsid w:val="002F53BA"/>
    <w:rsid w:val="002F53CA"/>
    <w:rsid w:val="002F5669"/>
    <w:rsid w:val="002F56F9"/>
    <w:rsid w:val="002F5726"/>
    <w:rsid w:val="002F5765"/>
    <w:rsid w:val="002F59C5"/>
    <w:rsid w:val="002F5A48"/>
    <w:rsid w:val="002F5A57"/>
    <w:rsid w:val="002F5C3D"/>
    <w:rsid w:val="002F5F1D"/>
    <w:rsid w:val="002F5F31"/>
    <w:rsid w:val="002F5F46"/>
    <w:rsid w:val="002F61B6"/>
    <w:rsid w:val="002F6201"/>
    <w:rsid w:val="002F63F7"/>
    <w:rsid w:val="002F6508"/>
    <w:rsid w:val="002F6585"/>
    <w:rsid w:val="002F6FDB"/>
    <w:rsid w:val="002F7001"/>
    <w:rsid w:val="002F702A"/>
    <w:rsid w:val="002F71AB"/>
    <w:rsid w:val="002F71F6"/>
    <w:rsid w:val="002F7589"/>
    <w:rsid w:val="002F77F5"/>
    <w:rsid w:val="002F7AB7"/>
    <w:rsid w:val="002F7B73"/>
    <w:rsid w:val="002F7D4B"/>
    <w:rsid w:val="002F7D53"/>
    <w:rsid w:val="00300559"/>
    <w:rsid w:val="003006A3"/>
    <w:rsid w:val="003006DE"/>
    <w:rsid w:val="0030083A"/>
    <w:rsid w:val="00300971"/>
    <w:rsid w:val="00300AA5"/>
    <w:rsid w:val="00301121"/>
    <w:rsid w:val="003014E2"/>
    <w:rsid w:val="0030151B"/>
    <w:rsid w:val="003016F8"/>
    <w:rsid w:val="00301AC5"/>
    <w:rsid w:val="00301D9F"/>
    <w:rsid w:val="0030217D"/>
    <w:rsid w:val="00302216"/>
    <w:rsid w:val="003022B1"/>
    <w:rsid w:val="003023C3"/>
    <w:rsid w:val="003028D4"/>
    <w:rsid w:val="00302DFA"/>
    <w:rsid w:val="00302ED9"/>
    <w:rsid w:val="003032EA"/>
    <w:rsid w:val="003038DB"/>
    <w:rsid w:val="00303D54"/>
    <w:rsid w:val="00303E53"/>
    <w:rsid w:val="003043A1"/>
    <w:rsid w:val="00304694"/>
    <w:rsid w:val="00304BED"/>
    <w:rsid w:val="00304F47"/>
    <w:rsid w:val="003051C8"/>
    <w:rsid w:val="00305376"/>
    <w:rsid w:val="00305495"/>
    <w:rsid w:val="003058EF"/>
    <w:rsid w:val="00305B76"/>
    <w:rsid w:val="00305CC1"/>
    <w:rsid w:val="00305DEE"/>
    <w:rsid w:val="00305EDB"/>
    <w:rsid w:val="00306032"/>
    <w:rsid w:val="003060C6"/>
    <w:rsid w:val="003064A5"/>
    <w:rsid w:val="003067FA"/>
    <w:rsid w:val="0030681E"/>
    <w:rsid w:val="00306BD4"/>
    <w:rsid w:val="00306C24"/>
    <w:rsid w:val="00306E5F"/>
    <w:rsid w:val="00306ED3"/>
    <w:rsid w:val="0030750F"/>
    <w:rsid w:val="0030763D"/>
    <w:rsid w:val="0030773F"/>
    <w:rsid w:val="003078AC"/>
    <w:rsid w:val="00307B6F"/>
    <w:rsid w:val="00307C6E"/>
    <w:rsid w:val="00307D89"/>
    <w:rsid w:val="00307E14"/>
    <w:rsid w:val="00307E4B"/>
    <w:rsid w:val="00307EDC"/>
    <w:rsid w:val="003106FC"/>
    <w:rsid w:val="00310CE1"/>
    <w:rsid w:val="00310ECC"/>
    <w:rsid w:val="003110CE"/>
    <w:rsid w:val="003112BF"/>
    <w:rsid w:val="00311547"/>
    <w:rsid w:val="003116AC"/>
    <w:rsid w:val="00311A1F"/>
    <w:rsid w:val="00311A59"/>
    <w:rsid w:val="00311A79"/>
    <w:rsid w:val="00311AB0"/>
    <w:rsid w:val="00311CAB"/>
    <w:rsid w:val="00311CCC"/>
    <w:rsid w:val="00311CFD"/>
    <w:rsid w:val="00311F40"/>
    <w:rsid w:val="003120D0"/>
    <w:rsid w:val="00312367"/>
    <w:rsid w:val="003124D6"/>
    <w:rsid w:val="00312BE3"/>
    <w:rsid w:val="00312E6D"/>
    <w:rsid w:val="00312F44"/>
    <w:rsid w:val="00313341"/>
    <w:rsid w:val="0031335B"/>
    <w:rsid w:val="003134BB"/>
    <w:rsid w:val="00313712"/>
    <w:rsid w:val="0031372C"/>
    <w:rsid w:val="00313BB3"/>
    <w:rsid w:val="00314029"/>
    <w:rsid w:val="00314054"/>
    <w:rsid w:val="003140EF"/>
    <w:rsid w:val="0031416D"/>
    <w:rsid w:val="00314572"/>
    <w:rsid w:val="003149D1"/>
    <w:rsid w:val="003158DA"/>
    <w:rsid w:val="00315936"/>
    <w:rsid w:val="00315AE5"/>
    <w:rsid w:val="00316153"/>
    <w:rsid w:val="00316445"/>
    <w:rsid w:val="003167FA"/>
    <w:rsid w:val="00316847"/>
    <w:rsid w:val="00316CDA"/>
    <w:rsid w:val="00316E95"/>
    <w:rsid w:val="00316F27"/>
    <w:rsid w:val="0031708C"/>
    <w:rsid w:val="003171F6"/>
    <w:rsid w:val="003173F1"/>
    <w:rsid w:val="003174F6"/>
    <w:rsid w:val="0031761B"/>
    <w:rsid w:val="0031770E"/>
    <w:rsid w:val="00317848"/>
    <w:rsid w:val="003178E0"/>
    <w:rsid w:val="003178F8"/>
    <w:rsid w:val="00317AEF"/>
    <w:rsid w:val="00317CAF"/>
    <w:rsid w:val="00317CF0"/>
    <w:rsid w:val="00317DA4"/>
    <w:rsid w:val="00317F0A"/>
    <w:rsid w:val="0032033C"/>
    <w:rsid w:val="003205F8"/>
    <w:rsid w:val="003208E6"/>
    <w:rsid w:val="0032095E"/>
    <w:rsid w:val="00320BEA"/>
    <w:rsid w:val="00320EA2"/>
    <w:rsid w:val="00320F3B"/>
    <w:rsid w:val="00320F61"/>
    <w:rsid w:val="0032145D"/>
    <w:rsid w:val="003214F1"/>
    <w:rsid w:val="00321B9F"/>
    <w:rsid w:val="00321EA1"/>
    <w:rsid w:val="00322065"/>
    <w:rsid w:val="00322076"/>
    <w:rsid w:val="003221FB"/>
    <w:rsid w:val="003224BE"/>
    <w:rsid w:val="00322509"/>
    <w:rsid w:val="0032262E"/>
    <w:rsid w:val="003227AC"/>
    <w:rsid w:val="003227D2"/>
    <w:rsid w:val="00322889"/>
    <w:rsid w:val="00322901"/>
    <w:rsid w:val="00322D17"/>
    <w:rsid w:val="00322D97"/>
    <w:rsid w:val="00322E4B"/>
    <w:rsid w:val="00322FE4"/>
    <w:rsid w:val="00323142"/>
    <w:rsid w:val="003231A1"/>
    <w:rsid w:val="00323234"/>
    <w:rsid w:val="0032342D"/>
    <w:rsid w:val="00323576"/>
    <w:rsid w:val="0032370E"/>
    <w:rsid w:val="00323722"/>
    <w:rsid w:val="00323CF9"/>
    <w:rsid w:val="00323D02"/>
    <w:rsid w:val="00323DBE"/>
    <w:rsid w:val="003241FA"/>
    <w:rsid w:val="00324213"/>
    <w:rsid w:val="0032479A"/>
    <w:rsid w:val="003247C6"/>
    <w:rsid w:val="0032486B"/>
    <w:rsid w:val="003249ED"/>
    <w:rsid w:val="003250CA"/>
    <w:rsid w:val="00325631"/>
    <w:rsid w:val="00325AF5"/>
    <w:rsid w:val="00325F25"/>
    <w:rsid w:val="00325F91"/>
    <w:rsid w:val="003260E6"/>
    <w:rsid w:val="00326171"/>
    <w:rsid w:val="003265FE"/>
    <w:rsid w:val="00326601"/>
    <w:rsid w:val="003266A5"/>
    <w:rsid w:val="003266F5"/>
    <w:rsid w:val="003267D2"/>
    <w:rsid w:val="0032707E"/>
    <w:rsid w:val="0032725A"/>
    <w:rsid w:val="003273BD"/>
    <w:rsid w:val="00327650"/>
    <w:rsid w:val="003276D9"/>
    <w:rsid w:val="00327870"/>
    <w:rsid w:val="00327942"/>
    <w:rsid w:val="00327F4D"/>
    <w:rsid w:val="003305BC"/>
    <w:rsid w:val="00330B38"/>
    <w:rsid w:val="00330C16"/>
    <w:rsid w:val="00330CBE"/>
    <w:rsid w:val="00330CE0"/>
    <w:rsid w:val="003313BC"/>
    <w:rsid w:val="00331825"/>
    <w:rsid w:val="00331A1D"/>
    <w:rsid w:val="00331A52"/>
    <w:rsid w:val="00331D76"/>
    <w:rsid w:val="00332178"/>
    <w:rsid w:val="0033227C"/>
    <w:rsid w:val="00332349"/>
    <w:rsid w:val="00332562"/>
    <w:rsid w:val="0033259D"/>
    <w:rsid w:val="003325CA"/>
    <w:rsid w:val="0033261E"/>
    <w:rsid w:val="00332926"/>
    <w:rsid w:val="00332A52"/>
    <w:rsid w:val="00332A90"/>
    <w:rsid w:val="00332BE7"/>
    <w:rsid w:val="00333130"/>
    <w:rsid w:val="003333D2"/>
    <w:rsid w:val="00333409"/>
    <w:rsid w:val="0033341C"/>
    <w:rsid w:val="0033383D"/>
    <w:rsid w:val="00333B7A"/>
    <w:rsid w:val="00333D10"/>
    <w:rsid w:val="00333F18"/>
    <w:rsid w:val="00333FA3"/>
    <w:rsid w:val="0033405E"/>
    <w:rsid w:val="00334103"/>
    <w:rsid w:val="003342B0"/>
    <w:rsid w:val="0033445A"/>
    <w:rsid w:val="0033460E"/>
    <w:rsid w:val="00334686"/>
    <w:rsid w:val="003347FE"/>
    <w:rsid w:val="003350E4"/>
    <w:rsid w:val="003352C1"/>
    <w:rsid w:val="0033540A"/>
    <w:rsid w:val="0033568D"/>
    <w:rsid w:val="003357A8"/>
    <w:rsid w:val="00335904"/>
    <w:rsid w:val="00335C25"/>
    <w:rsid w:val="00335C45"/>
    <w:rsid w:val="00335E1E"/>
    <w:rsid w:val="00336024"/>
    <w:rsid w:val="003362B3"/>
    <w:rsid w:val="00336480"/>
    <w:rsid w:val="003368FE"/>
    <w:rsid w:val="00336B35"/>
    <w:rsid w:val="00336B46"/>
    <w:rsid w:val="00336CA7"/>
    <w:rsid w:val="00336D2D"/>
    <w:rsid w:val="00336FC9"/>
    <w:rsid w:val="00337099"/>
    <w:rsid w:val="0033727C"/>
    <w:rsid w:val="00337339"/>
    <w:rsid w:val="00337416"/>
    <w:rsid w:val="0033752C"/>
    <w:rsid w:val="0033771F"/>
    <w:rsid w:val="00337850"/>
    <w:rsid w:val="003378F2"/>
    <w:rsid w:val="00340163"/>
    <w:rsid w:val="00340345"/>
    <w:rsid w:val="003403DC"/>
    <w:rsid w:val="0034041A"/>
    <w:rsid w:val="003404C6"/>
    <w:rsid w:val="0034068C"/>
    <w:rsid w:val="003406C6"/>
    <w:rsid w:val="00340850"/>
    <w:rsid w:val="00340B4C"/>
    <w:rsid w:val="00340D76"/>
    <w:rsid w:val="003410CE"/>
    <w:rsid w:val="003412B2"/>
    <w:rsid w:val="003412CF"/>
    <w:rsid w:val="003412DC"/>
    <w:rsid w:val="00341497"/>
    <w:rsid w:val="00341729"/>
    <w:rsid w:val="00341853"/>
    <w:rsid w:val="003418CC"/>
    <w:rsid w:val="003418F6"/>
    <w:rsid w:val="00342620"/>
    <w:rsid w:val="00342669"/>
    <w:rsid w:val="0034275A"/>
    <w:rsid w:val="0034285C"/>
    <w:rsid w:val="00342D6E"/>
    <w:rsid w:val="0034317A"/>
    <w:rsid w:val="003434EE"/>
    <w:rsid w:val="00343501"/>
    <w:rsid w:val="00343654"/>
    <w:rsid w:val="003436E2"/>
    <w:rsid w:val="00343D96"/>
    <w:rsid w:val="00343E71"/>
    <w:rsid w:val="003444B3"/>
    <w:rsid w:val="003445B5"/>
    <w:rsid w:val="003448B3"/>
    <w:rsid w:val="0034495C"/>
    <w:rsid w:val="00344D66"/>
    <w:rsid w:val="00344EF8"/>
    <w:rsid w:val="003450F7"/>
    <w:rsid w:val="003454E3"/>
    <w:rsid w:val="0034571F"/>
    <w:rsid w:val="003457AE"/>
    <w:rsid w:val="003457BC"/>
    <w:rsid w:val="003457F1"/>
    <w:rsid w:val="003459BD"/>
    <w:rsid w:val="003459F7"/>
    <w:rsid w:val="00345ABD"/>
    <w:rsid w:val="00345B15"/>
    <w:rsid w:val="0034621E"/>
    <w:rsid w:val="00346290"/>
    <w:rsid w:val="0034642E"/>
    <w:rsid w:val="00346576"/>
    <w:rsid w:val="00346832"/>
    <w:rsid w:val="00346C7F"/>
    <w:rsid w:val="00346FF5"/>
    <w:rsid w:val="003473C9"/>
    <w:rsid w:val="00347551"/>
    <w:rsid w:val="003477D2"/>
    <w:rsid w:val="003479D4"/>
    <w:rsid w:val="00347A31"/>
    <w:rsid w:val="00347DBC"/>
    <w:rsid w:val="00347EA3"/>
    <w:rsid w:val="00347FA3"/>
    <w:rsid w:val="003504DF"/>
    <w:rsid w:val="003504EF"/>
    <w:rsid w:val="00350A76"/>
    <w:rsid w:val="00350C63"/>
    <w:rsid w:val="00350D09"/>
    <w:rsid w:val="00350D38"/>
    <w:rsid w:val="003510BF"/>
    <w:rsid w:val="00351185"/>
    <w:rsid w:val="0035132A"/>
    <w:rsid w:val="003518EC"/>
    <w:rsid w:val="00351B36"/>
    <w:rsid w:val="00351FE6"/>
    <w:rsid w:val="00352625"/>
    <w:rsid w:val="0035292B"/>
    <w:rsid w:val="0035293F"/>
    <w:rsid w:val="0035294C"/>
    <w:rsid w:val="0035299A"/>
    <w:rsid w:val="00352D20"/>
    <w:rsid w:val="00352ED0"/>
    <w:rsid w:val="00352F8D"/>
    <w:rsid w:val="00353176"/>
    <w:rsid w:val="0035341C"/>
    <w:rsid w:val="003537C7"/>
    <w:rsid w:val="0035392A"/>
    <w:rsid w:val="00353AB2"/>
    <w:rsid w:val="00353AE5"/>
    <w:rsid w:val="00353D41"/>
    <w:rsid w:val="00353F42"/>
    <w:rsid w:val="0035422F"/>
    <w:rsid w:val="0035439F"/>
    <w:rsid w:val="00354585"/>
    <w:rsid w:val="003545BA"/>
    <w:rsid w:val="0035477F"/>
    <w:rsid w:val="00354943"/>
    <w:rsid w:val="003549A3"/>
    <w:rsid w:val="003549B0"/>
    <w:rsid w:val="00354CD1"/>
    <w:rsid w:val="00354D66"/>
    <w:rsid w:val="00354F42"/>
    <w:rsid w:val="00355069"/>
    <w:rsid w:val="003552EF"/>
    <w:rsid w:val="003553B7"/>
    <w:rsid w:val="0035630D"/>
    <w:rsid w:val="0035658C"/>
    <w:rsid w:val="00356592"/>
    <w:rsid w:val="00356633"/>
    <w:rsid w:val="003568F0"/>
    <w:rsid w:val="00356964"/>
    <w:rsid w:val="00356971"/>
    <w:rsid w:val="00356B08"/>
    <w:rsid w:val="00356B8F"/>
    <w:rsid w:val="00356EB8"/>
    <w:rsid w:val="003571F6"/>
    <w:rsid w:val="0035720E"/>
    <w:rsid w:val="00357596"/>
    <w:rsid w:val="00357613"/>
    <w:rsid w:val="003576FC"/>
    <w:rsid w:val="00357A55"/>
    <w:rsid w:val="00357B4E"/>
    <w:rsid w:val="00357BEF"/>
    <w:rsid w:val="00357C69"/>
    <w:rsid w:val="00357DD8"/>
    <w:rsid w:val="00357F9A"/>
    <w:rsid w:val="00360477"/>
    <w:rsid w:val="0036099F"/>
    <w:rsid w:val="00360AD1"/>
    <w:rsid w:val="00360C26"/>
    <w:rsid w:val="00360FF5"/>
    <w:rsid w:val="0036121A"/>
    <w:rsid w:val="00361221"/>
    <w:rsid w:val="003615F8"/>
    <w:rsid w:val="003616BD"/>
    <w:rsid w:val="00361899"/>
    <w:rsid w:val="00361D49"/>
    <w:rsid w:val="00361E0F"/>
    <w:rsid w:val="00361FDB"/>
    <w:rsid w:val="003626E0"/>
    <w:rsid w:val="0036283A"/>
    <w:rsid w:val="003628F9"/>
    <w:rsid w:val="00362BBF"/>
    <w:rsid w:val="00362D47"/>
    <w:rsid w:val="00362E16"/>
    <w:rsid w:val="00363B85"/>
    <w:rsid w:val="00363C64"/>
    <w:rsid w:val="00363CC9"/>
    <w:rsid w:val="00363F35"/>
    <w:rsid w:val="00364038"/>
    <w:rsid w:val="0036407D"/>
    <w:rsid w:val="00364141"/>
    <w:rsid w:val="00364B26"/>
    <w:rsid w:val="00364BD2"/>
    <w:rsid w:val="00364CF1"/>
    <w:rsid w:val="003650AD"/>
    <w:rsid w:val="00365290"/>
    <w:rsid w:val="003652BD"/>
    <w:rsid w:val="003652FA"/>
    <w:rsid w:val="003653E9"/>
    <w:rsid w:val="00365514"/>
    <w:rsid w:val="00365566"/>
    <w:rsid w:val="00365676"/>
    <w:rsid w:val="00365843"/>
    <w:rsid w:val="0036594A"/>
    <w:rsid w:val="00365BD4"/>
    <w:rsid w:val="00365ECD"/>
    <w:rsid w:val="00365FCA"/>
    <w:rsid w:val="0036609A"/>
    <w:rsid w:val="003663A1"/>
    <w:rsid w:val="003663AB"/>
    <w:rsid w:val="00366458"/>
    <w:rsid w:val="00366688"/>
    <w:rsid w:val="00366B8C"/>
    <w:rsid w:val="00366C6A"/>
    <w:rsid w:val="00366C87"/>
    <w:rsid w:val="00366D9A"/>
    <w:rsid w:val="00366E87"/>
    <w:rsid w:val="0036720B"/>
    <w:rsid w:val="00367533"/>
    <w:rsid w:val="003675B4"/>
    <w:rsid w:val="003677B6"/>
    <w:rsid w:val="0037007B"/>
    <w:rsid w:val="0037026F"/>
    <w:rsid w:val="0037030A"/>
    <w:rsid w:val="003703FA"/>
    <w:rsid w:val="003704FD"/>
    <w:rsid w:val="003704FE"/>
    <w:rsid w:val="00370978"/>
    <w:rsid w:val="00370983"/>
    <w:rsid w:val="00370A08"/>
    <w:rsid w:val="00370E4D"/>
    <w:rsid w:val="00370EA7"/>
    <w:rsid w:val="00370EE3"/>
    <w:rsid w:val="00370EE9"/>
    <w:rsid w:val="00370FB5"/>
    <w:rsid w:val="0037105D"/>
    <w:rsid w:val="0037140B"/>
    <w:rsid w:val="003714F6"/>
    <w:rsid w:val="0037158D"/>
    <w:rsid w:val="003716FD"/>
    <w:rsid w:val="00371959"/>
    <w:rsid w:val="00371973"/>
    <w:rsid w:val="00371A2A"/>
    <w:rsid w:val="00371B52"/>
    <w:rsid w:val="00371DAA"/>
    <w:rsid w:val="00371E61"/>
    <w:rsid w:val="0037204B"/>
    <w:rsid w:val="003720D5"/>
    <w:rsid w:val="00372202"/>
    <w:rsid w:val="0037226B"/>
    <w:rsid w:val="003722DC"/>
    <w:rsid w:val="00372A6A"/>
    <w:rsid w:val="00372CEB"/>
    <w:rsid w:val="00373153"/>
    <w:rsid w:val="003731F1"/>
    <w:rsid w:val="0037323F"/>
    <w:rsid w:val="0037340C"/>
    <w:rsid w:val="0037347E"/>
    <w:rsid w:val="003736FD"/>
    <w:rsid w:val="0037390C"/>
    <w:rsid w:val="0037396E"/>
    <w:rsid w:val="00373AAE"/>
    <w:rsid w:val="00373C05"/>
    <w:rsid w:val="00374189"/>
    <w:rsid w:val="0037432A"/>
    <w:rsid w:val="003744CF"/>
    <w:rsid w:val="00374717"/>
    <w:rsid w:val="00374C9F"/>
    <w:rsid w:val="00374E3C"/>
    <w:rsid w:val="003750D0"/>
    <w:rsid w:val="003750F6"/>
    <w:rsid w:val="00375531"/>
    <w:rsid w:val="003759E7"/>
    <w:rsid w:val="00375A58"/>
    <w:rsid w:val="00375B0A"/>
    <w:rsid w:val="00375BB1"/>
    <w:rsid w:val="00375D1B"/>
    <w:rsid w:val="00375E20"/>
    <w:rsid w:val="00375F30"/>
    <w:rsid w:val="00375FEC"/>
    <w:rsid w:val="0037629B"/>
    <w:rsid w:val="003764DE"/>
    <w:rsid w:val="003765DD"/>
    <w:rsid w:val="0037676C"/>
    <w:rsid w:val="0037685C"/>
    <w:rsid w:val="00376A6E"/>
    <w:rsid w:val="00376C5B"/>
    <w:rsid w:val="00376EBE"/>
    <w:rsid w:val="00377101"/>
    <w:rsid w:val="0037730A"/>
    <w:rsid w:val="003774A4"/>
    <w:rsid w:val="003774AA"/>
    <w:rsid w:val="0037769F"/>
    <w:rsid w:val="00377996"/>
    <w:rsid w:val="00377A20"/>
    <w:rsid w:val="00377B7E"/>
    <w:rsid w:val="00377C7C"/>
    <w:rsid w:val="00380043"/>
    <w:rsid w:val="003801B0"/>
    <w:rsid w:val="00380224"/>
    <w:rsid w:val="00380548"/>
    <w:rsid w:val="00381043"/>
    <w:rsid w:val="0038104D"/>
    <w:rsid w:val="0038110B"/>
    <w:rsid w:val="0038147C"/>
    <w:rsid w:val="00381A00"/>
    <w:rsid w:val="00381B36"/>
    <w:rsid w:val="00381BD6"/>
    <w:rsid w:val="00381FD4"/>
    <w:rsid w:val="003822C0"/>
    <w:rsid w:val="003826AC"/>
    <w:rsid w:val="00382738"/>
    <w:rsid w:val="003827F9"/>
    <w:rsid w:val="003829E5"/>
    <w:rsid w:val="00382C15"/>
    <w:rsid w:val="003830FB"/>
    <w:rsid w:val="003832D5"/>
    <w:rsid w:val="00383394"/>
    <w:rsid w:val="0038355E"/>
    <w:rsid w:val="00383579"/>
    <w:rsid w:val="0038380E"/>
    <w:rsid w:val="00383C7D"/>
    <w:rsid w:val="00383D90"/>
    <w:rsid w:val="00383DA2"/>
    <w:rsid w:val="00383FF7"/>
    <w:rsid w:val="0038446F"/>
    <w:rsid w:val="003846B6"/>
    <w:rsid w:val="00384C77"/>
    <w:rsid w:val="00384D77"/>
    <w:rsid w:val="003853D6"/>
    <w:rsid w:val="00385778"/>
    <w:rsid w:val="00385869"/>
    <w:rsid w:val="00385890"/>
    <w:rsid w:val="00385B2C"/>
    <w:rsid w:val="00385CC9"/>
    <w:rsid w:val="00385DFC"/>
    <w:rsid w:val="00385E49"/>
    <w:rsid w:val="00385E87"/>
    <w:rsid w:val="00385F72"/>
    <w:rsid w:val="00386048"/>
    <w:rsid w:val="00386109"/>
    <w:rsid w:val="0038620C"/>
    <w:rsid w:val="00386361"/>
    <w:rsid w:val="00386798"/>
    <w:rsid w:val="00386836"/>
    <w:rsid w:val="00386944"/>
    <w:rsid w:val="00386A5C"/>
    <w:rsid w:val="00386B2D"/>
    <w:rsid w:val="00386B83"/>
    <w:rsid w:val="00386CE8"/>
    <w:rsid w:val="003872AD"/>
    <w:rsid w:val="003875FC"/>
    <w:rsid w:val="003877C9"/>
    <w:rsid w:val="00387B15"/>
    <w:rsid w:val="00387D2A"/>
    <w:rsid w:val="00387EDD"/>
    <w:rsid w:val="00390280"/>
    <w:rsid w:val="00390908"/>
    <w:rsid w:val="0039098C"/>
    <w:rsid w:val="00390A89"/>
    <w:rsid w:val="00390A9C"/>
    <w:rsid w:val="00390C77"/>
    <w:rsid w:val="00390F79"/>
    <w:rsid w:val="00390FCD"/>
    <w:rsid w:val="00391138"/>
    <w:rsid w:val="00391199"/>
    <w:rsid w:val="003912B4"/>
    <w:rsid w:val="003914B2"/>
    <w:rsid w:val="0039151C"/>
    <w:rsid w:val="003915D7"/>
    <w:rsid w:val="00391A74"/>
    <w:rsid w:val="00391B77"/>
    <w:rsid w:val="00391E25"/>
    <w:rsid w:val="003920BB"/>
    <w:rsid w:val="00392A52"/>
    <w:rsid w:val="00392B1A"/>
    <w:rsid w:val="00392E16"/>
    <w:rsid w:val="00393124"/>
    <w:rsid w:val="00393375"/>
    <w:rsid w:val="0039350D"/>
    <w:rsid w:val="003938A6"/>
    <w:rsid w:val="00393B07"/>
    <w:rsid w:val="00393CCC"/>
    <w:rsid w:val="00393E48"/>
    <w:rsid w:val="00393ED0"/>
    <w:rsid w:val="00393F41"/>
    <w:rsid w:val="00394041"/>
    <w:rsid w:val="0039428B"/>
    <w:rsid w:val="003943E3"/>
    <w:rsid w:val="003948B3"/>
    <w:rsid w:val="0039498B"/>
    <w:rsid w:val="00394B79"/>
    <w:rsid w:val="00395026"/>
    <w:rsid w:val="003950B1"/>
    <w:rsid w:val="00395184"/>
    <w:rsid w:val="003953FA"/>
    <w:rsid w:val="003956CC"/>
    <w:rsid w:val="0039586F"/>
    <w:rsid w:val="00395A49"/>
    <w:rsid w:val="00395ADF"/>
    <w:rsid w:val="00395B0E"/>
    <w:rsid w:val="00395C9A"/>
    <w:rsid w:val="00395CDE"/>
    <w:rsid w:val="00395FBB"/>
    <w:rsid w:val="00396036"/>
    <w:rsid w:val="0039637B"/>
    <w:rsid w:val="00396490"/>
    <w:rsid w:val="003965A2"/>
    <w:rsid w:val="003966BC"/>
    <w:rsid w:val="0039676E"/>
    <w:rsid w:val="00396DCB"/>
    <w:rsid w:val="00396DD9"/>
    <w:rsid w:val="00396F44"/>
    <w:rsid w:val="00397313"/>
    <w:rsid w:val="003978A7"/>
    <w:rsid w:val="00397E75"/>
    <w:rsid w:val="003A005F"/>
    <w:rsid w:val="003A029B"/>
    <w:rsid w:val="003A05B3"/>
    <w:rsid w:val="003A062E"/>
    <w:rsid w:val="003A0853"/>
    <w:rsid w:val="003A092A"/>
    <w:rsid w:val="003A09B7"/>
    <w:rsid w:val="003A1105"/>
    <w:rsid w:val="003A134B"/>
    <w:rsid w:val="003A14C2"/>
    <w:rsid w:val="003A1564"/>
    <w:rsid w:val="003A18D4"/>
    <w:rsid w:val="003A19CB"/>
    <w:rsid w:val="003A1A30"/>
    <w:rsid w:val="003A2324"/>
    <w:rsid w:val="003A23F2"/>
    <w:rsid w:val="003A28DC"/>
    <w:rsid w:val="003A2D12"/>
    <w:rsid w:val="003A3179"/>
    <w:rsid w:val="003A33D5"/>
    <w:rsid w:val="003A3654"/>
    <w:rsid w:val="003A36BE"/>
    <w:rsid w:val="003A3750"/>
    <w:rsid w:val="003A380C"/>
    <w:rsid w:val="003A3CFB"/>
    <w:rsid w:val="003A4050"/>
    <w:rsid w:val="003A4114"/>
    <w:rsid w:val="003A440D"/>
    <w:rsid w:val="003A4C28"/>
    <w:rsid w:val="003A4C40"/>
    <w:rsid w:val="003A5667"/>
    <w:rsid w:val="003A574E"/>
    <w:rsid w:val="003A5778"/>
    <w:rsid w:val="003A58D7"/>
    <w:rsid w:val="003A5C30"/>
    <w:rsid w:val="003A5EE2"/>
    <w:rsid w:val="003A5F11"/>
    <w:rsid w:val="003A5F5F"/>
    <w:rsid w:val="003A626E"/>
    <w:rsid w:val="003A65BF"/>
    <w:rsid w:val="003A682E"/>
    <w:rsid w:val="003A6929"/>
    <w:rsid w:val="003A6A9A"/>
    <w:rsid w:val="003A6B67"/>
    <w:rsid w:val="003A6B87"/>
    <w:rsid w:val="003A6DAB"/>
    <w:rsid w:val="003A6E5A"/>
    <w:rsid w:val="003A71D8"/>
    <w:rsid w:val="003A72AF"/>
    <w:rsid w:val="003A72C9"/>
    <w:rsid w:val="003A7422"/>
    <w:rsid w:val="003A76AD"/>
    <w:rsid w:val="003A7931"/>
    <w:rsid w:val="003A7958"/>
    <w:rsid w:val="003A7CE1"/>
    <w:rsid w:val="003B004D"/>
    <w:rsid w:val="003B04DA"/>
    <w:rsid w:val="003B059C"/>
    <w:rsid w:val="003B0719"/>
    <w:rsid w:val="003B079F"/>
    <w:rsid w:val="003B09F1"/>
    <w:rsid w:val="003B0A6B"/>
    <w:rsid w:val="003B0A90"/>
    <w:rsid w:val="003B0EA6"/>
    <w:rsid w:val="003B0ECA"/>
    <w:rsid w:val="003B11BD"/>
    <w:rsid w:val="003B1202"/>
    <w:rsid w:val="003B1335"/>
    <w:rsid w:val="003B13B6"/>
    <w:rsid w:val="003B14C3"/>
    <w:rsid w:val="003B15E6"/>
    <w:rsid w:val="003B163F"/>
    <w:rsid w:val="003B1892"/>
    <w:rsid w:val="003B18FD"/>
    <w:rsid w:val="003B199B"/>
    <w:rsid w:val="003B1B45"/>
    <w:rsid w:val="003B1D93"/>
    <w:rsid w:val="003B1DBB"/>
    <w:rsid w:val="003B1E1E"/>
    <w:rsid w:val="003B211A"/>
    <w:rsid w:val="003B2128"/>
    <w:rsid w:val="003B21C2"/>
    <w:rsid w:val="003B22EF"/>
    <w:rsid w:val="003B2864"/>
    <w:rsid w:val="003B2A05"/>
    <w:rsid w:val="003B2CF2"/>
    <w:rsid w:val="003B2E5F"/>
    <w:rsid w:val="003B30D5"/>
    <w:rsid w:val="003B3215"/>
    <w:rsid w:val="003B36E9"/>
    <w:rsid w:val="003B370F"/>
    <w:rsid w:val="003B37E9"/>
    <w:rsid w:val="003B3996"/>
    <w:rsid w:val="003B3DFA"/>
    <w:rsid w:val="003B3F7B"/>
    <w:rsid w:val="003B408A"/>
    <w:rsid w:val="003B4614"/>
    <w:rsid w:val="003B462B"/>
    <w:rsid w:val="003B47A7"/>
    <w:rsid w:val="003B4856"/>
    <w:rsid w:val="003B4BFE"/>
    <w:rsid w:val="003B5006"/>
    <w:rsid w:val="003B51E6"/>
    <w:rsid w:val="003B54DB"/>
    <w:rsid w:val="003B5F25"/>
    <w:rsid w:val="003B612B"/>
    <w:rsid w:val="003B62CF"/>
    <w:rsid w:val="003B643B"/>
    <w:rsid w:val="003B652E"/>
    <w:rsid w:val="003B6556"/>
    <w:rsid w:val="003B6828"/>
    <w:rsid w:val="003B6920"/>
    <w:rsid w:val="003B6A92"/>
    <w:rsid w:val="003B6E87"/>
    <w:rsid w:val="003B7137"/>
    <w:rsid w:val="003B71D1"/>
    <w:rsid w:val="003B721C"/>
    <w:rsid w:val="003B7235"/>
    <w:rsid w:val="003B7360"/>
    <w:rsid w:val="003B7442"/>
    <w:rsid w:val="003B75B6"/>
    <w:rsid w:val="003B75F2"/>
    <w:rsid w:val="003B7688"/>
    <w:rsid w:val="003B76D0"/>
    <w:rsid w:val="003B7B46"/>
    <w:rsid w:val="003B7C13"/>
    <w:rsid w:val="003B7D54"/>
    <w:rsid w:val="003B7DF7"/>
    <w:rsid w:val="003B7FB8"/>
    <w:rsid w:val="003C00BE"/>
    <w:rsid w:val="003C01BA"/>
    <w:rsid w:val="003C0230"/>
    <w:rsid w:val="003C0381"/>
    <w:rsid w:val="003C049F"/>
    <w:rsid w:val="003C08A2"/>
    <w:rsid w:val="003C0F20"/>
    <w:rsid w:val="003C0F70"/>
    <w:rsid w:val="003C0FED"/>
    <w:rsid w:val="003C10F1"/>
    <w:rsid w:val="003C12D7"/>
    <w:rsid w:val="003C153F"/>
    <w:rsid w:val="003C1607"/>
    <w:rsid w:val="003C19FF"/>
    <w:rsid w:val="003C1A1E"/>
    <w:rsid w:val="003C1C36"/>
    <w:rsid w:val="003C1DB5"/>
    <w:rsid w:val="003C1EB1"/>
    <w:rsid w:val="003C1F8D"/>
    <w:rsid w:val="003C2045"/>
    <w:rsid w:val="003C24AB"/>
    <w:rsid w:val="003C28EA"/>
    <w:rsid w:val="003C29B3"/>
    <w:rsid w:val="003C29F5"/>
    <w:rsid w:val="003C2CB7"/>
    <w:rsid w:val="003C2F57"/>
    <w:rsid w:val="003C32DB"/>
    <w:rsid w:val="003C3463"/>
    <w:rsid w:val="003C387C"/>
    <w:rsid w:val="003C3B0A"/>
    <w:rsid w:val="003C3C3E"/>
    <w:rsid w:val="003C3C51"/>
    <w:rsid w:val="003C3D76"/>
    <w:rsid w:val="003C40D2"/>
    <w:rsid w:val="003C43A1"/>
    <w:rsid w:val="003C4634"/>
    <w:rsid w:val="003C46F7"/>
    <w:rsid w:val="003C494A"/>
    <w:rsid w:val="003C4AFD"/>
    <w:rsid w:val="003C4CD8"/>
    <w:rsid w:val="003C4FC0"/>
    <w:rsid w:val="003C5049"/>
    <w:rsid w:val="003C52AA"/>
    <w:rsid w:val="003C54EA"/>
    <w:rsid w:val="003C55ED"/>
    <w:rsid w:val="003C55F4"/>
    <w:rsid w:val="003C56BB"/>
    <w:rsid w:val="003C59DD"/>
    <w:rsid w:val="003C619B"/>
    <w:rsid w:val="003C6820"/>
    <w:rsid w:val="003C68CF"/>
    <w:rsid w:val="003C69D4"/>
    <w:rsid w:val="003C6BEE"/>
    <w:rsid w:val="003C6DBF"/>
    <w:rsid w:val="003C70B3"/>
    <w:rsid w:val="003C7678"/>
    <w:rsid w:val="003C7897"/>
    <w:rsid w:val="003C78CB"/>
    <w:rsid w:val="003C78E4"/>
    <w:rsid w:val="003C7A3F"/>
    <w:rsid w:val="003C7A94"/>
    <w:rsid w:val="003C7F74"/>
    <w:rsid w:val="003D0296"/>
    <w:rsid w:val="003D02C9"/>
    <w:rsid w:val="003D05B5"/>
    <w:rsid w:val="003D064D"/>
    <w:rsid w:val="003D089D"/>
    <w:rsid w:val="003D0CC2"/>
    <w:rsid w:val="003D0D8A"/>
    <w:rsid w:val="003D0F34"/>
    <w:rsid w:val="003D102C"/>
    <w:rsid w:val="003D11DA"/>
    <w:rsid w:val="003D13B0"/>
    <w:rsid w:val="003D14A6"/>
    <w:rsid w:val="003D14F5"/>
    <w:rsid w:val="003D1B14"/>
    <w:rsid w:val="003D1E21"/>
    <w:rsid w:val="003D1F9E"/>
    <w:rsid w:val="003D2137"/>
    <w:rsid w:val="003D215C"/>
    <w:rsid w:val="003D2543"/>
    <w:rsid w:val="003D2766"/>
    <w:rsid w:val="003D2A74"/>
    <w:rsid w:val="003D2A75"/>
    <w:rsid w:val="003D2B35"/>
    <w:rsid w:val="003D2B69"/>
    <w:rsid w:val="003D2C87"/>
    <w:rsid w:val="003D3180"/>
    <w:rsid w:val="003D32F6"/>
    <w:rsid w:val="003D34BB"/>
    <w:rsid w:val="003D37A6"/>
    <w:rsid w:val="003D37CA"/>
    <w:rsid w:val="003D3AA3"/>
    <w:rsid w:val="003D3D88"/>
    <w:rsid w:val="003D3E8F"/>
    <w:rsid w:val="003D3F86"/>
    <w:rsid w:val="003D4031"/>
    <w:rsid w:val="003D40DB"/>
    <w:rsid w:val="003D41F9"/>
    <w:rsid w:val="003D435F"/>
    <w:rsid w:val="003D43FB"/>
    <w:rsid w:val="003D43FD"/>
    <w:rsid w:val="003D46B4"/>
    <w:rsid w:val="003D46FF"/>
    <w:rsid w:val="003D4948"/>
    <w:rsid w:val="003D4A84"/>
    <w:rsid w:val="003D4BD8"/>
    <w:rsid w:val="003D4C7F"/>
    <w:rsid w:val="003D4E9A"/>
    <w:rsid w:val="003D4F63"/>
    <w:rsid w:val="003D512A"/>
    <w:rsid w:val="003D573D"/>
    <w:rsid w:val="003D5826"/>
    <w:rsid w:val="003D59FF"/>
    <w:rsid w:val="003D5F71"/>
    <w:rsid w:val="003D6176"/>
    <w:rsid w:val="003D63B6"/>
    <w:rsid w:val="003D6475"/>
    <w:rsid w:val="003D64FF"/>
    <w:rsid w:val="003D6573"/>
    <w:rsid w:val="003D658E"/>
    <w:rsid w:val="003D6742"/>
    <w:rsid w:val="003D68F8"/>
    <w:rsid w:val="003D6A76"/>
    <w:rsid w:val="003D6E11"/>
    <w:rsid w:val="003D6EE6"/>
    <w:rsid w:val="003D77EF"/>
    <w:rsid w:val="003D7820"/>
    <w:rsid w:val="003D7BFF"/>
    <w:rsid w:val="003D7C73"/>
    <w:rsid w:val="003D7E28"/>
    <w:rsid w:val="003D7F86"/>
    <w:rsid w:val="003E0269"/>
    <w:rsid w:val="003E02DB"/>
    <w:rsid w:val="003E06E4"/>
    <w:rsid w:val="003E0BEB"/>
    <w:rsid w:val="003E0C42"/>
    <w:rsid w:val="003E0F33"/>
    <w:rsid w:val="003E1076"/>
    <w:rsid w:val="003E10BD"/>
    <w:rsid w:val="003E1162"/>
    <w:rsid w:val="003E11F5"/>
    <w:rsid w:val="003E1479"/>
    <w:rsid w:val="003E160B"/>
    <w:rsid w:val="003E1A97"/>
    <w:rsid w:val="003E1E27"/>
    <w:rsid w:val="003E2662"/>
    <w:rsid w:val="003E27EA"/>
    <w:rsid w:val="003E28F1"/>
    <w:rsid w:val="003E2ABD"/>
    <w:rsid w:val="003E2D62"/>
    <w:rsid w:val="003E2D67"/>
    <w:rsid w:val="003E2F1E"/>
    <w:rsid w:val="003E375C"/>
    <w:rsid w:val="003E3921"/>
    <w:rsid w:val="003E398F"/>
    <w:rsid w:val="003E3B51"/>
    <w:rsid w:val="003E4086"/>
    <w:rsid w:val="003E422F"/>
    <w:rsid w:val="003E431B"/>
    <w:rsid w:val="003E43B1"/>
    <w:rsid w:val="003E4695"/>
    <w:rsid w:val="003E480C"/>
    <w:rsid w:val="003E4D7D"/>
    <w:rsid w:val="003E5070"/>
    <w:rsid w:val="003E519C"/>
    <w:rsid w:val="003E52A5"/>
    <w:rsid w:val="003E5399"/>
    <w:rsid w:val="003E56FF"/>
    <w:rsid w:val="003E578E"/>
    <w:rsid w:val="003E5B8E"/>
    <w:rsid w:val="003E5BED"/>
    <w:rsid w:val="003E5CA3"/>
    <w:rsid w:val="003E5CCC"/>
    <w:rsid w:val="003E5F77"/>
    <w:rsid w:val="003E6041"/>
    <w:rsid w:val="003E6151"/>
    <w:rsid w:val="003E618E"/>
    <w:rsid w:val="003E626C"/>
    <w:rsid w:val="003E639E"/>
    <w:rsid w:val="003E643B"/>
    <w:rsid w:val="003E6882"/>
    <w:rsid w:val="003E6AB8"/>
    <w:rsid w:val="003E6ABA"/>
    <w:rsid w:val="003E6C9D"/>
    <w:rsid w:val="003E6DEE"/>
    <w:rsid w:val="003E71E5"/>
    <w:rsid w:val="003E720F"/>
    <w:rsid w:val="003E72F0"/>
    <w:rsid w:val="003E7341"/>
    <w:rsid w:val="003E74B8"/>
    <w:rsid w:val="003E75C1"/>
    <w:rsid w:val="003E75F5"/>
    <w:rsid w:val="003E7D42"/>
    <w:rsid w:val="003E7FBA"/>
    <w:rsid w:val="003F0028"/>
    <w:rsid w:val="003F03CA"/>
    <w:rsid w:val="003F0401"/>
    <w:rsid w:val="003F0445"/>
    <w:rsid w:val="003F0456"/>
    <w:rsid w:val="003F04BD"/>
    <w:rsid w:val="003F06DA"/>
    <w:rsid w:val="003F08CD"/>
    <w:rsid w:val="003F0CF0"/>
    <w:rsid w:val="003F0F81"/>
    <w:rsid w:val="003F1118"/>
    <w:rsid w:val="003F14B1"/>
    <w:rsid w:val="003F155B"/>
    <w:rsid w:val="003F1CE8"/>
    <w:rsid w:val="003F259A"/>
    <w:rsid w:val="003F27FE"/>
    <w:rsid w:val="003F2819"/>
    <w:rsid w:val="003F284D"/>
    <w:rsid w:val="003F2879"/>
    <w:rsid w:val="003F2A38"/>
    <w:rsid w:val="003F2A73"/>
    <w:rsid w:val="003F2AE3"/>
    <w:rsid w:val="003F2B20"/>
    <w:rsid w:val="003F2C76"/>
    <w:rsid w:val="003F3289"/>
    <w:rsid w:val="003F38F2"/>
    <w:rsid w:val="003F39C7"/>
    <w:rsid w:val="003F3A93"/>
    <w:rsid w:val="003F3C62"/>
    <w:rsid w:val="003F3D9B"/>
    <w:rsid w:val="003F3DA5"/>
    <w:rsid w:val="003F3E1E"/>
    <w:rsid w:val="003F3F95"/>
    <w:rsid w:val="003F45D6"/>
    <w:rsid w:val="003F47DA"/>
    <w:rsid w:val="003F4858"/>
    <w:rsid w:val="003F4980"/>
    <w:rsid w:val="003F4E8D"/>
    <w:rsid w:val="003F5033"/>
    <w:rsid w:val="003F51E9"/>
    <w:rsid w:val="003F527A"/>
    <w:rsid w:val="003F531D"/>
    <w:rsid w:val="003F53BB"/>
    <w:rsid w:val="003F546B"/>
    <w:rsid w:val="003F5989"/>
    <w:rsid w:val="003F5BFB"/>
    <w:rsid w:val="003F5C69"/>
    <w:rsid w:val="003F5CB9"/>
    <w:rsid w:val="003F5E2E"/>
    <w:rsid w:val="003F5E69"/>
    <w:rsid w:val="003F609C"/>
    <w:rsid w:val="003F614E"/>
    <w:rsid w:val="003F6723"/>
    <w:rsid w:val="003F6766"/>
    <w:rsid w:val="003F6837"/>
    <w:rsid w:val="003F6895"/>
    <w:rsid w:val="003F6ADA"/>
    <w:rsid w:val="003F6DCC"/>
    <w:rsid w:val="003F6FE3"/>
    <w:rsid w:val="003F705F"/>
    <w:rsid w:val="003F70A3"/>
    <w:rsid w:val="003F717D"/>
    <w:rsid w:val="003F74B7"/>
    <w:rsid w:val="003F7717"/>
    <w:rsid w:val="003F7D3E"/>
    <w:rsid w:val="003F7E6A"/>
    <w:rsid w:val="00400097"/>
    <w:rsid w:val="004002A3"/>
    <w:rsid w:val="00400312"/>
    <w:rsid w:val="004004D6"/>
    <w:rsid w:val="0040057E"/>
    <w:rsid w:val="0040097A"/>
    <w:rsid w:val="00400A05"/>
    <w:rsid w:val="00400B67"/>
    <w:rsid w:val="00400D83"/>
    <w:rsid w:val="00400DDC"/>
    <w:rsid w:val="004010EA"/>
    <w:rsid w:val="004013C7"/>
    <w:rsid w:val="00401F18"/>
    <w:rsid w:val="00401F80"/>
    <w:rsid w:val="00401FBD"/>
    <w:rsid w:val="00401FCF"/>
    <w:rsid w:val="00402063"/>
    <w:rsid w:val="0040232A"/>
    <w:rsid w:val="004023C3"/>
    <w:rsid w:val="004029C2"/>
    <w:rsid w:val="004029EE"/>
    <w:rsid w:val="00402B60"/>
    <w:rsid w:val="00402DC3"/>
    <w:rsid w:val="004030D0"/>
    <w:rsid w:val="00403108"/>
    <w:rsid w:val="00403125"/>
    <w:rsid w:val="004032C9"/>
    <w:rsid w:val="0040370F"/>
    <w:rsid w:val="0040375D"/>
    <w:rsid w:val="004037C8"/>
    <w:rsid w:val="004039A1"/>
    <w:rsid w:val="00403AFD"/>
    <w:rsid w:val="00403B8F"/>
    <w:rsid w:val="00403C57"/>
    <w:rsid w:val="00403D96"/>
    <w:rsid w:val="00403F03"/>
    <w:rsid w:val="00404702"/>
    <w:rsid w:val="004048ED"/>
    <w:rsid w:val="00404A29"/>
    <w:rsid w:val="00404A5C"/>
    <w:rsid w:val="00404AA9"/>
    <w:rsid w:val="00404B2F"/>
    <w:rsid w:val="00404B3C"/>
    <w:rsid w:val="00404B83"/>
    <w:rsid w:val="00404DBC"/>
    <w:rsid w:val="004052BA"/>
    <w:rsid w:val="004055D7"/>
    <w:rsid w:val="004057F1"/>
    <w:rsid w:val="004058E5"/>
    <w:rsid w:val="00405C9F"/>
    <w:rsid w:val="00406285"/>
    <w:rsid w:val="0040670C"/>
    <w:rsid w:val="0040689F"/>
    <w:rsid w:val="004069D6"/>
    <w:rsid w:val="00406EBD"/>
    <w:rsid w:val="00406F38"/>
    <w:rsid w:val="00407560"/>
    <w:rsid w:val="00407733"/>
    <w:rsid w:val="0040777C"/>
    <w:rsid w:val="004077D2"/>
    <w:rsid w:val="00407BB9"/>
    <w:rsid w:val="00407BFC"/>
    <w:rsid w:val="00407E99"/>
    <w:rsid w:val="004100ED"/>
    <w:rsid w:val="0041011A"/>
    <w:rsid w:val="0041015D"/>
    <w:rsid w:val="0041032A"/>
    <w:rsid w:val="0041046F"/>
    <w:rsid w:val="004105B5"/>
    <w:rsid w:val="0041067B"/>
    <w:rsid w:val="00410700"/>
    <w:rsid w:val="00410E7D"/>
    <w:rsid w:val="00410E8A"/>
    <w:rsid w:val="004115A2"/>
    <w:rsid w:val="00411647"/>
    <w:rsid w:val="004117B1"/>
    <w:rsid w:val="00411BE5"/>
    <w:rsid w:val="00411E39"/>
    <w:rsid w:val="00412212"/>
    <w:rsid w:val="00412312"/>
    <w:rsid w:val="00412472"/>
    <w:rsid w:val="004125CA"/>
    <w:rsid w:val="004125D6"/>
    <w:rsid w:val="00412932"/>
    <w:rsid w:val="00412AC1"/>
    <w:rsid w:val="00412B7C"/>
    <w:rsid w:val="00412DE8"/>
    <w:rsid w:val="004135D8"/>
    <w:rsid w:val="00413A5F"/>
    <w:rsid w:val="00413CA0"/>
    <w:rsid w:val="00413F5C"/>
    <w:rsid w:val="00413FD7"/>
    <w:rsid w:val="00414030"/>
    <w:rsid w:val="00414031"/>
    <w:rsid w:val="00414061"/>
    <w:rsid w:val="00414075"/>
    <w:rsid w:val="00414584"/>
    <w:rsid w:val="004147EA"/>
    <w:rsid w:val="004148F9"/>
    <w:rsid w:val="00414D32"/>
    <w:rsid w:val="00414D6C"/>
    <w:rsid w:val="004152BD"/>
    <w:rsid w:val="004152FD"/>
    <w:rsid w:val="00415384"/>
    <w:rsid w:val="0041540A"/>
    <w:rsid w:val="00415FCF"/>
    <w:rsid w:val="004160C4"/>
    <w:rsid w:val="00416313"/>
    <w:rsid w:val="0041631A"/>
    <w:rsid w:val="00416406"/>
    <w:rsid w:val="00416460"/>
    <w:rsid w:val="004165C5"/>
    <w:rsid w:val="00416729"/>
    <w:rsid w:val="00416813"/>
    <w:rsid w:val="00416919"/>
    <w:rsid w:val="00416A06"/>
    <w:rsid w:val="00416C18"/>
    <w:rsid w:val="00416CA4"/>
    <w:rsid w:val="0041776A"/>
    <w:rsid w:val="00417C4A"/>
    <w:rsid w:val="00417CC6"/>
    <w:rsid w:val="00417D23"/>
    <w:rsid w:val="00417D94"/>
    <w:rsid w:val="00420843"/>
    <w:rsid w:val="0042084E"/>
    <w:rsid w:val="00420A18"/>
    <w:rsid w:val="00420CB1"/>
    <w:rsid w:val="00420D52"/>
    <w:rsid w:val="00420F43"/>
    <w:rsid w:val="004210DA"/>
    <w:rsid w:val="00421617"/>
    <w:rsid w:val="004219A5"/>
    <w:rsid w:val="00421ED1"/>
    <w:rsid w:val="00421EEF"/>
    <w:rsid w:val="0042205D"/>
    <w:rsid w:val="00422179"/>
    <w:rsid w:val="004226B7"/>
    <w:rsid w:val="004227BA"/>
    <w:rsid w:val="00422916"/>
    <w:rsid w:val="00422A9F"/>
    <w:rsid w:val="00422ADB"/>
    <w:rsid w:val="00422D2A"/>
    <w:rsid w:val="00422FF4"/>
    <w:rsid w:val="004231DB"/>
    <w:rsid w:val="004235AF"/>
    <w:rsid w:val="00423A5C"/>
    <w:rsid w:val="00423A97"/>
    <w:rsid w:val="00423B93"/>
    <w:rsid w:val="00423F4D"/>
    <w:rsid w:val="00424102"/>
    <w:rsid w:val="004244A4"/>
    <w:rsid w:val="004245A1"/>
    <w:rsid w:val="004245BC"/>
    <w:rsid w:val="004248D4"/>
    <w:rsid w:val="00424AC4"/>
    <w:rsid w:val="00424D46"/>
    <w:rsid w:val="00424D65"/>
    <w:rsid w:val="00424E04"/>
    <w:rsid w:val="004252E1"/>
    <w:rsid w:val="00425309"/>
    <w:rsid w:val="00425319"/>
    <w:rsid w:val="00425483"/>
    <w:rsid w:val="004254C0"/>
    <w:rsid w:val="00425689"/>
    <w:rsid w:val="0042569D"/>
    <w:rsid w:val="00425DB6"/>
    <w:rsid w:val="004260C2"/>
    <w:rsid w:val="004263B3"/>
    <w:rsid w:val="00426744"/>
    <w:rsid w:val="00426937"/>
    <w:rsid w:val="00426CE3"/>
    <w:rsid w:val="00426D13"/>
    <w:rsid w:val="00426FA7"/>
    <w:rsid w:val="0042717E"/>
    <w:rsid w:val="00427299"/>
    <w:rsid w:val="004272FC"/>
    <w:rsid w:val="00427348"/>
    <w:rsid w:val="00427462"/>
    <w:rsid w:val="00427514"/>
    <w:rsid w:val="00427776"/>
    <w:rsid w:val="004277FF"/>
    <w:rsid w:val="004279ED"/>
    <w:rsid w:val="00427D38"/>
    <w:rsid w:val="00427D5A"/>
    <w:rsid w:val="00427FA4"/>
    <w:rsid w:val="00427FAF"/>
    <w:rsid w:val="00427FE4"/>
    <w:rsid w:val="00430003"/>
    <w:rsid w:val="00430393"/>
    <w:rsid w:val="00430471"/>
    <w:rsid w:val="00430492"/>
    <w:rsid w:val="004304D7"/>
    <w:rsid w:val="0043065B"/>
    <w:rsid w:val="004308AB"/>
    <w:rsid w:val="00430D54"/>
    <w:rsid w:val="00430F84"/>
    <w:rsid w:val="00430FF9"/>
    <w:rsid w:val="00431359"/>
    <w:rsid w:val="00431699"/>
    <w:rsid w:val="00431806"/>
    <w:rsid w:val="0043194E"/>
    <w:rsid w:val="00431A02"/>
    <w:rsid w:val="00431A70"/>
    <w:rsid w:val="00431A96"/>
    <w:rsid w:val="00431B39"/>
    <w:rsid w:val="00431B8E"/>
    <w:rsid w:val="00431F24"/>
    <w:rsid w:val="00431F42"/>
    <w:rsid w:val="00431FCD"/>
    <w:rsid w:val="0043224A"/>
    <w:rsid w:val="00432980"/>
    <w:rsid w:val="00432C1B"/>
    <w:rsid w:val="00432C26"/>
    <w:rsid w:val="00432C33"/>
    <w:rsid w:val="00432C6A"/>
    <w:rsid w:val="00432F4B"/>
    <w:rsid w:val="00432F53"/>
    <w:rsid w:val="00433064"/>
    <w:rsid w:val="004334B4"/>
    <w:rsid w:val="004335A4"/>
    <w:rsid w:val="00433A2A"/>
    <w:rsid w:val="00433D61"/>
    <w:rsid w:val="00433DDD"/>
    <w:rsid w:val="00433E87"/>
    <w:rsid w:val="00433FB5"/>
    <w:rsid w:val="00433FDB"/>
    <w:rsid w:val="00434491"/>
    <w:rsid w:val="00434497"/>
    <w:rsid w:val="004344BA"/>
    <w:rsid w:val="00434786"/>
    <w:rsid w:val="00434CA7"/>
    <w:rsid w:val="00434F83"/>
    <w:rsid w:val="0043519B"/>
    <w:rsid w:val="004353F3"/>
    <w:rsid w:val="00435564"/>
    <w:rsid w:val="0043567A"/>
    <w:rsid w:val="00435A93"/>
    <w:rsid w:val="00435ADE"/>
    <w:rsid w:val="00435CB2"/>
    <w:rsid w:val="00435D24"/>
    <w:rsid w:val="00435F0A"/>
    <w:rsid w:val="00435F78"/>
    <w:rsid w:val="00436859"/>
    <w:rsid w:val="00436AE3"/>
    <w:rsid w:val="00436BF1"/>
    <w:rsid w:val="00436D6F"/>
    <w:rsid w:val="004370D0"/>
    <w:rsid w:val="00437686"/>
    <w:rsid w:val="004376C2"/>
    <w:rsid w:val="004378B8"/>
    <w:rsid w:val="00437AB0"/>
    <w:rsid w:val="00437B25"/>
    <w:rsid w:val="00437CDC"/>
    <w:rsid w:val="00437D65"/>
    <w:rsid w:val="00437EC5"/>
    <w:rsid w:val="00437ED7"/>
    <w:rsid w:val="00437FCC"/>
    <w:rsid w:val="0044017C"/>
    <w:rsid w:val="004402FB"/>
    <w:rsid w:val="00440376"/>
    <w:rsid w:val="004403C5"/>
    <w:rsid w:val="0044050F"/>
    <w:rsid w:val="00440B56"/>
    <w:rsid w:val="00440D2D"/>
    <w:rsid w:val="00440D96"/>
    <w:rsid w:val="00441210"/>
    <w:rsid w:val="00441795"/>
    <w:rsid w:val="00441896"/>
    <w:rsid w:val="004418DE"/>
    <w:rsid w:val="0044198B"/>
    <w:rsid w:val="00442015"/>
    <w:rsid w:val="0044210E"/>
    <w:rsid w:val="004421CA"/>
    <w:rsid w:val="00442405"/>
    <w:rsid w:val="004425DB"/>
    <w:rsid w:val="00442C6C"/>
    <w:rsid w:val="004433AA"/>
    <w:rsid w:val="0044347D"/>
    <w:rsid w:val="00443517"/>
    <w:rsid w:val="004437C8"/>
    <w:rsid w:val="004439F2"/>
    <w:rsid w:val="00443CBE"/>
    <w:rsid w:val="00443E8A"/>
    <w:rsid w:val="004441BC"/>
    <w:rsid w:val="004442E2"/>
    <w:rsid w:val="0044436A"/>
    <w:rsid w:val="00444748"/>
    <w:rsid w:val="0044480D"/>
    <w:rsid w:val="004448C6"/>
    <w:rsid w:val="004448CB"/>
    <w:rsid w:val="00444B0C"/>
    <w:rsid w:val="00444CF7"/>
    <w:rsid w:val="00444E7E"/>
    <w:rsid w:val="00444EDE"/>
    <w:rsid w:val="00444FC8"/>
    <w:rsid w:val="0044505B"/>
    <w:rsid w:val="00445110"/>
    <w:rsid w:val="00445262"/>
    <w:rsid w:val="0044545C"/>
    <w:rsid w:val="0044548E"/>
    <w:rsid w:val="00445714"/>
    <w:rsid w:val="004458E1"/>
    <w:rsid w:val="0044593C"/>
    <w:rsid w:val="00445AA6"/>
    <w:rsid w:val="00445CE3"/>
    <w:rsid w:val="00445DAE"/>
    <w:rsid w:val="00445E5D"/>
    <w:rsid w:val="00445E64"/>
    <w:rsid w:val="00445E80"/>
    <w:rsid w:val="00445ED1"/>
    <w:rsid w:val="00445F5C"/>
    <w:rsid w:val="0044612C"/>
    <w:rsid w:val="00446230"/>
    <w:rsid w:val="00446308"/>
    <w:rsid w:val="0044636A"/>
    <w:rsid w:val="0044658E"/>
    <w:rsid w:val="00446602"/>
    <w:rsid w:val="004468B4"/>
    <w:rsid w:val="00446B15"/>
    <w:rsid w:val="00446B3A"/>
    <w:rsid w:val="00446D86"/>
    <w:rsid w:val="00446E56"/>
    <w:rsid w:val="00446E69"/>
    <w:rsid w:val="00447359"/>
    <w:rsid w:val="00447484"/>
    <w:rsid w:val="0044749C"/>
    <w:rsid w:val="004476C2"/>
    <w:rsid w:val="00447AA8"/>
    <w:rsid w:val="00447D28"/>
    <w:rsid w:val="00447ED0"/>
    <w:rsid w:val="00447F30"/>
    <w:rsid w:val="004500B7"/>
    <w:rsid w:val="0045023C"/>
    <w:rsid w:val="0045034C"/>
    <w:rsid w:val="004505D1"/>
    <w:rsid w:val="004507C6"/>
    <w:rsid w:val="0045083A"/>
    <w:rsid w:val="00450C32"/>
    <w:rsid w:val="00450D95"/>
    <w:rsid w:val="00450E31"/>
    <w:rsid w:val="0045105D"/>
    <w:rsid w:val="0045157D"/>
    <w:rsid w:val="00451A7D"/>
    <w:rsid w:val="00451ED1"/>
    <w:rsid w:val="00451F38"/>
    <w:rsid w:val="0045201E"/>
    <w:rsid w:val="00452095"/>
    <w:rsid w:val="00452213"/>
    <w:rsid w:val="004522C6"/>
    <w:rsid w:val="0045230A"/>
    <w:rsid w:val="004524B4"/>
    <w:rsid w:val="00452593"/>
    <w:rsid w:val="00452853"/>
    <w:rsid w:val="00452F19"/>
    <w:rsid w:val="00452F7F"/>
    <w:rsid w:val="00453103"/>
    <w:rsid w:val="0045329D"/>
    <w:rsid w:val="00453868"/>
    <w:rsid w:val="00453A2B"/>
    <w:rsid w:val="00453C3A"/>
    <w:rsid w:val="00453C6C"/>
    <w:rsid w:val="00453EE9"/>
    <w:rsid w:val="004543BE"/>
    <w:rsid w:val="0045465C"/>
    <w:rsid w:val="0045476B"/>
    <w:rsid w:val="004547E6"/>
    <w:rsid w:val="004548F3"/>
    <w:rsid w:val="004548F8"/>
    <w:rsid w:val="0045497B"/>
    <w:rsid w:val="00454A7D"/>
    <w:rsid w:val="00454AD0"/>
    <w:rsid w:val="00454CD5"/>
    <w:rsid w:val="00454FD0"/>
    <w:rsid w:val="00455617"/>
    <w:rsid w:val="00455741"/>
    <w:rsid w:val="00455763"/>
    <w:rsid w:val="004557D7"/>
    <w:rsid w:val="00455A29"/>
    <w:rsid w:val="00455D7C"/>
    <w:rsid w:val="00455DCA"/>
    <w:rsid w:val="00455E65"/>
    <w:rsid w:val="0045608C"/>
    <w:rsid w:val="00456D04"/>
    <w:rsid w:val="00456F4D"/>
    <w:rsid w:val="0045714E"/>
    <w:rsid w:val="0045719C"/>
    <w:rsid w:val="00457337"/>
    <w:rsid w:val="0045754F"/>
    <w:rsid w:val="0045763C"/>
    <w:rsid w:val="0045771A"/>
    <w:rsid w:val="004579A4"/>
    <w:rsid w:val="00457A94"/>
    <w:rsid w:val="00457BD6"/>
    <w:rsid w:val="00457BDA"/>
    <w:rsid w:val="00457E2D"/>
    <w:rsid w:val="00460353"/>
    <w:rsid w:val="00460588"/>
    <w:rsid w:val="004606B0"/>
    <w:rsid w:val="00460900"/>
    <w:rsid w:val="00460C27"/>
    <w:rsid w:val="004610B6"/>
    <w:rsid w:val="004611F3"/>
    <w:rsid w:val="00461707"/>
    <w:rsid w:val="0046174B"/>
    <w:rsid w:val="00461FA1"/>
    <w:rsid w:val="0046211D"/>
    <w:rsid w:val="00462192"/>
    <w:rsid w:val="00462249"/>
    <w:rsid w:val="004622F1"/>
    <w:rsid w:val="0046236A"/>
    <w:rsid w:val="00462379"/>
    <w:rsid w:val="00462A00"/>
    <w:rsid w:val="00462E3D"/>
    <w:rsid w:val="00463489"/>
    <w:rsid w:val="00463781"/>
    <w:rsid w:val="00463869"/>
    <w:rsid w:val="00463E6B"/>
    <w:rsid w:val="00463EE5"/>
    <w:rsid w:val="00464054"/>
    <w:rsid w:val="0046429B"/>
    <w:rsid w:val="00464393"/>
    <w:rsid w:val="00464719"/>
    <w:rsid w:val="00464841"/>
    <w:rsid w:val="00464D1F"/>
    <w:rsid w:val="00464D3F"/>
    <w:rsid w:val="00464E12"/>
    <w:rsid w:val="00464E49"/>
    <w:rsid w:val="00464F4A"/>
    <w:rsid w:val="004651C8"/>
    <w:rsid w:val="00465413"/>
    <w:rsid w:val="00465768"/>
    <w:rsid w:val="00465935"/>
    <w:rsid w:val="004659EF"/>
    <w:rsid w:val="00465B27"/>
    <w:rsid w:val="00465F10"/>
    <w:rsid w:val="00465F74"/>
    <w:rsid w:val="00465FBC"/>
    <w:rsid w:val="00466042"/>
    <w:rsid w:val="004664DC"/>
    <w:rsid w:val="004666F5"/>
    <w:rsid w:val="00466866"/>
    <w:rsid w:val="00466C0A"/>
    <w:rsid w:val="00466C60"/>
    <w:rsid w:val="00466E0C"/>
    <w:rsid w:val="00466E77"/>
    <w:rsid w:val="00466E79"/>
    <w:rsid w:val="00466E81"/>
    <w:rsid w:val="00466E8D"/>
    <w:rsid w:val="00466F43"/>
    <w:rsid w:val="004670A1"/>
    <w:rsid w:val="004677AA"/>
    <w:rsid w:val="0046785A"/>
    <w:rsid w:val="00467867"/>
    <w:rsid w:val="00470D7D"/>
    <w:rsid w:val="00470DDF"/>
    <w:rsid w:val="00471133"/>
    <w:rsid w:val="00471432"/>
    <w:rsid w:val="00471705"/>
    <w:rsid w:val="004718A7"/>
    <w:rsid w:val="004718C2"/>
    <w:rsid w:val="00471B46"/>
    <w:rsid w:val="00471CE4"/>
    <w:rsid w:val="00471D69"/>
    <w:rsid w:val="0047200E"/>
    <w:rsid w:val="00472239"/>
    <w:rsid w:val="004725F8"/>
    <w:rsid w:val="00472613"/>
    <w:rsid w:val="00472B38"/>
    <w:rsid w:val="00472BA3"/>
    <w:rsid w:val="00472CAD"/>
    <w:rsid w:val="00472F98"/>
    <w:rsid w:val="00473537"/>
    <w:rsid w:val="0047372D"/>
    <w:rsid w:val="0047386A"/>
    <w:rsid w:val="00473B80"/>
    <w:rsid w:val="00473BA3"/>
    <w:rsid w:val="00473F8A"/>
    <w:rsid w:val="004743DD"/>
    <w:rsid w:val="0047473F"/>
    <w:rsid w:val="004747D6"/>
    <w:rsid w:val="004747DF"/>
    <w:rsid w:val="00474820"/>
    <w:rsid w:val="0047489E"/>
    <w:rsid w:val="00474AC1"/>
    <w:rsid w:val="00474B65"/>
    <w:rsid w:val="00474CEA"/>
    <w:rsid w:val="00474E4C"/>
    <w:rsid w:val="0047514D"/>
    <w:rsid w:val="004756EA"/>
    <w:rsid w:val="00475B7C"/>
    <w:rsid w:val="00475C55"/>
    <w:rsid w:val="00475C8E"/>
    <w:rsid w:val="0047641D"/>
    <w:rsid w:val="00476848"/>
    <w:rsid w:val="004768DF"/>
    <w:rsid w:val="00476C27"/>
    <w:rsid w:val="00476CA6"/>
    <w:rsid w:val="00476F44"/>
    <w:rsid w:val="004770D2"/>
    <w:rsid w:val="00477259"/>
    <w:rsid w:val="0047754E"/>
    <w:rsid w:val="00477699"/>
    <w:rsid w:val="00477971"/>
    <w:rsid w:val="00477B20"/>
    <w:rsid w:val="00477B37"/>
    <w:rsid w:val="0048037E"/>
    <w:rsid w:val="00480847"/>
    <w:rsid w:val="00480DF2"/>
    <w:rsid w:val="0048111C"/>
    <w:rsid w:val="00481503"/>
    <w:rsid w:val="0048165A"/>
    <w:rsid w:val="004817C6"/>
    <w:rsid w:val="004817F0"/>
    <w:rsid w:val="00481A6E"/>
    <w:rsid w:val="00481E81"/>
    <w:rsid w:val="00482172"/>
    <w:rsid w:val="00482182"/>
    <w:rsid w:val="004821C5"/>
    <w:rsid w:val="00482353"/>
    <w:rsid w:val="004825C0"/>
    <w:rsid w:val="00482667"/>
    <w:rsid w:val="00482817"/>
    <w:rsid w:val="00482B5B"/>
    <w:rsid w:val="00483049"/>
    <w:rsid w:val="00483111"/>
    <w:rsid w:val="0048334D"/>
    <w:rsid w:val="00483968"/>
    <w:rsid w:val="00483DCA"/>
    <w:rsid w:val="00483F83"/>
    <w:rsid w:val="0048408C"/>
    <w:rsid w:val="004841BE"/>
    <w:rsid w:val="0048428C"/>
    <w:rsid w:val="00484463"/>
    <w:rsid w:val="00484499"/>
    <w:rsid w:val="0048464B"/>
    <w:rsid w:val="0048476E"/>
    <w:rsid w:val="004848D4"/>
    <w:rsid w:val="00484946"/>
    <w:rsid w:val="00484AF4"/>
    <w:rsid w:val="00484BA7"/>
    <w:rsid w:val="00484C8E"/>
    <w:rsid w:val="00484CFB"/>
    <w:rsid w:val="00484F0E"/>
    <w:rsid w:val="00484F86"/>
    <w:rsid w:val="004854EB"/>
    <w:rsid w:val="004857D6"/>
    <w:rsid w:val="004858F6"/>
    <w:rsid w:val="00485A3E"/>
    <w:rsid w:val="00485B38"/>
    <w:rsid w:val="00485C23"/>
    <w:rsid w:val="00485E90"/>
    <w:rsid w:val="00485F6F"/>
    <w:rsid w:val="00485F74"/>
    <w:rsid w:val="0048665B"/>
    <w:rsid w:val="004868D0"/>
    <w:rsid w:val="00486933"/>
    <w:rsid w:val="00486A55"/>
    <w:rsid w:val="00486DFC"/>
    <w:rsid w:val="00486E1D"/>
    <w:rsid w:val="00486E45"/>
    <w:rsid w:val="00486EBE"/>
    <w:rsid w:val="0048715A"/>
    <w:rsid w:val="00487204"/>
    <w:rsid w:val="00487917"/>
    <w:rsid w:val="00487A05"/>
    <w:rsid w:val="00487DA6"/>
    <w:rsid w:val="00490241"/>
    <w:rsid w:val="0049025A"/>
    <w:rsid w:val="0049038A"/>
    <w:rsid w:val="00490746"/>
    <w:rsid w:val="00490852"/>
    <w:rsid w:val="00490857"/>
    <w:rsid w:val="00490C9E"/>
    <w:rsid w:val="00490E30"/>
    <w:rsid w:val="00490EA4"/>
    <w:rsid w:val="004913F1"/>
    <w:rsid w:val="004917B0"/>
    <w:rsid w:val="00491C9C"/>
    <w:rsid w:val="00491DCC"/>
    <w:rsid w:val="00491F12"/>
    <w:rsid w:val="00491F49"/>
    <w:rsid w:val="00491F5E"/>
    <w:rsid w:val="00492440"/>
    <w:rsid w:val="004924C9"/>
    <w:rsid w:val="00492538"/>
    <w:rsid w:val="004925B4"/>
    <w:rsid w:val="00492617"/>
    <w:rsid w:val="00492925"/>
    <w:rsid w:val="00492D42"/>
    <w:rsid w:val="00492F30"/>
    <w:rsid w:val="00493380"/>
    <w:rsid w:val="00493D83"/>
    <w:rsid w:val="004941AE"/>
    <w:rsid w:val="00494385"/>
    <w:rsid w:val="004943A9"/>
    <w:rsid w:val="004943F2"/>
    <w:rsid w:val="004946F4"/>
    <w:rsid w:val="0049487E"/>
    <w:rsid w:val="00494C02"/>
    <w:rsid w:val="00494D54"/>
    <w:rsid w:val="00494D6E"/>
    <w:rsid w:val="00494E9D"/>
    <w:rsid w:val="00495050"/>
    <w:rsid w:val="004952D9"/>
    <w:rsid w:val="00495324"/>
    <w:rsid w:val="00495348"/>
    <w:rsid w:val="00495422"/>
    <w:rsid w:val="00495595"/>
    <w:rsid w:val="004958C8"/>
    <w:rsid w:val="00495E86"/>
    <w:rsid w:val="00495EAC"/>
    <w:rsid w:val="004960B1"/>
    <w:rsid w:val="0049613F"/>
    <w:rsid w:val="0049634A"/>
    <w:rsid w:val="00496727"/>
    <w:rsid w:val="004968FF"/>
    <w:rsid w:val="00496B4A"/>
    <w:rsid w:val="00496B8F"/>
    <w:rsid w:val="00496C6B"/>
    <w:rsid w:val="00496F8F"/>
    <w:rsid w:val="0049711D"/>
    <w:rsid w:val="004972E1"/>
    <w:rsid w:val="00497379"/>
    <w:rsid w:val="00497E7D"/>
    <w:rsid w:val="004A06C1"/>
    <w:rsid w:val="004A06F8"/>
    <w:rsid w:val="004A0786"/>
    <w:rsid w:val="004A0B2A"/>
    <w:rsid w:val="004A0CAB"/>
    <w:rsid w:val="004A0CC2"/>
    <w:rsid w:val="004A0D17"/>
    <w:rsid w:val="004A0D7B"/>
    <w:rsid w:val="004A0EB9"/>
    <w:rsid w:val="004A0FFB"/>
    <w:rsid w:val="004A102B"/>
    <w:rsid w:val="004A10FD"/>
    <w:rsid w:val="004A11E6"/>
    <w:rsid w:val="004A121F"/>
    <w:rsid w:val="004A12F5"/>
    <w:rsid w:val="004A160D"/>
    <w:rsid w:val="004A17BC"/>
    <w:rsid w:val="004A195F"/>
    <w:rsid w:val="004A19D0"/>
    <w:rsid w:val="004A1AAE"/>
    <w:rsid w:val="004A204F"/>
    <w:rsid w:val="004A2501"/>
    <w:rsid w:val="004A2760"/>
    <w:rsid w:val="004A29DC"/>
    <w:rsid w:val="004A2B87"/>
    <w:rsid w:val="004A2F74"/>
    <w:rsid w:val="004A30F1"/>
    <w:rsid w:val="004A3197"/>
    <w:rsid w:val="004A34E0"/>
    <w:rsid w:val="004A3820"/>
    <w:rsid w:val="004A389A"/>
    <w:rsid w:val="004A3923"/>
    <w:rsid w:val="004A3A43"/>
    <w:rsid w:val="004A3A68"/>
    <w:rsid w:val="004A3DFA"/>
    <w:rsid w:val="004A3E81"/>
    <w:rsid w:val="004A4195"/>
    <w:rsid w:val="004A41F8"/>
    <w:rsid w:val="004A42B0"/>
    <w:rsid w:val="004A4300"/>
    <w:rsid w:val="004A4525"/>
    <w:rsid w:val="004A4894"/>
    <w:rsid w:val="004A5013"/>
    <w:rsid w:val="004A50AD"/>
    <w:rsid w:val="004A5389"/>
    <w:rsid w:val="004A5C62"/>
    <w:rsid w:val="004A5CE5"/>
    <w:rsid w:val="004A5FAD"/>
    <w:rsid w:val="004A6A74"/>
    <w:rsid w:val="004A6B61"/>
    <w:rsid w:val="004A6DD0"/>
    <w:rsid w:val="004A6E6F"/>
    <w:rsid w:val="004A6ECD"/>
    <w:rsid w:val="004A6F0B"/>
    <w:rsid w:val="004A707D"/>
    <w:rsid w:val="004A72D9"/>
    <w:rsid w:val="004A732B"/>
    <w:rsid w:val="004A73DF"/>
    <w:rsid w:val="004A79DF"/>
    <w:rsid w:val="004A7CA0"/>
    <w:rsid w:val="004A7ED0"/>
    <w:rsid w:val="004A7F14"/>
    <w:rsid w:val="004B0049"/>
    <w:rsid w:val="004B02BD"/>
    <w:rsid w:val="004B046F"/>
    <w:rsid w:val="004B0974"/>
    <w:rsid w:val="004B0A8C"/>
    <w:rsid w:val="004B0CE1"/>
    <w:rsid w:val="004B0E86"/>
    <w:rsid w:val="004B0FFE"/>
    <w:rsid w:val="004B10A5"/>
    <w:rsid w:val="004B138E"/>
    <w:rsid w:val="004B140A"/>
    <w:rsid w:val="004B1431"/>
    <w:rsid w:val="004B1668"/>
    <w:rsid w:val="004B18A7"/>
    <w:rsid w:val="004B1A8D"/>
    <w:rsid w:val="004B1D16"/>
    <w:rsid w:val="004B1E1A"/>
    <w:rsid w:val="004B1FAC"/>
    <w:rsid w:val="004B2014"/>
    <w:rsid w:val="004B20F8"/>
    <w:rsid w:val="004B20FE"/>
    <w:rsid w:val="004B267A"/>
    <w:rsid w:val="004B26C5"/>
    <w:rsid w:val="004B287A"/>
    <w:rsid w:val="004B293D"/>
    <w:rsid w:val="004B33D1"/>
    <w:rsid w:val="004B3C64"/>
    <w:rsid w:val="004B3CAA"/>
    <w:rsid w:val="004B3D4F"/>
    <w:rsid w:val="004B4185"/>
    <w:rsid w:val="004B436C"/>
    <w:rsid w:val="004B4405"/>
    <w:rsid w:val="004B4497"/>
    <w:rsid w:val="004B4589"/>
    <w:rsid w:val="004B482F"/>
    <w:rsid w:val="004B4CA4"/>
    <w:rsid w:val="004B4CC6"/>
    <w:rsid w:val="004B4E2F"/>
    <w:rsid w:val="004B4F3F"/>
    <w:rsid w:val="004B4FEC"/>
    <w:rsid w:val="004B50AB"/>
    <w:rsid w:val="004B5666"/>
    <w:rsid w:val="004B5810"/>
    <w:rsid w:val="004B5923"/>
    <w:rsid w:val="004B607C"/>
    <w:rsid w:val="004B6113"/>
    <w:rsid w:val="004B62C5"/>
    <w:rsid w:val="004B6672"/>
    <w:rsid w:val="004B69E0"/>
    <w:rsid w:val="004B6AD8"/>
    <w:rsid w:val="004B6C05"/>
    <w:rsid w:val="004B6D47"/>
    <w:rsid w:val="004B6F9F"/>
    <w:rsid w:val="004B72BE"/>
    <w:rsid w:val="004B77C6"/>
    <w:rsid w:val="004B77DE"/>
    <w:rsid w:val="004B787A"/>
    <w:rsid w:val="004B79DD"/>
    <w:rsid w:val="004B7B0C"/>
    <w:rsid w:val="004B7C2D"/>
    <w:rsid w:val="004B7FF0"/>
    <w:rsid w:val="004BA26C"/>
    <w:rsid w:val="004C021D"/>
    <w:rsid w:val="004C0279"/>
    <w:rsid w:val="004C08FB"/>
    <w:rsid w:val="004C0C6E"/>
    <w:rsid w:val="004C0F97"/>
    <w:rsid w:val="004C0FB6"/>
    <w:rsid w:val="004C1008"/>
    <w:rsid w:val="004C11B8"/>
    <w:rsid w:val="004C1427"/>
    <w:rsid w:val="004C1622"/>
    <w:rsid w:val="004C16C4"/>
    <w:rsid w:val="004C173D"/>
    <w:rsid w:val="004C1D01"/>
    <w:rsid w:val="004C2030"/>
    <w:rsid w:val="004C20D6"/>
    <w:rsid w:val="004C256A"/>
    <w:rsid w:val="004C2712"/>
    <w:rsid w:val="004C295A"/>
    <w:rsid w:val="004C3055"/>
    <w:rsid w:val="004C32EB"/>
    <w:rsid w:val="004C3396"/>
    <w:rsid w:val="004C34EA"/>
    <w:rsid w:val="004C355D"/>
    <w:rsid w:val="004C3A97"/>
    <w:rsid w:val="004C3CFD"/>
    <w:rsid w:val="004C3E8C"/>
    <w:rsid w:val="004C3FC2"/>
    <w:rsid w:val="004C4109"/>
    <w:rsid w:val="004C4286"/>
    <w:rsid w:val="004C439E"/>
    <w:rsid w:val="004C4617"/>
    <w:rsid w:val="004C4A93"/>
    <w:rsid w:val="004C4D7D"/>
    <w:rsid w:val="004C4DBB"/>
    <w:rsid w:val="004C51DD"/>
    <w:rsid w:val="004C5507"/>
    <w:rsid w:val="004C5541"/>
    <w:rsid w:val="004C595E"/>
    <w:rsid w:val="004C59C8"/>
    <w:rsid w:val="004C59F2"/>
    <w:rsid w:val="004C5A29"/>
    <w:rsid w:val="004C5B5D"/>
    <w:rsid w:val="004C5BF4"/>
    <w:rsid w:val="004C5C40"/>
    <w:rsid w:val="004C5D89"/>
    <w:rsid w:val="004C60CA"/>
    <w:rsid w:val="004C6169"/>
    <w:rsid w:val="004C64D3"/>
    <w:rsid w:val="004C6775"/>
    <w:rsid w:val="004C6989"/>
    <w:rsid w:val="004C6D75"/>
    <w:rsid w:val="004C6D7B"/>
    <w:rsid w:val="004C6EEE"/>
    <w:rsid w:val="004C6F04"/>
    <w:rsid w:val="004C702B"/>
    <w:rsid w:val="004C7150"/>
    <w:rsid w:val="004C720D"/>
    <w:rsid w:val="004C7483"/>
    <w:rsid w:val="004C75A0"/>
    <w:rsid w:val="004C76F7"/>
    <w:rsid w:val="004C774E"/>
    <w:rsid w:val="004C7756"/>
    <w:rsid w:val="004C7968"/>
    <w:rsid w:val="004C7FB7"/>
    <w:rsid w:val="004D0033"/>
    <w:rsid w:val="004D0085"/>
    <w:rsid w:val="004D016B"/>
    <w:rsid w:val="004D0255"/>
    <w:rsid w:val="004D03D7"/>
    <w:rsid w:val="004D0487"/>
    <w:rsid w:val="004D0574"/>
    <w:rsid w:val="004D0576"/>
    <w:rsid w:val="004D0600"/>
    <w:rsid w:val="004D0789"/>
    <w:rsid w:val="004D0E7B"/>
    <w:rsid w:val="004D1057"/>
    <w:rsid w:val="004D1648"/>
    <w:rsid w:val="004D1B22"/>
    <w:rsid w:val="004D1C4F"/>
    <w:rsid w:val="004D2144"/>
    <w:rsid w:val="004D23CC"/>
    <w:rsid w:val="004D252E"/>
    <w:rsid w:val="004D2642"/>
    <w:rsid w:val="004D2650"/>
    <w:rsid w:val="004D2936"/>
    <w:rsid w:val="004D2A00"/>
    <w:rsid w:val="004D2BB8"/>
    <w:rsid w:val="004D2D42"/>
    <w:rsid w:val="004D2DDF"/>
    <w:rsid w:val="004D2E33"/>
    <w:rsid w:val="004D2E7A"/>
    <w:rsid w:val="004D2EE2"/>
    <w:rsid w:val="004D30B0"/>
    <w:rsid w:val="004D3239"/>
    <w:rsid w:val="004D3429"/>
    <w:rsid w:val="004D34F0"/>
    <w:rsid w:val="004D36F2"/>
    <w:rsid w:val="004D37E9"/>
    <w:rsid w:val="004D3835"/>
    <w:rsid w:val="004D389D"/>
    <w:rsid w:val="004D39E4"/>
    <w:rsid w:val="004D3A9E"/>
    <w:rsid w:val="004D3AD6"/>
    <w:rsid w:val="004D3CDB"/>
    <w:rsid w:val="004D3CE7"/>
    <w:rsid w:val="004D3F3E"/>
    <w:rsid w:val="004D3FBD"/>
    <w:rsid w:val="004D40BB"/>
    <w:rsid w:val="004D4154"/>
    <w:rsid w:val="004D464F"/>
    <w:rsid w:val="004D4956"/>
    <w:rsid w:val="004D4CB6"/>
    <w:rsid w:val="004D4E85"/>
    <w:rsid w:val="004D4F93"/>
    <w:rsid w:val="004D5012"/>
    <w:rsid w:val="004D51C2"/>
    <w:rsid w:val="004D5419"/>
    <w:rsid w:val="004D546A"/>
    <w:rsid w:val="004D5546"/>
    <w:rsid w:val="004D5782"/>
    <w:rsid w:val="004D5949"/>
    <w:rsid w:val="004D6127"/>
    <w:rsid w:val="004D7210"/>
    <w:rsid w:val="004D739F"/>
    <w:rsid w:val="004D744C"/>
    <w:rsid w:val="004D7491"/>
    <w:rsid w:val="004D77EF"/>
    <w:rsid w:val="004D788B"/>
    <w:rsid w:val="004D78E2"/>
    <w:rsid w:val="004D7E46"/>
    <w:rsid w:val="004E00EE"/>
    <w:rsid w:val="004E0143"/>
    <w:rsid w:val="004E018A"/>
    <w:rsid w:val="004E01D5"/>
    <w:rsid w:val="004E0380"/>
    <w:rsid w:val="004E03C8"/>
    <w:rsid w:val="004E04C3"/>
    <w:rsid w:val="004E0514"/>
    <w:rsid w:val="004E0645"/>
    <w:rsid w:val="004E07C7"/>
    <w:rsid w:val="004E0905"/>
    <w:rsid w:val="004E0F41"/>
    <w:rsid w:val="004E10F0"/>
    <w:rsid w:val="004E1106"/>
    <w:rsid w:val="004E138F"/>
    <w:rsid w:val="004E17AF"/>
    <w:rsid w:val="004E19A1"/>
    <w:rsid w:val="004E19D5"/>
    <w:rsid w:val="004E1B1D"/>
    <w:rsid w:val="004E1BC4"/>
    <w:rsid w:val="004E1D40"/>
    <w:rsid w:val="004E208A"/>
    <w:rsid w:val="004E2110"/>
    <w:rsid w:val="004E231E"/>
    <w:rsid w:val="004E24C6"/>
    <w:rsid w:val="004E26B3"/>
    <w:rsid w:val="004E2835"/>
    <w:rsid w:val="004E29D3"/>
    <w:rsid w:val="004E2ACD"/>
    <w:rsid w:val="004E2C29"/>
    <w:rsid w:val="004E3123"/>
    <w:rsid w:val="004E318A"/>
    <w:rsid w:val="004E31E5"/>
    <w:rsid w:val="004E36DC"/>
    <w:rsid w:val="004E3BBD"/>
    <w:rsid w:val="004E3FAD"/>
    <w:rsid w:val="004E4405"/>
    <w:rsid w:val="004E4435"/>
    <w:rsid w:val="004E4649"/>
    <w:rsid w:val="004E48B8"/>
    <w:rsid w:val="004E48CE"/>
    <w:rsid w:val="004E4C46"/>
    <w:rsid w:val="004E4C67"/>
    <w:rsid w:val="004E4E18"/>
    <w:rsid w:val="004E5067"/>
    <w:rsid w:val="004E5163"/>
    <w:rsid w:val="004E53CF"/>
    <w:rsid w:val="004E53E1"/>
    <w:rsid w:val="004E55BC"/>
    <w:rsid w:val="004E57BA"/>
    <w:rsid w:val="004E58F5"/>
    <w:rsid w:val="004E5BCD"/>
    <w:rsid w:val="004E5C2B"/>
    <w:rsid w:val="004E5C73"/>
    <w:rsid w:val="004E5ED6"/>
    <w:rsid w:val="004E627D"/>
    <w:rsid w:val="004E6770"/>
    <w:rsid w:val="004E6BEF"/>
    <w:rsid w:val="004E6D21"/>
    <w:rsid w:val="004E6F27"/>
    <w:rsid w:val="004E71AF"/>
    <w:rsid w:val="004E73F7"/>
    <w:rsid w:val="004E76D0"/>
    <w:rsid w:val="004E76F8"/>
    <w:rsid w:val="004E7869"/>
    <w:rsid w:val="004E7998"/>
    <w:rsid w:val="004E7A9D"/>
    <w:rsid w:val="004E7B12"/>
    <w:rsid w:val="004E7C2B"/>
    <w:rsid w:val="004F0065"/>
    <w:rsid w:val="004F00DD"/>
    <w:rsid w:val="004F0336"/>
    <w:rsid w:val="004F083C"/>
    <w:rsid w:val="004F0A70"/>
    <w:rsid w:val="004F0AC4"/>
    <w:rsid w:val="004F0F64"/>
    <w:rsid w:val="004F12D4"/>
    <w:rsid w:val="004F1730"/>
    <w:rsid w:val="004F181C"/>
    <w:rsid w:val="004F19CA"/>
    <w:rsid w:val="004F1ED4"/>
    <w:rsid w:val="004F2133"/>
    <w:rsid w:val="004F223B"/>
    <w:rsid w:val="004F2248"/>
    <w:rsid w:val="004F2330"/>
    <w:rsid w:val="004F2523"/>
    <w:rsid w:val="004F28AD"/>
    <w:rsid w:val="004F2CB7"/>
    <w:rsid w:val="004F3157"/>
    <w:rsid w:val="004F317A"/>
    <w:rsid w:val="004F32F3"/>
    <w:rsid w:val="004F3326"/>
    <w:rsid w:val="004F33A3"/>
    <w:rsid w:val="004F3667"/>
    <w:rsid w:val="004F388F"/>
    <w:rsid w:val="004F42D4"/>
    <w:rsid w:val="004F42F6"/>
    <w:rsid w:val="004F46E8"/>
    <w:rsid w:val="004F47C6"/>
    <w:rsid w:val="004F49A1"/>
    <w:rsid w:val="004F4A0C"/>
    <w:rsid w:val="004F4C8F"/>
    <w:rsid w:val="004F4DBC"/>
    <w:rsid w:val="004F4EE5"/>
    <w:rsid w:val="004F508C"/>
    <w:rsid w:val="004F514F"/>
    <w:rsid w:val="004F5398"/>
    <w:rsid w:val="004F5596"/>
    <w:rsid w:val="004F55B8"/>
    <w:rsid w:val="004F55F1"/>
    <w:rsid w:val="004F579C"/>
    <w:rsid w:val="004F596E"/>
    <w:rsid w:val="004F5ED6"/>
    <w:rsid w:val="004F5F58"/>
    <w:rsid w:val="004F6080"/>
    <w:rsid w:val="004F6085"/>
    <w:rsid w:val="004F6179"/>
    <w:rsid w:val="004F67F8"/>
    <w:rsid w:val="004F6936"/>
    <w:rsid w:val="004F69F5"/>
    <w:rsid w:val="004F6C2F"/>
    <w:rsid w:val="004F6E17"/>
    <w:rsid w:val="004F754C"/>
    <w:rsid w:val="004F7641"/>
    <w:rsid w:val="004F785B"/>
    <w:rsid w:val="004F792B"/>
    <w:rsid w:val="004F79F5"/>
    <w:rsid w:val="004F7BCF"/>
    <w:rsid w:val="004F7CEB"/>
    <w:rsid w:val="004F7E27"/>
    <w:rsid w:val="004F7E71"/>
    <w:rsid w:val="004F7ECC"/>
    <w:rsid w:val="005000BE"/>
    <w:rsid w:val="005001D1"/>
    <w:rsid w:val="005001FB"/>
    <w:rsid w:val="00500268"/>
    <w:rsid w:val="005002D3"/>
    <w:rsid w:val="0050035A"/>
    <w:rsid w:val="005003D5"/>
    <w:rsid w:val="005005B8"/>
    <w:rsid w:val="005005E9"/>
    <w:rsid w:val="005007A1"/>
    <w:rsid w:val="005007E2"/>
    <w:rsid w:val="0050085D"/>
    <w:rsid w:val="0050094E"/>
    <w:rsid w:val="005009BE"/>
    <w:rsid w:val="00500B36"/>
    <w:rsid w:val="00500CF9"/>
    <w:rsid w:val="00500D8F"/>
    <w:rsid w:val="00500DBC"/>
    <w:rsid w:val="00500EFF"/>
    <w:rsid w:val="00501329"/>
    <w:rsid w:val="005015DA"/>
    <w:rsid w:val="00501676"/>
    <w:rsid w:val="00501722"/>
    <w:rsid w:val="00501E24"/>
    <w:rsid w:val="00501FD4"/>
    <w:rsid w:val="00501FFD"/>
    <w:rsid w:val="00502157"/>
    <w:rsid w:val="00502254"/>
    <w:rsid w:val="00502290"/>
    <w:rsid w:val="0050263B"/>
    <w:rsid w:val="00502944"/>
    <w:rsid w:val="005029F9"/>
    <w:rsid w:val="00502CCE"/>
    <w:rsid w:val="00502E2F"/>
    <w:rsid w:val="00502EB9"/>
    <w:rsid w:val="00503293"/>
    <w:rsid w:val="005032A4"/>
    <w:rsid w:val="0050351C"/>
    <w:rsid w:val="00503772"/>
    <w:rsid w:val="00503B92"/>
    <w:rsid w:val="00503CF3"/>
    <w:rsid w:val="00503D12"/>
    <w:rsid w:val="00503DC6"/>
    <w:rsid w:val="0050445C"/>
    <w:rsid w:val="00504784"/>
    <w:rsid w:val="00504A1B"/>
    <w:rsid w:val="00504B46"/>
    <w:rsid w:val="00505216"/>
    <w:rsid w:val="005052D8"/>
    <w:rsid w:val="0050545D"/>
    <w:rsid w:val="00505520"/>
    <w:rsid w:val="0050579D"/>
    <w:rsid w:val="00505CB3"/>
    <w:rsid w:val="00505F97"/>
    <w:rsid w:val="00506294"/>
    <w:rsid w:val="005062CE"/>
    <w:rsid w:val="005062CF"/>
    <w:rsid w:val="00506479"/>
    <w:rsid w:val="005067E7"/>
    <w:rsid w:val="00506E8D"/>
    <w:rsid w:val="00506F5D"/>
    <w:rsid w:val="00506FD4"/>
    <w:rsid w:val="005071A9"/>
    <w:rsid w:val="005073FC"/>
    <w:rsid w:val="00507430"/>
    <w:rsid w:val="005078A2"/>
    <w:rsid w:val="0051083F"/>
    <w:rsid w:val="00510A42"/>
    <w:rsid w:val="00510B25"/>
    <w:rsid w:val="00510C37"/>
    <w:rsid w:val="00510CCF"/>
    <w:rsid w:val="005112D9"/>
    <w:rsid w:val="00511383"/>
    <w:rsid w:val="005113E7"/>
    <w:rsid w:val="0051147C"/>
    <w:rsid w:val="00511C59"/>
    <w:rsid w:val="00511DD0"/>
    <w:rsid w:val="00511E92"/>
    <w:rsid w:val="0051201C"/>
    <w:rsid w:val="005120A3"/>
    <w:rsid w:val="005126A6"/>
    <w:rsid w:val="005126D0"/>
    <w:rsid w:val="005130E9"/>
    <w:rsid w:val="005131B8"/>
    <w:rsid w:val="00513211"/>
    <w:rsid w:val="00513458"/>
    <w:rsid w:val="005136C3"/>
    <w:rsid w:val="00513954"/>
    <w:rsid w:val="00513EEE"/>
    <w:rsid w:val="0051400D"/>
    <w:rsid w:val="005140E0"/>
    <w:rsid w:val="00514155"/>
    <w:rsid w:val="005141A8"/>
    <w:rsid w:val="005141FD"/>
    <w:rsid w:val="0051426C"/>
    <w:rsid w:val="00514293"/>
    <w:rsid w:val="005142CB"/>
    <w:rsid w:val="0051457C"/>
    <w:rsid w:val="00514667"/>
    <w:rsid w:val="00514F9F"/>
    <w:rsid w:val="00514FD2"/>
    <w:rsid w:val="0051568D"/>
    <w:rsid w:val="005156D9"/>
    <w:rsid w:val="00515888"/>
    <w:rsid w:val="00515914"/>
    <w:rsid w:val="00515CB8"/>
    <w:rsid w:val="00515E5A"/>
    <w:rsid w:val="00515E7E"/>
    <w:rsid w:val="00515F1A"/>
    <w:rsid w:val="0051636A"/>
    <w:rsid w:val="00516710"/>
    <w:rsid w:val="00516740"/>
    <w:rsid w:val="00516A0F"/>
    <w:rsid w:val="00516B4D"/>
    <w:rsid w:val="00516F6F"/>
    <w:rsid w:val="00517994"/>
    <w:rsid w:val="00517DC7"/>
    <w:rsid w:val="00517E63"/>
    <w:rsid w:val="00517F6F"/>
    <w:rsid w:val="00517FAC"/>
    <w:rsid w:val="005200AB"/>
    <w:rsid w:val="0052011F"/>
    <w:rsid w:val="005201FF"/>
    <w:rsid w:val="00520299"/>
    <w:rsid w:val="0052033B"/>
    <w:rsid w:val="005204B8"/>
    <w:rsid w:val="0052057E"/>
    <w:rsid w:val="0052062C"/>
    <w:rsid w:val="00520B6D"/>
    <w:rsid w:val="00520CE9"/>
    <w:rsid w:val="00520D7A"/>
    <w:rsid w:val="00521092"/>
    <w:rsid w:val="00521181"/>
    <w:rsid w:val="005211E5"/>
    <w:rsid w:val="00521724"/>
    <w:rsid w:val="005218B2"/>
    <w:rsid w:val="00521ABC"/>
    <w:rsid w:val="00521DB7"/>
    <w:rsid w:val="00521E98"/>
    <w:rsid w:val="005220B4"/>
    <w:rsid w:val="00522700"/>
    <w:rsid w:val="005229CE"/>
    <w:rsid w:val="00522AE3"/>
    <w:rsid w:val="00522B77"/>
    <w:rsid w:val="00522B8A"/>
    <w:rsid w:val="00522C4C"/>
    <w:rsid w:val="00522CD8"/>
    <w:rsid w:val="00522E98"/>
    <w:rsid w:val="00522FAC"/>
    <w:rsid w:val="0052305F"/>
    <w:rsid w:val="005232C1"/>
    <w:rsid w:val="005236EB"/>
    <w:rsid w:val="005237A6"/>
    <w:rsid w:val="00523D42"/>
    <w:rsid w:val="00523E0E"/>
    <w:rsid w:val="00524465"/>
    <w:rsid w:val="00524636"/>
    <w:rsid w:val="00524B55"/>
    <w:rsid w:val="00524D8C"/>
    <w:rsid w:val="005257EA"/>
    <w:rsid w:val="00525AB9"/>
    <w:rsid w:val="00525C12"/>
    <w:rsid w:val="00525D04"/>
    <w:rsid w:val="00525D67"/>
    <w:rsid w:val="00525F20"/>
    <w:rsid w:val="00525F2E"/>
    <w:rsid w:val="0052619E"/>
    <w:rsid w:val="0052665E"/>
    <w:rsid w:val="00526821"/>
    <w:rsid w:val="00526AC7"/>
    <w:rsid w:val="00526AFC"/>
    <w:rsid w:val="00526B8C"/>
    <w:rsid w:val="00526C15"/>
    <w:rsid w:val="005270A7"/>
    <w:rsid w:val="005272FA"/>
    <w:rsid w:val="00527379"/>
    <w:rsid w:val="0052737C"/>
    <w:rsid w:val="005273BE"/>
    <w:rsid w:val="005276F7"/>
    <w:rsid w:val="0052788A"/>
    <w:rsid w:val="005278DF"/>
    <w:rsid w:val="00527931"/>
    <w:rsid w:val="00527A00"/>
    <w:rsid w:val="00527A03"/>
    <w:rsid w:val="00527B09"/>
    <w:rsid w:val="00527C2E"/>
    <w:rsid w:val="00527CD6"/>
    <w:rsid w:val="005301BC"/>
    <w:rsid w:val="005302CD"/>
    <w:rsid w:val="0053031B"/>
    <w:rsid w:val="005304AB"/>
    <w:rsid w:val="0053054D"/>
    <w:rsid w:val="005308E6"/>
    <w:rsid w:val="00530BAA"/>
    <w:rsid w:val="00530C26"/>
    <w:rsid w:val="00530CEC"/>
    <w:rsid w:val="00531BC3"/>
    <w:rsid w:val="00531C2C"/>
    <w:rsid w:val="00531CA0"/>
    <w:rsid w:val="00531D45"/>
    <w:rsid w:val="00531F0D"/>
    <w:rsid w:val="00531FD6"/>
    <w:rsid w:val="005324F0"/>
    <w:rsid w:val="0053255B"/>
    <w:rsid w:val="005327AD"/>
    <w:rsid w:val="00532A43"/>
    <w:rsid w:val="00532E2B"/>
    <w:rsid w:val="00532E47"/>
    <w:rsid w:val="0053314B"/>
    <w:rsid w:val="005333BE"/>
    <w:rsid w:val="00533563"/>
    <w:rsid w:val="005337E1"/>
    <w:rsid w:val="0053380F"/>
    <w:rsid w:val="00533857"/>
    <w:rsid w:val="00533C39"/>
    <w:rsid w:val="00533EFF"/>
    <w:rsid w:val="0053427B"/>
    <w:rsid w:val="005342CF"/>
    <w:rsid w:val="00534361"/>
    <w:rsid w:val="0053443C"/>
    <w:rsid w:val="005345E0"/>
    <w:rsid w:val="005349B0"/>
    <w:rsid w:val="00534B3E"/>
    <w:rsid w:val="00534D9C"/>
    <w:rsid w:val="00534F42"/>
    <w:rsid w:val="00535102"/>
    <w:rsid w:val="00535214"/>
    <w:rsid w:val="00535255"/>
    <w:rsid w:val="0053527E"/>
    <w:rsid w:val="0053534A"/>
    <w:rsid w:val="00535433"/>
    <w:rsid w:val="00535616"/>
    <w:rsid w:val="00535B16"/>
    <w:rsid w:val="00535BF2"/>
    <w:rsid w:val="00535D2B"/>
    <w:rsid w:val="00535F4D"/>
    <w:rsid w:val="00536202"/>
    <w:rsid w:val="00536499"/>
    <w:rsid w:val="00536558"/>
    <w:rsid w:val="005368E3"/>
    <w:rsid w:val="00537B53"/>
    <w:rsid w:val="00537FC6"/>
    <w:rsid w:val="00540202"/>
    <w:rsid w:val="00540285"/>
    <w:rsid w:val="00540337"/>
    <w:rsid w:val="0054041C"/>
    <w:rsid w:val="00540513"/>
    <w:rsid w:val="0054082B"/>
    <w:rsid w:val="005408A5"/>
    <w:rsid w:val="00540DDA"/>
    <w:rsid w:val="00540F0B"/>
    <w:rsid w:val="0054161D"/>
    <w:rsid w:val="005416E5"/>
    <w:rsid w:val="00541789"/>
    <w:rsid w:val="005417C1"/>
    <w:rsid w:val="00541A79"/>
    <w:rsid w:val="00541D80"/>
    <w:rsid w:val="00541F44"/>
    <w:rsid w:val="005420CE"/>
    <w:rsid w:val="005421BC"/>
    <w:rsid w:val="0054221B"/>
    <w:rsid w:val="00542288"/>
    <w:rsid w:val="005424C7"/>
    <w:rsid w:val="005426A9"/>
    <w:rsid w:val="00542A03"/>
    <w:rsid w:val="0054337B"/>
    <w:rsid w:val="005437AA"/>
    <w:rsid w:val="005437D4"/>
    <w:rsid w:val="00543870"/>
    <w:rsid w:val="00543903"/>
    <w:rsid w:val="005439AA"/>
    <w:rsid w:val="00543BCC"/>
    <w:rsid w:val="00543BE1"/>
    <w:rsid w:val="00543DFD"/>
    <w:rsid w:val="00543F11"/>
    <w:rsid w:val="0054405B"/>
    <w:rsid w:val="00544135"/>
    <w:rsid w:val="005446D7"/>
    <w:rsid w:val="005449BC"/>
    <w:rsid w:val="00544F6A"/>
    <w:rsid w:val="00544F92"/>
    <w:rsid w:val="00544FF3"/>
    <w:rsid w:val="00545184"/>
    <w:rsid w:val="00545864"/>
    <w:rsid w:val="00545C80"/>
    <w:rsid w:val="00545F44"/>
    <w:rsid w:val="00546167"/>
    <w:rsid w:val="00546305"/>
    <w:rsid w:val="00546478"/>
    <w:rsid w:val="005466C6"/>
    <w:rsid w:val="00546722"/>
    <w:rsid w:val="00546BEB"/>
    <w:rsid w:val="00546C77"/>
    <w:rsid w:val="00546CE2"/>
    <w:rsid w:val="00547310"/>
    <w:rsid w:val="005473EB"/>
    <w:rsid w:val="00547A95"/>
    <w:rsid w:val="00547B75"/>
    <w:rsid w:val="00547DF1"/>
    <w:rsid w:val="00547ECE"/>
    <w:rsid w:val="00547EE5"/>
    <w:rsid w:val="005505B6"/>
    <w:rsid w:val="00550885"/>
    <w:rsid w:val="00550C4D"/>
    <w:rsid w:val="00550CB5"/>
    <w:rsid w:val="005510FD"/>
    <w:rsid w:val="0055119B"/>
    <w:rsid w:val="005513D7"/>
    <w:rsid w:val="00551514"/>
    <w:rsid w:val="00551ED7"/>
    <w:rsid w:val="00551EE2"/>
    <w:rsid w:val="00551F01"/>
    <w:rsid w:val="00551F36"/>
    <w:rsid w:val="005522AE"/>
    <w:rsid w:val="00552304"/>
    <w:rsid w:val="00552433"/>
    <w:rsid w:val="00552712"/>
    <w:rsid w:val="0055282F"/>
    <w:rsid w:val="005528BC"/>
    <w:rsid w:val="00552A1F"/>
    <w:rsid w:val="00552D19"/>
    <w:rsid w:val="005530A2"/>
    <w:rsid w:val="005530F3"/>
    <w:rsid w:val="0055312B"/>
    <w:rsid w:val="005531B6"/>
    <w:rsid w:val="00553C1B"/>
    <w:rsid w:val="00553E14"/>
    <w:rsid w:val="0055412D"/>
    <w:rsid w:val="005542DF"/>
    <w:rsid w:val="00554528"/>
    <w:rsid w:val="00554570"/>
    <w:rsid w:val="00554845"/>
    <w:rsid w:val="00554BB7"/>
    <w:rsid w:val="00554BDF"/>
    <w:rsid w:val="00554C37"/>
    <w:rsid w:val="00555133"/>
    <w:rsid w:val="00555277"/>
    <w:rsid w:val="00555618"/>
    <w:rsid w:val="00555AC5"/>
    <w:rsid w:val="00555D48"/>
    <w:rsid w:val="00555E12"/>
    <w:rsid w:val="00555FDB"/>
    <w:rsid w:val="00556310"/>
    <w:rsid w:val="0055645E"/>
    <w:rsid w:val="00556849"/>
    <w:rsid w:val="00556855"/>
    <w:rsid w:val="00556BA4"/>
    <w:rsid w:val="00557041"/>
    <w:rsid w:val="00557629"/>
    <w:rsid w:val="005579A2"/>
    <w:rsid w:val="00557C42"/>
    <w:rsid w:val="00557D77"/>
    <w:rsid w:val="005601AD"/>
    <w:rsid w:val="00560854"/>
    <w:rsid w:val="00560D01"/>
    <w:rsid w:val="00560DD3"/>
    <w:rsid w:val="00561202"/>
    <w:rsid w:val="0056127C"/>
    <w:rsid w:val="005614B3"/>
    <w:rsid w:val="00561862"/>
    <w:rsid w:val="005619DF"/>
    <w:rsid w:val="00561B01"/>
    <w:rsid w:val="00561D9F"/>
    <w:rsid w:val="00561E3C"/>
    <w:rsid w:val="00561EE3"/>
    <w:rsid w:val="00562008"/>
    <w:rsid w:val="005620CE"/>
    <w:rsid w:val="0056233A"/>
    <w:rsid w:val="00562461"/>
    <w:rsid w:val="00562507"/>
    <w:rsid w:val="00562578"/>
    <w:rsid w:val="005626A9"/>
    <w:rsid w:val="00562811"/>
    <w:rsid w:val="00562F6C"/>
    <w:rsid w:val="005639DF"/>
    <w:rsid w:val="00564228"/>
    <w:rsid w:val="00564E16"/>
    <w:rsid w:val="00564F4E"/>
    <w:rsid w:val="005654AF"/>
    <w:rsid w:val="00565513"/>
    <w:rsid w:val="00565BC9"/>
    <w:rsid w:val="00565C0B"/>
    <w:rsid w:val="00565D9B"/>
    <w:rsid w:val="00566190"/>
    <w:rsid w:val="00566407"/>
    <w:rsid w:val="005668A3"/>
    <w:rsid w:val="00566B30"/>
    <w:rsid w:val="00566CD8"/>
    <w:rsid w:val="00566D75"/>
    <w:rsid w:val="00566ECD"/>
    <w:rsid w:val="005670DF"/>
    <w:rsid w:val="00567117"/>
    <w:rsid w:val="00567237"/>
    <w:rsid w:val="00567436"/>
    <w:rsid w:val="0056773B"/>
    <w:rsid w:val="00570130"/>
    <w:rsid w:val="005704E9"/>
    <w:rsid w:val="00570710"/>
    <w:rsid w:val="005708A4"/>
    <w:rsid w:val="00570AC2"/>
    <w:rsid w:val="00570AF9"/>
    <w:rsid w:val="00570B8D"/>
    <w:rsid w:val="00570CF6"/>
    <w:rsid w:val="00570E1F"/>
    <w:rsid w:val="00570F40"/>
    <w:rsid w:val="00571196"/>
    <w:rsid w:val="0057119D"/>
    <w:rsid w:val="00571259"/>
    <w:rsid w:val="0057128C"/>
    <w:rsid w:val="005712A0"/>
    <w:rsid w:val="005712C7"/>
    <w:rsid w:val="005716C4"/>
    <w:rsid w:val="0057189A"/>
    <w:rsid w:val="005718C2"/>
    <w:rsid w:val="0057199B"/>
    <w:rsid w:val="00571EA5"/>
    <w:rsid w:val="00572031"/>
    <w:rsid w:val="00572282"/>
    <w:rsid w:val="005724C9"/>
    <w:rsid w:val="00572526"/>
    <w:rsid w:val="0057256D"/>
    <w:rsid w:val="00572698"/>
    <w:rsid w:val="005727C8"/>
    <w:rsid w:val="00572AB9"/>
    <w:rsid w:val="00573277"/>
    <w:rsid w:val="0057338A"/>
    <w:rsid w:val="00573498"/>
    <w:rsid w:val="00573C98"/>
    <w:rsid w:val="00573CE3"/>
    <w:rsid w:val="00573DBD"/>
    <w:rsid w:val="0057432E"/>
    <w:rsid w:val="005744D0"/>
    <w:rsid w:val="0057453D"/>
    <w:rsid w:val="00574967"/>
    <w:rsid w:val="00574A1B"/>
    <w:rsid w:val="00574B17"/>
    <w:rsid w:val="00574E64"/>
    <w:rsid w:val="00574FC8"/>
    <w:rsid w:val="0057503E"/>
    <w:rsid w:val="00575697"/>
    <w:rsid w:val="00575812"/>
    <w:rsid w:val="00575898"/>
    <w:rsid w:val="005759E8"/>
    <w:rsid w:val="00575B8A"/>
    <w:rsid w:val="00575B9F"/>
    <w:rsid w:val="00575FA8"/>
    <w:rsid w:val="00576035"/>
    <w:rsid w:val="00576093"/>
    <w:rsid w:val="00576154"/>
    <w:rsid w:val="0057622B"/>
    <w:rsid w:val="0057625E"/>
    <w:rsid w:val="005764C9"/>
    <w:rsid w:val="005765A9"/>
    <w:rsid w:val="00576686"/>
    <w:rsid w:val="00576919"/>
    <w:rsid w:val="00576A0C"/>
    <w:rsid w:val="00576B12"/>
    <w:rsid w:val="00576DC5"/>
    <w:rsid w:val="00576E84"/>
    <w:rsid w:val="00577249"/>
    <w:rsid w:val="005775E0"/>
    <w:rsid w:val="005776EB"/>
    <w:rsid w:val="0057777A"/>
    <w:rsid w:val="00577A1C"/>
    <w:rsid w:val="00577A6D"/>
    <w:rsid w:val="00580027"/>
    <w:rsid w:val="0058019A"/>
    <w:rsid w:val="00580394"/>
    <w:rsid w:val="005803CA"/>
    <w:rsid w:val="00580711"/>
    <w:rsid w:val="0058079D"/>
    <w:rsid w:val="00580827"/>
    <w:rsid w:val="005809CD"/>
    <w:rsid w:val="00580B39"/>
    <w:rsid w:val="0058164E"/>
    <w:rsid w:val="00581670"/>
    <w:rsid w:val="0058174A"/>
    <w:rsid w:val="005819DD"/>
    <w:rsid w:val="00581AD6"/>
    <w:rsid w:val="00581C99"/>
    <w:rsid w:val="00581CC7"/>
    <w:rsid w:val="00581E04"/>
    <w:rsid w:val="00581E58"/>
    <w:rsid w:val="00581EE7"/>
    <w:rsid w:val="00582184"/>
    <w:rsid w:val="005824D8"/>
    <w:rsid w:val="005827B7"/>
    <w:rsid w:val="005827F4"/>
    <w:rsid w:val="005828BD"/>
    <w:rsid w:val="005829A6"/>
    <w:rsid w:val="00582A65"/>
    <w:rsid w:val="00582B8C"/>
    <w:rsid w:val="00582BCE"/>
    <w:rsid w:val="00582C33"/>
    <w:rsid w:val="00583010"/>
    <w:rsid w:val="00583079"/>
    <w:rsid w:val="0058309F"/>
    <w:rsid w:val="00583237"/>
    <w:rsid w:val="00583300"/>
    <w:rsid w:val="005836A0"/>
    <w:rsid w:val="0058379A"/>
    <w:rsid w:val="005839EE"/>
    <w:rsid w:val="00583A0D"/>
    <w:rsid w:val="005840C6"/>
    <w:rsid w:val="0058458A"/>
    <w:rsid w:val="005848B3"/>
    <w:rsid w:val="00584966"/>
    <w:rsid w:val="00584AA2"/>
    <w:rsid w:val="00584B3B"/>
    <w:rsid w:val="00584BB2"/>
    <w:rsid w:val="00584DCC"/>
    <w:rsid w:val="00584E98"/>
    <w:rsid w:val="005854BC"/>
    <w:rsid w:val="00585622"/>
    <w:rsid w:val="00585C4B"/>
    <w:rsid w:val="00585C69"/>
    <w:rsid w:val="00585ED5"/>
    <w:rsid w:val="00586126"/>
    <w:rsid w:val="0058636B"/>
    <w:rsid w:val="0058637E"/>
    <w:rsid w:val="005863F6"/>
    <w:rsid w:val="00586410"/>
    <w:rsid w:val="005865ED"/>
    <w:rsid w:val="00586CEB"/>
    <w:rsid w:val="005871AB"/>
    <w:rsid w:val="005873B3"/>
    <w:rsid w:val="0058757E"/>
    <w:rsid w:val="005878DA"/>
    <w:rsid w:val="00587AA1"/>
    <w:rsid w:val="00587ADC"/>
    <w:rsid w:val="00590069"/>
    <w:rsid w:val="005901E6"/>
    <w:rsid w:val="005902D7"/>
    <w:rsid w:val="0059044C"/>
    <w:rsid w:val="0059062B"/>
    <w:rsid w:val="005907E0"/>
    <w:rsid w:val="00590B5A"/>
    <w:rsid w:val="00590C3C"/>
    <w:rsid w:val="00590CAE"/>
    <w:rsid w:val="00591224"/>
    <w:rsid w:val="0059157A"/>
    <w:rsid w:val="0059159F"/>
    <w:rsid w:val="00591AD5"/>
    <w:rsid w:val="00591D61"/>
    <w:rsid w:val="00591E1F"/>
    <w:rsid w:val="0059211E"/>
    <w:rsid w:val="005922A1"/>
    <w:rsid w:val="005922EF"/>
    <w:rsid w:val="005923F3"/>
    <w:rsid w:val="0059261C"/>
    <w:rsid w:val="00592699"/>
    <w:rsid w:val="005931FA"/>
    <w:rsid w:val="0059347A"/>
    <w:rsid w:val="00593606"/>
    <w:rsid w:val="00593643"/>
    <w:rsid w:val="0059368B"/>
    <w:rsid w:val="00593994"/>
    <w:rsid w:val="00593D03"/>
    <w:rsid w:val="00593EB2"/>
    <w:rsid w:val="0059411C"/>
    <w:rsid w:val="00594121"/>
    <w:rsid w:val="00594334"/>
    <w:rsid w:val="0059475E"/>
    <w:rsid w:val="005947D1"/>
    <w:rsid w:val="00594A0B"/>
    <w:rsid w:val="00594CC5"/>
    <w:rsid w:val="00594E41"/>
    <w:rsid w:val="00594FD4"/>
    <w:rsid w:val="005951DE"/>
    <w:rsid w:val="005951FA"/>
    <w:rsid w:val="00595BE9"/>
    <w:rsid w:val="00595D3F"/>
    <w:rsid w:val="00595D56"/>
    <w:rsid w:val="00595EDF"/>
    <w:rsid w:val="00596023"/>
    <w:rsid w:val="00596589"/>
    <w:rsid w:val="005965B4"/>
    <w:rsid w:val="00596857"/>
    <w:rsid w:val="00596A4B"/>
    <w:rsid w:val="00596D75"/>
    <w:rsid w:val="00596FC8"/>
    <w:rsid w:val="005972F1"/>
    <w:rsid w:val="00597507"/>
    <w:rsid w:val="00597943"/>
    <w:rsid w:val="00597B4F"/>
    <w:rsid w:val="00597F18"/>
    <w:rsid w:val="005A032A"/>
    <w:rsid w:val="005A0337"/>
    <w:rsid w:val="005A0485"/>
    <w:rsid w:val="005A0B2A"/>
    <w:rsid w:val="005A0D19"/>
    <w:rsid w:val="005A0D64"/>
    <w:rsid w:val="005A105E"/>
    <w:rsid w:val="005A13FE"/>
    <w:rsid w:val="005A15C4"/>
    <w:rsid w:val="005A172F"/>
    <w:rsid w:val="005A1857"/>
    <w:rsid w:val="005A1E42"/>
    <w:rsid w:val="005A2578"/>
    <w:rsid w:val="005A269A"/>
    <w:rsid w:val="005A2B5C"/>
    <w:rsid w:val="005A2DED"/>
    <w:rsid w:val="005A2F7D"/>
    <w:rsid w:val="005A2F84"/>
    <w:rsid w:val="005A35A0"/>
    <w:rsid w:val="005A3620"/>
    <w:rsid w:val="005A397B"/>
    <w:rsid w:val="005A3E0D"/>
    <w:rsid w:val="005A3E37"/>
    <w:rsid w:val="005A3EDB"/>
    <w:rsid w:val="005A4436"/>
    <w:rsid w:val="005A44A5"/>
    <w:rsid w:val="005A465C"/>
    <w:rsid w:val="005A479D"/>
    <w:rsid w:val="005A4BA1"/>
    <w:rsid w:val="005A4BCE"/>
    <w:rsid w:val="005A4BFE"/>
    <w:rsid w:val="005A5334"/>
    <w:rsid w:val="005A53A0"/>
    <w:rsid w:val="005A53D6"/>
    <w:rsid w:val="005A57A9"/>
    <w:rsid w:val="005A593A"/>
    <w:rsid w:val="005A59EE"/>
    <w:rsid w:val="005A5DF2"/>
    <w:rsid w:val="005A6080"/>
    <w:rsid w:val="005A63F0"/>
    <w:rsid w:val="005A6660"/>
    <w:rsid w:val="005A66AB"/>
    <w:rsid w:val="005A6838"/>
    <w:rsid w:val="005A6A0F"/>
    <w:rsid w:val="005A6A44"/>
    <w:rsid w:val="005A6C3D"/>
    <w:rsid w:val="005A6D97"/>
    <w:rsid w:val="005A70BC"/>
    <w:rsid w:val="005A7456"/>
    <w:rsid w:val="005A7B71"/>
    <w:rsid w:val="005A7BF4"/>
    <w:rsid w:val="005A7E4F"/>
    <w:rsid w:val="005B00A1"/>
    <w:rsid w:val="005B038B"/>
    <w:rsid w:val="005B0751"/>
    <w:rsid w:val="005B0ACE"/>
    <w:rsid w:val="005B0B09"/>
    <w:rsid w:val="005B0B26"/>
    <w:rsid w:val="005B0CAE"/>
    <w:rsid w:val="005B0DC1"/>
    <w:rsid w:val="005B1001"/>
    <w:rsid w:val="005B1167"/>
    <w:rsid w:val="005B1752"/>
    <w:rsid w:val="005B178A"/>
    <w:rsid w:val="005B1807"/>
    <w:rsid w:val="005B181C"/>
    <w:rsid w:val="005B1A5A"/>
    <w:rsid w:val="005B1C6D"/>
    <w:rsid w:val="005B1F0B"/>
    <w:rsid w:val="005B21B6"/>
    <w:rsid w:val="005B2C64"/>
    <w:rsid w:val="005B2FBD"/>
    <w:rsid w:val="005B3059"/>
    <w:rsid w:val="005B311D"/>
    <w:rsid w:val="005B3125"/>
    <w:rsid w:val="005B35DE"/>
    <w:rsid w:val="005B3A08"/>
    <w:rsid w:val="005B3A8F"/>
    <w:rsid w:val="005B41BA"/>
    <w:rsid w:val="005B4A51"/>
    <w:rsid w:val="005B5045"/>
    <w:rsid w:val="005B5979"/>
    <w:rsid w:val="005B603F"/>
    <w:rsid w:val="005B6049"/>
    <w:rsid w:val="005B60CB"/>
    <w:rsid w:val="005B633C"/>
    <w:rsid w:val="005B7075"/>
    <w:rsid w:val="005B72B2"/>
    <w:rsid w:val="005B72BF"/>
    <w:rsid w:val="005B735A"/>
    <w:rsid w:val="005B7863"/>
    <w:rsid w:val="005B7A11"/>
    <w:rsid w:val="005B7A63"/>
    <w:rsid w:val="005B7CD3"/>
    <w:rsid w:val="005C000F"/>
    <w:rsid w:val="005C0267"/>
    <w:rsid w:val="005C03DB"/>
    <w:rsid w:val="005C0461"/>
    <w:rsid w:val="005C0777"/>
    <w:rsid w:val="005C0942"/>
    <w:rsid w:val="005C0955"/>
    <w:rsid w:val="005C0980"/>
    <w:rsid w:val="005C0A60"/>
    <w:rsid w:val="005C0A96"/>
    <w:rsid w:val="005C0A99"/>
    <w:rsid w:val="005C0B5A"/>
    <w:rsid w:val="005C0EA2"/>
    <w:rsid w:val="005C1180"/>
    <w:rsid w:val="005C12A2"/>
    <w:rsid w:val="005C13DF"/>
    <w:rsid w:val="005C176F"/>
    <w:rsid w:val="005C191C"/>
    <w:rsid w:val="005C19AA"/>
    <w:rsid w:val="005C1D04"/>
    <w:rsid w:val="005C1ED3"/>
    <w:rsid w:val="005C1FB5"/>
    <w:rsid w:val="005C205B"/>
    <w:rsid w:val="005C2170"/>
    <w:rsid w:val="005C22CB"/>
    <w:rsid w:val="005C2990"/>
    <w:rsid w:val="005C2C98"/>
    <w:rsid w:val="005C2F2F"/>
    <w:rsid w:val="005C349A"/>
    <w:rsid w:val="005C36CC"/>
    <w:rsid w:val="005C376A"/>
    <w:rsid w:val="005C3DDD"/>
    <w:rsid w:val="005C3E1B"/>
    <w:rsid w:val="005C4373"/>
    <w:rsid w:val="005C465D"/>
    <w:rsid w:val="005C4809"/>
    <w:rsid w:val="005C49DA"/>
    <w:rsid w:val="005C4C6B"/>
    <w:rsid w:val="005C4D2F"/>
    <w:rsid w:val="005C4F15"/>
    <w:rsid w:val="005C501E"/>
    <w:rsid w:val="005C50F3"/>
    <w:rsid w:val="005C530B"/>
    <w:rsid w:val="005C54B5"/>
    <w:rsid w:val="005C556E"/>
    <w:rsid w:val="005C5C48"/>
    <w:rsid w:val="005C5D29"/>
    <w:rsid w:val="005C5D60"/>
    <w:rsid w:val="005C5D80"/>
    <w:rsid w:val="005C5D91"/>
    <w:rsid w:val="005C6367"/>
    <w:rsid w:val="005C71E1"/>
    <w:rsid w:val="005C7316"/>
    <w:rsid w:val="005C74F5"/>
    <w:rsid w:val="005C76A0"/>
    <w:rsid w:val="005C76BE"/>
    <w:rsid w:val="005C78FD"/>
    <w:rsid w:val="005C7AD5"/>
    <w:rsid w:val="005C7E12"/>
    <w:rsid w:val="005C7E8B"/>
    <w:rsid w:val="005D001F"/>
    <w:rsid w:val="005D01CD"/>
    <w:rsid w:val="005D031B"/>
    <w:rsid w:val="005D0333"/>
    <w:rsid w:val="005D07B8"/>
    <w:rsid w:val="005D07B9"/>
    <w:rsid w:val="005D09EA"/>
    <w:rsid w:val="005D0F65"/>
    <w:rsid w:val="005D1260"/>
    <w:rsid w:val="005D18D4"/>
    <w:rsid w:val="005D199F"/>
    <w:rsid w:val="005D1A6F"/>
    <w:rsid w:val="005D1AE9"/>
    <w:rsid w:val="005D1ECA"/>
    <w:rsid w:val="005D1F3B"/>
    <w:rsid w:val="005D1FBC"/>
    <w:rsid w:val="005D1FF1"/>
    <w:rsid w:val="005D2300"/>
    <w:rsid w:val="005D26D3"/>
    <w:rsid w:val="005D29AA"/>
    <w:rsid w:val="005D2EF3"/>
    <w:rsid w:val="005D3027"/>
    <w:rsid w:val="005D3054"/>
    <w:rsid w:val="005D334D"/>
    <w:rsid w:val="005D3777"/>
    <w:rsid w:val="005D3AB6"/>
    <w:rsid w:val="005D3B47"/>
    <w:rsid w:val="005D3E29"/>
    <w:rsid w:val="005D404E"/>
    <w:rsid w:val="005D4060"/>
    <w:rsid w:val="005D4134"/>
    <w:rsid w:val="005D4467"/>
    <w:rsid w:val="005D497A"/>
    <w:rsid w:val="005D4ACB"/>
    <w:rsid w:val="005D4BC3"/>
    <w:rsid w:val="005D4C7F"/>
    <w:rsid w:val="005D4C81"/>
    <w:rsid w:val="005D5526"/>
    <w:rsid w:val="005D55E9"/>
    <w:rsid w:val="005D5890"/>
    <w:rsid w:val="005D58EC"/>
    <w:rsid w:val="005D5A09"/>
    <w:rsid w:val="005D5AC1"/>
    <w:rsid w:val="005D5B9B"/>
    <w:rsid w:val="005D5BD0"/>
    <w:rsid w:val="005D5F5E"/>
    <w:rsid w:val="005D6597"/>
    <w:rsid w:val="005D65D0"/>
    <w:rsid w:val="005D6786"/>
    <w:rsid w:val="005D6AD6"/>
    <w:rsid w:val="005D6E02"/>
    <w:rsid w:val="005D6E74"/>
    <w:rsid w:val="005D6FF1"/>
    <w:rsid w:val="005D7508"/>
    <w:rsid w:val="005D7685"/>
    <w:rsid w:val="005D782F"/>
    <w:rsid w:val="005D7C3D"/>
    <w:rsid w:val="005D7CA6"/>
    <w:rsid w:val="005D7D38"/>
    <w:rsid w:val="005D7E50"/>
    <w:rsid w:val="005E02F3"/>
    <w:rsid w:val="005E05BD"/>
    <w:rsid w:val="005E0B93"/>
    <w:rsid w:val="005E0C39"/>
    <w:rsid w:val="005E0CEA"/>
    <w:rsid w:val="005E0D7E"/>
    <w:rsid w:val="005E0F65"/>
    <w:rsid w:val="005E1057"/>
    <w:rsid w:val="005E14E7"/>
    <w:rsid w:val="005E175D"/>
    <w:rsid w:val="005E1A3E"/>
    <w:rsid w:val="005E1F7E"/>
    <w:rsid w:val="005E24E3"/>
    <w:rsid w:val="005E26A3"/>
    <w:rsid w:val="005E26AB"/>
    <w:rsid w:val="005E28DD"/>
    <w:rsid w:val="005E2931"/>
    <w:rsid w:val="005E2E4C"/>
    <w:rsid w:val="005E2ECB"/>
    <w:rsid w:val="005E2FE3"/>
    <w:rsid w:val="005E316C"/>
    <w:rsid w:val="005E3405"/>
    <w:rsid w:val="005E3703"/>
    <w:rsid w:val="005E373A"/>
    <w:rsid w:val="005E3778"/>
    <w:rsid w:val="005E38BF"/>
    <w:rsid w:val="005E3C38"/>
    <w:rsid w:val="005E3D3D"/>
    <w:rsid w:val="005E3F13"/>
    <w:rsid w:val="005E413D"/>
    <w:rsid w:val="005E43BC"/>
    <w:rsid w:val="005E447E"/>
    <w:rsid w:val="005E44A7"/>
    <w:rsid w:val="005E47FB"/>
    <w:rsid w:val="005E483C"/>
    <w:rsid w:val="005E4AD7"/>
    <w:rsid w:val="005E4BF5"/>
    <w:rsid w:val="005E4C8F"/>
    <w:rsid w:val="005E4FD0"/>
    <w:rsid w:val="005E4FD1"/>
    <w:rsid w:val="005E5260"/>
    <w:rsid w:val="005E53AA"/>
    <w:rsid w:val="005E56A7"/>
    <w:rsid w:val="005E56F4"/>
    <w:rsid w:val="005E58A1"/>
    <w:rsid w:val="005E5A16"/>
    <w:rsid w:val="005E5A39"/>
    <w:rsid w:val="005E5A3B"/>
    <w:rsid w:val="005E5BB3"/>
    <w:rsid w:val="005E5E6E"/>
    <w:rsid w:val="005E5FDA"/>
    <w:rsid w:val="005E6176"/>
    <w:rsid w:val="005E61A1"/>
    <w:rsid w:val="005E6544"/>
    <w:rsid w:val="005E6F07"/>
    <w:rsid w:val="005E724A"/>
    <w:rsid w:val="005E7285"/>
    <w:rsid w:val="005E7347"/>
    <w:rsid w:val="005E7A8B"/>
    <w:rsid w:val="005E7B3B"/>
    <w:rsid w:val="005F0261"/>
    <w:rsid w:val="005F0544"/>
    <w:rsid w:val="005F06B3"/>
    <w:rsid w:val="005F0775"/>
    <w:rsid w:val="005F0C37"/>
    <w:rsid w:val="005F0CF5"/>
    <w:rsid w:val="005F0D2C"/>
    <w:rsid w:val="005F119C"/>
    <w:rsid w:val="005F1384"/>
    <w:rsid w:val="005F13A9"/>
    <w:rsid w:val="005F1487"/>
    <w:rsid w:val="005F1550"/>
    <w:rsid w:val="005F1A3C"/>
    <w:rsid w:val="005F1B48"/>
    <w:rsid w:val="005F1EC7"/>
    <w:rsid w:val="005F1FD0"/>
    <w:rsid w:val="005F21EB"/>
    <w:rsid w:val="005F257D"/>
    <w:rsid w:val="005F27F9"/>
    <w:rsid w:val="005F2908"/>
    <w:rsid w:val="005F2B1A"/>
    <w:rsid w:val="005F2B9F"/>
    <w:rsid w:val="005F2E88"/>
    <w:rsid w:val="005F3407"/>
    <w:rsid w:val="005F3960"/>
    <w:rsid w:val="005F39E3"/>
    <w:rsid w:val="005F3ABB"/>
    <w:rsid w:val="005F3DDA"/>
    <w:rsid w:val="005F3E2F"/>
    <w:rsid w:val="005F4242"/>
    <w:rsid w:val="005F424B"/>
    <w:rsid w:val="005F458A"/>
    <w:rsid w:val="005F4938"/>
    <w:rsid w:val="005F4978"/>
    <w:rsid w:val="005F4BEF"/>
    <w:rsid w:val="005F4CFB"/>
    <w:rsid w:val="005F4FD7"/>
    <w:rsid w:val="005F5087"/>
    <w:rsid w:val="005F519A"/>
    <w:rsid w:val="005F521F"/>
    <w:rsid w:val="005F5623"/>
    <w:rsid w:val="005F5B16"/>
    <w:rsid w:val="005F5C53"/>
    <w:rsid w:val="005F5F50"/>
    <w:rsid w:val="005F60BC"/>
    <w:rsid w:val="005F60C6"/>
    <w:rsid w:val="005F61CE"/>
    <w:rsid w:val="005F61E9"/>
    <w:rsid w:val="005F629A"/>
    <w:rsid w:val="005F64CF"/>
    <w:rsid w:val="005F658D"/>
    <w:rsid w:val="005F6701"/>
    <w:rsid w:val="005F6BD4"/>
    <w:rsid w:val="005F7A00"/>
    <w:rsid w:val="005F7BB6"/>
    <w:rsid w:val="005F7EBC"/>
    <w:rsid w:val="005F7EF3"/>
    <w:rsid w:val="006001B1"/>
    <w:rsid w:val="0060037A"/>
    <w:rsid w:val="006006E6"/>
    <w:rsid w:val="006008B0"/>
    <w:rsid w:val="0060098A"/>
    <w:rsid w:val="00600B73"/>
    <w:rsid w:val="00600BA2"/>
    <w:rsid w:val="00600C07"/>
    <w:rsid w:val="00600E27"/>
    <w:rsid w:val="00601010"/>
    <w:rsid w:val="00601073"/>
    <w:rsid w:val="0060116A"/>
    <w:rsid w:val="006015FB"/>
    <w:rsid w:val="00601622"/>
    <w:rsid w:val="00601664"/>
    <w:rsid w:val="006019DD"/>
    <w:rsid w:val="006025A9"/>
    <w:rsid w:val="0060269C"/>
    <w:rsid w:val="006026BD"/>
    <w:rsid w:val="00602752"/>
    <w:rsid w:val="006028C5"/>
    <w:rsid w:val="00602D5C"/>
    <w:rsid w:val="00602ED0"/>
    <w:rsid w:val="0060309F"/>
    <w:rsid w:val="00603163"/>
    <w:rsid w:val="006031E7"/>
    <w:rsid w:val="00603697"/>
    <w:rsid w:val="00603E94"/>
    <w:rsid w:val="00603F40"/>
    <w:rsid w:val="006041AD"/>
    <w:rsid w:val="006045EE"/>
    <w:rsid w:val="00604784"/>
    <w:rsid w:val="006050D1"/>
    <w:rsid w:val="006055E8"/>
    <w:rsid w:val="00605908"/>
    <w:rsid w:val="006059D3"/>
    <w:rsid w:val="00605C65"/>
    <w:rsid w:val="00605EDA"/>
    <w:rsid w:val="00606730"/>
    <w:rsid w:val="006069D7"/>
    <w:rsid w:val="00606C12"/>
    <w:rsid w:val="00606E72"/>
    <w:rsid w:val="0060706C"/>
    <w:rsid w:val="006071EF"/>
    <w:rsid w:val="0060766D"/>
    <w:rsid w:val="006076BF"/>
    <w:rsid w:val="006076E1"/>
    <w:rsid w:val="00607850"/>
    <w:rsid w:val="00607A8F"/>
    <w:rsid w:val="00607B62"/>
    <w:rsid w:val="00607E32"/>
    <w:rsid w:val="00607EF7"/>
    <w:rsid w:val="00610325"/>
    <w:rsid w:val="00610418"/>
    <w:rsid w:val="006107D3"/>
    <w:rsid w:val="00610D7C"/>
    <w:rsid w:val="00611042"/>
    <w:rsid w:val="006116BC"/>
    <w:rsid w:val="00611803"/>
    <w:rsid w:val="00611BC7"/>
    <w:rsid w:val="00611C4A"/>
    <w:rsid w:val="00611C9E"/>
    <w:rsid w:val="00611EC0"/>
    <w:rsid w:val="00611F6E"/>
    <w:rsid w:val="0061204B"/>
    <w:rsid w:val="00612178"/>
    <w:rsid w:val="00612192"/>
    <w:rsid w:val="006123B3"/>
    <w:rsid w:val="0061243F"/>
    <w:rsid w:val="0061248C"/>
    <w:rsid w:val="00612622"/>
    <w:rsid w:val="00612A23"/>
    <w:rsid w:val="00612C5B"/>
    <w:rsid w:val="00613414"/>
    <w:rsid w:val="00613431"/>
    <w:rsid w:val="00613753"/>
    <w:rsid w:val="00613A59"/>
    <w:rsid w:val="00613EAF"/>
    <w:rsid w:val="00614008"/>
    <w:rsid w:val="00614A94"/>
    <w:rsid w:val="00614AAA"/>
    <w:rsid w:val="00614C5B"/>
    <w:rsid w:val="00614C7F"/>
    <w:rsid w:val="00614E5F"/>
    <w:rsid w:val="006154FA"/>
    <w:rsid w:val="0061551E"/>
    <w:rsid w:val="006155C3"/>
    <w:rsid w:val="0061567A"/>
    <w:rsid w:val="006156AA"/>
    <w:rsid w:val="006156DF"/>
    <w:rsid w:val="006157EF"/>
    <w:rsid w:val="00615A27"/>
    <w:rsid w:val="00615A35"/>
    <w:rsid w:val="00615A87"/>
    <w:rsid w:val="00615D30"/>
    <w:rsid w:val="006163E8"/>
    <w:rsid w:val="006168F2"/>
    <w:rsid w:val="00616A78"/>
    <w:rsid w:val="00616AD0"/>
    <w:rsid w:val="00616B47"/>
    <w:rsid w:val="00616D6B"/>
    <w:rsid w:val="00616ECA"/>
    <w:rsid w:val="00617057"/>
    <w:rsid w:val="00617168"/>
    <w:rsid w:val="00617466"/>
    <w:rsid w:val="00617476"/>
    <w:rsid w:val="00617840"/>
    <w:rsid w:val="00617B73"/>
    <w:rsid w:val="00617BB6"/>
    <w:rsid w:val="00617D8B"/>
    <w:rsid w:val="00617E46"/>
    <w:rsid w:val="00617EEA"/>
    <w:rsid w:val="00617EF1"/>
    <w:rsid w:val="0062008B"/>
    <w:rsid w:val="00620109"/>
    <w:rsid w:val="00620154"/>
    <w:rsid w:val="00620643"/>
    <w:rsid w:val="006207CF"/>
    <w:rsid w:val="00620853"/>
    <w:rsid w:val="00620E4C"/>
    <w:rsid w:val="00620FC2"/>
    <w:rsid w:val="00620FD2"/>
    <w:rsid w:val="00621007"/>
    <w:rsid w:val="00621150"/>
    <w:rsid w:val="0062118F"/>
    <w:rsid w:val="006211EF"/>
    <w:rsid w:val="00621372"/>
    <w:rsid w:val="00621908"/>
    <w:rsid w:val="00621B1F"/>
    <w:rsid w:val="00621B66"/>
    <w:rsid w:val="00621C06"/>
    <w:rsid w:val="00622023"/>
    <w:rsid w:val="006223D6"/>
    <w:rsid w:val="006228E9"/>
    <w:rsid w:val="0062291C"/>
    <w:rsid w:val="00622A5C"/>
    <w:rsid w:val="00622AE6"/>
    <w:rsid w:val="00623135"/>
    <w:rsid w:val="00623499"/>
    <w:rsid w:val="006234D1"/>
    <w:rsid w:val="006235F1"/>
    <w:rsid w:val="00623841"/>
    <w:rsid w:val="00623B99"/>
    <w:rsid w:val="00623E02"/>
    <w:rsid w:val="0062408D"/>
    <w:rsid w:val="006240CC"/>
    <w:rsid w:val="0062418E"/>
    <w:rsid w:val="0062429E"/>
    <w:rsid w:val="0062439C"/>
    <w:rsid w:val="00624437"/>
    <w:rsid w:val="00624626"/>
    <w:rsid w:val="00624720"/>
    <w:rsid w:val="00624940"/>
    <w:rsid w:val="00624BBF"/>
    <w:rsid w:val="006250E0"/>
    <w:rsid w:val="006252E9"/>
    <w:rsid w:val="006254F8"/>
    <w:rsid w:val="00625595"/>
    <w:rsid w:val="006256C1"/>
    <w:rsid w:val="0062574B"/>
    <w:rsid w:val="006259DB"/>
    <w:rsid w:val="00625BB2"/>
    <w:rsid w:val="00625CB0"/>
    <w:rsid w:val="00625DBF"/>
    <w:rsid w:val="006263A8"/>
    <w:rsid w:val="00626641"/>
    <w:rsid w:val="006266F2"/>
    <w:rsid w:val="00626951"/>
    <w:rsid w:val="006269B3"/>
    <w:rsid w:val="00626D3E"/>
    <w:rsid w:val="00627108"/>
    <w:rsid w:val="00627173"/>
    <w:rsid w:val="00627253"/>
    <w:rsid w:val="006273C3"/>
    <w:rsid w:val="00627563"/>
    <w:rsid w:val="006276D5"/>
    <w:rsid w:val="006279E7"/>
    <w:rsid w:val="00627D8A"/>
    <w:rsid w:val="00627DA7"/>
    <w:rsid w:val="00627E1C"/>
    <w:rsid w:val="00630267"/>
    <w:rsid w:val="00630641"/>
    <w:rsid w:val="006308E1"/>
    <w:rsid w:val="00630ADA"/>
    <w:rsid w:val="00630CA9"/>
    <w:rsid w:val="00630DA4"/>
    <w:rsid w:val="00630EAD"/>
    <w:rsid w:val="00630FC2"/>
    <w:rsid w:val="0063109B"/>
    <w:rsid w:val="006311A4"/>
    <w:rsid w:val="00631573"/>
    <w:rsid w:val="00631585"/>
    <w:rsid w:val="00631CD4"/>
    <w:rsid w:val="00631D51"/>
    <w:rsid w:val="00631D84"/>
    <w:rsid w:val="006320EA"/>
    <w:rsid w:val="00632205"/>
    <w:rsid w:val="006322C8"/>
    <w:rsid w:val="0063241C"/>
    <w:rsid w:val="0063255A"/>
    <w:rsid w:val="00632597"/>
    <w:rsid w:val="00632951"/>
    <w:rsid w:val="00632CD2"/>
    <w:rsid w:val="00632F48"/>
    <w:rsid w:val="00632FFF"/>
    <w:rsid w:val="00633435"/>
    <w:rsid w:val="006336AF"/>
    <w:rsid w:val="00633AA6"/>
    <w:rsid w:val="00633FD6"/>
    <w:rsid w:val="00634156"/>
    <w:rsid w:val="006343BB"/>
    <w:rsid w:val="006345E2"/>
    <w:rsid w:val="00634663"/>
    <w:rsid w:val="006346D4"/>
    <w:rsid w:val="00634A84"/>
    <w:rsid w:val="00634D13"/>
    <w:rsid w:val="00634D69"/>
    <w:rsid w:val="00634EA3"/>
    <w:rsid w:val="00634F27"/>
    <w:rsid w:val="00634F94"/>
    <w:rsid w:val="00635012"/>
    <w:rsid w:val="00635020"/>
    <w:rsid w:val="00635149"/>
    <w:rsid w:val="00635737"/>
    <w:rsid w:val="0063589E"/>
    <w:rsid w:val="006358B4"/>
    <w:rsid w:val="00635CA0"/>
    <w:rsid w:val="006360A6"/>
    <w:rsid w:val="006361F5"/>
    <w:rsid w:val="0063620D"/>
    <w:rsid w:val="00636287"/>
    <w:rsid w:val="006365C8"/>
    <w:rsid w:val="00636864"/>
    <w:rsid w:val="006369C6"/>
    <w:rsid w:val="00636E14"/>
    <w:rsid w:val="006370B1"/>
    <w:rsid w:val="006370DC"/>
    <w:rsid w:val="006371A2"/>
    <w:rsid w:val="00637228"/>
    <w:rsid w:val="0063748D"/>
    <w:rsid w:val="006374B7"/>
    <w:rsid w:val="006376C0"/>
    <w:rsid w:val="006376D0"/>
    <w:rsid w:val="0063793A"/>
    <w:rsid w:val="006379DC"/>
    <w:rsid w:val="0064021D"/>
    <w:rsid w:val="006406FD"/>
    <w:rsid w:val="006409C1"/>
    <w:rsid w:val="00640C6E"/>
    <w:rsid w:val="00640CEE"/>
    <w:rsid w:val="00640D78"/>
    <w:rsid w:val="00641044"/>
    <w:rsid w:val="0064112A"/>
    <w:rsid w:val="0064135A"/>
    <w:rsid w:val="00641517"/>
    <w:rsid w:val="00641607"/>
    <w:rsid w:val="00641724"/>
    <w:rsid w:val="00641780"/>
    <w:rsid w:val="006419AA"/>
    <w:rsid w:val="006419C8"/>
    <w:rsid w:val="00641EE7"/>
    <w:rsid w:val="006420AC"/>
    <w:rsid w:val="0064260C"/>
    <w:rsid w:val="00642A28"/>
    <w:rsid w:val="00642BC4"/>
    <w:rsid w:val="00642BEB"/>
    <w:rsid w:val="00642D1D"/>
    <w:rsid w:val="00642E14"/>
    <w:rsid w:val="006431B3"/>
    <w:rsid w:val="00643302"/>
    <w:rsid w:val="006436CC"/>
    <w:rsid w:val="00643804"/>
    <w:rsid w:val="006439EC"/>
    <w:rsid w:val="00643C43"/>
    <w:rsid w:val="00643F12"/>
    <w:rsid w:val="00643F75"/>
    <w:rsid w:val="006443AB"/>
    <w:rsid w:val="00644B1F"/>
    <w:rsid w:val="00644B3A"/>
    <w:rsid w:val="00644B7E"/>
    <w:rsid w:val="00644C01"/>
    <w:rsid w:val="00644DBF"/>
    <w:rsid w:val="006450AC"/>
    <w:rsid w:val="00645135"/>
    <w:rsid w:val="006452B0"/>
    <w:rsid w:val="006454E6"/>
    <w:rsid w:val="006456CB"/>
    <w:rsid w:val="00645912"/>
    <w:rsid w:val="00645980"/>
    <w:rsid w:val="00645B95"/>
    <w:rsid w:val="00645E90"/>
    <w:rsid w:val="00645EFC"/>
    <w:rsid w:val="00646115"/>
    <w:rsid w:val="00646235"/>
    <w:rsid w:val="0064638D"/>
    <w:rsid w:val="006463FE"/>
    <w:rsid w:val="00646679"/>
    <w:rsid w:val="0064682E"/>
    <w:rsid w:val="00646A68"/>
    <w:rsid w:val="00646C07"/>
    <w:rsid w:val="00646E39"/>
    <w:rsid w:val="00646F8E"/>
    <w:rsid w:val="006470DA"/>
    <w:rsid w:val="0064736B"/>
    <w:rsid w:val="006473AE"/>
    <w:rsid w:val="006474AA"/>
    <w:rsid w:val="006479ED"/>
    <w:rsid w:val="00647B07"/>
    <w:rsid w:val="00647DB5"/>
    <w:rsid w:val="00647E3A"/>
    <w:rsid w:val="00647EFE"/>
    <w:rsid w:val="006500CE"/>
    <w:rsid w:val="00650510"/>
    <w:rsid w:val="006505BD"/>
    <w:rsid w:val="006508EA"/>
    <w:rsid w:val="0065092E"/>
    <w:rsid w:val="00650B4A"/>
    <w:rsid w:val="00650D1C"/>
    <w:rsid w:val="006514A1"/>
    <w:rsid w:val="006518B9"/>
    <w:rsid w:val="00651AEA"/>
    <w:rsid w:val="00651E8E"/>
    <w:rsid w:val="00651F0D"/>
    <w:rsid w:val="0065207E"/>
    <w:rsid w:val="00652290"/>
    <w:rsid w:val="0065254A"/>
    <w:rsid w:val="00652CC2"/>
    <w:rsid w:val="00652D25"/>
    <w:rsid w:val="00652DE3"/>
    <w:rsid w:val="0065309C"/>
    <w:rsid w:val="00653331"/>
    <w:rsid w:val="006533FA"/>
    <w:rsid w:val="00653627"/>
    <w:rsid w:val="00653C99"/>
    <w:rsid w:val="006541B5"/>
    <w:rsid w:val="006543ED"/>
    <w:rsid w:val="006544A8"/>
    <w:rsid w:val="006545E5"/>
    <w:rsid w:val="00654A1E"/>
    <w:rsid w:val="00654CDB"/>
    <w:rsid w:val="00654D74"/>
    <w:rsid w:val="00655030"/>
    <w:rsid w:val="006550A7"/>
    <w:rsid w:val="006554CA"/>
    <w:rsid w:val="006557A7"/>
    <w:rsid w:val="00655CF9"/>
    <w:rsid w:val="00655E22"/>
    <w:rsid w:val="00655E6A"/>
    <w:rsid w:val="00655EFF"/>
    <w:rsid w:val="00656290"/>
    <w:rsid w:val="006562D8"/>
    <w:rsid w:val="00656B84"/>
    <w:rsid w:val="00657037"/>
    <w:rsid w:val="0065720B"/>
    <w:rsid w:val="006573C8"/>
    <w:rsid w:val="006575E0"/>
    <w:rsid w:val="0065763F"/>
    <w:rsid w:val="006578BC"/>
    <w:rsid w:val="00657BAB"/>
    <w:rsid w:val="00660076"/>
    <w:rsid w:val="006601C9"/>
    <w:rsid w:val="00660482"/>
    <w:rsid w:val="006604B4"/>
    <w:rsid w:val="00660602"/>
    <w:rsid w:val="006608D8"/>
    <w:rsid w:val="0066097A"/>
    <w:rsid w:val="00660C76"/>
    <w:rsid w:val="00660DAC"/>
    <w:rsid w:val="00660DE2"/>
    <w:rsid w:val="0066127D"/>
    <w:rsid w:val="00661320"/>
    <w:rsid w:val="0066170E"/>
    <w:rsid w:val="0066178D"/>
    <w:rsid w:val="006619C1"/>
    <w:rsid w:val="00661A2C"/>
    <w:rsid w:val="00661A8D"/>
    <w:rsid w:val="00661AC1"/>
    <w:rsid w:val="00661B09"/>
    <w:rsid w:val="00661DDD"/>
    <w:rsid w:val="00661DF3"/>
    <w:rsid w:val="00661E68"/>
    <w:rsid w:val="00661EFE"/>
    <w:rsid w:val="00661FFF"/>
    <w:rsid w:val="006621D7"/>
    <w:rsid w:val="006627AC"/>
    <w:rsid w:val="00662A80"/>
    <w:rsid w:val="00662BA6"/>
    <w:rsid w:val="00662BAD"/>
    <w:rsid w:val="00662C17"/>
    <w:rsid w:val="00662C39"/>
    <w:rsid w:val="00662C7D"/>
    <w:rsid w:val="00662E62"/>
    <w:rsid w:val="00662F0B"/>
    <w:rsid w:val="00662FAF"/>
    <w:rsid w:val="00662FE1"/>
    <w:rsid w:val="0066302A"/>
    <w:rsid w:val="0066332A"/>
    <w:rsid w:val="00663481"/>
    <w:rsid w:val="00663992"/>
    <w:rsid w:val="00663BFA"/>
    <w:rsid w:val="00663D6E"/>
    <w:rsid w:val="00664551"/>
    <w:rsid w:val="00664AF7"/>
    <w:rsid w:val="00664AFD"/>
    <w:rsid w:val="00664C57"/>
    <w:rsid w:val="00664DBE"/>
    <w:rsid w:val="006653F9"/>
    <w:rsid w:val="00665482"/>
    <w:rsid w:val="00665626"/>
    <w:rsid w:val="0066587E"/>
    <w:rsid w:val="00665946"/>
    <w:rsid w:val="00665E45"/>
    <w:rsid w:val="0066611F"/>
    <w:rsid w:val="00666172"/>
    <w:rsid w:val="006666C5"/>
    <w:rsid w:val="006667A9"/>
    <w:rsid w:val="006669F6"/>
    <w:rsid w:val="00666AFA"/>
    <w:rsid w:val="00666BE7"/>
    <w:rsid w:val="00666D34"/>
    <w:rsid w:val="00666E03"/>
    <w:rsid w:val="00666EB2"/>
    <w:rsid w:val="00667142"/>
    <w:rsid w:val="00667170"/>
    <w:rsid w:val="006675E4"/>
    <w:rsid w:val="00667770"/>
    <w:rsid w:val="00667CDB"/>
    <w:rsid w:val="00667D35"/>
    <w:rsid w:val="00667D57"/>
    <w:rsid w:val="00670261"/>
    <w:rsid w:val="00670546"/>
    <w:rsid w:val="00670597"/>
    <w:rsid w:val="00670655"/>
    <w:rsid w:val="006706D0"/>
    <w:rsid w:val="00670754"/>
    <w:rsid w:val="00670D2F"/>
    <w:rsid w:val="0067116C"/>
    <w:rsid w:val="006711BE"/>
    <w:rsid w:val="00671221"/>
    <w:rsid w:val="00671229"/>
    <w:rsid w:val="00671238"/>
    <w:rsid w:val="0067149F"/>
    <w:rsid w:val="00671A99"/>
    <w:rsid w:val="00671CD4"/>
    <w:rsid w:val="00671CE3"/>
    <w:rsid w:val="00671D51"/>
    <w:rsid w:val="00672196"/>
    <w:rsid w:val="00672341"/>
    <w:rsid w:val="006725E6"/>
    <w:rsid w:val="00672636"/>
    <w:rsid w:val="0067296A"/>
    <w:rsid w:val="00672A20"/>
    <w:rsid w:val="00672B39"/>
    <w:rsid w:val="00672BBC"/>
    <w:rsid w:val="00672BE7"/>
    <w:rsid w:val="00672C98"/>
    <w:rsid w:val="00672CA6"/>
    <w:rsid w:val="00672EDB"/>
    <w:rsid w:val="0067353A"/>
    <w:rsid w:val="006738BA"/>
    <w:rsid w:val="006739DD"/>
    <w:rsid w:val="00673DF6"/>
    <w:rsid w:val="00673DFA"/>
    <w:rsid w:val="00673E52"/>
    <w:rsid w:val="00673FAB"/>
    <w:rsid w:val="00674219"/>
    <w:rsid w:val="006744CE"/>
    <w:rsid w:val="00674610"/>
    <w:rsid w:val="00674698"/>
    <w:rsid w:val="00674A56"/>
    <w:rsid w:val="00674C76"/>
    <w:rsid w:val="006753DC"/>
    <w:rsid w:val="00675507"/>
    <w:rsid w:val="00675A79"/>
    <w:rsid w:val="00675B8F"/>
    <w:rsid w:val="00675C1C"/>
    <w:rsid w:val="00676116"/>
    <w:rsid w:val="00676191"/>
    <w:rsid w:val="006762CD"/>
    <w:rsid w:val="00676322"/>
    <w:rsid w:val="00676326"/>
    <w:rsid w:val="006763C6"/>
    <w:rsid w:val="00676C43"/>
    <w:rsid w:val="00676F12"/>
    <w:rsid w:val="00676FB1"/>
    <w:rsid w:val="006770A9"/>
    <w:rsid w:val="0067755A"/>
    <w:rsid w:val="00677574"/>
    <w:rsid w:val="0067770F"/>
    <w:rsid w:val="0067784C"/>
    <w:rsid w:val="00677A9C"/>
    <w:rsid w:val="00677BBF"/>
    <w:rsid w:val="00677C5B"/>
    <w:rsid w:val="00680103"/>
    <w:rsid w:val="006803B5"/>
    <w:rsid w:val="0068082F"/>
    <w:rsid w:val="00680A7C"/>
    <w:rsid w:val="00680AB6"/>
    <w:rsid w:val="00680D4F"/>
    <w:rsid w:val="006810B4"/>
    <w:rsid w:val="006810B6"/>
    <w:rsid w:val="006810F2"/>
    <w:rsid w:val="006811D3"/>
    <w:rsid w:val="0068126C"/>
    <w:rsid w:val="006812ED"/>
    <w:rsid w:val="0068157E"/>
    <w:rsid w:val="006817B4"/>
    <w:rsid w:val="006818A4"/>
    <w:rsid w:val="00681AF5"/>
    <w:rsid w:val="00681EF8"/>
    <w:rsid w:val="00682188"/>
    <w:rsid w:val="006822BC"/>
    <w:rsid w:val="006822F9"/>
    <w:rsid w:val="0068230B"/>
    <w:rsid w:val="0068233D"/>
    <w:rsid w:val="006828F8"/>
    <w:rsid w:val="006829A6"/>
    <w:rsid w:val="00683214"/>
    <w:rsid w:val="00683433"/>
    <w:rsid w:val="00683805"/>
    <w:rsid w:val="00683839"/>
    <w:rsid w:val="00683878"/>
    <w:rsid w:val="00683C6B"/>
    <w:rsid w:val="00683E75"/>
    <w:rsid w:val="00683F00"/>
    <w:rsid w:val="00684380"/>
    <w:rsid w:val="0068454C"/>
    <w:rsid w:val="0068463E"/>
    <w:rsid w:val="006848F6"/>
    <w:rsid w:val="00684D35"/>
    <w:rsid w:val="00684E4E"/>
    <w:rsid w:val="00684FE7"/>
    <w:rsid w:val="00685272"/>
    <w:rsid w:val="006852C1"/>
    <w:rsid w:val="00685401"/>
    <w:rsid w:val="006857F8"/>
    <w:rsid w:val="0068588D"/>
    <w:rsid w:val="00685A72"/>
    <w:rsid w:val="00685AB2"/>
    <w:rsid w:val="00685B3C"/>
    <w:rsid w:val="00685B79"/>
    <w:rsid w:val="00685E5E"/>
    <w:rsid w:val="00686167"/>
    <w:rsid w:val="00686246"/>
    <w:rsid w:val="00686354"/>
    <w:rsid w:val="00686404"/>
    <w:rsid w:val="00686505"/>
    <w:rsid w:val="0068660D"/>
    <w:rsid w:val="00686BEE"/>
    <w:rsid w:val="00687170"/>
    <w:rsid w:val="00687370"/>
    <w:rsid w:val="00687374"/>
    <w:rsid w:val="0068754F"/>
    <w:rsid w:val="00687819"/>
    <w:rsid w:val="0068788D"/>
    <w:rsid w:val="00687BDB"/>
    <w:rsid w:val="00687BDC"/>
    <w:rsid w:val="00687F01"/>
    <w:rsid w:val="00690190"/>
    <w:rsid w:val="006902CE"/>
    <w:rsid w:val="006903F0"/>
    <w:rsid w:val="00690712"/>
    <w:rsid w:val="00690B0B"/>
    <w:rsid w:val="00690CE5"/>
    <w:rsid w:val="00690DB7"/>
    <w:rsid w:val="00690EC0"/>
    <w:rsid w:val="00691060"/>
    <w:rsid w:val="006911EE"/>
    <w:rsid w:val="00691279"/>
    <w:rsid w:val="00691455"/>
    <w:rsid w:val="006914C4"/>
    <w:rsid w:val="00691A07"/>
    <w:rsid w:val="00691ADC"/>
    <w:rsid w:val="00691B1A"/>
    <w:rsid w:val="00691B62"/>
    <w:rsid w:val="00691D24"/>
    <w:rsid w:val="00691DC3"/>
    <w:rsid w:val="00691E61"/>
    <w:rsid w:val="0069206B"/>
    <w:rsid w:val="006924D4"/>
    <w:rsid w:val="00692893"/>
    <w:rsid w:val="006929D8"/>
    <w:rsid w:val="00692A75"/>
    <w:rsid w:val="00692C22"/>
    <w:rsid w:val="00692C30"/>
    <w:rsid w:val="00692E42"/>
    <w:rsid w:val="00692ED0"/>
    <w:rsid w:val="006932C8"/>
    <w:rsid w:val="006932D7"/>
    <w:rsid w:val="006933B5"/>
    <w:rsid w:val="00693424"/>
    <w:rsid w:val="00693726"/>
    <w:rsid w:val="00693882"/>
    <w:rsid w:val="0069391C"/>
    <w:rsid w:val="00693B34"/>
    <w:rsid w:val="00693D14"/>
    <w:rsid w:val="00693DBF"/>
    <w:rsid w:val="00693E52"/>
    <w:rsid w:val="006940DC"/>
    <w:rsid w:val="0069428F"/>
    <w:rsid w:val="00694410"/>
    <w:rsid w:val="0069465B"/>
    <w:rsid w:val="0069490D"/>
    <w:rsid w:val="00694A78"/>
    <w:rsid w:val="00694DDC"/>
    <w:rsid w:val="00694E2B"/>
    <w:rsid w:val="00695094"/>
    <w:rsid w:val="006953E4"/>
    <w:rsid w:val="00695522"/>
    <w:rsid w:val="0069578A"/>
    <w:rsid w:val="006957A8"/>
    <w:rsid w:val="00695875"/>
    <w:rsid w:val="006958E9"/>
    <w:rsid w:val="006959C0"/>
    <w:rsid w:val="00695A7F"/>
    <w:rsid w:val="00695C2A"/>
    <w:rsid w:val="00695DA9"/>
    <w:rsid w:val="00696043"/>
    <w:rsid w:val="00696119"/>
    <w:rsid w:val="006961E0"/>
    <w:rsid w:val="006962C3"/>
    <w:rsid w:val="00696928"/>
    <w:rsid w:val="00696BC4"/>
    <w:rsid w:val="00696C61"/>
    <w:rsid w:val="00696D20"/>
    <w:rsid w:val="00696E74"/>
    <w:rsid w:val="00696F27"/>
    <w:rsid w:val="00697012"/>
    <w:rsid w:val="00697041"/>
    <w:rsid w:val="006976EE"/>
    <w:rsid w:val="00697D50"/>
    <w:rsid w:val="006A0434"/>
    <w:rsid w:val="006A0522"/>
    <w:rsid w:val="006A069D"/>
    <w:rsid w:val="006A0A9B"/>
    <w:rsid w:val="006A0B8C"/>
    <w:rsid w:val="006A0D34"/>
    <w:rsid w:val="006A0F2B"/>
    <w:rsid w:val="006A12BA"/>
    <w:rsid w:val="006A132C"/>
    <w:rsid w:val="006A1607"/>
    <w:rsid w:val="006A162E"/>
    <w:rsid w:val="006A1679"/>
    <w:rsid w:val="006A18B0"/>
    <w:rsid w:val="006A18C2"/>
    <w:rsid w:val="006A1D42"/>
    <w:rsid w:val="006A1F13"/>
    <w:rsid w:val="006A1F8A"/>
    <w:rsid w:val="006A2004"/>
    <w:rsid w:val="006A23A0"/>
    <w:rsid w:val="006A29FC"/>
    <w:rsid w:val="006A2B0B"/>
    <w:rsid w:val="006A2E35"/>
    <w:rsid w:val="006A3383"/>
    <w:rsid w:val="006A34FE"/>
    <w:rsid w:val="006A37D5"/>
    <w:rsid w:val="006A403B"/>
    <w:rsid w:val="006A41BE"/>
    <w:rsid w:val="006A508A"/>
    <w:rsid w:val="006A548E"/>
    <w:rsid w:val="006A5753"/>
    <w:rsid w:val="006A59BA"/>
    <w:rsid w:val="006A5CF1"/>
    <w:rsid w:val="006A5DAE"/>
    <w:rsid w:val="006A6485"/>
    <w:rsid w:val="006A6AE0"/>
    <w:rsid w:val="006A6C0D"/>
    <w:rsid w:val="006A6C28"/>
    <w:rsid w:val="006A6C49"/>
    <w:rsid w:val="006A6C56"/>
    <w:rsid w:val="006A6F40"/>
    <w:rsid w:val="006A707A"/>
    <w:rsid w:val="006A71AD"/>
    <w:rsid w:val="006A754C"/>
    <w:rsid w:val="006A7615"/>
    <w:rsid w:val="006B0061"/>
    <w:rsid w:val="006B0094"/>
    <w:rsid w:val="006B05A9"/>
    <w:rsid w:val="006B077C"/>
    <w:rsid w:val="006B0ADA"/>
    <w:rsid w:val="006B0BF3"/>
    <w:rsid w:val="006B0CBC"/>
    <w:rsid w:val="006B0EF0"/>
    <w:rsid w:val="006B1061"/>
    <w:rsid w:val="006B1285"/>
    <w:rsid w:val="006B1311"/>
    <w:rsid w:val="006B13F2"/>
    <w:rsid w:val="006B183F"/>
    <w:rsid w:val="006B1989"/>
    <w:rsid w:val="006B1BC5"/>
    <w:rsid w:val="006B1E76"/>
    <w:rsid w:val="006B1F2E"/>
    <w:rsid w:val="006B1F7A"/>
    <w:rsid w:val="006B216A"/>
    <w:rsid w:val="006B22A6"/>
    <w:rsid w:val="006B25A5"/>
    <w:rsid w:val="006B25F1"/>
    <w:rsid w:val="006B26D2"/>
    <w:rsid w:val="006B2897"/>
    <w:rsid w:val="006B2AC6"/>
    <w:rsid w:val="006B2CF1"/>
    <w:rsid w:val="006B2E66"/>
    <w:rsid w:val="006B30C3"/>
    <w:rsid w:val="006B327A"/>
    <w:rsid w:val="006B3392"/>
    <w:rsid w:val="006B3397"/>
    <w:rsid w:val="006B3537"/>
    <w:rsid w:val="006B3699"/>
    <w:rsid w:val="006B36BC"/>
    <w:rsid w:val="006B3781"/>
    <w:rsid w:val="006B37CC"/>
    <w:rsid w:val="006B3C15"/>
    <w:rsid w:val="006B3D4A"/>
    <w:rsid w:val="006B3E90"/>
    <w:rsid w:val="006B3ED3"/>
    <w:rsid w:val="006B3F40"/>
    <w:rsid w:val="006B45A0"/>
    <w:rsid w:val="006B4942"/>
    <w:rsid w:val="006B4A64"/>
    <w:rsid w:val="006B4D84"/>
    <w:rsid w:val="006B4F96"/>
    <w:rsid w:val="006B51CE"/>
    <w:rsid w:val="006B5618"/>
    <w:rsid w:val="006B571F"/>
    <w:rsid w:val="006B5830"/>
    <w:rsid w:val="006B59EF"/>
    <w:rsid w:val="006B5C2A"/>
    <w:rsid w:val="006B5C52"/>
    <w:rsid w:val="006B6803"/>
    <w:rsid w:val="006B6DB7"/>
    <w:rsid w:val="006B6E23"/>
    <w:rsid w:val="006B6ED5"/>
    <w:rsid w:val="006B71D5"/>
    <w:rsid w:val="006B744B"/>
    <w:rsid w:val="006B75F3"/>
    <w:rsid w:val="006C0107"/>
    <w:rsid w:val="006C017A"/>
    <w:rsid w:val="006C056E"/>
    <w:rsid w:val="006C06C3"/>
    <w:rsid w:val="006C09EA"/>
    <w:rsid w:val="006C0CFF"/>
    <w:rsid w:val="006C0D74"/>
    <w:rsid w:val="006C0F72"/>
    <w:rsid w:val="006C1023"/>
    <w:rsid w:val="006C1129"/>
    <w:rsid w:val="006C123E"/>
    <w:rsid w:val="006C12FE"/>
    <w:rsid w:val="006C1944"/>
    <w:rsid w:val="006C1D92"/>
    <w:rsid w:val="006C1DE3"/>
    <w:rsid w:val="006C1DEC"/>
    <w:rsid w:val="006C2519"/>
    <w:rsid w:val="006C2530"/>
    <w:rsid w:val="006C25C9"/>
    <w:rsid w:val="006C2649"/>
    <w:rsid w:val="006C2692"/>
    <w:rsid w:val="006C2727"/>
    <w:rsid w:val="006C2941"/>
    <w:rsid w:val="006C2BAE"/>
    <w:rsid w:val="006C2ECA"/>
    <w:rsid w:val="006C2F7E"/>
    <w:rsid w:val="006C3386"/>
    <w:rsid w:val="006C33AF"/>
    <w:rsid w:val="006C3445"/>
    <w:rsid w:val="006C3534"/>
    <w:rsid w:val="006C3731"/>
    <w:rsid w:val="006C3CDB"/>
    <w:rsid w:val="006C3DF3"/>
    <w:rsid w:val="006C3EFC"/>
    <w:rsid w:val="006C3F09"/>
    <w:rsid w:val="006C4212"/>
    <w:rsid w:val="006C4218"/>
    <w:rsid w:val="006C424E"/>
    <w:rsid w:val="006C426D"/>
    <w:rsid w:val="006C4500"/>
    <w:rsid w:val="006C464B"/>
    <w:rsid w:val="006C48BE"/>
    <w:rsid w:val="006C4D4A"/>
    <w:rsid w:val="006C4E9A"/>
    <w:rsid w:val="006C4EC9"/>
    <w:rsid w:val="006C4F57"/>
    <w:rsid w:val="006C5055"/>
    <w:rsid w:val="006C535F"/>
    <w:rsid w:val="006C560B"/>
    <w:rsid w:val="006C597E"/>
    <w:rsid w:val="006C5DED"/>
    <w:rsid w:val="006C6084"/>
    <w:rsid w:val="006C62CB"/>
    <w:rsid w:val="006C6C00"/>
    <w:rsid w:val="006C7411"/>
    <w:rsid w:val="006C7445"/>
    <w:rsid w:val="006C754E"/>
    <w:rsid w:val="006C7718"/>
    <w:rsid w:val="006C77CE"/>
    <w:rsid w:val="006C78B8"/>
    <w:rsid w:val="006C79F5"/>
    <w:rsid w:val="006C7B88"/>
    <w:rsid w:val="006C7DC2"/>
    <w:rsid w:val="006D01D3"/>
    <w:rsid w:val="006D02CB"/>
    <w:rsid w:val="006D0327"/>
    <w:rsid w:val="006D0449"/>
    <w:rsid w:val="006D05FC"/>
    <w:rsid w:val="006D06A9"/>
    <w:rsid w:val="006D0B70"/>
    <w:rsid w:val="006D0BFE"/>
    <w:rsid w:val="006D0E3C"/>
    <w:rsid w:val="006D0F06"/>
    <w:rsid w:val="006D0F16"/>
    <w:rsid w:val="006D16A0"/>
    <w:rsid w:val="006D16BF"/>
    <w:rsid w:val="006D18BC"/>
    <w:rsid w:val="006D18F1"/>
    <w:rsid w:val="006D223E"/>
    <w:rsid w:val="006D24EE"/>
    <w:rsid w:val="006D25E6"/>
    <w:rsid w:val="006D2A3F"/>
    <w:rsid w:val="006D2B30"/>
    <w:rsid w:val="006D2FBC"/>
    <w:rsid w:val="006D3221"/>
    <w:rsid w:val="006D3281"/>
    <w:rsid w:val="006D33F3"/>
    <w:rsid w:val="006D33FB"/>
    <w:rsid w:val="006D376C"/>
    <w:rsid w:val="006D39C4"/>
    <w:rsid w:val="006D3B65"/>
    <w:rsid w:val="006D3BFE"/>
    <w:rsid w:val="006D400F"/>
    <w:rsid w:val="006D4283"/>
    <w:rsid w:val="006D45C6"/>
    <w:rsid w:val="006D45EA"/>
    <w:rsid w:val="006D4748"/>
    <w:rsid w:val="006D48FC"/>
    <w:rsid w:val="006D4B88"/>
    <w:rsid w:val="006D4C81"/>
    <w:rsid w:val="006D5007"/>
    <w:rsid w:val="006D5202"/>
    <w:rsid w:val="006D574D"/>
    <w:rsid w:val="006D57C5"/>
    <w:rsid w:val="006D58A5"/>
    <w:rsid w:val="006D59DA"/>
    <w:rsid w:val="006D5A38"/>
    <w:rsid w:val="006D5B3D"/>
    <w:rsid w:val="006D6494"/>
    <w:rsid w:val="006D6A02"/>
    <w:rsid w:val="006D6C57"/>
    <w:rsid w:val="006D6CA0"/>
    <w:rsid w:val="006D6E34"/>
    <w:rsid w:val="006D6E81"/>
    <w:rsid w:val="006D6FE8"/>
    <w:rsid w:val="006D713C"/>
    <w:rsid w:val="006D7141"/>
    <w:rsid w:val="006D737A"/>
    <w:rsid w:val="006D757B"/>
    <w:rsid w:val="006D75DE"/>
    <w:rsid w:val="006D78AF"/>
    <w:rsid w:val="006D7A96"/>
    <w:rsid w:val="006D7DD4"/>
    <w:rsid w:val="006D7ED6"/>
    <w:rsid w:val="006D7EDE"/>
    <w:rsid w:val="006D7FA2"/>
    <w:rsid w:val="006E0190"/>
    <w:rsid w:val="006E08D0"/>
    <w:rsid w:val="006E0C49"/>
    <w:rsid w:val="006E0E7F"/>
    <w:rsid w:val="006E0F12"/>
    <w:rsid w:val="006E138B"/>
    <w:rsid w:val="006E16F5"/>
    <w:rsid w:val="006E176E"/>
    <w:rsid w:val="006E1867"/>
    <w:rsid w:val="006E1917"/>
    <w:rsid w:val="006E1C08"/>
    <w:rsid w:val="006E1D0B"/>
    <w:rsid w:val="006E1E6B"/>
    <w:rsid w:val="006E21BE"/>
    <w:rsid w:val="006E228C"/>
    <w:rsid w:val="006E23C4"/>
    <w:rsid w:val="006E2454"/>
    <w:rsid w:val="006E24DF"/>
    <w:rsid w:val="006E2565"/>
    <w:rsid w:val="006E2667"/>
    <w:rsid w:val="006E2722"/>
    <w:rsid w:val="006E27E2"/>
    <w:rsid w:val="006E2FBD"/>
    <w:rsid w:val="006E311E"/>
    <w:rsid w:val="006E330E"/>
    <w:rsid w:val="006E347E"/>
    <w:rsid w:val="006E3928"/>
    <w:rsid w:val="006E3CE4"/>
    <w:rsid w:val="006E3E32"/>
    <w:rsid w:val="006E3F89"/>
    <w:rsid w:val="006E3FC6"/>
    <w:rsid w:val="006E443D"/>
    <w:rsid w:val="006E45CE"/>
    <w:rsid w:val="006E4C33"/>
    <w:rsid w:val="006E4D8B"/>
    <w:rsid w:val="006E5092"/>
    <w:rsid w:val="006E57FC"/>
    <w:rsid w:val="006E5BE1"/>
    <w:rsid w:val="006E5F5B"/>
    <w:rsid w:val="006E606E"/>
    <w:rsid w:val="006E615E"/>
    <w:rsid w:val="006E643C"/>
    <w:rsid w:val="006E6A1C"/>
    <w:rsid w:val="006E6FB2"/>
    <w:rsid w:val="006E7430"/>
    <w:rsid w:val="006E7491"/>
    <w:rsid w:val="006E76FD"/>
    <w:rsid w:val="006E7890"/>
    <w:rsid w:val="006E78CB"/>
    <w:rsid w:val="006E7A1E"/>
    <w:rsid w:val="006E7AC4"/>
    <w:rsid w:val="006E7C19"/>
    <w:rsid w:val="006E7C6D"/>
    <w:rsid w:val="006E7CE9"/>
    <w:rsid w:val="006E7CEE"/>
    <w:rsid w:val="006F014F"/>
    <w:rsid w:val="006F0264"/>
    <w:rsid w:val="006F0330"/>
    <w:rsid w:val="006F06B2"/>
    <w:rsid w:val="006F0701"/>
    <w:rsid w:val="006F07D1"/>
    <w:rsid w:val="006F0953"/>
    <w:rsid w:val="006F0A97"/>
    <w:rsid w:val="006F0BF0"/>
    <w:rsid w:val="006F0C49"/>
    <w:rsid w:val="006F0C5A"/>
    <w:rsid w:val="006F0CCE"/>
    <w:rsid w:val="006F0DEA"/>
    <w:rsid w:val="006F0DFD"/>
    <w:rsid w:val="006F1239"/>
    <w:rsid w:val="006F1254"/>
    <w:rsid w:val="006F13C4"/>
    <w:rsid w:val="006F176B"/>
    <w:rsid w:val="006F1CC7"/>
    <w:rsid w:val="006F1D92"/>
    <w:rsid w:val="006F1EC8"/>
    <w:rsid w:val="006F1FDC"/>
    <w:rsid w:val="006F20A4"/>
    <w:rsid w:val="006F22A7"/>
    <w:rsid w:val="006F22F2"/>
    <w:rsid w:val="006F25BB"/>
    <w:rsid w:val="006F25DD"/>
    <w:rsid w:val="006F2712"/>
    <w:rsid w:val="006F289B"/>
    <w:rsid w:val="006F2959"/>
    <w:rsid w:val="006F2984"/>
    <w:rsid w:val="006F2A92"/>
    <w:rsid w:val="006F2AAB"/>
    <w:rsid w:val="006F2AD9"/>
    <w:rsid w:val="006F2C66"/>
    <w:rsid w:val="006F2D9A"/>
    <w:rsid w:val="006F2E52"/>
    <w:rsid w:val="006F2EF4"/>
    <w:rsid w:val="006F3229"/>
    <w:rsid w:val="006F32BE"/>
    <w:rsid w:val="006F33D5"/>
    <w:rsid w:val="006F34F4"/>
    <w:rsid w:val="006F350F"/>
    <w:rsid w:val="006F3716"/>
    <w:rsid w:val="006F37A0"/>
    <w:rsid w:val="006F4139"/>
    <w:rsid w:val="006F4144"/>
    <w:rsid w:val="006F4278"/>
    <w:rsid w:val="006F46F1"/>
    <w:rsid w:val="006F4A5C"/>
    <w:rsid w:val="006F4B0E"/>
    <w:rsid w:val="006F4CD5"/>
    <w:rsid w:val="006F4E4F"/>
    <w:rsid w:val="006F61DD"/>
    <w:rsid w:val="006F66CE"/>
    <w:rsid w:val="006F67B8"/>
    <w:rsid w:val="006F68CB"/>
    <w:rsid w:val="006F6A21"/>
    <w:rsid w:val="006F6B8C"/>
    <w:rsid w:val="006F6BB1"/>
    <w:rsid w:val="006F6BBB"/>
    <w:rsid w:val="006F6F15"/>
    <w:rsid w:val="006F7096"/>
    <w:rsid w:val="006F74A4"/>
    <w:rsid w:val="006F74D7"/>
    <w:rsid w:val="006F7707"/>
    <w:rsid w:val="006F784F"/>
    <w:rsid w:val="006F7F1D"/>
    <w:rsid w:val="006F7F75"/>
    <w:rsid w:val="00700008"/>
    <w:rsid w:val="00700367"/>
    <w:rsid w:val="007004CF"/>
    <w:rsid w:val="007004F8"/>
    <w:rsid w:val="00700708"/>
    <w:rsid w:val="007007A7"/>
    <w:rsid w:val="007008C7"/>
    <w:rsid w:val="007009BB"/>
    <w:rsid w:val="00700A3C"/>
    <w:rsid w:val="00700CDA"/>
    <w:rsid w:val="007013EF"/>
    <w:rsid w:val="00701455"/>
    <w:rsid w:val="007015FD"/>
    <w:rsid w:val="0070175D"/>
    <w:rsid w:val="007017BA"/>
    <w:rsid w:val="00701C39"/>
    <w:rsid w:val="007022CE"/>
    <w:rsid w:val="00702605"/>
    <w:rsid w:val="00702B06"/>
    <w:rsid w:val="00702D50"/>
    <w:rsid w:val="00702E93"/>
    <w:rsid w:val="00703022"/>
    <w:rsid w:val="007031EB"/>
    <w:rsid w:val="00703416"/>
    <w:rsid w:val="00703A84"/>
    <w:rsid w:val="00703D14"/>
    <w:rsid w:val="007040FC"/>
    <w:rsid w:val="007043C0"/>
    <w:rsid w:val="00704555"/>
    <w:rsid w:val="0070463F"/>
    <w:rsid w:val="00704D2A"/>
    <w:rsid w:val="007050F0"/>
    <w:rsid w:val="00705583"/>
    <w:rsid w:val="007055BD"/>
    <w:rsid w:val="0070574B"/>
    <w:rsid w:val="00705911"/>
    <w:rsid w:val="00705B04"/>
    <w:rsid w:val="00705B48"/>
    <w:rsid w:val="00705B9E"/>
    <w:rsid w:val="0070602C"/>
    <w:rsid w:val="007060CE"/>
    <w:rsid w:val="007060DB"/>
    <w:rsid w:val="00706163"/>
    <w:rsid w:val="0070634E"/>
    <w:rsid w:val="007068A3"/>
    <w:rsid w:val="007068E2"/>
    <w:rsid w:val="00706A0B"/>
    <w:rsid w:val="00706A44"/>
    <w:rsid w:val="00706ACB"/>
    <w:rsid w:val="00706D15"/>
    <w:rsid w:val="00706D2D"/>
    <w:rsid w:val="0070724C"/>
    <w:rsid w:val="007075B7"/>
    <w:rsid w:val="007076C5"/>
    <w:rsid w:val="00707737"/>
    <w:rsid w:val="00707955"/>
    <w:rsid w:val="00707B9A"/>
    <w:rsid w:val="00707E05"/>
    <w:rsid w:val="00710593"/>
    <w:rsid w:val="00710E11"/>
    <w:rsid w:val="00711321"/>
    <w:rsid w:val="00711784"/>
    <w:rsid w:val="00711D45"/>
    <w:rsid w:val="00711E9A"/>
    <w:rsid w:val="00712149"/>
    <w:rsid w:val="00712410"/>
    <w:rsid w:val="007127A7"/>
    <w:rsid w:val="00712B66"/>
    <w:rsid w:val="00712BE0"/>
    <w:rsid w:val="00712D66"/>
    <w:rsid w:val="00712E86"/>
    <w:rsid w:val="00713231"/>
    <w:rsid w:val="00713299"/>
    <w:rsid w:val="007133A4"/>
    <w:rsid w:val="00713498"/>
    <w:rsid w:val="007134E7"/>
    <w:rsid w:val="00713548"/>
    <w:rsid w:val="00713595"/>
    <w:rsid w:val="007137F4"/>
    <w:rsid w:val="00713E8D"/>
    <w:rsid w:val="00713ECF"/>
    <w:rsid w:val="00713EFF"/>
    <w:rsid w:val="00714239"/>
    <w:rsid w:val="007145B0"/>
    <w:rsid w:val="00714845"/>
    <w:rsid w:val="0071497F"/>
    <w:rsid w:val="00714C20"/>
    <w:rsid w:val="00714C6B"/>
    <w:rsid w:val="00714C6F"/>
    <w:rsid w:val="00714F58"/>
    <w:rsid w:val="00715133"/>
    <w:rsid w:val="007155A9"/>
    <w:rsid w:val="007156DD"/>
    <w:rsid w:val="00715A36"/>
    <w:rsid w:val="00715B89"/>
    <w:rsid w:val="00715BA7"/>
    <w:rsid w:val="007160C7"/>
    <w:rsid w:val="00716525"/>
    <w:rsid w:val="007166EC"/>
    <w:rsid w:val="00716901"/>
    <w:rsid w:val="00716952"/>
    <w:rsid w:val="00716A6A"/>
    <w:rsid w:val="007173CA"/>
    <w:rsid w:val="00717737"/>
    <w:rsid w:val="0071774D"/>
    <w:rsid w:val="007178B3"/>
    <w:rsid w:val="007200E7"/>
    <w:rsid w:val="007201A7"/>
    <w:rsid w:val="007201AA"/>
    <w:rsid w:val="0072035E"/>
    <w:rsid w:val="007204DB"/>
    <w:rsid w:val="0072056B"/>
    <w:rsid w:val="007205C0"/>
    <w:rsid w:val="00720D07"/>
    <w:rsid w:val="00720DF2"/>
    <w:rsid w:val="0072107D"/>
    <w:rsid w:val="007212CD"/>
    <w:rsid w:val="00721347"/>
    <w:rsid w:val="007213F4"/>
    <w:rsid w:val="007216AA"/>
    <w:rsid w:val="007216E0"/>
    <w:rsid w:val="00721708"/>
    <w:rsid w:val="00721762"/>
    <w:rsid w:val="00721AB5"/>
    <w:rsid w:val="00721CFB"/>
    <w:rsid w:val="00721DEF"/>
    <w:rsid w:val="00721F22"/>
    <w:rsid w:val="00722952"/>
    <w:rsid w:val="00722AE2"/>
    <w:rsid w:val="00722F3A"/>
    <w:rsid w:val="0072307E"/>
    <w:rsid w:val="00723288"/>
    <w:rsid w:val="0072367B"/>
    <w:rsid w:val="00723682"/>
    <w:rsid w:val="00723830"/>
    <w:rsid w:val="00723836"/>
    <w:rsid w:val="007241E9"/>
    <w:rsid w:val="007245F3"/>
    <w:rsid w:val="007247B1"/>
    <w:rsid w:val="00724937"/>
    <w:rsid w:val="00724A43"/>
    <w:rsid w:val="00724BB6"/>
    <w:rsid w:val="00724C13"/>
    <w:rsid w:val="00724D9D"/>
    <w:rsid w:val="00724DA3"/>
    <w:rsid w:val="00725029"/>
    <w:rsid w:val="007250A2"/>
    <w:rsid w:val="0072516C"/>
    <w:rsid w:val="00725262"/>
    <w:rsid w:val="00725279"/>
    <w:rsid w:val="00725446"/>
    <w:rsid w:val="007256CD"/>
    <w:rsid w:val="007258F6"/>
    <w:rsid w:val="00725A9A"/>
    <w:rsid w:val="00725CE4"/>
    <w:rsid w:val="00725F37"/>
    <w:rsid w:val="00726080"/>
    <w:rsid w:val="00726198"/>
    <w:rsid w:val="0072656C"/>
    <w:rsid w:val="0072678B"/>
    <w:rsid w:val="007268B4"/>
    <w:rsid w:val="00726910"/>
    <w:rsid w:val="007269EE"/>
    <w:rsid w:val="00726C76"/>
    <w:rsid w:val="007273AC"/>
    <w:rsid w:val="0072762B"/>
    <w:rsid w:val="0072786C"/>
    <w:rsid w:val="00727F3D"/>
    <w:rsid w:val="00727F8C"/>
    <w:rsid w:val="007301D2"/>
    <w:rsid w:val="00730789"/>
    <w:rsid w:val="00730AF8"/>
    <w:rsid w:val="00730BCD"/>
    <w:rsid w:val="00730BD7"/>
    <w:rsid w:val="0073121D"/>
    <w:rsid w:val="0073125F"/>
    <w:rsid w:val="00731684"/>
    <w:rsid w:val="0073181E"/>
    <w:rsid w:val="00731909"/>
    <w:rsid w:val="00731A8B"/>
    <w:rsid w:val="00731AD4"/>
    <w:rsid w:val="00731D2C"/>
    <w:rsid w:val="00731DF5"/>
    <w:rsid w:val="007321AB"/>
    <w:rsid w:val="00732344"/>
    <w:rsid w:val="00732580"/>
    <w:rsid w:val="00732695"/>
    <w:rsid w:val="0073283D"/>
    <w:rsid w:val="00732B3E"/>
    <w:rsid w:val="00733067"/>
    <w:rsid w:val="007330C3"/>
    <w:rsid w:val="0073319E"/>
    <w:rsid w:val="00733A0B"/>
    <w:rsid w:val="00733B31"/>
    <w:rsid w:val="00733BE2"/>
    <w:rsid w:val="00733C2B"/>
    <w:rsid w:val="00733C76"/>
    <w:rsid w:val="00733FDB"/>
    <w:rsid w:val="007340D5"/>
    <w:rsid w:val="007342A7"/>
    <w:rsid w:val="007342F3"/>
    <w:rsid w:val="0073438E"/>
    <w:rsid w:val="007344ED"/>
    <w:rsid w:val="007346E4"/>
    <w:rsid w:val="00734C53"/>
    <w:rsid w:val="00734EBD"/>
    <w:rsid w:val="00735026"/>
    <w:rsid w:val="00735564"/>
    <w:rsid w:val="00735612"/>
    <w:rsid w:val="0073587A"/>
    <w:rsid w:val="007358B1"/>
    <w:rsid w:val="0073592E"/>
    <w:rsid w:val="0073595A"/>
    <w:rsid w:val="00735B47"/>
    <w:rsid w:val="00735F5B"/>
    <w:rsid w:val="00736265"/>
    <w:rsid w:val="007363C3"/>
    <w:rsid w:val="00736514"/>
    <w:rsid w:val="007365B6"/>
    <w:rsid w:val="0073663F"/>
    <w:rsid w:val="00736A9C"/>
    <w:rsid w:val="00736BD8"/>
    <w:rsid w:val="0073701A"/>
    <w:rsid w:val="00737114"/>
    <w:rsid w:val="007373AF"/>
    <w:rsid w:val="007375E5"/>
    <w:rsid w:val="00737878"/>
    <w:rsid w:val="00737BE2"/>
    <w:rsid w:val="00737D03"/>
    <w:rsid w:val="00737D90"/>
    <w:rsid w:val="0074001B"/>
    <w:rsid w:val="0074035F"/>
    <w:rsid w:val="0074052C"/>
    <w:rsid w:val="0074084A"/>
    <w:rsid w:val="007409B4"/>
    <w:rsid w:val="007409E3"/>
    <w:rsid w:val="00740D74"/>
    <w:rsid w:val="00740D8D"/>
    <w:rsid w:val="00740E2A"/>
    <w:rsid w:val="00740EC9"/>
    <w:rsid w:val="00740F22"/>
    <w:rsid w:val="00740FF2"/>
    <w:rsid w:val="00741119"/>
    <w:rsid w:val="007412D9"/>
    <w:rsid w:val="00741372"/>
    <w:rsid w:val="00741424"/>
    <w:rsid w:val="0074177A"/>
    <w:rsid w:val="00741901"/>
    <w:rsid w:val="00741B6F"/>
    <w:rsid w:val="00741CF0"/>
    <w:rsid w:val="00741F1A"/>
    <w:rsid w:val="007425F4"/>
    <w:rsid w:val="007426F8"/>
    <w:rsid w:val="007429EC"/>
    <w:rsid w:val="00742AB8"/>
    <w:rsid w:val="00742CA0"/>
    <w:rsid w:val="007431C6"/>
    <w:rsid w:val="0074345C"/>
    <w:rsid w:val="007435A8"/>
    <w:rsid w:val="00743828"/>
    <w:rsid w:val="00743CD9"/>
    <w:rsid w:val="00744028"/>
    <w:rsid w:val="007443B8"/>
    <w:rsid w:val="00744578"/>
    <w:rsid w:val="00744759"/>
    <w:rsid w:val="007447DA"/>
    <w:rsid w:val="00744A4F"/>
    <w:rsid w:val="00744AA8"/>
    <w:rsid w:val="00744E40"/>
    <w:rsid w:val="007450F8"/>
    <w:rsid w:val="007451A9"/>
    <w:rsid w:val="007453B3"/>
    <w:rsid w:val="007457D3"/>
    <w:rsid w:val="007458CB"/>
    <w:rsid w:val="00746220"/>
    <w:rsid w:val="007462F5"/>
    <w:rsid w:val="00746319"/>
    <w:rsid w:val="00746532"/>
    <w:rsid w:val="0074696E"/>
    <w:rsid w:val="007472AA"/>
    <w:rsid w:val="00747360"/>
    <w:rsid w:val="00747475"/>
    <w:rsid w:val="0074752F"/>
    <w:rsid w:val="00747692"/>
    <w:rsid w:val="00747868"/>
    <w:rsid w:val="007478E7"/>
    <w:rsid w:val="00747997"/>
    <w:rsid w:val="00747BBC"/>
    <w:rsid w:val="00750135"/>
    <w:rsid w:val="007502AE"/>
    <w:rsid w:val="00750379"/>
    <w:rsid w:val="00750774"/>
    <w:rsid w:val="0075078F"/>
    <w:rsid w:val="00750798"/>
    <w:rsid w:val="00750BB1"/>
    <w:rsid w:val="00750E2C"/>
    <w:rsid w:val="00750EC2"/>
    <w:rsid w:val="00750ED3"/>
    <w:rsid w:val="00750FF4"/>
    <w:rsid w:val="007512DA"/>
    <w:rsid w:val="007513E4"/>
    <w:rsid w:val="0075167E"/>
    <w:rsid w:val="00751BD4"/>
    <w:rsid w:val="00751CA2"/>
    <w:rsid w:val="00751E0B"/>
    <w:rsid w:val="00751F0F"/>
    <w:rsid w:val="0075200F"/>
    <w:rsid w:val="0075208D"/>
    <w:rsid w:val="00752789"/>
    <w:rsid w:val="00752B28"/>
    <w:rsid w:val="00752CA7"/>
    <w:rsid w:val="00752D71"/>
    <w:rsid w:val="0075304D"/>
    <w:rsid w:val="0075305D"/>
    <w:rsid w:val="007530F0"/>
    <w:rsid w:val="00753229"/>
    <w:rsid w:val="00753349"/>
    <w:rsid w:val="007534CE"/>
    <w:rsid w:val="007536BC"/>
    <w:rsid w:val="00753A11"/>
    <w:rsid w:val="0075409C"/>
    <w:rsid w:val="007541A9"/>
    <w:rsid w:val="00754416"/>
    <w:rsid w:val="00754485"/>
    <w:rsid w:val="007547C8"/>
    <w:rsid w:val="007548DA"/>
    <w:rsid w:val="007549C0"/>
    <w:rsid w:val="00754B75"/>
    <w:rsid w:val="00754C5E"/>
    <w:rsid w:val="00754E36"/>
    <w:rsid w:val="007551D1"/>
    <w:rsid w:val="007556F1"/>
    <w:rsid w:val="007557DB"/>
    <w:rsid w:val="00755A56"/>
    <w:rsid w:val="00755B68"/>
    <w:rsid w:val="00755C16"/>
    <w:rsid w:val="007565C2"/>
    <w:rsid w:val="00756D54"/>
    <w:rsid w:val="0075725A"/>
    <w:rsid w:val="007572A2"/>
    <w:rsid w:val="00757500"/>
    <w:rsid w:val="00757BAF"/>
    <w:rsid w:val="00757C59"/>
    <w:rsid w:val="007600D4"/>
    <w:rsid w:val="00760344"/>
    <w:rsid w:val="007603C7"/>
    <w:rsid w:val="0076085F"/>
    <w:rsid w:val="00760961"/>
    <w:rsid w:val="00760AE6"/>
    <w:rsid w:val="00760B52"/>
    <w:rsid w:val="00760CDB"/>
    <w:rsid w:val="00760D23"/>
    <w:rsid w:val="00760D2F"/>
    <w:rsid w:val="00760D94"/>
    <w:rsid w:val="00760F38"/>
    <w:rsid w:val="0076145A"/>
    <w:rsid w:val="0076166B"/>
    <w:rsid w:val="00761B38"/>
    <w:rsid w:val="00761D18"/>
    <w:rsid w:val="00762590"/>
    <w:rsid w:val="00762637"/>
    <w:rsid w:val="00762B5A"/>
    <w:rsid w:val="00762CEB"/>
    <w:rsid w:val="00762D1A"/>
    <w:rsid w:val="00762D4F"/>
    <w:rsid w:val="00762D5B"/>
    <w:rsid w:val="00763139"/>
    <w:rsid w:val="00763531"/>
    <w:rsid w:val="00763689"/>
    <w:rsid w:val="007639A9"/>
    <w:rsid w:val="00763BA0"/>
    <w:rsid w:val="00763C49"/>
    <w:rsid w:val="00764109"/>
    <w:rsid w:val="00764278"/>
    <w:rsid w:val="007643D5"/>
    <w:rsid w:val="007645D0"/>
    <w:rsid w:val="00764805"/>
    <w:rsid w:val="007648DE"/>
    <w:rsid w:val="00764993"/>
    <w:rsid w:val="00764CA6"/>
    <w:rsid w:val="00764EBB"/>
    <w:rsid w:val="00765667"/>
    <w:rsid w:val="007657A6"/>
    <w:rsid w:val="007658CB"/>
    <w:rsid w:val="00765BD7"/>
    <w:rsid w:val="00765D70"/>
    <w:rsid w:val="00765FCA"/>
    <w:rsid w:val="00765FEA"/>
    <w:rsid w:val="00766052"/>
    <w:rsid w:val="007664DF"/>
    <w:rsid w:val="00766E1A"/>
    <w:rsid w:val="00767127"/>
    <w:rsid w:val="007673D0"/>
    <w:rsid w:val="00767869"/>
    <w:rsid w:val="007679DC"/>
    <w:rsid w:val="00767D27"/>
    <w:rsid w:val="00767D3E"/>
    <w:rsid w:val="00770217"/>
    <w:rsid w:val="007702A8"/>
    <w:rsid w:val="0077046B"/>
    <w:rsid w:val="00770802"/>
    <w:rsid w:val="007708E8"/>
    <w:rsid w:val="007709CC"/>
    <w:rsid w:val="00770B0A"/>
    <w:rsid w:val="00770DFB"/>
    <w:rsid w:val="00770F37"/>
    <w:rsid w:val="00771074"/>
    <w:rsid w:val="007711A0"/>
    <w:rsid w:val="007713B4"/>
    <w:rsid w:val="007715B2"/>
    <w:rsid w:val="007716FF"/>
    <w:rsid w:val="00771879"/>
    <w:rsid w:val="0077198E"/>
    <w:rsid w:val="00771AF7"/>
    <w:rsid w:val="00771D6F"/>
    <w:rsid w:val="00771ED5"/>
    <w:rsid w:val="00771F18"/>
    <w:rsid w:val="007721DE"/>
    <w:rsid w:val="0077227B"/>
    <w:rsid w:val="007724B6"/>
    <w:rsid w:val="00772869"/>
    <w:rsid w:val="007728C9"/>
    <w:rsid w:val="00772B58"/>
    <w:rsid w:val="00772C4B"/>
    <w:rsid w:val="00772D5E"/>
    <w:rsid w:val="00773095"/>
    <w:rsid w:val="007731E0"/>
    <w:rsid w:val="007731E1"/>
    <w:rsid w:val="00773417"/>
    <w:rsid w:val="00773524"/>
    <w:rsid w:val="0077357D"/>
    <w:rsid w:val="00773686"/>
    <w:rsid w:val="007739E1"/>
    <w:rsid w:val="00773A2B"/>
    <w:rsid w:val="00773BEA"/>
    <w:rsid w:val="00773FC9"/>
    <w:rsid w:val="007742C0"/>
    <w:rsid w:val="007744FE"/>
    <w:rsid w:val="007745DD"/>
    <w:rsid w:val="0077463E"/>
    <w:rsid w:val="007747D8"/>
    <w:rsid w:val="00774841"/>
    <w:rsid w:val="007748D1"/>
    <w:rsid w:val="00774962"/>
    <w:rsid w:val="00774E80"/>
    <w:rsid w:val="0077500A"/>
    <w:rsid w:val="0077506F"/>
    <w:rsid w:val="007751AA"/>
    <w:rsid w:val="007751F7"/>
    <w:rsid w:val="00775373"/>
    <w:rsid w:val="0077582B"/>
    <w:rsid w:val="00775B1A"/>
    <w:rsid w:val="00775B7C"/>
    <w:rsid w:val="00775E7F"/>
    <w:rsid w:val="00775FB9"/>
    <w:rsid w:val="007760BC"/>
    <w:rsid w:val="007760F6"/>
    <w:rsid w:val="00776443"/>
    <w:rsid w:val="00776658"/>
    <w:rsid w:val="0077674E"/>
    <w:rsid w:val="00776844"/>
    <w:rsid w:val="007768A0"/>
    <w:rsid w:val="00776928"/>
    <w:rsid w:val="007769CE"/>
    <w:rsid w:val="00776A31"/>
    <w:rsid w:val="00776D56"/>
    <w:rsid w:val="00776E0F"/>
    <w:rsid w:val="0077731B"/>
    <w:rsid w:val="007773D4"/>
    <w:rsid w:val="007774B1"/>
    <w:rsid w:val="007775F0"/>
    <w:rsid w:val="00777620"/>
    <w:rsid w:val="00777A1D"/>
    <w:rsid w:val="00777A2A"/>
    <w:rsid w:val="00777B3D"/>
    <w:rsid w:val="00777BE1"/>
    <w:rsid w:val="00777D63"/>
    <w:rsid w:val="00777DDA"/>
    <w:rsid w:val="0078031E"/>
    <w:rsid w:val="00780792"/>
    <w:rsid w:val="00780A09"/>
    <w:rsid w:val="00780C3A"/>
    <w:rsid w:val="00780C3F"/>
    <w:rsid w:val="00780CE5"/>
    <w:rsid w:val="0078131C"/>
    <w:rsid w:val="0078139E"/>
    <w:rsid w:val="00781AC1"/>
    <w:rsid w:val="00781B01"/>
    <w:rsid w:val="00781F97"/>
    <w:rsid w:val="007821B4"/>
    <w:rsid w:val="00782222"/>
    <w:rsid w:val="007823B2"/>
    <w:rsid w:val="0078242B"/>
    <w:rsid w:val="007827D4"/>
    <w:rsid w:val="007828C8"/>
    <w:rsid w:val="00782C85"/>
    <w:rsid w:val="00782CA1"/>
    <w:rsid w:val="00782F70"/>
    <w:rsid w:val="0078300B"/>
    <w:rsid w:val="007830C8"/>
    <w:rsid w:val="0078326A"/>
    <w:rsid w:val="0078327D"/>
    <w:rsid w:val="0078336D"/>
    <w:rsid w:val="007833D8"/>
    <w:rsid w:val="0078378C"/>
    <w:rsid w:val="007838A6"/>
    <w:rsid w:val="007838D5"/>
    <w:rsid w:val="00783A59"/>
    <w:rsid w:val="00783E53"/>
    <w:rsid w:val="00783FF8"/>
    <w:rsid w:val="00784140"/>
    <w:rsid w:val="007841B5"/>
    <w:rsid w:val="007843EB"/>
    <w:rsid w:val="00784537"/>
    <w:rsid w:val="00784551"/>
    <w:rsid w:val="0078461B"/>
    <w:rsid w:val="0078463D"/>
    <w:rsid w:val="00784A23"/>
    <w:rsid w:val="00784A8E"/>
    <w:rsid w:val="00784C23"/>
    <w:rsid w:val="00784C3B"/>
    <w:rsid w:val="00785310"/>
    <w:rsid w:val="00785677"/>
    <w:rsid w:val="0078584D"/>
    <w:rsid w:val="007858E1"/>
    <w:rsid w:val="00785DE7"/>
    <w:rsid w:val="00785E8B"/>
    <w:rsid w:val="00785F0A"/>
    <w:rsid w:val="00786106"/>
    <w:rsid w:val="00786454"/>
    <w:rsid w:val="00786748"/>
    <w:rsid w:val="00786991"/>
    <w:rsid w:val="00786C04"/>
    <w:rsid w:val="00786C87"/>
    <w:rsid w:val="00786E6E"/>
    <w:rsid w:val="00786E77"/>
    <w:rsid w:val="00786F16"/>
    <w:rsid w:val="0078752A"/>
    <w:rsid w:val="00787721"/>
    <w:rsid w:val="00787837"/>
    <w:rsid w:val="00787887"/>
    <w:rsid w:val="007878E1"/>
    <w:rsid w:val="00787A3F"/>
    <w:rsid w:val="00787A43"/>
    <w:rsid w:val="00787B2F"/>
    <w:rsid w:val="00787FCC"/>
    <w:rsid w:val="007901CA"/>
    <w:rsid w:val="00790494"/>
    <w:rsid w:val="00790525"/>
    <w:rsid w:val="0079068F"/>
    <w:rsid w:val="007906E4"/>
    <w:rsid w:val="0079080E"/>
    <w:rsid w:val="00790872"/>
    <w:rsid w:val="0079095A"/>
    <w:rsid w:val="00790B3F"/>
    <w:rsid w:val="00790C04"/>
    <w:rsid w:val="00790C6D"/>
    <w:rsid w:val="00790D88"/>
    <w:rsid w:val="00790F9D"/>
    <w:rsid w:val="007911FB"/>
    <w:rsid w:val="00791203"/>
    <w:rsid w:val="00791225"/>
    <w:rsid w:val="007912AE"/>
    <w:rsid w:val="0079133E"/>
    <w:rsid w:val="007915DE"/>
    <w:rsid w:val="00791B2A"/>
    <w:rsid w:val="00791BD7"/>
    <w:rsid w:val="00791E74"/>
    <w:rsid w:val="007920F6"/>
    <w:rsid w:val="007923C2"/>
    <w:rsid w:val="007927BB"/>
    <w:rsid w:val="007928E3"/>
    <w:rsid w:val="0079292D"/>
    <w:rsid w:val="0079296E"/>
    <w:rsid w:val="00792A6E"/>
    <w:rsid w:val="00792EF3"/>
    <w:rsid w:val="00792F6F"/>
    <w:rsid w:val="007933F7"/>
    <w:rsid w:val="00793423"/>
    <w:rsid w:val="007937FF"/>
    <w:rsid w:val="00793C03"/>
    <w:rsid w:val="00793C71"/>
    <w:rsid w:val="00793CA4"/>
    <w:rsid w:val="00793CB0"/>
    <w:rsid w:val="00793CB4"/>
    <w:rsid w:val="00793FB3"/>
    <w:rsid w:val="0079407D"/>
    <w:rsid w:val="007940B6"/>
    <w:rsid w:val="0079426A"/>
    <w:rsid w:val="0079439A"/>
    <w:rsid w:val="00794425"/>
    <w:rsid w:val="00794561"/>
    <w:rsid w:val="007945A4"/>
    <w:rsid w:val="00794691"/>
    <w:rsid w:val="007946EB"/>
    <w:rsid w:val="00794B72"/>
    <w:rsid w:val="00794E8F"/>
    <w:rsid w:val="00795795"/>
    <w:rsid w:val="007957B2"/>
    <w:rsid w:val="007958BF"/>
    <w:rsid w:val="00795ED6"/>
    <w:rsid w:val="00795F7E"/>
    <w:rsid w:val="00795FDB"/>
    <w:rsid w:val="00796139"/>
    <w:rsid w:val="007961CB"/>
    <w:rsid w:val="0079630E"/>
    <w:rsid w:val="0079657E"/>
    <w:rsid w:val="00796812"/>
    <w:rsid w:val="00796E20"/>
    <w:rsid w:val="00796ED0"/>
    <w:rsid w:val="00796FB6"/>
    <w:rsid w:val="00797298"/>
    <w:rsid w:val="007973A9"/>
    <w:rsid w:val="007976EE"/>
    <w:rsid w:val="0079774A"/>
    <w:rsid w:val="007978E5"/>
    <w:rsid w:val="0079796A"/>
    <w:rsid w:val="00797C32"/>
    <w:rsid w:val="00797E98"/>
    <w:rsid w:val="00797F31"/>
    <w:rsid w:val="00797F36"/>
    <w:rsid w:val="007A02C4"/>
    <w:rsid w:val="007A04AF"/>
    <w:rsid w:val="007A0680"/>
    <w:rsid w:val="007A06BC"/>
    <w:rsid w:val="007A070D"/>
    <w:rsid w:val="007A0809"/>
    <w:rsid w:val="007A08B8"/>
    <w:rsid w:val="007A0941"/>
    <w:rsid w:val="007A0ADE"/>
    <w:rsid w:val="007A0E3B"/>
    <w:rsid w:val="007A0E41"/>
    <w:rsid w:val="007A0E8D"/>
    <w:rsid w:val="007A1177"/>
    <w:rsid w:val="007A11E8"/>
    <w:rsid w:val="007A1649"/>
    <w:rsid w:val="007A173A"/>
    <w:rsid w:val="007A1AFF"/>
    <w:rsid w:val="007A1E44"/>
    <w:rsid w:val="007A2016"/>
    <w:rsid w:val="007A209C"/>
    <w:rsid w:val="007A2641"/>
    <w:rsid w:val="007A2C4F"/>
    <w:rsid w:val="007A2CB4"/>
    <w:rsid w:val="007A2DB3"/>
    <w:rsid w:val="007A3408"/>
    <w:rsid w:val="007A34E4"/>
    <w:rsid w:val="007A3725"/>
    <w:rsid w:val="007A3BB3"/>
    <w:rsid w:val="007A3BE6"/>
    <w:rsid w:val="007A3CA1"/>
    <w:rsid w:val="007A4010"/>
    <w:rsid w:val="007A420B"/>
    <w:rsid w:val="007A4326"/>
    <w:rsid w:val="007A436A"/>
    <w:rsid w:val="007A4504"/>
    <w:rsid w:val="007A466C"/>
    <w:rsid w:val="007A4765"/>
    <w:rsid w:val="007A4F12"/>
    <w:rsid w:val="007A4FB6"/>
    <w:rsid w:val="007A53BE"/>
    <w:rsid w:val="007A56BC"/>
    <w:rsid w:val="007A5764"/>
    <w:rsid w:val="007A576C"/>
    <w:rsid w:val="007A5A27"/>
    <w:rsid w:val="007A5AD1"/>
    <w:rsid w:val="007A6035"/>
    <w:rsid w:val="007A60B1"/>
    <w:rsid w:val="007A6269"/>
    <w:rsid w:val="007A6320"/>
    <w:rsid w:val="007A64DF"/>
    <w:rsid w:val="007A68BF"/>
    <w:rsid w:val="007A6BB0"/>
    <w:rsid w:val="007A6D7D"/>
    <w:rsid w:val="007A6EFD"/>
    <w:rsid w:val="007A723F"/>
    <w:rsid w:val="007A7335"/>
    <w:rsid w:val="007A7518"/>
    <w:rsid w:val="007A7831"/>
    <w:rsid w:val="007A78EF"/>
    <w:rsid w:val="007A790E"/>
    <w:rsid w:val="007A7B48"/>
    <w:rsid w:val="007A7C8A"/>
    <w:rsid w:val="007B01A4"/>
    <w:rsid w:val="007B051C"/>
    <w:rsid w:val="007B0914"/>
    <w:rsid w:val="007B0BD1"/>
    <w:rsid w:val="007B0DB7"/>
    <w:rsid w:val="007B0DE0"/>
    <w:rsid w:val="007B0DF7"/>
    <w:rsid w:val="007B0E8C"/>
    <w:rsid w:val="007B1010"/>
    <w:rsid w:val="007B11C4"/>
    <w:rsid w:val="007B1215"/>
    <w:rsid w:val="007B1372"/>
    <w:rsid w:val="007B1374"/>
    <w:rsid w:val="007B1617"/>
    <w:rsid w:val="007B19FA"/>
    <w:rsid w:val="007B1D85"/>
    <w:rsid w:val="007B1F13"/>
    <w:rsid w:val="007B1F29"/>
    <w:rsid w:val="007B2174"/>
    <w:rsid w:val="007B23D9"/>
    <w:rsid w:val="007B28AC"/>
    <w:rsid w:val="007B2A92"/>
    <w:rsid w:val="007B2B15"/>
    <w:rsid w:val="007B2EBF"/>
    <w:rsid w:val="007B2F02"/>
    <w:rsid w:val="007B2F62"/>
    <w:rsid w:val="007B302E"/>
    <w:rsid w:val="007B323A"/>
    <w:rsid w:val="007B3242"/>
    <w:rsid w:val="007B32E5"/>
    <w:rsid w:val="007B3454"/>
    <w:rsid w:val="007B3539"/>
    <w:rsid w:val="007B353C"/>
    <w:rsid w:val="007B35C1"/>
    <w:rsid w:val="007B35FA"/>
    <w:rsid w:val="007B3689"/>
    <w:rsid w:val="007B38CD"/>
    <w:rsid w:val="007B3B54"/>
    <w:rsid w:val="007B3C69"/>
    <w:rsid w:val="007B3D83"/>
    <w:rsid w:val="007B3DB9"/>
    <w:rsid w:val="007B4116"/>
    <w:rsid w:val="007B4617"/>
    <w:rsid w:val="007B4638"/>
    <w:rsid w:val="007B4887"/>
    <w:rsid w:val="007B4A01"/>
    <w:rsid w:val="007B4C3F"/>
    <w:rsid w:val="007B4C96"/>
    <w:rsid w:val="007B4CEF"/>
    <w:rsid w:val="007B4DDE"/>
    <w:rsid w:val="007B50F0"/>
    <w:rsid w:val="007B5252"/>
    <w:rsid w:val="007B5264"/>
    <w:rsid w:val="007B5325"/>
    <w:rsid w:val="007B5375"/>
    <w:rsid w:val="007B5506"/>
    <w:rsid w:val="007B57DE"/>
    <w:rsid w:val="007B5855"/>
    <w:rsid w:val="007B5874"/>
    <w:rsid w:val="007B589F"/>
    <w:rsid w:val="007B58E1"/>
    <w:rsid w:val="007B5955"/>
    <w:rsid w:val="007B59FF"/>
    <w:rsid w:val="007B5A08"/>
    <w:rsid w:val="007B5CF2"/>
    <w:rsid w:val="007B5E3F"/>
    <w:rsid w:val="007B6019"/>
    <w:rsid w:val="007B6085"/>
    <w:rsid w:val="007B6186"/>
    <w:rsid w:val="007B62F1"/>
    <w:rsid w:val="007B630C"/>
    <w:rsid w:val="007B6702"/>
    <w:rsid w:val="007B67F1"/>
    <w:rsid w:val="007B6C58"/>
    <w:rsid w:val="007B6CE6"/>
    <w:rsid w:val="007B6D04"/>
    <w:rsid w:val="007B6D0E"/>
    <w:rsid w:val="007B6DA4"/>
    <w:rsid w:val="007B6EDC"/>
    <w:rsid w:val="007B7063"/>
    <w:rsid w:val="007B7175"/>
    <w:rsid w:val="007B7377"/>
    <w:rsid w:val="007B73BC"/>
    <w:rsid w:val="007B7524"/>
    <w:rsid w:val="007B76CB"/>
    <w:rsid w:val="007B77A5"/>
    <w:rsid w:val="007B7993"/>
    <w:rsid w:val="007B7A15"/>
    <w:rsid w:val="007B7CF6"/>
    <w:rsid w:val="007B7D59"/>
    <w:rsid w:val="007B7F59"/>
    <w:rsid w:val="007C00BF"/>
    <w:rsid w:val="007C01E7"/>
    <w:rsid w:val="007C023A"/>
    <w:rsid w:val="007C027F"/>
    <w:rsid w:val="007C02B4"/>
    <w:rsid w:val="007C02F5"/>
    <w:rsid w:val="007C031C"/>
    <w:rsid w:val="007C034A"/>
    <w:rsid w:val="007C04E2"/>
    <w:rsid w:val="007C0987"/>
    <w:rsid w:val="007C0CF4"/>
    <w:rsid w:val="007C0DBE"/>
    <w:rsid w:val="007C0EE4"/>
    <w:rsid w:val="007C12A9"/>
    <w:rsid w:val="007C131E"/>
    <w:rsid w:val="007C15B9"/>
    <w:rsid w:val="007C16A0"/>
    <w:rsid w:val="007C1838"/>
    <w:rsid w:val="007C1918"/>
    <w:rsid w:val="007C1C2C"/>
    <w:rsid w:val="007C1C78"/>
    <w:rsid w:val="007C1D62"/>
    <w:rsid w:val="007C1E64"/>
    <w:rsid w:val="007C1EAA"/>
    <w:rsid w:val="007C1F94"/>
    <w:rsid w:val="007C20B9"/>
    <w:rsid w:val="007C2135"/>
    <w:rsid w:val="007C23F1"/>
    <w:rsid w:val="007C24C1"/>
    <w:rsid w:val="007C2A87"/>
    <w:rsid w:val="007C2AB4"/>
    <w:rsid w:val="007C2CC4"/>
    <w:rsid w:val="007C2CCD"/>
    <w:rsid w:val="007C2E4F"/>
    <w:rsid w:val="007C336A"/>
    <w:rsid w:val="007C33A6"/>
    <w:rsid w:val="007C39C8"/>
    <w:rsid w:val="007C3AAA"/>
    <w:rsid w:val="007C3B6A"/>
    <w:rsid w:val="007C4247"/>
    <w:rsid w:val="007C424A"/>
    <w:rsid w:val="007C4376"/>
    <w:rsid w:val="007C4AB3"/>
    <w:rsid w:val="007C4B40"/>
    <w:rsid w:val="007C4C11"/>
    <w:rsid w:val="007C4CBF"/>
    <w:rsid w:val="007C4DD3"/>
    <w:rsid w:val="007C4F85"/>
    <w:rsid w:val="007C5498"/>
    <w:rsid w:val="007C54FE"/>
    <w:rsid w:val="007C5C76"/>
    <w:rsid w:val="007C5CF1"/>
    <w:rsid w:val="007C5FD3"/>
    <w:rsid w:val="007C66EC"/>
    <w:rsid w:val="007C6713"/>
    <w:rsid w:val="007C69B3"/>
    <w:rsid w:val="007C6CEC"/>
    <w:rsid w:val="007C6E1D"/>
    <w:rsid w:val="007C710D"/>
    <w:rsid w:val="007C7301"/>
    <w:rsid w:val="007C73E7"/>
    <w:rsid w:val="007C7859"/>
    <w:rsid w:val="007C7B0C"/>
    <w:rsid w:val="007C7B8A"/>
    <w:rsid w:val="007C7BA1"/>
    <w:rsid w:val="007C7C1A"/>
    <w:rsid w:val="007C7E16"/>
    <w:rsid w:val="007C7F28"/>
    <w:rsid w:val="007C7F53"/>
    <w:rsid w:val="007D0159"/>
    <w:rsid w:val="007D0811"/>
    <w:rsid w:val="007D089E"/>
    <w:rsid w:val="007D0954"/>
    <w:rsid w:val="007D0CE5"/>
    <w:rsid w:val="007D1360"/>
    <w:rsid w:val="007D1390"/>
    <w:rsid w:val="007D142B"/>
    <w:rsid w:val="007D1448"/>
    <w:rsid w:val="007D1466"/>
    <w:rsid w:val="007D176A"/>
    <w:rsid w:val="007D1835"/>
    <w:rsid w:val="007D1848"/>
    <w:rsid w:val="007D199B"/>
    <w:rsid w:val="007D1A7B"/>
    <w:rsid w:val="007D1CD4"/>
    <w:rsid w:val="007D1DFC"/>
    <w:rsid w:val="007D1E41"/>
    <w:rsid w:val="007D1E65"/>
    <w:rsid w:val="007D1E73"/>
    <w:rsid w:val="007D2067"/>
    <w:rsid w:val="007D20EF"/>
    <w:rsid w:val="007D22AD"/>
    <w:rsid w:val="007D278A"/>
    <w:rsid w:val="007D296A"/>
    <w:rsid w:val="007D2A02"/>
    <w:rsid w:val="007D2A92"/>
    <w:rsid w:val="007D2B0F"/>
    <w:rsid w:val="007D2B6D"/>
    <w:rsid w:val="007D2BDE"/>
    <w:rsid w:val="007D2C9F"/>
    <w:rsid w:val="007D2F5C"/>
    <w:rsid w:val="007D2FB6"/>
    <w:rsid w:val="007D2FE8"/>
    <w:rsid w:val="007D3385"/>
    <w:rsid w:val="007D34E0"/>
    <w:rsid w:val="007D3785"/>
    <w:rsid w:val="007D3A93"/>
    <w:rsid w:val="007D3B0E"/>
    <w:rsid w:val="007D40E6"/>
    <w:rsid w:val="007D4453"/>
    <w:rsid w:val="007D48A9"/>
    <w:rsid w:val="007D49EB"/>
    <w:rsid w:val="007D4E06"/>
    <w:rsid w:val="007D4E25"/>
    <w:rsid w:val="007D565A"/>
    <w:rsid w:val="007D581B"/>
    <w:rsid w:val="007D59DE"/>
    <w:rsid w:val="007D5AD5"/>
    <w:rsid w:val="007D5E1C"/>
    <w:rsid w:val="007D5E3F"/>
    <w:rsid w:val="007D5EE4"/>
    <w:rsid w:val="007D6287"/>
    <w:rsid w:val="007D645A"/>
    <w:rsid w:val="007D6500"/>
    <w:rsid w:val="007D695D"/>
    <w:rsid w:val="007D6983"/>
    <w:rsid w:val="007D6A99"/>
    <w:rsid w:val="007D6E19"/>
    <w:rsid w:val="007D6EE5"/>
    <w:rsid w:val="007D77D9"/>
    <w:rsid w:val="007D780C"/>
    <w:rsid w:val="007D7B5A"/>
    <w:rsid w:val="007D7F93"/>
    <w:rsid w:val="007E0311"/>
    <w:rsid w:val="007E05D1"/>
    <w:rsid w:val="007E05FF"/>
    <w:rsid w:val="007E0826"/>
    <w:rsid w:val="007E0C74"/>
    <w:rsid w:val="007E0DE2"/>
    <w:rsid w:val="007E0F88"/>
    <w:rsid w:val="007E12AC"/>
    <w:rsid w:val="007E16F4"/>
    <w:rsid w:val="007E1738"/>
    <w:rsid w:val="007E1954"/>
    <w:rsid w:val="007E1B72"/>
    <w:rsid w:val="007E1DBB"/>
    <w:rsid w:val="007E20AF"/>
    <w:rsid w:val="007E241B"/>
    <w:rsid w:val="007E24CD"/>
    <w:rsid w:val="007E2ABE"/>
    <w:rsid w:val="007E2CCF"/>
    <w:rsid w:val="007E3114"/>
    <w:rsid w:val="007E3269"/>
    <w:rsid w:val="007E3667"/>
    <w:rsid w:val="007E37DE"/>
    <w:rsid w:val="007E38D9"/>
    <w:rsid w:val="007E38FD"/>
    <w:rsid w:val="007E3911"/>
    <w:rsid w:val="007E392F"/>
    <w:rsid w:val="007E3B98"/>
    <w:rsid w:val="007E415D"/>
    <w:rsid w:val="007E417A"/>
    <w:rsid w:val="007E46A1"/>
    <w:rsid w:val="007E4F5D"/>
    <w:rsid w:val="007E5432"/>
    <w:rsid w:val="007E548D"/>
    <w:rsid w:val="007E55F6"/>
    <w:rsid w:val="007E5766"/>
    <w:rsid w:val="007E58AA"/>
    <w:rsid w:val="007E5A47"/>
    <w:rsid w:val="007E5B76"/>
    <w:rsid w:val="007E5B7F"/>
    <w:rsid w:val="007E5BAF"/>
    <w:rsid w:val="007E63BF"/>
    <w:rsid w:val="007E63DE"/>
    <w:rsid w:val="007E6436"/>
    <w:rsid w:val="007E6573"/>
    <w:rsid w:val="007E6F4A"/>
    <w:rsid w:val="007E702A"/>
    <w:rsid w:val="007E727E"/>
    <w:rsid w:val="007E72E5"/>
    <w:rsid w:val="007E732A"/>
    <w:rsid w:val="007E7352"/>
    <w:rsid w:val="007E73BB"/>
    <w:rsid w:val="007E7404"/>
    <w:rsid w:val="007E7482"/>
    <w:rsid w:val="007E7653"/>
    <w:rsid w:val="007E7CBF"/>
    <w:rsid w:val="007E7E44"/>
    <w:rsid w:val="007E7EF9"/>
    <w:rsid w:val="007F01DD"/>
    <w:rsid w:val="007F04FD"/>
    <w:rsid w:val="007F0853"/>
    <w:rsid w:val="007F094B"/>
    <w:rsid w:val="007F09EF"/>
    <w:rsid w:val="007F0C08"/>
    <w:rsid w:val="007F0EBA"/>
    <w:rsid w:val="007F12BF"/>
    <w:rsid w:val="007F12D1"/>
    <w:rsid w:val="007F12E1"/>
    <w:rsid w:val="007F1530"/>
    <w:rsid w:val="007F15A6"/>
    <w:rsid w:val="007F17D8"/>
    <w:rsid w:val="007F1A1C"/>
    <w:rsid w:val="007F1AD4"/>
    <w:rsid w:val="007F1D87"/>
    <w:rsid w:val="007F1E8B"/>
    <w:rsid w:val="007F24C7"/>
    <w:rsid w:val="007F264A"/>
    <w:rsid w:val="007F28A8"/>
    <w:rsid w:val="007F2A86"/>
    <w:rsid w:val="007F2AFE"/>
    <w:rsid w:val="007F2B08"/>
    <w:rsid w:val="007F2C7E"/>
    <w:rsid w:val="007F2CD3"/>
    <w:rsid w:val="007F2EF7"/>
    <w:rsid w:val="007F2F8A"/>
    <w:rsid w:val="007F31B6"/>
    <w:rsid w:val="007F3273"/>
    <w:rsid w:val="007F32C4"/>
    <w:rsid w:val="007F32FB"/>
    <w:rsid w:val="007F3499"/>
    <w:rsid w:val="007F3526"/>
    <w:rsid w:val="007F3E24"/>
    <w:rsid w:val="007F3FB8"/>
    <w:rsid w:val="007F40C6"/>
    <w:rsid w:val="007F43F1"/>
    <w:rsid w:val="007F48BB"/>
    <w:rsid w:val="007F49C8"/>
    <w:rsid w:val="007F49D6"/>
    <w:rsid w:val="007F4E24"/>
    <w:rsid w:val="007F5376"/>
    <w:rsid w:val="007F546C"/>
    <w:rsid w:val="007F5626"/>
    <w:rsid w:val="007F56FF"/>
    <w:rsid w:val="007F5714"/>
    <w:rsid w:val="007F591C"/>
    <w:rsid w:val="007F59E7"/>
    <w:rsid w:val="007F5AD4"/>
    <w:rsid w:val="007F5C77"/>
    <w:rsid w:val="007F5F0D"/>
    <w:rsid w:val="007F5F67"/>
    <w:rsid w:val="007F625F"/>
    <w:rsid w:val="007F630F"/>
    <w:rsid w:val="007F665E"/>
    <w:rsid w:val="007F66C0"/>
    <w:rsid w:val="007F6707"/>
    <w:rsid w:val="007F671D"/>
    <w:rsid w:val="007F6826"/>
    <w:rsid w:val="007F6CD1"/>
    <w:rsid w:val="007F6E2E"/>
    <w:rsid w:val="007F6E8B"/>
    <w:rsid w:val="007F7146"/>
    <w:rsid w:val="007F7810"/>
    <w:rsid w:val="007F7D36"/>
    <w:rsid w:val="007F7DE6"/>
    <w:rsid w:val="007F7E38"/>
    <w:rsid w:val="0080018B"/>
    <w:rsid w:val="00800212"/>
    <w:rsid w:val="00800412"/>
    <w:rsid w:val="0080077F"/>
    <w:rsid w:val="00800A7F"/>
    <w:rsid w:val="00800D3D"/>
    <w:rsid w:val="0080118F"/>
    <w:rsid w:val="00801202"/>
    <w:rsid w:val="008012B6"/>
    <w:rsid w:val="00801404"/>
    <w:rsid w:val="00801730"/>
    <w:rsid w:val="00801BC8"/>
    <w:rsid w:val="00801C6B"/>
    <w:rsid w:val="00801C84"/>
    <w:rsid w:val="00801DC6"/>
    <w:rsid w:val="00801F78"/>
    <w:rsid w:val="00802129"/>
    <w:rsid w:val="008023A1"/>
    <w:rsid w:val="00802702"/>
    <w:rsid w:val="0080275C"/>
    <w:rsid w:val="00803029"/>
    <w:rsid w:val="00803083"/>
    <w:rsid w:val="008031CD"/>
    <w:rsid w:val="00803313"/>
    <w:rsid w:val="00803373"/>
    <w:rsid w:val="00803472"/>
    <w:rsid w:val="008036FF"/>
    <w:rsid w:val="008037D4"/>
    <w:rsid w:val="0080384D"/>
    <w:rsid w:val="00803863"/>
    <w:rsid w:val="008039A3"/>
    <w:rsid w:val="00803BD9"/>
    <w:rsid w:val="00803C98"/>
    <w:rsid w:val="00803D6B"/>
    <w:rsid w:val="00803DB6"/>
    <w:rsid w:val="00803F37"/>
    <w:rsid w:val="0080443A"/>
    <w:rsid w:val="0080445D"/>
    <w:rsid w:val="008049D1"/>
    <w:rsid w:val="00804ABD"/>
    <w:rsid w:val="00804E89"/>
    <w:rsid w:val="00804FE8"/>
    <w:rsid w:val="00804FEE"/>
    <w:rsid w:val="00805386"/>
    <w:rsid w:val="0080580B"/>
    <w:rsid w:val="0080587B"/>
    <w:rsid w:val="00805945"/>
    <w:rsid w:val="00805947"/>
    <w:rsid w:val="00805EA9"/>
    <w:rsid w:val="0080642D"/>
    <w:rsid w:val="00806468"/>
    <w:rsid w:val="00806742"/>
    <w:rsid w:val="00806DFC"/>
    <w:rsid w:val="00807183"/>
    <w:rsid w:val="00807292"/>
    <w:rsid w:val="00807918"/>
    <w:rsid w:val="00807C8B"/>
    <w:rsid w:val="00807CED"/>
    <w:rsid w:val="00807EAB"/>
    <w:rsid w:val="00807EE3"/>
    <w:rsid w:val="00810369"/>
    <w:rsid w:val="00810609"/>
    <w:rsid w:val="00810B9E"/>
    <w:rsid w:val="00810FC1"/>
    <w:rsid w:val="00810FEC"/>
    <w:rsid w:val="008110C1"/>
    <w:rsid w:val="008111B9"/>
    <w:rsid w:val="008111F1"/>
    <w:rsid w:val="008115A5"/>
    <w:rsid w:val="008119CA"/>
    <w:rsid w:val="00812BF6"/>
    <w:rsid w:val="00812CCC"/>
    <w:rsid w:val="008130C4"/>
    <w:rsid w:val="00813141"/>
    <w:rsid w:val="008133A6"/>
    <w:rsid w:val="008134EC"/>
    <w:rsid w:val="0081372B"/>
    <w:rsid w:val="0081392F"/>
    <w:rsid w:val="0081398A"/>
    <w:rsid w:val="00813A4C"/>
    <w:rsid w:val="00813B51"/>
    <w:rsid w:val="00813F11"/>
    <w:rsid w:val="008143BA"/>
    <w:rsid w:val="00814676"/>
    <w:rsid w:val="00814771"/>
    <w:rsid w:val="0081493B"/>
    <w:rsid w:val="00814D88"/>
    <w:rsid w:val="00814DA1"/>
    <w:rsid w:val="00814F00"/>
    <w:rsid w:val="00814FF4"/>
    <w:rsid w:val="00815068"/>
    <w:rsid w:val="008151C0"/>
    <w:rsid w:val="008155F0"/>
    <w:rsid w:val="00815656"/>
    <w:rsid w:val="00815735"/>
    <w:rsid w:val="00815879"/>
    <w:rsid w:val="0081589B"/>
    <w:rsid w:val="0081595F"/>
    <w:rsid w:val="00815A31"/>
    <w:rsid w:val="00815C15"/>
    <w:rsid w:val="00815CF3"/>
    <w:rsid w:val="00816077"/>
    <w:rsid w:val="00816104"/>
    <w:rsid w:val="008161D0"/>
    <w:rsid w:val="00816235"/>
    <w:rsid w:val="008163C4"/>
    <w:rsid w:val="00816735"/>
    <w:rsid w:val="0081754D"/>
    <w:rsid w:val="008175DC"/>
    <w:rsid w:val="00817717"/>
    <w:rsid w:val="00817817"/>
    <w:rsid w:val="008178EA"/>
    <w:rsid w:val="0081792D"/>
    <w:rsid w:val="00817B68"/>
    <w:rsid w:val="00817BA6"/>
    <w:rsid w:val="00817E94"/>
    <w:rsid w:val="00817EAB"/>
    <w:rsid w:val="008200F5"/>
    <w:rsid w:val="00820141"/>
    <w:rsid w:val="0082059C"/>
    <w:rsid w:val="00820794"/>
    <w:rsid w:val="008209C7"/>
    <w:rsid w:val="00820DEB"/>
    <w:rsid w:val="00820DF2"/>
    <w:rsid w:val="00820E0C"/>
    <w:rsid w:val="00821200"/>
    <w:rsid w:val="0082143C"/>
    <w:rsid w:val="0082151A"/>
    <w:rsid w:val="00821718"/>
    <w:rsid w:val="0082172D"/>
    <w:rsid w:val="00821AC1"/>
    <w:rsid w:val="00821CA6"/>
    <w:rsid w:val="00821D33"/>
    <w:rsid w:val="00821D5C"/>
    <w:rsid w:val="00821E91"/>
    <w:rsid w:val="00821EA7"/>
    <w:rsid w:val="00821F1E"/>
    <w:rsid w:val="00822188"/>
    <w:rsid w:val="008223B2"/>
    <w:rsid w:val="008223BE"/>
    <w:rsid w:val="008225E6"/>
    <w:rsid w:val="00822A8B"/>
    <w:rsid w:val="00822C1B"/>
    <w:rsid w:val="00822CE4"/>
    <w:rsid w:val="00822D74"/>
    <w:rsid w:val="00822DEF"/>
    <w:rsid w:val="0082313F"/>
    <w:rsid w:val="00823275"/>
    <w:rsid w:val="0082352B"/>
    <w:rsid w:val="0082366F"/>
    <w:rsid w:val="0082377B"/>
    <w:rsid w:val="00823961"/>
    <w:rsid w:val="00823993"/>
    <w:rsid w:val="008242D6"/>
    <w:rsid w:val="0082431A"/>
    <w:rsid w:val="008248CF"/>
    <w:rsid w:val="00824903"/>
    <w:rsid w:val="00824946"/>
    <w:rsid w:val="00824B92"/>
    <w:rsid w:val="0082501A"/>
    <w:rsid w:val="008250A1"/>
    <w:rsid w:val="0082532B"/>
    <w:rsid w:val="00825400"/>
    <w:rsid w:val="008254B5"/>
    <w:rsid w:val="0082583C"/>
    <w:rsid w:val="0082584F"/>
    <w:rsid w:val="00825876"/>
    <w:rsid w:val="00825F41"/>
    <w:rsid w:val="00825FA7"/>
    <w:rsid w:val="00826064"/>
    <w:rsid w:val="00826314"/>
    <w:rsid w:val="00826611"/>
    <w:rsid w:val="0082691C"/>
    <w:rsid w:val="00826B71"/>
    <w:rsid w:val="00826B9E"/>
    <w:rsid w:val="00826DBB"/>
    <w:rsid w:val="00826F43"/>
    <w:rsid w:val="0082709A"/>
    <w:rsid w:val="00827382"/>
    <w:rsid w:val="00827393"/>
    <w:rsid w:val="0082746E"/>
    <w:rsid w:val="008274FC"/>
    <w:rsid w:val="00827B16"/>
    <w:rsid w:val="00827C97"/>
    <w:rsid w:val="00827F9A"/>
    <w:rsid w:val="008303DD"/>
    <w:rsid w:val="008305FE"/>
    <w:rsid w:val="00830687"/>
    <w:rsid w:val="00830A32"/>
    <w:rsid w:val="00830D88"/>
    <w:rsid w:val="00830EB8"/>
    <w:rsid w:val="0083102C"/>
    <w:rsid w:val="00831030"/>
    <w:rsid w:val="008311A3"/>
    <w:rsid w:val="008313F8"/>
    <w:rsid w:val="008314D9"/>
    <w:rsid w:val="00831665"/>
    <w:rsid w:val="008316A8"/>
    <w:rsid w:val="0083179C"/>
    <w:rsid w:val="008317D0"/>
    <w:rsid w:val="0083181A"/>
    <w:rsid w:val="00831E29"/>
    <w:rsid w:val="00831E43"/>
    <w:rsid w:val="00831FA3"/>
    <w:rsid w:val="0083217F"/>
    <w:rsid w:val="0083227C"/>
    <w:rsid w:val="00832351"/>
    <w:rsid w:val="008323E8"/>
    <w:rsid w:val="0083279C"/>
    <w:rsid w:val="0083295E"/>
    <w:rsid w:val="00832CC4"/>
    <w:rsid w:val="00832D53"/>
    <w:rsid w:val="00832D69"/>
    <w:rsid w:val="00832DD8"/>
    <w:rsid w:val="00832E1E"/>
    <w:rsid w:val="008334E4"/>
    <w:rsid w:val="008338A2"/>
    <w:rsid w:val="0083396C"/>
    <w:rsid w:val="00833A05"/>
    <w:rsid w:val="00833CF7"/>
    <w:rsid w:val="00833D60"/>
    <w:rsid w:val="00834134"/>
    <w:rsid w:val="008344A5"/>
    <w:rsid w:val="00834823"/>
    <w:rsid w:val="00834A5B"/>
    <w:rsid w:val="00834CED"/>
    <w:rsid w:val="00834E85"/>
    <w:rsid w:val="0083500C"/>
    <w:rsid w:val="00835055"/>
    <w:rsid w:val="00835C51"/>
    <w:rsid w:val="00835ECB"/>
    <w:rsid w:val="00836041"/>
    <w:rsid w:val="00836902"/>
    <w:rsid w:val="00836A6C"/>
    <w:rsid w:val="00836A75"/>
    <w:rsid w:val="00836AF4"/>
    <w:rsid w:val="00836E0A"/>
    <w:rsid w:val="00836E49"/>
    <w:rsid w:val="00836F7E"/>
    <w:rsid w:val="008371DE"/>
    <w:rsid w:val="008375DE"/>
    <w:rsid w:val="00837622"/>
    <w:rsid w:val="0083772E"/>
    <w:rsid w:val="00837AE8"/>
    <w:rsid w:val="00837BBA"/>
    <w:rsid w:val="00840013"/>
    <w:rsid w:val="008402C5"/>
    <w:rsid w:val="0084064D"/>
    <w:rsid w:val="008408D6"/>
    <w:rsid w:val="008409E6"/>
    <w:rsid w:val="00840B72"/>
    <w:rsid w:val="00840BE6"/>
    <w:rsid w:val="00840F02"/>
    <w:rsid w:val="00840FC3"/>
    <w:rsid w:val="00841043"/>
    <w:rsid w:val="0084187F"/>
    <w:rsid w:val="008418DD"/>
    <w:rsid w:val="008418E7"/>
    <w:rsid w:val="00841AA9"/>
    <w:rsid w:val="008421DF"/>
    <w:rsid w:val="008421F3"/>
    <w:rsid w:val="008423B5"/>
    <w:rsid w:val="008426EA"/>
    <w:rsid w:val="00842BA1"/>
    <w:rsid w:val="00842C53"/>
    <w:rsid w:val="008430B5"/>
    <w:rsid w:val="00843399"/>
    <w:rsid w:val="0084340E"/>
    <w:rsid w:val="00843569"/>
    <w:rsid w:val="0084370B"/>
    <w:rsid w:val="00843C26"/>
    <w:rsid w:val="00843DCA"/>
    <w:rsid w:val="00843E97"/>
    <w:rsid w:val="00843EC4"/>
    <w:rsid w:val="008443E8"/>
    <w:rsid w:val="00844526"/>
    <w:rsid w:val="0084487D"/>
    <w:rsid w:val="008448A8"/>
    <w:rsid w:val="00844E7D"/>
    <w:rsid w:val="008452EA"/>
    <w:rsid w:val="00846152"/>
    <w:rsid w:val="008462FB"/>
    <w:rsid w:val="0084664A"/>
    <w:rsid w:val="00846658"/>
    <w:rsid w:val="008467A0"/>
    <w:rsid w:val="00846C5D"/>
    <w:rsid w:val="00846E7A"/>
    <w:rsid w:val="00847135"/>
    <w:rsid w:val="008472CE"/>
    <w:rsid w:val="008472F8"/>
    <w:rsid w:val="008474FE"/>
    <w:rsid w:val="00847756"/>
    <w:rsid w:val="00847892"/>
    <w:rsid w:val="00847C9E"/>
    <w:rsid w:val="00847CC4"/>
    <w:rsid w:val="00847D18"/>
    <w:rsid w:val="00847E22"/>
    <w:rsid w:val="00847E64"/>
    <w:rsid w:val="00847ED6"/>
    <w:rsid w:val="00847FD3"/>
    <w:rsid w:val="00850256"/>
    <w:rsid w:val="00850561"/>
    <w:rsid w:val="008507F6"/>
    <w:rsid w:val="00850922"/>
    <w:rsid w:val="00850C35"/>
    <w:rsid w:val="00850C56"/>
    <w:rsid w:val="00850D72"/>
    <w:rsid w:val="00851176"/>
    <w:rsid w:val="008515A0"/>
    <w:rsid w:val="008515F4"/>
    <w:rsid w:val="0085165D"/>
    <w:rsid w:val="008519A4"/>
    <w:rsid w:val="00851AD9"/>
    <w:rsid w:val="008523A2"/>
    <w:rsid w:val="00852448"/>
    <w:rsid w:val="008524D9"/>
    <w:rsid w:val="008525BB"/>
    <w:rsid w:val="00852799"/>
    <w:rsid w:val="00853115"/>
    <w:rsid w:val="00853AD4"/>
    <w:rsid w:val="00853CD7"/>
    <w:rsid w:val="00853EE4"/>
    <w:rsid w:val="00853F00"/>
    <w:rsid w:val="008541D8"/>
    <w:rsid w:val="008541F4"/>
    <w:rsid w:val="008543A6"/>
    <w:rsid w:val="008543AB"/>
    <w:rsid w:val="008543B3"/>
    <w:rsid w:val="00854735"/>
    <w:rsid w:val="00854748"/>
    <w:rsid w:val="00854854"/>
    <w:rsid w:val="00854E06"/>
    <w:rsid w:val="00854F4C"/>
    <w:rsid w:val="008552C8"/>
    <w:rsid w:val="0085534B"/>
    <w:rsid w:val="0085540A"/>
    <w:rsid w:val="00855535"/>
    <w:rsid w:val="008556CC"/>
    <w:rsid w:val="00855B3F"/>
    <w:rsid w:val="0085631C"/>
    <w:rsid w:val="00856519"/>
    <w:rsid w:val="00856A00"/>
    <w:rsid w:val="00856D41"/>
    <w:rsid w:val="00857646"/>
    <w:rsid w:val="008577D1"/>
    <w:rsid w:val="00857ABF"/>
    <w:rsid w:val="00857B89"/>
    <w:rsid w:val="00857C5A"/>
    <w:rsid w:val="00857F2B"/>
    <w:rsid w:val="00857F5D"/>
    <w:rsid w:val="0085DEF4"/>
    <w:rsid w:val="0086005E"/>
    <w:rsid w:val="0086017E"/>
    <w:rsid w:val="008603BA"/>
    <w:rsid w:val="008608E1"/>
    <w:rsid w:val="008609B9"/>
    <w:rsid w:val="00860EB1"/>
    <w:rsid w:val="00861035"/>
    <w:rsid w:val="008612D0"/>
    <w:rsid w:val="008615D9"/>
    <w:rsid w:val="008616B9"/>
    <w:rsid w:val="008617F8"/>
    <w:rsid w:val="008618E7"/>
    <w:rsid w:val="008619D0"/>
    <w:rsid w:val="00861A47"/>
    <w:rsid w:val="00861D63"/>
    <w:rsid w:val="00861E45"/>
    <w:rsid w:val="008621B2"/>
    <w:rsid w:val="0086247A"/>
    <w:rsid w:val="0086255E"/>
    <w:rsid w:val="0086264D"/>
    <w:rsid w:val="00862687"/>
    <w:rsid w:val="00862A11"/>
    <w:rsid w:val="00862D35"/>
    <w:rsid w:val="00862E00"/>
    <w:rsid w:val="00862FD9"/>
    <w:rsid w:val="00863076"/>
    <w:rsid w:val="008630DB"/>
    <w:rsid w:val="008631CA"/>
    <w:rsid w:val="008631DC"/>
    <w:rsid w:val="0086339F"/>
    <w:rsid w:val="008633B8"/>
    <w:rsid w:val="008633F0"/>
    <w:rsid w:val="008634DB"/>
    <w:rsid w:val="0086359E"/>
    <w:rsid w:val="00863677"/>
    <w:rsid w:val="008636FF"/>
    <w:rsid w:val="00863EAA"/>
    <w:rsid w:val="008640C7"/>
    <w:rsid w:val="008645BB"/>
    <w:rsid w:val="00864621"/>
    <w:rsid w:val="008646B9"/>
    <w:rsid w:val="00864EFD"/>
    <w:rsid w:val="00865088"/>
    <w:rsid w:val="008650A9"/>
    <w:rsid w:val="0086516D"/>
    <w:rsid w:val="00865633"/>
    <w:rsid w:val="00865ACB"/>
    <w:rsid w:val="00865C68"/>
    <w:rsid w:val="00865CD9"/>
    <w:rsid w:val="00865CF4"/>
    <w:rsid w:val="00865CFE"/>
    <w:rsid w:val="00865D28"/>
    <w:rsid w:val="00866029"/>
    <w:rsid w:val="008665D7"/>
    <w:rsid w:val="008666AB"/>
    <w:rsid w:val="00866ADE"/>
    <w:rsid w:val="00866B2A"/>
    <w:rsid w:val="00866E96"/>
    <w:rsid w:val="00866F51"/>
    <w:rsid w:val="00867050"/>
    <w:rsid w:val="0086731D"/>
    <w:rsid w:val="008677A4"/>
    <w:rsid w:val="00867A04"/>
    <w:rsid w:val="00867A66"/>
    <w:rsid w:val="00867CEF"/>
    <w:rsid w:val="00867CF2"/>
    <w:rsid w:val="00867D2A"/>
    <w:rsid w:val="00867D6C"/>
    <w:rsid w:val="00867D9D"/>
    <w:rsid w:val="00867F30"/>
    <w:rsid w:val="00870020"/>
    <w:rsid w:val="008704FF"/>
    <w:rsid w:val="008709D7"/>
    <w:rsid w:val="00870B0B"/>
    <w:rsid w:val="00870B3D"/>
    <w:rsid w:val="00870BAE"/>
    <w:rsid w:val="00870C20"/>
    <w:rsid w:val="00870D60"/>
    <w:rsid w:val="00870FAE"/>
    <w:rsid w:val="00871623"/>
    <w:rsid w:val="0087194A"/>
    <w:rsid w:val="0087196B"/>
    <w:rsid w:val="00871AA1"/>
    <w:rsid w:val="00871B19"/>
    <w:rsid w:val="00871B6C"/>
    <w:rsid w:val="00872033"/>
    <w:rsid w:val="00872161"/>
    <w:rsid w:val="008723DF"/>
    <w:rsid w:val="00872485"/>
    <w:rsid w:val="008727F7"/>
    <w:rsid w:val="008729B3"/>
    <w:rsid w:val="00872ADB"/>
    <w:rsid w:val="00872B23"/>
    <w:rsid w:val="00872E0A"/>
    <w:rsid w:val="00872E0B"/>
    <w:rsid w:val="00872EBF"/>
    <w:rsid w:val="00873125"/>
    <w:rsid w:val="00873594"/>
    <w:rsid w:val="00874006"/>
    <w:rsid w:val="0087409C"/>
    <w:rsid w:val="008741A8"/>
    <w:rsid w:val="008742FB"/>
    <w:rsid w:val="0087453F"/>
    <w:rsid w:val="008746AF"/>
    <w:rsid w:val="0087504C"/>
    <w:rsid w:val="0087509A"/>
    <w:rsid w:val="008751A3"/>
    <w:rsid w:val="00875285"/>
    <w:rsid w:val="00875699"/>
    <w:rsid w:val="008757F7"/>
    <w:rsid w:val="00875A74"/>
    <w:rsid w:val="00875B6F"/>
    <w:rsid w:val="00875D3A"/>
    <w:rsid w:val="00876050"/>
    <w:rsid w:val="00876388"/>
    <w:rsid w:val="00876DA0"/>
    <w:rsid w:val="00877126"/>
    <w:rsid w:val="0087770E"/>
    <w:rsid w:val="00877A9B"/>
    <w:rsid w:val="00877CFB"/>
    <w:rsid w:val="008805AE"/>
    <w:rsid w:val="00880687"/>
    <w:rsid w:val="008808BA"/>
    <w:rsid w:val="00880BCF"/>
    <w:rsid w:val="00880DE6"/>
    <w:rsid w:val="0088116E"/>
    <w:rsid w:val="00881684"/>
    <w:rsid w:val="00881B03"/>
    <w:rsid w:val="00881DBC"/>
    <w:rsid w:val="0088219A"/>
    <w:rsid w:val="0088261C"/>
    <w:rsid w:val="0088268D"/>
    <w:rsid w:val="00882E20"/>
    <w:rsid w:val="00882F5F"/>
    <w:rsid w:val="0088313C"/>
    <w:rsid w:val="00883982"/>
    <w:rsid w:val="00883B17"/>
    <w:rsid w:val="00883D41"/>
    <w:rsid w:val="00883DB9"/>
    <w:rsid w:val="00883E59"/>
    <w:rsid w:val="00883E7F"/>
    <w:rsid w:val="00884041"/>
    <w:rsid w:val="00884259"/>
    <w:rsid w:val="00884630"/>
    <w:rsid w:val="008846BC"/>
    <w:rsid w:val="00884A11"/>
    <w:rsid w:val="00884B37"/>
    <w:rsid w:val="00884B62"/>
    <w:rsid w:val="00884EEE"/>
    <w:rsid w:val="00884FD1"/>
    <w:rsid w:val="008850C8"/>
    <w:rsid w:val="0088529C"/>
    <w:rsid w:val="0088535C"/>
    <w:rsid w:val="008859D9"/>
    <w:rsid w:val="0088620D"/>
    <w:rsid w:val="008863DA"/>
    <w:rsid w:val="00886758"/>
    <w:rsid w:val="008867AE"/>
    <w:rsid w:val="00886908"/>
    <w:rsid w:val="00886982"/>
    <w:rsid w:val="00886A5C"/>
    <w:rsid w:val="00886A88"/>
    <w:rsid w:val="00886B71"/>
    <w:rsid w:val="00887036"/>
    <w:rsid w:val="008873B2"/>
    <w:rsid w:val="0088751D"/>
    <w:rsid w:val="00887903"/>
    <w:rsid w:val="0088797B"/>
    <w:rsid w:val="00887B83"/>
    <w:rsid w:val="00887CDF"/>
    <w:rsid w:val="00887DDF"/>
    <w:rsid w:val="00890037"/>
    <w:rsid w:val="008901F0"/>
    <w:rsid w:val="00890DC6"/>
    <w:rsid w:val="008910BE"/>
    <w:rsid w:val="00891454"/>
    <w:rsid w:val="0089200E"/>
    <w:rsid w:val="00892088"/>
    <w:rsid w:val="00892152"/>
    <w:rsid w:val="0089270A"/>
    <w:rsid w:val="00892760"/>
    <w:rsid w:val="008929CD"/>
    <w:rsid w:val="00892BA5"/>
    <w:rsid w:val="00892D53"/>
    <w:rsid w:val="008931D8"/>
    <w:rsid w:val="00893653"/>
    <w:rsid w:val="00893866"/>
    <w:rsid w:val="0089390F"/>
    <w:rsid w:val="008939FF"/>
    <w:rsid w:val="00893A50"/>
    <w:rsid w:val="00893AF6"/>
    <w:rsid w:val="00893DCC"/>
    <w:rsid w:val="00894004"/>
    <w:rsid w:val="00894031"/>
    <w:rsid w:val="008941B7"/>
    <w:rsid w:val="0089449F"/>
    <w:rsid w:val="00894535"/>
    <w:rsid w:val="008945F4"/>
    <w:rsid w:val="00894699"/>
    <w:rsid w:val="00894A52"/>
    <w:rsid w:val="00894AD5"/>
    <w:rsid w:val="00894BC4"/>
    <w:rsid w:val="00894FBD"/>
    <w:rsid w:val="008952E0"/>
    <w:rsid w:val="0089544A"/>
    <w:rsid w:val="00895597"/>
    <w:rsid w:val="00895750"/>
    <w:rsid w:val="00895864"/>
    <w:rsid w:val="008959FE"/>
    <w:rsid w:val="00895CE5"/>
    <w:rsid w:val="00895D53"/>
    <w:rsid w:val="00895E4E"/>
    <w:rsid w:val="008960AA"/>
    <w:rsid w:val="008961A7"/>
    <w:rsid w:val="00896653"/>
    <w:rsid w:val="0089684F"/>
    <w:rsid w:val="00896890"/>
    <w:rsid w:val="00896B45"/>
    <w:rsid w:val="008970C3"/>
    <w:rsid w:val="008972FD"/>
    <w:rsid w:val="00897318"/>
    <w:rsid w:val="0089749B"/>
    <w:rsid w:val="008974D4"/>
    <w:rsid w:val="008975B6"/>
    <w:rsid w:val="008976A1"/>
    <w:rsid w:val="008977D1"/>
    <w:rsid w:val="0089788A"/>
    <w:rsid w:val="00897B4C"/>
    <w:rsid w:val="008A00D5"/>
    <w:rsid w:val="008A012D"/>
    <w:rsid w:val="008A01BF"/>
    <w:rsid w:val="008A02AE"/>
    <w:rsid w:val="008A0428"/>
    <w:rsid w:val="008A0448"/>
    <w:rsid w:val="008A0C67"/>
    <w:rsid w:val="008A0FC5"/>
    <w:rsid w:val="008A13CF"/>
    <w:rsid w:val="008A13F4"/>
    <w:rsid w:val="008A1551"/>
    <w:rsid w:val="008A1932"/>
    <w:rsid w:val="008A1A88"/>
    <w:rsid w:val="008A2727"/>
    <w:rsid w:val="008A28A8"/>
    <w:rsid w:val="008A2E01"/>
    <w:rsid w:val="008A2F87"/>
    <w:rsid w:val="008A30B8"/>
    <w:rsid w:val="008A339F"/>
    <w:rsid w:val="008A3DEA"/>
    <w:rsid w:val="008A412C"/>
    <w:rsid w:val="008A4343"/>
    <w:rsid w:val="008A43A1"/>
    <w:rsid w:val="008A46CF"/>
    <w:rsid w:val="008A47BB"/>
    <w:rsid w:val="008A495D"/>
    <w:rsid w:val="008A4A85"/>
    <w:rsid w:val="008A4D1D"/>
    <w:rsid w:val="008A4E88"/>
    <w:rsid w:val="008A4FAB"/>
    <w:rsid w:val="008A51CE"/>
    <w:rsid w:val="008A534B"/>
    <w:rsid w:val="008A5362"/>
    <w:rsid w:val="008A54AC"/>
    <w:rsid w:val="008A595A"/>
    <w:rsid w:val="008A59DE"/>
    <w:rsid w:val="008A5A87"/>
    <w:rsid w:val="008A5B32"/>
    <w:rsid w:val="008A5E58"/>
    <w:rsid w:val="008A6125"/>
    <w:rsid w:val="008A61E7"/>
    <w:rsid w:val="008A6658"/>
    <w:rsid w:val="008A6890"/>
    <w:rsid w:val="008A69E5"/>
    <w:rsid w:val="008A6B4B"/>
    <w:rsid w:val="008A6EC3"/>
    <w:rsid w:val="008A7044"/>
    <w:rsid w:val="008A7350"/>
    <w:rsid w:val="008A75EE"/>
    <w:rsid w:val="008A79BF"/>
    <w:rsid w:val="008A7AB9"/>
    <w:rsid w:val="008A7AE3"/>
    <w:rsid w:val="008A7AF1"/>
    <w:rsid w:val="008A7DCF"/>
    <w:rsid w:val="008A7FC0"/>
    <w:rsid w:val="008B00CE"/>
    <w:rsid w:val="008B0176"/>
    <w:rsid w:val="008B0384"/>
    <w:rsid w:val="008B03E0"/>
    <w:rsid w:val="008B0517"/>
    <w:rsid w:val="008B0530"/>
    <w:rsid w:val="008B06F6"/>
    <w:rsid w:val="008B079C"/>
    <w:rsid w:val="008B0C65"/>
    <w:rsid w:val="008B103A"/>
    <w:rsid w:val="008B11F7"/>
    <w:rsid w:val="008B13C3"/>
    <w:rsid w:val="008B1571"/>
    <w:rsid w:val="008B16F6"/>
    <w:rsid w:val="008B1879"/>
    <w:rsid w:val="008B1CFF"/>
    <w:rsid w:val="008B1F94"/>
    <w:rsid w:val="008B1FCB"/>
    <w:rsid w:val="008B2029"/>
    <w:rsid w:val="008B214B"/>
    <w:rsid w:val="008B236D"/>
    <w:rsid w:val="008B23CF"/>
    <w:rsid w:val="008B2A1D"/>
    <w:rsid w:val="008B2AAE"/>
    <w:rsid w:val="008B2EE4"/>
    <w:rsid w:val="008B36D0"/>
    <w:rsid w:val="008B3792"/>
    <w:rsid w:val="008B37BC"/>
    <w:rsid w:val="008B3821"/>
    <w:rsid w:val="008B389A"/>
    <w:rsid w:val="008B39B3"/>
    <w:rsid w:val="008B3EC6"/>
    <w:rsid w:val="008B44D6"/>
    <w:rsid w:val="008B45AE"/>
    <w:rsid w:val="008B4628"/>
    <w:rsid w:val="008B4A14"/>
    <w:rsid w:val="008B4A64"/>
    <w:rsid w:val="008B4D3D"/>
    <w:rsid w:val="008B4ED6"/>
    <w:rsid w:val="008B508B"/>
    <w:rsid w:val="008B517D"/>
    <w:rsid w:val="008B5186"/>
    <w:rsid w:val="008B5361"/>
    <w:rsid w:val="008B54C7"/>
    <w:rsid w:val="008B5586"/>
    <w:rsid w:val="008B5797"/>
    <w:rsid w:val="008B57C7"/>
    <w:rsid w:val="008B585B"/>
    <w:rsid w:val="008B58E0"/>
    <w:rsid w:val="008B59E8"/>
    <w:rsid w:val="008B60E5"/>
    <w:rsid w:val="008B629A"/>
    <w:rsid w:val="008B63BF"/>
    <w:rsid w:val="008B6453"/>
    <w:rsid w:val="008B6A49"/>
    <w:rsid w:val="008B6B05"/>
    <w:rsid w:val="008B6BD8"/>
    <w:rsid w:val="008B728E"/>
    <w:rsid w:val="008B72BF"/>
    <w:rsid w:val="008B7B5B"/>
    <w:rsid w:val="008B7E36"/>
    <w:rsid w:val="008B7E93"/>
    <w:rsid w:val="008C0406"/>
    <w:rsid w:val="008C0621"/>
    <w:rsid w:val="008C067E"/>
    <w:rsid w:val="008C0716"/>
    <w:rsid w:val="008C0BBA"/>
    <w:rsid w:val="008C0EA2"/>
    <w:rsid w:val="008C0ECB"/>
    <w:rsid w:val="008C0F13"/>
    <w:rsid w:val="008C13F3"/>
    <w:rsid w:val="008C14A3"/>
    <w:rsid w:val="008C16FC"/>
    <w:rsid w:val="008C1822"/>
    <w:rsid w:val="008C195E"/>
    <w:rsid w:val="008C1E41"/>
    <w:rsid w:val="008C2159"/>
    <w:rsid w:val="008C220B"/>
    <w:rsid w:val="008C25FD"/>
    <w:rsid w:val="008C2870"/>
    <w:rsid w:val="008C28D9"/>
    <w:rsid w:val="008C29E4"/>
    <w:rsid w:val="008C2B5F"/>
    <w:rsid w:val="008C2CAD"/>
    <w:rsid w:val="008C2F92"/>
    <w:rsid w:val="008C2FD7"/>
    <w:rsid w:val="008C30B7"/>
    <w:rsid w:val="008C31E5"/>
    <w:rsid w:val="008C3546"/>
    <w:rsid w:val="008C360C"/>
    <w:rsid w:val="008C3B4F"/>
    <w:rsid w:val="008C3B78"/>
    <w:rsid w:val="008C3E09"/>
    <w:rsid w:val="008C3E62"/>
    <w:rsid w:val="008C3EC1"/>
    <w:rsid w:val="008C3FCF"/>
    <w:rsid w:val="008C4156"/>
    <w:rsid w:val="008C46AF"/>
    <w:rsid w:val="008C48FD"/>
    <w:rsid w:val="008C49B2"/>
    <w:rsid w:val="008C49C5"/>
    <w:rsid w:val="008C4AC9"/>
    <w:rsid w:val="008C4B1C"/>
    <w:rsid w:val="008C4BDD"/>
    <w:rsid w:val="008C5008"/>
    <w:rsid w:val="008C5130"/>
    <w:rsid w:val="008C51CE"/>
    <w:rsid w:val="008C52E3"/>
    <w:rsid w:val="008C589D"/>
    <w:rsid w:val="008C5906"/>
    <w:rsid w:val="008C5C2F"/>
    <w:rsid w:val="008C5E4F"/>
    <w:rsid w:val="008C63A1"/>
    <w:rsid w:val="008C66C0"/>
    <w:rsid w:val="008C6D51"/>
    <w:rsid w:val="008C7027"/>
    <w:rsid w:val="008C7074"/>
    <w:rsid w:val="008C707D"/>
    <w:rsid w:val="008C730C"/>
    <w:rsid w:val="008C7697"/>
    <w:rsid w:val="008C7744"/>
    <w:rsid w:val="008C7AE2"/>
    <w:rsid w:val="008C7C42"/>
    <w:rsid w:val="008C7CBB"/>
    <w:rsid w:val="008C7ECB"/>
    <w:rsid w:val="008C7FF2"/>
    <w:rsid w:val="008D079B"/>
    <w:rsid w:val="008D0E62"/>
    <w:rsid w:val="008D0F0E"/>
    <w:rsid w:val="008D0FE2"/>
    <w:rsid w:val="008D10AF"/>
    <w:rsid w:val="008D1256"/>
    <w:rsid w:val="008D1331"/>
    <w:rsid w:val="008D150E"/>
    <w:rsid w:val="008D1722"/>
    <w:rsid w:val="008D1903"/>
    <w:rsid w:val="008D1959"/>
    <w:rsid w:val="008D1A55"/>
    <w:rsid w:val="008D1B5C"/>
    <w:rsid w:val="008D226F"/>
    <w:rsid w:val="008D23E9"/>
    <w:rsid w:val="008D24ED"/>
    <w:rsid w:val="008D251E"/>
    <w:rsid w:val="008D2671"/>
    <w:rsid w:val="008D26C7"/>
    <w:rsid w:val="008D2819"/>
    <w:rsid w:val="008D2846"/>
    <w:rsid w:val="008D286D"/>
    <w:rsid w:val="008D2C17"/>
    <w:rsid w:val="008D2C9C"/>
    <w:rsid w:val="008D3098"/>
    <w:rsid w:val="008D3123"/>
    <w:rsid w:val="008D3291"/>
    <w:rsid w:val="008D33A3"/>
    <w:rsid w:val="008D3400"/>
    <w:rsid w:val="008D344C"/>
    <w:rsid w:val="008D3482"/>
    <w:rsid w:val="008D34FE"/>
    <w:rsid w:val="008D3758"/>
    <w:rsid w:val="008D3900"/>
    <w:rsid w:val="008D3DFF"/>
    <w:rsid w:val="008D4236"/>
    <w:rsid w:val="008D462F"/>
    <w:rsid w:val="008D469F"/>
    <w:rsid w:val="008D46D1"/>
    <w:rsid w:val="008D46D7"/>
    <w:rsid w:val="008D4D52"/>
    <w:rsid w:val="008D5042"/>
    <w:rsid w:val="008D51E2"/>
    <w:rsid w:val="008D52A9"/>
    <w:rsid w:val="008D549F"/>
    <w:rsid w:val="008D5A0B"/>
    <w:rsid w:val="008D5ADA"/>
    <w:rsid w:val="008D5BC5"/>
    <w:rsid w:val="008D5EBC"/>
    <w:rsid w:val="008D6086"/>
    <w:rsid w:val="008D6219"/>
    <w:rsid w:val="008D667E"/>
    <w:rsid w:val="008D694B"/>
    <w:rsid w:val="008D6DCF"/>
    <w:rsid w:val="008D74DA"/>
    <w:rsid w:val="008D7A86"/>
    <w:rsid w:val="008E0018"/>
    <w:rsid w:val="008E005C"/>
    <w:rsid w:val="008E0078"/>
    <w:rsid w:val="008E0160"/>
    <w:rsid w:val="008E024C"/>
    <w:rsid w:val="008E03C7"/>
    <w:rsid w:val="008E0475"/>
    <w:rsid w:val="008E04E3"/>
    <w:rsid w:val="008E06E3"/>
    <w:rsid w:val="008E07AF"/>
    <w:rsid w:val="008E08A5"/>
    <w:rsid w:val="008E09A3"/>
    <w:rsid w:val="008E0AB3"/>
    <w:rsid w:val="008E0B3C"/>
    <w:rsid w:val="008E0CE7"/>
    <w:rsid w:val="008E11B4"/>
    <w:rsid w:val="008E1374"/>
    <w:rsid w:val="008E1535"/>
    <w:rsid w:val="008E1540"/>
    <w:rsid w:val="008E1DC2"/>
    <w:rsid w:val="008E1E3A"/>
    <w:rsid w:val="008E1E68"/>
    <w:rsid w:val="008E262D"/>
    <w:rsid w:val="008E2682"/>
    <w:rsid w:val="008E2691"/>
    <w:rsid w:val="008E26D8"/>
    <w:rsid w:val="008E29D6"/>
    <w:rsid w:val="008E2B91"/>
    <w:rsid w:val="008E2C9B"/>
    <w:rsid w:val="008E3317"/>
    <w:rsid w:val="008E34A0"/>
    <w:rsid w:val="008E3609"/>
    <w:rsid w:val="008E383A"/>
    <w:rsid w:val="008E4097"/>
    <w:rsid w:val="008E42FF"/>
    <w:rsid w:val="008E4376"/>
    <w:rsid w:val="008E4756"/>
    <w:rsid w:val="008E480F"/>
    <w:rsid w:val="008E4C7C"/>
    <w:rsid w:val="008E4E3B"/>
    <w:rsid w:val="008E4E4F"/>
    <w:rsid w:val="008E4FC6"/>
    <w:rsid w:val="008E55A0"/>
    <w:rsid w:val="008E5ABB"/>
    <w:rsid w:val="008E5CB1"/>
    <w:rsid w:val="008E5CCC"/>
    <w:rsid w:val="008E5F91"/>
    <w:rsid w:val="008E61B2"/>
    <w:rsid w:val="008E61D6"/>
    <w:rsid w:val="008E631D"/>
    <w:rsid w:val="008E632B"/>
    <w:rsid w:val="008E641B"/>
    <w:rsid w:val="008E656E"/>
    <w:rsid w:val="008E68D9"/>
    <w:rsid w:val="008E6A53"/>
    <w:rsid w:val="008E6F28"/>
    <w:rsid w:val="008E72FC"/>
    <w:rsid w:val="008E7394"/>
    <w:rsid w:val="008E747C"/>
    <w:rsid w:val="008E7504"/>
    <w:rsid w:val="008E76FC"/>
    <w:rsid w:val="008E7737"/>
    <w:rsid w:val="008E7943"/>
    <w:rsid w:val="008E796D"/>
    <w:rsid w:val="008E7A0A"/>
    <w:rsid w:val="008E7AC2"/>
    <w:rsid w:val="008E7ACA"/>
    <w:rsid w:val="008E7B49"/>
    <w:rsid w:val="008E7C37"/>
    <w:rsid w:val="008E7D41"/>
    <w:rsid w:val="008E7DE2"/>
    <w:rsid w:val="008E7F78"/>
    <w:rsid w:val="008F01B1"/>
    <w:rsid w:val="008F04F0"/>
    <w:rsid w:val="008F05C2"/>
    <w:rsid w:val="008F0742"/>
    <w:rsid w:val="008F081E"/>
    <w:rsid w:val="008F09F1"/>
    <w:rsid w:val="008F0B31"/>
    <w:rsid w:val="008F1CEE"/>
    <w:rsid w:val="008F1E29"/>
    <w:rsid w:val="008F1F3F"/>
    <w:rsid w:val="008F20DA"/>
    <w:rsid w:val="008F234C"/>
    <w:rsid w:val="008F23ED"/>
    <w:rsid w:val="008F2491"/>
    <w:rsid w:val="008F2AB6"/>
    <w:rsid w:val="008F2C05"/>
    <w:rsid w:val="008F2D23"/>
    <w:rsid w:val="008F2F75"/>
    <w:rsid w:val="008F2FBE"/>
    <w:rsid w:val="008F318F"/>
    <w:rsid w:val="008F321D"/>
    <w:rsid w:val="008F3581"/>
    <w:rsid w:val="008F3702"/>
    <w:rsid w:val="008F37EB"/>
    <w:rsid w:val="008F3BB3"/>
    <w:rsid w:val="008F3D78"/>
    <w:rsid w:val="008F3FFB"/>
    <w:rsid w:val="008F423F"/>
    <w:rsid w:val="008F45F4"/>
    <w:rsid w:val="008F466D"/>
    <w:rsid w:val="008F4BF0"/>
    <w:rsid w:val="008F507F"/>
    <w:rsid w:val="008F54DA"/>
    <w:rsid w:val="008F54FB"/>
    <w:rsid w:val="008F59F6"/>
    <w:rsid w:val="008F5B25"/>
    <w:rsid w:val="008F5B55"/>
    <w:rsid w:val="008F5B87"/>
    <w:rsid w:val="008F5D6B"/>
    <w:rsid w:val="008F5D7B"/>
    <w:rsid w:val="008F647F"/>
    <w:rsid w:val="008F67BF"/>
    <w:rsid w:val="008F6859"/>
    <w:rsid w:val="008F69C9"/>
    <w:rsid w:val="008F69E8"/>
    <w:rsid w:val="008F6AB8"/>
    <w:rsid w:val="008F6E42"/>
    <w:rsid w:val="008F6F67"/>
    <w:rsid w:val="008F7146"/>
    <w:rsid w:val="008F717D"/>
    <w:rsid w:val="008F7580"/>
    <w:rsid w:val="008F765F"/>
    <w:rsid w:val="008F7967"/>
    <w:rsid w:val="008F7ED1"/>
    <w:rsid w:val="00900164"/>
    <w:rsid w:val="0090018C"/>
    <w:rsid w:val="00900719"/>
    <w:rsid w:val="00900825"/>
    <w:rsid w:val="00900D5D"/>
    <w:rsid w:val="00901057"/>
    <w:rsid w:val="0090127F"/>
    <w:rsid w:val="0090129C"/>
    <w:rsid w:val="00901422"/>
    <w:rsid w:val="00901653"/>
    <w:rsid w:val="009017AC"/>
    <w:rsid w:val="00901830"/>
    <w:rsid w:val="00901C7E"/>
    <w:rsid w:val="00901C92"/>
    <w:rsid w:val="00901DB0"/>
    <w:rsid w:val="00901F68"/>
    <w:rsid w:val="00902139"/>
    <w:rsid w:val="009024CD"/>
    <w:rsid w:val="009028C5"/>
    <w:rsid w:val="009029CC"/>
    <w:rsid w:val="00902A9A"/>
    <w:rsid w:val="00902FEC"/>
    <w:rsid w:val="00903343"/>
    <w:rsid w:val="0090355E"/>
    <w:rsid w:val="0090385E"/>
    <w:rsid w:val="00903BBA"/>
    <w:rsid w:val="00903BE6"/>
    <w:rsid w:val="00903BF5"/>
    <w:rsid w:val="00903D48"/>
    <w:rsid w:val="00903D9F"/>
    <w:rsid w:val="00903E67"/>
    <w:rsid w:val="0090428F"/>
    <w:rsid w:val="00904345"/>
    <w:rsid w:val="009044BA"/>
    <w:rsid w:val="00904579"/>
    <w:rsid w:val="009045A6"/>
    <w:rsid w:val="009046D5"/>
    <w:rsid w:val="00904753"/>
    <w:rsid w:val="009049BC"/>
    <w:rsid w:val="00904A1C"/>
    <w:rsid w:val="00904D09"/>
    <w:rsid w:val="00904E96"/>
    <w:rsid w:val="00904F98"/>
    <w:rsid w:val="00905030"/>
    <w:rsid w:val="009051DF"/>
    <w:rsid w:val="0090527C"/>
    <w:rsid w:val="00905656"/>
    <w:rsid w:val="0090576F"/>
    <w:rsid w:val="0090581F"/>
    <w:rsid w:val="009058EE"/>
    <w:rsid w:val="00905C35"/>
    <w:rsid w:val="00905F09"/>
    <w:rsid w:val="00906490"/>
    <w:rsid w:val="0090671B"/>
    <w:rsid w:val="00906912"/>
    <w:rsid w:val="00906A6E"/>
    <w:rsid w:val="00906AC2"/>
    <w:rsid w:val="00906E27"/>
    <w:rsid w:val="00906EEE"/>
    <w:rsid w:val="009070C7"/>
    <w:rsid w:val="00907209"/>
    <w:rsid w:val="00907283"/>
    <w:rsid w:val="009072F7"/>
    <w:rsid w:val="0090796D"/>
    <w:rsid w:val="00907ABD"/>
    <w:rsid w:val="00907E89"/>
    <w:rsid w:val="00910101"/>
    <w:rsid w:val="00910308"/>
    <w:rsid w:val="00910516"/>
    <w:rsid w:val="009107E9"/>
    <w:rsid w:val="009108C1"/>
    <w:rsid w:val="0091094F"/>
    <w:rsid w:val="00910B16"/>
    <w:rsid w:val="00910BF5"/>
    <w:rsid w:val="00910F67"/>
    <w:rsid w:val="00911099"/>
    <w:rsid w:val="00911160"/>
    <w:rsid w:val="009111B2"/>
    <w:rsid w:val="00911307"/>
    <w:rsid w:val="009114F3"/>
    <w:rsid w:val="00911576"/>
    <w:rsid w:val="009116CF"/>
    <w:rsid w:val="00911815"/>
    <w:rsid w:val="00911AF6"/>
    <w:rsid w:val="00911BC2"/>
    <w:rsid w:val="00911EA1"/>
    <w:rsid w:val="00912890"/>
    <w:rsid w:val="00912A1B"/>
    <w:rsid w:val="00912ACF"/>
    <w:rsid w:val="00912C05"/>
    <w:rsid w:val="00912C1F"/>
    <w:rsid w:val="00912C21"/>
    <w:rsid w:val="00912C75"/>
    <w:rsid w:val="00912D9D"/>
    <w:rsid w:val="00912ED4"/>
    <w:rsid w:val="00912F97"/>
    <w:rsid w:val="009130AE"/>
    <w:rsid w:val="00913499"/>
    <w:rsid w:val="009135CA"/>
    <w:rsid w:val="00913845"/>
    <w:rsid w:val="00913930"/>
    <w:rsid w:val="00913936"/>
    <w:rsid w:val="00913AC0"/>
    <w:rsid w:val="00913BAF"/>
    <w:rsid w:val="00913F55"/>
    <w:rsid w:val="009142B0"/>
    <w:rsid w:val="0091459F"/>
    <w:rsid w:val="009149A2"/>
    <w:rsid w:val="00914ABB"/>
    <w:rsid w:val="00914B2B"/>
    <w:rsid w:val="00914D17"/>
    <w:rsid w:val="00914E3C"/>
    <w:rsid w:val="009151AD"/>
    <w:rsid w:val="009151CA"/>
    <w:rsid w:val="009151F5"/>
    <w:rsid w:val="009152C5"/>
    <w:rsid w:val="0091565D"/>
    <w:rsid w:val="009157C1"/>
    <w:rsid w:val="009159E8"/>
    <w:rsid w:val="00915B45"/>
    <w:rsid w:val="00915DAD"/>
    <w:rsid w:val="00915E6E"/>
    <w:rsid w:val="0091605A"/>
    <w:rsid w:val="00916545"/>
    <w:rsid w:val="009169C8"/>
    <w:rsid w:val="00916A0B"/>
    <w:rsid w:val="009172BE"/>
    <w:rsid w:val="00917581"/>
    <w:rsid w:val="00917756"/>
    <w:rsid w:val="009177DF"/>
    <w:rsid w:val="00917826"/>
    <w:rsid w:val="009178CE"/>
    <w:rsid w:val="00917B61"/>
    <w:rsid w:val="00917E43"/>
    <w:rsid w:val="00917E4B"/>
    <w:rsid w:val="00917E56"/>
    <w:rsid w:val="009200DC"/>
    <w:rsid w:val="00920141"/>
    <w:rsid w:val="009202B1"/>
    <w:rsid w:val="00920408"/>
    <w:rsid w:val="00920801"/>
    <w:rsid w:val="009208E1"/>
    <w:rsid w:val="00920C9A"/>
    <w:rsid w:val="00920F43"/>
    <w:rsid w:val="00921594"/>
    <w:rsid w:val="00921620"/>
    <w:rsid w:val="00921793"/>
    <w:rsid w:val="00921AEF"/>
    <w:rsid w:val="00921ED0"/>
    <w:rsid w:val="00922149"/>
    <w:rsid w:val="0092228B"/>
    <w:rsid w:val="00922428"/>
    <w:rsid w:val="00922692"/>
    <w:rsid w:val="009227EE"/>
    <w:rsid w:val="00922AC8"/>
    <w:rsid w:val="00922D23"/>
    <w:rsid w:val="0092319C"/>
    <w:rsid w:val="009232F4"/>
    <w:rsid w:val="009236B8"/>
    <w:rsid w:val="00923B09"/>
    <w:rsid w:val="00923B65"/>
    <w:rsid w:val="00923D7B"/>
    <w:rsid w:val="0092417D"/>
    <w:rsid w:val="00924368"/>
    <w:rsid w:val="00924587"/>
    <w:rsid w:val="009247DA"/>
    <w:rsid w:val="00924AE1"/>
    <w:rsid w:val="00924FB8"/>
    <w:rsid w:val="0092586C"/>
    <w:rsid w:val="009258CC"/>
    <w:rsid w:val="009258DF"/>
    <w:rsid w:val="00925B55"/>
    <w:rsid w:val="00925CF3"/>
    <w:rsid w:val="00925D0A"/>
    <w:rsid w:val="00925E34"/>
    <w:rsid w:val="0092620F"/>
    <w:rsid w:val="0092668E"/>
    <w:rsid w:val="009269B1"/>
    <w:rsid w:val="00926C0E"/>
    <w:rsid w:val="00926D27"/>
    <w:rsid w:val="00926DF4"/>
    <w:rsid w:val="00926E1B"/>
    <w:rsid w:val="00926E7E"/>
    <w:rsid w:val="00926E93"/>
    <w:rsid w:val="0092724D"/>
    <w:rsid w:val="009272B3"/>
    <w:rsid w:val="009272FC"/>
    <w:rsid w:val="00927443"/>
    <w:rsid w:val="00927C50"/>
    <w:rsid w:val="00930002"/>
    <w:rsid w:val="0093021A"/>
    <w:rsid w:val="0093066A"/>
    <w:rsid w:val="0093073E"/>
    <w:rsid w:val="00930809"/>
    <w:rsid w:val="00930A24"/>
    <w:rsid w:val="00930DCC"/>
    <w:rsid w:val="00930E6E"/>
    <w:rsid w:val="00930FBC"/>
    <w:rsid w:val="0093116B"/>
    <w:rsid w:val="00931246"/>
    <w:rsid w:val="0093136B"/>
    <w:rsid w:val="00931559"/>
    <w:rsid w:val="009315BE"/>
    <w:rsid w:val="009315F9"/>
    <w:rsid w:val="00931A56"/>
    <w:rsid w:val="00931CE6"/>
    <w:rsid w:val="009324CF"/>
    <w:rsid w:val="009325C2"/>
    <w:rsid w:val="009326DD"/>
    <w:rsid w:val="0093287C"/>
    <w:rsid w:val="00932CD2"/>
    <w:rsid w:val="00932D05"/>
    <w:rsid w:val="00933106"/>
    <w:rsid w:val="0093338F"/>
    <w:rsid w:val="0093344D"/>
    <w:rsid w:val="0093372C"/>
    <w:rsid w:val="00933779"/>
    <w:rsid w:val="00933CC4"/>
    <w:rsid w:val="00933D84"/>
    <w:rsid w:val="00933F0A"/>
    <w:rsid w:val="009340E4"/>
    <w:rsid w:val="00934134"/>
    <w:rsid w:val="0093437B"/>
    <w:rsid w:val="00934582"/>
    <w:rsid w:val="00934791"/>
    <w:rsid w:val="0093499B"/>
    <w:rsid w:val="00934B04"/>
    <w:rsid w:val="00934FD8"/>
    <w:rsid w:val="00935352"/>
    <w:rsid w:val="00935434"/>
    <w:rsid w:val="009356B5"/>
    <w:rsid w:val="00935BAF"/>
    <w:rsid w:val="00935CEC"/>
    <w:rsid w:val="00935D21"/>
    <w:rsid w:val="00935D23"/>
    <w:rsid w:val="00936129"/>
    <w:rsid w:val="009365E8"/>
    <w:rsid w:val="00936859"/>
    <w:rsid w:val="009368FC"/>
    <w:rsid w:val="00936954"/>
    <w:rsid w:val="00936AE0"/>
    <w:rsid w:val="00936B3E"/>
    <w:rsid w:val="00936C2D"/>
    <w:rsid w:val="00936E59"/>
    <w:rsid w:val="00936E6C"/>
    <w:rsid w:val="00936FB1"/>
    <w:rsid w:val="00937136"/>
    <w:rsid w:val="00937509"/>
    <w:rsid w:val="0093767F"/>
    <w:rsid w:val="00937730"/>
    <w:rsid w:val="00937739"/>
    <w:rsid w:val="00937750"/>
    <w:rsid w:val="00937771"/>
    <w:rsid w:val="00937BD9"/>
    <w:rsid w:val="00937C20"/>
    <w:rsid w:val="00937C41"/>
    <w:rsid w:val="0094022C"/>
    <w:rsid w:val="009403C5"/>
    <w:rsid w:val="00940EC1"/>
    <w:rsid w:val="0094167D"/>
    <w:rsid w:val="00941764"/>
    <w:rsid w:val="00941DFC"/>
    <w:rsid w:val="00941E41"/>
    <w:rsid w:val="0094229C"/>
    <w:rsid w:val="00942315"/>
    <w:rsid w:val="009428C9"/>
    <w:rsid w:val="00942A1A"/>
    <w:rsid w:val="009431FC"/>
    <w:rsid w:val="0094366B"/>
    <w:rsid w:val="00943833"/>
    <w:rsid w:val="0094393D"/>
    <w:rsid w:val="009439D6"/>
    <w:rsid w:val="00943A37"/>
    <w:rsid w:val="00943D89"/>
    <w:rsid w:val="00943E09"/>
    <w:rsid w:val="00943EAA"/>
    <w:rsid w:val="00943EF3"/>
    <w:rsid w:val="00944AE7"/>
    <w:rsid w:val="00944BD9"/>
    <w:rsid w:val="00944C0C"/>
    <w:rsid w:val="00944C25"/>
    <w:rsid w:val="00944F35"/>
    <w:rsid w:val="00945202"/>
    <w:rsid w:val="00945409"/>
    <w:rsid w:val="00945519"/>
    <w:rsid w:val="00945547"/>
    <w:rsid w:val="0094579D"/>
    <w:rsid w:val="00945837"/>
    <w:rsid w:val="00945902"/>
    <w:rsid w:val="00945D15"/>
    <w:rsid w:val="00945DFC"/>
    <w:rsid w:val="0094612B"/>
    <w:rsid w:val="00946992"/>
    <w:rsid w:val="009469C6"/>
    <w:rsid w:val="00946AD4"/>
    <w:rsid w:val="00946B26"/>
    <w:rsid w:val="00946BCD"/>
    <w:rsid w:val="009472F6"/>
    <w:rsid w:val="009476BA"/>
    <w:rsid w:val="009476F6"/>
    <w:rsid w:val="00947A21"/>
    <w:rsid w:val="00947D57"/>
    <w:rsid w:val="00947D83"/>
    <w:rsid w:val="009501A1"/>
    <w:rsid w:val="009501BE"/>
    <w:rsid w:val="009502CB"/>
    <w:rsid w:val="00950CBF"/>
    <w:rsid w:val="00950E2C"/>
    <w:rsid w:val="00950E51"/>
    <w:rsid w:val="00951045"/>
    <w:rsid w:val="00951067"/>
    <w:rsid w:val="00951420"/>
    <w:rsid w:val="00951961"/>
    <w:rsid w:val="00951AD8"/>
    <w:rsid w:val="00951D50"/>
    <w:rsid w:val="009525EB"/>
    <w:rsid w:val="009526D6"/>
    <w:rsid w:val="00952BC5"/>
    <w:rsid w:val="00952D1C"/>
    <w:rsid w:val="00952E0A"/>
    <w:rsid w:val="00952E27"/>
    <w:rsid w:val="00953038"/>
    <w:rsid w:val="009530BE"/>
    <w:rsid w:val="009531F2"/>
    <w:rsid w:val="00953239"/>
    <w:rsid w:val="009537A4"/>
    <w:rsid w:val="00953E99"/>
    <w:rsid w:val="00954227"/>
    <w:rsid w:val="00954372"/>
    <w:rsid w:val="0095437F"/>
    <w:rsid w:val="0095470B"/>
    <w:rsid w:val="00954874"/>
    <w:rsid w:val="00954EAE"/>
    <w:rsid w:val="009550C0"/>
    <w:rsid w:val="0095531F"/>
    <w:rsid w:val="00955355"/>
    <w:rsid w:val="00955489"/>
    <w:rsid w:val="009555B5"/>
    <w:rsid w:val="00955A55"/>
    <w:rsid w:val="00955C46"/>
    <w:rsid w:val="00955CE8"/>
    <w:rsid w:val="00955FCD"/>
    <w:rsid w:val="0095615A"/>
    <w:rsid w:val="009561AC"/>
    <w:rsid w:val="009562EF"/>
    <w:rsid w:val="00956492"/>
    <w:rsid w:val="0095667F"/>
    <w:rsid w:val="0095676D"/>
    <w:rsid w:val="00956A5A"/>
    <w:rsid w:val="00956D06"/>
    <w:rsid w:val="009570BD"/>
    <w:rsid w:val="00957146"/>
    <w:rsid w:val="00957218"/>
    <w:rsid w:val="009572E9"/>
    <w:rsid w:val="00957708"/>
    <w:rsid w:val="00957A8E"/>
    <w:rsid w:val="00957ACD"/>
    <w:rsid w:val="009605D8"/>
    <w:rsid w:val="0096069C"/>
    <w:rsid w:val="00960902"/>
    <w:rsid w:val="009609A5"/>
    <w:rsid w:val="00960C6C"/>
    <w:rsid w:val="00961045"/>
    <w:rsid w:val="0096127A"/>
    <w:rsid w:val="009613AA"/>
    <w:rsid w:val="00961400"/>
    <w:rsid w:val="009615F2"/>
    <w:rsid w:val="0096179F"/>
    <w:rsid w:val="009617D2"/>
    <w:rsid w:val="00961A05"/>
    <w:rsid w:val="00961B0F"/>
    <w:rsid w:val="00962022"/>
    <w:rsid w:val="00962355"/>
    <w:rsid w:val="009626A3"/>
    <w:rsid w:val="009629E0"/>
    <w:rsid w:val="009629FB"/>
    <w:rsid w:val="00962ACC"/>
    <w:rsid w:val="00962D46"/>
    <w:rsid w:val="00962D55"/>
    <w:rsid w:val="00962E99"/>
    <w:rsid w:val="00963129"/>
    <w:rsid w:val="00963188"/>
    <w:rsid w:val="0096321A"/>
    <w:rsid w:val="00963646"/>
    <w:rsid w:val="009636AE"/>
    <w:rsid w:val="009637B7"/>
    <w:rsid w:val="00963883"/>
    <w:rsid w:val="00963946"/>
    <w:rsid w:val="009639EC"/>
    <w:rsid w:val="00963BCD"/>
    <w:rsid w:val="00963BFC"/>
    <w:rsid w:val="00963F80"/>
    <w:rsid w:val="009640F6"/>
    <w:rsid w:val="0096422C"/>
    <w:rsid w:val="009643CF"/>
    <w:rsid w:val="00964804"/>
    <w:rsid w:val="00964900"/>
    <w:rsid w:val="00964B0D"/>
    <w:rsid w:val="00964CE5"/>
    <w:rsid w:val="00964D34"/>
    <w:rsid w:val="00964F3E"/>
    <w:rsid w:val="009651F9"/>
    <w:rsid w:val="0096527D"/>
    <w:rsid w:val="009652CC"/>
    <w:rsid w:val="00965392"/>
    <w:rsid w:val="009653B3"/>
    <w:rsid w:val="00965481"/>
    <w:rsid w:val="00965541"/>
    <w:rsid w:val="0096556E"/>
    <w:rsid w:val="00965D23"/>
    <w:rsid w:val="00965F94"/>
    <w:rsid w:val="00965FB9"/>
    <w:rsid w:val="0096605C"/>
    <w:rsid w:val="0096632D"/>
    <w:rsid w:val="009664C4"/>
    <w:rsid w:val="0096665E"/>
    <w:rsid w:val="009669C5"/>
    <w:rsid w:val="00966A42"/>
    <w:rsid w:val="00966F18"/>
    <w:rsid w:val="00967124"/>
    <w:rsid w:val="00967208"/>
    <w:rsid w:val="00967239"/>
    <w:rsid w:val="00967A53"/>
    <w:rsid w:val="00967AC6"/>
    <w:rsid w:val="00967CC3"/>
    <w:rsid w:val="00967D36"/>
    <w:rsid w:val="00970179"/>
    <w:rsid w:val="00970E46"/>
    <w:rsid w:val="00970E4E"/>
    <w:rsid w:val="00970FEF"/>
    <w:rsid w:val="00971029"/>
    <w:rsid w:val="00971192"/>
    <w:rsid w:val="0097127D"/>
    <w:rsid w:val="00971379"/>
    <w:rsid w:val="00971600"/>
    <w:rsid w:val="0097166C"/>
    <w:rsid w:val="009718C7"/>
    <w:rsid w:val="00971CBC"/>
    <w:rsid w:val="00971DC8"/>
    <w:rsid w:val="00971DDA"/>
    <w:rsid w:val="0097216C"/>
    <w:rsid w:val="009721E8"/>
    <w:rsid w:val="00972243"/>
    <w:rsid w:val="00972257"/>
    <w:rsid w:val="00972572"/>
    <w:rsid w:val="009728B8"/>
    <w:rsid w:val="009728CB"/>
    <w:rsid w:val="00972961"/>
    <w:rsid w:val="00972BEB"/>
    <w:rsid w:val="00972C1D"/>
    <w:rsid w:val="00972E9B"/>
    <w:rsid w:val="00973071"/>
    <w:rsid w:val="009730A1"/>
    <w:rsid w:val="009733B8"/>
    <w:rsid w:val="0097357C"/>
    <w:rsid w:val="0097368B"/>
    <w:rsid w:val="00973704"/>
    <w:rsid w:val="009737E9"/>
    <w:rsid w:val="00973A3A"/>
    <w:rsid w:val="00973B89"/>
    <w:rsid w:val="00973CFB"/>
    <w:rsid w:val="00973D4B"/>
    <w:rsid w:val="00973E52"/>
    <w:rsid w:val="009742DE"/>
    <w:rsid w:val="009744FA"/>
    <w:rsid w:val="0097461C"/>
    <w:rsid w:val="00974BB2"/>
    <w:rsid w:val="0097559B"/>
    <w:rsid w:val="0097559F"/>
    <w:rsid w:val="00975B03"/>
    <w:rsid w:val="00975B77"/>
    <w:rsid w:val="009761EA"/>
    <w:rsid w:val="009762AA"/>
    <w:rsid w:val="0097676F"/>
    <w:rsid w:val="00976B1E"/>
    <w:rsid w:val="00976BE9"/>
    <w:rsid w:val="00976DA9"/>
    <w:rsid w:val="00976DF5"/>
    <w:rsid w:val="009770E4"/>
    <w:rsid w:val="0097729D"/>
    <w:rsid w:val="0097761E"/>
    <w:rsid w:val="00977692"/>
    <w:rsid w:val="00977985"/>
    <w:rsid w:val="00977A1D"/>
    <w:rsid w:val="00977DF4"/>
    <w:rsid w:val="00977E5D"/>
    <w:rsid w:val="00980220"/>
    <w:rsid w:val="00980525"/>
    <w:rsid w:val="00980784"/>
    <w:rsid w:val="00980901"/>
    <w:rsid w:val="0098090E"/>
    <w:rsid w:val="00980B43"/>
    <w:rsid w:val="00981901"/>
    <w:rsid w:val="00981985"/>
    <w:rsid w:val="009821AE"/>
    <w:rsid w:val="009822AC"/>
    <w:rsid w:val="00982454"/>
    <w:rsid w:val="00982479"/>
    <w:rsid w:val="0098255A"/>
    <w:rsid w:val="00982713"/>
    <w:rsid w:val="0098276B"/>
    <w:rsid w:val="009828E3"/>
    <w:rsid w:val="00982CF0"/>
    <w:rsid w:val="0098328E"/>
    <w:rsid w:val="009834EA"/>
    <w:rsid w:val="009836AC"/>
    <w:rsid w:val="009836D1"/>
    <w:rsid w:val="00983ADA"/>
    <w:rsid w:val="00983B77"/>
    <w:rsid w:val="00983C20"/>
    <w:rsid w:val="00983D10"/>
    <w:rsid w:val="009840B2"/>
    <w:rsid w:val="00984315"/>
    <w:rsid w:val="0098458D"/>
    <w:rsid w:val="00984E3C"/>
    <w:rsid w:val="00985007"/>
    <w:rsid w:val="009853E1"/>
    <w:rsid w:val="00985470"/>
    <w:rsid w:val="00985471"/>
    <w:rsid w:val="0098573B"/>
    <w:rsid w:val="009858BB"/>
    <w:rsid w:val="009858BE"/>
    <w:rsid w:val="00985903"/>
    <w:rsid w:val="00985CB7"/>
    <w:rsid w:val="00985D2D"/>
    <w:rsid w:val="00986022"/>
    <w:rsid w:val="00986062"/>
    <w:rsid w:val="0098629E"/>
    <w:rsid w:val="009864EF"/>
    <w:rsid w:val="009865B5"/>
    <w:rsid w:val="00986E6B"/>
    <w:rsid w:val="00986EC5"/>
    <w:rsid w:val="00986F81"/>
    <w:rsid w:val="009870FE"/>
    <w:rsid w:val="0098717A"/>
    <w:rsid w:val="00987369"/>
    <w:rsid w:val="0098738C"/>
    <w:rsid w:val="00987488"/>
    <w:rsid w:val="009875D9"/>
    <w:rsid w:val="00987653"/>
    <w:rsid w:val="00987994"/>
    <w:rsid w:val="009879CC"/>
    <w:rsid w:val="00990032"/>
    <w:rsid w:val="00990618"/>
    <w:rsid w:val="00990795"/>
    <w:rsid w:val="009907A7"/>
    <w:rsid w:val="00990A4A"/>
    <w:rsid w:val="00990A8B"/>
    <w:rsid w:val="00990B19"/>
    <w:rsid w:val="00990BF6"/>
    <w:rsid w:val="00990C35"/>
    <w:rsid w:val="00990DF7"/>
    <w:rsid w:val="00990F5F"/>
    <w:rsid w:val="00991040"/>
    <w:rsid w:val="009912F7"/>
    <w:rsid w:val="009912F9"/>
    <w:rsid w:val="0099131F"/>
    <w:rsid w:val="0099153B"/>
    <w:rsid w:val="0099158B"/>
    <w:rsid w:val="00991769"/>
    <w:rsid w:val="00991780"/>
    <w:rsid w:val="00991A79"/>
    <w:rsid w:val="009922AB"/>
    <w:rsid w:val="0099232C"/>
    <w:rsid w:val="0099249C"/>
    <w:rsid w:val="009926CA"/>
    <w:rsid w:val="0099297A"/>
    <w:rsid w:val="00992E3B"/>
    <w:rsid w:val="00992E87"/>
    <w:rsid w:val="009934D6"/>
    <w:rsid w:val="009934D9"/>
    <w:rsid w:val="009935C8"/>
    <w:rsid w:val="00993727"/>
    <w:rsid w:val="0099375F"/>
    <w:rsid w:val="00993919"/>
    <w:rsid w:val="00993AE5"/>
    <w:rsid w:val="00993F3D"/>
    <w:rsid w:val="0099402C"/>
    <w:rsid w:val="009941A3"/>
    <w:rsid w:val="00994270"/>
    <w:rsid w:val="00994386"/>
    <w:rsid w:val="00994463"/>
    <w:rsid w:val="009945E2"/>
    <w:rsid w:val="00994C1C"/>
    <w:rsid w:val="00994CAD"/>
    <w:rsid w:val="00994FB3"/>
    <w:rsid w:val="009952B9"/>
    <w:rsid w:val="009957A5"/>
    <w:rsid w:val="00995B6A"/>
    <w:rsid w:val="00995E79"/>
    <w:rsid w:val="00995F42"/>
    <w:rsid w:val="00996146"/>
    <w:rsid w:val="009961FF"/>
    <w:rsid w:val="009964CD"/>
    <w:rsid w:val="00996526"/>
    <w:rsid w:val="009967CB"/>
    <w:rsid w:val="00996C3B"/>
    <w:rsid w:val="00996C5D"/>
    <w:rsid w:val="00996CF1"/>
    <w:rsid w:val="00996CF2"/>
    <w:rsid w:val="00996D00"/>
    <w:rsid w:val="00996D28"/>
    <w:rsid w:val="00996EDD"/>
    <w:rsid w:val="00997856"/>
    <w:rsid w:val="00997BF4"/>
    <w:rsid w:val="00997CA6"/>
    <w:rsid w:val="00997DE7"/>
    <w:rsid w:val="009A0048"/>
    <w:rsid w:val="009A02DA"/>
    <w:rsid w:val="009A0451"/>
    <w:rsid w:val="009A062C"/>
    <w:rsid w:val="009A0894"/>
    <w:rsid w:val="009A08E6"/>
    <w:rsid w:val="009A0F19"/>
    <w:rsid w:val="009A1029"/>
    <w:rsid w:val="009A13D8"/>
    <w:rsid w:val="009A1474"/>
    <w:rsid w:val="009A1981"/>
    <w:rsid w:val="009A1A6A"/>
    <w:rsid w:val="009A2036"/>
    <w:rsid w:val="009A204E"/>
    <w:rsid w:val="009A2290"/>
    <w:rsid w:val="009A26EE"/>
    <w:rsid w:val="009A279E"/>
    <w:rsid w:val="009A28D6"/>
    <w:rsid w:val="009A298E"/>
    <w:rsid w:val="009A2A47"/>
    <w:rsid w:val="009A2F77"/>
    <w:rsid w:val="009A3015"/>
    <w:rsid w:val="009A307E"/>
    <w:rsid w:val="009A3201"/>
    <w:rsid w:val="009A3490"/>
    <w:rsid w:val="009A3531"/>
    <w:rsid w:val="009A3A7E"/>
    <w:rsid w:val="009A3C29"/>
    <w:rsid w:val="009A3C9A"/>
    <w:rsid w:val="009A3EA5"/>
    <w:rsid w:val="009A3FB1"/>
    <w:rsid w:val="009A41C7"/>
    <w:rsid w:val="009A45CA"/>
    <w:rsid w:val="009A4708"/>
    <w:rsid w:val="009A4737"/>
    <w:rsid w:val="009A4739"/>
    <w:rsid w:val="009A48D2"/>
    <w:rsid w:val="009A48E4"/>
    <w:rsid w:val="009A499D"/>
    <w:rsid w:val="009A4BC3"/>
    <w:rsid w:val="009A50F9"/>
    <w:rsid w:val="009A547A"/>
    <w:rsid w:val="009A55DA"/>
    <w:rsid w:val="009A571A"/>
    <w:rsid w:val="009A5A6E"/>
    <w:rsid w:val="009A5AA6"/>
    <w:rsid w:val="009A5B2F"/>
    <w:rsid w:val="009A5D66"/>
    <w:rsid w:val="009A61AA"/>
    <w:rsid w:val="009A63FF"/>
    <w:rsid w:val="009A68F2"/>
    <w:rsid w:val="009A69D4"/>
    <w:rsid w:val="009A6AC8"/>
    <w:rsid w:val="009A6AEC"/>
    <w:rsid w:val="009A6B90"/>
    <w:rsid w:val="009A6BC6"/>
    <w:rsid w:val="009A6CBE"/>
    <w:rsid w:val="009A6E15"/>
    <w:rsid w:val="009A6E88"/>
    <w:rsid w:val="009A6F6C"/>
    <w:rsid w:val="009A77E2"/>
    <w:rsid w:val="009A7A0C"/>
    <w:rsid w:val="009A7E89"/>
    <w:rsid w:val="009B02F2"/>
    <w:rsid w:val="009B0353"/>
    <w:rsid w:val="009B04F1"/>
    <w:rsid w:val="009B0552"/>
    <w:rsid w:val="009B0656"/>
    <w:rsid w:val="009B06AA"/>
    <w:rsid w:val="009B07EB"/>
    <w:rsid w:val="009B0A6F"/>
    <w:rsid w:val="009B0A94"/>
    <w:rsid w:val="009B0B21"/>
    <w:rsid w:val="009B0C62"/>
    <w:rsid w:val="009B1189"/>
    <w:rsid w:val="009B11C9"/>
    <w:rsid w:val="009B11CF"/>
    <w:rsid w:val="009B1356"/>
    <w:rsid w:val="009B1405"/>
    <w:rsid w:val="009B1977"/>
    <w:rsid w:val="009B1C79"/>
    <w:rsid w:val="009B2063"/>
    <w:rsid w:val="009B23FC"/>
    <w:rsid w:val="009B242A"/>
    <w:rsid w:val="009B24D3"/>
    <w:rsid w:val="009B2653"/>
    <w:rsid w:val="009B2982"/>
    <w:rsid w:val="009B29D1"/>
    <w:rsid w:val="009B2AE8"/>
    <w:rsid w:val="009B2E62"/>
    <w:rsid w:val="009B2FB7"/>
    <w:rsid w:val="009B38E5"/>
    <w:rsid w:val="009B39F7"/>
    <w:rsid w:val="009B4101"/>
    <w:rsid w:val="009B4527"/>
    <w:rsid w:val="009B465E"/>
    <w:rsid w:val="009B49D3"/>
    <w:rsid w:val="009B4AC7"/>
    <w:rsid w:val="009B4AC8"/>
    <w:rsid w:val="009B4BAF"/>
    <w:rsid w:val="009B4BFF"/>
    <w:rsid w:val="009B4FB3"/>
    <w:rsid w:val="009B4FCE"/>
    <w:rsid w:val="009B509E"/>
    <w:rsid w:val="009B5105"/>
    <w:rsid w:val="009B520A"/>
    <w:rsid w:val="009B52FE"/>
    <w:rsid w:val="009B5622"/>
    <w:rsid w:val="009B57FE"/>
    <w:rsid w:val="009B59E9"/>
    <w:rsid w:val="009B5ADB"/>
    <w:rsid w:val="009B5BBE"/>
    <w:rsid w:val="009B5C18"/>
    <w:rsid w:val="009B5DC8"/>
    <w:rsid w:val="009B5FCC"/>
    <w:rsid w:val="009B6178"/>
    <w:rsid w:val="009B638A"/>
    <w:rsid w:val="009B64F1"/>
    <w:rsid w:val="009B6974"/>
    <w:rsid w:val="009B6B24"/>
    <w:rsid w:val="009B6CFF"/>
    <w:rsid w:val="009B6E8C"/>
    <w:rsid w:val="009B70AA"/>
    <w:rsid w:val="009B72CD"/>
    <w:rsid w:val="009B72D0"/>
    <w:rsid w:val="009B72D3"/>
    <w:rsid w:val="009B74BC"/>
    <w:rsid w:val="009B7699"/>
    <w:rsid w:val="009B78CE"/>
    <w:rsid w:val="009B7BE3"/>
    <w:rsid w:val="009C05B6"/>
    <w:rsid w:val="009C0769"/>
    <w:rsid w:val="009C08B6"/>
    <w:rsid w:val="009C094A"/>
    <w:rsid w:val="009C1031"/>
    <w:rsid w:val="009C1251"/>
    <w:rsid w:val="009C14B5"/>
    <w:rsid w:val="009C16A2"/>
    <w:rsid w:val="009C1810"/>
    <w:rsid w:val="009C1B71"/>
    <w:rsid w:val="009C1B97"/>
    <w:rsid w:val="009C1F85"/>
    <w:rsid w:val="009C2162"/>
    <w:rsid w:val="009C245E"/>
    <w:rsid w:val="009C24B5"/>
    <w:rsid w:val="009C2569"/>
    <w:rsid w:val="009C2726"/>
    <w:rsid w:val="009C2D3F"/>
    <w:rsid w:val="009C2E34"/>
    <w:rsid w:val="009C2ECD"/>
    <w:rsid w:val="009C333F"/>
    <w:rsid w:val="009C3916"/>
    <w:rsid w:val="009C3A0E"/>
    <w:rsid w:val="009C3B48"/>
    <w:rsid w:val="009C3C74"/>
    <w:rsid w:val="009C3D2B"/>
    <w:rsid w:val="009C3D74"/>
    <w:rsid w:val="009C3F32"/>
    <w:rsid w:val="009C40F4"/>
    <w:rsid w:val="009C4272"/>
    <w:rsid w:val="009C46EF"/>
    <w:rsid w:val="009C4ACB"/>
    <w:rsid w:val="009C4BEC"/>
    <w:rsid w:val="009C4C0F"/>
    <w:rsid w:val="009C4C5E"/>
    <w:rsid w:val="009C4D78"/>
    <w:rsid w:val="009C4F65"/>
    <w:rsid w:val="009C580C"/>
    <w:rsid w:val="009C5822"/>
    <w:rsid w:val="009C5829"/>
    <w:rsid w:val="009C5E77"/>
    <w:rsid w:val="009C60F1"/>
    <w:rsid w:val="009C6118"/>
    <w:rsid w:val="009C6298"/>
    <w:rsid w:val="009C68AC"/>
    <w:rsid w:val="009C6B39"/>
    <w:rsid w:val="009C6BD8"/>
    <w:rsid w:val="009C6D50"/>
    <w:rsid w:val="009C6DAB"/>
    <w:rsid w:val="009C7105"/>
    <w:rsid w:val="009C729A"/>
    <w:rsid w:val="009C72B2"/>
    <w:rsid w:val="009C7A7E"/>
    <w:rsid w:val="009C7E64"/>
    <w:rsid w:val="009D02E8"/>
    <w:rsid w:val="009D07CA"/>
    <w:rsid w:val="009D083E"/>
    <w:rsid w:val="009D0D04"/>
    <w:rsid w:val="009D0EDB"/>
    <w:rsid w:val="009D1005"/>
    <w:rsid w:val="009D124A"/>
    <w:rsid w:val="009D1342"/>
    <w:rsid w:val="009D1855"/>
    <w:rsid w:val="009D19BA"/>
    <w:rsid w:val="009D1ED9"/>
    <w:rsid w:val="009D23BB"/>
    <w:rsid w:val="009D24A4"/>
    <w:rsid w:val="009D2522"/>
    <w:rsid w:val="009D2778"/>
    <w:rsid w:val="009D2B9A"/>
    <w:rsid w:val="009D3462"/>
    <w:rsid w:val="009D3D27"/>
    <w:rsid w:val="009D3E4E"/>
    <w:rsid w:val="009D3E4F"/>
    <w:rsid w:val="009D3EFC"/>
    <w:rsid w:val="009D430E"/>
    <w:rsid w:val="009D439F"/>
    <w:rsid w:val="009D43BF"/>
    <w:rsid w:val="009D44A2"/>
    <w:rsid w:val="009D49D7"/>
    <w:rsid w:val="009D51D0"/>
    <w:rsid w:val="009D53B3"/>
    <w:rsid w:val="009D55C1"/>
    <w:rsid w:val="009D59BD"/>
    <w:rsid w:val="009D59E9"/>
    <w:rsid w:val="009D5BA0"/>
    <w:rsid w:val="009D5C84"/>
    <w:rsid w:val="009D5CEB"/>
    <w:rsid w:val="009D5DD7"/>
    <w:rsid w:val="009D60A4"/>
    <w:rsid w:val="009D6130"/>
    <w:rsid w:val="009D63C2"/>
    <w:rsid w:val="009D6700"/>
    <w:rsid w:val="009D6971"/>
    <w:rsid w:val="009D698D"/>
    <w:rsid w:val="009D6A2D"/>
    <w:rsid w:val="009D6B3E"/>
    <w:rsid w:val="009D6C3D"/>
    <w:rsid w:val="009D6C93"/>
    <w:rsid w:val="009D6D86"/>
    <w:rsid w:val="009D6ED3"/>
    <w:rsid w:val="009D70A4"/>
    <w:rsid w:val="009D7348"/>
    <w:rsid w:val="009D749D"/>
    <w:rsid w:val="009D7928"/>
    <w:rsid w:val="009D799D"/>
    <w:rsid w:val="009D7B14"/>
    <w:rsid w:val="009D7CA1"/>
    <w:rsid w:val="009D7E69"/>
    <w:rsid w:val="009E0041"/>
    <w:rsid w:val="009E0707"/>
    <w:rsid w:val="009E0888"/>
    <w:rsid w:val="009E08D1"/>
    <w:rsid w:val="009E09C7"/>
    <w:rsid w:val="009E0AD7"/>
    <w:rsid w:val="009E0AE3"/>
    <w:rsid w:val="009E0B33"/>
    <w:rsid w:val="009E0CA1"/>
    <w:rsid w:val="009E0D96"/>
    <w:rsid w:val="009E0F48"/>
    <w:rsid w:val="009E16AC"/>
    <w:rsid w:val="009E1B95"/>
    <w:rsid w:val="009E1E3A"/>
    <w:rsid w:val="009E1FC9"/>
    <w:rsid w:val="009E20A8"/>
    <w:rsid w:val="009E21A3"/>
    <w:rsid w:val="009E23B5"/>
    <w:rsid w:val="009E2679"/>
    <w:rsid w:val="009E27C5"/>
    <w:rsid w:val="009E2896"/>
    <w:rsid w:val="009E2939"/>
    <w:rsid w:val="009E29A0"/>
    <w:rsid w:val="009E2A4A"/>
    <w:rsid w:val="009E2D81"/>
    <w:rsid w:val="009E3202"/>
    <w:rsid w:val="009E342E"/>
    <w:rsid w:val="009E3502"/>
    <w:rsid w:val="009E37B0"/>
    <w:rsid w:val="009E3A62"/>
    <w:rsid w:val="009E3B86"/>
    <w:rsid w:val="009E3CD2"/>
    <w:rsid w:val="009E3DBF"/>
    <w:rsid w:val="009E40DB"/>
    <w:rsid w:val="009E415F"/>
    <w:rsid w:val="009E4404"/>
    <w:rsid w:val="009E471C"/>
    <w:rsid w:val="009E4895"/>
    <w:rsid w:val="009E496F"/>
    <w:rsid w:val="009E49FE"/>
    <w:rsid w:val="009E4B0D"/>
    <w:rsid w:val="009E4B99"/>
    <w:rsid w:val="009E4C00"/>
    <w:rsid w:val="009E4C28"/>
    <w:rsid w:val="009E4E70"/>
    <w:rsid w:val="009E50EA"/>
    <w:rsid w:val="009E5250"/>
    <w:rsid w:val="009E53CC"/>
    <w:rsid w:val="009E53E8"/>
    <w:rsid w:val="009E55E0"/>
    <w:rsid w:val="009E642C"/>
    <w:rsid w:val="009E6438"/>
    <w:rsid w:val="009E64A0"/>
    <w:rsid w:val="009E6685"/>
    <w:rsid w:val="009E66DA"/>
    <w:rsid w:val="009E67DF"/>
    <w:rsid w:val="009E6F45"/>
    <w:rsid w:val="009E70FF"/>
    <w:rsid w:val="009E712E"/>
    <w:rsid w:val="009E722C"/>
    <w:rsid w:val="009E72C9"/>
    <w:rsid w:val="009E7302"/>
    <w:rsid w:val="009E730C"/>
    <w:rsid w:val="009E739E"/>
    <w:rsid w:val="009E73E7"/>
    <w:rsid w:val="009E755D"/>
    <w:rsid w:val="009E75ED"/>
    <w:rsid w:val="009E769D"/>
    <w:rsid w:val="009E76DE"/>
    <w:rsid w:val="009E7A69"/>
    <w:rsid w:val="009E7E2C"/>
    <w:rsid w:val="009E7F92"/>
    <w:rsid w:val="009F0087"/>
    <w:rsid w:val="009F00E6"/>
    <w:rsid w:val="009F0275"/>
    <w:rsid w:val="009F02A3"/>
    <w:rsid w:val="009F0405"/>
    <w:rsid w:val="009F05B4"/>
    <w:rsid w:val="009F07E1"/>
    <w:rsid w:val="009F0840"/>
    <w:rsid w:val="009F14BB"/>
    <w:rsid w:val="009F16A9"/>
    <w:rsid w:val="009F1807"/>
    <w:rsid w:val="009F196F"/>
    <w:rsid w:val="009F1C28"/>
    <w:rsid w:val="009F1DEC"/>
    <w:rsid w:val="009F1F2D"/>
    <w:rsid w:val="009F2182"/>
    <w:rsid w:val="009F22F9"/>
    <w:rsid w:val="009F2815"/>
    <w:rsid w:val="009F2AE7"/>
    <w:rsid w:val="009F2CB8"/>
    <w:rsid w:val="009F2E24"/>
    <w:rsid w:val="009F2F27"/>
    <w:rsid w:val="009F2F99"/>
    <w:rsid w:val="009F34AA"/>
    <w:rsid w:val="009F37BE"/>
    <w:rsid w:val="009F388A"/>
    <w:rsid w:val="009F3922"/>
    <w:rsid w:val="009F3C5D"/>
    <w:rsid w:val="009F3EDE"/>
    <w:rsid w:val="009F4707"/>
    <w:rsid w:val="009F5019"/>
    <w:rsid w:val="009F512F"/>
    <w:rsid w:val="009F5605"/>
    <w:rsid w:val="009F5A5A"/>
    <w:rsid w:val="009F5A86"/>
    <w:rsid w:val="009F5BAC"/>
    <w:rsid w:val="009F61D9"/>
    <w:rsid w:val="009F62E8"/>
    <w:rsid w:val="009F667F"/>
    <w:rsid w:val="009F6B89"/>
    <w:rsid w:val="009F6BCB"/>
    <w:rsid w:val="009F6E5D"/>
    <w:rsid w:val="009F6FEB"/>
    <w:rsid w:val="009F743A"/>
    <w:rsid w:val="009F7639"/>
    <w:rsid w:val="009F7A8E"/>
    <w:rsid w:val="009F7B78"/>
    <w:rsid w:val="009F7DE0"/>
    <w:rsid w:val="009F7E6F"/>
    <w:rsid w:val="009F7EC5"/>
    <w:rsid w:val="00A00140"/>
    <w:rsid w:val="00A0024D"/>
    <w:rsid w:val="00A003E4"/>
    <w:rsid w:val="00A00530"/>
    <w:rsid w:val="00A0057A"/>
    <w:rsid w:val="00A00B06"/>
    <w:rsid w:val="00A00E03"/>
    <w:rsid w:val="00A01331"/>
    <w:rsid w:val="00A013CF"/>
    <w:rsid w:val="00A018A5"/>
    <w:rsid w:val="00A019A6"/>
    <w:rsid w:val="00A01C7E"/>
    <w:rsid w:val="00A01DBE"/>
    <w:rsid w:val="00A01F68"/>
    <w:rsid w:val="00A020BA"/>
    <w:rsid w:val="00A022DB"/>
    <w:rsid w:val="00A02441"/>
    <w:rsid w:val="00A02820"/>
    <w:rsid w:val="00A029C9"/>
    <w:rsid w:val="00A02CAF"/>
    <w:rsid w:val="00A02F07"/>
    <w:rsid w:val="00A02FA1"/>
    <w:rsid w:val="00A0309A"/>
    <w:rsid w:val="00A03156"/>
    <w:rsid w:val="00A03158"/>
    <w:rsid w:val="00A03491"/>
    <w:rsid w:val="00A03594"/>
    <w:rsid w:val="00A03596"/>
    <w:rsid w:val="00A03915"/>
    <w:rsid w:val="00A03B34"/>
    <w:rsid w:val="00A03D69"/>
    <w:rsid w:val="00A03E43"/>
    <w:rsid w:val="00A0406E"/>
    <w:rsid w:val="00A04253"/>
    <w:rsid w:val="00A042CF"/>
    <w:rsid w:val="00A043EA"/>
    <w:rsid w:val="00A04692"/>
    <w:rsid w:val="00A04775"/>
    <w:rsid w:val="00A047A0"/>
    <w:rsid w:val="00A0482C"/>
    <w:rsid w:val="00A049A1"/>
    <w:rsid w:val="00A04B12"/>
    <w:rsid w:val="00A04BF9"/>
    <w:rsid w:val="00A04C4F"/>
    <w:rsid w:val="00A04CCE"/>
    <w:rsid w:val="00A04D1B"/>
    <w:rsid w:val="00A052B2"/>
    <w:rsid w:val="00A0564A"/>
    <w:rsid w:val="00A05804"/>
    <w:rsid w:val="00A05CD4"/>
    <w:rsid w:val="00A05D38"/>
    <w:rsid w:val="00A06016"/>
    <w:rsid w:val="00A0611A"/>
    <w:rsid w:val="00A064F9"/>
    <w:rsid w:val="00A0683E"/>
    <w:rsid w:val="00A06923"/>
    <w:rsid w:val="00A06ADC"/>
    <w:rsid w:val="00A06CEB"/>
    <w:rsid w:val="00A06F38"/>
    <w:rsid w:val="00A0713F"/>
    <w:rsid w:val="00A073E9"/>
    <w:rsid w:val="00A07421"/>
    <w:rsid w:val="00A07686"/>
    <w:rsid w:val="00A076F3"/>
    <w:rsid w:val="00A07705"/>
    <w:rsid w:val="00A0776B"/>
    <w:rsid w:val="00A0781D"/>
    <w:rsid w:val="00A1010B"/>
    <w:rsid w:val="00A103F7"/>
    <w:rsid w:val="00A10410"/>
    <w:rsid w:val="00A10497"/>
    <w:rsid w:val="00A10680"/>
    <w:rsid w:val="00A1079A"/>
    <w:rsid w:val="00A10807"/>
    <w:rsid w:val="00A10C0D"/>
    <w:rsid w:val="00A10FB9"/>
    <w:rsid w:val="00A11016"/>
    <w:rsid w:val="00A1131B"/>
    <w:rsid w:val="00A113AC"/>
    <w:rsid w:val="00A11421"/>
    <w:rsid w:val="00A1157C"/>
    <w:rsid w:val="00A11865"/>
    <w:rsid w:val="00A11901"/>
    <w:rsid w:val="00A11A48"/>
    <w:rsid w:val="00A11B35"/>
    <w:rsid w:val="00A11BF2"/>
    <w:rsid w:val="00A11C83"/>
    <w:rsid w:val="00A11E00"/>
    <w:rsid w:val="00A12056"/>
    <w:rsid w:val="00A12115"/>
    <w:rsid w:val="00A12201"/>
    <w:rsid w:val="00A1237A"/>
    <w:rsid w:val="00A12899"/>
    <w:rsid w:val="00A12B77"/>
    <w:rsid w:val="00A12D65"/>
    <w:rsid w:val="00A12FD5"/>
    <w:rsid w:val="00A133D4"/>
    <w:rsid w:val="00A13468"/>
    <w:rsid w:val="00A1389F"/>
    <w:rsid w:val="00A13B7A"/>
    <w:rsid w:val="00A13CDD"/>
    <w:rsid w:val="00A13DCA"/>
    <w:rsid w:val="00A140C6"/>
    <w:rsid w:val="00A140E9"/>
    <w:rsid w:val="00A14187"/>
    <w:rsid w:val="00A141CF"/>
    <w:rsid w:val="00A14415"/>
    <w:rsid w:val="00A14578"/>
    <w:rsid w:val="00A146BC"/>
    <w:rsid w:val="00A146C2"/>
    <w:rsid w:val="00A14783"/>
    <w:rsid w:val="00A15525"/>
    <w:rsid w:val="00A155F4"/>
    <w:rsid w:val="00A157B1"/>
    <w:rsid w:val="00A15815"/>
    <w:rsid w:val="00A159CE"/>
    <w:rsid w:val="00A15A4C"/>
    <w:rsid w:val="00A15C95"/>
    <w:rsid w:val="00A15CA5"/>
    <w:rsid w:val="00A15CD4"/>
    <w:rsid w:val="00A16056"/>
    <w:rsid w:val="00A16236"/>
    <w:rsid w:val="00A16284"/>
    <w:rsid w:val="00A16403"/>
    <w:rsid w:val="00A166FD"/>
    <w:rsid w:val="00A16857"/>
    <w:rsid w:val="00A169BE"/>
    <w:rsid w:val="00A16A5A"/>
    <w:rsid w:val="00A16C72"/>
    <w:rsid w:val="00A16C77"/>
    <w:rsid w:val="00A16D5E"/>
    <w:rsid w:val="00A1736E"/>
    <w:rsid w:val="00A175E8"/>
    <w:rsid w:val="00A179CE"/>
    <w:rsid w:val="00A17A0A"/>
    <w:rsid w:val="00A17F04"/>
    <w:rsid w:val="00A203A0"/>
    <w:rsid w:val="00A207C8"/>
    <w:rsid w:val="00A20A00"/>
    <w:rsid w:val="00A20E3E"/>
    <w:rsid w:val="00A20E46"/>
    <w:rsid w:val="00A21083"/>
    <w:rsid w:val="00A2129C"/>
    <w:rsid w:val="00A213C9"/>
    <w:rsid w:val="00A216E9"/>
    <w:rsid w:val="00A217F5"/>
    <w:rsid w:val="00A218A7"/>
    <w:rsid w:val="00A21917"/>
    <w:rsid w:val="00A21AF0"/>
    <w:rsid w:val="00A21D81"/>
    <w:rsid w:val="00A21EF3"/>
    <w:rsid w:val="00A21F22"/>
    <w:rsid w:val="00A22229"/>
    <w:rsid w:val="00A223F2"/>
    <w:rsid w:val="00A223FE"/>
    <w:rsid w:val="00A224EF"/>
    <w:rsid w:val="00A225BF"/>
    <w:rsid w:val="00A2297C"/>
    <w:rsid w:val="00A22C76"/>
    <w:rsid w:val="00A23190"/>
    <w:rsid w:val="00A23529"/>
    <w:rsid w:val="00A23622"/>
    <w:rsid w:val="00A2362B"/>
    <w:rsid w:val="00A239B2"/>
    <w:rsid w:val="00A23C50"/>
    <w:rsid w:val="00A23CD5"/>
    <w:rsid w:val="00A23F2B"/>
    <w:rsid w:val="00A23F4B"/>
    <w:rsid w:val="00A24024"/>
    <w:rsid w:val="00A24048"/>
    <w:rsid w:val="00A24167"/>
    <w:rsid w:val="00A2416A"/>
    <w:rsid w:val="00A24442"/>
    <w:rsid w:val="00A2450A"/>
    <w:rsid w:val="00A247E1"/>
    <w:rsid w:val="00A24808"/>
    <w:rsid w:val="00A24ADA"/>
    <w:rsid w:val="00A24B6D"/>
    <w:rsid w:val="00A24C96"/>
    <w:rsid w:val="00A24D5B"/>
    <w:rsid w:val="00A252C9"/>
    <w:rsid w:val="00A2553B"/>
    <w:rsid w:val="00A25A95"/>
    <w:rsid w:val="00A25D3B"/>
    <w:rsid w:val="00A25DD9"/>
    <w:rsid w:val="00A25F40"/>
    <w:rsid w:val="00A261C7"/>
    <w:rsid w:val="00A262F8"/>
    <w:rsid w:val="00A2638C"/>
    <w:rsid w:val="00A26B91"/>
    <w:rsid w:val="00A26FE6"/>
    <w:rsid w:val="00A2740E"/>
    <w:rsid w:val="00A27718"/>
    <w:rsid w:val="00A27953"/>
    <w:rsid w:val="00A27D81"/>
    <w:rsid w:val="00A27ECE"/>
    <w:rsid w:val="00A300C5"/>
    <w:rsid w:val="00A303F1"/>
    <w:rsid w:val="00A306B1"/>
    <w:rsid w:val="00A30AA1"/>
    <w:rsid w:val="00A30C7A"/>
    <w:rsid w:val="00A30E5A"/>
    <w:rsid w:val="00A30EFB"/>
    <w:rsid w:val="00A30F8B"/>
    <w:rsid w:val="00A3113C"/>
    <w:rsid w:val="00A3128E"/>
    <w:rsid w:val="00A3132D"/>
    <w:rsid w:val="00A31349"/>
    <w:rsid w:val="00A31658"/>
    <w:rsid w:val="00A31753"/>
    <w:rsid w:val="00A319BF"/>
    <w:rsid w:val="00A31D88"/>
    <w:rsid w:val="00A31F60"/>
    <w:rsid w:val="00A31FE6"/>
    <w:rsid w:val="00A32131"/>
    <w:rsid w:val="00A321D1"/>
    <w:rsid w:val="00A322C5"/>
    <w:rsid w:val="00A323B8"/>
    <w:rsid w:val="00A32577"/>
    <w:rsid w:val="00A32C39"/>
    <w:rsid w:val="00A330BB"/>
    <w:rsid w:val="00A3367F"/>
    <w:rsid w:val="00A33765"/>
    <w:rsid w:val="00A33AA5"/>
    <w:rsid w:val="00A33C33"/>
    <w:rsid w:val="00A33C48"/>
    <w:rsid w:val="00A33E6A"/>
    <w:rsid w:val="00A33EBF"/>
    <w:rsid w:val="00A346C2"/>
    <w:rsid w:val="00A34B6E"/>
    <w:rsid w:val="00A34C8B"/>
    <w:rsid w:val="00A34D86"/>
    <w:rsid w:val="00A34F45"/>
    <w:rsid w:val="00A34FF3"/>
    <w:rsid w:val="00A35496"/>
    <w:rsid w:val="00A35B68"/>
    <w:rsid w:val="00A35D92"/>
    <w:rsid w:val="00A35D98"/>
    <w:rsid w:val="00A360A1"/>
    <w:rsid w:val="00A3625E"/>
    <w:rsid w:val="00A3631B"/>
    <w:rsid w:val="00A363ED"/>
    <w:rsid w:val="00A36455"/>
    <w:rsid w:val="00A365FD"/>
    <w:rsid w:val="00A366AC"/>
    <w:rsid w:val="00A367DB"/>
    <w:rsid w:val="00A36893"/>
    <w:rsid w:val="00A36A61"/>
    <w:rsid w:val="00A36C49"/>
    <w:rsid w:val="00A36EF7"/>
    <w:rsid w:val="00A3755C"/>
    <w:rsid w:val="00A376DF"/>
    <w:rsid w:val="00A3771E"/>
    <w:rsid w:val="00A37AC2"/>
    <w:rsid w:val="00A37ACC"/>
    <w:rsid w:val="00A37B0D"/>
    <w:rsid w:val="00A37E25"/>
    <w:rsid w:val="00A37EC8"/>
    <w:rsid w:val="00A37ECF"/>
    <w:rsid w:val="00A40356"/>
    <w:rsid w:val="00A4057D"/>
    <w:rsid w:val="00A4078C"/>
    <w:rsid w:val="00A40A2E"/>
    <w:rsid w:val="00A40D8B"/>
    <w:rsid w:val="00A40DA5"/>
    <w:rsid w:val="00A40DAD"/>
    <w:rsid w:val="00A40F43"/>
    <w:rsid w:val="00A4111E"/>
    <w:rsid w:val="00A41232"/>
    <w:rsid w:val="00A41398"/>
    <w:rsid w:val="00A4172C"/>
    <w:rsid w:val="00A41BD5"/>
    <w:rsid w:val="00A41D7E"/>
    <w:rsid w:val="00A42092"/>
    <w:rsid w:val="00A421B4"/>
    <w:rsid w:val="00A4286C"/>
    <w:rsid w:val="00A428CF"/>
    <w:rsid w:val="00A42B49"/>
    <w:rsid w:val="00A42B7F"/>
    <w:rsid w:val="00A42C61"/>
    <w:rsid w:val="00A42D99"/>
    <w:rsid w:val="00A42E73"/>
    <w:rsid w:val="00A42E91"/>
    <w:rsid w:val="00A42F29"/>
    <w:rsid w:val="00A42FB7"/>
    <w:rsid w:val="00A43409"/>
    <w:rsid w:val="00A43448"/>
    <w:rsid w:val="00A43951"/>
    <w:rsid w:val="00A43A56"/>
    <w:rsid w:val="00A43A73"/>
    <w:rsid w:val="00A43AB4"/>
    <w:rsid w:val="00A43B3B"/>
    <w:rsid w:val="00A43F45"/>
    <w:rsid w:val="00A44498"/>
    <w:rsid w:val="00A444FF"/>
    <w:rsid w:val="00A4456A"/>
    <w:rsid w:val="00A446F5"/>
    <w:rsid w:val="00A44882"/>
    <w:rsid w:val="00A449CC"/>
    <w:rsid w:val="00A44C10"/>
    <w:rsid w:val="00A45125"/>
    <w:rsid w:val="00A45799"/>
    <w:rsid w:val="00A4601E"/>
    <w:rsid w:val="00A46077"/>
    <w:rsid w:val="00A4626B"/>
    <w:rsid w:val="00A4626F"/>
    <w:rsid w:val="00A46333"/>
    <w:rsid w:val="00A46816"/>
    <w:rsid w:val="00A46A93"/>
    <w:rsid w:val="00A46BF6"/>
    <w:rsid w:val="00A47000"/>
    <w:rsid w:val="00A47580"/>
    <w:rsid w:val="00A4766C"/>
    <w:rsid w:val="00A47797"/>
    <w:rsid w:val="00A478BC"/>
    <w:rsid w:val="00A4798D"/>
    <w:rsid w:val="00A479CF"/>
    <w:rsid w:val="00A47AC7"/>
    <w:rsid w:val="00A47B0F"/>
    <w:rsid w:val="00A47C7A"/>
    <w:rsid w:val="00A47CDF"/>
    <w:rsid w:val="00A47D64"/>
    <w:rsid w:val="00A47FA1"/>
    <w:rsid w:val="00A50055"/>
    <w:rsid w:val="00A50505"/>
    <w:rsid w:val="00A50FA6"/>
    <w:rsid w:val="00A5103A"/>
    <w:rsid w:val="00A51413"/>
    <w:rsid w:val="00A51654"/>
    <w:rsid w:val="00A51808"/>
    <w:rsid w:val="00A5189B"/>
    <w:rsid w:val="00A51AA2"/>
    <w:rsid w:val="00A51D6B"/>
    <w:rsid w:val="00A51E17"/>
    <w:rsid w:val="00A52151"/>
    <w:rsid w:val="00A5268A"/>
    <w:rsid w:val="00A5278B"/>
    <w:rsid w:val="00A52886"/>
    <w:rsid w:val="00A52995"/>
    <w:rsid w:val="00A52A14"/>
    <w:rsid w:val="00A52B08"/>
    <w:rsid w:val="00A52CD8"/>
    <w:rsid w:val="00A52D9D"/>
    <w:rsid w:val="00A52DD9"/>
    <w:rsid w:val="00A52FF3"/>
    <w:rsid w:val="00A53226"/>
    <w:rsid w:val="00A5338D"/>
    <w:rsid w:val="00A53504"/>
    <w:rsid w:val="00A538F5"/>
    <w:rsid w:val="00A53993"/>
    <w:rsid w:val="00A53A0F"/>
    <w:rsid w:val="00A53CAB"/>
    <w:rsid w:val="00A53CBB"/>
    <w:rsid w:val="00A53D42"/>
    <w:rsid w:val="00A53EC0"/>
    <w:rsid w:val="00A53F52"/>
    <w:rsid w:val="00A542EC"/>
    <w:rsid w:val="00A54351"/>
    <w:rsid w:val="00A543DE"/>
    <w:rsid w:val="00A54715"/>
    <w:rsid w:val="00A547AA"/>
    <w:rsid w:val="00A54836"/>
    <w:rsid w:val="00A54945"/>
    <w:rsid w:val="00A54A57"/>
    <w:rsid w:val="00A54BE3"/>
    <w:rsid w:val="00A54D12"/>
    <w:rsid w:val="00A54F7B"/>
    <w:rsid w:val="00A55230"/>
    <w:rsid w:val="00A5536B"/>
    <w:rsid w:val="00A5543C"/>
    <w:rsid w:val="00A55566"/>
    <w:rsid w:val="00A5571F"/>
    <w:rsid w:val="00A55886"/>
    <w:rsid w:val="00A55A4F"/>
    <w:rsid w:val="00A55ADA"/>
    <w:rsid w:val="00A55B7A"/>
    <w:rsid w:val="00A55D39"/>
    <w:rsid w:val="00A55DDE"/>
    <w:rsid w:val="00A55FE3"/>
    <w:rsid w:val="00A5610F"/>
    <w:rsid w:val="00A5633F"/>
    <w:rsid w:val="00A564CA"/>
    <w:rsid w:val="00A565DA"/>
    <w:rsid w:val="00A567F8"/>
    <w:rsid w:val="00A5693F"/>
    <w:rsid w:val="00A569B5"/>
    <w:rsid w:val="00A56BC0"/>
    <w:rsid w:val="00A56D8C"/>
    <w:rsid w:val="00A56F5B"/>
    <w:rsid w:val="00A570C4"/>
    <w:rsid w:val="00A57210"/>
    <w:rsid w:val="00A57492"/>
    <w:rsid w:val="00A57797"/>
    <w:rsid w:val="00A57827"/>
    <w:rsid w:val="00A57AF5"/>
    <w:rsid w:val="00A57BE1"/>
    <w:rsid w:val="00A57E38"/>
    <w:rsid w:val="00A57E8E"/>
    <w:rsid w:val="00A57F13"/>
    <w:rsid w:val="00A6061C"/>
    <w:rsid w:val="00A607AA"/>
    <w:rsid w:val="00A61059"/>
    <w:rsid w:val="00A6174D"/>
    <w:rsid w:val="00A61917"/>
    <w:rsid w:val="00A61CD2"/>
    <w:rsid w:val="00A61D2C"/>
    <w:rsid w:val="00A621DA"/>
    <w:rsid w:val="00A62324"/>
    <w:rsid w:val="00A62453"/>
    <w:rsid w:val="00A62895"/>
    <w:rsid w:val="00A62AE3"/>
    <w:rsid w:val="00A62C0E"/>
    <w:rsid w:val="00A62D3F"/>
    <w:rsid w:val="00A62D44"/>
    <w:rsid w:val="00A62FF3"/>
    <w:rsid w:val="00A6327E"/>
    <w:rsid w:val="00A63307"/>
    <w:rsid w:val="00A63A20"/>
    <w:rsid w:val="00A63B31"/>
    <w:rsid w:val="00A63D93"/>
    <w:rsid w:val="00A63F04"/>
    <w:rsid w:val="00A63F3E"/>
    <w:rsid w:val="00A6408F"/>
    <w:rsid w:val="00A64221"/>
    <w:rsid w:val="00A64277"/>
    <w:rsid w:val="00A6455C"/>
    <w:rsid w:val="00A648DF"/>
    <w:rsid w:val="00A64B38"/>
    <w:rsid w:val="00A64B42"/>
    <w:rsid w:val="00A64B7C"/>
    <w:rsid w:val="00A64BF6"/>
    <w:rsid w:val="00A64FBE"/>
    <w:rsid w:val="00A6502D"/>
    <w:rsid w:val="00A6533D"/>
    <w:rsid w:val="00A6598C"/>
    <w:rsid w:val="00A65B58"/>
    <w:rsid w:val="00A65CB5"/>
    <w:rsid w:val="00A65CEB"/>
    <w:rsid w:val="00A65FCC"/>
    <w:rsid w:val="00A66196"/>
    <w:rsid w:val="00A662A9"/>
    <w:rsid w:val="00A66433"/>
    <w:rsid w:val="00A664B6"/>
    <w:rsid w:val="00A66569"/>
    <w:rsid w:val="00A667DA"/>
    <w:rsid w:val="00A66A92"/>
    <w:rsid w:val="00A66ECA"/>
    <w:rsid w:val="00A66F42"/>
    <w:rsid w:val="00A67263"/>
    <w:rsid w:val="00A6731D"/>
    <w:rsid w:val="00A6748E"/>
    <w:rsid w:val="00A6755F"/>
    <w:rsid w:val="00A675DD"/>
    <w:rsid w:val="00A67600"/>
    <w:rsid w:val="00A67761"/>
    <w:rsid w:val="00A67CF2"/>
    <w:rsid w:val="00A67D0D"/>
    <w:rsid w:val="00A67E3F"/>
    <w:rsid w:val="00A67E67"/>
    <w:rsid w:val="00A67E83"/>
    <w:rsid w:val="00A67FBC"/>
    <w:rsid w:val="00A7003F"/>
    <w:rsid w:val="00A702A5"/>
    <w:rsid w:val="00A70861"/>
    <w:rsid w:val="00A708E7"/>
    <w:rsid w:val="00A70ACE"/>
    <w:rsid w:val="00A7107B"/>
    <w:rsid w:val="00A710E2"/>
    <w:rsid w:val="00A71114"/>
    <w:rsid w:val="00A711FC"/>
    <w:rsid w:val="00A713EF"/>
    <w:rsid w:val="00A713F5"/>
    <w:rsid w:val="00A71408"/>
    <w:rsid w:val="00A71589"/>
    <w:rsid w:val="00A7161C"/>
    <w:rsid w:val="00A71BA7"/>
    <w:rsid w:val="00A71CE4"/>
    <w:rsid w:val="00A72581"/>
    <w:rsid w:val="00A72742"/>
    <w:rsid w:val="00A72959"/>
    <w:rsid w:val="00A72B8C"/>
    <w:rsid w:val="00A72C9C"/>
    <w:rsid w:val="00A72E38"/>
    <w:rsid w:val="00A7344B"/>
    <w:rsid w:val="00A73690"/>
    <w:rsid w:val="00A73827"/>
    <w:rsid w:val="00A73A1B"/>
    <w:rsid w:val="00A744E9"/>
    <w:rsid w:val="00A74B8C"/>
    <w:rsid w:val="00A74F6B"/>
    <w:rsid w:val="00A74F8D"/>
    <w:rsid w:val="00A75422"/>
    <w:rsid w:val="00A755BC"/>
    <w:rsid w:val="00A75613"/>
    <w:rsid w:val="00A7579D"/>
    <w:rsid w:val="00A75998"/>
    <w:rsid w:val="00A75C64"/>
    <w:rsid w:val="00A75D6A"/>
    <w:rsid w:val="00A75F02"/>
    <w:rsid w:val="00A76051"/>
    <w:rsid w:val="00A7605B"/>
    <w:rsid w:val="00A76305"/>
    <w:rsid w:val="00A76406"/>
    <w:rsid w:val="00A76574"/>
    <w:rsid w:val="00A76737"/>
    <w:rsid w:val="00A767A2"/>
    <w:rsid w:val="00A76CF6"/>
    <w:rsid w:val="00A77268"/>
    <w:rsid w:val="00A778E3"/>
    <w:rsid w:val="00A77AA3"/>
    <w:rsid w:val="00A77DDD"/>
    <w:rsid w:val="00A77E4B"/>
    <w:rsid w:val="00A8007A"/>
    <w:rsid w:val="00A804A0"/>
    <w:rsid w:val="00A8058C"/>
    <w:rsid w:val="00A80664"/>
    <w:rsid w:val="00A80781"/>
    <w:rsid w:val="00A80935"/>
    <w:rsid w:val="00A80C17"/>
    <w:rsid w:val="00A80C5F"/>
    <w:rsid w:val="00A80D38"/>
    <w:rsid w:val="00A80E1E"/>
    <w:rsid w:val="00A80F1B"/>
    <w:rsid w:val="00A80F97"/>
    <w:rsid w:val="00A81B13"/>
    <w:rsid w:val="00A81DB9"/>
    <w:rsid w:val="00A81F91"/>
    <w:rsid w:val="00A81FF7"/>
    <w:rsid w:val="00A82294"/>
    <w:rsid w:val="00A8236D"/>
    <w:rsid w:val="00A824E5"/>
    <w:rsid w:val="00A8255F"/>
    <w:rsid w:val="00A8270C"/>
    <w:rsid w:val="00A8293B"/>
    <w:rsid w:val="00A82B12"/>
    <w:rsid w:val="00A82F33"/>
    <w:rsid w:val="00A831C6"/>
    <w:rsid w:val="00A831E1"/>
    <w:rsid w:val="00A83240"/>
    <w:rsid w:val="00A83412"/>
    <w:rsid w:val="00A835C4"/>
    <w:rsid w:val="00A836E0"/>
    <w:rsid w:val="00A8370B"/>
    <w:rsid w:val="00A8399B"/>
    <w:rsid w:val="00A83AE9"/>
    <w:rsid w:val="00A83CAE"/>
    <w:rsid w:val="00A83FFF"/>
    <w:rsid w:val="00A842D7"/>
    <w:rsid w:val="00A844CC"/>
    <w:rsid w:val="00A844D0"/>
    <w:rsid w:val="00A84677"/>
    <w:rsid w:val="00A846CD"/>
    <w:rsid w:val="00A84716"/>
    <w:rsid w:val="00A84C12"/>
    <w:rsid w:val="00A84CBC"/>
    <w:rsid w:val="00A84D8F"/>
    <w:rsid w:val="00A84EAC"/>
    <w:rsid w:val="00A850D8"/>
    <w:rsid w:val="00A853FE"/>
    <w:rsid w:val="00A854EB"/>
    <w:rsid w:val="00A856F0"/>
    <w:rsid w:val="00A8586E"/>
    <w:rsid w:val="00A85C1B"/>
    <w:rsid w:val="00A85D14"/>
    <w:rsid w:val="00A85EA0"/>
    <w:rsid w:val="00A85ED7"/>
    <w:rsid w:val="00A85F2C"/>
    <w:rsid w:val="00A86144"/>
    <w:rsid w:val="00A86208"/>
    <w:rsid w:val="00A86295"/>
    <w:rsid w:val="00A862E6"/>
    <w:rsid w:val="00A86347"/>
    <w:rsid w:val="00A86530"/>
    <w:rsid w:val="00A86B60"/>
    <w:rsid w:val="00A86EDE"/>
    <w:rsid w:val="00A87219"/>
    <w:rsid w:val="00A872E5"/>
    <w:rsid w:val="00A87721"/>
    <w:rsid w:val="00A87B91"/>
    <w:rsid w:val="00A87D05"/>
    <w:rsid w:val="00A87D66"/>
    <w:rsid w:val="00A87E2C"/>
    <w:rsid w:val="00A87F86"/>
    <w:rsid w:val="00A87F94"/>
    <w:rsid w:val="00A90499"/>
    <w:rsid w:val="00A90900"/>
    <w:rsid w:val="00A90B3E"/>
    <w:rsid w:val="00A90C8E"/>
    <w:rsid w:val="00A9131D"/>
    <w:rsid w:val="00A91406"/>
    <w:rsid w:val="00A91471"/>
    <w:rsid w:val="00A91484"/>
    <w:rsid w:val="00A9167A"/>
    <w:rsid w:val="00A9174C"/>
    <w:rsid w:val="00A9190C"/>
    <w:rsid w:val="00A91B64"/>
    <w:rsid w:val="00A91B7D"/>
    <w:rsid w:val="00A91E97"/>
    <w:rsid w:val="00A91EF1"/>
    <w:rsid w:val="00A92047"/>
    <w:rsid w:val="00A9234C"/>
    <w:rsid w:val="00A925E8"/>
    <w:rsid w:val="00A928B8"/>
    <w:rsid w:val="00A92AF7"/>
    <w:rsid w:val="00A92B2B"/>
    <w:rsid w:val="00A92B9C"/>
    <w:rsid w:val="00A92EF2"/>
    <w:rsid w:val="00A93161"/>
    <w:rsid w:val="00A932A8"/>
    <w:rsid w:val="00A93853"/>
    <w:rsid w:val="00A93908"/>
    <w:rsid w:val="00A93910"/>
    <w:rsid w:val="00A93994"/>
    <w:rsid w:val="00A93B4B"/>
    <w:rsid w:val="00A93DFC"/>
    <w:rsid w:val="00A9401E"/>
    <w:rsid w:val="00A9402E"/>
    <w:rsid w:val="00A9405D"/>
    <w:rsid w:val="00A941FC"/>
    <w:rsid w:val="00A94499"/>
    <w:rsid w:val="00A9461E"/>
    <w:rsid w:val="00A9485A"/>
    <w:rsid w:val="00A94871"/>
    <w:rsid w:val="00A949DD"/>
    <w:rsid w:val="00A94B41"/>
    <w:rsid w:val="00A952A5"/>
    <w:rsid w:val="00A95306"/>
    <w:rsid w:val="00A95331"/>
    <w:rsid w:val="00A9577C"/>
    <w:rsid w:val="00A958CD"/>
    <w:rsid w:val="00A95ECB"/>
    <w:rsid w:val="00A96021"/>
    <w:rsid w:val="00A96183"/>
    <w:rsid w:val="00A9620E"/>
    <w:rsid w:val="00A96301"/>
    <w:rsid w:val="00A96315"/>
    <w:rsid w:val="00A963A8"/>
    <w:rsid w:val="00A96613"/>
    <w:rsid w:val="00A966BA"/>
    <w:rsid w:val="00A9672A"/>
    <w:rsid w:val="00A969F7"/>
    <w:rsid w:val="00A96C30"/>
    <w:rsid w:val="00A96D33"/>
    <w:rsid w:val="00A96DA0"/>
    <w:rsid w:val="00A96E65"/>
    <w:rsid w:val="00A96ECA"/>
    <w:rsid w:val="00A96ECE"/>
    <w:rsid w:val="00A9729F"/>
    <w:rsid w:val="00A97320"/>
    <w:rsid w:val="00A97326"/>
    <w:rsid w:val="00A974A1"/>
    <w:rsid w:val="00A979B2"/>
    <w:rsid w:val="00A97C72"/>
    <w:rsid w:val="00AA00D2"/>
    <w:rsid w:val="00AA0230"/>
    <w:rsid w:val="00AA066A"/>
    <w:rsid w:val="00AA06DF"/>
    <w:rsid w:val="00AA092A"/>
    <w:rsid w:val="00AA0C37"/>
    <w:rsid w:val="00AA0C44"/>
    <w:rsid w:val="00AA0C80"/>
    <w:rsid w:val="00AA0DF6"/>
    <w:rsid w:val="00AA0FB8"/>
    <w:rsid w:val="00AA0FC7"/>
    <w:rsid w:val="00AA0FE2"/>
    <w:rsid w:val="00AA10E3"/>
    <w:rsid w:val="00AA159D"/>
    <w:rsid w:val="00AA1615"/>
    <w:rsid w:val="00AA1686"/>
    <w:rsid w:val="00AA1834"/>
    <w:rsid w:val="00AA1DC4"/>
    <w:rsid w:val="00AA1E14"/>
    <w:rsid w:val="00AA2138"/>
    <w:rsid w:val="00AA2210"/>
    <w:rsid w:val="00AA24BC"/>
    <w:rsid w:val="00AA267F"/>
    <w:rsid w:val="00AA2963"/>
    <w:rsid w:val="00AA2C48"/>
    <w:rsid w:val="00AA2D6A"/>
    <w:rsid w:val="00AA2E17"/>
    <w:rsid w:val="00AA2E18"/>
    <w:rsid w:val="00AA2F7B"/>
    <w:rsid w:val="00AA3090"/>
    <w:rsid w:val="00AA310B"/>
    <w:rsid w:val="00AA3489"/>
    <w:rsid w:val="00AA3A5F"/>
    <w:rsid w:val="00AA3E02"/>
    <w:rsid w:val="00AA40FB"/>
    <w:rsid w:val="00AA4107"/>
    <w:rsid w:val="00AA4335"/>
    <w:rsid w:val="00AA4424"/>
    <w:rsid w:val="00AA4563"/>
    <w:rsid w:val="00AA47EA"/>
    <w:rsid w:val="00AA4AD4"/>
    <w:rsid w:val="00AA4B48"/>
    <w:rsid w:val="00AA4B99"/>
    <w:rsid w:val="00AA574C"/>
    <w:rsid w:val="00AA57E6"/>
    <w:rsid w:val="00AA5A75"/>
    <w:rsid w:val="00AA6103"/>
    <w:rsid w:val="00AA629C"/>
    <w:rsid w:val="00AA63D4"/>
    <w:rsid w:val="00AA6422"/>
    <w:rsid w:val="00AA6461"/>
    <w:rsid w:val="00AA6B83"/>
    <w:rsid w:val="00AA6BC3"/>
    <w:rsid w:val="00AA6F6B"/>
    <w:rsid w:val="00AA6FBB"/>
    <w:rsid w:val="00AA732E"/>
    <w:rsid w:val="00AA78DC"/>
    <w:rsid w:val="00AA7934"/>
    <w:rsid w:val="00AA79F8"/>
    <w:rsid w:val="00AA7D45"/>
    <w:rsid w:val="00AA7EBB"/>
    <w:rsid w:val="00AB0613"/>
    <w:rsid w:val="00AB06E8"/>
    <w:rsid w:val="00AB0764"/>
    <w:rsid w:val="00AB0F0D"/>
    <w:rsid w:val="00AB114D"/>
    <w:rsid w:val="00AB174D"/>
    <w:rsid w:val="00AB1806"/>
    <w:rsid w:val="00AB1847"/>
    <w:rsid w:val="00AB18CD"/>
    <w:rsid w:val="00AB1932"/>
    <w:rsid w:val="00AB1AC1"/>
    <w:rsid w:val="00AB1B30"/>
    <w:rsid w:val="00AB1CA5"/>
    <w:rsid w:val="00AB1CD3"/>
    <w:rsid w:val="00AB1D4C"/>
    <w:rsid w:val="00AB247E"/>
    <w:rsid w:val="00AB2683"/>
    <w:rsid w:val="00AB2727"/>
    <w:rsid w:val="00AB275B"/>
    <w:rsid w:val="00AB2773"/>
    <w:rsid w:val="00AB277C"/>
    <w:rsid w:val="00AB2C71"/>
    <w:rsid w:val="00AB2DE3"/>
    <w:rsid w:val="00AB2F67"/>
    <w:rsid w:val="00AB30B3"/>
    <w:rsid w:val="00AB315D"/>
    <w:rsid w:val="00AB3413"/>
    <w:rsid w:val="00AB352F"/>
    <w:rsid w:val="00AB3BD4"/>
    <w:rsid w:val="00AB3E04"/>
    <w:rsid w:val="00AB3EDD"/>
    <w:rsid w:val="00AB436D"/>
    <w:rsid w:val="00AB44F2"/>
    <w:rsid w:val="00AB45DB"/>
    <w:rsid w:val="00AB46F4"/>
    <w:rsid w:val="00AB49D8"/>
    <w:rsid w:val="00AB4AE9"/>
    <w:rsid w:val="00AB4B79"/>
    <w:rsid w:val="00AB4CA9"/>
    <w:rsid w:val="00AB4DD3"/>
    <w:rsid w:val="00AB4EE9"/>
    <w:rsid w:val="00AB5252"/>
    <w:rsid w:val="00AB53B1"/>
    <w:rsid w:val="00AB56EE"/>
    <w:rsid w:val="00AB56FC"/>
    <w:rsid w:val="00AB57A6"/>
    <w:rsid w:val="00AB5947"/>
    <w:rsid w:val="00AB5A70"/>
    <w:rsid w:val="00AB5AE5"/>
    <w:rsid w:val="00AB5B87"/>
    <w:rsid w:val="00AB5CDD"/>
    <w:rsid w:val="00AB5DB2"/>
    <w:rsid w:val="00AB5F83"/>
    <w:rsid w:val="00AB6191"/>
    <w:rsid w:val="00AB62C3"/>
    <w:rsid w:val="00AB6493"/>
    <w:rsid w:val="00AB65A7"/>
    <w:rsid w:val="00AB66C6"/>
    <w:rsid w:val="00AB684A"/>
    <w:rsid w:val="00AB68DE"/>
    <w:rsid w:val="00AB6B8B"/>
    <w:rsid w:val="00AB6DF5"/>
    <w:rsid w:val="00AB7315"/>
    <w:rsid w:val="00AB7395"/>
    <w:rsid w:val="00AB7A8D"/>
    <w:rsid w:val="00AB7CA7"/>
    <w:rsid w:val="00AB7CBF"/>
    <w:rsid w:val="00AB7D19"/>
    <w:rsid w:val="00AB7D7D"/>
    <w:rsid w:val="00AB7EA9"/>
    <w:rsid w:val="00AC0B65"/>
    <w:rsid w:val="00AC0C36"/>
    <w:rsid w:val="00AC0D08"/>
    <w:rsid w:val="00AC0FFF"/>
    <w:rsid w:val="00AC1138"/>
    <w:rsid w:val="00AC13C9"/>
    <w:rsid w:val="00AC13F4"/>
    <w:rsid w:val="00AC18E4"/>
    <w:rsid w:val="00AC198A"/>
    <w:rsid w:val="00AC1A10"/>
    <w:rsid w:val="00AC1A5E"/>
    <w:rsid w:val="00AC1AA1"/>
    <w:rsid w:val="00AC1CE9"/>
    <w:rsid w:val="00AC25A9"/>
    <w:rsid w:val="00AC274B"/>
    <w:rsid w:val="00AC296D"/>
    <w:rsid w:val="00AC2B0C"/>
    <w:rsid w:val="00AC2BD0"/>
    <w:rsid w:val="00AC2C4C"/>
    <w:rsid w:val="00AC2FE9"/>
    <w:rsid w:val="00AC3267"/>
    <w:rsid w:val="00AC348F"/>
    <w:rsid w:val="00AC34D9"/>
    <w:rsid w:val="00AC3528"/>
    <w:rsid w:val="00AC3681"/>
    <w:rsid w:val="00AC377D"/>
    <w:rsid w:val="00AC3AF3"/>
    <w:rsid w:val="00AC3C31"/>
    <w:rsid w:val="00AC3D04"/>
    <w:rsid w:val="00AC443B"/>
    <w:rsid w:val="00AC45CD"/>
    <w:rsid w:val="00AC4764"/>
    <w:rsid w:val="00AC4AAA"/>
    <w:rsid w:val="00AC4DF5"/>
    <w:rsid w:val="00AC4E27"/>
    <w:rsid w:val="00AC50DB"/>
    <w:rsid w:val="00AC58E5"/>
    <w:rsid w:val="00AC5C87"/>
    <w:rsid w:val="00AC5DEE"/>
    <w:rsid w:val="00AC609E"/>
    <w:rsid w:val="00AC6224"/>
    <w:rsid w:val="00AC6333"/>
    <w:rsid w:val="00AC6656"/>
    <w:rsid w:val="00AC6ACF"/>
    <w:rsid w:val="00AC6B4E"/>
    <w:rsid w:val="00AC6D36"/>
    <w:rsid w:val="00AC6D4C"/>
    <w:rsid w:val="00AC6F3A"/>
    <w:rsid w:val="00AC6FB8"/>
    <w:rsid w:val="00AC70A6"/>
    <w:rsid w:val="00AC71B8"/>
    <w:rsid w:val="00AC7251"/>
    <w:rsid w:val="00AC759F"/>
    <w:rsid w:val="00AC7AAA"/>
    <w:rsid w:val="00AC7B80"/>
    <w:rsid w:val="00AD052E"/>
    <w:rsid w:val="00AD065D"/>
    <w:rsid w:val="00AD08A4"/>
    <w:rsid w:val="00AD09AB"/>
    <w:rsid w:val="00AD0CBA"/>
    <w:rsid w:val="00AD0EE4"/>
    <w:rsid w:val="00AD101E"/>
    <w:rsid w:val="00AD1204"/>
    <w:rsid w:val="00AD12B2"/>
    <w:rsid w:val="00AD155C"/>
    <w:rsid w:val="00AD1640"/>
    <w:rsid w:val="00AD16AD"/>
    <w:rsid w:val="00AD1703"/>
    <w:rsid w:val="00AD173C"/>
    <w:rsid w:val="00AD1980"/>
    <w:rsid w:val="00AD1A82"/>
    <w:rsid w:val="00AD1CEB"/>
    <w:rsid w:val="00AD1E30"/>
    <w:rsid w:val="00AD20C1"/>
    <w:rsid w:val="00AD2366"/>
    <w:rsid w:val="00AD2646"/>
    <w:rsid w:val="00AD26E2"/>
    <w:rsid w:val="00AD29DC"/>
    <w:rsid w:val="00AD2A3D"/>
    <w:rsid w:val="00AD2B80"/>
    <w:rsid w:val="00AD2E88"/>
    <w:rsid w:val="00AD30A4"/>
    <w:rsid w:val="00AD34E8"/>
    <w:rsid w:val="00AD3B31"/>
    <w:rsid w:val="00AD3C66"/>
    <w:rsid w:val="00AD3E60"/>
    <w:rsid w:val="00AD3F94"/>
    <w:rsid w:val="00AD415D"/>
    <w:rsid w:val="00AD4182"/>
    <w:rsid w:val="00AD4342"/>
    <w:rsid w:val="00AD4732"/>
    <w:rsid w:val="00AD4797"/>
    <w:rsid w:val="00AD4926"/>
    <w:rsid w:val="00AD4AE2"/>
    <w:rsid w:val="00AD50A6"/>
    <w:rsid w:val="00AD5102"/>
    <w:rsid w:val="00AD5284"/>
    <w:rsid w:val="00AD547B"/>
    <w:rsid w:val="00AD5548"/>
    <w:rsid w:val="00AD58A7"/>
    <w:rsid w:val="00AD64AE"/>
    <w:rsid w:val="00AD6517"/>
    <w:rsid w:val="00AD685C"/>
    <w:rsid w:val="00AD6E56"/>
    <w:rsid w:val="00AD7112"/>
    <w:rsid w:val="00AD7207"/>
    <w:rsid w:val="00AD7560"/>
    <w:rsid w:val="00AD7727"/>
    <w:rsid w:val="00AD77EA"/>
    <w:rsid w:val="00AD77F8"/>
    <w:rsid w:val="00AD784C"/>
    <w:rsid w:val="00AD7A12"/>
    <w:rsid w:val="00AD7A54"/>
    <w:rsid w:val="00AD7A6C"/>
    <w:rsid w:val="00AE0086"/>
    <w:rsid w:val="00AE0126"/>
    <w:rsid w:val="00AE01D4"/>
    <w:rsid w:val="00AE042D"/>
    <w:rsid w:val="00AE0479"/>
    <w:rsid w:val="00AE0967"/>
    <w:rsid w:val="00AE0CF1"/>
    <w:rsid w:val="00AE0EB0"/>
    <w:rsid w:val="00AE126A"/>
    <w:rsid w:val="00AE13B0"/>
    <w:rsid w:val="00AE1575"/>
    <w:rsid w:val="00AE1787"/>
    <w:rsid w:val="00AE193E"/>
    <w:rsid w:val="00AE1B86"/>
    <w:rsid w:val="00AE1BAE"/>
    <w:rsid w:val="00AE1C3A"/>
    <w:rsid w:val="00AE20A2"/>
    <w:rsid w:val="00AE210A"/>
    <w:rsid w:val="00AE2438"/>
    <w:rsid w:val="00AE2465"/>
    <w:rsid w:val="00AE27AF"/>
    <w:rsid w:val="00AE2AB3"/>
    <w:rsid w:val="00AE2C07"/>
    <w:rsid w:val="00AE2E0C"/>
    <w:rsid w:val="00AE2F36"/>
    <w:rsid w:val="00AE3005"/>
    <w:rsid w:val="00AE308E"/>
    <w:rsid w:val="00AE3379"/>
    <w:rsid w:val="00AE36B8"/>
    <w:rsid w:val="00AE38F5"/>
    <w:rsid w:val="00AE3BB5"/>
    <w:rsid w:val="00AE3BD5"/>
    <w:rsid w:val="00AE4180"/>
    <w:rsid w:val="00AE41E3"/>
    <w:rsid w:val="00AE4352"/>
    <w:rsid w:val="00AE4418"/>
    <w:rsid w:val="00AE450D"/>
    <w:rsid w:val="00AE4574"/>
    <w:rsid w:val="00AE4828"/>
    <w:rsid w:val="00AE4B0D"/>
    <w:rsid w:val="00AE4B26"/>
    <w:rsid w:val="00AE4E45"/>
    <w:rsid w:val="00AE5181"/>
    <w:rsid w:val="00AE5254"/>
    <w:rsid w:val="00AE532A"/>
    <w:rsid w:val="00AE55FC"/>
    <w:rsid w:val="00AE56B5"/>
    <w:rsid w:val="00AE57BB"/>
    <w:rsid w:val="00AE59A0"/>
    <w:rsid w:val="00AE5A51"/>
    <w:rsid w:val="00AE5CA0"/>
    <w:rsid w:val="00AE5D45"/>
    <w:rsid w:val="00AE5ED9"/>
    <w:rsid w:val="00AE6A3F"/>
    <w:rsid w:val="00AE6A5B"/>
    <w:rsid w:val="00AE6C6D"/>
    <w:rsid w:val="00AE6E01"/>
    <w:rsid w:val="00AE7062"/>
    <w:rsid w:val="00AE709C"/>
    <w:rsid w:val="00AE7487"/>
    <w:rsid w:val="00AE75C1"/>
    <w:rsid w:val="00AE77AD"/>
    <w:rsid w:val="00AE7ACF"/>
    <w:rsid w:val="00AE7B15"/>
    <w:rsid w:val="00AF00DD"/>
    <w:rsid w:val="00AF012F"/>
    <w:rsid w:val="00AF0240"/>
    <w:rsid w:val="00AF05E2"/>
    <w:rsid w:val="00AF05FB"/>
    <w:rsid w:val="00AF0C57"/>
    <w:rsid w:val="00AF0F5B"/>
    <w:rsid w:val="00AF1367"/>
    <w:rsid w:val="00AF15F8"/>
    <w:rsid w:val="00AF1AB2"/>
    <w:rsid w:val="00AF1CD0"/>
    <w:rsid w:val="00AF1DBB"/>
    <w:rsid w:val="00AF214E"/>
    <w:rsid w:val="00AF224B"/>
    <w:rsid w:val="00AF2488"/>
    <w:rsid w:val="00AF24FC"/>
    <w:rsid w:val="00AF26F3"/>
    <w:rsid w:val="00AF2CDD"/>
    <w:rsid w:val="00AF2ECA"/>
    <w:rsid w:val="00AF2FC1"/>
    <w:rsid w:val="00AF3117"/>
    <w:rsid w:val="00AF3174"/>
    <w:rsid w:val="00AF388C"/>
    <w:rsid w:val="00AF3D83"/>
    <w:rsid w:val="00AF3DBF"/>
    <w:rsid w:val="00AF3FDF"/>
    <w:rsid w:val="00AF44DB"/>
    <w:rsid w:val="00AF47C4"/>
    <w:rsid w:val="00AF482D"/>
    <w:rsid w:val="00AF4858"/>
    <w:rsid w:val="00AF49AE"/>
    <w:rsid w:val="00AF4A04"/>
    <w:rsid w:val="00AF4B2A"/>
    <w:rsid w:val="00AF4EAF"/>
    <w:rsid w:val="00AF4EE8"/>
    <w:rsid w:val="00AF552C"/>
    <w:rsid w:val="00AF55E9"/>
    <w:rsid w:val="00AF5758"/>
    <w:rsid w:val="00AF59E2"/>
    <w:rsid w:val="00AF5A0B"/>
    <w:rsid w:val="00AF5DAB"/>
    <w:rsid w:val="00AF5F04"/>
    <w:rsid w:val="00AF5FAD"/>
    <w:rsid w:val="00AF6134"/>
    <w:rsid w:val="00AF636C"/>
    <w:rsid w:val="00AF643B"/>
    <w:rsid w:val="00AF6CBE"/>
    <w:rsid w:val="00AF6D37"/>
    <w:rsid w:val="00AF6F41"/>
    <w:rsid w:val="00AF7182"/>
    <w:rsid w:val="00AF7663"/>
    <w:rsid w:val="00AF771E"/>
    <w:rsid w:val="00AF79BC"/>
    <w:rsid w:val="00AF7A96"/>
    <w:rsid w:val="00AF7B91"/>
    <w:rsid w:val="00AF7DA0"/>
    <w:rsid w:val="00B00031"/>
    <w:rsid w:val="00B0004D"/>
    <w:rsid w:val="00B000E2"/>
    <w:rsid w:val="00B00402"/>
    <w:rsid w:val="00B00487"/>
    <w:rsid w:val="00B005AB"/>
    <w:rsid w:val="00B00672"/>
    <w:rsid w:val="00B006DA"/>
    <w:rsid w:val="00B006EE"/>
    <w:rsid w:val="00B009AE"/>
    <w:rsid w:val="00B00A6B"/>
    <w:rsid w:val="00B00D9A"/>
    <w:rsid w:val="00B00F36"/>
    <w:rsid w:val="00B00F86"/>
    <w:rsid w:val="00B01107"/>
    <w:rsid w:val="00B01409"/>
    <w:rsid w:val="00B01508"/>
    <w:rsid w:val="00B0169D"/>
    <w:rsid w:val="00B0172B"/>
    <w:rsid w:val="00B017C0"/>
    <w:rsid w:val="00B019FF"/>
    <w:rsid w:val="00B01B4A"/>
    <w:rsid w:val="00B01B4D"/>
    <w:rsid w:val="00B0249E"/>
    <w:rsid w:val="00B024A8"/>
    <w:rsid w:val="00B0265D"/>
    <w:rsid w:val="00B02879"/>
    <w:rsid w:val="00B0293E"/>
    <w:rsid w:val="00B02D7A"/>
    <w:rsid w:val="00B02EA6"/>
    <w:rsid w:val="00B02FD5"/>
    <w:rsid w:val="00B0355B"/>
    <w:rsid w:val="00B0368B"/>
    <w:rsid w:val="00B03739"/>
    <w:rsid w:val="00B03C1D"/>
    <w:rsid w:val="00B03D02"/>
    <w:rsid w:val="00B03FFB"/>
    <w:rsid w:val="00B04134"/>
    <w:rsid w:val="00B04489"/>
    <w:rsid w:val="00B0448F"/>
    <w:rsid w:val="00B04522"/>
    <w:rsid w:val="00B04852"/>
    <w:rsid w:val="00B04A19"/>
    <w:rsid w:val="00B04B0B"/>
    <w:rsid w:val="00B04B4E"/>
    <w:rsid w:val="00B04FAD"/>
    <w:rsid w:val="00B05005"/>
    <w:rsid w:val="00B05A10"/>
    <w:rsid w:val="00B05DEB"/>
    <w:rsid w:val="00B06571"/>
    <w:rsid w:val="00B068BA"/>
    <w:rsid w:val="00B068EA"/>
    <w:rsid w:val="00B069EC"/>
    <w:rsid w:val="00B06A7D"/>
    <w:rsid w:val="00B06E5C"/>
    <w:rsid w:val="00B06F08"/>
    <w:rsid w:val="00B07217"/>
    <w:rsid w:val="00B07322"/>
    <w:rsid w:val="00B07583"/>
    <w:rsid w:val="00B075F8"/>
    <w:rsid w:val="00B07614"/>
    <w:rsid w:val="00B0779E"/>
    <w:rsid w:val="00B07E8B"/>
    <w:rsid w:val="00B07E91"/>
    <w:rsid w:val="00B07EFD"/>
    <w:rsid w:val="00B1034C"/>
    <w:rsid w:val="00B103AF"/>
    <w:rsid w:val="00B10504"/>
    <w:rsid w:val="00B1051E"/>
    <w:rsid w:val="00B10524"/>
    <w:rsid w:val="00B10548"/>
    <w:rsid w:val="00B1062D"/>
    <w:rsid w:val="00B106F5"/>
    <w:rsid w:val="00B108C9"/>
    <w:rsid w:val="00B10999"/>
    <w:rsid w:val="00B10BD0"/>
    <w:rsid w:val="00B10D37"/>
    <w:rsid w:val="00B10D93"/>
    <w:rsid w:val="00B10E6C"/>
    <w:rsid w:val="00B10F1D"/>
    <w:rsid w:val="00B1133C"/>
    <w:rsid w:val="00B1145B"/>
    <w:rsid w:val="00B11607"/>
    <w:rsid w:val="00B116D0"/>
    <w:rsid w:val="00B11BB6"/>
    <w:rsid w:val="00B11CCA"/>
    <w:rsid w:val="00B11D52"/>
    <w:rsid w:val="00B11E72"/>
    <w:rsid w:val="00B11FCD"/>
    <w:rsid w:val="00B1210C"/>
    <w:rsid w:val="00B12124"/>
    <w:rsid w:val="00B1298C"/>
    <w:rsid w:val="00B131C8"/>
    <w:rsid w:val="00B13257"/>
    <w:rsid w:val="00B133AB"/>
    <w:rsid w:val="00B1348C"/>
    <w:rsid w:val="00B13550"/>
    <w:rsid w:val="00B13615"/>
    <w:rsid w:val="00B137AD"/>
    <w:rsid w:val="00B13851"/>
    <w:rsid w:val="00B13862"/>
    <w:rsid w:val="00B13AC8"/>
    <w:rsid w:val="00B13B1C"/>
    <w:rsid w:val="00B13D6E"/>
    <w:rsid w:val="00B13DD6"/>
    <w:rsid w:val="00B13F9F"/>
    <w:rsid w:val="00B142E5"/>
    <w:rsid w:val="00B148ED"/>
    <w:rsid w:val="00B14A28"/>
    <w:rsid w:val="00B14B5A"/>
    <w:rsid w:val="00B14B5F"/>
    <w:rsid w:val="00B14E53"/>
    <w:rsid w:val="00B1517D"/>
    <w:rsid w:val="00B15257"/>
    <w:rsid w:val="00B15BB1"/>
    <w:rsid w:val="00B15CB0"/>
    <w:rsid w:val="00B15FCC"/>
    <w:rsid w:val="00B162D5"/>
    <w:rsid w:val="00B16A40"/>
    <w:rsid w:val="00B16C5E"/>
    <w:rsid w:val="00B16D32"/>
    <w:rsid w:val="00B16EFC"/>
    <w:rsid w:val="00B17173"/>
    <w:rsid w:val="00B173C2"/>
    <w:rsid w:val="00B17881"/>
    <w:rsid w:val="00B178A8"/>
    <w:rsid w:val="00B179E0"/>
    <w:rsid w:val="00B17B5B"/>
    <w:rsid w:val="00B17CF0"/>
    <w:rsid w:val="00B17E6C"/>
    <w:rsid w:val="00B17FA2"/>
    <w:rsid w:val="00B17FB5"/>
    <w:rsid w:val="00B20514"/>
    <w:rsid w:val="00B209E1"/>
    <w:rsid w:val="00B20AF4"/>
    <w:rsid w:val="00B20CDD"/>
    <w:rsid w:val="00B20F14"/>
    <w:rsid w:val="00B2158A"/>
    <w:rsid w:val="00B2161E"/>
    <w:rsid w:val="00B218B5"/>
    <w:rsid w:val="00B21AF8"/>
    <w:rsid w:val="00B21B8F"/>
    <w:rsid w:val="00B21C5F"/>
    <w:rsid w:val="00B21D13"/>
    <w:rsid w:val="00B21F90"/>
    <w:rsid w:val="00B22291"/>
    <w:rsid w:val="00B223CE"/>
    <w:rsid w:val="00B22556"/>
    <w:rsid w:val="00B2271B"/>
    <w:rsid w:val="00B22821"/>
    <w:rsid w:val="00B228BD"/>
    <w:rsid w:val="00B22E4E"/>
    <w:rsid w:val="00B23652"/>
    <w:rsid w:val="00B237A6"/>
    <w:rsid w:val="00B23E3B"/>
    <w:rsid w:val="00B23F9A"/>
    <w:rsid w:val="00B24047"/>
    <w:rsid w:val="00B2417B"/>
    <w:rsid w:val="00B242A1"/>
    <w:rsid w:val="00B243BE"/>
    <w:rsid w:val="00B244E7"/>
    <w:rsid w:val="00B24E6F"/>
    <w:rsid w:val="00B24F7E"/>
    <w:rsid w:val="00B25131"/>
    <w:rsid w:val="00B25195"/>
    <w:rsid w:val="00B251A7"/>
    <w:rsid w:val="00B252FA"/>
    <w:rsid w:val="00B2540C"/>
    <w:rsid w:val="00B25598"/>
    <w:rsid w:val="00B25943"/>
    <w:rsid w:val="00B25AD3"/>
    <w:rsid w:val="00B25B3E"/>
    <w:rsid w:val="00B25DE5"/>
    <w:rsid w:val="00B26256"/>
    <w:rsid w:val="00B26479"/>
    <w:rsid w:val="00B2691B"/>
    <w:rsid w:val="00B269F9"/>
    <w:rsid w:val="00B269FC"/>
    <w:rsid w:val="00B26AAA"/>
    <w:rsid w:val="00B26C1C"/>
    <w:rsid w:val="00B26CB5"/>
    <w:rsid w:val="00B26E8F"/>
    <w:rsid w:val="00B27333"/>
    <w:rsid w:val="00B27345"/>
    <w:rsid w:val="00B2738D"/>
    <w:rsid w:val="00B2752E"/>
    <w:rsid w:val="00B27F08"/>
    <w:rsid w:val="00B30170"/>
    <w:rsid w:val="00B307CC"/>
    <w:rsid w:val="00B30AF7"/>
    <w:rsid w:val="00B30BC2"/>
    <w:rsid w:val="00B30E6C"/>
    <w:rsid w:val="00B30ED2"/>
    <w:rsid w:val="00B31316"/>
    <w:rsid w:val="00B314DF"/>
    <w:rsid w:val="00B31866"/>
    <w:rsid w:val="00B319D5"/>
    <w:rsid w:val="00B320B6"/>
    <w:rsid w:val="00B326B7"/>
    <w:rsid w:val="00B32788"/>
    <w:rsid w:val="00B3284F"/>
    <w:rsid w:val="00B32A1F"/>
    <w:rsid w:val="00B32ACB"/>
    <w:rsid w:val="00B32B60"/>
    <w:rsid w:val="00B32CFA"/>
    <w:rsid w:val="00B3304E"/>
    <w:rsid w:val="00B332FC"/>
    <w:rsid w:val="00B33330"/>
    <w:rsid w:val="00B335F5"/>
    <w:rsid w:val="00B33679"/>
    <w:rsid w:val="00B33E82"/>
    <w:rsid w:val="00B34245"/>
    <w:rsid w:val="00B34575"/>
    <w:rsid w:val="00B345C6"/>
    <w:rsid w:val="00B34638"/>
    <w:rsid w:val="00B3464E"/>
    <w:rsid w:val="00B34A49"/>
    <w:rsid w:val="00B34D1A"/>
    <w:rsid w:val="00B34D21"/>
    <w:rsid w:val="00B34E01"/>
    <w:rsid w:val="00B34EAA"/>
    <w:rsid w:val="00B34EC6"/>
    <w:rsid w:val="00B3522C"/>
    <w:rsid w:val="00B3535A"/>
    <w:rsid w:val="00B354CF"/>
    <w:rsid w:val="00B35771"/>
    <w:rsid w:val="00B3588E"/>
    <w:rsid w:val="00B36051"/>
    <w:rsid w:val="00B360C3"/>
    <w:rsid w:val="00B361D4"/>
    <w:rsid w:val="00B3621B"/>
    <w:rsid w:val="00B362FD"/>
    <w:rsid w:val="00B3654F"/>
    <w:rsid w:val="00B3661C"/>
    <w:rsid w:val="00B3674A"/>
    <w:rsid w:val="00B36EA9"/>
    <w:rsid w:val="00B371CE"/>
    <w:rsid w:val="00B37354"/>
    <w:rsid w:val="00B3760A"/>
    <w:rsid w:val="00B376C4"/>
    <w:rsid w:val="00B3784A"/>
    <w:rsid w:val="00B378F1"/>
    <w:rsid w:val="00B37A8B"/>
    <w:rsid w:val="00B400C9"/>
    <w:rsid w:val="00B40175"/>
    <w:rsid w:val="00B402CD"/>
    <w:rsid w:val="00B40658"/>
    <w:rsid w:val="00B40672"/>
    <w:rsid w:val="00B408E9"/>
    <w:rsid w:val="00B40989"/>
    <w:rsid w:val="00B40C4A"/>
    <w:rsid w:val="00B412C8"/>
    <w:rsid w:val="00B414BF"/>
    <w:rsid w:val="00B41610"/>
    <w:rsid w:val="00B4198F"/>
    <w:rsid w:val="00B419AE"/>
    <w:rsid w:val="00B41D93"/>
    <w:rsid w:val="00B41F3D"/>
    <w:rsid w:val="00B42341"/>
    <w:rsid w:val="00B424A8"/>
    <w:rsid w:val="00B42681"/>
    <w:rsid w:val="00B42989"/>
    <w:rsid w:val="00B42C7C"/>
    <w:rsid w:val="00B42D75"/>
    <w:rsid w:val="00B431E8"/>
    <w:rsid w:val="00B43848"/>
    <w:rsid w:val="00B43DD3"/>
    <w:rsid w:val="00B43DDA"/>
    <w:rsid w:val="00B43E59"/>
    <w:rsid w:val="00B4400B"/>
    <w:rsid w:val="00B4418B"/>
    <w:rsid w:val="00B442AA"/>
    <w:rsid w:val="00B44BDA"/>
    <w:rsid w:val="00B45141"/>
    <w:rsid w:val="00B4520E"/>
    <w:rsid w:val="00B4553D"/>
    <w:rsid w:val="00B457CE"/>
    <w:rsid w:val="00B45A82"/>
    <w:rsid w:val="00B46130"/>
    <w:rsid w:val="00B463C6"/>
    <w:rsid w:val="00B463DE"/>
    <w:rsid w:val="00B47499"/>
    <w:rsid w:val="00B474B2"/>
    <w:rsid w:val="00B475C2"/>
    <w:rsid w:val="00B477E2"/>
    <w:rsid w:val="00B47957"/>
    <w:rsid w:val="00B479F6"/>
    <w:rsid w:val="00B47D29"/>
    <w:rsid w:val="00B47F94"/>
    <w:rsid w:val="00B501C4"/>
    <w:rsid w:val="00B5044A"/>
    <w:rsid w:val="00B50490"/>
    <w:rsid w:val="00B5060D"/>
    <w:rsid w:val="00B5067B"/>
    <w:rsid w:val="00B50888"/>
    <w:rsid w:val="00B50A02"/>
    <w:rsid w:val="00B50DAD"/>
    <w:rsid w:val="00B50DC1"/>
    <w:rsid w:val="00B50F04"/>
    <w:rsid w:val="00B50F1B"/>
    <w:rsid w:val="00B5107F"/>
    <w:rsid w:val="00B517EF"/>
    <w:rsid w:val="00B51985"/>
    <w:rsid w:val="00B519CD"/>
    <w:rsid w:val="00B51B18"/>
    <w:rsid w:val="00B51FE8"/>
    <w:rsid w:val="00B523C4"/>
    <w:rsid w:val="00B5244F"/>
    <w:rsid w:val="00B524D2"/>
    <w:rsid w:val="00B52584"/>
    <w:rsid w:val="00B52653"/>
    <w:rsid w:val="00B5273A"/>
    <w:rsid w:val="00B527B1"/>
    <w:rsid w:val="00B528CA"/>
    <w:rsid w:val="00B52A6C"/>
    <w:rsid w:val="00B52A87"/>
    <w:rsid w:val="00B52ABA"/>
    <w:rsid w:val="00B52B3F"/>
    <w:rsid w:val="00B52B57"/>
    <w:rsid w:val="00B52E23"/>
    <w:rsid w:val="00B52E67"/>
    <w:rsid w:val="00B53073"/>
    <w:rsid w:val="00B5317A"/>
    <w:rsid w:val="00B53583"/>
    <w:rsid w:val="00B53C11"/>
    <w:rsid w:val="00B53C31"/>
    <w:rsid w:val="00B53C68"/>
    <w:rsid w:val="00B53CDF"/>
    <w:rsid w:val="00B53D8A"/>
    <w:rsid w:val="00B540C8"/>
    <w:rsid w:val="00B5422B"/>
    <w:rsid w:val="00B543D2"/>
    <w:rsid w:val="00B5461F"/>
    <w:rsid w:val="00B546F9"/>
    <w:rsid w:val="00B549EB"/>
    <w:rsid w:val="00B54EEF"/>
    <w:rsid w:val="00B54FD2"/>
    <w:rsid w:val="00B556F5"/>
    <w:rsid w:val="00B55726"/>
    <w:rsid w:val="00B5599B"/>
    <w:rsid w:val="00B55F59"/>
    <w:rsid w:val="00B5621E"/>
    <w:rsid w:val="00B566A8"/>
    <w:rsid w:val="00B56C64"/>
    <w:rsid w:val="00B56D84"/>
    <w:rsid w:val="00B56F16"/>
    <w:rsid w:val="00B56F81"/>
    <w:rsid w:val="00B56FE4"/>
    <w:rsid w:val="00B5703E"/>
    <w:rsid w:val="00B570AA"/>
    <w:rsid w:val="00B57329"/>
    <w:rsid w:val="00B57558"/>
    <w:rsid w:val="00B57BB9"/>
    <w:rsid w:val="00B57C75"/>
    <w:rsid w:val="00B57D3A"/>
    <w:rsid w:val="00B60164"/>
    <w:rsid w:val="00B6018A"/>
    <w:rsid w:val="00B60199"/>
    <w:rsid w:val="00B60723"/>
    <w:rsid w:val="00B60E03"/>
    <w:rsid w:val="00B60E61"/>
    <w:rsid w:val="00B60F7A"/>
    <w:rsid w:val="00B6136D"/>
    <w:rsid w:val="00B613B4"/>
    <w:rsid w:val="00B61477"/>
    <w:rsid w:val="00B6162F"/>
    <w:rsid w:val="00B61CEE"/>
    <w:rsid w:val="00B61EB0"/>
    <w:rsid w:val="00B61F80"/>
    <w:rsid w:val="00B62687"/>
    <w:rsid w:val="00B6281C"/>
    <w:rsid w:val="00B628BC"/>
    <w:rsid w:val="00B62A8C"/>
    <w:rsid w:val="00B62B50"/>
    <w:rsid w:val="00B62ED2"/>
    <w:rsid w:val="00B633E6"/>
    <w:rsid w:val="00B635B7"/>
    <w:rsid w:val="00B6371A"/>
    <w:rsid w:val="00B638B4"/>
    <w:rsid w:val="00B63AE8"/>
    <w:rsid w:val="00B63CD7"/>
    <w:rsid w:val="00B63D30"/>
    <w:rsid w:val="00B63DAD"/>
    <w:rsid w:val="00B63E3B"/>
    <w:rsid w:val="00B63FF2"/>
    <w:rsid w:val="00B64663"/>
    <w:rsid w:val="00B64720"/>
    <w:rsid w:val="00B64731"/>
    <w:rsid w:val="00B649DD"/>
    <w:rsid w:val="00B64A4B"/>
    <w:rsid w:val="00B65208"/>
    <w:rsid w:val="00B65292"/>
    <w:rsid w:val="00B65349"/>
    <w:rsid w:val="00B653B8"/>
    <w:rsid w:val="00B65707"/>
    <w:rsid w:val="00B65950"/>
    <w:rsid w:val="00B65F9D"/>
    <w:rsid w:val="00B65FA9"/>
    <w:rsid w:val="00B65FB4"/>
    <w:rsid w:val="00B664F6"/>
    <w:rsid w:val="00B668B8"/>
    <w:rsid w:val="00B66944"/>
    <w:rsid w:val="00B66A5B"/>
    <w:rsid w:val="00B66D83"/>
    <w:rsid w:val="00B6713B"/>
    <w:rsid w:val="00B672AC"/>
    <w:rsid w:val="00B672C0"/>
    <w:rsid w:val="00B676FD"/>
    <w:rsid w:val="00B678B6"/>
    <w:rsid w:val="00B67A46"/>
    <w:rsid w:val="00B67B4F"/>
    <w:rsid w:val="00B67F1E"/>
    <w:rsid w:val="00B67FAF"/>
    <w:rsid w:val="00B703A0"/>
    <w:rsid w:val="00B703C1"/>
    <w:rsid w:val="00B705BF"/>
    <w:rsid w:val="00B70B69"/>
    <w:rsid w:val="00B7140E"/>
    <w:rsid w:val="00B717A5"/>
    <w:rsid w:val="00B71960"/>
    <w:rsid w:val="00B71F41"/>
    <w:rsid w:val="00B7251D"/>
    <w:rsid w:val="00B72523"/>
    <w:rsid w:val="00B72883"/>
    <w:rsid w:val="00B7298F"/>
    <w:rsid w:val="00B72E3F"/>
    <w:rsid w:val="00B72E94"/>
    <w:rsid w:val="00B7306A"/>
    <w:rsid w:val="00B7360B"/>
    <w:rsid w:val="00B73889"/>
    <w:rsid w:val="00B73B57"/>
    <w:rsid w:val="00B7407C"/>
    <w:rsid w:val="00B74555"/>
    <w:rsid w:val="00B7461E"/>
    <w:rsid w:val="00B747BB"/>
    <w:rsid w:val="00B7484B"/>
    <w:rsid w:val="00B74951"/>
    <w:rsid w:val="00B74998"/>
    <w:rsid w:val="00B749FC"/>
    <w:rsid w:val="00B74E5A"/>
    <w:rsid w:val="00B75012"/>
    <w:rsid w:val="00B75125"/>
    <w:rsid w:val="00B75306"/>
    <w:rsid w:val="00B75351"/>
    <w:rsid w:val="00B75536"/>
    <w:rsid w:val="00B75646"/>
    <w:rsid w:val="00B76025"/>
    <w:rsid w:val="00B760BE"/>
    <w:rsid w:val="00B76179"/>
    <w:rsid w:val="00B7629E"/>
    <w:rsid w:val="00B763F5"/>
    <w:rsid w:val="00B7649D"/>
    <w:rsid w:val="00B765B7"/>
    <w:rsid w:val="00B76BDE"/>
    <w:rsid w:val="00B76CC5"/>
    <w:rsid w:val="00B76D9E"/>
    <w:rsid w:val="00B76E6E"/>
    <w:rsid w:val="00B76E7D"/>
    <w:rsid w:val="00B76F44"/>
    <w:rsid w:val="00B7714A"/>
    <w:rsid w:val="00B7721C"/>
    <w:rsid w:val="00B77417"/>
    <w:rsid w:val="00B77951"/>
    <w:rsid w:val="00B77B40"/>
    <w:rsid w:val="00B77E58"/>
    <w:rsid w:val="00B80154"/>
    <w:rsid w:val="00B80183"/>
    <w:rsid w:val="00B802B4"/>
    <w:rsid w:val="00B80383"/>
    <w:rsid w:val="00B80394"/>
    <w:rsid w:val="00B80899"/>
    <w:rsid w:val="00B80E51"/>
    <w:rsid w:val="00B81017"/>
    <w:rsid w:val="00B810CB"/>
    <w:rsid w:val="00B813EA"/>
    <w:rsid w:val="00B81586"/>
    <w:rsid w:val="00B81BFB"/>
    <w:rsid w:val="00B81C6B"/>
    <w:rsid w:val="00B82306"/>
    <w:rsid w:val="00B82309"/>
    <w:rsid w:val="00B823AB"/>
    <w:rsid w:val="00B8284A"/>
    <w:rsid w:val="00B8299B"/>
    <w:rsid w:val="00B82A89"/>
    <w:rsid w:val="00B82D7D"/>
    <w:rsid w:val="00B82DDF"/>
    <w:rsid w:val="00B83035"/>
    <w:rsid w:val="00B83173"/>
    <w:rsid w:val="00B833A9"/>
    <w:rsid w:val="00B83593"/>
    <w:rsid w:val="00B836C7"/>
    <w:rsid w:val="00B83743"/>
    <w:rsid w:val="00B8384F"/>
    <w:rsid w:val="00B83A48"/>
    <w:rsid w:val="00B83BF1"/>
    <w:rsid w:val="00B83CC5"/>
    <w:rsid w:val="00B83F34"/>
    <w:rsid w:val="00B84120"/>
    <w:rsid w:val="00B842DB"/>
    <w:rsid w:val="00B842DC"/>
    <w:rsid w:val="00B8445F"/>
    <w:rsid w:val="00B8488D"/>
    <w:rsid w:val="00B849AF"/>
    <w:rsid w:val="00B84A0C"/>
    <w:rsid w:val="00B84C2A"/>
    <w:rsid w:val="00B850DC"/>
    <w:rsid w:val="00B8530B"/>
    <w:rsid w:val="00B855E6"/>
    <w:rsid w:val="00B85740"/>
    <w:rsid w:val="00B857AD"/>
    <w:rsid w:val="00B857B3"/>
    <w:rsid w:val="00B857D1"/>
    <w:rsid w:val="00B85A4D"/>
    <w:rsid w:val="00B86194"/>
    <w:rsid w:val="00B861F5"/>
    <w:rsid w:val="00B86633"/>
    <w:rsid w:val="00B869A9"/>
    <w:rsid w:val="00B869B3"/>
    <w:rsid w:val="00B869C6"/>
    <w:rsid w:val="00B86A6E"/>
    <w:rsid w:val="00B86F0E"/>
    <w:rsid w:val="00B87109"/>
    <w:rsid w:val="00B87290"/>
    <w:rsid w:val="00B872D9"/>
    <w:rsid w:val="00B87332"/>
    <w:rsid w:val="00B8745F"/>
    <w:rsid w:val="00B878D3"/>
    <w:rsid w:val="00B87A7F"/>
    <w:rsid w:val="00B87E83"/>
    <w:rsid w:val="00B87F9C"/>
    <w:rsid w:val="00B900D7"/>
    <w:rsid w:val="00B902D8"/>
    <w:rsid w:val="00B9044A"/>
    <w:rsid w:val="00B904F9"/>
    <w:rsid w:val="00B9054B"/>
    <w:rsid w:val="00B90729"/>
    <w:rsid w:val="00B907DA"/>
    <w:rsid w:val="00B90989"/>
    <w:rsid w:val="00B90B09"/>
    <w:rsid w:val="00B913E7"/>
    <w:rsid w:val="00B91592"/>
    <w:rsid w:val="00B91BA0"/>
    <w:rsid w:val="00B91DE7"/>
    <w:rsid w:val="00B91E12"/>
    <w:rsid w:val="00B922B9"/>
    <w:rsid w:val="00B92585"/>
    <w:rsid w:val="00B926A0"/>
    <w:rsid w:val="00B92BBA"/>
    <w:rsid w:val="00B92D5D"/>
    <w:rsid w:val="00B92F18"/>
    <w:rsid w:val="00B936F8"/>
    <w:rsid w:val="00B939FA"/>
    <w:rsid w:val="00B93BD8"/>
    <w:rsid w:val="00B93C32"/>
    <w:rsid w:val="00B93CD2"/>
    <w:rsid w:val="00B94042"/>
    <w:rsid w:val="00B941BE"/>
    <w:rsid w:val="00B94444"/>
    <w:rsid w:val="00B9445F"/>
    <w:rsid w:val="00B944A0"/>
    <w:rsid w:val="00B94506"/>
    <w:rsid w:val="00B94B34"/>
    <w:rsid w:val="00B94C5E"/>
    <w:rsid w:val="00B94C81"/>
    <w:rsid w:val="00B94D4A"/>
    <w:rsid w:val="00B94F31"/>
    <w:rsid w:val="00B950BC"/>
    <w:rsid w:val="00B95134"/>
    <w:rsid w:val="00B95351"/>
    <w:rsid w:val="00B956F8"/>
    <w:rsid w:val="00B95CA5"/>
    <w:rsid w:val="00B95E43"/>
    <w:rsid w:val="00B9606C"/>
    <w:rsid w:val="00B96347"/>
    <w:rsid w:val="00B96728"/>
    <w:rsid w:val="00B96744"/>
    <w:rsid w:val="00B969D1"/>
    <w:rsid w:val="00B96E35"/>
    <w:rsid w:val="00B97122"/>
    <w:rsid w:val="00B9714C"/>
    <w:rsid w:val="00B97241"/>
    <w:rsid w:val="00B976A8"/>
    <w:rsid w:val="00B9789C"/>
    <w:rsid w:val="00B97C7D"/>
    <w:rsid w:val="00BA0043"/>
    <w:rsid w:val="00BA0420"/>
    <w:rsid w:val="00BA048C"/>
    <w:rsid w:val="00BA04FD"/>
    <w:rsid w:val="00BA05A7"/>
    <w:rsid w:val="00BA0624"/>
    <w:rsid w:val="00BA067C"/>
    <w:rsid w:val="00BA07F2"/>
    <w:rsid w:val="00BA09FD"/>
    <w:rsid w:val="00BA0A20"/>
    <w:rsid w:val="00BA0A52"/>
    <w:rsid w:val="00BA0C87"/>
    <w:rsid w:val="00BA1CE1"/>
    <w:rsid w:val="00BA1F24"/>
    <w:rsid w:val="00BA1F79"/>
    <w:rsid w:val="00BA2041"/>
    <w:rsid w:val="00BA20A7"/>
    <w:rsid w:val="00BA20E0"/>
    <w:rsid w:val="00BA20F9"/>
    <w:rsid w:val="00BA21D5"/>
    <w:rsid w:val="00BA222B"/>
    <w:rsid w:val="00BA23FC"/>
    <w:rsid w:val="00BA26F6"/>
    <w:rsid w:val="00BA27B8"/>
    <w:rsid w:val="00BA29AD"/>
    <w:rsid w:val="00BA2B7A"/>
    <w:rsid w:val="00BA2B97"/>
    <w:rsid w:val="00BA2E09"/>
    <w:rsid w:val="00BA315B"/>
    <w:rsid w:val="00BA33CD"/>
    <w:rsid w:val="00BA33CF"/>
    <w:rsid w:val="00BA375B"/>
    <w:rsid w:val="00BA3DF9"/>
    <w:rsid w:val="00BA3F8D"/>
    <w:rsid w:val="00BA3FA9"/>
    <w:rsid w:val="00BA432A"/>
    <w:rsid w:val="00BA432E"/>
    <w:rsid w:val="00BA4339"/>
    <w:rsid w:val="00BA4367"/>
    <w:rsid w:val="00BA4648"/>
    <w:rsid w:val="00BA4791"/>
    <w:rsid w:val="00BA4D5D"/>
    <w:rsid w:val="00BA4DCD"/>
    <w:rsid w:val="00BA5250"/>
    <w:rsid w:val="00BA59AB"/>
    <w:rsid w:val="00BA5A47"/>
    <w:rsid w:val="00BA5C6F"/>
    <w:rsid w:val="00BA5CD8"/>
    <w:rsid w:val="00BA5E30"/>
    <w:rsid w:val="00BA5EA6"/>
    <w:rsid w:val="00BA63B5"/>
    <w:rsid w:val="00BA640E"/>
    <w:rsid w:val="00BA642E"/>
    <w:rsid w:val="00BA6515"/>
    <w:rsid w:val="00BA671D"/>
    <w:rsid w:val="00BA676A"/>
    <w:rsid w:val="00BA696B"/>
    <w:rsid w:val="00BA6B46"/>
    <w:rsid w:val="00BA6C51"/>
    <w:rsid w:val="00BA6E1D"/>
    <w:rsid w:val="00BA70C5"/>
    <w:rsid w:val="00BA71C8"/>
    <w:rsid w:val="00BA7255"/>
    <w:rsid w:val="00BA72AB"/>
    <w:rsid w:val="00BA72CD"/>
    <w:rsid w:val="00BA73D6"/>
    <w:rsid w:val="00BA74BA"/>
    <w:rsid w:val="00BA778A"/>
    <w:rsid w:val="00BA7994"/>
    <w:rsid w:val="00BA7FA4"/>
    <w:rsid w:val="00BB008F"/>
    <w:rsid w:val="00BB04D1"/>
    <w:rsid w:val="00BB0650"/>
    <w:rsid w:val="00BB073A"/>
    <w:rsid w:val="00BB0A1A"/>
    <w:rsid w:val="00BB0DC8"/>
    <w:rsid w:val="00BB161E"/>
    <w:rsid w:val="00BB2113"/>
    <w:rsid w:val="00BB2686"/>
    <w:rsid w:val="00BB2DAB"/>
    <w:rsid w:val="00BB2FC7"/>
    <w:rsid w:val="00BB304F"/>
    <w:rsid w:val="00BB316C"/>
    <w:rsid w:val="00BB31BA"/>
    <w:rsid w:val="00BB3829"/>
    <w:rsid w:val="00BB3A27"/>
    <w:rsid w:val="00BB3CB8"/>
    <w:rsid w:val="00BB3F24"/>
    <w:rsid w:val="00BB44AF"/>
    <w:rsid w:val="00BB4CD5"/>
    <w:rsid w:val="00BB4CD8"/>
    <w:rsid w:val="00BB4E8A"/>
    <w:rsid w:val="00BB4F26"/>
    <w:rsid w:val="00BB4F27"/>
    <w:rsid w:val="00BB501E"/>
    <w:rsid w:val="00BB5270"/>
    <w:rsid w:val="00BB5410"/>
    <w:rsid w:val="00BB5C64"/>
    <w:rsid w:val="00BB5D1E"/>
    <w:rsid w:val="00BB5E57"/>
    <w:rsid w:val="00BB5E9B"/>
    <w:rsid w:val="00BB5EAE"/>
    <w:rsid w:val="00BB635A"/>
    <w:rsid w:val="00BB6436"/>
    <w:rsid w:val="00BB66C2"/>
    <w:rsid w:val="00BB6891"/>
    <w:rsid w:val="00BB692A"/>
    <w:rsid w:val="00BB6B91"/>
    <w:rsid w:val="00BB70C7"/>
    <w:rsid w:val="00BB71BD"/>
    <w:rsid w:val="00BB72F4"/>
    <w:rsid w:val="00BB74AC"/>
    <w:rsid w:val="00BB7571"/>
    <w:rsid w:val="00BB75B5"/>
    <w:rsid w:val="00BB7A10"/>
    <w:rsid w:val="00BB7AD5"/>
    <w:rsid w:val="00BB7B3A"/>
    <w:rsid w:val="00BB7C3D"/>
    <w:rsid w:val="00BB7C98"/>
    <w:rsid w:val="00BB7CC1"/>
    <w:rsid w:val="00BC0308"/>
    <w:rsid w:val="00BC05B8"/>
    <w:rsid w:val="00BC085D"/>
    <w:rsid w:val="00BC0C5D"/>
    <w:rsid w:val="00BC0D05"/>
    <w:rsid w:val="00BC0F32"/>
    <w:rsid w:val="00BC1275"/>
    <w:rsid w:val="00BC1380"/>
    <w:rsid w:val="00BC1642"/>
    <w:rsid w:val="00BC1876"/>
    <w:rsid w:val="00BC1A36"/>
    <w:rsid w:val="00BC1A43"/>
    <w:rsid w:val="00BC1CB2"/>
    <w:rsid w:val="00BC216D"/>
    <w:rsid w:val="00BC2322"/>
    <w:rsid w:val="00BC2461"/>
    <w:rsid w:val="00BC260D"/>
    <w:rsid w:val="00BC2805"/>
    <w:rsid w:val="00BC2918"/>
    <w:rsid w:val="00BC2DBD"/>
    <w:rsid w:val="00BC34B6"/>
    <w:rsid w:val="00BC3512"/>
    <w:rsid w:val="00BC367A"/>
    <w:rsid w:val="00BC3698"/>
    <w:rsid w:val="00BC3B4E"/>
    <w:rsid w:val="00BC3CEA"/>
    <w:rsid w:val="00BC3D72"/>
    <w:rsid w:val="00BC3EA0"/>
    <w:rsid w:val="00BC4178"/>
    <w:rsid w:val="00BC425A"/>
    <w:rsid w:val="00BC42B9"/>
    <w:rsid w:val="00BC440D"/>
    <w:rsid w:val="00BC4643"/>
    <w:rsid w:val="00BC47D3"/>
    <w:rsid w:val="00BC49C5"/>
    <w:rsid w:val="00BC4A4B"/>
    <w:rsid w:val="00BC4AAE"/>
    <w:rsid w:val="00BC4B9A"/>
    <w:rsid w:val="00BC5032"/>
    <w:rsid w:val="00BC51A0"/>
    <w:rsid w:val="00BC52FE"/>
    <w:rsid w:val="00BC59FE"/>
    <w:rsid w:val="00BC5DE4"/>
    <w:rsid w:val="00BC5E74"/>
    <w:rsid w:val="00BC60BE"/>
    <w:rsid w:val="00BC6853"/>
    <w:rsid w:val="00BC6B57"/>
    <w:rsid w:val="00BC6B82"/>
    <w:rsid w:val="00BC6D23"/>
    <w:rsid w:val="00BC6EE3"/>
    <w:rsid w:val="00BC7142"/>
    <w:rsid w:val="00BC7344"/>
    <w:rsid w:val="00BC7399"/>
    <w:rsid w:val="00BC744A"/>
    <w:rsid w:val="00BC7468"/>
    <w:rsid w:val="00BC74CE"/>
    <w:rsid w:val="00BC7533"/>
    <w:rsid w:val="00BC75C2"/>
    <w:rsid w:val="00BC77A3"/>
    <w:rsid w:val="00BC7A6A"/>
    <w:rsid w:val="00BC7CB7"/>
    <w:rsid w:val="00BC7D4F"/>
    <w:rsid w:val="00BC7ED7"/>
    <w:rsid w:val="00BC7FAC"/>
    <w:rsid w:val="00BC7FE7"/>
    <w:rsid w:val="00BD00C3"/>
    <w:rsid w:val="00BD00E1"/>
    <w:rsid w:val="00BD011F"/>
    <w:rsid w:val="00BD0465"/>
    <w:rsid w:val="00BD0682"/>
    <w:rsid w:val="00BD08E2"/>
    <w:rsid w:val="00BD10CE"/>
    <w:rsid w:val="00BD1418"/>
    <w:rsid w:val="00BD144F"/>
    <w:rsid w:val="00BD1B5D"/>
    <w:rsid w:val="00BD1D03"/>
    <w:rsid w:val="00BD1D8C"/>
    <w:rsid w:val="00BD1DE4"/>
    <w:rsid w:val="00BD1FD4"/>
    <w:rsid w:val="00BD26A3"/>
    <w:rsid w:val="00BD2850"/>
    <w:rsid w:val="00BD2D0E"/>
    <w:rsid w:val="00BD31FA"/>
    <w:rsid w:val="00BD32B4"/>
    <w:rsid w:val="00BD34C0"/>
    <w:rsid w:val="00BD3848"/>
    <w:rsid w:val="00BD385E"/>
    <w:rsid w:val="00BD3D74"/>
    <w:rsid w:val="00BD439D"/>
    <w:rsid w:val="00BD4445"/>
    <w:rsid w:val="00BD44F2"/>
    <w:rsid w:val="00BD46F1"/>
    <w:rsid w:val="00BD4708"/>
    <w:rsid w:val="00BD470F"/>
    <w:rsid w:val="00BD4827"/>
    <w:rsid w:val="00BD48BC"/>
    <w:rsid w:val="00BD4A12"/>
    <w:rsid w:val="00BD4A64"/>
    <w:rsid w:val="00BD4C1D"/>
    <w:rsid w:val="00BD4E4B"/>
    <w:rsid w:val="00BD54C6"/>
    <w:rsid w:val="00BD54DA"/>
    <w:rsid w:val="00BD59A1"/>
    <w:rsid w:val="00BD59D4"/>
    <w:rsid w:val="00BD5AD7"/>
    <w:rsid w:val="00BD611C"/>
    <w:rsid w:val="00BD61D7"/>
    <w:rsid w:val="00BD626D"/>
    <w:rsid w:val="00BD6486"/>
    <w:rsid w:val="00BD6AC8"/>
    <w:rsid w:val="00BD6B9D"/>
    <w:rsid w:val="00BD6D50"/>
    <w:rsid w:val="00BD7058"/>
    <w:rsid w:val="00BD706C"/>
    <w:rsid w:val="00BD7256"/>
    <w:rsid w:val="00BD7262"/>
    <w:rsid w:val="00BD734B"/>
    <w:rsid w:val="00BD7382"/>
    <w:rsid w:val="00BD796C"/>
    <w:rsid w:val="00BD7AE0"/>
    <w:rsid w:val="00BD7CBC"/>
    <w:rsid w:val="00BD7EB2"/>
    <w:rsid w:val="00BD7F58"/>
    <w:rsid w:val="00BE0086"/>
    <w:rsid w:val="00BE00AF"/>
    <w:rsid w:val="00BE02D7"/>
    <w:rsid w:val="00BE033D"/>
    <w:rsid w:val="00BE04C8"/>
    <w:rsid w:val="00BE0549"/>
    <w:rsid w:val="00BE081A"/>
    <w:rsid w:val="00BE088E"/>
    <w:rsid w:val="00BE0E8F"/>
    <w:rsid w:val="00BE0F46"/>
    <w:rsid w:val="00BE11BA"/>
    <w:rsid w:val="00BE15A1"/>
    <w:rsid w:val="00BE168B"/>
    <w:rsid w:val="00BE187F"/>
    <w:rsid w:val="00BE1F7C"/>
    <w:rsid w:val="00BE2036"/>
    <w:rsid w:val="00BE2344"/>
    <w:rsid w:val="00BE2505"/>
    <w:rsid w:val="00BE2800"/>
    <w:rsid w:val="00BE28D2"/>
    <w:rsid w:val="00BE28F9"/>
    <w:rsid w:val="00BE2AE8"/>
    <w:rsid w:val="00BE2E7A"/>
    <w:rsid w:val="00BE3051"/>
    <w:rsid w:val="00BE33D1"/>
    <w:rsid w:val="00BE33E9"/>
    <w:rsid w:val="00BE35F7"/>
    <w:rsid w:val="00BE38AD"/>
    <w:rsid w:val="00BE3A00"/>
    <w:rsid w:val="00BE3A2C"/>
    <w:rsid w:val="00BE3B59"/>
    <w:rsid w:val="00BE3F3B"/>
    <w:rsid w:val="00BE46DA"/>
    <w:rsid w:val="00BE492F"/>
    <w:rsid w:val="00BE4A64"/>
    <w:rsid w:val="00BE4A9A"/>
    <w:rsid w:val="00BE4B34"/>
    <w:rsid w:val="00BE500D"/>
    <w:rsid w:val="00BE510F"/>
    <w:rsid w:val="00BE53EA"/>
    <w:rsid w:val="00BE5586"/>
    <w:rsid w:val="00BE5791"/>
    <w:rsid w:val="00BE58CE"/>
    <w:rsid w:val="00BE5BE7"/>
    <w:rsid w:val="00BE5C2F"/>
    <w:rsid w:val="00BE5DA0"/>
    <w:rsid w:val="00BE5E43"/>
    <w:rsid w:val="00BE5EA9"/>
    <w:rsid w:val="00BE5FCF"/>
    <w:rsid w:val="00BE655B"/>
    <w:rsid w:val="00BE66F6"/>
    <w:rsid w:val="00BE6780"/>
    <w:rsid w:val="00BE6FDB"/>
    <w:rsid w:val="00BE7063"/>
    <w:rsid w:val="00BE759B"/>
    <w:rsid w:val="00BE75D1"/>
    <w:rsid w:val="00BE7850"/>
    <w:rsid w:val="00BF02E8"/>
    <w:rsid w:val="00BF0872"/>
    <w:rsid w:val="00BF09DC"/>
    <w:rsid w:val="00BF0D50"/>
    <w:rsid w:val="00BF11AE"/>
    <w:rsid w:val="00BF1206"/>
    <w:rsid w:val="00BF1638"/>
    <w:rsid w:val="00BF1977"/>
    <w:rsid w:val="00BF1EF2"/>
    <w:rsid w:val="00BF20F0"/>
    <w:rsid w:val="00BF2197"/>
    <w:rsid w:val="00BF22C0"/>
    <w:rsid w:val="00BF24D3"/>
    <w:rsid w:val="00BF2650"/>
    <w:rsid w:val="00BF29BA"/>
    <w:rsid w:val="00BF2CD5"/>
    <w:rsid w:val="00BF2E41"/>
    <w:rsid w:val="00BF3156"/>
    <w:rsid w:val="00BF3333"/>
    <w:rsid w:val="00BF35FD"/>
    <w:rsid w:val="00BF3945"/>
    <w:rsid w:val="00BF39BB"/>
    <w:rsid w:val="00BF3D52"/>
    <w:rsid w:val="00BF3D53"/>
    <w:rsid w:val="00BF3D83"/>
    <w:rsid w:val="00BF462D"/>
    <w:rsid w:val="00BF4647"/>
    <w:rsid w:val="00BF4737"/>
    <w:rsid w:val="00BF4801"/>
    <w:rsid w:val="00BF4860"/>
    <w:rsid w:val="00BF49FF"/>
    <w:rsid w:val="00BF4A30"/>
    <w:rsid w:val="00BF4CC7"/>
    <w:rsid w:val="00BF51B4"/>
    <w:rsid w:val="00BF538C"/>
    <w:rsid w:val="00BF5415"/>
    <w:rsid w:val="00BF54D8"/>
    <w:rsid w:val="00BF557D"/>
    <w:rsid w:val="00BF5601"/>
    <w:rsid w:val="00BF585A"/>
    <w:rsid w:val="00BF61E2"/>
    <w:rsid w:val="00BF658A"/>
    <w:rsid w:val="00BF658D"/>
    <w:rsid w:val="00BF6B4C"/>
    <w:rsid w:val="00BF71D4"/>
    <w:rsid w:val="00BF7224"/>
    <w:rsid w:val="00BF76B2"/>
    <w:rsid w:val="00BF781E"/>
    <w:rsid w:val="00BF79A7"/>
    <w:rsid w:val="00BF7A9A"/>
    <w:rsid w:val="00BF7C8A"/>
    <w:rsid w:val="00BF7D85"/>
    <w:rsid w:val="00BF7F58"/>
    <w:rsid w:val="00C00318"/>
    <w:rsid w:val="00C0075B"/>
    <w:rsid w:val="00C00873"/>
    <w:rsid w:val="00C00CBB"/>
    <w:rsid w:val="00C010FE"/>
    <w:rsid w:val="00C01130"/>
    <w:rsid w:val="00C0130C"/>
    <w:rsid w:val="00C01381"/>
    <w:rsid w:val="00C015E2"/>
    <w:rsid w:val="00C0179D"/>
    <w:rsid w:val="00C01857"/>
    <w:rsid w:val="00C01A37"/>
    <w:rsid w:val="00C01AB1"/>
    <w:rsid w:val="00C01B37"/>
    <w:rsid w:val="00C01CD6"/>
    <w:rsid w:val="00C01D46"/>
    <w:rsid w:val="00C01F1C"/>
    <w:rsid w:val="00C01F68"/>
    <w:rsid w:val="00C026A0"/>
    <w:rsid w:val="00C02A0E"/>
    <w:rsid w:val="00C02F54"/>
    <w:rsid w:val="00C03235"/>
    <w:rsid w:val="00C03318"/>
    <w:rsid w:val="00C033E9"/>
    <w:rsid w:val="00C035DC"/>
    <w:rsid w:val="00C036B2"/>
    <w:rsid w:val="00C03927"/>
    <w:rsid w:val="00C03C57"/>
    <w:rsid w:val="00C04023"/>
    <w:rsid w:val="00C041E2"/>
    <w:rsid w:val="00C0424E"/>
    <w:rsid w:val="00C042A7"/>
    <w:rsid w:val="00C042D3"/>
    <w:rsid w:val="00C04327"/>
    <w:rsid w:val="00C04433"/>
    <w:rsid w:val="00C044E6"/>
    <w:rsid w:val="00C045D1"/>
    <w:rsid w:val="00C0481E"/>
    <w:rsid w:val="00C04A8C"/>
    <w:rsid w:val="00C04D19"/>
    <w:rsid w:val="00C04DF8"/>
    <w:rsid w:val="00C04E4D"/>
    <w:rsid w:val="00C05085"/>
    <w:rsid w:val="00C051BB"/>
    <w:rsid w:val="00C052AD"/>
    <w:rsid w:val="00C05363"/>
    <w:rsid w:val="00C055BD"/>
    <w:rsid w:val="00C05747"/>
    <w:rsid w:val="00C05889"/>
    <w:rsid w:val="00C05981"/>
    <w:rsid w:val="00C05C34"/>
    <w:rsid w:val="00C05D3B"/>
    <w:rsid w:val="00C06137"/>
    <w:rsid w:val="00C062D4"/>
    <w:rsid w:val="00C06461"/>
    <w:rsid w:val="00C064C7"/>
    <w:rsid w:val="00C068B5"/>
    <w:rsid w:val="00C06929"/>
    <w:rsid w:val="00C06C33"/>
    <w:rsid w:val="00C06D3A"/>
    <w:rsid w:val="00C0701A"/>
    <w:rsid w:val="00C070A0"/>
    <w:rsid w:val="00C07216"/>
    <w:rsid w:val="00C074A6"/>
    <w:rsid w:val="00C07536"/>
    <w:rsid w:val="00C0776F"/>
    <w:rsid w:val="00C077D6"/>
    <w:rsid w:val="00C0791A"/>
    <w:rsid w:val="00C079B8"/>
    <w:rsid w:val="00C07D80"/>
    <w:rsid w:val="00C07F0F"/>
    <w:rsid w:val="00C10037"/>
    <w:rsid w:val="00C10161"/>
    <w:rsid w:val="00C101A8"/>
    <w:rsid w:val="00C1040E"/>
    <w:rsid w:val="00C10657"/>
    <w:rsid w:val="00C107FF"/>
    <w:rsid w:val="00C108F4"/>
    <w:rsid w:val="00C109DC"/>
    <w:rsid w:val="00C10CCF"/>
    <w:rsid w:val="00C10CDB"/>
    <w:rsid w:val="00C10DB9"/>
    <w:rsid w:val="00C10ECB"/>
    <w:rsid w:val="00C111C2"/>
    <w:rsid w:val="00C113A1"/>
    <w:rsid w:val="00C11424"/>
    <w:rsid w:val="00C11493"/>
    <w:rsid w:val="00C115B8"/>
    <w:rsid w:val="00C115E1"/>
    <w:rsid w:val="00C11678"/>
    <w:rsid w:val="00C11EBF"/>
    <w:rsid w:val="00C1213D"/>
    <w:rsid w:val="00C1222F"/>
    <w:rsid w:val="00C12394"/>
    <w:rsid w:val="00C123EA"/>
    <w:rsid w:val="00C125A9"/>
    <w:rsid w:val="00C127EB"/>
    <w:rsid w:val="00C128E1"/>
    <w:rsid w:val="00C12A49"/>
    <w:rsid w:val="00C12ACF"/>
    <w:rsid w:val="00C12AE8"/>
    <w:rsid w:val="00C12B0E"/>
    <w:rsid w:val="00C13346"/>
    <w:rsid w:val="00C133EE"/>
    <w:rsid w:val="00C134C6"/>
    <w:rsid w:val="00C13816"/>
    <w:rsid w:val="00C1392C"/>
    <w:rsid w:val="00C13AA4"/>
    <w:rsid w:val="00C13B06"/>
    <w:rsid w:val="00C13BA7"/>
    <w:rsid w:val="00C13EEE"/>
    <w:rsid w:val="00C14242"/>
    <w:rsid w:val="00C1425F"/>
    <w:rsid w:val="00C1426B"/>
    <w:rsid w:val="00C1459E"/>
    <w:rsid w:val="00C149D0"/>
    <w:rsid w:val="00C14AF1"/>
    <w:rsid w:val="00C14B37"/>
    <w:rsid w:val="00C1513D"/>
    <w:rsid w:val="00C1531F"/>
    <w:rsid w:val="00C1541B"/>
    <w:rsid w:val="00C15F01"/>
    <w:rsid w:val="00C15F1F"/>
    <w:rsid w:val="00C16161"/>
    <w:rsid w:val="00C16205"/>
    <w:rsid w:val="00C162F2"/>
    <w:rsid w:val="00C16485"/>
    <w:rsid w:val="00C164BA"/>
    <w:rsid w:val="00C165DE"/>
    <w:rsid w:val="00C169D8"/>
    <w:rsid w:val="00C16A60"/>
    <w:rsid w:val="00C16B8E"/>
    <w:rsid w:val="00C16CE9"/>
    <w:rsid w:val="00C16E14"/>
    <w:rsid w:val="00C16EE8"/>
    <w:rsid w:val="00C16FAE"/>
    <w:rsid w:val="00C16FC4"/>
    <w:rsid w:val="00C16FED"/>
    <w:rsid w:val="00C17015"/>
    <w:rsid w:val="00C17070"/>
    <w:rsid w:val="00C1710F"/>
    <w:rsid w:val="00C17694"/>
    <w:rsid w:val="00C17BB4"/>
    <w:rsid w:val="00C2007E"/>
    <w:rsid w:val="00C2024D"/>
    <w:rsid w:val="00C20811"/>
    <w:rsid w:val="00C20B9D"/>
    <w:rsid w:val="00C20FE7"/>
    <w:rsid w:val="00C2110B"/>
    <w:rsid w:val="00C21450"/>
    <w:rsid w:val="00C217EE"/>
    <w:rsid w:val="00C218B2"/>
    <w:rsid w:val="00C218FE"/>
    <w:rsid w:val="00C21985"/>
    <w:rsid w:val="00C21A48"/>
    <w:rsid w:val="00C21B96"/>
    <w:rsid w:val="00C220D1"/>
    <w:rsid w:val="00C22364"/>
    <w:rsid w:val="00C223C2"/>
    <w:rsid w:val="00C22E57"/>
    <w:rsid w:val="00C23066"/>
    <w:rsid w:val="00C23094"/>
    <w:rsid w:val="00C2354D"/>
    <w:rsid w:val="00C2360C"/>
    <w:rsid w:val="00C238B9"/>
    <w:rsid w:val="00C23A29"/>
    <w:rsid w:val="00C23D3B"/>
    <w:rsid w:val="00C241A6"/>
    <w:rsid w:val="00C244A1"/>
    <w:rsid w:val="00C24790"/>
    <w:rsid w:val="00C2480F"/>
    <w:rsid w:val="00C24812"/>
    <w:rsid w:val="00C24A2D"/>
    <w:rsid w:val="00C24AC5"/>
    <w:rsid w:val="00C24AE9"/>
    <w:rsid w:val="00C24B40"/>
    <w:rsid w:val="00C24E5B"/>
    <w:rsid w:val="00C24F20"/>
    <w:rsid w:val="00C25599"/>
    <w:rsid w:val="00C25793"/>
    <w:rsid w:val="00C258A3"/>
    <w:rsid w:val="00C25BF2"/>
    <w:rsid w:val="00C25DE4"/>
    <w:rsid w:val="00C25F18"/>
    <w:rsid w:val="00C26190"/>
    <w:rsid w:val="00C26588"/>
    <w:rsid w:val="00C26680"/>
    <w:rsid w:val="00C268DE"/>
    <w:rsid w:val="00C27510"/>
    <w:rsid w:val="00C27758"/>
    <w:rsid w:val="00C2788C"/>
    <w:rsid w:val="00C279F3"/>
    <w:rsid w:val="00C27A91"/>
    <w:rsid w:val="00C27D01"/>
    <w:rsid w:val="00C27DE9"/>
    <w:rsid w:val="00C27F30"/>
    <w:rsid w:val="00C3016B"/>
    <w:rsid w:val="00C302D9"/>
    <w:rsid w:val="00C305A7"/>
    <w:rsid w:val="00C306C6"/>
    <w:rsid w:val="00C3072E"/>
    <w:rsid w:val="00C30AAA"/>
    <w:rsid w:val="00C30B5B"/>
    <w:rsid w:val="00C30C6F"/>
    <w:rsid w:val="00C30E0B"/>
    <w:rsid w:val="00C3111D"/>
    <w:rsid w:val="00C31441"/>
    <w:rsid w:val="00C318A5"/>
    <w:rsid w:val="00C319AE"/>
    <w:rsid w:val="00C31A09"/>
    <w:rsid w:val="00C31BEE"/>
    <w:rsid w:val="00C31FB7"/>
    <w:rsid w:val="00C3205F"/>
    <w:rsid w:val="00C320AD"/>
    <w:rsid w:val="00C322BD"/>
    <w:rsid w:val="00C32497"/>
    <w:rsid w:val="00C3280F"/>
    <w:rsid w:val="00C32989"/>
    <w:rsid w:val="00C32D31"/>
    <w:rsid w:val="00C32EB7"/>
    <w:rsid w:val="00C33388"/>
    <w:rsid w:val="00C334D9"/>
    <w:rsid w:val="00C33501"/>
    <w:rsid w:val="00C337B9"/>
    <w:rsid w:val="00C33852"/>
    <w:rsid w:val="00C3388A"/>
    <w:rsid w:val="00C3395D"/>
    <w:rsid w:val="00C33EEB"/>
    <w:rsid w:val="00C33FD3"/>
    <w:rsid w:val="00C34377"/>
    <w:rsid w:val="00C344E2"/>
    <w:rsid w:val="00C345DF"/>
    <w:rsid w:val="00C348F8"/>
    <w:rsid w:val="00C34AB0"/>
    <w:rsid w:val="00C34D2C"/>
    <w:rsid w:val="00C34E1D"/>
    <w:rsid w:val="00C34E46"/>
    <w:rsid w:val="00C35064"/>
    <w:rsid w:val="00C35484"/>
    <w:rsid w:val="00C3549A"/>
    <w:rsid w:val="00C354D4"/>
    <w:rsid w:val="00C355ED"/>
    <w:rsid w:val="00C35618"/>
    <w:rsid w:val="00C35753"/>
    <w:rsid w:val="00C35AAE"/>
    <w:rsid w:val="00C35B25"/>
    <w:rsid w:val="00C35F45"/>
    <w:rsid w:val="00C360C3"/>
    <w:rsid w:val="00C36212"/>
    <w:rsid w:val="00C3637B"/>
    <w:rsid w:val="00C366CA"/>
    <w:rsid w:val="00C3687F"/>
    <w:rsid w:val="00C36B32"/>
    <w:rsid w:val="00C36C68"/>
    <w:rsid w:val="00C36C73"/>
    <w:rsid w:val="00C36D11"/>
    <w:rsid w:val="00C36D9F"/>
    <w:rsid w:val="00C3712D"/>
    <w:rsid w:val="00C37200"/>
    <w:rsid w:val="00C37212"/>
    <w:rsid w:val="00C3722D"/>
    <w:rsid w:val="00C37589"/>
    <w:rsid w:val="00C3771A"/>
    <w:rsid w:val="00C37A19"/>
    <w:rsid w:val="00C37FA0"/>
    <w:rsid w:val="00C3CB74"/>
    <w:rsid w:val="00C40092"/>
    <w:rsid w:val="00C40394"/>
    <w:rsid w:val="00C403EC"/>
    <w:rsid w:val="00C404E9"/>
    <w:rsid w:val="00C40556"/>
    <w:rsid w:val="00C407A8"/>
    <w:rsid w:val="00C4085E"/>
    <w:rsid w:val="00C408A5"/>
    <w:rsid w:val="00C408FC"/>
    <w:rsid w:val="00C40C71"/>
    <w:rsid w:val="00C40E59"/>
    <w:rsid w:val="00C40F0E"/>
    <w:rsid w:val="00C410A7"/>
    <w:rsid w:val="00C41485"/>
    <w:rsid w:val="00C41550"/>
    <w:rsid w:val="00C41610"/>
    <w:rsid w:val="00C41639"/>
    <w:rsid w:val="00C4173A"/>
    <w:rsid w:val="00C41A68"/>
    <w:rsid w:val="00C41B3F"/>
    <w:rsid w:val="00C41D42"/>
    <w:rsid w:val="00C41DCD"/>
    <w:rsid w:val="00C42B4D"/>
    <w:rsid w:val="00C42BCF"/>
    <w:rsid w:val="00C42D5D"/>
    <w:rsid w:val="00C42D9F"/>
    <w:rsid w:val="00C430B9"/>
    <w:rsid w:val="00C43147"/>
    <w:rsid w:val="00C433B9"/>
    <w:rsid w:val="00C4361C"/>
    <w:rsid w:val="00C43B75"/>
    <w:rsid w:val="00C43C88"/>
    <w:rsid w:val="00C43D92"/>
    <w:rsid w:val="00C43DBB"/>
    <w:rsid w:val="00C442B6"/>
    <w:rsid w:val="00C4433B"/>
    <w:rsid w:val="00C443DC"/>
    <w:rsid w:val="00C44422"/>
    <w:rsid w:val="00C4452C"/>
    <w:rsid w:val="00C448CE"/>
    <w:rsid w:val="00C449B1"/>
    <w:rsid w:val="00C44FD6"/>
    <w:rsid w:val="00C45218"/>
    <w:rsid w:val="00C45344"/>
    <w:rsid w:val="00C45561"/>
    <w:rsid w:val="00C45899"/>
    <w:rsid w:val="00C458FC"/>
    <w:rsid w:val="00C45939"/>
    <w:rsid w:val="00C45A5E"/>
    <w:rsid w:val="00C45BB4"/>
    <w:rsid w:val="00C45BE3"/>
    <w:rsid w:val="00C45C46"/>
    <w:rsid w:val="00C45C8D"/>
    <w:rsid w:val="00C45DDE"/>
    <w:rsid w:val="00C45F04"/>
    <w:rsid w:val="00C46149"/>
    <w:rsid w:val="00C4632F"/>
    <w:rsid w:val="00C4642A"/>
    <w:rsid w:val="00C46689"/>
    <w:rsid w:val="00C466B8"/>
    <w:rsid w:val="00C466F9"/>
    <w:rsid w:val="00C4681F"/>
    <w:rsid w:val="00C46893"/>
    <w:rsid w:val="00C468DA"/>
    <w:rsid w:val="00C46A72"/>
    <w:rsid w:val="00C46B17"/>
    <w:rsid w:val="00C46CCC"/>
    <w:rsid w:val="00C46EAF"/>
    <w:rsid w:val="00C46FB4"/>
    <w:rsid w:val="00C4714B"/>
    <w:rsid w:val="00C4726F"/>
    <w:rsid w:val="00C473E5"/>
    <w:rsid w:val="00C4745F"/>
    <w:rsid w:val="00C4758F"/>
    <w:rsid w:val="00C47831"/>
    <w:rsid w:val="00C47857"/>
    <w:rsid w:val="00C47A34"/>
    <w:rsid w:val="00C47A61"/>
    <w:rsid w:val="00C47D58"/>
    <w:rsid w:val="00C50215"/>
    <w:rsid w:val="00C502B0"/>
    <w:rsid w:val="00C50486"/>
    <w:rsid w:val="00C5063B"/>
    <w:rsid w:val="00C509E8"/>
    <w:rsid w:val="00C50A4D"/>
    <w:rsid w:val="00C50B12"/>
    <w:rsid w:val="00C50DED"/>
    <w:rsid w:val="00C51111"/>
    <w:rsid w:val="00C512ED"/>
    <w:rsid w:val="00C51798"/>
    <w:rsid w:val="00C51B6A"/>
    <w:rsid w:val="00C52217"/>
    <w:rsid w:val="00C52276"/>
    <w:rsid w:val="00C5246F"/>
    <w:rsid w:val="00C524A7"/>
    <w:rsid w:val="00C52523"/>
    <w:rsid w:val="00C527AD"/>
    <w:rsid w:val="00C527C3"/>
    <w:rsid w:val="00C52899"/>
    <w:rsid w:val="00C52BE3"/>
    <w:rsid w:val="00C52C6F"/>
    <w:rsid w:val="00C52DFB"/>
    <w:rsid w:val="00C53162"/>
    <w:rsid w:val="00C53276"/>
    <w:rsid w:val="00C53287"/>
    <w:rsid w:val="00C533DD"/>
    <w:rsid w:val="00C5349E"/>
    <w:rsid w:val="00C534AC"/>
    <w:rsid w:val="00C535BD"/>
    <w:rsid w:val="00C538BD"/>
    <w:rsid w:val="00C538E7"/>
    <w:rsid w:val="00C53971"/>
    <w:rsid w:val="00C53A2B"/>
    <w:rsid w:val="00C53D69"/>
    <w:rsid w:val="00C53D87"/>
    <w:rsid w:val="00C53DE1"/>
    <w:rsid w:val="00C5466E"/>
    <w:rsid w:val="00C548A4"/>
    <w:rsid w:val="00C5496A"/>
    <w:rsid w:val="00C54AA8"/>
    <w:rsid w:val="00C5505A"/>
    <w:rsid w:val="00C55316"/>
    <w:rsid w:val="00C55446"/>
    <w:rsid w:val="00C5562E"/>
    <w:rsid w:val="00C55676"/>
    <w:rsid w:val="00C55798"/>
    <w:rsid w:val="00C55AC2"/>
    <w:rsid w:val="00C55FCB"/>
    <w:rsid w:val="00C562AC"/>
    <w:rsid w:val="00C5657C"/>
    <w:rsid w:val="00C5658B"/>
    <w:rsid w:val="00C566E0"/>
    <w:rsid w:val="00C56A69"/>
    <w:rsid w:val="00C56C78"/>
    <w:rsid w:val="00C56CE5"/>
    <w:rsid w:val="00C56E54"/>
    <w:rsid w:val="00C56EC2"/>
    <w:rsid w:val="00C56F35"/>
    <w:rsid w:val="00C574B3"/>
    <w:rsid w:val="00C5755B"/>
    <w:rsid w:val="00C579FD"/>
    <w:rsid w:val="00C57A1D"/>
    <w:rsid w:val="00C57E56"/>
    <w:rsid w:val="00C60108"/>
    <w:rsid w:val="00C6013C"/>
    <w:rsid w:val="00C602FF"/>
    <w:rsid w:val="00C60411"/>
    <w:rsid w:val="00C60456"/>
    <w:rsid w:val="00C6046E"/>
    <w:rsid w:val="00C604AB"/>
    <w:rsid w:val="00C606AA"/>
    <w:rsid w:val="00C6073C"/>
    <w:rsid w:val="00C607A1"/>
    <w:rsid w:val="00C608DC"/>
    <w:rsid w:val="00C60AAD"/>
    <w:rsid w:val="00C61174"/>
    <w:rsid w:val="00C6128D"/>
    <w:rsid w:val="00C6148F"/>
    <w:rsid w:val="00C6152C"/>
    <w:rsid w:val="00C61B31"/>
    <w:rsid w:val="00C621B1"/>
    <w:rsid w:val="00C62397"/>
    <w:rsid w:val="00C624E7"/>
    <w:rsid w:val="00C6286A"/>
    <w:rsid w:val="00C62D5A"/>
    <w:rsid w:val="00C62EF7"/>
    <w:rsid w:val="00C62F7A"/>
    <w:rsid w:val="00C63050"/>
    <w:rsid w:val="00C631E4"/>
    <w:rsid w:val="00C6322E"/>
    <w:rsid w:val="00C633FA"/>
    <w:rsid w:val="00C6362D"/>
    <w:rsid w:val="00C6374A"/>
    <w:rsid w:val="00C638BE"/>
    <w:rsid w:val="00C63B16"/>
    <w:rsid w:val="00C63B9C"/>
    <w:rsid w:val="00C63C97"/>
    <w:rsid w:val="00C63D86"/>
    <w:rsid w:val="00C6412E"/>
    <w:rsid w:val="00C6447E"/>
    <w:rsid w:val="00C644EE"/>
    <w:rsid w:val="00C64663"/>
    <w:rsid w:val="00C6487F"/>
    <w:rsid w:val="00C64A3A"/>
    <w:rsid w:val="00C64BC0"/>
    <w:rsid w:val="00C64C50"/>
    <w:rsid w:val="00C64DA9"/>
    <w:rsid w:val="00C65073"/>
    <w:rsid w:val="00C65341"/>
    <w:rsid w:val="00C65748"/>
    <w:rsid w:val="00C6595F"/>
    <w:rsid w:val="00C65ACC"/>
    <w:rsid w:val="00C65BA8"/>
    <w:rsid w:val="00C66092"/>
    <w:rsid w:val="00C66450"/>
    <w:rsid w:val="00C667DF"/>
    <w:rsid w:val="00C667FD"/>
    <w:rsid w:val="00C6682F"/>
    <w:rsid w:val="00C66847"/>
    <w:rsid w:val="00C66B46"/>
    <w:rsid w:val="00C66CCF"/>
    <w:rsid w:val="00C66CFE"/>
    <w:rsid w:val="00C67120"/>
    <w:rsid w:val="00C679D9"/>
    <w:rsid w:val="00C67A35"/>
    <w:rsid w:val="00C67A6B"/>
    <w:rsid w:val="00C67AED"/>
    <w:rsid w:val="00C67BF4"/>
    <w:rsid w:val="00C67C44"/>
    <w:rsid w:val="00C67CB8"/>
    <w:rsid w:val="00C67F8B"/>
    <w:rsid w:val="00C702CB"/>
    <w:rsid w:val="00C7040D"/>
    <w:rsid w:val="00C705EE"/>
    <w:rsid w:val="00C707A3"/>
    <w:rsid w:val="00C70800"/>
    <w:rsid w:val="00C709DD"/>
    <w:rsid w:val="00C70DB9"/>
    <w:rsid w:val="00C71253"/>
    <w:rsid w:val="00C713FB"/>
    <w:rsid w:val="00C7175D"/>
    <w:rsid w:val="00C719C2"/>
    <w:rsid w:val="00C71ABA"/>
    <w:rsid w:val="00C71BBA"/>
    <w:rsid w:val="00C71DB2"/>
    <w:rsid w:val="00C72114"/>
    <w:rsid w:val="00C72205"/>
    <w:rsid w:val="00C72452"/>
    <w:rsid w:val="00C7275E"/>
    <w:rsid w:val="00C730D4"/>
    <w:rsid w:val="00C731AF"/>
    <w:rsid w:val="00C73254"/>
    <w:rsid w:val="00C7354D"/>
    <w:rsid w:val="00C73BB5"/>
    <w:rsid w:val="00C73C6A"/>
    <w:rsid w:val="00C73CB0"/>
    <w:rsid w:val="00C73DEF"/>
    <w:rsid w:val="00C73EB1"/>
    <w:rsid w:val="00C73F5C"/>
    <w:rsid w:val="00C7406D"/>
    <w:rsid w:val="00C74084"/>
    <w:rsid w:val="00C740AF"/>
    <w:rsid w:val="00C7413C"/>
    <w:rsid w:val="00C74351"/>
    <w:rsid w:val="00C74559"/>
    <w:rsid w:val="00C74835"/>
    <w:rsid w:val="00C74C5D"/>
    <w:rsid w:val="00C74C7E"/>
    <w:rsid w:val="00C74CD2"/>
    <w:rsid w:val="00C750A9"/>
    <w:rsid w:val="00C7524A"/>
    <w:rsid w:val="00C7544E"/>
    <w:rsid w:val="00C75731"/>
    <w:rsid w:val="00C75854"/>
    <w:rsid w:val="00C75F13"/>
    <w:rsid w:val="00C76056"/>
    <w:rsid w:val="00C762C9"/>
    <w:rsid w:val="00C76355"/>
    <w:rsid w:val="00C7682F"/>
    <w:rsid w:val="00C76B04"/>
    <w:rsid w:val="00C76B3C"/>
    <w:rsid w:val="00C7764F"/>
    <w:rsid w:val="00C77712"/>
    <w:rsid w:val="00C77748"/>
    <w:rsid w:val="00C7791F"/>
    <w:rsid w:val="00C77927"/>
    <w:rsid w:val="00C77B3A"/>
    <w:rsid w:val="00C77ECD"/>
    <w:rsid w:val="00C77EDC"/>
    <w:rsid w:val="00C77F47"/>
    <w:rsid w:val="00C80162"/>
    <w:rsid w:val="00C8027F"/>
    <w:rsid w:val="00C809E5"/>
    <w:rsid w:val="00C80BC6"/>
    <w:rsid w:val="00C81352"/>
    <w:rsid w:val="00C8135C"/>
    <w:rsid w:val="00C813F9"/>
    <w:rsid w:val="00C81855"/>
    <w:rsid w:val="00C81E08"/>
    <w:rsid w:val="00C82055"/>
    <w:rsid w:val="00C82205"/>
    <w:rsid w:val="00C8220F"/>
    <w:rsid w:val="00C8253F"/>
    <w:rsid w:val="00C82658"/>
    <w:rsid w:val="00C826BF"/>
    <w:rsid w:val="00C82829"/>
    <w:rsid w:val="00C8282B"/>
    <w:rsid w:val="00C82A95"/>
    <w:rsid w:val="00C82AD3"/>
    <w:rsid w:val="00C82BC6"/>
    <w:rsid w:val="00C82C7F"/>
    <w:rsid w:val="00C82CE1"/>
    <w:rsid w:val="00C831E7"/>
    <w:rsid w:val="00C83793"/>
    <w:rsid w:val="00C837C1"/>
    <w:rsid w:val="00C83969"/>
    <w:rsid w:val="00C83B3C"/>
    <w:rsid w:val="00C83E40"/>
    <w:rsid w:val="00C83F84"/>
    <w:rsid w:val="00C8424B"/>
    <w:rsid w:val="00C8436D"/>
    <w:rsid w:val="00C843A7"/>
    <w:rsid w:val="00C8465D"/>
    <w:rsid w:val="00C848CB"/>
    <w:rsid w:val="00C849B2"/>
    <w:rsid w:val="00C849DA"/>
    <w:rsid w:val="00C84DC9"/>
    <w:rsid w:val="00C84F28"/>
    <w:rsid w:val="00C84FC7"/>
    <w:rsid w:val="00C8515B"/>
    <w:rsid w:val="00C851C7"/>
    <w:rsid w:val="00C851D1"/>
    <w:rsid w:val="00C853AC"/>
    <w:rsid w:val="00C85A4B"/>
    <w:rsid w:val="00C85B42"/>
    <w:rsid w:val="00C85C25"/>
    <w:rsid w:val="00C85CBE"/>
    <w:rsid w:val="00C85CE4"/>
    <w:rsid w:val="00C85D90"/>
    <w:rsid w:val="00C85DFE"/>
    <w:rsid w:val="00C85ED3"/>
    <w:rsid w:val="00C86169"/>
    <w:rsid w:val="00C86295"/>
    <w:rsid w:val="00C862B2"/>
    <w:rsid w:val="00C862DA"/>
    <w:rsid w:val="00C86357"/>
    <w:rsid w:val="00C863C3"/>
    <w:rsid w:val="00C863C4"/>
    <w:rsid w:val="00C86610"/>
    <w:rsid w:val="00C86954"/>
    <w:rsid w:val="00C86B7F"/>
    <w:rsid w:val="00C87133"/>
    <w:rsid w:val="00C87189"/>
    <w:rsid w:val="00C872AC"/>
    <w:rsid w:val="00C872D6"/>
    <w:rsid w:val="00C87777"/>
    <w:rsid w:val="00C87B02"/>
    <w:rsid w:val="00C87E59"/>
    <w:rsid w:val="00C90186"/>
    <w:rsid w:val="00C901A7"/>
    <w:rsid w:val="00C90376"/>
    <w:rsid w:val="00C90500"/>
    <w:rsid w:val="00C90610"/>
    <w:rsid w:val="00C9090C"/>
    <w:rsid w:val="00C90B33"/>
    <w:rsid w:val="00C90B38"/>
    <w:rsid w:val="00C90B5D"/>
    <w:rsid w:val="00C90BC8"/>
    <w:rsid w:val="00C90DAB"/>
    <w:rsid w:val="00C90DD1"/>
    <w:rsid w:val="00C90F59"/>
    <w:rsid w:val="00C90FE3"/>
    <w:rsid w:val="00C918D9"/>
    <w:rsid w:val="00C918DA"/>
    <w:rsid w:val="00C91A19"/>
    <w:rsid w:val="00C91E41"/>
    <w:rsid w:val="00C91F90"/>
    <w:rsid w:val="00C920D4"/>
    <w:rsid w:val="00C920EA"/>
    <w:rsid w:val="00C9264F"/>
    <w:rsid w:val="00C926CC"/>
    <w:rsid w:val="00C92A00"/>
    <w:rsid w:val="00C92DBB"/>
    <w:rsid w:val="00C92E28"/>
    <w:rsid w:val="00C92EAA"/>
    <w:rsid w:val="00C93060"/>
    <w:rsid w:val="00C93196"/>
    <w:rsid w:val="00C93275"/>
    <w:rsid w:val="00C936C6"/>
    <w:rsid w:val="00C937FF"/>
    <w:rsid w:val="00C9387F"/>
    <w:rsid w:val="00C93C3E"/>
    <w:rsid w:val="00C9449C"/>
    <w:rsid w:val="00C94572"/>
    <w:rsid w:val="00C945B2"/>
    <w:rsid w:val="00C945C7"/>
    <w:rsid w:val="00C9483C"/>
    <w:rsid w:val="00C9486C"/>
    <w:rsid w:val="00C9488C"/>
    <w:rsid w:val="00C94AB8"/>
    <w:rsid w:val="00C94DE8"/>
    <w:rsid w:val="00C95268"/>
    <w:rsid w:val="00C95341"/>
    <w:rsid w:val="00C953D8"/>
    <w:rsid w:val="00C95689"/>
    <w:rsid w:val="00C9583E"/>
    <w:rsid w:val="00C95BC2"/>
    <w:rsid w:val="00C95EBF"/>
    <w:rsid w:val="00C95EF0"/>
    <w:rsid w:val="00C96012"/>
    <w:rsid w:val="00C963CB"/>
    <w:rsid w:val="00C965D6"/>
    <w:rsid w:val="00C966D1"/>
    <w:rsid w:val="00C967B2"/>
    <w:rsid w:val="00C969B0"/>
    <w:rsid w:val="00C969C3"/>
    <w:rsid w:val="00C969DF"/>
    <w:rsid w:val="00C96CA9"/>
    <w:rsid w:val="00C97008"/>
    <w:rsid w:val="00C971EF"/>
    <w:rsid w:val="00C9739E"/>
    <w:rsid w:val="00C977FC"/>
    <w:rsid w:val="00C97C0A"/>
    <w:rsid w:val="00C97CB1"/>
    <w:rsid w:val="00C97D39"/>
    <w:rsid w:val="00C97FC1"/>
    <w:rsid w:val="00CA04A1"/>
    <w:rsid w:val="00CA053F"/>
    <w:rsid w:val="00CA1044"/>
    <w:rsid w:val="00CA12E3"/>
    <w:rsid w:val="00CA12EA"/>
    <w:rsid w:val="00CA1476"/>
    <w:rsid w:val="00CA1593"/>
    <w:rsid w:val="00CA1BB4"/>
    <w:rsid w:val="00CA20AA"/>
    <w:rsid w:val="00CA218F"/>
    <w:rsid w:val="00CA21EB"/>
    <w:rsid w:val="00CA291D"/>
    <w:rsid w:val="00CA2B9F"/>
    <w:rsid w:val="00CA2F4B"/>
    <w:rsid w:val="00CA354F"/>
    <w:rsid w:val="00CA368F"/>
    <w:rsid w:val="00CA3958"/>
    <w:rsid w:val="00CA3CF4"/>
    <w:rsid w:val="00CA3EB8"/>
    <w:rsid w:val="00CA41C5"/>
    <w:rsid w:val="00CA4C30"/>
    <w:rsid w:val="00CA4C66"/>
    <w:rsid w:val="00CA4C90"/>
    <w:rsid w:val="00CA4CC8"/>
    <w:rsid w:val="00CA4E14"/>
    <w:rsid w:val="00CA50EF"/>
    <w:rsid w:val="00CA51F9"/>
    <w:rsid w:val="00CA5633"/>
    <w:rsid w:val="00CA5935"/>
    <w:rsid w:val="00CA5DF2"/>
    <w:rsid w:val="00CA60E8"/>
    <w:rsid w:val="00CA6611"/>
    <w:rsid w:val="00CA66CB"/>
    <w:rsid w:val="00CA6892"/>
    <w:rsid w:val="00CA6AE6"/>
    <w:rsid w:val="00CA6B2D"/>
    <w:rsid w:val="00CA6B5F"/>
    <w:rsid w:val="00CA70E1"/>
    <w:rsid w:val="00CA7366"/>
    <w:rsid w:val="00CA76F3"/>
    <w:rsid w:val="00CA7752"/>
    <w:rsid w:val="00CA782F"/>
    <w:rsid w:val="00CA788A"/>
    <w:rsid w:val="00CA796B"/>
    <w:rsid w:val="00CA7B60"/>
    <w:rsid w:val="00CA7C04"/>
    <w:rsid w:val="00CA7CDA"/>
    <w:rsid w:val="00CA7E6F"/>
    <w:rsid w:val="00CB01A2"/>
    <w:rsid w:val="00CB01A5"/>
    <w:rsid w:val="00CB01F7"/>
    <w:rsid w:val="00CB073C"/>
    <w:rsid w:val="00CB0D5A"/>
    <w:rsid w:val="00CB10B8"/>
    <w:rsid w:val="00CB10DB"/>
    <w:rsid w:val="00CB1569"/>
    <w:rsid w:val="00CB158A"/>
    <w:rsid w:val="00CB187B"/>
    <w:rsid w:val="00CB1921"/>
    <w:rsid w:val="00CB19AC"/>
    <w:rsid w:val="00CB1A52"/>
    <w:rsid w:val="00CB1AF7"/>
    <w:rsid w:val="00CB1B79"/>
    <w:rsid w:val="00CB1C06"/>
    <w:rsid w:val="00CB1D4A"/>
    <w:rsid w:val="00CB1E34"/>
    <w:rsid w:val="00CB1F15"/>
    <w:rsid w:val="00CB211A"/>
    <w:rsid w:val="00CB2162"/>
    <w:rsid w:val="00CB21A4"/>
    <w:rsid w:val="00CB235C"/>
    <w:rsid w:val="00CB255D"/>
    <w:rsid w:val="00CB26C3"/>
    <w:rsid w:val="00CB2835"/>
    <w:rsid w:val="00CB29B7"/>
    <w:rsid w:val="00CB2DA0"/>
    <w:rsid w:val="00CB3285"/>
    <w:rsid w:val="00CB352F"/>
    <w:rsid w:val="00CB3642"/>
    <w:rsid w:val="00CB36A5"/>
    <w:rsid w:val="00CB37BB"/>
    <w:rsid w:val="00CB3B42"/>
    <w:rsid w:val="00CB3C44"/>
    <w:rsid w:val="00CB4272"/>
    <w:rsid w:val="00CB4370"/>
    <w:rsid w:val="00CB4500"/>
    <w:rsid w:val="00CB4509"/>
    <w:rsid w:val="00CB4586"/>
    <w:rsid w:val="00CB4703"/>
    <w:rsid w:val="00CB4B07"/>
    <w:rsid w:val="00CB4D7F"/>
    <w:rsid w:val="00CB4EED"/>
    <w:rsid w:val="00CB5115"/>
    <w:rsid w:val="00CB5168"/>
    <w:rsid w:val="00CB52FC"/>
    <w:rsid w:val="00CB53B3"/>
    <w:rsid w:val="00CB5665"/>
    <w:rsid w:val="00CB5928"/>
    <w:rsid w:val="00CB5D14"/>
    <w:rsid w:val="00CB5FB2"/>
    <w:rsid w:val="00CB630C"/>
    <w:rsid w:val="00CB644D"/>
    <w:rsid w:val="00CB6F3F"/>
    <w:rsid w:val="00CB6F5C"/>
    <w:rsid w:val="00CB7554"/>
    <w:rsid w:val="00CB7641"/>
    <w:rsid w:val="00CB77F4"/>
    <w:rsid w:val="00CB7A4E"/>
    <w:rsid w:val="00CB7B82"/>
    <w:rsid w:val="00CB7B8A"/>
    <w:rsid w:val="00CB7FA1"/>
    <w:rsid w:val="00CB7FE9"/>
    <w:rsid w:val="00CC00C8"/>
    <w:rsid w:val="00CC00F4"/>
    <w:rsid w:val="00CC0100"/>
    <w:rsid w:val="00CC0133"/>
    <w:rsid w:val="00CC0471"/>
    <w:rsid w:val="00CC0476"/>
    <w:rsid w:val="00CC06EC"/>
    <w:rsid w:val="00CC08D2"/>
    <w:rsid w:val="00CC09C3"/>
    <w:rsid w:val="00CC0B32"/>
    <w:rsid w:val="00CC0C27"/>
    <w:rsid w:val="00CC0C72"/>
    <w:rsid w:val="00CC0D19"/>
    <w:rsid w:val="00CC0E14"/>
    <w:rsid w:val="00CC1243"/>
    <w:rsid w:val="00CC1306"/>
    <w:rsid w:val="00CC1513"/>
    <w:rsid w:val="00CC15FA"/>
    <w:rsid w:val="00CC18C5"/>
    <w:rsid w:val="00CC1BD3"/>
    <w:rsid w:val="00CC2325"/>
    <w:rsid w:val="00CC2476"/>
    <w:rsid w:val="00CC258A"/>
    <w:rsid w:val="00CC298D"/>
    <w:rsid w:val="00CC2B8E"/>
    <w:rsid w:val="00CC2BFD"/>
    <w:rsid w:val="00CC2CFC"/>
    <w:rsid w:val="00CC34A3"/>
    <w:rsid w:val="00CC34D1"/>
    <w:rsid w:val="00CC34FA"/>
    <w:rsid w:val="00CC35A1"/>
    <w:rsid w:val="00CC38C8"/>
    <w:rsid w:val="00CC3BB0"/>
    <w:rsid w:val="00CC3CE7"/>
    <w:rsid w:val="00CC4587"/>
    <w:rsid w:val="00CC4592"/>
    <w:rsid w:val="00CC4A36"/>
    <w:rsid w:val="00CC4AA8"/>
    <w:rsid w:val="00CC4E07"/>
    <w:rsid w:val="00CC50E5"/>
    <w:rsid w:val="00CC512B"/>
    <w:rsid w:val="00CC547B"/>
    <w:rsid w:val="00CC56F8"/>
    <w:rsid w:val="00CC5A4A"/>
    <w:rsid w:val="00CC5A75"/>
    <w:rsid w:val="00CC5BC3"/>
    <w:rsid w:val="00CC5C2D"/>
    <w:rsid w:val="00CC5C2E"/>
    <w:rsid w:val="00CC65A6"/>
    <w:rsid w:val="00CC69C2"/>
    <w:rsid w:val="00CC6B19"/>
    <w:rsid w:val="00CC6C92"/>
    <w:rsid w:val="00CC6F40"/>
    <w:rsid w:val="00CC6FEF"/>
    <w:rsid w:val="00CC71DE"/>
    <w:rsid w:val="00CC73C4"/>
    <w:rsid w:val="00CC748A"/>
    <w:rsid w:val="00CC753D"/>
    <w:rsid w:val="00CC75F3"/>
    <w:rsid w:val="00CC77FC"/>
    <w:rsid w:val="00CC789A"/>
    <w:rsid w:val="00CC7B7A"/>
    <w:rsid w:val="00CC7BAF"/>
    <w:rsid w:val="00CC7BF8"/>
    <w:rsid w:val="00CC7ECA"/>
    <w:rsid w:val="00CC7EE2"/>
    <w:rsid w:val="00CD01DD"/>
    <w:rsid w:val="00CD0837"/>
    <w:rsid w:val="00CD086A"/>
    <w:rsid w:val="00CD09EE"/>
    <w:rsid w:val="00CD0C77"/>
    <w:rsid w:val="00CD0CD2"/>
    <w:rsid w:val="00CD0DA1"/>
    <w:rsid w:val="00CD0DE2"/>
    <w:rsid w:val="00CD0F7A"/>
    <w:rsid w:val="00CD118A"/>
    <w:rsid w:val="00CD1250"/>
    <w:rsid w:val="00CD13BF"/>
    <w:rsid w:val="00CD14C6"/>
    <w:rsid w:val="00CD17FA"/>
    <w:rsid w:val="00CD1827"/>
    <w:rsid w:val="00CD1ADC"/>
    <w:rsid w:val="00CD1B06"/>
    <w:rsid w:val="00CD1BFC"/>
    <w:rsid w:val="00CD1C6F"/>
    <w:rsid w:val="00CD1E2A"/>
    <w:rsid w:val="00CD2326"/>
    <w:rsid w:val="00CD24C0"/>
    <w:rsid w:val="00CD26E8"/>
    <w:rsid w:val="00CD27BD"/>
    <w:rsid w:val="00CD2A35"/>
    <w:rsid w:val="00CD2BD7"/>
    <w:rsid w:val="00CD2CC4"/>
    <w:rsid w:val="00CD2DF0"/>
    <w:rsid w:val="00CD31AD"/>
    <w:rsid w:val="00CD32C4"/>
    <w:rsid w:val="00CD3476"/>
    <w:rsid w:val="00CD35AD"/>
    <w:rsid w:val="00CD37C7"/>
    <w:rsid w:val="00CD405C"/>
    <w:rsid w:val="00CD4163"/>
    <w:rsid w:val="00CD4528"/>
    <w:rsid w:val="00CD4542"/>
    <w:rsid w:val="00CD4712"/>
    <w:rsid w:val="00CD47BE"/>
    <w:rsid w:val="00CD47D8"/>
    <w:rsid w:val="00CD4B6B"/>
    <w:rsid w:val="00CD4FA5"/>
    <w:rsid w:val="00CD514A"/>
    <w:rsid w:val="00CD5918"/>
    <w:rsid w:val="00CD5953"/>
    <w:rsid w:val="00CD5A20"/>
    <w:rsid w:val="00CD5AB6"/>
    <w:rsid w:val="00CD5B89"/>
    <w:rsid w:val="00CD5E44"/>
    <w:rsid w:val="00CD64B0"/>
    <w:rsid w:val="00CD64DF"/>
    <w:rsid w:val="00CD6D6D"/>
    <w:rsid w:val="00CD7304"/>
    <w:rsid w:val="00CD756B"/>
    <w:rsid w:val="00CD7582"/>
    <w:rsid w:val="00CD77CC"/>
    <w:rsid w:val="00CE030B"/>
    <w:rsid w:val="00CE05A7"/>
    <w:rsid w:val="00CE07BD"/>
    <w:rsid w:val="00CE0904"/>
    <w:rsid w:val="00CE0957"/>
    <w:rsid w:val="00CE09C2"/>
    <w:rsid w:val="00CE0EC1"/>
    <w:rsid w:val="00CE0F20"/>
    <w:rsid w:val="00CE132F"/>
    <w:rsid w:val="00CE1616"/>
    <w:rsid w:val="00CE1A39"/>
    <w:rsid w:val="00CE1BB6"/>
    <w:rsid w:val="00CE1D8C"/>
    <w:rsid w:val="00CE1DDC"/>
    <w:rsid w:val="00CE225F"/>
    <w:rsid w:val="00CE27DF"/>
    <w:rsid w:val="00CE2872"/>
    <w:rsid w:val="00CE29FD"/>
    <w:rsid w:val="00CE2A84"/>
    <w:rsid w:val="00CE2AEE"/>
    <w:rsid w:val="00CE2CAC"/>
    <w:rsid w:val="00CE2F7A"/>
    <w:rsid w:val="00CE30BD"/>
    <w:rsid w:val="00CE30CE"/>
    <w:rsid w:val="00CE3112"/>
    <w:rsid w:val="00CE319B"/>
    <w:rsid w:val="00CE3202"/>
    <w:rsid w:val="00CE3226"/>
    <w:rsid w:val="00CE365F"/>
    <w:rsid w:val="00CE3AAF"/>
    <w:rsid w:val="00CE3ED2"/>
    <w:rsid w:val="00CE4190"/>
    <w:rsid w:val="00CE4335"/>
    <w:rsid w:val="00CE444B"/>
    <w:rsid w:val="00CE44C3"/>
    <w:rsid w:val="00CE4602"/>
    <w:rsid w:val="00CE4674"/>
    <w:rsid w:val="00CE4C60"/>
    <w:rsid w:val="00CE4D90"/>
    <w:rsid w:val="00CE4E62"/>
    <w:rsid w:val="00CE4FFF"/>
    <w:rsid w:val="00CE51EC"/>
    <w:rsid w:val="00CE52D6"/>
    <w:rsid w:val="00CE536D"/>
    <w:rsid w:val="00CE54B2"/>
    <w:rsid w:val="00CE56CF"/>
    <w:rsid w:val="00CE583A"/>
    <w:rsid w:val="00CE5A7A"/>
    <w:rsid w:val="00CE5AFD"/>
    <w:rsid w:val="00CE5C72"/>
    <w:rsid w:val="00CE5E77"/>
    <w:rsid w:val="00CE5FA5"/>
    <w:rsid w:val="00CE6142"/>
    <w:rsid w:val="00CE6213"/>
    <w:rsid w:val="00CE62C2"/>
    <w:rsid w:val="00CE6610"/>
    <w:rsid w:val="00CE6732"/>
    <w:rsid w:val="00CE67F5"/>
    <w:rsid w:val="00CE68D3"/>
    <w:rsid w:val="00CE6E19"/>
    <w:rsid w:val="00CE73FB"/>
    <w:rsid w:val="00CE7446"/>
    <w:rsid w:val="00CE7508"/>
    <w:rsid w:val="00CE7573"/>
    <w:rsid w:val="00CE76BF"/>
    <w:rsid w:val="00CE7970"/>
    <w:rsid w:val="00CF02AF"/>
    <w:rsid w:val="00CF0743"/>
    <w:rsid w:val="00CF0757"/>
    <w:rsid w:val="00CF0815"/>
    <w:rsid w:val="00CF098F"/>
    <w:rsid w:val="00CF0A59"/>
    <w:rsid w:val="00CF0D48"/>
    <w:rsid w:val="00CF125C"/>
    <w:rsid w:val="00CF133E"/>
    <w:rsid w:val="00CF161C"/>
    <w:rsid w:val="00CF1653"/>
    <w:rsid w:val="00CF1819"/>
    <w:rsid w:val="00CF18D7"/>
    <w:rsid w:val="00CF19F7"/>
    <w:rsid w:val="00CF1EDD"/>
    <w:rsid w:val="00CF23B2"/>
    <w:rsid w:val="00CF250E"/>
    <w:rsid w:val="00CF2742"/>
    <w:rsid w:val="00CF2776"/>
    <w:rsid w:val="00CF27A3"/>
    <w:rsid w:val="00CF280A"/>
    <w:rsid w:val="00CF2B5F"/>
    <w:rsid w:val="00CF2BC4"/>
    <w:rsid w:val="00CF2D6D"/>
    <w:rsid w:val="00CF2EE4"/>
    <w:rsid w:val="00CF2F50"/>
    <w:rsid w:val="00CF3003"/>
    <w:rsid w:val="00CF314C"/>
    <w:rsid w:val="00CF31C6"/>
    <w:rsid w:val="00CF33DB"/>
    <w:rsid w:val="00CF363A"/>
    <w:rsid w:val="00CF365B"/>
    <w:rsid w:val="00CF37A7"/>
    <w:rsid w:val="00CF37B7"/>
    <w:rsid w:val="00CF37E3"/>
    <w:rsid w:val="00CF3A05"/>
    <w:rsid w:val="00CF3E7C"/>
    <w:rsid w:val="00CF4092"/>
    <w:rsid w:val="00CF41AA"/>
    <w:rsid w:val="00CF41E3"/>
    <w:rsid w:val="00CF422A"/>
    <w:rsid w:val="00CF4259"/>
    <w:rsid w:val="00CF4309"/>
    <w:rsid w:val="00CF4659"/>
    <w:rsid w:val="00CF48E1"/>
    <w:rsid w:val="00CF4903"/>
    <w:rsid w:val="00CF49C3"/>
    <w:rsid w:val="00CF4BEB"/>
    <w:rsid w:val="00CF4CD2"/>
    <w:rsid w:val="00CF4DC2"/>
    <w:rsid w:val="00CF5158"/>
    <w:rsid w:val="00CF53CA"/>
    <w:rsid w:val="00CF55DA"/>
    <w:rsid w:val="00CF57F5"/>
    <w:rsid w:val="00CF5A8E"/>
    <w:rsid w:val="00CF5BCC"/>
    <w:rsid w:val="00CF616D"/>
    <w:rsid w:val="00CF6182"/>
    <w:rsid w:val="00CF6198"/>
    <w:rsid w:val="00CF626B"/>
    <w:rsid w:val="00CF631F"/>
    <w:rsid w:val="00CF635C"/>
    <w:rsid w:val="00CF6806"/>
    <w:rsid w:val="00CF6A4C"/>
    <w:rsid w:val="00CF6B1F"/>
    <w:rsid w:val="00CF6CFD"/>
    <w:rsid w:val="00CF78D5"/>
    <w:rsid w:val="00CF79CE"/>
    <w:rsid w:val="00CF7EED"/>
    <w:rsid w:val="00D005AF"/>
    <w:rsid w:val="00D00623"/>
    <w:rsid w:val="00D00681"/>
    <w:rsid w:val="00D00988"/>
    <w:rsid w:val="00D00B22"/>
    <w:rsid w:val="00D00F35"/>
    <w:rsid w:val="00D011F1"/>
    <w:rsid w:val="00D0141D"/>
    <w:rsid w:val="00D015EA"/>
    <w:rsid w:val="00D0198D"/>
    <w:rsid w:val="00D01AF6"/>
    <w:rsid w:val="00D01B2D"/>
    <w:rsid w:val="00D01BC3"/>
    <w:rsid w:val="00D01D0D"/>
    <w:rsid w:val="00D020C0"/>
    <w:rsid w:val="00D024B6"/>
    <w:rsid w:val="00D025B2"/>
    <w:rsid w:val="00D025DA"/>
    <w:rsid w:val="00D0271C"/>
    <w:rsid w:val="00D0277D"/>
    <w:rsid w:val="00D02919"/>
    <w:rsid w:val="00D02C5E"/>
    <w:rsid w:val="00D02C61"/>
    <w:rsid w:val="00D02EAF"/>
    <w:rsid w:val="00D0328B"/>
    <w:rsid w:val="00D03365"/>
    <w:rsid w:val="00D0340F"/>
    <w:rsid w:val="00D03526"/>
    <w:rsid w:val="00D03574"/>
    <w:rsid w:val="00D0358A"/>
    <w:rsid w:val="00D035DA"/>
    <w:rsid w:val="00D03ECE"/>
    <w:rsid w:val="00D03F11"/>
    <w:rsid w:val="00D04002"/>
    <w:rsid w:val="00D045CF"/>
    <w:rsid w:val="00D045EF"/>
    <w:rsid w:val="00D045FC"/>
    <w:rsid w:val="00D04772"/>
    <w:rsid w:val="00D04912"/>
    <w:rsid w:val="00D04967"/>
    <w:rsid w:val="00D049FC"/>
    <w:rsid w:val="00D04A11"/>
    <w:rsid w:val="00D04C61"/>
    <w:rsid w:val="00D04E15"/>
    <w:rsid w:val="00D04E90"/>
    <w:rsid w:val="00D04F1F"/>
    <w:rsid w:val="00D04F4F"/>
    <w:rsid w:val="00D04F7A"/>
    <w:rsid w:val="00D0537E"/>
    <w:rsid w:val="00D057B5"/>
    <w:rsid w:val="00D057F2"/>
    <w:rsid w:val="00D05A34"/>
    <w:rsid w:val="00D05B8D"/>
    <w:rsid w:val="00D05B9B"/>
    <w:rsid w:val="00D05D9B"/>
    <w:rsid w:val="00D05F33"/>
    <w:rsid w:val="00D05F35"/>
    <w:rsid w:val="00D05F37"/>
    <w:rsid w:val="00D061AD"/>
    <w:rsid w:val="00D064E3"/>
    <w:rsid w:val="00D06532"/>
    <w:rsid w:val="00D065A2"/>
    <w:rsid w:val="00D065EC"/>
    <w:rsid w:val="00D066B6"/>
    <w:rsid w:val="00D0678C"/>
    <w:rsid w:val="00D06860"/>
    <w:rsid w:val="00D068E6"/>
    <w:rsid w:val="00D06C8F"/>
    <w:rsid w:val="00D06E41"/>
    <w:rsid w:val="00D06E9F"/>
    <w:rsid w:val="00D0701D"/>
    <w:rsid w:val="00D0714A"/>
    <w:rsid w:val="00D0744A"/>
    <w:rsid w:val="00D07681"/>
    <w:rsid w:val="00D078F8"/>
    <w:rsid w:val="00D079AA"/>
    <w:rsid w:val="00D079B2"/>
    <w:rsid w:val="00D07A12"/>
    <w:rsid w:val="00D07A21"/>
    <w:rsid w:val="00D07ADF"/>
    <w:rsid w:val="00D07C1E"/>
    <w:rsid w:val="00D07F00"/>
    <w:rsid w:val="00D10847"/>
    <w:rsid w:val="00D10FBF"/>
    <w:rsid w:val="00D11080"/>
    <w:rsid w:val="00D11123"/>
    <w:rsid w:val="00D1130F"/>
    <w:rsid w:val="00D114D7"/>
    <w:rsid w:val="00D117DA"/>
    <w:rsid w:val="00D1184E"/>
    <w:rsid w:val="00D11E32"/>
    <w:rsid w:val="00D11EA6"/>
    <w:rsid w:val="00D11EF3"/>
    <w:rsid w:val="00D120C5"/>
    <w:rsid w:val="00D121E6"/>
    <w:rsid w:val="00D1237D"/>
    <w:rsid w:val="00D1252E"/>
    <w:rsid w:val="00D127B3"/>
    <w:rsid w:val="00D128B6"/>
    <w:rsid w:val="00D12A35"/>
    <w:rsid w:val="00D12B0C"/>
    <w:rsid w:val="00D12B58"/>
    <w:rsid w:val="00D12B83"/>
    <w:rsid w:val="00D12F7E"/>
    <w:rsid w:val="00D1324A"/>
    <w:rsid w:val="00D13334"/>
    <w:rsid w:val="00D13580"/>
    <w:rsid w:val="00D13CC2"/>
    <w:rsid w:val="00D13FB9"/>
    <w:rsid w:val="00D140B5"/>
    <w:rsid w:val="00D1421D"/>
    <w:rsid w:val="00D143EB"/>
    <w:rsid w:val="00D14401"/>
    <w:rsid w:val="00D14519"/>
    <w:rsid w:val="00D14534"/>
    <w:rsid w:val="00D14BA0"/>
    <w:rsid w:val="00D14DE9"/>
    <w:rsid w:val="00D14DEF"/>
    <w:rsid w:val="00D14EF3"/>
    <w:rsid w:val="00D15422"/>
    <w:rsid w:val="00D15D59"/>
    <w:rsid w:val="00D15E34"/>
    <w:rsid w:val="00D15EA5"/>
    <w:rsid w:val="00D167CE"/>
    <w:rsid w:val="00D16C6A"/>
    <w:rsid w:val="00D16D1E"/>
    <w:rsid w:val="00D16F7B"/>
    <w:rsid w:val="00D17015"/>
    <w:rsid w:val="00D171C4"/>
    <w:rsid w:val="00D17352"/>
    <w:rsid w:val="00D173D9"/>
    <w:rsid w:val="00D17541"/>
    <w:rsid w:val="00D175F0"/>
    <w:rsid w:val="00D177E2"/>
    <w:rsid w:val="00D17B72"/>
    <w:rsid w:val="00D17C34"/>
    <w:rsid w:val="00D17DFF"/>
    <w:rsid w:val="00D17E27"/>
    <w:rsid w:val="00D20002"/>
    <w:rsid w:val="00D2021D"/>
    <w:rsid w:val="00D2023A"/>
    <w:rsid w:val="00D202B0"/>
    <w:rsid w:val="00D203B1"/>
    <w:rsid w:val="00D205D1"/>
    <w:rsid w:val="00D206A5"/>
    <w:rsid w:val="00D20A56"/>
    <w:rsid w:val="00D20C47"/>
    <w:rsid w:val="00D20D8C"/>
    <w:rsid w:val="00D20FF0"/>
    <w:rsid w:val="00D213E6"/>
    <w:rsid w:val="00D2150D"/>
    <w:rsid w:val="00D217BE"/>
    <w:rsid w:val="00D217E1"/>
    <w:rsid w:val="00D218B2"/>
    <w:rsid w:val="00D21DDC"/>
    <w:rsid w:val="00D2219B"/>
    <w:rsid w:val="00D2223F"/>
    <w:rsid w:val="00D222C9"/>
    <w:rsid w:val="00D228CC"/>
    <w:rsid w:val="00D22C07"/>
    <w:rsid w:val="00D22E5F"/>
    <w:rsid w:val="00D22E63"/>
    <w:rsid w:val="00D22F78"/>
    <w:rsid w:val="00D23095"/>
    <w:rsid w:val="00D234FD"/>
    <w:rsid w:val="00D23718"/>
    <w:rsid w:val="00D2384F"/>
    <w:rsid w:val="00D23895"/>
    <w:rsid w:val="00D2426F"/>
    <w:rsid w:val="00D243AA"/>
    <w:rsid w:val="00D2487C"/>
    <w:rsid w:val="00D24CD1"/>
    <w:rsid w:val="00D24DB9"/>
    <w:rsid w:val="00D24E47"/>
    <w:rsid w:val="00D2546B"/>
    <w:rsid w:val="00D258E1"/>
    <w:rsid w:val="00D25C18"/>
    <w:rsid w:val="00D26768"/>
    <w:rsid w:val="00D26CA0"/>
    <w:rsid w:val="00D26E0C"/>
    <w:rsid w:val="00D26F6F"/>
    <w:rsid w:val="00D27014"/>
    <w:rsid w:val="00D2730C"/>
    <w:rsid w:val="00D273F6"/>
    <w:rsid w:val="00D2746A"/>
    <w:rsid w:val="00D2794C"/>
    <w:rsid w:val="00D279D9"/>
    <w:rsid w:val="00D27AD8"/>
    <w:rsid w:val="00D27B81"/>
    <w:rsid w:val="00D27D5B"/>
    <w:rsid w:val="00D3008C"/>
    <w:rsid w:val="00D30294"/>
    <w:rsid w:val="00D30335"/>
    <w:rsid w:val="00D3037E"/>
    <w:rsid w:val="00D304EC"/>
    <w:rsid w:val="00D30622"/>
    <w:rsid w:val="00D3063F"/>
    <w:rsid w:val="00D30A57"/>
    <w:rsid w:val="00D30D7E"/>
    <w:rsid w:val="00D31065"/>
    <w:rsid w:val="00D31215"/>
    <w:rsid w:val="00D31458"/>
    <w:rsid w:val="00D31792"/>
    <w:rsid w:val="00D3185C"/>
    <w:rsid w:val="00D31A36"/>
    <w:rsid w:val="00D31E19"/>
    <w:rsid w:val="00D31FA3"/>
    <w:rsid w:val="00D31FFE"/>
    <w:rsid w:val="00D32002"/>
    <w:rsid w:val="00D3205F"/>
    <w:rsid w:val="00D32402"/>
    <w:rsid w:val="00D32474"/>
    <w:rsid w:val="00D324B3"/>
    <w:rsid w:val="00D325DD"/>
    <w:rsid w:val="00D327EE"/>
    <w:rsid w:val="00D32806"/>
    <w:rsid w:val="00D32CE3"/>
    <w:rsid w:val="00D32D24"/>
    <w:rsid w:val="00D3318E"/>
    <w:rsid w:val="00D331D5"/>
    <w:rsid w:val="00D331F3"/>
    <w:rsid w:val="00D3331B"/>
    <w:rsid w:val="00D335AF"/>
    <w:rsid w:val="00D33A4F"/>
    <w:rsid w:val="00D33A78"/>
    <w:rsid w:val="00D33E72"/>
    <w:rsid w:val="00D34579"/>
    <w:rsid w:val="00D34A46"/>
    <w:rsid w:val="00D34BBD"/>
    <w:rsid w:val="00D34CD1"/>
    <w:rsid w:val="00D34CEC"/>
    <w:rsid w:val="00D34EE4"/>
    <w:rsid w:val="00D352BD"/>
    <w:rsid w:val="00D355FC"/>
    <w:rsid w:val="00D35830"/>
    <w:rsid w:val="00D35BD6"/>
    <w:rsid w:val="00D35DFE"/>
    <w:rsid w:val="00D35EE9"/>
    <w:rsid w:val="00D361B3"/>
    <w:rsid w:val="00D361B5"/>
    <w:rsid w:val="00D36543"/>
    <w:rsid w:val="00D365BB"/>
    <w:rsid w:val="00D36812"/>
    <w:rsid w:val="00D36B40"/>
    <w:rsid w:val="00D36B87"/>
    <w:rsid w:val="00D36D95"/>
    <w:rsid w:val="00D36DA9"/>
    <w:rsid w:val="00D36DB4"/>
    <w:rsid w:val="00D37040"/>
    <w:rsid w:val="00D3728B"/>
    <w:rsid w:val="00D3754A"/>
    <w:rsid w:val="00D37653"/>
    <w:rsid w:val="00D37B8B"/>
    <w:rsid w:val="00D403BB"/>
    <w:rsid w:val="00D40891"/>
    <w:rsid w:val="00D408C0"/>
    <w:rsid w:val="00D408C5"/>
    <w:rsid w:val="00D40FB6"/>
    <w:rsid w:val="00D410BD"/>
    <w:rsid w:val="00D411A2"/>
    <w:rsid w:val="00D411BA"/>
    <w:rsid w:val="00D41355"/>
    <w:rsid w:val="00D41592"/>
    <w:rsid w:val="00D415EE"/>
    <w:rsid w:val="00D41B33"/>
    <w:rsid w:val="00D4209C"/>
    <w:rsid w:val="00D42232"/>
    <w:rsid w:val="00D4248C"/>
    <w:rsid w:val="00D42536"/>
    <w:rsid w:val="00D42FC0"/>
    <w:rsid w:val="00D43232"/>
    <w:rsid w:val="00D437B8"/>
    <w:rsid w:val="00D437D1"/>
    <w:rsid w:val="00D43CD9"/>
    <w:rsid w:val="00D43D22"/>
    <w:rsid w:val="00D43F8C"/>
    <w:rsid w:val="00D44476"/>
    <w:rsid w:val="00D445EF"/>
    <w:rsid w:val="00D44B1D"/>
    <w:rsid w:val="00D44E15"/>
    <w:rsid w:val="00D44E84"/>
    <w:rsid w:val="00D4559C"/>
    <w:rsid w:val="00D455DA"/>
    <w:rsid w:val="00D45920"/>
    <w:rsid w:val="00D4595D"/>
    <w:rsid w:val="00D45AD5"/>
    <w:rsid w:val="00D45BD6"/>
    <w:rsid w:val="00D45CE7"/>
    <w:rsid w:val="00D45D8C"/>
    <w:rsid w:val="00D45E85"/>
    <w:rsid w:val="00D4606D"/>
    <w:rsid w:val="00D462EF"/>
    <w:rsid w:val="00D463B7"/>
    <w:rsid w:val="00D4696F"/>
    <w:rsid w:val="00D469A2"/>
    <w:rsid w:val="00D46DC8"/>
    <w:rsid w:val="00D46E68"/>
    <w:rsid w:val="00D46FDD"/>
    <w:rsid w:val="00D47059"/>
    <w:rsid w:val="00D47176"/>
    <w:rsid w:val="00D473B6"/>
    <w:rsid w:val="00D473BA"/>
    <w:rsid w:val="00D47485"/>
    <w:rsid w:val="00D47998"/>
    <w:rsid w:val="00D47B06"/>
    <w:rsid w:val="00D47DC4"/>
    <w:rsid w:val="00D50002"/>
    <w:rsid w:val="00D502A7"/>
    <w:rsid w:val="00D50407"/>
    <w:rsid w:val="00D506BA"/>
    <w:rsid w:val="00D50B9C"/>
    <w:rsid w:val="00D50C9B"/>
    <w:rsid w:val="00D50E42"/>
    <w:rsid w:val="00D50F27"/>
    <w:rsid w:val="00D51011"/>
    <w:rsid w:val="00D51345"/>
    <w:rsid w:val="00D513AF"/>
    <w:rsid w:val="00D517C7"/>
    <w:rsid w:val="00D51976"/>
    <w:rsid w:val="00D51A54"/>
    <w:rsid w:val="00D51AA3"/>
    <w:rsid w:val="00D51CB4"/>
    <w:rsid w:val="00D51D22"/>
    <w:rsid w:val="00D51D7D"/>
    <w:rsid w:val="00D521EF"/>
    <w:rsid w:val="00D52223"/>
    <w:rsid w:val="00D524C6"/>
    <w:rsid w:val="00D5286D"/>
    <w:rsid w:val="00D529C5"/>
    <w:rsid w:val="00D52B2D"/>
    <w:rsid w:val="00D52D73"/>
    <w:rsid w:val="00D52DB7"/>
    <w:rsid w:val="00D52E58"/>
    <w:rsid w:val="00D531F6"/>
    <w:rsid w:val="00D53341"/>
    <w:rsid w:val="00D5344B"/>
    <w:rsid w:val="00D53625"/>
    <w:rsid w:val="00D53773"/>
    <w:rsid w:val="00D53893"/>
    <w:rsid w:val="00D54501"/>
    <w:rsid w:val="00D54526"/>
    <w:rsid w:val="00D549C5"/>
    <w:rsid w:val="00D54ABF"/>
    <w:rsid w:val="00D54BED"/>
    <w:rsid w:val="00D54E4B"/>
    <w:rsid w:val="00D54ED8"/>
    <w:rsid w:val="00D554A3"/>
    <w:rsid w:val="00D55775"/>
    <w:rsid w:val="00D557D5"/>
    <w:rsid w:val="00D558E2"/>
    <w:rsid w:val="00D55C78"/>
    <w:rsid w:val="00D561E7"/>
    <w:rsid w:val="00D56334"/>
    <w:rsid w:val="00D56944"/>
    <w:rsid w:val="00D56B20"/>
    <w:rsid w:val="00D56F28"/>
    <w:rsid w:val="00D56FC4"/>
    <w:rsid w:val="00D57375"/>
    <w:rsid w:val="00D578B3"/>
    <w:rsid w:val="00D578CF"/>
    <w:rsid w:val="00D57AC0"/>
    <w:rsid w:val="00D57DF8"/>
    <w:rsid w:val="00D60068"/>
    <w:rsid w:val="00D600E8"/>
    <w:rsid w:val="00D60106"/>
    <w:rsid w:val="00D60200"/>
    <w:rsid w:val="00D602FD"/>
    <w:rsid w:val="00D6053C"/>
    <w:rsid w:val="00D60B5A"/>
    <w:rsid w:val="00D60C0A"/>
    <w:rsid w:val="00D60CA6"/>
    <w:rsid w:val="00D60F66"/>
    <w:rsid w:val="00D61133"/>
    <w:rsid w:val="00D613CD"/>
    <w:rsid w:val="00D6172E"/>
    <w:rsid w:val="00D61785"/>
    <w:rsid w:val="00D618EA"/>
    <w:rsid w:val="00D618F4"/>
    <w:rsid w:val="00D61CD1"/>
    <w:rsid w:val="00D61E6C"/>
    <w:rsid w:val="00D621CD"/>
    <w:rsid w:val="00D62414"/>
    <w:rsid w:val="00D6251C"/>
    <w:rsid w:val="00D62636"/>
    <w:rsid w:val="00D62638"/>
    <w:rsid w:val="00D62CC9"/>
    <w:rsid w:val="00D62D4C"/>
    <w:rsid w:val="00D62D5B"/>
    <w:rsid w:val="00D62D6B"/>
    <w:rsid w:val="00D63636"/>
    <w:rsid w:val="00D639BA"/>
    <w:rsid w:val="00D63AB2"/>
    <w:rsid w:val="00D63BC5"/>
    <w:rsid w:val="00D643E0"/>
    <w:rsid w:val="00D644A7"/>
    <w:rsid w:val="00D64557"/>
    <w:rsid w:val="00D6456C"/>
    <w:rsid w:val="00D64587"/>
    <w:rsid w:val="00D64A1B"/>
    <w:rsid w:val="00D64A76"/>
    <w:rsid w:val="00D64B7D"/>
    <w:rsid w:val="00D64D3E"/>
    <w:rsid w:val="00D64E34"/>
    <w:rsid w:val="00D64FB3"/>
    <w:rsid w:val="00D65294"/>
    <w:rsid w:val="00D65330"/>
    <w:rsid w:val="00D65989"/>
    <w:rsid w:val="00D65AD8"/>
    <w:rsid w:val="00D65D2D"/>
    <w:rsid w:val="00D65DA3"/>
    <w:rsid w:val="00D66025"/>
    <w:rsid w:val="00D660DB"/>
    <w:rsid w:val="00D66273"/>
    <w:rsid w:val="00D66B24"/>
    <w:rsid w:val="00D66E41"/>
    <w:rsid w:val="00D6747C"/>
    <w:rsid w:val="00D677FB"/>
    <w:rsid w:val="00D67B41"/>
    <w:rsid w:val="00D67D66"/>
    <w:rsid w:val="00D70307"/>
    <w:rsid w:val="00D704EC"/>
    <w:rsid w:val="00D704F6"/>
    <w:rsid w:val="00D705DE"/>
    <w:rsid w:val="00D7064B"/>
    <w:rsid w:val="00D706B3"/>
    <w:rsid w:val="00D70AAC"/>
    <w:rsid w:val="00D70C55"/>
    <w:rsid w:val="00D70EBE"/>
    <w:rsid w:val="00D71214"/>
    <w:rsid w:val="00D714CC"/>
    <w:rsid w:val="00D714E5"/>
    <w:rsid w:val="00D71871"/>
    <w:rsid w:val="00D71A9A"/>
    <w:rsid w:val="00D71AA5"/>
    <w:rsid w:val="00D71AFC"/>
    <w:rsid w:val="00D71DAB"/>
    <w:rsid w:val="00D71DCC"/>
    <w:rsid w:val="00D71E0A"/>
    <w:rsid w:val="00D7224A"/>
    <w:rsid w:val="00D72330"/>
    <w:rsid w:val="00D726CC"/>
    <w:rsid w:val="00D72797"/>
    <w:rsid w:val="00D72831"/>
    <w:rsid w:val="00D72965"/>
    <w:rsid w:val="00D72E8E"/>
    <w:rsid w:val="00D72E9A"/>
    <w:rsid w:val="00D7301B"/>
    <w:rsid w:val="00D730E3"/>
    <w:rsid w:val="00D731CD"/>
    <w:rsid w:val="00D73214"/>
    <w:rsid w:val="00D7344C"/>
    <w:rsid w:val="00D734FE"/>
    <w:rsid w:val="00D73BC6"/>
    <w:rsid w:val="00D73C8C"/>
    <w:rsid w:val="00D73CB7"/>
    <w:rsid w:val="00D73EE8"/>
    <w:rsid w:val="00D742E2"/>
    <w:rsid w:val="00D74449"/>
    <w:rsid w:val="00D745E8"/>
    <w:rsid w:val="00D7481A"/>
    <w:rsid w:val="00D74942"/>
    <w:rsid w:val="00D74D24"/>
    <w:rsid w:val="00D74F3F"/>
    <w:rsid w:val="00D7513B"/>
    <w:rsid w:val="00D75631"/>
    <w:rsid w:val="00D75DA4"/>
    <w:rsid w:val="00D75DD2"/>
    <w:rsid w:val="00D75E32"/>
    <w:rsid w:val="00D75EA7"/>
    <w:rsid w:val="00D7615C"/>
    <w:rsid w:val="00D76430"/>
    <w:rsid w:val="00D76874"/>
    <w:rsid w:val="00D76887"/>
    <w:rsid w:val="00D769C4"/>
    <w:rsid w:val="00D76D57"/>
    <w:rsid w:val="00D76ECC"/>
    <w:rsid w:val="00D76EF6"/>
    <w:rsid w:val="00D777A8"/>
    <w:rsid w:val="00D778F5"/>
    <w:rsid w:val="00D77939"/>
    <w:rsid w:val="00D779A2"/>
    <w:rsid w:val="00D77CA5"/>
    <w:rsid w:val="00D77EB4"/>
    <w:rsid w:val="00D77F14"/>
    <w:rsid w:val="00D77F23"/>
    <w:rsid w:val="00D77F52"/>
    <w:rsid w:val="00D80183"/>
    <w:rsid w:val="00D806A1"/>
    <w:rsid w:val="00D8078C"/>
    <w:rsid w:val="00D8098A"/>
    <w:rsid w:val="00D80BC6"/>
    <w:rsid w:val="00D80DB7"/>
    <w:rsid w:val="00D80E6D"/>
    <w:rsid w:val="00D81035"/>
    <w:rsid w:val="00D8104A"/>
    <w:rsid w:val="00D811B0"/>
    <w:rsid w:val="00D8124F"/>
    <w:rsid w:val="00D8141C"/>
    <w:rsid w:val="00D814D1"/>
    <w:rsid w:val="00D816C4"/>
    <w:rsid w:val="00D817FC"/>
    <w:rsid w:val="00D818AE"/>
    <w:rsid w:val="00D81ADF"/>
    <w:rsid w:val="00D81BEE"/>
    <w:rsid w:val="00D81C01"/>
    <w:rsid w:val="00D81F21"/>
    <w:rsid w:val="00D81F33"/>
    <w:rsid w:val="00D8206E"/>
    <w:rsid w:val="00D821B5"/>
    <w:rsid w:val="00D82391"/>
    <w:rsid w:val="00D82520"/>
    <w:rsid w:val="00D82522"/>
    <w:rsid w:val="00D82580"/>
    <w:rsid w:val="00D82641"/>
    <w:rsid w:val="00D826E8"/>
    <w:rsid w:val="00D82856"/>
    <w:rsid w:val="00D82C22"/>
    <w:rsid w:val="00D82D21"/>
    <w:rsid w:val="00D82DAB"/>
    <w:rsid w:val="00D82F1E"/>
    <w:rsid w:val="00D830CC"/>
    <w:rsid w:val="00D834A6"/>
    <w:rsid w:val="00D837DF"/>
    <w:rsid w:val="00D83C0E"/>
    <w:rsid w:val="00D83C96"/>
    <w:rsid w:val="00D83D08"/>
    <w:rsid w:val="00D83D15"/>
    <w:rsid w:val="00D840D2"/>
    <w:rsid w:val="00D8412D"/>
    <w:rsid w:val="00D8412F"/>
    <w:rsid w:val="00D841DB"/>
    <w:rsid w:val="00D84508"/>
    <w:rsid w:val="00D8462D"/>
    <w:rsid w:val="00D8470D"/>
    <w:rsid w:val="00D84A80"/>
    <w:rsid w:val="00D84B11"/>
    <w:rsid w:val="00D84D14"/>
    <w:rsid w:val="00D84D15"/>
    <w:rsid w:val="00D84E66"/>
    <w:rsid w:val="00D8502E"/>
    <w:rsid w:val="00D8512B"/>
    <w:rsid w:val="00D851F6"/>
    <w:rsid w:val="00D85716"/>
    <w:rsid w:val="00D85B10"/>
    <w:rsid w:val="00D85D39"/>
    <w:rsid w:val="00D85D64"/>
    <w:rsid w:val="00D85EA6"/>
    <w:rsid w:val="00D8608E"/>
    <w:rsid w:val="00D86100"/>
    <w:rsid w:val="00D864F2"/>
    <w:rsid w:val="00D866F6"/>
    <w:rsid w:val="00D86868"/>
    <w:rsid w:val="00D86ABB"/>
    <w:rsid w:val="00D86C03"/>
    <w:rsid w:val="00D86C0F"/>
    <w:rsid w:val="00D86D58"/>
    <w:rsid w:val="00D86EBC"/>
    <w:rsid w:val="00D86EBE"/>
    <w:rsid w:val="00D871B3"/>
    <w:rsid w:val="00D872CE"/>
    <w:rsid w:val="00D87425"/>
    <w:rsid w:val="00D879E9"/>
    <w:rsid w:val="00D87F23"/>
    <w:rsid w:val="00D87FD5"/>
    <w:rsid w:val="00D90622"/>
    <w:rsid w:val="00D906ED"/>
    <w:rsid w:val="00D90AEA"/>
    <w:rsid w:val="00D90B12"/>
    <w:rsid w:val="00D90CEC"/>
    <w:rsid w:val="00D90D73"/>
    <w:rsid w:val="00D90D7C"/>
    <w:rsid w:val="00D91127"/>
    <w:rsid w:val="00D913A1"/>
    <w:rsid w:val="00D9153B"/>
    <w:rsid w:val="00D916E9"/>
    <w:rsid w:val="00D916EA"/>
    <w:rsid w:val="00D91E74"/>
    <w:rsid w:val="00D91EF6"/>
    <w:rsid w:val="00D91FAB"/>
    <w:rsid w:val="00D925A5"/>
    <w:rsid w:val="00D92762"/>
    <w:rsid w:val="00D928FD"/>
    <w:rsid w:val="00D929BF"/>
    <w:rsid w:val="00D92A43"/>
    <w:rsid w:val="00D92AE7"/>
    <w:rsid w:val="00D92B3E"/>
    <w:rsid w:val="00D92CE8"/>
    <w:rsid w:val="00D92D65"/>
    <w:rsid w:val="00D93031"/>
    <w:rsid w:val="00D931AD"/>
    <w:rsid w:val="00D932F4"/>
    <w:rsid w:val="00D93360"/>
    <w:rsid w:val="00D933A1"/>
    <w:rsid w:val="00D936DB"/>
    <w:rsid w:val="00D936EB"/>
    <w:rsid w:val="00D9379A"/>
    <w:rsid w:val="00D937E2"/>
    <w:rsid w:val="00D9384B"/>
    <w:rsid w:val="00D93AAE"/>
    <w:rsid w:val="00D93C63"/>
    <w:rsid w:val="00D94034"/>
    <w:rsid w:val="00D940D3"/>
    <w:rsid w:val="00D94395"/>
    <w:rsid w:val="00D943F8"/>
    <w:rsid w:val="00D944FD"/>
    <w:rsid w:val="00D94502"/>
    <w:rsid w:val="00D947CA"/>
    <w:rsid w:val="00D94826"/>
    <w:rsid w:val="00D94B45"/>
    <w:rsid w:val="00D94C5C"/>
    <w:rsid w:val="00D94D37"/>
    <w:rsid w:val="00D95470"/>
    <w:rsid w:val="00D954CB"/>
    <w:rsid w:val="00D955EF"/>
    <w:rsid w:val="00D958A7"/>
    <w:rsid w:val="00D958D8"/>
    <w:rsid w:val="00D95CD9"/>
    <w:rsid w:val="00D96227"/>
    <w:rsid w:val="00D96318"/>
    <w:rsid w:val="00D9644A"/>
    <w:rsid w:val="00D96635"/>
    <w:rsid w:val="00D966E5"/>
    <w:rsid w:val="00D96992"/>
    <w:rsid w:val="00D96B55"/>
    <w:rsid w:val="00D96BAC"/>
    <w:rsid w:val="00D973A3"/>
    <w:rsid w:val="00D97498"/>
    <w:rsid w:val="00D97752"/>
    <w:rsid w:val="00DA088E"/>
    <w:rsid w:val="00DA0D62"/>
    <w:rsid w:val="00DA0DB6"/>
    <w:rsid w:val="00DA0E5B"/>
    <w:rsid w:val="00DA0F5F"/>
    <w:rsid w:val="00DA118B"/>
    <w:rsid w:val="00DA12C1"/>
    <w:rsid w:val="00DA140F"/>
    <w:rsid w:val="00DA16E8"/>
    <w:rsid w:val="00DA18A0"/>
    <w:rsid w:val="00DA1ACE"/>
    <w:rsid w:val="00DA1DFB"/>
    <w:rsid w:val="00DA1EE0"/>
    <w:rsid w:val="00DA1F53"/>
    <w:rsid w:val="00DA204C"/>
    <w:rsid w:val="00DA2078"/>
    <w:rsid w:val="00DA20BA"/>
    <w:rsid w:val="00DA2303"/>
    <w:rsid w:val="00DA2331"/>
    <w:rsid w:val="00DA2401"/>
    <w:rsid w:val="00DA2488"/>
    <w:rsid w:val="00DA24BE"/>
    <w:rsid w:val="00DA2619"/>
    <w:rsid w:val="00DA27EE"/>
    <w:rsid w:val="00DA2B6B"/>
    <w:rsid w:val="00DA2BA3"/>
    <w:rsid w:val="00DA2D4E"/>
    <w:rsid w:val="00DA2E44"/>
    <w:rsid w:val="00DA2FE2"/>
    <w:rsid w:val="00DA2FE4"/>
    <w:rsid w:val="00DA2FFF"/>
    <w:rsid w:val="00DA3142"/>
    <w:rsid w:val="00DA35B7"/>
    <w:rsid w:val="00DA35FA"/>
    <w:rsid w:val="00DA37E7"/>
    <w:rsid w:val="00DA38FA"/>
    <w:rsid w:val="00DA3B84"/>
    <w:rsid w:val="00DA3BF9"/>
    <w:rsid w:val="00DA3C52"/>
    <w:rsid w:val="00DA3CFC"/>
    <w:rsid w:val="00DA3EC4"/>
    <w:rsid w:val="00DA3EDD"/>
    <w:rsid w:val="00DA3F93"/>
    <w:rsid w:val="00DA40B5"/>
    <w:rsid w:val="00DA4239"/>
    <w:rsid w:val="00DA42C1"/>
    <w:rsid w:val="00DA4346"/>
    <w:rsid w:val="00DA4652"/>
    <w:rsid w:val="00DA476C"/>
    <w:rsid w:val="00DA4B9D"/>
    <w:rsid w:val="00DA4CB8"/>
    <w:rsid w:val="00DA4FBA"/>
    <w:rsid w:val="00DA4FFC"/>
    <w:rsid w:val="00DA50AC"/>
    <w:rsid w:val="00DA52D8"/>
    <w:rsid w:val="00DA548E"/>
    <w:rsid w:val="00DA588C"/>
    <w:rsid w:val="00DA58F2"/>
    <w:rsid w:val="00DA5C6A"/>
    <w:rsid w:val="00DA5CD5"/>
    <w:rsid w:val="00DA5EB0"/>
    <w:rsid w:val="00DA6320"/>
    <w:rsid w:val="00DA65DE"/>
    <w:rsid w:val="00DA66FC"/>
    <w:rsid w:val="00DA681D"/>
    <w:rsid w:val="00DA6885"/>
    <w:rsid w:val="00DA68FD"/>
    <w:rsid w:val="00DA6E31"/>
    <w:rsid w:val="00DA7724"/>
    <w:rsid w:val="00DA7DC1"/>
    <w:rsid w:val="00DA7E38"/>
    <w:rsid w:val="00DB0106"/>
    <w:rsid w:val="00DB0602"/>
    <w:rsid w:val="00DB08C4"/>
    <w:rsid w:val="00DB0A6A"/>
    <w:rsid w:val="00DB0B24"/>
    <w:rsid w:val="00DB0B5A"/>
    <w:rsid w:val="00DB0B61"/>
    <w:rsid w:val="00DB0CA1"/>
    <w:rsid w:val="00DB10B0"/>
    <w:rsid w:val="00DB1474"/>
    <w:rsid w:val="00DB171A"/>
    <w:rsid w:val="00DB1D3A"/>
    <w:rsid w:val="00DB1E3E"/>
    <w:rsid w:val="00DB1EB6"/>
    <w:rsid w:val="00DB1ED2"/>
    <w:rsid w:val="00DB21E6"/>
    <w:rsid w:val="00DB2297"/>
    <w:rsid w:val="00DB239C"/>
    <w:rsid w:val="00DB2962"/>
    <w:rsid w:val="00DB2CA3"/>
    <w:rsid w:val="00DB2D4A"/>
    <w:rsid w:val="00DB39F1"/>
    <w:rsid w:val="00DB3D95"/>
    <w:rsid w:val="00DB3E1A"/>
    <w:rsid w:val="00DB4042"/>
    <w:rsid w:val="00DB43AB"/>
    <w:rsid w:val="00DB4830"/>
    <w:rsid w:val="00DB486F"/>
    <w:rsid w:val="00DB48F8"/>
    <w:rsid w:val="00DB4C57"/>
    <w:rsid w:val="00DB4C8D"/>
    <w:rsid w:val="00DB4F10"/>
    <w:rsid w:val="00DB4F99"/>
    <w:rsid w:val="00DB50CD"/>
    <w:rsid w:val="00DB521C"/>
    <w:rsid w:val="00DB52FB"/>
    <w:rsid w:val="00DB538E"/>
    <w:rsid w:val="00DB53D3"/>
    <w:rsid w:val="00DB59EB"/>
    <w:rsid w:val="00DB5B4B"/>
    <w:rsid w:val="00DB5CDB"/>
    <w:rsid w:val="00DB5E9A"/>
    <w:rsid w:val="00DB623F"/>
    <w:rsid w:val="00DB64ED"/>
    <w:rsid w:val="00DB67A8"/>
    <w:rsid w:val="00DB707B"/>
    <w:rsid w:val="00DB7624"/>
    <w:rsid w:val="00DB7AAB"/>
    <w:rsid w:val="00DB7C1A"/>
    <w:rsid w:val="00DB7C24"/>
    <w:rsid w:val="00DB7F7C"/>
    <w:rsid w:val="00DC013B"/>
    <w:rsid w:val="00DC0344"/>
    <w:rsid w:val="00DC04F7"/>
    <w:rsid w:val="00DC0526"/>
    <w:rsid w:val="00DC090B"/>
    <w:rsid w:val="00DC0A5D"/>
    <w:rsid w:val="00DC0EE4"/>
    <w:rsid w:val="00DC14C0"/>
    <w:rsid w:val="00DC1521"/>
    <w:rsid w:val="00DC1679"/>
    <w:rsid w:val="00DC180C"/>
    <w:rsid w:val="00DC1984"/>
    <w:rsid w:val="00DC1DD5"/>
    <w:rsid w:val="00DC1DE5"/>
    <w:rsid w:val="00DC1F85"/>
    <w:rsid w:val="00DC219B"/>
    <w:rsid w:val="00DC263C"/>
    <w:rsid w:val="00DC2899"/>
    <w:rsid w:val="00DC28CA"/>
    <w:rsid w:val="00DC2B2E"/>
    <w:rsid w:val="00DC2B4E"/>
    <w:rsid w:val="00DC2CC4"/>
    <w:rsid w:val="00DC2CF1"/>
    <w:rsid w:val="00DC2DC7"/>
    <w:rsid w:val="00DC2EA0"/>
    <w:rsid w:val="00DC2EFF"/>
    <w:rsid w:val="00DC313A"/>
    <w:rsid w:val="00DC321E"/>
    <w:rsid w:val="00DC33FF"/>
    <w:rsid w:val="00DC3402"/>
    <w:rsid w:val="00DC38FA"/>
    <w:rsid w:val="00DC3A7C"/>
    <w:rsid w:val="00DC3AC9"/>
    <w:rsid w:val="00DC3D89"/>
    <w:rsid w:val="00DC4060"/>
    <w:rsid w:val="00DC4125"/>
    <w:rsid w:val="00DC432A"/>
    <w:rsid w:val="00DC436E"/>
    <w:rsid w:val="00DC45AF"/>
    <w:rsid w:val="00DC462E"/>
    <w:rsid w:val="00DC4634"/>
    <w:rsid w:val="00DC4919"/>
    <w:rsid w:val="00DC4A2E"/>
    <w:rsid w:val="00DC4C60"/>
    <w:rsid w:val="00DC4F12"/>
    <w:rsid w:val="00DC4FCF"/>
    <w:rsid w:val="00DC50E0"/>
    <w:rsid w:val="00DC533A"/>
    <w:rsid w:val="00DC54FB"/>
    <w:rsid w:val="00DC5717"/>
    <w:rsid w:val="00DC58E3"/>
    <w:rsid w:val="00DC5B02"/>
    <w:rsid w:val="00DC5B2C"/>
    <w:rsid w:val="00DC5BEA"/>
    <w:rsid w:val="00DC5C82"/>
    <w:rsid w:val="00DC5D59"/>
    <w:rsid w:val="00DC5E19"/>
    <w:rsid w:val="00DC6033"/>
    <w:rsid w:val="00DC6386"/>
    <w:rsid w:val="00DC656D"/>
    <w:rsid w:val="00DC67B6"/>
    <w:rsid w:val="00DC69A8"/>
    <w:rsid w:val="00DC69EF"/>
    <w:rsid w:val="00DC6BBE"/>
    <w:rsid w:val="00DC6E5F"/>
    <w:rsid w:val="00DC71E7"/>
    <w:rsid w:val="00DC7231"/>
    <w:rsid w:val="00DC7317"/>
    <w:rsid w:val="00DC73A0"/>
    <w:rsid w:val="00DC7658"/>
    <w:rsid w:val="00DC779D"/>
    <w:rsid w:val="00DC7947"/>
    <w:rsid w:val="00DC7BD7"/>
    <w:rsid w:val="00DC7E33"/>
    <w:rsid w:val="00DC7FFA"/>
    <w:rsid w:val="00DD0154"/>
    <w:rsid w:val="00DD0338"/>
    <w:rsid w:val="00DD043F"/>
    <w:rsid w:val="00DD050B"/>
    <w:rsid w:val="00DD0524"/>
    <w:rsid w:val="00DD053E"/>
    <w:rsid w:val="00DD088E"/>
    <w:rsid w:val="00DD0907"/>
    <w:rsid w:val="00DD0AA1"/>
    <w:rsid w:val="00DD0AFE"/>
    <w:rsid w:val="00DD0B92"/>
    <w:rsid w:val="00DD0C5F"/>
    <w:rsid w:val="00DD0FA3"/>
    <w:rsid w:val="00DD108F"/>
    <w:rsid w:val="00DD1123"/>
    <w:rsid w:val="00DD1130"/>
    <w:rsid w:val="00DD1415"/>
    <w:rsid w:val="00DD16D9"/>
    <w:rsid w:val="00DD16FE"/>
    <w:rsid w:val="00DD1951"/>
    <w:rsid w:val="00DD19ED"/>
    <w:rsid w:val="00DD1B6B"/>
    <w:rsid w:val="00DD1DB5"/>
    <w:rsid w:val="00DD1E9E"/>
    <w:rsid w:val="00DD1FEC"/>
    <w:rsid w:val="00DD2289"/>
    <w:rsid w:val="00DD2437"/>
    <w:rsid w:val="00DD24BC"/>
    <w:rsid w:val="00DD281C"/>
    <w:rsid w:val="00DD2D2B"/>
    <w:rsid w:val="00DD2EA7"/>
    <w:rsid w:val="00DD2FE8"/>
    <w:rsid w:val="00DD304D"/>
    <w:rsid w:val="00DD312F"/>
    <w:rsid w:val="00DD3230"/>
    <w:rsid w:val="00DD33AC"/>
    <w:rsid w:val="00DD3823"/>
    <w:rsid w:val="00DD396A"/>
    <w:rsid w:val="00DD3B81"/>
    <w:rsid w:val="00DD3BA6"/>
    <w:rsid w:val="00DD42EA"/>
    <w:rsid w:val="00DD4818"/>
    <w:rsid w:val="00DD487D"/>
    <w:rsid w:val="00DD4AB0"/>
    <w:rsid w:val="00DD4B8E"/>
    <w:rsid w:val="00DD4E7C"/>
    <w:rsid w:val="00DD4E83"/>
    <w:rsid w:val="00DD5149"/>
    <w:rsid w:val="00DD523A"/>
    <w:rsid w:val="00DD52A6"/>
    <w:rsid w:val="00DD52D5"/>
    <w:rsid w:val="00DD55F9"/>
    <w:rsid w:val="00DD56F9"/>
    <w:rsid w:val="00DD5844"/>
    <w:rsid w:val="00DD5A5E"/>
    <w:rsid w:val="00DD5AB5"/>
    <w:rsid w:val="00DD5C72"/>
    <w:rsid w:val="00DD5CA4"/>
    <w:rsid w:val="00DD5D59"/>
    <w:rsid w:val="00DD5F03"/>
    <w:rsid w:val="00DD5F04"/>
    <w:rsid w:val="00DD6223"/>
    <w:rsid w:val="00DD625B"/>
    <w:rsid w:val="00DD6429"/>
    <w:rsid w:val="00DD6628"/>
    <w:rsid w:val="00DD66A0"/>
    <w:rsid w:val="00DD684E"/>
    <w:rsid w:val="00DD6945"/>
    <w:rsid w:val="00DD6AC8"/>
    <w:rsid w:val="00DD6B38"/>
    <w:rsid w:val="00DD6FC1"/>
    <w:rsid w:val="00DD72BE"/>
    <w:rsid w:val="00DD7491"/>
    <w:rsid w:val="00DD75F6"/>
    <w:rsid w:val="00DD76A8"/>
    <w:rsid w:val="00DD77D7"/>
    <w:rsid w:val="00DD7867"/>
    <w:rsid w:val="00DD7928"/>
    <w:rsid w:val="00DD7C0F"/>
    <w:rsid w:val="00DD7E4D"/>
    <w:rsid w:val="00DE06D7"/>
    <w:rsid w:val="00DE0808"/>
    <w:rsid w:val="00DE0953"/>
    <w:rsid w:val="00DE0A21"/>
    <w:rsid w:val="00DE118A"/>
    <w:rsid w:val="00DE13D6"/>
    <w:rsid w:val="00DE1485"/>
    <w:rsid w:val="00DE1505"/>
    <w:rsid w:val="00DE170A"/>
    <w:rsid w:val="00DE172F"/>
    <w:rsid w:val="00DE1904"/>
    <w:rsid w:val="00DE1BCD"/>
    <w:rsid w:val="00DE21AE"/>
    <w:rsid w:val="00DE226F"/>
    <w:rsid w:val="00DE24D5"/>
    <w:rsid w:val="00DE2697"/>
    <w:rsid w:val="00DE2882"/>
    <w:rsid w:val="00DE29F5"/>
    <w:rsid w:val="00DE2C1A"/>
    <w:rsid w:val="00DE2D04"/>
    <w:rsid w:val="00DE2DAC"/>
    <w:rsid w:val="00DE2F70"/>
    <w:rsid w:val="00DE3250"/>
    <w:rsid w:val="00DE3506"/>
    <w:rsid w:val="00DE377A"/>
    <w:rsid w:val="00DE3D2D"/>
    <w:rsid w:val="00DE3D8C"/>
    <w:rsid w:val="00DE4055"/>
    <w:rsid w:val="00DE418D"/>
    <w:rsid w:val="00DE4533"/>
    <w:rsid w:val="00DE46B7"/>
    <w:rsid w:val="00DE4F59"/>
    <w:rsid w:val="00DE4F6E"/>
    <w:rsid w:val="00DE515C"/>
    <w:rsid w:val="00DE51B8"/>
    <w:rsid w:val="00DE5224"/>
    <w:rsid w:val="00DE56EF"/>
    <w:rsid w:val="00DE5746"/>
    <w:rsid w:val="00DE57AA"/>
    <w:rsid w:val="00DE5C6A"/>
    <w:rsid w:val="00DE5E1D"/>
    <w:rsid w:val="00DE6028"/>
    <w:rsid w:val="00DE65B8"/>
    <w:rsid w:val="00DE6935"/>
    <w:rsid w:val="00DE6A1E"/>
    <w:rsid w:val="00DE6C85"/>
    <w:rsid w:val="00DE6D05"/>
    <w:rsid w:val="00DE6D70"/>
    <w:rsid w:val="00DE7004"/>
    <w:rsid w:val="00DE71FC"/>
    <w:rsid w:val="00DE736B"/>
    <w:rsid w:val="00DE73A0"/>
    <w:rsid w:val="00DE74AE"/>
    <w:rsid w:val="00DE75A6"/>
    <w:rsid w:val="00DE763D"/>
    <w:rsid w:val="00DE78A3"/>
    <w:rsid w:val="00DE7915"/>
    <w:rsid w:val="00DE7A1A"/>
    <w:rsid w:val="00DE7A5C"/>
    <w:rsid w:val="00DE7A9D"/>
    <w:rsid w:val="00DE7B11"/>
    <w:rsid w:val="00DF02E8"/>
    <w:rsid w:val="00DF05E5"/>
    <w:rsid w:val="00DF060F"/>
    <w:rsid w:val="00DF076C"/>
    <w:rsid w:val="00DF09D2"/>
    <w:rsid w:val="00DF0A6E"/>
    <w:rsid w:val="00DF0B10"/>
    <w:rsid w:val="00DF0CFA"/>
    <w:rsid w:val="00DF0E16"/>
    <w:rsid w:val="00DF101E"/>
    <w:rsid w:val="00DF103B"/>
    <w:rsid w:val="00DF1213"/>
    <w:rsid w:val="00DF1344"/>
    <w:rsid w:val="00DF15EC"/>
    <w:rsid w:val="00DF16B5"/>
    <w:rsid w:val="00DF1745"/>
    <w:rsid w:val="00DF17F0"/>
    <w:rsid w:val="00DF182F"/>
    <w:rsid w:val="00DF19EA"/>
    <w:rsid w:val="00DF1A71"/>
    <w:rsid w:val="00DF1BA8"/>
    <w:rsid w:val="00DF1BD8"/>
    <w:rsid w:val="00DF1CB6"/>
    <w:rsid w:val="00DF1CD3"/>
    <w:rsid w:val="00DF1DC5"/>
    <w:rsid w:val="00DF1DC6"/>
    <w:rsid w:val="00DF1EB7"/>
    <w:rsid w:val="00DF1ED0"/>
    <w:rsid w:val="00DF1F1A"/>
    <w:rsid w:val="00DF220E"/>
    <w:rsid w:val="00DF2213"/>
    <w:rsid w:val="00DF22D8"/>
    <w:rsid w:val="00DF233C"/>
    <w:rsid w:val="00DF23CD"/>
    <w:rsid w:val="00DF250B"/>
    <w:rsid w:val="00DF262E"/>
    <w:rsid w:val="00DF2ED6"/>
    <w:rsid w:val="00DF3815"/>
    <w:rsid w:val="00DF38A3"/>
    <w:rsid w:val="00DF3A94"/>
    <w:rsid w:val="00DF3C96"/>
    <w:rsid w:val="00DF3D6F"/>
    <w:rsid w:val="00DF3D85"/>
    <w:rsid w:val="00DF3DE8"/>
    <w:rsid w:val="00DF3E02"/>
    <w:rsid w:val="00DF3F1E"/>
    <w:rsid w:val="00DF40C5"/>
    <w:rsid w:val="00DF4225"/>
    <w:rsid w:val="00DF434B"/>
    <w:rsid w:val="00DF43AB"/>
    <w:rsid w:val="00DF48F7"/>
    <w:rsid w:val="00DF49C0"/>
    <w:rsid w:val="00DF49C3"/>
    <w:rsid w:val="00DF49F2"/>
    <w:rsid w:val="00DF4BA8"/>
    <w:rsid w:val="00DF4D36"/>
    <w:rsid w:val="00DF4EAA"/>
    <w:rsid w:val="00DF4EAE"/>
    <w:rsid w:val="00DF50E5"/>
    <w:rsid w:val="00DF50FC"/>
    <w:rsid w:val="00DF543A"/>
    <w:rsid w:val="00DF5567"/>
    <w:rsid w:val="00DF5740"/>
    <w:rsid w:val="00DF5BF7"/>
    <w:rsid w:val="00DF5D10"/>
    <w:rsid w:val="00DF5E03"/>
    <w:rsid w:val="00DF5EC8"/>
    <w:rsid w:val="00DF5F8A"/>
    <w:rsid w:val="00DF60B8"/>
    <w:rsid w:val="00DF64F8"/>
    <w:rsid w:val="00DF656D"/>
    <w:rsid w:val="00DF67C4"/>
    <w:rsid w:val="00DF687E"/>
    <w:rsid w:val="00DF68C7"/>
    <w:rsid w:val="00DF6B98"/>
    <w:rsid w:val="00DF6DFA"/>
    <w:rsid w:val="00DF6EF8"/>
    <w:rsid w:val="00DF6F9F"/>
    <w:rsid w:val="00DF731A"/>
    <w:rsid w:val="00DF737C"/>
    <w:rsid w:val="00DF76D9"/>
    <w:rsid w:val="00DF78B6"/>
    <w:rsid w:val="00DF7E75"/>
    <w:rsid w:val="00E00366"/>
    <w:rsid w:val="00E0067C"/>
    <w:rsid w:val="00E00B5E"/>
    <w:rsid w:val="00E00D38"/>
    <w:rsid w:val="00E00FEF"/>
    <w:rsid w:val="00E01222"/>
    <w:rsid w:val="00E01278"/>
    <w:rsid w:val="00E0127E"/>
    <w:rsid w:val="00E01B36"/>
    <w:rsid w:val="00E01CA2"/>
    <w:rsid w:val="00E02042"/>
    <w:rsid w:val="00E02283"/>
    <w:rsid w:val="00E024CC"/>
    <w:rsid w:val="00E0275B"/>
    <w:rsid w:val="00E02B64"/>
    <w:rsid w:val="00E03005"/>
    <w:rsid w:val="00E03312"/>
    <w:rsid w:val="00E03732"/>
    <w:rsid w:val="00E037EE"/>
    <w:rsid w:val="00E039CE"/>
    <w:rsid w:val="00E03C2D"/>
    <w:rsid w:val="00E03E3E"/>
    <w:rsid w:val="00E04214"/>
    <w:rsid w:val="00E04702"/>
    <w:rsid w:val="00E048B8"/>
    <w:rsid w:val="00E048C2"/>
    <w:rsid w:val="00E049F1"/>
    <w:rsid w:val="00E04B79"/>
    <w:rsid w:val="00E04BC5"/>
    <w:rsid w:val="00E04D57"/>
    <w:rsid w:val="00E04DBB"/>
    <w:rsid w:val="00E05140"/>
    <w:rsid w:val="00E05652"/>
    <w:rsid w:val="00E05979"/>
    <w:rsid w:val="00E05BA0"/>
    <w:rsid w:val="00E05C2B"/>
    <w:rsid w:val="00E05C94"/>
    <w:rsid w:val="00E06251"/>
    <w:rsid w:val="00E06329"/>
    <w:rsid w:val="00E069CA"/>
    <w:rsid w:val="00E06B75"/>
    <w:rsid w:val="00E06E7A"/>
    <w:rsid w:val="00E06ED7"/>
    <w:rsid w:val="00E06F4A"/>
    <w:rsid w:val="00E07182"/>
    <w:rsid w:val="00E07454"/>
    <w:rsid w:val="00E07B13"/>
    <w:rsid w:val="00E1002A"/>
    <w:rsid w:val="00E1087B"/>
    <w:rsid w:val="00E10AE6"/>
    <w:rsid w:val="00E112D7"/>
    <w:rsid w:val="00E11332"/>
    <w:rsid w:val="00E11352"/>
    <w:rsid w:val="00E1195A"/>
    <w:rsid w:val="00E11C01"/>
    <w:rsid w:val="00E11C3C"/>
    <w:rsid w:val="00E11D80"/>
    <w:rsid w:val="00E11F5E"/>
    <w:rsid w:val="00E1239C"/>
    <w:rsid w:val="00E123EF"/>
    <w:rsid w:val="00E12567"/>
    <w:rsid w:val="00E1265D"/>
    <w:rsid w:val="00E126BE"/>
    <w:rsid w:val="00E12975"/>
    <w:rsid w:val="00E12B50"/>
    <w:rsid w:val="00E12D57"/>
    <w:rsid w:val="00E1300E"/>
    <w:rsid w:val="00E130F8"/>
    <w:rsid w:val="00E1338F"/>
    <w:rsid w:val="00E13C24"/>
    <w:rsid w:val="00E13D2C"/>
    <w:rsid w:val="00E13EE8"/>
    <w:rsid w:val="00E13FD1"/>
    <w:rsid w:val="00E14272"/>
    <w:rsid w:val="00E142AA"/>
    <w:rsid w:val="00E14329"/>
    <w:rsid w:val="00E14656"/>
    <w:rsid w:val="00E14798"/>
    <w:rsid w:val="00E14B95"/>
    <w:rsid w:val="00E150B8"/>
    <w:rsid w:val="00E15995"/>
    <w:rsid w:val="00E15AEF"/>
    <w:rsid w:val="00E15D1A"/>
    <w:rsid w:val="00E15D46"/>
    <w:rsid w:val="00E16035"/>
    <w:rsid w:val="00E16074"/>
    <w:rsid w:val="00E163B3"/>
    <w:rsid w:val="00E164B9"/>
    <w:rsid w:val="00E1656B"/>
    <w:rsid w:val="00E16753"/>
    <w:rsid w:val="00E1675D"/>
    <w:rsid w:val="00E16769"/>
    <w:rsid w:val="00E1677E"/>
    <w:rsid w:val="00E1686C"/>
    <w:rsid w:val="00E16B14"/>
    <w:rsid w:val="00E16CB5"/>
    <w:rsid w:val="00E16E68"/>
    <w:rsid w:val="00E17006"/>
    <w:rsid w:val="00E170DC"/>
    <w:rsid w:val="00E17134"/>
    <w:rsid w:val="00E1713E"/>
    <w:rsid w:val="00E17283"/>
    <w:rsid w:val="00E1731E"/>
    <w:rsid w:val="00E17502"/>
    <w:rsid w:val="00E17546"/>
    <w:rsid w:val="00E17957"/>
    <w:rsid w:val="00E179B6"/>
    <w:rsid w:val="00E17CF0"/>
    <w:rsid w:val="00E17E96"/>
    <w:rsid w:val="00E17F10"/>
    <w:rsid w:val="00E2012F"/>
    <w:rsid w:val="00E20231"/>
    <w:rsid w:val="00E2028A"/>
    <w:rsid w:val="00E20483"/>
    <w:rsid w:val="00E204D6"/>
    <w:rsid w:val="00E207C1"/>
    <w:rsid w:val="00E20A99"/>
    <w:rsid w:val="00E20FA7"/>
    <w:rsid w:val="00E210B5"/>
    <w:rsid w:val="00E21214"/>
    <w:rsid w:val="00E21309"/>
    <w:rsid w:val="00E214A9"/>
    <w:rsid w:val="00E21670"/>
    <w:rsid w:val="00E2174E"/>
    <w:rsid w:val="00E21868"/>
    <w:rsid w:val="00E21AA5"/>
    <w:rsid w:val="00E21BA5"/>
    <w:rsid w:val="00E21E5F"/>
    <w:rsid w:val="00E22224"/>
    <w:rsid w:val="00E2232F"/>
    <w:rsid w:val="00E22352"/>
    <w:rsid w:val="00E22429"/>
    <w:rsid w:val="00E2252B"/>
    <w:rsid w:val="00E226D4"/>
    <w:rsid w:val="00E22733"/>
    <w:rsid w:val="00E229E9"/>
    <w:rsid w:val="00E22BE4"/>
    <w:rsid w:val="00E22DBB"/>
    <w:rsid w:val="00E22EAC"/>
    <w:rsid w:val="00E22FEC"/>
    <w:rsid w:val="00E230C4"/>
    <w:rsid w:val="00E2318D"/>
    <w:rsid w:val="00E2322F"/>
    <w:rsid w:val="00E2339F"/>
    <w:rsid w:val="00E233B6"/>
    <w:rsid w:val="00E23521"/>
    <w:rsid w:val="00E23648"/>
    <w:rsid w:val="00E23914"/>
    <w:rsid w:val="00E23ABA"/>
    <w:rsid w:val="00E23C7E"/>
    <w:rsid w:val="00E23F62"/>
    <w:rsid w:val="00E24275"/>
    <w:rsid w:val="00E2427D"/>
    <w:rsid w:val="00E24324"/>
    <w:rsid w:val="00E245C4"/>
    <w:rsid w:val="00E245D8"/>
    <w:rsid w:val="00E24C10"/>
    <w:rsid w:val="00E25260"/>
    <w:rsid w:val="00E2532D"/>
    <w:rsid w:val="00E25552"/>
    <w:rsid w:val="00E2563C"/>
    <w:rsid w:val="00E25A2F"/>
    <w:rsid w:val="00E25AF9"/>
    <w:rsid w:val="00E25B58"/>
    <w:rsid w:val="00E25B73"/>
    <w:rsid w:val="00E25CF8"/>
    <w:rsid w:val="00E25DD4"/>
    <w:rsid w:val="00E25FE1"/>
    <w:rsid w:val="00E261B3"/>
    <w:rsid w:val="00E26580"/>
    <w:rsid w:val="00E26818"/>
    <w:rsid w:val="00E2691B"/>
    <w:rsid w:val="00E26A4D"/>
    <w:rsid w:val="00E27265"/>
    <w:rsid w:val="00E2740A"/>
    <w:rsid w:val="00E27419"/>
    <w:rsid w:val="00E274DD"/>
    <w:rsid w:val="00E278AD"/>
    <w:rsid w:val="00E27B0B"/>
    <w:rsid w:val="00E27E10"/>
    <w:rsid w:val="00E27FFC"/>
    <w:rsid w:val="00E300BC"/>
    <w:rsid w:val="00E3013D"/>
    <w:rsid w:val="00E303EE"/>
    <w:rsid w:val="00E3044F"/>
    <w:rsid w:val="00E30B15"/>
    <w:rsid w:val="00E30B45"/>
    <w:rsid w:val="00E30CF3"/>
    <w:rsid w:val="00E30E00"/>
    <w:rsid w:val="00E30E46"/>
    <w:rsid w:val="00E30F91"/>
    <w:rsid w:val="00E31214"/>
    <w:rsid w:val="00E3164D"/>
    <w:rsid w:val="00E3173A"/>
    <w:rsid w:val="00E3174F"/>
    <w:rsid w:val="00E31C99"/>
    <w:rsid w:val="00E31E12"/>
    <w:rsid w:val="00E31E16"/>
    <w:rsid w:val="00E31EA3"/>
    <w:rsid w:val="00E31EB0"/>
    <w:rsid w:val="00E320F8"/>
    <w:rsid w:val="00E3231A"/>
    <w:rsid w:val="00E3270B"/>
    <w:rsid w:val="00E32C38"/>
    <w:rsid w:val="00E32E6F"/>
    <w:rsid w:val="00E33022"/>
    <w:rsid w:val="00E33050"/>
    <w:rsid w:val="00E331B5"/>
    <w:rsid w:val="00E33237"/>
    <w:rsid w:val="00E3371E"/>
    <w:rsid w:val="00E33769"/>
    <w:rsid w:val="00E33957"/>
    <w:rsid w:val="00E33B47"/>
    <w:rsid w:val="00E33BDB"/>
    <w:rsid w:val="00E33E75"/>
    <w:rsid w:val="00E340C6"/>
    <w:rsid w:val="00E342AD"/>
    <w:rsid w:val="00E34522"/>
    <w:rsid w:val="00E3478A"/>
    <w:rsid w:val="00E348A4"/>
    <w:rsid w:val="00E34944"/>
    <w:rsid w:val="00E34FC2"/>
    <w:rsid w:val="00E35417"/>
    <w:rsid w:val="00E35458"/>
    <w:rsid w:val="00E35D93"/>
    <w:rsid w:val="00E35D96"/>
    <w:rsid w:val="00E35F33"/>
    <w:rsid w:val="00E3601C"/>
    <w:rsid w:val="00E36038"/>
    <w:rsid w:val="00E361E8"/>
    <w:rsid w:val="00E3633D"/>
    <w:rsid w:val="00E3646E"/>
    <w:rsid w:val="00E365CF"/>
    <w:rsid w:val="00E36726"/>
    <w:rsid w:val="00E369F1"/>
    <w:rsid w:val="00E36A20"/>
    <w:rsid w:val="00E36ADE"/>
    <w:rsid w:val="00E36B6D"/>
    <w:rsid w:val="00E36E53"/>
    <w:rsid w:val="00E3731D"/>
    <w:rsid w:val="00E37521"/>
    <w:rsid w:val="00E37A83"/>
    <w:rsid w:val="00E37AA9"/>
    <w:rsid w:val="00E37B48"/>
    <w:rsid w:val="00E4003C"/>
    <w:rsid w:val="00E40181"/>
    <w:rsid w:val="00E40186"/>
    <w:rsid w:val="00E4039E"/>
    <w:rsid w:val="00E40597"/>
    <w:rsid w:val="00E409A8"/>
    <w:rsid w:val="00E40A68"/>
    <w:rsid w:val="00E40D12"/>
    <w:rsid w:val="00E40E8C"/>
    <w:rsid w:val="00E4114B"/>
    <w:rsid w:val="00E416BD"/>
    <w:rsid w:val="00E4176C"/>
    <w:rsid w:val="00E41C15"/>
    <w:rsid w:val="00E42091"/>
    <w:rsid w:val="00E4214C"/>
    <w:rsid w:val="00E42F38"/>
    <w:rsid w:val="00E430FE"/>
    <w:rsid w:val="00E43526"/>
    <w:rsid w:val="00E43602"/>
    <w:rsid w:val="00E43755"/>
    <w:rsid w:val="00E439E7"/>
    <w:rsid w:val="00E43A7E"/>
    <w:rsid w:val="00E43A7F"/>
    <w:rsid w:val="00E43D6D"/>
    <w:rsid w:val="00E4412C"/>
    <w:rsid w:val="00E441A4"/>
    <w:rsid w:val="00E442EC"/>
    <w:rsid w:val="00E444DD"/>
    <w:rsid w:val="00E44893"/>
    <w:rsid w:val="00E448B4"/>
    <w:rsid w:val="00E448CB"/>
    <w:rsid w:val="00E44AB7"/>
    <w:rsid w:val="00E44CAA"/>
    <w:rsid w:val="00E44F49"/>
    <w:rsid w:val="00E45443"/>
    <w:rsid w:val="00E454B4"/>
    <w:rsid w:val="00E456A4"/>
    <w:rsid w:val="00E45713"/>
    <w:rsid w:val="00E457AF"/>
    <w:rsid w:val="00E45D50"/>
    <w:rsid w:val="00E45D57"/>
    <w:rsid w:val="00E46081"/>
    <w:rsid w:val="00E46298"/>
    <w:rsid w:val="00E46341"/>
    <w:rsid w:val="00E46607"/>
    <w:rsid w:val="00E4698F"/>
    <w:rsid w:val="00E46AB0"/>
    <w:rsid w:val="00E46BEF"/>
    <w:rsid w:val="00E46DE5"/>
    <w:rsid w:val="00E46E5B"/>
    <w:rsid w:val="00E47636"/>
    <w:rsid w:val="00E4765D"/>
    <w:rsid w:val="00E47750"/>
    <w:rsid w:val="00E47770"/>
    <w:rsid w:val="00E477D6"/>
    <w:rsid w:val="00E477E1"/>
    <w:rsid w:val="00E47900"/>
    <w:rsid w:val="00E47B13"/>
    <w:rsid w:val="00E47F9B"/>
    <w:rsid w:val="00E502F6"/>
    <w:rsid w:val="00E5059C"/>
    <w:rsid w:val="00E50A07"/>
    <w:rsid w:val="00E50A33"/>
    <w:rsid w:val="00E50A9F"/>
    <w:rsid w:val="00E50AA5"/>
    <w:rsid w:val="00E50CDA"/>
    <w:rsid w:val="00E50F84"/>
    <w:rsid w:val="00E51016"/>
    <w:rsid w:val="00E51861"/>
    <w:rsid w:val="00E51B0F"/>
    <w:rsid w:val="00E51B17"/>
    <w:rsid w:val="00E51F13"/>
    <w:rsid w:val="00E5201D"/>
    <w:rsid w:val="00E52155"/>
    <w:rsid w:val="00E52546"/>
    <w:rsid w:val="00E52619"/>
    <w:rsid w:val="00E52EE5"/>
    <w:rsid w:val="00E52F38"/>
    <w:rsid w:val="00E530F3"/>
    <w:rsid w:val="00E53192"/>
    <w:rsid w:val="00E531A2"/>
    <w:rsid w:val="00E53458"/>
    <w:rsid w:val="00E535AC"/>
    <w:rsid w:val="00E5360E"/>
    <w:rsid w:val="00E5387B"/>
    <w:rsid w:val="00E53B88"/>
    <w:rsid w:val="00E53E9D"/>
    <w:rsid w:val="00E540A9"/>
    <w:rsid w:val="00E54648"/>
    <w:rsid w:val="00E5470F"/>
    <w:rsid w:val="00E54877"/>
    <w:rsid w:val="00E54913"/>
    <w:rsid w:val="00E54950"/>
    <w:rsid w:val="00E54990"/>
    <w:rsid w:val="00E54A4D"/>
    <w:rsid w:val="00E54AC9"/>
    <w:rsid w:val="00E54C23"/>
    <w:rsid w:val="00E54F7B"/>
    <w:rsid w:val="00E552F7"/>
    <w:rsid w:val="00E5577B"/>
    <w:rsid w:val="00E559BE"/>
    <w:rsid w:val="00E55B90"/>
    <w:rsid w:val="00E55C52"/>
    <w:rsid w:val="00E55FB3"/>
    <w:rsid w:val="00E561AE"/>
    <w:rsid w:val="00E562D6"/>
    <w:rsid w:val="00E56A01"/>
    <w:rsid w:val="00E56CE8"/>
    <w:rsid w:val="00E56E04"/>
    <w:rsid w:val="00E56ECD"/>
    <w:rsid w:val="00E570FB"/>
    <w:rsid w:val="00E5725A"/>
    <w:rsid w:val="00E574CB"/>
    <w:rsid w:val="00E576A4"/>
    <w:rsid w:val="00E579F3"/>
    <w:rsid w:val="00E57E30"/>
    <w:rsid w:val="00E60051"/>
    <w:rsid w:val="00E6013B"/>
    <w:rsid w:val="00E601A3"/>
    <w:rsid w:val="00E606C6"/>
    <w:rsid w:val="00E607EC"/>
    <w:rsid w:val="00E610D0"/>
    <w:rsid w:val="00E6132D"/>
    <w:rsid w:val="00E61616"/>
    <w:rsid w:val="00E61810"/>
    <w:rsid w:val="00E618CF"/>
    <w:rsid w:val="00E61A4F"/>
    <w:rsid w:val="00E62043"/>
    <w:rsid w:val="00E622F3"/>
    <w:rsid w:val="00E62581"/>
    <w:rsid w:val="00E628A0"/>
    <w:rsid w:val="00E62994"/>
    <w:rsid w:val="00E629A1"/>
    <w:rsid w:val="00E62A3E"/>
    <w:rsid w:val="00E62A52"/>
    <w:rsid w:val="00E62CBC"/>
    <w:rsid w:val="00E62FCB"/>
    <w:rsid w:val="00E63005"/>
    <w:rsid w:val="00E6324F"/>
    <w:rsid w:val="00E63516"/>
    <w:rsid w:val="00E63586"/>
    <w:rsid w:val="00E63796"/>
    <w:rsid w:val="00E63819"/>
    <w:rsid w:val="00E63CCA"/>
    <w:rsid w:val="00E63FB0"/>
    <w:rsid w:val="00E6454B"/>
    <w:rsid w:val="00E64DA6"/>
    <w:rsid w:val="00E64FE5"/>
    <w:rsid w:val="00E6517D"/>
    <w:rsid w:val="00E6519D"/>
    <w:rsid w:val="00E65648"/>
    <w:rsid w:val="00E65710"/>
    <w:rsid w:val="00E658B3"/>
    <w:rsid w:val="00E658FC"/>
    <w:rsid w:val="00E659F2"/>
    <w:rsid w:val="00E65A9B"/>
    <w:rsid w:val="00E65CA3"/>
    <w:rsid w:val="00E65CCD"/>
    <w:rsid w:val="00E6626C"/>
    <w:rsid w:val="00E66431"/>
    <w:rsid w:val="00E666B1"/>
    <w:rsid w:val="00E667D8"/>
    <w:rsid w:val="00E668C1"/>
    <w:rsid w:val="00E668F7"/>
    <w:rsid w:val="00E66C9B"/>
    <w:rsid w:val="00E66DBD"/>
    <w:rsid w:val="00E67150"/>
    <w:rsid w:val="00E671EF"/>
    <w:rsid w:val="00E67874"/>
    <w:rsid w:val="00E6794C"/>
    <w:rsid w:val="00E679D2"/>
    <w:rsid w:val="00E67BCF"/>
    <w:rsid w:val="00E67BE4"/>
    <w:rsid w:val="00E67D45"/>
    <w:rsid w:val="00E701E2"/>
    <w:rsid w:val="00E70211"/>
    <w:rsid w:val="00E70244"/>
    <w:rsid w:val="00E70294"/>
    <w:rsid w:val="00E70700"/>
    <w:rsid w:val="00E70916"/>
    <w:rsid w:val="00E70D7C"/>
    <w:rsid w:val="00E70DEC"/>
    <w:rsid w:val="00E70EA3"/>
    <w:rsid w:val="00E70F75"/>
    <w:rsid w:val="00E71285"/>
    <w:rsid w:val="00E71591"/>
    <w:rsid w:val="00E715DD"/>
    <w:rsid w:val="00E7160E"/>
    <w:rsid w:val="00E71651"/>
    <w:rsid w:val="00E71743"/>
    <w:rsid w:val="00E718F6"/>
    <w:rsid w:val="00E71971"/>
    <w:rsid w:val="00E71CEB"/>
    <w:rsid w:val="00E72055"/>
    <w:rsid w:val="00E7207D"/>
    <w:rsid w:val="00E721D3"/>
    <w:rsid w:val="00E72D07"/>
    <w:rsid w:val="00E73000"/>
    <w:rsid w:val="00E7314D"/>
    <w:rsid w:val="00E73690"/>
    <w:rsid w:val="00E736D8"/>
    <w:rsid w:val="00E7378E"/>
    <w:rsid w:val="00E737EA"/>
    <w:rsid w:val="00E7386D"/>
    <w:rsid w:val="00E73928"/>
    <w:rsid w:val="00E73D82"/>
    <w:rsid w:val="00E73FE5"/>
    <w:rsid w:val="00E7459B"/>
    <w:rsid w:val="00E745B3"/>
    <w:rsid w:val="00E7474F"/>
    <w:rsid w:val="00E74A5C"/>
    <w:rsid w:val="00E75180"/>
    <w:rsid w:val="00E754EA"/>
    <w:rsid w:val="00E75621"/>
    <w:rsid w:val="00E756EF"/>
    <w:rsid w:val="00E75A6A"/>
    <w:rsid w:val="00E75D44"/>
    <w:rsid w:val="00E75DFC"/>
    <w:rsid w:val="00E76436"/>
    <w:rsid w:val="00E7645F"/>
    <w:rsid w:val="00E7647C"/>
    <w:rsid w:val="00E76524"/>
    <w:rsid w:val="00E76555"/>
    <w:rsid w:val="00E7655E"/>
    <w:rsid w:val="00E766BE"/>
    <w:rsid w:val="00E767B3"/>
    <w:rsid w:val="00E76BC8"/>
    <w:rsid w:val="00E76C25"/>
    <w:rsid w:val="00E76D67"/>
    <w:rsid w:val="00E76F33"/>
    <w:rsid w:val="00E77286"/>
    <w:rsid w:val="00E77C22"/>
    <w:rsid w:val="00E77FF7"/>
    <w:rsid w:val="00E8017B"/>
    <w:rsid w:val="00E80362"/>
    <w:rsid w:val="00E8069F"/>
    <w:rsid w:val="00E808CA"/>
    <w:rsid w:val="00E80952"/>
    <w:rsid w:val="00E80A41"/>
    <w:rsid w:val="00E80DE3"/>
    <w:rsid w:val="00E80E68"/>
    <w:rsid w:val="00E80F81"/>
    <w:rsid w:val="00E80FC2"/>
    <w:rsid w:val="00E81032"/>
    <w:rsid w:val="00E8108F"/>
    <w:rsid w:val="00E810C8"/>
    <w:rsid w:val="00E81F7C"/>
    <w:rsid w:val="00E82086"/>
    <w:rsid w:val="00E822BB"/>
    <w:rsid w:val="00E82C55"/>
    <w:rsid w:val="00E832F1"/>
    <w:rsid w:val="00E83555"/>
    <w:rsid w:val="00E836CC"/>
    <w:rsid w:val="00E8380D"/>
    <w:rsid w:val="00E83F61"/>
    <w:rsid w:val="00E83FB1"/>
    <w:rsid w:val="00E84025"/>
    <w:rsid w:val="00E841BF"/>
    <w:rsid w:val="00E842D9"/>
    <w:rsid w:val="00E8435A"/>
    <w:rsid w:val="00E846B6"/>
    <w:rsid w:val="00E848A1"/>
    <w:rsid w:val="00E84CE9"/>
    <w:rsid w:val="00E85132"/>
    <w:rsid w:val="00E855AF"/>
    <w:rsid w:val="00E855CB"/>
    <w:rsid w:val="00E85698"/>
    <w:rsid w:val="00E856F9"/>
    <w:rsid w:val="00E85728"/>
    <w:rsid w:val="00E8579E"/>
    <w:rsid w:val="00E857BB"/>
    <w:rsid w:val="00E858E8"/>
    <w:rsid w:val="00E85A4A"/>
    <w:rsid w:val="00E85E42"/>
    <w:rsid w:val="00E865FB"/>
    <w:rsid w:val="00E866AB"/>
    <w:rsid w:val="00E8674B"/>
    <w:rsid w:val="00E86A2D"/>
    <w:rsid w:val="00E86AB5"/>
    <w:rsid w:val="00E86AF2"/>
    <w:rsid w:val="00E86BDE"/>
    <w:rsid w:val="00E8708B"/>
    <w:rsid w:val="00E8713C"/>
    <w:rsid w:val="00E8736C"/>
    <w:rsid w:val="00E8744F"/>
    <w:rsid w:val="00E876C8"/>
    <w:rsid w:val="00E8787E"/>
    <w:rsid w:val="00E87968"/>
    <w:rsid w:val="00E879F9"/>
    <w:rsid w:val="00E9026C"/>
    <w:rsid w:val="00E9042A"/>
    <w:rsid w:val="00E909EB"/>
    <w:rsid w:val="00E90BE3"/>
    <w:rsid w:val="00E91065"/>
    <w:rsid w:val="00E91108"/>
    <w:rsid w:val="00E91228"/>
    <w:rsid w:val="00E91371"/>
    <w:rsid w:val="00E91461"/>
    <w:rsid w:val="00E91521"/>
    <w:rsid w:val="00E915D0"/>
    <w:rsid w:val="00E916CE"/>
    <w:rsid w:val="00E91704"/>
    <w:rsid w:val="00E917CC"/>
    <w:rsid w:val="00E91A7F"/>
    <w:rsid w:val="00E91C2C"/>
    <w:rsid w:val="00E91D1B"/>
    <w:rsid w:val="00E91E76"/>
    <w:rsid w:val="00E92012"/>
    <w:rsid w:val="00E925C5"/>
    <w:rsid w:val="00E92862"/>
    <w:rsid w:val="00E92AC3"/>
    <w:rsid w:val="00E92B35"/>
    <w:rsid w:val="00E93074"/>
    <w:rsid w:val="00E93107"/>
    <w:rsid w:val="00E93541"/>
    <w:rsid w:val="00E935D7"/>
    <w:rsid w:val="00E93BB2"/>
    <w:rsid w:val="00E93E33"/>
    <w:rsid w:val="00E93F06"/>
    <w:rsid w:val="00E9467A"/>
    <w:rsid w:val="00E947A3"/>
    <w:rsid w:val="00E948A2"/>
    <w:rsid w:val="00E94DF2"/>
    <w:rsid w:val="00E94E5A"/>
    <w:rsid w:val="00E953CD"/>
    <w:rsid w:val="00E956B1"/>
    <w:rsid w:val="00E95801"/>
    <w:rsid w:val="00E95BDA"/>
    <w:rsid w:val="00E95CF3"/>
    <w:rsid w:val="00E95F3B"/>
    <w:rsid w:val="00E96102"/>
    <w:rsid w:val="00E9628B"/>
    <w:rsid w:val="00E962C3"/>
    <w:rsid w:val="00E9630A"/>
    <w:rsid w:val="00E9658F"/>
    <w:rsid w:val="00E96A71"/>
    <w:rsid w:val="00E96B9F"/>
    <w:rsid w:val="00E96D00"/>
    <w:rsid w:val="00E97131"/>
    <w:rsid w:val="00E9761B"/>
    <w:rsid w:val="00E97765"/>
    <w:rsid w:val="00E977E3"/>
    <w:rsid w:val="00E97B2C"/>
    <w:rsid w:val="00E97C19"/>
    <w:rsid w:val="00E97CB2"/>
    <w:rsid w:val="00E97E16"/>
    <w:rsid w:val="00E97ED2"/>
    <w:rsid w:val="00E97F98"/>
    <w:rsid w:val="00E97F99"/>
    <w:rsid w:val="00EA01C9"/>
    <w:rsid w:val="00EA0A61"/>
    <w:rsid w:val="00EA0B21"/>
    <w:rsid w:val="00EA0F3F"/>
    <w:rsid w:val="00EA0FDC"/>
    <w:rsid w:val="00EA1038"/>
    <w:rsid w:val="00EA1570"/>
    <w:rsid w:val="00EA1942"/>
    <w:rsid w:val="00EA19C7"/>
    <w:rsid w:val="00EA1AEE"/>
    <w:rsid w:val="00EA1B74"/>
    <w:rsid w:val="00EA2049"/>
    <w:rsid w:val="00EA2181"/>
    <w:rsid w:val="00EA24F8"/>
    <w:rsid w:val="00EA2662"/>
    <w:rsid w:val="00EA273F"/>
    <w:rsid w:val="00EA27AD"/>
    <w:rsid w:val="00EA2C10"/>
    <w:rsid w:val="00EA2E21"/>
    <w:rsid w:val="00EA2F31"/>
    <w:rsid w:val="00EA2F5F"/>
    <w:rsid w:val="00EA2F6A"/>
    <w:rsid w:val="00EA3006"/>
    <w:rsid w:val="00EA31B4"/>
    <w:rsid w:val="00EA3277"/>
    <w:rsid w:val="00EA32A2"/>
    <w:rsid w:val="00EA32AB"/>
    <w:rsid w:val="00EA346D"/>
    <w:rsid w:val="00EA3846"/>
    <w:rsid w:val="00EA3BE8"/>
    <w:rsid w:val="00EA40F1"/>
    <w:rsid w:val="00EA430A"/>
    <w:rsid w:val="00EA431F"/>
    <w:rsid w:val="00EA4387"/>
    <w:rsid w:val="00EA443F"/>
    <w:rsid w:val="00EA45D0"/>
    <w:rsid w:val="00EA4990"/>
    <w:rsid w:val="00EA4A28"/>
    <w:rsid w:val="00EA4B8C"/>
    <w:rsid w:val="00EA523F"/>
    <w:rsid w:val="00EA53F3"/>
    <w:rsid w:val="00EA5632"/>
    <w:rsid w:val="00EA563E"/>
    <w:rsid w:val="00EA56B5"/>
    <w:rsid w:val="00EA59E8"/>
    <w:rsid w:val="00EA5A5E"/>
    <w:rsid w:val="00EA5A6A"/>
    <w:rsid w:val="00EA602C"/>
    <w:rsid w:val="00EA63B3"/>
    <w:rsid w:val="00EA6562"/>
    <w:rsid w:val="00EA6C35"/>
    <w:rsid w:val="00EA6D10"/>
    <w:rsid w:val="00EA6D51"/>
    <w:rsid w:val="00EA6DF1"/>
    <w:rsid w:val="00EA7055"/>
    <w:rsid w:val="00EA71F0"/>
    <w:rsid w:val="00EA7A83"/>
    <w:rsid w:val="00EA7B77"/>
    <w:rsid w:val="00EA7C7F"/>
    <w:rsid w:val="00EA7D3C"/>
    <w:rsid w:val="00EA7E43"/>
    <w:rsid w:val="00EA7FD1"/>
    <w:rsid w:val="00EB00E0"/>
    <w:rsid w:val="00EB0366"/>
    <w:rsid w:val="00EB0515"/>
    <w:rsid w:val="00EB05D5"/>
    <w:rsid w:val="00EB0661"/>
    <w:rsid w:val="00EB06BB"/>
    <w:rsid w:val="00EB10DD"/>
    <w:rsid w:val="00EB124C"/>
    <w:rsid w:val="00EB19BA"/>
    <w:rsid w:val="00EB1A2C"/>
    <w:rsid w:val="00EB1B38"/>
    <w:rsid w:val="00EB20E2"/>
    <w:rsid w:val="00EB28B1"/>
    <w:rsid w:val="00EB2A01"/>
    <w:rsid w:val="00EB312C"/>
    <w:rsid w:val="00EB31DD"/>
    <w:rsid w:val="00EB32F2"/>
    <w:rsid w:val="00EB333D"/>
    <w:rsid w:val="00EB3650"/>
    <w:rsid w:val="00EB3701"/>
    <w:rsid w:val="00EB385F"/>
    <w:rsid w:val="00EB3944"/>
    <w:rsid w:val="00EB39DB"/>
    <w:rsid w:val="00EB3CD5"/>
    <w:rsid w:val="00EB3D77"/>
    <w:rsid w:val="00EB3D83"/>
    <w:rsid w:val="00EB3F95"/>
    <w:rsid w:val="00EB429C"/>
    <w:rsid w:val="00EB4630"/>
    <w:rsid w:val="00EB4721"/>
    <w:rsid w:val="00EB4AA0"/>
    <w:rsid w:val="00EB4ABA"/>
    <w:rsid w:val="00EB4BC7"/>
    <w:rsid w:val="00EB4E8A"/>
    <w:rsid w:val="00EB4EF1"/>
    <w:rsid w:val="00EB56B9"/>
    <w:rsid w:val="00EB5822"/>
    <w:rsid w:val="00EB58A5"/>
    <w:rsid w:val="00EB5906"/>
    <w:rsid w:val="00EB5A2D"/>
    <w:rsid w:val="00EB5BD1"/>
    <w:rsid w:val="00EB5F90"/>
    <w:rsid w:val="00EB6049"/>
    <w:rsid w:val="00EB62C3"/>
    <w:rsid w:val="00EB683A"/>
    <w:rsid w:val="00EB68B8"/>
    <w:rsid w:val="00EB6A5D"/>
    <w:rsid w:val="00EB6AC1"/>
    <w:rsid w:val="00EB6C19"/>
    <w:rsid w:val="00EB6DCA"/>
    <w:rsid w:val="00EB72E4"/>
    <w:rsid w:val="00EB73C0"/>
    <w:rsid w:val="00EB79B4"/>
    <w:rsid w:val="00EB7DA4"/>
    <w:rsid w:val="00EC0062"/>
    <w:rsid w:val="00EC018A"/>
    <w:rsid w:val="00EC0471"/>
    <w:rsid w:val="00EC059F"/>
    <w:rsid w:val="00EC0603"/>
    <w:rsid w:val="00EC0623"/>
    <w:rsid w:val="00EC08E9"/>
    <w:rsid w:val="00EC0980"/>
    <w:rsid w:val="00EC0A10"/>
    <w:rsid w:val="00EC0F40"/>
    <w:rsid w:val="00EC10CF"/>
    <w:rsid w:val="00EC14EA"/>
    <w:rsid w:val="00EC159A"/>
    <w:rsid w:val="00EC1891"/>
    <w:rsid w:val="00EC1983"/>
    <w:rsid w:val="00EC1A16"/>
    <w:rsid w:val="00EC1F24"/>
    <w:rsid w:val="00EC203D"/>
    <w:rsid w:val="00EC20AA"/>
    <w:rsid w:val="00EC22F6"/>
    <w:rsid w:val="00EC271E"/>
    <w:rsid w:val="00EC292E"/>
    <w:rsid w:val="00EC29B6"/>
    <w:rsid w:val="00EC2EFE"/>
    <w:rsid w:val="00EC3063"/>
    <w:rsid w:val="00EC3353"/>
    <w:rsid w:val="00EC3575"/>
    <w:rsid w:val="00EC3620"/>
    <w:rsid w:val="00EC37B6"/>
    <w:rsid w:val="00EC3B0E"/>
    <w:rsid w:val="00EC3DB9"/>
    <w:rsid w:val="00EC433F"/>
    <w:rsid w:val="00EC43F5"/>
    <w:rsid w:val="00EC43FB"/>
    <w:rsid w:val="00EC4547"/>
    <w:rsid w:val="00EC455F"/>
    <w:rsid w:val="00EC487A"/>
    <w:rsid w:val="00EC4932"/>
    <w:rsid w:val="00EC49EB"/>
    <w:rsid w:val="00EC4AF8"/>
    <w:rsid w:val="00EC4B56"/>
    <w:rsid w:val="00EC4BAC"/>
    <w:rsid w:val="00EC4C4D"/>
    <w:rsid w:val="00EC4D2C"/>
    <w:rsid w:val="00EC4D46"/>
    <w:rsid w:val="00EC4F05"/>
    <w:rsid w:val="00EC4F8F"/>
    <w:rsid w:val="00EC5031"/>
    <w:rsid w:val="00EC5044"/>
    <w:rsid w:val="00EC5430"/>
    <w:rsid w:val="00EC588D"/>
    <w:rsid w:val="00EC5B57"/>
    <w:rsid w:val="00EC5C7D"/>
    <w:rsid w:val="00EC63B4"/>
    <w:rsid w:val="00EC72E3"/>
    <w:rsid w:val="00EC758B"/>
    <w:rsid w:val="00EC7702"/>
    <w:rsid w:val="00EC7AD6"/>
    <w:rsid w:val="00EC7DB4"/>
    <w:rsid w:val="00EC7DD6"/>
    <w:rsid w:val="00ED002E"/>
    <w:rsid w:val="00ED0036"/>
    <w:rsid w:val="00ED0218"/>
    <w:rsid w:val="00ED021A"/>
    <w:rsid w:val="00ED0293"/>
    <w:rsid w:val="00ED0309"/>
    <w:rsid w:val="00ED046E"/>
    <w:rsid w:val="00ED048B"/>
    <w:rsid w:val="00ED0AB4"/>
    <w:rsid w:val="00ED0EF6"/>
    <w:rsid w:val="00ED0F68"/>
    <w:rsid w:val="00ED107C"/>
    <w:rsid w:val="00ED1191"/>
    <w:rsid w:val="00ED128A"/>
    <w:rsid w:val="00ED188E"/>
    <w:rsid w:val="00ED19F8"/>
    <w:rsid w:val="00ED1E17"/>
    <w:rsid w:val="00ED2067"/>
    <w:rsid w:val="00ED2188"/>
    <w:rsid w:val="00ED23C5"/>
    <w:rsid w:val="00ED24E6"/>
    <w:rsid w:val="00ED28F9"/>
    <w:rsid w:val="00ED2AAA"/>
    <w:rsid w:val="00ED2F68"/>
    <w:rsid w:val="00ED2F9F"/>
    <w:rsid w:val="00ED30D9"/>
    <w:rsid w:val="00ED3596"/>
    <w:rsid w:val="00ED362E"/>
    <w:rsid w:val="00ED371F"/>
    <w:rsid w:val="00ED38C7"/>
    <w:rsid w:val="00ED3C7D"/>
    <w:rsid w:val="00ED3D00"/>
    <w:rsid w:val="00ED3FA8"/>
    <w:rsid w:val="00ED3FB1"/>
    <w:rsid w:val="00ED40BB"/>
    <w:rsid w:val="00ED41BC"/>
    <w:rsid w:val="00ED48EB"/>
    <w:rsid w:val="00ED51EF"/>
    <w:rsid w:val="00ED524D"/>
    <w:rsid w:val="00ED53B4"/>
    <w:rsid w:val="00ED54CA"/>
    <w:rsid w:val="00ED583D"/>
    <w:rsid w:val="00ED58BB"/>
    <w:rsid w:val="00ED5942"/>
    <w:rsid w:val="00ED5A20"/>
    <w:rsid w:val="00ED5B9B"/>
    <w:rsid w:val="00ED61B3"/>
    <w:rsid w:val="00ED67A5"/>
    <w:rsid w:val="00ED6BAD"/>
    <w:rsid w:val="00ED6DE0"/>
    <w:rsid w:val="00ED6DED"/>
    <w:rsid w:val="00ED7105"/>
    <w:rsid w:val="00ED716B"/>
    <w:rsid w:val="00ED7201"/>
    <w:rsid w:val="00ED725B"/>
    <w:rsid w:val="00ED7348"/>
    <w:rsid w:val="00ED7447"/>
    <w:rsid w:val="00ED7558"/>
    <w:rsid w:val="00ED76A6"/>
    <w:rsid w:val="00ED7762"/>
    <w:rsid w:val="00ED79D6"/>
    <w:rsid w:val="00ED7C72"/>
    <w:rsid w:val="00ED7CF2"/>
    <w:rsid w:val="00ED7E19"/>
    <w:rsid w:val="00ED7EB7"/>
    <w:rsid w:val="00EE0042"/>
    <w:rsid w:val="00EE00D6"/>
    <w:rsid w:val="00EE056F"/>
    <w:rsid w:val="00EE0662"/>
    <w:rsid w:val="00EE0A89"/>
    <w:rsid w:val="00EE0C57"/>
    <w:rsid w:val="00EE0E6C"/>
    <w:rsid w:val="00EE0E70"/>
    <w:rsid w:val="00EE1056"/>
    <w:rsid w:val="00EE11E7"/>
    <w:rsid w:val="00EE1488"/>
    <w:rsid w:val="00EE17C7"/>
    <w:rsid w:val="00EE17EF"/>
    <w:rsid w:val="00EE1A6C"/>
    <w:rsid w:val="00EE1E68"/>
    <w:rsid w:val="00EE1F92"/>
    <w:rsid w:val="00EE209F"/>
    <w:rsid w:val="00EE2157"/>
    <w:rsid w:val="00EE2229"/>
    <w:rsid w:val="00EE2309"/>
    <w:rsid w:val="00EE2446"/>
    <w:rsid w:val="00EE2756"/>
    <w:rsid w:val="00EE29AD"/>
    <w:rsid w:val="00EE2F86"/>
    <w:rsid w:val="00EE353A"/>
    <w:rsid w:val="00EE3E24"/>
    <w:rsid w:val="00EE4373"/>
    <w:rsid w:val="00EE4861"/>
    <w:rsid w:val="00EE4BB2"/>
    <w:rsid w:val="00EE4D5D"/>
    <w:rsid w:val="00EE4FD8"/>
    <w:rsid w:val="00EE5131"/>
    <w:rsid w:val="00EE561E"/>
    <w:rsid w:val="00EE5887"/>
    <w:rsid w:val="00EE58F1"/>
    <w:rsid w:val="00EE5B1A"/>
    <w:rsid w:val="00EE6453"/>
    <w:rsid w:val="00EE6483"/>
    <w:rsid w:val="00EE6692"/>
    <w:rsid w:val="00EE66B2"/>
    <w:rsid w:val="00EE67E6"/>
    <w:rsid w:val="00EE6B33"/>
    <w:rsid w:val="00EE719B"/>
    <w:rsid w:val="00EE7836"/>
    <w:rsid w:val="00EE7866"/>
    <w:rsid w:val="00EE7AE2"/>
    <w:rsid w:val="00EE7B02"/>
    <w:rsid w:val="00EE7B72"/>
    <w:rsid w:val="00EE7D26"/>
    <w:rsid w:val="00EE7E49"/>
    <w:rsid w:val="00EF00A7"/>
    <w:rsid w:val="00EF04BF"/>
    <w:rsid w:val="00EF04D3"/>
    <w:rsid w:val="00EF0564"/>
    <w:rsid w:val="00EF058B"/>
    <w:rsid w:val="00EF0843"/>
    <w:rsid w:val="00EF0A38"/>
    <w:rsid w:val="00EF0CD4"/>
    <w:rsid w:val="00EF0ED3"/>
    <w:rsid w:val="00EF0F50"/>
    <w:rsid w:val="00EF109B"/>
    <w:rsid w:val="00EF1262"/>
    <w:rsid w:val="00EF130D"/>
    <w:rsid w:val="00EF1464"/>
    <w:rsid w:val="00EF14AA"/>
    <w:rsid w:val="00EF15AC"/>
    <w:rsid w:val="00EF1662"/>
    <w:rsid w:val="00EF16BF"/>
    <w:rsid w:val="00EF17FB"/>
    <w:rsid w:val="00EF196A"/>
    <w:rsid w:val="00EF1BF2"/>
    <w:rsid w:val="00EF1CA3"/>
    <w:rsid w:val="00EF1D16"/>
    <w:rsid w:val="00EF1E54"/>
    <w:rsid w:val="00EF201C"/>
    <w:rsid w:val="00EF215B"/>
    <w:rsid w:val="00EF23C4"/>
    <w:rsid w:val="00EF2440"/>
    <w:rsid w:val="00EF2801"/>
    <w:rsid w:val="00EF2837"/>
    <w:rsid w:val="00EF2A9B"/>
    <w:rsid w:val="00EF2C72"/>
    <w:rsid w:val="00EF2E09"/>
    <w:rsid w:val="00EF304C"/>
    <w:rsid w:val="00EF30A3"/>
    <w:rsid w:val="00EF314D"/>
    <w:rsid w:val="00EF31AD"/>
    <w:rsid w:val="00EF348B"/>
    <w:rsid w:val="00EF35EA"/>
    <w:rsid w:val="00EF3605"/>
    <w:rsid w:val="00EF36AF"/>
    <w:rsid w:val="00EF375B"/>
    <w:rsid w:val="00EF3857"/>
    <w:rsid w:val="00EF392A"/>
    <w:rsid w:val="00EF393E"/>
    <w:rsid w:val="00EF39C4"/>
    <w:rsid w:val="00EF3C0F"/>
    <w:rsid w:val="00EF3EA2"/>
    <w:rsid w:val="00EF4480"/>
    <w:rsid w:val="00EF46C0"/>
    <w:rsid w:val="00EF473D"/>
    <w:rsid w:val="00EF4789"/>
    <w:rsid w:val="00EF4968"/>
    <w:rsid w:val="00EF4D0D"/>
    <w:rsid w:val="00EF4D99"/>
    <w:rsid w:val="00EF4F5A"/>
    <w:rsid w:val="00EF503B"/>
    <w:rsid w:val="00EF5351"/>
    <w:rsid w:val="00EF536B"/>
    <w:rsid w:val="00EF563C"/>
    <w:rsid w:val="00EF56A5"/>
    <w:rsid w:val="00EF5765"/>
    <w:rsid w:val="00EF58E7"/>
    <w:rsid w:val="00EF59A3"/>
    <w:rsid w:val="00EF59DE"/>
    <w:rsid w:val="00EF5D02"/>
    <w:rsid w:val="00EF6029"/>
    <w:rsid w:val="00EF6675"/>
    <w:rsid w:val="00EF6FCC"/>
    <w:rsid w:val="00EF7505"/>
    <w:rsid w:val="00EF7727"/>
    <w:rsid w:val="00EF77E9"/>
    <w:rsid w:val="00EF7B11"/>
    <w:rsid w:val="00EF7C97"/>
    <w:rsid w:val="00F00128"/>
    <w:rsid w:val="00F00210"/>
    <w:rsid w:val="00F002D1"/>
    <w:rsid w:val="00F0063D"/>
    <w:rsid w:val="00F00AD1"/>
    <w:rsid w:val="00F00BA1"/>
    <w:rsid w:val="00F00D1F"/>
    <w:rsid w:val="00F00D39"/>
    <w:rsid w:val="00F00F9C"/>
    <w:rsid w:val="00F0106C"/>
    <w:rsid w:val="00F0161A"/>
    <w:rsid w:val="00F01750"/>
    <w:rsid w:val="00F0180D"/>
    <w:rsid w:val="00F01A7B"/>
    <w:rsid w:val="00F01E5F"/>
    <w:rsid w:val="00F01EB5"/>
    <w:rsid w:val="00F023C3"/>
    <w:rsid w:val="00F024DB"/>
    <w:rsid w:val="00F024F3"/>
    <w:rsid w:val="00F0266F"/>
    <w:rsid w:val="00F02A04"/>
    <w:rsid w:val="00F02ABA"/>
    <w:rsid w:val="00F02B49"/>
    <w:rsid w:val="00F02C39"/>
    <w:rsid w:val="00F02D59"/>
    <w:rsid w:val="00F02E2A"/>
    <w:rsid w:val="00F02FB3"/>
    <w:rsid w:val="00F0321A"/>
    <w:rsid w:val="00F0324E"/>
    <w:rsid w:val="00F0337C"/>
    <w:rsid w:val="00F03404"/>
    <w:rsid w:val="00F03767"/>
    <w:rsid w:val="00F039A9"/>
    <w:rsid w:val="00F039DD"/>
    <w:rsid w:val="00F03A57"/>
    <w:rsid w:val="00F03DC7"/>
    <w:rsid w:val="00F0437A"/>
    <w:rsid w:val="00F04ADD"/>
    <w:rsid w:val="00F04BAC"/>
    <w:rsid w:val="00F04C94"/>
    <w:rsid w:val="00F04D3C"/>
    <w:rsid w:val="00F04F83"/>
    <w:rsid w:val="00F04FFC"/>
    <w:rsid w:val="00F05215"/>
    <w:rsid w:val="00F055AA"/>
    <w:rsid w:val="00F057F5"/>
    <w:rsid w:val="00F05CDC"/>
    <w:rsid w:val="00F05D9D"/>
    <w:rsid w:val="00F05DB7"/>
    <w:rsid w:val="00F062EC"/>
    <w:rsid w:val="00F06338"/>
    <w:rsid w:val="00F0658F"/>
    <w:rsid w:val="00F067C0"/>
    <w:rsid w:val="00F067D3"/>
    <w:rsid w:val="00F06969"/>
    <w:rsid w:val="00F06A5C"/>
    <w:rsid w:val="00F06A76"/>
    <w:rsid w:val="00F07080"/>
    <w:rsid w:val="00F072C8"/>
    <w:rsid w:val="00F07AF3"/>
    <w:rsid w:val="00F07C01"/>
    <w:rsid w:val="00F1019A"/>
    <w:rsid w:val="00F101B8"/>
    <w:rsid w:val="00F10231"/>
    <w:rsid w:val="00F102DB"/>
    <w:rsid w:val="00F10CDA"/>
    <w:rsid w:val="00F10E7B"/>
    <w:rsid w:val="00F10ECD"/>
    <w:rsid w:val="00F11037"/>
    <w:rsid w:val="00F110FD"/>
    <w:rsid w:val="00F11536"/>
    <w:rsid w:val="00F115B1"/>
    <w:rsid w:val="00F1173C"/>
    <w:rsid w:val="00F118C7"/>
    <w:rsid w:val="00F11BB2"/>
    <w:rsid w:val="00F12052"/>
    <w:rsid w:val="00F12285"/>
    <w:rsid w:val="00F122BF"/>
    <w:rsid w:val="00F122D2"/>
    <w:rsid w:val="00F12558"/>
    <w:rsid w:val="00F126AC"/>
    <w:rsid w:val="00F12804"/>
    <w:rsid w:val="00F12B1C"/>
    <w:rsid w:val="00F12B63"/>
    <w:rsid w:val="00F12B6C"/>
    <w:rsid w:val="00F12F01"/>
    <w:rsid w:val="00F12FF3"/>
    <w:rsid w:val="00F13171"/>
    <w:rsid w:val="00F13236"/>
    <w:rsid w:val="00F1334D"/>
    <w:rsid w:val="00F1349F"/>
    <w:rsid w:val="00F137DB"/>
    <w:rsid w:val="00F1380F"/>
    <w:rsid w:val="00F13816"/>
    <w:rsid w:val="00F13847"/>
    <w:rsid w:val="00F13AF5"/>
    <w:rsid w:val="00F13D1D"/>
    <w:rsid w:val="00F13D2B"/>
    <w:rsid w:val="00F13EB7"/>
    <w:rsid w:val="00F13EEF"/>
    <w:rsid w:val="00F14290"/>
    <w:rsid w:val="00F1429E"/>
    <w:rsid w:val="00F1436B"/>
    <w:rsid w:val="00F14376"/>
    <w:rsid w:val="00F14383"/>
    <w:rsid w:val="00F14553"/>
    <w:rsid w:val="00F14681"/>
    <w:rsid w:val="00F14D70"/>
    <w:rsid w:val="00F14F90"/>
    <w:rsid w:val="00F15251"/>
    <w:rsid w:val="00F154CE"/>
    <w:rsid w:val="00F15767"/>
    <w:rsid w:val="00F1577D"/>
    <w:rsid w:val="00F159C7"/>
    <w:rsid w:val="00F159F6"/>
    <w:rsid w:val="00F15BF2"/>
    <w:rsid w:val="00F15D40"/>
    <w:rsid w:val="00F15FE4"/>
    <w:rsid w:val="00F1658C"/>
    <w:rsid w:val="00F1675E"/>
    <w:rsid w:val="00F16F1B"/>
    <w:rsid w:val="00F171B1"/>
    <w:rsid w:val="00F172BD"/>
    <w:rsid w:val="00F173D4"/>
    <w:rsid w:val="00F174BC"/>
    <w:rsid w:val="00F1766C"/>
    <w:rsid w:val="00F176FF"/>
    <w:rsid w:val="00F17BC2"/>
    <w:rsid w:val="00F17FA4"/>
    <w:rsid w:val="00F2021B"/>
    <w:rsid w:val="00F202E6"/>
    <w:rsid w:val="00F204A2"/>
    <w:rsid w:val="00F20A44"/>
    <w:rsid w:val="00F20D52"/>
    <w:rsid w:val="00F21243"/>
    <w:rsid w:val="00F213F2"/>
    <w:rsid w:val="00F2154C"/>
    <w:rsid w:val="00F21813"/>
    <w:rsid w:val="00F219E7"/>
    <w:rsid w:val="00F21A45"/>
    <w:rsid w:val="00F21AB7"/>
    <w:rsid w:val="00F21BF3"/>
    <w:rsid w:val="00F21F79"/>
    <w:rsid w:val="00F2217A"/>
    <w:rsid w:val="00F223C6"/>
    <w:rsid w:val="00F22539"/>
    <w:rsid w:val="00F22636"/>
    <w:rsid w:val="00F22900"/>
    <w:rsid w:val="00F22913"/>
    <w:rsid w:val="00F22A18"/>
    <w:rsid w:val="00F22A3D"/>
    <w:rsid w:val="00F22BF6"/>
    <w:rsid w:val="00F22D3B"/>
    <w:rsid w:val="00F22D6D"/>
    <w:rsid w:val="00F22E0D"/>
    <w:rsid w:val="00F22EA3"/>
    <w:rsid w:val="00F239E3"/>
    <w:rsid w:val="00F23E30"/>
    <w:rsid w:val="00F23FB3"/>
    <w:rsid w:val="00F24210"/>
    <w:rsid w:val="00F244E0"/>
    <w:rsid w:val="00F248E2"/>
    <w:rsid w:val="00F2496D"/>
    <w:rsid w:val="00F24CE4"/>
    <w:rsid w:val="00F24D30"/>
    <w:rsid w:val="00F24DBC"/>
    <w:rsid w:val="00F250A9"/>
    <w:rsid w:val="00F25199"/>
    <w:rsid w:val="00F2523D"/>
    <w:rsid w:val="00F252C5"/>
    <w:rsid w:val="00F25681"/>
    <w:rsid w:val="00F25BB0"/>
    <w:rsid w:val="00F26029"/>
    <w:rsid w:val="00F2608F"/>
    <w:rsid w:val="00F2622C"/>
    <w:rsid w:val="00F267AF"/>
    <w:rsid w:val="00F26930"/>
    <w:rsid w:val="00F26ED7"/>
    <w:rsid w:val="00F26F04"/>
    <w:rsid w:val="00F26F64"/>
    <w:rsid w:val="00F2734F"/>
    <w:rsid w:val="00F27589"/>
    <w:rsid w:val="00F277AA"/>
    <w:rsid w:val="00F277F6"/>
    <w:rsid w:val="00F27CCB"/>
    <w:rsid w:val="00F27E80"/>
    <w:rsid w:val="00F27F40"/>
    <w:rsid w:val="00F304F3"/>
    <w:rsid w:val="00F30FEB"/>
    <w:rsid w:val="00F30FF4"/>
    <w:rsid w:val="00F3122E"/>
    <w:rsid w:val="00F3131C"/>
    <w:rsid w:val="00F31D4A"/>
    <w:rsid w:val="00F31EBA"/>
    <w:rsid w:val="00F32174"/>
    <w:rsid w:val="00F321F2"/>
    <w:rsid w:val="00F32269"/>
    <w:rsid w:val="00F32368"/>
    <w:rsid w:val="00F323B0"/>
    <w:rsid w:val="00F32519"/>
    <w:rsid w:val="00F326FD"/>
    <w:rsid w:val="00F329DA"/>
    <w:rsid w:val="00F329ED"/>
    <w:rsid w:val="00F32A74"/>
    <w:rsid w:val="00F32CFB"/>
    <w:rsid w:val="00F32E6D"/>
    <w:rsid w:val="00F32FF7"/>
    <w:rsid w:val="00F331AD"/>
    <w:rsid w:val="00F33605"/>
    <w:rsid w:val="00F33956"/>
    <w:rsid w:val="00F33E1D"/>
    <w:rsid w:val="00F3437C"/>
    <w:rsid w:val="00F34663"/>
    <w:rsid w:val="00F3485E"/>
    <w:rsid w:val="00F34884"/>
    <w:rsid w:val="00F348B8"/>
    <w:rsid w:val="00F34B56"/>
    <w:rsid w:val="00F34CD3"/>
    <w:rsid w:val="00F34DE6"/>
    <w:rsid w:val="00F35287"/>
    <w:rsid w:val="00F35895"/>
    <w:rsid w:val="00F359C6"/>
    <w:rsid w:val="00F35E1A"/>
    <w:rsid w:val="00F35E4D"/>
    <w:rsid w:val="00F361F7"/>
    <w:rsid w:val="00F367B7"/>
    <w:rsid w:val="00F3686E"/>
    <w:rsid w:val="00F368B4"/>
    <w:rsid w:val="00F3694A"/>
    <w:rsid w:val="00F36C78"/>
    <w:rsid w:val="00F36CB7"/>
    <w:rsid w:val="00F36DA2"/>
    <w:rsid w:val="00F36DDB"/>
    <w:rsid w:val="00F36EE6"/>
    <w:rsid w:val="00F37103"/>
    <w:rsid w:val="00F371EF"/>
    <w:rsid w:val="00F374B4"/>
    <w:rsid w:val="00F37920"/>
    <w:rsid w:val="00F37DC5"/>
    <w:rsid w:val="00F37F26"/>
    <w:rsid w:val="00F400E9"/>
    <w:rsid w:val="00F401FA"/>
    <w:rsid w:val="00F40687"/>
    <w:rsid w:val="00F4076D"/>
    <w:rsid w:val="00F407E8"/>
    <w:rsid w:val="00F4086B"/>
    <w:rsid w:val="00F40A70"/>
    <w:rsid w:val="00F40D8B"/>
    <w:rsid w:val="00F40F15"/>
    <w:rsid w:val="00F41276"/>
    <w:rsid w:val="00F412DC"/>
    <w:rsid w:val="00F414E0"/>
    <w:rsid w:val="00F41849"/>
    <w:rsid w:val="00F418B8"/>
    <w:rsid w:val="00F41D2B"/>
    <w:rsid w:val="00F423FC"/>
    <w:rsid w:val="00F4257A"/>
    <w:rsid w:val="00F42881"/>
    <w:rsid w:val="00F42B1C"/>
    <w:rsid w:val="00F42B55"/>
    <w:rsid w:val="00F42EA7"/>
    <w:rsid w:val="00F42EDE"/>
    <w:rsid w:val="00F42FC3"/>
    <w:rsid w:val="00F434A1"/>
    <w:rsid w:val="00F43905"/>
    <w:rsid w:val="00F43A37"/>
    <w:rsid w:val="00F43E0B"/>
    <w:rsid w:val="00F44186"/>
    <w:rsid w:val="00F4422F"/>
    <w:rsid w:val="00F442A4"/>
    <w:rsid w:val="00F443CE"/>
    <w:rsid w:val="00F4459B"/>
    <w:rsid w:val="00F44757"/>
    <w:rsid w:val="00F4478C"/>
    <w:rsid w:val="00F448FE"/>
    <w:rsid w:val="00F449C0"/>
    <w:rsid w:val="00F44CC0"/>
    <w:rsid w:val="00F44F93"/>
    <w:rsid w:val="00F44FD3"/>
    <w:rsid w:val="00F45046"/>
    <w:rsid w:val="00F4516D"/>
    <w:rsid w:val="00F45370"/>
    <w:rsid w:val="00F457F2"/>
    <w:rsid w:val="00F45818"/>
    <w:rsid w:val="00F45A8E"/>
    <w:rsid w:val="00F45BD4"/>
    <w:rsid w:val="00F45C10"/>
    <w:rsid w:val="00F45E5A"/>
    <w:rsid w:val="00F45F22"/>
    <w:rsid w:val="00F4641B"/>
    <w:rsid w:val="00F466E6"/>
    <w:rsid w:val="00F46791"/>
    <w:rsid w:val="00F46860"/>
    <w:rsid w:val="00F468D1"/>
    <w:rsid w:val="00F46CCD"/>
    <w:rsid w:val="00F46D0E"/>
    <w:rsid w:val="00F46EB8"/>
    <w:rsid w:val="00F4710E"/>
    <w:rsid w:val="00F47497"/>
    <w:rsid w:val="00F47632"/>
    <w:rsid w:val="00F47833"/>
    <w:rsid w:val="00F478F0"/>
    <w:rsid w:val="00F479DF"/>
    <w:rsid w:val="00F47DD5"/>
    <w:rsid w:val="00F47E8A"/>
    <w:rsid w:val="00F50610"/>
    <w:rsid w:val="00F50727"/>
    <w:rsid w:val="00F50737"/>
    <w:rsid w:val="00F50799"/>
    <w:rsid w:val="00F50997"/>
    <w:rsid w:val="00F509B1"/>
    <w:rsid w:val="00F50CB9"/>
    <w:rsid w:val="00F50CD1"/>
    <w:rsid w:val="00F50D15"/>
    <w:rsid w:val="00F511E4"/>
    <w:rsid w:val="00F51332"/>
    <w:rsid w:val="00F51770"/>
    <w:rsid w:val="00F51839"/>
    <w:rsid w:val="00F5184B"/>
    <w:rsid w:val="00F51935"/>
    <w:rsid w:val="00F519AC"/>
    <w:rsid w:val="00F51A5F"/>
    <w:rsid w:val="00F51D12"/>
    <w:rsid w:val="00F51D6C"/>
    <w:rsid w:val="00F51D92"/>
    <w:rsid w:val="00F51FAF"/>
    <w:rsid w:val="00F526FC"/>
    <w:rsid w:val="00F527FC"/>
    <w:rsid w:val="00F52D09"/>
    <w:rsid w:val="00F52D1C"/>
    <w:rsid w:val="00F52DBF"/>
    <w:rsid w:val="00F52E08"/>
    <w:rsid w:val="00F52F32"/>
    <w:rsid w:val="00F53024"/>
    <w:rsid w:val="00F530F8"/>
    <w:rsid w:val="00F53387"/>
    <w:rsid w:val="00F533B0"/>
    <w:rsid w:val="00F533C1"/>
    <w:rsid w:val="00F53440"/>
    <w:rsid w:val="00F5388C"/>
    <w:rsid w:val="00F538C8"/>
    <w:rsid w:val="00F5399D"/>
    <w:rsid w:val="00F53A3A"/>
    <w:rsid w:val="00F53A66"/>
    <w:rsid w:val="00F53B90"/>
    <w:rsid w:val="00F53CCC"/>
    <w:rsid w:val="00F53DC9"/>
    <w:rsid w:val="00F53ED3"/>
    <w:rsid w:val="00F53FE2"/>
    <w:rsid w:val="00F541C1"/>
    <w:rsid w:val="00F543A3"/>
    <w:rsid w:val="00F54428"/>
    <w:rsid w:val="00F54451"/>
    <w:rsid w:val="00F5462D"/>
    <w:rsid w:val="00F546B1"/>
    <w:rsid w:val="00F54775"/>
    <w:rsid w:val="00F54961"/>
    <w:rsid w:val="00F54F43"/>
    <w:rsid w:val="00F54FB3"/>
    <w:rsid w:val="00F558A9"/>
    <w:rsid w:val="00F55B21"/>
    <w:rsid w:val="00F55B73"/>
    <w:rsid w:val="00F55D94"/>
    <w:rsid w:val="00F55FC4"/>
    <w:rsid w:val="00F56365"/>
    <w:rsid w:val="00F56390"/>
    <w:rsid w:val="00F56430"/>
    <w:rsid w:val="00F56660"/>
    <w:rsid w:val="00F566D1"/>
    <w:rsid w:val="00F5680D"/>
    <w:rsid w:val="00F56AB2"/>
    <w:rsid w:val="00F56DA3"/>
    <w:rsid w:val="00F56E5C"/>
    <w:rsid w:val="00F56EF6"/>
    <w:rsid w:val="00F57277"/>
    <w:rsid w:val="00F5735B"/>
    <w:rsid w:val="00F573D5"/>
    <w:rsid w:val="00F573EA"/>
    <w:rsid w:val="00F5750C"/>
    <w:rsid w:val="00F57723"/>
    <w:rsid w:val="00F577BF"/>
    <w:rsid w:val="00F578C8"/>
    <w:rsid w:val="00F57908"/>
    <w:rsid w:val="00F57911"/>
    <w:rsid w:val="00F57956"/>
    <w:rsid w:val="00F57D01"/>
    <w:rsid w:val="00F57E98"/>
    <w:rsid w:val="00F60082"/>
    <w:rsid w:val="00F602C4"/>
    <w:rsid w:val="00F602EF"/>
    <w:rsid w:val="00F606A9"/>
    <w:rsid w:val="00F6071C"/>
    <w:rsid w:val="00F60832"/>
    <w:rsid w:val="00F60893"/>
    <w:rsid w:val="00F608E3"/>
    <w:rsid w:val="00F60C30"/>
    <w:rsid w:val="00F615D9"/>
    <w:rsid w:val="00F617DF"/>
    <w:rsid w:val="00F61894"/>
    <w:rsid w:val="00F6198C"/>
    <w:rsid w:val="00F61A9F"/>
    <w:rsid w:val="00F61B5F"/>
    <w:rsid w:val="00F61CDE"/>
    <w:rsid w:val="00F6253A"/>
    <w:rsid w:val="00F62CA5"/>
    <w:rsid w:val="00F62DA9"/>
    <w:rsid w:val="00F62ECE"/>
    <w:rsid w:val="00F631E2"/>
    <w:rsid w:val="00F63693"/>
    <w:rsid w:val="00F6385F"/>
    <w:rsid w:val="00F63D01"/>
    <w:rsid w:val="00F63E5F"/>
    <w:rsid w:val="00F64242"/>
    <w:rsid w:val="00F64696"/>
    <w:rsid w:val="00F6480F"/>
    <w:rsid w:val="00F64CD2"/>
    <w:rsid w:val="00F64FA3"/>
    <w:rsid w:val="00F65132"/>
    <w:rsid w:val="00F65223"/>
    <w:rsid w:val="00F6529F"/>
    <w:rsid w:val="00F652F2"/>
    <w:rsid w:val="00F653B4"/>
    <w:rsid w:val="00F65621"/>
    <w:rsid w:val="00F65740"/>
    <w:rsid w:val="00F65AA9"/>
    <w:rsid w:val="00F65D92"/>
    <w:rsid w:val="00F661BB"/>
    <w:rsid w:val="00F6677D"/>
    <w:rsid w:val="00F667B8"/>
    <w:rsid w:val="00F66989"/>
    <w:rsid w:val="00F66AA8"/>
    <w:rsid w:val="00F66DC5"/>
    <w:rsid w:val="00F67000"/>
    <w:rsid w:val="00F670F3"/>
    <w:rsid w:val="00F67356"/>
    <w:rsid w:val="00F67443"/>
    <w:rsid w:val="00F6768F"/>
    <w:rsid w:val="00F67698"/>
    <w:rsid w:val="00F676B5"/>
    <w:rsid w:val="00F676F5"/>
    <w:rsid w:val="00F67770"/>
    <w:rsid w:val="00F678DF"/>
    <w:rsid w:val="00F67B58"/>
    <w:rsid w:val="00F67B76"/>
    <w:rsid w:val="00F67C57"/>
    <w:rsid w:val="00F67D03"/>
    <w:rsid w:val="00F67E73"/>
    <w:rsid w:val="00F67EF2"/>
    <w:rsid w:val="00F7011F"/>
    <w:rsid w:val="00F7027A"/>
    <w:rsid w:val="00F702E2"/>
    <w:rsid w:val="00F7090E"/>
    <w:rsid w:val="00F70C4E"/>
    <w:rsid w:val="00F70F15"/>
    <w:rsid w:val="00F70FDB"/>
    <w:rsid w:val="00F71281"/>
    <w:rsid w:val="00F712DF"/>
    <w:rsid w:val="00F716A3"/>
    <w:rsid w:val="00F71705"/>
    <w:rsid w:val="00F717C5"/>
    <w:rsid w:val="00F7194B"/>
    <w:rsid w:val="00F71B53"/>
    <w:rsid w:val="00F71C4D"/>
    <w:rsid w:val="00F71E34"/>
    <w:rsid w:val="00F72949"/>
    <w:rsid w:val="00F729F1"/>
    <w:rsid w:val="00F72ABA"/>
    <w:rsid w:val="00F72B79"/>
    <w:rsid w:val="00F72C2C"/>
    <w:rsid w:val="00F72C67"/>
    <w:rsid w:val="00F7350C"/>
    <w:rsid w:val="00F73531"/>
    <w:rsid w:val="00F73573"/>
    <w:rsid w:val="00F7372E"/>
    <w:rsid w:val="00F73778"/>
    <w:rsid w:val="00F73E31"/>
    <w:rsid w:val="00F73EE1"/>
    <w:rsid w:val="00F73FB2"/>
    <w:rsid w:val="00F73FF0"/>
    <w:rsid w:val="00F741F2"/>
    <w:rsid w:val="00F74343"/>
    <w:rsid w:val="00F74387"/>
    <w:rsid w:val="00F7453D"/>
    <w:rsid w:val="00F746BE"/>
    <w:rsid w:val="00F74BE2"/>
    <w:rsid w:val="00F74C24"/>
    <w:rsid w:val="00F74FC0"/>
    <w:rsid w:val="00F750F7"/>
    <w:rsid w:val="00F751A2"/>
    <w:rsid w:val="00F7585F"/>
    <w:rsid w:val="00F758C3"/>
    <w:rsid w:val="00F75A12"/>
    <w:rsid w:val="00F75BBE"/>
    <w:rsid w:val="00F75BFD"/>
    <w:rsid w:val="00F75D16"/>
    <w:rsid w:val="00F75DD8"/>
    <w:rsid w:val="00F76086"/>
    <w:rsid w:val="00F762CB"/>
    <w:rsid w:val="00F76303"/>
    <w:rsid w:val="00F763C0"/>
    <w:rsid w:val="00F763CF"/>
    <w:rsid w:val="00F768B7"/>
    <w:rsid w:val="00F768E6"/>
    <w:rsid w:val="00F76938"/>
    <w:rsid w:val="00F76BC5"/>
    <w:rsid w:val="00F76CAB"/>
    <w:rsid w:val="00F76DCB"/>
    <w:rsid w:val="00F76F67"/>
    <w:rsid w:val="00F76FC6"/>
    <w:rsid w:val="00F772C6"/>
    <w:rsid w:val="00F775A3"/>
    <w:rsid w:val="00F778E9"/>
    <w:rsid w:val="00F77B5B"/>
    <w:rsid w:val="00F77B70"/>
    <w:rsid w:val="00F77DF9"/>
    <w:rsid w:val="00F80021"/>
    <w:rsid w:val="00F8011D"/>
    <w:rsid w:val="00F8018C"/>
    <w:rsid w:val="00F8056E"/>
    <w:rsid w:val="00F80655"/>
    <w:rsid w:val="00F81132"/>
    <w:rsid w:val="00F8130A"/>
    <w:rsid w:val="00F815B5"/>
    <w:rsid w:val="00F8171C"/>
    <w:rsid w:val="00F8183E"/>
    <w:rsid w:val="00F81917"/>
    <w:rsid w:val="00F82046"/>
    <w:rsid w:val="00F8205A"/>
    <w:rsid w:val="00F82062"/>
    <w:rsid w:val="00F820B1"/>
    <w:rsid w:val="00F8210C"/>
    <w:rsid w:val="00F82742"/>
    <w:rsid w:val="00F829DA"/>
    <w:rsid w:val="00F82A7B"/>
    <w:rsid w:val="00F82AE1"/>
    <w:rsid w:val="00F82D73"/>
    <w:rsid w:val="00F830B9"/>
    <w:rsid w:val="00F835CD"/>
    <w:rsid w:val="00F837F4"/>
    <w:rsid w:val="00F83912"/>
    <w:rsid w:val="00F83A1C"/>
    <w:rsid w:val="00F83B80"/>
    <w:rsid w:val="00F83D2A"/>
    <w:rsid w:val="00F83DAD"/>
    <w:rsid w:val="00F83EEF"/>
    <w:rsid w:val="00F8450B"/>
    <w:rsid w:val="00F84706"/>
    <w:rsid w:val="00F84965"/>
    <w:rsid w:val="00F85058"/>
    <w:rsid w:val="00F85195"/>
    <w:rsid w:val="00F8541D"/>
    <w:rsid w:val="00F854A9"/>
    <w:rsid w:val="00F85844"/>
    <w:rsid w:val="00F858CD"/>
    <w:rsid w:val="00F85B8D"/>
    <w:rsid w:val="00F85D84"/>
    <w:rsid w:val="00F85D97"/>
    <w:rsid w:val="00F86007"/>
    <w:rsid w:val="00F86086"/>
    <w:rsid w:val="00F862CD"/>
    <w:rsid w:val="00F8673D"/>
    <w:rsid w:val="00F86877"/>
    <w:rsid w:val="00F868E3"/>
    <w:rsid w:val="00F86A36"/>
    <w:rsid w:val="00F86C06"/>
    <w:rsid w:val="00F86D37"/>
    <w:rsid w:val="00F86E24"/>
    <w:rsid w:val="00F87196"/>
    <w:rsid w:val="00F874BC"/>
    <w:rsid w:val="00F877EA"/>
    <w:rsid w:val="00F878C5"/>
    <w:rsid w:val="00F878C7"/>
    <w:rsid w:val="00F878D8"/>
    <w:rsid w:val="00F87A5E"/>
    <w:rsid w:val="00F87A89"/>
    <w:rsid w:val="00F87D4F"/>
    <w:rsid w:val="00F87F94"/>
    <w:rsid w:val="00F9006A"/>
    <w:rsid w:val="00F900C6"/>
    <w:rsid w:val="00F900EC"/>
    <w:rsid w:val="00F9014C"/>
    <w:rsid w:val="00F9057F"/>
    <w:rsid w:val="00F90594"/>
    <w:rsid w:val="00F906B4"/>
    <w:rsid w:val="00F909A1"/>
    <w:rsid w:val="00F90BF3"/>
    <w:rsid w:val="00F90E50"/>
    <w:rsid w:val="00F90ED9"/>
    <w:rsid w:val="00F91309"/>
    <w:rsid w:val="00F913A9"/>
    <w:rsid w:val="00F9162A"/>
    <w:rsid w:val="00F917AA"/>
    <w:rsid w:val="00F917BB"/>
    <w:rsid w:val="00F91DDD"/>
    <w:rsid w:val="00F927AB"/>
    <w:rsid w:val="00F929D1"/>
    <w:rsid w:val="00F92DB0"/>
    <w:rsid w:val="00F9328E"/>
    <w:rsid w:val="00F93434"/>
    <w:rsid w:val="00F93538"/>
    <w:rsid w:val="00F938BA"/>
    <w:rsid w:val="00F939F2"/>
    <w:rsid w:val="00F93A86"/>
    <w:rsid w:val="00F93AC9"/>
    <w:rsid w:val="00F94218"/>
    <w:rsid w:val="00F944CE"/>
    <w:rsid w:val="00F94784"/>
    <w:rsid w:val="00F948B6"/>
    <w:rsid w:val="00F94B04"/>
    <w:rsid w:val="00F94D42"/>
    <w:rsid w:val="00F94E69"/>
    <w:rsid w:val="00F94FA1"/>
    <w:rsid w:val="00F95125"/>
    <w:rsid w:val="00F9550F"/>
    <w:rsid w:val="00F95C51"/>
    <w:rsid w:val="00F95E73"/>
    <w:rsid w:val="00F96211"/>
    <w:rsid w:val="00F9651B"/>
    <w:rsid w:val="00F966FA"/>
    <w:rsid w:val="00F96743"/>
    <w:rsid w:val="00F96795"/>
    <w:rsid w:val="00F9682A"/>
    <w:rsid w:val="00F9693B"/>
    <w:rsid w:val="00F96B56"/>
    <w:rsid w:val="00F96B69"/>
    <w:rsid w:val="00F96F39"/>
    <w:rsid w:val="00F97044"/>
    <w:rsid w:val="00F9710D"/>
    <w:rsid w:val="00F9731B"/>
    <w:rsid w:val="00F97390"/>
    <w:rsid w:val="00F97454"/>
    <w:rsid w:val="00F97520"/>
    <w:rsid w:val="00F9771A"/>
    <w:rsid w:val="00F97732"/>
    <w:rsid w:val="00F97919"/>
    <w:rsid w:val="00F97A29"/>
    <w:rsid w:val="00FA017D"/>
    <w:rsid w:val="00FA01C6"/>
    <w:rsid w:val="00FA05CF"/>
    <w:rsid w:val="00FA08C1"/>
    <w:rsid w:val="00FA09D4"/>
    <w:rsid w:val="00FA0B5B"/>
    <w:rsid w:val="00FA0D1F"/>
    <w:rsid w:val="00FA0EB6"/>
    <w:rsid w:val="00FA11AF"/>
    <w:rsid w:val="00FA12D9"/>
    <w:rsid w:val="00FA145E"/>
    <w:rsid w:val="00FA149E"/>
    <w:rsid w:val="00FA15BE"/>
    <w:rsid w:val="00FA16E4"/>
    <w:rsid w:val="00FA1A65"/>
    <w:rsid w:val="00FA1B99"/>
    <w:rsid w:val="00FA1E45"/>
    <w:rsid w:val="00FA1E47"/>
    <w:rsid w:val="00FA1FFA"/>
    <w:rsid w:val="00FA22BF"/>
    <w:rsid w:val="00FA2C46"/>
    <w:rsid w:val="00FA2DBC"/>
    <w:rsid w:val="00FA2E3C"/>
    <w:rsid w:val="00FA30B4"/>
    <w:rsid w:val="00FA31A5"/>
    <w:rsid w:val="00FA3332"/>
    <w:rsid w:val="00FA3525"/>
    <w:rsid w:val="00FA36E9"/>
    <w:rsid w:val="00FA37FD"/>
    <w:rsid w:val="00FA3CAD"/>
    <w:rsid w:val="00FA3E7E"/>
    <w:rsid w:val="00FA3F56"/>
    <w:rsid w:val="00FA40C6"/>
    <w:rsid w:val="00FA44E2"/>
    <w:rsid w:val="00FA45D2"/>
    <w:rsid w:val="00FA477A"/>
    <w:rsid w:val="00FA4CBB"/>
    <w:rsid w:val="00FA513A"/>
    <w:rsid w:val="00FA51F8"/>
    <w:rsid w:val="00FA5656"/>
    <w:rsid w:val="00FA566D"/>
    <w:rsid w:val="00FA5911"/>
    <w:rsid w:val="00FA5A53"/>
    <w:rsid w:val="00FA5D43"/>
    <w:rsid w:val="00FA5FDF"/>
    <w:rsid w:val="00FA615A"/>
    <w:rsid w:val="00FA6450"/>
    <w:rsid w:val="00FA6644"/>
    <w:rsid w:val="00FA6BB5"/>
    <w:rsid w:val="00FA70B8"/>
    <w:rsid w:val="00FA72A9"/>
    <w:rsid w:val="00FA7535"/>
    <w:rsid w:val="00FA7583"/>
    <w:rsid w:val="00FA7806"/>
    <w:rsid w:val="00FA79B6"/>
    <w:rsid w:val="00FA79BC"/>
    <w:rsid w:val="00FA7B34"/>
    <w:rsid w:val="00FA7CD9"/>
    <w:rsid w:val="00FA7D0A"/>
    <w:rsid w:val="00FA7F3B"/>
    <w:rsid w:val="00FA7FAE"/>
    <w:rsid w:val="00FA7FD2"/>
    <w:rsid w:val="00FB008F"/>
    <w:rsid w:val="00FB02CA"/>
    <w:rsid w:val="00FB030C"/>
    <w:rsid w:val="00FB0A5B"/>
    <w:rsid w:val="00FB0C65"/>
    <w:rsid w:val="00FB0CA4"/>
    <w:rsid w:val="00FB0DA7"/>
    <w:rsid w:val="00FB0F0B"/>
    <w:rsid w:val="00FB1163"/>
    <w:rsid w:val="00FB13C6"/>
    <w:rsid w:val="00FB1E8A"/>
    <w:rsid w:val="00FB1E95"/>
    <w:rsid w:val="00FB1F6E"/>
    <w:rsid w:val="00FB2057"/>
    <w:rsid w:val="00FB2192"/>
    <w:rsid w:val="00FB21CE"/>
    <w:rsid w:val="00FB22AA"/>
    <w:rsid w:val="00FB2575"/>
    <w:rsid w:val="00FB2B11"/>
    <w:rsid w:val="00FB2C3A"/>
    <w:rsid w:val="00FB2C51"/>
    <w:rsid w:val="00FB36E5"/>
    <w:rsid w:val="00FB3915"/>
    <w:rsid w:val="00FB3D3D"/>
    <w:rsid w:val="00FB40D2"/>
    <w:rsid w:val="00FB4307"/>
    <w:rsid w:val="00FB433E"/>
    <w:rsid w:val="00FB448F"/>
    <w:rsid w:val="00FB4519"/>
    <w:rsid w:val="00FB4532"/>
    <w:rsid w:val="00FB4537"/>
    <w:rsid w:val="00FB4612"/>
    <w:rsid w:val="00FB4663"/>
    <w:rsid w:val="00FB4769"/>
    <w:rsid w:val="00FB4C53"/>
    <w:rsid w:val="00FB4CDA"/>
    <w:rsid w:val="00FB4DEB"/>
    <w:rsid w:val="00FB4E38"/>
    <w:rsid w:val="00FB50D9"/>
    <w:rsid w:val="00FB5302"/>
    <w:rsid w:val="00FB5346"/>
    <w:rsid w:val="00FB5602"/>
    <w:rsid w:val="00FB5618"/>
    <w:rsid w:val="00FB5AE8"/>
    <w:rsid w:val="00FB5B3F"/>
    <w:rsid w:val="00FB5FF0"/>
    <w:rsid w:val="00FB6021"/>
    <w:rsid w:val="00FB62B5"/>
    <w:rsid w:val="00FB6481"/>
    <w:rsid w:val="00FB64A7"/>
    <w:rsid w:val="00FB6C1D"/>
    <w:rsid w:val="00FB6D36"/>
    <w:rsid w:val="00FB6D49"/>
    <w:rsid w:val="00FB6E63"/>
    <w:rsid w:val="00FB738C"/>
    <w:rsid w:val="00FB7566"/>
    <w:rsid w:val="00FB75C2"/>
    <w:rsid w:val="00FB789D"/>
    <w:rsid w:val="00FB7A9C"/>
    <w:rsid w:val="00FB7B7D"/>
    <w:rsid w:val="00FB7D3B"/>
    <w:rsid w:val="00FB7DC7"/>
    <w:rsid w:val="00FB7DE2"/>
    <w:rsid w:val="00FB7F2C"/>
    <w:rsid w:val="00FC0236"/>
    <w:rsid w:val="00FC0253"/>
    <w:rsid w:val="00FC046D"/>
    <w:rsid w:val="00FC0965"/>
    <w:rsid w:val="00FC0C8A"/>
    <w:rsid w:val="00FC0F81"/>
    <w:rsid w:val="00FC1152"/>
    <w:rsid w:val="00FC118F"/>
    <w:rsid w:val="00FC14DB"/>
    <w:rsid w:val="00FC1811"/>
    <w:rsid w:val="00FC1AD9"/>
    <w:rsid w:val="00FC1E9A"/>
    <w:rsid w:val="00FC1F1E"/>
    <w:rsid w:val="00FC2063"/>
    <w:rsid w:val="00FC252F"/>
    <w:rsid w:val="00FC2A8E"/>
    <w:rsid w:val="00FC2BF1"/>
    <w:rsid w:val="00FC2CFC"/>
    <w:rsid w:val="00FC2D02"/>
    <w:rsid w:val="00FC2E1D"/>
    <w:rsid w:val="00FC30F6"/>
    <w:rsid w:val="00FC31E7"/>
    <w:rsid w:val="00FC3649"/>
    <w:rsid w:val="00FC3845"/>
    <w:rsid w:val="00FC388F"/>
    <w:rsid w:val="00FC394D"/>
    <w:rsid w:val="00FC395C"/>
    <w:rsid w:val="00FC3E1F"/>
    <w:rsid w:val="00FC3F74"/>
    <w:rsid w:val="00FC426B"/>
    <w:rsid w:val="00FC47B8"/>
    <w:rsid w:val="00FC4888"/>
    <w:rsid w:val="00FC498E"/>
    <w:rsid w:val="00FC4B39"/>
    <w:rsid w:val="00FC4C99"/>
    <w:rsid w:val="00FC521D"/>
    <w:rsid w:val="00FC549B"/>
    <w:rsid w:val="00FC59A9"/>
    <w:rsid w:val="00FC5BC3"/>
    <w:rsid w:val="00FC5CA0"/>
    <w:rsid w:val="00FC5D49"/>
    <w:rsid w:val="00FC5E8E"/>
    <w:rsid w:val="00FC6103"/>
    <w:rsid w:val="00FC6730"/>
    <w:rsid w:val="00FC687C"/>
    <w:rsid w:val="00FC697C"/>
    <w:rsid w:val="00FC6A42"/>
    <w:rsid w:val="00FC6AC2"/>
    <w:rsid w:val="00FC6B41"/>
    <w:rsid w:val="00FC6B78"/>
    <w:rsid w:val="00FC759B"/>
    <w:rsid w:val="00FC7738"/>
    <w:rsid w:val="00FC7CC0"/>
    <w:rsid w:val="00FD020B"/>
    <w:rsid w:val="00FD068C"/>
    <w:rsid w:val="00FD07B3"/>
    <w:rsid w:val="00FD086B"/>
    <w:rsid w:val="00FD0B4D"/>
    <w:rsid w:val="00FD0FF9"/>
    <w:rsid w:val="00FD1142"/>
    <w:rsid w:val="00FD1384"/>
    <w:rsid w:val="00FD162D"/>
    <w:rsid w:val="00FD1682"/>
    <w:rsid w:val="00FD16A9"/>
    <w:rsid w:val="00FD171C"/>
    <w:rsid w:val="00FD1BBC"/>
    <w:rsid w:val="00FD1BF7"/>
    <w:rsid w:val="00FD1C2F"/>
    <w:rsid w:val="00FD1CD3"/>
    <w:rsid w:val="00FD1FC2"/>
    <w:rsid w:val="00FD2054"/>
    <w:rsid w:val="00FD227F"/>
    <w:rsid w:val="00FD22DE"/>
    <w:rsid w:val="00FD24A1"/>
    <w:rsid w:val="00FD25D3"/>
    <w:rsid w:val="00FD2EDC"/>
    <w:rsid w:val="00FD303F"/>
    <w:rsid w:val="00FD30B4"/>
    <w:rsid w:val="00FD3253"/>
    <w:rsid w:val="00FD32CB"/>
    <w:rsid w:val="00FD3623"/>
    <w:rsid w:val="00FD3654"/>
    <w:rsid w:val="00FD36DD"/>
    <w:rsid w:val="00FD374A"/>
    <w:rsid w:val="00FD3766"/>
    <w:rsid w:val="00FD3BEB"/>
    <w:rsid w:val="00FD3C8C"/>
    <w:rsid w:val="00FD3C9E"/>
    <w:rsid w:val="00FD3D05"/>
    <w:rsid w:val="00FD3F03"/>
    <w:rsid w:val="00FD4007"/>
    <w:rsid w:val="00FD4492"/>
    <w:rsid w:val="00FD4582"/>
    <w:rsid w:val="00FD47C4"/>
    <w:rsid w:val="00FD4A04"/>
    <w:rsid w:val="00FD4A4D"/>
    <w:rsid w:val="00FD4B9C"/>
    <w:rsid w:val="00FD4DDB"/>
    <w:rsid w:val="00FD5602"/>
    <w:rsid w:val="00FD60BD"/>
    <w:rsid w:val="00FD61CA"/>
    <w:rsid w:val="00FD64E4"/>
    <w:rsid w:val="00FD6980"/>
    <w:rsid w:val="00FD6BFC"/>
    <w:rsid w:val="00FD6CC6"/>
    <w:rsid w:val="00FD6CD7"/>
    <w:rsid w:val="00FD6DD8"/>
    <w:rsid w:val="00FD7329"/>
    <w:rsid w:val="00FD75E8"/>
    <w:rsid w:val="00FD79CC"/>
    <w:rsid w:val="00FD7B4E"/>
    <w:rsid w:val="00FD7D6E"/>
    <w:rsid w:val="00FE025A"/>
    <w:rsid w:val="00FE0EBE"/>
    <w:rsid w:val="00FE124D"/>
    <w:rsid w:val="00FE1561"/>
    <w:rsid w:val="00FE1697"/>
    <w:rsid w:val="00FE16B1"/>
    <w:rsid w:val="00FE172F"/>
    <w:rsid w:val="00FE17E4"/>
    <w:rsid w:val="00FE19A2"/>
    <w:rsid w:val="00FE19F2"/>
    <w:rsid w:val="00FE1A69"/>
    <w:rsid w:val="00FE1B25"/>
    <w:rsid w:val="00FE1ED3"/>
    <w:rsid w:val="00FE221B"/>
    <w:rsid w:val="00FE2344"/>
    <w:rsid w:val="00FE242A"/>
    <w:rsid w:val="00FE2474"/>
    <w:rsid w:val="00FE26B4"/>
    <w:rsid w:val="00FE278E"/>
    <w:rsid w:val="00FE2915"/>
    <w:rsid w:val="00FE2B69"/>
    <w:rsid w:val="00FE2DCF"/>
    <w:rsid w:val="00FE2F07"/>
    <w:rsid w:val="00FE30C7"/>
    <w:rsid w:val="00FE30FC"/>
    <w:rsid w:val="00FE3216"/>
    <w:rsid w:val="00FE325C"/>
    <w:rsid w:val="00FE344C"/>
    <w:rsid w:val="00FE367B"/>
    <w:rsid w:val="00FE36F6"/>
    <w:rsid w:val="00FE39C0"/>
    <w:rsid w:val="00FE3B3B"/>
    <w:rsid w:val="00FE3CDB"/>
    <w:rsid w:val="00FE3FA7"/>
    <w:rsid w:val="00FE4081"/>
    <w:rsid w:val="00FE40C2"/>
    <w:rsid w:val="00FE4197"/>
    <w:rsid w:val="00FE420B"/>
    <w:rsid w:val="00FE45CF"/>
    <w:rsid w:val="00FE4889"/>
    <w:rsid w:val="00FE48E8"/>
    <w:rsid w:val="00FE4CFF"/>
    <w:rsid w:val="00FE4E28"/>
    <w:rsid w:val="00FE4E7B"/>
    <w:rsid w:val="00FE50ED"/>
    <w:rsid w:val="00FE514E"/>
    <w:rsid w:val="00FE5557"/>
    <w:rsid w:val="00FE5699"/>
    <w:rsid w:val="00FE57AC"/>
    <w:rsid w:val="00FE57FB"/>
    <w:rsid w:val="00FE58DD"/>
    <w:rsid w:val="00FE5BEE"/>
    <w:rsid w:val="00FE5FC6"/>
    <w:rsid w:val="00FE66FD"/>
    <w:rsid w:val="00FE6800"/>
    <w:rsid w:val="00FE69DF"/>
    <w:rsid w:val="00FE6FC8"/>
    <w:rsid w:val="00FE70F4"/>
    <w:rsid w:val="00FE7571"/>
    <w:rsid w:val="00FE78D2"/>
    <w:rsid w:val="00FE7BC1"/>
    <w:rsid w:val="00FE7DB3"/>
    <w:rsid w:val="00FE7E6F"/>
    <w:rsid w:val="00FF0306"/>
    <w:rsid w:val="00FF0615"/>
    <w:rsid w:val="00FF0796"/>
    <w:rsid w:val="00FF0CC5"/>
    <w:rsid w:val="00FF0DDB"/>
    <w:rsid w:val="00FF0E9F"/>
    <w:rsid w:val="00FF0F0E"/>
    <w:rsid w:val="00FF0FFB"/>
    <w:rsid w:val="00FF103A"/>
    <w:rsid w:val="00FF11F7"/>
    <w:rsid w:val="00FF12B2"/>
    <w:rsid w:val="00FF1412"/>
    <w:rsid w:val="00FF157A"/>
    <w:rsid w:val="00FF15B8"/>
    <w:rsid w:val="00FF1840"/>
    <w:rsid w:val="00FF1873"/>
    <w:rsid w:val="00FF1BC7"/>
    <w:rsid w:val="00FF216A"/>
    <w:rsid w:val="00FF23F6"/>
    <w:rsid w:val="00FF2A4E"/>
    <w:rsid w:val="00FF2BFC"/>
    <w:rsid w:val="00FF2C05"/>
    <w:rsid w:val="00FF2C77"/>
    <w:rsid w:val="00FF2C9D"/>
    <w:rsid w:val="00FF2E87"/>
    <w:rsid w:val="00FF2FCE"/>
    <w:rsid w:val="00FF2FFD"/>
    <w:rsid w:val="00FF30DC"/>
    <w:rsid w:val="00FF31E2"/>
    <w:rsid w:val="00FF3285"/>
    <w:rsid w:val="00FF3B09"/>
    <w:rsid w:val="00FF3D8C"/>
    <w:rsid w:val="00FF405A"/>
    <w:rsid w:val="00FF40DD"/>
    <w:rsid w:val="00FF41F6"/>
    <w:rsid w:val="00FF43DF"/>
    <w:rsid w:val="00FF4954"/>
    <w:rsid w:val="00FF4D08"/>
    <w:rsid w:val="00FF4D81"/>
    <w:rsid w:val="00FF4DBF"/>
    <w:rsid w:val="00FF4F7D"/>
    <w:rsid w:val="00FF5113"/>
    <w:rsid w:val="00FF5228"/>
    <w:rsid w:val="00FF542A"/>
    <w:rsid w:val="00FF54EF"/>
    <w:rsid w:val="00FF5C7D"/>
    <w:rsid w:val="00FF6190"/>
    <w:rsid w:val="00FF6360"/>
    <w:rsid w:val="00FF64B6"/>
    <w:rsid w:val="00FF6561"/>
    <w:rsid w:val="00FF658A"/>
    <w:rsid w:val="00FF65CB"/>
    <w:rsid w:val="00FF66F7"/>
    <w:rsid w:val="00FF6AED"/>
    <w:rsid w:val="00FF6D9D"/>
    <w:rsid w:val="00FF6FB0"/>
    <w:rsid w:val="00FF7184"/>
    <w:rsid w:val="00FF7221"/>
    <w:rsid w:val="00FF72AE"/>
    <w:rsid w:val="00FF7367"/>
    <w:rsid w:val="00FF7620"/>
    <w:rsid w:val="00FF78B0"/>
    <w:rsid w:val="00FF78EB"/>
    <w:rsid w:val="00FF7DCE"/>
    <w:rsid w:val="00FF7DD5"/>
    <w:rsid w:val="00FF7DD7"/>
    <w:rsid w:val="00FF7F5C"/>
    <w:rsid w:val="010F45C0"/>
    <w:rsid w:val="01180A7E"/>
    <w:rsid w:val="0118C787"/>
    <w:rsid w:val="011F0C03"/>
    <w:rsid w:val="01266310"/>
    <w:rsid w:val="014A3AB4"/>
    <w:rsid w:val="01560CD6"/>
    <w:rsid w:val="01564D69"/>
    <w:rsid w:val="0170C998"/>
    <w:rsid w:val="0176F3EE"/>
    <w:rsid w:val="01B5651E"/>
    <w:rsid w:val="01C35EFA"/>
    <w:rsid w:val="01CC46FD"/>
    <w:rsid w:val="01DE7EBE"/>
    <w:rsid w:val="01F04638"/>
    <w:rsid w:val="0219F1A3"/>
    <w:rsid w:val="022700C6"/>
    <w:rsid w:val="02289E2A"/>
    <w:rsid w:val="022E0DD1"/>
    <w:rsid w:val="02426956"/>
    <w:rsid w:val="0248F17D"/>
    <w:rsid w:val="027C9F74"/>
    <w:rsid w:val="02800A58"/>
    <w:rsid w:val="02816DEC"/>
    <w:rsid w:val="02915E89"/>
    <w:rsid w:val="02943DB1"/>
    <w:rsid w:val="0295570B"/>
    <w:rsid w:val="029CCA2B"/>
    <w:rsid w:val="02B676C4"/>
    <w:rsid w:val="02D078D0"/>
    <w:rsid w:val="02D0973A"/>
    <w:rsid w:val="0315128F"/>
    <w:rsid w:val="03268508"/>
    <w:rsid w:val="032D3D9E"/>
    <w:rsid w:val="0341D0F3"/>
    <w:rsid w:val="035BB01E"/>
    <w:rsid w:val="03643049"/>
    <w:rsid w:val="037F9B46"/>
    <w:rsid w:val="03859C7E"/>
    <w:rsid w:val="03A68197"/>
    <w:rsid w:val="03A89DB9"/>
    <w:rsid w:val="03AD937B"/>
    <w:rsid w:val="03B9EA51"/>
    <w:rsid w:val="03CB6EBB"/>
    <w:rsid w:val="03DD9712"/>
    <w:rsid w:val="03EECEFE"/>
    <w:rsid w:val="03FF5DE2"/>
    <w:rsid w:val="0404E9CA"/>
    <w:rsid w:val="040EAA77"/>
    <w:rsid w:val="0412F083"/>
    <w:rsid w:val="041F4919"/>
    <w:rsid w:val="04220ECC"/>
    <w:rsid w:val="04451D87"/>
    <w:rsid w:val="044B0262"/>
    <w:rsid w:val="045E6052"/>
    <w:rsid w:val="048F1C3A"/>
    <w:rsid w:val="048FF14C"/>
    <w:rsid w:val="049C395C"/>
    <w:rsid w:val="04A63939"/>
    <w:rsid w:val="04B2D4DA"/>
    <w:rsid w:val="04B63EAA"/>
    <w:rsid w:val="04C35B40"/>
    <w:rsid w:val="04CE47A7"/>
    <w:rsid w:val="04E2311C"/>
    <w:rsid w:val="04ED4825"/>
    <w:rsid w:val="04EF3C99"/>
    <w:rsid w:val="04F30DAA"/>
    <w:rsid w:val="04F52D27"/>
    <w:rsid w:val="0509FC8B"/>
    <w:rsid w:val="0513F379"/>
    <w:rsid w:val="0529962C"/>
    <w:rsid w:val="05330E3F"/>
    <w:rsid w:val="054ED135"/>
    <w:rsid w:val="05645EFE"/>
    <w:rsid w:val="057074D1"/>
    <w:rsid w:val="057C6AD8"/>
    <w:rsid w:val="057CBAC9"/>
    <w:rsid w:val="05AA6C32"/>
    <w:rsid w:val="05B89D44"/>
    <w:rsid w:val="05BB044E"/>
    <w:rsid w:val="05CEA3EF"/>
    <w:rsid w:val="05DC7053"/>
    <w:rsid w:val="05EF00E4"/>
    <w:rsid w:val="05F7AFCE"/>
    <w:rsid w:val="06095A35"/>
    <w:rsid w:val="0624CAD5"/>
    <w:rsid w:val="0625469A"/>
    <w:rsid w:val="06335FEB"/>
    <w:rsid w:val="064BD74E"/>
    <w:rsid w:val="065BA5BF"/>
    <w:rsid w:val="0668260F"/>
    <w:rsid w:val="066F7899"/>
    <w:rsid w:val="0692F32B"/>
    <w:rsid w:val="06BB05B3"/>
    <w:rsid w:val="06CE8B4C"/>
    <w:rsid w:val="06F1F10D"/>
    <w:rsid w:val="06FAF59A"/>
    <w:rsid w:val="07037E8B"/>
    <w:rsid w:val="07092A43"/>
    <w:rsid w:val="0725CF99"/>
    <w:rsid w:val="07328A39"/>
    <w:rsid w:val="073B15DC"/>
    <w:rsid w:val="07503948"/>
    <w:rsid w:val="0764CE15"/>
    <w:rsid w:val="0780F302"/>
    <w:rsid w:val="07E10859"/>
    <w:rsid w:val="07E55791"/>
    <w:rsid w:val="07E721A7"/>
    <w:rsid w:val="07F2C262"/>
    <w:rsid w:val="08051A60"/>
    <w:rsid w:val="0818DCB4"/>
    <w:rsid w:val="08447AF1"/>
    <w:rsid w:val="085A2DDD"/>
    <w:rsid w:val="0876CB9F"/>
    <w:rsid w:val="088BA8D1"/>
    <w:rsid w:val="088FFF4F"/>
    <w:rsid w:val="089D22B8"/>
    <w:rsid w:val="08A897B1"/>
    <w:rsid w:val="08E250BA"/>
    <w:rsid w:val="08E6CC5E"/>
    <w:rsid w:val="08FFB991"/>
    <w:rsid w:val="090A937D"/>
    <w:rsid w:val="090F92B0"/>
    <w:rsid w:val="093D5389"/>
    <w:rsid w:val="09459B17"/>
    <w:rsid w:val="094CE6C4"/>
    <w:rsid w:val="0950B491"/>
    <w:rsid w:val="09617AFF"/>
    <w:rsid w:val="09782C84"/>
    <w:rsid w:val="09995C21"/>
    <w:rsid w:val="099FB30B"/>
    <w:rsid w:val="09A447F8"/>
    <w:rsid w:val="09C793CA"/>
    <w:rsid w:val="09C7D64A"/>
    <w:rsid w:val="09C82DD2"/>
    <w:rsid w:val="09E202D8"/>
    <w:rsid w:val="0A145A4B"/>
    <w:rsid w:val="0A43A06C"/>
    <w:rsid w:val="0A4A7CAC"/>
    <w:rsid w:val="0A5027BA"/>
    <w:rsid w:val="0A5C3F54"/>
    <w:rsid w:val="0A5E05C0"/>
    <w:rsid w:val="0A6BDA5B"/>
    <w:rsid w:val="0A708509"/>
    <w:rsid w:val="0A757F16"/>
    <w:rsid w:val="0A7C8A17"/>
    <w:rsid w:val="0A82478C"/>
    <w:rsid w:val="0A9DE9ED"/>
    <w:rsid w:val="0AA0B74D"/>
    <w:rsid w:val="0AA87167"/>
    <w:rsid w:val="0AC373A6"/>
    <w:rsid w:val="0AD6136A"/>
    <w:rsid w:val="0AD8B31B"/>
    <w:rsid w:val="0AF5D03F"/>
    <w:rsid w:val="0AFC8BD5"/>
    <w:rsid w:val="0B1F6ACD"/>
    <w:rsid w:val="0B2FD304"/>
    <w:rsid w:val="0B80A4A5"/>
    <w:rsid w:val="0B85FAC8"/>
    <w:rsid w:val="0B896D7B"/>
    <w:rsid w:val="0B9C9F87"/>
    <w:rsid w:val="0BC1D2E5"/>
    <w:rsid w:val="0BCB349E"/>
    <w:rsid w:val="0BD2EA53"/>
    <w:rsid w:val="0BD789B9"/>
    <w:rsid w:val="0BEE7598"/>
    <w:rsid w:val="0BFD7486"/>
    <w:rsid w:val="0C06C6B0"/>
    <w:rsid w:val="0C3A1060"/>
    <w:rsid w:val="0C4DEDAA"/>
    <w:rsid w:val="0C5D8E06"/>
    <w:rsid w:val="0C763A12"/>
    <w:rsid w:val="0C831786"/>
    <w:rsid w:val="0C84971E"/>
    <w:rsid w:val="0CCD9538"/>
    <w:rsid w:val="0CD07983"/>
    <w:rsid w:val="0CDE2B02"/>
    <w:rsid w:val="0CF4B95A"/>
    <w:rsid w:val="0CFB1550"/>
    <w:rsid w:val="0D180153"/>
    <w:rsid w:val="0D1A6E9E"/>
    <w:rsid w:val="0D1DFB3E"/>
    <w:rsid w:val="0D2061FA"/>
    <w:rsid w:val="0D245428"/>
    <w:rsid w:val="0D28DE03"/>
    <w:rsid w:val="0D39446F"/>
    <w:rsid w:val="0D530926"/>
    <w:rsid w:val="0D584484"/>
    <w:rsid w:val="0D815F67"/>
    <w:rsid w:val="0D92E2DF"/>
    <w:rsid w:val="0D936E62"/>
    <w:rsid w:val="0D9AE98A"/>
    <w:rsid w:val="0DAE52BF"/>
    <w:rsid w:val="0DB875E7"/>
    <w:rsid w:val="0DBE2989"/>
    <w:rsid w:val="0DD9D6EB"/>
    <w:rsid w:val="0E0B71B9"/>
    <w:rsid w:val="0E331E3C"/>
    <w:rsid w:val="0E3BC526"/>
    <w:rsid w:val="0E485A50"/>
    <w:rsid w:val="0E55DBB2"/>
    <w:rsid w:val="0E6DDAC7"/>
    <w:rsid w:val="0E747FDD"/>
    <w:rsid w:val="0E8F0BA8"/>
    <w:rsid w:val="0E966F9E"/>
    <w:rsid w:val="0EBE5690"/>
    <w:rsid w:val="0EC6B7E9"/>
    <w:rsid w:val="0ED170FF"/>
    <w:rsid w:val="0EE33E6B"/>
    <w:rsid w:val="0F219AC2"/>
    <w:rsid w:val="0F21FE12"/>
    <w:rsid w:val="0F32156F"/>
    <w:rsid w:val="0F408537"/>
    <w:rsid w:val="0F60B4C7"/>
    <w:rsid w:val="0F61A3FC"/>
    <w:rsid w:val="0FA3276D"/>
    <w:rsid w:val="0FA5E9B6"/>
    <w:rsid w:val="0FA97335"/>
    <w:rsid w:val="0FC6D75C"/>
    <w:rsid w:val="0FFBBA55"/>
    <w:rsid w:val="10093E27"/>
    <w:rsid w:val="100A7509"/>
    <w:rsid w:val="1013B5EB"/>
    <w:rsid w:val="104733B6"/>
    <w:rsid w:val="104D0362"/>
    <w:rsid w:val="1053F2D4"/>
    <w:rsid w:val="105C0EE0"/>
    <w:rsid w:val="1094E3D6"/>
    <w:rsid w:val="109FF6FD"/>
    <w:rsid w:val="10A3D167"/>
    <w:rsid w:val="110C4849"/>
    <w:rsid w:val="1119684D"/>
    <w:rsid w:val="1120C5D2"/>
    <w:rsid w:val="1132B3DC"/>
    <w:rsid w:val="1142ED30"/>
    <w:rsid w:val="11493F8C"/>
    <w:rsid w:val="1160F0EB"/>
    <w:rsid w:val="11658BEF"/>
    <w:rsid w:val="1175FF44"/>
    <w:rsid w:val="118B2248"/>
    <w:rsid w:val="118FEA4A"/>
    <w:rsid w:val="119F7DDE"/>
    <w:rsid w:val="11ABAFF9"/>
    <w:rsid w:val="11CEDEE7"/>
    <w:rsid w:val="11FB223F"/>
    <w:rsid w:val="11FCFF8C"/>
    <w:rsid w:val="120480FD"/>
    <w:rsid w:val="120ABB9F"/>
    <w:rsid w:val="12164AE9"/>
    <w:rsid w:val="122294CF"/>
    <w:rsid w:val="122E6026"/>
    <w:rsid w:val="1232A4FA"/>
    <w:rsid w:val="123F2FC1"/>
    <w:rsid w:val="1247BAA8"/>
    <w:rsid w:val="12488A1C"/>
    <w:rsid w:val="125035D8"/>
    <w:rsid w:val="125AEA01"/>
    <w:rsid w:val="1264E7B0"/>
    <w:rsid w:val="1265FB10"/>
    <w:rsid w:val="12661E9B"/>
    <w:rsid w:val="127DEEA1"/>
    <w:rsid w:val="128669B6"/>
    <w:rsid w:val="12A47811"/>
    <w:rsid w:val="12CC12D1"/>
    <w:rsid w:val="12F6843E"/>
    <w:rsid w:val="12FE5937"/>
    <w:rsid w:val="1303966C"/>
    <w:rsid w:val="132D8BE6"/>
    <w:rsid w:val="132E231E"/>
    <w:rsid w:val="133CE699"/>
    <w:rsid w:val="1341F1C4"/>
    <w:rsid w:val="134CF88F"/>
    <w:rsid w:val="13522D63"/>
    <w:rsid w:val="13635FC0"/>
    <w:rsid w:val="1364472A"/>
    <w:rsid w:val="1364D20F"/>
    <w:rsid w:val="1389A4A9"/>
    <w:rsid w:val="1390B4DE"/>
    <w:rsid w:val="13D3D259"/>
    <w:rsid w:val="13DD7A9E"/>
    <w:rsid w:val="13E544A6"/>
    <w:rsid w:val="1407AD65"/>
    <w:rsid w:val="145DD5CA"/>
    <w:rsid w:val="146B7E4C"/>
    <w:rsid w:val="14BAB823"/>
    <w:rsid w:val="14BCF2F3"/>
    <w:rsid w:val="14C091E8"/>
    <w:rsid w:val="14CC0B13"/>
    <w:rsid w:val="14E52959"/>
    <w:rsid w:val="14F756D7"/>
    <w:rsid w:val="151971C4"/>
    <w:rsid w:val="152000DE"/>
    <w:rsid w:val="15379855"/>
    <w:rsid w:val="1547E611"/>
    <w:rsid w:val="1549ED3B"/>
    <w:rsid w:val="15544EB1"/>
    <w:rsid w:val="155E91AF"/>
    <w:rsid w:val="1561B477"/>
    <w:rsid w:val="15626C09"/>
    <w:rsid w:val="156CE31F"/>
    <w:rsid w:val="157869D2"/>
    <w:rsid w:val="158A004D"/>
    <w:rsid w:val="158B101C"/>
    <w:rsid w:val="1591AC74"/>
    <w:rsid w:val="159F215F"/>
    <w:rsid w:val="15A22222"/>
    <w:rsid w:val="15AD33F7"/>
    <w:rsid w:val="15C1B178"/>
    <w:rsid w:val="15D0A801"/>
    <w:rsid w:val="15E6A59E"/>
    <w:rsid w:val="15F24CDB"/>
    <w:rsid w:val="15F4CD16"/>
    <w:rsid w:val="15FEF6EF"/>
    <w:rsid w:val="160C6945"/>
    <w:rsid w:val="16262B8B"/>
    <w:rsid w:val="162D241A"/>
    <w:rsid w:val="16338284"/>
    <w:rsid w:val="1649DE75"/>
    <w:rsid w:val="16640B8A"/>
    <w:rsid w:val="16713854"/>
    <w:rsid w:val="16754DA9"/>
    <w:rsid w:val="1676F392"/>
    <w:rsid w:val="1686AC84"/>
    <w:rsid w:val="169F33AA"/>
    <w:rsid w:val="16D428D3"/>
    <w:rsid w:val="16F66A2A"/>
    <w:rsid w:val="1720241A"/>
    <w:rsid w:val="172AFFC6"/>
    <w:rsid w:val="172BEC22"/>
    <w:rsid w:val="174AF185"/>
    <w:rsid w:val="1758D3AB"/>
    <w:rsid w:val="175B1580"/>
    <w:rsid w:val="175C1E4E"/>
    <w:rsid w:val="175D9E23"/>
    <w:rsid w:val="17660497"/>
    <w:rsid w:val="17712A43"/>
    <w:rsid w:val="177A6E6A"/>
    <w:rsid w:val="1783274C"/>
    <w:rsid w:val="17923C82"/>
    <w:rsid w:val="17AE37D4"/>
    <w:rsid w:val="17B1B9F8"/>
    <w:rsid w:val="17C461E7"/>
    <w:rsid w:val="17DE2AC0"/>
    <w:rsid w:val="17E50A4C"/>
    <w:rsid w:val="17E576F2"/>
    <w:rsid w:val="180481D9"/>
    <w:rsid w:val="180E5D2B"/>
    <w:rsid w:val="1812E855"/>
    <w:rsid w:val="183B8EA7"/>
    <w:rsid w:val="184F96E9"/>
    <w:rsid w:val="189B863D"/>
    <w:rsid w:val="18AF49FE"/>
    <w:rsid w:val="18B2D743"/>
    <w:rsid w:val="18D1915F"/>
    <w:rsid w:val="18ED453A"/>
    <w:rsid w:val="18FA55DA"/>
    <w:rsid w:val="1905BD09"/>
    <w:rsid w:val="192CD2F6"/>
    <w:rsid w:val="19365E97"/>
    <w:rsid w:val="1941E6ED"/>
    <w:rsid w:val="19483726"/>
    <w:rsid w:val="1958DFB0"/>
    <w:rsid w:val="195BD67D"/>
    <w:rsid w:val="197823A9"/>
    <w:rsid w:val="199190D6"/>
    <w:rsid w:val="1995288E"/>
    <w:rsid w:val="19969DEE"/>
    <w:rsid w:val="19C55625"/>
    <w:rsid w:val="19D91441"/>
    <w:rsid w:val="19E32C7F"/>
    <w:rsid w:val="19E64F55"/>
    <w:rsid w:val="1A040CC8"/>
    <w:rsid w:val="1A61E42F"/>
    <w:rsid w:val="1A625E49"/>
    <w:rsid w:val="1A764D6C"/>
    <w:rsid w:val="1A8154FA"/>
    <w:rsid w:val="1A91D203"/>
    <w:rsid w:val="1A9372B3"/>
    <w:rsid w:val="1AA38E6C"/>
    <w:rsid w:val="1AA69DFA"/>
    <w:rsid w:val="1ACAE15F"/>
    <w:rsid w:val="1ACB6157"/>
    <w:rsid w:val="1AD2C0BF"/>
    <w:rsid w:val="1B0CEDE2"/>
    <w:rsid w:val="1B20CABA"/>
    <w:rsid w:val="1B21D6BA"/>
    <w:rsid w:val="1B24E701"/>
    <w:rsid w:val="1B24F12F"/>
    <w:rsid w:val="1B31AB50"/>
    <w:rsid w:val="1B3BFA51"/>
    <w:rsid w:val="1B47B79E"/>
    <w:rsid w:val="1B92E02B"/>
    <w:rsid w:val="1BCD712C"/>
    <w:rsid w:val="1BDAE4B9"/>
    <w:rsid w:val="1BF44179"/>
    <w:rsid w:val="1BF79968"/>
    <w:rsid w:val="1C088BB9"/>
    <w:rsid w:val="1C1949F5"/>
    <w:rsid w:val="1C1C26DC"/>
    <w:rsid w:val="1C3C84F3"/>
    <w:rsid w:val="1C47DD2C"/>
    <w:rsid w:val="1C4C2F9F"/>
    <w:rsid w:val="1C5C220A"/>
    <w:rsid w:val="1C81090B"/>
    <w:rsid w:val="1C854FAE"/>
    <w:rsid w:val="1CB65082"/>
    <w:rsid w:val="1CBC72C9"/>
    <w:rsid w:val="1CC464C1"/>
    <w:rsid w:val="1CD69884"/>
    <w:rsid w:val="1CF8AF1D"/>
    <w:rsid w:val="1D1758EA"/>
    <w:rsid w:val="1D35C996"/>
    <w:rsid w:val="1D3FCA92"/>
    <w:rsid w:val="1D4556F5"/>
    <w:rsid w:val="1D4949F0"/>
    <w:rsid w:val="1D6736AC"/>
    <w:rsid w:val="1DAA109C"/>
    <w:rsid w:val="1DAF2FB5"/>
    <w:rsid w:val="1DB0E262"/>
    <w:rsid w:val="1DB2D878"/>
    <w:rsid w:val="1DCA3594"/>
    <w:rsid w:val="1DCA6BC6"/>
    <w:rsid w:val="1DCAD883"/>
    <w:rsid w:val="1DE8ED32"/>
    <w:rsid w:val="1E04DFEC"/>
    <w:rsid w:val="1E180232"/>
    <w:rsid w:val="1E2588F2"/>
    <w:rsid w:val="1E569388"/>
    <w:rsid w:val="1E700066"/>
    <w:rsid w:val="1E77553C"/>
    <w:rsid w:val="1E7C70B0"/>
    <w:rsid w:val="1E8726B6"/>
    <w:rsid w:val="1E8A80DC"/>
    <w:rsid w:val="1EB8CF1E"/>
    <w:rsid w:val="1F07CBEA"/>
    <w:rsid w:val="1F15FB71"/>
    <w:rsid w:val="1F34C041"/>
    <w:rsid w:val="1F3A2E7D"/>
    <w:rsid w:val="1F6614E6"/>
    <w:rsid w:val="1F870C14"/>
    <w:rsid w:val="1F97599E"/>
    <w:rsid w:val="1FA86912"/>
    <w:rsid w:val="1FAFEA63"/>
    <w:rsid w:val="1FB7776D"/>
    <w:rsid w:val="1FC0793C"/>
    <w:rsid w:val="1FC3E611"/>
    <w:rsid w:val="1FCC9F1F"/>
    <w:rsid w:val="1FE3FAA9"/>
    <w:rsid w:val="1FE61E2F"/>
    <w:rsid w:val="1FF5711D"/>
    <w:rsid w:val="1FFF66B5"/>
    <w:rsid w:val="1FFF8F72"/>
    <w:rsid w:val="20075970"/>
    <w:rsid w:val="2017621E"/>
    <w:rsid w:val="201B9CEA"/>
    <w:rsid w:val="202CAF46"/>
    <w:rsid w:val="203D2535"/>
    <w:rsid w:val="205C6997"/>
    <w:rsid w:val="205C7F9F"/>
    <w:rsid w:val="205FDF46"/>
    <w:rsid w:val="2064360F"/>
    <w:rsid w:val="207C1106"/>
    <w:rsid w:val="208327C5"/>
    <w:rsid w:val="208B03DB"/>
    <w:rsid w:val="208EDDFB"/>
    <w:rsid w:val="208F000E"/>
    <w:rsid w:val="209A82B1"/>
    <w:rsid w:val="20A4E299"/>
    <w:rsid w:val="20A9FA44"/>
    <w:rsid w:val="20D1DBA2"/>
    <w:rsid w:val="20EE1EEB"/>
    <w:rsid w:val="20FA4C8A"/>
    <w:rsid w:val="20FBA954"/>
    <w:rsid w:val="211FC927"/>
    <w:rsid w:val="212B2EDD"/>
    <w:rsid w:val="21381213"/>
    <w:rsid w:val="213ACC80"/>
    <w:rsid w:val="215070E1"/>
    <w:rsid w:val="21848B59"/>
    <w:rsid w:val="2185B793"/>
    <w:rsid w:val="21AA30E8"/>
    <w:rsid w:val="21AEE0E9"/>
    <w:rsid w:val="21D29D85"/>
    <w:rsid w:val="21EC09B6"/>
    <w:rsid w:val="21F4FF2F"/>
    <w:rsid w:val="222C6770"/>
    <w:rsid w:val="222D1F1C"/>
    <w:rsid w:val="22340EFA"/>
    <w:rsid w:val="223B4220"/>
    <w:rsid w:val="223BC02F"/>
    <w:rsid w:val="22527670"/>
    <w:rsid w:val="226140B6"/>
    <w:rsid w:val="22637D85"/>
    <w:rsid w:val="227F0B91"/>
    <w:rsid w:val="2286E22E"/>
    <w:rsid w:val="22990F84"/>
    <w:rsid w:val="22A0B077"/>
    <w:rsid w:val="22A1859E"/>
    <w:rsid w:val="22A2ED4E"/>
    <w:rsid w:val="22BBEC8B"/>
    <w:rsid w:val="22F32EC6"/>
    <w:rsid w:val="22F60F52"/>
    <w:rsid w:val="2343AF02"/>
    <w:rsid w:val="234ECFB8"/>
    <w:rsid w:val="23618E00"/>
    <w:rsid w:val="23667579"/>
    <w:rsid w:val="23694C9E"/>
    <w:rsid w:val="23778BC1"/>
    <w:rsid w:val="237A75B9"/>
    <w:rsid w:val="23A19A87"/>
    <w:rsid w:val="23C4698E"/>
    <w:rsid w:val="23E9A85D"/>
    <w:rsid w:val="240459CF"/>
    <w:rsid w:val="241417C9"/>
    <w:rsid w:val="2443D0ED"/>
    <w:rsid w:val="245B8C95"/>
    <w:rsid w:val="24627433"/>
    <w:rsid w:val="24651760"/>
    <w:rsid w:val="2465C93E"/>
    <w:rsid w:val="24717CCD"/>
    <w:rsid w:val="248BDCAB"/>
    <w:rsid w:val="24914ECF"/>
    <w:rsid w:val="2493E09D"/>
    <w:rsid w:val="24A52FFF"/>
    <w:rsid w:val="24B5D888"/>
    <w:rsid w:val="24BA7D74"/>
    <w:rsid w:val="24BD7979"/>
    <w:rsid w:val="24C43C4B"/>
    <w:rsid w:val="24CD30FB"/>
    <w:rsid w:val="24D6C2C5"/>
    <w:rsid w:val="24E56F05"/>
    <w:rsid w:val="24E5F396"/>
    <w:rsid w:val="24F4F4AE"/>
    <w:rsid w:val="24F90DF4"/>
    <w:rsid w:val="24FE7EBD"/>
    <w:rsid w:val="25004B70"/>
    <w:rsid w:val="251AFD34"/>
    <w:rsid w:val="25236CD2"/>
    <w:rsid w:val="25262EEE"/>
    <w:rsid w:val="252E2660"/>
    <w:rsid w:val="2531C41C"/>
    <w:rsid w:val="2543A30E"/>
    <w:rsid w:val="25604B8A"/>
    <w:rsid w:val="256C76A9"/>
    <w:rsid w:val="257163C7"/>
    <w:rsid w:val="25846E3F"/>
    <w:rsid w:val="2585AE3E"/>
    <w:rsid w:val="25A81504"/>
    <w:rsid w:val="25B0E61D"/>
    <w:rsid w:val="25BF00D1"/>
    <w:rsid w:val="25C04076"/>
    <w:rsid w:val="25C301F1"/>
    <w:rsid w:val="25C4256D"/>
    <w:rsid w:val="25CF219F"/>
    <w:rsid w:val="25D0D7B0"/>
    <w:rsid w:val="25E37A14"/>
    <w:rsid w:val="260352D4"/>
    <w:rsid w:val="26099622"/>
    <w:rsid w:val="2623526F"/>
    <w:rsid w:val="26325B93"/>
    <w:rsid w:val="26577872"/>
    <w:rsid w:val="265B2F70"/>
    <w:rsid w:val="2665F356"/>
    <w:rsid w:val="266AC397"/>
    <w:rsid w:val="266C23D5"/>
    <w:rsid w:val="2677E05C"/>
    <w:rsid w:val="267F34A2"/>
    <w:rsid w:val="2681C05D"/>
    <w:rsid w:val="269CB00B"/>
    <w:rsid w:val="26A2BD10"/>
    <w:rsid w:val="26CEF1F2"/>
    <w:rsid w:val="26E7C75A"/>
    <w:rsid w:val="27193866"/>
    <w:rsid w:val="27327EC6"/>
    <w:rsid w:val="27393209"/>
    <w:rsid w:val="274488A6"/>
    <w:rsid w:val="2748CE91"/>
    <w:rsid w:val="27513374"/>
    <w:rsid w:val="27CA24F0"/>
    <w:rsid w:val="27D06A7B"/>
    <w:rsid w:val="27D271B3"/>
    <w:rsid w:val="27D6324C"/>
    <w:rsid w:val="27E30DD6"/>
    <w:rsid w:val="27EFCFFE"/>
    <w:rsid w:val="28090F6F"/>
    <w:rsid w:val="2820CEF7"/>
    <w:rsid w:val="2823E5FD"/>
    <w:rsid w:val="28390525"/>
    <w:rsid w:val="284D6CDD"/>
    <w:rsid w:val="2874701E"/>
    <w:rsid w:val="2884E18F"/>
    <w:rsid w:val="288F07F7"/>
    <w:rsid w:val="289A14D5"/>
    <w:rsid w:val="28AFB1FE"/>
    <w:rsid w:val="28B1000D"/>
    <w:rsid w:val="28DD50E9"/>
    <w:rsid w:val="28E5DB04"/>
    <w:rsid w:val="28FCE4E8"/>
    <w:rsid w:val="28FF57FE"/>
    <w:rsid w:val="291325BF"/>
    <w:rsid w:val="292E4E4D"/>
    <w:rsid w:val="2931F962"/>
    <w:rsid w:val="29725275"/>
    <w:rsid w:val="2975AD8B"/>
    <w:rsid w:val="297B63A2"/>
    <w:rsid w:val="298D1715"/>
    <w:rsid w:val="29965EDF"/>
    <w:rsid w:val="299E3744"/>
    <w:rsid w:val="29B41BF8"/>
    <w:rsid w:val="29BD0EA1"/>
    <w:rsid w:val="29C4EB95"/>
    <w:rsid w:val="29F4DC62"/>
    <w:rsid w:val="29F772E4"/>
    <w:rsid w:val="2A210928"/>
    <w:rsid w:val="2A3A4AA4"/>
    <w:rsid w:val="2A42D092"/>
    <w:rsid w:val="2A581894"/>
    <w:rsid w:val="2A7AD0F1"/>
    <w:rsid w:val="2A92042E"/>
    <w:rsid w:val="2A936A4C"/>
    <w:rsid w:val="2A95F75E"/>
    <w:rsid w:val="2AA41DFF"/>
    <w:rsid w:val="2AA88483"/>
    <w:rsid w:val="2AABB851"/>
    <w:rsid w:val="2AAE3C47"/>
    <w:rsid w:val="2AB6BFC2"/>
    <w:rsid w:val="2AC3B328"/>
    <w:rsid w:val="2AC9A229"/>
    <w:rsid w:val="2AD4642B"/>
    <w:rsid w:val="2AE0FCF4"/>
    <w:rsid w:val="2AEE390A"/>
    <w:rsid w:val="2AF4A7DB"/>
    <w:rsid w:val="2AF4ADF0"/>
    <w:rsid w:val="2B134BEB"/>
    <w:rsid w:val="2B1F167B"/>
    <w:rsid w:val="2B262C54"/>
    <w:rsid w:val="2B2CC414"/>
    <w:rsid w:val="2B511090"/>
    <w:rsid w:val="2B575D35"/>
    <w:rsid w:val="2B629AAE"/>
    <w:rsid w:val="2B6C8454"/>
    <w:rsid w:val="2B787B33"/>
    <w:rsid w:val="2B886FCB"/>
    <w:rsid w:val="2B899BF5"/>
    <w:rsid w:val="2B9F20D6"/>
    <w:rsid w:val="2BA04ED4"/>
    <w:rsid w:val="2BF24475"/>
    <w:rsid w:val="2C2084AA"/>
    <w:rsid w:val="2C3BFEAE"/>
    <w:rsid w:val="2C472942"/>
    <w:rsid w:val="2C4E36D3"/>
    <w:rsid w:val="2C6D04E1"/>
    <w:rsid w:val="2C772A81"/>
    <w:rsid w:val="2C918415"/>
    <w:rsid w:val="2CA9AF45"/>
    <w:rsid w:val="2CD9C449"/>
    <w:rsid w:val="2CE05B3C"/>
    <w:rsid w:val="2CE30837"/>
    <w:rsid w:val="2CE543C2"/>
    <w:rsid w:val="2D12B593"/>
    <w:rsid w:val="2D18C9C3"/>
    <w:rsid w:val="2D37052B"/>
    <w:rsid w:val="2D824774"/>
    <w:rsid w:val="2D92D377"/>
    <w:rsid w:val="2DA728B7"/>
    <w:rsid w:val="2DA9135E"/>
    <w:rsid w:val="2DB38F80"/>
    <w:rsid w:val="2DC5381D"/>
    <w:rsid w:val="2E06B49D"/>
    <w:rsid w:val="2E10CD12"/>
    <w:rsid w:val="2E297D1E"/>
    <w:rsid w:val="2E36CB8C"/>
    <w:rsid w:val="2E476B01"/>
    <w:rsid w:val="2E507540"/>
    <w:rsid w:val="2E54ADC6"/>
    <w:rsid w:val="2E6750FF"/>
    <w:rsid w:val="2E86B53F"/>
    <w:rsid w:val="2E9B8190"/>
    <w:rsid w:val="2EC43CA6"/>
    <w:rsid w:val="2ECFC544"/>
    <w:rsid w:val="2EDB414B"/>
    <w:rsid w:val="2EF28C30"/>
    <w:rsid w:val="2F193463"/>
    <w:rsid w:val="2F1E82F3"/>
    <w:rsid w:val="2F22C827"/>
    <w:rsid w:val="2F5107B8"/>
    <w:rsid w:val="2F5F3036"/>
    <w:rsid w:val="2FAF4242"/>
    <w:rsid w:val="2FC28ADB"/>
    <w:rsid w:val="2FE6EE83"/>
    <w:rsid w:val="2FED6FCF"/>
    <w:rsid w:val="2FF4CE2D"/>
    <w:rsid w:val="300945A4"/>
    <w:rsid w:val="30096FDA"/>
    <w:rsid w:val="3011AF40"/>
    <w:rsid w:val="3012FBFC"/>
    <w:rsid w:val="301BCA57"/>
    <w:rsid w:val="30342B3C"/>
    <w:rsid w:val="30428545"/>
    <w:rsid w:val="3044CC1A"/>
    <w:rsid w:val="304CC7CC"/>
    <w:rsid w:val="30519110"/>
    <w:rsid w:val="305D59C0"/>
    <w:rsid w:val="3077FFC9"/>
    <w:rsid w:val="3086D41F"/>
    <w:rsid w:val="30AFEAD1"/>
    <w:rsid w:val="30BF5D26"/>
    <w:rsid w:val="30D52085"/>
    <w:rsid w:val="30ED276A"/>
    <w:rsid w:val="3101A7DE"/>
    <w:rsid w:val="312A2E04"/>
    <w:rsid w:val="313E4231"/>
    <w:rsid w:val="3152D9F3"/>
    <w:rsid w:val="31572E21"/>
    <w:rsid w:val="3159958A"/>
    <w:rsid w:val="315F0B79"/>
    <w:rsid w:val="3162B839"/>
    <w:rsid w:val="31767CE1"/>
    <w:rsid w:val="31898375"/>
    <w:rsid w:val="31A44D21"/>
    <w:rsid w:val="31A9A0F5"/>
    <w:rsid w:val="31B4433E"/>
    <w:rsid w:val="31B596C2"/>
    <w:rsid w:val="31C3737D"/>
    <w:rsid w:val="31DD87D1"/>
    <w:rsid w:val="31E44559"/>
    <w:rsid w:val="321B3070"/>
    <w:rsid w:val="322F2EC4"/>
    <w:rsid w:val="323B1DB6"/>
    <w:rsid w:val="3240926F"/>
    <w:rsid w:val="325BD1E3"/>
    <w:rsid w:val="328225AA"/>
    <w:rsid w:val="329886CC"/>
    <w:rsid w:val="329CDC18"/>
    <w:rsid w:val="32FA57D1"/>
    <w:rsid w:val="330AAF41"/>
    <w:rsid w:val="3322935A"/>
    <w:rsid w:val="3327A067"/>
    <w:rsid w:val="33309E19"/>
    <w:rsid w:val="3337C688"/>
    <w:rsid w:val="33423CB3"/>
    <w:rsid w:val="33501CBC"/>
    <w:rsid w:val="3360517A"/>
    <w:rsid w:val="33620B71"/>
    <w:rsid w:val="33AB593A"/>
    <w:rsid w:val="33B95F5B"/>
    <w:rsid w:val="33BA0117"/>
    <w:rsid w:val="33C20E6C"/>
    <w:rsid w:val="33DDFF07"/>
    <w:rsid w:val="33F29257"/>
    <w:rsid w:val="33FA53FA"/>
    <w:rsid w:val="3406751D"/>
    <w:rsid w:val="340A3555"/>
    <w:rsid w:val="340B2A11"/>
    <w:rsid w:val="341D238A"/>
    <w:rsid w:val="343BBD01"/>
    <w:rsid w:val="343C618F"/>
    <w:rsid w:val="34524F1D"/>
    <w:rsid w:val="345402DB"/>
    <w:rsid w:val="346D2A80"/>
    <w:rsid w:val="3488A759"/>
    <w:rsid w:val="3497B229"/>
    <w:rsid w:val="349EC483"/>
    <w:rsid w:val="34A00EA8"/>
    <w:rsid w:val="34AD3542"/>
    <w:rsid w:val="34CED7CA"/>
    <w:rsid w:val="34E6BB27"/>
    <w:rsid w:val="350E4F0C"/>
    <w:rsid w:val="351BC747"/>
    <w:rsid w:val="3521A8AC"/>
    <w:rsid w:val="353FE4C3"/>
    <w:rsid w:val="3552FA41"/>
    <w:rsid w:val="355B2EFA"/>
    <w:rsid w:val="35610EFA"/>
    <w:rsid w:val="35711606"/>
    <w:rsid w:val="35763E36"/>
    <w:rsid w:val="35819436"/>
    <w:rsid w:val="358AD3CF"/>
    <w:rsid w:val="35A9D69A"/>
    <w:rsid w:val="35CC5C7E"/>
    <w:rsid w:val="35CD1189"/>
    <w:rsid w:val="35CE38FF"/>
    <w:rsid w:val="35D0690A"/>
    <w:rsid w:val="35DC7732"/>
    <w:rsid w:val="35F7A85F"/>
    <w:rsid w:val="3606E106"/>
    <w:rsid w:val="3641932D"/>
    <w:rsid w:val="368BF5DE"/>
    <w:rsid w:val="368EAF14"/>
    <w:rsid w:val="3699602D"/>
    <w:rsid w:val="36A3D18F"/>
    <w:rsid w:val="36B04746"/>
    <w:rsid w:val="36B0C995"/>
    <w:rsid w:val="36E0C913"/>
    <w:rsid w:val="36F47F13"/>
    <w:rsid w:val="36F92FAD"/>
    <w:rsid w:val="3710D89E"/>
    <w:rsid w:val="3715B9BC"/>
    <w:rsid w:val="37407CA5"/>
    <w:rsid w:val="376935FC"/>
    <w:rsid w:val="377A34A9"/>
    <w:rsid w:val="3787F2C4"/>
    <w:rsid w:val="378E56BB"/>
    <w:rsid w:val="37A53819"/>
    <w:rsid w:val="37CDB909"/>
    <w:rsid w:val="37E97A34"/>
    <w:rsid w:val="37F09038"/>
    <w:rsid w:val="37FE7443"/>
    <w:rsid w:val="3818B6D1"/>
    <w:rsid w:val="381F530E"/>
    <w:rsid w:val="38270EB6"/>
    <w:rsid w:val="3882C6CA"/>
    <w:rsid w:val="388DD1C3"/>
    <w:rsid w:val="3896B150"/>
    <w:rsid w:val="38A883BA"/>
    <w:rsid w:val="38B96F7B"/>
    <w:rsid w:val="38C3E230"/>
    <w:rsid w:val="38C85EFC"/>
    <w:rsid w:val="38DC515B"/>
    <w:rsid w:val="38DFFDE2"/>
    <w:rsid w:val="38F8DC19"/>
    <w:rsid w:val="3905C7E5"/>
    <w:rsid w:val="390CF653"/>
    <w:rsid w:val="390DFCF8"/>
    <w:rsid w:val="393C1F04"/>
    <w:rsid w:val="3947B201"/>
    <w:rsid w:val="3949D782"/>
    <w:rsid w:val="3958F69F"/>
    <w:rsid w:val="3976064A"/>
    <w:rsid w:val="397BFD0B"/>
    <w:rsid w:val="3990CF9F"/>
    <w:rsid w:val="39C3B0A7"/>
    <w:rsid w:val="39D63712"/>
    <w:rsid w:val="39F50423"/>
    <w:rsid w:val="3A1021ED"/>
    <w:rsid w:val="3A1AC2B0"/>
    <w:rsid w:val="3A2C96BE"/>
    <w:rsid w:val="3A48FD23"/>
    <w:rsid w:val="3A5E8D70"/>
    <w:rsid w:val="3A5F8FEC"/>
    <w:rsid w:val="3A6E4B2D"/>
    <w:rsid w:val="3A921C35"/>
    <w:rsid w:val="3A983979"/>
    <w:rsid w:val="3AAB18E7"/>
    <w:rsid w:val="3AC4F77F"/>
    <w:rsid w:val="3AD42703"/>
    <w:rsid w:val="3AD9D32E"/>
    <w:rsid w:val="3AEB29B3"/>
    <w:rsid w:val="3B099ED1"/>
    <w:rsid w:val="3B333203"/>
    <w:rsid w:val="3B3AB284"/>
    <w:rsid w:val="3B3F966A"/>
    <w:rsid w:val="3B7ECDE2"/>
    <w:rsid w:val="3BC7BF77"/>
    <w:rsid w:val="3BC7F930"/>
    <w:rsid w:val="3BCC0038"/>
    <w:rsid w:val="3BEA706A"/>
    <w:rsid w:val="3BEDF975"/>
    <w:rsid w:val="3BF39F53"/>
    <w:rsid w:val="3BF61659"/>
    <w:rsid w:val="3C104328"/>
    <w:rsid w:val="3C1DD957"/>
    <w:rsid w:val="3C437959"/>
    <w:rsid w:val="3C814893"/>
    <w:rsid w:val="3C94C49E"/>
    <w:rsid w:val="3C9D838D"/>
    <w:rsid w:val="3CCE16AC"/>
    <w:rsid w:val="3CDBE0A8"/>
    <w:rsid w:val="3CEA0C29"/>
    <w:rsid w:val="3CF7EBB4"/>
    <w:rsid w:val="3CFE9675"/>
    <w:rsid w:val="3D2028BC"/>
    <w:rsid w:val="3D25069D"/>
    <w:rsid w:val="3D2A72B2"/>
    <w:rsid w:val="3D325D9F"/>
    <w:rsid w:val="3D331E54"/>
    <w:rsid w:val="3D35ABFB"/>
    <w:rsid w:val="3D362F6A"/>
    <w:rsid w:val="3D459691"/>
    <w:rsid w:val="3D63BDBD"/>
    <w:rsid w:val="3D66B12D"/>
    <w:rsid w:val="3D882428"/>
    <w:rsid w:val="3D8FA94E"/>
    <w:rsid w:val="3DAC65E5"/>
    <w:rsid w:val="3DAE3370"/>
    <w:rsid w:val="3DB581DF"/>
    <w:rsid w:val="3DC7B7CD"/>
    <w:rsid w:val="3DE54DDE"/>
    <w:rsid w:val="3DF0DE67"/>
    <w:rsid w:val="3DF46AE1"/>
    <w:rsid w:val="3E07CDC7"/>
    <w:rsid w:val="3E30EC89"/>
    <w:rsid w:val="3E4E57C1"/>
    <w:rsid w:val="3E4FECDB"/>
    <w:rsid w:val="3E503F63"/>
    <w:rsid w:val="3E590772"/>
    <w:rsid w:val="3E84DA89"/>
    <w:rsid w:val="3E879873"/>
    <w:rsid w:val="3EAC4BD2"/>
    <w:rsid w:val="3EB0169D"/>
    <w:rsid w:val="3EBBED57"/>
    <w:rsid w:val="3ED749F3"/>
    <w:rsid w:val="3EE6640E"/>
    <w:rsid w:val="3F2C959C"/>
    <w:rsid w:val="3F353223"/>
    <w:rsid w:val="3F48A3D3"/>
    <w:rsid w:val="3F528552"/>
    <w:rsid w:val="3F61D7DE"/>
    <w:rsid w:val="3F633E5E"/>
    <w:rsid w:val="3F7B4037"/>
    <w:rsid w:val="3F9C6AF9"/>
    <w:rsid w:val="3FA6079D"/>
    <w:rsid w:val="3FC95141"/>
    <w:rsid w:val="3FD07073"/>
    <w:rsid w:val="3FDA5B57"/>
    <w:rsid w:val="3FDBF51A"/>
    <w:rsid w:val="3FE9301C"/>
    <w:rsid w:val="3FEB7E06"/>
    <w:rsid w:val="4052ED0F"/>
    <w:rsid w:val="4055D25B"/>
    <w:rsid w:val="4060A78B"/>
    <w:rsid w:val="406178BA"/>
    <w:rsid w:val="40898750"/>
    <w:rsid w:val="4098939E"/>
    <w:rsid w:val="40A182DB"/>
    <w:rsid w:val="40B234E4"/>
    <w:rsid w:val="40B865D5"/>
    <w:rsid w:val="40C17880"/>
    <w:rsid w:val="40EF87BD"/>
    <w:rsid w:val="41147D3B"/>
    <w:rsid w:val="414F1A23"/>
    <w:rsid w:val="4167FB90"/>
    <w:rsid w:val="4182CFDC"/>
    <w:rsid w:val="41916EEB"/>
    <w:rsid w:val="41A038CB"/>
    <w:rsid w:val="41D59896"/>
    <w:rsid w:val="41E31698"/>
    <w:rsid w:val="41E757DC"/>
    <w:rsid w:val="41E7AC04"/>
    <w:rsid w:val="41F323A2"/>
    <w:rsid w:val="42265C7F"/>
    <w:rsid w:val="422E7F3C"/>
    <w:rsid w:val="4282DE7A"/>
    <w:rsid w:val="42963205"/>
    <w:rsid w:val="42A7341A"/>
    <w:rsid w:val="42B4E63A"/>
    <w:rsid w:val="42B78375"/>
    <w:rsid w:val="42B8DCF8"/>
    <w:rsid w:val="42BA7D25"/>
    <w:rsid w:val="42C42070"/>
    <w:rsid w:val="42F0CC5E"/>
    <w:rsid w:val="432C70B1"/>
    <w:rsid w:val="432CBDDB"/>
    <w:rsid w:val="433600ED"/>
    <w:rsid w:val="4348B5E2"/>
    <w:rsid w:val="4355868D"/>
    <w:rsid w:val="4359058A"/>
    <w:rsid w:val="438377D8"/>
    <w:rsid w:val="439E1268"/>
    <w:rsid w:val="43A213B8"/>
    <w:rsid w:val="43BC4D0B"/>
    <w:rsid w:val="43BD0A07"/>
    <w:rsid w:val="43BE4724"/>
    <w:rsid w:val="43C16991"/>
    <w:rsid w:val="43C47CCE"/>
    <w:rsid w:val="43D21044"/>
    <w:rsid w:val="43E56DA4"/>
    <w:rsid w:val="43EC69A2"/>
    <w:rsid w:val="4401E4E8"/>
    <w:rsid w:val="4407B3D1"/>
    <w:rsid w:val="440ABE86"/>
    <w:rsid w:val="440EB785"/>
    <w:rsid w:val="4420E74E"/>
    <w:rsid w:val="442B33F0"/>
    <w:rsid w:val="443143D4"/>
    <w:rsid w:val="4439901D"/>
    <w:rsid w:val="44485CB1"/>
    <w:rsid w:val="445B62B1"/>
    <w:rsid w:val="446F8537"/>
    <w:rsid w:val="4470A18D"/>
    <w:rsid w:val="447BD9ED"/>
    <w:rsid w:val="4483D353"/>
    <w:rsid w:val="44871C21"/>
    <w:rsid w:val="449C3EC9"/>
    <w:rsid w:val="44B011A2"/>
    <w:rsid w:val="44B54972"/>
    <w:rsid w:val="44BBB93A"/>
    <w:rsid w:val="44F704C8"/>
    <w:rsid w:val="44FFC456"/>
    <w:rsid w:val="45109CD6"/>
    <w:rsid w:val="45136E6F"/>
    <w:rsid w:val="45257620"/>
    <w:rsid w:val="452EDCAD"/>
    <w:rsid w:val="45325C37"/>
    <w:rsid w:val="45420EE3"/>
    <w:rsid w:val="454B9269"/>
    <w:rsid w:val="45501152"/>
    <w:rsid w:val="4558EAF0"/>
    <w:rsid w:val="455B8C89"/>
    <w:rsid w:val="458E3734"/>
    <w:rsid w:val="45A481AC"/>
    <w:rsid w:val="45BF28DB"/>
    <w:rsid w:val="45E79547"/>
    <w:rsid w:val="45E80651"/>
    <w:rsid w:val="45FCB606"/>
    <w:rsid w:val="46177C3B"/>
    <w:rsid w:val="4624053E"/>
    <w:rsid w:val="4628D077"/>
    <w:rsid w:val="463027AF"/>
    <w:rsid w:val="4652BBA0"/>
    <w:rsid w:val="4657AE2D"/>
    <w:rsid w:val="466C95F6"/>
    <w:rsid w:val="4670CB6A"/>
    <w:rsid w:val="467446B9"/>
    <w:rsid w:val="467A8AA5"/>
    <w:rsid w:val="468C7EA5"/>
    <w:rsid w:val="46A5B1CE"/>
    <w:rsid w:val="46A64D89"/>
    <w:rsid w:val="46BECCC4"/>
    <w:rsid w:val="46C55901"/>
    <w:rsid w:val="46CB09DF"/>
    <w:rsid w:val="46D3DB1C"/>
    <w:rsid w:val="46E18CA4"/>
    <w:rsid w:val="46F71AD3"/>
    <w:rsid w:val="46F73871"/>
    <w:rsid w:val="46FED956"/>
    <w:rsid w:val="472CC685"/>
    <w:rsid w:val="47335F71"/>
    <w:rsid w:val="475E3014"/>
    <w:rsid w:val="47613B78"/>
    <w:rsid w:val="47783A14"/>
    <w:rsid w:val="478E98B1"/>
    <w:rsid w:val="4797B851"/>
    <w:rsid w:val="47C3675C"/>
    <w:rsid w:val="47C86293"/>
    <w:rsid w:val="47D19E1F"/>
    <w:rsid w:val="482E8834"/>
    <w:rsid w:val="4831EA62"/>
    <w:rsid w:val="4847129E"/>
    <w:rsid w:val="4868D41E"/>
    <w:rsid w:val="48728302"/>
    <w:rsid w:val="4899439A"/>
    <w:rsid w:val="48BBEE45"/>
    <w:rsid w:val="48EBB6F7"/>
    <w:rsid w:val="48EC1C70"/>
    <w:rsid w:val="48FB1110"/>
    <w:rsid w:val="490DB914"/>
    <w:rsid w:val="491C51B1"/>
    <w:rsid w:val="492D4900"/>
    <w:rsid w:val="493063AB"/>
    <w:rsid w:val="493D8A9F"/>
    <w:rsid w:val="49660BE4"/>
    <w:rsid w:val="49664210"/>
    <w:rsid w:val="49730977"/>
    <w:rsid w:val="4990D65E"/>
    <w:rsid w:val="49B411F3"/>
    <w:rsid w:val="49BD5BBE"/>
    <w:rsid w:val="49C01509"/>
    <w:rsid w:val="49EC8CB3"/>
    <w:rsid w:val="4A3ADC72"/>
    <w:rsid w:val="4A3EC911"/>
    <w:rsid w:val="4A789C3A"/>
    <w:rsid w:val="4A8B185F"/>
    <w:rsid w:val="4AA9636C"/>
    <w:rsid w:val="4AAAD90C"/>
    <w:rsid w:val="4AB0A60F"/>
    <w:rsid w:val="4AB43F04"/>
    <w:rsid w:val="4ACDD58D"/>
    <w:rsid w:val="4ACF9841"/>
    <w:rsid w:val="4AEA7D39"/>
    <w:rsid w:val="4AF7CFB0"/>
    <w:rsid w:val="4AFB068E"/>
    <w:rsid w:val="4AFF0075"/>
    <w:rsid w:val="4B18B8BF"/>
    <w:rsid w:val="4B1CF250"/>
    <w:rsid w:val="4B24BB7A"/>
    <w:rsid w:val="4B270DD1"/>
    <w:rsid w:val="4B2C69FD"/>
    <w:rsid w:val="4B368D7E"/>
    <w:rsid w:val="4B43D827"/>
    <w:rsid w:val="4B6D00C3"/>
    <w:rsid w:val="4B7A8036"/>
    <w:rsid w:val="4B82AF59"/>
    <w:rsid w:val="4B8DD418"/>
    <w:rsid w:val="4B91BD0D"/>
    <w:rsid w:val="4BC10BF7"/>
    <w:rsid w:val="4BC63C89"/>
    <w:rsid w:val="4BDCE77F"/>
    <w:rsid w:val="4C0A4F78"/>
    <w:rsid w:val="4C1637B8"/>
    <w:rsid w:val="4C1FFA38"/>
    <w:rsid w:val="4C2728FE"/>
    <w:rsid w:val="4C2810EE"/>
    <w:rsid w:val="4C3E731F"/>
    <w:rsid w:val="4C5446A1"/>
    <w:rsid w:val="4C6BBD4E"/>
    <w:rsid w:val="4C6D635E"/>
    <w:rsid w:val="4C719D85"/>
    <w:rsid w:val="4C738887"/>
    <w:rsid w:val="4C7739DD"/>
    <w:rsid w:val="4C99E3C9"/>
    <w:rsid w:val="4CAA477C"/>
    <w:rsid w:val="4CB20E19"/>
    <w:rsid w:val="4CB3DBB6"/>
    <w:rsid w:val="4CBE8BB8"/>
    <w:rsid w:val="4CC5CB6C"/>
    <w:rsid w:val="4CD7C901"/>
    <w:rsid w:val="4D0BF947"/>
    <w:rsid w:val="4D26BD5C"/>
    <w:rsid w:val="4D2DF083"/>
    <w:rsid w:val="4D314AF4"/>
    <w:rsid w:val="4D3FA603"/>
    <w:rsid w:val="4D60D264"/>
    <w:rsid w:val="4D6260F9"/>
    <w:rsid w:val="4D6BC5E9"/>
    <w:rsid w:val="4D89082D"/>
    <w:rsid w:val="4D8FB44B"/>
    <w:rsid w:val="4D9F38DC"/>
    <w:rsid w:val="4DA11FD3"/>
    <w:rsid w:val="4DA355E9"/>
    <w:rsid w:val="4DA9A390"/>
    <w:rsid w:val="4DBEE0CC"/>
    <w:rsid w:val="4DC4F1BE"/>
    <w:rsid w:val="4DD41478"/>
    <w:rsid w:val="4DD89A7B"/>
    <w:rsid w:val="4E030DEB"/>
    <w:rsid w:val="4E0A38C7"/>
    <w:rsid w:val="4E1ADC41"/>
    <w:rsid w:val="4E241C41"/>
    <w:rsid w:val="4E41BF43"/>
    <w:rsid w:val="4E474C77"/>
    <w:rsid w:val="4E69B62C"/>
    <w:rsid w:val="4E6AF631"/>
    <w:rsid w:val="4E8529E8"/>
    <w:rsid w:val="4E97E5BF"/>
    <w:rsid w:val="4E9B6E67"/>
    <w:rsid w:val="4EBA4AF9"/>
    <w:rsid w:val="4EC20D50"/>
    <w:rsid w:val="4ECC4C12"/>
    <w:rsid w:val="4EDA6FBC"/>
    <w:rsid w:val="4EFEADEE"/>
    <w:rsid w:val="4F043B6D"/>
    <w:rsid w:val="4F42A3C6"/>
    <w:rsid w:val="4F55874A"/>
    <w:rsid w:val="4F65693A"/>
    <w:rsid w:val="4F6976E4"/>
    <w:rsid w:val="4F7365BA"/>
    <w:rsid w:val="4F9EF46B"/>
    <w:rsid w:val="4FA5FB74"/>
    <w:rsid w:val="4FA7065F"/>
    <w:rsid w:val="4FC3C6BD"/>
    <w:rsid w:val="4FC89F22"/>
    <w:rsid w:val="4FF60F4F"/>
    <w:rsid w:val="50284011"/>
    <w:rsid w:val="502C90CD"/>
    <w:rsid w:val="505F33F2"/>
    <w:rsid w:val="5086732F"/>
    <w:rsid w:val="509DD024"/>
    <w:rsid w:val="50E41807"/>
    <w:rsid w:val="511EDDFF"/>
    <w:rsid w:val="51503FE7"/>
    <w:rsid w:val="51743A40"/>
    <w:rsid w:val="51A53248"/>
    <w:rsid w:val="51B0B987"/>
    <w:rsid w:val="51B9DF77"/>
    <w:rsid w:val="51BFE088"/>
    <w:rsid w:val="51D20E6E"/>
    <w:rsid w:val="51E05389"/>
    <w:rsid w:val="51E24ACA"/>
    <w:rsid w:val="51E47914"/>
    <w:rsid w:val="51FEF1C4"/>
    <w:rsid w:val="520CF899"/>
    <w:rsid w:val="521ACEFD"/>
    <w:rsid w:val="52200A34"/>
    <w:rsid w:val="52424522"/>
    <w:rsid w:val="5257C8B2"/>
    <w:rsid w:val="525915D4"/>
    <w:rsid w:val="526FF522"/>
    <w:rsid w:val="528997EF"/>
    <w:rsid w:val="52B0BBBD"/>
    <w:rsid w:val="52B56D3E"/>
    <w:rsid w:val="52EABB8A"/>
    <w:rsid w:val="52FFADCD"/>
    <w:rsid w:val="5307EA74"/>
    <w:rsid w:val="530A009D"/>
    <w:rsid w:val="530BAC64"/>
    <w:rsid w:val="531A4610"/>
    <w:rsid w:val="532F2AF0"/>
    <w:rsid w:val="533D990B"/>
    <w:rsid w:val="534F1B2A"/>
    <w:rsid w:val="534FDDBC"/>
    <w:rsid w:val="535D5457"/>
    <w:rsid w:val="536A0369"/>
    <w:rsid w:val="53789344"/>
    <w:rsid w:val="538EB939"/>
    <w:rsid w:val="539145D8"/>
    <w:rsid w:val="5399675D"/>
    <w:rsid w:val="53A86EBF"/>
    <w:rsid w:val="53BB02AC"/>
    <w:rsid w:val="53BF27B6"/>
    <w:rsid w:val="53C59C85"/>
    <w:rsid w:val="53CA14EC"/>
    <w:rsid w:val="53D069DA"/>
    <w:rsid w:val="53D7859F"/>
    <w:rsid w:val="53E12D0E"/>
    <w:rsid w:val="53E63B79"/>
    <w:rsid w:val="53EFE4B7"/>
    <w:rsid w:val="53F26B83"/>
    <w:rsid w:val="5402AB0E"/>
    <w:rsid w:val="540ED6A1"/>
    <w:rsid w:val="54193A03"/>
    <w:rsid w:val="543CEA82"/>
    <w:rsid w:val="544097FF"/>
    <w:rsid w:val="54507C8F"/>
    <w:rsid w:val="5463EECD"/>
    <w:rsid w:val="5469EC31"/>
    <w:rsid w:val="546B4F1D"/>
    <w:rsid w:val="5478CE70"/>
    <w:rsid w:val="5496C73D"/>
    <w:rsid w:val="54A55E8E"/>
    <w:rsid w:val="54BD2526"/>
    <w:rsid w:val="54C0C889"/>
    <w:rsid w:val="54DE3142"/>
    <w:rsid w:val="54E61645"/>
    <w:rsid w:val="54F7A7F5"/>
    <w:rsid w:val="55032E10"/>
    <w:rsid w:val="5522FBF5"/>
    <w:rsid w:val="5529F68A"/>
    <w:rsid w:val="554FA974"/>
    <w:rsid w:val="5570A852"/>
    <w:rsid w:val="55891F96"/>
    <w:rsid w:val="55AFDD11"/>
    <w:rsid w:val="55BCE0FC"/>
    <w:rsid w:val="55D9360F"/>
    <w:rsid w:val="55DF750D"/>
    <w:rsid w:val="56360CC0"/>
    <w:rsid w:val="566DEFE6"/>
    <w:rsid w:val="567489EC"/>
    <w:rsid w:val="5686E474"/>
    <w:rsid w:val="56A34837"/>
    <w:rsid w:val="56ACC22E"/>
    <w:rsid w:val="56C49D72"/>
    <w:rsid w:val="56C4A54F"/>
    <w:rsid w:val="56CCE4ED"/>
    <w:rsid w:val="56CE12E1"/>
    <w:rsid w:val="56D3A4E0"/>
    <w:rsid w:val="56DC0D1F"/>
    <w:rsid w:val="57656E3D"/>
    <w:rsid w:val="576A4FDA"/>
    <w:rsid w:val="577DAF18"/>
    <w:rsid w:val="577F0062"/>
    <w:rsid w:val="5788FF9B"/>
    <w:rsid w:val="578A3E9A"/>
    <w:rsid w:val="578D0194"/>
    <w:rsid w:val="579953E2"/>
    <w:rsid w:val="57A84F5B"/>
    <w:rsid w:val="57C60478"/>
    <w:rsid w:val="57C8938A"/>
    <w:rsid w:val="57D76E3E"/>
    <w:rsid w:val="57F2DE94"/>
    <w:rsid w:val="57F398EE"/>
    <w:rsid w:val="580131EA"/>
    <w:rsid w:val="5805BEA4"/>
    <w:rsid w:val="58264429"/>
    <w:rsid w:val="58313518"/>
    <w:rsid w:val="5836233A"/>
    <w:rsid w:val="584CAA21"/>
    <w:rsid w:val="584D5761"/>
    <w:rsid w:val="58603C41"/>
    <w:rsid w:val="58622367"/>
    <w:rsid w:val="58684783"/>
    <w:rsid w:val="58AE7E44"/>
    <w:rsid w:val="58BBB7CD"/>
    <w:rsid w:val="58CDB3FB"/>
    <w:rsid w:val="58EAA648"/>
    <w:rsid w:val="58F2DF7E"/>
    <w:rsid w:val="58F91E8C"/>
    <w:rsid w:val="5905CD8A"/>
    <w:rsid w:val="59248062"/>
    <w:rsid w:val="59271D6A"/>
    <w:rsid w:val="592CDACB"/>
    <w:rsid w:val="595D187D"/>
    <w:rsid w:val="596CA3CA"/>
    <w:rsid w:val="597825F3"/>
    <w:rsid w:val="597EA635"/>
    <w:rsid w:val="599738E1"/>
    <w:rsid w:val="59A6C01C"/>
    <w:rsid w:val="59B2FB04"/>
    <w:rsid w:val="5A1285BC"/>
    <w:rsid w:val="5A1E67B7"/>
    <w:rsid w:val="5A213C23"/>
    <w:rsid w:val="5A3035F9"/>
    <w:rsid w:val="5A372E07"/>
    <w:rsid w:val="5A4273EE"/>
    <w:rsid w:val="5A51F265"/>
    <w:rsid w:val="5A8F82E6"/>
    <w:rsid w:val="5A9ECC86"/>
    <w:rsid w:val="5AA29C09"/>
    <w:rsid w:val="5AA63926"/>
    <w:rsid w:val="5AAD8CCD"/>
    <w:rsid w:val="5ACE0F7A"/>
    <w:rsid w:val="5B29BAF0"/>
    <w:rsid w:val="5B2B2E1D"/>
    <w:rsid w:val="5B335F2B"/>
    <w:rsid w:val="5B451D2A"/>
    <w:rsid w:val="5B540E18"/>
    <w:rsid w:val="5B861EFE"/>
    <w:rsid w:val="5B905355"/>
    <w:rsid w:val="5BAA0F78"/>
    <w:rsid w:val="5BCFBF07"/>
    <w:rsid w:val="5BD8A4D5"/>
    <w:rsid w:val="5BE751DC"/>
    <w:rsid w:val="5BE9C327"/>
    <w:rsid w:val="5C12F435"/>
    <w:rsid w:val="5C1E5DB2"/>
    <w:rsid w:val="5C219A37"/>
    <w:rsid w:val="5C2B484F"/>
    <w:rsid w:val="5C2CE458"/>
    <w:rsid w:val="5C2FF5BC"/>
    <w:rsid w:val="5C35F2BF"/>
    <w:rsid w:val="5C4DBC17"/>
    <w:rsid w:val="5C60DA44"/>
    <w:rsid w:val="5C7EE8FB"/>
    <w:rsid w:val="5CC43680"/>
    <w:rsid w:val="5CF27B6A"/>
    <w:rsid w:val="5CF310C9"/>
    <w:rsid w:val="5D02B306"/>
    <w:rsid w:val="5D16FCB2"/>
    <w:rsid w:val="5D2D190D"/>
    <w:rsid w:val="5D45F4AC"/>
    <w:rsid w:val="5D4DF864"/>
    <w:rsid w:val="5D616275"/>
    <w:rsid w:val="5D7D8AA7"/>
    <w:rsid w:val="5D92B83F"/>
    <w:rsid w:val="5D9F6A78"/>
    <w:rsid w:val="5DA699A0"/>
    <w:rsid w:val="5DC3D23E"/>
    <w:rsid w:val="5DD43825"/>
    <w:rsid w:val="5DD51995"/>
    <w:rsid w:val="5DDF8081"/>
    <w:rsid w:val="5DE907F5"/>
    <w:rsid w:val="5DE9ECE3"/>
    <w:rsid w:val="5DF37595"/>
    <w:rsid w:val="5E1798C1"/>
    <w:rsid w:val="5E3AA685"/>
    <w:rsid w:val="5E56DC0E"/>
    <w:rsid w:val="5E7D1C91"/>
    <w:rsid w:val="5E814DC7"/>
    <w:rsid w:val="5E83B18E"/>
    <w:rsid w:val="5E87313F"/>
    <w:rsid w:val="5EB8FDC1"/>
    <w:rsid w:val="5EC15818"/>
    <w:rsid w:val="5EDEBAAA"/>
    <w:rsid w:val="5EEC0F7F"/>
    <w:rsid w:val="5EF17C0D"/>
    <w:rsid w:val="5EF2BF2F"/>
    <w:rsid w:val="5F0253E1"/>
    <w:rsid w:val="5F241004"/>
    <w:rsid w:val="5F330602"/>
    <w:rsid w:val="5F3D4E60"/>
    <w:rsid w:val="5F87A7C1"/>
    <w:rsid w:val="5FA7207F"/>
    <w:rsid w:val="5FB98D75"/>
    <w:rsid w:val="5FBAF810"/>
    <w:rsid w:val="5FBBEEAF"/>
    <w:rsid w:val="5FBCD225"/>
    <w:rsid w:val="5FCD717F"/>
    <w:rsid w:val="5FCD874E"/>
    <w:rsid w:val="5FCEC64F"/>
    <w:rsid w:val="5FD5AF56"/>
    <w:rsid w:val="5FF5588E"/>
    <w:rsid w:val="600E9E22"/>
    <w:rsid w:val="60114D50"/>
    <w:rsid w:val="605F3BC5"/>
    <w:rsid w:val="6064659F"/>
    <w:rsid w:val="60821A07"/>
    <w:rsid w:val="60881EF9"/>
    <w:rsid w:val="608FD0C1"/>
    <w:rsid w:val="609C99E5"/>
    <w:rsid w:val="60A73C79"/>
    <w:rsid w:val="60AD24C9"/>
    <w:rsid w:val="60C3AE58"/>
    <w:rsid w:val="60C55144"/>
    <w:rsid w:val="614D476A"/>
    <w:rsid w:val="616ED67E"/>
    <w:rsid w:val="6180B775"/>
    <w:rsid w:val="618850D9"/>
    <w:rsid w:val="6189D0E8"/>
    <w:rsid w:val="618C4D65"/>
    <w:rsid w:val="619AEC01"/>
    <w:rsid w:val="61AD8867"/>
    <w:rsid w:val="61BE4496"/>
    <w:rsid w:val="61D8AC84"/>
    <w:rsid w:val="61F83890"/>
    <w:rsid w:val="61FB5BAE"/>
    <w:rsid w:val="6203CBEA"/>
    <w:rsid w:val="620ACE96"/>
    <w:rsid w:val="621BF134"/>
    <w:rsid w:val="624C2A80"/>
    <w:rsid w:val="6271C3F4"/>
    <w:rsid w:val="62A101AD"/>
    <w:rsid w:val="62CCCFF8"/>
    <w:rsid w:val="62D939D0"/>
    <w:rsid w:val="62D9E303"/>
    <w:rsid w:val="62DF6B57"/>
    <w:rsid w:val="62E18F65"/>
    <w:rsid w:val="62EAC59C"/>
    <w:rsid w:val="62F5438E"/>
    <w:rsid w:val="630964A2"/>
    <w:rsid w:val="634BA80F"/>
    <w:rsid w:val="63597831"/>
    <w:rsid w:val="635CB259"/>
    <w:rsid w:val="635E906D"/>
    <w:rsid w:val="63600F0D"/>
    <w:rsid w:val="63617730"/>
    <w:rsid w:val="638AD3B6"/>
    <w:rsid w:val="63956720"/>
    <w:rsid w:val="63A2BE7E"/>
    <w:rsid w:val="63ACA088"/>
    <w:rsid w:val="63B21EE7"/>
    <w:rsid w:val="63CA6467"/>
    <w:rsid w:val="63D31107"/>
    <w:rsid w:val="63F4D17F"/>
    <w:rsid w:val="642227F5"/>
    <w:rsid w:val="642743AE"/>
    <w:rsid w:val="6442F952"/>
    <w:rsid w:val="6455EFA1"/>
    <w:rsid w:val="64682672"/>
    <w:rsid w:val="64799124"/>
    <w:rsid w:val="64BD3571"/>
    <w:rsid w:val="64CED591"/>
    <w:rsid w:val="64EBFC84"/>
    <w:rsid w:val="64F3B9AE"/>
    <w:rsid w:val="650F2736"/>
    <w:rsid w:val="6527CBB5"/>
    <w:rsid w:val="6541B262"/>
    <w:rsid w:val="655E66CF"/>
    <w:rsid w:val="6565DF68"/>
    <w:rsid w:val="65A2A176"/>
    <w:rsid w:val="65ACA837"/>
    <w:rsid w:val="65ADD188"/>
    <w:rsid w:val="65BD2772"/>
    <w:rsid w:val="65BEFA36"/>
    <w:rsid w:val="65D9B7FA"/>
    <w:rsid w:val="65DAFDB4"/>
    <w:rsid w:val="65ED0C03"/>
    <w:rsid w:val="65F818CC"/>
    <w:rsid w:val="6626B34E"/>
    <w:rsid w:val="66397D87"/>
    <w:rsid w:val="6644FDCF"/>
    <w:rsid w:val="66453DE3"/>
    <w:rsid w:val="664D3355"/>
    <w:rsid w:val="6656C7EC"/>
    <w:rsid w:val="665708D7"/>
    <w:rsid w:val="665B04DA"/>
    <w:rsid w:val="66659C8D"/>
    <w:rsid w:val="666C3D42"/>
    <w:rsid w:val="66839C24"/>
    <w:rsid w:val="668E0FFF"/>
    <w:rsid w:val="668F7C88"/>
    <w:rsid w:val="66B2ECF1"/>
    <w:rsid w:val="66CE8120"/>
    <w:rsid w:val="66CE827F"/>
    <w:rsid w:val="66DE7039"/>
    <w:rsid w:val="6702A122"/>
    <w:rsid w:val="67195934"/>
    <w:rsid w:val="672766FA"/>
    <w:rsid w:val="6727CA0A"/>
    <w:rsid w:val="672966B9"/>
    <w:rsid w:val="6741DFDE"/>
    <w:rsid w:val="6751E662"/>
    <w:rsid w:val="6772099C"/>
    <w:rsid w:val="67754E88"/>
    <w:rsid w:val="67827E9E"/>
    <w:rsid w:val="67991249"/>
    <w:rsid w:val="67A0BAE4"/>
    <w:rsid w:val="67A786AA"/>
    <w:rsid w:val="67A8E586"/>
    <w:rsid w:val="67E0D094"/>
    <w:rsid w:val="68261EEC"/>
    <w:rsid w:val="68367BC8"/>
    <w:rsid w:val="6842B01B"/>
    <w:rsid w:val="684303A0"/>
    <w:rsid w:val="68602A50"/>
    <w:rsid w:val="686ABE5A"/>
    <w:rsid w:val="686E56A3"/>
    <w:rsid w:val="687CF973"/>
    <w:rsid w:val="6894DCAA"/>
    <w:rsid w:val="68963042"/>
    <w:rsid w:val="68998855"/>
    <w:rsid w:val="689ED704"/>
    <w:rsid w:val="68A44AAD"/>
    <w:rsid w:val="68B29B61"/>
    <w:rsid w:val="68B2D4F7"/>
    <w:rsid w:val="68BEDC28"/>
    <w:rsid w:val="68CA51F3"/>
    <w:rsid w:val="690536CD"/>
    <w:rsid w:val="691AAD26"/>
    <w:rsid w:val="69359E55"/>
    <w:rsid w:val="69366614"/>
    <w:rsid w:val="693E07A6"/>
    <w:rsid w:val="69560E70"/>
    <w:rsid w:val="695B9637"/>
    <w:rsid w:val="6984BB12"/>
    <w:rsid w:val="698A6D98"/>
    <w:rsid w:val="69945440"/>
    <w:rsid w:val="699BD82A"/>
    <w:rsid w:val="69B75947"/>
    <w:rsid w:val="69BE36F1"/>
    <w:rsid w:val="69E25CE6"/>
    <w:rsid w:val="6A00E54A"/>
    <w:rsid w:val="6A0589E1"/>
    <w:rsid w:val="6A232D91"/>
    <w:rsid w:val="6A294EA6"/>
    <w:rsid w:val="6A30A5DD"/>
    <w:rsid w:val="6A483F6C"/>
    <w:rsid w:val="6A79CF21"/>
    <w:rsid w:val="6A886789"/>
    <w:rsid w:val="6ACC0523"/>
    <w:rsid w:val="6ADD6CD8"/>
    <w:rsid w:val="6AE5BB50"/>
    <w:rsid w:val="6B281DD8"/>
    <w:rsid w:val="6B2A4D2E"/>
    <w:rsid w:val="6B3A778B"/>
    <w:rsid w:val="6B77EB30"/>
    <w:rsid w:val="6BAB2A28"/>
    <w:rsid w:val="6BBC8214"/>
    <w:rsid w:val="6BD4BC7A"/>
    <w:rsid w:val="6BDDF7E5"/>
    <w:rsid w:val="6C007269"/>
    <w:rsid w:val="6C03246C"/>
    <w:rsid w:val="6C16C062"/>
    <w:rsid w:val="6C2914DF"/>
    <w:rsid w:val="6C2A875A"/>
    <w:rsid w:val="6C39665E"/>
    <w:rsid w:val="6C4FBD15"/>
    <w:rsid w:val="6C738395"/>
    <w:rsid w:val="6C74B9B6"/>
    <w:rsid w:val="6C79DB2C"/>
    <w:rsid w:val="6C7B78CE"/>
    <w:rsid w:val="6C891DB6"/>
    <w:rsid w:val="6C8FC951"/>
    <w:rsid w:val="6C915BB0"/>
    <w:rsid w:val="6C96954F"/>
    <w:rsid w:val="6CA44D23"/>
    <w:rsid w:val="6CA7F373"/>
    <w:rsid w:val="6CABE005"/>
    <w:rsid w:val="6CF639B6"/>
    <w:rsid w:val="6CFCCA97"/>
    <w:rsid w:val="6CFD3639"/>
    <w:rsid w:val="6D2B5F98"/>
    <w:rsid w:val="6D35929B"/>
    <w:rsid w:val="6D3672E6"/>
    <w:rsid w:val="6D3870D1"/>
    <w:rsid w:val="6D3D7DD3"/>
    <w:rsid w:val="6D5E22AA"/>
    <w:rsid w:val="6D994E91"/>
    <w:rsid w:val="6DA4856B"/>
    <w:rsid w:val="6DB15CAE"/>
    <w:rsid w:val="6DBD943E"/>
    <w:rsid w:val="6DBE5996"/>
    <w:rsid w:val="6DC57586"/>
    <w:rsid w:val="6DE048B7"/>
    <w:rsid w:val="6DF79D47"/>
    <w:rsid w:val="6E1F20C4"/>
    <w:rsid w:val="6E45CE5A"/>
    <w:rsid w:val="6E84C56A"/>
    <w:rsid w:val="6E88345A"/>
    <w:rsid w:val="6EB2F19C"/>
    <w:rsid w:val="6ECE3F5C"/>
    <w:rsid w:val="6EFE3EE7"/>
    <w:rsid w:val="6F3E919F"/>
    <w:rsid w:val="6F42DF3D"/>
    <w:rsid w:val="6F45485F"/>
    <w:rsid w:val="6F5F6BE3"/>
    <w:rsid w:val="6F674A6D"/>
    <w:rsid w:val="6F7672F2"/>
    <w:rsid w:val="6F7BFEC7"/>
    <w:rsid w:val="6F8997CB"/>
    <w:rsid w:val="6F8C2E30"/>
    <w:rsid w:val="6FAB9C3B"/>
    <w:rsid w:val="6FB1798E"/>
    <w:rsid w:val="6FB30FEF"/>
    <w:rsid w:val="6FC45930"/>
    <w:rsid w:val="6FCA8AC0"/>
    <w:rsid w:val="6FCEAEA4"/>
    <w:rsid w:val="6FD91E33"/>
    <w:rsid w:val="6FE26F54"/>
    <w:rsid w:val="6FE70AED"/>
    <w:rsid w:val="700289CE"/>
    <w:rsid w:val="702400B3"/>
    <w:rsid w:val="7054986C"/>
    <w:rsid w:val="70639E67"/>
    <w:rsid w:val="70678278"/>
    <w:rsid w:val="7077C473"/>
    <w:rsid w:val="70B4808F"/>
    <w:rsid w:val="70F6D1F6"/>
    <w:rsid w:val="71009641"/>
    <w:rsid w:val="71267C4D"/>
    <w:rsid w:val="7138F69E"/>
    <w:rsid w:val="71533FD7"/>
    <w:rsid w:val="7160C230"/>
    <w:rsid w:val="71943E91"/>
    <w:rsid w:val="71AA4309"/>
    <w:rsid w:val="71ED0865"/>
    <w:rsid w:val="72340183"/>
    <w:rsid w:val="7238CA30"/>
    <w:rsid w:val="725DDECB"/>
    <w:rsid w:val="72654AAF"/>
    <w:rsid w:val="72670AD2"/>
    <w:rsid w:val="72750490"/>
    <w:rsid w:val="727D9A60"/>
    <w:rsid w:val="72901F95"/>
    <w:rsid w:val="72BFD116"/>
    <w:rsid w:val="72CB7B7F"/>
    <w:rsid w:val="72CD3928"/>
    <w:rsid w:val="72D116AF"/>
    <w:rsid w:val="72D2BF80"/>
    <w:rsid w:val="72DBA42E"/>
    <w:rsid w:val="72DE3F42"/>
    <w:rsid w:val="732188E7"/>
    <w:rsid w:val="7323243B"/>
    <w:rsid w:val="7336717B"/>
    <w:rsid w:val="73427C7F"/>
    <w:rsid w:val="734CE47B"/>
    <w:rsid w:val="736CC079"/>
    <w:rsid w:val="73999D94"/>
    <w:rsid w:val="73A12A2A"/>
    <w:rsid w:val="73B0557E"/>
    <w:rsid w:val="73B9C9FA"/>
    <w:rsid w:val="73C79E24"/>
    <w:rsid w:val="73E92546"/>
    <w:rsid w:val="7406B59F"/>
    <w:rsid w:val="740B01B3"/>
    <w:rsid w:val="740D2634"/>
    <w:rsid w:val="740E2633"/>
    <w:rsid w:val="74104F4E"/>
    <w:rsid w:val="7418D355"/>
    <w:rsid w:val="742B63DE"/>
    <w:rsid w:val="742CEFDD"/>
    <w:rsid w:val="7435FAC5"/>
    <w:rsid w:val="74376C27"/>
    <w:rsid w:val="743B2317"/>
    <w:rsid w:val="7459A8BE"/>
    <w:rsid w:val="74645631"/>
    <w:rsid w:val="74709492"/>
    <w:rsid w:val="749AA24C"/>
    <w:rsid w:val="74A1C863"/>
    <w:rsid w:val="74CB36B9"/>
    <w:rsid w:val="74CD799B"/>
    <w:rsid w:val="74D76087"/>
    <w:rsid w:val="75064C96"/>
    <w:rsid w:val="7507A93E"/>
    <w:rsid w:val="7525983F"/>
    <w:rsid w:val="752C98E8"/>
    <w:rsid w:val="7548447D"/>
    <w:rsid w:val="75517D56"/>
    <w:rsid w:val="75525091"/>
    <w:rsid w:val="755E87E8"/>
    <w:rsid w:val="757D1C2A"/>
    <w:rsid w:val="758E3C89"/>
    <w:rsid w:val="75901B5C"/>
    <w:rsid w:val="759CB896"/>
    <w:rsid w:val="759EC4E8"/>
    <w:rsid w:val="759F80B6"/>
    <w:rsid w:val="75AD815D"/>
    <w:rsid w:val="75C19E1B"/>
    <w:rsid w:val="75C94150"/>
    <w:rsid w:val="75F18232"/>
    <w:rsid w:val="75FC33E5"/>
    <w:rsid w:val="76037448"/>
    <w:rsid w:val="761D179C"/>
    <w:rsid w:val="76468FE7"/>
    <w:rsid w:val="7647813A"/>
    <w:rsid w:val="764A1534"/>
    <w:rsid w:val="7658AA06"/>
    <w:rsid w:val="7661DBFA"/>
    <w:rsid w:val="76638C24"/>
    <w:rsid w:val="7666B50E"/>
    <w:rsid w:val="76E9B86E"/>
    <w:rsid w:val="76F80239"/>
    <w:rsid w:val="76F929B1"/>
    <w:rsid w:val="771B4A78"/>
    <w:rsid w:val="772B77C6"/>
    <w:rsid w:val="775A0E7C"/>
    <w:rsid w:val="776A0802"/>
    <w:rsid w:val="77939752"/>
    <w:rsid w:val="77A20768"/>
    <w:rsid w:val="77A62679"/>
    <w:rsid w:val="77ADFDF3"/>
    <w:rsid w:val="77BFCCFD"/>
    <w:rsid w:val="77C18266"/>
    <w:rsid w:val="77D7B48C"/>
    <w:rsid w:val="77EEF07C"/>
    <w:rsid w:val="77F5D923"/>
    <w:rsid w:val="780B8C8E"/>
    <w:rsid w:val="78353AEA"/>
    <w:rsid w:val="7838D063"/>
    <w:rsid w:val="78476B4E"/>
    <w:rsid w:val="7855E0CC"/>
    <w:rsid w:val="7868862B"/>
    <w:rsid w:val="78730247"/>
    <w:rsid w:val="788E0398"/>
    <w:rsid w:val="78BDD276"/>
    <w:rsid w:val="78E9BD19"/>
    <w:rsid w:val="791F6922"/>
    <w:rsid w:val="7929D21F"/>
    <w:rsid w:val="792F0165"/>
    <w:rsid w:val="792FA819"/>
    <w:rsid w:val="7950F208"/>
    <w:rsid w:val="7951218C"/>
    <w:rsid w:val="7984A744"/>
    <w:rsid w:val="798CE726"/>
    <w:rsid w:val="79A1E267"/>
    <w:rsid w:val="79A43A92"/>
    <w:rsid w:val="79A5E2EC"/>
    <w:rsid w:val="79BA8550"/>
    <w:rsid w:val="79D6452B"/>
    <w:rsid w:val="7A1B6DB8"/>
    <w:rsid w:val="7A1BB5E5"/>
    <w:rsid w:val="7A32C71A"/>
    <w:rsid w:val="7A39F761"/>
    <w:rsid w:val="7A40BC89"/>
    <w:rsid w:val="7A6BA980"/>
    <w:rsid w:val="7A76455B"/>
    <w:rsid w:val="7A7B7DA9"/>
    <w:rsid w:val="7A93BA61"/>
    <w:rsid w:val="7AA5B130"/>
    <w:rsid w:val="7ABAE373"/>
    <w:rsid w:val="7AC1FB1B"/>
    <w:rsid w:val="7ACF2FA6"/>
    <w:rsid w:val="7ACFCB82"/>
    <w:rsid w:val="7AE7BF35"/>
    <w:rsid w:val="7AF10E4F"/>
    <w:rsid w:val="7AFD3630"/>
    <w:rsid w:val="7B07F654"/>
    <w:rsid w:val="7B153D6D"/>
    <w:rsid w:val="7B159C3B"/>
    <w:rsid w:val="7B1FC19C"/>
    <w:rsid w:val="7B2761E8"/>
    <w:rsid w:val="7B30D198"/>
    <w:rsid w:val="7B79E0A7"/>
    <w:rsid w:val="7B7C6128"/>
    <w:rsid w:val="7B855768"/>
    <w:rsid w:val="7BBC55CA"/>
    <w:rsid w:val="7BC33A5B"/>
    <w:rsid w:val="7BC50640"/>
    <w:rsid w:val="7BF5898D"/>
    <w:rsid w:val="7C004402"/>
    <w:rsid w:val="7C0505CE"/>
    <w:rsid w:val="7C0932CB"/>
    <w:rsid w:val="7C0A1A40"/>
    <w:rsid w:val="7C4DEC7B"/>
    <w:rsid w:val="7C5312B2"/>
    <w:rsid w:val="7C5E1A80"/>
    <w:rsid w:val="7C70ADFB"/>
    <w:rsid w:val="7C91A087"/>
    <w:rsid w:val="7CCA5A79"/>
    <w:rsid w:val="7CE527C3"/>
    <w:rsid w:val="7CE7E840"/>
    <w:rsid w:val="7CFA1F63"/>
    <w:rsid w:val="7D026E1D"/>
    <w:rsid w:val="7D157A95"/>
    <w:rsid w:val="7D27E2F3"/>
    <w:rsid w:val="7D3573CF"/>
    <w:rsid w:val="7D38A5A2"/>
    <w:rsid w:val="7D3DD883"/>
    <w:rsid w:val="7D56CED4"/>
    <w:rsid w:val="7D5757CA"/>
    <w:rsid w:val="7D5DED11"/>
    <w:rsid w:val="7D6FC06B"/>
    <w:rsid w:val="7D79CBB9"/>
    <w:rsid w:val="7D8F569D"/>
    <w:rsid w:val="7DFD7FA2"/>
    <w:rsid w:val="7E0DD0D6"/>
    <w:rsid w:val="7E0DF63F"/>
    <w:rsid w:val="7E1BB402"/>
    <w:rsid w:val="7E1BFC29"/>
    <w:rsid w:val="7E2A516F"/>
    <w:rsid w:val="7E31566C"/>
    <w:rsid w:val="7E34D291"/>
    <w:rsid w:val="7E37CC40"/>
    <w:rsid w:val="7E77DE36"/>
    <w:rsid w:val="7E7C7704"/>
    <w:rsid w:val="7E852024"/>
    <w:rsid w:val="7E8F669F"/>
    <w:rsid w:val="7E93953A"/>
    <w:rsid w:val="7EC1F732"/>
    <w:rsid w:val="7EC6EB75"/>
    <w:rsid w:val="7EC86B55"/>
    <w:rsid w:val="7ED0BF37"/>
    <w:rsid w:val="7F081F48"/>
    <w:rsid w:val="7F0AB1B6"/>
    <w:rsid w:val="7F120414"/>
    <w:rsid w:val="7F26C1AA"/>
    <w:rsid w:val="7F65D399"/>
    <w:rsid w:val="7F68104E"/>
    <w:rsid w:val="7F7684F0"/>
    <w:rsid w:val="7F7DE251"/>
    <w:rsid w:val="7F882979"/>
    <w:rsid w:val="7F914BAC"/>
    <w:rsid w:val="7F9B150D"/>
    <w:rsid w:val="7FAD2306"/>
    <w:rsid w:val="7FB2071C"/>
    <w:rsid w:val="7FB55A75"/>
    <w:rsid w:val="7FB9CF1E"/>
    <w:rsid w:val="7FBBB5AE"/>
    <w:rsid w:val="7FBD90A2"/>
    <w:rsid w:val="7FC2B460"/>
    <w:rsid w:val="7FCC0E38"/>
    <w:rsid w:val="7FDA9F32"/>
    <w:rsid w:val="7FEE6FB8"/>
    <w:rsid w:val="7FFAC0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29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2431A"/>
    <w:pPr>
      <w:spacing w:after="120" w:line="280" w:lineRule="atLeast"/>
    </w:pPr>
    <w:rPr>
      <w:rFonts w:ascii="Arial" w:hAnsi="Arial"/>
      <w:sz w:val="21"/>
      <w:lang w:eastAsia="en-US"/>
    </w:rPr>
  </w:style>
  <w:style w:type="paragraph" w:styleId="Heading1">
    <w:name w:val="heading 1"/>
    <w:next w:val="Body"/>
    <w:link w:val="Heading1Char"/>
    <w:uiPriority w:val="1"/>
    <w:qFormat/>
    <w:rsid w:val="00D128B6"/>
    <w:pPr>
      <w:keepNext/>
      <w:keepLines/>
      <w:pageBreakBefore/>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8E7F78"/>
    <w:pPr>
      <w:keepNext/>
      <w:keepLines/>
      <w:spacing w:before="36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8E7F78"/>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800A7F"/>
    <w:pPr>
      <w:spacing w:before="80" w:after="8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numId w:val="7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0B3782"/>
    <w:pPr>
      <w:numPr>
        <w:ilvl w:val="1"/>
        <w:numId w:val="9"/>
      </w:numPr>
      <w:spacing w:after="60"/>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spacing w:after="60"/>
    </w:pPr>
  </w:style>
  <w:style w:type="numbering" w:customStyle="1" w:styleId="ZZTablebullets">
    <w:name w:val="ZZ Table bullets"/>
    <w:basedOn w:val="NoList"/>
    <w:rsid w:val="00C60411"/>
    <w:pPr>
      <w:numPr>
        <w:numId w:val="78"/>
      </w:numPr>
    </w:pPr>
  </w:style>
  <w:style w:type="paragraph" w:customStyle="1" w:styleId="Tablecolhead">
    <w:name w:val="Table col head"/>
    <w:uiPriority w:val="3"/>
    <w:qFormat/>
    <w:rsid w:val="00DF0E16"/>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C60411"/>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8"/>
      </w:numPr>
    </w:pPr>
  </w:style>
  <w:style w:type="numbering" w:customStyle="1" w:styleId="ZZNumbersdigit">
    <w:name w:val="ZZ Numbers digit"/>
    <w:rsid w:val="00C60411"/>
    <w:pPr>
      <w:numPr>
        <w:numId w:val="6"/>
      </w:numPr>
    </w:pPr>
  </w:style>
  <w:style w:type="numbering" w:customStyle="1" w:styleId="ZZQuotebullets">
    <w:name w:val="ZZ Quote bullets"/>
    <w:basedOn w:val="ZZNumbersdigit"/>
    <w:rsid w:val="00C60411"/>
    <w:pPr>
      <w:numPr>
        <w:numId w:val="10"/>
      </w:numPr>
    </w:pPr>
  </w:style>
  <w:style w:type="paragraph" w:customStyle="1" w:styleId="Numberdigit">
    <w:name w:val="Number digit"/>
    <w:basedOn w:val="Body"/>
    <w:uiPriority w:val="2"/>
    <w:rsid w:val="00C60411"/>
    <w:pPr>
      <w:numPr>
        <w:numId w:val="7"/>
      </w:numPr>
    </w:pPr>
  </w:style>
  <w:style w:type="paragraph" w:customStyle="1" w:styleId="Numberloweralphaindent">
    <w:name w:val="Number lower alpha indent"/>
    <w:basedOn w:val="Body"/>
    <w:uiPriority w:val="3"/>
    <w:rsid w:val="00C60411"/>
    <w:pPr>
      <w:numPr>
        <w:ilvl w:val="1"/>
        <w:numId w:val="13"/>
      </w:numPr>
    </w:pPr>
  </w:style>
  <w:style w:type="paragraph" w:customStyle="1" w:styleId="Numberdigitindent">
    <w:name w:val="Number digit indent"/>
    <w:basedOn w:val="Numberloweralphaindent"/>
    <w:uiPriority w:val="3"/>
    <w:rsid w:val="00C60411"/>
    <w:pPr>
      <w:numPr>
        <w:numId w:val="7"/>
      </w:numPr>
    </w:pPr>
  </w:style>
  <w:style w:type="paragraph" w:customStyle="1" w:styleId="Numberloweralpha">
    <w:name w:val="Number lower alpha"/>
    <w:basedOn w:val="Body"/>
    <w:uiPriority w:val="3"/>
    <w:rsid w:val="00C60411"/>
    <w:pPr>
      <w:numPr>
        <w:numId w:val="13"/>
      </w:numPr>
    </w:pPr>
  </w:style>
  <w:style w:type="paragraph" w:customStyle="1" w:styleId="Numberlowerroman">
    <w:name w:val="Number lower roman"/>
    <w:basedOn w:val="Body"/>
    <w:uiPriority w:val="3"/>
    <w:rsid w:val="00C60411"/>
    <w:pPr>
      <w:numPr>
        <w:numId w:val="11"/>
      </w:numPr>
    </w:pPr>
  </w:style>
  <w:style w:type="paragraph" w:customStyle="1" w:styleId="Numberlowerromanindent">
    <w:name w:val="Number lower roman indent"/>
    <w:basedOn w:val="Body"/>
    <w:uiPriority w:val="3"/>
    <w:rsid w:val="00C60411"/>
    <w:pPr>
      <w:numPr>
        <w:ilvl w:val="1"/>
        <w:numId w:val="1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7"/>
      </w:numPr>
    </w:pPr>
  </w:style>
  <w:style w:type="numbering" w:customStyle="1" w:styleId="ZZNumberslowerroman">
    <w:name w:val="ZZ Numbers lower roman"/>
    <w:basedOn w:val="ZZQuotebullets"/>
    <w:rsid w:val="00C60411"/>
    <w:pPr>
      <w:numPr>
        <w:numId w:val="11"/>
      </w:numPr>
    </w:pPr>
  </w:style>
  <w:style w:type="numbering" w:customStyle="1" w:styleId="ZZNumbersloweralpha">
    <w:name w:val="ZZ Numbers lower alpha"/>
    <w:basedOn w:val="NoList"/>
    <w:rsid w:val="00C60411"/>
    <w:pPr>
      <w:numPr>
        <w:numId w:val="12"/>
      </w:numPr>
    </w:pPr>
  </w:style>
  <w:style w:type="paragraph" w:customStyle="1" w:styleId="Quotebullet1">
    <w:name w:val="Quote bullet 1"/>
    <w:basedOn w:val="Quotetext"/>
    <w:rsid w:val="00C60411"/>
    <w:pPr>
      <w:numPr>
        <w:numId w:val="10"/>
      </w:numPr>
    </w:pPr>
  </w:style>
  <w:style w:type="paragraph" w:customStyle="1" w:styleId="Quotebullet2">
    <w:name w:val="Quote bullet 2"/>
    <w:basedOn w:val="Quotetext"/>
    <w:rsid w:val="00C60411"/>
    <w:pPr>
      <w:numPr>
        <w:ilvl w:val="1"/>
        <w:numId w:val="10"/>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unhideWhenUsed/>
    <w:rsid w:val="00EE29AD"/>
    <w:rPr>
      <w:b/>
      <w:bCs/>
    </w:rPr>
  </w:style>
  <w:style w:type="character" w:customStyle="1" w:styleId="CommentSubjectChar">
    <w:name w:val="Comment Subject Char"/>
    <w:basedOn w:val="CommentTextChar"/>
    <w:link w:val="CommentSubject"/>
    <w:uiPriority w:val="99"/>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eop">
    <w:name w:val="eop"/>
    <w:basedOn w:val="DefaultParagraphFont"/>
    <w:rsid w:val="00BA375B"/>
  </w:style>
  <w:style w:type="paragraph" w:customStyle="1" w:styleId="paragraph">
    <w:name w:val="paragraph"/>
    <w:basedOn w:val="Normal"/>
    <w:rsid w:val="00196474"/>
    <w:pPr>
      <w:spacing w:before="100" w:beforeAutospacing="1" w:after="100" w:afterAutospacing="1" w:line="240" w:lineRule="auto"/>
    </w:pPr>
    <w:rPr>
      <w:rFonts w:ascii="Times New Roman" w:hAnsi="Times New Roman"/>
      <w:sz w:val="24"/>
      <w:szCs w:val="24"/>
      <w:lang w:eastAsia="en-AU"/>
    </w:rPr>
  </w:style>
  <w:style w:type="character" w:customStyle="1" w:styleId="superscript">
    <w:name w:val="superscript"/>
    <w:basedOn w:val="DefaultParagraphFont"/>
    <w:rsid w:val="00F76DCB"/>
  </w:style>
  <w:style w:type="character" w:styleId="Mention">
    <w:name w:val="Mention"/>
    <w:basedOn w:val="DefaultParagraphFont"/>
    <w:uiPriority w:val="99"/>
    <w:unhideWhenUsed/>
    <w:rsid w:val="00DD77D7"/>
    <w:rPr>
      <w:color w:val="2B579A"/>
      <w:shd w:val="clear" w:color="auto" w:fill="E1DFDD"/>
    </w:rPr>
  </w:style>
  <w:style w:type="paragraph" w:styleId="ListParagraph">
    <w:name w:val="List Paragraph"/>
    <w:aliases w:val="Body text indented,dot point 1,List Paragraph1,Recommendation"/>
    <w:basedOn w:val="Normal"/>
    <w:link w:val="ListParagraphChar"/>
    <w:uiPriority w:val="34"/>
    <w:qFormat/>
    <w:rsid w:val="009D124A"/>
    <w:pPr>
      <w:spacing w:after="160" w:line="279" w:lineRule="auto"/>
      <w:ind w:left="720"/>
      <w:contextualSpacing/>
    </w:pPr>
    <w:rPr>
      <w:rFonts w:asciiTheme="minorHAnsi" w:eastAsiaTheme="minorEastAsia" w:hAnsiTheme="minorHAnsi" w:cstheme="minorBidi"/>
      <w:sz w:val="24"/>
      <w:szCs w:val="24"/>
      <w:lang w:val="en-US" w:eastAsia="ja-JP"/>
    </w:rPr>
  </w:style>
  <w:style w:type="paragraph" w:customStyle="1" w:styleId="DHHSbody">
    <w:name w:val="DHHS body"/>
    <w:basedOn w:val="Normal"/>
    <w:link w:val="DHHSbodyChar"/>
    <w:uiPriority w:val="1"/>
    <w:qFormat/>
    <w:rsid w:val="291325BF"/>
    <w:rPr>
      <w:rFonts w:asciiTheme="minorHAnsi" w:eastAsiaTheme="minorEastAsia" w:hAnsiTheme="minorHAnsi" w:cstheme="minorBidi"/>
      <w:sz w:val="20"/>
    </w:rPr>
  </w:style>
  <w:style w:type="character" w:customStyle="1" w:styleId="DHHSbodyChar">
    <w:name w:val="DHHS body Char"/>
    <w:basedOn w:val="DefaultParagraphFont"/>
    <w:link w:val="DHHSbody"/>
    <w:uiPriority w:val="1"/>
    <w:rsid w:val="291325BF"/>
    <w:rPr>
      <w:rFonts w:asciiTheme="minorHAnsi" w:eastAsiaTheme="minorEastAsia" w:hAnsiTheme="minorHAnsi" w:cstheme="minorBidi"/>
      <w:sz w:val="20"/>
      <w:szCs w:val="20"/>
    </w:rPr>
  </w:style>
  <w:style w:type="character" w:customStyle="1" w:styleId="ListParagraphChar">
    <w:name w:val="List Paragraph Char"/>
    <w:aliases w:val="Body text indented Char,dot point 1 Char,List Paragraph1 Char,Recommendation Char"/>
    <w:basedOn w:val="DefaultParagraphFont"/>
    <w:link w:val="ListParagraph"/>
    <w:uiPriority w:val="34"/>
    <w:rsid w:val="00092240"/>
    <w:rPr>
      <w:rFonts w:asciiTheme="minorHAnsi" w:eastAsiaTheme="minorEastAsia" w:hAnsiTheme="minorHAnsi" w:cstheme="minorBidi"/>
      <w:sz w:val="24"/>
      <w:szCs w:val="24"/>
      <w:lang w:val="en-US" w:eastAsia="ja-JP"/>
    </w:rPr>
  </w:style>
  <w:style w:type="character" w:customStyle="1" w:styleId="scxw85155896">
    <w:name w:val="scxw85155896"/>
    <w:basedOn w:val="DefaultParagraphFont"/>
    <w:rsid w:val="00416460"/>
  </w:style>
  <w:style w:type="character" w:customStyle="1" w:styleId="HeaderChar">
    <w:name w:val="Header Char"/>
    <w:basedOn w:val="DefaultParagraphFont"/>
    <w:link w:val="Header"/>
    <w:uiPriority w:val="10"/>
    <w:rsid w:val="007B3539"/>
    <w:rPr>
      <w:rFonts w:ascii="Arial" w:hAnsi="Arial" w:cs="Arial"/>
      <w:b/>
      <w:color w:val="53565A"/>
      <w:sz w:val="18"/>
      <w:szCs w:val="18"/>
      <w:lang w:eastAsia="en-US"/>
    </w:rPr>
  </w:style>
  <w:style w:type="paragraph" w:customStyle="1" w:styleId="DHTablebullet2">
    <w:name w:val="DH Table bullet 2"/>
    <w:basedOn w:val="Tablebullet2"/>
    <w:uiPriority w:val="11"/>
    <w:rsid w:val="001F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2232">
      <w:bodyDiv w:val="1"/>
      <w:marLeft w:val="0"/>
      <w:marRight w:val="0"/>
      <w:marTop w:val="0"/>
      <w:marBottom w:val="0"/>
      <w:divBdr>
        <w:top w:val="none" w:sz="0" w:space="0" w:color="auto"/>
        <w:left w:val="none" w:sz="0" w:space="0" w:color="auto"/>
        <w:bottom w:val="none" w:sz="0" w:space="0" w:color="auto"/>
        <w:right w:val="none" w:sz="0" w:space="0" w:color="auto"/>
      </w:divBdr>
      <w:divsChild>
        <w:div w:id="223882783">
          <w:marLeft w:val="0"/>
          <w:marRight w:val="0"/>
          <w:marTop w:val="0"/>
          <w:marBottom w:val="0"/>
          <w:divBdr>
            <w:top w:val="none" w:sz="0" w:space="0" w:color="auto"/>
            <w:left w:val="none" w:sz="0" w:space="0" w:color="auto"/>
            <w:bottom w:val="none" w:sz="0" w:space="0" w:color="auto"/>
            <w:right w:val="none" w:sz="0" w:space="0" w:color="auto"/>
          </w:divBdr>
          <w:divsChild>
            <w:div w:id="1694919191">
              <w:marLeft w:val="0"/>
              <w:marRight w:val="0"/>
              <w:marTop w:val="30"/>
              <w:marBottom w:val="30"/>
              <w:divBdr>
                <w:top w:val="none" w:sz="0" w:space="0" w:color="auto"/>
                <w:left w:val="none" w:sz="0" w:space="0" w:color="auto"/>
                <w:bottom w:val="none" w:sz="0" w:space="0" w:color="auto"/>
                <w:right w:val="none" w:sz="0" w:space="0" w:color="auto"/>
              </w:divBdr>
              <w:divsChild>
                <w:div w:id="115686979">
                  <w:marLeft w:val="0"/>
                  <w:marRight w:val="0"/>
                  <w:marTop w:val="0"/>
                  <w:marBottom w:val="0"/>
                  <w:divBdr>
                    <w:top w:val="none" w:sz="0" w:space="0" w:color="auto"/>
                    <w:left w:val="none" w:sz="0" w:space="0" w:color="auto"/>
                    <w:bottom w:val="none" w:sz="0" w:space="0" w:color="auto"/>
                    <w:right w:val="none" w:sz="0" w:space="0" w:color="auto"/>
                  </w:divBdr>
                  <w:divsChild>
                    <w:div w:id="695430068">
                      <w:marLeft w:val="0"/>
                      <w:marRight w:val="0"/>
                      <w:marTop w:val="0"/>
                      <w:marBottom w:val="0"/>
                      <w:divBdr>
                        <w:top w:val="none" w:sz="0" w:space="0" w:color="auto"/>
                        <w:left w:val="none" w:sz="0" w:space="0" w:color="auto"/>
                        <w:bottom w:val="none" w:sz="0" w:space="0" w:color="auto"/>
                        <w:right w:val="none" w:sz="0" w:space="0" w:color="auto"/>
                      </w:divBdr>
                    </w:div>
                  </w:divsChild>
                </w:div>
                <w:div w:id="209418246">
                  <w:marLeft w:val="0"/>
                  <w:marRight w:val="0"/>
                  <w:marTop w:val="0"/>
                  <w:marBottom w:val="0"/>
                  <w:divBdr>
                    <w:top w:val="none" w:sz="0" w:space="0" w:color="auto"/>
                    <w:left w:val="none" w:sz="0" w:space="0" w:color="auto"/>
                    <w:bottom w:val="none" w:sz="0" w:space="0" w:color="auto"/>
                    <w:right w:val="none" w:sz="0" w:space="0" w:color="auto"/>
                  </w:divBdr>
                  <w:divsChild>
                    <w:div w:id="1212687079">
                      <w:marLeft w:val="0"/>
                      <w:marRight w:val="0"/>
                      <w:marTop w:val="0"/>
                      <w:marBottom w:val="0"/>
                      <w:divBdr>
                        <w:top w:val="none" w:sz="0" w:space="0" w:color="auto"/>
                        <w:left w:val="none" w:sz="0" w:space="0" w:color="auto"/>
                        <w:bottom w:val="none" w:sz="0" w:space="0" w:color="auto"/>
                        <w:right w:val="none" w:sz="0" w:space="0" w:color="auto"/>
                      </w:divBdr>
                    </w:div>
                  </w:divsChild>
                </w:div>
                <w:div w:id="224415441">
                  <w:marLeft w:val="0"/>
                  <w:marRight w:val="0"/>
                  <w:marTop w:val="0"/>
                  <w:marBottom w:val="0"/>
                  <w:divBdr>
                    <w:top w:val="none" w:sz="0" w:space="0" w:color="auto"/>
                    <w:left w:val="none" w:sz="0" w:space="0" w:color="auto"/>
                    <w:bottom w:val="none" w:sz="0" w:space="0" w:color="auto"/>
                    <w:right w:val="none" w:sz="0" w:space="0" w:color="auto"/>
                  </w:divBdr>
                  <w:divsChild>
                    <w:div w:id="451097887">
                      <w:marLeft w:val="0"/>
                      <w:marRight w:val="0"/>
                      <w:marTop w:val="0"/>
                      <w:marBottom w:val="0"/>
                      <w:divBdr>
                        <w:top w:val="none" w:sz="0" w:space="0" w:color="auto"/>
                        <w:left w:val="none" w:sz="0" w:space="0" w:color="auto"/>
                        <w:bottom w:val="none" w:sz="0" w:space="0" w:color="auto"/>
                        <w:right w:val="none" w:sz="0" w:space="0" w:color="auto"/>
                      </w:divBdr>
                    </w:div>
                  </w:divsChild>
                </w:div>
                <w:div w:id="412431346">
                  <w:marLeft w:val="0"/>
                  <w:marRight w:val="0"/>
                  <w:marTop w:val="0"/>
                  <w:marBottom w:val="0"/>
                  <w:divBdr>
                    <w:top w:val="none" w:sz="0" w:space="0" w:color="auto"/>
                    <w:left w:val="none" w:sz="0" w:space="0" w:color="auto"/>
                    <w:bottom w:val="none" w:sz="0" w:space="0" w:color="auto"/>
                    <w:right w:val="none" w:sz="0" w:space="0" w:color="auto"/>
                  </w:divBdr>
                  <w:divsChild>
                    <w:div w:id="430051126">
                      <w:marLeft w:val="0"/>
                      <w:marRight w:val="0"/>
                      <w:marTop w:val="0"/>
                      <w:marBottom w:val="0"/>
                      <w:divBdr>
                        <w:top w:val="none" w:sz="0" w:space="0" w:color="auto"/>
                        <w:left w:val="none" w:sz="0" w:space="0" w:color="auto"/>
                        <w:bottom w:val="none" w:sz="0" w:space="0" w:color="auto"/>
                        <w:right w:val="none" w:sz="0" w:space="0" w:color="auto"/>
                      </w:divBdr>
                    </w:div>
                  </w:divsChild>
                </w:div>
                <w:div w:id="595288885">
                  <w:marLeft w:val="0"/>
                  <w:marRight w:val="0"/>
                  <w:marTop w:val="0"/>
                  <w:marBottom w:val="0"/>
                  <w:divBdr>
                    <w:top w:val="none" w:sz="0" w:space="0" w:color="auto"/>
                    <w:left w:val="none" w:sz="0" w:space="0" w:color="auto"/>
                    <w:bottom w:val="none" w:sz="0" w:space="0" w:color="auto"/>
                    <w:right w:val="none" w:sz="0" w:space="0" w:color="auto"/>
                  </w:divBdr>
                  <w:divsChild>
                    <w:div w:id="1754088697">
                      <w:marLeft w:val="0"/>
                      <w:marRight w:val="0"/>
                      <w:marTop w:val="0"/>
                      <w:marBottom w:val="0"/>
                      <w:divBdr>
                        <w:top w:val="none" w:sz="0" w:space="0" w:color="auto"/>
                        <w:left w:val="none" w:sz="0" w:space="0" w:color="auto"/>
                        <w:bottom w:val="none" w:sz="0" w:space="0" w:color="auto"/>
                        <w:right w:val="none" w:sz="0" w:space="0" w:color="auto"/>
                      </w:divBdr>
                    </w:div>
                  </w:divsChild>
                </w:div>
                <w:div w:id="715008178">
                  <w:marLeft w:val="0"/>
                  <w:marRight w:val="0"/>
                  <w:marTop w:val="0"/>
                  <w:marBottom w:val="0"/>
                  <w:divBdr>
                    <w:top w:val="none" w:sz="0" w:space="0" w:color="auto"/>
                    <w:left w:val="none" w:sz="0" w:space="0" w:color="auto"/>
                    <w:bottom w:val="none" w:sz="0" w:space="0" w:color="auto"/>
                    <w:right w:val="none" w:sz="0" w:space="0" w:color="auto"/>
                  </w:divBdr>
                  <w:divsChild>
                    <w:div w:id="39135699">
                      <w:marLeft w:val="0"/>
                      <w:marRight w:val="0"/>
                      <w:marTop w:val="0"/>
                      <w:marBottom w:val="0"/>
                      <w:divBdr>
                        <w:top w:val="none" w:sz="0" w:space="0" w:color="auto"/>
                        <w:left w:val="none" w:sz="0" w:space="0" w:color="auto"/>
                        <w:bottom w:val="none" w:sz="0" w:space="0" w:color="auto"/>
                        <w:right w:val="none" w:sz="0" w:space="0" w:color="auto"/>
                      </w:divBdr>
                    </w:div>
                  </w:divsChild>
                </w:div>
                <w:div w:id="724371083">
                  <w:marLeft w:val="0"/>
                  <w:marRight w:val="0"/>
                  <w:marTop w:val="0"/>
                  <w:marBottom w:val="0"/>
                  <w:divBdr>
                    <w:top w:val="none" w:sz="0" w:space="0" w:color="auto"/>
                    <w:left w:val="none" w:sz="0" w:space="0" w:color="auto"/>
                    <w:bottom w:val="none" w:sz="0" w:space="0" w:color="auto"/>
                    <w:right w:val="none" w:sz="0" w:space="0" w:color="auto"/>
                  </w:divBdr>
                  <w:divsChild>
                    <w:div w:id="1240362777">
                      <w:marLeft w:val="0"/>
                      <w:marRight w:val="0"/>
                      <w:marTop w:val="0"/>
                      <w:marBottom w:val="0"/>
                      <w:divBdr>
                        <w:top w:val="none" w:sz="0" w:space="0" w:color="auto"/>
                        <w:left w:val="none" w:sz="0" w:space="0" w:color="auto"/>
                        <w:bottom w:val="none" w:sz="0" w:space="0" w:color="auto"/>
                        <w:right w:val="none" w:sz="0" w:space="0" w:color="auto"/>
                      </w:divBdr>
                    </w:div>
                  </w:divsChild>
                </w:div>
                <w:div w:id="940769712">
                  <w:marLeft w:val="0"/>
                  <w:marRight w:val="0"/>
                  <w:marTop w:val="0"/>
                  <w:marBottom w:val="0"/>
                  <w:divBdr>
                    <w:top w:val="none" w:sz="0" w:space="0" w:color="auto"/>
                    <w:left w:val="none" w:sz="0" w:space="0" w:color="auto"/>
                    <w:bottom w:val="none" w:sz="0" w:space="0" w:color="auto"/>
                    <w:right w:val="none" w:sz="0" w:space="0" w:color="auto"/>
                  </w:divBdr>
                  <w:divsChild>
                    <w:div w:id="392392631">
                      <w:marLeft w:val="0"/>
                      <w:marRight w:val="0"/>
                      <w:marTop w:val="0"/>
                      <w:marBottom w:val="0"/>
                      <w:divBdr>
                        <w:top w:val="none" w:sz="0" w:space="0" w:color="auto"/>
                        <w:left w:val="none" w:sz="0" w:space="0" w:color="auto"/>
                        <w:bottom w:val="none" w:sz="0" w:space="0" w:color="auto"/>
                        <w:right w:val="none" w:sz="0" w:space="0" w:color="auto"/>
                      </w:divBdr>
                    </w:div>
                    <w:div w:id="392578910">
                      <w:marLeft w:val="0"/>
                      <w:marRight w:val="0"/>
                      <w:marTop w:val="0"/>
                      <w:marBottom w:val="0"/>
                      <w:divBdr>
                        <w:top w:val="none" w:sz="0" w:space="0" w:color="auto"/>
                        <w:left w:val="none" w:sz="0" w:space="0" w:color="auto"/>
                        <w:bottom w:val="none" w:sz="0" w:space="0" w:color="auto"/>
                        <w:right w:val="none" w:sz="0" w:space="0" w:color="auto"/>
                      </w:divBdr>
                    </w:div>
                    <w:div w:id="835537449">
                      <w:marLeft w:val="0"/>
                      <w:marRight w:val="0"/>
                      <w:marTop w:val="0"/>
                      <w:marBottom w:val="0"/>
                      <w:divBdr>
                        <w:top w:val="none" w:sz="0" w:space="0" w:color="auto"/>
                        <w:left w:val="none" w:sz="0" w:space="0" w:color="auto"/>
                        <w:bottom w:val="none" w:sz="0" w:space="0" w:color="auto"/>
                        <w:right w:val="none" w:sz="0" w:space="0" w:color="auto"/>
                      </w:divBdr>
                    </w:div>
                    <w:div w:id="1653487204">
                      <w:marLeft w:val="0"/>
                      <w:marRight w:val="0"/>
                      <w:marTop w:val="0"/>
                      <w:marBottom w:val="0"/>
                      <w:divBdr>
                        <w:top w:val="none" w:sz="0" w:space="0" w:color="auto"/>
                        <w:left w:val="none" w:sz="0" w:space="0" w:color="auto"/>
                        <w:bottom w:val="none" w:sz="0" w:space="0" w:color="auto"/>
                        <w:right w:val="none" w:sz="0" w:space="0" w:color="auto"/>
                      </w:divBdr>
                    </w:div>
                    <w:div w:id="1799882767">
                      <w:marLeft w:val="0"/>
                      <w:marRight w:val="0"/>
                      <w:marTop w:val="0"/>
                      <w:marBottom w:val="0"/>
                      <w:divBdr>
                        <w:top w:val="none" w:sz="0" w:space="0" w:color="auto"/>
                        <w:left w:val="none" w:sz="0" w:space="0" w:color="auto"/>
                        <w:bottom w:val="none" w:sz="0" w:space="0" w:color="auto"/>
                        <w:right w:val="none" w:sz="0" w:space="0" w:color="auto"/>
                      </w:divBdr>
                    </w:div>
                    <w:div w:id="2013558754">
                      <w:marLeft w:val="0"/>
                      <w:marRight w:val="0"/>
                      <w:marTop w:val="0"/>
                      <w:marBottom w:val="0"/>
                      <w:divBdr>
                        <w:top w:val="none" w:sz="0" w:space="0" w:color="auto"/>
                        <w:left w:val="none" w:sz="0" w:space="0" w:color="auto"/>
                        <w:bottom w:val="none" w:sz="0" w:space="0" w:color="auto"/>
                        <w:right w:val="none" w:sz="0" w:space="0" w:color="auto"/>
                      </w:divBdr>
                    </w:div>
                  </w:divsChild>
                </w:div>
                <w:div w:id="952055696">
                  <w:marLeft w:val="0"/>
                  <w:marRight w:val="0"/>
                  <w:marTop w:val="0"/>
                  <w:marBottom w:val="0"/>
                  <w:divBdr>
                    <w:top w:val="none" w:sz="0" w:space="0" w:color="auto"/>
                    <w:left w:val="none" w:sz="0" w:space="0" w:color="auto"/>
                    <w:bottom w:val="none" w:sz="0" w:space="0" w:color="auto"/>
                    <w:right w:val="none" w:sz="0" w:space="0" w:color="auto"/>
                  </w:divBdr>
                  <w:divsChild>
                    <w:div w:id="1548373429">
                      <w:marLeft w:val="0"/>
                      <w:marRight w:val="0"/>
                      <w:marTop w:val="0"/>
                      <w:marBottom w:val="0"/>
                      <w:divBdr>
                        <w:top w:val="none" w:sz="0" w:space="0" w:color="auto"/>
                        <w:left w:val="none" w:sz="0" w:space="0" w:color="auto"/>
                        <w:bottom w:val="none" w:sz="0" w:space="0" w:color="auto"/>
                        <w:right w:val="none" w:sz="0" w:space="0" w:color="auto"/>
                      </w:divBdr>
                    </w:div>
                  </w:divsChild>
                </w:div>
                <w:div w:id="1011493466">
                  <w:marLeft w:val="0"/>
                  <w:marRight w:val="0"/>
                  <w:marTop w:val="0"/>
                  <w:marBottom w:val="0"/>
                  <w:divBdr>
                    <w:top w:val="none" w:sz="0" w:space="0" w:color="auto"/>
                    <w:left w:val="none" w:sz="0" w:space="0" w:color="auto"/>
                    <w:bottom w:val="none" w:sz="0" w:space="0" w:color="auto"/>
                    <w:right w:val="none" w:sz="0" w:space="0" w:color="auto"/>
                  </w:divBdr>
                  <w:divsChild>
                    <w:div w:id="1501308145">
                      <w:marLeft w:val="0"/>
                      <w:marRight w:val="0"/>
                      <w:marTop w:val="0"/>
                      <w:marBottom w:val="0"/>
                      <w:divBdr>
                        <w:top w:val="none" w:sz="0" w:space="0" w:color="auto"/>
                        <w:left w:val="none" w:sz="0" w:space="0" w:color="auto"/>
                        <w:bottom w:val="none" w:sz="0" w:space="0" w:color="auto"/>
                        <w:right w:val="none" w:sz="0" w:space="0" w:color="auto"/>
                      </w:divBdr>
                    </w:div>
                  </w:divsChild>
                </w:div>
                <w:div w:id="1026753011">
                  <w:marLeft w:val="0"/>
                  <w:marRight w:val="0"/>
                  <w:marTop w:val="0"/>
                  <w:marBottom w:val="0"/>
                  <w:divBdr>
                    <w:top w:val="none" w:sz="0" w:space="0" w:color="auto"/>
                    <w:left w:val="none" w:sz="0" w:space="0" w:color="auto"/>
                    <w:bottom w:val="none" w:sz="0" w:space="0" w:color="auto"/>
                    <w:right w:val="none" w:sz="0" w:space="0" w:color="auto"/>
                  </w:divBdr>
                  <w:divsChild>
                    <w:div w:id="21253740">
                      <w:marLeft w:val="0"/>
                      <w:marRight w:val="0"/>
                      <w:marTop w:val="0"/>
                      <w:marBottom w:val="0"/>
                      <w:divBdr>
                        <w:top w:val="none" w:sz="0" w:space="0" w:color="auto"/>
                        <w:left w:val="none" w:sz="0" w:space="0" w:color="auto"/>
                        <w:bottom w:val="none" w:sz="0" w:space="0" w:color="auto"/>
                        <w:right w:val="none" w:sz="0" w:space="0" w:color="auto"/>
                      </w:divBdr>
                    </w:div>
                    <w:div w:id="81680653">
                      <w:marLeft w:val="0"/>
                      <w:marRight w:val="0"/>
                      <w:marTop w:val="0"/>
                      <w:marBottom w:val="0"/>
                      <w:divBdr>
                        <w:top w:val="none" w:sz="0" w:space="0" w:color="auto"/>
                        <w:left w:val="none" w:sz="0" w:space="0" w:color="auto"/>
                        <w:bottom w:val="none" w:sz="0" w:space="0" w:color="auto"/>
                        <w:right w:val="none" w:sz="0" w:space="0" w:color="auto"/>
                      </w:divBdr>
                    </w:div>
                    <w:div w:id="1035345594">
                      <w:marLeft w:val="0"/>
                      <w:marRight w:val="0"/>
                      <w:marTop w:val="0"/>
                      <w:marBottom w:val="0"/>
                      <w:divBdr>
                        <w:top w:val="none" w:sz="0" w:space="0" w:color="auto"/>
                        <w:left w:val="none" w:sz="0" w:space="0" w:color="auto"/>
                        <w:bottom w:val="none" w:sz="0" w:space="0" w:color="auto"/>
                        <w:right w:val="none" w:sz="0" w:space="0" w:color="auto"/>
                      </w:divBdr>
                    </w:div>
                    <w:div w:id="1355301377">
                      <w:marLeft w:val="0"/>
                      <w:marRight w:val="0"/>
                      <w:marTop w:val="0"/>
                      <w:marBottom w:val="0"/>
                      <w:divBdr>
                        <w:top w:val="none" w:sz="0" w:space="0" w:color="auto"/>
                        <w:left w:val="none" w:sz="0" w:space="0" w:color="auto"/>
                        <w:bottom w:val="none" w:sz="0" w:space="0" w:color="auto"/>
                        <w:right w:val="none" w:sz="0" w:space="0" w:color="auto"/>
                      </w:divBdr>
                    </w:div>
                    <w:div w:id="1386031278">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
                    <w:div w:id="1704480745">
                      <w:marLeft w:val="0"/>
                      <w:marRight w:val="0"/>
                      <w:marTop w:val="0"/>
                      <w:marBottom w:val="0"/>
                      <w:divBdr>
                        <w:top w:val="none" w:sz="0" w:space="0" w:color="auto"/>
                        <w:left w:val="none" w:sz="0" w:space="0" w:color="auto"/>
                        <w:bottom w:val="none" w:sz="0" w:space="0" w:color="auto"/>
                        <w:right w:val="none" w:sz="0" w:space="0" w:color="auto"/>
                      </w:divBdr>
                    </w:div>
                    <w:div w:id="1723485022">
                      <w:marLeft w:val="0"/>
                      <w:marRight w:val="0"/>
                      <w:marTop w:val="0"/>
                      <w:marBottom w:val="0"/>
                      <w:divBdr>
                        <w:top w:val="none" w:sz="0" w:space="0" w:color="auto"/>
                        <w:left w:val="none" w:sz="0" w:space="0" w:color="auto"/>
                        <w:bottom w:val="none" w:sz="0" w:space="0" w:color="auto"/>
                        <w:right w:val="none" w:sz="0" w:space="0" w:color="auto"/>
                      </w:divBdr>
                    </w:div>
                    <w:div w:id="2011517460">
                      <w:marLeft w:val="0"/>
                      <w:marRight w:val="0"/>
                      <w:marTop w:val="0"/>
                      <w:marBottom w:val="0"/>
                      <w:divBdr>
                        <w:top w:val="none" w:sz="0" w:space="0" w:color="auto"/>
                        <w:left w:val="none" w:sz="0" w:space="0" w:color="auto"/>
                        <w:bottom w:val="none" w:sz="0" w:space="0" w:color="auto"/>
                        <w:right w:val="none" w:sz="0" w:space="0" w:color="auto"/>
                      </w:divBdr>
                    </w:div>
                    <w:div w:id="2128617233">
                      <w:marLeft w:val="0"/>
                      <w:marRight w:val="0"/>
                      <w:marTop w:val="0"/>
                      <w:marBottom w:val="0"/>
                      <w:divBdr>
                        <w:top w:val="none" w:sz="0" w:space="0" w:color="auto"/>
                        <w:left w:val="none" w:sz="0" w:space="0" w:color="auto"/>
                        <w:bottom w:val="none" w:sz="0" w:space="0" w:color="auto"/>
                        <w:right w:val="none" w:sz="0" w:space="0" w:color="auto"/>
                      </w:divBdr>
                    </w:div>
                  </w:divsChild>
                </w:div>
                <w:div w:id="1103720581">
                  <w:marLeft w:val="0"/>
                  <w:marRight w:val="0"/>
                  <w:marTop w:val="0"/>
                  <w:marBottom w:val="0"/>
                  <w:divBdr>
                    <w:top w:val="none" w:sz="0" w:space="0" w:color="auto"/>
                    <w:left w:val="none" w:sz="0" w:space="0" w:color="auto"/>
                    <w:bottom w:val="none" w:sz="0" w:space="0" w:color="auto"/>
                    <w:right w:val="none" w:sz="0" w:space="0" w:color="auto"/>
                  </w:divBdr>
                  <w:divsChild>
                    <w:div w:id="1261716870">
                      <w:marLeft w:val="0"/>
                      <w:marRight w:val="0"/>
                      <w:marTop w:val="0"/>
                      <w:marBottom w:val="0"/>
                      <w:divBdr>
                        <w:top w:val="none" w:sz="0" w:space="0" w:color="auto"/>
                        <w:left w:val="none" w:sz="0" w:space="0" w:color="auto"/>
                        <w:bottom w:val="none" w:sz="0" w:space="0" w:color="auto"/>
                        <w:right w:val="none" w:sz="0" w:space="0" w:color="auto"/>
                      </w:divBdr>
                    </w:div>
                  </w:divsChild>
                </w:div>
                <w:div w:id="1280454905">
                  <w:marLeft w:val="0"/>
                  <w:marRight w:val="0"/>
                  <w:marTop w:val="0"/>
                  <w:marBottom w:val="0"/>
                  <w:divBdr>
                    <w:top w:val="none" w:sz="0" w:space="0" w:color="auto"/>
                    <w:left w:val="none" w:sz="0" w:space="0" w:color="auto"/>
                    <w:bottom w:val="none" w:sz="0" w:space="0" w:color="auto"/>
                    <w:right w:val="none" w:sz="0" w:space="0" w:color="auto"/>
                  </w:divBdr>
                  <w:divsChild>
                    <w:div w:id="1472400870">
                      <w:marLeft w:val="0"/>
                      <w:marRight w:val="0"/>
                      <w:marTop w:val="0"/>
                      <w:marBottom w:val="0"/>
                      <w:divBdr>
                        <w:top w:val="none" w:sz="0" w:space="0" w:color="auto"/>
                        <w:left w:val="none" w:sz="0" w:space="0" w:color="auto"/>
                        <w:bottom w:val="none" w:sz="0" w:space="0" w:color="auto"/>
                        <w:right w:val="none" w:sz="0" w:space="0" w:color="auto"/>
                      </w:divBdr>
                    </w:div>
                  </w:divsChild>
                </w:div>
                <w:div w:id="1358390024">
                  <w:marLeft w:val="0"/>
                  <w:marRight w:val="0"/>
                  <w:marTop w:val="0"/>
                  <w:marBottom w:val="0"/>
                  <w:divBdr>
                    <w:top w:val="none" w:sz="0" w:space="0" w:color="auto"/>
                    <w:left w:val="none" w:sz="0" w:space="0" w:color="auto"/>
                    <w:bottom w:val="none" w:sz="0" w:space="0" w:color="auto"/>
                    <w:right w:val="none" w:sz="0" w:space="0" w:color="auto"/>
                  </w:divBdr>
                  <w:divsChild>
                    <w:div w:id="831717381">
                      <w:marLeft w:val="0"/>
                      <w:marRight w:val="0"/>
                      <w:marTop w:val="0"/>
                      <w:marBottom w:val="0"/>
                      <w:divBdr>
                        <w:top w:val="none" w:sz="0" w:space="0" w:color="auto"/>
                        <w:left w:val="none" w:sz="0" w:space="0" w:color="auto"/>
                        <w:bottom w:val="none" w:sz="0" w:space="0" w:color="auto"/>
                        <w:right w:val="none" w:sz="0" w:space="0" w:color="auto"/>
                      </w:divBdr>
                    </w:div>
                  </w:divsChild>
                </w:div>
                <w:div w:id="1570308201">
                  <w:marLeft w:val="0"/>
                  <w:marRight w:val="0"/>
                  <w:marTop w:val="0"/>
                  <w:marBottom w:val="0"/>
                  <w:divBdr>
                    <w:top w:val="none" w:sz="0" w:space="0" w:color="auto"/>
                    <w:left w:val="none" w:sz="0" w:space="0" w:color="auto"/>
                    <w:bottom w:val="none" w:sz="0" w:space="0" w:color="auto"/>
                    <w:right w:val="none" w:sz="0" w:space="0" w:color="auto"/>
                  </w:divBdr>
                  <w:divsChild>
                    <w:div w:id="1475028643">
                      <w:marLeft w:val="0"/>
                      <w:marRight w:val="0"/>
                      <w:marTop w:val="0"/>
                      <w:marBottom w:val="0"/>
                      <w:divBdr>
                        <w:top w:val="none" w:sz="0" w:space="0" w:color="auto"/>
                        <w:left w:val="none" w:sz="0" w:space="0" w:color="auto"/>
                        <w:bottom w:val="none" w:sz="0" w:space="0" w:color="auto"/>
                        <w:right w:val="none" w:sz="0" w:space="0" w:color="auto"/>
                      </w:divBdr>
                    </w:div>
                  </w:divsChild>
                </w:div>
                <w:div w:id="1649630268">
                  <w:marLeft w:val="0"/>
                  <w:marRight w:val="0"/>
                  <w:marTop w:val="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
                    <w:div w:id="1309936192">
                      <w:marLeft w:val="0"/>
                      <w:marRight w:val="0"/>
                      <w:marTop w:val="0"/>
                      <w:marBottom w:val="0"/>
                      <w:divBdr>
                        <w:top w:val="none" w:sz="0" w:space="0" w:color="auto"/>
                        <w:left w:val="none" w:sz="0" w:space="0" w:color="auto"/>
                        <w:bottom w:val="none" w:sz="0" w:space="0" w:color="auto"/>
                        <w:right w:val="none" w:sz="0" w:space="0" w:color="auto"/>
                      </w:divBdr>
                    </w:div>
                  </w:divsChild>
                </w:div>
                <w:div w:id="1678917970">
                  <w:marLeft w:val="0"/>
                  <w:marRight w:val="0"/>
                  <w:marTop w:val="0"/>
                  <w:marBottom w:val="0"/>
                  <w:divBdr>
                    <w:top w:val="none" w:sz="0" w:space="0" w:color="auto"/>
                    <w:left w:val="none" w:sz="0" w:space="0" w:color="auto"/>
                    <w:bottom w:val="none" w:sz="0" w:space="0" w:color="auto"/>
                    <w:right w:val="none" w:sz="0" w:space="0" w:color="auto"/>
                  </w:divBdr>
                  <w:divsChild>
                    <w:div w:id="1183010527">
                      <w:marLeft w:val="0"/>
                      <w:marRight w:val="0"/>
                      <w:marTop w:val="0"/>
                      <w:marBottom w:val="0"/>
                      <w:divBdr>
                        <w:top w:val="none" w:sz="0" w:space="0" w:color="auto"/>
                        <w:left w:val="none" w:sz="0" w:space="0" w:color="auto"/>
                        <w:bottom w:val="none" w:sz="0" w:space="0" w:color="auto"/>
                        <w:right w:val="none" w:sz="0" w:space="0" w:color="auto"/>
                      </w:divBdr>
                    </w:div>
                  </w:divsChild>
                </w:div>
                <w:div w:id="1679966831">
                  <w:marLeft w:val="0"/>
                  <w:marRight w:val="0"/>
                  <w:marTop w:val="0"/>
                  <w:marBottom w:val="0"/>
                  <w:divBdr>
                    <w:top w:val="none" w:sz="0" w:space="0" w:color="auto"/>
                    <w:left w:val="none" w:sz="0" w:space="0" w:color="auto"/>
                    <w:bottom w:val="none" w:sz="0" w:space="0" w:color="auto"/>
                    <w:right w:val="none" w:sz="0" w:space="0" w:color="auto"/>
                  </w:divBdr>
                  <w:divsChild>
                    <w:div w:id="124087873">
                      <w:marLeft w:val="0"/>
                      <w:marRight w:val="0"/>
                      <w:marTop w:val="0"/>
                      <w:marBottom w:val="0"/>
                      <w:divBdr>
                        <w:top w:val="none" w:sz="0" w:space="0" w:color="auto"/>
                        <w:left w:val="none" w:sz="0" w:space="0" w:color="auto"/>
                        <w:bottom w:val="none" w:sz="0" w:space="0" w:color="auto"/>
                        <w:right w:val="none" w:sz="0" w:space="0" w:color="auto"/>
                      </w:divBdr>
                    </w:div>
                  </w:divsChild>
                </w:div>
                <w:div w:id="1888685371">
                  <w:marLeft w:val="0"/>
                  <w:marRight w:val="0"/>
                  <w:marTop w:val="0"/>
                  <w:marBottom w:val="0"/>
                  <w:divBdr>
                    <w:top w:val="none" w:sz="0" w:space="0" w:color="auto"/>
                    <w:left w:val="none" w:sz="0" w:space="0" w:color="auto"/>
                    <w:bottom w:val="none" w:sz="0" w:space="0" w:color="auto"/>
                    <w:right w:val="none" w:sz="0" w:space="0" w:color="auto"/>
                  </w:divBdr>
                  <w:divsChild>
                    <w:div w:id="507060439">
                      <w:marLeft w:val="0"/>
                      <w:marRight w:val="0"/>
                      <w:marTop w:val="0"/>
                      <w:marBottom w:val="0"/>
                      <w:divBdr>
                        <w:top w:val="none" w:sz="0" w:space="0" w:color="auto"/>
                        <w:left w:val="none" w:sz="0" w:space="0" w:color="auto"/>
                        <w:bottom w:val="none" w:sz="0" w:space="0" w:color="auto"/>
                        <w:right w:val="none" w:sz="0" w:space="0" w:color="auto"/>
                      </w:divBdr>
                    </w:div>
                  </w:divsChild>
                </w:div>
                <w:div w:id="2144152017">
                  <w:marLeft w:val="0"/>
                  <w:marRight w:val="0"/>
                  <w:marTop w:val="0"/>
                  <w:marBottom w:val="0"/>
                  <w:divBdr>
                    <w:top w:val="none" w:sz="0" w:space="0" w:color="auto"/>
                    <w:left w:val="none" w:sz="0" w:space="0" w:color="auto"/>
                    <w:bottom w:val="none" w:sz="0" w:space="0" w:color="auto"/>
                    <w:right w:val="none" w:sz="0" w:space="0" w:color="auto"/>
                  </w:divBdr>
                  <w:divsChild>
                    <w:div w:id="1090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1801">
          <w:marLeft w:val="0"/>
          <w:marRight w:val="0"/>
          <w:marTop w:val="0"/>
          <w:marBottom w:val="0"/>
          <w:divBdr>
            <w:top w:val="none" w:sz="0" w:space="0" w:color="auto"/>
            <w:left w:val="none" w:sz="0" w:space="0" w:color="auto"/>
            <w:bottom w:val="none" w:sz="0" w:space="0" w:color="auto"/>
            <w:right w:val="none" w:sz="0" w:space="0" w:color="auto"/>
          </w:divBdr>
        </w:div>
      </w:divsChild>
    </w:div>
    <w:div w:id="129904924">
      <w:bodyDiv w:val="1"/>
      <w:marLeft w:val="0"/>
      <w:marRight w:val="0"/>
      <w:marTop w:val="0"/>
      <w:marBottom w:val="0"/>
      <w:divBdr>
        <w:top w:val="none" w:sz="0" w:space="0" w:color="auto"/>
        <w:left w:val="none" w:sz="0" w:space="0" w:color="auto"/>
        <w:bottom w:val="none" w:sz="0" w:space="0" w:color="auto"/>
        <w:right w:val="none" w:sz="0" w:space="0" w:color="auto"/>
      </w:divBdr>
      <w:divsChild>
        <w:div w:id="104422862">
          <w:marLeft w:val="0"/>
          <w:marRight w:val="0"/>
          <w:marTop w:val="0"/>
          <w:marBottom w:val="0"/>
          <w:divBdr>
            <w:top w:val="none" w:sz="0" w:space="0" w:color="auto"/>
            <w:left w:val="none" w:sz="0" w:space="0" w:color="auto"/>
            <w:bottom w:val="none" w:sz="0" w:space="0" w:color="auto"/>
            <w:right w:val="none" w:sz="0" w:space="0" w:color="auto"/>
          </w:divBdr>
          <w:divsChild>
            <w:div w:id="5471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518000">
      <w:bodyDiv w:val="1"/>
      <w:marLeft w:val="0"/>
      <w:marRight w:val="0"/>
      <w:marTop w:val="0"/>
      <w:marBottom w:val="0"/>
      <w:divBdr>
        <w:top w:val="none" w:sz="0" w:space="0" w:color="auto"/>
        <w:left w:val="none" w:sz="0" w:space="0" w:color="auto"/>
        <w:bottom w:val="none" w:sz="0" w:space="0" w:color="auto"/>
        <w:right w:val="none" w:sz="0" w:space="0" w:color="auto"/>
      </w:divBdr>
    </w:div>
    <w:div w:id="148863964">
      <w:bodyDiv w:val="1"/>
      <w:marLeft w:val="0"/>
      <w:marRight w:val="0"/>
      <w:marTop w:val="0"/>
      <w:marBottom w:val="0"/>
      <w:divBdr>
        <w:top w:val="none" w:sz="0" w:space="0" w:color="auto"/>
        <w:left w:val="none" w:sz="0" w:space="0" w:color="auto"/>
        <w:bottom w:val="none" w:sz="0" w:space="0" w:color="auto"/>
        <w:right w:val="none" w:sz="0" w:space="0" w:color="auto"/>
      </w:divBdr>
      <w:divsChild>
        <w:div w:id="218829633">
          <w:marLeft w:val="0"/>
          <w:marRight w:val="0"/>
          <w:marTop w:val="0"/>
          <w:marBottom w:val="0"/>
          <w:divBdr>
            <w:top w:val="none" w:sz="0" w:space="0" w:color="auto"/>
            <w:left w:val="none" w:sz="0" w:space="0" w:color="auto"/>
            <w:bottom w:val="none" w:sz="0" w:space="0" w:color="auto"/>
            <w:right w:val="none" w:sz="0" w:space="0" w:color="auto"/>
          </w:divBdr>
        </w:div>
        <w:div w:id="934050092">
          <w:marLeft w:val="0"/>
          <w:marRight w:val="0"/>
          <w:marTop w:val="0"/>
          <w:marBottom w:val="0"/>
          <w:divBdr>
            <w:top w:val="none" w:sz="0" w:space="0" w:color="auto"/>
            <w:left w:val="none" w:sz="0" w:space="0" w:color="auto"/>
            <w:bottom w:val="none" w:sz="0" w:space="0" w:color="auto"/>
            <w:right w:val="none" w:sz="0" w:space="0" w:color="auto"/>
          </w:divBdr>
        </w:div>
        <w:div w:id="1455514380">
          <w:marLeft w:val="0"/>
          <w:marRight w:val="0"/>
          <w:marTop w:val="0"/>
          <w:marBottom w:val="0"/>
          <w:divBdr>
            <w:top w:val="none" w:sz="0" w:space="0" w:color="auto"/>
            <w:left w:val="none" w:sz="0" w:space="0" w:color="auto"/>
            <w:bottom w:val="none" w:sz="0" w:space="0" w:color="auto"/>
            <w:right w:val="none" w:sz="0" w:space="0" w:color="auto"/>
          </w:divBdr>
        </w:div>
        <w:div w:id="1516647668">
          <w:marLeft w:val="0"/>
          <w:marRight w:val="0"/>
          <w:marTop w:val="0"/>
          <w:marBottom w:val="0"/>
          <w:divBdr>
            <w:top w:val="none" w:sz="0" w:space="0" w:color="auto"/>
            <w:left w:val="none" w:sz="0" w:space="0" w:color="auto"/>
            <w:bottom w:val="none" w:sz="0" w:space="0" w:color="auto"/>
            <w:right w:val="none" w:sz="0" w:space="0" w:color="auto"/>
          </w:divBdr>
        </w:div>
        <w:div w:id="1896354891">
          <w:marLeft w:val="0"/>
          <w:marRight w:val="0"/>
          <w:marTop w:val="0"/>
          <w:marBottom w:val="0"/>
          <w:divBdr>
            <w:top w:val="none" w:sz="0" w:space="0" w:color="auto"/>
            <w:left w:val="none" w:sz="0" w:space="0" w:color="auto"/>
            <w:bottom w:val="none" w:sz="0" w:space="0" w:color="auto"/>
            <w:right w:val="none" w:sz="0" w:space="0" w:color="auto"/>
          </w:divBdr>
        </w:div>
        <w:div w:id="1899515295">
          <w:marLeft w:val="0"/>
          <w:marRight w:val="0"/>
          <w:marTop w:val="0"/>
          <w:marBottom w:val="0"/>
          <w:divBdr>
            <w:top w:val="none" w:sz="0" w:space="0" w:color="auto"/>
            <w:left w:val="none" w:sz="0" w:space="0" w:color="auto"/>
            <w:bottom w:val="none" w:sz="0" w:space="0" w:color="auto"/>
            <w:right w:val="none" w:sz="0" w:space="0" w:color="auto"/>
          </w:divBdr>
        </w:div>
        <w:div w:id="2042510882">
          <w:marLeft w:val="0"/>
          <w:marRight w:val="0"/>
          <w:marTop w:val="0"/>
          <w:marBottom w:val="0"/>
          <w:divBdr>
            <w:top w:val="none" w:sz="0" w:space="0" w:color="auto"/>
            <w:left w:val="none" w:sz="0" w:space="0" w:color="auto"/>
            <w:bottom w:val="none" w:sz="0" w:space="0" w:color="auto"/>
            <w:right w:val="none" w:sz="0" w:space="0" w:color="auto"/>
          </w:divBdr>
        </w:div>
        <w:div w:id="2143688133">
          <w:marLeft w:val="0"/>
          <w:marRight w:val="0"/>
          <w:marTop w:val="0"/>
          <w:marBottom w:val="0"/>
          <w:divBdr>
            <w:top w:val="none" w:sz="0" w:space="0" w:color="auto"/>
            <w:left w:val="none" w:sz="0" w:space="0" w:color="auto"/>
            <w:bottom w:val="none" w:sz="0" w:space="0" w:color="auto"/>
            <w:right w:val="none" w:sz="0" w:space="0" w:color="auto"/>
          </w:divBdr>
        </w:div>
      </w:divsChild>
    </w:div>
    <w:div w:id="178860013">
      <w:bodyDiv w:val="1"/>
      <w:marLeft w:val="0"/>
      <w:marRight w:val="0"/>
      <w:marTop w:val="0"/>
      <w:marBottom w:val="0"/>
      <w:divBdr>
        <w:top w:val="none" w:sz="0" w:space="0" w:color="auto"/>
        <w:left w:val="none" w:sz="0" w:space="0" w:color="auto"/>
        <w:bottom w:val="none" w:sz="0" w:space="0" w:color="auto"/>
        <w:right w:val="none" w:sz="0" w:space="0" w:color="auto"/>
      </w:divBdr>
      <w:divsChild>
        <w:div w:id="745494038">
          <w:marLeft w:val="0"/>
          <w:marRight w:val="0"/>
          <w:marTop w:val="0"/>
          <w:marBottom w:val="0"/>
          <w:divBdr>
            <w:top w:val="none" w:sz="0" w:space="0" w:color="auto"/>
            <w:left w:val="none" w:sz="0" w:space="0" w:color="auto"/>
            <w:bottom w:val="none" w:sz="0" w:space="0" w:color="auto"/>
            <w:right w:val="none" w:sz="0" w:space="0" w:color="auto"/>
          </w:divBdr>
        </w:div>
        <w:div w:id="1147479710">
          <w:marLeft w:val="0"/>
          <w:marRight w:val="0"/>
          <w:marTop w:val="0"/>
          <w:marBottom w:val="0"/>
          <w:divBdr>
            <w:top w:val="none" w:sz="0" w:space="0" w:color="auto"/>
            <w:left w:val="none" w:sz="0" w:space="0" w:color="auto"/>
            <w:bottom w:val="none" w:sz="0" w:space="0" w:color="auto"/>
            <w:right w:val="none" w:sz="0" w:space="0" w:color="auto"/>
          </w:divBdr>
          <w:divsChild>
            <w:div w:id="1601836252">
              <w:marLeft w:val="0"/>
              <w:marRight w:val="0"/>
              <w:marTop w:val="30"/>
              <w:marBottom w:val="30"/>
              <w:divBdr>
                <w:top w:val="none" w:sz="0" w:space="0" w:color="auto"/>
                <w:left w:val="none" w:sz="0" w:space="0" w:color="auto"/>
                <w:bottom w:val="none" w:sz="0" w:space="0" w:color="auto"/>
                <w:right w:val="none" w:sz="0" w:space="0" w:color="auto"/>
              </w:divBdr>
              <w:divsChild>
                <w:div w:id="7414786">
                  <w:marLeft w:val="0"/>
                  <w:marRight w:val="0"/>
                  <w:marTop w:val="0"/>
                  <w:marBottom w:val="0"/>
                  <w:divBdr>
                    <w:top w:val="none" w:sz="0" w:space="0" w:color="auto"/>
                    <w:left w:val="none" w:sz="0" w:space="0" w:color="auto"/>
                    <w:bottom w:val="none" w:sz="0" w:space="0" w:color="auto"/>
                    <w:right w:val="none" w:sz="0" w:space="0" w:color="auto"/>
                  </w:divBdr>
                  <w:divsChild>
                    <w:div w:id="811361781">
                      <w:marLeft w:val="0"/>
                      <w:marRight w:val="0"/>
                      <w:marTop w:val="0"/>
                      <w:marBottom w:val="0"/>
                      <w:divBdr>
                        <w:top w:val="none" w:sz="0" w:space="0" w:color="auto"/>
                        <w:left w:val="none" w:sz="0" w:space="0" w:color="auto"/>
                        <w:bottom w:val="none" w:sz="0" w:space="0" w:color="auto"/>
                        <w:right w:val="none" w:sz="0" w:space="0" w:color="auto"/>
                      </w:divBdr>
                    </w:div>
                    <w:div w:id="842937169">
                      <w:marLeft w:val="0"/>
                      <w:marRight w:val="0"/>
                      <w:marTop w:val="0"/>
                      <w:marBottom w:val="0"/>
                      <w:divBdr>
                        <w:top w:val="none" w:sz="0" w:space="0" w:color="auto"/>
                        <w:left w:val="none" w:sz="0" w:space="0" w:color="auto"/>
                        <w:bottom w:val="none" w:sz="0" w:space="0" w:color="auto"/>
                        <w:right w:val="none" w:sz="0" w:space="0" w:color="auto"/>
                      </w:divBdr>
                    </w:div>
                    <w:div w:id="976761600">
                      <w:marLeft w:val="0"/>
                      <w:marRight w:val="0"/>
                      <w:marTop w:val="0"/>
                      <w:marBottom w:val="0"/>
                      <w:divBdr>
                        <w:top w:val="none" w:sz="0" w:space="0" w:color="auto"/>
                        <w:left w:val="none" w:sz="0" w:space="0" w:color="auto"/>
                        <w:bottom w:val="none" w:sz="0" w:space="0" w:color="auto"/>
                        <w:right w:val="none" w:sz="0" w:space="0" w:color="auto"/>
                      </w:divBdr>
                    </w:div>
                    <w:div w:id="1155143270">
                      <w:marLeft w:val="0"/>
                      <w:marRight w:val="0"/>
                      <w:marTop w:val="0"/>
                      <w:marBottom w:val="0"/>
                      <w:divBdr>
                        <w:top w:val="none" w:sz="0" w:space="0" w:color="auto"/>
                        <w:left w:val="none" w:sz="0" w:space="0" w:color="auto"/>
                        <w:bottom w:val="none" w:sz="0" w:space="0" w:color="auto"/>
                        <w:right w:val="none" w:sz="0" w:space="0" w:color="auto"/>
                      </w:divBdr>
                    </w:div>
                    <w:div w:id="1414740873">
                      <w:marLeft w:val="0"/>
                      <w:marRight w:val="0"/>
                      <w:marTop w:val="0"/>
                      <w:marBottom w:val="0"/>
                      <w:divBdr>
                        <w:top w:val="none" w:sz="0" w:space="0" w:color="auto"/>
                        <w:left w:val="none" w:sz="0" w:space="0" w:color="auto"/>
                        <w:bottom w:val="none" w:sz="0" w:space="0" w:color="auto"/>
                        <w:right w:val="none" w:sz="0" w:space="0" w:color="auto"/>
                      </w:divBdr>
                    </w:div>
                    <w:div w:id="1524786408">
                      <w:marLeft w:val="0"/>
                      <w:marRight w:val="0"/>
                      <w:marTop w:val="0"/>
                      <w:marBottom w:val="0"/>
                      <w:divBdr>
                        <w:top w:val="none" w:sz="0" w:space="0" w:color="auto"/>
                        <w:left w:val="none" w:sz="0" w:space="0" w:color="auto"/>
                        <w:bottom w:val="none" w:sz="0" w:space="0" w:color="auto"/>
                        <w:right w:val="none" w:sz="0" w:space="0" w:color="auto"/>
                      </w:divBdr>
                    </w:div>
                  </w:divsChild>
                </w:div>
                <w:div w:id="46029001">
                  <w:marLeft w:val="0"/>
                  <w:marRight w:val="0"/>
                  <w:marTop w:val="0"/>
                  <w:marBottom w:val="0"/>
                  <w:divBdr>
                    <w:top w:val="none" w:sz="0" w:space="0" w:color="auto"/>
                    <w:left w:val="none" w:sz="0" w:space="0" w:color="auto"/>
                    <w:bottom w:val="none" w:sz="0" w:space="0" w:color="auto"/>
                    <w:right w:val="none" w:sz="0" w:space="0" w:color="auto"/>
                  </w:divBdr>
                  <w:divsChild>
                    <w:div w:id="1794323810">
                      <w:marLeft w:val="0"/>
                      <w:marRight w:val="0"/>
                      <w:marTop w:val="0"/>
                      <w:marBottom w:val="0"/>
                      <w:divBdr>
                        <w:top w:val="none" w:sz="0" w:space="0" w:color="auto"/>
                        <w:left w:val="none" w:sz="0" w:space="0" w:color="auto"/>
                        <w:bottom w:val="none" w:sz="0" w:space="0" w:color="auto"/>
                        <w:right w:val="none" w:sz="0" w:space="0" w:color="auto"/>
                      </w:divBdr>
                    </w:div>
                  </w:divsChild>
                </w:div>
                <w:div w:id="126970956">
                  <w:marLeft w:val="0"/>
                  <w:marRight w:val="0"/>
                  <w:marTop w:val="0"/>
                  <w:marBottom w:val="0"/>
                  <w:divBdr>
                    <w:top w:val="none" w:sz="0" w:space="0" w:color="auto"/>
                    <w:left w:val="none" w:sz="0" w:space="0" w:color="auto"/>
                    <w:bottom w:val="none" w:sz="0" w:space="0" w:color="auto"/>
                    <w:right w:val="none" w:sz="0" w:space="0" w:color="auto"/>
                  </w:divBdr>
                  <w:divsChild>
                    <w:div w:id="98528864">
                      <w:marLeft w:val="0"/>
                      <w:marRight w:val="0"/>
                      <w:marTop w:val="0"/>
                      <w:marBottom w:val="0"/>
                      <w:divBdr>
                        <w:top w:val="none" w:sz="0" w:space="0" w:color="auto"/>
                        <w:left w:val="none" w:sz="0" w:space="0" w:color="auto"/>
                        <w:bottom w:val="none" w:sz="0" w:space="0" w:color="auto"/>
                        <w:right w:val="none" w:sz="0" w:space="0" w:color="auto"/>
                      </w:divBdr>
                    </w:div>
                  </w:divsChild>
                </w:div>
                <w:div w:id="138618279">
                  <w:marLeft w:val="0"/>
                  <w:marRight w:val="0"/>
                  <w:marTop w:val="0"/>
                  <w:marBottom w:val="0"/>
                  <w:divBdr>
                    <w:top w:val="none" w:sz="0" w:space="0" w:color="auto"/>
                    <w:left w:val="none" w:sz="0" w:space="0" w:color="auto"/>
                    <w:bottom w:val="none" w:sz="0" w:space="0" w:color="auto"/>
                    <w:right w:val="none" w:sz="0" w:space="0" w:color="auto"/>
                  </w:divBdr>
                  <w:divsChild>
                    <w:div w:id="994994407">
                      <w:marLeft w:val="0"/>
                      <w:marRight w:val="0"/>
                      <w:marTop w:val="0"/>
                      <w:marBottom w:val="0"/>
                      <w:divBdr>
                        <w:top w:val="none" w:sz="0" w:space="0" w:color="auto"/>
                        <w:left w:val="none" w:sz="0" w:space="0" w:color="auto"/>
                        <w:bottom w:val="none" w:sz="0" w:space="0" w:color="auto"/>
                        <w:right w:val="none" w:sz="0" w:space="0" w:color="auto"/>
                      </w:divBdr>
                    </w:div>
                  </w:divsChild>
                </w:div>
                <w:div w:id="430586649">
                  <w:marLeft w:val="0"/>
                  <w:marRight w:val="0"/>
                  <w:marTop w:val="0"/>
                  <w:marBottom w:val="0"/>
                  <w:divBdr>
                    <w:top w:val="none" w:sz="0" w:space="0" w:color="auto"/>
                    <w:left w:val="none" w:sz="0" w:space="0" w:color="auto"/>
                    <w:bottom w:val="none" w:sz="0" w:space="0" w:color="auto"/>
                    <w:right w:val="none" w:sz="0" w:space="0" w:color="auto"/>
                  </w:divBdr>
                  <w:divsChild>
                    <w:div w:id="697780863">
                      <w:marLeft w:val="0"/>
                      <w:marRight w:val="0"/>
                      <w:marTop w:val="0"/>
                      <w:marBottom w:val="0"/>
                      <w:divBdr>
                        <w:top w:val="none" w:sz="0" w:space="0" w:color="auto"/>
                        <w:left w:val="none" w:sz="0" w:space="0" w:color="auto"/>
                        <w:bottom w:val="none" w:sz="0" w:space="0" w:color="auto"/>
                        <w:right w:val="none" w:sz="0" w:space="0" w:color="auto"/>
                      </w:divBdr>
                    </w:div>
                  </w:divsChild>
                </w:div>
                <w:div w:id="571695492">
                  <w:marLeft w:val="0"/>
                  <w:marRight w:val="0"/>
                  <w:marTop w:val="0"/>
                  <w:marBottom w:val="0"/>
                  <w:divBdr>
                    <w:top w:val="none" w:sz="0" w:space="0" w:color="auto"/>
                    <w:left w:val="none" w:sz="0" w:space="0" w:color="auto"/>
                    <w:bottom w:val="none" w:sz="0" w:space="0" w:color="auto"/>
                    <w:right w:val="none" w:sz="0" w:space="0" w:color="auto"/>
                  </w:divBdr>
                  <w:divsChild>
                    <w:div w:id="1313098575">
                      <w:marLeft w:val="0"/>
                      <w:marRight w:val="0"/>
                      <w:marTop w:val="0"/>
                      <w:marBottom w:val="0"/>
                      <w:divBdr>
                        <w:top w:val="none" w:sz="0" w:space="0" w:color="auto"/>
                        <w:left w:val="none" w:sz="0" w:space="0" w:color="auto"/>
                        <w:bottom w:val="none" w:sz="0" w:space="0" w:color="auto"/>
                        <w:right w:val="none" w:sz="0" w:space="0" w:color="auto"/>
                      </w:divBdr>
                    </w:div>
                  </w:divsChild>
                </w:div>
                <w:div w:id="625503998">
                  <w:marLeft w:val="0"/>
                  <w:marRight w:val="0"/>
                  <w:marTop w:val="0"/>
                  <w:marBottom w:val="0"/>
                  <w:divBdr>
                    <w:top w:val="none" w:sz="0" w:space="0" w:color="auto"/>
                    <w:left w:val="none" w:sz="0" w:space="0" w:color="auto"/>
                    <w:bottom w:val="none" w:sz="0" w:space="0" w:color="auto"/>
                    <w:right w:val="none" w:sz="0" w:space="0" w:color="auto"/>
                  </w:divBdr>
                  <w:divsChild>
                    <w:div w:id="451167451">
                      <w:marLeft w:val="0"/>
                      <w:marRight w:val="0"/>
                      <w:marTop w:val="0"/>
                      <w:marBottom w:val="0"/>
                      <w:divBdr>
                        <w:top w:val="none" w:sz="0" w:space="0" w:color="auto"/>
                        <w:left w:val="none" w:sz="0" w:space="0" w:color="auto"/>
                        <w:bottom w:val="none" w:sz="0" w:space="0" w:color="auto"/>
                        <w:right w:val="none" w:sz="0" w:space="0" w:color="auto"/>
                      </w:divBdr>
                    </w:div>
                  </w:divsChild>
                </w:div>
                <w:div w:id="831802085">
                  <w:marLeft w:val="0"/>
                  <w:marRight w:val="0"/>
                  <w:marTop w:val="0"/>
                  <w:marBottom w:val="0"/>
                  <w:divBdr>
                    <w:top w:val="none" w:sz="0" w:space="0" w:color="auto"/>
                    <w:left w:val="none" w:sz="0" w:space="0" w:color="auto"/>
                    <w:bottom w:val="none" w:sz="0" w:space="0" w:color="auto"/>
                    <w:right w:val="none" w:sz="0" w:space="0" w:color="auto"/>
                  </w:divBdr>
                  <w:divsChild>
                    <w:div w:id="480271514">
                      <w:marLeft w:val="0"/>
                      <w:marRight w:val="0"/>
                      <w:marTop w:val="0"/>
                      <w:marBottom w:val="0"/>
                      <w:divBdr>
                        <w:top w:val="none" w:sz="0" w:space="0" w:color="auto"/>
                        <w:left w:val="none" w:sz="0" w:space="0" w:color="auto"/>
                        <w:bottom w:val="none" w:sz="0" w:space="0" w:color="auto"/>
                        <w:right w:val="none" w:sz="0" w:space="0" w:color="auto"/>
                      </w:divBdr>
                    </w:div>
                  </w:divsChild>
                </w:div>
                <w:div w:id="906064822">
                  <w:marLeft w:val="0"/>
                  <w:marRight w:val="0"/>
                  <w:marTop w:val="0"/>
                  <w:marBottom w:val="0"/>
                  <w:divBdr>
                    <w:top w:val="none" w:sz="0" w:space="0" w:color="auto"/>
                    <w:left w:val="none" w:sz="0" w:space="0" w:color="auto"/>
                    <w:bottom w:val="none" w:sz="0" w:space="0" w:color="auto"/>
                    <w:right w:val="none" w:sz="0" w:space="0" w:color="auto"/>
                  </w:divBdr>
                  <w:divsChild>
                    <w:div w:id="32122886">
                      <w:marLeft w:val="0"/>
                      <w:marRight w:val="0"/>
                      <w:marTop w:val="0"/>
                      <w:marBottom w:val="0"/>
                      <w:divBdr>
                        <w:top w:val="none" w:sz="0" w:space="0" w:color="auto"/>
                        <w:left w:val="none" w:sz="0" w:space="0" w:color="auto"/>
                        <w:bottom w:val="none" w:sz="0" w:space="0" w:color="auto"/>
                        <w:right w:val="none" w:sz="0" w:space="0" w:color="auto"/>
                      </w:divBdr>
                    </w:div>
                    <w:div w:id="149641207">
                      <w:marLeft w:val="0"/>
                      <w:marRight w:val="0"/>
                      <w:marTop w:val="0"/>
                      <w:marBottom w:val="0"/>
                      <w:divBdr>
                        <w:top w:val="none" w:sz="0" w:space="0" w:color="auto"/>
                        <w:left w:val="none" w:sz="0" w:space="0" w:color="auto"/>
                        <w:bottom w:val="none" w:sz="0" w:space="0" w:color="auto"/>
                        <w:right w:val="none" w:sz="0" w:space="0" w:color="auto"/>
                      </w:divBdr>
                    </w:div>
                    <w:div w:id="642580967">
                      <w:marLeft w:val="0"/>
                      <w:marRight w:val="0"/>
                      <w:marTop w:val="0"/>
                      <w:marBottom w:val="0"/>
                      <w:divBdr>
                        <w:top w:val="none" w:sz="0" w:space="0" w:color="auto"/>
                        <w:left w:val="none" w:sz="0" w:space="0" w:color="auto"/>
                        <w:bottom w:val="none" w:sz="0" w:space="0" w:color="auto"/>
                        <w:right w:val="none" w:sz="0" w:space="0" w:color="auto"/>
                      </w:divBdr>
                    </w:div>
                    <w:div w:id="1011879607">
                      <w:marLeft w:val="0"/>
                      <w:marRight w:val="0"/>
                      <w:marTop w:val="0"/>
                      <w:marBottom w:val="0"/>
                      <w:divBdr>
                        <w:top w:val="none" w:sz="0" w:space="0" w:color="auto"/>
                        <w:left w:val="none" w:sz="0" w:space="0" w:color="auto"/>
                        <w:bottom w:val="none" w:sz="0" w:space="0" w:color="auto"/>
                        <w:right w:val="none" w:sz="0" w:space="0" w:color="auto"/>
                      </w:divBdr>
                    </w:div>
                    <w:div w:id="1086344657">
                      <w:marLeft w:val="0"/>
                      <w:marRight w:val="0"/>
                      <w:marTop w:val="0"/>
                      <w:marBottom w:val="0"/>
                      <w:divBdr>
                        <w:top w:val="none" w:sz="0" w:space="0" w:color="auto"/>
                        <w:left w:val="none" w:sz="0" w:space="0" w:color="auto"/>
                        <w:bottom w:val="none" w:sz="0" w:space="0" w:color="auto"/>
                        <w:right w:val="none" w:sz="0" w:space="0" w:color="auto"/>
                      </w:divBdr>
                    </w:div>
                    <w:div w:id="1290091962">
                      <w:marLeft w:val="0"/>
                      <w:marRight w:val="0"/>
                      <w:marTop w:val="0"/>
                      <w:marBottom w:val="0"/>
                      <w:divBdr>
                        <w:top w:val="none" w:sz="0" w:space="0" w:color="auto"/>
                        <w:left w:val="none" w:sz="0" w:space="0" w:color="auto"/>
                        <w:bottom w:val="none" w:sz="0" w:space="0" w:color="auto"/>
                        <w:right w:val="none" w:sz="0" w:space="0" w:color="auto"/>
                      </w:divBdr>
                    </w:div>
                    <w:div w:id="1514763016">
                      <w:marLeft w:val="0"/>
                      <w:marRight w:val="0"/>
                      <w:marTop w:val="0"/>
                      <w:marBottom w:val="0"/>
                      <w:divBdr>
                        <w:top w:val="none" w:sz="0" w:space="0" w:color="auto"/>
                        <w:left w:val="none" w:sz="0" w:space="0" w:color="auto"/>
                        <w:bottom w:val="none" w:sz="0" w:space="0" w:color="auto"/>
                        <w:right w:val="none" w:sz="0" w:space="0" w:color="auto"/>
                      </w:divBdr>
                    </w:div>
                    <w:div w:id="1639846231">
                      <w:marLeft w:val="0"/>
                      <w:marRight w:val="0"/>
                      <w:marTop w:val="0"/>
                      <w:marBottom w:val="0"/>
                      <w:divBdr>
                        <w:top w:val="none" w:sz="0" w:space="0" w:color="auto"/>
                        <w:left w:val="none" w:sz="0" w:space="0" w:color="auto"/>
                        <w:bottom w:val="none" w:sz="0" w:space="0" w:color="auto"/>
                        <w:right w:val="none" w:sz="0" w:space="0" w:color="auto"/>
                      </w:divBdr>
                    </w:div>
                    <w:div w:id="1760827457">
                      <w:marLeft w:val="0"/>
                      <w:marRight w:val="0"/>
                      <w:marTop w:val="0"/>
                      <w:marBottom w:val="0"/>
                      <w:divBdr>
                        <w:top w:val="none" w:sz="0" w:space="0" w:color="auto"/>
                        <w:left w:val="none" w:sz="0" w:space="0" w:color="auto"/>
                        <w:bottom w:val="none" w:sz="0" w:space="0" w:color="auto"/>
                        <w:right w:val="none" w:sz="0" w:space="0" w:color="auto"/>
                      </w:divBdr>
                    </w:div>
                    <w:div w:id="2132361473">
                      <w:marLeft w:val="0"/>
                      <w:marRight w:val="0"/>
                      <w:marTop w:val="0"/>
                      <w:marBottom w:val="0"/>
                      <w:divBdr>
                        <w:top w:val="none" w:sz="0" w:space="0" w:color="auto"/>
                        <w:left w:val="none" w:sz="0" w:space="0" w:color="auto"/>
                        <w:bottom w:val="none" w:sz="0" w:space="0" w:color="auto"/>
                        <w:right w:val="none" w:sz="0" w:space="0" w:color="auto"/>
                      </w:divBdr>
                    </w:div>
                  </w:divsChild>
                </w:div>
                <w:div w:id="1044141190">
                  <w:marLeft w:val="0"/>
                  <w:marRight w:val="0"/>
                  <w:marTop w:val="0"/>
                  <w:marBottom w:val="0"/>
                  <w:divBdr>
                    <w:top w:val="none" w:sz="0" w:space="0" w:color="auto"/>
                    <w:left w:val="none" w:sz="0" w:space="0" w:color="auto"/>
                    <w:bottom w:val="none" w:sz="0" w:space="0" w:color="auto"/>
                    <w:right w:val="none" w:sz="0" w:space="0" w:color="auto"/>
                  </w:divBdr>
                  <w:divsChild>
                    <w:div w:id="619993503">
                      <w:marLeft w:val="0"/>
                      <w:marRight w:val="0"/>
                      <w:marTop w:val="0"/>
                      <w:marBottom w:val="0"/>
                      <w:divBdr>
                        <w:top w:val="none" w:sz="0" w:space="0" w:color="auto"/>
                        <w:left w:val="none" w:sz="0" w:space="0" w:color="auto"/>
                        <w:bottom w:val="none" w:sz="0" w:space="0" w:color="auto"/>
                        <w:right w:val="none" w:sz="0" w:space="0" w:color="auto"/>
                      </w:divBdr>
                    </w:div>
                    <w:div w:id="1374380984">
                      <w:marLeft w:val="0"/>
                      <w:marRight w:val="0"/>
                      <w:marTop w:val="0"/>
                      <w:marBottom w:val="0"/>
                      <w:divBdr>
                        <w:top w:val="none" w:sz="0" w:space="0" w:color="auto"/>
                        <w:left w:val="none" w:sz="0" w:space="0" w:color="auto"/>
                        <w:bottom w:val="none" w:sz="0" w:space="0" w:color="auto"/>
                        <w:right w:val="none" w:sz="0" w:space="0" w:color="auto"/>
                      </w:divBdr>
                    </w:div>
                  </w:divsChild>
                </w:div>
                <w:div w:id="1087115144">
                  <w:marLeft w:val="0"/>
                  <w:marRight w:val="0"/>
                  <w:marTop w:val="0"/>
                  <w:marBottom w:val="0"/>
                  <w:divBdr>
                    <w:top w:val="none" w:sz="0" w:space="0" w:color="auto"/>
                    <w:left w:val="none" w:sz="0" w:space="0" w:color="auto"/>
                    <w:bottom w:val="none" w:sz="0" w:space="0" w:color="auto"/>
                    <w:right w:val="none" w:sz="0" w:space="0" w:color="auto"/>
                  </w:divBdr>
                  <w:divsChild>
                    <w:div w:id="1082144263">
                      <w:marLeft w:val="0"/>
                      <w:marRight w:val="0"/>
                      <w:marTop w:val="0"/>
                      <w:marBottom w:val="0"/>
                      <w:divBdr>
                        <w:top w:val="none" w:sz="0" w:space="0" w:color="auto"/>
                        <w:left w:val="none" w:sz="0" w:space="0" w:color="auto"/>
                        <w:bottom w:val="none" w:sz="0" w:space="0" w:color="auto"/>
                        <w:right w:val="none" w:sz="0" w:space="0" w:color="auto"/>
                      </w:divBdr>
                    </w:div>
                  </w:divsChild>
                </w:div>
                <w:div w:id="1300955184">
                  <w:marLeft w:val="0"/>
                  <w:marRight w:val="0"/>
                  <w:marTop w:val="0"/>
                  <w:marBottom w:val="0"/>
                  <w:divBdr>
                    <w:top w:val="none" w:sz="0" w:space="0" w:color="auto"/>
                    <w:left w:val="none" w:sz="0" w:space="0" w:color="auto"/>
                    <w:bottom w:val="none" w:sz="0" w:space="0" w:color="auto"/>
                    <w:right w:val="none" w:sz="0" w:space="0" w:color="auto"/>
                  </w:divBdr>
                  <w:divsChild>
                    <w:div w:id="155998486">
                      <w:marLeft w:val="0"/>
                      <w:marRight w:val="0"/>
                      <w:marTop w:val="0"/>
                      <w:marBottom w:val="0"/>
                      <w:divBdr>
                        <w:top w:val="none" w:sz="0" w:space="0" w:color="auto"/>
                        <w:left w:val="none" w:sz="0" w:space="0" w:color="auto"/>
                        <w:bottom w:val="none" w:sz="0" w:space="0" w:color="auto"/>
                        <w:right w:val="none" w:sz="0" w:space="0" w:color="auto"/>
                      </w:divBdr>
                    </w:div>
                  </w:divsChild>
                </w:div>
                <w:div w:id="1431849317">
                  <w:marLeft w:val="0"/>
                  <w:marRight w:val="0"/>
                  <w:marTop w:val="0"/>
                  <w:marBottom w:val="0"/>
                  <w:divBdr>
                    <w:top w:val="none" w:sz="0" w:space="0" w:color="auto"/>
                    <w:left w:val="none" w:sz="0" w:space="0" w:color="auto"/>
                    <w:bottom w:val="none" w:sz="0" w:space="0" w:color="auto"/>
                    <w:right w:val="none" w:sz="0" w:space="0" w:color="auto"/>
                  </w:divBdr>
                  <w:divsChild>
                    <w:div w:id="1027565758">
                      <w:marLeft w:val="0"/>
                      <w:marRight w:val="0"/>
                      <w:marTop w:val="0"/>
                      <w:marBottom w:val="0"/>
                      <w:divBdr>
                        <w:top w:val="none" w:sz="0" w:space="0" w:color="auto"/>
                        <w:left w:val="none" w:sz="0" w:space="0" w:color="auto"/>
                        <w:bottom w:val="none" w:sz="0" w:space="0" w:color="auto"/>
                        <w:right w:val="none" w:sz="0" w:space="0" w:color="auto"/>
                      </w:divBdr>
                    </w:div>
                  </w:divsChild>
                </w:div>
                <w:div w:id="1491869341">
                  <w:marLeft w:val="0"/>
                  <w:marRight w:val="0"/>
                  <w:marTop w:val="0"/>
                  <w:marBottom w:val="0"/>
                  <w:divBdr>
                    <w:top w:val="none" w:sz="0" w:space="0" w:color="auto"/>
                    <w:left w:val="none" w:sz="0" w:space="0" w:color="auto"/>
                    <w:bottom w:val="none" w:sz="0" w:space="0" w:color="auto"/>
                    <w:right w:val="none" w:sz="0" w:space="0" w:color="auto"/>
                  </w:divBdr>
                  <w:divsChild>
                    <w:div w:id="1094672883">
                      <w:marLeft w:val="0"/>
                      <w:marRight w:val="0"/>
                      <w:marTop w:val="0"/>
                      <w:marBottom w:val="0"/>
                      <w:divBdr>
                        <w:top w:val="none" w:sz="0" w:space="0" w:color="auto"/>
                        <w:left w:val="none" w:sz="0" w:space="0" w:color="auto"/>
                        <w:bottom w:val="none" w:sz="0" w:space="0" w:color="auto"/>
                        <w:right w:val="none" w:sz="0" w:space="0" w:color="auto"/>
                      </w:divBdr>
                    </w:div>
                  </w:divsChild>
                </w:div>
                <w:div w:id="1601791271">
                  <w:marLeft w:val="0"/>
                  <w:marRight w:val="0"/>
                  <w:marTop w:val="0"/>
                  <w:marBottom w:val="0"/>
                  <w:divBdr>
                    <w:top w:val="none" w:sz="0" w:space="0" w:color="auto"/>
                    <w:left w:val="none" w:sz="0" w:space="0" w:color="auto"/>
                    <w:bottom w:val="none" w:sz="0" w:space="0" w:color="auto"/>
                    <w:right w:val="none" w:sz="0" w:space="0" w:color="auto"/>
                  </w:divBdr>
                  <w:divsChild>
                    <w:div w:id="853807314">
                      <w:marLeft w:val="0"/>
                      <w:marRight w:val="0"/>
                      <w:marTop w:val="0"/>
                      <w:marBottom w:val="0"/>
                      <w:divBdr>
                        <w:top w:val="none" w:sz="0" w:space="0" w:color="auto"/>
                        <w:left w:val="none" w:sz="0" w:space="0" w:color="auto"/>
                        <w:bottom w:val="none" w:sz="0" w:space="0" w:color="auto"/>
                        <w:right w:val="none" w:sz="0" w:space="0" w:color="auto"/>
                      </w:divBdr>
                    </w:div>
                  </w:divsChild>
                </w:div>
                <w:div w:id="1615206849">
                  <w:marLeft w:val="0"/>
                  <w:marRight w:val="0"/>
                  <w:marTop w:val="0"/>
                  <w:marBottom w:val="0"/>
                  <w:divBdr>
                    <w:top w:val="none" w:sz="0" w:space="0" w:color="auto"/>
                    <w:left w:val="none" w:sz="0" w:space="0" w:color="auto"/>
                    <w:bottom w:val="none" w:sz="0" w:space="0" w:color="auto"/>
                    <w:right w:val="none" w:sz="0" w:space="0" w:color="auto"/>
                  </w:divBdr>
                  <w:divsChild>
                    <w:div w:id="1973631933">
                      <w:marLeft w:val="0"/>
                      <w:marRight w:val="0"/>
                      <w:marTop w:val="0"/>
                      <w:marBottom w:val="0"/>
                      <w:divBdr>
                        <w:top w:val="none" w:sz="0" w:space="0" w:color="auto"/>
                        <w:left w:val="none" w:sz="0" w:space="0" w:color="auto"/>
                        <w:bottom w:val="none" w:sz="0" w:space="0" w:color="auto"/>
                        <w:right w:val="none" w:sz="0" w:space="0" w:color="auto"/>
                      </w:divBdr>
                    </w:div>
                  </w:divsChild>
                </w:div>
                <w:div w:id="1724983207">
                  <w:marLeft w:val="0"/>
                  <w:marRight w:val="0"/>
                  <w:marTop w:val="0"/>
                  <w:marBottom w:val="0"/>
                  <w:divBdr>
                    <w:top w:val="none" w:sz="0" w:space="0" w:color="auto"/>
                    <w:left w:val="none" w:sz="0" w:space="0" w:color="auto"/>
                    <w:bottom w:val="none" w:sz="0" w:space="0" w:color="auto"/>
                    <w:right w:val="none" w:sz="0" w:space="0" w:color="auto"/>
                  </w:divBdr>
                  <w:divsChild>
                    <w:div w:id="1229607971">
                      <w:marLeft w:val="0"/>
                      <w:marRight w:val="0"/>
                      <w:marTop w:val="0"/>
                      <w:marBottom w:val="0"/>
                      <w:divBdr>
                        <w:top w:val="none" w:sz="0" w:space="0" w:color="auto"/>
                        <w:left w:val="none" w:sz="0" w:space="0" w:color="auto"/>
                        <w:bottom w:val="none" w:sz="0" w:space="0" w:color="auto"/>
                        <w:right w:val="none" w:sz="0" w:space="0" w:color="auto"/>
                      </w:divBdr>
                    </w:div>
                  </w:divsChild>
                </w:div>
                <w:div w:id="1747336218">
                  <w:marLeft w:val="0"/>
                  <w:marRight w:val="0"/>
                  <w:marTop w:val="0"/>
                  <w:marBottom w:val="0"/>
                  <w:divBdr>
                    <w:top w:val="none" w:sz="0" w:space="0" w:color="auto"/>
                    <w:left w:val="none" w:sz="0" w:space="0" w:color="auto"/>
                    <w:bottom w:val="none" w:sz="0" w:space="0" w:color="auto"/>
                    <w:right w:val="none" w:sz="0" w:space="0" w:color="auto"/>
                  </w:divBdr>
                  <w:divsChild>
                    <w:div w:id="1012996304">
                      <w:marLeft w:val="0"/>
                      <w:marRight w:val="0"/>
                      <w:marTop w:val="0"/>
                      <w:marBottom w:val="0"/>
                      <w:divBdr>
                        <w:top w:val="none" w:sz="0" w:space="0" w:color="auto"/>
                        <w:left w:val="none" w:sz="0" w:space="0" w:color="auto"/>
                        <w:bottom w:val="none" w:sz="0" w:space="0" w:color="auto"/>
                        <w:right w:val="none" w:sz="0" w:space="0" w:color="auto"/>
                      </w:divBdr>
                    </w:div>
                  </w:divsChild>
                </w:div>
                <w:div w:id="1775056462">
                  <w:marLeft w:val="0"/>
                  <w:marRight w:val="0"/>
                  <w:marTop w:val="0"/>
                  <w:marBottom w:val="0"/>
                  <w:divBdr>
                    <w:top w:val="none" w:sz="0" w:space="0" w:color="auto"/>
                    <w:left w:val="none" w:sz="0" w:space="0" w:color="auto"/>
                    <w:bottom w:val="none" w:sz="0" w:space="0" w:color="auto"/>
                    <w:right w:val="none" w:sz="0" w:space="0" w:color="auto"/>
                  </w:divBdr>
                  <w:divsChild>
                    <w:div w:id="995765614">
                      <w:marLeft w:val="0"/>
                      <w:marRight w:val="0"/>
                      <w:marTop w:val="0"/>
                      <w:marBottom w:val="0"/>
                      <w:divBdr>
                        <w:top w:val="none" w:sz="0" w:space="0" w:color="auto"/>
                        <w:left w:val="none" w:sz="0" w:space="0" w:color="auto"/>
                        <w:bottom w:val="none" w:sz="0" w:space="0" w:color="auto"/>
                        <w:right w:val="none" w:sz="0" w:space="0" w:color="auto"/>
                      </w:divBdr>
                    </w:div>
                  </w:divsChild>
                </w:div>
                <w:div w:id="1992446562">
                  <w:marLeft w:val="0"/>
                  <w:marRight w:val="0"/>
                  <w:marTop w:val="0"/>
                  <w:marBottom w:val="0"/>
                  <w:divBdr>
                    <w:top w:val="none" w:sz="0" w:space="0" w:color="auto"/>
                    <w:left w:val="none" w:sz="0" w:space="0" w:color="auto"/>
                    <w:bottom w:val="none" w:sz="0" w:space="0" w:color="auto"/>
                    <w:right w:val="none" w:sz="0" w:space="0" w:color="auto"/>
                  </w:divBdr>
                  <w:divsChild>
                    <w:div w:id="4064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315">
      <w:bodyDiv w:val="1"/>
      <w:marLeft w:val="0"/>
      <w:marRight w:val="0"/>
      <w:marTop w:val="0"/>
      <w:marBottom w:val="0"/>
      <w:divBdr>
        <w:top w:val="none" w:sz="0" w:space="0" w:color="auto"/>
        <w:left w:val="none" w:sz="0" w:space="0" w:color="auto"/>
        <w:bottom w:val="none" w:sz="0" w:space="0" w:color="auto"/>
        <w:right w:val="none" w:sz="0" w:space="0" w:color="auto"/>
      </w:divBdr>
      <w:divsChild>
        <w:div w:id="1449203041">
          <w:marLeft w:val="0"/>
          <w:marRight w:val="0"/>
          <w:marTop w:val="0"/>
          <w:marBottom w:val="0"/>
          <w:divBdr>
            <w:top w:val="none" w:sz="0" w:space="0" w:color="auto"/>
            <w:left w:val="none" w:sz="0" w:space="0" w:color="auto"/>
            <w:bottom w:val="none" w:sz="0" w:space="0" w:color="auto"/>
            <w:right w:val="none" w:sz="0" w:space="0" w:color="auto"/>
          </w:divBdr>
          <w:divsChild>
            <w:div w:id="1469082714">
              <w:marLeft w:val="0"/>
              <w:marRight w:val="0"/>
              <w:marTop w:val="0"/>
              <w:marBottom w:val="0"/>
              <w:divBdr>
                <w:top w:val="none" w:sz="0" w:space="0" w:color="auto"/>
                <w:left w:val="none" w:sz="0" w:space="0" w:color="auto"/>
                <w:bottom w:val="none" w:sz="0" w:space="0" w:color="auto"/>
                <w:right w:val="none" w:sz="0" w:space="0" w:color="auto"/>
              </w:divBdr>
            </w:div>
            <w:div w:id="1854875770">
              <w:marLeft w:val="0"/>
              <w:marRight w:val="0"/>
              <w:marTop w:val="0"/>
              <w:marBottom w:val="0"/>
              <w:divBdr>
                <w:top w:val="none" w:sz="0" w:space="0" w:color="auto"/>
                <w:left w:val="none" w:sz="0" w:space="0" w:color="auto"/>
                <w:bottom w:val="none" w:sz="0" w:space="0" w:color="auto"/>
                <w:right w:val="none" w:sz="0" w:space="0" w:color="auto"/>
              </w:divBdr>
            </w:div>
          </w:divsChild>
        </w:div>
        <w:div w:id="1991445385">
          <w:marLeft w:val="0"/>
          <w:marRight w:val="0"/>
          <w:marTop w:val="0"/>
          <w:marBottom w:val="0"/>
          <w:divBdr>
            <w:top w:val="none" w:sz="0" w:space="0" w:color="auto"/>
            <w:left w:val="none" w:sz="0" w:space="0" w:color="auto"/>
            <w:bottom w:val="none" w:sz="0" w:space="0" w:color="auto"/>
            <w:right w:val="none" w:sz="0" w:space="0" w:color="auto"/>
          </w:divBdr>
          <w:divsChild>
            <w:div w:id="218328588">
              <w:marLeft w:val="0"/>
              <w:marRight w:val="0"/>
              <w:marTop w:val="0"/>
              <w:marBottom w:val="0"/>
              <w:divBdr>
                <w:top w:val="none" w:sz="0" w:space="0" w:color="auto"/>
                <w:left w:val="none" w:sz="0" w:space="0" w:color="auto"/>
                <w:bottom w:val="none" w:sz="0" w:space="0" w:color="auto"/>
                <w:right w:val="none" w:sz="0" w:space="0" w:color="auto"/>
              </w:divBdr>
            </w:div>
            <w:div w:id="1032879487">
              <w:marLeft w:val="0"/>
              <w:marRight w:val="0"/>
              <w:marTop w:val="0"/>
              <w:marBottom w:val="0"/>
              <w:divBdr>
                <w:top w:val="none" w:sz="0" w:space="0" w:color="auto"/>
                <w:left w:val="none" w:sz="0" w:space="0" w:color="auto"/>
                <w:bottom w:val="none" w:sz="0" w:space="0" w:color="auto"/>
                <w:right w:val="none" w:sz="0" w:space="0" w:color="auto"/>
              </w:divBdr>
            </w:div>
            <w:div w:id="1063484840">
              <w:marLeft w:val="0"/>
              <w:marRight w:val="0"/>
              <w:marTop w:val="0"/>
              <w:marBottom w:val="0"/>
              <w:divBdr>
                <w:top w:val="none" w:sz="0" w:space="0" w:color="auto"/>
                <w:left w:val="none" w:sz="0" w:space="0" w:color="auto"/>
                <w:bottom w:val="none" w:sz="0" w:space="0" w:color="auto"/>
                <w:right w:val="none" w:sz="0" w:space="0" w:color="auto"/>
              </w:divBdr>
            </w:div>
            <w:div w:id="1366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8546188">
      <w:bodyDiv w:val="1"/>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30"/>
              <w:marBottom w:val="30"/>
              <w:divBdr>
                <w:top w:val="none" w:sz="0" w:space="0" w:color="auto"/>
                <w:left w:val="none" w:sz="0" w:space="0" w:color="auto"/>
                <w:bottom w:val="none" w:sz="0" w:space="0" w:color="auto"/>
                <w:right w:val="none" w:sz="0" w:space="0" w:color="auto"/>
              </w:divBdr>
              <w:divsChild>
                <w:div w:id="130174950">
                  <w:marLeft w:val="0"/>
                  <w:marRight w:val="0"/>
                  <w:marTop w:val="0"/>
                  <w:marBottom w:val="0"/>
                  <w:divBdr>
                    <w:top w:val="none" w:sz="0" w:space="0" w:color="auto"/>
                    <w:left w:val="none" w:sz="0" w:space="0" w:color="auto"/>
                    <w:bottom w:val="none" w:sz="0" w:space="0" w:color="auto"/>
                    <w:right w:val="none" w:sz="0" w:space="0" w:color="auto"/>
                  </w:divBdr>
                  <w:divsChild>
                    <w:div w:id="1592424393">
                      <w:marLeft w:val="0"/>
                      <w:marRight w:val="0"/>
                      <w:marTop w:val="0"/>
                      <w:marBottom w:val="0"/>
                      <w:divBdr>
                        <w:top w:val="none" w:sz="0" w:space="0" w:color="auto"/>
                        <w:left w:val="none" w:sz="0" w:space="0" w:color="auto"/>
                        <w:bottom w:val="none" w:sz="0" w:space="0" w:color="auto"/>
                        <w:right w:val="none" w:sz="0" w:space="0" w:color="auto"/>
                      </w:divBdr>
                    </w:div>
                  </w:divsChild>
                </w:div>
                <w:div w:id="294726108">
                  <w:marLeft w:val="0"/>
                  <w:marRight w:val="0"/>
                  <w:marTop w:val="0"/>
                  <w:marBottom w:val="0"/>
                  <w:divBdr>
                    <w:top w:val="none" w:sz="0" w:space="0" w:color="auto"/>
                    <w:left w:val="none" w:sz="0" w:space="0" w:color="auto"/>
                    <w:bottom w:val="none" w:sz="0" w:space="0" w:color="auto"/>
                    <w:right w:val="none" w:sz="0" w:space="0" w:color="auto"/>
                  </w:divBdr>
                  <w:divsChild>
                    <w:div w:id="342827431">
                      <w:marLeft w:val="0"/>
                      <w:marRight w:val="0"/>
                      <w:marTop w:val="0"/>
                      <w:marBottom w:val="0"/>
                      <w:divBdr>
                        <w:top w:val="none" w:sz="0" w:space="0" w:color="auto"/>
                        <w:left w:val="none" w:sz="0" w:space="0" w:color="auto"/>
                        <w:bottom w:val="none" w:sz="0" w:space="0" w:color="auto"/>
                        <w:right w:val="none" w:sz="0" w:space="0" w:color="auto"/>
                      </w:divBdr>
                    </w:div>
                  </w:divsChild>
                </w:div>
                <w:div w:id="344019266">
                  <w:marLeft w:val="0"/>
                  <w:marRight w:val="0"/>
                  <w:marTop w:val="0"/>
                  <w:marBottom w:val="0"/>
                  <w:divBdr>
                    <w:top w:val="none" w:sz="0" w:space="0" w:color="auto"/>
                    <w:left w:val="none" w:sz="0" w:space="0" w:color="auto"/>
                    <w:bottom w:val="none" w:sz="0" w:space="0" w:color="auto"/>
                    <w:right w:val="none" w:sz="0" w:space="0" w:color="auto"/>
                  </w:divBdr>
                  <w:divsChild>
                    <w:div w:id="554387778">
                      <w:marLeft w:val="0"/>
                      <w:marRight w:val="0"/>
                      <w:marTop w:val="0"/>
                      <w:marBottom w:val="0"/>
                      <w:divBdr>
                        <w:top w:val="none" w:sz="0" w:space="0" w:color="auto"/>
                        <w:left w:val="none" w:sz="0" w:space="0" w:color="auto"/>
                        <w:bottom w:val="none" w:sz="0" w:space="0" w:color="auto"/>
                        <w:right w:val="none" w:sz="0" w:space="0" w:color="auto"/>
                      </w:divBdr>
                    </w:div>
                  </w:divsChild>
                </w:div>
                <w:div w:id="386152382">
                  <w:marLeft w:val="0"/>
                  <w:marRight w:val="0"/>
                  <w:marTop w:val="0"/>
                  <w:marBottom w:val="0"/>
                  <w:divBdr>
                    <w:top w:val="none" w:sz="0" w:space="0" w:color="auto"/>
                    <w:left w:val="none" w:sz="0" w:space="0" w:color="auto"/>
                    <w:bottom w:val="none" w:sz="0" w:space="0" w:color="auto"/>
                    <w:right w:val="none" w:sz="0" w:space="0" w:color="auto"/>
                  </w:divBdr>
                  <w:divsChild>
                    <w:div w:id="1095710507">
                      <w:marLeft w:val="0"/>
                      <w:marRight w:val="0"/>
                      <w:marTop w:val="0"/>
                      <w:marBottom w:val="0"/>
                      <w:divBdr>
                        <w:top w:val="none" w:sz="0" w:space="0" w:color="auto"/>
                        <w:left w:val="none" w:sz="0" w:space="0" w:color="auto"/>
                        <w:bottom w:val="none" w:sz="0" w:space="0" w:color="auto"/>
                        <w:right w:val="none" w:sz="0" w:space="0" w:color="auto"/>
                      </w:divBdr>
                    </w:div>
                  </w:divsChild>
                </w:div>
                <w:div w:id="615018962">
                  <w:marLeft w:val="0"/>
                  <w:marRight w:val="0"/>
                  <w:marTop w:val="0"/>
                  <w:marBottom w:val="0"/>
                  <w:divBdr>
                    <w:top w:val="none" w:sz="0" w:space="0" w:color="auto"/>
                    <w:left w:val="none" w:sz="0" w:space="0" w:color="auto"/>
                    <w:bottom w:val="none" w:sz="0" w:space="0" w:color="auto"/>
                    <w:right w:val="none" w:sz="0" w:space="0" w:color="auto"/>
                  </w:divBdr>
                  <w:divsChild>
                    <w:div w:id="1275868094">
                      <w:marLeft w:val="0"/>
                      <w:marRight w:val="0"/>
                      <w:marTop w:val="0"/>
                      <w:marBottom w:val="0"/>
                      <w:divBdr>
                        <w:top w:val="none" w:sz="0" w:space="0" w:color="auto"/>
                        <w:left w:val="none" w:sz="0" w:space="0" w:color="auto"/>
                        <w:bottom w:val="none" w:sz="0" w:space="0" w:color="auto"/>
                        <w:right w:val="none" w:sz="0" w:space="0" w:color="auto"/>
                      </w:divBdr>
                    </w:div>
                  </w:divsChild>
                </w:div>
                <w:div w:id="800996403">
                  <w:marLeft w:val="0"/>
                  <w:marRight w:val="0"/>
                  <w:marTop w:val="0"/>
                  <w:marBottom w:val="0"/>
                  <w:divBdr>
                    <w:top w:val="none" w:sz="0" w:space="0" w:color="auto"/>
                    <w:left w:val="none" w:sz="0" w:space="0" w:color="auto"/>
                    <w:bottom w:val="none" w:sz="0" w:space="0" w:color="auto"/>
                    <w:right w:val="none" w:sz="0" w:space="0" w:color="auto"/>
                  </w:divBdr>
                  <w:divsChild>
                    <w:div w:id="71391982">
                      <w:marLeft w:val="0"/>
                      <w:marRight w:val="0"/>
                      <w:marTop w:val="0"/>
                      <w:marBottom w:val="0"/>
                      <w:divBdr>
                        <w:top w:val="none" w:sz="0" w:space="0" w:color="auto"/>
                        <w:left w:val="none" w:sz="0" w:space="0" w:color="auto"/>
                        <w:bottom w:val="none" w:sz="0" w:space="0" w:color="auto"/>
                        <w:right w:val="none" w:sz="0" w:space="0" w:color="auto"/>
                      </w:divBdr>
                    </w:div>
                    <w:div w:id="84806556">
                      <w:marLeft w:val="0"/>
                      <w:marRight w:val="0"/>
                      <w:marTop w:val="0"/>
                      <w:marBottom w:val="0"/>
                      <w:divBdr>
                        <w:top w:val="none" w:sz="0" w:space="0" w:color="auto"/>
                        <w:left w:val="none" w:sz="0" w:space="0" w:color="auto"/>
                        <w:bottom w:val="none" w:sz="0" w:space="0" w:color="auto"/>
                        <w:right w:val="none" w:sz="0" w:space="0" w:color="auto"/>
                      </w:divBdr>
                    </w:div>
                    <w:div w:id="232279030">
                      <w:marLeft w:val="0"/>
                      <w:marRight w:val="0"/>
                      <w:marTop w:val="0"/>
                      <w:marBottom w:val="0"/>
                      <w:divBdr>
                        <w:top w:val="none" w:sz="0" w:space="0" w:color="auto"/>
                        <w:left w:val="none" w:sz="0" w:space="0" w:color="auto"/>
                        <w:bottom w:val="none" w:sz="0" w:space="0" w:color="auto"/>
                        <w:right w:val="none" w:sz="0" w:space="0" w:color="auto"/>
                      </w:divBdr>
                    </w:div>
                    <w:div w:id="1347898830">
                      <w:marLeft w:val="0"/>
                      <w:marRight w:val="0"/>
                      <w:marTop w:val="0"/>
                      <w:marBottom w:val="0"/>
                      <w:divBdr>
                        <w:top w:val="none" w:sz="0" w:space="0" w:color="auto"/>
                        <w:left w:val="none" w:sz="0" w:space="0" w:color="auto"/>
                        <w:bottom w:val="none" w:sz="0" w:space="0" w:color="auto"/>
                        <w:right w:val="none" w:sz="0" w:space="0" w:color="auto"/>
                      </w:divBdr>
                    </w:div>
                    <w:div w:id="1353678759">
                      <w:marLeft w:val="0"/>
                      <w:marRight w:val="0"/>
                      <w:marTop w:val="0"/>
                      <w:marBottom w:val="0"/>
                      <w:divBdr>
                        <w:top w:val="none" w:sz="0" w:space="0" w:color="auto"/>
                        <w:left w:val="none" w:sz="0" w:space="0" w:color="auto"/>
                        <w:bottom w:val="none" w:sz="0" w:space="0" w:color="auto"/>
                        <w:right w:val="none" w:sz="0" w:space="0" w:color="auto"/>
                      </w:divBdr>
                    </w:div>
                    <w:div w:id="1797026247">
                      <w:marLeft w:val="0"/>
                      <w:marRight w:val="0"/>
                      <w:marTop w:val="0"/>
                      <w:marBottom w:val="0"/>
                      <w:divBdr>
                        <w:top w:val="none" w:sz="0" w:space="0" w:color="auto"/>
                        <w:left w:val="none" w:sz="0" w:space="0" w:color="auto"/>
                        <w:bottom w:val="none" w:sz="0" w:space="0" w:color="auto"/>
                        <w:right w:val="none" w:sz="0" w:space="0" w:color="auto"/>
                      </w:divBdr>
                    </w:div>
                  </w:divsChild>
                </w:div>
                <w:div w:id="852036153">
                  <w:marLeft w:val="0"/>
                  <w:marRight w:val="0"/>
                  <w:marTop w:val="0"/>
                  <w:marBottom w:val="0"/>
                  <w:divBdr>
                    <w:top w:val="none" w:sz="0" w:space="0" w:color="auto"/>
                    <w:left w:val="none" w:sz="0" w:space="0" w:color="auto"/>
                    <w:bottom w:val="none" w:sz="0" w:space="0" w:color="auto"/>
                    <w:right w:val="none" w:sz="0" w:space="0" w:color="auto"/>
                  </w:divBdr>
                  <w:divsChild>
                    <w:div w:id="850028843">
                      <w:marLeft w:val="0"/>
                      <w:marRight w:val="0"/>
                      <w:marTop w:val="0"/>
                      <w:marBottom w:val="0"/>
                      <w:divBdr>
                        <w:top w:val="none" w:sz="0" w:space="0" w:color="auto"/>
                        <w:left w:val="none" w:sz="0" w:space="0" w:color="auto"/>
                        <w:bottom w:val="none" w:sz="0" w:space="0" w:color="auto"/>
                        <w:right w:val="none" w:sz="0" w:space="0" w:color="auto"/>
                      </w:divBdr>
                    </w:div>
                  </w:divsChild>
                </w:div>
                <w:div w:id="910775363">
                  <w:marLeft w:val="0"/>
                  <w:marRight w:val="0"/>
                  <w:marTop w:val="0"/>
                  <w:marBottom w:val="0"/>
                  <w:divBdr>
                    <w:top w:val="none" w:sz="0" w:space="0" w:color="auto"/>
                    <w:left w:val="none" w:sz="0" w:space="0" w:color="auto"/>
                    <w:bottom w:val="none" w:sz="0" w:space="0" w:color="auto"/>
                    <w:right w:val="none" w:sz="0" w:space="0" w:color="auto"/>
                  </w:divBdr>
                  <w:divsChild>
                    <w:div w:id="284164207">
                      <w:marLeft w:val="0"/>
                      <w:marRight w:val="0"/>
                      <w:marTop w:val="0"/>
                      <w:marBottom w:val="0"/>
                      <w:divBdr>
                        <w:top w:val="none" w:sz="0" w:space="0" w:color="auto"/>
                        <w:left w:val="none" w:sz="0" w:space="0" w:color="auto"/>
                        <w:bottom w:val="none" w:sz="0" w:space="0" w:color="auto"/>
                        <w:right w:val="none" w:sz="0" w:space="0" w:color="auto"/>
                      </w:divBdr>
                    </w:div>
                  </w:divsChild>
                </w:div>
                <w:div w:id="1066076548">
                  <w:marLeft w:val="0"/>
                  <w:marRight w:val="0"/>
                  <w:marTop w:val="0"/>
                  <w:marBottom w:val="0"/>
                  <w:divBdr>
                    <w:top w:val="none" w:sz="0" w:space="0" w:color="auto"/>
                    <w:left w:val="none" w:sz="0" w:space="0" w:color="auto"/>
                    <w:bottom w:val="none" w:sz="0" w:space="0" w:color="auto"/>
                    <w:right w:val="none" w:sz="0" w:space="0" w:color="auto"/>
                  </w:divBdr>
                  <w:divsChild>
                    <w:div w:id="109473117">
                      <w:marLeft w:val="0"/>
                      <w:marRight w:val="0"/>
                      <w:marTop w:val="0"/>
                      <w:marBottom w:val="0"/>
                      <w:divBdr>
                        <w:top w:val="none" w:sz="0" w:space="0" w:color="auto"/>
                        <w:left w:val="none" w:sz="0" w:space="0" w:color="auto"/>
                        <w:bottom w:val="none" w:sz="0" w:space="0" w:color="auto"/>
                        <w:right w:val="none" w:sz="0" w:space="0" w:color="auto"/>
                      </w:divBdr>
                    </w:div>
                  </w:divsChild>
                </w:div>
                <w:div w:id="1116410975">
                  <w:marLeft w:val="0"/>
                  <w:marRight w:val="0"/>
                  <w:marTop w:val="0"/>
                  <w:marBottom w:val="0"/>
                  <w:divBdr>
                    <w:top w:val="none" w:sz="0" w:space="0" w:color="auto"/>
                    <w:left w:val="none" w:sz="0" w:space="0" w:color="auto"/>
                    <w:bottom w:val="none" w:sz="0" w:space="0" w:color="auto"/>
                    <w:right w:val="none" w:sz="0" w:space="0" w:color="auto"/>
                  </w:divBdr>
                  <w:divsChild>
                    <w:div w:id="1505822068">
                      <w:marLeft w:val="0"/>
                      <w:marRight w:val="0"/>
                      <w:marTop w:val="0"/>
                      <w:marBottom w:val="0"/>
                      <w:divBdr>
                        <w:top w:val="none" w:sz="0" w:space="0" w:color="auto"/>
                        <w:left w:val="none" w:sz="0" w:space="0" w:color="auto"/>
                        <w:bottom w:val="none" w:sz="0" w:space="0" w:color="auto"/>
                        <w:right w:val="none" w:sz="0" w:space="0" w:color="auto"/>
                      </w:divBdr>
                    </w:div>
                  </w:divsChild>
                </w:div>
                <w:div w:id="1314481125">
                  <w:marLeft w:val="0"/>
                  <w:marRight w:val="0"/>
                  <w:marTop w:val="0"/>
                  <w:marBottom w:val="0"/>
                  <w:divBdr>
                    <w:top w:val="none" w:sz="0" w:space="0" w:color="auto"/>
                    <w:left w:val="none" w:sz="0" w:space="0" w:color="auto"/>
                    <w:bottom w:val="none" w:sz="0" w:space="0" w:color="auto"/>
                    <w:right w:val="none" w:sz="0" w:space="0" w:color="auto"/>
                  </w:divBdr>
                  <w:divsChild>
                    <w:div w:id="901646549">
                      <w:marLeft w:val="0"/>
                      <w:marRight w:val="0"/>
                      <w:marTop w:val="0"/>
                      <w:marBottom w:val="0"/>
                      <w:divBdr>
                        <w:top w:val="none" w:sz="0" w:space="0" w:color="auto"/>
                        <w:left w:val="none" w:sz="0" w:space="0" w:color="auto"/>
                        <w:bottom w:val="none" w:sz="0" w:space="0" w:color="auto"/>
                        <w:right w:val="none" w:sz="0" w:space="0" w:color="auto"/>
                      </w:divBdr>
                    </w:div>
                  </w:divsChild>
                </w:div>
                <w:div w:id="1473215212">
                  <w:marLeft w:val="0"/>
                  <w:marRight w:val="0"/>
                  <w:marTop w:val="0"/>
                  <w:marBottom w:val="0"/>
                  <w:divBdr>
                    <w:top w:val="none" w:sz="0" w:space="0" w:color="auto"/>
                    <w:left w:val="none" w:sz="0" w:space="0" w:color="auto"/>
                    <w:bottom w:val="none" w:sz="0" w:space="0" w:color="auto"/>
                    <w:right w:val="none" w:sz="0" w:space="0" w:color="auto"/>
                  </w:divBdr>
                  <w:divsChild>
                    <w:div w:id="240337141">
                      <w:marLeft w:val="0"/>
                      <w:marRight w:val="0"/>
                      <w:marTop w:val="0"/>
                      <w:marBottom w:val="0"/>
                      <w:divBdr>
                        <w:top w:val="none" w:sz="0" w:space="0" w:color="auto"/>
                        <w:left w:val="none" w:sz="0" w:space="0" w:color="auto"/>
                        <w:bottom w:val="none" w:sz="0" w:space="0" w:color="auto"/>
                        <w:right w:val="none" w:sz="0" w:space="0" w:color="auto"/>
                      </w:divBdr>
                    </w:div>
                    <w:div w:id="529954476">
                      <w:marLeft w:val="0"/>
                      <w:marRight w:val="0"/>
                      <w:marTop w:val="0"/>
                      <w:marBottom w:val="0"/>
                      <w:divBdr>
                        <w:top w:val="none" w:sz="0" w:space="0" w:color="auto"/>
                        <w:left w:val="none" w:sz="0" w:space="0" w:color="auto"/>
                        <w:bottom w:val="none" w:sz="0" w:space="0" w:color="auto"/>
                        <w:right w:val="none" w:sz="0" w:space="0" w:color="auto"/>
                      </w:divBdr>
                    </w:div>
                    <w:div w:id="577053907">
                      <w:marLeft w:val="0"/>
                      <w:marRight w:val="0"/>
                      <w:marTop w:val="0"/>
                      <w:marBottom w:val="0"/>
                      <w:divBdr>
                        <w:top w:val="none" w:sz="0" w:space="0" w:color="auto"/>
                        <w:left w:val="none" w:sz="0" w:space="0" w:color="auto"/>
                        <w:bottom w:val="none" w:sz="0" w:space="0" w:color="auto"/>
                        <w:right w:val="none" w:sz="0" w:space="0" w:color="auto"/>
                      </w:divBdr>
                    </w:div>
                    <w:div w:id="772558812">
                      <w:marLeft w:val="0"/>
                      <w:marRight w:val="0"/>
                      <w:marTop w:val="0"/>
                      <w:marBottom w:val="0"/>
                      <w:divBdr>
                        <w:top w:val="none" w:sz="0" w:space="0" w:color="auto"/>
                        <w:left w:val="none" w:sz="0" w:space="0" w:color="auto"/>
                        <w:bottom w:val="none" w:sz="0" w:space="0" w:color="auto"/>
                        <w:right w:val="none" w:sz="0" w:space="0" w:color="auto"/>
                      </w:divBdr>
                    </w:div>
                    <w:div w:id="1140423956">
                      <w:marLeft w:val="0"/>
                      <w:marRight w:val="0"/>
                      <w:marTop w:val="0"/>
                      <w:marBottom w:val="0"/>
                      <w:divBdr>
                        <w:top w:val="none" w:sz="0" w:space="0" w:color="auto"/>
                        <w:left w:val="none" w:sz="0" w:space="0" w:color="auto"/>
                        <w:bottom w:val="none" w:sz="0" w:space="0" w:color="auto"/>
                        <w:right w:val="none" w:sz="0" w:space="0" w:color="auto"/>
                      </w:divBdr>
                    </w:div>
                    <w:div w:id="1181776682">
                      <w:marLeft w:val="0"/>
                      <w:marRight w:val="0"/>
                      <w:marTop w:val="0"/>
                      <w:marBottom w:val="0"/>
                      <w:divBdr>
                        <w:top w:val="none" w:sz="0" w:space="0" w:color="auto"/>
                        <w:left w:val="none" w:sz="0" w:space="0" w:color="auto"/>
                        <w:bottom w:val="none" w:sz="0" w:space="0" w:color="auto"/>
                        <w:right w:val="none" w:sz="0" w:space="0" w:color="auto"/>
                      </w:divBdr>
                    </w:div>
                    <w:div w:id="1244949884">
                      <w:marLeft w:val="0"/>
                      <w:marRight w:val="0"/>
                      <w:marTop w:val="0"/>
                      <w:marBottom w:val="0"/>
                      <w:divBdr>
                        <w:top w:val="none" w:sz="0" w:space="0" w:color="auto"/>
                        <w:left w:val="none" w:sz="0" w:space="0" w:color="auto"/>
                        <w:bottom w:val="none" w:sz="0" w:space="0" w:color="auto"/>
                        <w:right w:val="none" w:sz="0" w:space="0" w:color="auto"/>
                      </w:divBdr>
                    </w:div>
                    <w:div w:id="1452899756">
                      <w:marLeft w:val="0"/>
                      <w:marRight w:val="0"/>
                      <w:marTop w:val="0"/>
                      <w:marBottom w:val="0"/>
                      <w:divBdr>
                        <w:top w:val="none" w:sz="0" w:space="0" w:color="auto"/>
                        <w:left w:val="none" w:sz="0" w:space="0" w:color="auto"/>
                        <w:bottom w:val="none" w:sz="0" w:space="0" w:color="auto"/>
                        <w:right w:val="none" w:sz="0" w:space="0" w:color="auto"/>
                      </w:divBdr>
                    </w:div>
                    <w:div w:id="1754930600">
                      <w:marLeft w:val="0"/>
                      <w:marRight w:val="0"/>
                      <w:marTop w:val="0"/>
                      <w:marBottom w:val="0"/>
                      <w:divBdr>
                        <w:top w:val="none" w:sz="0" w:space="0" w:color="auto"/>
                        <w:left w:val="none" w:sz="0" w:space="0" w:color="auto"/>
                        <w:bottom w:val="none" w:sz="0" w:space="0" w:color="auto"/>
                        <w:right w:val="none" w:sz="0" w:space="0" w:color="auto"/>
                      </w:divBdr>
                    </w:div>
                    <w:div w:id="1833905304">
                      <w:marLeft w:val="0"/>
                      <w:marRight w:val="0"/>
                      <w:marTop w:val="0"/>
                      <w:marBottom w:val="0"/>
                      <w:divBdr>
                        <w:top w:val="none" w:sz="0" w:space="0" w:color="auto"/>
                        <w:left w:val="none" w:sz="0" w:space="0" w:color="auto"/>
                        <w:bottom w:val="none" w:sz="0" w:space="0" w:color="auto"/>
                        <w:right w:val="none" w:sz="0" w:space="0" w:color="auto"/>
                      </w:divBdr>
                    </w:div>
                  </w:divsChild>
                </w:div>
                <w:div w:id="1630429769">
                  <w:marLeft w:val="0"/>
                  <w:marRight w:val="0"/>
                  <w:marTop w:val="0"/>
                  <w:marBottom w:val="0"/>
                  <w:divBdr>
                    <w:top w:val="none" w:sz="0" w:space="0" w:color="auto"/>
                    <w:left w:val="none" w:sz="0" w:space="0" w:color="auto"/>
                    <w:bottom w:val="none" w:sz="0" w:space="0" w:color="auto"/>
                    <w:right w:val="none" w:sz="0" w:space="0" w:color="auto"/>
                  </w:divBdr>
                  <w:divsChild>
                    <w:div w:id="713313188">
                      <w:marLeft w:val="0"/>
                      <w:marRight w:val="0"/>
                      <w:marTop w:val="0"/>
                      <w:marBottom w:val="0"/>
                      <w:divBdr>
                        <w:top w:val="none" w:sz="0" w:space="0" w:color="auto"/>
                        <w:left w:val="none" w:sz="0" w:space="0" w:color="auto"/>
                        <w:bottom w:val="none" w:sz="0" w:space="0" w:color="auto"/>
                        <w:right w:val="none" w:sz="0" w:space="0" w:color="auto"/>
                      </w:divBdr>
                    </w:div>
                  </w:divsChild>
                </w:div>
                <w:div w:id="1759210286">
                  <w:marLeft w:val="0"/>
                  <w:marRight w:val="0"/>
                  <w:marTop w:val="0"/>
                  <w:marBottom w:val="0"/>
                  <w:divBdr>
                    <w:top w:val="none" w:sz="0" w:space="0" w:color="auto"/>
                    <w:left w:val="none" w:sz="0" w:space="0" w:color="auto"/>
                    <w:bottom w:val="none" w:sz="0" w:space="0" w:color="auto"/>
                    <w:right w:val="none" w:sz="0" w:space="0" w:color="auto"/>
                  </w:divBdr>
                  <w:divsChild>
                    <w:div w:id="980692271">
                      <w:marLeft w:val="0"/>
                      <w:marRight w:val="0"/>
                      <w:marTop w:val="0"/>
                      <w:marBottom w:val="0"/>
                      <w:divBdr>
                        <w:top w:val="none" w:sz="0" w:space="0" w:color="auto"/>
                        <w:left w:val="none" w:sz="0" w:space="0" w:color="auto"/>
                        <w:bottom w:val="none" w:sz="0" w:space="0" w:color="auto"/>
                        <w:right w:val="none" w:sz="0" w:space="0" w:color="auto"/>
                      </w:divBdr>
                    </w:div>
                    <w:div w:id="1789741753">
                      <w:marLeft w:val="0"/>
                      <w:marRight w:val="0"/>
                      <w:marTop w:val="0"/>
                      <w:marBottom w:val="0"/>
                      <w:divBdr>
                        <w:top w:val="none" w:sz="0" w:space="0" w:color="auto"/>
                        <w:left w:val="none" w:sz="0" w:space="0" w:color="auto"/>
                        <w:bottom w:val="none" w:sz="0" w:space="0" w:color="auto"/>
                        <w:right w:val="none" w:sz="0" w:space="0" w:color="auto"/>
                      </w:divBdr>
                    </w:div>
                  </w:divsChild>
                </w:div>
                <w:div w:id="1809080547">
                  <w:marLeft w:val="0"/>
                  <w:marRight w:val="0"/>
                  <w:marTop w:val="0"/>
                  <w:marBottom w:val="0"/>
                  <w:divBdr>
                    <w:top w:val="none" w:sz="0" w:space="0" w:color="auto"/>
                    <w:left w:val="none" w:sz="0" w:space="0" w:color="auto"/>
                    <w:bottom w:val="none" w:sz="0" w:space="0" w:color="auto"/>
                    <w:right w:val="none" w:sz="0" w:space="0" w:color="auto"/>
                  </w:divBdr>
                  <w:divsChild>
                    <w:div w:id="1495026486">
                      <w:marLeft w:val="0"/>
                      <w:marRight w:val="0"/>
                      <w:marTop w:val="0"/>
                      <w:marBottom w:val="0"/>
                      <w:divBdr>
                        <w:top w:val="none" w:sz="0" w:space="0" w:color="auto"/>
                        <w:left w:val="none" w:sz="0" w:space="0" w:color="auto"/>
                        <w:bottom w:val="none" w:sz="0" w:space="0" w:color="auto"/>
                        <w:right w:val="none" w:sz="0" w:space="0" w:color="auto"/>
                      </w:divBdr>
                    </w:div>
                  </w:divsChild>
                </w:div>
                <w:div w:id="1908222304">
                  <w:marLeft w:val="0"/>
                  <w:marRight w:val="0"/>
                  <w:marTop w:val="0"/>
                  <w:marBottom w:val="0"/>
                  <w:divBdr>
                    <w:top w:val="none" w:sz="0" w:space="0" w:color="auto"/>
                    <w:left w:val="none" w:sz="0" w:space="0" w:color="auto"/>
                    <w:bottom w:val="none" w:sz="0" w:space="0" w:color="auto"/>
                    <w:right w:val="none" w:sz="0" w:space="0" w:color="auto"/>
                  </w:divBdr>
                  <w:divsChild>
                    <w:div w:id="1921334276">
                      <w:marLeft w:val="0"/>
                      <w:marRight w:val="0"/>
                      <w:marTop w:val="0"/>
                      <w:marBottom w:val="0"/>
                      <w:divBdr>
                        <w:top w:val="none" w:sz="0" w:space="0" w:color="auto"/>
                        <w:left w:val="none" w:sz="0" w:space="0" w:color="auto"/>
                        <w:bottom w:val="none" w:sz="0" w:space="0" w:color="auto"/>
                        <w:right w:val="none" w:sz="0" w:space="0" w:color="auto"/>
                      </w:divBdr>
                    </w:div>
                  </w:divsChild>
                </w:div>
                <w:div w:id="1946960799">
                  <w:marLeft w:val="0"/>
                  <w:marRight w:val="0"/>
                  <w:marTop w:val="0"/>
                  <w:marBottom w:val="0"/>
                  <w:divBdr>
                    <w:top w:val="none" w:sz="0" w:space="0" w:color="auto"/>
                    <w:left w:val="none" w:sz="0" w:space="0" w:color="auto"/>
                    <w:bottom w:val="none" w:sz="0" w:space="0" w:color="auto"/>
                    <w:right w:val="none" w:sz="0" w:space="0" w:color="auto"/>
                  </w:divBdr>
                  <w:divsChild>
                    <w:div w:id="449015458">
                      <w:marLeft w:val="0"/>
                      <w:marRight w:val="0"/>
                      <w:marTop w:val="0"/>
                      <w:marBottom w:val="0"/>
                      <w:divBdr>
                        <w:top w:val="none" w:sz="0" w:space="0" w:color="auto"/>
                        <w:left w:val="none" w:sz="0" w:space="0" w:color="auto"/>
                        <w:bottom w:val="none" w:sz="0" w:space="0" w:color="auto"/>
                        <w:right w:val="none" w:sz="0" w:space="0" w:color="auto"/>
                      </w:divBdr>
                    </w:div>
                  </w:divsChild>
                </w:div>
                <w:div w:id="1967809481">
                  <w:marLeft w:val="0"/>
                  <w:marRight w:val="0"/>
                  <w:marTop w:val="0"/>
                  <w:marBottom w:val="0"/>
                  <w:divBdr>
                    <w:top w:val="none" w:sz="0" w:space="0" w:color="auto"/>
                    <w:left w:val="none" w:sz="0" w:space="0" w:color="auto"/>
                    <w:bottom w:val="none" w:sz="0" w:space="0" w:color="auto"/>
                    <w:right w:val="none" w:sz="0" w:space="0" w:color="auto"/>
                  </w:divBdr>
                  <w:divsChild>
                    <w:div w:id="1780562611">
                      <w:marLeft w:val="0"/>
                      <w:marRight w:val="0"/>
                      <w:marTop w:val="0"/>
                      <w:marBottom w:val="0"/>
                      <w:divBdr>
                        <w:top w:val="none" w:sz="0" w:space="0" w:color="auto"/>
                        <w:left w:val="none" w:sz="0" w:space="0" w:color="auto"/>
                        <w:bottom w:val="none" w:sz="0" w:space="0" w:color="auto"/>
                        <w:right w:val="none" w:sz="0" w:space="0" w:color="auto"/>
                      </w:divBdr>
                    </w:div>
                  </w:divsChild>
                </w:div>
                <w:div w:id="2006012091">
                  <w:marLeft w:val="0"/>
                  <w:marRight w:val="0"/>
                  <w:marTop w:val="0"/>
                  <w:marBottom w:val="0"/>
                  <w:divBdr>
                    <w:top w:val="none" w:sz="0" w:space="0" w:color="auto"/>
                    <w:left w:val="none" w:sz="0" w:space="0" w:color="auto"/>
                    <w:bottom w:val="none" w:sz="0" w:space="0" w:color="auto"/>
                    <w:right w:val="none" w:sz="0" w:space="0" w:color="auto"/>
                  </w:divBdr>
                  <w:divsChild>
                    <w:div w:id="1837069977">
                      <w:marLeft w:val="0"/>
                      <w:marRight w:val="0"/>
                      <w:marTop w:val="0"/>
                      <w:marBottom w:val="0"/>
                      <w:divBdr>
                        <w:top w:val="none" w:sz="0" w:space="0" w:color="auto"/>
                        <w:left w:val="none" w:sz="0" w:space="0" w:color="auto"/>
                        <w:bottom w:val="none" w:sz="0" w:space="0" w:color="auto"/>
                        <w:right w:val="none" w:sz="0" w:space="0" w:color="auto"/>
                      </w:divBdr>
                    </w:div>
                  </w:divsChild>
                </w:div>
                <w:div w:id="2137260800">
                  <w:marLeft w:val="0"/>
                  <w:marRight w:val="0"/>
                  <w:marTop w:val="0"/>
                  <w:marBottom w:val="0"/>
                  <w:divBdr>
                    <w:top w:val="none" w:sz="0" w:space="0" w:color="auto"/>
                    <w:left w:val="none" w:sz="0" w:space="0" w:color="auto"/>
                    <w:bottom w:val="none" w:sz="0" w:space="0" w:color="auto"/>
                    <w:right w:val="none" w:sz="0" w:space="0" w:color="auto"/>
                  </w:divBdr>
                  <w:divsChild>
                    <w:div w:id="1057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2512">
          <w:marLeft w:val="0"/>
          <w:marRight w:val="0"/>
          <w:marTop w:val="0"/>
          <w:marBottom w:val="0"/>
          <w:divBdr>
            <w:top w:val="none" w:sz="0" w:space="0" w:color="auto"/>
            <w:left w:val="none" w:sz="0" w:space="0" w:color="auto"/>
            <w:bottom w:val="none" w:sz="0" w:space="0" w:color="auto"/>
            <w:right w:val="none" w:sz="0" w:space="0" w:color="auto"/>
          </w:divBdr>
        </w:div>
      </w:divsChild>
    </w:div>
    <w:div w:id="456458614">
      <w:bodyDiv w:val="1"/>
      <w:marLeft w:val="0"/>
      <w:marRight w:val="0"/>
      <w:marTop w:val="0"/>
      <w:marBottom w:val="0"/>
      <w:divBdr>
        <w:top w:val="none" w:sz="0" w:space="0" w:color="auto"/>
        <w:left w:val="none" w:sz="0" w:space="0" w:color="auto"/>
        <w:bottom w:val="none" w:sz="0" w:space="0" w:color="auto"/>
        <w:right w:val="none" w:sz="0" w:space="0" w:color="auto"/>
      </w:divBdr>
      <w:divsChild>
        <w:div w:id="365981244">
          <w:marLeft w:val="0"/>
          <w:marRight w:val="0"/>
          <w:marTop w:val="0"/>
          <w:marBottom w:val="0"/>
          <w:divBdr>
            <w:top w:val="none" w:sz="0" w:space="0" w:color="auto"/>
            <w:left w:val="none" w:sz="0" w:space="0" w:color="auto"/>
            <w:bottom w:val="none" w:sz="0" w:space="0" w:color="auto"/>
            <w:right w:val="none" w:sz="0" w:space="0" w:color="auto"/>
          </w:divBdr>
        </w:div>
        <w:div w:id="398983473">
          <w:marLeft w:val="0"/>
          <w:marRight w:val="0"/>
          <w:marTop w:val="0"/>
          <w:marBottom w:val="0"/>
          <w:divBdr>
            <w:top w:val="none" w:sz="0" w:space="0" w:color="auto"/>
            <w:left w:val="none" w:sz="0" w:space="0" w:color="auto"/>
            <w:bottom w:val="none" w:sz="0" w:space="0" w:color="auto"/>
            <w:right w:val="none" w:sz="0" w:space="0" w:color="auto"/>
          </w:divBdr>
        </w:div>
        <w:div w:id="1221095746">
          <w:marLeft w:val="0"/>
          <w:marRight w:val="0"/>
          <w:marTop w:val="0"/>
          <w:marBottom w:val="0"/>
          <w:divBdr>
            <w:top w:val="none" w:sz="0" w:space="0" w:color="auto"/>
            <w:left w:val="none" w:sz="0" w:space="0" w:color="auto"/>
            <w:bottom w:val="none" w:sz="0" w:space="0" w:color="auto"/>
            <w:right w:val="none" w:sz="0" w:space="0" w:color="auto"/>
          </w:divBdr>
        </w:div>
      </w:divsChild>
    </w:div>
    <w:div w:id="463960582">
      <w:bodyDiv w:val="1"/>
      <w:marLeft w:val="0"/>
      <w:marRight w:val="0"/>
      <w:marTop w:val="0"/>
      <w:marBottom w:val="0"/>
      <w:divBdr>
        <w:top w:val="none" w:sz="0" w:space="0" w:color="auto"/>
        <w:left w:val="none" w:sz="0" w:space="0" w:color="auto"/>
        <w:bottom w:val="none" w:sz="0" w:space="0" w:color="auto"/>
        <w:right w:val="none" w:sz="0" w:space="0" w:color="auto"/>
      </w:divBdr>
      <w:divsChild>
        <w:div w:id="1182889751">
          <w:marLeft w:val="0"/>
          <w:marRight w:val="0"/>
          <w:marTop w:val="0"/>
          <w:marBottom w:val="0"/>
          <w:divBdr>
            <w:top w:val="none" w:sz="0" w:space="0" w:color="auto"/>
            <w:left w:val="none" w:sz="0" w:space="0" w:color="auto"/>
            <w:bottom w:val="none" w:sz="0" w:space="0" w:color="auto"/>
            <w:right w:val="none" w:sz="0" w:space="0" w:color="auto"/>
          </w:divBdr>
        </w:div>
        <w:div w:id="1455977357">
          <w:marLeft w:val="0"/>
          <w:marRight w:val="0"/>
          <w:marTop w:val="0"/>
          <w:marBottom w:val="0"/>
          <w:divBdr>
            <w:top w:val="none" w:sz="0" w:space="0" w:color="auto"/>
            <w:left w:val="none" w:sz="0" w:space="0" w:color="auto"/>
            <w:bottom w:val="none" w:sz="0" w:space="0" w:color="auto"/>
            <w:right w:val="none" w:sz="0" w:space="0" w:color="auto"/>
          </w:divBdr>
          <w:divsChild>
            <w:div w:id="1394813877">
              <w:marLeft w:val="0"/>
              <w:marRight w:val="0"/>
              <w:marTop w:val="30"/>
              <w:marBottom w:val="30"/>
              <w:divBdr>
                <w:top w:val="none" w:sz="0" w:space="0" w:color="auto"/>
                <w:left w:val="none" w:sz="0" w:space="0" w:color="auto"/>
                <w:bottom w:val="none" w:sz="0" w:space="0" w:color="auto"/>
                <w:right w:val="none" w:sz="0" w:space="0" w:color="auto"/>
              </w:divBdr>
              <w:divsChild>
                <w:div w:id="17902099">
                  <w:marLeft w:val="0"/>
                  <w:marRight w:val="0"/>
                  <w:marTop w:val="0"/>
                  <w:marBottom w:val="0"/>
                  <w:divBdr>
                    <w:top w:val="none" w:sz="0" w:space="0" w:color="auto"/>
                    <w:left w:val="none" w:sz="0" w:space="0" w:color="auto"/>
                    <w:bottom w:val="none" w:sz="0" w:space="0" w:color="auto"/>
                    <w:right w:val="none" w:sz="0" w:space="0" w:color="auto"/>
                  </w:divBdr>
                  <w:divsChild>
                    <w:div w:id="1097676660">
                      <w:marLeft w:val="0"/>
                      <w:marRight w:val="0"/>
                      <w:marTop w:val="0"/>
                      <w:marBottom w:val="0"/>
                      <w:divBdr>
                        <w:top w:val="none" w:sz="0" w:space="0" w:color="auto"/>
                        <w:left w:val="none" w:sz="0" w:space="0" w:color="auto"/>
                        <w:bottom w:val="none" w:sz="0" w:space="0" w:color="auto"/>
                        <w:right w:val="none" w:sz="0" w:space="0" w:color="auto"/>
                      </w:divBdr>
                    </w:div>
                  </w:divsChild>
                </w:div>
                <w:div w:id="54207502">
                  <w:marLeft w:val="0"/>
                  <w:marRight w:val="0"/>
                  <w:marTop w:val="0"/>
                  <w:marBottom w:val="0"/>
                  <w:divBdr>
                    <w:top w:val="none" w:sz="0" w:space="0" w:color="auto"/>
                    <w:left w:val="none" w:sz="0" w:space="0" w:color="auto"/>
                    <w:bottom w:val="none" w:sz="0" w:space="0" w:color="auto"/>
                    <w:right w:val="none" w:sz="0" w:space="0" w:color="auto"/>
                  </w:divBdr>
                  <w:divsChild>
                    <w:div w:id="1592346993">
                      <w:marLeft w:val="0"/>
                      <w:marRight w:val="0"/>
                      <w:marTop w:val="0"/>
                      <w:marBottom w:val="0"/>
                      <w:divBdr>
                        <w:top w:val="none" w:sz="0" w:space="0" w:color="auto"/>
                        <w:left w:val="none" w:sz="0" w:space="0" w:color="auto"/>
                        <w:bottom w:val="none" w:sz="0" w:space="0" w:color="auto"/>
                        <w:right w:val="none" w:sz="0" w:space="0" w:color="auto"/>
                      </w:divBdr>
                    </w:div>
                  </w:divsChild>
                </w:div>
                <w:div w:id="232012064">
                  <w:marLeft w:val="0"/>
                  <w:marRight w:val="0"/>
                  <w:marTop w:val="0"/>
                  <w:marBottom w:val="0"/>
                  <w:divBdr>
                    <w:top w:val="none" w:sz="0" w:space="0" w:color="auto"/>
                    <w:left w:val="none" w:sz="0" w:space="0" w:color="auto"/>
                    <w:bottom w:val="none" w:sz="0" w:space="0" w:color="auto"/>
                    <w:right w:val="none" w:sz="0" w:space="0" w:color="auto"/>
                  </w:divBdr>
                  <w:divsChild>
                    <w:div w:id="273942322">
                      <w:marLeft w:val="0"/>
                      <w:marRight w:val="0"/>
                      <w:marTop w:val="0"/>
                      <w:marBottom w:val="0"/>
                      <w:divBdr>
                        <w:top w:val="none" w:sz="0" w:space="0" w:color="auto"/>
                        <w:left w:val="none" w:sz="0" w:space="0" w:color="auto"/>
                        <w:bottom w:val="none" w:sz="0" w:space="0" w:color="auto"/>
                        <w:right w:val="none" w:sz="0" w:space="0" w:color="auto"/>
                      </w:divBdr>
                    </w:div>
                  </w:divsChild>
                </w:div>
                <w:div w:id="279651921">
                  <w:marLeft w:val="0"/>
                  <w:marRight w:val="0"/>
                  <w:marTop w:val="0"/>
                  <w:marBottom w:val="0"/>
                  <w:divBdr>
                    <w:top w:val="none" w:sz="0" w:space="0" w:color="auto"/>
                    <w:left w:val="none" w:sz="0" w:space="0" w:color="auto"/>
                    <w:bottom w:val="none" w:sz="0" w:space="0" w:color="auto"/>
                    <w:right w:val="none" w:sz="0" w:space="0" w:color="auto"/>
                  </w:divBdr>
                  <w:divsChild>
                    <w:div w:id="85538777">
                      <w:marLeft w:val="0"/>
                      <w:marRight w:val="0"/>
                      <w:marTop w:val="0"/>
                      <w:marBottom w:val="0"/>
                      <w:divBdr>
                        <w:top w:val="none" w:sz="0" w:space="0" w:color="auto"/>
                        <w:left w:val="none" w:sz="0" w:space="0" w:color="auto"/>
                        <w:bottom w:val="none" w:sz="0" w:space="0" w:color="auto"/>
                        <w:right w:val="none" w:sz="0" w:space="0" w:color="auto"/>
                      </w:divBdr>
                    </w:div>
                    <w:div w:id="150755554">
                      <w:marLeft w:val="0"/>
                      <w:marRight w:val="0"/>
                      <w:marTop w:val="0"/>
                      <w:marBottom w:val="0"/>
                      <w:divBdr>
                        <w:top w:val="none" w:sz="0" w:space="0" w:color="auto"/>
                        <w:left w:val="none" w:sz="0" w:space="0" w:color="auto"/>
                        <w:bottom w:val="none" w:sz="0" w:space="0" w:color="auto"/>
                        <w:right w:val="none" w:sz="0" w:space="0" w:color="auto"/>
                      </w:divBdr>
                    </w:div>
                  </w:divsChild>
                </w:div>
                <w:div w:id="308048921">
                  <w:marLeft w:val="0"/>
                  <w:marRight w:val="0"/>
                  <w:marTop w:val="0"/>
                  <w:marBottom w:val="0"/>
                  <w:divBdr>
                    <w:top w:val="none" w:sz="0" w:space="0" w:color="auto"/>
                    <w:left w:val="none" w:sz="0" w:space="0" w:color="auto"/>
                    <w:bottom w:val="none" w:sz="0" w:space="0" w:color="auto"/>
                    <w:right w:val="none" w:sz="0" w:space="0" w:color="auto"/>
                  </w:divBdr>
                  <w:divsChild>
                    <w:div w:id="925845569">
                      <w:marLeft w:val="0"/>
                      <w:marRight w:val="0"/>
                      <w:marTop w:val="0"/>
                      <w:marBottom w:val="0"/>
                      <w:divBdr>
                        <w:top w:val="none" w:sz="0" w:space="0" w:color="auto"/>
                        <w:left w:val="none" w:sz="0" w:space="0" w:color="auto"/>
                        <w:bottom w:val="none" w:sz="0" w:space="0" w:color="auto"/>
                        <w:right w:val="none" w:sz="0" w:space="0" w:color="auto"/>
                      </w:divBdr>
                    </w:div>
                  </w:divsChild>
                </w:div>
                <w:div w:id="308101199">
                  <w:marLeft w:val="0"/>
                  <w:marRight w:val="0"/>
                  <w:marTop w:val="0"/>
                  <w:marBottom w:val="0"/>
                  <w:divBdr>
                    <w:top w:val="none" w:sz="0" w:space="0" w:color="auto"/>
                    <w:left w:val="none" w:sz="0" w:space="0" w:color="auto"/>
                    <w:bottom w:val="none" w:sz="0" w:space="0" w:color="auto"/>
                    <w:right w:val="none" w:sz="0" w:space="0" w:color="auto"/>
                  </w:divBdr>
                  <w:divsChild>
                    <w:div w:id="2056586838">
                      <w:marLeft w:val="0"/>
                      <w:marRight w:val="0"/>
                      <w:marTop w:val="0"/>
                      <w:marBottom w:val="0"/>
                      <w:divBdr>
                        <w:top w:val="none" w:sz="0" w:space="0" w:color="auto"/>
                        <w:left w:val="none" w:sz="0" w:space="0" w:color="auto"/>
                        <w:bottom w:val="none" w:sz="0" w:space="0" w:color="auto"/>
                        <w:right w:val="none" w:sz="0" w:space="0" w:color="auto"/>
                      </w:divBdr>
                    </w:div>
                  </w:divsChild>
                </w:div>
                <w:div w:id="337001969">
                  <w:marLeft w:val="0"/>
                  <w:marRight w:val="0"/>
                  <w:marTop w:val="0"/>
                  <w:marBottom w:val="0"/>
                  <w:divBdr>
                    <w:top w:val="none" w:sz="0" w:space="0" w:color="auto"/>
                    <w:left w:val="none" w:sz="0" w:space="0" w:color="auto"/>
                    <w:bottom w:val="none" w:sz="0" w:space="0" w:color="auto"/>
                    <w:right w:val="none" w:sz="0" w:space="0" w:color="auto"/>
                  </w:divBdr>
                  <w:divsChild>
                    <w:div w:id="2026707140">
                      <w:marLeft w:val="0"/>
                      <w:marRight w:val="0"/>
                      <w:marTop w:val="0"/>
                      <w:marBottom w:val="0"/>
                      <w:divBdr>
                        <w:top w:val="none" w:sz="0" w:space="0" w:color="auto"/>
                        <w:left w:val="none" w:sz="0" w:space="0" w:color="auto"/>
                        <w:bottom w:val="none" w:sz="0" w:space="0" w:color="auto"/>
                        <w:right w:val="none" w:sz="0" w:space="0" w:color="auto"/>
                      </w:divBdr>
                    </w:div>
                  </w:divsChild>
                </w:div>
                <w:div w:id="495807299">
                  <w:marLeft w:val="0"/>
                  <w:marRight w:val="0"/>
                  <w:marTop w:val="0"/>
                  <w:marBottom w:val="0"/>
                  <w:divBdr>
                    <w:top w:val="none" w:sz="0" w:space="0" w:color="auto"/>
                    <w:left w:val="none" w:sz="0" w:space="0" w:color="auto"/>
                    <w:bottom w:val="none" w:sz="0" w:space="0" w:color="auto"/>
                    <w:right w:val="none" w:sz="0" w:space="0" w:color="auto"/>
                  </w:divBdr>
                  <w:divsChild>
                    <w:div w:id="1863980771">
                      <w:marLeft w:val="0"/>
                      <w:marRight w:val="0"/>
                      <w:marTop w:val="0"/>
                      <w:marBottom w:val="0"/>
                      <w:divBdr>
                        <w:top w:val="none" w:sz="0" w:space="0" w:color="auto"/>
                        <w:left w:val="none" w:sz="0" w:space="0" w:color="auto"/>
                        <w:bottom w:val="none" w:sz="0" w:space="0" w:color="auto"/>
                        <w:right w:val="none" w:sz="0" w:space="0" w:color="auto"/>
                      </w:divBdr>
                    </w:div>
                  </w:divsChild>
                </w:div>
                <w:div w:id="651907370">
                  <w:marLeft w:val="0"/>
                  <w:marRight w:val="0"/>
                  <w:marTop w:val="0"/>
                  <w:marBottom w:val="0"/>
                  <w:divBdr>
                    <w:top w:val="none" w:sz="0" w:space="0" w:color="auto"/>
                    <w:left w:val="none" w:sz="0" w:space="0" w:color="auto"/>
                    <w:bottom w:val="none" w:sz="0" w:space="0" w:color="auto"/>
                    <w:right w:val="none" w:sz="0" w:space="0" w:color="auto"/>
                  </w:divBdr>
                  <w:divsChild>
                    <w:div w:id="194512300">
                      <w:marLeft w:val="0"/>
                      <w:marRight w:val="0"/>
                      <w:marTop w:val="0"/>
                      <w:marBottom w:val="0"/>
                      <w:divBdr>
                        <w:top w:val="none" w:sz="0" w:space="0" w:color="auto"/>
                        <w:left w:val="none" w:sz="0" w:space="0" w:color="auto"/>
                        <w:bottom w:val="none" w:sz="0" w:space="0" w:color="auto"/>
                        <w:right w:val="none" w:sz="0" w:space="0" w:color="auto"/>
                      </w:divBdr>
                    </w:div>
                  </w:divsChild>
                </w:div>
                <w:div w:id="677653927">
                  <w:marLeft w:val="0"/>
                  <w:marRight w:val="0"/>
                  <w:marTop w:val="0"/>
                  <w:marBottom w:val="0"/>
                  <w:divBdr>
                    <w:top w:val="none" w:sz="0" w:space="0" w:color="auto"/>
                    <w:left w:val="none" w:sz="0" w:space="0" w:color="auto"/>
                    <w:bottom w:val="none" w:sz="0" w:space="0" w:color="auto"/>
                    <w:right w:val="none" w:sz="0" w:space="0" w:color="auto"/>
                  </w:divBdr>
                  <w:divsChild>
                    <w:div w:id="845823311">
                      <w:marLeft w:val="0"/>
                      <w:marRight w:val="0"/>
                      <w:marTop w:val="0"/>
                      <w:marBottom w:val="0"/>
                      <w:divBdr>
                        <w:top w:val="none" w:sz="0" w:space="0" w:color="auto"/>
                        <w:left w:val="none" w:sz="0" w:space="0" w:color="auto"/>
                        <w:bottom w:val="none" w:sz="0" w:space="0" w:color="auto"/>
                        <w:right w:val="none" w:sz="0" w:space="0" w:color="auto"/>
                      </w:divBdr>
                    </w:div>
                  </w:divsChild>
                </w:div>
                <w:div w:id="948122444">
                  <w:marLeft w:val="0"/>
                  <w:marRight w:val="0"/>
                  <w:marTop w:val="0"/>
                  <w:marBottom w:val="0"/>
                  <w:divBdr>
                    <w:top w:val="none" w:sz="0" w:space="0" w:color="auto"/>
                    <w:left w:val="none" w:sz="0" w:space="0" w:color="auto"/>
                    <w:bottom w:val="none" w:sz="0" w:space="0" w:color="auto"/>
                    <w:right w:val="none" w:sz="0" w:space="0" w:color="auto"/>
                  </w:divBdr>
                  <w:divsChild>
                    <w:div w:id="2041198894">
                      <w:marLeft w:val="0"/>
                      <w:marRight w:val="0"/>
                      <w:marTop w:val="0"/>
                      <w:marBottom w:val="0"/>
                      <w:divBdr>
                        <w:top w:val="none" w:sz="0" w:space="0" w:color="auto"/>
                        <w:left w:val="none" w:sz="0" w:space="0" w:color="auto"/>
                        <w:bottom w:val="none" w:sz="0" w:space="0" w:color="auto"/>
                        <w:right w:val="none" w:sz="0" w:space="0" w:color="auto"/>
                      </w:divBdr>
                    </w:div>
                  </w:divsChild>
                </w:div>
                <w:div w:id="991176455">
                  <w:marLeft w:val="0"/>
                  <w:marRight w:val="0"/>
                  <w:marTop w:val="0"/>
                  <w:marBottom w:val="0"/>
                  <w:divBdr>
                    <w:top w:val="none" w:sz="0" w:space="0" w:color="auto"/>
                    <w:left w:val="none" w:sz="0" w:space="0" w:color="auto"/>
                    <w:bottom w:val="none" w:sz="0" w:space="0" w:color="auto"/>
                    <w:right w:val="none" w:sz="0" w:space="0" w:color="auto"/>
                  </w:divBdr>
                  <w:divsChild>
                    <w:div w:id="232128793">
                      <w:marLeft w:val="0"/>
                      <w:marRight w:val="0"/>
                      <w:marTop w:val="0"/>
                      <w:marBottom w:val="0"/>
                      <w:divBdr>
                        <w:top w:val="none" w:sz="0" w:space="0" w:color="auto"/>
                        <w:left w:val="none" w:sz="0" w:space="0" w:color="auto"/>
                        <w:bottom w:val="none" w:sz="0" w:space="0" w:color="auto"/>
                        <w:right w:val="none" w:sz="0" w:space="0" w:color="auto"/>
                      </w:divBdr>
                    </w:div>
                    <w:div w:id="412707604">
                      <w:marLeft w:val="0"/>
                      <w:marRight w:val="0"/>
                      <w:marTop w:val="0"/>
                      <w:marBottom w:val="0"/>
                      <w:divBdr>
                        <w:top w:val="none" w:sz="0" w:space="0" w:color="auto"/>
                        <w:left w:val="none" w:sz="0" w:space="0" w:color="auto"/>
                        <w:bottom w:val="none" w:sz="0" w:space="0" w:color="auto"/>
                        <w:right w:val="none" w:sz="0" w:space="0" w:color="auto"/>
                      </w:divBdr>
                    </w:div>
                    <w:div w:id="600651414">
                      <w:marLeft w:val="0"/>
                      <w:marRight w:val="0"/>
                      <w:marTop w:val="0"/>
                      <w:marBottom w:val="0"/>
                      <w:divBdr>
                        <w:top w:val="none" w:sz="0" w:space="0" w:color="auto"/>
                        <w:left w:val="none" w:sz="0" w:space="0" w:color="auto"/>
                        <w:bottom w:val="none" w:sz="0" w:space="0" w:color="auto"/>
                        <w:right w:val="none" w:sz="0" w:space="0" w:color="auto"/>
                      </w:divBdr>
                    </w:div>
                    <w:div w:id="763645929">
                      <w:marLeft w:val="0"/>
                      <w:marRight w:val="0"/>
                      <w:marTop w:val="0"/>
                      <w:marBottom w:val="0"/>
                      <w:divBdr>
                        <w:top w:val="none" w:sz="0" w:space="0" w:color="auto"/>
                        <w:left w:val="none" w:sz="0" w:space="0" w:color="auto"/>
                        <w:bottom w:val="none" w:sz="0" w:space="0" w:color="auto"/>
                        <w:right w:val="none" w:sz="0" w:space="0" w:color="auto"/>
                      </w:divBdr>
                    </w:div>
                    <w:div w:id="856043347">
                      <w:marLeft w:val="0"/>
                      <w:marRight w:val="0"/>
                      <w:marTop w:val="0"/>
                      <w:marBottom w:val="0"/>
                      <w:divBdr>
                        <w:top w:val="none" w:sz="0" w:space="0" w:color="auto"/>
                        <w:left w:val="none" w:sz="0" w:space="0" w:color="auto"/>
                        <w:bottom w:val="none" w:sz="0" w:space="0" w:color="auto"/>
                        <w:right w:val="none" w:sz="0" w:space="0" w:color="auto"/>
                      </w:divBdr>
                    </w:div>
                    <w:div w:id="1036656700">
                      <w:marLeft w:val="0"/>
                      <w:marRight w:val="0"/>
                      <w:marTop w:val="0"/>
                      <w:marBottom w:val="0"/>
                      <w:divBdr>
                        <w:top w:val="none" w:sz="0" w:space="0" w:color="auto"/>
                        <w:left w:val="none" w:sz="0" w:space="0" w:color="auto"/>
                        <w:bottom w:val="none" w:sz="0" w:space="0" w:color="auto"/>
                        <w:right w:val="none" w:sz="0" w:space="0" w:color="auto"/>
                      </w:divBdr>
                    </w:div>
                    <w:div w:id="1074477210">
                      <w:marLeft w:val="0"/>
                      <w:marRight w:val="0"/>
                      <w:marTop w:val="0"/>
                      <w:marBottom w:val="0"/>
                      <w:divBdr>
                        <w:top w:val="none" w:sz="0" w:space="0" w:color="auto"/>
                        <w:left w:val="none" w:sz="0" w:space="0" w:color="auto"/>
                        <w:bottom w:val="none" w:sz="0" w:space="0" w:color="auto"/>
                        <w:right w:val="none" w:sz="0" w:space="0" w:color="auto"/>
                      </w:divBdr>
                    </w:div>
                    <w:div w:id="1211310299">
                      <w:marLeft w:val="0"/>
                      <w:marRight w:val="0"/>
                      <w:marTop w:val="0"/>
                      <w:marBottom w:val="0"/>
                      <w:divBdr>
                        <w:top w:val="none" w:sz="0" w:space="0" w:color="auto"/>
                        <w:left w:val="none" w:sz="0" w:space="0" w:color="auto"/>
                        <w:bottom w:val="none" w:sz="0" w:space="0" w:color="auto"/>
                        <w:right w:val="none" w:sz="0" w:space="0" w:color="auto"/>
                      </w:divBdr>
                    </w:div>
                    <w:div w:id="1303580890">
                      <w:marLeft w:val="0"/>
                      <w:marRight w:val="0"/>
                      <w:marTop w:val="0"/>
                      <w:marBottom w:val="0"/>
                      <w:divBdr>
                        <w:top w:val="none" w:sz="0" w:space="0" w:color="auto"/>
                        <w:left w:val="none" w:sz="0" w:space="0" w:color="auto"/>
                        <w:bottom w:val="none" w:sz="0" w:space="0" w:color="auto"/>
                        <w:right w:val="none" w:sz="0" w:space="0" w:color="auto"/>
                      </w:divBdr>
                    </w:div>
                    <w:div w:id="2057851194">
                      <w:marLeft w:val="0"/>
                      <w:marRight w:val="0"/>
                      <w:marTop w:val="0"/>
                      <w:marBottom w:val="0"/>
                      <w:divBdr>
                        <w:top w:val="none" w:sz="0" w:space="0" w:color="auto"/>
                        <w:left w:val="none" w:sz="0" w:space="0" w:color="auto"/>
                        <w:bottom w:val="none" w:sz="0" w:space="0" w:color="auto"/>
                        <w:right w:val="none" w:sz="0" w:space="0" w:color="auto"/>
                      </w:divBdr>
                    </w:div>
                  </w:divsChild>
                </w:div>
                <w:div w:id="1053504435">
                  <w:marLeft w:val="0"/>
                  <w:marRight w:val="0"/>
                  <w:marTop w:val="0"/>
                  <w:marBottom w:val="0"/>
                  <w:divBdr>
                    <w:top w:val="none" w:sz="0" w:space="0" w:color="auto"/>
                    <w:left w:val="none" w:sz="0" w:space="0" w:color="auto"/>
                    <w:bottom w:val="none" w:sz="0" w:space="0" w:color="auto"/>
                    <w:right w:val="none" w:sz="0" w:space="0" w:color="auto"/>
                  </w:divBdr>
                  <w:divsChild>
                    <w:div w:id="20857810">
                      <w:marLeft w:val="0"/>
                      <w:marRight w:val="0"/>
                      <w:marTop w:val="0"/>
                      <w:marBottom w:val="0"/>
                      <w:divBdr>
                        <w:top w:val="none" w:sz="0" w:space="0" w:color="auto"/>
                        <w:left w:val="none" w:sz="0" w:space="0" w:color="auto"/>
                        <w:bottom w:val="none" w:sz="0" w:space="0" w:color="auto"/>
                        <w:right w:val="none" w:sz="0" w:space="0" w:color="auto"/>
                      </w:divBdr>
                    </w:div>
                    <w:div w:id="78865322">
                      <w:marLeft w:val="0"/>
                      <w:marRight w:val="0"/>
                      <w:marTop w:val="0"/>
                      <w:marBottom w:val="0"/>
                      <w:divBdr>
                        <w:top w:val="none" w:sz="0" w:space="0" w:color="auto"/>
                        <w:left w:val="none" w:sz="0" w:space="0" w:color="auto"/>
                        <w:bottom w:val="none" w:sz="0" w:space="0" w:color="auto"/>
                        <w:right w:val="none" w:sz="0" w:space="0" w:color="auto"/>
                      </w:divBdr>
                    </w:div>
                    <w:div w:id="206915684">
                      <w:marLeft w:val="0"/>
                      <w:marRight w:val="0"/>
                      <w:marTop w:val="0"/>
                      <w:marBottom w:val="0"/>
                      <w:divBdr>
                        <w:top w:val="none" w:sz="0" w:space="0" w:color="auto"/>
                        <w:left w:val="none" w:sz="0" w:space="0" w:color="auto"/>
                        <w:bottom w:val="none" w:sz="0" w:space="0" w:color="auto"/>
                        <w:right w:val="none" w:sz="0" w:space="0" w:color="auto"/>
                      </w:divBdr>
                    </w:div>
                    <w:div w:id="504440663">
                      <w:marLeft w:val="0"/>
                      <w:marRight w:val="0"/>
                      <w:marTop w:val="0"/>
                      <w:marBottom w:val="0"/>
                      <w:divBdr>
                        <w:top w:val="none" w:sz="0" w:space="0" w:color="auto"/>
                        <w:left w:val="none" w:sz="0" w:space="0" w:color="auto"/>
                        <w:bottom w:val="none" w:sz="0" w:space="0" w:color="auto"/>
                        <w:right w:val="none" w:sz="0" w:space="0" w:color="auto"/>
                      </w:divBdr>
                    </w:div>
                    <w:div w:id="1436633652">
                      <w:marLeft w:val="0"/>
                      <w:marRight w:val="0"/>
                      <w:marTop w:val="0"/>
                      <w:marBottom w:val="0"/>
                      <w:divBdr>
                        <w:top w:val="none" w:sz="0" w:space="0" w:color="auto"/>
                        <w:left w:val="none" w:sz="0" w:space="0" w:color="auto"/>
                        <w:bottom w:val="none" w:sz="0" w:space="0" w:color="auto"/>
                        <w:right w:val="none" w:sz="0" w:space="0" w:color="auto"/>
                      </w:divBdr>
                    </w:div>
                    <w:div w:id="1957523749">
                      <w:marLeft w:val="0"/>
                      <w:marRight w:val="0"/>
                      <w:marTop w:val="0"/>
                      <w:marBottom w:val="0"/>
                      <w:divBdr>
                        <w:top w:val="none" w:sz="0" w:space="0" w:color="auto"/>
                        <w:left w:val="none" w:sz="0" w:space="0" w:color="auto"/>
                        <w:bottom w:val="none" w:sz="0" w:space="0" w:color="auto"/>
                        <w:right w:val="none" w:sz="0" w:space="0" w:color="auto"/>
                      </w:divBdr>
                    </w:div>
                  </w:divsChild>
                </w:div>
                <w:div w:id="1072511263">
                  <w:marLeft w:val="0"/>
                  <w:marRight w:val="0"/>
                  <w:marTop w:val="0"/>
                  <w:marBottom w:val="0"/>
                  <w:divBdr>
                    <w:top w:val="none" w:sz="0" w:space="0" w:color="auto"/>
                    <w:left w:val="none" w:sz="0" w:space="0" w:color="auto"/>
                    <w:bottom w:val="none" w:sz="0" w:space="0" w:color="auto"/>
                    <w:right w:val="none" w:sz="0" w:space="0" w:color="auto"/>
                  </w:divBdr>
                  <w:divsChild>
                    <w:div w:id="872185556">
                      <w:marLeft w:val="0"/>
                      <w:marRight w:val="0"/>
                      <w:marTop w:val="0"/>
                      <w:marBottom w:val="0"/>
                      <w:divBdr>
                        <w:top w:val="none" w:sz="0" w:space="0" w:color="auto"/>
                        <w:left w:val="none" w:sz="0" w:space="0" w:color="auto"/>
                        <w:bottom w:val="none" w:sz="0" w:space="0" w:color="auto"/>
                        <w:right w:val="none" w:sz="0" w:space="0" w:color="auto"/>
                      </w:divBdr>
                    </w:div>
                  </w:divsChild>
                </w:div>
                <w:div w:id="1327826714">
                  <w:marLeft w:val="0"/>
                  <w:marRight w:val="0"/>
                  <w:marTop w:val="0"/>
                  <w:marBottom w:val="0"/>
                  <w:divBdr>
                    <w:top w:val="none" w:sz="0" w:space="0" w:color="auto"/>
                    <w:left w:val="none" w:sz="0" w:space="0" w:color="auto"/>
                    <w:bottom w:val="none" w:sz="0" w:space="0" w:color="auto"/>
                    <w:right w:val="none" w:sz="0" w:space="0" w:color="auto"/>
                  </w:divBdr>
                  <w:divsChild>
                    <w:div w:id="1717506555">
                      <w:marLeft w:val="0"/>
                      <w:marRight w:val="0"/>
                      <w:marTop w:val="0"/>
                      <w:marBottom w:val="0"/>
                      <w:divBdr>
                        <w:top w:val="none" w:sz="0" w:space="0" w:color="auto"/>
                        <w:left w:val="none" w:sz="0" w:space="0" w:color="auto"/>
                        <w:bottom w:val="none" w:sz="0" w:space="0" w:color="auto"/>
                        <w:right w:val="none" w:sz="0" w:space="0" w:color="auto"/>
                      </w:divBdr>
                    </w:div>
                  </w:divsChild>
                </w:div>
                <w:div w:id="1491288492">
                  <w:marLeft w:val="0"/>
                  <w:marRight w:val="0"/>
                  <w:marTop w:val="0"/>
                  <w:marBottom w:val="0"/>
                  <w:divBdr>
                    <w:top w:val="none" w:sz="0" w:space="0" w:color="auto"/>
                    <w:left w:val="none" w:sz="0" w:space="0" w:color="auto"/>
                    <w:bottom w:val="none" w:sz="0" w:space="0" w:color="auto"/>
                    <w:right w:val="none" w:sz="0" w:space="0" w:color="auto"/>
                  </w:divBdr>
                  <w:divsChild>
                    <w:div w:id="1364869210">
                      <w:marLeft w:val="0"/>
                      <w:marRight w:val="0"/>
                      <w:marTop w:val="0"/>
                      <w:marBottom w:val="0"/>
                      <w:divBdr>
                        <w:top w:val="none" w:sz="0" w:space="0" w:color="auto"/>
                        <w:left w:val="none" w:sz="0" w:space="0" w:color="auto"/>
                        <w:bottom w:val="none" w:sz="0" w:space="0" w:color="auto"/>
                        <w:right w:val="none" w:sz="0" w:space="0" w:color="auto"/>
                      </w:divBdr>
                    </w:div>
                  </w:divsChild>
                </w:div>
                <w:div w:id="1620989125">
                  <w:marLeft w:val="0"/>
                  <w:marRight w:val="0"/>
                  <w:marTop w:val="0"/>
                  <w:marBottom w:val="0"/>
                  <w:divBdr>
                    <w:top w:val="none" w:sz="0" w:space="0" w:color="auto"/>
                    <w:left w:val="none" w:sz="0" w:space="0" w:color="auto"/>
                    <w:bottom w:val="none" w:sz="0" w:space="0" w:color="auto"/>
                    <w:right w:val="none" w:sz="0" w:space="0" w:color="auto"/>
                  </w:divBdr>
                  <w:divsChild>
                    <w:div w:id="1738238913">
                      <w:marLeft w:val="0"/>
                      <w:marRight w:val="0"/>
                      <w:marTop w:val="0"/>
                      <w:marBottom w:val="0"/>
                      <w:divBdr>
                        <w:top w:val="none" w:sz="0" w:space="0" w:color="auto"/>
                        <w:left w:val="none" w:sz="0" w:space="0" w:color="auto"/>
                        <w:bottom w:val="none" w:sz="0" w:space="0" w:color="auto"/>
                        <w:right w:val="none" w:sz="0" w:space="0" w:color="auto"/>
                      </w:divBdr>
                    </w:div>
                  </w:divsChild>
                </w:div>
                <w:div w:id="1723400814">
                  <w:marLeft w:val="0"/>
                  <w:marRight w:val="0"/>
                  <w:marTop w:val="0"/>
                  <w:marBottom w:val="0"/>
                  <w:divBdr>
                    <w:top w:val="none" w:sz="0" w:space="0" w:color="auto"/>
                    <w:left w:val="none" w:sz="0" w:space="0" w:color="auto"/>
                    <w:bottom w:val="none" w:sz="0" w:space="0" w:color="auto"/>
                    <w:right w:val="none" w:sz="0" w:space="0" w:color="auto"/>
                  </w:divBdr>
                  <w:divsChild>
                    <w:div w:id="786898942">
                      <w:marLeft w:val="0"/>
                      <w:marRight w:val="0"/>
                      <w:marTop w:val="0"/>
                      <w:marBottom w:val="0"/>
                      <w:divBdr>
                        <w:top w:val="none" w:sz="0" w:space="0" w:color="auto"/>
                        <w:left w:val="none" w:sz="0" w:space="0" w:color="auto"/>
                        <w:bottom w:val="none" w:sz="0" w:space="0" w:color="auto"/>
                        <w:right w:val="none" w:sz="0" w:space="0" w:color="auto"/>
                      </w:divBdr>
                    </w:div>
                  </w:divsChild>
                </w:div>
                <w:div w:id="1751195286">
                  <w:marLeft w:val="0"/>
                  <w:marRight w:val="0"/>
                  <w:marTop w:val="0"/>
                  <w:marBottom w:val="0"/>
                  <w:divBdr>
                    <w:top w:val="none" w:sz="0" w:space="0" w:color="auto"/>
                    <w:left w:val="none" w:sz="0" w:space="0" w:color="auto"/>
                    <w:bottom w:val="none" w:sz="0" w:space="0" w:color="auto"/>
                    <w:right w:val="none" w:sz="0" w:space="0" w:color="auto"/>
                  </w:divBdr>
                  <w:divsChild>
                    <w:div w:id="635255351">
                      <w:marLeft w:val="0"/>
                      <w:marRight w:val="0"/>
                      <w:marTop w:val="0"/>
                      <w:marBottom w:val="0"/>
                      <w:divBdr>
                        <w:top w:val="none" w:sz="0" w:space="0" w:color="auto"/>
                        <w:left w:val="none" w:sz="0" w:space="0" w:color="auto"/>
                        <w:bottom w:val="none" w:sz="0" w:space="0" w:color="auto"/>
                        <w:right w:val="none" w:sz="0" w:space="0" w:color="auto"/>
                      </w:divBdr>
                    </w:div>
                  </w:divsChild>
                </w:div>
                <w:div w:id="1958758713">
                  <w:marLeft w:val="0"/>
                  <w:marRight w:val="0"/>
                  <w:marTop w:val="0"/>
                  <w:marBottom w:val="0"/>
                  <w:divBdr>
                    <w:top w:val="none" w:sz="0" w:space="0" w:color="auto"/>
                    <w:left w:val="none" w:sz="0" w:space="0" w:color="auto"/>
                    <w:bottom w:val="none" w:sz="0" w:space="0" w:color="auto"/>
                    <w:right w:val="none" w:sz="0" w:space="0" w:color="auto"/>
                  </w:divBdr>
                  <w:divsChild>
                    <w:div w:id="6893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27757">
      <w:bodyDiv w:val="1"/>
      <w:marLeft w:val="0"/>
      <w:marRight w:val="0"/>
      <w:marTop w:val="0"/>
      <w:marBottom w:val="0"/>
      <w:divBdr>
        <w:top w:val="none" w:sz="0" w:space="0" w:color="auto"/>
        <w:left w:val="none" w:sz="0" w:space="0" w:color="auto"/>
        <w:bottom w:val="none" w:sz="0" w:space="0" w:color="auto"/>
        <w:right w:val="none" w:sz="0" w:space="0" w:color="auto"/>
      </w:divBdr>
      <w:divsChild>
        <w:div w:id="1977104738">
          <w:marLeft w:val="0"/>
          <w:marRight w:val="0"/>
          <w:marTop w:val="0"/>
          <w:marBottom w:val="0"/>
          <w:divBdr>
            <w:top w:val="none" w:sz="0" w:space="0" w:color="auto"/>
            <w:left w:val="none" w:sz="0" w:space="0" w:color="auto"/>
            <w:bottom w:val="none" w:sz="0" w:space="0" w:color="auto"/>
            <w:right w:val="none" w:sz="0" w:space="0" w:color="auto"/>
          </w:divBdr>
          <w:divsChild>
            <w:div w:id="8980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993">
      <w:bodyDiv w:val="1"/>
      <w:marLeft w:val="0"/>
      <w:marRight w:val="0"/>
      <w:marTop w:val="0"/>
      <w:marBottom w:val="0"/>
      <w:divBdr>
        <w:top w:val="none" w:sz="0" w:space="0" w:color="auto"/>
        <w:left w:val="none" w:sz="0" w:space="0" w:color="auto"/>
        <w:bottom w:val="none" w:sz="0" w:space="0" w:color="auto"/>
        <w:right w:val="none" w:sz="0" w:space="0" w:color="auto"/>
      </w:divBdr>
      <w:divsChild>
        <w:div w:id="270162301">
          <w:marLeft w:val="0"/>
          <w:marRight w:val="0"/>
          <w:marTop w:val="0"/>
          <w:marBottom w:val="0"/>
          <w:divBdr>
            <w:top w:val="none" w:sz="0" w:space="0" w:color="auto"/>
            <w:left w:val="none" w:sz="0" w:space="0" w:color="auto"/>
            <w:bottom w:val="none" w:sz="0" w:space="0" w:color="auto"/>
            <w:right w:val="none" w:sz="0" w:space="0" w:color="auto"/>
          </w:divBdr>
        </w:div>
        <w:div w:id="1044020818">
          <w:marLeft w:val="0"/>
          <w:marRight w:val="0"/>
          <w:marTop w:val="0"/>
          <w:marBottom w:val="0"/>
          <w:divBdr>
            <w:top w:val="none" w:sz="0" w:space="0" w:color="auto"/>
            <w:left w:val="none" w:sz="0" w:space="0" w:color="auto"/>
            <w:bottom w:val="none" w:sz="0" w:space="0" w:color="auto"/>
            <w:right w:val="none" w:sz="0" w:space="0" w:color="auto"/>
          </w:divBdr>
        </w:div>
        <w:div w:id="1164514436">
          <w:marLeft w:val="0"/>
          <w:marRight w:val="0"/>
          <w:marTop w:val="0"/>
          <w:marBottom w:val="0"/>
          <w:divBdr>
            <w:top w:val="none" w:sz="0" w:space="0" w:color="auto"/>
            <w:left w:val="none" w:sz="0" w:space="0" w:color="auto"/>
            <w:bottom w:val="none" w:sz="0" w:space="0" w:color="auto"/>
            <w:right w:val="none" w:sz="0" w:space="0" w:color="auto"/>
          </w:divBdr>
        </w:div>
      </w:divsChild>
    </w:div>
    <w:div w:id="628318689">
      <w:bodyDiv w:val="1"/>
      <w:marLeft w:val="0"/>
      <w:marRight w:val="0"/>
      <w:marTop w:val="0"/>
      <w:marBottom w:val="0"/>
      <w:divBdr>
        <w:top w:val="none" w:sz="0" w:space="0" w:color="auto"/>
        <w:left w:val="none" w:sz="0" w:space="0" w:color="auto"/>
        <w:bottom w:val="none" w:sz="0" w:space="0" w:color="auto"/>
        <w:right w:val="none" w:sz="0" w:space="0" w:color="auto"/>
      </w:divBdr>
      <w:divsChild>
        <w:div w:id="192768234">
          <w:marLeft w:val="0"/>
          <w:marRight w:val="0"/>
          <w:marTop w:val="0"/>
          <w:marBottom w:val="0"/>
          <w:divBdr>
            <w:top w:val="none" w:sz="0" w:space="0" w:color="auto"/>
            <w:left w:val="none" w:sz="0" w:space="0" w:color="auto"/>
            <w:bottom w:val="none" w:sz="0" w:space="0" w:color="auto"/>
            <w:right w:val="none" w:sz="0" w:space="0" w:color="auto"/>
          </w:divBdr>
          <w:divsChild>
            <w:div w:id="67074560">
              <w:marLeft w:val="0"/>
              <w:marRight w:val="0"/>
              <w:marTop w:val="0"/>
              <w:marBottom w:val="0"/>
              <w:divBdr>
                <w:top w:val="none" w:sz="0" w:space="0" w:color="auto"/>
                <w:left w:val="none" w:sz="0" w:space="0" w:color="auto"/>
                <w:bottom w:val="none" w:sz="0" w:space="0" w:color="auto"/>
                <w:right w:val="none" w:sz="0" w:space="0" w:color="auto"/>
              </w:divBdr>
            </w:div>
          </w:divsChild>
        </w:div>
        <w:div w:id="244926523">
          <w:marLeft w:val="0"/>
          <w:marRight w:val="0"/>
          <w:marTop w:val="0"/>
          <w:marBottom w:val="0"/>
          <w:divBdr>
            <w:top w:val="none" w:sz="0" w:space="0" w:color="auto"/>
            <w:left w:val="none" w:sz="0" w:space="0" w:color="auto"/>
            <w:bottom w:val="none" w:sz="0" w:space="0" w:color="auto"/>
            <w:right w:val="none" w:sz="0" w:space="0" w:color="auto"/>
          </w:divBdr>
          <w:divsChild>
            <w:div w:id="205072697">
              <w:marLeft w:val="0"/>
              <w:marRight w:val="0"/>
              <w:marTop w:val="0"/>
              <w:marBottom w:val="0"/>
              <w:divBdr>
                <w:top w:val="none" w:sz="0" w:space="0" w:color="auto"/>
                <w:left w:val="none" w:sz="0" w:space="0" w:color="auto"/>
                <w:bottom w:val="none" w:sz="0" w:space="0" w:color="auto"/>
                <w:right w:val="none" w:sz="0" w:space="0" w:color="auto"/>
              </w:divBdr>
            </w:div>
          </w:divsChild>
        </w:div>
        <w:div w:id="286619986">
          <w:marLeft w:val="0"/>
          <w:marRight w:val="0"/>
          <w:marTop w:val="0"/>
          <w:marBottom w:val="0"/>
          <w:divBdr>
            <w:top w:val="none" w:sz="0" w:space="0" w:color="auto"/>
            <w:left w:val="none" w:sz="0" w:space="0" w:color="auto"/>
            <w:bottom w:val="none" w:sz="0" w:space="0" w:color="auto"/>
            <w:right w:val="none" w:sz="0" w:space="0" w:color="auto"/>
          </w:divBdr>
          <w:divsChild>
            <w:div w:id="303194963">
              <w:marLeft w:val="0"/>
              <w:marRight w:val="0"/>
              <w:marTop w:val="0"/>
              <w:marBottom w:val="0"/>
              <w:divBdr>
                <w:top w:val="none" w:sz="0" w:space="0" w:color="auto"/>
                <w:left w:val="none" w:sz="0" w:space="0" w:color="auto"/>
                <w:bottom w:val="none" w:sz="0" w:space="0" w:color="auto"/>
                <w:right w:val="none" w:sz="0" w:space="0" w:color="auto"/>
              </w:divBdr>
            </w:div>
          </w:divsChild>
        </w:div>
        <w:div w:id="684598331">
          <w:marLeft w:val="0"/>
          <w:marRight w:val="0"/>
          <w:marTop w:val="0"/>
          <w:marBottom w:val="0"/>
          <w:divBdr>
            <w:top w:val="none" w:sz="0" w:space="0" w:color="auto"/>
            <w:left w:val="none" w:sz="0" w:space="0" w:color="auto"/>
            <w:bottom w:val="none" w:sz="0" w:space="0" w:color="auto"/>
            <w:right w:val="none" w:sz="0" w:space="0" w:color="auto"/>
          </w:divBdr>
          <w:divsChild>
            <w:div w:id="70466709">
              <w:marLeft w:val="0"/>
              <w:marRight w:val="0"/>
              <w:marTop w:val="0"/>
              <w:marBottom w:val="0"/>
              <w:divBdr>
                <w:top w:val="none" w:sz="0" w:space="0" w:color="auto"/>
                <w:left w:val="none" w:sz="0" w:space="0" w:color="auto"/>
                <w:bottom w:val="none" w:sz="0" w:space="0" w:color="auto"/>
                <w:right w:val="none" w:sz="0" w:space="0" w:color="auto"/>
              </w:divBdr>
            </w:div>
          </w:divsChild>
        </w:div>
        <w:div w:id="824055117">
          <w:marLeft w:val="0"/>
          <w:marRight w:val="0"/>
          <w:marTop w:val="0"/>
          <w:marBottom w:val="0"/>
          <w:divBdr>
            <w:top w:val="none" w:sz="0" w:space="0" w:color="auto"/>
            <w:left w:val="none" w:sz="0" w:space="0" w:color="auto"/>
            <w:bottom w:val="none" w:sz="0" w:space="0" w:color="auto"/>
            <w:right w:val="none" w:sz="0" w:space="0" w:color="auto"/>
          </w:divBdr>
          <w:divsChild>
            <w:div w:id="987442287">
              <w:marLeft w:val="0"/>
              <w:marRight w:val="0"/>
              <w:marTop w:val="0"/>
              <w:marBottom w:val="0"/>
              <w:divBdr>
                <w:top w:val="none" w:sz="0" w:space="0" w:color="auto"/>
                <w:left w:val="none" w:sz="0" w:space="0" w:color="auto"/>
                <w:bottom w:val="none" w:sz="0" w:space="0" w:color="auto"/>
                <w:right w:val="none" w:sz="0" w:space="0" w:color="auto"/>
              </w:divBdr>
            </w:div>
          </w:divsChild>
        </w:div>
        <w:div w:id="825819707">
          <w:marLeft w:val="0"/>
          <w:marRight w:val="0"/>
          <w:marTop w:val="0"/>
          <w:marBottom w:val="0"/>
          <w:divBdr>
            <w:top w:val="none" w:sz="0" w:space="0" w:color="auto"/>
            <w:left w:val="none" w:sz="0" w:space="0" w:color="auto"/>
            <w:bottom w:val="none" w:sz="0" w:space="0" w:color="auto"/>
            <w:right w:val="none" w:sz="0" w:space="0" w:color="auto"/>
          </w:divBdr>
          <w:divsChild>
            <w:div w:id="246430131">
              <w:marLeft w:val="0"/>
              <w:marRight w:val="0"/>
              <w:marTop w:val="0"/>
              <w:marBottom w:val="0"/>
              <w:divBdr>
                <w:top w:val="none" w:sz="0" w:space="0" w:color="auto"/>
                <w:left w:val="none" w:sz="0" w:space="0" w:color="auto"/>
                <w:bottom w:val="none" w:sz="0" w:space="0" w:color="auto"/>
                <w:right w:val="none" w:sz="0" w:space="0" w:color="auto"/>
              </w:divBdr>
            </w:div>
          </w:divsChild>
        </w:div>
        <w:div w:id="871652739">
          <w:marLeft w:val="0"/>
          <w:marRight w:val="0"/>
          <w:marTop w:val="0"/>
          <w:marBottom w:val="0"/>
          <w:divBdr>
            <w:top w:val="none" w:sz="0" w:space="0" w:color="auto"/>
            <w:left w:val="none" w:sz="0" w:space="0" w:color="auto"/>
            <w:bottom w:val="none" w:sz="0" w:space="0" w:color="auto"/>
            <w:right w:val="none" w:sz="0" w:space="0" w:color="auto"/>
          </w:divBdr>
          <w:divsChild>
            <w:div w:id="179199160">
              <w:marLeft w:val="0"/>
              <w:marRight w:val="0"/>
              <w:marTop w:val="0"/>
              <w:marBottom w:val="0"/>
              <w:divBdr>
                <w:top w:val="none" w:sz="0" w:space="0" w:color="auto"/>
                <w:left w:val="none" w:sz="0" w:space="0" w:color="auto"/>
                <w:bottom w:val="none" w:sz="0" w:space="0" w:color="auto"/>
                <w:right w:val="none" w:sz="0" w:space="0" w:color="auto"/>
              </w:divBdr>
            </w:div>
          </w:divsChild>
        </w:div>
        <w:div w:id="930968632">
          <w:marLeft w:val="0"/>
          <w:marRight w:val="0"/>
          <w:marTop w:val="0"/>
          <w:marBottom w:val="0"/>
          <w:divBdr>
            <w:top w:val="none" w:sz="0" w:space="0" w:color="auto"/>
            <w:left w:val="none" w:sz="0" w:space="0" w:color="auto"/>
            <w:bottom w:val="none" w:sz="0" w:space="0" w:color="auto"/>
            <w:right w:val="none" w:sz="0" w:space="0" w:color="auto"/>
          </w:divBdr>
          <w:divsChild>
            <w:div w:id="1380088295">
              <w:marLeft w:val="0"/>
              <w:marRight w:val="0"/>
              <w:marTop w:val="0"/>
              <w:marBottom w:val="0"/>
              <w:divBdr>
                <w:top w:val="none" w:sz="0" w:space="0" w:color="auto"/>
                <w:left w:val="none" w:sz="0" w:space="0" w:color="auto"/>
                <w:bottom w:val="none" w:sz="0" w:space="0" w:color="auto"/>
                <w:right w:val="none" w:sz="0" w:space="0" w:color="auto"/>
              </w:divBdr>
            </w:div>
          </w:divsChild>
        </w:div>
        <w:div w:id="962349675">
          <w:marLeft w:val="0"/>
          <w:marRight w:val="0"/>
          <w:marTop w:val="0"/>
          <w:marBottom w:val="0"/>
          <w:divBdr>
            <w:top w:val="none" w:sz="0" w:space="0" w:color="auto"/>
            <w:left w:val="none" w:sz="0" w:space="0" w:color="auto"/>
            <w:bottom w:val="none" w:sz="0" w:space="0" w:color="auto"/>
            <w:right w:val="none" w:sz="0" w:space="0" w:color="auto"/>
          </w:divBdr>
          <w:divsChild>
            <w:div w:id="2095857423">
              <w:marLeft w:val="0"/>
              <w:marRight w:val="0"/>
              <w:marTop w:val="0"/>
              <w:marBottom w:val="0"/>
              <w:divBdr>
                <w:top w:val="none" w:sz="0" w:space="0" w:color="auto"/>
                <w:left w:val="none" w:sz="0" w:space="0" w:color="auto"/>
                <w:bottom w:val="none" w:sz="0" w:space="0" w:color="auto"/>
                <w:right w:val="none" w:sz="0" w:space="0" w:color="auto"/>
              </w:divBdr>
            </w:div>
          </w:divsChild>
        </w:div>
        <w:div w:id="1064528090">
          <w:marLeft w:val="0"/>
          <w:marRight w:val="0"/>
          <w:marTop w:val="0"/>
          <w:marBottom w:val="0"/>
          <w:divBdr>
            <w:top w:val="none" w:sz="0" w:space="0" w:color="auto"/>
            <w:left w:val="none" w:sz="0" w:space="0" w:color="auto"/>
            <w:bottom w:val="none" w:sz="0" w:space="0" w:color="auto"/>
            <w:right w:val="none" w:sz="0" w:space="0" w:color="auto"/>
          </w:divBdr>
          <w:divsChild>
            <w:div w:id="1284727149">
              <w:marLeft w:val="0"/>
              <w:marRight w:val="0"/>
              <w:marTop w:val="0"/>
              <w:marBottom w:val="0"/>
              <w:divBdr>
                <w:top w:val="none" w:sz="0" w:space="0" w:color="auto"/>
                <w:left w:val="none" w:sz="0" w:space="0" w:color="auto"/>
                <w:bottom w:val="none" w:sz="0" w:space="0" w:color="auto"/>
                <w:right w:val="none" w:sz="0" w:space="0" w:color="auto"/>
              </w:divBdr>
            </w:div>
          </w:divsChild>
        </w:div>
        <w:div w:id="1163280828">
          <w:marLeft w:val="0"/>
          <w:marRight w:val="0"/>
          <w:marTop w:val="0"/>
          <w:marBottom w:val="0"/>
          <w:divBdr>
            <w:top w:val="none" w:sz="0" w:space="0" w:color="auto"/>
            <w:left w:val="none" w:sz="0" w:space="0" w:color="auto"/>
            <w:bottom w:val="none" w:sz="0" w:space="0" w:color="auto"/>
            <w:right w:val="none" w:sz="0" w:space="0" w:color="auto"/>
          </w:divBdr>
          <w:divsChild>
            <w:div w:id="1570188036">
              <w:marLeft w:val="0"/>
              <w:marRight w:val="0"/>
              <w:marTop w:val="0"/>
              <w:marBottom w:val="0"/>
              <w:divBdr>
                <w:top w:val="none" w:sz="0" w:space="0" w:color="auto"/>
                <w:left w:val="none" w:sz="0" w:space="0" w:color="auto"/>
                <w:bottom w:val="none" w:sz="0" w:space="0" w:color="auto"/>
                <w:right w:val="none" w:sz="0" w:space="0" w:color="auto"/>
              </w:divBdr>
            </w:div>
          </w:divsChild>
        </w:div>
        <w:div w:id="1226724614">
          <w:marLeft w:val="0"/>
          <w:marRight w:val="0"/>
          <w:marTop w:val="0"/>
          <w:marBottom w:val="0"/>
          <w:divBdr>
            <w:top w:val="none" w:sz="0" w:space="0" w:color="auto"/>
            <w:left w:val="none" w:sz="0" w:space="0" w:color="auto"/>
            <w:bottom w:val="none" w:sz="0" w:space="0" w:color="auto"/>
            <w:right w:val="none" w:sz="0" w:space="0" w:color="auto"/>
          </w:divBdr>
          <w:divsChild>
            <w:div w:id="712462754">
              <w:marLeft w:val="0"/>
              <w:marRight w:val="0"/>
              <w:marTop w:val="0"/>
              <w:marBottom w:val="0"/>
              <w:divBdr>
                <w:top w:val="none" w:sz="0" w:space="0" w:color="auto"/>
                <w:left w:val="none" w:sz="0" w:space="0" w:color="auto"/>
                <w:bottom w:val="none" w:sz="0" w:space="0" w:color="auto"/>
                <w:right w:val="none" w:sz="0" w:space="0" w:color="auto"/>
              </w:divBdr>
            </w:div>
          </w:divsChild>
        </w:div>
        <w:div w:id="1253008062">
          <w:marLeft w:val="0"/>
          <w:marRight w:val="0"/>
          <w:marTop w:val="0"/>
          <w:marBottom w:val="0"/>
          <w:divBdr>
            <w:top w:val="none" w:sz="0" w:space="0" w:color="auto"/>
            <w:left w:val="none" w:sz="0" w:space="0" w:color="auto"/>
            <w:bottom w:val="none" w:sz="0" w:space="0" w:color="auto"/>
            <w:right w:val="none" w:sz="0" w:space="0" w:color="auto"/>
          </w:divBdr>
          <w:divsChild>
            <w:div w:id="786049519">
              <w:marLeft w:val="0"/>
              <w:marRight w:val="0"/>
              <w:marTop w:val="0"/>
              <w:marBottom w:val="0"/>
              <w:divBdr>
                <w:top w:val="none" w:sz="0" w:space="0" w:color="auto"/>
                <w:left w:val="none" w:sz="0" w:space="0" w:color="auto"/>
                <w:bottom w:val="none" w:sz="0" w:space="0" w:color="auto"/>
                <w:right w:val="none" w:sz="0" w:space="0" w:color="auto"/>
              </w:divBdr>
            </w:div>
          </w:divsChild>
        </w:div>
        <w:div w:id="1314141418">
          <w:marLeft w:val="0"/>
          <w:marRight w:val="0"/>
          <w:marTop w:val="0"/>
          <w:marBottom w:val="0"/>
          <w:divBdr>
            <w:top w:val="none" w:sz="0" w:space="0" w:color="auto"/>
            <w:left w:val="none" w:sz="0" w:space="0" w:color="auto"/>
            <w:bottom w:val="none" w:sz="0" w:space="0" w:color="auto"/>
            <w:right w:val="none" w:sz="0" w:space="0" w:color="auto"/>
          </w:divBdr>
          <w:divsChild>
            <w:div w:id="186994415">
              <w:marLeft w:val="0"/>
              <w:marRight w:val="0"/>
              <w:marTop w:val="0"/>
              <w:marBottom w:val="0"/>
              <w:divBdr>
                <w:top w:val="none" w:sz="0" w:space="0" w:color="auto"/>
                <w:left w:val="none" w:sz="0" w:space="0" w:color="auto"/>
                <w:bottom w:val="none" w:sz="0" w:space="0" w:color="auto"/>
                <w:right w:val="none" w:sz="0" w:space="0" w:color="auto"/>
              </w:divBdr>
            </w:div>
            <w:div w:id="611520291">
              <w:marLeft w:val="0"/>
              <w:marRight w:val="0"/>
              <w:marTop w:val="0"/>
              <w:marBottom w:val="0"/>
              <w:divBdr>
                <w:top w:val="none" w:sz="0" w:space="0" w:color="auto"/>
                <w:left w:val="none" w:sz="0" w:space="0" w:color="auto"/>
                <w:bottom w:val="none" w:sz="0" w:space="0" w:color="auto"/>
                <w:right w:val="none" w:sz="0" w:space="0" w:color="auto"/>
              </w:divBdr>
            </w:div>
            <w:div w:id="846748183">
              <w:marLeft w:val="0"/>
              <w:marRight w:val="0"/>
              <w:marTop w:val="0"/>
              <w:marBottom w:val="0"/>
              <w:divBdr>
                <w:top w:val="none" w:sz="0" w:space="0" w:color="auto"/>
                <w:left w:val="none" w:sz="0" w:space="0" w:color="auto"/>
                <w:bottom w:val="none" w:sz="0" w:space="0" w:color="auto"/>
                <w:right w:val="none" w:sz="0" w:space="0" w:color="auto"/>
              </w:divBdr>
            </w:div>
            <w:div w:id="1092435494">
              <w:marLeft w:val="0"/>
              <w:marRight w:val="0"/>
              <w:marTop w:val="0"/>
              <w:marBottom w:val="0"/>
              <w:divBdr>
                <w:top w:val="none" w:sz="0" w:space="0" w:color="auto"/>
                <w:left w:val="none" w:sz="0" w:space="0" w:color="auto"/>
                <w:bottom w:val="none" w:sz="0" w:space="0" w:color="auto"/>
                <w:right w:val="none" w:sz="0" w:space="0" w:color="auto"/>
              </w:divBdr>
            </w:div>
            <w:div w:id="1225331283">
              <w:marLeft w:val="0"/>
              <w:marRight w:val="0"/>
              <w:marTop w:val="0"/>
              <w:marBottom w:val="0"/>
              <w:divBdr>
                <w:top w:val="none" w:sz="0" w:space="0" w:color="auto"/>
                <w:left w:val="none" w:sz="0" w:space="0" w:color="auto"/>
                <w:bottom w:val="none" w:sz="0" w:space="0" w:color="auto"/>
                <w:right w:val="none" w:sz="0" w:space="0" w:color="auto"/>
              </w:divBdr>
            </w:div>
            <w:div w:id="1457677554">
              <w:marLeft w:val="0"/>
              <w:marRight w:val="0"/>
              <w:marTop w:val="0"/>
              <w:marBottom w:val="0"/>
              <w:divBdr>
                <w:top w:val="none" w:sz="0" w:space="0" w:color="auto"/>
                <w:left w:val="none" w:sz="0" w:space="0" w:color="auto"/>
                <w:bottom w:val="none" w:sz="0" w:space="0" w:color="auto"/>
                <w:right w:val="none" w:sz="0" w:space="0" w:color="auto"/>
              </w:divBdr>
            </w:div>
          </w:divsChild>
        </w:div>
        <w:div w:id="1392541586">
          <w:marLeft w:val="0"/>
          <w:marRight w:val="0"/>
          <w:marTop w:val="0"/>
          <w:marBottom w:val="0"/>
          <w:divBdr>
            <w:top w:val="none" w:sz="0" w:space="0" w:color="auto"/>
            <w:left w:val="none" w:sz="0" w:space="0" w:color="auto"/>
            <w:bottom w:val="none" w:sz="0" w:space="0" w:color="auto"/>
            <w:right w:val="none" w:sz="0" w:space="0" w:color="auto"/>
          </w:divBdr>
          <w:divsChild>
            <w:div w:id="383988985">
              <w:marLeft w:val="0"/>
              <w:marRight w:val="0"/>
              <w:marTop w:val="0"/>
              <w:marBottom w:val="0"/>
              <w:divBdr>
                <w:top w:val="none" w:sz="0" w:space="0" w:color="auto"/>
                <w:left w:val="none" w:sz="0" w:space="0" w:color="auto"/>
                <w:bottom w:val="none" w:sz="0" w:space="0" w:color="auto"/>
                <w:right w:val="none" w:sz="0" w:space="0" w:color="auto"/>
              </w:divBdr>
            </w:div>
            <w:div w:id="1066144566">
              <w:marLeft w:val="0"/>
              <w:marRight w:val="0"/>
              <w:marTop w:val="0"/>
              <w:marBottom w:val="0"/>
              <w:divBdr>
                <w:top w:val="none" w:sz="0" w:space="0" w:color="auto"/>
                <w:left w:val="none" w:sz="0" w:space="0" w:color="auto"/>
                <w:bottom w:val="none" w:sz="0" w:space="0" w:color="auto"/>
                <w:right w:val="none" w:sz="0" w:space="0" w:color="auto"/>
              </w:divBdr>
            </w:div>
          </w:divsChild>
        </w:div>
        <w:div w:id="1468353696">
          <w:marLeft w:val="0"/>
          <w:marRight w:val="0"/>
          <w:marTop w:val="0"/>
          <w:marBottom w:val="0"/>
          <w:divBdr>
            <w:top w:val="none" w:sz="0" w:space="0" w:color="auto"/>
            <w:left w:val="none" w:sz="0" w:space="0" w:color="auto"/>
            <w:bottom w:val="none" w:sz="0" w:space="0" w:color="auto"/>
            <w:right w:val="none" w:sz="0" w:space="0" w:color="auto"/>
          </w:divBdr>
          <w:divsChild>
            <w:div w:id="462430346">
              <w:marLeft w:val="0"/>
              <w:marRight w:val="0"/>
              <w:marTop w:val="0"/>
              <w:marBottom w:val="0"/>
              <w:divBdr>
                <w:top w:val="none" w:sz="0" w:space="0" w:color="auto"/>
                <w:left w:val="none" w:sz="0" w:space="0" w:color="auto"/>
                <w:bottom w:val="none" w:sz="0" w:space="0" w:color="auto"/>
                <w:right w:val="none" w:sz="0" w:space="0" w:color="auto"/>
              </w:divBdr>
            </w:div>
          </w:divsChild>
        </w:div>
        <w:div w:id="1610694349">
          <w:marLeft w:val="0"/>
          <w:marRight w:val="0"/>
          <w:marTop w:val="0"/>
          <w:marBottom w:val="0"/>
          <w:divBdr>
            <w:top w:val="none" w:sz="0" w:space="0" w:color="auto"/>
            <w:left w:val="none" w:sz="0" w:space="0" w:color="auto"/>
            <w:bottom w:val="none" w:sz="0" w:space="0" w:color="auto"/>
            <w:right w:val="none" w:sz="0" w:space="0" w:color="auto"/>
          </w:divBdr>
          <w:divsChild>
            <w:div w:id="400561593">
              <w:marLeft w:val="0"/>
              <w:marRight w:val="0"/>
              <w:marTop w:val="0"/>
              <w:marBottom w:val="0"/>
              <w:divBdr>
                <w:top w:val="none" w:sz="0" w:space="0" w:color="auto"/>
                <w:left w:val="none" w:sz="0" w:space="0" w:color="auto"/>
                <w:bottom w:val="none" w:sz="0" w:space="0" w:color="auto"/>
                <w:right w:val="none" w:sz="0" w:space="0" w:color="auto"/>
              </w:divBdr>
            </w:div>
          </w:divsChild>
        </w:div>
        <w:div w:id="1666400694">
          <w:marLeft w:val="0"/>
          <w:marRight w:val="0"/>
          <w:marTop w:val="0"/>
          <w:marBottom w:val="0"/>
          <w:divBdr>
            <w:top w:val="none" w:sz="0" w:space="0" w:color="auto"/>
            <w:left w:val="none" w:sz="0" w:space="0" w:color="auto"/>
            <w:bottom w:val="none" w:sz="0" w:space="0" w:color="auto"/>
            <w:right w:val="none" w:sz="0" w:space="0" w:color="auto"/>
          </w:divBdr>
          <w:divsChild>
            <w:div w:id="1886408845">
              <w:marLeft w:val="0"/>
              <w:marRight w:val="0"/>
              <w:marTop w:val="0"/>
              <w:marBottom w:val="0"/>
              <w:divBdr>
                <w:top w:val="none" w:sz="0" w:space="0" w:color="auto"/>
                <w:left w:val="none" w:sz="0" w:space="0" w:color="auto"/>
                <w:bottom w:val="none" w:sz="0" w:space="0" w:color="auto"/>
                <w:right w:val="none" w:sz="0" w:space="0" w:color="auto"/>
              </w:divBdr>
            </w:div>
          </w:divsChild>
        </w:div>
        <w:div w:id="1683899610">
          <w:marLeft w:val="0"/>
          <w:marRight w:val="0"/>
          <w:marTop w:val="0"/>
          <w:marBottom w:val="0"/>
          <w:divBdr>
            <w:top w:val="none" w:sz="0" w:space="0" w:color="auto"/>
            <w:left w:val="none" w:sz="0" w:space="0" w:color="auto"/>
            <w:bottom w:val="none" w:sz="0" w:space="0" w:color="auto"/>
            <w:right w:val="none" w:sz="0" w:space="0" w:color="auto"/>
          </w:divBdr>
          <w:divsChild>
            <w:div w:id="1924215504">
              <w:marLeft w:val="0"/>
              <w:marRight w:val="0"/>
              <w:marTop w:val="0"/>
              <w:marBottom w:val="0"/>
              <w:divBdr>
                <w:top w:val="none" w:sz="0" w:space="0" w:color="auto"/>
                <w:left w:val="none" w:sz="0" w:space="0" w:color="auto"/>
                <w:bottom w:val="none" w:sz="0" w:space="0" w:color="auto"/>
                <w:right w:val="none" w:sz="0" w:space="0" w:color="auto"/>
              </w:divBdr>
            </w:div>
          </w:divsChild>
        </w:div>
        <w:div w:id="1873416580">
          <w:marLeft w:val="0"/>
          <w:marRight w:val="0"/>
          <w:marTop w:val="0"/>
          <w:marBottom w:val="0"/>
          <w:divBdr>
            <w:top w:val="none" w:sz="0" w:space="0" w:color="auto"/>
            <w:left w:val="none" w:sz="0" w:space="0" w:color="auto"/>
            <w:bottom w:val="none" w:sz="0" w:space="0" w:color="auto"/>
            <w:right w:val="none" w:sz="0" w:space="0" w:color="auto"/>
          </w:divBdr>
          <w:divsChild>
            <w:div w:id="77333966">
              <w:marLeft w:val="0"/>
              <w:marRight w:val="0"/>
              <w:marTop w:val="0"/>
              <w:marBottom w:val="0"/>
              <w:divBdr>
                <w:top w:val="none" w:sz="0" w:space="0" w:color="auto"/>
                <w:left w:val="none" w:sz="0" w:space="0" w:color="auto"/>
                <w:bottom w:val="none" w:sz="0" w:space="0" w:color="auto"/>
                <w:right w:val="none" w:sz="0" w:space="0" w:color="auto"/>
              </w:divBdr>
            </w:div>
            <w:div w:id="381712063">
              <w:marLeft w:val="0"/>
              <w:marRight w:val="0"/>
              <w:marTop w:val="0"/>
              <w:marBottom w:val="0"/>
              <w:divBdr>
                <w:top w:val="none" w:sz="0" w:space="0" w:color="auto"/>
                <w:left w:val="none" w:sz="0" w:space="0" w:color="auto"/>
                <w:bottom w:val="none" w:sz="0" w:space="0" w:color="auto"/>
                <w:right w:val="none" w:sz="0" w:space="0" w:color="auto"/>
              </w:divBdr>
            </w:div>
            <w:div w:id="423846815">
              <w:marLeft w:val="0"/>
              <w:marRight w:val="0"/>
              <w:marTop w:val="0"/>
              <w:marBottom w:val="0"/>
              <w:divBdr>
                <w:top w:val="none" w:sz="0" w:space="0" w:color="auto"/>
                <w:left w:val="none" w:sz="0" w:space="0" w:color="auto"/>
                <w:bottom w:val="none" w:sz="0" w:space="0" w:color="auto"/>
                <w:right w:val="none" w:sz="0" w:space="0" w:color="auto"/>
              </w:divBdr>
            </w:div>
            <w:div w:id="923801725">
              <w:marLeft w:val="0"/>
              <w:marRight w:val="0"/>
              <w:marTop w:val="0"/>
              <w:marBottom w:val="0"/>
              <w:divBdr>
                <w:top w:val="none" w:sz="0" w:space="0" w:color="auto"/>
                <w:left w:val="none" w:sz="0" w:space="0" w:color="auto"/>
                <w:bottom w:val="none" w:sz="0" w:space="0" w:color="auto"/>
                <w:right w:val="none" w:sz="0" w:space="0" w:color="auto"/>
              </w:divBdr>
            </w:div>
            <w:div w:id="1408726468">
              <w:marLeft w:val="0"/>
              <w:marRight w:val="0"/>
              <w:marTop w:val="0"/>
              <w:marBottom w:val="0"/>
              <w:divBdr>
                <w:top w:val="none" w:sz="0" w:space="0" w:color="auto"/>
                <w:left w:val="none" w:sz="0" w:space="0" w:color="auto"/>
                <w:bottom w:val="none" w:sz="0" w:space="0" w:color="auto"/>
                <w:right w:val="none" w:sz="0" w:space="0" w:color="auto"/>
              </w:divBdr>
            </w:div>
            <w:div w:id="1410929112">
              <w:marLeft w:val="0"/>
              <w:marRight w:val="0"/>
              <w:marTop w:val="0"/>
              <w:marBottom w:val="0"/>
              <w:divBdr>
                <w:top w:val="none" w:sz="0" w:space="0" w:color="auto"/>
                <w:left w:val="none" w:sz="0" w:space="0" w:color="auto"/>
                <w:bottom w:val="none" w:sz="0" w:space="0" w:color="auto"/>
                <w:right w:val="none" w:sz="0" w:space="0" w:color="auto"/>
              </w:divBdr>
            </w:div>
            <w:div w:id="1419670347">
              <w:marLeft w:val="0"/>
              <w:marRight w:val="0"/>
              <w:marTop w:val="0"/>
              <w:marBottom w:val="0"/>
              <w:divBdr>
                <w:top w:val="none" w:sz="0" w:space="0" w:color="auto"/>
                <w:left w:val="none" w:sz="0" w:space="0" w:color="auto"/>
                <w:bottom w:val="none" w:sz="0" w:space="0" w:color="auto"/>
                <w:right w:val="none" w:sz="0" w:space="0" w:color="auto"/>
              </w:divBdr>
            </w:div>
            <w:div w:id="1518420717">
              <w:marLeft w:val="0"/>
              <w:marRight w:val="0"/>
              <w:marTop w:val="0"/>
              <w:marBottom w:val="0"/>
              <w:divBdr>
                <w:top w:val="none" w:sz="0" w:space="0" w:color="auto"/>
                <w:left w:val="none" w:sz="0" w:space="0" w:color="auto"/>
                <w:bottom w:val="none" w:sz="0" w:space="0" w:color="auto"/>
                <w:right w:val="none" w:sz="0" w:space="0" w:color="auto"/>
              </w:divBdr>
            </w:div>
            <w:div w:id="1676568033">
              <w:marLeft w:val="0"/>
              <w:marRight w:val="0"/>
              <w:marTop w:val="0"/>
              <w:marBottom w:val="0"/>
              <w:divBdr>
                <w:top w:val="none" w:sz="0" w:space="0" w:color="auto"/>
                <w:left w:val="none" w:sz="0" w:space="0" w:color="auto"/>
                <w:bottom w:val="none" w:sz="0" w:space="0" w:color="auto"/>
                <w:right w:val="none" w:sz="0" w:space="0" w:color="auto"/>
              </w:divBdr>
            </w:div>
            <w:div w:id="20651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4773">
      <w:bodyDiv w:val="1"/>
      <w:marLeft w:val="0"/>
      <w:marRight w:val="0"/>
      <w:marTop w:val="0"/>
      <w:marBottom w:val="0"/>
      <w:divBdr>
        <w:top w:val="none" w:sz="0" w:space="0" w:color="auto"/>
        <w:left w:val="none" w:sz="0" w:space="0" w:color="auto"/>
        <w:bottom w:val="none" w:sz="0" w:space="0" w:color="auto"/>
        <w:right w:val="none" w:sz="0" w:space="0" w:color="auto"/>
      </w:divBdr>
      <w:divsChild>
        <w:div w:id="419759193">
          <w:marLeft w:val="0"/>
          <w:marRight w:val="0"/>
          <w:marTop w:val="0"/>
          <w:marBottom w:val="0"/>
          <w:divBdr>
            <w:top w:val="none" w:sz="0" w:space="0" w:color="auto"/>
            <w:left w:val="none" w:sz="0" w:space="0" w:color="auto"/>
            <w:bottom w:val="none" w:sz="0" w:space="0" w:color="auto"/>
            <w:right w:val="none" w:sz="0" w:space="0" w:color="auto"/>
          </w:divBdr>
        </w:div>
        <w:div w:id="1038622976">
          <w:marLeft w:val="0"/>
          <w:marRight w:val="0"/>
          <w:marTop w:val="0"/>
          <w:marBottom w:val="0"/>
          <w:divBdr>
            <w:top w:val="none" w:sz="0" w:space="0" w:color="auto"/>
            <w:left w:val="none" w:sz="0" w:space="0" w:color="auto"/>
            <w:bottom w:val="none" w:sz="0" w:space="0" w:color="auto"/>
            <w:right w:val="none" w:sz="0" w:space="0" w:color="auto"/>
          </w:divBdr>
        </w:div>
        <w:div w:id="1311321719">
          <w:marLeft w:val="0"/>
          <w:marRight w:val="0"/>
          <w:marTop w:val="0"/>
          <w:marBottom w:val="0"/>
          <w:divBdr>
            <w:top w:val="none" w:sz="0" w:space="0" w:color="auto"/>
            <w:left w:val="none" w:sz="0" w:space="0" w:color="auto"/>
            <w:bottom w:val="none" w:sz="0" w:space="0" w:color="auto"/>
            <w:right w:val="none" w:sz="0" w:space="0" w:color="auto"/>
          </w:divBdr>
        </w:div>
      </w:divsChild>
    </w:div>
    <w:div w:id="773280268">
      <w:bodyDiv w:val="1"/>
      <w:marLeft w:val="0"/>
      <w:marRight w:val="0"/>
      <w:marTop w:val="0"/>
      <w:marBottom w:val="0"/>
      <w:divBdr>
        <w:top w:val="none" w:sz="0" w:space="0" w:color="auto"/>
        <w:left w:val="none" w:sz="0" w:space="0" w:color="auto"/>
        <w:bottom w:val="none" w:sz="0" w:space="0" w:color="auto"/>
        <w:right w:val="none" w:sz="0" w:space="0" w:color="auto"/>
      </w:divBdr>
      <w:divsChild>
        <w:div w:id="808787985">
          <w:marLeft w:val="0"/>
          <w:marRight w:val="0"/>
          <w:marTop w:val="0"/>
          <w:marBottom w:val="0"/>
          <w:divBdr>
            <w:top w:val="none" w:sz="0" w:space="0" w:color="auto"/>
            <w:left w:val="none" w:sz="0" w:space="0" w:color="auto"/>
            <w:bottom w:val="none" w:sz="0" w:space="0" w:color="auto"/>
            <w:right w:val="none" w:sz="0" w:space="0" w:color="auto"/>
          </w:divBdr>
          <w:divsChild>
            <w:div w:id="2131123218">
              <w:marLeft w:val="0"/>
              <w:marRight w:val="0"/>
              <w:marTop w:val="30"/>
              <w:marBottom w:val="30"/>
              <w:divBdr>
                <w:top w:val="none" w:sz="0" w:space="0" w:color="auto"/>
                <w:left w:val="none" w:sz="0" w:space="0" w:color="auto"/>
                <w:bottom w:val="none" w:sz="0" w:space="0" w:color="auto"/>
                <w:right w:val="none" w:sz="0" w:space="0" w:color="auto"/>
              </w:divBdr>
              <w:divsChild>
                <w:div w:id="84038705">
                  <w:marLeft w:val="0"/>
                  <w:marRight w:val="0"/>
                  <w:marTop w:val="0"/>
                  <w:marBottom w:val="0"/>
                  <w:divBdr>
                    <w:top w:val="none" w:sz="0" w:space="0" w:color="auto"/>
                    <w:left w:val="none" w:sz="0" w:space="0" w:color="auto"/>
                    <w:bottom w:val="none" w:sz="0" w:space="0" w:color="auto"/>
                    <w:right w:val="none" w:sz="0" w:space="0" w:color="auto"/>
                  </w:divBdr>
                  <w:divsChild>
                    <w:div w:id="1679455223">
                      <w:marLeft w:val="0"/>
                      <w:marRight w:val="0"/>
                      <w:marTop w:val="0"/>
                      <w:marBottom w:val="0"/>
                      <w:divBdr>
                        <w:top w:val="none" w:sz="0" w:space="0" w:color="auto"/>
                        <w:left w:val="none" w:sz="0" w:space="0" w:color="auto"/>
                        <w:bottom w:val="none" w:sz="0" w:space="0" w:color="auto"/>
                        <w:right w:val="none" w:sz="0" w:space="0" w:color="auto"/>
                      </w:divBdr>
                    </w:div>
                  </w:divsChild>
                </w:div>
                <w:div w:id="132448382">
                  <w:marLeft w:val="0"/>
                  <w:marRight w:val="0"/>
                  <w:marTop w:val="0"/>
                  <w:marBottom w:val="0"/>
                  <w:divBdr>
                    <w:top w:val="none" w:sz="0" w:space="0" w:color="auto"/>
                    <w:left w:val="none" w:sz="0" w:space="0" w:color="auto"/>
                    <w:bottom w:val="none" w:sz="0" w:space="0" w:color="auto"/>
                    <w:right w:val="none" w:sz="0" w:space="0" w:color="auto"/>
                  </w:divBdr>
                  <w:divsChild>
                    <w:div w:id="1506751048">
                      <w:marLeft w:val="0"/>
                      <w:marRight w:val="0"/>
                      <w:marTop w:val="0"/>
                      <w:marBottom w:val="0"/>
                      <w:divBdr>
                        <w:top w:val="none" w:sz="0" w:space="0" w:color="auto"/>
                        <w:left w:val="none" w:sz="0" w:space="0" w:color="auto"/>
                        <w:bottom w:val="none" w:sz="0" w:space="0" w:color="auto"/>
                        <w:right w:val="none" w:sz="0" w:space="0" w:color="auto"/>
                      </w:divBdr>
                    </w:div>
                  </w:divsChild>
                </w:div>
                <w:div w:id="326977003">
                  <w:marLeft w:val="0"/>
                  <w:marRight w:val="0"/>
                  <w:marTop w:val="0"/>
                  <w:marBottom w:val="0"/>
                  <w:divBdr>
                    <w:top w:val="none" w:sz="0" w:space="0" w:color="auto"/>
                    <w:left w:val="none" w:sz="0" w:space="0" w:color="auto"/>
                    <w:bottom w:val="none" w:sz="0" w:space="0" w:color="auto"/>
                    <w:right w:val="none" w:sz="0" w:space="0" w:color="auto"/>
                  </w:divBdr>
                  <w:divsChild>
                    <w:div w:id="440609348">
                      <w:marLeft w:val="0"/>
                      <w:marRight w:val="0"/>
                      <w:marTop w:val="0"/>
                      <w:marBottom w:val="0"/>
                      <w:divBdr>
                        <w:top w:val="none" w:sz="0" w:space="0" w:color="auto"/>
                        <w:left w:val="none" w:sz="0" w:space="0" w:color="auto"/>
                        <w:bottom w:val="none" w:sz="0" w:space="0" w:color="auto"/>
                        <w:right w:val="none" w:sz="0" w:space="0" w:color="auto"/>
                      </w:divBdr>
                    </w:div>
                  </w:divsChild>
                </w:div>
                <w:div w:id="438373118">
                  <w:marLeft w:val="0"/>
                  <w:marRight w:val="0"/>
                  <w:marTop w:val="0"/>
                  <w:marBottom w:val="0"/>
                  <w:divBdr>
                    <w:top w:val="none" w:sz="0" w:space="0" w:color="auto"/>
                    <w:left w:val="none" w:sz="0" w:space="0" w:color="auto"/>
                    <w:bottom w:val="none" w:sz="0" w:space="0" w:color="auto"/>
                    <w:right w:val="none" w:sz="0" w:space="0" w:color="auto"/>
                  </w:divBdr>
                  <w:divsChild>
                    <w:div w:id="1953827731">
                      <w:marLeft w:val="0"/>
                      <w:marRight w:val="0"/>
                      <w:marTop w:val="0"/>
                      <w:marBottom w:val="0"/>
                      <w:divBdr>
                        <w:top w:val="none" w:sz="0" w:space="0" w:color="auto"/>
                        <w:left w:val="none" w:sz="0" w:space="0" w:color="auto"/>
                        <w:bottom w:val="none" w:sz="0" w:space="0" w:color="auto"/>
                        <w:right w:val="none" w:sz="0" w:space="0" w:color="auto"/>
                      </w:divBdr>
                    </w:div>
                  </w:divsChild>
                </w:div>
                <w:div w:id="469829092">
                  <w:marLeft w:val="0"/>
                  <w:marRight w:val="0"/>
                  <w:marTop w:val="0"/>
                  <w:marBottom w:val="0"/>
                  <w:divBdr>
                    <w:top w:val="none" w:sz="0" w:space="0" w:color="auto"/>
                    <w:left w:val="none" w:sz="0" w:space="0" w:color="auto"/>
                    <w:bottom w:val="none" w:sz="0" w:space="0" w:color="auto"/>
                    <w:right w:val="none" w:sz="0" w:space="0" w:color="auto"/>
                  </w:divBdr>
                  <w:divsChild>
                    <w:div w:id="973174202">
                      <w:marLeft w:val="0"/>
                      <w:marRight w:val="0"/>
                      <w:marTop w:val="0"/>
                      <w:marBottom w:val="0"/>
                      <w:divBdr>
                        <w:top w:val="none" w:sz="0" w:space="0" w:color="auto"/>
                        <w:left w:val="none" w:sz="0" w:space="0" w:color="auto"/>
                        <w:bottom w:val="none" w:sz="0" w:space="0" w:color="auto"/>
                        <w:right w:val="none" w:sz="0" w:space="0" w:color="auto"/>
                      </w:divBdr>
                    </w:div>
                  </w:divsChild>
                </w:div>
                <w:div w:id="549419655">
                  <w:marLeft w:val="0"/>
                  <w:marRight w:val="0"/>
                  <w:marTop w:val="0"/>
                  <w:marBottom w:val="0"/>
                  <w:divBdr>
                    <w:top w:val="none" w:sz="0" w:space="0" w:color="auto"/>
                    <w:left w:val="none" w:sz="0" w:space="0" w:color="auto"/>
                    <w:bottom w:val="none" w:sz="0" w:space="0" w:color="auto"/>
                    <w:right w:val="none" w:sz="0" w:space="0" w:color="auto"/>
                  </w:divBdr>
                  <w:divsChild>
                    <w:div w:id="804661682">
                      <w:marLeft w:val="0"/>
                      <w:marRight w:val="0"/>
                      <w:marTop w:val="0"/>
                      <w:marBottom w:val="0"/>
                      <w:divBdr>
                        <w:top w:val="none" w:sz="0" w:space="0" w:color="auto"/>
                        <w:left w:val="none" w:sz="0" w:space="0" w:color="auto"/>
                        <w:bottom w:val="none" w:sz="0" w:space="0" w:color="auto"/>
                        <w:right w:val="none" w:sz="0" w:space="0" w:color="auto"/>
                      </w:divBdr>
                    </w:div>
                  </w:divsChild>
                </w:div>
                <w:div w:id="657080287">
                  <w:marLeft w:val="0"/>
                  <w:marRight w:val="0"/>
                  <w:marTop w:val="0"/>
                  <w:marBottom w:val="0"/>
                  <w:divBdr>
                    <w:top w:val="none" w:sz="0" w:space="0" w:color="auto"/>
                    <w:left w:val="none" w:sz="0" w:space="0" w:color="auto"/>
                    <w:bottom w:val="none" w:sz="0" w:space="0" w:color="auto"/>
                    <w:right w:val="none" w:sz="0" w:space="0" w:color="auto"/>
                  </w:divBdr>
                  <w:divsChild>
                    <w:div w:id="1561404666">
                      <w:marLeft w:val="0"/>
                      <w:marRight w:val="0"/>
                      <w:marTop w:val="0"/>
                      <w:marBottom w:val="0"/>
                      <w:divBdr>
                        <w:top w:val="none" w:sz="0" w:space="0" w:color="auto"/>
                        <w:left w:val="none" w:sz="0" w:space="0" w:color="auto"/>
                        <w:bottom w:val="none" w:sz="0" w:space="0" w:color="auto"/>
                        <w:right w:val="none" w:sz="0" w:space="0" w:color="auto"/>
                      </w:divBdr>
                    </w:div>
                  </w:divsChild>
                </w:div>
                <w:div w:id="816992346">
                  <w:marLeft w:val="0"/>
                  <w:marRight w:val="0"/>
                  <w:marTop w:val="0"/>
                  <w:marBottom w:val="0"/>
                  <w:divBdr>
                    <w:top w:val="none" w:sz="0" w:space="0" w:color="auto"/>
                    <w:left w:val="none" w:sz="0" w:space="0" w:color="auto"/>
                    <w:bottom w:val="none" w:sz="0" w:space="0" w:color="auto"/>
                    <w:right w:val="none" w:sz="0" w:space="0" w:color="auto"/>
                  </w:divBdr>
                  <w:divsChild>
                    <w:div w:id="319507766">
                      <w:marLeft w:val="0"/>
                      <w:marRight w:val="0"/>
                      <w:marTop w:val="0"/>
                      <w:marBottom w:val="0"/>
                      <w:divBdr>
                        <w:top w:val="none" w:sz="0" w:space="0" w:color="auto"/>
                        <w:left w:val="none" w:sz="0" w:space="0" w:color="auto"/>
                        <w:bottom w:val="none" w:sz="0" w:space="0" w:color="auto"/>
                        <w:right w:val="none" w:sz="0" w:space="0" w:color="auto"/>
                      </w:divBdr>
                    </w:div>
                  </w:divsChild>
                </w:div>
                <w:div w:id="964239962">
                  <w:marLeft w:val="0"/>
                  <w:marRight w:val="0"/>
                  <w:marTop w:val="0"/>
                  <w:marBottom w:val="0"/>
                  <w:divBdr>
                    <w:top w:val="none" w:sz="0" w:space="0" w:color="auto"/>
                    <w:left w:val="none" w:sz="0" w:space="0" w:color="auto"/>
                    <w:bottom w:val="none" w:sz="0" w:space="0" w:color="auto"/>
                    <w:right w:val="none" w:sz="0" w:space="0" w:color="auto"/>
                  </w:divBdr>
                  <w:divsChild>
                    <w:div w:id="229921969">
                      <w:marLeft w:val="0"/>
                      <w:marRight w:val="0"/>
                      <w:marTop w:val="0"/>
                      <w:marBottom w:val="0"/>
                      <w:divBdr>
                        <w:top w:val="none" w:sz="0" w:space="0" w:color="auto"/>
                        <w:left w:val="none" w:sz="0" w:space="0" w:color="auto"/>
                        <w:bottom w:val="none" w:sz="0" w:space="0" w:color="auto"/>
                        <w:right w:val="none" w:sz="0" w:space="0" w:color="auto"/>
                      </w:divBdr>
                    </w:div>
                  </w:divsChild>
                </w:div>
                <w:div w:id="993024370">
                  <w:marLeft w:val="0"/>
                  <w:marRight w:val="0"/>
                  <w:marTop w:val="0"/>
                  <w:marBottom w:val="0"/>
                  <w:divBdr>
                    <w:top w:val="none" w:sz="0" w:space="0" w:color="auto"/>
                    <w:left w:val="none" w:sz="0" w:space="0" w:color="auto"/>
                    <w:bottom w:val="none" w:sz="0" w:space="0" w:color="auto"/>
                    <w:right w:val="none" w:sz="0" w:space="0" w:color="auto"/>
                  </w:divBdr>
                  <w:divsChild>
                    <w:div w:id="2028673257">
                      <w:marLeft w:val="0"/>
                      <w:marRight w:val="0"/>
                      <w:marTop w:val="0"/>
                      <w:marBottom w:val="0"/>
                      <w:divBdr>
                        <w:top w:val="none" w:sz="0" w:space="0" w:color="auto"/>
                        <w:left w:val="none" w:sz="0" w:space="0" w:color="auto"/>
                        <w:bottom w:val="none" w:sz="0" w:space="0" w:color="auto"/>
                        <w:right w:val="none" w:sz="0" w:space="0" w:color="auto"/>
                      </w:divBdr>
                    </w:div>
                  </w:divsChild>
                </w:div>
                <w:div w:id="1055735841">
                  <w:marLeft w:val="0"/>
                  <w:marRight w:val="0"/>
                  <w:marTop w:val="0"/>
                  <w:marBottom w:val="0"/>
                  <w:divBdr>
                    <w:top w:val="none" w:sz="0" w:space="0" w:color="auto"/>
                    <w:left w:val="none" w:sz="0" w:space="0" w:color="auto"/>
                    <w:bottom w:val="none" w:sz="0" w:space="0" w:color="auto"/>
                    <w:right w:val="none" w:sz="0" w:space="0" w:color="auto"/>
                  </w:divBdr>
                  <w:divsChild>
                    <w:div w:id="1537499655">
                      <w:marLeft w:val="0"/>
                      <w:marRight w:val="0"/>
                      <w:marTop w:val="0"/>
                      <w:marBottom w:val="0"/>
                      <w:divBdr>
                        <w:top w:val="none" w:sz="0" w:space="0" w:color="auto"/>
                        <w:left w:val="none" w:sz="0" w:space="0" w:color="auto"/>
                        <w:bottom w:val="none" w:sz="0" w:space="0" w:color="auto"/>
                        <w:right w:val="none" w:sz="0" w:space="0" w:color="auto"/>
                      </w:divBdr>
                    </w:div>
                  </w:divsChild>
                </w:div>
                <w:div w:id="1198854079">
                  <w:marLeft w:val="0"/>
                  <w:marRight w:val="0"/>
                  <w:marTop w:val="0"/>
                  <w:marBottom w:val="0"/>
                  <w:divBdr>
                    <w:top w:val="none" w:sz="0" w:space="0" w:color="auto"/>
                    <w:left w:val="none" w:sz="0" w:space="0" w:color="auto"/>
                    <w:bottom w:val="none" w:sz="0" w:space="0" w:color="auto"/>
                    <w:right w:val="none" w:sz="0" w:space="0" w:color="auto"/>
                  </w:divBdr>
                  <w:divsChild>
                    <w:div w:id="1971207404">
                      <w:marLeft w:val="0"/>
                      <w:marRight w:val="0"/>
                      <w:marTop w:val="0"/>
                      <w:marBottom w:val="0"/>
                      <w:divBdr>
                        <w:top w:val="none" w:sz="0" w:space="0" w:color="auto"/>
                        <w:left w:val="none" w:sz="0" w:space="0" w:color="auto"/>
                        <w:bottom w:val="none" w:sz="0" w:space="0" w:color="auto"/>
                        <w:right w:val="none" w:sz="0" w:space="0" w:color="auto"/>
                      </w:divBdr>
                    </w:div>
                  </w:divsChild>
                </w:div>
                <w:div w:id="1351954520">
                  <w:marLeft w:val="0"/>
                  <w:marRight w:val="0"/>
                  <w:marTop w:val="0"/>
                  <w:marBottom w:val="0"/>
                  <w:divBdr>
                    <w:top w:val="none" w:sz="0" w:space="0" w:color="auto"/>
                    <w:left w:val="none" w:sz="0" w:space="0" w:color="auto"/>
                    <w:bottom w:val="none" w:sz="0" w:space="0" w:color="auto"/>
                    <w:right w:val="none" w:sz="0" w:space="0" w:color="auto"/>
                  </w:divBdr>
                  <w:divsChild>
                    <w:div w:id="669020810">
                      <w:marLeft w:val="0"/>
                      <w:marRight w:val="0"/>
                      <w:marTop w:val="0"/>
                      <w:marBottom w:val="0"/>
                      <w:divBdr>
                        <w:top w:val="none" w:sz="0" w:space="0" w:color="auto"/>
                        <w:left w:val="none" w:sz="0" w:space="0" w:color="auto"/>
                        <w:bottom w:val="none" w:sz="0" w:space="0" w:color="auto"/>
                        <w:right w:val="none" w:sz="0" w:space="0" w:color="auto"/>
                      </w:divBdr>
                    </w:div>
                  </w:divsChild>
                </w:div>
                <w:div w:id="1371033039">
                  <w:marLeft w:val="0"/>
                  <w:marRight w:val="0"/>
                  <w:marTop w:val="0"/>
                  <w:marBottom w:val="0"/>
                  <w:divBdr>
                    <w:top w:val="none" w:sz="0" w:space="0" w:color="auto"/>
                    <w:left w:val="none" w:sz="0" w:space="0" w:color="auto"/>
                    <w:bottom w:val="none" w:sz="0" w:space="0" w:color="auto"/>
                    <w:right w:val="none" w:sz="0" w:space="0" w:color="auto"/>
                  </w:divBdr>
                  <w:divsChild>
                    <w:div w:id="252279033">
                      <w:marLeft w:val="0"/>
                      <w:marRight w:val="0"/>
                      <w:marTop w:val="0"/>
                      <w:marBottom w:val="0"/>
                      <w:divBdr>
                        <w:top w:val="none" w:sz="0" w:space="0" w:color="auto"/>
                        <w:left w:val="none" w:sz="0" w:space="0" w:color="auto"/>
                        <w:bottom w:val="none" w:sz="0" w:space="0" w:color="auto"/>
                        <w:right w:val="none" w:sz="0" w:space="0" w:color="auto"/>
                      </w:divBdr>
                    </w:div>
                    <w:div w:id="285434492">
                      <w:marLeft w:val="0"/>
                      <w:marRight w:val="0"/>
                      <w:marTop w:val="0"/>
                      <w:marBottom w:val="0"/>
                      <w:divBdr>
                        <w:top w:val="none" w:sz="0" w:space="0" w:color="auto"/>
                        <w:left w:val="none" w:sz="0" w:space="0" w:color="auto"/>
                        <w:bottom w:val="none" w:sz="0" w:space="0" w:color="auto"/>
                        <w:right w:val="none" w:sz="0" w:space="0" w:color="auto"/>
                      </w:divBdr>
                    </w:div>
                    <w:div w:id="706024428">
                      <w:marLeft w:val="0"/>
                      <w:marRight w:val="0"/>
                      <w:marTop w:val="0"/>
                      <w:marBottom w:val="0"/>
                      <w:divBdr>
                        <w:top w:val="none" w:sz="0" w:space="0" w:color="auto"/>
                        <w:left w:val="none" w:sz="0" w:space="0" w:color="auto"/>
                        <w:bottom w:val="none" w:sz="0" w:space="0" w:color="auto"/>
                        <w:right w:val="none" w:sz="0" w:space="0" w:color="auto"/>
                      </w:divBdr>
                    </w:div>
                    <w:div w:id="857277079">
                      <w:marLeft w:val="0"/>
                      <w:marRight w:val="0"/>
                      <w:marTop w:val="0"/>
                      <w:marBottom w:val="0"/>
                      <w:divBdr>
                        <w:top w:val="none" w:sz="0" w:space="0" w:color="auto"/>
                        <w:left w:val="none" w:sz="0" w:space="0" w:color="auto"/>
                        <w:bottom w:val="none" w:sz="0" w:space="0" w:color="auto"/>
                        <w:right w:val="none" w:sz="0" w:space="0" w:color="auto"/>
                      </w:divBdr>
                    </w:div>
                    <w:div w:id="1456947342">
                      <w:marLeft w:val="0"/>
                      <w:marRight w:val="0"/>
                      <w:marTop w:val="0"/>
                      <w:marBottom w:val="0"/>
                      <w:divBdr>
                        <w:top w:val="none" w:sz="0" w:space="0" w:color="auto"/>
                        <w:left w:val="none" w:sz="0" w:space="0" w:color="auto"/>
                        <w:bottom w:val="none" w:sz="0" w:space="0" w:color="auto"/>
                        <w:right w:val="none" w:sz="0" w:space="0" w:color="auto"/>
                      </w:divBdr>
                    </w:div>
                    <w:div w:id="1519008706">
                      <w:marLeft w:val="0"/>
                      <w:marRight w:val="0"/>
                      <w:marTop w:val="0"/>
                      <w:marBottom w:val="0"/>
                      <w:divBdr>
                        <w:top w:val="none" w:sz="0" w:space="0" w:color="auto"/>
                        <w:left w:val="none" w:sz="0" w:space="0" w:color="auto"/>
                        <w:bottom w:val="none" w:sz="0" w:space="0" w:color="auto"/>
                        <w:right w:val="none" w:sz="0" w:space="0" w:color="auto"/>
                      </w:divBdr>
                    </w:div>
                  </w:divsChild>
                </w:div>
                <w:div w:id="1708526496">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 w:id="1286081938">
                      <w:marLeft w:val="0"/>
                      <w:marRight w:val="0"/>
                      <w:marTop w:val="0"/>
                      <w:marBottom w:val="0"/>
                      <w:divBdr>
                        <w:top w:val="none" w:sz="0" w:space="0" w:color="auto"/>
                        <w:left w:val="none" w:sz="0" w:space="0" w:color="auto"/>
                        <w:bottom w:val="none" w:sz="0" w:space="0" w:color="auto"/>
                        <w:right w:val="none" w:sz="0" w:space="0" w:color="auto"/>
                      </w:divBdr>
                    </w:div>
                  </w:divsChild>
                </w:div>
                <w:div w:id="1715497393">
                  <w:marLeft w:val="0"/>
                  <w:marRight w:val="0"/>
                  <w:marTop w:val="0"/>
                  <w:marBottom w:val="0"/>
                  <w:divBdr>
                    <w:top w:val="none" w:sz="0" w:space="0" w:color="auto"/>
                    <w:left w:val="none" w:sz="0" w:space="0" w:color="auto"/>
                    <w:bottom w:val="none" w:sz="0" w:space="0" w:color="auto"/>
                    <w:right w:val="none" w:sz="0" w:space="0" w:color="auto"/>
                  </w:divBdr>
                  <w:divsChild>
                    <w:div w:id="216013475">
                      <w:marLeft w:val="0"/>
                      <w:marRight w:val="0"/>
                      <w:marTop w:val="0"/>
                      <w:marBottom w:val="0"/>
                      <w:divBdr>
                        <w:top w:val="none" w:sz="0" w:space="0" w:color="auto"/>
                        <w:left w:val="none" w:sz="0" w:space="0" w:color="auto"/>
                        <w:bottom w:val="none" w:sz="0" w:space="0" w:color="auto"/>
                        <w:right w:val="none" w:sz="0" w:space="0" w:color="auto"/>
                      </w:divBdr>
                    </w:div>
                    <w:div w:id="391585008">
                      <w:marLeft w:val="0"/>
                      <w:marRight w:val="0"/>
                      <w:marTop w:val="0"/>
                      <w:marBottom w:val="0"/>
                      <w:divBdr>
                        <w:top w:val="none" w:sz="0" w:space="0" w:color="auto"/>
                        <w:left w:val="none" w:sz="0" w:space="0" w:color="auto"/>
                        <w:bottom w:val="none" w:sz="0" w:space="0" w:color="auto"/>
                        <w:right w:val="none" w:sz="0" w:space="0" w:color="auto"/>
                      </w:divBdr>
                    </w:div>
                    <w:div w:id="446311215">
                      <w:marLeft w:val="0"/>
                      <w:marRight w:val="0"/>
                      <w:marTop w:val="0"/>
                      <w:marBottom w:val="0"/>
                      <w:divBdr>
                        <w:top w:val="none" w:sz="0" w:space="0" w:color="auto"/>
                        <w:left w:val="none" w:sz="0" w:space="0" w:color="auto"/>
                        <w:bottom w:val="none" w:sz="0" w:space="0" w:color="auto"/>
                        <w:right w:val="none" w:sz="0" w:space="0" w:color="auto"/>
                      </w:divBdr>
                    </w:div>
                    <w:div w:id="526676735">
                      <w:marLeft w:val="0"/>
                      <w:marRight w:val="0"/>
                      <w:marTop w:val="0"/>
                      <w:marBottom w:val="0"/>
                      <w:divBdr>
                        <w:top w:val="none" w:sz="0" w:space="0" w:color="auto"/>
                        <w:left w:val="none" w:sz="0" w:space="0" w:color="auto"/>
                        <w:bottom w:val="none" w:sz="0" w:space="0" w:color="auto"/>
                        <w:right w:val="none" w:sz="0" w:space="0" w:color="auto"/>
                      </w:divBdr>
                    </w:div>
                    <w:div w:id="868185037">
                      <w:marLeft w:val="0"/>
                      <w:marRight w:val="0"/>
                      <w:marTop w:val="0"/>
                      <w:marBottom w:val="0"/>
                      <w:divBdr>
                        <w:top w:val="none" w:sz="0" w:space="0" w:color="auto"/>
                        <w:left w:val="none" w:sz="0" w:space="0" w:color="auto"/>
                        <w:bottom w:val="none" w:sz="0" w:space="0" w:color="auto"/>
                        <w:right w:val="none" w:sz="0" w:space="0" w:color="auto"/>
                      </w:divBdr>
                    </w:div>
                    <w:div w:id="1133594162">
                      <w:marLeft w:val="0"/>
                      <w:marRight w:val="0"/>
                      <w:marTop w:val="0"/>
                      <w:marBottom w:val="0"/>
                      <w:divBdr>
                        <w:top w:val="none" w:sz="0" w:space="0" w:color="auto"/>
                        <w:left w:val="none" w:sz="0" w:space="0" w:color="auto"/>
                        <w:bottom w:val="none" w:sz="0" w:space="0" w:color="auto"/>
                        <w:right w:val="none" w:sz="0" w:space="0" w:color="auto"/>
                      </w:divBdr>
                    </w:div>
                    <w:div w:id="1467821366">
                      <w:marLeft w:val="0"/>
                      <w:marRight w:val="0"/>
                      <w:marTop w:val="0"/>
                      <w:marBottom w:val="0"/>
                      <w:divBdr>
                        <w:top w:val="none" w:sz="0" w:space="0" w:color="auto"/>
                        <w:left w:val="none" w:sz="0" w:space="0" w:color="auto"/>
                        <w:bottom w:val="none" w:sz="0" w:space="0" w:color="auto"/>
                        <w:right w:val="none" w:sz="0" w:space="0" w:color="auto"/>
                      </w:divBdr>
                    </w:div>
                    <w:div w:id="1496997123">
                      <w:marLeft w:val="0"/>
                      <w:marRight w:val="0"/>
                      <w:marTop w:val="0"/>
                      <w:marBottom w:val="0"/>
                      <w:divBdr>
                        <w:top w:val="none" w:sz="0" w:space="0" w:color="auto"/>
                        <w:left w:val="none" w:sz="0" w:space="0" w:color="auto"/>
                        <w:bottom w:val="none" w:sz="0" w:space="0" w:color="auto"/>
                        <w:right w:val="none" w:sz="0" w:space="0" w:color="auto"/>
                      </w:divBdr>
                    </w:div>
                    <w:div w:id="1505246678">
                      <w:marLeft w:val="0"/>
                      <w:marRight w:val="0"/>
                      <w:marTop w:val="0"/>
                      <w:marBottom w:val="0"/>
                      <w:divBdr>
                        <w:top w:val="none" w:sz="0" w:space="0" w:color="auto"/>
                        <w:left w:val="none" w:sz="0" w:space="0" w:color="auto"/>
                        <w:bottom w:val="none" w:sz="0" w:space="0" w:color="auto"/>
                        <w:right w:val="none" w:sz="0" w:space="0" w:color="auto"/>
                      </w:divBdr>
                    </w:div>
                    <w:div w:id="1794471012">
                      <w:marLeft w:val="0"/>
                      <w:marRight w:val="0"/>
                      <w:marTop w:val="0"/>
                      <w:marBottom w:val="0"/>
                      <w:divBdr>
                        <w:top w:val="none" w:sz="0" w:space="0" w:color="auto"/>
                        <w:left w:val="none" w:sz="0" w:space="0" w:color="auto"/>
                        <w:bottom w:val="none" w:sz="0" w:space="0" w:color="auto"/>
                        <w:right w:val="none" w:sz="0" w:space="0" w:color="auto"/>
                      </w:divBdr>
                    </w:div>
                  </w:divsChild>
                </w:div>
                <w:div w:id="1751341360">
                  <w:marLeft w:val="0"/>
                  <w:marRight w:val="0"/>
                  <w:marTop w:val="0"/>
                  <w:marBottom w:val="0"/>
                  <w:divBdr>
                    <w:top w:val="none" w:sz="0" w:space="0" w:color="auto"/>
                    <w:left w:val="none" w:sz="0" w:space="0" w:color="auto"/>
                    <w:bottom w:val="none" w:sz="0" w:space="0" w:color="auto"/>
                    <w:right w:val="none" w:sz="0" w:space="0" w:color="auto"/>
                  </w:divBdr>
                  <w:divsChild>
                    <w:div w:id="1980454223">
                      <w:marLeft w:val="0"/>
                      <w:marRight w:val="0"/>
                      <w:marTop w:val="0"/>
                      <w:marBottom w:val="0"/>
                      <w:divBdr>
                        <w:top w:val="none" w:sz="0" w:space="0" w:color="auto"/>
                        <w:left w:val="none" w:sz="0" w:space="0" w:color="auto"/>
                        <w:bottom w:val="none" w:sz="0" w:space="0" w:color="auto"/>
                        <w:right w:val="none" w:sz="0" w:space="0" w:color="auto"/>
                      </w:divBdr>
                    </w:div>
                  </w:divsChild>
                </w:div>
                <w:div w:id="1837190503">
                  <w:marLeft w:val="0"/>
                  <w:marRight w:val="0"/>
                  <w:marTop w:val="0"/>
                  <w:marBottom w:val="0"/>
                  <w:divBdr>
                    <w:top w:val="none" w:sz="0" w:space="0" w:color="auto"/>
                    <w:left w:val="none" w:sz="0" w:space="0" w:color="auto"/>
                    <w:bottom w:val="none" w:sz="0" w:space="0" w:color="auto"/>
                    <w:right w:val="none" w:sz="0" w:space="0" w:color="auto"/>
                  </w:divBdr>
                  <w:divsChild>
                    <w:div w:id="1070811037">
                      <w:marLeft w:val="0"/>
                      <w:marRight w:val="0"/>
                      <w:marTop w:val="0"/>
                      <w:marBottom w:val="0"/>
                      <w:divBdr>
                        <w:top w:val="none" w:sz="0" w:space="0" w:color="auto"/>
                        <w:left w:val="none" w:sz="0" w:space="0" w:color="auto"/>
                        <w:bottom w:val="none" w:sz="0" w:space="0" w:color="auto"/>
                        <w:right w:val="none" w:sz="0" w:space="0" w:color="auto"/>
                      </w:divBdr>
                    </w:div>
                  </w:divsChild>
                </w:div>
                <w:div w:id="1947420382">
                  <w:marLeft w:val="0"/>
                  <w:marRight w:val="0"/>
                  <w:marTop w:val="0"/>
                  <w:marBottom w:val="0"/>
                  <w:divBdr>
                    <w:top w:val="none" w:sz="0" w:space="0" w:color="auto"/>
                    <w:left w:val="none" w:sz="0" w:space="0" w:color="auto"/>
                    <w:bottom w:val="none" w:sz="0" w:space="0" w:color="auto"/>
                    <w:right w:val="none" w:sz="0" w:space="0" w:color="auto"/>
                  </w:divBdr>
                  <w:divsChild>
                    <w:div w:id="787239137">
                      <w:marLeft w:val="0"/>
                      <w:marRight w:val="0"/>
                      <w:marTop w:val="0"/>
                      <w:marBottom w:val="0"/>
                      <w:divBdr>
                        <w:top w:val="none" w:sz="0" w:space="0" w:color="auto"/>
                        <w:left w:val="none" w:sz="0" w:space="0" w:color="auto"/>
                        <w:bottom w:val="none" w:sz="0" w:space="0" w:color="auto"/>
                        <w:right w:val="none" w:sz="0" w:space="0" w:color="auto"/>
                      </w:divBdr>
                    </w:div>
                  </w:divsChild>
                </w:div>
                <w:div w:id="2111505688">
                  <w:marLeft w:val="0"/>
                  <w:marRight w:val="0"/>
                  <w:marTop w:val="0"/>
                  <w:marBottom w:val="0"/>
                  <w:divBdr>
                    <w:top w:val="none" w:sz="0" w:space="0" w:color="auto"/>
                    <w:left w:val="none" w:sz="0" w:space="0" w:color="auto"/>
                    <w:bottom w:val="none" w:sz="0" w:space="0" w:color="auto"/>
                    <w:right w:val="none" w:sz="0" w:space="0" w:color="auto"/>
                  </w:divBdr>
                  <w:divsChild>
                    <w:div w:id="20088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941">
          <w:marLeft w:val="0"/>
          <w:marRight w:val="0"/>
          <w:marTop w:val="0"/>
          <w:marBottom w:val="0"/>
          <w:divBdr>
            <w:top w:val="none" w:sz="0" w:space="0" w:color="auto"/>
            <w:left w:val="none" w:sz="0" w:space="0" w:color="auto"/>
            <w:bottom w:val="none" w:sz="0" w:space="0" w:color="auto"/>
            <w:right w:val="none" w:sz="0" w:space="0" w:color="auto"/>
          </w:divBdr>
        </w:div>
      </w:divsChild>
    </w:div>
    <w:div w:id="8243195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5921000">
      <w:bodyDiv w:val="1"/>
      <w:marLeft w:val="0"/>
      <w:marRight w:val="0"/>
      <w:marTop w:val="0"/>
      <w:marBottom w:val="0"/>
      <w:divBdr>
        <w:top w:val="none" w:sz="0" w:space="0" w:color="auto"/>
        <w:left w:val="none" w:sz="0" w:space="0" w:color="auto"/>
        <w:bottom w:val="none" w:sz="0" w:space="0" w:color="auto"/>
        <w:right w:val="none" w:sz="0" w:space="0" w:color="auto"/>
      </w:divBdr>
      <w:divsChild>
        <w:div w:id="759450427">
          <w:marLeft w:val="0"/>
          <w:marRight w:val="0"/>
          <w:marTop w:val="0"/>
          <w:marBottom w:val="0"/>
          <w:divBdr>
            <w:top w:val="none" w:sz="0" w:space="0" w:color="auto"/>
            <w:left w:val="none" w:sz="0" w:space="0" w:color="auto"/>
            <w:bottom w:val="none" w:sz="0" w:space="0" w:color="auto"/>
            <w:right w:val="none" w:sz="0" w:space="0" w:color="auto"/>
          </w:divBdr>
          <w:divsChild>
            <w:div w:id="1839538096">
              <w:marLeft w:val="0"/>
              <w:marRight w:val="0"/>
              <w:marTop w:val="30"/>
              <w:marBottom w:val="3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
                  </w:divsChild>
                </w:div>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
                  </w:divsChild>
                </w:div>
                <w:div w:id="309093322">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
                    <w:div w:id="202407612">
                      <w:marLeft w:val="0"/>
                      <w:marRight w:val="0"/>
                      <w:marTop w:val="0"/>
                      <w:marBottom w:val="0"/>
                      <w:divBdr>
                        <w:top w:val="none" w:sz="0" w:space="0" w:color="auto"/>
                        <w:left w:val="none" w:sz="0" w:space="0" w:color="auto"/>
                        <w:bottom w:val="none" w:sz="0" w:space="0" w:color="auto"/>
                        <w:right w:val="none" w:sz="0" w:space="0" w:color="auto"/>
                      </w:divBdr>
                    </w:div>
                    <w:div w:id="216160756">
                      <w:marLeft w:val="0"/>
                      <w:marRight w:val="0"/>
                      <w:marTop w:val="0"/>
                      <w:marBottom w:val="0"/>
                      <w:divBdr>
                        <w:top w:val="none" w:sz="0" w:space="0" w:color="auto"/>
                        <w:left w:val="none" w:sz="0" w:space="0" w:color="auto"/>
                        <w:bottom w:val="none" w:sz="0" w:space="0" w:color="auto"/>
                        <w:right w:val="none" w:sz="0" w:space="0" w:color="auto"/>
                      </w:divBdr>
                    </w:div>
                    <w:div w:id="303318325">
                      <w:marLeft w:val="0"/>
                      <w:marRight w:val="0"/>
                      <w:marTop w:val="0"/>
                      <w:marBottom w:val="0"/>
                      <w:divBdr>
                        <w:top w:val="none" w:sz="0" w:space="0" w:color="auto"/>
                        <w:left w:val="none" w:sz="0" w:space="0" w:color="auto"/>
                        <w:bottom w:val="none" w:sz="0" w:space="0" w:color="auto"/>
                        <w:right w:val="none" w:sz="0" w:space="0" w:color="auto"/>
                      </w:divBdr>
                    </w:div>
                    <w:div w:id="763112290">
                      <w:marLeft w:val="0"/>
                      <w:marRight w:val="0"/>
                      <w:marTop w:val="0"/>
                      <w:marBottom w:val="0"/>
                      <w:divBdr>
                        <w:top w:val="none" w:sz="0" w:space="0" w:color="auto"/>
                        <w:left w:val="none" w:sz="0" w:space="0" w:color="auto"/>
                        <w:bottom w:val="none" w:sz="0" w:space="0" w:color="auto"/>
                        <w:right w:val="none" w:sz="0" w:space="0" w:color="auto"/>
                      </w:divBdr>
                    </w:div>
                    <w:div w:id="888225296">
                      <w:marLeft w:val="0"/>
                      <w:marRight w:val="0"/>
                      <w:marTop w:val="0"/>
                      <w:marBottom w:val="0"/>
                      <w:divBdr>
                        <w:top w:val="none" w:sz="0" w:space="0" w:color="auto"/>
                        <w:left w:val="none" w:sz="0" w:space="0" w:color="auto"/>
                        <w:bottom w:val="none" w:sz="0" w:space="0" w:color="auto"/>
                        <w:right w:val="none" w:sz="0" w:space="0" w:color="auto"/>
                      </w:divBdr>
                    </w:div>
                    <w:div w:id="1083405837">
                      <w:marLeft w:val="0"/>
                      <w:marRight w:val="0"/>
                      <w:marTop w:val="0"/>
                      <w:marBottom w:val="0"/>
                      <w:divBdr>
                        <w:top w:val="none" w:sz="0" w:space="0" w:color="auto"/>
                        <w:left w:val="none" w:sz="0" w:space="0" w:color="auto"/>
                        <w:bottom w:val="none" w:sz="0" w:space="0" w:color="auto"/>
                        <w:right w:val="none" w:sz="0" w:space="0" w:color="auto"/>
                      </w:divBdr>
                    </w:div>
                    <w:div w:id="1727534471">
                      <w:marLeft w:val="0"/>
                      <w:marRight w:val="0"/>
                      <w:marTop w:val="0"/>
                      <w:marBottom w:val="0"/>
                      <w:divBdr>
                        <w:top w:val="none" w:sz="0" w:space="0" w:color="auto"/>
                        <w:left w:val="none" w:sz="0" w:space="0" w:color="auto"/>
                        <w:bottom w:val="none" w:sz="0" w:space="0" w:color="auto"/>
                        <w:right w:val="none" w:sz="0" w:space="0" w:color="auto"/>
                      </w:divBdr>
                    </w:div>
                    <w:div w:id="1998225088">
                      <w:marLeft w:val="0"/>
                      <w:marRight w:val="0"/>
                      <w:marTop w:val="0"/>
                      <w:marBottom w:val="0"/>
                      <w:divBdr>
                        <w:top w:val="none" w:sz="0" w:space="0" w:color="auto"/>
                        <w:left w:val="none" w:sz="0" w:space="0" w:color="auto"/>
                        <w:bottom w:val="none" w:sz="0" w:space="0" w:color="auto"/>
                        <w:right w:val="none" w:sz="0" w:space="0" w:color="auto"/>
                      </w:divBdr>
                    </w:div>
                    <w:div w:id="2014840157">
                      <w:marLeft w:val="0"/>
                      <w:marRight w:val="0"/>
                      <w:marTop w:val="0"/>
                      <w:marBottom w:val="0"/>
                      <w:divBdr>
                        <w:top w:val="none" w:sz="0" w:space="0" w:color="auto"/>
                        <w:left w:val="none" w:sz="0" w:space="0" w:color="auto"/>
                        <w:bottom w:val="none" w:sz="0" w:space="0" w:color="auto"/>
                        <w:right w:val="none" w:sz="0" w:space="0" w:color="auto"/>
                      </w:divBdr>
                    </w:div>
                  </w:divsChild>
                </w:div>
                <w:div w:id="341785216">
                  <w:marLeft w:val="0"/>
                  <w:marRight w:val="0"/>
                  <w:marTop w:val="0"/>
                  <w:marBottom w:val="0"/>
                  <w:divBdr>
                    <w:top w:val="none" w:sz="0" w:space="0" w:color="auto"/>
                    <w:left w:val="none" w:sz="0" w:space="0" w:color="auto"/>
                    <w:bottom w:val="none" w:sz="0" w:space="0" w:color="auto"/>
                    <w:right w:val="none" w:sz="0" w:space="0" w:color="auto"/>
                  </w:divBdr>
                  <w:divsChild>
                    <w:div w:id="1833255841">
                      <w:marLeft w:val="0"/>
                      <w:marRight w:val="0"/>
                      <w:marTop w:val="0"/>
                      <w:marBottom w:val="0"/>
                      <w:divBdr>
                        <w:top w:val="none" w:sz="0" w:space="0" w:color="auto"/>
                        <w:left w:val="none" w:sz="0" w:space="0" w:color="auto"/>
                        <w:bottom w:val="none" w:sz="0" w:space="0" w:color="auto"/>
                        <w:right w:val="none" w:sz="0" w:space="0" w:color="auto"/>
                      </w:divBdr>
                    </w:div>
                  </w:divsChild>
                </w:div>
                <w:div w:id="417751640">
                  <w:marLeft w:val="0"/>
                  <w:marRight w:val="0"/>
                  <w:marTop w:val="0"/>
                  <w:marBottom w:val="0"/>
                  <w:divBdr>
                    <w:top w:val="none" w:sz="0" w:space="0" w:color="auto"/>
                    <w:left w:val="none" w:sz="0" w:space="0" w:color="auto"/>
                    <w:bottom w:val="none" w:sz="0" w:space="0" w:color="auto"/>
                    <w:right w:val="none" w:sz="0" w:space="0" w:color="auto"/>
                  </w:divBdr>
                  <w:divsChild>
                    <w:div w:id="1263997377">
                      <w:marLeft w:val="0"/>
                      <w:marRight w:val="0"/>
                      <w:marTop w:val="0"/>
                      <w:marBottom w:val="0"/>
                      <w:divBdr>
                        <w:top w:val="none" w:sz="0" w:space="0" w:color="auto"/>
                        <w:left w:val="none" w:sz="0" w:space="0" w:color="auto"/>
                        <w:bottom w:val="none" w:sz="0" w:space="0" w:color="auto"/>
                        <w:right w:val="none" w:sz="0" w:space="0" w:color="auto"/>
                      </w:divBdr>
                    </w:div>
                  </w:divsChild>
                </w:div>
                <w:div w:id="465397884">
                  <w:marLeft w:val="0"/>
                  <w:marRight w:val="0"/>
                  <w:marTop w:val="0"/>
                  <w:marBottom w:val="0"/>
                  <w:divBdr>
                    <w:top w:val="none" w:sz="0" w:space="0" w:color="auto"/>
                    <w:left w:val="none" w:sz="0" w:space="0" w:color="auto"/>
                    <w:bottom w:val="none" w:sz="0" w:space="0" w:color="auto"/>
                    <w:right w:val="none" w:sz="0" w:space="0" w:color="auto"/>
                  </w:divBdr>
                  <w:divsChild>
                    <w:div w:id="1200778648">
                      <w:marLeft w:val="0"/>
                      <w:marRight w:val="0"/>
                      <w:marTop w:val="0"/>
                      <w:marBottom w:val="0"/>
                      <w:divBdr>
                        <w:top w:val="none" w:sz="0" w:space="0" w:color="auto"/>
                        <w:left w:val="none" w:sz="0" w:space="0" w:color="auto"/>
                        <w:bottom w:val="none" w:sz="0" w:space="0" w:color="auto"/>
                        <w:right w:val="none" w:sz="0" w:space="0" w:color="auto"/>
                      </w:divBdr>
                    </w:div>
                  </w:divsChild>
                </w:div>
                <w:div w:id="469830693">
                  <w:marLeft w:val="0"/>
                  <w:marRight w:val="0"/>
                  <w:marTop w:val="0"/>
                  <w:marBottom w:val="0"/>
                  <w:divBdr>
                    <w:top w:val="none" w:sz="0" w:space="0" w:color="auto"/>
                    <w:left w:val="none" w:sz="0" w:space="0" w:color="auto"/>
                    <w:bottom w:val="none" w:sz="0" w:space="0" w:color="auto"/>
                    <w:right w:val="none" w:sz="0" w:space="0" w:color="auto"/>
                  </w:divBdr>
                  <w:divsChild>
                    <w:div w:id="732243166">
                      <w:marLeft w:val="0"/>
                      <w:marRight w:val="0"/>
                      <w:marTop w:val="0"/>
                      <w:marBottom w:val="0"/>
                      <w:divBdr>
                        <w:top w:val="none" w:sz="0" w:space="0" w:color="auto"/>
                        <w:left w:val="none" w:sz="0" w:space="0" w:color="auto"/>
                        <w:bottom w:val="none" w:sz="0" w:space="0" w:color="auto"/>
                        <w:right w:val="none" w:sz="0" w:space="0" w:color="auto"/>
                      </w:divBdr>
                    </w:div>
                    <w:div w:id="1532231947">
                      <w:marLeft w:val="0"/>
                      <w:marRight w:val="0"/>
                      <w:marTop w:val="0"/>
                      <w:marBottom w:val="0"/>
                      <w:divBdr>
                        <w:top w:val="none" w:sz="0" w:space="0" w:color="auto"/>
                        <w:left w:val="none" w:sz="0" w:space="0" w:color="auto"/>
                        <w:bottom w:val="none" w:sz="0" w:space="0" w:color="auto"/>
                        <w:right w:val="none" w:sz="0" w:space="0" w:color="auto"/>
                      </w:divBdr>
                    </w:div>
                  </w:divsChild>
                </w:div>
                <w:div w:id="594284914">
                  <w:marLeft w:val="0"/>
                  <w:marRight w:val="0"/>
                  <w:marTop w:val="0"/>
                  <w:marBottom w:val="0"/>
                  <w:divBdr>
                    <w:top w:val="none" w:sz="0" w:space="0" w:color="auto"/>
                    <w:left w:val="none" w:sz="0" w:space="0" w:color="auto"/>
                    <w:bottom w:val="none" w:sz="0" w:space="0" w:color="auto"/>
                    <w:right w:val="none" w:sz="0" w:space="0" w:color="auto"/>
                  </w:divBdr>
                  <w:divsChild>
                    <w:div w:id="660352167">
                      <w:marLeft w:val="0"/>
                      <w:marRight w:val="0"/>
                      <w:marTop w:val="0"/>
                      <w:marBottom w:val="0"/>
                      <w:divBdr>
                        <w:top w:val="none" w:sz="0" w:space="0" w:color="auto"/>
                        <w:left w:val="none" w:sz="0" w:space="0" w:color="auto"/>
                        <w:bottom w:val="none" w:sz="0" w:space="0" w:color="auto"/>
                        <w:right w:val="none" w:sz="0" w:space="0" w:color="auto"/>
                      </w:divBdr>
                    </w:div>
                  </w:divsChild>
                </w:div>
                <w:div w:id="934485845">
                  <w:marLeft w:val="0"/>
                  <w:marRight w:val="0"/>
                  <w:marTop w:val="0"/>
                  <w:marBottom w:val="0"/>
                  <w:divBdr>
                    <w:top w:val="none" w:sz="0" w:space="0" w:color="auto"/>
                    <w:left w:val="none" w:sz="0" w:space="0" w:color="auto"/>
                    <w:bottom w:val="none" w:sz="0" w:space="0" w:color="auto"/>
                    <w:right w:val="none" w:sz="0" w:space="0" w:color="auto"/>
                  </w:divBdr>
                  <w:divsChild>
                    <w:div w:id="2134788086">
                      <w:marLeft w:val="0"/>
                      <w:marRight w:val="0"/>
                      <w:marTop w:val="0"/>
                      <w:marBottom w:val="0"/>
                      <w:divBdr>
                        <w:top w:val="none" w:sz="0" w:space="0" w:color="auto"/>
                        <w:left w:val="none" w:sz="0" w:space="0" w:color="auto"/>
                        <w:bottom w:val="none" w:sz="0" w:space="0" w:color="auto"/>
                        <w:right w:val="none" w:sz="0" w:space="0" w:color="auto"/>
                      </w:divBdr>
                    </w:div>
                  </w:divsChild>
                </w:div>
                <w:div w:id="1006438227">
                  <w:marLeft w:val="0"/>
                  <w:marRight w:val="0"/>
                  <w:marTop w:val="0"/>
                  <w:marBottom w:val="0"/>
                  <w:divBdr>
                    <w:top w:val="none" w:sz="0" w:space="0" w:color="auto"/>
                    <w:left w:val="none" w:sz="0" w:space="0" w:color="auto"/>
                    <w:bottom w:val="none" w:sz="0" w:space="0" w:color="auto"/>
                    <w:right w:val="none" w:sz="0" w:space="0" w:color="auto"/>
                  </w:divBdr>
                  <w:divsChild>
                    <w:div w:id="635181516">
                      <w:marLeft w:val="0"/>
                      <w:marRight w:val="0"/>
                      <w:marTop w:val="0"/>
                      <w:marBottom w:val="0"/>
                      <w:divBdr>
                        <w:top w:val="none" w:sz="0" w:space="0" w:color="auto"/>
                        <w:left w:val="none" w:sz="0" w:space="0" w:color="auto"/>
                        <w:bottom w:val="none" w:sz="0" w:space="0" w:color="auto"/>
                        <w:right w:val="none" w:sz="0" w:space="0" w:color="auto"/>
                      </w:divBdr>
                    </w:div>
                  </w:divsChild>
                </w:div>
                <w:div w:id="1093283596">
                  <w:marLeft w:val="0"/>
                  <w:marRight w:val="0"/>
                  <w:marTop w:val="0"/>
                  <w:marBottom w:val="0"/>
                  <w:divBdr>
                    <w:top w:val="none" w:sz="0" w:space="0" w:color="auto"/>
                    <w:left w:val="none" w:sz="0" w:space="0" w:color="auto"/>
                    <w:bottom w:val="none" w:sz="0" w:space="0" w:color="auto"/>
                    <w:right w:val="none" w:sz="0" w:space="0" w:color="auto"/>
                  </w:divBdr>
                  <w:divsChild>
                    <w:div w:id="1444231247">
                      <w:marLeft w:val="0"/>
                      <w:marRight w:val="0"/>
                      <w:marTop w:val="0"/>
                      <w:marBottom w:val="0"/>
                      <w:divBdr>
                        <w:top w:val="none" w:sz="0" w:space="0" w:color="auto"/>
                        <w:left w:val="none" w:sz="0" w:space="0" w:color="auto"/>
                        <w:bottom w:val="none" w:sz="0" w:space="0" w:color="auto"/>
                        <w:right w:val="none" w:sz="0" w:space="0" w:color="auto"/>
                      </w:divBdr>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
                  </w:divsChild>
                </w:div>
                <w:div w:id="1411778373">
                  <w:marLeft w:val="0"/>
                  <w:marRight w:val="0"/>
                  <w:marTop w:val="0"/>
                  <w:marBottom w:val="0"/>
                  <w:divBdr>
                    <w:top w:val="none" w:sz="0" w:space="0" w:color="auto"/>
                    <w:left w:val="none" w:sz="0" w:space="0" w:color="auto"/>
                    <w:bottom w:val="none" w:sz="0" w:space="0" w:color="auto"/>
                    <w:right w:val="none" w:sz="0" w:space="0" w:color="auto"/>
                  </w:divBdr>
                  <w:divsChild>
                    <w:div w:id="1529752151">
                      <w:marLeft w:val="0"/>
                      <w:marRight w:val="0"/>
                      <w:marTop w:val="0"/>
                      <w:marBottom w:val="0"/>
                      <w:divBdr>
                        <w:top w:val="none" w:sz="0" w:space="0" w:color="auto"/>
                        <w:left w:val="none" w:sz="0" w:space="0" w:color="auto"/>
                        <w:bottom w:val="none" w:sz="0" w:space="0" w:color="auto"/>
                        <w:right w:val="none" w:sz="0" w:space="0" w:color="auto"/>
                      </w:divBdr>
                    </w:div>
                  </w:divsChild>
                </w:div>
                <w:div w:id="1480069819">
                  <w:marLeft w:val="0"/>
                  <w:marRight w:val="0"/>
                  <w:marTop w:val="0"/>
                  <w:marBottom w:val="0"/>
                  <w:divBdr>
                    <w:top w:val="none" w:sz="0" w:space="0" w:color="auto"/>
                    <w:left w:val="none" w:sz="0" w:space="0" w:color="auto"/>
                    <w:bottom w:val="none" w:sz="0" w:space="0" w:color="auto"/>
                    <w:right w:val="none" w:sz="0" w:space="0" w:color="auto"/>
                  </w:divBdr>
                  <w:divsChild>
                    <w:div w:id="1609310449">
                      <w:marLeft w:val="0"/>
                      <w:marRight w:val="0"/>
                      <w:marTop w:val="0"/>
                      <w:marBottom w:val="0"/>
                      <w:divBdr>
                        <w:top w:val="none" w:sz="0" w:space="0" w:color="auto"/>
                        <w:left w:val="none" w:sz="0" w:space="0" w:color="auto"/>
                        <w:bottom w:val="none" w:sz="0" w:space="0" w:color="auto"/>
                        <w:right w:val="none" w:sz="0" w:space="0" w:color="auto"/>
                      </w:divBdr>
                    </w:div>
                  </w:divsChild>
                </w:div>
                <w:div w:id="1663586045">
                  <w:marLeft w:val="0"/>
                  <w:marRight w:val="0"/>
                  <w:marTop w:val="0"/>
                  <w:marBottom w:val="0"/>
                  <w:divBdr>
                    <w:top w:val="none" w:sz="0" w:space="0" w:color="auto"/>
                    <w:left w:val="none" w:sz="0" w:space="0" w:color="auto"/>
                    <w:bottom w:val="none" w:sz="0" w:space="0" w:color="auto"/>
                    <w:right w:val="none" w:sz="0" w:space="0" w:color="auto"/>
                  </w:divBdr>
                  <w:divsChild>
                    <w:div w:id="138151415">
                      <w:marLeft w:val="0"/>
                      <w:marRight w:val="0"/>
                      <w:marTop w:val="0"/>
                      <w:marBottom w:val="0"/>
                      <w:divBdr>
                        <w:top w:val="none" w:sz="0" w:space="0" w:color="auto"/>
                        <w:left w:val="none" w:sz="0" w:space="0" w:color="auto"/>
                        <w:bottom w:val="none" w:sz="0" w:space="0" w:color="auto"/>
                        <w:right w:val="none" w:sz="0" w:space="0" w:color="auto"/>
                      </w:divBdr>
                    </w:div>
                  </w:divsChild>
                </w:div>
                <w:div w:id="1704476601">
                  <w:marLeft w:val="0"/>
                  <w:marRight w:val="0"/>
                  <w:marTop w:val="0"/>
                  <w:marBottom w:val="0"/>
                  <w:divBdr>
                    <w:top w:val="none" w:sz="0" w:space="0" w:color="auto"/>
                    <w:left w:val="none" w:sz="0" w:space="0" w:color="auto"/>
                    <w:bottom w:val="none" w:sz="0" w:space="0" w:color="auto"/>
                    <w:right w:val="none" w:sz="0" w:space="0" w:color="auto"/>
                  </w:divBdr>
                  <w:divsChild>
                    <w:div w:id="586772024">
                      <w:marLeft w:val="0"/>
                      <w:marRight w:val="0"/>
                      <w:marTop w:val="0"/>
                      <w:marBottom w:val="0"/>
                      <w:divBdr>
                        <w:top w:val="none" w:sz="0" w:space="0" w:color="auto"/>
                        <w:left w:val="none" w:sz="0" w:space="0" w:color="auto"/>
                        <w:bottom w:val="none" w:sz="0" w:space="0" w:color="auto"/>
                        <w:right w:val="none" w:sz="0" w:space="0" w:color="auto"/>
                      </w:divBdr>
                    </w:div>
                    <w:div w:id="1365474645">
                      <w:marLeft w:val="0"/>
                      <w:marRight w:val="0"/>
                      <w:marTop w:val="0"/>
                      <w:marBottom w:val="0"/>
                      <w:divBdr>
                        <w:top w:val="none" w:sz="0" w:space="0" w:color="auto"/>
                        <w:left w:val="none" w:sz="0" w:space="0" w:color="auto"/>
                        <w:bottom w:val="none" w:sz="0" w:space="0" w:color="auto"/>
                        <w:right w:val="none" w:sz="0" w:space="0" w:color="auto"/>
                      </w:divBdr>
                    </w:div>
                    <w:div w:id="1391928258">
                      <w:marLeft w:val="0"/>
                      <w:marRight w:val="0"/>
                      <w:marTop w:val="0"/>
                      <w:marBottom w:val="0"/>
                      <w:divBdr>
                        <w:top w:val="none" w:sz="0" w:space="0" w:color="auto"/>
                        <w:left w:val="none" w:sz="0" w:space="0" w:color="auto"/>
                        <w:bottom w:val="none" w:sz="0" w:space="0" w:color="auto"/>
                        <w:right w:val="none" w:sz="0" w:space="0" w:color="auto"/>
                      </w:divBdr>
                    </w:div>
                    <w:div w:id="1515682731">
                      <w:marLeft w:val="0"/>
                      <w:marRight w:val="0"/>
                      <w:marTop w:val="0"/>
                      <w:marBottom w:val="0"/>
                      <w:divBdr>
                        <w:top w:val="none" w:sz="0" w:space="0" w:color="auto"/>
                        <w:left w:val="none" w:sz="0" w:space="0" w:color="auto"/>
                        <w:bottom w:val="none" w:sz="0" w:space="0" w:color="auto"/>
                        <w:right w:val="none" w:sz="0" w:space="0" w:color="auto"/>
                      </w:divBdr>
                    </w:div>
                    <w:div w:id="1749309282">
                      <w:marLeft w:val="0"/>
                      <w:marRight w:val="0"/>
                      <w:marTop w:val="0"/>
                      <w:marBottom w:val="0"/>
                      <w:divBdr>
                        <w:top w:val="none" w:sz="0" w:space="0" w:color="auto"/>
                        <w:left w:val="none" w:sz="0" w:space="0" w:color="auto"/>
                        <w:bottom w:val="none" w:sz="0" w:space="0" w:color="auto"/>
                        <w:right w:val="none" w:sz="0" w:space="0" w:color="auto"/>
                      </w:divBdr>
                    </w:div>
                    <w:div w:id="2101870700">
                      <w:marLeft w:val="0"/>
                      <w:marRight w:val="0"/>
                      <w:marTop w:val="0"/>
                      <w:marBottom w:val="0"/>
                      <w:divBdr>
                        <w:top w:val="none" w:sz="0" w:space="0" w:color="auto"/>
                        <w:left w:val="none" w:sz="0" w:space="0" w:color="auto"/>
                        <w:bottom w:val="none" w:sz="0" w:space="0" w:color="auto"/>
                        <w:right w:val="none" w:sz="0" w:space="0" w:color="auto"/>
                      </w:divBdr>
                    </w:div>
                  </w:divsChild>
                </w:div>
                <w:div w:id="1795057183">
                  <w:marLeft w:val="0"/>
                  <w:marRight w:val="0"/>
                  <w:marTop w:val="0"/>
                  <w:marBottom w:val="0"/>
                  <w:divBdr>
                    <w:top w:val="none" w:sz="0" w:space="0" w:color="auto"/>
                    <w:left w:val="none" w:sz="0" w:space="0" w:color="auto"/>
                    <w:bottom w:val="none" w:sz="0" w:space="0" w:color="auto"/>
                    <w:right w:val="none" w:sz="0" w:space="0" w:color="auto"/>
                  </w:divBdr>
                  <w:divsChild>
                    <w:div w:id="1517840794">
                      <w:marLeft w:val="0"/>
                      <w:marRight w:val="0"/>
                      <w:marTop w:val="0"/>
                      <w:marBottom w:val="0"/>
                      <w:divBdr>
                        <w:top w:val="none" w:sz="0" w:space="0" w:color="auto"/>
                        <w:left w:val="none" w:sz="0" w:space="0" w:color="auto"/>
                        <w:bottom w:val="none" w:sz="0" w:space="0" w:color="auto"/>
                        <w:right w:val="none" w:sz="0" w:space="0" w:color="auto"/>
                      </w:divBdr>
                    </w:div>
                  </w:divsChild>
                </w:div>
                <w:div w:id="1978606779">
                  <w:marLeft w:val="0"/>
                  <w:marRight w:val="0"/>
                  <w:marTop w:val="0"/>
                  <w:marBottom w:val="0"/>
                  <w:divBdr>
                    <w:top w:val="none" w:sz="0" w:space="0" w:color="auto"/>
                    <w:left w:val="none" w:sz="0" w:space="0" w:color="auto"/>
                    <w:bottom w:val="none" w:sz="0" w:space="0" w:color="auto"/>
                    <w:right w:val="none" w:sz="0" w:space="0" w:color="auto"/>
                  </w:divBdr>
                  <w:divsChild>
                    <w:div w:id="1553955908">
                      <w:marLeft w:val="0"/>
                      <w:marRight w:val="0"/>
                      <w:marTop w:val="0"/>
                      <w:marBottom w:val="0"/>
                      <w:divBdr>
                        <w:top w:val="none" w:sz="0" w:space="0" w:color="auto"/>
                        <w:left w:val="none" w:sz="0" w:space="0" w:color="auto"/>
                        <w:bottom w:val="none" w:sz="0" w:space="0" w:color="auto"/>
                        <w:right w:val="none" w:sz="0" w:space="0" w:color="auto"/>
                      </w:divBdr>
                    </w:div>
                  </w:divsChild>
                </w:div>
                <w:div w:id="2025207467">
                  <w:marLeft w:val="0"/>
                  <w:marRight w:val="0"/>
                  <w:marTop w:val="0"/>
                  <w:marBottom w:val="0"/>
                  <w:divBdr>
                    <w:top w:val="none" w:sz="0" w:space="0" w:color="auto"/>
                    <w:left w:val="none" w:sz="0" w:space="0" w:color="auto"/>
                    <w:bottom w:val="none" w:sz="0" w:space="0" w:color="auto"/>
                    <w:right w:val="none" w:sz="0" w:space="0" w:color="auto"/>
                  </w:divBdr>
                  <w:divsChild>
                    <w:div w:id="1897741436">
                      <w:marLeft w:val="0"/>
                      <w:marRight w:val="0"/>
                      <w:marTop w:val="0"/>
                      <w:marBottom w:val="0"/>
                      <w:divBdr>
                        <w:top w:val="none" w:sz="0" w:space="0" w:color="auto"/>
                        <w:left w:val="none" w:sz="0" w:space="0" w:color="auto"/>
                        <w:bottom w:val="none" w:sz="0" w:space="0" w:color="auto"/>
                        <w:right w:val="none" w:sz="0" w:space="0" w:color="auto"/>
                      </w:divBdr>
                    </w:div>
                  </w:divsChild>
                </w:div>
                <w:div w:id="2099984392">
                  <w:marLeft w:val="0"/>
                  <w:marRight w:val="0"/>
                  <w:marTop w:val="0"/>
                  <w:marBottom w:val="0"/>
                  <w:divBdr>
                    <w:top w:val="none" w:sz="0" w:space="0" w:color="auto"/>
                    <w:left w:val="none" w:sz="0" w:space="0" w:color="auto"/>
                    <w:bottom w:val="none" w:sz="0" w:space="0" w:color="auto"/>
                    <w:right w:val="none" w:sz="0" w:space="0" w:color="auto"/>
                  </w:divBdr>
                  <w:divsChild>
                    <w:div w:id="7668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9144">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8681861">
      <w:bodyDiv w:val="1"/>
      <w:marLeft w:val="0"/>
      <w:marRight w:val="0"/>
      <w:marTop w:val="0"/>
      <w:marBottom w:val="0"/>
      <w:divBdr>
        <w:top w:val="none" w:sz="0" w:space="0" w:color="auto"/>
        <w:left w:val="none" w:sz="0" w:space="0" w:color="auto"/>
        <w:bottom w:val="none" w:sz="0" w:space="0" w:color="auto"/>
        <w:right w:val="none" w:sz="0" w:space="0" w:color="auto"/>
      </w:divBdr>
      <w:divsChild>
        <w:div w:id="1907951945">
          <w:marLeft w:val="0"/>
          <w:marRight w:val="0"/>
          <w:marTop w:val="0"/>
          <w:marBottom w:val="0"/>
          <w:divBdr>
            <w:top w:val="none" w:sz="0" w:space="0" w:color="auto"/>
            <w:left w:val="none" w:sz="0" w:space="0" w:color="auto"/>
            <w:bottom w:val="none" w:sz="0" w:space="0" w:color="auto"/>
            <w:right w:val="none" w:sz="0" w:space="0" w:color="auto"/>
          </w:divBdr>
          <w:divsChild>
            <w:div w:id="173502388">
              <w:marLeft w:val="0"/>
              <w:marRight w:val="0"/>
              <w:marTop w:val="0"/>
              <w:marBottom w:val="0"/>
              <w:divBdr>
                <w:top w:val="none" w:sz="0" w:space="0" w:color="auto"/>
                <w:left w:val="none" w:sz="0" w:space="0" w:color="auto"/>
                <w:bottom w:val="none" w:sz="0" w:space="0" w:color="auto"/>
                <w:right w:val="none" w:sz="0" w:space="0" w:color="auto"/>
              </w:divBdr>
            </w:div>
            <w:div w:id="399181686">
              <w:marLeft w:val="0"/>
              <w:marRight w:val="0"/>
              <w:marTop w:val="0"/>
              <w:marBottom w:val="0"/>
              <w:divBdr>
                <w:top w:val="none" w:sz="0" w:space="0" w:color="auto"/>
                <w:left w:val="none" w:sz="0" w:space="0" w:color="auto"/>
                <w:bottom w:val="none" w:sz="0" w:space="0" w:color="auto"/>
                <w:right w:val="none" w:sz="0" w:space="0" w:color="auto"/>
              </w:divBdr>
            </w:div>
            <w:div w:id="8812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2716">
      <w:bodyDiv w:val="1"/>
      <w:marLeft w:val="0"/>
      <w:marRight w:val="0"/>
      <w:marTop w:val="0"/>
      <w:marBottom w:val="0"/>
      <w:divBdr>
        <w:top w:val="none" w:sz="0" w:space="0" w:color="auto"/>
        <w:left w:val="none" w:sz="0" w:space="0" w:color="auto"/>
        <w:bottom w:val="none" w:sz="0" w:space="0" w:color="auto"/>
        <w:right w:val="none" w:sz="0" w:space="0" w:color="auto"/>
      </w:divBdr>
      <w:divsChild>
        <w:div w:id="344407969">
          <w:marLeft w:val="0"/>
          <w:marRight w:val="0"/>
          <w:marTop w:val="0"/>
          <w:marBottom w:val="0"/>
          <w:divBdr>
            <w:top w:val="none" w:sz="0" w:space="0" w:color="auto"/>
            <w:left w:val="none" w:sz="0" w:space="0" w:color="auto"/>
            <w:bottom w:val="none" w:sz="0" w:space="0" w:color="auto"/>
            <w:right w:val="none" w:sz="0" w:space="0" w:color="auto"/>
          </w:divBdr>
          <w:divsChild>
            <w:div w:id="47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6032">
      <w:bodyDiv w:val="1"/>
      <w:marLeft w:val="0"/>
      <w:marRight w:val="0"/>
      <w:marTop w:val="0"/>
      <w:marBottom w:val="0"/>
      <w:divBdr>
        <w:top w:val="none" w:sz="0" w:space="0" w:color="auto"/>
        <w:left w:val="none" w:sz="0" w:space="0" w:color="auto"/>
        <w:bottom w:val="none" w:sz="0" w:space="0" w:color="auto"/>
        <w:right w:val="none" w:sz="0" w:space="0" w:color="auto"/>
      </w:divBdr>
      <w:divsChild>
        <w:div w:id="993679031">
          <w:marLeft w:val="0"/>
          <w:marRight w:val="0"/>
          <w:marTop w:val="0"/>
          <w:marBottom w:val="0"/>
          <w:divBdr>
            <w:top w:val="none" w:sz="0" w:space="0" w:color="auto"/>
            <w:left w:val="none" w:sz="0" w:space="0" w:color="auto"/>
            <w:bottom w:val="none" w:sz="0" w:space="0" w:color="auto"/>
            <w:right w:val="none" w:sz="0" w:space="0" w:color="auto"/>
          </w:divBdr>
          <w:divsChild>
            <w:div w:id="587546650">
              <w:marLeft w:val="0"/>
              <w:marRight w:val="0"/>
              <w:marTop w:val="30"/>
              <w:marBottom w:val="30"/>
              <w:divBdr>
                <w:top w:val="none" w:sz="0" w:space="0" w:color="auto"/>
                <w:left w:val="none" w:sz="0" w:space="0" w:color="auto"/>
                <w:bottom w:val="none" w:sz="0" w:space="0" w:color="auto"/>
                <w:right w:val="none" w:sz="0" w:space="0" w:color="auto"/>
              </w:divBdr>
              <w:divsChild>
                <w:div w:id="87772624">
                  <w:marLeft w:val="0"/>
                  <w:marRight w:val="0"/>
                  <w:marTop w:val="0"/>
                  <w:marBottom w:val="0"/>
                  <w:divBdr>
                    <w:top w:val="none" w:sz="0" w:space="0" w:color="auto"/>
                    <w:left w:val="none" w:sz="0" w:space="0" w:color="auto"/>
                    <w:bottom w:val="none" w:sz="0" w:space="0" w:color="auto"/>
                    <w:right w:val="none" w:sz="0" w:space="0" w:color="auto"/>
                  </w:divBdr>
                  <w:divsChild>
                    <w:div w:id="1338388930">
                      <w:marLeft w:val="0"/>
                      <w:marRight w:val="0"/>
                      <w:marTop w:val="0"/>
                      <w:marBottom w:val="0"/>
                      <w:divBdr>
                        <w:top w:val="none" w:sz="0" w:space="0" w:color="auto"/>
                        <w:left w:val="none" w:sz="0" w:space="0" w:color="auto"/>
                        <w:bottom w:val="none" w:sz="0" w:space="0" w:color="auto"/>
                        <w:right w:val="none" w:sz="0" w:space="0" w:color="auto"/>
                      </w:divBdr>
                    </w:div>
                    <w:div w:id="1931616123">
                      <w:marLeft w:val="0"/>
                      <w:marRight w:val="0"/>
                      <w:marTop w:val="0"/>
                      <w:marBottom w:val="0"/>
                      <w:divBdr>
                        <w:top w:val="none" w:sz="0" w:space="0" w:color="auto"/>
                        <w:left w:val="none" w:sz="0" w:space="0" w:color="auto"/>
                        <w:bottom w:val="none" w:sz="0" w:space="0" w:color="auto"/>
                        <w:right w:val="none" w:sz="0" w:space="0" w:color="auto"/>
                      </w:divBdr>
                    </w:div>
                  </w:divsChild>
                </w:div>
                <w:div w:id="192426163">
                  <w:marLeft w:val="0"/>
                  <w:marRight w:val="0"/>
                  <w:marTop w:val="0"/>
                  <w:marBottom w:val="0"/>
                  <w:divBdr>
                    <w:top w:val="none" w:sz="0" w:space="0" w:color="auto"/>
                    <w:left w:val="none" w:sz="0" w:space="0" w:color="auto"/>
                    <w:bottom w:val="none" w:sz="0" w:space="0" w:color="auto"/>
                    <w:right w:val="none" w:sz="0" w:space="0" w:color="auto"/>
                  </w:divBdr>
                  <w:divsChild>
                    <w:div w:id="116409272">
                      <w:marLeft w:val="0"/>
                      <w:marRight w:val="0"/>
                      <w:marTop w:val="0"/>
                      <w:marBottom w:val="0"/>
                      <w:divBdr>
                        <w:top w:val="none" w:sz="0" w:space="0" w:color="auto"/>
                        <w:left w:val="none" w:sz="0" w:space="0" w:color="auto"/>
                        <w:bottom w:val="none" w:sz="0" w:space="0" w:color="auto"/>
                        <w:right w:val="none" w:sz="0" w:space="0" w:color="auto"/>
                      </w:divBdr>
                    </w:div>
                  </w:divsChild>
                </w:div>
                <w:div w:id="232787596">
                  <w:marLeft w:val="0"/>
                  <w:marRight w:val="0"/>
                  <w:marTop w:val="0"/>
                  <w:marBottom w:val="0"/>
                  <w:divBdr>
                    <w:top w:val="none" w:sz="0" w:space="0" w:color="auto"/>
                    <w:left w:val="none" w:sz="0" w:space="0" w:color="auto"/>
                    <w:bottom w:val="none" w:sz="0" w:space="0" w:color="auto"/>
                    <w:right w:val="none" w:sz="0" w:space="0" w:color="auto"/>
                  </w:divBdr>
                  <w:divsChild>
                    <w:div w:id="191769460">
                      <w:marLeft w:val="0"/>
                      <w:marRight w:val="0"/>
                      <w:marTop w:val="0"/>
                      <w:marBottom w:val="0"/>
                      <w:divBdr>
                        <w:top w:val="none" w:sz="0" w:space="0" w:color="auto"/>
                        <w:left w:val="none" w:sz="0" w:space="0" w:color="auto"/>
                        <w:bottom w:val="none" w:sz="0" w:space="0" w:color="auto"/>
                        <w:right w:val="none" w:sz="0" w:space="0" w:color="auto"/>
                      </w:divBdr>
                    </w:div>
                  </w:divsChild>
                </w:div>
                <w:div w:id="325911439">
                  <w:marLeft w:val="0"/>
                  <w:marRight w:val="0"/>
                  <w:marTop w:val="0"/>
                  <w:marBottom w:val="0"/>
                  <w:divBdr>
                    <w:top w:val="none" w:sz="0" w:space="0" w:color="auto"/>
                    <w:left w:val="none" w:sz="0" w:space="0" w:color="auto"/>
                    <w:bottom w:val="none" w:sz="0" w:space="0" w:color="auto"/>
                    <w:right w:val="none" w:sz="0" w:space="0" w:color="auto"/>
                  </w:divBdr>
                  <w:divsChild>
                    <w:div w:id="207188987">
                      <w:marLeft w:val="0"/>
                      <w:marRight w:val="0"/>
                      <w:marTop w:val="0"/>
                      <w:marBottom w:val="0"/>
                      <w:divBdr>
                        <w:top w:val="none" w:sz="0" w:space="0" w:color="auto"/>
                        <w:left w:val="none" w:sz="0" w:space="0" w:color="auto"/>
                        <w:bottom w:val="none" w:sz="0" w:space="0" w:color="auto"/>
                        <w:right w:val="none" w:sz="0" w:space="0" w:color="auto"/>
                      </w:divBdr>
                    </w:div>
                  </w:divsChild>
                </w:div>
                <w:div w:id="336810973">
                  <w:marLeft w:val="0"/>
                  <w:marRight w:val="0"/>
                  <w:marTop w:val="0"/>
                  <w:marBottom w:val="0"/>
                  <w:divBdr>
                    <w:top w:val="none" w:sz="0" w:space="0" w:color="auto"/>
                    <w:left w:val="none" w:sz="0" w:space="0" w:color="auto"/>
                    <w:bottom w:val="none" w:sz="0" w:space="0" w:color="auto"/>
                    <w:right w:val="none" w:sz="0" w:space="0" w:color="auto"/>
                  </w:divBdr>
                  <w:divsChild>
                    <w:div w:id="274991609">
                      <w:marLeft w:val="0"/>
                      <w:marRight w:val="0"/>
                      <w:marTop w:val="0"/>
                      <w:marBottom w:val="0"/>
                      <w:divBdr>
                        <w:top w:val="none" w:sz="0" w:space="0" w:color="auto"/>
                        <w:left w:val="none" w:sz="0" w:space="0" w:color="auto"/>
                        <w:bottom w:val="none" w:sz="0" w:space="0" w:color="auto"/>
                        <w:right w:val="none" w:sz="0" w:space="0" w:color="auto"/>
                      </w:divBdr>
                    </w:div>
                  </w:divsChild>
                </w:div>
                <w:div w:id="440220552">
                  <w:marLeft w:val="0"/>
                  <w:marRight w:val="0"/>
                  <w:marTop w:val="0"/>
                  <w:marBottom w:val="0"/>
                  <w:divBdr>
                    <w:top w:val="none" w:sz="0" w:space="0" w:color="auto"/>
                    <w:left w:val="none" w:sz="0" w:space="0" w:color="auto"/>
                    <w:bottom w:val="none" w:sz="0" w:space="0" w:color="auto"/>
                    <w:right w:val="none" w:sz="0" w:space="0" w:color="auto"/>
                  </w:divBdr>
                  <w:divsChild>
                    <w:div w:id="1926721151">
                      <w:marLeft w:val="0"/>
                      <w:marRight w:val="0"/>
                      <w:marTop w:val="0"/>
                      <w:marBottom w:val="0"/>
                      <w:divBdr>
                        <w:top w:val="none" w:sz="0" w:space="0" w:color="auto"/>
                        <w:left w:val="none" w:sz="0" w:space="0" w:color="auto"/>
                        <w:bottom w:val="none" w:sz="0" w:space="0" w:color="auto"/>
                        <w:right w:val="none" w:sz="0" w:space="0" w:color="auto"/>
                      </w:divBdr>
                    </w:div>
                  </w:divsChild>
                </w:div>
                <w:div w:id="485974367">
                  <w:marLeft w:val="0"/>
                  <w:marRight w:val="0"/>
                  <w:marTop w:val="0"/>
                  <w:marBottom w:val="0"/>
                  <w:divBdr>
                    <w:top w:val="none" w:sz="0" w:space="0" w:color="auto"/>
                    <w:left w:val="none" w:sz="0" w:space="0" w:color="auto"/>
                    <w:bottom w:val="none" w:sz="0" w:space="0" w:color="auto"/>
                    <w:right w:val="none" w:sz="0" w:space="0" w:color="auto"/>
                  </w:divBdr>
                  <w:divsChild>
                    <w:div w:id="1998606649">
                      <w:marLeft w:val="0"/>
                      <w:marRight w:val="0"/>
                      <w:marTop w:val="0"/>
                      <w:marBottom w:val="0"/>
                      <w:divBdr>
                        <w:top w:val="none" w:sz="0" w:space="0" w:color="auto"/>
                        <w:left w:val="none" w:sz="0" w:space="0" w:color="auto"/>
                        <w:bottom w:val="none" w:sz="0" w:space="0" w:color="auto"/>
                        <w:right w:val="none" w:sz="0" w:space="0" w:color="auto"/>
                      </w:divBdr>
                    </w:div>
                  </w:divsChild>
                </w:div>
                <w:div w:id="770203480">
                  <w:marLeft w:val="0"/>
                  <w:marRight w:val="0"/>
                  <w:marTop w:val="0"/>
                  <w:marBottom w:val="0"/>
                  <w:divBdr>
                    <w:top w:val="none" w:sz="0" w:space="0" w:color="auto"/>
                    <w:left w:val="none" w:sz="0" w:space="0" w:color="auto"/>
                    <w:bottom w:val="none" w:sz="0" w:space="0" w:color="auto"/>
                    <w:right w:val="none" w:sz="0" w:space="0" w:color="auto"/>
                  </w:divBdr>
                  <w:divsChild>
                    <w:div w:id="1205411690">
                      <w:marLeft w:val="0"/>
                      <w:marRight w:val="0"/>
                      <w:marTop w:val="0"/>
                      <w:marBottom w:val="0"/>
                      <w:divBdr>
                        <w:top w:val="none" w:sz="0" w:space="0" w:color="auto"/>
                        <w:left w:val="none" w:sz="0" w:space="0" w:color="auto"/>
                        <w:bottom w:val="none" w:sz="0" w:space="0" w:color="auto"/>
                        <w:right w:val="none" w:sz="0" w:space="0" w:color="auto"/>
                      </w:divBdr>
                    </w:div>
                  </w:divsChild>
                </w:div>
                <w:div w:id="907765634">
                  <w:marLeft w:val="0"/>
                  <w:marRight w:val="0"/>
                  <w:marTop w:val="0"/>
                  <w:marBottom w:val="0"/>
                  <w:divBdr>
                    <w:top w:val="none" w:sz="0" w:space="0" w:color="auto"/>
                    <w:left w:val="none" w:sz="0" w:space="0" w:color="auto"/>
                    <w:bottom w:val="none" w:sz="0" w:space="0" w:color="auto"/>
                    <w:right w:val="none" w:sz="0" w:space="0" w:color="auto"/>
                  </w:divBdr>
                  <w:divsChild>
                    <w:div w:id="1214393855">
                      <w:marLeft w:val="0"/>
                      <w:marRight w:val="0"/>
                      <w:marTop w:val="0"/>
                      <w:marBottom w:val="0"/>
                      <w:divBdr>
                        <w:top w:val="none" w:sz="0" w:space="0" w:color="auto"/>
                        <w:left w:val="none" w:sz="0" w:space="0" w:color="auto"/>
                        <w:bottom w:val="none" w:sz="0" w:space="0" w:color="auto"/>
                        <w:right w:val="none" w:sz="0" w:space="0" w:color="auto"/>
                      </w:divBdr>
                    </w:div>
                  </w:divsChild>
                </w:div>
                <w:div w:id="911548171">
                  <w:marLeft w:val="0"/>
                  <w:marRight w:val="0"/>
                  <w:marTop w:val="0"/>
                  <w:marBottom w:val="0"/>
                  <w:divBdr>
                    <w:top w:val="none" w:sz="0" w:space="0" w:color="auto"/>
                    <w:left w:val="none" w:sz="0" w:space="0" w:color="auto"/>
                    <w:bottom w:val="none" w:sz="0" w:space="0" w:color="auto"/>
                    <w:right w:val="none" w:sz="0" w:space="0" w:color="auto"/>
                  </w:divBdr>
                  <w:divsChild>
                    <w:div w:id="26027892">
                      <w:marLeft w:val="0"/>
                      <w:marRight w:val="0"/>
                      <w:marTop w:val="0"/>
                      <w:marBottom w:val="0"/>
                      <w:divBdr>
                        <w:top w:val="none" w:sz="0" w:space="0" w:color="auto"/>
                        <w:left w:val="none" w:sz="0" w:space="0" w:color="auto"/>
                        <w:bottom w:val="none" w:sz="0" w:space="0" w:color="auto"/>
                        <w:right w:val="none" w:sz="0" w:space="0" w:color="auto"/>
                      </w:divBdr>
                    </w:div>
                    <w:div w:id="658970038">
                      <w:marLeft w:val="0"/>
                      <w:marRight w:val="0"/>
                      <w:marTop w:val="0"/>
                      <w:marBottom w:val="0"/>
                      <w:divBdr>
                        <w:top w:val="none" w:sz="0" w:space="0" w:color="auto"/>
                        <w:left w:val="none" w:sz="0" w:space="0" w:color="auto"/>
                        <w:bottom w:val="none" w:sz="0" w:space="0" w:color="auto"/>
                        <w:right w:val="none" w:sz="0" w:space="0" w:color="auto"/>
                      </w:divBdr>
                    </w:div>
                    <w:div w:id="1015034284">
                      <w:marLeft w:val="0"/>
                      <w:marRight w:val="0"/>
                      <w:marTop w:val="0"/>
                      <w:marBottom w:val="0"/>
                      <w:divBdr>
                        <w:top w:val="none" w:sz="0" w:space="0" w:color="auto"/>
                        <w:left w:val="none" w:sz="0" w:space="0" w:color="auto"/>
                        <w:bottom w:val="none" w:sz="0" w:space="0" w:color="auto"/>
                        <w:right w:val="none" w:sz="0" w:space="0" w:color="auto"/>
                      </w:divBdr>
                    </w:div>
                    <w:div w:id="1348749026">
                      <w:marLeft w:val="0"/>
                      <w:marRight w:val="0"/>
                      <w:marTop w:val="0"/>
                      <w:marBottom w:val="0"/>
                      <w:divBdr>
                        <w:top w:val="none" w:sz="0" w:space="0" w:color="auto"/>
                        <w:left w:val="none" w:sz="0" w:space="0" w:color="auto"/>
                        <w:bottom w:val="none" w:sz="0" w:space="0" w:color="auto"/>
                        <w:right w:val="none" w:sz="0" w:space="0" w:color="auto"/>
                      </w:divBdr>
                    </w:div>
                    <w:div w:id="1373455456">
                      <w:marLeft w:val="0"/>
                      <w:marRight w:val="0"/>
                      <w:marTop w:val="0"/>
                      <w:marBottom w:val="0"/>
                      <w:divBdr>
                        <w:top w:val="none" w:sz="0" w:space="0" w:color="auto"/>
                        <w:left w:val="none" w:sz="0" w:space="0" w:color="auto"/>
                        <w:bottom w:val="none" w:sz="0" w:space="0" w:color="auto"/>
                        <w:right w:val="none" w:sz="0" w:space="0" w:color="auto"/>
                      </w:divBdr>
                    </w:div>
                    <w:div w:id="1513685303">
                      <w:marLeft w:val="0"/>
                      <w:marRight w:val="0"/>
                      <w:marTop w:val="0"/>
                      <w:marBottom w:val="0"/>
                      <w:divBdr>
                        <w:top w:val="none" w:sz="0" w:space="0" w:color="auto"/>
                        <w:left w:val="none" w:sz="0" w:space="0" w:color="auto"/>
                        <w:bottom w:val="none" w:sz="0" w:space="0" w:color="auto"/>
                        <w:right w:val="none" w:sz="0" w:space="0" w:color="auto"/>
                      </w:divBdr>
                    </w:div>
                    <w:div w:id="1580367131">
                      <w:marLeft w:val="0"/>
                      <w:marRight w:val="0"/>
                      <w:marTop w:val="0"/>
                      <w:marBottom w:val="0"/>
                      <w:divBdr>
                        <w:top w:val="none" w:sz="0" w:space="0" w:color="auto"/>
                        <w:left w:val="none" w:sz="0" w:space="0" w:color="auto"/>
                        <w:bottom w:val="none" w:sz="0" w:space="0" w:color="auto"/>
                        <w:right w:val="none" w:sz="0" w:space="0" w:color="auto"/>
                      </w:divBdr>
                    </w:div>
                    <w:div w:id="1616523109">
                      <w:marLeft w:val="0"/>
                      <w:marRight w:val="0"/>
                      <w:marTop w:val="0"/>
                      <w:marBottom w:val="0"/>
                      <w:divBdr>
                        <w:top w:val="none" w:sz="0" w:space="0" w:color="auto"/>
                        <w:left w:val="none" w:sz="0" w:space="0" w:color="auto"/>
                        <w:bottom w:val="none" w:sz="0" w:space="0" w:color="auto"/>
                        <w:right w:val="none" w:sz="0" w:space="0" w:color="auto"/>
                      </w:divBdr>
                    </w:div>
                    <w:div w:id="1862429974">
                      <w:marLeft w:val="0"/>
                      <w:marRight w:val="0"/>
                      <w:marTop w:val="0"/>
                      <w:marBottom w:val="0"/>
                      <w:divBdr>
                        <w:top w:val="none" w:sz="0" w:space="0" w:color="auto"/>
                        <w:left w:val="none" w:sz="0" w:space="0" w:color="auto"/>
                        <w:bottom w:val="none" w:sz="0" w:space="0" w:color="auto"/>
                        <w:right w:val="none" w:sz="0" w:space="0" w:color="auto"/>
                      </w:divBdr>
                    </w:div>
                    <w:div w:id="2097819370">
                      <w:marLeft w:val="0"/>
                      <w:marRight w:val="0"/>
                      <w:marTop w:val="0"/>
                      <w:marBottom w:val="0"/>
                      <w:divBdr>
                        <w:top w:val="none" w:sz="0" w:space="0" w:color="auto"/>
                        <w:left w:val="none" w:sz="0" w:space="0" w:color="auto"/>
                        <w:bottom w:val="none" w:sz="0" w:space="0" w:color="auto"/>
                        <w:right w:val="none" w:sz="0" w:space="0" w:color="auto"/>
                      </w:divBdr>
                    </w:div>
                  </w:divsChild>
                </w:div>
                <w:div w:id="1192034327">
                  <w:marLeft w:val="0"/>
                  <w:marRight w:val="0"/>
                  <w:marTop w:val="0"/>
                  <w:marBottom w:val="0"/>
                  <w:divBdr>
                    <w:top w:val="none" w:sz="0" w:space="0" w:color="auto"/>
                    <w:left w:val="none" w:sz="0" w:space="0" w:color="auto"/>
                    <w:bottom w:val="none" w:sz="0" w:space="0" w:color="auto"/>
                    <w:right w:val="none" w:sz="0" w:space="0" w:color="auto"/>
                  </w:divBdr>
                  <w:divsChild>
                    <w:div w:id="39284880">
                      <w:marLeft w:val="0"/>
                      <w:marRight w:val="0"/>
                      <w:marTop w:val="0"/>
                      <w:marBottom w:val="0"/>
                      <w:divBdr>
                        <w:top w:val="none" w:sz="0" w:space="0" w:color="auto"/>
                        <w:left w:val="none" w:sz="0" w:space="0" w:color="auto"/>
                        <w:bottom w:val="none" w:sz="0" w:space="0" w:color="auto"/>
                        <w:right w:val="none" w:sz="0" w:space="0" w:color="auto"/>
                      </w:divBdr>
                    </w:div>
                    <w:div w:id="194195633">
                      <w:marLeft w:val="0"/>
                      <w:marRight w:val="0"/>
                      <w:marTop w:val="0"/>
                      <w:marBottom w:val="0"/>
                      <w:divBdr>
                        <w:top w:val="none" w:sz="0" w:space="0" w:color="auto"/>
                        <w:left w:val="none" w:sz="0" w:space="0" w:color="auto"/>
                        <w:bottom w:val="none" w:sz="0" w:space="0" w:color="auto"/>
                        <w:right w:val="none" w:sz="0" w:space="0" w:color="auto"/>
                      </w:divBdr>
                    </w:div>
                    <w:div w:id="551387092">
                      <w:marLeft w:val="0"/>
                      <w:marRight w:val="0"/>
                      <w:marTop w:val="0"/>
                      <w:marBottom w:val="0"/>
                      <w:divBdr>
                        <w:top w:val="none" w:sz="0" w:space="0" w:color="auto"/>
                        <w:left w:val="none" w:sz="0" w:space="0" w:color="auto"/>
                        <w:bottom w:val="none" w:sz="0" w:space="0" w:color="auto"/>
                        <w:right w:val="none" w:sz="0" w:space="0" w:color="auto"/>
                      </w:divBdr>
                    </w:div>
                    <w:div w:id="602961588">
                      <w:marLeft w:val="0"/>
                      <w:marRight w:val="0"/>
                      <w:marTop w:val="0"/>
                      <w:marBottom w:val="0"/>
                      <w:divBdr>
                        <w:top w:val="none" w:sz="0" w:space="0" w:color="auto"/>
                        <w:left w:val="none" w:sz="0" w:space="0" w:color="auto"/>
                        <w:bottom w:val="none" w:sz="0" w:space="0" w:color="auto"/>
                        <w:right w:val="none" w:sz="0" w:space="0" w:color="auto"/>
                      </w:divBdr>
                    </w:div>
                    <w:div w:id="759063220">
                      <w:marLeft w:val="0"/>
                      <w:marRight w:val="0"/>
                      <w:marTop w:val="0"/>
                      <w:marBottom w:val="0"/>
                      <w:divBdr>
                        <w:top w:val="none" w:sz="0" w:space="0" w:color="auto"/>
                        <w:left w:val="none" w:sz="0" w:space="0" w:color="auto"/>
                        <w:bottom w:val="none" w:sz="0" w:space="0" w:color="auto"/>
                        <w:right w:val="none" w:sz="0" w:space="0" w:color="auto"/>
                      </w:divBdr>
                    </w:div>
                    <w:div w:id="771779312">
                      <w:marLeft w:val="0"/>
                      <w:marRight w:val="0"/>
                      <w:marTop w:val="0"/>
                      <w:marBottom w:val="0"/>
                      <w:divBdr>
                        <w:top w:val="none" w:sz="0" w:space="0" w:color="auto"/>
                        <w:left w:val="none" w:sz="0" w:space="0" w:color="auto"/>
                        <w:bottom w:val="none" w:sz="0" w:space="0" w:color="auto"/>
                        <w:right w:val="none" w:sz="0" w:space="0" w:color="auto"/>
                      </w:divBdr>
                    </w:div>
                  </w:divsChild>
                </w:div>
                <w:div w:id="1217157587">
                  <w:marLeft w:val="0"/>
                  <w:marRight w:val="0"/>
                  <w:marTop w:val="0"/>
                  <w:marBottom w:val="0"/>
                  <w:divBdr>
                    <w:top w:val="none" w:sz="0" w:space="0" w:color="auto"/>
                    <w:left w:val="none" w:sz="0" w:space="0" w:color="auto"/>
                    <w:bottom w:val="none" w:sz="0" w:space="0" w:color="auto"/>
                    <w:right w:val="none" w:sz="0" w:space="0" w:color="auto"/>
                  </w:divBdr>
                  <w:divsChild>
                    <w:div w:id="162819528">
                      <w:marLeft w:val="0"/>
                      <w:marRight w:val="0"/>
                      <w:marTop w:val="0"/>
                      <w:marBottom w:val="0"/>
                      <w:divBdr>
                        <w:top w:val="none" w:sz="0" w:space="0" w:color="auto"/>
                        <w:left w:val="none" w:sz="0" w:space="0" w:color="auto"/>
                        <w:bottom w:val="none" w:sz="0" w:space="0" w:color="auto"/>
                        <w:right w:val="none" w:sz="0" w:space="0" w:color="auto"/>
                      </w:divBdr>
                    </w:div>
                  </w:divsChild>
                </w:div>
                <w:div w:id="1260716136">
                  <w:marLeft w:val="0"/>
                  <w:marRight w:val="0"/>
                  <w:marTop w:val="0"/>
                  <w:marBottom w:val="0"/>
                  <w:divBdr>
                    <w:top w:val="none" w:sz="0" w:space="0" w:color="auto"/>
                    <w:left w:val="none" w:sz="0" w:space="0" w:color="auto"/>
                    <w:bottom w:val="none" w:sz="0" w:space="0" w:color="auto"/>
                    <w:right w:val="none" w:sz="0" w:space="0" w:color="auto"/>
                  </w:divBdr>
                  <w:divsChild>
                    <w:div w:id="489057763">
                      <w:marLeft w:val="0"/>
                      <w:marRight w:val="0"/>
                      <w:marTop w:val="0"/>
                      <w:marBottom w:val="0"/>
                      <w:divBdr>
                        <w:top w:val="none" w:sz="0" w:space="0" w:color="auto"/>
                        <w:left w:val="none" w:sz="0" w:space="0" w:color="auto"/>
                        <w:bottom w:val="none" w:sz="0" w:space="0" w:color="auto"/>
                        <w:right w:val="none" w:sz="0" w:space="0" w:color="auto"/>
                      </w:divBdr>
                    </w:div>
                  </w:divsChild>
                </w:div>
                <w:div w:id="1395006583">
                  <w:marLeft w:val="0"/>
                  <w:marRight w:val="0"/>
                  <w:marTop w:val="0"/>
                  <w:marBottom w:val="0"/>
                  <w:divBdr>
                    <w:top w:val="none" w:sz="0" w:space="0" w:color="auto"/>
                    <w:left w:val="none" w:sz="0" w:space="0" w:color="auto"/>
                    <w:bottom w:val="none" w:sz="0" w:space="0" w:color="auto"/>
                    <w:right w:val="none" w:sz="0" w:space="0" w:color="auto"/>
                  </w:divBdr>
                  <w:divsChild>
                    <w:div w:id="1456674446">
                      <w:marLeft w:val="0"/>
                      <w:marRight w:val="0"/>
                      <w:marTop w:val="0"/>
                      <w:marBottom w:val="0"/>
                      <w:divBdr>
                        <w:top w:val="none" w:sz="0" w:space="0" w:color="auto"/>
                        <w:left w:val="none" w:sz="0" w:space="0" w:color="auto"/>
                        <w:bottom w:val="none" w:sz="0" w:space="0" w:color="auto"/>
                        <w:right w:val="none" w:sz="0" w:space="0" w:color="auto"/>
                      </w:divBdr>
                    </w:div>
                  </w:divsChild>
                </w:div>
                <w:div w:id="1487044316">
                  <w:marLeft w:val="0"/>
                  <w:marRight w:val="0"/>
                  <w:marTop w:val="0"/>
                  <w:marBottom w:val="0"/>
                  <w:divBdr>
                    <w:top w:val="none" w:sz="0" w:space="0" w:color="auto"/>
                    <w:left w:val="none" w:sz="0" w:space="0" w:color="auto"/>
                    <w:bottom w:val="none" w:sz="0" w:space="0" w:color="auto"/>
                    <w:right w:val="none" w:sz="0" w:space="0" w:color="auto"/>
                  </w:divBdr>
                  <w:divsChild>
                    <w:div w:id="1906527183">
                      <w:marLeft w:val="0"/>
                      <w:marRight w:val="0"/>
                      <w:marTop w:val="0"/>
                      <w:marBottom w:val="0"/>
                      <w:divBdr>
                        <w:top w:val="none" w:sz="0" w:space="0" w:color="auto"/>
                        <w:left w:val="none" w:sz="0" w:space="0" w:color="auto"/>
                        <w:bottom w:val="none" w:sz="0" w:space="0" w:color="auto"/>
                        <w:right w:val="none" w:sz="0" w:space="0" w:color="auto"/>
                      </w:divBdr>
                    </w:div>
                  </w:divsChild>
                </w:div>
                <w:div w:id="1546599772">
                  <w:marLeft w:val="0"/>
                  <w:marRight w:val="0"/>
                  <w:marTop w:val="0"/>
                  <w:marBottom w:val="0"/>
                  <w:divBdr>
                    <w:top w:val="none" w:sz="0" w:space="0" w:color="auto"/>
                    <w:left w:val="none" w:sz="0" w:space="0" w:color="auto"/>
                    <w:bottom w:val="none" w:sz="0" w:space="0" w:color="auto"/>
                    <w:right w:val="none" w:sz="0" w:space="0" w:color="auto"/>
                  </w:divBdr>
                  <w:divsChild>
                    <w:div w:id="344943996">
                      <w:marLeft w:val="0"/>
                      <w:marRight w:val="0"/>
                      <w:marTop w:val="0"/>
                      <w:marBottom w:val="0"/>
                      <w:divBdr>
                        <w:top w:val="none" w:sz="0" w:space="0" w:color="auto"/>
                        <w:left w:val="none" w:sz="0" w:space="0" w:color="auto"/>
                        <w:bottom w:val="none" w:sz="0" w:space="0" w:color="auto"/>
                        <w:right w:val="none" w:sz="0" w:space="0" w:color="auto"/>
                      </w:divBdr>
                    </w:div>
                  </w:divsChild>
                </w:div>
                <w:div w:id="1692534732">
                  <w:marLeft w:val="0"/>
                  <w:marRight w:val="0"/>
                  <w:marTop w:val="0"/>
                  <w:marBottom w:val="0"/>
                  <w:divBdr>
                    <w:top w:val="none" w:sz="0" w:space="0" w:color="auto"/>
                    <w:left w:val="none" w:sz="0" w:space="0" w:color="auto"/>
                    <w:bottom w:val="none" w:sz="0" w:space="0" w:color="auto"/>
                    <w:right w:val="none" w:sz="0" w:space="0" w:color="auto"/>
                  </w:divBdr>
                  <w:divsChild>
                    <w:div w:id="179198147">
                      <w:marLeft w:val="0"/>
                      <w:marRight w:val="0"/>
                      <w:marTop w:val="0"/>
                      <w:marBottom w:val="0"/>
                      <w:divBdr>
                        <w:top w:val="none" w:sz="0" w:space="0" w:color="auto"/>
                        <w:left w:val="none" w:sz="0" w:space="0" w:color="auto"/>
                        <w:bottom w:val="none" w:sz="0" w:space="0" w:color="auto"/>
                        <w:right w:val="none" w:sz="0" w:space="0" w:color="auto"/>
                      </w:divBdr>
                    </w:div>
                  </w:divsChild>
                </w:div>
                <w:div w:id="1864513316">
                  <w:marLeft w:val="0"/>
                  <w:marRight w:val="0"/>
                  <w:marTop w:val="0"/>
                  <w:marBottom w:val="0"/>
                  <w:divBdr>
                    <w:top w:val="none" w:sz="0" w:space="0" w:color="auto"/>
                    <w:left w:val="none" w:sz="0" w:space="0" w:color="auto"/>
                    <w:bottom w:val="none" w:sz="0" w:space="0" w:color="auto"/>
                    <w:right w:val="none" w:sz="0" w:space="0" w:color="auto"/>
                  </w:divBdr>
                  <w:divsChild>
                    <w:div w:id="52432429">
                      <w:marLeft w:val="0"/>
                      <w:marRight w:val="0"/>
                      <w:marTop w:val="0"/>
                      <w:marBottom w:val="0"/>
                      <w:divBdr>
                        <w:top w:val="none" w:sz="0" w:space="0" w:color="auto"/>
                        <w:left w:val="none" w:sz="0" w:space="0" w:color="auto"/>
                        <w:bottom w:val="none" w:sz="0" w:space="0" w:color="auto"/>
                        <w:right w:val="none" w:sz="0" w:space="0" w:color="auto"/>
                      </w:divBdr>
                    </w:div>
                  </w:divsChild>
                </w:div>
                <w:div w:id="1947879675">
                  <w:marLeft w:val="0"/>
                  <w:marRight w:val="0"/>
                  <w:marTop w:val="0"/>
                  <w:marBottom w:val="0"/>
                  <w:divBdr>
                    <w:top w:val="none" w:sz="0" w:space="0" w:color="auto"/>
                    <w:left w:val="none" w:sz="0" w:space="0" w:color="auto"/>
                    <w:bottom w:val="none" w:sz="0" w:space="0" w:color="auto"/>
                    <w:right w:val="none" w:sz="0" w:space="0" w:color="auto"/>
                  </w:divBdr>
                  <w:divsChild>
                    <w:div w:id="1219049118">
                      <w:marLeft w:val="0"/>
                      <w:marRight w:val="0"/>
                      <w:marTop w:val="0"/>
                      <w:marBottom w:val="0"/>
                      <w:divBdr>
                        <w:top w:val="none" w:sz="0" w:space="0" w:color="auto"/>
                        <w:left w:val="none" w:sz="0" w:space="0" w:color="auto"/>
                        <w:bottom w:val="none" w:sz="0" w:space="0" w:color="auto"/>
                        <w:right w:val="none" w:sz="0" w:space="0" w:color="auto"/>
                      </w:divBdr>
                    </w:div>
                  </w:divsChild>
                </w:div>
                <w:div w:id="1953710970">
                  <w:marLeft w:val="0"/>
                  <w:marRight w:val="0"/>
                  <w:marTop w:val="0"/>
                  <w:marBottom w:val="0"/>
                  <w:divBdr>
                    <w:top w:val="none" w:sz="0" w:space="0" w:color="auto"/>
                    <w:left w:val="none" w:sz="0" w:space="0" w:color="auto"/>
                    <w:bottom w:val="none" w:sz="0" w:space="0" w:color="auto"/>
                    <w:right w:val="none" w:sz="0" w:space="0" w:color="auto"/>
                  </w:divBdr>
                  <w:divsChild>
                    <w:div w:id="18710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2844">
          <w:marLeft w:val="0"/>
          <w:marRight w:val="0"/>
          <w:marTop w:val="0"/>
          <w:marBottom w:val="0"/>
          <w:divBdr>
            <w:top w:val="none" w:sz="0" w:space="0" w:color="auto"/>
            <w:left w:val="none" w:sz="0" w:space="0" w:color="auto"/>
            <w:bottom w:val="none" w:sz="0" w:space="0" w:color="auto"/>
            <w:right w:val="none" w:sz="0" w:space="0" w:color="auto"/>
          </w:divBdr>
        </w:div>
      </w:divsChild>
    </w:div>
    <w:div w:id="1257594350">
      <w:bodyDiv w:val="1"/>
      <w:marLeft w:val="0"/>
      <w:marRight w:val="0"/>
      <w:marTop w:val="0"/>
      <w:marBottom w:val="0"/>
      <w:divBdr>
        <w:top w:val="none" w:sz="0" w:space="0" w:color="auto"/>
        <w:left w:val="none" w:sz="0" w:space="0" w:color="auto"/>
        <w:bottom w:val="none" w:sz="0" w:space="0" w:color="auto"/>
        <w:right w:val="none" w:sz="0" w:space="0" w:color="auto"/>
      </w:divBdr>
      <w:divsChild>
        <w:div w:id="122621341">
          <w:marLeft w:val="0"/>
          <w:marRight w:val="0"/>
          <w:marTop w:val="0"/>
          <w:marBottom w:val="0"/>
          <w:divBdr>
            <w:top w:val="none" w:sz="0" w:space="0" w:color="auto"/>
            <w:left w:val="none" w:sz="0" w:space="0" w:color="auto"/>
            <w:bottom w:val="none" w:sz="0" w:space="0" w:color="auto"/>
            <w:right w:val="none" w:sz="0" w:space="0" w:color="auto"/>
          </w:divBdr>
          <w:divsChild>
            <w:div w:id="1033187932">
              <w:marLeft w:val="0"/>
              <w:marRight w:val="0"/>
              <w:marTop w:val="30"/>
              <w:marBottom w:val="30"/>
              <w:divBdr>
                <w:top w:val="none" w:sz="0" w:space="0" w:color="auto"/>
                <w:left w:val="none" w:sz="0" w:space="0" w:color="auto"/>
                <w:bottom w:val="none" w:sz="0" w:space="0" w:color="auto"/>
                <w:right w:val="none" w:sz="0" w:space="0" w:color="auto"/>
              </w:divBdr>
              <w:divsChild>
                <w:div w:id="37826348">
                  <w:marLeft w:val="0"/>
                  <w:marRight w:val="0"/>
                  <w:marTop w:val="0"/>
                  <w:marBottom w:val="0"/>
                  <w:divBdr>
                    <w:top w:val="none" w:sz="0" w:space="0" w:color="auto"/>
                    <w:left w:val="none" w:sz="0" w:space="0" w:color="auto"/>
                    <w:bottom w:val="none" w:sz="0" w:space="0" w:color="auto"/>
                    <w:right w:val="none" w:sz="0" w:space="0" w:color="auto"/>
                  </w:divBdr>
                  <w:divsChild>
                    <w:div w:id="1071347814">
                      <w:marLeft w:val="0"/>
                      <w:marRight w:val="0"/>
                      <w:marTop w:val="0"/>
                      <w:marBottom w:val="0"/>
                      <w:divBdr>
                        <w:top w:val="none" w:sz="0" w:space="0" w:color="auto"/>
                        <w:left w:val="none" w:sz="0" w:space="0" w:color="auto"/>
                        <w:bottom w:val="none" w:sz="0" w:space="0" w:color="auto"/>
                        <w:right w:val="none" w:sz="0" w:space="0" w:color="auto"/>
                      </w:divBdr>
                    </w:div>
                  </w:divsChild>
                </w:div>
                <w:div w:id="92633198">
                  <w:marLeft w:val="0"/>
                  <w:marRight w:val="0"/>
                  <w:marTop w:val="0"/>
                  <w:marBottom w:val="0"/>
                  <w:divBdr>
                    <w:top w:val="none" w:sz="0" w:space="0" w:color="auto"/>
                    <w:left w:val="none" w:sz="0" w:space="0" w:color="auto"/>
                    <w:bottom w:val="none" w:sz="0" w:space="0" w:color="auto"/>
                    <w:right w:val="none" w:sz="0" w:space="0" w:color="auto"/>
                  </w:divBdr>
                  <w:divsChild>
                    <w:div w:id="1982810754">
                      <w:marLeft w:val="0"/>
                      <w:marRight w:val="0"/>
                      <w:marTop w:val="0"/>
                      <w:marBottom w:val="0"/>
                      <w:divBdr>
                        <w:top w:val="none" w:sz="0" w:space="0" w:color="auto"/>
                        <w:left w:val="none" w:sz="0" w:space="0" w:color="auto"/>
                        <w:bottom w:val="none" w:sz="0" w:space="0" w:color="auto"/>
                        <w:right w:val="none" w:sz="0" w:space="0" w:color="auto"/>
                      </w:divBdr>
                    </w:div>
                  </w:divsChild>
                </w:div>
                <w:div w:id="168838420">
                  <w:marLeft w:val="0"/>
                  <w:marRight w:val="0"/>
                  <w:marTop w:val="0"/>
                  <w:marBottom w:val="0"/>
                  <w:divBdr>
                    <w:top w:val="none" w:sz="0" w:space="0" w:color="auto"/>
                    <w:left w:val="none" w:sz="0" w:space="0" w:color="auto"/>
                    <w:bottom w:val="none" w:sz="0" w:space="0" w:color="auto"/>
                    <w:right w:val="none" w:sz="0" w:space="0" w:color="auto"/>
                  </w:divBdr>
                  <w:divsChild>
                    <w:div w:id="613908349">
                      <w:marLeft w:val="0"/>
                      <w:marRight w:val="0"/>
                      <w:marTop w:val="0"/>
                      <w:marBottom w:val="0"/>
                      <w:divBdr>
                        <w:top w:val="none" w:sz="0" w:space="0" w:color="auto"/>
                        <w:left w:val="none" w:sz="0" w:space="0" w:color="auto"/>
                        <w:bottom w:val="none" w:sz="0" w:space="0" w:color="auto"/>
                        <w:right w:val="none" w:sz="0" w:space="0" w:color="auto"/>
                      </w:divBdr>
                    </w:div>
                  </w:divsChild>
                </w:div>
                <w:div w:id="684597556">
                  <w:marLeft w:val="0"/>
                  <w:marRight w:val="0"/>
                  <w:marTop w:val="0"/>
                  <w:marBottom w:val="0"/>
                  <w:divBdr>
                    <w:top w:val="none" w:sz="0" w:space="0" w:color="auto"/>
                    <w:left w:val="none" w:sz="0" w:space="0" w:color="auto"/>
                    <w:bottom w:val="none" w:sz="0" w:space="0" w:color="auto"/>
                    <w:right w:val="none" w:sz="0" w:space="0" w:color="auto"/>
                  </w:divBdr>
                  <w:divsChild>
                    <w:div w:id="1742173203">
                      <w:marLeft w:val="0"/>
                      <w:marRight w:val="0"/>
                      <w:marTop w:val="0"/>
                      <w:marBottom w:val="0"/>
                      <w:divBdr>
                        <w:top w:val="none" w:sz="0" w:space="0" w:color="auto"/>
                        <w:left w:val="none" w:sz="0" w:space="0" w:color="auto"/>
                        <w:bottom w:val="none" w:sz="0" w:space="0" w:color="auto"/>
                        <w:right w:val="none" w:sz="0" w:space="0" w:color="auto"/>
                      </w:divBdr>
                    </w:div>
                  </w:divsChild>
                </w:div>
                <w:div w:id="809633744">
                  <w:marLeft w:val="0"/>
                  <w:marRight w:val="0"/>
                  <w:marTop w:val="0"/>
                  <w:marBottom w:val="0"/>
                  <w:divBdr>
                    <w:top w:val="none" w:sz="0" w:space="0" w:color="auto"/>
                    <w:left w:val="none" w:sz="0" w:space="0" w:color="auto"/>
                    <w:bottom w:val="none" w:sz="0" w:space="0" w:color="auto"/>
                    <w:right w:val="none" w:sz="0" w:space="0" w:color="auto"/>
                  </w:divBdr>
                  <w:divsChild>
                    <w:div w:id="24982976">
                      <w:marLeft w:val="0"/>
                      <w:marRight w:val="0"/>
                      <w:marTop w:val="0"/>
                      <w:marBottom w:val="0"/>
                      <w:divBdr>
                        <w:top w:val="none" w:sz="0" w:space="0" w:color="auto"/>
                        <w:left w:val="none" w:sz="0" w:space="0" w:color="auto"/>
                        <w:bottom w:val="none" w:sz="0" w:space="0" w:color="auto"/>
                        <w:right w:val="none" w:sz="0" w:space="0" w:color="auto"/>
                      </w:divBdr>
                    </w:div>
                    <w:div w:id="694497727">
                      <w:marLeft w:val="0"/>
                      <w:marRight w:val="0"/>
                      <w:marTop w:val="0"/>
                      <w:marBottom w:val="0"/>
                      <w:divBdr>
                        <w:top w:val="none" w:sz="0" w:space="0" w:color="auto"/>
                        <w:left w:val="none" w:sz="0" w:space="0" w:color="auto"/>
                        <w:bottom w:val="none" w:sz="0" w:space="0" w:color="auto"/>
                        <w:right w:val="none" w:sz="0" w:space="0" w:color="auto"/>
                      </w:divBdr>
                    </w:div>
                    <w:div w:id="1090927297">
                      <w:marLeft w:val="0"/>
                      <w:marRight w:val="0"/>
                      <w:marTop w:val="0"/>
                      <w:marBottom w:val="0"/>
                      <w:divBdr>
                        <w:top w:val="none" w:sz="0" w:space="0" w:color="auto"/>
                        <w:left w:val="none" w:sz="0" w:space="0" w:color="auto"/>
                        <w:bottom w:val="none" w:sz="0" w:space="0" w:color="auto"/>
                        <w:right w:val="none" w:sz="0" w:space="0" w:color="auto"/>
                      </w:divBdr>
                    </w:div>
                    <w:div w:id="1183978420">
                      <w:marLeft w:val="0"/>
                      <w:marRight w:val="0"/>
                      <w:marTop w:val="0"/>
                      <w:marBottom w:val="0"/>
                      <w:divBdr>
                        <w:top w:val="none" w:sz="0" w:space="0" w:color="auto"/>
                        <w:left w:val="none" w:sz="0" w:space="0" w:color="auto"/>
                        <w:bottom w:val="none" w:sz="0" w:space="0" w:color="auto"/>
                        <w:right w:val="none" w:sz="0" w:space="0" w:color="auto"/>
                      </w:divBdr>
                    </w:div>
                    <w:div w:id="1922713669">
                      <w:marLeft w:val="0"/>
                      <w:marRight w:val="0"/>
                      <w:marTop w:val="0"/>
                      <w:marBottom w:val="0"/>
                      <w:divBdr>
                        <w:top w:val="none" w:sz="0" w:space="0" w:color="auto"/>
                        <w:left w:val="none" w:sz="0" w:space="0" w:color="auto"/>
                        <w:bottom w:val="none" w:sz="0" w:space="0" w:color="auto"/>
                        <w:right w:val="none" w:sz="0" w:space="0" w:color="auto"/>
                      </w:divBdr>
                    </w:div>
                    <w:div w:id="2109350405">
                      <w:marLeft w:val="0"/>
                      <w:marRight w:val="0"/>
                      <w:marTop w:val="0"/>
                      <w:marBottom w:val="0"/>
                      <w:divBdr>
                        <w:top w:val="none" w:sz="0" w:space="0" w:color="auto"/>
                        <w:left w:val="none" w:sz="0" w:space="0" w:color="auto"/>
                        <w:bottom w:val="none" w:sz="0" w:space="0" w:color="auto"/>
                        <w:right w:val="none" w:sz="0" w:space="0" w:color="auto"/>
                      </w:divBdr>
                    </w:div>
                  </w:divsChild>
                </w:div>
                <w:div w:id="950552669">
                  <w:marLeft w:val="0"/>
                  <w:marRight w:val="0"/>
                  <w:marTop w:val="0"/>
                  <w:marBottom w:val="0"/>
                  <w:divBdr>
                    <w:top w:val="none" w:sz="0" w:space="0" w:color="auto"/>
                    <w:left w:val="none" w:sz="0" w:space="0" w:color="auto"/>
                    <w:bottom w:val="none" w:sz="0" w:space="0" w:color="auto"/>
                    <w:right w:val="none" w:sz="0" w:space="0" w:color="auto"/>
                  </w:divBdr>
                  <w:divsChild>
                    <w:div w:id="412513346">
                      <w:marLeft w:val="0"/>
                      <w:marRight w:val="0"/>
                      <w:marTop w:val="0"/>
                      <w:marBottom w:val="0"/>
                      <w:divBdr>
                        <w:top w:val="none" w:sz="0" w:space="0" w:color="auto"/>
                        <w:left w:val="none" w:sz="0" w:space="0" w:color="auto"/>
                        <w:bottom w:val="none" w:sz="0" w:space="0" w:color="auto"/>
                        <w:right w:val="none" w:sz="0" w:space="0" w:color="auto"/>
                      </w:divBdr>
                    </w:div>
                  </w:divsChild>
                </w:div>
                <w:div w:id="984700733">
                  <w:marLeft w:val="0"/>
                  <w:marRight w:val="0"/>
                  <w:marTop w:val="0"/>
                  <w:marBottom w:val="0"/>
                  <w:divBdr>
                    <w:top w:val="none" w:sz="0" w:space="0" w:color="auto"/>
                    <w:left w:val="none" w:sz="0" w:space="0" w:color="auto"/>
                    <w:bottom w:val="none" w:sz="0" w:space="0" w:color="auto"/>
                    <w:right w:val="none" w:sz="0" w:space="0" w:color="auto"/>
                  </w:divBdr>
                  <w:divsChild>
                    <w:div w:id="1939558000">
                      <w:marLeft w:val="0"/>
                      <w:marRight w:val="0"/>
                      <w:marTop w:val="0"/>
                      <w:marBottom w:val="0"/>
                      <w:divBdr>
                        <w:top w:val="none" w:sz="0" w:space="0" w:color="auto"/>
                        <w:left w:val="none" w:sz="0" w:space="0" w:color="auto"/>
                        <w:bottom w:val="none" w:sz="0" w:space="0" w:color="auto"/>
                        <w:right w:val="none" w:sz="0" w:space="0" w:color="auto"/>
                      </w:divBdr>
                    </w:div>
                  </w:divsChild>
                </w:div>
                <w:div w:id="1009916166">
                  <w:marLeft w:val="0"/>
                  <w:marRight w:val="0"/>
                  <w:marTop w:val="0"/>
                  <w:marBottom w:val="0"/>
                  <w:divBdr>
                    <w:top w:val="none" w:sz="0" w:space="0" w:color="auto"/>
                    <w:left w:val="none" w:sz="0" w:space="0" w:color="auto"/>
                    <w:bottom w:val="none" w:sz="0" w:space="0" w:color="auto"/>
                    <w:right w:val="none" w:sz="0" w:space="0" w:color="auto"/>
                  </w:divBdr>
                  <w:divsChild>
                    <w:div w:id="52048774">
                      <w:marLeft w:val="0"/>
                      <w:marRight w:val="0"/>
                      <w:marTop w:val="0"/>
                      <w:marBottom w:val="0"/>
                      <w:divBdr>
                        <w:top w:val="none" w:sz="0" w:space="0" w:color="auto"/>
                        <w:left w:val="none" w:sz="0" w:space="0" w:color="auto"/>
                        <w:bottom w:val="none" w:sz="0" w:space="0" w:color="auto"/>
                        <w:right w:val="none" w:sz="0" w:space="0" w:color="auto"/>
                      </w:divBdr>
                    </w:div>
                  </w:divsChild>
                </w:div>
                <w:div w:id="1024475570">
                  <w:marLeft w:val="0"/>
                  <w:marRight w:val="0"/>
                  <w:marTop w:val="0"/>
                  <w:marBottom w:val="0"/>
                  <w:divBdr>
                    <w:top w:val="none" w:sz="0" w:space="0" w:color="auto"/>
                    <w:left w:val="none" w:sz="0" w:space="0" w:color="auto"/>
                    <w:bottom w:val="none" w:sz="0" w:space="0" w:color="auto"/>
                    <w:right w:val="none" w:sz="0" w:space="0" w:color="auto"/>
                  </w:divBdr>
                  <w:divsChild>
                    <w:div w:id="1037269053">
                      <w:marLeft w:val="0"/>
                      <w:marRight w:val="0"/>
                      <w:marTop w:val="0"/>
                      <w:marBottom w:val="0"/>
                      <w:divBdr>
                        <w:top w:val="none" w:sz="0" w:space="0" w:color="auto"/>
                        <w:left w:val="none" w:sz="0" w:space="0" w:color="auto"/>
                        <w:bottom w:val="none" w:sz="0" w:space="0" w:color="auto"/>
                        <w:right w:val="none" w:sz="0" w:space="0" w:color="auto"/>
                      </w:divBdr>
                    </w:div>
                    <w:div w:id="1894271636">
                      <w:marLeft w:val="0"/>
                      <w:marRight w:val="0"/>
                      <w:marTop w:val="0"/>
                      <w:marBottom w:val="0"/>
                      <w:divBdr>
                        <w:top w:val="none" w:sz="0" w:space="0" w:color="auto"/>
                        <w:left w:val="none" w:sz="0" w:space="0" w:color="auto"/>
                        <w:bottom w:val="none" w:sz="0" w:space="0" w:color="auto"/>
                        <w:right w:val="none" w:sz="0" w:space="0" w:color="auto"/>
                      </w:divBdr>
                    </w:div>
                  </w:divsChild>
                </w:div>
                <w:div w:id="1141341286">
                  <w:marLeft w:val="0"/>
                  <w:marRight w:val="0"/>
                  <w:marTop w:val="0"/>
                  <w:marBottom w:val="0"/>
                  <w:divBdr>
                    <w:top w:val="none" w:sz="0" w:space="0" w:color="auto"/>
                    <w:left w:val="none" w:sz="0" w:space="0" w:color="auto"/>
                    <w:bottom w:val="none" w:sz="0" w:space="0" w:color="auto"/>
                    <w:right w:val="none" w:sz="0" w:space="0" w:color="auto"/>
                  </w:divBdr>
                  <w:divsChild>
                    <w:div w:id="845904703">
                      <w:marLeft w:val="0"/>
                      <w:marRight w:val="0"/>
                      <w:marTop w:val="0"/>
                      <w:marBottom w:val="0"/>
                      <w:divBdr>
                        <w:top w:val="none" w:sz="0" w:space="0" w:color="auto"/>
                        <w:left w:val="none" w:sz="0" w:space="0" w:color="auto"/>
                        <w:bottom w:val="none" w:sz="0" w:space="0" w:color="auto"/>
                        <w:right w:val="none" w:sz="0" w:space="0" w:color="auto"/>
                      </w:divBdr>
                    </w:div>
                  </w:divsChild>
                </w:div>
                <w:div w:id="1335379015">
                  <w:marLeft w:val="0"/>
                  <w:marRight w:val="0"/>
                  <w:marTop w:val="0"/>
                  <w:marBottom w:val="0"/>
                  <w:divBdr>
                    <w:top w:val="none" w:sz="0" w:space="0" w:color="auto"/>
                    <w:left w:val="none" w:sz="0" w:space="0" w:color="auto"/>
                    <w:bottom w:val="none" w:sz="0" w:space="0" w:color="auto"/>
                    <w:right w:val="none" w:sz="0" w:space="0" w:color="auto"/>
                  </w:divBdr>
                  <w:divsChild>
                    <w:div w:id="329018881">
                      <w:marLeft w:val="0"/>
                      <w:marRight w:val="0"/>
                      <w:marTop w:val="0"/>
                      <w:marBottom w:val="0"/>
                      <w:divBdr>
                        <w:top w:val="none" w:sz="0" w:space="0" w:color="auto"/>
                        <w:left w:val="none" w:sz="0" w:space="0" w:color="auto"/>
                        <w:bottom w:val="none" w:sz="0" w:space="0" w:color="auto"/>
                        <w:right w:val="none" w:sz="0" w:space="0" w:color="auto"/>
                      </w:divBdr>
                    </w:div>
                  </w:divsChild>
                </w:div>
                <w:div w:id="1351181411">
                  <w:marLeft w:val="0"/>
                  <w:marRight w:val="0"/>
                  <w:marTop w:val="0"/>
                  <w:marBottom w:val="0"/>
                  <w:divBdr>
                    <w:top w:val="none" w:sz="0" w:space="0" w:color="auto"/>
                    <w:left w:val="none" w:sz="0" w:space="0" w:color="auto"/>
                    <w:bottom w:val="none" w:sz="0" w:space="0" w:color="auto"/>
                    <w:right w:val="none" w:sz="0" w:space="0" w:color="auto"/>
                  </w:divBdr>
                  <w:divsChild>
                    <w:div w:id="2081976163">
                      <w:marLeft w:val="0"/>
                      <w:marRight w:val="0"/>
                      <w:marTop w:val="0"/>
                      <w:marBottom w:val="0"/>
                      <w:divBdr>
                        <w:top w:val="none" w:sz="0" w:space="0" w:color="auto"/>
                        <w:left w:val="none" w:sz="0" w:space="0" w:color="auto"/>
                        <w:bottom w:val="none" w:sz="0" w:space="0" w:color="auto"/>
                        <w:right w:val="none" w:sz="0" w:space="0" w:color="auto"/>
                      </w:divBdr>
                    </w:div>
                  </w:divsChild>
                </w:div>
                <w:div w:id="1434520332">
                  <w:marLeft w:val="0"/>
                  <w:marRight w:val="0"/>
                  <w:marTop w:val="0"/>
                  <w:marBottom w:val="0"/>
                  <w:divBdr>
                    <w:top w:val="none" w:sz="0" w:space="0" w:color="auto"/>
                    <w:left w:val="none" w:sz="0" w:space="0" w:color="auto"/>
                    <w:bottom w:val="none" w:sz="0" w:space="0" w:color="auto"/>
                    <w:right w:val="none" w:sz="0" w:space="0" w:color="auto"/>
                  </w:divBdr>
                  <w:divsChild>
                    <w:div w:id="836505346">
                      <w:marLeft w:val="0"/>
                      <w:marRight w:val="0"/>
                      <w:marTop w:val="0"/>
                      <w:marBottom w:val="0"/>
                      <w:divBdr>
                        <w:top w:val="none" w:sz="0" w:space="0" w:color="auto"/>
                        <w:left w:val="none" w:sz="0" w:space="0" w:color="auto"/>
                        <w:bottom w:val="none" w:sz="0" w:space="0" w:color="auto"/>
                        <w:right w:val="none" w:sz="0" w:space="0" w:color="auto"/>
                      </w:divBdr>
                    </w:div>
                  </w:divsChild>
                </w:div>
                <w:div w:id="1568952316">
                  <w:marLeft w:val="0"/>
                  <w:marRight w:val="0"/>
                  <w:marTop w:val="0"/>
                  <w:marBottom w:val="0"/>
                  <w:divBdr>
                    <w:top w:val="none" w:sz="0" w:space="0" w:color="auto"/>
                    <w:left w:val="none" w:sz="0" w:space="0" w:color="auto"/>
                    <w:bottom w:val="none" w:sz="0" w:space="0" w:color="auto"/>
                    <w:right w:val="none" w:sz="0" w:space="0" w:color="auto"/>
                  </w:divBdr>
                  <w:divsChild>
                    <w:div w:id="2039158177">
                      <w:marLeft w:val="0"/>
                      <w:marRight w:val="0"/>
                      <w:marTop w:val="0"/>
                      <w:marBottom w:val="0"/>
                      <w:divBdr>
                        <w:top w:val="none" w:sz="0" w:space="0" w:color="auto"/>
                        <w:left w:val="none" w:sz="0" w:space="0" w:color="auto"/>
                        <w:bottom w:val="none" w:sz="0" w:space="0" w:color="auto"/>
                        <w:right w:val="none" w:sz="0" w:space="0" w:color="auto"/>
                      </w:divBdr>
                    </w:div>
                  </w:divsChild>
                </w:div>
                <w:div w:id="1575554480">
                  <w:marLeft w:val="0"/>
                  <w:marRight w:val="0"/>
                  <w:marTop w:val="0"/>
                  <w:marBottom w:val="0"/>
                  <w:divBdr>
                    <w:top w:val="none" w:sz="0" w:space="0" w:color="auto"/>
                    <w:left w:val="none" w:sz="0" w:space="0" w:color="auto"/>
                    <w:bottom w:val="none" w:sz="0" w:space="0" w:color="auto"/>
                    <w:right w:val="none" w:sz="0" w:space="0" w:color="auto"/>
                  </w:divBdr>
                  <w:divsChild>
                    <w:div w:id="2088840347">
                      <w:marLeft w:val="0"/>
                      <w:marRight w:val="0"/>
                      <w:marTop w:val="0"/>
                      <w:marBottom w:val="0"/>
                      <w:divBdr>
                        <w:top w:val="none" w:sz="0" w:space="0" w:color="auto"/>
                        <w:left w:val="none" w:sz="0" w:space="0" w:color="auto"/>
                        <w:bottom w:val="none" w:sz="0" w:space="0" w:color="auto"/>
                        <w:right w:val="none" w:sz="0" w:space="0" w:color="auto"/>
                      </w:divBdr>
                    </w:div>
                  </w:divsChild>
                </w:div>
                <w:div w:id="1614245522">
                  <w:marLeft w:val="0"/>
                  <w:marRight w:val="0"/>
                  <w:marTop w:val="0"/>
                  <w:marBottom w:val="0"/>
                  <w:divBdr>
                    <w:top w:val="none" w:sz="0" w:space="0" w:color="auto"/>
                    <w:left w:val="none" w:sz="0" w:space="0" w:color="auto"/>
                    <w:bottom w:val="none" w:sz="0" w:space="0" w:color="auto"/>
                    <w:right w:val="none" w:sz="0" w:space="0" w:color="auto"/>
                  </w:divBdr>
                  <w:divsChild>
                    <w:div w:id="1471170981">
                      <w:marLeft w:val="0"/>
                      <w:marRight w:val="0"/>
                      <w:marTop w:val="0"/>
                      <w:marBottom w:val="0"/>
                      <w:divBdr>
                        <w:top w:val="none" w:sz="0" w:space="0" w:color="auto"/>
                        <w:left w:val="none" w:sz="0" w:space="0" w:color="auto"/>
                        <w:bottom w:val="none" w:sz="0" w:space="0" w:color="auto"/>
                        <w:right w:val="none" w:sz="0" w:space="0" w:color="auto"/>
                      </w:divBdr>
                    </w:div>
                  </w:divsChild>
                </w:div>
                <w:div w:id="1649167536">
                  <w:marLeft w:val="0"/>
                  <w:marRight w:val="0"/>
                  <w:marTop w:val="0"/>
                  <w:marBottom w:val="0"/>
                  <w:divBdr>
                    <w:top w:val="none" w:sz="0" w:space="0" w:color="auto"/>
                    <w:left w:val="none" w:sz="0" w:space="0" w:color="auto"/>
                    <w:bottom w:val="none" w:sz="0" w:space="0" w:color="auto"/>
                    <w:right w:val="none" w:sz="0" w:space="0" w:color="auto"/>
                  </w:divBdr>
                  <w:divsChild>
                    <w:div w:id="1523470694">
                      <w:marLeft w:val="0"/>
                      <w:marRight w:val="0"/>
                      <w:marTop w:val="0"/>
                      <w:marBottom w:val="0"/>
                      <w:divBdr>
                        <w:top w:val="none" w:sz="0" w:space="0" w:color="auto"/>
                        <w:left w:val="none" w:sz="0" w:space="0" w:color="auto"/>
                        <w:bottom w:val="none" w:sz="0" w:space="0" w:color="auto"/>
                        <w:right w:val="none" w:sz="0" w:space="0" w:color="auto"/>
                      </w:divBdr>
                    </w:div>
                  </w:divsChild>
                </w:div>
                <w:div w:id="2046562582">
                  <w:marLeft w:val="0"/>
                  <w:marRight w:val="0"/>
                  <w:marTop w:val="0"/>
                  <w:marBottom w:val="0"/>
                  <w:divBdr>
                    <w:top w:val="none" w:sz="0" w:space="0" w:color="auto"/>
                    <w:left w:val="none" w:sz="0" w:space="0" w:color="auto"/>
                    <w:bottom w:val="none" w:sz="0" w:space="0" w:color="auto"/>
                    <w:right w:val="none" w:sz="0" w:space="0" w:color="auto"/>
                  </w:divBdr>
                  <w:divsChild>
                    <w:div w:id="70276362">
                      <w:marLeft w:val="0"/>
                      <w:marRight w:val="0"/>
                      <w:marTop w:val="0"/>
                      <w:marBottom w:val="0"/>
                      <w:divBdr>
                        <w:top w:val="none" w:sz="0" w:space="0" w:color="auto"/>
                        <w:left w:val="none" w:sz="0" w:space="0" w:color="auto"/>
                        <w:bottom w:val="none" w:sz="0" w:space="0" w:color="auto"/>
                        <w:right w:val="none" w:sz="0" w:space="0" w:color="auto"/>
                      </w:divBdr>
                    </w:div>
                  </w:divsChild>
                </w:div>
                <w:div w:id="2112435113">
                  <w:marLeft w:val="0"/>
                  <w:marRight w:val="0"/>
                  <w:marTop w:val="0"/>
                  <w:marBottom w:val="0"/>
                  <w:divBdr>
                    <w:top w:val="none" w:sz="0" w:space="0" w:color="auto"/>
                    <w:left w:val="none" w:sz="0" w:space="0" w:color="auto"/>
                    <w:bottom w:val="none" w:sz="0" w:space="0" w:color="auto"/>
                    <w:right w:val="none" w:sz="0" w:space="0" w:color="auto"/>
                  </w:divBdr>
                  <w:divsChild>
                    <w:div w:id="582494562">
                      <w:marLeft w:val="0"/>
                      <w:marRight w:val="0"/>
                      <w:marTop w:val="0"/>
                      <w:marBottom w:val="0"/>
                      <w:divBdr>
                        <w:top w:val="none" w:sz="0" w:space="0" w:color="auto"/>
                        <w:left w:val="none" w:sz="0" w:space="0" w:color="auto"/>
                        <w:bottom w:val="none" w:sz="0" w:space="0" w:color="auto"/>
                        <w:right w:val="none" w:sz="0" w:space="0" w:color="auto"/>
                      </w:divBdr>
                    </w:div>
                    <w:div w:id="632298461">
                      <w:marLeft w:val="0"/>
                      <w:marRight w:val="0"/>
                      <w:marTop w:val="0"/>
                      <w:marBottom w:val="0"/>
                      <w:divBdr>
                        <w:top w:val="none" w:sz="0" w:space="0" w:color="auto"/>
                        <w:left w:val="none" w:sz="0" w:space="0" w:color="auto"/>
                        <w:bottom w:val="none" w:sz="0" w:space="0" w:color="auto"/>
                        <w:right w:val="none" w:sz="0" w:space="0" w:color="auto"/>
                      </w:divBdr>
                    </w:div>
                    <w:div w:id="1134644362">
                      <w:marLeft w:val="0"/>
                      <w:marRight w:val="0"/>
                      <w:marTop w:val="0"/>
                      <w:marBottom w:val="0"/>
                      <w:divBdr>
                        <w:top w:val="none" w:sz="0" w:space="0" w:color="auto"/>
                        <w:left w:val="none" w:sz="0" w:space="0" w:color="auto"/>
                        <w:bottom w:val="none" w:sz="0" w:space="0" w:color="auto"/>
                        <w:right w:val="none" w:sz="0" w:space="0" w:color="auto"/>
                      </w:divBdr>
                    </w:div>
                    <w:div w:id="1254707769">
                      <w:marLeft w:val="0"/>
                      <w:marRight w:val="0"/>
                      <w:marTop w:val="0"/>
                      <w:marBottom w:val="0"/>
                      <w:divBdr>
                        <w:top w:val="none" w:sz="0" w:space="0" w:color="auto"/>
                        <w:left w:val="none" w:sz="0" w:space="0" w:color="auto"/>
                        <w:bottom w:val="none" w:sz="0" w:space="0" w:color="auto"/>
                        <w:right w:val="none" w:sz="0" w:space="0" w:color="auto"/>
                      </w:divBdr>
                    </w:div>
                    <w:div w:id="1255631026">
                      <w:marLeft w:val="0"/>
                      <w:marRight w:val="0"/>
                      <w:marTop w:val="0"/>
                      <w:marBottom w:val="0"/>
                      <w:divBdr>
                        <w:top w:val="none" w:sz="0" w:space="0" w:color="auto"/>
                        <w:left w:val="none" w:sz="0" w:space="0" w:color="auto"/>
                        <w:bottom w:val="none" w:sz="0" w:space="0" w:color="auto"/>
                        <w:right w:val="none" w:sz="0" w:space="0" w:color="auto"/>
                      </w:divBdr>
                    </w:div>
                    <w:div w:id="1454981010">
                      <w:marLeft w:val="0"/>
                      <w:marRight w:val="0"/>
                      <w:marTop w:val="0"/>
                      <w:marBottom w:val="0"/>
                      <w:divBdr>
                        <w:top w:val="none" w:sz="0" w:space="0" w:color="auto"/>
                        <w:left w:val="none" w:sz="0" w:space="0" w:color="auto"/>
                        <w:bottom w:val="none" w:sz="0" w:space="0" w:color="auto"/>
                        <w:right w:val="none" w:sz="0" w:space="0" w:color="auto"/>
                      </w:divBdr>
                    </w:div>
                    <w:div w:id="1518616233">
                      <w:marLeft w:val="0"/>
                      <w:marRight w:val="0"/>
                      <w:marTop w:val="0"/>
                      <w:marBottom w:val="0"/>
                      <w:divBdr>
                        <w:top w:val="none" w:sz="0" w:space="0" w:color="auto"/>
                        <w:left w:val="none" w:sz="0" w:space="0" w:color="auto"/>
                        <w:bottom w:val="none" w:sz="0" w:space="0" w:color="auto"/>
                        <w:right w:val="none" w:sz="0" w:space="0" w:color="auto"/>
                      </w:divBdr>
                    </w:div>
                    <w:div w:id="1739328147">
                      <w:marLeft w:val="0"/>
                      <w:marRight w:val="0"/>
                      <w:marTop w:val="0"/>
                      <w:marBottom w:val="0"/>
                      <w:divBdr>
                        <w:top w:val="none" w:sz="0" w:space="0" w:color="auto"/>
                        <w:left w:val="none" w:sz="0" w:space="0" w:color="auto"/>
                        <w:bottom w:val="none" w:sz="0" w:space="0" w:color="auto"/>
                        <w:right w:val="none" w:sz="0" w:space="0" w:color="auto"/>
                      </w:divBdr>
                    </w:div>
                    <w:div w:id="1888909851">
                      <w:marLeft w:val="0"/>
                      <w:marRight w:val="0"/>
                      <w:marTop w:val="0"/>
                      <w:marBottom w:val="0"/>
                      <w:divBdr>
                        <w:top w:val="none" w:sz="0" w:space="0" w:color="auto"/>
                        <w:left w:val="none" w:sz="0" w:space="0" w:color="auto"/>
                        <w:bottom w:val="none" w:sz="0" w:space="0" w:color="auto"/>
                        <w:right w:val="none" w:sz="0" w:space="0" w:color="auto"/>
                      </w:divBdr>
                    </w:div>
                    <w:div w:id="2000380203">
                      <w:marLeft w:val="0"/>
                      <w:marRight w:val="0"/>
                      <w:marTop w:val="0"/>
                      <w:marBottom w:val="0"/>
                      <w:divBdr>
                        <w:top w:val="none" w:sz="0" w:space="0" w:color="auto"/>
                        <w:left w:val="none" w:sz="0" w:space="0" w:color="auto"/>
                        <w:bottom w:val="none" w:sz="0" w:space="0" w:color="auto"/>
                        <w:right w:val="none" w:sz="0" w:space="0" w:color="auto"/>
                      </w:divBdr>
                    </w:div>
                  </w:divsChild>
                </w:div>
                <w:div w:id="2139101775">
                  <w:marLeft w:val="0"/>
                  <w:marRight w:val="0"/>
                  <w:marTop w:val="0"/>
                  <w:marBottom w:val="0"/>
                  <w:divBdr>
                    <w:top w:val="none" w:sz="0" w:space="0" w:color="auto"/>
                    <w:left w:val="none" w:sz="0" w:space="0" w:color="auto"/>
                    <w:bottom w:val="none" w:sz="0" w:space="0" w:color="auto"/>
                    <w:right w:val="none" w:sz="0" w:space="0" w:color="auto"/>
                  </w:divBdr>
                  <w:divsChild>
                    <w:div w:id="7870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056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6027477">
      <w:bodyDiv w:val="1"/>
      <w:marLeft w:val="0"/>
      <w:marRight w:val="0"/>
      <w:marTop w:val="0"/>
      <w:marBottom w:val="0"/>
      <w:divBdr>
        <w:top w:val="none" w:sz="0" w:space="0" w:color="auto"/>
        <w:left w:val="none" w:sz="0" w:space="0" w:color="auto"/>
        <w:bottom w:val="none" w:sz="0" w:space="0" w:color="auto"/>
        <w:right w:val="none" w:sz="0" w:space="0" w:color="auto"/>
      </w:divBdr>
      <w:divsChild>
        <w:div w:id="365561937">
          <w:marLeft w:val="0"/>
          <w:marRight w:val="0"/>
          <w:marTop w:val="0"/>
          <w:marBottom w:val="0"/>
          <w:divBdr>
            <w:top w:val="none" w:sz="0" w:space="0" w:color="auto"/>
            <w:left w:val="none" w:sz="0" w:space="0" w:color="auto"/>
            <w:bottom w:val="none" w:sz="0" w:space="0" w:color="auto"/>
            <w:right w:val="none" w:sz="0" w:space="0" w:color="auto"/>
          </w:divBdr>
        </w:div>
        <w:div w:id="1964769702">
          <w:marLeft w:val="0"/>
          <w:marRight w:val="0"/>
          <w:marTop w:val="0"/>
          <w:marBottom w:val="0"/>
          <w:divBdr>
            <w:top w:val="none" w:sz="0" w:space="0" w:color="auto"/>
            <w:left w:val="none" w:sz="0" w:space="0" w:color="auto"/>
            <w:bottom w:val="none" w:sz="0" w:space="0" w:color="auto"/>
            <w:right w:val="none" w:sz="0" w:space="0" w:color="auto"/>
          </w:divBdr>
          <w:divsChild>
            <w:div w:id="1757047648">
              <w:marLeft w:val="0"/>
              <w:marRight w:val="0"/>
              <w:marTop w:val="30"/>
              <w:marBottom w:val="30"/>
              <w:divBdr>
                <w:top w:val="none" w:sz="0" w:space="0" w:color="auto"/>
                <w:left w:val="none" w:sz="0" w:space="0" w:color="auto"/>
                <w:bottom w:val="none" w:sz="0" w:space="0" w:color="auto"/>
                <w:right w:val="none" w:sz="0" w:space="0" w:color="auto"/>
              </w:divBdr>
              <w:divsChild>
                <w:div w:id="183597528">
                  <w:marLeft w:val="0"/>
                  <w:marRight w:val="0"/>
                  <w:marTop w:val="0"/>
                  <w:marBottom w:val="0"/>
                  <w:divBdr>
                    <w:top w:val="none" w:sz="0" w:space="0" w:color="auto"/>
                    <w:left w:val="none" w:sz="0" w:space="0" w:color="auto"/>
                    <w:bottom w:val="none" w:sz="0" w:space="0" w:color="auto"/>
                    <w:right w:val="none" w:sz="0" w:space="0" w:color="auto"/>
                  </w:divBdr>
                  <w:divsChild>
                    <w:div w:id="976450481">
                      <w:marLeft w:val="0"/>
                      <w:marRight w:val="0"/>
                      <w:marTop w:val="0"/>
                      <w:marBottom w:val="0"/>
                      <w:divBdr>
                        <w:top w:val="none" w:sz="0" w:space="0" w:color="auto"/>
                        <w:left w:val="none" w:sz="0" w:space="0" w:color="auto"/>
                        <w:bottom w:val="none" w:sz="0" w:space="0" w:color="auto"/>
                        <w:right w:val="none" w:sz="0" w:space="0" w:color="auto"/>
                      </w:divBdr>
                    </w:div>
                  </w:divsChild>
                </w:div>
                <w:div w:id="229971096">
                  <w:marLeft w:val="0"/>
                  <w:marRight w:val="0"/>
                  <w:marTop w:val="0"/>
                  <w:marBottom w:val="0"/>
                  <w:divBdr>
                    <w:top w:val="none" w:sz="0" w:space="0" w:color="auto"/>
                    <w:left w:val="none" w:sz="0" w:space="0" w:color="auto"/>
                    <w:bottom w:val="none" w:sz="0" w:space="0" w:color="auto"/>
                    <w:right w:val="none" w:sz="0" w:space="0" w:color="auto"/>
                  </w:divBdr>
                  <w:divsChild>
                    <w:div w:id="1195968856">
                      <w:marLeft w:val="0"/>
                      <w:marRight w:val="0"/>
                      <w:marTop w:val="0"/>
                      <w:marBottom w:val="0"/>
                      <w:divBdr>
                        <w:top w:val="none" w:sz="0" w:space="0" w:color="auto"/>
                        <w:left w:val="none" w:sz="0" w:space="0" w:color="auto"/>
                        <w:bottom w:val="none" w:sz="0" w:space="0" w:color="auto"/>
                        <w:right w:val="none" w:sz="0" w:space="0" w:color="auto"/>
                      </w:divBdr>
                    </w:div>
                  </w:divsChild>
                </w:div>
                <w:div w:id="329021885">
                  <w:marLeft w:val="0"/>
                  <w:marRight w:val="0"/>
                  <w:marTop w:val="0"/>
                  <w:marBottom w:val="0"/>
                  <w:divBdr>
                    <w:top w:val="none" w:sz="0" w:space="0" w:color="auto"/>
                    <w:left w:val="none" w:sz="0" w:space="0" w:color="auto"/>
                    <w:bottom w:val="none" w:sz="0" w:space="0" w:color="auto"/>
                    <w:right w:val="none" w:sz="0" w:space="0" w:color="auto"/>
                  </w:divBdr>
                  <w:divsChild>
                    <w:div w:id="1594970515">
                      <w:marLeft w:val="0"/>
                      <w:marRight w:val="0"/>
                      <w:marTop w:val="0"/>
                      <w:marBottom w:val="0"/>
                      <w:divBdr>
                        <w:top w:val="none" w:sz="0" w:space="0" w:color="auto"/>
                        <w:left w:val="none" w:sz="0" w:space="0" w:color="auto"/>
                        <w:bottom w:val="none" w:sz="0" w:space="0" w:color="auto"/>
                        <w:right w:val="none" w:sz="0" w:space="0" w:color="auto"/>
                      </w:divBdr>
                    </w:div>
                  </w:divsChild>
                </w:div>
                <w:div w:id="360863483">
                  <w:marLeft w:val="0"/>
                  <w:marRight w:val="0"/>
                  <w:marTop w:val="0"/>
                  <w:marBottom w:val="0"/>
                  <w:divBdr>
                    <w:top w:val="none" w:sz="0" w:space="0" w:color="auto"/>
                    <w:left w:val="none" w:sz="0" w:space="0" w:color="auto"/>
                    <w:bottom w:val="none" w:sz="0" w:space="0" w:color="auto"/>
                    <w:right w:val="none" w:sz="0" w:space="0" w:color="auto"/>
                  </w:divBdr>
                  <w:divsChild>
                    <w:div w:id="1434588339">
                      <w:marLeft w:val="0"/>
                      <w:marRight w:val="0"/>
                      <w:marTop w:val="0"/>
                      <w:marBottom w:val="0"/>
                      <w:divBdr>
                        <w:top w:val="none" w:sz="0" w:space="0" w:color="auto"/>
                        <w:left w:val="none" w:sz="0" w:space="0" w:color="auto"/>
                        <w:bottom w:val="none" w:sz="0" w:space="0" w:color="auto"/>
                        <w:right w:val="none" w:sz="0" w:space="0" w:color="auto"/>
                      </w:divBdr>
                    </w:div>
                  </w:divsChild>
                </w:div>
                <w:div w:id="751854227">
                  <w:marLeft w:val="0"/>
                  <w:marRight w:val="0"/>
                  <w:marTop w:val="0"/>
                  <w:marBottom w:val="0"/>
                  <w:divBdr>
                    <w:top w:val="none" w:sz="0" w:space="0" w:color="auto"/>
                    <w:left w:val="none" w:sz="0" w:space="0" w:color="auto"/>
                    <w:bottom w:val="none" w:sz="0" w:space="0" w:color="auto"/>
                    <w:right w:val="none" w:sz="0" w:space="0" w:color="auto"/>
                  </w:divBdr>
                  <w:divsChild>
                    <w:div w:id="1757359232">
                      <w:marLeft w:val="0"/>
                      <w:marRight w:val="0"/>
                      <w:marTop w:val="0"/>
                      <w:marBottom w:val="0"/>
                      <w:divBdr>
                        <w:top w:val="none" w:sz="0" w:space="0" w:color="auto"/>
                        <w:left w:val="none" w:sz="0" w:space="0" w:color="auto"/>
                        <w:bottom w:val="none" w:sz="0" w:space="0" w:color="auto"/>
                        <w:right w:val="none" w:sz="0" w:space="0" w:color="auto"/>
                      </w:divBdr>
                    </w:div>
                  </w:divsChild>
                </w:div>
                <w:div w:id="801196015">
                  <w:marLeft w:val="0"/>
                  <w:marRight w:val="0"/>
                  <w:marTop w:val="0"/>
                  <w:marBottom w:val="0"/>
                  <w:divBdr>
                    <w:top w:val="none" w:sz="0" w:space="0" w:color="auto"/>
                    <w:left w:val="none" w:sz="0" w:space="0" w:color="auto"/>
                    <w:bottom w:val="none" w:sz="0" w:space="0" w:color="auto"/>
                    <w:right w:val="none" w:sz="0" w:space="0" w:color="auto"/>
                  </w:divBdr>
                  <w:divsChild>
                    <w:div w:id="709308154">
                      <w:marLeft w:val="0"/>
                      <w:marRight w:val="0"/>
                      <w:marTop w:val="0"/>
                      <w:marBottom w:val="0"/>
                      <w:divBdr>
                        <w:top w:val="none" w:sz="0" w:space="0" w:color="auto"/>
                        <w:left w:val="none" w:sz="0" w:space="0" w:color="auto"/>
                        <w:bottom w:val="none" w:sz="0" w:space="0" w:color="auto"/>
                        <w:right w:val="none" w:sz="0" w:space="0" w:color="auto"/>
                      </w:divBdr>
                    </w:div>
                  </w:divsChild>
                </w:div>
                <w:div w:id="835075203">
                  <w:marLeft w:val="0"/>
                  <w:marRight w:val="0"/>
                  <w:marTop w:val="0"/>
                  <w:marBottom w:val="0"/>
                  <w:divBdr>
                    <w:top w:val="none" w:sz="0" w:space="0" w:color="auto"/>
                    <w:left w:val="none" w:sz="0" w:space="0" w:color="auto"/>
                    <w:bottom w:val="none" w:sz="0" w:space="0" w:color="auto"/>
                    <w:right w:val="none" w:sz="0" w:space="0" w:color="auto"/>
                  </w:divBdr>
                  <w:divsChild>
                    <w:div w:id="1354571516">
                      <w:marLeft w:val="0"/>
                      <w:marRight w:val="0"/>
                      <w:marTop w:val="0"/>
                      <w:marBottom w:val="0"/>
                      <w:divBdr>
                        <w:top w:val="none" w:sz="0" w:space="0" w:color="auto"/>
                        <w:left w:val="none" w:sz="0" w:space="0" w:color="auto"/>
                        <w:bottom w:val="none" w:sz="0" w:space="0" w:color="auto"/>
                        <w:right w:val="none" w:sz="0" w:space="0" w:color="auto"/>
                      </w:divBdr>
                    </w:div>
                  </w:divsChild>
                </w:div>
                <w:div w:id="901018934">
                  <w:marLeft w:val="0"/>
                  <w:marRight w:val="0"/>
                  <w:marTop w:val="0"/>
                  <w:marBottom w:val="0"/>
                  <w:divBdr>
                    <w:top w:val="none" w:sz="0" w:space="0" w:color="auto"/>
                    <w:left w:val="none" w:sz="0" w:space="0" w:color="auto"/>
                    <w:bottom w:val="none" w:sz="0" w:space="0" w:color="auto"/>
                    <w:right w:val="none" w:sz="0" w:space="0" w:color="auto"/>
                  </w:divBdr>
                  <w:divsChild>
                    <w:div w:id="257491105">
                      <w:marLeft w:val="0"/>
                      <w:marRight w:val="0"/>
                      <w:marTop w:val="0"/>
                      <w:marBottom w:val="0"/>
                      <w:divBdr>
                        <w:top w:val="none" w:sz="0" w:space="0" w:color="auto"/>
                        <w:left w:val="none" w:sz="0" w:space="0" w:color="auto"/>
                        <w:bottom w:val="none" w:sz="0" w:space="0" w:color="auto"/>
                        <w:right w:val="none" w:sz="0" w:space="0" w:color="auto"/>
                      </w:divBdr>
                    </w:div>
                    <w:div w:id="1951937316">
                      <w:marLeft w:val="0"/>
                      <w:marRight w:val="0"/>
                      <w:marTop w:val="0"/>
                      <w:marBottom w:val="0"/>
                      <w:divBdr>
                        <w:top w:val="none" w:sz="0" w:space="0" w:color="auto"/>
                        <w:left w:val="none" w:sz="0" w:space="0" w:color="auto"/>
                        <w:bottom w:val="none" w:sz="0" w:space="0" w:color="auto"/>
                        <w:right w:val="none" w:sz="0" w:space="0" w:color="auto"/>
                      </w:divBdr>
                    </w:div>
                  </w:divsChild>
                </w:div>
                <w:div w:id="915286939">
                  <w:marLeft w:val="0"/>
                  <w:marRight w:val="0"/>
                  <w:marTop w:val="0"/>
                  <w:marBottom w:val="0"/>
                  <w:divBdr>
                    <w:top w:val="none" w:sz="0" w:space="0" w:color="auto"/>
                    <w:left w:val="none" w:sz="0" w:space="0" w:color="auto"/>
                    <w:bottom w:val="none" w:sz="0" w:space="0" w:color="auto"/>
                    <w:right w:val="none" w:sz="0" w:space="0" w:color="auto"/>
                  </w:divBdr>
                  <w:divsChild>
                    <w:div w:id="1893076531">
                      <w:marLeft w:val="0"/>
                      <w:marRight w:val="0"/>
                      <w:marTop w:val="0"/>
                      <w:marBottom w:val="0"/>
                      <w:divBdr>
                        <w:top w:val="none" w:sz="0" w:space="0" w:color="auto"/>
                        <w:left w:val="none" w:sz="0" w:space="0" w:color="auto"/>
                        <w:bottom w:val="none" w:sz="0" w:space="0" w:color="auto"/>
                        <w:right w:val="none" w:sz="0" w:space="0" w:color="auto"/>
                      </w:divBdr>
                    </w:div>
                  </w:divsChild>
                </w:div>
                <w:div w:id="918247648">
                  <w:marLeft w:val="0"/>
                  <w:marRight w:val="0"/>
                  <w:marTop w:val="0"/>
                  <w:marBottom w:val="0"/>
                  <w:divBdr>
                    <w:top w:val="none" w:sz="0" w:space="0" w:color="auto"/>
                    <w:left w:val="none" w:sz="0" w:space="0" w:color="auto"/>
                    <w:bottom w:val="none" w:sz="0" w:space="0" w:color="auto"/>
                    <w:right w:val="none" w:sz="0" w:space="0" w:color="auto"/>
                  </w:divBdr>
                  <w:divsChild>
                    <w:div w:id="101612236">
                      <w:marLeft w:val="0"/>
                      <w:marRight w:val="0"/>
                      <w:marTop w:val="0"/>
                      <w:marBottom w:val="0"/>
                      <w:divBdr>
                        <w:top w:val="none" w:sz="0" w:space="0" w:color="auto"/>
                        <w:left w:val="none" w:sz="0" w:space="0" w:color="auto"/>
                        <w:bottom w:val="none" w:sz="0" w:space="0" w:color="auto"/>
                        <w:right w:val="none" w:sz="0" w:space="0" w:color="auto"/>
                      </w:divBdr>
                    </w:div>
                    <w:div w:id="468790250">
                      <w:marLeft w:val="0"/>
                      <w:marRight w:val="0"/>
                      <w:marTop w:val="0"/>
                      <w:marBottom w:val="0"/>
                      <w:divBdr>
                        <w:top w:val="none" w:sz="0" w:space="0" w:color="auto"/>
                        <w:left w:val="none" w:sz="0" w:space="0" w:color="auto"/>
                        <w:bottom w:val="none" w:sz="0" w:space="0" w:color="auto"/>
                        <w:right w:val="none" w:sz="0" w:space="0" w:color="auto"/>
                      </w:divBdr>
                    </w:div>
                    <w:div w:id="647979262">
                      <w:marLeft w:val="0"/>
                      <w:marRight w:val="0"/>
                      <w:marTop w:val="0"/>
                      <w:marBottom w:val="0"/>
                      <w:divBdr>
                        <w:top w:val="none" w:sz="0" w:space="0" w:color="auto"/>
                        <w:left w:val="none" w:sz="0" w:space="0" w:color="auto"/>
                        <w:bottom w:val="none" w:sz="0" w:space="0" w:color="auto"/>
                        <w:right w:val="none" w:sz="0" w:space="0" w:color="auto"/>
                      </w:divBdr>
                    </w:div>
                    <w:div w:id="1304699348">
                      <w:marLeft w:val="0"/>
                      <w:marRight w:val="0"/>
                      <w:marTop w:val="0"/>
                      <w:marBottom w:val="0"/>
                      <w:divBdr>
                        <w:top w:val="none" w:sz="0" w:space="0" w:color="auto"/>
                        <w:left w:val="none" w:sz="0" w:space="0" w:color="auto"/>
                        <w:bottom w:val="none" w:sz="0" w:space="0" w:color="auto"/>
                        <w:right w:val="none" w:sz="0" w:space="0" w:color="auto"/>
                      </w:divBdr>
                    </w:div>
                    <w:div w:id="1412048777">
                      <w:marLeft w:val="0"/>
                      <w:marRight w:val="0"/>
                      <w:marTop w:val="0"/>
                      <w:marBottom w:val="0"/>
                      <w:divBdr>
                        <w:top w:val="none" w:sz="0" w:space="0" w:color="auto"/>
                        <w:left w:val="none" w:sz="0" w:space="0" w:color="auto"/>
                        <w:bottom w:val="none" w:sz="0" w:space="0" w:color="auto"/>
                        <w:right w:val="none" w:sz="0" w:space="0" w:color="auto"/>
                      </w:divBdr>
                    </w:div>
                    <w:div w:id="1440947339">
                      <w:marLeft w:val="0"/>
                      <w:marRight w:val="0"/>
                      <w:marTop w:val="0"/>
                      <w:marBottom w:val="0"/>
                      <w:divBdr>
                        <w:top w:val="none" w:sz="0" w:space="0" w:color="auto"/>
                        <w:left w:val="none" w:sz="0" w:space="0" w:color="auto"/>
                        <w:bottom w:val="none" w:sz="0" w:space="0" w:color="auto"/>
                        <w:right w:val="none" w:sz="0" w:space="0" w:color="auto"/>
                      </w:divBdr>
                    </w:div>
                  </w:divsChild>
                </w:div>
                <w:div w:id="950353670">
                  <w:marLeft w:val="0"/>
                  <w:marRight w:val="0"/>
                  <w:marTop w:val="0"/>
                  <w:marBottom w:val="0"/>
                  <w:divBdr>
                    <w:top w:val="none" w:sz="0" w:space="0" w:color="auto"/>
                    <w:left w:val="none" w:sz="0" w:space="0" w:color="auto"/>
                    <w:bottom w:val="none" w:sz="0" w:space="0" w:color="auto"/>
                    <w:right w:val="none" w:sz="0" w:space="0" w:color="auto"/>
                  </w:divBdr>
                  <w:divsChild>
                    <w:div w:id="40715714">
                      <w:marLeft w:val="0"/>
                      <w:marRight w:val="0"/>
                      <w:marTop w:val="0"/>
                      <w:marBottom w:val="0"/>
                      <w:divBdr>
                        <w:top w:val="none" w:sz="0" w:space="0" w:color="auto"/>
                        <w:left w:val="none" w:sz="0" w:space="0" w:color="auto"/>
                        <w:bottom w:val="none" w:sz="0" w:space="0" w:color="auto"/>
                        <w:right w:val="none" w:sz="0" w:space="0" w:color="auto"/>
                      </w:divBdr>
                    </w:div>
                  </w:divsChild>
                </w:div>
                <w:div w:id="1164858537">
                  <w:marLeft w:val="0"/>
                  <w:marRight w:val="0"/>
                  <w:marTop w:val="0"/>
                  <w:marBottom w:val="0"/>
                  <w:divBdr>
                    <w:top w:val="none" w:sz="0" w:space="0" w:color="auto"/>
                    <w:left w:val="none" w:sz="0" w:space="0" w:color="auto"/>
                    <w:bottom w:val="none" w:sz="0" w:space="0" w:color="auto"/>
                    <w:right w:val="none" w:sz="0" w:space="0" w:color="auto"/>
                  </w:divBdr>
                  <w:divsChild>
                    <w:div w:id="716395935">
                      <w:marLeft w:val="0"/>
                      <w:marRight w:val="0"/>
                      <w:marTop w:val="0"/>
                      <w:marBottom w:val="0"/>
                      <w:divBdr>
                        <w:top w:val="none" w:sz="0" w:space="0" w:color="auto"/>
                        <w:left w:val="none" w:sz="0" w:space="0" w:color="auto"/>
                        <w:bottom w:val="none" w:sz="0" w:space="0" w:color="auto"/>
                        <w:right w:val="none" w:sz="0" w:space="0" w:color="auto"/>
                      </w:divBdr>
                    </w:div>
                  </w:divsChild>
                </w:div>
                <w:div w:id="1174339686">
                  <w:marLeft w:val="0"/>
                  <w:marRight w:val="0"/>
                  <w:marTop w:val="0"/>
                  <w:marBottom w:val="0"/>
                  <w:divBdr>
                    <w:top w:val="none" w:sz="0" w:space="0" w:color="auto"/>
                    <w:left w:val="none" w:sz="0" w:space="0" w:color="auto"/>
                    <w:bottom w:val="none" w:sz="0" w:space="0" w:color="auto"/>
                    <w:right w:val="none" w:sz="0" w:space="0" w:color="auto"/>
                  </w:divBdr>
                  <w:divsChild>
                    <w:div w:id="34039052">
                      <w:marLeft w:val="0"/>
                      <w:marRight w:val="0"/>
                      <w:marTop w:val="0"/>
                      <w:marBottom w:val="0"/>
                      <w:divBdr>
                        <w:top w:val="none" w:sz="0" w:space="0" w:color="auto"/>
                        <w:left w:val="none" w:sz="0" w:space="0" w:color="auto"/>
                        <w:bottom w:val="none" w:sz="0" w:space="0" w:color="auto"/>
                        <w:right w:val="none" w:sz="0" w:space="0" w:color="auto"/>
                      </w:divBdr>
                    </w:div>
                    <w:div w:id="286199567">
                      <w:marLeft w:val="0"/>
                      <w:marRight w:val="0"/>
                      <w:marTop w:val="0"/>
                      <w:marBottom w:val="0"/>
                      <w:divBdr>
                        <w:top w:val="none" w:sz="0" w:space="0" w:color="auto"/>
                        <w:left w:val="none" w:sz="0" w:space="0" w:color="auto"/>
                        <w:bottom w:val="none" w:sz="0" w:space="0" w:color="auto"/>
                        <w:right w:val="none" w:sz="0" w:space="0" w:color="auto"/>
                      </w:divBdr>
                    </w:div>
                    <w:div w:id="343019473">
                      <w:marLeft w:val="0"/>
                      <w:marRight w:val="0"/>
                      <w:marTop w:val="0"/>
                      <w:marBottom w:val="0"/>
                      <w:divBdr>
                        <w:top w:val="none" w:sz="0" w:space="0" w:color="auto"/>
                        <w:left w:val="none" w:sz="0" w:space="0" w:color="auto"/>
                        <w:bottom w:val="none" w:sz="0" w:space="0" w:color="auto"/>
                        <w:right w:val="none" w:sz="0" w:space="0" w:color="auto"/>
                      </w:divBdr>
                    </w:div>
                    <w:div w:id="738404165">
                      <w:marLeft w:val="0"/>
                      <w:marRight w:val="0"/>
                      <w:marTop w:val="0"/>
                      <w:marBottom w:val="0"/>
                      <w:divBdr>
                        <w:top w:val="none" w:sz="0" w:space="0" w:color="auto"/>
                        <w:left w:val="none" w:sz="0" w:space="0" w:color="auto"/>
                        <w:bottom w:val="none" w:sz="0" w:space="0" w:color="auto"/>
                        <w:right w:val="none" w:sz="0" w:space="0" w:color="auto"/>
                      </w:divBdr>
                    </w:div>
                    <w:div w:id="903753946">
                      <w:marLeft w:val="0"/>
                      <w:marRight w:val="0"/>
                      <w:marTop w:val="0"/>
                      <w:marBottom w:val="0"/>
                      <w:divBdr>
                        <w:top w:val="none" w:sz="0" w:space="0" w:color="auto"/>
                        <w:left w:val="none" w:sz="0" w:space="0" w:color="auto"/>
                        <w:bottom w:val="none" w:sz="0" w:space="0" w:color="auto"/>
                        <w:right w:val="none" w:sz="0" w:space="0" w:color="auto"/>
                      </w:divBdr>
                    </w:div>
                    <w:div w:id="999578370">
                      <w:marLeft w:val="0"/>
                      <w:marRight w:val="0"/>
                      <w:marTop w:val="0"/>
                      <w:marBottom w:val="0"/>
                      <w:divBdr>
                        <w:top w:val="none" w:sz="0" w:space="0" w:color="auto"/>
                        <w:left w:val="none" w:sz="0" w:space="0" w:color="auto"/>
                        <w:bottom w:val="none" w:sz="0" w:space="0" w:color="auto"/>
                        <w:right w:val="none" w:sz="0" w:space="0" w:color="auto"/>
                      </w:divBdr>
                    </w:div>
                    <w:div w:id="1338923032">
                      <w:marLeft w:val="0"/>
                      <w:marRight w:val="0"/>
                      <w:marTop w:val="0"/>
                      <w:marBottom w:val="0"/>
                      <w:divBdr>
                        <w:top w:val="none" w:sz="0" w:space="0" w:color="auto"/>
                        <w:left w:val="none" w:sz="0" w:space="0" w:color="auto"/>
                        <w:bottom w:val="none" w:sz="0" w:space="0" w:color="auto"/>
                        <w:right w:val="none" w:sz="0" w:space="0" w:color="auto"/>
                      </w:divBdr>
                    </w:div>
                    <w:div w:id="1671562541">
                      <w:marLeft w:val="0"/>
                      <w:marRight w:val="0"/>
                      <w:marTop w:val="0"/>
                      <w:marBottom w:val="0"/>
                      <w:divBdr>
                        <w:top w:val="none" w:sz="0" w:space="0" w:color="auto"/>
                        <w:left w:val="none" w:sz="0" w:space="0" w:color="auto"/>
                        <w:bottom w:val="none" w:sz="0" w:space="0" w:color="auto"/>
                        <w:right w:val="none" w:sz="0" w:space="0" w:color="auto"/>
                      </w:divBdr>
                    </w:div>
                    <w:div w:id="1830291565">
                      <w:marLeft w:val="0"/>
                      <w:marRight w:val="0"/>
                      <w:marTop w:val="0"/>
                      <w:marBottom w:val="0"/>
                      <w:divBdr>
                        <w:top w:val="none" w:sz="0" w:space="0" w:color="auto"/>
                        <w:left w:val="none" w:sz="0" w:space="0" w:color="auto"/>
                        <w:bottom w:val="none" w:sz="0" w:space="0" w:color="auto"/>
                        <w:right w:val="none" w:sz="0" w:space="0" w:color="auto"/>
                      </w:divBdr>
                    </w:div>
                    <w:div w:id="1852914523">
                      <w:marLeft w:val="0"/>
                      <w:marRight w:val="0"/>
                      <w:marTop w:val="0"/>
                      <w:marBottom w:val="0"/>
                      <w:divBdr>
                        <w:top w:val="none" w:sz="0" w:space="0" w:color="auto"/>
                        <w:left w:val="none" w:sz="0" w:space="0" w:color="auto"/>
                        <w:bottom w:val="none" w:sz="0" w:space="0" w:color="auto"/>
                        <w:right w:val="none" w:sz="0" w:space="0" w:color="auto"/>
                      </w:divBdr>
                    </w:div>
                  </w:divsChild>
                </w:div>
                <w:div w:id="1443842188">
                  <w:marLeft w:val="0"/>
                  <w:marRight w:val="0"/>
                  <w:marTop w:val="0"/>
                  <w:marBottom w:val="0"/>
                  <w:divBdr>
                    <w:top w:val="none" w:sz="0" w:space="0" w:color="auto"/>
                    <w:left w:val="none" w:sz="0" w:space="0" w:color="auto"/>
                    <w:bottom w:val="none" w:sz="0" w:space="0" w:color="auto"/>
                    <w:right w:val="none" w:sz="0" w:space="0" w:color="auto"/>
                  </w:divBdr>
                  <w:divsChild>
                    <w:div w:id="553127098">
                      <w:marLeft w:val="0"/>
                      <w:marRight w:val="0"/>
                      <w:marTop w:val="0"/>
                      <w:marBottom w:val="0"/>
                      <w:divBdr>
                        <w:top w:val="none" w:sz="0" w:space="0" w:color="auto"/>
                        <w:left w:val="none" w:sz="0" w:space="0" w:color="auto"/>
                        <w:bottom w:val="none" w:sz="0" w:space="0" w:color="auto"/>
                        <w:right w:val="none" w:sz="0" w:space="0" w:color="auto"/>
                      </w:divBdr>
                    </w:div>
                  </w:divsChild>
                </w:div>
                <w:div w:id="1452942664">
                  <w:marLeft w:val="0"/>
                  <w:marRight w:val="0"/>
                  <w:marTop w:val="0"/>
                  <w:marBottom w:val="0"/>
                  <w:divBdr>
                    <w:top w:val="none" w:sz="0" w:space="0" w:color="auto"/>
                    <w:left w:val="none" w:sz="0" w:space="0" w:color="auto"/>
                    <w:bottom w:val="none" w:sz="0" w:space="0" w:color="auto"/>
                    <w:right w:val="none" w:sz="0" w:space="0" w:color="auto"/>
                  </w:divBdr>
                  <w:divsChild>
                    <w:div w:id="1462655491">
                      <w:marLeft w:val="0"/>
                      <w:marRight w:val="0"/>
                      <w:marTop w:val="0"/>
                      <w:marBottom w:val="0"/>
                      <w:divBdr>
                        <w:top w:val="none" w:sz="0" w:space="0" w:color="auto"/>
                        <w:left w:val="none" w:sz="0" w:space="0" w:color="auto"/>
                        <w:bottom w:val="none" w:sz="0" w:space="0" w:color="auto"/>
                        <w:right w:val="none" w:sz="0" w:space="0" w:color="auto"/>
                      </w:divBdr>
                    </w:div>
                  </w:divsChild>
                </w:div>
                <w:div w:id="1517768938">
                  <w:marLeft w:val="0"/>
                  <w:marRight w:val="0"/>
                  <w:marTop w:val="0"/>
                  <w:marBottom w:val="0"/>
                  <w:divBdr>
                    <w:top w:val="none" w:sz="0" w:space="0" w:color="auto"/>
                    <w:left w:val="none" w:sz="0" w:space="0" w:color="auto"/>
                    <w:bottom w:val="none" w:sz="0" w:space="0" w:color="auto"/>
                    <w:right w:val="none" w:sz="0" w:space="0" w:color="auto"/>
                  </w:divBdr>
                  <w:divsChild>
                    <w:div w:id="435096736">
                      <w:marLeft w:val="0"/>
                      <w:marRight w:val="0"/>
                      <w:marTop w:val="0"/>
                      <w:marBottom w:val="0"/>
                      <w:divBdr>
                        <w:top w:val="none" w:sz="0" w:space="0" w:color="auto"/>
                        <w:left w:val="none" w:sz="0" w:space="0" w:color="auto"/>
                        <w:bottom w:val="none" w:sz="0" w:space="0" w:color="auto"/>
                        <w:right w:val="none" w:sz="0" w:space="0" w:color="auto"/>
                      </w:divBdr>
                    </w:div>
                  </w:divsChild>
                </w:div>
                <w:div w:id="1743601493">
                  <w:marLeft w:val="0"/>
                  <w:marRight w:val="0"/>
                  <w:marTop w:val="0"/>
                  <w:marBottom w:val="0"/>
                  <w:divBdr>
                    <w:top w:val="none" w:sz="0" w:space="0" w:color="auto"/>
                    <w:left w:val="none" w:sz="0" w:space="0" w:color="auto"/>
                    <w:bottom w:val="none" w:sz="0" w:space="0" w:color="auto"/>
                    <w:right w:val="none" w:sz="0" w:space="0" w:color="auto"/>
                  </w:divBdr>
                  <w:divsChild>
                    <w:div w:id="434132524">
                      <w:marLeft w:val="0"/>
                      <w:marRight w:val="0"/>
                      <w:marTop w:val="0"/>
                      <w:marBottom w:val="0"/>
                      <w:divBdr>
                        <w:top w:val="none" w:sz="0" w:space="0" w:color="auto"/>
                        <w:left w:val="none" w:sz="0" w:space="0" w:color="auto"/>
                        <w:bottom w:val="none" w:sz="0" w:space="0" w:color="auto"/>
                        <w:right w:val="none" w:sz="0" w:space="0" w:color="auto"/>
                      </w:divBdr>
                    </w:div>
                  </w:divsChild>
                </w:div>
                <w:div w:id="1804344887">
                  <w:marLeft w:val="0"/>
                  <w:marRight w:val="0"/>
                  <w:marTop w:val="0"/>
                  <w:marBottom w:val="0"/>
                  <w:divBdr>
                    <w:top w:val="none" w:sz="0" w:space="0" w:color="auto"/>
                    <w:left w:val="none" w:sz="0" w:space="0" w:color="auto"/>
                    <w:bottom w:val="none" w:sz="0" w:space="0" w:color="auto"/>
                    <w:right w:val="none" w:sz="0" w:space="0" w:color="auto"/>
                  </w:divBdr>
                  <w:divsChild>
                    <w:div w:id="1652559225">
                      <w:marLeft w:val="0"/>
                      <w:marRight w:val="0"/>
                      <w:marTop w:val="0"/>
                      <w:marBottom w:val="0"/>
                      <w:divBdr>
                        <w:top w:val="none" w:sz="0" w:space="0" w:color="auto"/>
                        <w:left w:val="none" w:sz="0" w:space="0" w:color="auto"/>
                        <w:bottom w:val="none" w:sz="0" w:space="0" w:color="auto"/>
                        <w:right w:val="none" w:sz="0" w:space="0" w:color="auto"/>
                      </w:divBdr>
                    </w:div>
                  </w:divsChild>
                </w:div>
                <w:div w:id="1889148931">
                  <w:marLeft w:val="0"/>
                  <w:marRight w:val="0"/>
                  <w:marTop w:val="0"/>
                  <w:marBottom w:val="0"/>
                  <w:divBdr>
                    <w:top w:val="none" w:sz="0" w:space="0" w:color="auto"/>
                    <w:left w:val="none" w:sz="0" w:space="0" w:color="auto"/>
                    <w:bottom w:val="none" w:sz="0" w:space="0" w:color="auto"/>
                    <w:right w:val="none" w:sz="0" w:space="0" w:color="auto"/>
                  </w:divBdr>
                  <w:divsChild>
                    <w:div w:id="71856949">
                      <w:marLeft w:val="0"/>
                      <w:marRight w:val="0"/>
                      <w:marTop w:val="0"/>
                      <w:marBottom w:val="0"/>
                      <w:divBdr>
                        <w:top w:val="none" w:sz="0" w:space="0" w:color="auto"/>
                        <w:left w:val="none" w:sz="0" w:space="0" w:color="auto"/>
                        <w:bottom w:val="none" w:sz="0" w:space="0" w:color="auto"/>
                        <w:right w:val="none" w:sz="0" w:space="0" w:color="auto"/>
                      </w:divBdr>
                    </w:div>
                  </w:divsChild>
                </w:div>
                <w:div w:id="1993288086">
                  <w:marLeft w:val="0"/>
                  <w:marRight w:val="0"/>
                  <w:marTop w:val="0"/>
                  <w:marBottom w:val="0"/>
                  <w:divBdr>
                    <w:top w:val="none" w:sz="0" w:space="0" w:color="auto"/>
                    <w:left w:val="none" w:sz="0" w:space="0" w:color="auto"/>
                    <w:bottom w:val="none" w:sz="0" w:space="0" w:color="auto"/>
                    <w:right w:val="none" w:sz="0" w:space="0" w:color="auto"/>
                  </w:divBdr>
                  <w:divsChild>
                    <w:div w:id="2162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5515487">
      <w:bodyDiv w:val="1"/>
      <w:marLeft w:val="0"/>
      <w:marRight w:val="0"/>
      <w:marTop w:val="0"/>
      <w:marBottom w:val="0"/>
      <w:divBdr>
        <w:top w:val="none" w:sz="0" w:space="0" w:color="auto"/>
        <w:left w:val="none" w:sz="0" w:space="0" w:color="auto"/>
        <w:bottom w:val="none" w:sz="0" w:space="0" w:color="auto"/>
        <w:right w:val="none" w:sz="0" w:space="0" w:color="auto"/>
      </w:divBdr>
      <w:divsChild>
        <w:div w:id="1473599119">
          <w:marLeft w:val="0"/>
          <w:marRight w:val="0"/>
          <w:marTop w:val="0"/>
          <w:marBottom w:val="0"/>
          <w:divBdr>
            <w:top w:val="none" w:sz="0" w:space="0" w:color="auto"/>
            <w:left w:val="none" w:sz="0" w:space="0" w:color="auto"/>
            <w:bottom w:val="none" w:sz="0" w:space="0" w:color="auto"/>
            <w:right w:val="none" w:sz="0" w:space="0" w:color="auto"/>
          </w:divBdr>
          <w:divsChild>
            <w:div w:id="1120881845">
              <w:marLeft w:val="0"/>
              <w:marRight w:val="0"/>
              <w:marTop w:val="30"/>
              <w:marBottom w:val="30"/>
              <w:divBdr>
                <w:top w:val="none" w:sz="0" w:space="0" w:color="auto"/>
                <w:left w:val="none" w:sz="0" w:space="0" w:color="auto"/>
                <w:bottom w:val="none" w:sz="0" w:space="0" w:color="auto"/>
                <w:right w:val="none" w:sz="0" w:space="0" w:color="auto"/>
              </w:divBdr>
              <w:divsChild>
                <w:div w:id="19018996">
                  <w:marLeft w:val="0"/>
                  <w:marRight w:val="0"/>
                  <w:marTop w:val="0"/>
                  <w:marBottom w:val="0"/>
                  <w:divBdr>
                    <w:top w:val="none" w:sz="0" w:space="0" w:color="auto"/>
                    <w:left w:val="none" w:sz="0" w:space="0" w:color="auto"/>
                    <w:bottom w:val="none" w:sz="0" w:space="0" w:color="auto"/>
                    <w:right w:val="none" w:sz="0" w:space="0" w:color="auto"/>
                  </w:divBdr>
                  <w:divsChild>
                    <w:div w:id="375937147">
                      <w:marLeft w:val="0"/>
                      <w:marRight w:val="0"/>
                      <w:marTop w:val="0"/>
                      <w:marBottom w:val="0"/>
                      <w:divBdr>
                        <w:top w:val="none" w:sz="0" w:space="0" w:color="auto"/>
                        <w:left w:val="none" w:sz="0" w:space="0" w:color="auto"/>
                        <w:bottom w:val="none" w:sz="0" w:space="0" w:color="auto"/>
                        <w:right w:val="none" w:sz="0" w:space="0" w:color="auto"/>
                      </w:divBdr>
                    </w:div>
                  </w:divsChild>
                </w:div>
                <w:div w:id="49117873">
                  <w:marLeft w:val="0"/>
                  <w:marRight w:val="0"/>
                  <w:marTop w:val="0"/>
                  <w:marBottom w:val="0"/>
                  <w:divBdr>
                    <w:top w:val="none" w:sz="0" w:space="0" w:color="auto"/>
                    <w:left w:val="none" w:sz="0" w:space="0" w:color="auto"/>
                    <w:bottom w:val="none" w:sz="0" w:space="0" w:color="auto"/>
                    <w:right w:val="none" w:sz="0" w:space="0" w:color="auto"/>
                  </w:divBdr>
                  <w:divsChild>
                    <w:div w:id="1142313469">
                      <w:marLeft w:val="0"/>
                      <w:marRight w:val="0"/>
                      <w:marTop w:val="0"/>
                      <w:marBottom w:val="0"/>
                      <w:divBdr>
                        <w:top w:val="none" w:sz="0" w:space="0" w:color="auto"/>
                        <w:left w:val="none" w:sz="0" w:space="0" w:color="auto"/>
                        <w:bottom w:val="none" w:sz="0" w:space="0" w:color="auto"/>
                        <w:right w:val="none" w:sz="0" w:space="0" w:color="auto"/>
                      </w:divBdr>
                    </w:div>
                  </w:divsChild>
                </w:div>
                <w:div w:id="133840370">
                  <w:marLeft w:val="0"/>
                  <w:marRight w:val="0"/>
                  <w:marTop w:val="0"/>
                  <w:marBottom w:val="0"/>
                  <w:divBdr>
                    <w:top w:val="none" w:sz="0" w:space="0" w:color="auto"/>
                    <w:left w:val="none" w:sz="0" w:space="0" w:color="auto"/>
                    <w:bottom w:val="none" w:sz="0" w:space="0" w:color="auto"/>
                    <w:right w:val="none" w:sz="0" w:space="0" w:color="auto"/>
                  </w:divBdr>
                  <w:divsChild>
                    <w:div w:id="601915026">
                      <w:marLeft w:val="0"/>
                      <w:marRight w:val="0"/>
                      <w:marTop w:val="0"/>
                      <w:marBottom w:val="0"/>
                      <w:divBdr>
                        <w:top w:val="none" w:sz="0" w:space="0" w:color="auto"/>
                        <w:left w:val="none" w:sz="0" w:space="0" w:color="auto"/>
                        <w:bottom w:val="none" w:sz="0" w:space="0" w:color="auto"/>
                        <w:right w:val="none" w:sz="0" w:space="0" w:color="auto"/>
                      </w:divBdr>
                    </w:div>
                    <w:div w:id="800730855">
                      <w:marLeft w:val="0"/>
                      <w:marRight w:val="0"/>
                      <w:marTop w:val="0"/>
                      <w:marBottom w:val="0"/>
                      <w:divBdr>
                        <w:top w:val="none" w:sz="0" w:space="0" w:color="auto"/>
                        <w:left w:val="none" w:sz="0" w:space="0" w:color="auto"/>
                        <w:bottom w:val="none" w:sz="0" w:space="0" w:color="auto"/>
                        <w:right w:val="none" w:sz="0" w:space="0" w:color="auto"/>
                      </w:divBdr>
                    </w:div>
                    <w:div w:id="884872107">
                      <w:marLeft w:val="0"/>
                      <w:marRight w:val="0"/>
                      <w:marTop w:val="0"/>
                      <w:marBottom w:val="0"/>
                      <w:divBdr>
                        <w:top w:val="none" w:sz="0" w:space="0" w:color="auto"/>
                        <w:left w:val="none" w:sz="0" w:space="0" w:color="auto"/>
                        <w:bottom w:val="none" w:sz="0" w:space="0" w:color="auto"/>
                        <w:right w:val="none" w:sz="0" w:space="0" w:color="auto"/>
                      </w:divBdr>
                    </w:div>
                    <w:div w:id="1266814703">
                      <w:marLeft w:val="0"/>
                      <w:marRight w:val="0"/>
                      <w:marTop w:val="0"/>
                      <w:marBottom w:val="0"/>
                      <w:divBdr>
                        <w:top w:val="none" w:sz="0" w:space="0" w:color="auto"/>
                        <w:left w:val="none" w:sz="0" w:space="0" w:color="auto"/>
                        <w:bottom w:val="none" w:sz="0" w:space="0" w:color="auto"/>
                        <w:right w:val="none" w:sz="0" w:space="0" w:color="auto"/>
                      </w:divBdr>
                    </w:div>
                    <w:div w:id="2026251558">
                      <w:marLeft w:val="0"/>
                      <w:marRight w:val="0"/>
                      <w:marTop w:val="0"/>
                      <w:marBottom w:val="0"/>
                      <w:divBdr>
                        <w:top w:val="none" w:sz="0" w:space="0" w:color="auto"/>
                        <w:left w:val="none" w:sz="0" w:space="0" w:color="auto"/>
                        <w:bottom w:val="none" w:sz="0" w:space="0" w:color="auto"/>
                        <w:right w:val="none" w:sz="0" w:space="0" w:color="auto"/>
                      </w:divBdr>
                    </w:div>
                    <w:div w:id="2060472769">
                      <w:marLeft w:val="0"/>
                      <w:marRight w:val="0"/>
                      <w:marTop w:val="0"/>
                      <w:marBottom w:val="0"/>
                      <w:divBdr>
                        <w:top w:val="none" w:sz="0" w:space="0" w:color="auto"/>
                        <w:left w:val="none" w:sz="0" w:space="0" w:color="auto"/>
                        <w:bottom w:val="none" w:sz="0" w:space="0" w:color="auto"/>
                        <w:right w:val="none" w:sz="0" w:space="0" w:color="auto"/>
                      </w:divBdr>
                    </w:div>
                  </w:divsChild>
                </w:div>
                <w:div w:id="193737111">
                  <w:marLeft w:val="0"/>
                  <w:marRight w:val="0"/>
                  <w:marTop w:val="0"/>
                  <w:marBottom w:val="0"/>
                  <w:divBdr>
                    <w:top w:val="none" w:sz="0" w:space="0" w:color="auto"/>
                    <w:left w:val="none" w:sz="0" w:space="0" w:color="auto"/>
                    <w:bottom w:val="none" w:sz="0" w:space="0" w:color="auto"/>
                    <w:right w:val="none" w:sz="0" w:space="0" w:color="auto"/>
                  </w:divBdr>
                  <w:divsChild>
                    <w:div w:id="1411777420">
                      <w:marLeft w:val="0"/>
                      <w:marRight w:val="0"/>
                      <w:marTop w:val="0"/>
                      <w:marBottom w:val="0"/>
                      <w:divBdr>
                        <w:top w:val="none" w:sz="0" w:space="0" w:color="auto"/>
                        <w:left w:val="none" w:sz="0" w:space="0" w:color="auto"/>
                        <w:bottom w:val="none" w:sz="0" w:space="0" w:color="auto"/>
                        <w:right w:val="none" w:sz="0" w:space="0" w:color="auto"/>
                      </w:divBdr>
                    </w:div>
                  </w:divsChild>
                </w:div>
                <w:div w:id="265431393">
                  <w:marLeft w:val="0"/>
                  <w:marRight w:val="0"/>
                  <w:marTop w:val="0"/>
                  <w:marBottom w:val="0"/>
                  <w:divBdr>
                    <w:top w:val="none" w:sz="0" w:space="0" w:color="auto"/>
                    <w:left w:val="none" w:sz="0" w:space="0" w:color="auto"/>
                    <w:bottom w:val="none" w:sz="0" w:space="0" w:color="auto"/>
                    <w:right w:val="none" w:sz="0" w:space="0" w:color="auto"/>
                  </w:divBdr>
                  <w:divsChild>
                    <w:div w:id="291442389">
                      <w:marLeft w:val="0"/>
                      <w:marRight w:val="0"/>
                      <w:marTop w:val="0"/>
                      <w:marBottom w:val="0"/>
                      <w:divBdr>
                        <w:top w:val="none" w:sz="0" w:space="0" w:color="auto"/>
                        <w:left w:val="none" w:sz="0" w:space="0" w:color="auto"/>
                        <w:bottom w:val="none" w:sz="0" w:space="0" w:color="auto"/>
                        <w:right w:val="none" w:sz="0" w:space="0" w:color="auto"/>
                      </w:divBdr>
                    </w:div>
                  </w:divsChild>
                </w:div>
                <w:div w:id="337662337">
                  <w:marLeft w:val="0"/>
                  <w:marRight w:val="0"/>
                  <w:marTop w:val="0"/>
                  <w:marBottom w:val="0"/>
                  <w:divBdr>
                    <w:top w:val="none" w:sz="0" w:space="0" w:color="auto"/>
                    <w:left w:val="none" w:sz="0" w:space="0" w:color="auto"/>
                    <w:bottom w:val="none" w:sz="0" w:space="0" w:color="auto"/>
                    <w:right w:val="none" w:sz="0" w:space="0" w:color="auto"/>
                  </w:divBdr>
                  <w:divsChild>
                    <w:div w:id="1038318481">
                      <w:marLeft w:val="0"/>
                      <w:marRight w:val="0"/>
                      <w:marTop w:val="0"/>
                      <w:marBottom w:val="0"/>
                      <w:divBdr>
                        <w:top w:val="none" w:sz="0" w:space="0" w:color="auto"/>
                        <w:left w:val="none" w:sz="0" w:space="0" w:color="auto"/>
                        <w:bottom w:val="none" w:sz="0" w:space="0" w:color="auto"/>
                        <w:right w:val="none" w:sz="0" w:space="0" w:color="auto"/>
                      </w:divBdr>
                    </w:div>
                  </w:divsChild>
                </w:div>
                <w:div w:id="371081786">
                  <w:marLeft w:val="0"/>
                  <w:marRight w:val="0"/>
                  <w:marTop w:val="0"/>
                  <w:marBottom w:val="0"/>
                  <w:divBdr>
                    <w:top w:val="none" w:sz="0" w:space="0" w:color="auto"/>
                    <w:left w:val="none" w:sz="0" w:space="0" w:color="auto"/>
                    <w:bottom w:val="none" w:sz="0" w:space="0" w:color="auto"/>
                    <w:right w:val="none" w:sz="0" w:space="0" w:color="auto"/>
                  </w:divBdr>
                  <w:divsChild>
                    <w:div w:id="1400176797">
                      <w:marLeft w:val="0"/>
                      <w:marRight w:val="0"/>
                      <w:marTop w:val="0"/>
                      <w:marBottom w:val="0"/>
                      <w:divBdr>
                        <w:top w:val="none" w:sz="0" w:space="0" w:color="auto"/>
                        <w:left w:val="none" w:sz="0" w:space="0" w:color="auto"/>
                        <w:bottom w:val="none" w:sz="0" w:space="0" w:color="auto"/>
                        <w:right w:val="none" w:sz="0" w:space="0" w:color="auto"/>
                      </w:divBdr>
                    </w:div>
                  </w:divsChild>
                </w:div>
                <w:div w:id="423721721">
                  <w:marLeft w:val="0"/>
                  <w:marRight w:val="0"/>
                  <w:marTop w:val="0"/>
                  <w:marBottom w:val="0"/>
                  <w:divBdr>
                    <w:top w:val="none" w:sz="0" w:space="0" w:color="auto"/>
                    <w:left w:val="none" w:sz="0" w:space="0" w:color="auto"/>
                    <w:bottom w:val="none" w:sz="0" w:space="0" w:color="auto"/>
                    <w:right w:val="none" w:sz="0" w:space="0" w:color="auto"/>
                  </w:divBdr>
                  <w:divsChild>
                    <w:div w:id="1257324182">
                      <w:marLeft w:val="0"/>
                      <w:marRight w:val="0"/>
                      <w:marTop w:val="0"/>
                      <w:marBottom w:val="0"/>
                      <w:divBdr>
                        <w:top w:val="none" w:sz="0" w:space="0" w:color="auto"/>
                        <w:left w:val="none" w:sz="0" w:space="0" w:color="auto"/>
                        <w:bottom w:val="none" w:sz="0" w:space="0" w:color="auto"/>
                        <w:right w:val="none" w:sz="0" w:space="0" w:color="auto"/>
                      </w:divBdr>
                    </w:div>
                  </w:divsChild>
                </w:div>
                <w:div w:id="725253672">
                  <w:marLeft w:val="0"/>
                  <w:marRight w:val="0"/>
                  <w:marTop w:val="0"/>
                  <w:marBottom w:val="0"/>
                  <w:divBdr>
                    <w:top w:val="none" w:sz="0" w:space="0" w:color="auto"/>
                    <w:left w:val="none" w:sz="0" w:space="0" w:color="auto"/>
                    <w:bottom w:val="none" w:sz="0" w:space="0" w:color="auto"/>
                    <w:right w:val="none" w:sz="0" w:space="0" w:color="auto"/>
                  </w:divBdr>
                  <w:divsChild>
                    <w:div w:id="1705978751">
                      <w:marLeft w:val="0"/>
                      <w:marRight w:val="0"/>
                      <w:marTop w:val="0"/>
                      <w:marBottom w:val="0"/>
                      <w:divBdr>
                        <w:top w:val="none" w:sz="0" w:space="0" w:color="auto"/>
                        <w:left w:val="none" w:sz="0" w:space="0" w:color="auto"/>
                        <w:bottom w:val="none" w:sz="0" w:space="0" w:color="auto"/>
                        <w:right w:val="none" w:sz="0" w:space="0" w:color="auto"/>
                      </w:divBdr>
                    </w:div>
                  </w:divsChild>
                </w:div>
                <w:div w:id="951473186">
                  <w:marLeft w:val="0"/>
                  <w:marRight w:val="0"/>
                  <w:marTop w:val="0"/>
                  <w:marBottom w:val="0"/>
                  <w:divBdr>
                    <w:top w:val="none" w:sz="0" w:space="0" w:color="auto"/>
                    <w:left w:val="none" w:sz="0" w:space="0" w:color="auto"/>
                    <w:bottom w:val="none" w:sz="0" w:space="0" w:color="auto"/>
                    <w:right w:val="none" w:sz="0" w:space="0" w:color="auto"/>
                  </w:divBdr>
                  <w:divsChild>
                    <w:div w:id="152838968">
                      <w:marLeft w:val="0"/>
                      <w:marRight w:val="0"/>
                      <w:marTop w:val="0"/>
                      <w:marBottom w:val="0"/>
                      <w:divBdr>
                        <w:top w:val="none" w:sz="0" w:space="0" w:color="auto"/>
                        <w:left w:val="none" w:sz="0" w:space="0" w:color="auto"/>
                        <w:bottom w:val="none" w:sz="0" w:space="0" w:color="auto"/>
                        <w:right w:val="none" w:sz="0" w:space="0" w:color="auto"/>
                      </w:divBdr>
                    </w:div>
                  </w:divsChild>
                </w:div>
                <w:div w:id="1109197465">
                  <w:marLeft w:val="0"/>
                  <w:marRight w:val="0"/>
                  <w:marTop w:val="0"/>
                  <w:marBottom w:val="0"/>
                  <w:divBdr>
                    <w:top w:val="none" w:sz="0" w:space="0" w:color="auto"/>
                    <w:left w:val="none" w:sz="0" w:space="0" w:color="auto"/>
                    <w:bottom w:val="none" w:sz="0" w:space="0" w:color="auto"/>
                    <w:right w:val="none" w:sz="0" w:space="0" w:color="auto"/>
                  </w:divBdr>
                  <w:divsChild>
                    <w:div w:id="462885888">
                      <w:marLeft w:val="0"/>
                      <w:marRight w:val="0"/>
                      <w:marTop w:val="0"/>
                      <w:marBottom w:val="0"/>
                      <w:divBdr>
                        <w:top w:val="none" w:sz="0" w:space="0" w:color="auto"/>
                        <w:left w:val="none" w:sz="0" w:space="0" w:color="auto"/>
                        <w:bottom w:val="none" w:sz="0" w:space="0" w:color="auto"/>
                        <w:right w:val="none" w:sz="0" w:space="0" w:color="auto"/>
                      </w:divBdr>
                    </w:div>
                  </w:divsChild>
                </w:div>
                <w:div w:id="1151677998">
                  <w:marLeft w:val="0"/>
                  <w:marRight w:val="0"/>
                  <w:marTop w:val="0"/>
                  <w:marBottom w:val="0"/>
                  <w:divBdr>
                    <w:top w:val="none" w:sz="0" w:space="0" w:color="auto"/>
                    <w:left w:val="none" w:sz="0" w:space="0" w:color="auto"/>
                    <w:bottom w:val="none" w:sz="0" w:space="0" w:color="auto"/>
                    <w:right w:val="none" w:sz="0" w:space="0" w:color="auto"/>
                  </w:divBdr>
                  <w:divsChild>
                    <w:div w:id="2003501752">
                      <w:marLeft w:val="0"/>
                      <w:marRight w:val="0"/>
                      <w:marTop w:val="0"/>
                      <w:marBottom w:val="0"/>
                      <w:divBdr>
                        <w:top w:val="none" w:sz="0" w:space="0" w:color="auto"/>
                        <w:left w:val="none" w:sz="0" w:space="0" w:color="auto"/>
                        <w:bottom w:val="none" w:sz="0" w:space="0" w:color="auto"/>
                        <w:right w:val="none" w:sz="0" w:space="0" w:color="auto"/>
                      </w:divBdr>
                    </w:div>
                  </w:divsChild>
                </w:div>
                <w:div w:id="1169636155">
                  <w:marLeft w:val="0"/>
                  <w:marRight w:val="0"/>
                  <w:marTop w:val="0"/>
                  <w:marBottom w:val="0"/>
                  <w:divBdr>
                    <w:top w:val="none" w:sz="0" w:space="0" w:color="auto"/>
                    <w:left w:val="none" w:sz="0" w:space="0" w:color="auto"/>
                    <w:bottom w:val="none" w:sz="0" w:space="0" w:color="auto"/>
                    <w:right w:val="none" w:sz="0" w:space="0" w:color="auto"/>
                  </w:divBdr>
                  <w:divsChild>
                    <w:div w:id="613286804">
                      <w:marLeft w:val="0"/>
                      <w:marRight w:val="0"/>
                      <w:marTop w:val="0"/>
                      <w:marBottom w:val="0"/>
                      <w:divBdr>
                        <w:top w:val="none" w:sz="0" w:space="0" w:color="auto"/>
                        <w:left w:val="none" w:sz="0" w:space="0" w:color="auto"/>
                        <w:bottom w:val="none" w:sz="0" w:space="0" w:color="auto"/>
                        <w:right w:val="none" w:sz="0" w:space="0" w:color="auto"/>
                      </w:divBdr>
                    </w:div>
                  </w:divsChild>
                </w:div>
                <w:div w:id="1424254685">
                  <w:marLeft w:val="0"/>
                  <w:marRight w:val="0"/>
                  <w:marTop w:val="0"/>
                  <w:marBottom w:val="0"/>
                  <w:divBdr>
                    <w:top w:val="none" w:sz="0" w:space="0" w:color="auto"/>
                    <w:left w:val="none" w:sz="0" w:space="0" w:color="auto"/>
                    <w:bottom w:val="none" w:sz="0" w:space="0" w:color="auto"/>
                    <w:right w:val="none" w:sz="0" w:space="0" w:color="auto"/>
                  </w:divBdr>
                  <w:divsChild>
                    <w:div w:id="187568378">
                      <w:marLeft w:val="0"/>
                      <w:marRight w:val="0"/>
                      <w:marTop w:val="0"/>
                      <w:marBottom w:val="0"/>
                      <w:divBdr>
                        <w:top w:val="none" w:sz="0" w:space="0" w:color="auto"/>
                        <w:left w:val="none" w:sz="0" w:space="0" w:color="auto"/>
                        <w:bottom w:val="none" w:sz="0" w:space="0" w:color="auto"/>
                        <w:right w:val="none" w:sz="0" w:space="0" w:color="auto"/>
                      </w:divBdr>
                    </w:div>
                  </w:divsChild>
                </w:div>
                <w:div w:id="1682195092">
                  <w:marLeft w:val="0"/>
                  <w:marRight w:val="0"/>
                  <w:marTop w:val="0"/>
                  <w:marBottom w:val="0"/>
                  <w:divBdr>
                    <w:top w:val="none" w:sz="0" w:space="0" w:color="auto"/>
                    <w:left w:val="none" w:sz="0" w:space="0" w:color="auto"/>
                    <w:bottom w:val="none" w:sz="0" w:space="0" w:color="auto"/>
                    <w:right w:val="none" w:sz="0" w:space="0" w:color="auto"/>
                  </w:divBdr>
                  <w:divsChild>
                    <w:div w:id="180633253">
                      <w:marLeft w:val="0"/>
                      <w:marRight w:val="0"/>
                      <w:marTop w:val="0"/>
                      <w:marBottom w:val="0"/>
                      <w:divBdr>
                        <w:top w:val="none" w:sz="0" w:space="0" w:color="auto"/>
                        <w:left w:val="none" w:sz="0" w:space="0" w:color="auto"/>
                        <w:bottom w:val="none" w:sz="0" w:space="0" w:color="auto"/>
                        <w:right w:val="none" w:sz="0" w:space="0" w:color="auto"/>
                      </w:divBdr>
                    </w:div>
                  </w:divsChild>
                </w:div>
                <w:div w:id="1785340811">
                  <w:marLeft w:val="0"/>
                  <w:marRight w:val="0"/>
                  <w:marTop w:val="0"/>
                  <w:marBottom w:val="0"/>
                  <w:divBdr>
                    <w:top w:val="none" w:sz="0" w:space="0" w:color="auto"/>
                    <w:left w:val="none" w:sz="0" w:space="0" w:color="auto"/>
                    <w:bottom w:val="none" w:sz="0" w:space="0" w:color="auto"/>
                    <w:right w:val="none" w:sz="0" w:space="0" w:color="auto"/>
                  </w:divBdr>
                  <w:divsChild>
                    <w:div w:id="116337872">
                      <w:marLeft w:val="0"/>
                      <w:marRight w:val="0"/>
                      <w:marTop w:val="0"/>
                      <w:marBottom w:val="0"/>
                      <w:divBdr>
                        <w:top w:val="none" w:sz="0" w:space="0" w:color="auto"/>
                        <w:left w:val="none" w:sz="0" w:space="0" w:color="auto"/>
                        <w:bottom w:val="none" w:sz="0" w:space="0" w:color="auto"/>
                        <w:right w:val="none" w:sz="0" w:space="0" w:color="auto"/>
                      </w:divBdr>
                    </w:div>
                    <w:div w:id="259873986">
                      <w:marLeft w:val="0"/>
                      <w:marRight w:val="0"/>
                      <w:marTop w:val="0"/>
                      <w:marBottom w:val="0"/>
                      <w:divBdr>
                        <w:top w:val="none" w:sz="0" w:space="0" w:color="auto"/>
                        <w:left w:val="none" w:sz="0" w:space="0" w:color="auto"/>
                        <w:bottom w:val="none" w:sz="0" w:space="0" w:color="auto"/>
                        <w:right w:val="none" w:sz="0" w:space="0" w:color="auto"/>
                      </w:divBdr>
                    </w:div>
                    <w:div w:id="414211445">
                      <w:marLeft w:val="0"/>
                      <w:marRight w:val="0"/>
                      <w:marTop w:val="0"/>
                      <w:marBottom w:val="0"/>
                      <w:divBdr>
                        <w:top w:val="none" w:sz="0" w:space="0" w:color="auto"/>
                        <w:left w:val="none" w:sz="0" w:space="0" w:color="auto"/>
                        <w:bottom w:val="none" w:sz="0" w:space="0" w:color="auto"/>
                        <w:right w:val="none" w:sz="0" w:space="0" w:color="auto"/>
                      </w:divBdr>
                    </w:div>
                    <w:div w:id="616446210">
                      <w:marLeft w:val="0"/>
                      <w:marRight w:val="0"/>
                      <w:marTop w:val="0"/>
                      <w:marBottom w:val="0"/>
                      <w:divBdr>
                        <w:top w:val="none" w:sz="0" w:space="0" w:color="auto"/>
                        <w:left w:val="none" w:sz="0" w:space="0" w:color="auto"/>
                        <w:bottom w:val="none" w:sz="0" w:space="0" w:color="auto"/>
                        <w:right w:val="none" w:sz="0" w:space="0" w:color="auto"/>
                      </w:divBdr>
                    </w:div>
                    <w:div w:id="670957972">
                      <w:marLeft w:val="0"/>
                      <w:marRight w:val="0"/>
                      <w:marTop w:val="0"/>
                      <w:marBottom w:val="0"/>
                      <w:divBdr>
                        <w:top w:val="none" w:sz="0" w:space="0" w:color="auto"/>
                        <w:left w:val="none" w:sz="0" w:space="0" w:color="auto"/>
                        <w:bottom w:val="none" w:sz="0" w:space="0" w:color="auto"/>
                        <w:right w:val="none" w:sz="0" w:space="0" w:color="auto"/>
                      </w:divBdr>
                    </w:div>
                    <w:div w:id="905071264">
                      <w:marLeft w:val="0"/>
                      <w:marRight w:val="0"/>
                      <w:marTop w:val="0"/>
                      <w:marBottom w:val="0"/>
                      <w:divBdr>
                        <w:top w:val="none" w:sz="0" w:space="0" w:color="auto"/>
                        <w:left w:val="none" w:sz="0" w:space="0" w:color="auto"/>
                        <w:bottom w:val="none" w:sz="0" w:space="0" w:color="auto"/>
                        <w:right w:val="none" w:sz="0" w:space="0" w:color="auto"/>
                      </w:divBdr>
                    </w:div>
                    <w:div w:id="1145007110">
                      <w:marLeft w:val="0"/>
                      <w:marRight w:val="0"/>
                      <w:marTop w:val="0"/>
                      <w:marBottom w:val="0"/>
                      <w:divBdr>
                        <w:top w:val="none" w:sz="0" w:space="0" w:color="auto"/>
                        <w:left w:val="none" w:sz="0" w:space="0" w:color="auto"/>
                        <w:bottom w:val="none" w:sz="0" w:space="0" w:color="auto"/>
                        <w:right w:val="none" w:sz="0" w:space="0" w:color="auto"/>
                      </w:divBdr>
                    </w:div>
                    <w:div w:id="1643196091">
                      <w:marLeft w:val="0"/>
                      <w:marRight w:val="0"/>
                      <w:marTop w:val="0"/>
                      <w:marBottom w:val="0"/>
                      <w:divBdr>
                        <w:top w:val="none" w:sz="0" w:space="0" w:color="auto"/>
                        <w:left w:val="none" w:sz="0" w:space="0" w:color="auto"/>
                        <w:bottom w:val="none" w:sz="0" w:space="0" w:color="auto"/>
                        <w:right w:val="none" w:sz="0" w:space="0" w:color="auto"/>
                      </w:divBdr>
                    </w:div>
                    <w:div w:id="1703901153">
                      <w:marLeft w:val="0"/>
                      <w:marRight w:val="0"/>
                      <w:marTop w:val="0"/>
                      <w:marBottom w:val="0"/>
                      <w:divBdr>
                        <w:top w:val="none" w:sz="0" w:space="0" w:color="auto"/>
                        <w:left w:val="none" w:sz="0" w:space="0" w:color="auto"/>
                        <w:bottom w:val="none" w:sz="0" w:space="0" w:color="auto"/>
                        <w:right w:val="none" w:sz="0" w:space="0" w:color="auto"/>
                      </w:divBdr>
                    </w:div>
                    <w:div w:id="2088572416">
                      <w:marLeft w:val="0"/>
                      <w:marRight w:val="0"/>
                      <w:marTop w:val="0"/>
                      <w:marBottom w:val="0"/>
                      <w:divBdr>
                        <w:top w:val="none" w:sz="0" w:space="0" w:color="auto"/>
                        <w:left w:val="none" w:sz="0" w:space="0" w:color="auto"/>
                        <w:bottom w:val="none" w:sz="0" w:space="0" w:color="auto"/>
                        <w:right w:val="none" w:sz="0" w:space="0" w:color="auto"/>
                      </w:divBdr>
                    </w:div>
                  </w:divsChild>
                </w:div>
                <w:div w:id="1917199745">
                  <w:marLeft w:val="0"/>
                  <w:marRight w:val="0"/>
                  <w:marTop w:val="0"/>
                  <w:marBottom w:val="0"/>
                  <w:divBdr>
                    <w:top w:val="none" w:sz="0" w:space="0" w:color="auto"/>
                    <w:left w:val="none" w:sz="0" w:space="0" w:color="auto"/>
                    <w:bottom w:val="none" w:sz="0" w:space="0" w:color="auto"/>
                    <w:right w:val="none" w:sz="0" w:space="0" w:color="auto"/>
                  </w:divBdr>
                  <w:divsChild>
                    <w:div w:id="390344140">
                      <w:marLeft w:val="0"/>
                      <w:marRight w:val="0"/>
                      <w:marTop w:val="0"/>
                      <w:marBottom w:val="0"/>
                      <w:divBdr>
                        <w:top w:val="none" w:sz="0" w:space="0" w:color="auto"/>
                        <w:left w:val="none" w:sz="0" w:space="0" w:color="auto"/>
                        <w:bottom w:val="none" w:sz="0" w:space="0" w:color="auto"/>
                        <w:right w:val="none" w:sz="0" w:space="0" w:color="auto"/>
                      </w:divBdr>
                    </w:div>
                  </w:divsChild>
                </w:div>
                <w:div w:id="1991668843">
                  <w:marLeft w:val="0"/>
                  <w:marRight w:val="0"/>
                  <w:marTop w:val="0"/>
                  <w:marBottom w:val="0"/>
                  <w:divBdr>
                    <w:top w:val="none" w:sz="0" w:space="0" w:color="auto"/>
                    <w:left w:val="none" w:sz="0" w:space="0" w:color="auto"/>
                    <w:bottom w:val="none" w:sz="0" w:space="0" w:color="auto"/>
                    <w:right w:val="none" w:sz="0" w:space="0" w:color="auto"/>
                  </w:divBdr>
                  <w:divsChild>
                    <w:div w:id="221454591">
                      <w:marLeft w:val="0"/>
                      <w:marRight w:val="0"/>
                      <w:marTop w:val="0"/>
                      <w:marBottom w:val="0"/>
                      <w:divBdr>
                        <w:top w:val="none" w:sz="0" w:space="0" w:color="auto"/>
                        <w:left w:val="none" w:sz="0" w:space="0" w:color="auto"/>
                        <w:bottom w:val="none" w:sz="0" w:space="0" w:color="auto"/>
                        <w:right w:val="none" w:sz="0" w:space="0" w:color="auto"/>
                      </w:divBdr>
                    </w:div>
                    <w:div w:id="1002245608">
                      <w:marLeft w:val="0"/>
                      <w:marRight w:val="0"/>
                      <w:marTop w:val="0"/>
                      <w:marBottom w:val="0"/>
                      <w:divBdr>
                        <w:top w:val="none" w:sz="0" w:space="0" w:color="auto"/>
                        <w:left w:val="none" w:sz="0" w:space="0" w:color="auto"/>
                        <w:bottom w:val="none" w:sz="0" w:space="0" w:color="auto"/>
                        <w:right w:val="none" w:sz="0" w:space="0" w:color="auto"/>
                      </w:divBdr>
                    </w:div>
                  </w:divsChild>
                </w:div>
                <w:div w:id="2054039849">
                  <w:marLeft w:val="0"/>
                  <w:marRight w:val="0"/>
                  <w:marTop w:val="0"/>
                  <w:marBottom w:val="0"/>
                  <w:divBdr>
                    <w:top w:val="none" w:sz="0" w:space="0" w:color="auto"/>
                    <w:left w:val="none" w:sz="0" w:space="0" w:color="auto"/>
                    <w:bottom w:val="none" w:sz="0" w:space="0" w:color="auto"/>
                    <w:right w:val="none" w:sz="0" w:space="0" w:color="auto"/>
                  </w:divBdr>
                  <w:divsChild>
                    <w:div w:id="1714964705">
                      <w:marLeft w:val="0"/>
                      <w:marRight w:val="0"/>
                      <w:marTop w:val="0"/>
                      <w:marBottom w:val="0"/>
                      <w:divBdr>
                        <w:top w:val="none" w:sz="0" w:space="0" w:color="auto"/>
                        <w:left w:val="none" w:sz="0" w:space="0" w:color="auto"/>
                        <w:bottom w:val="none" w:sz="0" w:space="0" w:color="auto"/>
                        <w:right w:val="none" w:sz="0" w:space="0" w:color="auto"/>
                      </w:divBdr>
                    </w:div>
                  </w:divsChild>
                </w:div>
                <w:div w:id="2106873770">
                  <w:marLeft w:val="0"/>
                  <w:marRight w:val="0"/>
                  <w:marTop w:val="0"/>
                  <w:marBottom w:val="0"/>
                  <w:divBdr>
                    <w:top w:val="none" w:sz="0" w:space="0" w:color="auto"/>
                    <w:left w:val="none" w:sz="0" w:space="0" w:color="auto"/>
                    <w:bottom w:val="none" w:sz="0" w:space="0" w:color="auto"/>
                    <w:right w:val="none" w:sz="0" w:space="0" w:color="auto"/>
                  </w:divBdr>
                  <w:divsChild>
                    <w:div w:id="13551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543">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6881152">
      <w:bodyDiv w:val="1"/>
      <w:marLeft w:val="0"/>
      <w:marRight w:val="0"/>
      <w:marTop w:val="0"/>
      <w:marBottom w:val="0"/>
      <w:divBdr>
        <w:top w:val="none" w:sz="0" w:space="0" w:color="auto"/>
        <w:left w:val="none" w:sz="0" w:space="0" w:color="auto"/>
        <w:bottom w:val="none" w:sz="0" w:space="0" w:color="auto"/>
        <w:right w:val="none" w:sz="0" w:space="0" w:color="auto"/>
      </w:divBdr>
      <w:divsChild>
        <w:div w:id="1604335035">
          <w:marLeft w:val="0"/>
          <w:marRight w:val="0"/>
          <w:marTop w:val="0"/>
          <w:marBottom w:val="0"/>
          <w:divBdr>
            <w:top w:val="none" w:sz="0" w:space="0" w:color="auto"/>
            <w:left w:val="none" w:sz="0" w:space="0" w:color="auto"/>
            <w:bottom w:val="none" w:sz="0" w:space="0" w:color="auto"/>
            <w:right w:val="none" w:sz="0" w:space="0" w:color="auto"/>
          </w:divBdr>
          <w:divsChild>
            <w:div w:id="340277341">
              <w:marLeft w:val="0"/>
              <w:marRight w:val="0"/>
              <w:marTop w:val="30"/>
              <w:marBottom w:val="30"/>
              <w:divBdr>
                <w:top w:val="none" w:sz="0" w:space="0" w:color="auto"/>
                <w:left w:val="none" w:sz="0" w:space="0" w:color="auto"/>
                <w:bottom w:val="none" w:sz="0" w:space="0" w:color="auto"/>
                <w:right w:val="none" w:sz="0" w:space="0" w:color="auto"/>
              </w:divBdr>
              <w:divsChild>
                <w:div w:id="154537507">
                  <w:marLeft w:val="0"/>
                  <w:marRight w:val="0"/>
                  <w:marTop w:val="0"/>
                  <w:marBottom w:val="0"/>
                  <w:divBdr>
                    <w:top w:val="none" w:sz="0" w:space="0" w:color="auto"/>
                    <w:left w:val="none" w:sz="0" w:space="0" w:color="auto"/>
                    <w:bottom w:val="none" w:sz="0" w:space="0" w:color="auto"/>
                    <w:right w:val="none" w:sz="0" w:space="0" w:color="auto"/>
                  </w:divBdr>
                  <w:divsChild>
                    <w:div w:id="3023304">
                      <w:marLeft w:val="0"/>
                      <w:marRight w:val="0"/>
                      <w:marTop w:val="0"/>
                      <w:marBottom w:val="0"/>
                      <w:divBdr>
                        <w:top w:val="none" w:sz="0" w:space="0" w:color="auto"/>
                        <w:left w:val="none" w:sz="0" w:space="0" w:color="auto"/>
                        <w:bottom w:val="none" w:sz="0" w:space="0" w:color="auto"/>
                        <w:right w:val="none" w:sz="0" w:space="0" w:color="auto"/>
                      </w:divBdr>
                    </w:div>
                    <w:div w:id="167603460">
                      <w:marLeft w:val="0"/>
                      <w:marRight w:val="0"/>
                      <w:marTop w:val="0"/>
                      <w:marBottom w:val="0"/>
                      <w:divBdr>
                        <w:top w:val="none" w:sz="0" w:space="0" w:color="auto"/>
                        <w:left w:val="none" w:sz="0" w:space="0" w:color="auto"/>
                        <w:bottom w:val="none" w:sz="0" w:space="0" w:color="auto"/>
                        <w:right w:val="none" w:sz="0" w:space="0" w:color="auto"/>
                      </w:divBdr>
                    </w:div>
                    <w:div w:id="572472731">
                      <w:marLeft w:val="0"/>
                      <w:marRight w:val="0"/>
                      <w:marTop w:val="0"/>
                      <w:marBottom w:val="0"/>
                      <w:divBdr>
                        <w:top w:val="none" w:sz="0" w:space="0" w:color="auto"/>
                        <w:left w:val="none" w:sz="0" w:space="0" w:color="auto"/>
                        <w:bottom w:val="none" w:sz="0" w:space="0" w:color="auto"/>
                        <w:right w:val="none" w:sz="0" w:space="0" w:color="auto"/>
                      </w:divBdr>
                    </w:div>
                    <w:div w:id="691230523">
                      <w:marLeft w:val="0"/>
                      <w:marRight w:val="0"/>
                      <w:marTop w:val="0"/>
                      <w:marBottom w:val="0"/>
                      <w:divBdr>
                        <w:top w:val="none" w:sz="0" w:space="0" w:color="auto"/>
                        <w:left w:val="none" w:sz="0" w:space="0" w:color="auto"/>
                        <w:bottom w:val="none" w:sz="0" w:space="0" w:color="auto"/>
                        <w:right w:val="none" w:sz="0" w:space="0" w:color="auto"/>
                      </w:divBdr>
                    </w:div>
                    <w:div w:id="1333414117">
                      <w:marLeft w:val="0"/>
                      <w:marRight w:val="0"/>
                      <w:marTop w:val="0"/>
                      <w:marBottom w:val="0"/>
                      <w:divBdr>
                        <w:top w:val="none" w:sz="0" w:space="0" w:color="auto"/>
                        <w:left w:val="none" w:sz="0" w:space="0" w:color="auto"/>
                        <w:bottom w:val="none" w:sz="0" w:space="0" w:color="auto"/>
                        <w:right w:val="none" w:sz="0" w:space="0" w:color="auto"/>
                      </w:divBdr>
                    </w:div>
                    <w:div w:id="1495948588">
                      <w:marLeft w:val="0"/>
                      <w:marRight w:val="0"/>
                      <w:marTop w:val="0"/>
                      <w:marBottom w:val="0"/>
                      <w:divBdr>
                        <w:top w:val="none" w:sz="0" w:space="0" w:color="auto"/>
                        <w:left w:val="none" w:sz="0" w:space="0" w:color="auto"/>
                        <w:bottom w:val="none" w:sz="0" w:space="0" w:color="auto"/>
                        <w:right w:val="none" w:sz="0" w:space="0" w:color="auto"/>
                      </w:divBdr>
                    </w:div>
                    <w:div w:id="1556236480">
                      <w:marLeft w:val="0"/>
                      <w:marRight w:val="0"/>
                      <w:marTop w:val="0"/>
                      <w:marBottom w:val="0"/>
                      <w:divBdr>
                        <w:top w:val="none" w:sz="0" w:space="0" w:color="auto"/>
                        <w:left w:val="none" w:sz="0" w:space="0" w:color="auto"/>
                        <w:bottom w:val="none" w:sz="0" w:space="0" w:color="auto"/>
                        <w:right w:val="none" w:sz="0" w:space="0" w:color="auto"/>
                      </w:divBdr>
                    </w:div>
                    <w:div w:id="1682274703">
                      <w:marLeft w:val="0"/>
                      <w:marRight w:val="0"/>
                      <w:marTop w:val="0"/>
                      <w:marBottom w:val="0"/>
                      <w:divBdr>
                        <w:top w:val="none" w:sz="0" w:space="0" w:color="auto"/>
                        <w:left w:val="none" w:sz="0" w:space="0" w:color="auto"/>
                        <w:bottom w:val="none" w:sz="0" w:space="0" w:color="auto"/>
                        <w:right w:val="none" w:sz="0" w:space="0" w:color="auto"/>
                      </w:divBdr>
                    </w:div>
                    <w:div w:id="1778600306">
                      <w:marLeft w:val="0"/>
                      <w:marRight w:val="0"/>
                      <w:marTop w:val="0"/>
                      <w:marBottom w:val="0"/>
                      <w:divBdr>
                        <w:top w:val="none" w:sz="0" w:space="0" w:color="auto"/>
                        <w:left w:val="none" w:sz="0" w:space="0" w:color="auto"/>
                        <w:bottom w:val="none" w:sz="0" w:space="0" w:color="auto"/>
                        <w:right w:val="none" w:sz="0" w:space="0" w:color="auto"/>
                      </w:divBdr>
                    </w:div>
                    <w:div w:id="2008316099">
                      <w:marLeft w:val="0"/>
                      <w:marRight w:val="0"/>
                      <w:marTop w:val="0"/>
                      <w:marBottom w:val="0"/>
                      <w:divBdr>
                        <w:top w:val="none" w:sz="0" w:space="0" w:color="auto"/>
                        <w:left w:val="none" w:sz="0" w:space="0" w:color="auto"/>
                        <w:bottom w:val="none" w:sz="0" w:space="0" w:color="auto"/>
                        <w:right w:val="none" w:sz="0" w:space="0" w:color="auto"/>
                      </w:divBdr>
                    </w:div>
                  </w:divsChild>
                </w:div>
                <w:div w:id="232471841">
                  <w:marLeft w:val="0"/>
                  <w:marRight w:val="0"/>
                  <w:marTop w:val="0"/>
                  <w:marBottom w:val="0"/>
                  <w:divBdr>
                    <w:top w:val="none" w:sz="0" w:space="0" w:color="auto"/>
                    <w:left w:val="none" w:sz="0" w:space="0" w:color="auto"/>
                    <w:bottom w:val="none" w:sz="0" w:space="0" w:color="auto"/>
                    <w:right w:val="none" w:sz="0" w:space="0" w:color="auto"/>
                  </w:divBdr>
                  <w:divsChild>
                    <w:div w:id="1259410077">
                      <w:marLeft w:val="0"/>
                      <w:marRight w:val="0"/>
                      <w:marTop w:val="0"/>
                      <w:marBottom w:val="0"/>
                      <w:divBdr>
                        <w:top w:val="none" w:sz="0" w:space="0" w:color="auto"/>
                        <w:left w:val="none" w:sz="0" w:space="0" w:color="auto"/>
                        <w:bottom w:val="none" w:sz="0" w:space="0" w:color="auto"/>
                        <w:right w:val="none" w:sz="0" w:space="0" w:color="auto"/>
                      </w:divBdr>
                    </w:div>
                  </w:divsChild>
                </w:div>
                <w:div w:id="342781397">
                  <w:marLeft w:val="0"/>
                  <w:marRight w:val="0"/>
                  <w:marTop w:val="0"/>
                  <w:marBottom w:val="0"/>
                  <w:divBdr>
                    <w:top w:val="none" w:sz="0" w:space="0" w:color="auto"/>
                    <w:left w:val="none" w:sz="0" w:space="0" w:color="auto"/>
                    <w:bottom w:val="none" w:sz="0" w:space="0" w:color="auto"/>
                    <w:right w:val="none" w:sz="0" w:space="0" w:color="auto"/>
                  </w:divBdr>
                  <w:divsChild>
                    <w:div w:id="1871651045">
                      <w:marLeft w:val="0"/>
                      <w:marRight w:val="0"/>
                      <w:marTop w:val="0"/>
                      <w:marBottom w:val="0"/>
                      <w:divBdr>
                        <w:top w:val="none" w:sz="0" w:space="0" w:color="auto"/>
                        <w:left w:val="none" w:sz="0" w:space="0" w:color="auto"/>
                        <w:bottom w:val="none" w:sz="0" w:space="0" w:color="auto"/>
                        <w:right w:val="none" w:sz="0" w:space="0" w:color="auto"/>
                      </w:divBdr>
                    </w:div>
                  </w:divsChild>
                </w:div>
                <w:div w:id="502166577">
                  <w:marLeft w:val="0"/>
                  <w:marRight w:val="0"/>
                  <w:marTop w:val="0"/>
                  <w:marBottom w:val="0"/>
                  <w:divBdr>
                    <w:top w:val="none" w:sz="0" w:space="0" w:color="auto"/>
                    <w:left w:val="none" w:sz="0" w:space="0" w:color="auto"/>
                    <w:bottom w:val="none" w:sz="0" w:space="0" w:color="auto"/>
                    <w:right w:val="none" w:sz="0" w:space="0" w:color="auto"/>
                  </w:divBdr>
                  <w:divsChild>
                    <w:div w:id="223877092">
                      <w:marLeft w:val="0"/>
                      <w:marRight w:val="0"/>
                      <w:marTop w:val="0"/>
                      <w:marBottom w:val="0"/>
                      <w:divBdr>
                        <w:top w:val="none" w:sz="0" w:space="0" w:color="auto"/>
                        <w:left w:val="none" w:sz="0" w:space="0" w:color="auto"/>
                        <w:bottom w:val="none" w:sz="0" w:space="0" w:color="auto"/>
                        <w:right w:val="none" w:sz="0" w:space="0" w:color="auto"/>
                      </w:divBdr>
                    </w:div>
                  </w:divsChild>
                </w:div>
                <w:div w:id="867186031">
                  <w:marLeft w:val="0"/>
                  <w:marRight w:val="0"/>
                  <w:marTop w:val="0"/>
                  <w:marBottom w:val="0"/>
                  <w:divBdr>
                    <w:top w:val="none" w:sz="0" w:space="0" w:color="auto"/>
                    <w:left w:val="none" w:sz="0" w:space="0" w:color="auto"/>
                    <w:bottom w:val="none" w:sz="0" w:space="0" w:color="auto"/>
                    <w:right w:val="none" w:sz="0" w:space="0" w:color="auto"/>
                  </w:divBdr>
                  <w:divsChild>
                    <w:div w:id="1402673875">
                      <w:marLeft w:val="0"/>
                      <w:marRight w:val="0"/>
                      <w:marTop w:val="0"/>
                      <w:marBottom w:val="0"/>
                      <w:divBdr>
                        <w:top w:val="none" w:sz="0" w:space="0" w:color="auto"/>
                        <w:left w:val="none" w:sz="0" w:space="0" w:color="auto"/>
                        <w:bottom w:val="none" w:sz="0" w:space="0" w:color="auto"/>
                        <w:right w:val="none" w:sz="0" w:space="0" w:color="auto"/>
                      </w:divBdr>
                    </w:div>
                  </w:divsChild>
                </w:div>
                <w:div w:id="890657448">
                  <w:marLeft w:val="0"/>
                  <w:marRight w:val="0"/>
                  <w:marTop w:val="0"/>
                  <w:marBottom w:val="0"/>
                  <w:divBdr>
                    <w:top w:val="none" w:sz="0" w:space="0" w:color="auto"/>
                    <w:left w:val="none" w:sz="0" w:space="0" w:color="auto"/>
                    <w:bottom w:val="none" w:sz="0" w:space="0" w:color="auto"/>
                    <w:right w:val="none" w:sz="0" w:space="0" w:color="auto"/>
                  </w:divBdr>
                  <w:divsChild>
                    <w:div w:id="733506926">
                      <w:marLeft w:val="0"/>
                      <w:marRight w:val="0"/>
                      <w:marTop w:val="0"/>
                      <w:marBottom w:val="0"/>
                      <w:divBdr>
                        <w:top w:val="none" w:sz="0" w:space="0" w:color="auto"/>
                        <w:left w:val="none" w:sz="0" w:space="0" w:color="auto"/>
                        <w:bottom w:val="none" w:sz="0" w:space="0" w:color="auto"/>
                        <w:right w:val="none" w:sz="0" w:space="0" w:color="auto"/>
                      </w:divBdr>
                    </w:div>
                  </w:divsChild>
                </w:div>
                <w:div w:id="891843685">
                  <w:marLeft w:val="0"/>
                  <w:marRight w:val="0"/>
                  <w:marTop w:val="0"/>
                  <w:marBottom w:val="0"/>
                  <w:divBdr>
                    <w:top w:val="none" w:sz="0" w:space="0" w:color="auto"/>
                    <w:left w:val="none" w:sz="0" w:space="0" w:color="auto"/>
                    <w:bottom w:val="none" w:sz="0" w:space="0" w:color="auto"/>
                    <w:right w:val="none" w:sz="0" w:space="0" w:color="auto"/>
                  </w:divBdr>
                  <w:divsChild>
                    <w:div w:id="900482237">
                      <w:marLeft w:val="0"/>
                      <w:marRight w:val="0"/>
                      <w:marTop w:val="0"/>
                      <w:marBottom w:val="0"/>
                      <w:divBdr>
                        <w:top w:val="none" w:sz="0" w:space="0" w:color="auto"/>
                        <w:left w:val="none" w:sz="0" w:space="0" w:color="auto"/>
                        <w:bottom w:val="none" w:sz="0" w:space="0" w:color="auto"/>
                        <w:right w:val="none" w:sz="0" w:space="0" w:color="auto"/>
                      </w:divBdr>
                    </w:div>
                  </w:divsChild>
                </w:div>
                <w:div w:id="1040131347">
                  <w:marLeft w:val="0"/>
                  <w:marRight w:val="0"/>
                  <w:marTop w:val="0"/>
                  <w:marBottom w:val="0"/>
                  <w:divBdr>
                    <w:top w:val="none" w:sz="0" w:space="0" w:color="auto"/>
                    <w:left w:val="none" w:sz="0" w:space="0" w:color="auto"/>
                    <w:bottom w:val="none" w:sz="0" w:space="0" w:color="auto"/>
                    <w:right w:val="none" w:sz="0" w:space="0" w:color="auto"/>
                  </w:divBdr>
                  <w:divsChild>
                    <w:div w:id="1088381974">
                      <w:marLeft w:val="0"/>
                      <w:marRight w:val="0"/>
                      <w:marTop w:val="0"/>
                      <w:marBottom w:val="0"/>
                      <w:divBdr>
                        <w:top w:val="none" w:sz="0" w:space="0" w:color="auto"/>
                        <w:left w:val="none" w:sz="0" w:space="0" w:color="auto"/>
                        <w:bottom w:val="none" w:sz="0" w:space="0" w:color="auto"/>
                        <w:right w:val="none" w:sz="0" w:space="0" w:color="auto"/>
                      </w:divBdr>
                    </w:div>
                  </w:divsChild>
                </w:div>
                <w:div w:id="1104958725">
                  <w:marLeft w:val="0"/>
                  <w:marRight w:val="0"/>
                  <w:marTop w:val="0"/>
                  <w:marBottom w:val="0"/>
                  <w:divBdr>
                    <w:top w:val="none" w:sz="0" w:space="0" w:color="auto"/>
                    <w:left w:val="none" w:sz="0" w:space="0" w:color="auto"/>
                    <w:bottom w:val="none" w:sz="0" w:space="0" w:color="auto"/>
                    <w:right w:val="none" w:sz="0" w:space="0" w:color="auto"/>
                  </w:divBdr>
                  <w:divsChild>
                    <w:div w:id="153182272">
                      <w:marLeft w:val="0"/>
                      <w:marRight w:val="0"/>
                      <w:marTop w:val="0"/>
                      <w:marBottom w:val="0"/>
                      <w:divBdr>
                        <w:top w:val="none" w:sz="0" w:space="0" w:color="auto"/>
                        <w:left w:val="none" w:sz="0" w:space="0" w:color="auto"/>
                        <w:bottom w:val="none" w:sz="0" w:space="0" w:color="auto"/>
                        <w:right w:val="none" w:sz="0" w:space="0" w:color="auto"/>
                      </w:divBdr>
                    </w:div>
                    <w:div w:id="153958989">
                      <w:marLeft w:val="0"/>
                      <w:marRight w:val="0"/>
                      <w:marTop w:val="0"/>
                      <w:marBottom w:val="0"/>
                      <w:divBdr>
                        <w:top w:val="none" w:sz="0" w:space="0" w:color="auto"/>
                        <w:left w:val="none" w:sz="0" w:space="0" w:color="auto"/>
                        <w:bottom w:val="none" w:sz="0" w:space="0" w:color="auto"/>
                        <w:right w:val="none" w:sz="0" w:space="0" w:color="auto"/>
                      </w:divBdr>
                    </w:div>
                  </w:divsChild>
                </w:div>
                <w:div w:id="1229540427">
                  <w:marLeft w:val="0"/>
                  <w:marRight w:val="0"/>
                  <w:marTop w:val="0"/>
                  <w:marBottom w:val="0"/>
                  <w:divBdr>
                    <w:top w:val="none" w:sz="0" w:space="0" w:color="auto"/>
                    <w:left w:val="none" w:sz="0" w:space="0" w:color="auto"/>
                    <w:bottom w:val="none" w:sz="0" w:space="0" w:color="auto"/>
                    <w:right w:val="none" w:sz="0" w:space="0" w:color="auto"/>
                  </w:divBdr>
                  <w:divsChild>
                    <w:div w:id="846671343">
                      <w:marLeft w:val="0"/>
                      <w:marRight w:val="0"/>
                      <w:marTop w:val="0"/>
                      <w:marBottom w:val="0"/>
                      <w:divBdr>
                        <w:top w:val="none" w:sz="0" w:space="0" w:color="auto"/>
                        <w:left w:val="none" w:sz="0" w:space="0" w:color="auto"/>
                        <w:bottom w:val="none" w:sz="0" w:space="0" w:color="auto"/>
                        <w:right w:val="none" w:sz="0" w:space="0" w:color="auto"/>
                      </w:divBdr>
                    </w:div>
                  </w:divsChild>
                </w:div>
                <w:div w:id="1305349820">
                  <w:marLeft w:val="0"/>
                  <w:marRight w:val="0"/>
                  <w:marTop w:val="0"/>
                  <w:marBottom w:val="0"/>
                  <w:divBdr>
                    <w:top w:val="none" w:sz="0" w:space="0" w:color="auto"/>
                    <w:left w:val="none" w:sz="0" w:space="0" w:color="auto"/>
                    <w:bottom w:val="none" w:sz="0" w:space="0" w:color="auto"/>
                    <w:right w:val="none" w:sz="0" w:space="0" w:color="auto"/>
                  </w:divBdr>
                  <w:divsChild>
                    <w:div w:id="314376842">
                      <w:marLeft w:val="0"/>
                      <w:marRight w:val="0"/>
                      <w:marTop w:val="0"/>
                      <w:marBottom w:val="0"/>
                      <w:divBdr>
                        <w:top w:val="none" w:sz="0" w:space="0" w:color="auto"/>
                        <w:left w:val="none" w:sz="0" w:space="0" w:color="auto"/>
                        <w:bottom w:val="none" w:sz="0" w:space="0" w:color="auto"/>
                        <w:right w:val="none" w:sz="0" w:space="0" w:color="auto"/>
                      </w:divBdr>
                    </w:div>
                    <w:div w:id="727384213">
                      <w:marLeft w:val="0"/>
                      <w:marRight w:val="0"/>
                      <w:marTop w:val="0"/>
                      <w:marBottom w:val="0"/>
                      <w:divBdr>
                        <w:top w:val="none" w:sz="0" w:space="0" w:color="auto"/>
                        <w:left w:val="none" w:sz="0" w:space="0" w:color="auto"/>
                        <w:bottom w:val="none" w:sz="0" w:space="0" w:color="auto"/>
                        <w:right w:val="none" w:sz="0" w:space="0" w:color="auto"/>
                      </w:divBdr>
                    </w:div>
                    <w:div w:id="865601154">
                      <w:marLeft w:val="0"/>
                      <w:marRight w:val="0"/>
                      <w:marTop w:val="0"/>
                      <w:marBottom w:val="0"/>
                      <w:divBdr>
                        <w:top w:val="none" w:sz="0" w:space="0" w:color="auto"/>
                        <w:left w:val="none" w:sz="0" w:space="0" w:color="auto"/>
                        <w:bottom w:val="none" w:sz="0" w:space="0" w:color="auto"/>
                        <w:right w:val="none" w:sz="0" w:space="0" w:color="auto"/>
                      </w:divBdr>
                    </w:div>
                    <w:div w:id="1063262052">
                      <w:marLeft w:val="0"/>
                      <w:marRight w:val="0"/>
                      <w:marTop w:val="0"/>
                      <w:marBottom w:val="0"/>
                      <w:divBdr>
                        <w:top w:val="none" w:sz="0" w:space="0" w:color="auto"/>
                        <w:left w:val="none" w:sz="0" w:space="0" w:color="auto"/>
                        <w:bottom w:val="none" w:sz="0" w:space="0" w:color="auto"/>
                        <w:right w:val="none" w:sz="0" w:space="0" w:color="auto"/>
                      </w:divBdr>
                    </w:div>
                    <w:div w:id="1118179767">
                      <w:marLeft w:val="0"/>
                      <w:marRight w:val="0"/>
                      <w:marTop w:val="0"/>
                      <w:marBottom w:val="0"/>
                      <w:divBdr>
                        <w:top w:val="none" w:sz="0" w:space="0" w:color="auto"/>
                        <w:left w:val="none" w:sz="0" w:space="0" w:color="auto"/>
                        <w:bottom w:val="none" w:sz="0" w:space="0" w:color="auto"/>
                        <w:right w:val="none" w:sz="0" w:space="0" w:color="auto"/>
                      </w:divBdr>
                    </w:div>
                    <w:div w:id="2051688737">
                      <w:marLeft w:val="0"/>
                      <w:marRight w:val="0"/>
                      <w:marTop w:val="0"/>
                      <w:marBottom w:val="0"/>
                      <w:divBdr>
                        <w:top w:val="none" w:sz="0" w:space="0" w:color="auto"/>
                        <w:left w:val="none" w:sz="0" w:space="0" w:color="auto"/>
                        <w:bottom w:val="none" w:sz="0" w:space="0" w:color="auto"/>
                        <w:right w:val="none" w:sz="0" w:space="0" w:color="auto"/>
                      </w:divBdr>
                    </w:div>
                  </w:divsChild>
                </w:div>
                <w:div w:id="1426655467">
                  <w:marLeft w:val="0"/>
                  <w:marRight w:val="0"/>
                  <w:marTop w:val="0"/>
                  <w:marBottom w:val="0"/>
                  <w:divBdr>
                    <w:top w:val="none" w:sz="0" w:space="0" w:color="auto"/>
                    <w:left w:val="none" w:sz="0" w:space="0" w:color="auto"/>
                    <w:bottom w:val="none" w:sz="0" w:space="0" w:color="auto"/>
                    <w:right w:val="none" w:sz="0" w:space="0" w:color="auto"/>
                  </w:divBdr>
                  <w:divsChild>
                    <w:div w:id="2031568566">
                      <w:marLeft w:val="0"/>
                      <w:marRight w:val="0"/>
                      <w:marTop w:val="0"/>
                      <w:marBottom w:val="0"/>
                      <w:divBdr>
                        <w:top w:val="none" w:sz="0" w:space="0" w:color="auto"/>
                        <w:left w:val="none" w:sz="0" w:space="0" w:color="auto"/>
                        <w:bottom w:val="none" w:sz="0" w:space="0" w:color="auto"/>
                        <w:right w:val="none" w:sz="0" w:space="0" w:color="auto"/>
                      </w:divBdr>
                    </w:div>
                  </w:divsChild>
                </w:div>
                <w:div w:id="1472092717">
                  <w:marLeft w:val="0"/>
                  <w:marRight w:val="0"/>
                  <w:marTop w:val="0"/>
                  <w:marBottom w:val="0"/>
                  <w:divBdr>
                    <w:top w:val="none" w:sz="0" w:space="0" w:color="auto"/>
                    <w:left w:val="none" w:sz="0" w:space="0" w:color="auto"/>
                    <w:bottom w:val="none" w:sz="0" w:space="0" w:color="auto"/>
                    <w:right w:val="none" w:sz="0" w:space="0" w:color="auto"/>
                  </w:divBdr>
                  <w:divsChild>
                    <w:div w:id="1731539350">
                      <w:marLeft w:val="0"/>
                      <w:marRight w:val="0"/>
                      <w:marTop w:val="0"/>
                      <w:marBottom w:val="0"/>
                      <w:divBdr>
                        <w:top w:val="none" w:sz="0" w:space="0" w:color="auto"/>
                        <w:left w:val="none" w:sz="0" w:space="0" w:color="auto"/>
                        <w:bottom w:val="none" w:sz="0" w:space="0" w:color="auto"/>
                        <w:right w:val="none" w:sz="0" w:space="0" w:color="auto"/>
                      </w:divBdr>
                    </w:div>
                  </w:divsChild>
                </w:div>
                <w:div w:id="1530987791">
                  <w:marLeft w:val="0"/>
                  <w:marRight w:val="0"/>
                  <w:marTop w:val="0"/>
                  <w:marBottom w:val="0"/>
                  <w:divBdr>
                    <w:top w:val="none" w:sz="0" w:space="0" w:color="auto"/>
                    <w:left w:val="none" w:sz="0" w:space="0" w:color="auto"/>
                    <w:bottom w:val="none" w:sz="0" w:space="0" w:color="auto"/>
                    <w:right w:val="none" w:sz="0" w:space="0" w:color="auto"/>
                  </w:divBdr>
                  <w:divsChild>
                    <w:div w:id="1414165027">
                      <w:marLeft w:val="0"/>
                      <w:marRight w:val="0"/>
                      <w:marTop w:val="0"/>
                      <w:marBottom w:val="0"/>
                      <w:divBdr>
                        <w:top w:val="none" w:sz="0" w:space="0" w:color="auto"/>
                        <w:left w:val="none" w:sz="0" w:space="0" w:color="auto"/>
                        <w:bottom w:val="none" w:sz="0" w:space="0" w:color="auto"/>
                        <w:right w:val="none" w:sz="0" w:space="0" w:color="auto"/>
                      </w:divBdr>
                    </w:div>
                  </w:divsChild>
                </w:div>
                <w:div w:id="1602760601">
                  <w:marLeft w:val="0"/>
                  <w:marRight w:val="0"/>
                  <w:marTop w:val="0"/>
                  <w:marBottom w:val="0"/>
                  <w:divBdr>
                    <w:top w:val="none" w:sz="0" w:space="0" w:color="auto"/>
                    <w:left w:val="none" w:sz="0" w:space="0" w:color="auto"/>
                    <w:bottom w:val="none" w:sz="0" w:space="0" w:color="auto"/>
                    <w:right w:val="none" w:sz="0" w:space="0" w:color="auto"/>
                  </w:divBdr>
                  <w:divsChild>
                    <w:div w:id="21247215">
                      <w:marLeft w:val="0"/>
                      <w:marRight w:val="0"/>
                      <w:marTop w:val="0"/>
                      <w:marBottom w:val="0"/>
                      <w:divBdr>
                        <w:top w:val="none" w:sz="0" w:space="0" w:color="auto"/>
                        <w:left w:val="none" w:sz="0" w:space="0" w:color="auto"/>
                        <w:bottom w:val="none" w:sz="0" w:space="0" w:color="auto"/>
                        <w:right w:val="none" w:sz="0" w:space="0" w:color="auto"/>
                      </w:divBdr>
                    </w:div>
                  </w:divsChild>
                </w:div>
                <w:div w:id="1677032009">
                  <w:marLeft w:val="0"/>
                  <w:marRight w:val="0"/>
                  <w:marTop w:val="0"/>
                  <w:marBottom w:val="0"/>
                  <w:divBdr>
                    <w:top w:val="none" w:sz="0" w:space="0" w:color="auto"/>
                    <w:left w:val="none" w:sz="0" w:space="0" w:color="auto"/>
                    <w:bottom w:val="none" w:sz="0" w:space="0" w:color="auto"/>
                    <w:right w:val="none" w:sz="0" w:space="0" w:color="auto"/>
                  </w:divBdr>
                  <w:divsChild>
                    <w:div w:id="1835024134">
                      <w:marLeft w:val="0"/>
                      <w:marRight w:val="0"/>
                      <w:marTop w:val="0"/>
                      <w:marBottom w:val="0"/>
                      <w:divBdr>
                        <w:top w:val="none" w:sz="0" w:space="0" w:color="auto"/>
                        <w:left w:val="none" w:sz="0" w:space="0" w:color="auto"/>
                        <w:bottom w:val="none" w:sz="0" w:space="0" w:color="auto"/>
                        <w:right w:val="none" w:sz="0" w:space="0" w:color="auto"/>
                      </w:divBdr>
                    </w:div>
                  </w:divsChild>
                </w:div>
                <w:div w:id="1858421626">
                  <w:marLeft w:val="0"/>
                  <w:marRight w:val="0"/>
                  <w:marTop w:val="0"/>
                  <w:marBottom w:val="0"/>
                  <w:divBdr>
                    <w:top w:val="none" w:sz="0" w:space="0" w:color="auto"/>
                    <w:left w:val="none" w:sz="0" w:space="0" w:color="auto"/>
                    <w:bottom w:val="none" w:sz="0" w:space="0" w:color="auto"/>
                    <w:right w:val="none" w:sz="0" w:space="0" w:color="auto"/>
                  </w:divBdr>
                  <w:divsChild>
                    <w:div w:id="1968581958">
                      <w:marLeft w:val="0"/>
                      <w:marRight w:val="0"/>
                      <w:marTop w:val="0"/>
                      <w:marBottom w:val="0"/>
                      <w:divBdr>
                        <w:top w:val="none" w:sz="0" w:space="0" w:color="auto"/>
                        <w:left w:val="none" w:sz="0" w:space="0" w:color="auto"/>
                        <w:bottom w:val="none" w:sz="0" w:space="0" w:color="auto"/>
                        <w:right w:val="none" w:sz="0" w:space="0" w:color="auto"/>
                      </w:divBdr>
                    </w:div>
                  </w:divsChild>
                </w:div>
                <w:div w:id="2132699209">
                  <w:marLeft w:val="0"/>
                  <w:marRight w:val="0"/>
                  <w:marTop w:val="0"/>
                  <w:marBottom w:val="0"/>
                  <w:divBdr>
                    <w:top w:val="none" w:sz="0" w:space="0" w:color="auto"/>
                    <w:left w:val="none" w:sz="0" w:space="0" w:color="auto"/>
                    <w:bottom w:val="none" w:sz="0" w:space="0" w:color="auto"/>
                    <w:right w:val="none" w:sz="0" w:space="0" w:color="auto"/>
                  </w:divBdr>
                  <w:divsChild>
                    <w:div w:id="398746531">
                      <w:marLeft w:val="0"/>
                      <w:marRight w:val="0"/>
                      <w:marTop w:val="0"/>
                      <w:marBottom w:val="0"/>
                      <w:divBdr>
                        <w:top w:val="none" w:sz="0" w:space="0" w:color="auto"/>
                        <w:left w:val="none" w:sz="0" w:space="0" w:color="auto"/>
                        <w:bottom w:val="none" w:sz="0" w:space="0" w:color="auto"/>
                        <w:right w:val="none" w:sz="0" w:space="0" w:color="auto"/>
                      </w:divBdr>
                    </w:div>
                  </w:divsChild>
                </w:div>
                <w:div w:id="2138138426">
                  <w:marLeft w:val="0"/>
                  <w:marRight w:val="0"/>
                  <w:marTop w:val="0"/>
                  <w:marBottom w:val="0"/>
                  <w:divBdr>
                    <w:top w:val="none" w:sz="0" w:space="0" w:color="auto"/>
                    <w:left w:val="none" w:sz="0" w:space="0" w:color="auto"/>
                    <w:bottom w:val="none" w:sz="0" w:space="0" w:color="auto"/>
                    <w:right w:val="none" w:sz="0" w:space="0" w:color="auto"/>
                  </w:divBdr>
                  <w:divsChild>
                    <w:div w:id="674458568">
                      <w:marLeft w:val="0"/>
                      <w:marRight w:val="0"/>
                      <w:marTop w:val="0"/>
                      <w:marBottom w:val="0"/>
                      <w:divBdr>
                        <w:top w:val="none" w:sz="0" w:space="0" w:color="auto"/>
                        <w:left w:val="none" w:sz="0" w:space="0" w:color="auto"/>
                        <w:bottom w:val="none" w:sz="0" w:space="0" w:color="auto"/>
                        <w:right w:val="none" w:sz="0" w:space="0" w:color="auto"/>
                      </w:divBdr>
                    </w:div>
                  </w:divsChild>
                </w:div>
                <w:div w:id="2144225766">
                  <w:marLeft w:val="0"/>
                  <w:marRight w:val="0"/>
                  <w:marTop w:val="0"/>
                  <w:marBottom w:val="0"/>
                  <w:divBdr>
                    <w:top w:val="none" w:sz="0" w:space="0" w:color="auto"/>
                    <w:left w:val="none" w:sz="0" w:space="0" w:color="auto"/>
                    <w:bottom w:val="none" w:sz="0" w:space="0" w:color="auto"/>
                    <w:right w:val="none" w:sz="0" w:space="0" w:color="auto"/>
                  </w:divBdr>
                  <w:divsChild>
                    <w:div w:id="14384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8245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1848531">
      <w:bodyDiv w:val="1"/>
      <w:marLeft w:val="0"/>
      <w:marRight w:val="0"/>
      <w:marTop w:val="0"/>
      <w:marBottom w:val="0"/>
      <w:divBdr>
        <w:top w:val="none" w:sz="0" w:space="0" w:color="auto"/>
        <w:left w:val="none" w:sz="0" w:space="0" w:color="auto"/>
        <w:bottom w:val="none" w:sz="0" w:space="0" w:color="auto"/>
        <w:right w:val="none" w:sz="0" w:space="0" w:color="auto"/>
      </w:divBdr>
      <w:divsChild>
        <w:div w:id="210460626">
          <w:marLeft w:val="0"/>
          <w:marRight w:val="0"/>
          <w:marTop w:val="0"/>
          <w:marBottom w:val="0"/>
          <w:divBdr>
            <w:top w:val="none" w:sz="0" w:space="0" w:color="auto"/>
            <w:left w:val="none" w:sz="0" w:space="0" w:color="auto"/>
            <w:bottom w:val="none" w:sz="0" w:space="0" w:color="auto"/>
            <w:right w:val="none" w:sz="0" w:space="0" w:color="auto"/>
          </w:divBdr>
        </w:div>
        <w:div w:id="253901661">
          <w:marLeft w:val="0"/>
          <w:marRight w:val="0"/>
          <w:marTop w:val="0"/>
          <w:marBottom w:val="0"/>
          <w:divBdr>
            <w:top w:val="none" w:sz="0" w:space="0" w:color="auto"/>
            <w:left w:val="none" w:sz="0" w:space="0" w:color="auto"/>
            <w:bottom w:val="none" w:sz="0" w:space="0" w:color="auto"/>
            <w:right w:val="none" w:sz="0" w:space="0" w:color="auto"/>
          </w:divBdr>
        </w:div>
        <w:div w:id="539243455">
          <w:marLeft w:val="0"/>
          <w:marRight w:val="0"/>
          <w:marTop w:val="0"/>
          <w:marBottom w:val="0"/>
          <w:divBdr>
            <w:top w:val="none" w:sz="0" w:space="0" w:color="auto"/>
            <w:left w:val="none" w:sz="0" w:space="0" w:color="auto"/>
            <w:bottom w:val="none" w:sz="0" w:space="0" w:color="auto"/>
            <w:right w:val="none" w:sz="0" w:space="0" w:color="auto"/>
          </w:divBdr>
        </w:div>
        <w:div w:id="686835485">
          <w:marLeft w:val="0"/>
          <w:marRight w:val="0"/>
          <w:marTop w:val="0"/>
          <w:marBottom w:val="0"/>
          <w:divBdr>
            <w:top w:val="none" w:sz="0" w:space="0" w:color="auto"/>
            <w:left w:val="none" w:sz="0" w:space="0" w:color="auto"/>
            <w:bottom w:val="none" w:sz="0" w:space="0" w:color="auto"/>
            <w:right w:val="none" w:sz="0" w:space="0" w:color="auto"/>
          </w:divBdr>
        </w:div>
        <w:div w:id="747923744">
          <w:marLeft w:val="0"/>
          <w:marRight w:val="0"/>
          <w:marTop w:val="0"/>
          <w:marBottom w:val="0"/>
          <w:divBdr>
            <w:top w:val="none" w:sz="0" w:space="0" w:color="auto"/>
            <w:left w:val="none" w:sz="0" w:space="0" w:color="auto"/>
            <w:bottom w:val="none" w:sz="0" w:space="0" w:color="auto"/>
            <w:right w:val="none" w:sz="0" w:space="0" w:color="auto"/>
          </w:divBdr>
        </w:div>
        <w:div w:id="913583658">
          <w:marLeft w:val="0"/>
          <w:marRight w:val="0"/>
          <w:marTop w:val="0"/>
          <w:marBottom w:val="0"/>
          <w:divBdr>
            <w:top w:val="none" w:sz="0" w:space="0" w:color="auto"/>
            <w:left w:val="none" w:sz="0" w:space="0" w:color="auto"/>
            <w:bottom w:val="none" w:sz="0" w:space="0" w:color="auto"/>
            <w:right w:val="none" w:sz="0" w:space="0" w:color="auto"/>
          </w:divBdr>
        </w:div>
        <w:div w:id="1290280395">
          <w:marLeft w:val="0"/>
          <w:marRight w:val="0"/>
          <w:marTop w:val="0"/>
          <w:marBottom w:val="0"/>
          <w:divBdr>
            <w:top w:val="none" w:sz="0" w:space="0" w:color="auto"/>
            <w:left w:val="none" w:sz="0" w:space="0" w:color="auto"/>
            <w:bottom w:val="none" w:sz="0" w:space="0" w:color="auto"/>
            <w:right w:val="none" w:sz="0" w:space="0" w:color="auto"/>
          </w:divBdr>
        </w:div>
        <w:div w:id="1543591165">
          <w:marLeft w:val="0"/>
          <w:marRight w:val="0"/>
          <w:marTop w:val="0"/>
          <w:marBottom w:val="0"/>
          <w:divBdr>
            <w:top w:val="none" w:sz="0" w:space="0" w:color="auto"/>
            <w:left w:val="none" w:sz="0" w:space="0" w:color="auto"/>
            <w:bottom w:val="none" w:sz="0" w:space="0" w:color="auto"/>
            <w:right w:val="none" w:sz="0" w:space="0" w:color="auto"/>
          </w:divBdr>
        </w:div>
      </w:divsChild>
    </w:div>
    <w:div w:id="1785953711">
      <w:bodyDiv w:val="1"/>
      <w:marLeft w:val="0"/>
      <w:marRight w:val="0"/>
      <w:marTop w:val="0"/>
      <w:marBottom w:val="0"/>
      <w:divBdr>
        <w:top w:val="none" w:sz="0" w:space="0" w:color="auto"/>
        <w:left w:val="none" w:sz="0" w:space="0" w:color="auto"/>
        <w:bottom w:val="none" w:sz="0" w:space="0" w:color="auto"/>
        <w:right w:val="none" w:sz="0" w:space="0" w:color="auto"/>
      </w:divBdr>
      <w:divsChild>
        <w:div w:id="4751323">
          <w:marLeft w:val="0"/>
          <w:marRight w:val="0"/>
          <w:marTop w:val="0"/>
          <w:marBottom w:val="0"/>
          <w:divBdr>
            <w:top w:val="none" w:sz="0" w:space="0" w:color="auto"/>
            <w:left w:val="none" w:sz="0" w:space="0" w:color="auto"/>
            <w:bottom w:val="none" w:sz="0" w:space="0" w:color="auto"/>
            <w:right w:val="none" w:sz="0" w:space="0" w:color="auto"/>
          </w:divBdr>
        </w:div>
        <w:div w:id="1830053915">
          <w:marLeft w:val="0"/>
          <w:marRight w:val="0"/>
          <w:marTop w:val="0"/>
          <w:marBottom w:val="0"/>
          <w:divBdr>
            <w:top w:val="none" w:sz="0" w:space="0" w:color="auto"/>
            <w:left w:val="none" w:sz="0" w:space="0" w:color="auto"/>
            <w:bottom w:val="none" w:sz="0" w:space="0" w:color="auto"/>
            <w:right w:val="none" w:sz="0" w:space="0" w:color="auto"/>
          </w:divBdr>
          <w:divsChild>
            <w:div w:id="532235392">
              <w:marLeft w:val="0"/>
              <w:marRight w:val="0"/>
              <w:marTop w:val="30"/>
              <w:marBottom w:val="30"/>
              <w:divBdr>
                <w:top w:val="none" w:sz="0" w:space="0" w:color="auto"/>
                <w:left w:val="none" w:sz="0" w:space="0" w:color="auto"/>
                <w:bottom w:val="none" w:sz="0" w:space="0" w:color="auto"/>
                <w:right w:val="none" w:sz="0" w:space="0" w:color="auto"/>
              </w:divBdr>
              <w:divsChild>
                <w:div w:id="104425119">
                  <w:marLeft w:val="0"/>
                  <w:marRight w:val="0"/>
                  <w:marTop w:val="0"/>
                  <w:marBottom w:val="0"/>
                  <w:divBdr>
                    <w:top w:val="none" w:sz="0" w:space="0" w:color="auto"/>
                    <w:left w:val="none" w:sz="0" w:space="0" w:color="auto"/>
                    <w:bottom w:val="none" w:sz="0" w:space="0" w:color="auto"/>
                    <w:right w:val="none" w:sz="0" w:space="0" w:color="auto"/>
                  </w:divBdr>
                  <w:divsChild>
                    <w:div w:id="989291597">
                      <w:marLeft w:val="0"/>
                      <w:marRight w:val="0"/>
                      <w:marTop w:val="0"/>
                      <w:marBottom w:val="0"/>
                      <w:divBdr>
                        <w:top w:val="none" w:sz="0" w:space="0" w:color="auto"/>
                        <w:left w:val="none" w:sz="0" w:space="0" w:color="auto"/>
                        <w:bottom w:val="none" w:sz="0" w:space="0" w:color="auto"/>
                        <w:right w:val="none" w:sz="0" w:space="0" w:color="auto"/>
                      </w:divBdr>
                    </w:div>
                  </w:divsChild>
                </w:div>
                <w:div w:id="254633697">
                  <w:marLeft w:val="0"/>
                  <w:marRight w:val="0"/>
                  <w:marTop w:val="0"/>
                  <w:marBottom w:val="0"/>
                  <w:divBdr>
                    <w:top w:val="none" w:sz="0" w:space="0" w:color="auto"/>
                    <w:left w:val="none" w:sz="0" w:space="0" w:color="auto"/>
                    <w:bottom w:val="none" w:sz="0" w:space="0" w:color="auto"/>
                    <w:right w:val="none" w:sz="0" w:space="0" w:color="auto"/>
                  </w:divBdr>
                  <w:divsChild>
                    <w:div w:id="779908948">
                      <w:marLeft w:val="0"/>
                      <w:marRight w:val="0"/>
                      <w:marTop w:val="0"/>
                      <w:marBottom w:val="0"/>
                      <w:divBdr>
                        <w:top w:val="none" w:sz="0" w:space="0" w:color="auto"/>
                        <w:left w:val="none" w:sz="0" w:space="0" w:color="auto"/>
                        <w:bottom w:val="none" w:sz="0" w:space="0" w:color="auto"/>
                        <w:right w:val="none" w:sz="0" w:space="0" w:color="auto"/>
                      </w:divBdr>
                    </w:div>
                  </w:divsChild>
                </w:div>
                <w:div w:id="309797810">
                  <w:marLeft w:val="0"/>
                  <w:marRight w:val="0"/>
                  <w:marTop w:val="0"/>
                  <w:marBottom w:val="0"/>
                  <w:divBdr>
                    <w:top w:val="none" w:sz="0" w:space="0" w:color="auto"/>
                    <w:left w:val="none" w:sz="0" w:space="0" w:color="auto"/>
                    <w:bottom w:val="none" w:sz="0" w:space="0" w:color="auto"/>
                    <w:right w:val="none" w:sz="0" w:space="0" w:color="auto"/>
                  </w:divBdr>
                  <w:divsChild>
                    <w:div w:id="748311959">
                      <w:marLeft w:val="0"/>
                      <w:marRight w:val="0"/>
                      <w:marTop w:val="0"/>
                      <w:marBottom w:val="0"/>
                      <w:divBdr>
                        <w:top w:val="none" w:sz="0" w:space="0" w:color="auto"/>
                        <w:left w:val="none" w:sz="0" w:space="0" w:color="auto"/>
                        <w:bottom w:val="none" w:sz="0" w:space="0" w:color="auto"/>
                        <w:right w:val="none" w:sz="0" w:space="0" w:color="auto"/>
                      </w:divBdr>
                    </w:div>
                  </w:divsChild>
                </w:div>
                <w:div w:id="577833628">
                  <w:marLeft w:val="0"/>
                  <w:marRight w:val="0"/>
                  <w:marTop w:val="0"/>
                  <w:marBottom w:val="0"/>
                  <w:divBdr>
                    <w:top w:val="none" w:sz="0" w:space="0" w:color="auto"/>
                    <w:left w:val="none" w:sz="0" w:space="0" w:color="auto"/>
                    <w:bottom w:val="none" w:sz="0" w:space="0" w:color="auto"/>
                    <w:right w:val="none" w:sz="0" w:space="0" w:color="auto"/>
                  </w:divBdr>
                  <w:divsChild>
                    <w:div w:id="2092654626">
                      <w:marLeft w:val="0"/>
                      <w:marRight w:val="0"/>
                      <w:marTop w:val="0"/>
                      <w:marBottom w:val="0"/>
                      <w:divBdr>
                        <w:top w:val="none" w:sz="0" w:space="0" w:color="auto"/>
                        <w:left w:val="none" w:sz="0" w:space="0" w:color="auto"/>
                        <w:bottom w:val="none" w:sz="0" w:space="0" w:color="auto"/>
                        <w:right w:val="none" w:sz="0" w:space="0" w:color="auto"/>
                      </w:divBdr>
                    </w:div>
                  </w:divsChild>
                </w:div>
                <w:div w:id="814760835">
                  <w:marLeft w:val="0"/>
                  <w:marRight w:val="0"/>
                  <w:marTop w:val="0"/>
                  <w:marBottom w:val="0"/>
                  <w:divBdr>
                    <w:top w:val="none" w:sz="0" w:space="0" w:color="auto"/>
                    <w:left w:val="none" w:sz="0" w:space="0" w:color="auto"/>
                    <w:bottom w:val="none" w:sz="0" w:space="0" w:color="auto"/>
                    <w:right w:val="none" w:sz="0" w:space="0" w:color="auto"/>
                  </w:divBdr>
                  <w:divsChild>
                    <w:div w:id="1766684224">
                      <w:marLeft w:val="0"/>
                      <w:marRight w:val="0"/>
                      <w:marTop w:val="0"/>
                      <w:marBottom w:val="0"/>
                      <w:divBdr>
                        <w:top w:val="none" w:sz="0" w:space="0" w:color="auto"/>
                        <w:left w:val="none" w:sz="0" w:space="0" w:color="auto"/>
                        <w:bottom w:val="none" w:sz="0" w:space="0" w:color="auto"/>
                        <w:right w:val="none" w:sz="0" w:space="0" w:color="auto"/>
                      </w:divBdr>
                    </w:div>
                  </w:divsChild>
                </w:div>
                <w:div w:id="832647157">
                  <w:marLeft w:val="0"/>
                  <w:marRight w:val="0"/>
                  <w:marTop w:val="0"/>
                  <w:marBottom w:val="0"/>
                  <w:divBdr>
                    <w:top w:val="none" w:sz="0" w:space="0" w:color="auto"/>
                    <w:left w:val="none" w:sz="0" w:space="0" w:color="auto"/>
                    <w:bottom w:val="none" w:sz="0" w:space="0" w:color="auto"/>
                    <w:right w:val="none" w:sz="0" w:space="0" w:color="auto"/>
                  </w:divBdr>
                  <w:divsChild>
                    <w:div w:id="10643490">
                      <w:marLeft w:val="0"/>
                      <w:marRight w:val="0"/>
                      <w:marTop w:val="0"/>
                      <w:marBottom w:val="0"/>
                      <w:divBdr>
                        <w:top w:val="none" w:sz="0" w:space="0" w:color="auto"/>
                        <w:left w:val="none" w:sz="0" w:space="0" w:color="auto"/>
                        <w:bottom w:val="none" w:sz="0" w:space="0" w:color="auto"/>
                        <w:right w:val="none" w:sz="0" w:space="0" w:color="auto"/>
                      </w:divBdr>
                    </w:div>
                    <w:div w:id="442655613">
                      <w:marLeft w:val="0"/>
                      <w:marRight w:val="0"/>
                      <w:marTop w:val="0"/>
                      <w:marBottom w:val="0"/>
                      <w:divBdr>
                        <w:top w:val="none" w:sz="0" w:space="0" w:color="auto"/>
                        <w:left w:val="none" w:sz="0" w:space="0" w:color="auto"/>
                        <w:bottom w:val="none" w:sz="0" w:space="0" w:color="auto"/>
                        <w:right w:val="none" w:sz="0" w:space="0" w:color="auto"/>
                      </w:divBdr>
                    </w:div>
                    <w:div w:id="1231697272">
                      <w:marLeft w:val="0"/>
                      <w:marRight w:val="0"/>
                      <w:marTop w:val="0"/>
                      <w:marBottom w:val="0"/>
                      <w:divBdr>
                        <w:top w:val="none" w:sz="0" w:space="0" w:color="auto"/>
                        <w:left w:val="none" w:sz="0" w:space="0" w:color="auto"/>
                        <w:bottom w:val="none" w:sz="0" w:space="0" w:color="auto"/>
                        <w:right w:val="none" w:sz="0" w:space="0" w:color="auto"/>
                      </w:divBdr>
                    </w:div>
                    <w:div w:id="1370259398">
                      <w:marLeft w:val="0"/>
                      <w:marRight w:val="0"/>
                      <w:marTop w:val="0"/>
                      <w:marBottom w:val="0"/>
                      <w:divBdr>
                        <w:top w:val="none" w:sz="0" w:space="0" w:color="auto"/>
                        <w:left w:val="none" w:sz="0" w:space="0" w:color="auto"/>
                        <w:bottom w:val="none" w:sz="0" w:space="0" w:color="auto"/>
                        <w:right w:val="none" w:sz="0" w:space="0" w:color="auto"/>
                      </w:divBdr>
                    </w:div>
                    <w:div w:id="1587811580">
                      <w:marLeft w:val="0"/>
                      <w:marRight w:val="0"/>
                      <w:marTop w:val="0"/>
                      <w:marBottom w:val="0"/>
                      <w:divBdr>
                        <w:top w:val="none" w:sz="0" w:space="0" w:color="auto"/>
                        <w:left w:val="none" w:sz="0" w:space="0" w:color="auto"/>
                        <w:bottom w:val="none" w:sz="0" w:space="0" w:color="auto"/>
                        <w:right w:val="none" w:sz="0" w:space="0" w:color="auto"/>
                      </w:divBdr>
                    </w:div>
                    <w:div w:id="1843739195">
                      <w:marLeft w:val="0"/>
                      <w:marRight w:val="0"/>
                      <w:marTop w:val="0"/>
                      <w:marBottom w:val="0"/>
                      <w:divBdr>
                        <w:top w:val="none" w:sz="0" w:space="0" w:color="auto"/>
                        <w:left w:val="none" w:sz="0" w:space="0" w:color="auto"/>
                        <w:bottom w:val="none" w:sz="0" w:space="0" w:color="auto"/>
                        <w:right w:val="none" w:sz="0" w:space="0" w:color="auto"/>
                      </w:divBdr>
                    </w:div>
                    <w:div w:id="1915046707">
                      <w:marLeft w:val="0"/>
                      <w:marRight w:val="0"/>
                      <w:marTop w:val="0"/>
                      <w:marBottom w:val="0"/>
                      <w:divBdr>
                        <w:top w:val="none" w:sz="0" w:space="0" w:color="auto"/>
                        <w:left w:val="none" w:sz="0" w:space="0" w:color="auto"/>
                        <w:bottom w:val="none" w:sz="0" w:space="0" w:color="auto"/>
                        <w:right w:val="none" w:sz="0" w:space="0" w:color="auto"/>
                      </w:divBdr>
                    </w:div>
                    <w:div w:id="1965496384">
                      <w:marLeft w:val="0"/>
                      <w:marRight w:val="0"/>
                      <w:marTop w:val="0"/>
                      <w:marBottom w:val="0"/>
                      <w:divBdr>
                        <w:top w:val="none" w:sz="0" w:space="0" w:color="auto"/>
                        <w:left w:val="none" w:sz="0" w:space="0" w:color="auto"/>
                        <w:bottom w:val="none" w:sz="0" w:space="0" w:color="auto"/>
                        <w:right w:val="none" w:sz="0" w:space="0" w:color="auto"/>
                      </w:divBdr>
                    </w:div>
                    <w:div w:id="2043901318">
                      <w:marLeft w:val="0"/>
                      <w:marRight w:val="0"/>
                      <w:marTop w:val="0"/>
                      <w:marBottom w:val="0"/>
                      <w:divBdr>
                        <w:top w:val="none" w:sz="0" w:space="0" w:color="auto"/>
                        <w:left w:val="none" w:sz="0" w:space="0" w:color="auto"/>
                        <w:bottom w:val="none" w:sz="0" w:space="0" w:color="auto"/>
                        <w:right w:val="none" w:sz="0" w:space="0" w:color="auto"/>
                      </w:divBdr>
                    </w:div>
                    <w:div w:id="2136674596">
                      <w:marLeft w:val="0"/>
                      <w:marRight w:val="0"/>
                      <w:marTop w:val="0"/>
                      <w:marBottom w:val="0"/>
                      <w:divBdr>
                        <w:top w:val="none" w:sz="0" w:space="0" w:color="auto"/>
                        <w:left w:val="none" w:sz="0" w:space="0" w:color="auto"/>
                        <w:bottom w:val="none" w:sz="0" w:space="0" w:color="auto"/>
                        <w:right w:val="none" w:sz="0" w:space="0" w:color="auto"/>
                      </w:divBdr>
                    </w:div>
                  </w:divsChild>
                </w:div>
                <w:div w:id="994990301">
                  <w:marLeft w:val="0"/>
                  <w:marRight w:val="0"/>
                  <w:marTop w:val="0"/>
                  <w:marBottom w:val="0"/>
                  <w:divBdr>
                    <w:top w:val="none" w:sz="0" w:space="0" w:color="auto"/>
                    <w:left w:val="none" w:sz="0" w:space="0" w:color="auto"/>
                    <w:bottom w:val="none" w:sz="0" w:space="0" w:color="auto"/>
                    <w:right w:val="none" w:sz="0" w:space="0" w:color="auto"/>
                  </w:divBdr>
                  <w:divsChild>
                    <w:div w:id="404650561">
                      <w:marLeft w:val="0"/>
                      <w:marRight w:val="0"/>
                      <w:marTop w:val="0"/>
                      <w:marBottom w:val="0"/>
                      <w:divBdr>
                        <w:top w:val="none" w:sz="0" w:space="0" w:color="auto"/>
                        <w:left w:val="none" w:sz="0" w:space="0" w:color="auto"/>
                        <w:bottom w:val="none" w:sz="0" w:space="0" w:color="auto"/>
                        <w:right w:val="none" w:sz="0" w:space="0" w:color="auto"/>
                      </w:divBdr>
                    </w:div>
                  </w:divsChild>
                </w:div>
                <w:div w:id="1173572848">
                  <w:marLeft w:val="0"/>
                  <w:marRight w:val="0"/>
                  <w:marTop w:val="0"/>
                  <w:marBottom w:val="0"/>
                  <w:divBdr>
                    <w:top w:val="none" w:sz="0" w:space="0" w:color="auto"/>
                    <w:left w:val="none" w:sz="0" w:space="0" w:color="auto"/>
                    <w:bottom w:val="none" w:sz="0" w:space="0" w:color="auto"/>
                    <w:right w:val="none" w:sz="0" w:space="0" w:color="auto"/>
                  </w:divBdr>
                  <w:divsChild>
                    <w:div w:id="113671806">
                      <w:marLeft w:val="0"/>
                      <w:marRight w:val="0"/>
                      <w:marTop w:val="0"/>
                      <w:marBottom w:val="0"/>
                      <w:divBdr>
                        <w:top w:val="none" w:sz="0" w:space="0" w:color="auto"/>
                        <w:left w:val="none" w:sz="0" w:space="0" w:color="auto"/>
                        <w:bottom w:val="none" w:sz="0" w:space="0" w:color="auto"/>
                        <w:right w:val="none" w:sz="0" w:space="0" w:color="auto"/>
                      </w:divBdr>
                    </w:div>
                  </w:divsChild>
                </w:div>
                <w:div w:id="1260019708">
                  <w:marLeft w:val="0"/>
                  <w:marRight w:val="0"/>
                  <w:marTop w:val="0"/>
                  <w:marBottom w:val="0"/>
                  <w:divBdr>
                    <w:top w:val="none" w:sz="0" w:space="0" w:color="auto"/>
                    <w:left w:val="none" w:sz="0" w:space="0" w:color="auto"/>
                    <w:bottom w:val="none" w:sz="0" w:space="0" w:color="auto"/>
                    <w:right w:val="none" w:sz="0" w:space="0" w:color="auto"/>
                  </w:divBdr>
                  <w:divsChild>
                    <w:div w:id="44764453">
                      <w:marLeft w:val="0"/>
                      <w:marRight w:val="0"/>
                      <w:marTop w:val="0"/>
                      <w:marBottom w:val="0"/>
                      <w:divBdr>
                        <w:top w:val="none" w:sz="0" w:space="0" w:color="auto"/>
                        <w:left w:val="none" w:sz="0" w:space="0" w:color="auto"/>
                        <w:bottom w:val="none" w:sz="0" w:space="0" w:color="auto"/>
                        <w:right w:val="none" w:sz="0" w:space="0" w:color="auto"/>
                      </w:divBdr>
                    </w:div>
                  </w:divsChild>
                </w:div>
                <w:div w:id="1314993851">
                  <w:marLeft w:val="0"/>
                  <w:marRight w:val="0"/>
                  <w:marTop w:val="0"/>
                  <w:marBottom w:val="0"/>
                  <w:divBdr>
                    <w:top w:val="none" w:sz="0" w:space="0" w:color="auto"/>
                    <w:left w:val="none" w:sz="0" w:space="0" w:color="auto"/>
                    <w:bottom w:val="none" w:sz="0" w:space="0" w:color="auto"/>
                    <w:right w:val="none" w:sz="0" w:space="0" w:color="auto"/>
                  </w:divBdr>
                  <w:divsChild>
                    <w:div w:id="554897971">
                      <w:marLeft w:val="0"/>
                      <w:marRight w:val="0"/>
                      <w:marTop w:val="0"/>
                      <w:marBottom w:val="0"/>
                      <w:divBdr>
                        <w:top w:val="none" w:sz="0" w:space="0" w:color="auto"/>
                        <w:left w:val="none" w:sz="0" w:space="0" w:color="auto"/>
                        <w:bottom w:val="none" w:sz="0" w:space="0" w:color="auto"/>
                        <w:right w:val="none" w:sz="0" w:space="0" w:color="auto"/>
                      </w:divBdr>
                    </w:div>
                  </w:divsChild>
                </w:div>
                <w:div w:id="1385249702">
                  <w:marLeft w:val="0"/>
                  <w:marRight w:val="0"/>
                  <w:marTop w:val="0"/>
                  <w:marBottom w:val="0"/>
                  <w:divBdr>
                    <w:top w:val="none" w:sz="0" w:space="0" w:color="auto"/>
                    <w:left w:val="none" w:sz="0" w:space="0" w:color="auto"/>
                    <w:bottom w:val="none" w:sz="0" w:space="0" w:color="auto"/>
                    <w:right w:val="none" w:sz="0" w:space="0" w:color="auto"/>
                  </w:divBdr>
                  <w:divsChild>
                    <w:div w:id="604969691">
                      <w:marLeft w:val="0"/>
                      <w:marRight w:val="0"/>
                      <w:marTop w:val="0"/>
                      <w:marBottom w:val="0"/>
                      <w:divBdr>
                        <w:top w:val="none" w:sz="0" w:space="0" w:color="auto"/>
                        <w:left w:val="none" w:sz="0" w:space="0" w:color="auto"/>
                        <w:bottom w:val="none" w:sz="0" w:space="0" w:color="auto"/>
                        <w:right w:val="none" w:sz="0" w:space="0" w:color="auto"/>
                      </w:divBdr>
                    </w:div>
                  </w:divsChild>
                </w:div>
                <w:div w:id="1406148747">
                  <w:marLeft w:val="0"/>
                  <w:marRight w:val="0"/>
                  <w:marTop w:val="0"/>
                  <w:marBottom w:val="0"/>
                  <w:divBdr>
                    <w:top w:val="none" w:sz="0" w:space="0" w:color="auto"/>
                    <w:left w:val="none" w:sz="0" w:space="0" w:color="auto"/>
                    <w:bottom w:val="none" w:sz="0" w:space="0" w:color="auto"/>
                    <w:right w:val="none" w:sz="0" w:space="0" w:color="auto"/>
                  </w:divBdr>
                  <w:divsChild>
                    <w:div w:id="208036566">
                      <w:marLeft w:val="0"/>
                      <w:marRight w:val="0"/>
                      <w:marTop w:val="0"/>
                      <w:marBottom w:val="0"/>
                      <w:divBdr>
                        <w:top w:val="none" w:sz="0" w:space="0" w:color="auto"/>
                        <w:left w:val="none" w:sz="0" w:space="0" w:color="auto"/>
                        <w:bottom w:val="none" w:sz="0" w:space="0" w:color="auto"/>
                        <w:right w:val="none" w:sz="0" w:space="0" w:color="auto"/>
                      </w:divBdr>
                    </w:div>
                  </w:divsChild>
                </w:div>
                <w:div w:id="1437140379">
                  <w:marLeft w:val="0"/>
                  <w:marRight w:val="0"/>
                  <w:marTop w:val="0"/>
                  <w:marBottom w:val="0"/>
                  <w:divBdr>
                    <w:top w:val="none" w:sz="0" w:space="0" w:color="auto"/>
                    <w:left w:val="none" w:sz="0" w:space="0" w:color="auto"/>
                    <w:bottom w:val="none" w:sz="0" w:space="0" w:color="auto"/>
                    <w:right w:val="none" w:sz="0" w:space="0" w:color="auto"/>
                  </w:divBdr>
                  <w:divsChild>
                    <w:div w:id="1837845301">
                      <w:marLeft w:val="0"/>
                      <w:marRight w:val="0"/>
                      <w:marTop w:val="0"/>
                      <w:marBottom w:val="0"/>
                      <w:divBdr>
                        <w:top w:val="none" w:sz="0" w:space="0" w:color="auto"/>
                        <w:left w:val="none" w:sz="0" w:space="0" w:color="auto"/>
                        <w:bottom w:val="none" w:sz="0" w:space="0" w:color="auto"/>
                        <w:right w:val="none" w:sz="0" w:space="0" w:color="auto"/>
                      </w:divBdr>
                    </w:div>
                  </w:divsChild>
                </w:div>
                <w:div w:id="1594123075">
                  <w:marLeft w:val="0"/>
                  <w:marRight w:val="0"/>
                  <w:marTop w:val="0"/>
                  <w:marBottom w:val="0"/>
                  <w:divBdr>
                    <w:top w:val="none" w:sz="0" w:space="0" w:color="auto"/>
                    <w:left w:val="none" w:sz="0" w:space="0" w:color="auto"/>
                    <w:bottom w:val="none" w:sz="0" w:space="0" w:color="auto"/>
                    <w:right w:val="none" w:sz="0" w:space="0" w:color="auto"/>
                  </w:divBdr>
                  <w:divsChild>
                    <w:div w:id="40326396">
                      <w:marLeft w:val="0"/>
                      <w:marRight w:val="0"/>
                      <w:marTop w:val="0"/>
                      <w:marBottom w:val="0"/>
                      <w:divBdr>
                        <w:top w:val="none" w:sz="0" w:space="0" w:color="auto"/>
                        <w:left w:val="none" w:sz="0" w:space="0" w:color="auto"/>
                        <w:bottom w:val="none" w:sz="0" w:space="0" w:color="auto"/>
                        <w:right w:val="none" w:sz="0" w:space="0" w:color="auto"/>
                      </w:divBdr>
                    </w:div>
                  </w:divsChild>
                </w:div>
                <w:div w:id="1736926384">
                  <w:marLeft w:val="0"/>
                  <w:marRight w:val="0"/>
                  <w:marTop w:val="0"/>
                  <w:marBottom w:val="0"/>
                  <w:divBdr>
                    <w:top w:val="none" w:sz="0" w:space="0" w:color="auto"/>
                    <w:left w:val="none" w:sz="0" w:space="0" w:color="auto"/>
                    <w:bottom w:val="none" w:sz="0" w:space="0" w:color="auto"/>
                    <w:right w:val="none" w:sz="0" w:space="0" w:color="auto"/>
                  </w:divBdr>
                  <w:divsChild>
                    <w:div w:id="1446579741">
                      <w:marLeft w:val="0"/>
                      <w:marRight w:val="0"/>
                      <w:marTop w:val="0"/>
                      <w:marBottom w:val="0"/>
                      <w:divBdr>
                        <w:top w:val="none" w:sz="0" w:space="0" w:color="auto"/>
                        <w:left w:val="none" w:sz="0" w:space="0" w:color="auto"/>
                        <w:bottom w:val="none" w:sz="0" w:space="0" w:color="auto"/>
                        <w:right w:val="none" w:sz="0" w:space="0" w:color="auto"/>
                      </w:divBdr>
                    </w:div>
                  </w:divsChild>
                </w:div>
                <w:div w:id="1773355097">
                  <w:marLeft w:val="0"/>
                  <w:marRight w:val="0"/>
                  <w:marTop w:val="0"/>
                  <w:marBottom w:val="0"/>
                  <w:divBdr>
                    <w:top w:val="none" w:sz="0" w:space="0" w:color="auto"/>
                    <w:left w:val="none" w:sz="0" w:space="0" w:color="auto"/>
                    <w:bottom w:val="none" w:sz="0" w:space="0" w:color="auto"/>
                    <w:right w:val="none" w:sz="0" w:space="0" w:color="auto"/>
                  </w:divBdr>
                  <w:divsChild>
                    <w:div w:id="150871332">
                      <w:marLeft w:val="0"/>
                      <w:marRight w:val="0"/>
                      <w:marTop w:val="0"/>
                      <w:marBottom w:val="0"/>
                      <w:divBdr>
                        <w:top w:val="none" w:sz="0" w:space="0" w:color="auto"/>
                        <w:left w:val="none" w:sz="0" w:space="0" w:color="auto"/>
                        <w:bottom w:val="none" w:sz="0" w:space="0" w:color="auto"/>
                        <w:right w:val="none" w:sz="0" w:space="0" w:color="auto"/>
                      </w:divBdr>
                    </w:div>
                    <w:div w:id="1908883910">
                      <w:marLeft w:val="0"/>
                      <w:marRight w:val="0"/>
                      <w:marTop w:val="0"/>
                      <w:marBottom w:val="0"/>
                      <w:divBdr>
                        <w:top w:val="none" w:sz="0" w:space="0" w:color="auto"/>
                        <w:left w:val="none" w:sz="0" w:space="0" w:color="auto"/>
                        <w:bottom w:val="none" w:sz="0" w:space="0" w:color="auto"/>
                        <w:right w:val="none" w:sz="0" w:space="0" w:color="auto"/>
                      </w:divBdr>
                    </w:div>
                  </w:divsChild>
                </w:div>
                <w:div w:id="1779909677">
                  <w:marLeft w:val="0"/>
                  <w:marRight w:val="0"/>
                  <w:marTop w:val="0"/>
                  <w:marBottom w:val="0"/>
                  <w:divBdr>
                    <w:top w:val="none" w:sz="0" w:space="0" w:color="auto"/>
                    <w:left w:val="none" w:sz="0" w:space="0" w:color="auto"/>
                    <w:bottom w:val="none" w:sz="0" w:space="0" w:color="auto"/>
                    <w:right w:val="none" w:sz="0" w:space="0" w:color="auto"/>
                  </w:divBdr>
                  <w:divsChild>
                    <w:div w:id="1543711329">
                      <w:marLeft w:val="0"/>
                      <w:marRight w:val="0"/>
                      <w:marTop w:val="0"/>
                      <w:marBottom w:val="0"/>
                      <w:divBdr>
                        <w:top w:val="none" w:sz="0" w:space="0" w:color="auto"/>
                        <w:left w:val="none" w:sz="0" w:space="0" w:color="auto"/>
                        <w:bottom w:val="none" w:sz="0" w:space="0" w:color="auto"/>
                        <w:right w:val="none" w:sz="0" w:space="0" w:color="auto"/>
                      </w:divBdr>
                    </w:div>
                  </w:divsChild>
                </w:div>
                <w:div w:id="1910846482">
                  <w:marLeft w:val="0"/>
                  <w:marRight w:val="0"/>
                  <w:marTop w:val="0"/>
                  <w:marBottom w:val="0"/>
                  <w:divBdr>
                    <w:top w:val="none" w:sz="0" w:space="0" w:color="auto"/>
                    <w:left w:val="none" w:sz="0" w:space="0" w:color="auto"/>
                    <w:bottom w:val="none" w:sz="0" w:space="0" w:color="auto"/>
                    <w:right w:val="none" w:sz="0" w:space="0" w:color="auto"/>
                  </w:divBdr>
                  <w:divsChild>
                    <w:div w:id="436488500">
                      <w:marLeft w:val="0"/>
                      <w:marRight w:val="0"/>
                      <w:marTop w:val="0"/>
                      <w:marBottom w:val="0"/>
                      <w:divBdr>
                        <w:top w:val="none" w:sz="0" w:space="0" w:color="auto"/>
                        <w:left w:val="none" w:sz="0" w:space="0" w:color="auto"/>
                        <w:bottom w:val="none" w:sz="0" w:space="0" w:color="auto"/>
                        <w:right w:val="none" w:sz="0" w:space="0" w:color="auto"/>
                      </w:divBdr>
                    </w:div>
                  </w:divsChild>
                </w:div>
                <w:div w:id="2077167510">
                  <w:marLeft w:val="0"/>
                  <w:marRight w:val="0"/>
                  <w:marTop w:val="0"/>
                  <w:marBottom w:val="0"/>
                  <w:divBdr>
                    <w:top w:val="none" w:sz="0" w:space="0" w:color="auto"/>
                    <w:left w:val="none" w:sz="0" w:space="0" w:color="auto"/>
                    <w:bottom w:val="none" w:sz="0" w:space="0" w:color="auto"/>
                    <w:right w:val="none" w:sz="0" w:space="0" w:color="auto"/>
                  </w:divBdr>
                  <w:divsChild>
                    <w:div w:id="188492626">
                      <w:marLeft w:val="0"/>
                      <w:marRight w:val="0"/>
                      <w:marTop w:val="0"/>
                      <w:marBottom w:val="0"/>
                      <w:divBdr>
                        <w:top w:val="none" w:sz="0" w:space="0" w:color="auto"/>
                        <w:left w:val="none" w:sz="0" w:space="0" w:color="auto"/>
                        <w:bottom w:val="none" w:sz="0" w:space="0" w:color="auto"/>
                        <w:right w:val="none" w:sz="0" w:space="0" w:color="auto"/>
                      </w:divBdr>
                    </w:div>
                    <w:div w:id="529801029">
                      <w:marLeft w:val="0"/>
                      <w:marRight w:val="0"/>
                      <w:marTop w:val="0"/>
                      <w:marBottom w:val="0"/>
                      <w:divBdr>
                        <w:top w:val="none" w:sz="0" w:space="0" w:color="auto"/>
                        <w:left w:val="none" w:sz="0" w:space="0" w:color="auto"/>
                        <w:bottom w:val="none" w:sz="0" w:space="0" w:color="auto"/>
                        <w:right w:val="none" w:sz="0" w:space="0" w:color="auto"/>
                      </w:divBdr>
                    </w:div>
                    <w:div w:id="623462430">
                      <w:marLeft w:val="0"/>
                      <w:marRight w:val="0"/>
                      <w:marTop w:val="0"/>
                      <w:marBottom w:val="0"/>
                      <w:divBdr>
                        <w:top w:val="none" w:sz="0" w:space="0" w:color="auto"/>
                        <w:left w:val="none" w:sz="0" w:space="0" w:color="auto"/>
                        <w:bottom w:val="none" w:sz="0" w:space="0" w:color="auto"/>
                        <w:right w:val="none" w:sz="0" w:space="0" w:color="auto"/>
                      </w:divBdr>
                    </w:div>
                    <w:div w:id="755126264">
                      <w:marLeft w:val="0"/>
                      <w:marRight w:val="0"/>
                      <w:marTop w:val="0"/>
                      <w:marBottom w:val="0"/>
                      <w:divBdr>
                        <w:top w:val="none" w:sz="0" w:space="0" w:color="auto"/>
                        <w:left w:val="none" w:sz="0" w:space="0" w:color="auto"/>
                        <w:bottom w:val="none" w:sz="0" w:space="0" w:color="auto"/>
                        <w:right w:val="none" w:sz="0" w:space="0" w:color="auto"/>
                      </w:divBdr>
                    </w:div>
                    <w:div w:id="1865244553">
                      <w:marLeft w:val="0"/>
                      <w:marRight w:val="0"/>
                      <w:marTop w:val="0"/>
                      <w:marBottom w:val="0"/>
                      <w:divBdr>
                        <w:top w:val="none" w:sz="0" w:space="0" w:color="auto"/>
                        <w:left w:val="none" w:sz="0" w:space="0" w:color="auto"/>
                        <w:bottom w:val="none" w:sz="0" w:space="0" w:color="auto"/>
                        <w:right w:val="none" w:sz="0" w:space="0" w:color="auto"/>
                      </w:divBdr>
                    </w:div>
                    <w:div w:id="2123070982">
                      <w:marLeft w:val="0"/>
                      <w:marRight w:val="0"/>
                      <w:marTop w:val="0"/>
                      <w:marBottom w:val="0"/>
                      <w:divBdr>
                        <w:top w:val="none" w:sz="0" w:space="0" w:color="auto"/>
                        <w:left w:val="none" w:sz="0" w:space="0" w:color="auto"/>
                        <w:bottom w:val="none" w:sz="0" w:space="0" w:color="auto"/>
                        <w:right w:val="none" w:sz="0" w:space="0" w:color="auto"/>
                      </w:divBdr>
                    </w:div>
                  </w:divsChild>
                </w:div>
                <w:div w:id="2112702351">
                  <w:marLeft w:val="0"/>
                  <w:marRight w:val="0"/>
                  <w:marTop w:val="0"/>
                  <w:marBottom w:val="0"/>
                  <w:divBdr>
                    <w:top w:val="none" w:sz="0" w:space="0" w:color="auto"/>
                    <w:left w:val="none" w:sz="0" w:space="0" w:color="auto"/>
                    <w:bottom w:val="none" w:sz="0" w:space="0" w:color="auto"/>
                    <w:right w:val="none" w:sz="0" w:space="0" w:color="auto"/>
                  </w:divBdr>
                  <w:divsChild>
                    <w:div w:id="1959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83118">
      <w:bodyDiv w:val="1"/>
      <w:marLeft w:val="0"/>
      <w:marRight w:val="0"/>
      <w:marTop w:val="0"/>
      <w:marBottom w:val="0"/>
      <w:divBdr>
        <w:top w:val="none" w:sz="0" w:space="0" w:color="auto"/>
        <w:left w:val="none" w:sz="0" w:space="0" w:color="auto"/>
        <w:bottom w:val="none" w:sz="0" w:space="0" w:color="auto"/>
        <w:right w:val="none" w:sz="0" w:space="0" w:color="auto"/>
      </w:divBdr>
      <w:divsChild>
        <w:div w:id="74789834">
          <w:marLeft w:val="0"/>
          <w:marRight w:val="0"/>
          <w:marTop w:val="0"/>
          <w:marBottom w:val="0"/>
          <w:divBdr>
            <w:top w:val="none" w:sz="0" w:space="0" w:color="auto"/>
            <w:left w:val="none" w:sz="0" w:space="0" w:color="auto"/>
            <w:bottom w:val="none" w:sz="0" w:space="0" w:color="auto"/>
            <w:right w:val="none" w:sz="0" w:space="0" w:color="auto"/>
          </w:divBdr>
        </w:div>
        <w:div w:id="695428940">
          <w:marLeft w:val="0"/>
          <w:marRight w:val="0"/>
          <w:marTop w:val="0"/>
          <w:marBottom w:val="0"/>
          <w:divBdr>
            <w:top w:val="none" w:sz="0" w:space="0" w:color="auto"/>
            <w:left w:val="none" w:sz="0" w:space="0" w:color="auto"/>
            <w:bottom w:val="none" w:sz="0" w:space="0" w:color="auto"/>
            <w:right w:val="none" w:sz="0" w:space="0" w:color="auto"/>
          </w:divBdr>
        </w:div>
        <w:div w:id="1207719983">
          <w:marLeft w:val="0"/>
          <w:marRight w:val="0"/>
          <w:marTop w:val="0"/>
          <w:marBottom w:val="0"/>
          <w:divBdr>
            <w:top w:val="none" w:sz="0" w:space="0" w:color="auto"/>
            <w:left w:val="none" w:sz="0" w:space="0" w:color="auto"/>
            <w:bottom w:val="none" w:sz="0" w:space="0" w:color="auto"/>
            <w:right w:val="none" w:sz="0" w:space="0" w:color="auto"/>
          </w:divBdr>
        </w:div>
        <w:div w:id="1281573384">
          <w:marLeft w:val="0"/>
          <w:marRight w:val="0"/>
          <w:marTop w:val="0"/>
          <w:marBottom w:val="0"/>
          <w:divBdr>
            <w:top w:val="none" w:sz="0" w:space="0" w:color="auto"/>
            <w:left w:val="none" w:sz="0" w:space="0" w:color="auto"/>
            <w:bottom w:val="none" w:sz="0" w:space="0" w:color="auto"/>
            <w:right w:val="none" w:sz="0" w:space="0" w:color="auto"/>
          </w:divBdr>
        </w:div>
        <w:div w:id="1390420748">
          <w:marLeft w:val="0"/>
          <w:marRight w:val="0"/>
          <w:marTop w:val="0"/>
          <w:marBottom w:val="0"/>
          <w:divBdr>
            <w:top w:val="none" w:sz="0" w:space="0" w:color="auto"/>
            <w:left w:val="none" w:sz="0" w:space="0" w:color="auto"/>
            <w:bottom w:val="none" w:sz="0" w:space="0" w:color="auto"/>
            <w:right w:val="none" w:sz="0" w:space="0" w:color="auto"/>
          </w:divBdr>
        </w:div>
        <w:div w:id="1400976454">
          <w:marLeft w:val="0"/>
          <w:marRight w:val="0"/>
          <w:marTop w:val="0"/>
          <w:marBottom w:val="0"/>
          <w:divBdr>
            <w:top w:val="none" w:sz="0" w:space="0" w:color="auto"/>
            <w:left w:val="none" w:sz="0" w:space="0" w:color="auto"/>
            <w:bottom w:val="none" w:sz="0" w:space="0" w:color="auto"/>
            <w:right w:val="none" w:sz="0" w:space="0" w:color="auto"/>
          </w:divBdr>
        </w:div>
        <w:div w:id="1475876684">
          <w:marLeft w:val="0"/>
          <w:marRight w:val="0"/>
          <w:marTop w:val="0"/>
          <w:marBottom w:val="0"/>
          <w:divBdr>
            <w:top w:val="none" w:sz="0" w:space="0" w:color="auto"/>
            <w:left w:val="none" w:sz="0" w:space="0" w:color="auto"/>
            <w:bottom w:val="none" w:sz="0" w:space="0" w:color="auto"/>
            <w:right w:val="none" w:sz="0" w:space="0" w:color="auto"/>
          </w:divBdr>
        </w:div>
        <w:div w:id="1690134137">
          <w:marLeft w:val="0"/>
          <w:marRight w:val="0"/>
          <w:marTop w:val="0"/>
          <w:marBottom w:val="0"/>
          <w:divBdr>
            <w:top w:val="none" w:sz="0" w:space="0" w:color="auto"/>
            <w:left w:val="none" w:sz="0" w:space="0" w:color="auto"/>
            <w:bottom w:val="none" w:sz="0" w:space="0" w:color="auto"/>
            <w:right w:val="none" w:sz="0" w:space="0" w:color="auto"/>
          </w:divBdr>
        </w:div>
      </w:divsChild>
    </w:div>
    <w:div w:id="1929072074">
      <w:bodyDiv w:val="1"/>
      <w:marLeft w:val="0"/>
      <w:marRight w:val="0"/>
      <w:marTop w:val="0"/>
      <w:marBottom w:val="0"/>
      <w:divBdr>
        <w:top w:val="none" w:sz="0" w:space="0" w:color="auto"/>
        <w:left w:val="none" w:sz="0" w:space="0" w:color="auto"/>
        <w:bottom w:val="none" w:sz="0" w:space="0" w:color="auto"/>
        <w:right w:val="none" w:sz="0" w:space="0" w:color="auto"/>
      </w:divBdr>
      <w:divsChild>
        <w:div w:id="506140051">
          <w:marLeft w:val="0"/>
          <w:marRight w:val="0"/>
          <w:marTop w:val="0"/>
          <w:marBottom w:val="0"/>
          <w:divBdr>
            <w:top w:val="none" w:sz="0" w:space="0" w:color="auto"/>
            <w:left w:val="none" w:sz="0" w:space="0" w:color="auto"/>
            <w:bottom w:val="none" w:sz="0" w:space="0" w:color="auto"/>
            <w:right w:val="none" w:sz="0" w:space="0" w:color="auto"/>
          </w:divBdr>
        </w:div>
        <w:div w:id="939920732">
          <w:marLeft w:val="0"/>
          <w:marRight w:val="0"/>
          <w:marTop w:val="0"/>
          <w:marBottom w:val="0"/>
          <w:divBdr>
            <w:top w:val="none" w:sz="0" w:space="0" w:color="auto"/>
            <w:left w:val="none" w:sz="0" w:space="0" w:color="auto"/>
            <w:bottom w:val="none" w:sz="0" w:space="0" w:color="auto"/>
            <w:right w:val="none" w:sz="0" w:space="0" w:color="auto"/>
          </w:divBdr>
        </w:div>
        <w:div w:id="2098015491">
          <w:marLeft w:val="0"/>
          <w:marRight w:val="0"/>
          <w:marTop w:val="0"/>
          <w:marBottom w:val="0"/>
          <w:divBdr>
            <w:top w:val="none" w:sz="0" w:space="0" w:color="auto"/>
            <w:left w:val="none" w:sz="0" w:space="0" w:color="auto"/>
            <w:bottom w:val="none" w:sz="0" w:space="0" w:color="auto"/>
            <w:right w:val="none" w:sz="0" w:space="0" w:color="auto"/>
          </w:divBdr>
        </w:div>
      </w:divsChild>
    </w:div>
    <w:div w:id="1933778972">
      <w:bodyDiv w:val="1"/>
      <w:marLeft w:val="0"/>
      <w:marRight w:val="0"/>
      <w:marTop w:val="0"/>
      <w:marBottom w:val="0"/>
      <w:divBdr>
        <w:top w:val="none" w:sz="0" w:space="0" w:color="auto"/>
        <w:left w:val="none" w:sz="0" w:space="0" w:color="auto"/>
        <w:bottom w:val="none" w:sz="0" w:space="0" w:color="auto"/>
        <w:right w:val="none" w:sz="0" w:space="0" w:color="auto"/>
      </w:divBdr>
      <w:divsChild>
        <w:div w:id="633606904">
          <w:marLeft w:val="0"/>
          <w:marRight w:val="0"/>
          <w:marTop w:val="0"/>
          <w:marBottom w:val="0"/>
          <w:divBdr>
            <w:top w:val="none" w:sz="0" w:space="0" w:color="auto"/>
            <w:left w:val="none" w:sz="0" w:space="0" w:color="auto"/>
            <w:bottom w:val="none" w:sz="0" w:space="0" w:color="auto"/>
            <w:right w:val="none" w:sz="0" w:space="0" w:color="auto"/>
          </w:divBdr>
        </w:div>
        <w:div w:id="1266888379">
          <w:marLeft w:val="0"/>
          <w:marRight w:val="0"/>
          <w:marTop w:val="0"/>
          <w:marBottom w:val="0"/>
          <w:divBdr>
            <w:top w:val="none" w:sz="0" w:space="0" w:color="auto"/>
            <w:left w:val="none" w:sz="0" w:space="0" w:color="auto"/>
            <w:bottom w:val="none" w:sz="0" w:space="0" w:color="auto"/>
            <w:right w:val="none" w:sz="0" w:space="0" w:color="auto"/>
          </w:divBdr>
        </w:div>
        <w:div w:id="137241623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2879102">
      <w:bodyDiv w:val="1"/>
      <w:marLeft w:val="0"/>
      <w:marRight w:val="0"/>
      <w:marTop w:val="0"/>
      <w:marBottom w:val="0"/>
      <w:divBdr>
        <w:top w:val="none" w:sz="0" w:space="0" w:color="auto"/>
        <w:left w:val="none" w:sz="0" w:space="0" w:color="auto"/>
        <w:bottom w:val="none" w:sz="0" w:space="0" w:color="auto"/>
        <w:right w:val="none" w:sz="0" w:space="0" w:color="auto"/>
      </w:divBdr>
      <w:divsChild>
        <w:div w:id="548686443">
          <w:marLeft w:val="0"/>
          <w:marRight w:val="0"/>
          <w:marTop w:val="0"/>
          <w:marBottom w:val="0"/>
          <w:divBdr>
            <w:top w:val="none" w:sz="0" w:space="0" w:color="auto"/>
            <w:left w:val="none" w:sz="0" w:space="0" w:color="auto"/>
            <w:bottom w:val="none" w:sz="0" w:space="0" w:color="auto"/>
            <w:right w:val="none" w:sz="0" w:space="0" w:color="auto"/>
          </w:divBdr>
        </w:div>
        <w:div w:id="566113405">
          <w:marLeft w:val="0"/>
          <w:marRight w:val="0"/>
          <w:marTop w:val="0"/>
          <w:marBottom w:val="0"/>
          <w:divBdr>
            <w:top w:val="none" w:sz="0" w:space="0" w:color="auto"/>
            <w:left w:val="none" w:sz="0" w:space="0" w:color="auto"/>
            <w:bottom w:val="none" w:sz="0" w:space="0" w:color="auto"/>
            <w:right w:val="none" w:sz="0" w:space="0" w:color="auto"/>
          </w:divBdr>
        </w:div>
        <w:div w:id="945505404">
          <w:marLeft w:val="0"/>
          <w:marRight w:val="0"/>
          <w:marTop w:val="0"/>
          <w:marBottom w:val="0"/>
          <w:divBdr>
            <w:top w:val="none" w:sz="0" w:space="0" w:color="auto"/>
            <w:left w:val="none" w:sz="0" w:space="0" w:color="auto"/>
            <w:bottom w:val="none" w:sz="0" w:space="0" w:color="auto"/>
            <w:right w:val="none" w:sz="0" w:space="0" w:color="auto"/>
          </w:divBdr>
        </w:div>
        <w:div w:id="1400637241">
          <w:marLeft w:val="0"/>
          <w:marRight w:val="0"/>
          <w:marTop w:val="0"/>
          <w:marBottom w:val="0"/>
          <w:divBdr>
            <w:top w:val="none" w:sz="0" w:space="0" w:color="auto"/>
            <w:left w:val="none" w:sz="0" w:space="0" w:color="auto"/>
            <w:bottom w:val="none" w:sz="0" w:space="0" w:color="auto"/>
            <w:right w:val="none" w:sz="0" w:space="0" w:color="auto"/>
          </w:divBdr>
        </w:div>
        <w:div w:id="1896770766">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4093075">
      <w:bodyDiv w:val="1"/>
      <w:marLeft w:val="0"/>
      <w:marRight w:val="0"/>
      <w:marTop w:val="0"/>
      <w:marBottom w:val="0"/>
      <w:divBdr>
        <w:top w:val="none" w:sz="0" w:space="0" w:color="auto"/>
        <w:left w:val="none" w:sz="0" w:space="0" w:color="auto"/>
        <w:bottom w:val="none" w:sz="0" w:space="0" w:color="auto"/>
        <w:right w:val="none" w:sz="0" w:space="0" w:color="auto"/>
      </w:divBdr>
      <w:divsChild>
        <w:div w:id="453135952">
          <w:marLeft w:val="0"/>
          <w:marRight w:val="0"/>
          <w:marTop w:val="0"/>
          <w:marBottom w:val="0"/>
          <w:divBdr>
            <w:top w:val="none" w:sz="0" w:space="0" w:color="auto"/>
            <w:left w:val="none" w:sz="0" w:space="0" w:color="auto"/>
            <w:bottom w:val="none" w:sz="0" w:space="0" w:color="auto"/>
            <w:right w:val="none" w:sz="0" w:space="0" w:color="auto"/>
          </w:divBdr>
          <w:divsChild>
            <w:div w:id="217208071">
              <w:marLeft w:val="0"/>
              <w:marRight w:val="0"/>
              <w:marTop w:val="30"/>
              <w:marBottom w:val="30"/>
              <w:divBdr>
                <w:top w:val="none" w:sz="0" w:space="0" w:color="auto"/>
                <w:left w:val="none" w:sz="0" w:space="0" w:color="auto"/>
                <w:bottom w:val="none" w:sz="0" w:space="0" w:color="auto"/>
                <w:right w:val="none" w:sz="0" w:space="0" w:color="auto"/>
              </w:divBdr>
              <w:divsChild>
                <w:div w:id="25063983">
                  <w:marLeft w:val="0"/>
                  <w:marRight w:val="0"/>
                  <w:marTop w:val="0"/>
                  <w:marBottom w:val="0"/>
                  <w:divBdr>
                    <w:top w:val="none" w:sz="0" w:space="0" w:color="auto"/>
                    <w:left w:val="none" w:sz="0" w:space="0" w:color="auto"/>
                    <w:bottom w:val="none" w:sz="0" w:space="0" w:color="auto"/>
                    <w:right w:val="none" w:sz="0" w:space="0" w:color="auto"/>
                  </w:divBdr>
                  <w:divsChild>
                    <w:div w:id="780491088">
                      <w:marLeft w:val="0"/>
                      <w:marRight w:val="0"/>
                      <w:marTop w:val="0"/>
                      <w:marBottom w:val="0"/>
                      <w:divBdr>
                        <w:top w:val="none" w:sz="0" w:space="0" w:color="auto"/>
                        <w:left w:val="none" w:sz="0" w:space="0" w:color="auto"/>
                        <w:bottom w:val="none" w:sz="0" w:space="0" w:color="auto"/>
                        <w:right w:val="none" w:sz="0" w:space="0" w:color="auto"/>
                      </w:divBdr>
                    </w:div>
                  </w:divsChild>
                </w:div>
                <w:div w:id="33192209">
                  <w:marLeft w:val="0"/>
                  <w:marRight w:val="0"/>
                  <w:marTop w:val="0"/>
                  <w:marBottom w:val="0"/>
                  <w:divBdr>
                    <w:top w:val="none" w:sz="0" w:space="0" w:color="auto"/>
                    <w:left w:val="none" w:sz="0" w:space="0" w:color="auto"/>
                    <w:bottom w:val="none" w:sz="0" w:space="0" w:color="auto"/>
                    <w:right w:val="none" w:sz="0" w:space="0" w:color="auto"/>
                  </w:divBdr>
                  <w:divsChild>
                    <w:div w:id="1625386642">
                      <w:marLeft w:val="0"/>
                      <w:marRight w:val="0"/>
                      <w:marTop w:val="0"/>
                      <w:marBottom w:val="0"/>
                      <w:divBdr>
                        <w:top w:val="none" w:sz="0" w:space="0" w:color="auto"/>
                        <w:left w:val="none" w:sz="0" w:space="0" w:color="auto"/>
                        <w:bottom w:val="none" w:sz="0" w:space="0" w:color="auto"/>
                        <w:right w:val="none" w:sz="0" w:space="0" w:color="auto"/>
                      </w:divBdr>
                    </w:div>
                  </w:divsChild>
                </w:div>
                <w:div w:id="40204540">
                  <w:marLeft w:val="0"/>
                  <w:marRight w:val="0"/>
                  <w:marTop w:val="0"/>
                  <w:marBottom w:val="0"/>
                  <w:divBdr>
                    <w:top w:val="none" w:sz="0" w:space="0" w:color="auto"/>
                    <w:left w:val="none" w:sz="0" w:space="0" w:color="auto"/>
                    <w:bottom w:val="none" w:sz="0" w:space="0" w:color="auto"/>
                    <w:right w:val="none" w:sz="0" w:space="0" w:color="auto"/>
                  </w:divBdr>
                  <w:divsChild>
                    <w:div w:id="882910114">
                      <w:marLeft w:val="0"/>
                      <w:marRight w:val="0"/>
                      <w:marTop w:val="0"/>
                      <w:marBottom w:val="0"/>
                      <w:divBdr>
                        <w:top w:val="none" w:sz="0" w:space="0" w:color="auto"/>
                        <w:left w:val="none" w:sz="0" w:space="0" w:color="auto"/>
                        <w:bottom w:val="none" w:sz="0" w:space="0" w:color="auto"/>
                        <w:right w:val="none" w:sz="0" w:space="0" w:color="auto"/>
                      </w:divBdr>
                    </w:div>
                  </w:divsChild>
                </w:div>
                <w:div w:id="222064215">
                  <w:marLeft w:val="0"/>
                  <w:marRight w:val="0"/>
                  <w:marTop w:val="0"/>
                  <w:marBottom w:val="0"/>
                  <w:divBdr>
                    <w:top w:val="none" w:sz="0" w:space="0" w:color="auto"/>
                    <w:left w:val="none" w:sz="0" w:space="0" w:color="auto"/>
                    <w:bottom w:val="none" w:sz="0" w:space="0" w:color="auto"/>
                    <w:right w:val="none" w:sz="0" w:space="0" w:color="auto"/>
                  </w:divBdr>
                  <w:divsChild>
                    <w:div w:id="1956402526">
                      <w:marLeft w:val="0"/>
                      <w:marRight w:val="0"/>
                      <w:marTop w:val="0"/>
                      <w:marBottom w:val="0"/>
                      <w:divBdr>
                        <w:top w:val="none" w:sz="0" w:space="0" w:color="auto"/>
                        <w:left w:val="none" w:sz="0" w:space="0" w:color="auto"/>
                        <w:bottom w:val="none" w:sz="0" w:space="0" w:color="auto"/>
                        <w:right w:val="none" w:sz="0" w:space="0" w:color="auto"/>
                      </w:divBdr>
                    </w:div>
                  </w:divsChild>
                </w:div>
                <w:div w:id="518012005">
                  <w:marLeft w:val="0"/>
                  <w:marRight w:val="0"/>
                  <w:marTop w:val="0"/>
                  <w:marBottom w:val="0"/>
                  <w:divBdr>
                    <w:top w:val="none" w:sz="0" w:space="0" w:color="auto"/>
                    <w:left w:val="none" w:sz="0" w:space="0" w:color="auto"/>
                    <w:bottom w:val="none" w:sz="0" w:space="0" w:color="auto"/>
                    <w:right w:val="none" w:sz="0" w:space="0" w:color="auto"/>
                  </w:divBdr>
                  <w:divsChild>
                    <w:div w:id="1417365957">
                      <w:marLeft w:val="0"/>
                      <w:marRight w:val="0"/>
                      <w:marTop w:val="0"/>
                      <w:marBottom w:val="0"/>
                      <w:divBdr>
                        <w:top w:val="none" w:sz="0" w:space="0" w:color="auto"/>
                        <w:left w:val="none" w:sz="0" w:space="0" w:color="auto"/>
                        <w:bottom w:val="none" w:sz="0" w:space="0" w:color="auto"/>
                        <w:right w:val="none" w:sz="0" w:space="0" w:color="auto"/>
                      </w:divBdr>
                    </w:div>
                  </w:divsChild>
                </w:div>
                <w:div w:id="577180845">
                  <w:marLeft w:val="0"/>
                  <w:marRight w:val="0"/>
                  <w:marTop w:val="0"/>
                  <w:marBottom w:val="0"/>
                  <w:divBdr>
                    <w:top w:val="none" w:sz="0" w:space="0" w:color="auto"/>
                    <w:left w:val="none" w:sz="0" w:space="0" w:color="auto"/>
                    <w:bottom w:val="none" w:sz="0" w:space="0" w:color="auto"/>
                    <w:right w:val="none" w:sz="0" w:space="0" w:color="auto"/>
                  </w:divBdr>
                  <w:divsChild>
                    <w:div w:id="45446597">
                      <w:marLeft w:val="0"/>
                      <w:marRight w:val="0"/>
                      <w:marTop w:val="0"/>
                      <w:marBottom w:val="0"/>
                      <w:divBdr>
                        <w:top w:val="none" w:sz="0" w:space="0" w:color="auto"/>
                        <w:left w:val="none" w:sz="0" w:space="0" w:color="auto"/>
                        <w:bottom w:val="none" w:sz="0" w:space="0" w:color="auto"/>
                        <w:right w:val="none" w:sz="0" w:space="0" w:color="auto"/>
                      </w:divBdr>
                    </w:div>
                  </w:divsChild>
                </w:div>
                <w:div w:id="683626772">
                  <w:marLeft w:val="0"/>
                  <w:marRight w:val="0"/>
                  <w:marTop w:val="0"/>
                  <w:marBottom w:val="0"/>
                  <w:divBdr>
                    <w:top w:val="none" w:sz="0" w:space="0" w:color="auto"/>
                    <w:left w:val="none" w:sz="0" w:space="0" w:color="auto"/>
                    <w:bottom w:val="none" w:sz="0" w:space="0" w:color="auto"/>
                    <w:right w:val="none" w:sz="0" w:space="0" w:color="auto"/>
                  </w:divBdr>
                  <w:divsChild>
                    <w:div w:id="432166802">
                      <w:marLeft w:val="0"/>
                      <w:marRight w:val="0"/>
                      <w:marTop w:val="0"/>
                      <w:marBottom w:val="0"/>
                      <w:divBdr>
                        <w:top w:val="none" w:sz="0" w:space="0" w:color="auto"/>
                        <w:left w:val="none" w:sz="0" w:space="0" w:color="auto"/>
                        <w:bottom w:val="none" w:sz="0" w:space="0" w:color="auto"/>
                        <w:right w:val="none" w:sz="0" w:space="0" w:color="auto"/>
                      </w:divBdr>
                    </w:div>
                  </w:divsChild>
                </w:div>
                <w:div w:id="685643258">
                  <w:marLeft w:val="0"/>
                  <w:marRight w:val="0"/>
                  <w:marTop w:val="0"/>
                  <w:marBottom w:val="0"/>
                  <w:divBdr>
                    <w:top w:val="none" w:sz="0" w:space="0" w:color="auto"/>
                    <w:left w:val="none" w:sz="0" w:space="0" w:color="auto"/>
                    <w:bottom w:val="none" w:sz="0" w:space="0" w:color="auto"/>
                    <w:right w:val="none" w:sz="0" w:space="0" w:color="auto"/>
                  </w:divBdr>
                  <w:divsChild>
                    <w:div w:id="1538739340">
                      <w:marLeft w:val="0"/>
                      <w:marRight w:val="0"/>
                      <w:marTop w:val="0"/>
                      <w:marBottom w:val="0"/>
                      <w:divBdr>
                        <w:top w:val="none" w:sz="0" w:space="0" w:color="auto"/>
                        <w:left w:val="none" w:sz="0" w:space="0" w:color="auto"/>
                        <w:bottom w:val="none" w:sz="0" w:space="0" w:color="auto"/>
                        <w:right w:val="none" w:sz="0" w:space="0" w:color="auto"/>
                      </w:divBdr>
                    </w:div>
                  </w:divsChild>
                </w:div>
                <w:div w:id="754014240">
                  <w:marLeft w:val="0"/>
                  <w:marRight w:val="0"/>
                  <w:marTop w:val="0"/>
                  <w:marBottom w:val="0"/>
                  <w:divBdr>
                    <w:top w:val="none" w:sz="0" w:space="0" w:color="auto"/>
                    <w:left w:val="none" w:sz="0" w:space="0" w:color="auto"/>
                    <w:bottom w:val="none" w:sz="0" w:space="0" w:color="auto"/>
                    <w:right w:val="none" w:sz="0" w:space="0" w:color="auto"/>
                  </w:divBdr>
                  <w:divsChild>
                    <w:div w:id="239293834">
                      <w:marLeft w:val="0"/>
                      <w:marRight w:val="0"/>
                      <w:marTop w:val="0"/>
                      <w:marBottom w:val="0"/>
                      <w:divBdr>
                        <w:top w:val="none" w:sz="0" w:space="0" w:color="auto"/>
                        <w:left w:val="none" w:sz="0" w:space="0" w:color="auto"/>
                        <w:bottom w:val="none" w:sz="0" w:space="0" w:color="auto"/>
                        <w:right w:val="none" w:sz="0" w:space="0" w:color="auto"/>
                      </w:divBdr>
                    </w:div>
                  </w:divsChild>
                </w:div>
                <w:div w:id="918903700">
                  <w:marLeft w:val="0"/>
                  <w:marRight w:val="0"/>
                  <w:marTop w:val="0"/>
                  <w:marBottom w:val="0"/>
                  <w:divBdr>
                    <w:top w:val="none" w:sz="0" w:space="0" w:color="auto"/>
                    <w:left w:val="none" w:sz="0" w:space="0" w:color="auto"/>
                    <w:bottom w:val="none" w:sz="0" w:space="0" w:color="auto"/>
                    <w:right w:val="none" w:sz="0" w:space="0" w:color="auto"/>
                  </w:divBdr>
                  <w:divsChild>
                    <w:div w:id="259147795">
                      <w:marLeft w:val="0"/>
                      <w:marRight w:val="0"/>
                      <w:marTop w:val="0"/>
                      <w:marBottom w:val="0"/>
                      <w:divBdr>
                        <w:top w:val="none" w:sz="0" w:space="0" w:color="auto"/>
                        <w:left w:val="none" w:sz="0" w:space="0" w:color="auto"/>
                        <w:bottom w:val="none" w:sz="0" w:space="0" w:color="auto"/>
                        <w:right w:val="none" w:sz="0" w:space="0" w:color="auto"/>
                      </w:divBdr>
                    </w:div>
                    <w:div w:id="264727248">
                      <w:marLeft w:val="0"/>
                      <w:marRight w:val="0"/>
                      <w:marTop w:val="0"/>
                      <w:marBottom w:val="0"/>
                      <w:divBdr>
                        <w:top w:val="none" w:sz="0" w:space="0" w:color="auto"/>
                        <w:left w:val="none" w:sz="0" w:space="0" w:color="auto"/>
                        <w:bottom w:val="none" w:sz="0" w:space="0" w:color="auto"/>
                        <w:right w:val="none" w:sz="0" w:space="0" w:color="auto"/>
                      </w:divBdr>
                    </w:div>
                    <w:div w:id="533230826">
                      <w:marLeft w:val="0"/>
                      <w:marRight w:val="0"/>
                      <w:marTop w:val="0"/>
                      <w:marBottom w:val="0"/>
                      <w:divBdr>
                        <w:top w:val="none" w:sz="0" w:space="0" w:color="auto"/>
                        <w:left w:val="none" w:sz="0" w:space="0" w:color="auto"/>
                        <w:bottom w:val="none" w:sz="0" w:space="0" w:color="auto"/>
                        <w:right w:val="none" w:sz="0" w:space="0" w:color="auto"/>
                      </w:divBdr>
                    </w:div>
                    <w:div w:id="547184482">
                      <w:marLeft w:val="0"/>
                      <w:marRight w:val="0"/>
                      <w:marTop w:val="0"/>
                      <w:marBottom w:val="0"/>
                      <w:divBdr>
                        <w:top w:val="none" w:sz="0" w:space="0" w:color="auto"/>
                        <w:left w:val="none" w:sz="0" w:space="0" w:color="auto"/>
                        <w:bottom w:val="none" w:sz="0" w:space="0" w:color="auto"/>
                        <w:right w:val="none" w:sz="0" w:space="0" w:color="auto"/>
                      </w:divBdr>
                    </w:div>
                    <w:div w:id="574439261">
                      <w:marLeft w:val="0"/>
                      <w:marRight w:val="0"/>
                      <w:marTop w:val="0"/>
                      <w:marBottom w:val="0"/>
                      <w:divBdr>
                        <w:top w:val="none" w:sz="0" w:space="0" w:color="auto"/>
                        <w:left w:val="none" w:sz="0" w:space="0" w:color="auto"/>
                        <w:bottom w:val="none" w:sz="0" w:space="0" w:color="auto"/>
                        <w:right w:val="none" w:sz="0" w:space="0" w:color="auto"/>
                      </w:divBdr>
                    </w:div>
                    <w:div w:id="751245054">
                      <w:marLeft w:val="0"/>
                      <w:marRight w:val="0"/>
                      <w:marTop w:val="0"/>
                      <w:marBottom w:val="0"/>
                      <w:divBdr>
                        <w:top w:val="none" w:sz="0" w:space="0" w:color="auto"/>
                        <w:left w:val="none" w:sz="0" w:space="0" w:color="auto"/>
                        <w:bottom w:val="none" w:sz="0" w:space="0" w:color="auto"/>
                        <w:right w:val="none" w:sz="0" w:space="0" w:color="auto"/>
                      </w:divBdr>
                    </w:div>
                    <w:div w:id="1522279658">
                      <w:marLeft w:val="0"/>
                      <w:marRight w:val="0"/>
                      <w:marTop w:val="0"/>
                      <w:marBottom w:val="0"/>
                      <w:divBdr>
                        <w:top w:val="none" w:sz="0" w:space="0" w:color="auto"/>
                        <w:left w:val="none" w:sz="0" w:space="0" w:color="auto"/>
                        <w:bottom w:val="none" w:sz="0" w:space="0" w:color="auto"/>
                        <w:right w:val="none" w:sz="0" w:space="0" w:color="auto"/>
                      </w:divBdr>
                    </w:div>
                    <w:div w:id="1547451490">
                      <w:marLeft w:val="0"/>
                      <w:marRight w:val="0"/>
                      <w:marTop w:val="0"/>
                      <w:marBottom w:val="0"/>
                      <w:divBdr>
                        <w:top w:val="none" w:sz="0" w:space="0" w:color="auto"/>
                        <w:left w:val="none" w:sz="0" w:space="0" w:color="auto"/>
                        <w:bottom w:val="none" w:sz="0" w:space="0" w:color="auto"/>
                        <w:right w:val="none" w:sz="0" w:space="0" w:color="auto"/>
                      </w:divBdr>
                    </w:div>
                    <w:div w:id="1624531425">
                      <w:marLeft w:val="0"/>
                      <w:marRight w:val="0"/>
                      <w:marTop w:val="0"/>
                      <w:marBottom w:val="0"/>
                      <w:divBdr>
                        <w:top w:val="none" w:sz="0" w:space="0" w:color="auto"/>
                        <w:left w:val="none" w:sz="0" w:space="0" w:color="auto"/>
                        <w:bottom w:val="none" w:sz="0" w:space="0" w:color="auto"/>
                        <w:right w:val="none" w:sz="0" w:space="0" w:color="auto"/>
                      </w:divBdr>
                    </w:div>
                    <w:div w:id="1794250102">
                      <w:marLeft w:val="0"/>
                      <w:marRight w:val="0"/>
                      <w:marTop w:val="0"/>
                      <w:marBottom w:val="0"/>
                      <w:divBdr>
                        <w:top w:val="none" w:sz="0" w:space="0" w:color="auto"/>
                        <w:left w:val="none" w:sz="0" w:space="0" w:color="auto"/>
                        <w:bottom w:val="none" w:sz="0" w:space="0" w:color="auto"/>
                        <w:right w:val="none" w:sz="0" w:space="0" w:color="auto"/>
                      </w:divBdr>
                    </w:div>
                  </w:divsChild>
                </w:div>
                <w:div w:id="1154833438">
                  <w:marLeft w:val="0"/>
                  <w:marRight w:val="0"/>
                  <w:marTop w:val="0"/>
                  <w:marBottom w:val="0"/>
                  <w:divBdr>
                    <w:top w:val="none" w:sz="0" w:space="0" w:color="auto"/>
                    <w:left w:val="none" w:sz="0" w:space="0" w:color="auto"/>
                    <w:bottom w:val="none" w:sz="0" w:space="0" w:color="auto"/>
                    <w:right w:val="none" w:sz="0" w:space="0" w:color="auto"/>
                  </w:divBdr>
                  <w:divsChild>
                    <w:div w:id="488591898">
                      <w:marLeft w:val="0"/>
                      <w:marRight w:val="0"/>
                      <w:marTop w:val="0"/>
                      <w:marBottom w:val="0"/>
                      <w:divBdr>
                        <w:top w:val="none" w:sz="0" w:space="0" w:color="auto"/>
                        <w:left w:val="none" w:sz="0" w:space="0" w:color="auto"/>
                        <w:bottom w:val="none" w:sz="0" w:space="0" w:color="auto"/>
                        <w:right w:val="none" w:sz="0" w:space="0" w:color="auto"/>
                      </w:divBdr>
                    </w:div>
                  </w:divsChild>
                </w:div>
                <w:div w:id="1170410808">
                  <w:marLeft w:val="0"/>
                  <w:marRight w:val="0"/>
                  <w:marTop w:val="0"/>
                  <w:marBottom w:val="0"/>
                  <w:divBdr>
                    <w:top w:val="none" w:sz="0" w:space="0" w:color="auto"/>
                    <w:left w:val="none" w:sz="0" w:space="0" w:color="auto"/>
                    <w:bottom w:val="none" w:sz="0" w:space="0" w:color="auto"/>
                    <w:right w:val="none" w:sz="0" w:space="0" w:color="auto"/>
                  </w:divBdr>
                  <w:divsChild>
                    <w:div w:id="814614053">
                      <w:marLeft w:val="0"/>
                      <w:marRight w:val="0"/>
                      <w:marTop w:val="0"/>
                      <w:marBottom w:val="0"/>
                      <w:divBdr>
                        <w:top w:val="none" w:sz="0" w:space="0" w:color="auto"/>
                        <w:left w:val="none" w:sz="0" w:space="0" w:color="auto"/>
                        <w:bottom w:val="none" w:sz="0" w:space="0" w:color="auto"/>
                        <w:right w:val="none" w:sz="0" w:space="0" w:color="auto"/>
                      </w:divBdr>
                    </w:div>
                  </w:divsChild>
                </w:div>
                <w:div w:id="1193110792">
                  <w:marLeft w:val="0"/>
                  <w:marRight w:val="0"/>
                  <w:marTop w:val="0"/>
                  <w:marBottom w:val="0"/>
                  <w:divBdr>
                    <w:top w:val="none" w:sz="0" w:space="0" w:color="auto"/>
                    <w:left w:val="none" w:sz="0" w:space="0" w:color="auto"/>
                    <w:bottom w:val="none" w:sz="0" w:space="0" w:color="auto"/>
                    <w:right w:val="none" w:sz="0" w:space="0" w:color="auto"/>
                  </w:divBdr>
                  <w:divsChild>
                    <w:div w:id="1047024251">
                      <w:marLeft w:val="0"/>
                      <w:marRight w:val="0"/>
                      <w:marTop w:val="0"/>
                      <w:marBottom w:val="0"/>
                      <w:divBdr>
                        <w:top w:val="none" w:sz="0" w:space="0" w:color="auto"/>
                        <w:left w:val="none" w:sz="0" w:space="0" w:color="auto"/>
                        <w:bottom w:val="none" w:sz="0" w:space="0" w:color="auto"/>
                        <w:right w:val="none" w:sz="0" w:space="0" w:color="auto"/>
                      </w:divBdr>
                    </w:div>
                  </w:divsChild>
                </w:div>
                <w:div w:id="1207719873">
                  <w:marLeft w:val="0"/>
                  <w:marRight w:val="0"/>
                  <w:marTop w:val="0"/>
                  <w:marBottom w:val="0"/>
                  <w:divBdr>
                    <w:top w:val="none" w:sz="0" w:space="0" w:color="auto"/>
                    <w:left w:val="none" w:sz="0" w:space="0" w:color="auto"/>
                    <w:bottom w:val="none" w:sz="0" w:space="0" w:color="auto"/>
                    <w:right w:val="none" w:sz="0" w:space="0" w:color="auto"/>
                  </w:divBdr>
                  <w:divsChild>
                    <w:div w:id="1704206043">
                      <w:marLeft w:val="0"/>
                      <w:marRight w:val="0"/>
                      <w:marTop w:val="0"/>
                      <w:marBottom w:val="0"/>
                      <w:divBdr>
                        <w:top w:val="none" w:sz="0" w:space="0" w:color="auto"/>
                        <w:left w:val="none" w:sz="0" w:space="0" w:color="auto"/>
                        <w:bottom w:val="none" w:sz="0" w:space="0" w:color="auto"/>
                        <w:right w:val="none" w:sz="0" w:space="0" w:color="auto"/>
                      </w:divBdr>
                    </w:div>
                  </w:divsChild>
                </w:div>
                <w:div w:id="1345016496">
                  <w:marLeft w:val="0"/>
                  <w:marRight w:val="0"/>
                  <w:marTop w:val="0"/>
                  <w:marBottom w:val="0"/>
                  <w:divBdr>
                    <w:top w:val="none" w:sz="0" w:space="0" w:color="auto"/>
                    <w:left w:val="none" w:sz="0" w:space="0" w:color="auto"/>
                    <w:bottom w:val="none" w:sz="0" w:space="0" w:color="auto"/>
                    <w:right w:val="none" w:sz="0" w:space="0" w:color="auto"/>
                  </w:divBdr>
                  <w:divsChild>
                    <w:div w:id="1805125498">
                      <w:marLeft w:val="0"/>
                      <w:marRight w:val="0"/>
                      <w:marTop w:val="0"/>
                      <w:marBottom w:val="0"/>
                      <w:divBdr>
                        <w:top w:val="none" w:sz="0" w:space="0" w:color="auto"/>
                        <w:left w:val="none" w:sz="0" w:space="0" w:color="auto"/>
                        <w:bottom w:val="none" w:sz="0" w:space="0" w:color="auto"/>
                        <w:right w:val="none" w:sz="0" w:space="0" w:color="auto"/>
                      </w:divBdr>
                    </w:div>
                  </w:divsChild>
                </w:div>
                <w:div w:id="1455782550">
                  <w:marLeft w:val="0"/>
                  <w:marRight w:val="0"/>
                  <w:marTop w:val="0"/>
                  <w:marBottom w:val="0"/>
                  <w:divBdr>
                    <w:top w:val="none" w:sz="0" w:space="0" w:color="auto"/>
                    <w:left w:val="none" w:sz="0" w:space="0" w:color="auto"/>
                    <w:bottom w:val="none" w:sz="0" w:space="0" w:color="auto"/>
                    <w:right w:val="none" w:sz="0" w:space="0" w:color="auto"/>
                  </w:divBdr>
                  <w:divsChild>
                    <w:div w:id="908149260">
                      <w:marLeft w:val="0"/>
                      <w:marRight w:val="0"/>
                      <w:marTop w:val="0"/>
                      <w:marBottom w:val="0"/>
                      <w:divBdr>
                        <w:top w:val="none" w:sz="0" w:space="0" w:color="auto"/>
                        <w:left w:val="none" w:sz="0" w:space="0" w:color="auto"/>
                        <w:bottom w:val="none" w:sz="0" w:space="0" w:color="auto"/>
                        <w:right w:val="none" w:sz="0" w:space="0" w:color="auto"/>
                      </w:divBdr>
                    </w:div>
                  </w:divsChild>
                </w:div>
                <w:div w:id="1559826496">
                  <w:marLeft w:val="0"/>
                  <w:marRight w:val="0"/>
                  <w:marTop w:val="0"/>
                  <w:marBottom w:val="0"/>
                  <w:divBdr>
                    <w:top w:val="none" w:sz="0" w:space="0" w:color="auto"/>
                    <w:left w:val="none" w:sz="0" w:space="0" w:color="auto"/>
                    <w:bottom w:val="none" w:sz="0" w:space="0" w:color="auto"/>
                    <w:right w:val="none" w:sz="0" w:space="0" w:color="auto"/>
                  </w:divBdr>
                  <w:divsChild>
                    <w:div w:id="200828841">
                      <w:marLeft w:val="0"/>
                      <w:marRight w:val="0"/>
                      <w:marTop w:val="0"/>
                      <w:marBottom w:val="0"/>
                      <w:divBdr>
                        <w:top w:val="none" w:sz="0" w:space="0" w:color="auto"/>
                        <w:left w:val="none" w:sz="0" w:space="0" w:color="auto"/>
                        <w:bottom w:val="none" w:sz="0" w:space="0" w:color="auto"/>
                        <w:right w:val="none" w:sz="0" w:space="0" w:color="auto"/>
                      </w:divBdr>
                    </w:div>
                    <w:div w:id="493184968">
                      <w:marLeft w:val="0"/>
                      <w:marRight w:val="0"/>
                      <w:marTop w:val="0"/>
                      <w:marBottom w:val="0"/>
                      <w:divBdr>
                        <w:top w:val="none" w:sz="0" w:space="0" w:color="auto"/>
                        <w:left w:val="none" w:sz="0" w:space="0" w:color="auto"/>
                        <w:bottom w:val="none" w:sz="0" w:space="0" w:color="auto"/>
                        <w:right w:val="none" w:sz="0" w:space="0" w:color="auto"/>
                      </w:divBdr>
                    </w:div>
                    <w:div w:id="633875532">
                      <w:marLeft w:val="0"/>
                      <w:marRight w:val="0"/>
                      <w:marTop w:val="0"/>
                      <w:marBottom w:val="0"/>
                      <w:divBdr>
                        <w:top w:val="none" w:sz="0" w:space="0" w:color="auto"/>
                        <w:left w:val="none" w:sz="0" w:space="0" w:color="auto"/>
                        <w:bottom w:val="none" w:sz="0" w:space="0" w:color="auto"/>
                        <w:right w:val="none" w:sz="0" w:space="0" w:color="auto"/>
                      </w:divBdr>
                    </w:div>
                    <w:div w:id="1982230036">
                      <w:marLeft w:val="0"/>
                      <w:marRight w:val="0"/>
                      <w:marTop w:val="0"/>
                      <w:marBottom w:val="0"/>
                      <w:divBdr>
                        <w:top w:val="none" w:sz="0" w:space="0" w:color="auto"/>
                        <w:left w:val="none" w:sz="0" w:space="0" w:color="auto"/>
                        <w:bottom w:val="none" w:sz="0" w:space="0" w:color="auto"/>
                        <w:right w:val="none" w:sz="0" w:space="0" w:color="auto"/>
                      </w:divBdr>
                    </w:div>
                    <w:div w:id="2091416770">
                      <w:marLeft w:val="0"/>
                      <w:marRight w:val="0"/>
                      <w:marTop w:val="0"/>
                      <w:marBottom w:val="0"/>
                      <w:divBdr>
                        <w:top w:val="none" w:sz="0" w:space="0" w:color="auto"/>
                        <w:left w:val="none" w:sz="0" w:space="0" w:color="auto"/>
                        <w:bottom w:val="none" w:sz="0" w:space="0" w:color="auto"/>
                        <w:right w:val="none" w:sz="0" w:space="0" w:color="auto"/>
                      </w:divBdr>
                    </w:div>
                    <w:div w:id="2122331907">
                      <w:marLeft w:val="0"/>
                      <w:marRight w:val="0"/>
                      <w:marTop w:val="0"/>
                      <w:marBottom w:val="0"/>
                      <w:divBdr>
                        <w:top w:val="none" w:sz="0" w:space="0" w:color="auto"/>
                        <w:left w:val="none" w:sz="0" w:space="0" w:color="auto"/>
                        <w:bottom w:val="none" w:sz="0" w:space="0" w:color="auto"/>
                        <w:right w:val="none" w:sz="0" w:space="0" w:color="auto"/>
                      </w:divBdr>
                    </w:div>
                  </w:divsChild>
                </w:div>
                <w:div w:id="1646084298">
                  <w:marLeft w:val="0"/>
                  <w:marRight w:val="0"/>
                  <w:marTop w:val="0"/>
                  <w:marBottom w:val="0"/>
                  <w:divBdr>
                    <w:top w:val="none" w:sz="0" w:space="0" w:color="auto"/>
                    <w:left w:val="none" w:sz="0" w:space="0" w:color="auto"/>
                    <w:bottom w:val="none" w:sz="0" w:space="0" w:color="auto"/>
                    <w:right w:val="none" w:sz="0" w:space="0" w:color="auto"/>
                  </w:divBdr>
                  <w:divsChild>
                    <w:div w:id="672299810">
                      <w:marLeft w:val="0"/>
                      <w:marRight w:val="0"/>
                      <w:marTop w:val="0"/>
                      <w:marBottom w:val="0"/>
                      <w:divBdr>
                        <w:top w:val="none" w:sz="0" w:space="0" w:color="auto"/>
                        <w:left w:val="none" w:sz="0" w:space="0" w:color="auto"/>
                        <w:bottom w:val="none" w:sz="0" w:space="0" w:color="auto"/>
                        <w:right w:val="none" w:sz="0" w:space="0" w:color="auto"/>
                      </w:divBdr>
                    </w:div>
                  </w:divsChild>
                </w:div>
                <w:div w:id="1911692348">
                  <w:marLeft w:val="0"/>
                  <w:marRight w:val="0"/>
                  <w:marTop w:val="0"/>
                  <w:marBottom w:val="0"/>
                  <w:divBdr>
                    <w:top w:val="none" w:sz="0" w:space="0" w:color="auto"/>
                    <w:left w:val="none" w:sz="0" w:space="0" w:color="auto"/>
                    <w:bottom w:val="none" w:sz="0" w:space="0" w:color="auto"/>
                    <w:right w:val="none" w:sz="0" w:space="0" w:color="auto"/>
                  </w:divBdr>
                  <w:divsChild>
                    <w:div w:id="484855531">
                      <w:marLeft w:val="0"/>
                      <w:marRight w:val="0"/>
                      <w:marTop w:val="0"/>
                      <w:marBottom w:val="0"/>
                      <w:divBdr>
                        <w:top w:val="none" w:sz="0" w:space="0" w:color="auto"/>
                        <w:left w:val="none" w:sz="0" w:space="0" w:color="auto"/>
                        <w:bottom w:val="none" w:sz="0" w:space="0" w:color="auto"/>
                        <w:right w:val="none" w:sz="0" w:space="0" w:color="auto"/>
                      </w:divBdr>
                    </w:div>
                    <w:div w:id="1019040837">
                      <w:marLeft w:val="0"/>
                      <w:marRight w:val="0"/>
                      <w:marTop w:val="0"/>
                      <w:marBottom w:val="0"/>
                      <w:divBdr>
                        <w:top w:val="none" w:sz="0" w:space="0" w:color="auto"/>
                        <w:left w:val="none" w:sz="0" w:space="0" w:color="auto"/>
                        <w:bottom w:val="none" w:sz="0" w:space="0" w:color="auto"/>
                        <w:right w:val="none" w:sz="0" w:space="0" w:color="auto"/>
                      </w:divBdr>
                    </w:div>
                  </w:divsChild>
                </w:div>
                <w:div w:id="2102413995">
                  <w:marLeft w:val="0"/>
                  <w:marRight w:val="0"/>
                  <w:marTop w:val="0"/>
                  <w:marBottom w:val="0"/>
                  <w:divBdr>
                    <w:top w:val="none" w:sz="0" w:space="0" w:color="auto"/>
                    <w:left w:val="none" w:sz="0" w:space="0" w:color="auto"/>
                    <w:bottom w:val="none" w:sz="0" w:space="0" w:color="auto"/>
                    <w:right w:val="none" w:sz="0" w:space="0" w:color="auto"/>
                  </w:divBdr>
                  <w:divsChild>
                    <w:div w:id="4961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29417">
          <w:marLeft w:val="0"/>
          <w:marRight w:val="0"/>
          <w:marTop w:val="0"/>
          <w:marBottom w:val="0"/>
          <w:divBdr>
            <w:top w:val="none" w:sz="0" w:space="0" w:color="auto"/>
            <w:left w:val="none" w:sz="0" w:space="0" w:color="auto"/>
            <w:bottom w:val="none" w:sz="0" w:space="0" w:color="auto"/>
            <w:right w:val="none" w:sz="0" w:space="0" w:color="auto"/>
          </w:divBdr>
        </w:div>
      </w:divsChild>
    </w:div>
    <w:div w:id="2032105078">
      <w:bodyDiv w:val="1"/>
      <w:marLeft w:val="0"/>
      <w:marRight w:val="0"/>
      <w:marTop w:val="0"/>
      <w:marBottom w:val="0"/>
      <w:divBdr>
        <w:top w:val="none" w:sz="0" w:space="0" w:color="auto"/>
        <w:left w:val="none" w:sz="0" w:space="0" w:color="auto"/>
        <w:bottom w:val="none" w:sz="0" w:space="0" w:color="auto"/>
        <w:right w:val="none" w:sz="0" w:space="0" w:color="auto"/>
      </w:divBdr>
      <w:divsChild>
        <w:div w:id="1416122457">
          <w:marLeft w:val="0"/>
          <w:marRight w:val="0"/>
          <w:marTop w:val="0"/>
          <w:marBottom w:val="0"/>
          <w:divBdr>
            <w:top w:val="none" w:sz="0" w:space="0" w:color="auto"/>
            <w:left w:val="none" w:sz="0" w:space="0" w:color="auto"/>
            <w:bottom w:val="none" w:sz="0" w:space="0" w:color="auto"/>
            <w:right w:val="none" w:sz="0" w:space="0" w:color="auto"/>
          </w:divBdr>
          <w:divsChild>
            <w:div w:id="1468205262">
              <w:marLeft w:val="0"/>
              <w:marRight w:val="0"/>
              <w:marTop w:val="30"/>
              <w:marBottom w:val="3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sChild>
                    <w:div w:id="2096825137">
                      <w:marLeft w:val="0"/>
                      <w:marRight w:val="0"/>
                      <w:marTop w:val="0"/>
                      <w:marBottom w:val="0"/>
                      <w:divBdr>
                        <w:top w:val="none" w:sz="0" w:space="0" w:color="auto"/>
                        <w:left w:val="none" w:sz="0" w:space="0" w:color="auto"/>
                        <w:bottom w:val="none" w:sz="0" w:space="0" w:color="auto"/>
                        <w:right w:val="none" w:sz="0" w:space="0" w:color="auto"/>
                      </w:divBdr>
                    </w:div>
                  </w:divsChild>
                </w:div>
                <w:div w:id="132606560">
                  <w:marLeft w:val="0"/>
                  <w:marRight w:val="0"/>
                  <w:marTop w:val="0"/>
                  <w:marBottom w:val="0"/>
                  <w:divBdr>
                    <w:top w:val="none" w:sz="0" w:space="0" w:color="auto"/>
                    <w:left w:val="none" w:sz="0" w:space="0" w:color="auto"/>
                    <w:bottom w:val="none" w:sz="0" w:space="0" w:color="auto"/>
                    <w:right w:val="none" w:sz="0" w:space="0" w:color="auto"/>
                  </w:divBdr>
                  <w:divsChild>
                    <w:div w:id="127162915">
                      <w:marLeft w:val="0"/>
                      <w:marRight w:val="0"/>
                      <w:marTop w:val="0"/>
                      <w:marBottom w:val="0"/>
                      <w:divBdr>
                        <w:top w:val="none" w:sz="0" w:space="0" w:color="auto"/>
                        <w:left w:val="none" w:sz="0" w:space="0" w:color="auto"/>
                        <w:bottom w:val="none" w:sz="0" w:space="0" w:color="auto"/>
                        <w:right w:val="none" w:sz="0" w:space="0" w:color="auto"/>
                      </w:divBdr>
                    </w:div>
                  </w:divsChild>
                </w:div>
                <w:div w:id="198517222">
                  <w:marLeft w:val="0"/>
                  <w:marRight w:val="0"/>
                  <w:marTop w:val="0"/>
                  <w:marBottom w:val="0"/>
                  <w:divBdr>
                    <w:top w:val="none" w:sz="0" w:space="0" w:color="auto"/>
                    <w:left w:val="none" w:sz="0" w:space="0" w:color="auto"/>
                    <w:bottom w:val="none" w:sz="0" w:space="0" w:color="auto"/>
                    <w:right w:val="none" w:sz="0" w:space="0" w:color="auto"/>
                  </w:divBdr>
                  <w:divsChild>
                    <w:div w:id="433983079">
                      <w:marLeft w:val="0"/>
                      <w:marRight w:val="0"/>
                      <w:marTop w:val="0"/>
                      <w:marBottom w:val="0"/>
                      <w:divBdr>
                        <w:top w:val="none" w:sz="0" w:space="0" w:color="auto"/>
                        <w:left w:val="none" w:sz="0" w:space="0" w:color="auto"/>
                        <w:bottom w:val="none" w:sz="0" w:space="0" w:color="auto"/>
                        <w:right w:val="none" w:sz="0" w:space="0" w:color="auto"/>
                      </w:divBdr>
                    </w:div>
                  </w:divsChild>
                </w:div>
                <w:div w:id="203643788">
                  <w:marLeft w:val="0"/>
                  <w:marRight w:val="0"/>
                  <w:marTop w:val="0"/>
                  <w:marBottom w:val="0"/>
                  <w:divBdr>
                    <w:top w:val="none" w:sz="0" w:space="0" w:color="auto"/>
                    <w:left w:val="none" w:sz="0" w:space="0" w:color="auto"/>
                    <w:bottom w:val="none" w:sz="0" w:space="0" w:color="auto"/>
                    <w:right w:val="none" w:sz="0" w:space="0" w:color="auto"/>
                  </w:divBdr>
                  <w:divsChild>
                    <w:div w:id="915092704">
                      <w:marLeft w:val="0"/>
                      <w:marRight w:val="0"/>
                      <w:marTop w:val="0"/>
                      <w:marBottom w:val="0"/>
                      <w:divBdr>
                        <w:top w:val="none" w:sz="0" w:space="0" w:color="auto"/>
                        <w:left w:val="none" w:sz="0" w:space="0" w:color="auto"/>
                        <w:bottom w:val="none" w:sz="0" w:space="0" w:color="auto"/>
                        <w:right w:val="none" w:sz="0" w:space="0" w:color="auto"/>
                      </w:divBdr>
                    </w:div>
                  </w:divsChild>
                </w:div>
                <w:div w:id="290483049">
                  <w:marLeft w:val="0"/>
                  <w:marRight w:val="0"/>
                  <w:marTop w:val="0"/>
                  <w:marBottom w:val="0"/>
                  <w:divBdr>
                    <w:top w:val="none" w:sz="0" w:space="0" w:color="auto"/>
                    <w:left w:val="none" w:sz="0" w:space="0" w:color="auto"/>
                    <w:bottom w:val="none" w:sz="0" w:space="0" w:color="auto"/>
                    <w:right w:val="none" w:sz="0" w:space="0" w:color="auto"/>
                  </w:divBdr>
                  <w:divsChild>
                    <w:div w:id="127671216">
                      <w:marLeft w:val="0"/>
                      <w:marRight w:val="0"/>
                      <w:marTop w:val="0"/>
                      <w:marBottom w:val="0"/>
                      <w:divBdr>
                        <w:top w:val="none" w:sz="0" w:space="0" w:color="auto"/>
                        <w:left w:val="none" w:sz="0" w:space="0" w:color="auto"/>
                        <w:bottom w:val="none" w:sz="0" w:space="0" w:color="auto"/>
                        <w:right w:val="none" w:sz="0" w:space="0" w:color="auto"/>
                      </w:divBdr>
                    </w:div>
                    <w:div w:id="317808879">
                      <w:marLeft w:val="0"/>
                      <w:marRight w:val="0"/>
                      <w:marTop w:val="0"/>
                      <w:marBottom w:val="0"/>
                      <w:divBdr>
                        <w:top w:val="none" w:sz="0" w:space="0" w:color="auto"/>
                        <w:left w:val="none" w:sz="0" w:space="0" w:color="auto"/>
                        <w:bottom w:val="none" w:sz="0" w:space="0" w:color="auto"/>
                        <w:right w:val="none" w:sz="0" w:space="0" w:color="auto"/>
                      </w:divBdr>
                    </w:div>
                    <w:div w:id="451175078">
                      <w:marLeft w:val="0"/>
                      <w:marRight w:val="0"/>
                      <w:marTop w:val="0"/>
                      <w:marBottom w:val="0"/>
                      <w:divBdr>
                        <w:top w:val="none" w:sz="0" w:space="0" w:color="auto"/>
                        <w:left w:val="none" w:sz="0" w:space="0" w:color="auto"/>
                        <w:bottom w:val="none" w:sz="0" w:space="0" w:color="auto"/>
                        <w:right w:val="none" w:sz="0" w:space="0" w:color="auto"/>
                      </w:divBdr>
                    </w:div>
                    <w:div w:id="669143908">
                      <w:marLeft w:val="0"/>
                      <w:marRight w:val="0"/>
                      <w:marTop w:val="0"/>
                      <w:marBottom w:val="0"/>
                      <w:divBdr>
                        <w:top w:val="none" w:sz="0" w:space="0" w:color="auto"/>
                        <w:left w:val="none" w:sz="0" w:space="0" w:color="auto"/>
                        <w:bottom w:val="none" w:sz="0" w:space="0" w:color="auto"/>
                        <w:right w:val="none" w:sz="0" w:space="0" w:color="auto"/>
                      </w:divBdr>
                    </w:div>
                    <w:div w:id="896012090">
                      <w:marLeft w:val="0"/>
                      <w:marRight w:val="0"/>
                      <w:marTop w:val="0"/>
                      <w:marBottom w:val="0"/>
                      <w:divBdr>
                        <w:top w:val="none" w:sz="0" w:space="0" w:color="auto"/>
                        <w:left w:val="none" w:sz="0" w:space="0" w:color="auto"/>
                        <w:bottom w:val="none" w:sz="0" w:space="0" w:color="auto"/>
                        <w:right w:val="none" w:sz="0" w:space="0" w:color="auto"/>
                      </w:divBdr>
                    </w:div>
                    <w:div w:id="1307126741">
                      <w:marLeft w:val="0"/>
                      <w:marRight w:val="0"/>
                      <w:marTop w:val="0"/>
                      <w:marBottom w:val="0"/>
                      <w:divBdr>
                        <w:top w:val="none" w:sz="0" w:space="0" w:color="auto"/>
                        <w:left w:val="none" w:sz="0" w:space="0" w:color="auto"/>
                        <w:bottom w:val="none" w:sz="0" w:space="0" w:color="auto"/>
                        <w:right w:val="none" w:sz="0" w:space="0" w:color="auto"/>
                      </w:divBdr>
                    </w:div>
                    <w:div w:id="1427309852">
                      <w:marLeft w:val="0"/>
                      <w:marRight w:val="0"/>
                      <w:marTop w:val="0"/>
                      <w:marBottom w:val="0"/>
                      <w:divBdr>
                        <w:top w:val="none" w:sz="0" w:space="0" w:color="auto"/>
                        <w:left w:val="none" w:sz="0" w:space="0" w:color="auto"/>
                        <w:bottom w:val="none" w:sz="0" w:space="0" w:color="auto"/>
                        <w:right w:val="none" w:sz="0" w:space="0" w:color="auto"/>
                      </w:divBdr>
                    </w:div>
                    <w:div w:id="1613970919">
                      <w:marLeft w:val="0"/>
                      <w:marRight w:val="0"/>
                      <w:marTop w:val="0"/>
                      <w:marBottom w:val="0"/>
                      <w:divBdr>
                        <w:top w:val="none" w:sz="0" w:space="0" w:color="auto"/>
                        <w:left w:val="none" w:sz="0" w:space="0" w:color="auto"/>
                        <w:bottom w:val="none" w:sz="0" w:space="0" w:color="auto"/>
                        <w:right w:val="none" w:sz="0" w:space="0" w:color="auto"/>
                      </w:divBdr>
                    </w:div>
                    <w:div w:id="1825391427">
                      <w:marLeft w:val="0"/>
                      <w:marRight w:val="0"/>
                      <w:marTop w:val="0"/>
                      <w:marBottom w:val="0"/>
                      <w:divBdr>
                        <w:top w:val="none" w:sz="0" w:space="0" w:color="auto"/>
                        <w:left w:val="none" w:sz="0" w:space="0" w:color="auto"/>
                        <w:bottom w:val="none" w:sz="0" w:space="0" w:color="auto"/>
                        <w:right w:val="none" w:sz="0" w:space="0" w:color="auto"/>
                      </w:divBdr>
                    </w:div>
                    <w:div w:id="1940481784">
                      <w:marLeft w:val="0"/>
                      <w:marRight w:val="0"/>
                      <w:marTop w:val="0"/>
                      <w:marBottom w:val="0"/>
                      <w:divBdr>
                        <w:top w:val="none" w:sz="0" w:space="0" w:color="auto"/>
                        <w:left w:val="none" w:sz="0" w:space="0" w:color="auto"/>
                        <w:bottom w:val="none" w:sz="0" w:space="0" w:color="auto"/>
                        <w:right w:val="none" w:sz="0" w:space="0" w:color="auto"/>
                      </w:divBdr>
                    </w:div>
                  </w:divsChild>
                </w:div>
                <w:div w:id="411397165">
                  <w:marLeft w:val="0"/>
                  <w:marRight w:val="0"/>
                  <w:marTop w:val="0"/>
                  <w:marBottom w:val="0"/>
                  <w:divBdr>
                    <w:top w:val="none" w:sz="0" w:space="0" w:color="auto"/>
                    <w:left w:val="none" w:sz="0" w:space="0" w:color="auto"/>
                    <w:bottom w:val="none" w:sz="0" w:space="0" w:color="auto"/>
                    <w:right w:val="none" w:sz="0" w:space="0" w:color="auto"/>
                  </w:divBdr>
                  <w:divsChild>
                    <w:div w:id="1034692231">
                      <w:marLeft w:val="0"/>
                      <w:marRight w:val="0"/>
                      <w:marTop w:val="0"/>
                      <w:marBottom w:val="0"/>
                      <w:divBdr>
                        <w:top w:val="none" w:sz="0" w:space="0" w:color="auto"/>
                        <w:left w:val="none" w:sz="0" w:space="0" w:color="auto"/>
                        <w:bottom w:val="none" w:sz="0" w:space="0" w:color="auto"/>
                        <w:right w:val="none" w:sz="0" w:space="0" w:color="auto"/>
                      </w:divBdr>
                    </w:div>
                  </w:divsChild>
                </w:div>
                <w:div w:id="661278943">
                  <w:marLeft w:val="0"/>
                  <w:marRight w:val="0"/>
                  <w:marTop w:val="0"/>
                  <w:marBottom w:val="0"/>
                  <w:divBdr>
                    <w:top w:val="none" w:sz="0" w:space="0" w:color="auto"/>
                    <w:left w:val="none" w:sz="0" w:space="0" w:color="auto"/>
                    <w:bottom w:val="none" w:sz="0" w:space="0" w:color="auto"/>
                    <w:right w:val="none" w:sz="0" w:space="0" w:color="auto"/>
                  </w:divBdr>
                  <w:divsChild>
                    <w:div w:id="271783285">
                      <w:marLeft w:val="0"/>
                      <w:marRight w:val="0"/>
                      <w:marTop w:val="0"/>
                      <w:marBottom w:val="0"/>
                      <w:divBdr>
                        <w:top w:val="none" w:sz="0" w:space="0" w:color="auto"/>
                        <w:left w:val="none" w:sz="0" w:space="0" w:color="auto"/>
                        <w:bottom w:val="none" w:sz="0" w:space="0" w:color="auto"/>
                        <w:right w:val="none" w:sz="0" w:space="0" w:color="auto"/>
                      </w:divBdr>
                    </w:div>
                  </w:divsChild>
                </w:div>
                <w:div w:id="766076680">
                  <w:marLeft w:val="0"/>
                  <w:marRight w:val="0"/>
                  <w:marTop w:val="0"/>
                  <w:marBottom w:val="0"/>
                  <w:divBdr>
                    <w:top w:val="none" w:sz="0" w:space="0" w:color="auto"/>
                    <w:left w:val="none" w:sz="0" w:space="0" w:color="auto"/>
                    <w:bottom w:val="none" w:sz="0" w:space="0" w:color="auto"/>
                    <w:right w:val="none" w:sz="0" w:space="0" w:color="auto"/>
                  </w:divBdr>
                  <w:divsChild>
                    <w:div w:id="1302466595">
                      <w:marLeft w:val="0"/>
                      <w:marRight w:val="0"/>
                      <w:marTop w:val="0"/>
                      <w:marBottom w:val="0"/>
                      <w:divBdr>
                        <w:top w:val="none" w:sz="0" w:space="0" w:color="auto"/>
                        <w:left w:val="none" w:sz="0" w:space="0" w:color="auto"/>
                        <w:bottom w:val="none" w:sz="0" w:space="0" w:color="auto"/>
                        <w:right w:val="none" w:sz="0" w:space="0" w:color="auto"/>
                      </w:divBdr>
                    </w:div>
                  </w:divsChild>
                </w:div>
                <w:div w:id="859047712">
                  <w:marLeft w:val="0"/>
                  <w:marRight w:val="0"/>
                  <w:marTop w:val="0"/>
                  <w:marBottom w:val="0"/>
                  <w:divBdr>
                    <w:top w:val="none" w:sz="0" w:space="0" w:color="auto"/>
                    <w:left w:val="none" w:sz="0" w:space="0" w:color="auto"/>
                    <w:bottom w:val="none" w:sz="0" w:space="0" w:color="auto"/>
                    <w:right w:val="none" w:sz="0" w:space="0" w:color="auto"/>
                  </w:divBdr>
                  <w:divsChild>
                    <w:div w:id="45421938">
                      <w:marLeft w:val="0"/>
                      <w:marRight w:val="0"/>
                      <w:marTop w:val="0"/>
                      <w:marBottom w:val="0"/>
                      <w:divBdr>
                        <w:top w:val="none" w:sz="0" w:space="0" w:color="auto"/>
                        <w:left w:val="none" w:sz="0" w:space="0" w:color="auto"/>
                        <w:bottom w:val="none" w:sz="0" w:space="0" w:color="auto"/>
                        <w:right w:val="none" w:sz="0" w:space="0" w:color="auto"/>
                      </w:divBdr>
                    </w:div>
                  </w:divsChild>
                </w:div>
                <w:div w:id="867566100">
                  <w:marLeft w:val="0"/>
                  <w:marRight w:val="0"/>
                  <w:marTop w:val="0"/>
                  <w:marBottom w:val="0"/>
                  <w:divBdr>
                    <w:top w:val="none" w:sz="0" w:space="0" w:color="auto"/>
                    <w:left w:val="none" w:sz="0" w:space="0" w:color="auto"/>
                    <w:bottom w:val="none" w:sz="0" w:space="0" w:color="auto"/>
                    <w:right w:val="none" w:sz="0" w:space="0" w:color="auto"/>
                  </w:divBdr>
                  <w:divsChild>
                    <w:div w:id="30344230">
                      <w:marLeft w:val="0"/>
                      <w:marRight w:val="0"/>
                      <w:marTop w:val="0"/>
                      <w:marBottom w:val="0"/>
                      <w:divBdr>
                        <w:top w:val="none" w:sz="0" w:space="0" w:color="auto"/>
                        <w:left w:val="none" w:sz="0" w:space="0" w:color="auto"/>
                        <w:bottom w:val="none" w:sz="0" w:space="0" w:color="auto"/>
                        <w:right w:val="none" w:sz="0" w:space="0" w:color="auto"/>
                      </w:divBdr>
                    </w:div>
                    <w:div w:id="536549222">
                      <w:marLeft w:val="0"/>
                      <w:marRight w:val="0"/>
                      <w:marTop w:val="0"/>
                      <w:marBottom w:val="0"/>
                      <w:divBdr>
                        <w:top w:val="none" w:sz="0" w:space="0" w:color="auto"/>
                        <w:left w:val="none" w:sz="0" w:space="0" w:color="auto"/>
                        <w:bottom w:val="none" w:sz="0" w:space="0" w:color="auto"/>
                        <w:right w:val="none" w:sz="0" w:space="0" w:color="auto"/>
                      </w:divBdr>
                    </w:div>
                    <w:div w:id="787548312">
                      <w:marLeft w:val="0"/>
                      <w:marRight w:val="0"/>
                      <w:marTop w:val="0"/>
                      <w:marBottom w:val="0"/>
                      <w:divBdr>
                        <w:top w:val="none" w:sz="0" w:space="0" w:color="auto"/>
                        <w:left w:val="none" w:sz="0" w:space="0" w:color="auto"/>
                        <w:bottom w:val="none" w:sz="0" w:space="0" w:color="auto"/>
                        <w:right w:val="none" w:sz="0" w:space="0" w:color="auto"/>
                      </w:divBdr>
                    </w:div>
                    <w:div w:id="888685035">
                      <w:marLeft w:val="0"/>
                      <w:marRight w:val="0"/>
                      <w:marTop w:val="0"/>
                      <w:marBottom w:val="0"/>
                      <w:divBdr>
                        <w:top w:val="none" w:sz="0" w:space="0" w:color="auto"/>
                        <w:left w:val="none" w:sz="0" w:space="0" w:color="auto"/>
                        <w:bottom w:val="none" w:sz="0" w:space="0" w:color="auto"/>
                        <w:right w:val="none" w:sz="0" w:space="0" w:color="auto"/>
                      </w:divBdr>
                    </w:div>
                    <w:div w:id="1120688402">
                      <w:marLeft w:val="0"/>
                      <w:marRight w:val="0"/>
                      <w:marTop w:val="0"/>
                      <w:marBottom w:val="0"/>
                      <w:divBdr>
                        <w:top w:val="none" w:sz="0" w:space="0" w:color="auto"/>
                        <w:left w:val="none" w:sz="0" w:space="0" w:color="auto"/>
                        <w:bottom w:val="none" w:sz="0" w:space="0" w:color="auto"/>
                        <w:right w:val="none" w:sz="0" w:space="0" w:color="auto"/>
                      </w:divBdr>
                    </w:div>
                    <w:div w:id="1679960861">
                      <w:marLeft w:val="0"/>
                      <w:marRight w:val="0"/>
                      <w:marTop w:val="0"/>
                      <w:marBottom w:val="0"/>
                      <w:divBdr>
                        <w:top w:val="none" w:sz="0" w:space="0" w:color="auto"/>
                        <w:left w:val="none" w:sz="0" w:space="0" w:color="auto"/>
                        <w:bottom w:val="none" w:sz="0" w:space="0" w:color="auto"/>
                        <w:right w:val="none" w:sz="0" w:space="0" w:color="auto"/>
                      </w:divBdr>
                    </w:div>
                  </w:divsChild>
                </w:div>
                <w:div w:id="870460216">
                  <w:marLeft w:val="0"/>
                  <w:marRight w:val="0"/>
                  <w:marTop w:val="0"/>
                  <w:marBottom w:val="0"/>
                  <w:divBdr>
                    <w:top w:val="none" w:sz="0" w:space="0" w:color="auto"/>
                    <w:left w:val="none" w:sz="0" w:space="0" w:color="auto"/>
                    <w:bottom w:val="none" w:sz="0" w:space="0" w:color="auto"/>
                    <w:right w:val="none" w:sz="0" w:space="0" w:color="auto"/>
                  </w:divBdr>
                  <w:divsChild>
                    <w:div w:id="930040258">
                      <w:marLeft w:val="0"/>
                      <w:marRight w:val="0"/>
                      <w:marTop w:val="0"/>
                      <w:marBottom w:val="0"/>
                      <w:divBdr>
                        <w:top w:val="none" w:sz="0" w:space="0" w:color="auto"/>
                        <w:left w:val="none" w:sz="0" w:space="0" w:color="auto"/>
                        <w:bottom w:val="none" w:sz="0" w:space="0" w:color="auto"/>
                        <w:right w:val="none" w:sz="0" w:space="0" w:color="auto"/>
                      </w:divBdr>
                    </w:div>
                  </w:divsChild>
                </w:div>
                <w:div w:id="888762711">
                  <w:marLeft w:val="0"/>
                  <w:marRight w:val="0"/>
                  <w:marTop w:val="0"/>
                  <w:marBottom w:val="0"/>
                  <w:divBdr>
                    <w:top w:val="none" w:sz="0" w:space="0" w:color="auto"/>
                    <w:left w:val="none" w:sz="0" w:space="0" w:color="auto"/>
                    <w:bottom w:val="none" w:sz="0" w:space="0" w:color="auto"/>
                    <w:right w:val="none" w:sz="0" w:space="0" w:color="auto"/>
                  </w:divBdr>
                  <w:divsChild>
                    <w:div w:id="1116096465">
                      <w:marLeft w:val="0"/>
                      <w:marRight w:val="0"/>
                      <w:marTop w:val="0"/>
                      <w:marBottom w:val="0"/>
                      <w:divBdr>
                        <w:top w:val="none" w:sz="0" w:space="0" w:color="auto"/>
                        <w:left w:val="none" w:sz="0" w:space="0" w:color="auto"/>
                        <w:bottom w:val="none" w:sz="0" w:space="0" w:color="auto"/>
                        <w:right w:val="none" w:sz="0" w:space="0" w:color="auto"/>
                      </w:divBdr>
                    </w:div>
                  </w:divsChild>
                </w:div>
                <w:div w:id="997223904">
                  <w:marLeft w:val="0"/>
                  <w:marRight w:val="0"/>
                  <w:marTop w:val="0"/>
                  <w:marBottom w:val="0"/>
                  <w:divBdr>
                    <w:top w:val="none" w:sz="0" w:space="0" w:color="auto"/>
                    <w:left w:val="none" w:sz="0" w:space="0" w:color="auto"/>
                    <w:bottom w:val="none" w:sz="0" w:space="0" w:color="auto"/>
                    <w:right w:val="none" w:sz="0" w:space="0" w:color="auto"/>
                  </w:divBdr>
                  <w:divsChild>
                    <w:div w:id="798647271">
                      <w:marLeft w:val="0"/>
                      <w:marRight w:val="0"/>
                      <w:marTop w:val="0"/>
                      <w:marBottom w:val="0"/>
                      <w:divBdr>
                        <w:top w:val="none" w:sz="0" w:space="0" w:color="auto"/>
                        <w:left w:val="none" w:sz="0" w:space="0" w:color="auto"/>
                        <w:bottom w:val="none" w:sz="0" w:space="0" w:color="auto"/>
                        <w:right w:val="none" w:sz="0" w:space="0" w:color="auto"/>
                      </w:divBdr>
                    </w:div>
                    <w:div w:id="1368218201">
                      <w:marLeft w:val="0"/>
                      <w:marRight w:val="0"/>
                      <w:marTop w:val="0"/>
                      <w:marBottom w:val="0"/>
                      <w:divBdr>
                        <w:top w:val="none" w:sz="0" w:space="0" w:color="auto"/>
                        <w:left w:val="none" w:sz="0" w:space="0" w:color="auto"/>
                        <w:bottom w:val="none" w:sz="0" w:space="0" w:color="auto"/>
                        <w:right w:val="none" w:sz="0" w:space="0" w:color="auto"/>
                      </w:divBdr>
                    </w:div>
                  </w:divsChild>
                </w:div>
                <w:div w:id="1238442796">
                  <w:marLeft w:val="0"/>
                  <w:marRight w:val="0"/>
                  <w:marTop w:val="0"/>
                  <w:marBottom w:val="0"/>
                  <w:divBdr>
                    <w:top w:val="none" w:sz="0" w:space="0" w:color="auto"/>
                    <w:left w:val="none" w:sz="0" w:space="0" w:color="auto"/>
                    <w:bottom w:val="none" w:sz="0" w:space="0" w:color="auto"/>
                    <w:right w:val="none" w:sz="0" w:space="0" w:color="auto"/>
                  </w:divBdr>
                  <w:divsChild>
                    <w:div w:id="1319650050">
                      <w:marLeft w:val="0"/>
                      <w:marRight w:val="0"/>
                      <w:marTop w:val="0"/>
                      <w:marBottom w:val="0"/>
                      <w:divBdr>
                        <w:top w:val="none" w:sz="0" w:space="0" w:color="auto"/>
                        <w:left w:val="none" w:sz="0" w:space="0" w:color="auto"/>
                        <w:bottom w:val="none" w:sz="0" w:space="0" w:color="auto"/>
                        <w:right w:val="none" w:sz="0" w:space="0" w:color="auto"/>
                      </w:divBdr>
                    </w:div>
                  </w:divsChild>
                </w:div>
                <w:div w:id="1529636690">
                  <w:marLeft w:val="0"/>
                  <w:marRight w:val="0"/>
                  <w:marTop w:val="0"/>
                  <w:marBottom w:val="0"/>
                  <w:divBdr>
                    <w:top w:val="none" w:sz="0" w:space="0" w:color="auto"/>
                    <w:left w:val="none" w:sz="0" w:space="0" w:color="auto"/>
                    <w:bottom w:val="none" w:sz="0" w:space="0" w:color="auto"/>
                    <w:right w:val="none" w:sz="0" w:space="0" w:color="auto"/>
                  </w:divBdr>
                  <w:divsChild>
                    <w:div w:id="362368174">
                      <w:marLeft w:val="0"/>
                      <w:marRight w:val="0"/>
                      <w:marTop w:val="0"/>
                      <w:marBottom w:val="0"/>
                      <w:divBdr>
                        <w:top w:val="none" w:sz="0" w:space="0" w:color="auto"/>
                        <w:left w:val="none" w:sz="0" w:space="0" w:color="auto"/>
                        <w:bottom w:val="none" w:sz="0" w:space="0" w:color="auto"/>
                        <w:right w:val="none" w:sz="0" w:space="0" w:color="auto"/>
                      </w:divBdr>
                    </w:div>
                  </w:divsChild>
                </w:div>
                <w:div w:id="1773043155">
                  <w:marLeft w:val="0"/>
                  <w:marRight w:val="0"/>
                  <w:marTop w:val="0"/>
                  <w:marBottom w:val="0"/>
                  <w:divBdr>
                    <w:top w:val="none" w:sz="0" w:space="0" w:color="auto"/>
                    <w:left w:val="none" w:sz="0" w:space="0" w:color="auto"/>
                    <w:bottom w:val="none" w:sz="0" w:space="0" w:color="auto"/>
                    <w:right w:val="none" w:sz="0" w:space="0" w:color="auto"/>
                  </w:divBdr>
                  <w:divsChild>
                    <w:div w:id="1694266792">
                      <w:marLeft w:val="0"/>
                      <w:marRight w:val="0"/>
                      <w:marTop w:val="0"/>
                      <w:marBottom w:val="0"/>
                      <w:divBdr>
                        <w:top w:val="none" w:sz="0" w:space="0" w:color="auto"/>
                        <w:left w:val="none" w:sz="0" w:space="0" w:color="auto"/>
                        <w:bottom w:val="none" w:sz="0" w:space="0" w:color="auto"/>
                        <w:right w:val="none" w:sz="0" w:space="0" w:color="auto"/>
                      </w:divBdr>
                    </w:div>
                  </w:divsChild>
                </w:div>
                <w:div w:id="1825197438">
                  <w:marLeft w:val="0"/>
                  <w:marRight w:val="0"/>
                  <w:marTop w:val="0"/>
                  <w:marBottom w:val="0"/>
                  <w:divBdr>
                    <w:top w:val="none" w:sz="0" w:space="0" w:color="auto"/>
                    <w:left w:val="none" w:sz="0" w:space="0" w:color="auto"/>
                    <w:bottom w:val="none" w:sz="0" w:space="0" w:color="auto"/>
                    <w:right w:val="none" w:sz="0" w:space="0" w:color="auto"/>
                  </w:divBdr>
                  <w:divsChild>
                    <w:div w:id="2078164409">
                      <w:marLeft w:val="0"/>
                      <w:marRight w:val="0"/>
                      <w:marTop w:val="0"/>
                      <w:marBottom w:val="0"/>
                      <w:divBdr>
                        <w:top w:val="none" w:sz="0" w:space="0" w:color="auto"/>
                        <w:left w:val="none" w:sz="0" w:space="0" w:color="auto"/>
                        <w:bottom w:val="none" w:sz="0" w:space="0" w:color="auto"/>
                        <w:right w:val="none" w:sz="0" w:space="0" w:color="auto"/>
                      </w:divBdr>
                    </w:div>
                  </w:divsChild>
                </w:div>
                <w:div w:id="1854563634">
                  <w:marLeft w:val="0"/>
                  <w:marRight w:val="0"/>
                  <w:marTop w:val="0"/>
                  <w:marBottom w:val="0"/>
                  <w:divBdr>
                    <w:top w:val="none" w:sz="0" w:space="0" w:color="auto"/>
                    <w:left w:val="none" w:sz="0" w:space="0" w:color="auto"/>
                    <w:bottom w:val="none" w:sz="0" w:space="0" w:color="auto"/>
                    <w:right w:val="none" w:sz="0" w:space="0" w:color="auto"/>
                  </w:divBdr>
                  <w:divsChild>
                    <w:div w:id="1105077543">
                      <w:marLeft w:val="0"/>
                      <w:marRight w:val="0"/>
                      <w:marTop w:val="0"/>
                      <w:marBottom w:val="0"/>
                      <w:divBdr>
                        <w:top w:val="none" w:sz="0" w:space="0" w:color="auto"/>
                        <w:left w:val="none" w:sz="0" w:space="0" w:color="auto"/>
                        <w:bottom w:val="none" w:sz="0" w:space="0" w:color="auto"/>
                        <w:right w:val="none" w:sz="0" w:space="0" w:color="auto"/>
                      </w:divBdr>
                    </w:div>
                  </w:divsChild>
                </w:div>
                <w:div w:id="1964917164">
                  <w:marLeft w:val="0"/>
                  <w:marRight w:val="0"/>
                  <w:marTop w:val="0"/>
                  <w:marBottom w:val="0"/>
                  <w:divBdr>
                    <w:top w:val="none" w:sz="0" w:space="0" w:color="auto"/>
                    <w:left w:val="none" w:sz="0" w:space="0" w:color="auto"/>
                    <w:bottom w:val="none" w:sz="0" w:space="0" w:color="auto"/>
                    <w:right w:val="none" w:sz="0" w:space="0" w:color="auto"/>
                  </w:divBdr>
                  <w:divsChild>
                    <w:div w:id="735664808">
                      <w:marLeft w:val="0"/>
                      <w:marRight w:val="0"/>
                      <w:marTop w:val="0"/>
                      <w:marBottom w:val="0"/>
                      <w:divBdr>
                        <w:top w:val="none" w:sz="0" w:space="0" w:color="auto"/>
                        <w:left w:val="none" w:sz="0" w:space="0" w:color="auto"/>
                        <w:bottom w:val="none" w:sz="0" w:space="0" w:color="auto"/>
                        <w:right w:val="none" w:sz="0" w:space="0" w:color="auto"/>
                      </w:divBdr>
                    </w:div>
                  </w:divsChild>
                </w:div>
                <w:div w:id="2115439907">
                  <w:marLeft w:val="0"/>
                  <w:marRight w:val="0"/>
                  <w:marTop w:val="0"/>
                  <w:marBottom w:val="0"/>
                  <w:divBdr>
                    <w:top w:val="none" w:sz="0" w:space="0" w:color="auto"/>
                    <w:left w:val="none" w:sz="0" w:space="0" w:color="auto"/>
                    <w:bottom w:val="none" w:sz="0" w:space="0" w:color="auto"/>
                    <w:right w:val="none" w:sz="0" w:space="0" w:color="auto"/>
                  </w:divBdr>
                  <w:divsChild>
                    <w:div w:id="16461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1259">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s://www.health.vic.gov.au/hospitals-and-health-services/funding-performance-and-accountability" TargetMode="External"/><Relationship Id="rId20" Type="http://schemas.openxmlformats.org/officeDocument/2006/relationships/footer" Target="footer5.xml"/><Relationship Id="rId29" Type="http://schemas.openxmlformats.org/officeDocument/2006/relationships/hyperlink" Target="https://www.safercare.vic.gov.au/best-practice-improvement/publications/sentinel-events-gui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www2.health.vic.gov.au/hospitals-and-health-services/quality-safety-service/clinical-networks/clinical-network-stroke/stroke-statewide-frameworks" TargetMode="Externa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sights@health.vic.gov.au" TargetMode="External"/><Relationship Id="rId23" Type="http://schemas.openxmlformats.org/officeDocument/2006/relationships/footer" Target="footer7.xml"/><Relationship Id="rId28" Type="http://schemas.openxmlformats.org/officeDocument/2006/relationships/hyperlink" Target="http://www.vicniss.org.au/" TargetMode="Externa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www.ambulance.vic.gov.au/paramedics/clinical-practice-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sights@health.vic.gov.au" TargetMode="External"/><Relationship Id="rId22" Type="http://schemas.openxmlformats.org/officeDocument/2006/relationships/footer" Target="footer6.xml"/><Relationship Id="rId27" Type="http://schemas.openxmlformats.org/officeDocument/2006/relationships/hyperlink" Target="https://www.health.vic.gov.au/immunisation/vaccination-for-healthcare-workers" TargetMode="External"/><Relationship Id="rId30" Type="http://schemas.openxmlformats.org/officeDocument/2006/relationships/hyperlink" Target="https://www.health.gov.au/resources/publications/star-ratings-provider-manual?language=en"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22538</Words>
  <Characters>128467</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150704</CharactersWithSpaces>
  <SharedDoc>false</SharedDoc>
  <HyperlinkBase/>
  <HLinks>
    <vt:vector size="204" baseType="variant">
      <vt:variant>
        <vt:i4>5767196</vt:i4>
      </vt:variant>
      <vt:variant>
        <vt:i4>216</vt:i4>
      </vt:variant>
      <vt:variant>
        <vt:i4>0</vt:i4>
      </vt:variant>
      <vt:variant>
        <vt:i4>5</vt:i4>
      </vt:variant>
      <vt:variant>
        <vt:lpwstr>https://www2.health.vic.gov.au/hospitals-and-health-services/quality-safety-service/clinical-networks/clinical-network-stroke/stroke-statewide-frameworks</vt:lpwstr>
      </vt:variant>
      <vt:variant>
        <vt:lpwstr/>
      </vt:variant>
      <vt:variant>
        <vt:i4>917572</vt:i4>
      </vt:variant>
      <vt:variant>
        <vt:i4>207</vt:i4>
      </vt:variant>
      <vt:variant>
        <vt:i4>0</vt:i4>
      </vt:variant>
      <vt:variant>
        <vt:i4>5</vt:i4>
      </vt:variant>
      <vt:variant>
        <vt:lpwstr>https://www.ambulance.vic.gov.au/paramedics/clinical-practice-guidelines/</vt:lpwstr>
      </vt:variant>
      <vt:variant>
        <vt:lpwstr/>
      </vt:variant>
      <vt:variant>
        <vt:i4>196615</vt:i4>
      </vt:variant>
      <vt:variant>
        <vt:i4>183</vt:i4>
      </vt:variant>
      <vt:variant>
        <vt:i4>0</vt:i4>
      </vt:variant>
      <vt:variant>
        <vt:i4>5</vt:i4>
      </vt:variant>
      <vt:variant>
        <vt:lpwstr>https://www.health.gov.au/resources/publications/star-ratings-provider-manual?language=en</vt:lpwstr>
      </vt:variant>
      <vt:variant>
        <vt:lpwstr/>
      </vt:variant>
      <vt:variant>
        <vt:i4>4849757</vt:i4>
      </vt:variant>
      <vt:variant>
        <vt:i4>180</vt:i4>
      </vt:variant>
      <vt:variant>
        <vt:i4>0</vt:i4>
      </vt:variant>
      <vt:variant>
        <vt:i4>5</vt:i4>
      </vt:variant>
      <vt:variant>
        <vt:lpwstr>https://www.safercare.vic.gov.au/best-practice-improvement/publications/sentinel-events-guide</vt:lpwstr>
      </vt:variant>
      <vt:variant>
        <vt:lpwstr/>
      </vt:variant>
      <vt:variant>
        <vt:i4>6422563</vt:i4>
      </vt:variant>
      <vt:variant>
        <vt:i4>174</vt:i4>
      </vt:variant>
      <vt:variant>
        <vt:i4>0</vt:i4>
      </vt:variant>
      <vt:variant>
        <vt:i4>5</vt:i4>
      </vt:variant>
      <vt:variant>
        <vt:lpwstr>http://www.vicniss.org.au/</vt:lpwstr>
      </vt:variant>
      <vt:variant>
        <vt:lpwstr/>
      </vt:variant>
      <vt:variant>
        <vt:i4>5046352</vt:i4>
      </vt:variant>
      <vt:variant>
        <vt:i4>171</vt:i4>
      </vt:variant>
      <vt:variant>
        <vt:i4>0</vt:i4>
      </vt:variant>
      <vt:variant>
        <vt:i4>5</vt:i4>
      </vt:variant>
      <vt:variant>
        <vt:lpwstr>https://www.health.vic.gov.au/immunisation/vaccination-for-healthcare-workers</vt:lpwstr>
      </vt:variant>
      <vt:variant>
        <vt:lpwstr/>
      </vt:variant>
      <vt:variant>
        <vt:i4>1966135</vt:i4>
      </vt:variant>
      <vt:variant>
        <vt:i4>158</vt:i4>
      </vt:variant>
      <vt:variant>
        <vt:i4>0</vt:i4>
      </vt:variant>
      <vt:variant>
        <vt:i4>5</vt:i4>
      </vt:variant>
      <vt:variant>
        <vt:lpwstr/>
      </vt:variant>
      <vt:variant>
        <vt:lpwstr>_Toc204853429</vt:lpwstr>
      </vt:variant>
      <vt:variant>
        <vt:i4>1966135</vt:i4>
      </vt:variant>
      <vt:variant>
        <vt:i4>152</vt:i4>
      </vt:variant>
      <vt:variant>
        <vt:i4>0</vt:i4>
      </vt:variant>
      <vt:variant>
        <vt:i4>5</vt:i4>
      </vt:variant>
      <vt:variant>
        <vt:lpwstr/>
      </vt:variant>
      <vt:variant>
        <vt:lpwstr>_Toc204853428</vt:lpwstr>
      </vt:variant>
      <vt:variant>
        <vt:i4>1966135</vt:i4>
      </vt:variant>
      <vt:variant>
        <vt:i4>146</vt:i4>
      </vt:variant>
      <vt:variant>
        <vt:i4>0</vt:i4>
      </vt:variant>
      <vt:variant>
        <vt:i4>5</vt:i4>
      </vt:variant>
      <vt:variant>
        <vt:lpwstr/>
      </vt:variant>
      <vt:variant>
        <vt:lpwstr>_Toc204853427</vt:lpwstr>
      </vt:variant>
      <vt:variant>
        <vt:i4>1966135</vt:i4>
      </vt:variant>
      <vt:variant>
        <vt:i4>140</vt:i4>
      </vt:variant>
      <vt:variant>
        <vt:i4>0</vt:i4>
      </vt:variant>
      <vt:variant>
        <vt:i4>5</vt:i4>
      </vt:variant>
      <vt:variant>
        <vt:lpwstr/>
      </vt:variant>
      <vt:variant>
        <vt:lpwstr>_Toc204853426</vt:lpwstr>
      </vt:variant>
      <vt:variant>
        <vt:i4>1966135</vt:i4>
      </vt:variant>
      <vt:variant>
        <vt:i4>134</vt:i4>
      </vt:variant>
      <vt:variant>
        <vt:i4>0</vt:i4>
      </vt:variant>
      <vt:variant>
        <vt:i4>5</vt:i4>
      </vt:variant>
      <vt:variant>
        <vt:lpwstr/>
      </vt:variant>
      <vt:variant>
        <vt:lpwstr>_Toc204853425</vt:lpwstr>
      </vt:variant>
      <vt:variant>
        <vt:i4>1966135</vt:i4>
      </vt:variant>
      <vt:variant>
        <vt:i4>128</vt:i4>
      </vt:variant>
      <vt:variant>
        <vt:i4>0</vt:i4>
      </vt:variant>
      <vt:variant>
        <vt:i4>5</vt:i4>
      </vt:variant>
      <vt:variant>
        <vt:lpwstr/>
      </vt:variant>
      <vt:variant>
        <vt:lpwstr>_Toc204853424</vt:lpwstr>
      </vt:variant>
      <vt:variant>
        <vt:i4>1966135</vt:i4>
      </vt:variant>
      <vt:variant>
        <vt:i4>122</vt:i4>
      </vt:variant>
      <vt:variant>
        <vt:i4>0</vt:i4>
      </vt:variant>
      <vt:variant>
        <vt:i4>5</vt:i4>
      </vt:variant>
      <vt:variant>
        <vt:lpwstr/>
      </vt:variant>
      <vt:variant>
        <vt:lpwstr>_Toc204853423</vt:lpwstr>
      </vt:variant>
      <vt:variant>
        <vt:i4>1966135</vt:i4>
      </vt:variant>
      <vt:variant>
        <vt:i4>116</vt:i4>
      </vt:variant>
      <vt:variant>
        <vt:i4>0</vt:i4>
      </vt:variant>
      <vt:variant>
        <vt:i4>5</vt:i4>
      </vt:variant>
      <vt:variant>
        <vt:lpwstr/>
      </vt:variant>
      <vt:variant>
        <vt:lpwstr>_Toc204853422</vt:lpwstr>
      </vt:variant>
      <vt:variant>
        <vt:i4>1966135</vt:i4>
      </vt:variant>
      <vt:variant>
        <vt:i4>110</vt:i4>
      </vt:variant>
      <vt:variant>
        <vt:i4>0</vt:i4>
      </vt:variant>
      <vt:variant>
        <vt:i4>5</vt:i4>
      </vt:variant>
      <vt:variant>
        <vt:lpwstr/>
      </vt:variant>
      <vt:variant>
        <vt:lpwstr>_Toc204853421</vt:lpwstr>
      </vt:variant>
      <vt:variant>
        <vt:i4>1966135</vt:i4>
      </vt:variant>
      <vt:variant>
        <vt:i4>104</vt:i4>
      </vt:variant>
      <vt:variant>
        <vt:i4>0</vt:i4>
      </vt:variant>
      <vt:variant>
        <vt:i4>5</vt:i4>
      </vt:variant>
      <vt:variant>
        <vt:lpwstr/>
      </vt:variant>
      <vt:variant>
        <vt:lpwstr>_Toc204853420</vt:lpwstr>
      </vt:variant>
      <vt:variant>
        <vt:i4>1900599</vt:i4>
      </vt:variant>
      <vt:variant>
        <vt:i4>98</vt:i4>
      </vt:variant>
      <vt:variant>
        <vt:i4>0</vt:i4>
      </vt:variant>
      <vt:variant>
        <vt:i4>5</vt:i4>
      </vt:variant>
      <vt:variant>
        <vt:lpwstr/>
      </vt:variant>
      <vt:variant>
        <vt:lpwstr>_Toc204853419</vt:lpwstr>
      </vt:variant>
      <vt:variant>
        <vt:i4>1900599</vt:i4>
      </vt:variant>
      <vt:variant>
        <vt:i4>92</vt:i4>
      </vt:variant>
      <vt:variant>
        <vt:i4>0</vt:i4>
      </vt:variant>
      <vt:variant>
        <vt:i4>5</vt:i4>
      </vt:variant>
      <vt:variant>
        <vt:lpwstr/>
      </vt:variant>
      <vt:variant>
        <vt:lpwstr>_Toc204853418</vt:lpwstr>
      </vt:variant>
      <vt:variant>
        <vt:i4>1900599</vt:i4>
      </vt:variant>
      <vt:variant>
        <vt:i4>86</vt:i4>
      </vt:variant>
      <vt:variant>
        <vt:i4>0</vt:i4>
      </vt:variant>
      <vt:variant>
        <vt:i4>5</vt:i4>
      </vt:variant>
      <vt:variant>
        <vt:lpwstr/>
      </vt:variant>
      <vt:variant>
        <vt:lpwstr>_Toc204853417</vt:lpwstr>
      </vt:variant>
      <vt:variant>
        <vt:i4>1900599</vt:i4>
      </vt:variant>
      <vt:variant>
        <vt:i4>80</vt:i4>
      </vt:variant>
      <vt:variant>
        <vt:i4>0</vt:i4>
      </vt:variant>
      <vt:variant>
        <vt:i4>5</vt:i4>
      </vt:variant>
      <vt:variant>
        <vt:lpwstr/>
      </vt:variant>
      <vt:variant>
        <vt:lpwstr>_Toc204853416</vt:lpwstr>
      </vt:variant>
      <vt:variant>
        <vt:i4>1900599</vt:i4>
      </vt:variant>
      <vt:variant>
        <vt:i4>74</vt:i4>
      </vt:variant>
      <vt:variant>
        <vt:i4>0</vt:i4>
      </vt:variant>
      <vt:variant>
        <vt:i4>5</vt:i4>
      </vt:variant>
      <vt:variant>
        <vt:lpwstr/>
      </vt:variant>
      <vt:variant>
        <vt:lpwstr>_Toc204853415</vt:lpwstr>
      </vt:variant>
      <vt:variant>
        <vt:i4>1900599</vt:i4>
      </vt:variant>
      <vt:variant>
        <vt:i4>68</vt:i4>
      </vt:variant>
      <vt:variant>
        <vt:i4>0</vt:i4>
      </vt:variant>
      <vt:variant>
        <vt:i4>5</vt:i4>
      </vt:variant>
      <vt:variant>
        <vt:lpwstr/>
      </vt:variant>
      <vt:variant>
        <vt:lpwstr>_Toc204853414</vt:lpwstr>
      </vt:variant>
      <vt:variant>
        <vt:i4>1900599</vt:i4>
      </vt:variant>
      <vt:variant>
        <vt:i4>62</vt:i4>
      </vt:variant>
      <vt:variant>
        <vt:i4>0</vt:i4>
      </vt:variant>
      <vt:variant>
        <vt:i4>5</vt:i4>
      </vt:variant>
      <vt:variant>
        <vt:lpwstr/>
      </vt:variant>
      <vt:variant>
        <vt:lpwstr>_Toc204853413</vt:lpwstr>
      </vt:variant>
      <vt:variant>
        <vt:i4>1900599</vt:i4>
      </vt:variant>
      <vt:variant>
        <vt:i4>56</vt:i4>
      </vt:variant>
      <vt:variant>
        <vt:i4>0</vt:i4>
      </vt:variant>
      <vt:variant>
        <vt:i4>5</vt:i4>
      </vt:variant>
      <vt:variant>
        <vt:lpwstr/>
      </vt:variant>
      <vt:variant>
        <vt:lpwstr>_Toc204853412</vt:lpwstr>
      </vt:variant>
      <vt:variant>
        <vt:i4>1900599</vt:i4>
      </vt:variant>
      <vt:variant>
        <vt:i4>50</vt:i4>
      </vt:variant>
      <vt:variant>
        <vt:i4>0</vt:i4>
      </vt:variant>
      <vt:variant>
        <vt:i4>5</vt:i4>
      </vt:variant>
      <vt:variant>
        <vt:lpwstr/>
      </vt:variant>
      <vt:variant>
        <vt:lpwstr>_Toc204853411</vt:lpwstr>
      </vt:variant>
      <vt:variant>
        <vt:i4>1900599</vt:i4>
      </vt:variant>
      <vt:variant>
        <vt:i4>44</vt:i4>
      </vt:variant>
      <vt:variant>
        <vt:i4>0</vt:i4>
      </vt:variant>
      <vt:variant>
        <vt:i4>5</vt:i4>
      </vt:variant>
      <vt:variant>
        <vt:lpwstr/>
      </vt:variant>
      <vt:variant>
        <vt:lpwstr>_Toc204853410</vt:lpwstr>
      </vt:variant>
      <vt:variant>
        <vt:i4>1835063</vt:i4>
      </vt:variant>
      <vt:variant>
        <vt:i4>38</vt:i4>
      </vt:variant>
      <vt:variant>
        <vt:i4>0</vt:i4>
      </vt:variant>
      <vt:variant>
        <vt:i4>5</vt:i4>
      </vt:variant>
      <vt:variant>
        <vt:lpwstr/>
      </vt:variant>
      <vt:variant>
        <vt:lpwstr>_Toc204853409</vt:lpwstr>
      </vt:variant>
      <vt:variant>
        <vt:i4>1835063</vt:i4>
      </vt:variant>
      <vt:variant>
        <vt:i4>32</vt:i4>
      </vt:variant>
      <vt:variant>
        <vt:i4>0</vt:i4>
      </vt:variant>
      <vt:variant>
        <vt:i4>5</vt:i4>
      </vt:variant>
      <vt:variant>
        <vt:lpwstr/>
      </vt:variant>
      <vt:variant>
        <vt:lpwstr>_Toc204853408</vt:lpwstr>
      </vt:variant>
      <vt:variant>
        <vt:i4>1835063</vt:i4>
      </vt:variant>
      <vt:variant>
        <vt:i4>26</vt:i4>
      </vt:variant>
      <vt:variant>
        <vt:i4>0</vt:i4>
      </vt:variant>
      <vt:variant>
        <vt:i4>5</vt:i4>
      </vt:variant>
      <vt:variant>
        <vt:lpwstr/>
      </vt:variant>
      <vt:variant>
        <vt:lpwstr>_Toc204853407</vt:lpwstr>
      </vt:variant>
      <vt:variant>
        <vt:i4>1835063</vt:i4>
      </vt:variant>
      <vt:variant>
        <vt:i4>20</vt:i4>
      </vt:variant>
      <vt:variant>
        <vt:i4>0</vt:i4>
      </vt:variant>
      <vt:variant>
        <vt:i4>5</vt:i4>
      </vt:variant>
      <vt:variant>
        <vt:lpwstr/>
      </vt:variant>
      <vt:variant>
        <vt:lpwstr>_Toc204853406</vt:lpwstr>
      </vt:variant>
      <vt:variant>
        <vt:i4>1835063</vt:i4>
      </vt:variant>
      <vt:variant>
        <vt:i4>14</vt:i4>
      </vt:variant>
      <vt:variant>
        <vt:i4>0</vt:i4>
      </vt:variant>
      <vt:variant>
        <vt:i4>5</vt:i4>
      </vt:variant>
      <vt:variant>
        <vt:lpwstr/>
      </vt:variant>
      <vt:variant>
        <vt:lpwstr>_Toc204853405</vt:lpwstr>
      </vt:variant>
      <vt:variant>
        <vt:i4>8126503</vt:i4>
      </vt:variant>
      <vt:variant>
        <vt:i4>9</vt:i4>
      </vt:variant>
      <vt:variant>
        <vt:i4>0</vt:i4>
      </vt:variant>
      <vt:variant>
        <vt:i4>5</vt:i4>
      </vt:variant>
      <vt:variant>
        <vt:lpwstr>https://www.health.vic.gov.au/hospitals-and-health-services/funding-performance-and-accountability</vt:lpwstr>
      </vt:variant>
      <vt:variant>
        <vt:lpwstr/>
      </vt:variant>
      <vt:variant>
        <vt:i4>3080195</vt:i4>
      </vt:variant>
      <vt:variant>
        <vt:i4>6</vt:i4>
      </vt:variant>
      <vt:variant>
        <vt:i4>0</vt:i4>
      </vt:variant>
      <vt:variant>
        <vt:i4>5</vt:i4>
      </vt:variant>
      <vt:variant>
        <vt:lpwstr>mailto:insights@health.vic.gov.au</vt:lpwstr>
      </vt:variant>
      <vt:variant>
        <vt:lpwstr/>
      </vt:variant>
      <vt:variant>
        <vt:i4>3080195</vt:i4>
      </vt:variant>
      <vt:variant>
        <vt:i4>3</vt:i4>
      </vt:variant>
      <vt:variant>
        <vt:i4>0</vt:i4>
      </vt:variant>
      <vt:variant>
        <vt:i4>5</vt:i4>
      </vt:variant>
      <vt:variant>
        <vt:lpwstr>mailto:insights@health.vic.gov.au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Health Services Performance Monitoring Framework 2025-26 Business Rules</dc:title>
  <dc:subject/>
  <dc:creator/>
  <cp:keywords/>
  <dc:description/>
  <cp:lastModifiedBy/>
  <cp:revision>1</cp:revision>
  <dcterms:created xsi:type="dcterms:W3CDTF">2025-07-31T02:14:00Z</dcterms:created>
  <dcterms:modified xsi:type="dcterms:W3CDTF">2025-07-31T02:14:00Z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2ce2db50,465e75e0,573d92b9,5fa7b733,2193cc9,e403378,68aac46,a3382b4,4099c0af,6778e87b,c4ca553,147f1efc,675cd5a4,7ff3e14b,712d4eb1</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2025-07-31T02:14:05Z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19e002aa-edb7-4409-bf19-9f98e48f771b</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