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83D55F" w14:textId="77777777" w:rsidR="0074696E" w:rsidRPr="004C6EEE" w:rsidRDefault="00904AB4" w:rsidP="00EC40D5">
      <w:pPr>
        <w:pStyle w:val="Sectionbreakfirstpage"/>
      </w:pPr>
      <w:r>
        <w:drawing>
          <wp:anchor distT="0" distB="0" distL="114300" distR="114300" simplePos="0" relativeHeight="251658240" behindDoc="1" locked="1" layoutInCell="1" allowOverlap="0" wp14:anchorId="782488D1" wp14:editId="2CA1A992">
            <wp:simplePos x="0" y="0"/>
            <wp:positionH relativeFrom="page">
              <wp:posOffset>0</wp:posOffset>
            </wp:positionH>
            <wp:positionV relativeFrom="page">
              <wp:posOffset>0</wp:posOffset>
            </wp:positionV>
            <wp:extent cx="7556400" cy="1360800"/>
            <wp:effectExtent l="0" t="0" r="63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6400" cy="1360800"/>
                    </a:xfrm>
                    <a:prstGeom prst="rect">
                      <a:avLst/>
                    </a:prstGeom>
                  </pic:spPr>
                </pic:pic>
              </a:graphicData>
            </a:graphic>
            <wp14:sizeRelH relativeFrom="margin">
              <wp14:pctWidth>0</wp14:pctWidth>
            </wp14:sizeRelH>
            <wp14:sizeRelV relativeFrom="margin">
              <wp14:pctHeight>0</wp14:pctHeight>
            </wp14:sizeRelV>
          </wp:anchor>
        </w:drawing>
      </w:r>
    </w:p>
    <w:p w14:paraId="369D6691" w14:textId="77777777" w:rsidR="00A62D44" w:rsidRPr="004C6EEE" w:rsidRDefault="00A62D44" w:rsidP="00EC40D5">
      <w:pPr>
        <w:pStyle w:val="Sectionbreakfirstpage"/>
        <w:sectPr w:rsidR="00A62D44" w:rsidRPr="004C6EEE" w:rsidSect="00E62622">
          <w:headerReference w:type="default" r:id="rId12"/>
          <w:footerReference w:type="default" r:id="rId13"/>
          <w:footerReference w:type="first" r:id="rId14"/>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491E0D07" w14:textId="77777777" w:rsidTr="00B07FF7">
        <w:trPr>
          <w:trHeight w:val="622"/>
        </w:trPr>
        <w:tc>
          <w:tcPr>
            <w:tcW w:w="10348" w:type="dxa"/>
            <w:tcMar>
              <w:top w:w="1531" w:type="dxa"/>
              <w:left w:w="0" w:type="dxa"/>
              <w:right w:w="0" w:type="dxa"/>
            </w:tcMar>
          </w:tcPr>
          <w:p w14:paraId="4F74A656" w14:textId="77777777" w:rsidR="003B5733" w:rsidRPr="003B5733" w:rsidRDefault="00DB5797" w:rsidP="00AC6350">
            <w:pPr>
              <w:pStyle w:val="Documenttitle"/>
            </w:pPr>
            <w:r>
              <w:t>Schedule 8 treatment permits</w:t>
            </w:r>
          </w:p>
        </w:tc>
      </w:tr>
      <w:tr w:rsidR="003B5733" w14:paraId="4D6B8285" w14:textId="77777777" w:rsidTr="00B07FF7">
        <w:tc>
          <w:tcPr>
            <w:tcW w:w="10348" w:type="dxa"/>
          </w:tcPr>
          <w:p w14:paraId="20E6B2F1" w14:textId="77777777" w:rsidR="003B5733" w:rsidRPr="00A1389F" w:rsidRDefault="00DB5797" w:rsidP="005F44C0">
            <w:pPr>
              <w:pStyle w:val="Documentsubtitle"/>
            </w:pPr>
            <w:r>
              <w:t>R</w:t>
            </w:r>
            <w:r w:rsidR="0039011D" w:rsidRPr="0039011D">
              <w:t xml:space="preserve">equirements </w:t>
            </w:r>
            <w:r w:rsidR="00AC7ED6">
              <w:t>in Victoria</w:t>
            </w:r>
          </w:p>
        </w:tc>
      </w:tr>
      <w:tr w:rsidR="003B5733" w14:paraId="79C6AD6F" w14:textId="77777777" w:rsidTr="00B07FF7">
        <w:tc>
          <w:tcPr>
            <w:tcW w:w="10348" w:type="dxa"/>
          </w:tcPr>
          <w:p w14:paraId="307B0049" w14:textId="77777777" w:rsidR="003B5733" w:rsidRPr="001E5058" w:rsidRDefault="0039011D" w:rsidP="001E5058">
            <w:pPr>
              <w:pStyle w:val="Bannermarking"/>
            </w:pPr>
            <w:fldSimple w:instr=" FILLIN  &quot;Type the protective marking&quot; \d OFFICIAL \o  \* MERGEFORMAT ">
              <w:r>
                <w:t>OFFICIAL</w:t>
              </w:r>
            </w:fldSimple>
          </w:p>
        </w:tc>
      </w:tr>
    </w:tbl>
    <w:p w14:paraId="55F86F03" w14:textId="77777777" w:rsidR="0039011D" w:rsidRDefault="0039011D" w:rsidP="00677E9B">
      <w:pPr>
        <w:pStyle w:val="Heading1"/>
      </w:pPr>
      <w:r w:rsidRPr="0039011D">
        <w:t>Introductory notes</w:t>
      </w:r>
    </w:p>
    <w:p w14:paraId="36C7B150" w14:textId="77777777" w:rsidR="005F54D0" w:rsidRDefault="0039011D" w:rsidP="00677E9B">
      <w:pPr>
        <w:pStyle w:val="Body"/>
      </w:pPr>
      <w:r w:rsidRPr="00677E9B">
        <w:t xml:space="preserve">The </w:t>
      </w:r>
      <w:r w:rsidRPr="00EA4F10">
        <w:rPr>
          <w:i/>
        </w:rPr>
        <w:t>Drugs Poisons and Controlled Substances Act 1981</w:t>
      </w:r>
      <w:r w:rsidRPr="00677E9B">
        <w:t xml:space="preserve"> (the Act) and the Drugs Poisons and Controlled Substances Regulations 2017 (the regulations)</w:t>
      </w:r>
      <w:r w:rsidR="00EA4F10">
        <w:t xml:space="preserve"> indicate who may possess Schedule 4 and 8 poisons; the extent to which possession is lawful; and the </w:t>
      </w:r>
      <w:r w:rsidR="005F54D0">
        <w:t xml:space="preserve">legislative </w:t>
      </w:r>
      <w:r w:rsidR="00EA4F10">
        <w:t>requirements for use, storage and supply</w:t>
      </w:r>
      <w:r w:rsidR="005F54D0">
        <w:t xml:space="preserve"> of Schedule 4 and 8 poisons.</w:t>
      </w:r>
      <w:r w:rsidR="00EA4F10">
        <w:t xml:space="preserve">  C</w:t>
      </w:r>
      <w:r w:rsidRPr="00677E9B">
        <w:t>urrent versions of the Act and the regulations</w:t>
      </w:r>
      <w:r w:rsidR="00EA4F10">
        <w:t>, which</w:t>
      </w:r>
      <w:r w:rsidRPr="00677E9B">
        <w:t xml:space="preserve"> should be considered in concert and not in isolation</w:t>
      </w:r>
      <w:r w:rsidR="00EA4F10">
        <w:t>, c</w:t>
      </w:r>
      <w:r w:rsidRPr="00677E9B">
        <w:t xml:space="preserve">an be accessed at </w:t>
      </w:r>
      <w:hyperlink r:id="rId15" w:history="1">
        <w:r w:rsidR="00AD1982" w:rsidRPr="008463D5">
          <w:rPr>
            <w:rStyle w:val="Hyperlink"/>
          </w:rPr>
          <w:t>Victorian Law Today</w:t>
        </w:r>
      </w:hyperlink>
      <w:r w:rsidR="00AD1982">
        <w:t xml:space="preserve"> &lt;</w:t>
      </w:r>
      <w:r w:rsidR="00AD1982" w:rsidRPr="008463D5">
        <w:t>http://www.legislation.vic.gov.au/</w:t>
      </w:r>
      <w:r w:rsidR="00AD1982">
        <w:t>&gt;</w:t>
      </w:r>
      <w:r w:rsidRPr="00677E9B">
        <w:t xml:space="preserve">.  </w:t>
      </w:r>
    </w:p>
    <w:p w14:paraId="25EA2122" w14:textId="3A75CE63" w:rsidR="005F54D0" w:rsidRDefault="0039011D" w:rsidP="005F54D0">
      <w:pPr>
        <w:pStyle w:val="Body"/>
      </w:pPr>
      <w:r w:rsidRPr="00677E9B">
        <w:t>This is one of a series</w:t>
      </w:r>
      <w:r w:rsidR="005F54D0">
        <w:t xml:space="preserve"> of documents </w:t>
      </w:r>
      <w:r w:rsidRPr="00677E9B">
        <w:t xml:space="preserve">prepared by Medicines and Poisons Regulation (MPR) to assist </w:t>
      </w:r>
      <w:r w:rsidR="005F54D0" w:rsidRPr="00677E9B">
        <w:t xml:space="preserve">multiple or specific categories of health </w:t>
      </w:r>
      <w:r w:rsidRPr="00677E9B">
        <w:t>practitioners to understand</w:t>
      </w:r>
      <w:r w:rsidR="005F54D0">
        <w:t xml:space="preserve"> the more common</w:t>
      </w:r>
      <w:r w:rsidRPr="00677E9B">
        <w:t xml:space="preserve"> legislative requirements. Refer to the </w:t>
      </w:r>
      <w:hyperlink r:id="rId16" w:history="1">
        <w:r w:rsidR="005F54D0" w:rsidRPr="008463D5">
          <w:rPr>
            <w:rStyle w:val="Hyperlink"/>
          </w:rPr>
          <w:t>Medicines and poisons webpage</w:t>
        </w:r>
      </w:hyperlink>
      <w:r w:rsidR="005F54D0">
        <w:t xml:space="preserve"> </w:t>
      </w:r>
      <w:r w:rsidR="00BF7394">
        <w:t>&lt;</w:t>
      </w:r>
      <w:r w:rsidR="005F54D0" w:rsidRPr="00BF7394">
        <w:t>http://www.health.vic.gov.au/dpcs</w:t>
      </w:r>
      <w:r w:rsidR="00BF7394">
        <w:t>&gt;</w:t>
      </w:r>
      <w:r w:rsidR="005F54D0">
        <w:t xml:space="preserve"> </w:t>
      </w:r>
      <w:r w:rsidR="005F54D0" w:rsidRPr="00677E9B">
        <w:t xml:space="preserve">on the </w:t>
      </w:r>
      <w:proofErr w:type="spellStart"/>
      <w:r w:rsidR="005F54D0" w:rsidRPr="00677E9B">
        <w:t>Health.</w:t>
      </w:r>
      <w:r w:rsidR="00E309F6">
        <w:t>V</w:t>
      </w:r>
      <w:r w:rsidR="005F54D0" w:rsidRPr="00677E9B">
        <w:t>ic</w:t>
      </w:r>
      <w:proofErr w:type="spellEnd"/>
      <w:r w:rsidR="005F54D0" w:rsidRPr="00677E9B">
        <w:t xml:space="preserve"> website</w:t>
      </w:r>
      <w:r w:rsidRPr="00677E9B">
        <w:t xml:space="preserve"> </w:t>
      </w:r>
      <w:r w:rsidR="005F54D0" w:rsidRPr="00677E9B">
        <w:t>for other ‘Documents to print or download’</w:t>
      </w:r>
      <w:r w:rsidR="005F54D0">
        <w:t xml:space="preserve"> and for a</w:t>
      </w:r>
      <w:r w:rsidR="005F54D0" w:rsidRPr="00677E9B">
        <w:t xml:space="preserve"> link to the Poisons Standard, which contains details </w:t>
      </w:r>
      <w:r w:rsidR="005F54D0">
        <w:t>of</w:t>
      </w:r>
      <w:r w:rsidR="005F54D0" w:rsidRPr="00677E9B">
        <w:t xml:space="preserve"> poisons schedules plus labelling and packaging requirements</w:t>
      </w:r>
      <w:r w:rsidR="005F54D0">
        <w:t>.</w:t>
      </w:r>
    </w:p>
    <w:p w14:paraId="7129CF9B" w14:textId="77777777" w:rsidR="00AA2526" w:rsidRDefault="00AA2526" w:rsidP="00AA2526">
      <w:pPr>
        <w:pStyle w:val="Heading2"/>
      </w:pPr>
      <w:r>
        <w:t>Evolution of the permit system</w:t>
      </w:r>
    </w:p>
    <w:p w14:paraId="6C0E6EA2" w14:textId="77777777" w:rsidR="00AA2526" w:rsidRDefault="00AA2526" w:rsidP="00CC2DD9">
      <w:pPr>
        <w:pStyle w:val="Body"/>
      </w:pPr>
      <w:r>
        <w:t>The permit system was introduced towards the middle of the 20</w:t>
      </w:r>
      <w:r w:rsidRPr="003F3809">
        <w:rPr>
          <w:vertAlign w:val="superscript"/>
        </w:rPr>
        <w:t>th</w:t>
      </w:r>
      <w:r>
        <w:t xml:space="preserve"> century in an attempt to limit a person’s ability to obtain Schedule 8 poisons from multiple prescribers. Since then, more health practitioners have been authorised to prescribe Schedule 8 poisons and the extent of prescribing (and of prescription-shopping) has significantly and progressively increased. </w:t>
      </w:r>
    </w:p>
    <w:p w14:paraId="00B72A7A" w14:textId="77777777" w:rsidR="00AA2526" w:rsidRDefault="00AA2526" w:rsidP="00CC2DD9">
      <w:pPr>
        <w:pStyle w:val="Body"/>
      </w:pPr>
      <w:r>
        <w:t>Numerous variations and exceptions to the original permit system, over many decades, made the permit system much more complex whereas problems associated with prescription-shopping and excessive prescribing of Schedule 8 poisons and many Schedule 4 poisons continued to increase.</w:t>
      </w:r>
    </w:p>
    <w:p w14:paraId="0DE533E9" w14:textId="48183D6B" w:rsidR="00AA2526" w:rsidRDefault="00AA2526" w:rsidP="00CC2DD9">
      <w:pPr>
        <w:pStyle w:val="Body"/>
      </w:pPr>
      <w:r>
        <w:t xml:space="preserve">To address the </w:t>
      </w:r>
      <w:r w:rsidR="00BE3AB3" w:rsidRPr="00A805C3">
        <w:t xml:space="preserve">one of the </w:t>
      </w:r>
      <w:r w:rsidRPr="00A805C3">
        <w:t>primary reason</w:t>
      </w:r>
      <w:r w:rsidR="00BE3AB3" w:rsidRPr="00A805C3">
        <w:t>s</w:t>
      </w:r>
      <w:r>
        <w:t xml:space="preserve"> for having a permit system, Victoria introduced a monitored poisons database (SafeScript) that enable</w:t>
      </w:r>
      <w:r w:rsidR="00CC2DD9">
        <w:t>s</w:t>
      </w:r>
      <w:r>
        <w:t xml:space="preserve"> medical practitioners, nurse practitioners and pharmacists to review recent dispensing records for individual patients in order to make a </w:t>
      </w:r>
      <w:proofErr w:type="gramStart"/>
      <w:r>
        <w:t>better informed</w:t>
      </w:r>
      <w:proofErr w:type="gramEnd"/>
      <w:r>
        <w:t xml:space="preserve"> decision, about whether it is safe to prescribe one or more Schedule 8 poisons and/or monitored Schedule 4 poisons before doing so. </w:t>
      </w:r>
    </w:p>
    <w:p w14:paraId="2D051DDB" w14:textId="77777777" w:rsidR="00AA2526" w:rsidRDefault="00AA2526" w:rsidP="00CC2DD9">
      <w:pPr>
        <w:pStyle w:val="Heading1"/>
      </w:pPr>
      <w:r>
        <w:t xml:space="preserve">Use of SafeScript </w:t>
      </w:r>
    </w:p>
    <w:p w14:paraId="38571FFB" w14:textId="77777777" w:rsidR="00AA2526" w:rsidRDefault="00CC2DD9" w:rsidP="00A9105C">
      <w:pPr>
        <w:pStyle w:val="Body"/>
      </w:pPr>
      <w:r>
        <w:t>Since</w:t>
      </w:r>
      <w:r w:rsidR="00AA2526" w:rsidRPr="001766FE">
        <w:t xml:space="preserve"> 1 April 2020, medical practitioners and nurse practitioners </w:t>
      </w:r>
      <w:r>
        <w:t>have been</w:t>
      </w:r>
      <w:r w:rsidR="00AA2526" w:rsidRPr="001766FE">
        <w:t xml:space="preserve"> required to </w:t>
      </w:r>
      <w:r w:rsidR="00AA2526">
        <w:t xml:space="preserve">take ‘all reasonable steps’ to </w:t>
      </w:r>
      <w:r w:rsidR="00AA2526" w:rsidRPr="001766FE">
        <w:t>check the SafeScript database before prescribing a Schedule 8 poison (or a monitored Schedule 4 poison) to a pat</w:t>
      </w:r>
      <w:r w:rsidR="00AA2526">
        <w:t>i</w:t>
      </w:r>
      <w:r w:rsidR="00AA2526" w:rsidRPr="001766FE">
        <w:t>ent – unless a specific exception applies.</w:t>
      </w:r>
      <w:r w:rsidR="00AA2526">
        <w:t xml:space="preserve"> </w:t>
      </w:r>
    </w:p>
    <w:p w14:paraId="0172B1F9" w14:textId="56AF9F2A" w:rsidR="00AA2526" w:rsidRPr="001766FE" w:rsidRDefault="00AA2526" w:rsidP="00A9105C">
      <w:pPr>
        <w:pStyle w:val="Body"/>
      </w:pPr>
      <w:r w:rsidRPr="001766FE">
        <w:t xml:space="preserve">For </w:t>
      </w:r>
      <w:r>
        <w:t>an explanation of the term ‘all reasonable steps’</w:t>
      </w:r>
      <w:r w:rsidR="00A9105C">
        <w:t>;</w:t>
      </w:r>
      <w:r w:rsidR="00CC2DD9">
        <w:t xml:space="preserve"> how it relates to SafeScript</w:t>
      </w:r>
      <w:r w:rsidR="00A9105C">
        <w:t xml:space="preserve">; and exceptions to the mandatory requirement; </w:t>
      </w:r>
      <w:r w:rsidRPr="001766FE">
        <w:t>please refer to the document ‘</w:t>
      </w:r>
      <w:r w:rsidRPr="001766FE">
        <w:rPr>
          <w:i/>
        </w:rPr>
        <w:t>All reasonable steps and other key terms</w:t>
      </w:r>
      <w:r w:rsidRPr="001766FE">
        <w:t>’, which is available on the MPR website as a ‘Document to print or download’.</w:t>
      </w:r>
    </w:p>
    <w:p w14:paraId="282247B8" w14:textId="43F98EFD" w:rsidR="00AA2526" w:rsidRPr="00E83460" w:rsidRDefault="00AA2526" w:rsidP="00A9105C">
      <w:pPr>
        <w:pStyle w:val="Body"/>
        <w:rPr>
          <w:lang w:eastAsia="en-AU"/>
        </w:rPr>
      </w:pPr>
      <w:r>
        <w:rPr>
          <w:b/>
          <w:lang w:eastAsia="en-AU"/>
        </w:rPr>
        <w:lastRenderedPageBreak/>
        <w:t xml:space="preserve">More </w:t>
      </w:r>
      <w:r w:rsidRPr="00E83460">
        <w:rPr>
          <w:b/>
          <w:lang w:eastAsia="en-AU"/>
        </w:rPr>
        <w:t xml:space="preserve">information about </w:t>
      </w:r>
      <w:hyperlink r:id="rId17" w:history="1">
        <w:r w:rsidRPr="00A93177">
          <w:rPr>
            <w:rStyle w:val="Hyperlink"/>
            <w:b/>
            <w:lang w:eastAsia="en-AU"/>
          </w:rPr>
          <w:t>SafeScript</w:t>
        </w:r>
      </w:hyperlink>
      <w:r w:rsidRPr="00E83460">
        <w:rPr>
          <w:lang w:eastAsia="en-AU"/>
        </w:rPr>
        <w:t xml:space="preserve"> </w:t>
      </w:r>
      <w:r>
        <w:rPr>
          <w:lang w:eastAsia="en-AU"/>
        </w:rPr>
        <w:t>&lt;</w:t>
      </w:r>
      <w:r w:rsidRPr="00A93177">
        <w:t>https://www.health.vic.gov.au/drugs-and-poisons/safescript</w:t>
      </w:r>
      <w:r>
        <w:rPr>
          <w:lang w:eastAsia="en-AU"/>
        </w:rPr>
        <w:t xml:space="preserve">&gt; </w:t>
      </w:r>
      <w:r w:rsidRPr="00E83460">
        <w:rPr>
          <w:lang w:eastAsia="en-AU"/>
        </w:rPr>
        <w:t xml:space="preserve">(including online educational and training options), </w:t>
      </w:r>
      <w:r>
        <w:rPr>
          <w:lang w:eastAsia="en-AU"/>
        </w:rPr>
        <w:t xml:space="preserve">can be found on the </w:t>
      </w:r>
      <w:proofErr w:type="spellStart"/>
      <w:r>
        <w:rPr>
          <w:lang w:eastAsia="en-AU"/>
        </w:rPr>
        <w:t>Health.</w:t>
      </w:r>
      <w:r w:rsidR="00E309F6">
        <w:rPr>
          <w:lang w:eastAsia="en-AU"/>
        </w:rPr>
        <w:t>V</w:t>
      </w:r>
      <w:r>
        <w:rPr>
          <w:lang w:eastAsia="en-AU"/>
        </w:rPr>
        <w:t>ic</w:t>
      </w:r>
      <w:proofErr w:type="spellEnd"/>
      <w:r>
        <w:rPr>
          <w:lang w:eastAsia="en-AU"/>
        </w:rPr>
        <w:t xml:space="preserve"> website</w:t>
      </w:r>
      <w:r w:rsidRPr="00E83460">
        <w:rPr>
          <w:lang w:eastAsia="en-AU"/>
        </w:rPr>
        <w:t>.</w:t>
      </w:r>
    </w:p>
    <w:p w14:paraId="46262267" w14:textId="57EF4A8A" w:rsidR="00AA2526" w:rsidRPr="00E83460" w:rsidRDefault="00AA2526" w:rsidP="00A9105C">
      <w:pPr>
        <w:pStyle w:val="Body"/>
        <w:rPr>
          <w:color w:val="0000FF"/>
          <w:u w:val="single"/>
          <w:lang w:val="en"/>
        </w:rPr>
      </w:pPr>
      <w:r w:rsidRPr="00E83460">
        <w:rPr>
          <w:b/>
          <w:lang w:eastAsia="en-AU"/>
        </w:rPr>
        <w:t xml:space="preserve">To register to use </w:t>
      </w:r>
      <w:r w:rsidRPr="00E83460">
        <w:rPr>
          <w:b/>
          <w:lang w:val="en"/>
        </w:rPr>
        <w:t>SafeScript</w:t>
      </w:r>
      <w:r>
        <w:rPr>
          <w:b/>
          <w:lang w:val="en"/>
        </w:rPr>
        <w:t xml:space="preserve">, </w:t>
      </w:r>
      <w:r w:rsidRPr="00A93177">
        <w:rPr>
          <w:bCs/>
          <w:lang w:val="en"/>
        </w:rPr>
        <w:t xml:space="preserve">go to the </w:t>
      </w:r>
      <w:hyperlink r:id="rId18" w:history="1">
        <w:r w:rsidRPr="00A93177">
          <w:rPr>
            <w:rStyle w:val="Hyperlink"/>
            <w:bCs/>
            <w:lang w:val="en"/>
          </w:rPr>
          <w:t>SafeScript website</w:t>
        </w:r>
      </w:hyperlink>
      <w:r>
        <w:rPr>
          <w:bCs/>
          <w:lang w:val="en"/>
        </w:rPr>
        <w:t xml:space="preserve"> &lt;</w:t>
      </w:r>
      <w:r w:rsidRPr="00A93177">
        <w:rPr>
          <w:bCs/>
          <w:lang w:val="en"/>
        </w:rPr>
        <w:t>https://www.safescript.vic.gov.au</w:t>
      </w:r>
      <w:r>
        <w:rPr>
          <w:bCs/>
          <w:lang w:val="en"/>
        </w:rPr>
        <w:t>&gt;</w:t>
      </w:r>
      <w:r w:rsidRPr="00E83460">
        <w:rPr>
          <w:lang w:val="en"/>
        </w:rPr>
        <w:t xml:space="preserve"> </w:t>
      </w:r>
    </w:p>
    <w:p w14:paraId="4002B67A" w14:textId="77777777" w:rsidR="00AA2526" w:rsidRDefault="00AA2526" w:rsidP="00AA2526">
      <w:pPr>
        <w:pStyle w:val="Heading1"/>
      </w:pPr>
      <w:r>
        <w:t>How to use this document</w:t>
      </w:r>
    </w:p>
    <w:p w14:paraId="431F3B70" w14:textId="77777777" w:rsidR="00AA2526" w:rsidRDefault="00AA2526" w:rsidP="00A9105C">
      <w:pPr>
        <w:pStyle w:val="Body"/>
      </w:pPr>
      <w:r>
        <w:t>When considering prescribing a Schedule 8 poison, please follow the following instructions</w:t>
      </w:r>
      <w:r w:rsidR="00A9105C">
        <w:t>,</w:t>
      </w:r>
      <w:r>
        <w:t xml:space="preserve"> in order:</w:t>
      </w:r>
    </w:p>
    <w:p w14:paraId="20381EB7" w14:textId="67B46330" w:rsidR="00AA2526" w:rsidRDefault="00AA2526" w:rsidP="00A9105C">
      <w:pPr>
        <w:pStyle w:val="Bullet1"/>
      </w:pPr>
      <w:r>
        <w:t xml:space="preserve">Review </w:t>
      </w:r>
      <w:r w:rsidRPr="00A805C3">
        <w:t>page</w:t>
      </w:r>
      <w:r w:rsidR="00A9105C" w:rsidRPr="00A805C3">
        <w:t>s</w:t>
      </w:r>
      <w:r w:rsidRPr="00A805C3">
        <w:t xml:space="preserve"> 2</w:t>
      </w:r>
      <w:r w:rsidR="005C5522" w:rsidRPr="00A805C3">
        <w:t xml:space="preserve"> and </w:t>
      </w:r>
      <w:r w:rsidR="0031461D">
        <w:t>3</w:t>
      </w:r>
      <w:r w:rsidRPr="00A805C3">
        <w:t>; to</w:t>
      </w:r>
      <w:r>
        <w:t xml:space="preserve"> determine whether any general or specific exceptions to permit requirements are applicable.</w:t>
      </w:r>
    </w:p>
    <w:p w14:paraId="23FF22F5" w14:textId="00710EE2" w:rsidR="00AA2526" w:rsidRDefault="00AA2526" w:rsidP="00A9105C">
      <w:pPr>
        <w:pStyle w:val="Bullet1"/>
      </w:pPr>
      <w:r>
        <w:t xml:space="preserve">If not, proceed to the series of FIVE questions, </w:t>
      </w:r>
      <w:r w:rsidRPr="00A805C3">
        <w:t xml:space="preserve">commencing on page </w:t>
      </w:r>
      <w:r w:rsidR="005C5522" w:rsidRPr="00A805C3">
        <w:t>4</w:t>
      </w:r>
      <w:r w:rsidR="00A9105C" w:rsidRPr="00A805C3">
        <w:t>:</w:t>
      </w:r>
      <w:r>
        <w:t xml:space="preserve"> </w:t>
      </w:r>
    </w:p>
    <w:p w14:paraId="0DECC7A1" w14:textId="77777777" w:rsidR="00AA2526" w:rsidRDefault="00AA2526" w:rsidP="00A9105C">
      <w:pPr>
        <w:pStyle w:val="Bullet2"/>
      </w:pPr>
      <w:r>
        <w:t xml:space="preserve">Ask the questions in the sequence shown until you can answer </w:t>
      </w:r>
      <w:r w:rsidRPr="00B65A6F">
        <w:rPr>
          <w:b/>
        </w:rPr>
        <w:t>‘yes’</w:t>
      </w:r>
      <w:r>
        <w:t xml:space="preserve"> to a question</w:t>
      </w:r>
      <w:r w:rsidR="00A9105C">
        <w:t>.</w:t>
      </w:r>
      <w:r>
        <w:t xml:space="preserve"> </w:t>
      </w:r>
    </w:p>
    <w:p w14:paraId="4FB32EEC" w14:textId="77777777" w:rsidR="00AA2526" w:rsidRDefault="00AA2526" w:rsidP="00A9105C">
      <w:pPr>
        <w:pStyle w:val="Bullet2"/>
      </w:pPr>
      <w:r>
        <w:t>When you can answer ‘</w:t>
      </w:r>
      <w:r w:rsidRPr="00A269F5">
        <w:rPr>
          <w:b/>
        </w:rPr>
        <w:t>yes’</w:t>
      </w:r>
      <w:r>
        <w:t xml:space="preserve"> to a question, you need not consider the subsequent questions because you will have your answer</w:t>
      </w:r>
      <w:r w:rsidR="00A9105C">
        <w:t>.</w:t>
      </w:r>
    </w:p>
    <w:p w14:paraId="281BFFDC" w14:textId="77777777" w:rsidR="00AA2526" w:rsidRPr="00712444" w:rsidRDefault="00AA2526" w:rsidP="00AA2526">
      <w:pPr>
        <w:pStyle w:val="Heading1"/>
        <w:rPr>
          <w:b/>
          <w:color w:val="281A5A"/>
        </w:rPr>
      </w:pPr>
      <w:r w:rsidRPr="00A9105C">
        <w:t>General exceptions</w:t>
      </w:r>
      <w:r w:rsidRPr="00712444">
        <w:rPr>
          <w:b/>
          <w:color w:val="281A5A"/>
        </w:rPr>
        <w:t xml:space="preserve"> </w:t>
      </w:r>
      <w:r w:rsidRPr="00A9105C">
        <w:rPr>
          <w:rStyle w:val="Heading2Char"/>
          <w:b w:val="0"/>
          <w:sz w:val="24"/>
          <w:szCs w:val="24"/>
        </w:rPr>
        <w:t>(prisons, gaols, residential aged care services, inpatients)</w:t>
      </w:r>
    </w:p>
    <w:p w14:paraId="55335285" w14:textId="77777777" w:rsidR="00AA2526" w:rsidRDefault="00AA2526" w:rsidP="00A9105C">
      <w:pPr>
        <w:pStyle w:val="Body"/>
      </w:pPr>
      <w:r w:rsidRPr="004E3CDF">
        <w:t xml:space="preserve">In circumstances where patients are confined or not personally managing their </w:t>
      </w:r>
      <w:r>
        <w:t>medicines</w:t>
      </w:r>
      <w:r w:rsidRPr="004E3CDF">
        <w:t>, the risk of concurrent prescribing</w:t>
      </w:r>
      <w:r>
        <w:t xml:space="preserve"> and prescription-shopping</w:t>
      </w:r>
      <w:r w:rsidRPr="004E3CDF">
        <w:t xml:space="preserve"> is </w:t>
      </w:r>
      <w:r>
        <w:t xml:space="preserve">significantly </w:t>
      </w:r>
      <w:r w:rsidRPr="004E3CDF">
        <w:t xml:space="preserve">reduced. </w:t>
      </w:r>
      <w:r>
        <w:t>Accordingly</w:t>
      </w:r>
      <w:r w:rsidRPr="004E3CDF">
        <w:t>, a permit is not required to prescribe Schedule 8 poisons for</w:t>
      </w:r>
      <w:r>
        <w:t>:</w:t>
      </w:r>
    </w:p>
    <w:p w14:paraId="2CF1899D" w14:textId="77777777" w:rsidR="00AA2526" w:rsidRPr="00E372C9" w:rsidRDefault="00AA2526" w:rsidP="00AA2526">
      <w:pPr>
        <w:pStyle w:val="DHHSbullet1"/>
        <w:numPr>
          <w:ilvl w:val="0"/>
          <w:numId w:val="7"/>
        </w:numPr>
        <w:rPr>
          <w:sz w:val="21"/>
          <w:szCs w:val="21"/>
        </w:rPr>
      </w:pPr>
      <w:r w:rsidRPr="00E372C9">
        <w:rPr>
          <w:sz w:val="21"/>
          <w:szCs w:val="21"/>
        </w:rPr>
        <w:t>prisoners being treated in a prison or police gaol</w:t>
      </w:r>
    </w:p>
    <w:p w14:paraId="493928F2" w14:textId="77777777" w:rsidR="00AA2526" w:rsidRPr="00E372C9" w:rsidRDefault="00AA2526" w:rsidP="00AA2526">
      <w:pPr>
        <w:pStyle w:val="DHHSbullet1"/>
        <w:numPr>
          <w:ilvl w:val="0"/>
          <w:numId w:val="7"/>
        </w:numPr>
        <w:rPr>
          <w:sz w:val="21"/>
          <w:szCs w:val="21"/>
        </w:rPr>
      </w:pPr>
      <w:r w:rsidRPr="00E372C9">
        <w:rPr>
          <w:sz w:val="21"/>
          <w:szCs w:val="21"/>
        </w:rPr>
        <w:t>patients receiving inpatient treatment in a hospital</w:t>
      </w:r>
    </w:p>
    <w:p w14:paraId="30E4AEBF" w14:textId="77777777" w:rsidR="00AA2526" w:rsidRPr="00E372C9" w:rsidRDefault="00AA2526" w:rsidP="00AA2526">
      <w:pPr>
        <w:pStyle w:val="DHHSbullet1"/>
        <w:numPr>
          <w:ilvl w:val="0"/>
          <w:numId w:val="7"/>
        </w:numPr>
        <w:rPr>
          <w:sz w:val="21"/>
          <w:szCs w:val="21"/>
        </w:rPr>
      </w:pPr>
      <w:r w:rsidRPr="00E372C9">
        <w:rPr>
          <w:sz w:val="21"/>
          <w:szCs w:val="21"/>
        </w:rPr>
        <w:t>patients receiving treatment in a hospital emergency department or a day procedure centre</w:t>
      </w:r>
    </w:p>
    <w:p w14:paraId="50109F44" w14:textId="77777777" w:rsidR="00AA2526" w:rsidRPr="00E372C9" w:rsidRDefault="00AA2526" w:rsidP="00A9105C">
      <w:pPr>
        <w:pStyle w:val="Bullet2"/>
        <w:rPr>
          <w:szCs w:val="21"/>
        </w:rPr>
      </w:pPr>
      <w:r w:rsidRPr="00E372C9">
        <w:rPr>
          <w:b/>
          <w:szCs w:val="21"/>
        </w:rPr>
        <w:t>Note</w:t>
      </w:r>
      <w:r w:rsidRPr="00E372C9">
        <w:rPr>
          <w:szCs w:val="21"/>
        </w:rPr>
        <w:t xml:space="preserve">: Each of the </w:t>
      </w:r>
      <w:r w:rsidR="00A9105C" w:rsidRPr="00E372C9">
        <w:rPr>
          <w:szCs w:val="21"/>
        </w:rPr>
        <w:t>preceding</w:t>
      </w:r>
      <w:r w:rsidRPr="00E372C9">
        <w:rPr>
          <w:szCs w:val="21"/>
        </w:rPr>
        <w:t xml:space="preserve"> exceptions </w:t>
      </w:r>
      <w:r w:rsidRPr="00E372C9">
        <w:rPr>
          <w:b/>
          <w:szCs w:val="21"/>
        </w:rPr>
        <w:t>includes</w:t>
      </w:r>
      <w:r w:rsidRPr="00E372C9">
        <w:rPr>
          <w:szCs w:val="21"/>
        </w:rPr>
        <w:t xml:space="preserve"> a period not exceeding 7 days following the release or discharge of the person from the corresponding establishments.</w:t>
      </w:r>
    </w:p>
    <w:p w14:paraId="28BAD14A" w14:textId="77777777" w:rsidR="00AA2526" w:rsidRPr="00E372C9" w:rsidRDefault="00AA2526" w:rsidP="00A9105C">
      <w:pPr>
        <w:pStyle w:val="Bullet1"/>
        <w:rPr>
          <w:szCs w:val="21"/>
        </w:rPr>
      </w:pPr>
      <w:r w:rsidRPr="00E372C9">
        <w:rPr>
          <w:szCs w:val="21"/>
        </w:rPr>
        <w:t>Residents being treated in a residential aged care service</w:t>
      </w:r>
    </w:p>
    <w:p w14:paraId="21FBD8B4" w14:textId="77777777" w:rsidR="00AA2526" w:rsidRPr="00A9105C" w:rsidRDefault="00AA2526" w:rsidP="00A9105C">
      <w:pPr>
        <w:pStyle w:val="Heading1"/>
      </w:pPr>
      <w:r w:rsidRPr="00A9105C">
        <w:rPr>
          <w:rStyle w:val="Heading2Char"/>
          <w:b w:val="0"/>
          <w:color w:val="201547"/>
          <w:sz w:val="40"/>
          <w:szCs w:val="40"/>
        </w:rPr>
        <w:t>Drug-dependent persons</w:t>
      </w:r>
      <w:r w:rsidRPr="00A9105C">
        <w:t xml:space="preserve"> </w:t>
      </w:r>
      <w:r w:rsidRPr="00A9105C">
        <w:rPr>
          <w:rStyle w:val="Heading2Char"/>
          <w:b w:val="0"/>
          <w:sz w:val="28"/>
        </w:rPr>
        <w:t>(no other exceptions)</w:t>
      </w:r>
    </w:p>
    <w:p w14:paraId="55B53C8B" w14:textId="77777777" w:rsidR="00AA2526" w:rsidRDefault="00AA2526" w:rsidP="00A9105C">
      <w:pPr>
        <w:pStyle w:val="Body"/>
      </w:pPr>
      <w:r>
        <w:t xml:space="preserve">Other than where a general exception applies, a medical practitioner or nurse practitioner </w:t>
      </w:r>
      <w:r w:rsidRPr="00661E69">
        <w:rPr>
          <w:b/>
        </w:rPr>
        <w:t>must obtain a permit before treating a drug-dependent person with a Schedule 8 poison</w:t>
      </w:r>
      <w:r>
        <w:t>.</w:t>
      </w:r>
    </w:p>
    <w:p w14:paraId="24E08175" w14:textId="77777777" w:rsidR="00AA2526" w:rsidRDefault="00AA2526" w:rsidP="00A9105C">
      <w:pPr>
        <w:pStyle w:val="Body"/>
      </w:pPr>
      <w:r>
        <w:t xml:space="preserve">None of the following exceptions is applicable to permit requirements that relate to prescribing a Schedule 8 poison for a drug-dependent person. </w:t>
      </w:r>
    </w:p>
    <w:p w14:paraId="53D31AA1" w14:textId="77777777" w:rsidR="00AA2526" w:rsidRPr="00712444" w:rsidRDefault="00AA2526" w:rsidP="00AA2526">
      <w:pPr>
        <w:pStyle w:val="Heading1"/>
        <w:rPr>
          <w:color w:val="281A5A"/>
        </w:rPr>
      </w:pPr>
      <w:r w:rsidRPr="00A9105C">
        <w:t>Other exceptions</w:t>
      </w:r>
      <w:r w:rsidRPr="00712444">
        <w:rPr>
          <w:rStyle w:val="Heading1Char"/>
          <w:color w:val="281A5A"/>
        </w:rPr>
        <w:t xml:space="preserve"> </w:t>
      </w:r>
      <w:r w:rsidRPr="00A9105C">
        <w:rPr>
          <w:rStyle w:val="Heading2Char"/>
          <w:b w:val="0"/>
          <w:sz w:val="28"/>
        </w:rPr>
        <w:t>(for patients who are not drug-dependent persons)</w:t>
      </w:r>
    </w:p>
    <w:p w14:paraId="64B16402" w14:textId="77777777" w:rsidR="00AA2526" w:rsidRDefault="00AA2526" w:rsidP="00A9105C">
      <w:pPr>
        <w:pStyle w:val="Body"/>
      </w:pPr>
      <w:r w:rsidRPr="00A86A58">
        <w:t xml:space="preserve">Now that it is mandatory for a medical practitioner or nurse practitioner to check </w:t>
      </w:r>
      <w:r w:rsidR="00A9105C">
        <w:t xml:space="preserve">a patient’s </w:t>
      </w:r>
      <w:r w:rsidRPr="00A86A58">
        <w:t xml:space="preserve">SafeScript </w:t>
      </w:r>
      <w:r w:rsidR="00A9105C">
        <w:t>profile</w:t>
      </w:r>
      <w:r w:rsidRPr="00A86A58">
        <w:t xml:space="preserve">, </w:t>
      </w:r>
      <w:r w:rsidRPr="00A86A58">
        <w:rPr>
          <w:b/>
        </w:rPr>
        <w:t>on each occasion</w:t>
      </w:r>
      <w:r w:rsidRPr="00A86A58">
        <w:t>,</w:t>
      </w:r>
      <w:r w:rsidRPr="00A86A58">
        <w:rPr>
          <w:b/>
        </w:rPr>
        <w:t xml:space="preserve"> before prescribing a Schedule 8 poison for that patient</w:t>
      </w:r>
      <w:r w:rsidRPr="00A86A58">
        <w:t>, additional exceptions apply to certain specified circumstances and/or specified specialist practitioners.</w:t>
      </w:r>
    </w:p>
    <w:p w14:paraId="0456928C" w14:textId="77777777" w:rsidR="00AA2526" w:rsidRPr="00A9105C" w:rsidRDefault="00AA2526" w:rsidP="00A9105C">
      <w:pPr>
        <w:pStyle w:val="Heading2"/>
      </w:pPr>
      <w:r w:rsidRPr="00A9105C">
        <w:t>Palliative care</w:t>
      </w:r>
    </w:p>
    <w:p w14:paraId="0840B4F8" w14:textId="77777777" w:rsidR="00AA2526" w:rsidRPr="0012447D" w:rsidRDefault="00AA2526" w:rsidP="00A9105C">
      <w:pPr>
        <w:pStyle w:val="Body"/>
        <w:rPr>
          <w:lang w:eastAsia="en-AU"/>
        </w:rPr>
      </w:pPr>
      <w:r>
        <w:t xml:space="preserve">A practitioner </w:t>
      </w:r>
      <w:r w:rsidRPr="00A91DCB">
        <w:t xml:space="preserve">is not required to obtain a </w:t>
      </w:r>
      <w:r>
        <w:t xml:space="preserve">Schedule 8 </w:t>
      </w:r>
      <w:r w:rsidRPr="00A91DCB">
        <w:t xml:space="preserve">treatment permit </w:t>
      </w:r>
      <w:r>
        <w:t>when</w:t>
      </w:r>
      <w:r w:rsidRPr="0012447D">
        <w:rPr>
          <w:lang w:eastAsia="en-AU"/>
        </w:rPr>
        <w:t xml:space="preserve"> the patient is suffering an incurable, progressive, far-advanced disease or medical condition; </w:t>
      </w:r>
      <w:r w:rsidRPr="0012447D">
        <w:rPr>
          <w:b/>
          <w:lang w:eastAsia="en-AU"/>
        </w:rPr>
        <w:t>and</w:t>
      </w:r>
      <w:r w:rsidRPr="0012447D">
        <w:rPr>
          <w:lang w:eastAsia="en-AU"/>
        </w:rPr>
        <w:t xml:space="preserve"> the prognosis is of limited life expectancy due to the disease or medical condition; </w:t>
      </w:r>
      <w:r w:rsidRPr="006F32D6">
        <w:rPr>
          <w:b/>
          <w:lang w:eastAsia="en-AU"/>
        </w:rPr>
        <w:t>and</w:t>
      </w:r>
      <w:r w:rsidRPr="0012447D">
        <w:rPr>
          <w:lang w:eastAsia="en-AU"/>
        </w:rPr>
        <w:t xml:space="preserve"> the administration, supply or prescribing of </w:t>
      </w:r>
      <w:r w:rsidRPr="00C34EC8">
        <w:rPr>
          <w:b/>
          <w:lang w:eastAsia="en-AU"/>
        </w:rPr>
        <w:t>a Schedule 8 poison</w:t>
      </w:r>
      <w:r w:rsidRPr="0012447D">
        <w:rPr>
          <w:lang w:eastAsia="en-AU"/>
        </w:rPr>
        <w:t xml:space="preserve"> is intended to provide palliative treatment</w:t>
      </w:r>
      <w:r>
        <w:rPr>
          <w:lang w:eastAsia="en-AU"/>
        </w:rPr>
        <w:t>.</w:t>
      </w:r>
    </w:p>
    <w:p w14:paraId="356B32BC" w14:textId="77777777" w:rsidR="00AA2526" w:rsidRPr="00A9105C" w:rsidRDefault="00AA2526" w:rsidP="00A9105C">
      <w:pPr>
        <w:pStyle w:val="Heading2"/>
      </w:pPr>
      <w:bookmarkStart w:id="0" w:name="_Hlk71021849"/>
      <w:r w:rsidRPr="00A9105C">
        <w:lastRenderedPageBreak/>
        <w:t xml:space="preserve">Pain caused by cancer or complications arising from cancer </w:t>
      </w:r>
    </w:p>
    <w:bookmarkEnd w:id="0"/>
    <w:p w14:paraId="6C862951" w14:textId="77777777" w:rsidR="00AA2526" w:rsidRDefault="00AA2526" w:rsidP="00A9105C">
      <w:pPr>
        <w:pStyle w:val="Body"/>
        <w:rPr>
          <w:rFonts w:eastAsia="MS PMincho"/>
          <w:b/>
          <w:lang w:val="en-US"/>
        </w:rPr>
      </w:pPr>
      <w:r w:rsidRPr="0012447D">
        <w:rPr>
          <w:lang w:eastAsia="en-AU"/>
        </w:rPr>
        <w:t xml:space="preserve">Where the diagnosis is made by a registered medical practitioner; a treatment permit is not </w:t>
      </w:r>
      <w:r>
        <w:rPr>
          <w:lang w:eastAsia="en-AU"/>
        </w:rPr>
        <w:t>required</w:t>
      </w:r>
      <w:r w:rsidRPr="0012447D">
        <w:rPr>
          <w:lang w:eastAsia="en-AU"/>
        </w:rPr>
        <w:t xml:space="preserve"> </w:t>
      </w:r>
      <w:r>
        <w:rPr>
          <w:lang w:eastAsia="en-AU"/>
        </w:rPr>
        <w:t xml:space="preserve">to </w:t>
      </w:r>
      <w:r w:rsidRPr="0012447D">
        <w:rPr>
          <w:lang w:eastAsia="en-AU"/>
        </w:rPr>
        <w:t>prescrib</w:t>
      </w:r>
      <w:r>
        <w:rPr>
          <w:lang w:eastAsia="en-AU"/>
        </w:rPr>
        <w:t>e</w:t>
      </w:r>
      <w:r w:rsidRPr="0012447D">
        <w:rPr>
          <w:lang w:eastAsia="en-AU"/>
        </w:rPr>
        <w:t xml:space="preserve"> an </w:t>
      </w:r>
      <w:r w:rsidRPr="0012447D">
        <w:rPr>
          <w:b/>
          <w:lang w:eastAsia="en-AU"/>
        </w:rPr>
        <w:t>opioid analgesic</w:t>
      </w:r>
      <w:r>
        <w:rPr>
          <w:b/>
          <w:lang w:eastAsia="en-AU"/>
        </w:rPr>
        <w:t xml:space="preserve"> </w:t>
      </w:r>
      <w:r w:rsidRPr="00B47669">
        <w:rPr>
          <w:lang w:eastAsia="en-AU"/>
        </w:rPr>
        <w:t>to treat pain caused by cancer or complications arising from cancer</w:t>
      </w:r>
      <w:r w:rsidRPr="00B47669">
        <w:rPr>
          <w:rFonts w:eastAsia="MS PMincho"/>
          <w:lang w:val="en-US"/>
        </w:rPr>
        <w:t>.</w:t>
      </w:r>
    </w:p>
    <w:p w14:paraId="71EBEC27" w14:textId="0ED89ABF" w:rsidR="00AA2526" w:rsidRPr="00A9105C" w:rsidRDefault="00AA2526" w:rsidP="00A9105C">
      <w:pPr>
        <w:pStyle w:val="Heading2"/>
      </w:pPr>
      <w:r w:rsidRPr="00A9105C">
        <w:t xml:space="preserve">Opioid analgesics </w:t>
      </w:r>
      <w:r w:rsidRPr="00A9105C">
        <w:rPr>
          <w:rStyle w:val="Heading3Char"/>
          <w:b w:val="0"/>
        </w:rPr>
        <w:t xml:space="preserve">(when the </w:t>
      </w:r>
      <w:r w:rsidR="009B7481">
        <w:rPr>
          <w:rStyle w:val="Heading3Char"/>
          <w:b w:val="0"/>
        </w:rPr>
        <w:t>combined</w:t>
      </w:r>
      <w:r w:rsidRPr="00A9105C">
        <w:rPr>
          <w:rStyle w:val="Heading3Char"/>
          <w:b w:val="0"/>
        </w:rPr>
        <w:t xml:space="preserve"> daily dosage </w:t>
      </w:r>
      <w:r w:rsidR="009B7481">
        <w:rPr>
          <w:rStyle w:val="Heading3Char"/>
          <w:b w:val="0"/>
        </w:rPr>
        <w:t xml:space="preserve">of listed opioids </w:t>
      </w:r>
      <w:r w:rsidRPr="00A9105C">
        <w:rPr>
          <w:rStyle w:val="Heading3Char"/>
          <w:b w:val="0"/>
        </w:rPr>
        <w:t>does not exceed 100mg MED)</w:t>
      </w:r>
    </w:p>
    <w:p w14:paraId="02CF8B62" w14:textId="26B537D4" w:rsidR="00AA2526" w:rsidRPr="00596A33" w:rsidRDefault="00AA2526" w:rsidP="00A9105C">
      <w:pPr>
        <w:pStyle w:val="Body"/>
      </w:pPr>
      <w:r w:rsidRPr="00A86A58">
        <w:t>A practitioner is not required to obtain a</w:t>
      </w:r>
      <w:r w:rsidR="009B7481">
        <w:t xml:space="preserve"> Schedule 8</w:t>
      </w:r>
      <w:r w:rsidRPr="00A86A58">
        <w:t xml:space="preserve"> permit to prescribe one (or more) of the following </w:t>
      </w:r>
      <w:r w:rsidRPr="00FF597D">
        <w:rPr>
          <w:b/>
        </w:rPr>
        <w:t>opioid</w:t>
      </w:r>
      <w:r w:rsidRPr="00A86A58">
        <w:t xml:space="preserve"> analgesic formulations </w:t>
      </w:r>
      <w:r w:rsidRPr="00A86A58">
        <w:rPr>
          <w:b/>
          <w:u w:val="single"/>
        </w:rPr>
        <w:t>provided</w:t>
      </w:r>
      <w:r w:rsidRPr="00A86A58">
        <w:t xml:space="preserve"> the</w:t>
      </w:r>
      <w:r w:rsidRPr="00A86A58">
        <w:rPr>
          <w:b/>
        </w:rPr>
        <w:t xml:space="preserve"> </w:t>
      </w:r>
      <w:r w:rsidR="009B7481">
        <w:rPr>
          <w:b/>
        </w:rPr>
        <w:t>combined</w:t>
      </w:r>
      <w:r w:rsidRPr="00A86A58">
        <w:rPr>
          <w:b/>
        </w:rPr>
        <w:t xml:space="preserve"> daily dose </w:t>
      </w:r>
      <w:r w:rsidRPr="00A86A58">
        <w:t>of</w:t>
      </w:r>
      <w:r w:rsidRPr="00A86A58">
        <w:rPr>
          <w:b/>
        </w:rPr>
        <w:t xml:space="preserve"> opioids</w:t>
      </w:r>
      <w:r w:rsidR="009B7481">
        <w:rPr>
          <w:b/>
        </w:rPr>
        <w:t xml:space="preserve"> listed below</w:t>
      </w:r>
      <w:r w:rsidRPr="00A86A58">
        <w:rPr>
          <w:b/>
        </w:rPr>
        <w:t xml:space="preserve"> does not exceed 100 milligrams in morphine equivalence</w:t>
      </w:r>
      <w:r w:rsidRPr="00A86A58">
        <w:t xml:space="preserve">.  </w:t>
      </w:r>
      <w:r>
        <w:t xml:space="preserve"> </w:t>
      </w:r>
      <w:r w:rsidRPr="00596A33">
        <w:t xml:space="preserve"> </w:t>
      </w:r>
    </w:p>
    <w:p w14:paraId="50B378B7" w14:textId="1FBAEAB9" w:rsidR="009B7481" w:rsidRDefault="009B7481" w:rsidP="00A9105C">
      <w:pPr>
        <w:pStyle w:val="Bullet1"/>
      </w:pPr>
      <w:r>
        <w:t xml:space="preserve">Oxycodone </w:t>
      </w:r>
      <w:r w:rsidRPr="008E3B1A">
        <w:rPr>
          <w:b/>
          <w:bCs/>
        </w:rPr>
        <w:t>oral or suppository</w:t>
      </w:r>
    </w:p>
    <w:p w14:paraId="60CB90B3" w14:textId="79C25C75" w:rsidR="009B7481" w:rsidRDefault="009B7481" w:rsidP="00A9105C">
      <w:pPr>
        <w:pStyle w:val="Bullet1"/>
      </w:pPr>
      <w:r>
        <w:t xml:space="preserve">Morphine </w:t>
      </w:r>
      <w:r w:rsidRPr="008E3B1A">
        <w:rPr>
          <w:b/>
          <w:bCs/>
        </w:rPr>
        <w:t>oral</w:t>
      </w:r>
    </w:p>
    <w:p w14:paraId="3061FD79" w14:textId="55AE3359" w:rsidR="009B7481" w:rsidRDefault="009B7481" w:rsidP="00A9105C">
      <w:pPr>
        <w:pStyle w:val="Bullet1"/>
      </w:pPr>
      <w:r>
        <w:t xml:space="preserve">Hydromorphone </w:t>
      </w:r>
      <w:r w:rsidRPr="008E3B1A">
        <w:rPr>
          <w:b/>
          <w:bCs/>
        </w:rPr>
        <w:t>oral</w:t>
      </w:r>
    </w:p>
    <w:p w14:paraId="16F4B9DF" w14:textId="7B249267" w:rsidR="009B7481" w:rsidRDefault="009B7481" w:rsidP="00A9105C">
      <w:pPr>
        <w:pStyle w:val="Bullet1"/>
      </w:pPr>
      <w:proofErr w:type="spellStart"/>
      <w:r>
        <w:t>Tapentadol</w:t>
      </w:r>
      <w:proofErr w:type="spellEnd"/>
      <w:r>
        <w:t xml:space="preserve"> </w:t>
      </w:r>
      <w:r w:rsidRPr="008E3B1A">
        <w:rPr>
          <w:b/>
          <w:bCs/>
        </w:rPr>
        <w:t>oral</w:t>
      </w:r>
    </w:p>
    <w:p w14:paraId="50C40A1B" w14:textId="0775DAAD" w:rsidR="009B7481" w:rsidRDefault="009B7481" w:rsidP="00A9105C">
      <w:pPr>
        <w:pStyle w:val="Bullet1"/>
      </w:pPr>
      <w:r>
        <w:t xml:space="preserve">Buprenorphine </w:t>
      </w:r>
      <w:r w:rsidRPr="008E3B1A">
        <w:rPr>
          <w:b/>
          <w:bCs/>
        </w:rPr>
        <w:t>patch</w:t>
      </w:r>
    </w:p>
    <w:p w14:paraId="4F52D9AA" w14:textId="50E68E79" w:rsidR="009B7481" w:rsidRPr="008E3B1A" w:rsidRDefault="009B7481" w:rsidP="00A9105C">
      <w:pPr>
        <w:pStyle w:val="Bullet1"/>
      </w:pPr>
      <w:r>
        <w:t xml:space="preserve">Fentanyl </w:t>
      </w:r>
      <w:r w:rsidRPr="008E3B1A">
        <w:rPr>
          <w:b/>
          <w:bCs/>
        </w:rPr>
        <w:t>patch</w:t>
      </w:r>
    </w:p>
    <w:p w14:paraId="7F3B5D58" w14:textId="77777777" w:rsidR="00FF597D" w:rsidRDefault="00AA2526" w:rsidP="00A9105C">
      <w:pPr>
        <w:pStyle w:val="Bodyafterbullets"/>
      </w:pPr>
      <w:r w:rsidRPr="00C45315">
        <w:rPr>
          <w:b/>
        </w:rPr>
        <w:t>Note</w:t>
      </w:r>
      <w:r w:rsidRPr="00C45315">
        <w:t>:</w:t>
      </w:r>
      <w:r w:rsidR="00FF597D" w:rsidRPr="00A86A58">
        <w:t xml:space="preserve"> </w:t>
      </w:r>
    </w:p>
    <w:p w14:paraId="2378F5E0" w14:textId="78F4AD9D" w:rsidR="00FF597D" w:rsidRDefault="00FF597D" w:rsidP="00FF597D">
      <w:pPr>
        <w:pStyle w:val="Bullet1"/>
      </w:pPr>
      <w:r w:rsidRPr="00A86A58">
        <w:t>Checking a patient’s profile on SafeScript should be considered an essential step to determine the full extent of a patient’s use of opioid analgesics.</w:t>
      </w:r>
    </w:p>
    <w:p w14:paraId="3FC32A21" w14:textId="77777777" w:rsidR="00BE3AB3" w:rsidRPr="00A805C3" w:rsidRDefault="00BE3AB3" w:rsidP="00BE3AB3">
      <w:pPr>
        <w:pStyle w:val="Heading2"/>
      </w:pPr>
      <w:r w:rsidRPr="00A805C3">
        <w:t>Medicinal cannabis</w:t>
      </w:r>
    </w:p>
    <w:p w14:paraId="4CFA12D8" w14:textId="77BC31A9" w:rsidR="00BE3AB3" w:rsidRPr="00A805C3" w:rsidRDefault="00BE3AB3" w:rsidP="00BE3AB3">
      <w:pPr>
        <w:pStyle w:val="Body"/>
      </w:pPr>
      <w:r w:rsidRPr="00A805C3">
        <w:t xml:space="preserve">A </w:t>
      </w:r>
      <w:r w:rsidRPr="00A805C3">
        <w:rPr>
          <w:lang w:eastAsia="en-AU"/>
        </w:rPr>
        <w:t>practitioner</w:t>
      </w:r>
      <w:r w:rsidRPr="00A805C3">
        <w:t xml:space="preserve"> is not required to obtain a permit to prescribe Schedule 8 cannabis or Schedule 8 tetrahydrocannabinol for human therapeutic use if the following circumstances apply:</w:t>
      </w:r>
    </w:p>
    <w:p w14:paraId="053230C1" w14:textId="30DC6D8D" w:rsidR="00BE3AB3" w:rsidRPr="00A805C3" w:rsidRDefault="005C5522" w:rsidP="00BE3AB3">
      <w:pPr>
        <w:pStyle w:val="Bullet1"/>
      </w:pPr>
      <w:r w:rsidRPr="00A805C3">
        <w:t>t</w:t>
      </w:r>
      <w:r w:rsidR="00BE3AB3" w:rsidRPr="00A805C3">
        <w:t>he practitioner has obtained Commonwealth approval through the Special Access Scheme or Authorised prescriber scheme to administer, supply or prescribe Schedule 8 cannabis or Schedule 8 tetrahydrocannabinol for human therapeutic use for the patient; or</w:t>
      </w:r>
    </w:p>
    <w:p w14:paraId="30D986F5" w14:textId="279E0E59" w:rsidR="00BE3AB3" w:rsidRPr="00A805C3" w:rsidRDefault="00BE3AB3" w:rsidP="00BE3AB3">
      <w:pPr>
        <w:pStyle w:val="Bullet1"/>
      </w:pPr>
      <w:r w:rsidRPr="00A805C3">
        <w:t>the practitioner is administering, supplying or prescribing Schedule 8 cannabis or Schedule 8 tetrahydrocannabinol for human therapeutic use that is included in the Australian Register of Therapeutic Goods.</w:t>
      </w:r>
    </w:p>
    <w:p w14:paraId="2848B7F2" w14:textId="0162DE06" w:rsidR="005C5522" w:rsidRPr="00E372C9" w:rsidRDefault="00E372C9" w:rsidP="00AA2526">
      <w:pPr>
        <w:pStyle w:val="Heading2"/>
      </w:pPr>
      <w:r w:rsidRPr="00E372C9">
        <w:t>Methadone</w:t>
      </w:r>
    </w:p>
    <w:p w14:paraId="56A11A94" w14:textId="77777777" w:rsidR="00AA2526" w:rsidRDefault="00AA2526" w:rsidP="00FF597D">
      <w:pPr>
        <w:pStyle w:val="Body"/>
      </w:pPr>
      <w:r>
        <w:t xml:space="preserve">Notwithstanding the exceptions referred to above, </w:t>
      </w:r>
      <w:r w:rsidRPr="0012447D">
        <w:rPr>
          <w:b/>
        </w:rPr>
        <w:t>most</w:t>
      </w:r>
      <w:r>
        <w:t xml:space="preserve"> </w:t>
      </w:r>
      <w:r w:rsidRPr="0012447D">
        <w:t xml:space="preserve">practitioners </w:t>
      </w:r>
      <w:r>
        <w:t>are required to</w:t>
      </w:r>
      <w:r w:rsidRPr="0012447D">
        <w:t xml:space="preserve"> hold a </w:t>
      </w:r>
      <w:r>
        <w:t>Schedule 8</w:t>
      </w:r>
      <w:r w:rsidRPr="0012447D">
        <w:t xml:space="preserve"> permit </w:t>
      </w:r>
      <w:r w:rsidRPr="008C195B">
        <w:rPr>
          <w:b/>
        </w:rPr>
        <w:t>before prescribing</w:t>
      </w:r>
      <w:r w:rsidRPr="0012447D">
        <w:rPr>
          <w:b/>
        </w:rPr>
        <w:t xml:space="preserve">, </w:t>
      </w:r>
      <w:r w:rsidRPr="0012447D">
        <w:t xml:space="preserve">administering or supplying </w:t>
      </w:r>
      <w:r w:rsidRPr="0012447D">
        <w:rPr>
          <w:b/>
        </w:rPr>
        <w:t>methadone</w:t>
      </w:r>
      <w:r w:rsidRPr="0012447D">
        <w:t xml:space="preserve"> for any person </w:t>
      </w:r>
      <w:r>
        <w:t xml:space="preserve">(even on one occasion) </w:t>
      </w:r>
      <w:r w:rsidRPr="008C195B">
        <w:rPr>
          <w:b/>
        </w:rPr>
        <w:t>unless</w:t>
      </w:r>
      <w:r>
        <w:t xml:space="preserve">: </w:t>
      </w:r>
    </w:p>
    <w:p w14:paraId="7D857B53" w14:textId="77777777" w:rsidR="00AA2526" w:rsidRPr="00A86A58" w:rsidRDefault="00AA2526" w:rsidP="00FF597D">
      <w:pPr>
        <w:pStyle w:val="Bullet1"/>
      </w:pPr>
      <w:r w:rsidRPr="00A86A58">
        <w:t xml:space="preserve">the practitioner is treating the patient at an oncology clinic in a hospital where the patient is </w:t>
      </w:r>
      <w:r w:rsidRPr="00A86A58">
        <w:rPr>
          <w:b/>
        </w:rPr>
        <w:t>not</w:t>
      </w:r>
      <w:r w:rsidRPr="00A86A58">
        <w:t xml:space="preserve"> an in-patient; </w:t>
      </w:r>
      <w:r w:rsidRPr="00A86A58">
        <w:rPr>
          <w:b/>
        </w:rPr>
        <w:t>or</w:t>
      </w:r>
    </w:p>
    <w:p w14:paraId="04D91E03" w14:textId="77777777" w:rsidR="00AA2526" w:rsidRPr="00A86A58" w:rsidRDefault="00AA2526" w:rsidP="00FF597D">
      <w:pPr>
        <w:pStyle w:val="Bullet1"/>
      </w:pPr>
      <w:r w:rsidRPr="00A86A58">
        <w:t xml:space="preserve">the practitioner is treating the patient at a pain clinic in a hospital at which the patient is </w:t>
      </w:r>
      <w:r w:rsidRPr="00A86A58">
        <w:rPr>
          <w:b/>
        </w:rPr>
        <w:t>not</w:t>
      </w:r>
      <w:r w:rsidRPr="00A86A58">
        <w:t xml:space="preserve"> an in-patient; </w:t>
      </w:r>
      <w:r w:rsidRPr="00A86A58">
        <w:rPr>
          <w:b/>
        </w:rPr>
        <w:t>or</w:t>
      </w:r>
    </w:p>
    <w:p w14:paraId="6FC98706" w14:textId="4D97F758" w:rsidR="00BE3AB3" w:rsidRPr="00A86A58" w:rsidRDefault="00AA2526" w:rsidP="005C5522">
      <w:pPr>
        <w:pStyle w:val="Bullet1"/>
        <w:rPr>
          <w:lang w:eastAsia="en-AU"/>
        </w:rPr>
      </w:pPr>
      <w:r w:rsidRPr="00A86A58">
        <w:t>the patient is under the care of a palliative care service</w:t>
      </w:r>
    </w:p>
    <w:p w14:paraId="5B68C829" w14:textId="29EA721A" w:rsidR="00AA2526" w:rsidRPr="002C646C" w:rsidRDefault="00AA2526" w:rsidP="00AA2526">
      <w:pPr>
        <w:pStyle w:val="Heading1"/>
      </w:pPr>
      <w:r w:rsidRPr="002C646C">
        <w:t>Permit requirements for most practitioners</w:t>
      </w:r>
    </w:p>
    <w:p w14:paraId="5DD3B69E" w14:textId="77777777" w:rsidR="00AA2526" w:rsidRDefault="00AA2526" w:rsidP="00FF597D">
      <w:pPr>
        <w:pStyle w:val="Body"/>
      </w:pPr>
      <w:r w:rsidRPr="007D6F42">
        <w:t>If none of the preceding exceptions is applicable</w:t>
      </w:r>
      <w:r>
        <w:t>, consider the following five questions:</w:t>
      </w:r>
    </w:p>
    <w:p w14:paraId="1E11B08E" w14:textId="77777777" w:rsidR="00AA2526" w:rsidRDefault="00AA2526" w:rsidP="00FF597D">
      <w:pPr>
        <w:pStyle w:val="Bullet1"/>
      </w:pPr>
      <w:r>
        <w:t>When you can answer ‘</w:t>
      </w:r>
      <w:r w:rsidRPr="00A269F5">
        <w:rPr>
          <w:b/>
        </w:rPr>
        <w:t>yes’</w:t>
      </w:r>
      <w:r>
        <w:t xml:space="preserve"> to a question, you need not consider the subsequent questions because you will have your answer.</w:t>
      </w:r>
    </w:p>
    <w:tbl>
      <w:tblPr>
        <w:tblStyle w:val="TableGrid"/>
        <w:tblW w:w="0" w:type="auto"/>
        <w:tblBorders>
          <w:top w:val="dotted" w:sz="4" w:space="0" w:color="auto"/>
          <w:left w:val="dotted" w:sz="4" w:space="0" w:color="auto"/>
          <w:bottom w:val="dotted" w:sz="4" w:space="0" w:color="auto"/>
          <w:right w:val="dotted" w:sz="4" w:space="0" w:color="auto"/>
          <w:insideV w:val="dotted" w:sz="4" w:space="0" w:color="auto"/>
        </w:tblBorders>
        <w:tblLook w:val="04A0" w:firstRow="1" w:lastRow="0" w:firstColumn="1" w:lastColumn="0" w:noHBand="0" w:noVBand="1"/>
      </w:tblPr>
      <w:tblGrid>
        <w:gridCol w:w="5055"/>
        <w:gridCol w:w="5031"/>
      </w:tblGrid>
      <w:tr w:rsidR="00AA2526" w14:paraId="34E76C69" w14:textId="77777777" w:rsidTr="00FF597D">
        <w:trPr>
          <w:trHeight w:val="454"/>
        </w:trPr>
        <w:tc>
          <w:tcPr>
            <w:tcW w:w="5055" w:type="dxa"/>
          </w:tcPr>
          <w:p w14:paraId="27AEF34E" w14:textId="77777777" w:rsidR="00AA2526" w:rsidRPr="00067D56" w:rsidRDefault="00AA2526" w:rsidP="00B0780C">
            <w:pPr>
              <w:pStyle w:val="Heading2"/>
            </w:pPr>
            <w:r>
              <w:lastRenderedPageBreak/>
              <w:t>Questions</w:t>
            </w:r>
          </w:p>
        </w:tc>
        <w:tc>
          <w:tcPr>
            <w:tcW w:w="5031" w:type="dxa"/>
          </w:tcPr>
          <w:p w14:paraId="7DB8C841" w14:textId="77777777" w:rsidR="00AA2526" w:rsidRDefault="00AA2526" w:rsidP="00B0780C">
            <w:pPr>
              <w:pStyle w:val="Heading2"/>
            </w:pPr>
            <w:r>
              <w:t>Responses</w:t>
            </w:r>
          </w:p>
        </w:tc>
      </w:tr>
      <w:tr w:rsidR="00AA2526" w14:paraId="706BDE00" w14:textId="77777777" w:rsidTr="00B0780C">
        <w:tc>
          <w:tcPr>
            <w:tcW w:w="5055" w:type="dxa"/>
          </w:tcPr>
          <w:p w14:paraId="2D36C94B" w14:textId="77777777" w:rsidR="00AA2526" w:rsidRDefault="00AA2526" w:rsidP="00FF597D">
            <w:pPr>
              <w:pStyle w:val="Numberdigit"/>
            </w:pPr>
            <w:r w:rsidRPr="00067D56">
              <w:t>Do</w:t>
            </w:r>
            <w:r>
              <w:t xml:space="preserve"> you (or</w:t>
            </w:r>
            <w:r w:rsidRPr="00067D56">
              <w:t xml:space="preserve"> another </w:t>
            </w:r>
            <w:r>
              <w:t>practitioner</w:t>
            </w:r>
            <w:r w:rsidRPr="00067D56">
              <w:t xml:space="preserve"> at </w:t>
            </w:r>
            <w:r>
              <w:t>the same</w:t>
            </w:r>
            <w:r w:rsidRPr="00067D56">
              <w:t xml:space="preserve"> clinic</w:t>
            </w:r>
            <w:r>
              <w:t>)</w:t>
            </w:r>
            <w:r w:rsidRPr="00067D56">
              <w:t xml:space="preserve"> hold a </w:t>
            </w:r>
            <w:r w:rsidRPr="00512E58">
              <w:rPr>
                <w:b/>
              </w:rPr>
              <w:t>current permit</w:t>
            </w:r>
            <w:r w:rsidRPr="00067D56">
              <w:t xml:space="preserve"> to </w:t>
            </w:r>
            <w:r>
              <w:t xml:space="preserve">treat </w:t>
            </w:r>
            <w:r w:rsidRPr="00067D56">
              <w:t xml:space="preserve">the patient </w:t>
            </w:r>
            <w:r>
              <w:t xml:space="preserve">with </w:t>
            </w:r>
            <w:r w:rsidRPr="00067D56">
              <w:t>Schedule 8 poisons?</w:t>
            </w:r>
          </w:p>
        </w:tc>
        <w:tc>
          <w:tcPr>
            <w:tcW w:w="5031" w:type="dxa"/>
            <w:shd w:val="clear" w:color="auto" w:fill="C6E6A2"/>
          </w:tcPr>
          <w:p w14:paraId="29D51139" w14:textId="77777777" w:rsidR="00FF597D" w:rsidRDefault="00AA2526" w:rsidP="00FF597D">
            <w:pPr>
              <w:pStyle w:val="Body"/>
              <w:rPr>
                <w:i/>
              </w:rPr>
            </w:pPr>
            <w:r>
              <w:t xml:space="preserve">Where a current permit is held by one practitioner at a multiple-practitioner clinic, </w:t>
            </w:r>
            <w:r w:rsidR="00FF597D">
              <w:t>other</w:t>
            </w:r>
            <w:r>
              <w:t xml:space="preserve"> practitioners at the same clinic may prescribe the specified Schedule 8 poison/s </w:t>
            </w:r>
            <w:r w:rsidRPr="00223271">
              <w:rPr>
                <w:b/>
                <w:u w:val="single"/>
              </w:rPr>
              <w:t>provided</w:t>
            </w:r>
            <w:r w:rsidRPr="00CC5C24">
              <w:t xml:space="preserve"> </w:t>
            </w:r>
            <w:r>
              <w:t>the</w:t>
            </w:r>
            <w:r w:rsidRPr="00CC5C24">
              <w:t xml:space="preserve"> prescrib</w:t>
            </w:r>
            <w:r>
              <w:t>ing is</w:t>
            </w:r>
            <w:r w:rsidRPr="00CC5C24">
              <w:t xml:space="preserve"> in accordance with</w:t>
            </w:r>
            <w:r>
              <w:t xml:space="preserve"> any</w:t>
            </w:r>
            <w:r w:rsidRPr="00CC5C24">
              <w:t xml:space="preserve"> limits </w:t>
            </w:r>
            <w:r>
              <w:t>or</w:t>
            </w:r>
            <w:r w:rsidRPr="00CC5C24">
              <w:t xml:space="preserve"> conditions specified on the permit.</w:t>
            </w:r>
            <w:r w:rsidRPr="00CC5C24">
              <w:rPr>
                <w:i/>
              </w:rPr>
              <w:t xml:space="preserve"> </w:t>
            </w:r>
          </w:p>
          <w:p w14:paraId="6E027C6A" w14:textId="77777777" w:rsidR="00AA2526" w:rsidRPr="00CC5C24" w:rsidRDefault="00AA2526" w:rsidP="00FF597D">
            <w:pPr>
              <w:pStyle w:val="Bullet1"/>
            </w:pPr>
            <w:r w:rsidRPr="00CC5C24">
              <w:t xml:space="preserve">It is preferable if the permit is issued to the patient’s principal </w:t>
            </w:r>
            <w:r>
              <w:t>treating practitioner</w:t>
            </w:r>
            <w:r w:rsidRPr="00CC5C24">
              <w:t>.</w:t>
            </w:r>
          </w:p>
        </w:tc>
      </w:tr>
      <w:tr w:rsidR="00AA2526" w14:paraId="3F6B19C2" w14:textId="77777777" w:rsidTr="00B0780C">
        <w:tc>
          <w:tcPr>
            <w:tcW w:w="5055" w:type="dxa"/>
          </w:tcPr>
          <w:p w14:paraId="75308AA0" w14:textId="77777777" w:rsidR="00AA2526" w:rsidRPr="00067D56" w:rsidRDefault="00AA2526" w:rsidP="00FF597D">
            <w:pPr>
              <w:pStyle w:val="Numberdigit"/>
            </w:pPr>
            <w:r w:rsidRPr="00067D56">
              <w:t xml:space="preserve">Is there reason to believe </w:t>
            </w:r>
            <w:r>
              <w:t>the</w:t>
            </w:r>
            <w:r w:rsidRPr="00067D56">
              <w:t xml:space="preserve"> patient is a drug-dependent person?</w:t>
            </w:r>
          </w:p>
        </w:tc>
        <w:tc>
          <w:tcPr>
            <w:tcW w:w="5031" w:type="dxa"/>
            <w:shd w:val="clear" w:color="auto" w:fill="FF9393"/>
          </w:tcPr>
          <w:p w14:paraId="62431A3A" w14:textId="77777777" w:rsidR="00FF597D" w:rsidRDefault="00AA2526" w:rsidP="00FF597D">
            <w:pPr>
              <w:pStyle w:val="Body"/>
            </w:pPr>
            <w:r w:rsidRPr="002E3769">
              <w:t xml:space="preserve">You must </w:t>
            </w:r>
            <w:r w:rsidRPr="002E3769">
              <w:rPr>
                <w:b/>
              </w:rPr>
              <w:t>obtain</w:t>
            </w:r>
            <w:r w:rsidRPr="002E3769">
              <w:t xml:space="preserve"> a permit </w:t>
            </w:r>
            <w:r w:rsidRPr="002E3769">
              <w:rPr>
                <w:b/>
              </w:rPr>
              <w:t>before</w:t>
            </w:r>
            <w:r w:rsidRPr="002E3769">
              <w:t xml:space="preserve"> prescribing any Schedule 8 poison for the patient.</w:t>
            </w:r>
            <w:r>
              <w:t xml:space="preserve"> </w:t>
            </w:r>
          </w:p>
          <w:p w14:paraId="435217E2" w14:textId="77777777" w:rsidR="00AA2526" w:rsidRPr="002E3769" w:rsidRDefault="00AA2526" w:rsidP="00FF597D">
            <w:pPr>
              <w:pStyle w:val="Bullet1"/>
            </w:pPr>
            <w:r w:rsidRPr="002E3769">
              <w:t>Refer to page</w:t>
            </w:r>
            <w:r>
              <w:t xml:space="preserve"> 2</w:t>
            </w:r>
            <w:r w:rsidRPr="002E3769">
              <w:t xml:space="preserve"> for </w:t>
            </w:r>
            <w:r w:rsidRPr="00BD0114">
              <w:rPr>
                <w:b/>
              </w:rPr>
              <w:t>general exceptions</w:t>
            </w:r>
            <w:r w:rsidRPr="002E3769">
              <w:t>.</w:t>
            </w:r>
          </w:p>
        </w:tc>
      </w:tr>
      <w:tr w:rsidR="00AA2526" w14:paraId="0D8EFC7E" w14:textId="77777777" w:rsidTr="00B0780C">
        <w:tc>
          <w:tcPr>
            <w:tcW w:w="5055" w:type="dxa"/>
          </w:tcPr>
          <w:p w14:paraId="0AC80D75" w14:textId="77777777" w:rsidR="00AA2526" w:rsidRDefault="00AA2526" w:rsidP="00FF597D">
            <w:pPr>
              <w:pStyle w:val="Numberdigit"/>
            </w:pPr>
            <w:r w:rsidRPr="00067D56">
              <w:t xml:space="preserve">Do you wish to </w:t>
            </w:r>
            <w:r>
              <w:t xml:space="preserve">treat a patient with </w:t>
            </w:r>
            <w:r w:rsidRPr="00067D56">
              <w:t>any of the following</w:t>
            </w:r>
            <w:r>
              <w:t xml:space="preserve"> </w:t>
            </w:r>
            <w:r w:rsidRPr="00A534E7">
              <w:rPr>
                <w:b/>
              </w:rPr>
              <w:t>special Schedule 8 poisons</w:t>
            </w:r>
            <w:r>
              <w:t>?</w:t>
            </w:r>
          </w:p>
          <w:p w14:paraId="37B8FD26" w14:textId="77777777" w:rsidR="00AA2526" w:rsidRDefault="00AA2526" w:rsidP="00FF597D">
            <w:pPr>
              <w:pStyle w:val="Bulletafternumbers1"/>
            </w:pPr>
            <w:r>
              <w:t>m</w:t>
            </w:r>
            <w:r w:rsidRPr="00067D56">
              <w:t>ethadone</w:t>
            </w:r>
          </w:p>
          <w:p w14:paraId="4ED464C2" w14:textId="77777777" w:rsidR="00AA2526" w:rsidRDefault="00AA2526" w:rsidP="00FF597D">
            <w:pPr>
              <w:pStyle w:val="Bulletafternumbers1"/>
            </w:pPr>
            <w:r>
              <w:t>m</w:t>
            </w:r>
            <w:r w:rsidRPr="00067D56">
              <w:t>ethylphenidate</w:t>
            </w:r>
          </w:p>
          <w:p w14:paraId="452A4B08" w14:textId="77777777" w:rsidR="00AA2526" w:rsidRDefault="00AA2526" w:rsidP="00FF597D">
            <w:pPr>
              <w:pStyle w:val="Bulletafternumbers1"/>
            </w:pPr>
            <w:r>
              <w:t>d</w:t>
            </w:r>
            <w:r w:rsidRPr="00067D56">
              <w:t>examphetamine</w:t>
            </w:r>
            <w:r>
              <w:t xml:space="preserve"> or </w:t>
            </w:r>
            <w:proofErr w:type="spellStart"/>
            <w:r>
              <w:t>li</w:t>
            </w:r>
            <w:r w:rsidRPr="00067D56">
              <w:t>sdexamfetamine</w:t>
            </w:r>
            <w:proofErr w:type="spellEnd"/>
          </w:p>
          <w:p w14:paraId="028D429C" w14:textId="77777777" w:rsidR="00AA2526" w:rsidRDefault="00AA2526" w:rsidP="00FF597D">
            <w:pPr>
              <w:pStyle w:val="Bulletafternumbers1"/>
            </w:pPr>
            <w:r>
              <w:t>amphetamine or methylamphetamine</w:t>
            </w:r>
          </w:p>
          <w:p w14:paraId="0040FFD7" w14:textId="77777777" w:rsidR="00AA2526" w:rsidRDefault="00AA2526" w:rsidP="00FF597D">
            <w:pPr>
              <w:pStyle w:val="Bulletafternumbers1"/>
            </w:pPr>
            <w:proofErr w:type="spellStart"/>
            <w:r>
              <w:t>n</w:t>
            </w:r>
            <w:r w:rsidRPr="00067D56">
              <w:t>abiximols</w:t>
            </w:r>
            <w:proofErr w:type="spellEnd"/>
            <w:r w:rsidRPr="00067D56">
              <w:t xml:space="preserve"> (Sativex</w:t>
            </w:r>
            <w:r w:rsidRPr="00A534E7">
              <w:rPr>
                <w:vertAlign w:val="superscript"/>
              </w:rPr>
              <w:t>®</w:t>
            </w:r>
            <w:r w:rsidRPr="00067D56">
              <w:t>)</w:t>
            </w:r>
          </w:p>
          <w:p w14:paraId="162BCC98" w14:textId="0EEBAA64" w:rsidR="00AA2526" w:rsidRPr="00067D56" w:rsidRDefault="00AA2526" w:rsidP="006B1C45">
            <w:pPr>
              <w:pStyle w:val="Bulletafternumbers1"/>
            </w:pPr>
            <w:r>
              <w:t>s</w:t>
            </w:r>
            <w:r w:rsidRPr="00067D56">
              <w:t xml:space="preserve">odium </w:t>
            </w:r>
            <w:proofErr w:type="spellStart"/>
            <w:r w:rsidRPr="00067D56">
              <w:t>oxybate</w:t>
            </w:r>
            <w:proofErr w:type="spellEnd"/>
            <w:r w:rsidRPr="00067D56">
              <w:t xml:space="preserve"> </w:t>
            </w:r>
          </w:p>
        </w:tc>
        <w:tc>
          <w:tcPr>
            <w:tcW w:w="5031" w:type="dxa"/>
            <w:shd w:val="clear" w:color="auto" w:fill="FF9393"/>
          </w:tcPr>
          <w:p w14:paraId="29549D4A" w14:textId="77777777" w:rsidR="00AA2526" w:rsidRDefault="00AA2526" w:rsidP="00FF597D">
            <w:pPr>
              <w:pStyle w:val="Body"/>
            </w:pPr>
            <w:r w:rsidRPr="00CC5C24">
              <w:t xml:space="preserve">You must </w:t>
            </w:r>
            <w:r w:rsidRPr="00CC5C24">
              <w:rPr>
                <w:b/>
              </w:rPr>
              <w:t>obtain</w:t>
            </w:r>
            <w:r w:rsidRPr="00CC5C24">
              <w:t xml:space="preserve"> a Schedule 8 permit </w:t>
            </w:r>
            <w:r w:rsidRPr="00CC5C24">
              <w:rPr>
                <w:b/>
              </w:rPr>
              <w:t>before</w:t>
            </w:r>
            <w:r w:rsidRPr="00CC5C24">
              <w:t xml:space="preserve"> prescribing any special Schedule 8 poisons.</w:t>
            </w:r>
          </w:p>
          <w:p w14:paraId="2E22F0F5" w14:textId="77777777" w:rsidR="00AA2526" w:rsidRDefault="00AA2526" w:rsidP="00FF597D">
            <w:pPr>
              <w:pStyle w:val="Body"/>
              <w:rPr>
                <w:i/>
              </w:rPr>
            </w:pPr>
          </w:p>
          <w:p w14:paraId="0D82AF03" w14:textId="0E4E0C8C" w:rsidR="00AA2526" w:rsidRPr="00A805C3" w:rsidRDefault="00AA2526" w:rsidP="00FF597D">
            <w:pPr>
              <w:pStyle w:val="Bullet1"/>
            </w:pPr>
            <w:r w:rsidRPr="00A805C3">
              <w:t xml:space="preserve">Refer to page </w:t>
            </w:r>
            <w:r w:rsidR="008D3056">
              <w:t>5</w:t>
            </w:r>
            <w:r w:rsidRPr="00A805C3">
              <w:t xml:space="preserve"> for exceptions that apply only to </w:t>
            </w:r>
            <w:r w:rsidRPr="00A805C3">
              <w:rPr>
                <w:b/>
              </w:rPr>
              <w:t>paediatricians</w:t>
            </w:r>
            <w:r w:rsidRPr="00A805C3">
              <w:t xml:space="preserve"> and </w:t>
            </w:r>
            <w:r w:rsidRPr="00A805C3">
              <w:rPr>
                <w:b/>
              </w:rPr>
              <w:t>psychiatrists</w:t>
            </w:r>
            <w:r w:rsidRPr="00A805C3">
              <w:t xml:space="preserve"> treating patients with ADHD.</w:t>
            </w:r>
          </w:p>
          <w:p w14:paraId="6980CEEB" w14:textId="6343FDBF" w:rsidR="00AA2526" w:rsidRPr="00CC5C24" w:rsidRDefault="00FF597D" w:rsidP="00FF597D">
            <w:pPr>
              <w:pStyle w:val="Bullet1"/>
            </w:pPr>
            <w:r w:rsidRPr="00A805C3">
              <w:t>Page</w:t>
            </w:r>
            <w:r w:rsidR="00E372C9" w:rsidRPr="00A805C3">
              <w:t xml:space="preserve"> </w:t>
            </w:r>
            <w:r w:rsidR="008D3056">
              <w:t>3</w:t>
            </w:r>
            <w:r w:rsidRPr="00A805C3">
              <w:t xml:space="preserve"> </w:t>
            </w:r>
            <w:r w:rsidR="00AA2526" w:rsidRPr="00A805C3">
              <w:t>show</w:t>
            </w:r>
            <w:r w:rsidR="00E372C9" w:rsidRPr="00A805C3">
              <w:t>s</w:t>
            </w:r>
            <w:r w:rsidR="00AA2526" w:rsidRPr="00A805C3">
              <w:t xml:space="preserve"> exceptions that apply to </w:t>
            </w:r>
            <w:r w:rsidR="00AA2526" w:rsidRPr="00A805C3">
              <w:rPr>
                <w:b/>
              </w:rPr>
              <w:t>methadone</w:t>
            </w:r>
            <w:r w:rsidR="00A805C3" w:rsidRPr="00A805C3">
              <w:rPr>
                <w:bCs/>
              </w:rPr>
              <w:t>.</w:t>
            </w:r>
          </w:p>
        </w:tc>
      </w:tr>
      <w:tr w:rsidR="00AA2526" w14:paraId="4CB6B3E3" w14:textId="77777777" w:rsidTr="00B0780C">
        <w:tc>
          <w:tcPr>
            <w:tcW w:w="5055" w:type="dxa"/>
          </w:tcPr>
          <w:p w14:paraId="41792F90" w14:textId="77777777" w:rsidR="00AA2526" w:rsidRPr="00CC5C24" w:rsidRDefault="00AA2526" w:rsidP="00FF597D">
            <w:pPr>
              <w:pStyle w:val="Numberdigit"/>
            </w:pPr>
            <w:r w:rsidRPr="00CC5C24">
              <w:t xml:space="preserve">Do you intend to </w:t>
            </w:r>
            <w:r w:rsidRPr="002637EF">
              <w:rPr>
                <w:b/>
              </w:rPr>
              <w:t>initiate</w:t>
            </w:r>
            <w:r>
              <w:t xml:space="preserve"> </w:t>
            </w:r>
            <w:r w:rsidRPr="00CC5C24">
              <w:t>treat</w:t>
            </w:r>
            <w:r>
              <w:t xml:space="preserve">ment </w:t>
            </w:r>
            <w:r w:rsidRPr="00CC5C24">
              <w:t>with a Schedule 8 poison</w:t>
            </w:r>
            <w:r>
              <w:t>,</w:t>
            </w:r>
            <w:r w:rsidRPr="00CC5C24">
              <w:t xml:space="preserve"> </w:t>
            </w:r>
            <w:r>
              <w:t>which</w:t>
            </w:r>
            <w:r w:rsidRPr="00CC5C24">
              <w:t xml:space="preserve"> is </w:t>
            </w:r>
            <w:r w:rsidRPr="0012447D">
              <w:rPr>
                <w:b/>
              </w:rPr>
              <w:t>not</w:t>
            </w:r>
            <w:r w:rsidRPr="00CC5C24">
              <w:t xml:space="preserve"> a special Schedule 8 poison</w:t>
            </w:r>
            <w:r>
              <w:t>, where the period of treatment does not exceed 8 weeks</w:t>
            </w:r>
            <w:r w:rsidRPr="00CC5C24">
              <w:t>?</w:t>
            </w:r>
          </w:p>
          <w:p w14:paraId="61226D38" w14:textId="77777777" w:rsidR="00AA2526" w:rsidRPr="00E159F2" w:rsidRDefault="00AA2526" w:rsidP="00FF597D">
            <w:pPr>
              <w:pStyle w:val="Bulletafternumbers1"/>
            </w:pPr>
            <w:r w:rsidRPr="002E3769">
              <w:rPr>
                <w:b/>
              </w:rPr>
              <w:t>Note</w:t>
            </w:r>
            <w:r w:rsidRPr="00CC5C24">
              <w:t xml:space="preserve">: This question does not relate to </w:t>
            </w:r>
            <w:r w:rsidRPr="002637EF">
              <w:t>inherited, transient or occasional patient</w:t>
            </w:r>
            <w:r>
              <w:t xml:space="preserve">s </w:t>
            </w:r>
            <w:r w:rsidRPr="00CC5C24">
              <w:t>who request a Schedule 8 poison</w:t>
            </w:r>
            <w:r>
              <w:t>.</w:t>
            </w:r>
          </w:p>
        </w:tc>
        <w:tc>
          <w:tcPr>
            <w:tcW w:w="5031" w:type="dxa"/>
            <w:shd w:val="clear" w:color="auto" w:fill="C6E6A2"/>
          </w:tcPr>
          <w:p w14:paraId="00C4E93F" w14:textId="77777777" w:rsidR="00AA2526" w:rsidRPr="002E3769" w:rsidRDefault="00AA2526" w:rsidP="00FF597D">
            <w:pPr>
              <w:pStyle w:val="Body"/>
            </w:pPr>
            <w:r w:rsidRPr="002E3769">
              <w:t xml:space="preserve">You may </w:t>
            </w:r>
            <w:r w:rsidRPr="002E3769">
              <w:rPr>
                <w:b/>
              </w:rPr>
              <w:t>initiate</w:t>
            </w:r>
            <w:r w:rsidRPr="002E3769">
              <w:t xml:space="preserve"> treatment without a permit</w:t>
            </w:r>
            <w:r>
              <w:t xml:space="preserve"> - </w:t>
            </w:r>
            <w:r w:rsidRPr="00223271">
              <w:rPr>
                <w:b/>
                <w:u w:val="single"/>
              </w:rPr>
              <w:t>provided</w:t>
            </w:r>
            <w:r w:rsidRPr="002E3769">
              <w:t xml:space="preserve"> </w:t>
            </w:r>
            <w:r>
              <w:t xml:space="preserve">you do not prescribe or contribute to treatment for </w:t>
            </w:r>
            <w:r w:rsidRPr="002E3769">
              <w:t xml:space="preserve">a </w:t>
            </w:r>
            <w:r w:rsidRPr="00BD0114">
              <w:rPr>
                <w:b/>
              </w:rPr>
              <w:t>continuous period greater than 8 weeks</w:t>
            </w:r>
            <w:r w:rsidRPr="002E3769">
              <w:t xml:space="preserve">. </w:t>
            </w:r>
          </w:p>
          <w:p w14:paraId="1D34B895" w14:textId="77777777" w:rsidR="00FF597D" w:rsidRDefault="00FF597D" w:rsidP="00FF597D">
            <w:pPr>
              <w:pStyle w:val="Bullet1"/>
            </w:pPr>
            <w:r>
              <w:t>See below</w:t>
            </w:r>
            <w:r w:rsidR="00AA2526">
              <w:t xml:space="preserve"> for an explanation of what is meant by ‘continuous period greater than 8 weeks’</w:t>
            </w:r>
            <w:r>
              <w:t>;</w:t>
            </w:r>
            <w:r w:rsidR="00AA2526">
              <w:t xml:space="preserve"> and</w:t>
            </w:r>
          </w:p>
          <w:p w14:paraId="0A99E36E" w14:textId="77777777" w:rsidR="00AA2526" w:rsidRPr="002E3769" w:rsidRDefault="00AA2526" w:rsidP="00FF597D">
            <w:pPr>
              <w:pStyle w:val="Bullet1"/>
            </w:pPr>
            <w:r>
              <w:t xml:space="preserve">to review requirements for </w:t>
            </w:r>
            <w:r w:rsidRPr="002637EF">
              <w:t>inherited, transient or occasional patient</w:t>
            </w:r>
            <w:r>
              <w:t>s.</w:t>
            </w:r>
          </w:p>
        </w:tc>
      </w:tr>
      <w:tr w:rsidR="00AA2526" w14:paraId="330D0DED" w14:textId="77777777" w:rsidTr="00B0780C">
        <w:tc>
          <w:tcPr>
            <w:tcW w:w="5055" w:type="dxa"/>
          </w:tcPr>
          <w:p w14:paraId="181FE126" w14:textId="77777777" w:rsidR="00AA2526" w:rsidRPr="00067D56" w:rsidRDefault="00AA2526" w:rsidP="00FF597D">
            <w:pPr>
              <w:pStyle w:val="Numberdigit"/>
            </w:pPr>
            <w:r>
              <w:t>Does your prescribing represent or contribute to treatment for a continuous period greater than 8 weeks (including prescribing by other prescribers)?</w:t>
            </w:r>
          </w:p>
        </w:tc>
        <w:tc>
          <w:tcPr>
            <w:tcW w:w="5031" w:type="dxa"/>
            <w:shd w:val="clear" w:color="auto" w:fill="FF9393"/>
          </w:tcPr>
          <w:p w14:paraId="1A0D2A27" w14:textId="77777777" w:rsidR="00FF597D" w:rsidRDefault="00AA2526" w:rsidP="00FF597D">
            <w:pPr>
              <w:pStyle w:val="Body"/>
            </w:pPr>
            <w:r>
              <w:t xml:space="preserve">You must </w:t>
            </w:r>
            <w:r w:rsidRPr="00E159F2">
              <w:rPr>
                <w:b/>
              </w:rPr>
              <w:t>obtain</w:t>
            </w:r>
            <w:r>
              <w:t xml:space="preserve"> or (at least) </w:t>
            </w:r>
            <w:r w:rsidRPr="00A534E7">
              <w:rPr>
                <w:b/>
              </w:rPr>
              <w:t>apply</w:t>
            </w:r>
            <w:r>
              <w:t xml:space="preserve"> for a permit - even if you do not intend to prescribe on more than one occasion.  </w:t>
            </w:r>
          </w:p>
          <w:p w14:paraId="0616C841" w14:textId="426A6CA4" w:rsidR="00AA2526" w:rsidRPr="00126D40" w:rsidRDefault="00AA2526" w:rsidP="00FF597D">
            <w:pPr>
              <w:pStyle w:val="Bullet1"/>
            </w:pPr>
            <w:r>
              <w:t>See</w:t>
            </w:r>
            <w:r w:rsidRPr="002E3769">
              <w:t xml:space="preserve"> </w:t>
            </w:r>
            <w:r>
              <w:t>page</w:t>
            </w:r>
            <w:r w:rsidR="008D3056">
              <w:t>s</w:t>
            </w:r>
            <w:r>
              <w:t xml:space="preserve"> </w:t>
            </w:r>
            <w:r w:rsidR="008D3056">
              <w:t>4 and 5</w:t>
            </w:r>
            <w:r>
              <w:t xml:space="preserve"> </w:t>
            </w:r>
            <w:r w:rsidRPr="002E3769">
              <w:t xml:space="preserve">for more </w:t>
            </w:r>
            <w:r>
              <w:t>about this requirement.</w:t>
            </w:r>
          </w:p>
        </w:tc>
      </w:tr>
    </w:tbl>
    <w:p w14:paraId="16DC0C4D" w14:textId="77777777" w:rsidR="00AA2526" w:rsidRPr="00522F1A" w:rsidRDefault="00AA2526" w:rsidP="00AA2526">
      <w:pPr>
        <w:pStyle w:val="Heading1"/>
      </w:pPr>
      <w:r w:rsidRPr="00522F1A">
        <w:t>Meaning of ‘continuous period greater than 8 weeks’</w:t>
      </w:r>
    </w:p>
    <w:p w14:paraId="12D0993A" w14:textId="77777777" w:rsidR="00AA2526" w:rsidRDefault="00AA2526" w:rsidP="00FF597D">
      <w:pPr>
        <w:pStyle w:val="Body"/>
      </w:pPr>
      <w:r>
        <w:t xml:space="preserve">The legislation refers to treatment for a ‘continuous period greater than 8 weeks’ in relation to various permit requirements and exceptions but the term </w:t>
      </w:r>
      <w:r w:rsidRPr="00E10D92">
        <w:t xml:space="preserve">does </w:t>
      </w:r>
      <w:r w:rsidRPr="00C34EC8">
        <w:rPr>
          <w:b/>
        </w:rPr>
        <w:t>not</w:t>
      </w:r>
      <w:r w:rsidRPr="00E10D92">
        <w:t xml:space="preserve"> relate to the dates of consultations or prescriptions</w:t>
      </w:r>
      <w:r>
        <w:t xml:space="preserve">; it relates to the quantity of the drug that is prescribed or supplied. For example: </w:t>
      </w:r>
    </w:p>
    <w:p w14:paraId="679302D6" w14:textId="77777777" w:rsidR="00AA2526" w:rsidRDefault="00AA2526" w:rsidP="00FF597D">
      <w:pPr>
        <w:pStyle w:val="Bullet1"/>
      </w:pPr>
      <w:r>
        <w:lastRenderedPageBreak/>
        <w:t>A prescription for 100 tablets with directions of ‘one tablet twice daily’ corresponds to 50 days’ treatment (i.e. less than 8 weeks) whereas the same prescription with repeats authorised would correspond to providing treatment for a continuous period greater than 8 weeks.</w:t>
      </w:r>
    </w:p>
    <w:p w14:paraId="0DE0B180" w14:textId="77777777" w:rsidR="00AA2526" w:rsidRPr="00522F1A" w:rsidRDefault="00AA2526" w:rsidP="00AA2526">
      <w:pPr>
        <w:pStyle w:val="Heading1"/>
      </w:pPr>
      <w:r w:rsidRPr="00522F1A">
        <w:t>Inherited, transient and occasional patients</w:t>
      </w:r>
    </w:p>
    <w:p w14:paraId="0006223E" w14:textId="77777777" w:rsidR="00AA2526" w:rsidRDefault="00AA2526" w:rsidP="00124E08">
      <w:pPr>
        <w:pStyle w:val="Body"/>
      </w:pPr>
      <w:r w:rsidRPr="00C410F5">
        <w:t xml:space="preserve">A practitioner who is not initiating treatment </w:t>
      </w:r>
      <w:r>
        <w:t>but</w:t>
      </w:r>
      <w:r w:rsidRPr="00C410F5">
        <w:t xml:space="preserve"> considers it necessary to </w:t>
      </w:r>
      <w:r>
        <w:t>treat a patient with</w:t>
      </w:r>
      <w:r w:rsidRPr="00C410F5">
        <w:t xml:space="preserve"> a Schedule 8 poison (other than where a permit must be obtained before prescribing) must </w:t>
      </w:r>
      <w:r w:rsidRPr="00C410F5">
        <w:rPr>
          <w:b/>
        </w:rPr>
        <w:t>immediately apply for a permit</w:t>
      </w:r>
      <w:r w:rsidRPr="00C410F5">
        <w:t xml:space="preserve"> if there is reason to believe that issuing a prescription will contribute to a patient being treated for a </w:t>
      </w:r>
      <w:r w:rsidRPr="00C410F5">
        <w:rPr>
          <w:b/>
        </w:rPr>
        <w:t xml:space="preserve">continuous period greater than 8 weeks - including the preceding period of treatment </w:t>
      </w:r>
      <w:r w:rsidRPr="00C410F5">
        <w:t xml:space="preserve">(by </w:t>
      </w:r>
      <w:r>
        <w:t xml:space="preserve">any and all </w:t>
      </w:r>
      <w:r w:rsidRPr="00C410F5">
        <w:t>other prescriber/s).</w:t>
      </w:r>
    </w:p>
    <w:p w14:paraId="065C547B" w14:textId="77777777" w:rsidR="00AA2526" w:rsidRPr="00A86A58" w:rsidRDefault="00AA2526" w:rsidP="00124E08">
      <w:pPr>
        <w:pStyle w:val="Bullet1"/>
      </w:pPr>
      <w:r w:rsidRPr="00A86A58">
        <w:t>The mandatory requirement to check SafeScript is an essential step to enable a practitioner to fully assess the extent of previous prescribing and/or to determine whether the exception relating to opioid analgesics might apply</w:t>
      </w:r>
      <w:r w:rsidR="00124E08">
        <w:t xml:space="preserve"> </w:t>
      </w:r>
      <w:r w:rsidR="00124E08" w:rsidRPr="00A86A58">
        <w:t>(</w:t>
      </w:r>
      <w:r w:rsidR="00124E08">
        <w:t xml:space="preserve">Refer to page 3 in relation to </w:t>
      </w:r>
      <w:r w:rsidR="00124E08" w:rsidRPr="00A86A58">
        <w:t>a total daily dosage of less than 100mg MED</w:t>
      </w:r>
      <w:r w:rsidR="00124E08">
        <w:t>)</w:t>
      </w:r>
      <w:r w:rsidRPr="00A86A58">
        <w:t>.</w:t>
      </w:r>
    </w:p>
    <w:p w14:paraId="1F21AFC1" w14:textId="77777777" w:rsidR="00AA2526" w:rsidRDefault="00AA2526" w:rsidP="00124E08">
      <w:pPr>
        <w:pStyle w:val="Bullet2"/>
      </w:pPr>
      <w:r w:rsidRPr="00126D40">
        <w:rPr>
          <w:lang w:val="en-US"/>
        </w:rPr>
        <w:t>The National Prescribing Service recommend</w:t>
      </w:r>
      <w:r>
        <w:rPr>
          <w:lang w:val="en-US"/>
        </w:rPr>
        <w:t>s</w:t>
      </w:r>
      <w:r w:rsidRPr="00126D40">
        <w:rPr>
          <w:lang w:val="en-US"/>
        </w:rPr>
        <w:t xml:space="preserve"> that daily doses should not exceed 100mg in morphine equivalence (</w:t>
      </w:r>
      <w:r>
        <w:rPr>
          <w:lang w:val="en-US"/>
        </w:rPr>
        <w:t>approximately</w:t>
      </w:r>
      <w:r w:rsidRPr="00126D40">
        <w:rPr>
          <w:lang w:val="en-US"/>
        </w:rPr>
        <w:t xml:space="preserve"> </w:t>
      </w:r>
      <w:r>
        <w:rPr>
          <w:lang w:val="en-US"/>
        </w:rPr>
        <w:t>60</w:t>
      </w:r>
      <w:r w:rsidRPr="00126D40">
        <w:rPr>
          <w:lang w:val="en-US"/>
        </w:rPr>
        <w:t xml:space="preserve"> mg of oxycodone) without specialist advice</w:t>
      </w:r>
      <w:r>
        <w:rPr>
          <w:lang w:val="en-US"/>
        </w:rPr>
        <w:t>.</w:t>
      </w:r>
    </w:p>
    <w:p w14:paraId="6A6041AB" w14:textId="77777777" w:rsidR="00AA2526" w:rsidRPr="00C410F5" w:rsidRDefault="00AA2526" w:rsidP="00124E08">
      <w:pPr>
        <w:pStyle w:val="Bodyafterbullets"/>
      </w:pPr>
      <w:r w:rsidRPr="00C410F5">
        <w:t xml:space="preserve">To avoid delaying treatment for a genuine patient, a practitioner is authorised to </w:t>
      </w:r>
      <w:r>
        <w:t>treat</w:t>
      </w:r>
      <w:r w:rsidRPr="00C410F5">
        <w:t xml:space="preserve"> the patient until the outcome of the permit application has been determined </w:t>
      </w:r>
      <w:r w:rsidRPr="00223271">
        <w:rPr>
          <w:b/>
          <w:u w:val="single"/>
        </w:rPr>
        <w:t>provided</w:t>
      </w:r>
      <w:r w:rsidRPr="00C410F5">
        <w:t xml:space="preserve"> a permit application is submitted immediately – </w:t>
      </w:r>
      <w:r w:rsidRPr="00C410F5">
        <w:rPr>
          <w:b/>
        </w:rPr>
        <w:t xml:space="preserve">even if there is no intention to </w:t>
      </w:r>
      <w:r>
        <w:rPr>
          <w:b/>
        </w:rPr>
        <w:t xml:space="preserve">treat or </w:t>
      </w:r>
      <w:r w:rsidRPr="00C410F5">
        <w:rPr>
          <w:b/>
        </w:rPr>
        <w:t>prescribe</w:t>
      </w:r>
      <w:r>
        <w:rPr>
          <w:b/>
        </w:rPr>
        <w:t xml:space="preserve"> for the patient</w:t>
      </w:r>
      <w:r w:rsidRPr="00C410F5">
        <w:rPr>
          <w:b/>
        </w:rPr>
        <w:t xml:space="preserve"> on subsequent occasions.</w:t>
      </w:r>
    </w:p>
    <w:p w14:paraId="09C41A7C" w14:textId="77777777" w:rsidR="00AA2526" w:rsidRDefault="00AA2526" w:rsidP="00124E08">
      <w:pPr>
        <w:pStyle w:val="Body"/>
      </w:pPr>
      <w:r w:rsidRPr="00126D40">
        <w:t>This provision is intended to prevent drug-seeking patients (with or without genuine documentation) from obtaining multiple prescriptions from a clinic on the pretext that their regular treating practitioner is interstate, overseas or otherwise unavailable.</w:t>
      </w:r>
    </w:p>
    <w:p w14:paraId="4338C6F6" w14:textId="77777777" w:rsidR="00124E08" w:rsidRDefault="00124E08" w:rsidP="00124E08">
      <w:pPr>
        <w:pStyle w:val="Heading1"/>
      </w:pPr>
      <w:r>
        <w:t>Applying for a permit</w:t>
      </w:r>
    </w:p>
    <w:p w14:paraId="1F8B7040" w14:textId="002EF2D8" w:rsidR="008D3056" w:rsidRDefault="008D3056" w:rsidP="00124E08">
      <w:pPr>
        <w:pStyle w:val="Bodyafterbullets"/>
      </w:pPr>
      <w:bookmarkStart w:id="1" w:name="_Hlk199235464"/>
      <w:r w:rsidRPr="008D3056">
        <w:t>Practitioners can apply for permits in SafeScript. Permit application forms are also located on the MPR website (</w:t>
      </w:r>
      <w:hyperlink r:id="rId19" w:history="1">
        <w:r w:rsidRPr="008D3056">
          <w:rPr>
            <w:rStyle w:val="Hyperlink"/>
          </w:rPr>
          <w:t>http://www.health.vic.gov.au/dpcs</w:t>
        </w:r>
      </w:hyperlink>
      <w:r w:rsidRPr="008D3056">
        <w:t>).</w:t>
      </w:r>
      <w:bookmarkEnd w:id="1"/>
    </w:p>
    <w:p w14:paraId="48B697EF" w14:textId="77777777" w:rsidR="00AA2526" w:rsidRPr="004324D1" w:rsidRDefault="00AA2526" w:rsidP="00AA2526">
      <w:pPr>
        <w:pStyle w:val="Heading1"/>
        <w:rPr>
          <w:b/>
          <w:lang w:val="en-US"/>
        </w:rPr>
      </w:pPr>
      <w:r w:rsidRPr="00522F1A">
        <w:t>Paediatricians and psychiatrists</w:t>
      </w:r>
      <w:r w:rsidRPr="004324D1">
        <w:rPr>
          <w:b/>
          <w:lang w:val="en-US"/>
        </w:rPr>
        <w:t xml:space="preserve"> </w:t>
      </w:r>
      <w:r w:rsidRPr="00124E08">
        <w:rPr>
          <w:rStyle w:val="Heading2Char"/>
          <w:b w:val="0"/>
          <w:sz w:val="28"/>
        </w:rPr>
        <w:t>(ONLY)</w:t>
      </w:r>
    </w:p>
    <w:p w14:paraId="1FEF91F4" w14:textId="77777777" w:rsidR="00124E08" w:rsidRDefault="00AA2526" w:rsidP="00124E08">
      <w:pPr>
        <w:pStyle w:val="Heading2"/>
        <w:rPr>
          <w:rStyle w:val="Heading3Char"/>
          <w:b w:val="0"/>
          <w:sz w:val="24"/>
          <w:szCs w:val="24"/>
        </w:rPr>
      </w:pPr>
      <w:r w:rsidRPr="00522F1A">
        <w:rPr>
          <w:rStyle w:val="Heading2Char"/>
          <w:b/>
        </w:rPr>
        <w:t>Attention deficit hyperactivity disorder</w:t>
      </w:r>
      <w:r w:rsidRPr="00712444">
        <w:t xml:space="preserve"> </w:t>
      </w:r>
      <w:r w:rsidRPr="00124E08">
        <w:rPr>
          <w:rStyle w:val="Heading3Char"/>
          <w:b w:val="0"/>
        </w:rPr>
        <w:t>(patient less than 18 years old)</w:t>
      </w:r>
    </w:p>
    <w:p w14:paraId="44BF0738" w14:textId="77777777" w:rsidR="00AA2526" w:rsidRDefault="00AA2526" w:rsidP="00124E08">
      <w:pPr>
        <w:pStyle w:val="Body"/>
      </w:pPr>
      <w:r w:rsidRPr="00A91DCB">
        <w:t xml:space="preserve">A </w:t>
      </w:r>
      <w:bookmarkStart w:id="2" w:name="_Hlk30761384"/>
      <w:r w:rsidRPr="00A91DCB">
        <w:rPr>
          <w:b/>
        </w:rPr>
        <w:t>paediatrician</w:t>
      </w:r>
      <w:r w:rsidRPr="00A91DCB">
        <w:t xml:space="preserve"> or a </w:t>
      </w:r>
      <w:r w:rsidRPr="00A91DCB">
        <w:rPr>
          <w:b/>
        </w:rPr>
        <w:t>psychiatrist</w:t>
      </w:r>
      <w:r w:rsidRPr="00A91DCB">
        <w:t xml:space="preserve"> </w:t>
      </w:r>
      <w:bookmarkEnd w:id="2"/>
      <w:r w:rsidRPr="00A91DCB">
        <w:t xml:space="preserve">is not required to obtain a Schedule 8 treatment permit to treat a </w:t>
      </w:r>
      <w:r>
        <w:t xml:space="preserve">patient with a </w:t>
      </w:r>
      <w:r w:rsidRPr="00A91DCB">
        <w:t xml:space="preserve">psychostimulant drug (approved by the TGA for the treatment of attention deficit hyperactivity disorder), </w:t>
      </w:r>
      <w:r w:rsidRPr="00C96A6C">
        <w:rPr>
          <w:b/>
          <w:u w:val="single"/>
        </w:rPr>
        <w:t>provided</w:t>
      </w:r>
      <w:r w:rsidRPr="00750116">
        <w:t>:</w:t>
      </w:r>
    </w:p>
    <w:p w14:paraId="6F84D76B" w14:textId="77777777" w:rsidR="00AA2526" w:rsidRPr="00A86A58" w:rsidRDefault="00AA2526" w:rsidP="00AA2526">
      <w:pPr>
        <w:pStyle w:val="DHHSbullet1"/>
        <w:numPr>
          <w:ilvl w:val="0"/>
          <w:numId w:val="7"/>
        </w:numPr>
        <w:rPr>
          <w:lang w:val="en-US"/>
        </w:rPr>
      </w:pPr>
      <w:r w:rsidRPr="00A86A58">
        <w:rPr>
          <w:lang w:val="en-US"/>
        </w:rPr>
        <w:t xml:space="preserve">the patient is </w:t>
      </w:r>
      <w:r w:rsidRPr="00A86A58">
        <w:rPr>
          <w:b/>
          <w:lang w:val="en-US"/>
        </w:rPr>
        <w:t>not</w:t>
      </w:r>
      <w:r w:rsidRPr="00A86A58">
        <w:rPr>
          <w:lang w:val="en-US"/>
        </w:rPr>
        <w:t xml:space="preserve"> a drug-dependent person; </w:t>
      </w:r>
      <w:r w:rsidRPr="00A86A58">
        <w:rPr>
          <w:b/>
          <w:lang w:val="en-US"/>
        </w:rPr>
        <w:t>and</w:t>
      </w:r>
    </w:p>
    <w:p w14:paraId="5649092C" w14:textId="77777777" w:rsidR="00AA2526" w:rsidRPr="00A86A58" w:rsidRDefault="00AA2526" w:rsidP="00AA2526">
      <w:pPr>
        <w:pStyle w:val="DHHSbullet1"/>
        <w:numPr>
          <w:ilvl w:val="0"/>
          <w:numId w:val="7"/>
        </w:numPr>
        <w:rPr>
          <w:lang w:val="en-US"/>
        </w:rPr>
      </w:pPr>
      <w:r w:rsidRPr="00A86A58">
        <w:rPr>
          <w:lang w:val="en-US"/>
        </w:rPr>
        <w:t xml:space="preserve">the patient has not reached 18 years of age; </w:t>
      </w:r>
    </w:p>
    <w:p w14:paraId="4AF1CD00" w14:textId="77777777" w:rsidR="00AA2526" w:rsidRPr="0004260D" w:rsidRDefault="00AA2526" w:rsidP="00124E08">
      <w:pPr>
        <w:pStyle w:val="Heading2"/>
      </w:pPr>
      <w:r w:rsidRPr="00522F1A">
        <w:rPr>
          <w:rStyle w:val="Heading2Char"/>
          <w:b/>
        </w:rPr>
        <w:t>Attention deficit hyperactivity disorder</w:t>
      </w:r>
      <w:r w:rsidRPr="0004260D">
        <w:t xml:space="preserve"> </w:t>
      </w:r>
      <w:r w:rsidRPr="00124E08">
        <w:rPr>
          <w:rStyle w:val="Heading3Char"/>
          <w:b w:val="0"/>
        </w:rPr>
        <w:t>(patient is 18 years or more)</w:t>
      </w:r>
    </w:p>
    <w:p w14:paraId="3952680B" w14:textId="77777777" w:rsidR="00AA2526" w:rsidRDefault="00AA2526" w:rsidP="00124E08">
      <w:pPr>
        <w:pStyle w:val="Body"/>
        <w:rPr>
          <w:lang w:val="en-US"/>
        </w:rPr>
      </w:pPr>
      <w:r w:rsidRPr="00A86A58">
        <w:rPr>
          <w:lang w:val="en-US"/>
        </w:rPr>
        <w:t xml:space="preserve">A </w:t>
      </w:r>
      <w:r w:rsidRPr="00A86A58">
        <w:rPr>
          <w:b/>
          <w:lang w:val="en-US"/>
        </w:rPr>
        <w:t>psychiatrist</w:t>
      </w:r>
      <w:r w:rsidRPr="00A86A58">
        <w:rPr>
          <w:lang w:val="en-US"/>
        </w:rPr>
        <w:t xml:space="preserve"> </w:t>
      </w:r>
      <w:r w:rsidRPr="00A86A58">
        <w:t xml:space="preserve">is not required to obtain a Schedule 8 treatment permit to treat a patient with a psychostimulant drug (approved by the TGA for the treatment of attention deficit hyperactivity disorder), </w:t>
      </w:r>
      <w:r w:rsidRPr="00A86A58">
        <w:rPr>
          <w:b/>
          <w:u w:val="single"/>
        </w:rPr>
        <w:t xml:space="preserve">provided </w:t>
      </w:r>
      <w:r w:rsidRPr="00A86A58">
        <w:rPr>
          <w:lang w:val="en-US"/>
        </w:rPr>
        <w:t xml:space="preserve">the patient is </w:t>
      </w:r>
      <w:r w:rsidRPr="00A86A58">
        <w:rPr>
          <w:b/>
          <w:lang w:val="en-US"/>
        </w:rPr>
        <w:t>not</w:t>
      </w:r>
      <w:r w:rsidRPr="00A86A58">
        <w:rPr>
          <w:lang w:val="en-US"/>
        </w:rPr>
        <w:t xml:space="preserve"> a drug-dependent person;</w:t>
      </w:r>
      <w:r>
        <w:rPr>
          <w:lang w:val="en-US"/>
        </w:rPr>
        <w:t xml:space="preserve"> </w:t>
      </w:r>
    </w:p>
    <w:p w14:paraId="296E4F2E" w14:textId="77777777" w:rsidR="00AC7ED6" w:rsidRPr="00AC7ED6" w:rsidRDefault="00AC7ED6" w:rsidP="00DF208B">
      <w:pPr>
        <w:pStyle w:val="Heading1"/>
      </w:pPr>
      <w:r w:rsidRPr="00AC7ED6">
        <w:lastRenderedPageBreak/>
        <w:t>Opioid-replacement therapy (ORT)</w:t>
      </w:r>
    </w:p>
    <w:p w14:paraId="07E061BE" w14:textId="1B7E03D6" w:rsidR="00AC7ED6" w:rsidRPr="00AC7ED6" w:rsidRDefault="00AC7ED6" w:rsidP="00DF208B">
      <w:pPr>
        <w:pStyle w:val="Body"/>
      </w:pPr>
      <w:r w:rsidRPr="00AC7ED6">
        <w:t>Most medical practitioners wishing to prescribe methadone, buprenorphine (Subutex</w:t>
      </w:r>
      <w:r w:rsidRPr="00AC7ED6">
        <w:rPr>
          <w:vertAlign w:val="superscript"/>
        </w:rPr>
        <w:t>®</w:t>
      </w:r>
      <w:r w:rsidRPr="00AC7ED6">
        <w:t>)</w:t>
      </w:r>
      <w:r w:rsidR="004A5447">
        <w:t>,</w:t>
      </w:r>
      <w:r w:rsidRPr="00AC7ED6">
        <w:t xml:space="preserve"> buprenorphine in combination with naloxone (Suboxone</w:t>
      </w:r>
      <w:r w:rsidRPr="00AC7ED6">
        <w:rPr>
          <w:vertAlign w:val="superscript"/>
        </w:rPr>
        <w:t>®</w:t>
      </w:r>
      <w:r w:rsidRPr="00AC7ED6">
        <w:t xml:space="preserve">) </w:t>
      </w:r>
      <w:r w:rsidR="004A5447">
        <w:t>or long-acting injectable buprenorphine (</w:t>
      </w:r>
      <w:proofErr w:type="spellStart"/>
      <w:r w:rsidR="004A5447" w:rsidRPr="00FB0953">
        <w:t>Buvidal</w:t>
      </w:r>
      <w:proofErr w:type="spellEnd"/>
      <w:r w:rsidR="004A5447" w:rsidRPr="00AC7ED6">
        <w:rPr>
          <w:vertAlign w:val="superscript"/>
        </w:rPr>
        <w:t>®</w:t>
      </w:r>
      <w:r w:rsidR="004A5447" w:rsidRPr="00FB0953">
        <w:t xml:space="preserve"> and </w:t>
      </w:r>
      <w:proofErr w:type="spellStart"/>
      <w:r w:rsidR="004A5447" w:rsidRPr="00FB0953">
        <w:t>Sublocade</w:t>
      </w:r>
      <w:proofErr w:type="spellEnd"/>
      <w:r w:rsidR="004A5447" w:rsidRPr="00AC7ED6">
        <w:rPr>
          <w:vertAlign w:val="superscript"/>
        </w:rPr>
        <w:t>®</w:t>
      </w:r>
      <w:r w:rsidR="004A5447">
        <w:t xml:space="preserve">) </w:t>
      </w:r>
      <w:r w:rsidRPr="00AC7ED6">
        <w:t xml:space="preserve">to treat opioid-dependent patients, are required to undertake relevant training and assessment to gain approval from the department as ORT prescribers. </w:t>
      </w:r>
    </w:p>
    <w:p w14:paraId="46127B2F" w14:textId="4C65DD0B" w:rsidR="00706188" w:rsidRDefault="00AC7ED6" w:rsidP="00DF208B">
      <w:pPr>
        <w:pStyle w:val="Body"/>
      </w:pPr>
      <w:r w:rsidRPr="00AC7ED6">
        <w:t xml:space="preserve">However, in recognition of the greater safety associated with the use of </w:t>
      </w:r>
      <w:r w:rsidRPr="00AC7ED6">
        <w:rPr>
          <w:b/>
        </w:rPr>
        <w:t>Suboxone</w:t>
      </w:r>
      <w:r w:rsidRPr="00AC7ED6">
        <w:rPr>
          <w:b/>
          <w:vertAlign w:val="superscript"/>
        </w:rPr>
        <w:t>®</w:t>
      </w:r>
      <w:r w:rsidRPr="00AC7ED6">
        <w:t xml:space="preserve"> </w:t>
      </w:r>
      <w:r w:rsidRPr="00AC7ED6">
        <w:rPr>
          <w:b/>
        </w:rPr>
        <w:t>film</w:t>
      </w:r>
      <w:r w:rsidRPr="00AC7ED6">
        <w:t xml:space="preserve">, </w:t>
      </w:r>
      <w:proofErr w:type="spellStart"/>
      <w:r w:rsidR="004A5447" w:rsidRPr="00261996">
        <w:rPr>
          <w:b/>
          <w:bCs/>
        </w:rPr>
        <w:t>Buvidal</w:t>
      </w:r>
      <w:proofErr w:type="spellEnd"/>
      <w:r w:rsidR="004A5447" w:rsidRPr="00261996">
        <w:rPr>
          <w:b/>
          <w:bCs/>
          <w:vertAlign w:val="superscript"/>
        </w:rPr>
        <w:t>®</w:t>
      </w:r>
      <w:r w:rsidR="004A5447" w:rsidRPr="00261996">
        <w:rPr>
          <w:b/>
          <w:bCs/>
        </w:rPr>
        <w:t xml:space="preserve"> and </w:t>
      </w:r>
      <w:proofErr w:type="spellStart"/>
      <w:r w:rsidR="004A5447" w:rsidRPr="00261996">
        <w:rPr>
          <w:b/>
          <w:bCs/>
        </w:rPr>
        <w:t>Sublocade</w:t>
      </w:r>
      <w:proofErr w:type="spellEnd"/>
      <w:r w:rsidR="004A5447" w:rsidRPr="00261996">
        <w:rPr>
          <w:b/>
          <w:bCs/>
          <w:vertAlign w:val="superscript"/>
        </w:rPr>
        <w:t xml:space="preserve">® </w:t>
      </w:r>
      <w:r w:rsidRPr="00AC7ED6">
        <w:t xml:space="preserve">any medical practitioner may now prescribe </w:t>
      </w:r>
      <w:r w:rsidRPr="00AC7ED6">
        <w:rPr>
          <w:b/>
        </w:rPr>
        <w:t>Suboxone</w:t>
      </w:r>
      <w:r w:rsidRPr="00AC7ED6">
        <w:rPr>
          <w:b/>
          <w:vertAlign w:val="superscript"/>
        </w:rPr>
        <w:t>®</w:t>
      </w:r>
      <w:r w:rsidRPr="00AC7ED6">
        <w:t xml:space="preserve"> for up to </w:t>
      </w:r>
      <w:r w:rsidR="004A5447">
        <w:t>10</w:t>
      </w:r>
      <w:r w:rsidRPr="00AC7ED6">
        <w:t xml:space="preserve"> patients without undergoing the training or assessment to become an approved ORT prescriber. </w:t>
      </w:r>
    </w:p>
    <w:p w14:paraId="4E0C86A7" w14:textId="77777777" w:rsidR="00AC7ED6" w:rsidRPr="00AC7ED6" w:rsidRDefault="00AC7ED6" w:rsidP="00706188">
      <w:pPr>
        <w:pStyle w:val="Bullet1"/>
      </w:pPr>
      <w:r w:rsidRPr="00AC7ED6">
        <w:rPr>
          <w:b/>
        </w:rPr>
        <w:t>Note</w:t>
      </w:r>
      <w:r w:rsidRPr="00AC7ED6">
        <w:t xml:space="preserve">: The requirement to obtain a permit before prescribing a Schedule 8 poison for a drug-dependent person is still applicable. </w:t>
      </w:r>
    </w:p>
    <w:p w14:paraId="51968092" w14:textId="77777777" w:rsidR="00AC7ED6" w:rsidRPr="00AC7ED6" w:rsidRDefault="00AC7ED6" w:rsidP="00706188">
      <w:pPr>
        <w:pStyle w:val="Bodyafterbullets"/>
        <w:rPr>
          <w:bCs/>
          <w:lang w:eastAsia="en-AU"/>
        </w:rPr>
      </w:pPr>
      <w:r w:rsidRPr="00AC7ED6">
        <w:t xml:space="preserve">Medical practitioners </w:t>
      </w:r>
      <w:r w:rsidRPr="00AC7ED6">
        <w:rPr>
          <w:lang w:eastAsia="en-AU"/>
        </w:rPr>
        <w:t>who are not approved ORT prescribers are advised to seek advice from an approved prescriber (preferably in the same practice or through the Drug and Alcohol Clinical Advisory Service (DACAS) before prescribing to a patient. Brief guides, in document and video format, are available on the MPR website in the section relating to ‘</w:t>
      </w:r>
      <w:r w:rsidRPr="00AC7ED6">
        <w:rPr>
          <w:i/>
          <w:lang w:eastAsia="en-AU"/>
        </w:rPr>
        <w:t>Pharmacotherapy’</w:t>
      </w:r>
      <w:r w:rsidRPr="00AC7ED6">
        <w:rPr>
          <w:lang w:eastAsia="en-AU"/>
        </w:rPr>
        <w:t>.</w:t>
      </w:r>
    </w:p>
    <w:p w14:paraId="15CF3AF5" w14:textId="77777777" w:rsidR="00EE1E74" w:rsidRPr="00093AE1" w:rsidRDefault="00EE1E74" w:rsidP="00093AE1">
      <w:pPr>
        <w:pStyle w:val="Heading1"/>
      </w:pPr>
      <w:r w:rsidRPr="00093AE1">
        <w:t>For further information</w:t>
      </w:r>
    </w:p>
    <w:p w14:paraId="4A157B48" w14:textId="77777777" w:rsidR="00EE1E74" w:rsidRPr="001F5244" w:rsidRDefault="00EE1E74" w:rsidP="00093AE1">
      <w:pPr>
        <w:pStyle w:val="Heading2"/>
      </w:pPr>
      <w:r w:rsidRPr="001F5244">
        <w:t>Department of Health (DH)</w:t>
      </w:r>
    </w:p>
    <w:p w14:paraId="35274E6D" w14:textId="77777777" w:rsidR="00EE1E74" w:rsidRPr="00093AE1" w:rsidRDefault="00EE1E74" w:rsidP="00093AE1">
      <w:pPr>
        <w:pStyle w:val="Heading3"/>
      </w:pPr>
      <w:r w:rsidRPr="00093AE1">
        <w:t>Medicines and Poisons Regulation</w:t>
      </w:r>
    </w:p>
    <w:p w14:paraId="2BE3F11D" w14:textId="77777777" w:rsidR="00E309F6" w:rsidRDefault="00E309F6" w:rsidP="00E309F6">
      <w:pPr>
        <w:pStyle w:val="Bodynospace"/>
      </w:pPr>
      <w:r w:rsidRPr="00B724C2">
        <w:t>50 Lonsdale Street</w:t>
      </w:r>
    </w:p>
    <w:p w14:paraId="3A74BEC2" w14:textId="2EA5BAED" w:rsidR="00EE1E74" w:rsidRDefault="00E309F6" w:rsidP="00093AE1">
      <w:pPr>
        <w:pStyle w:val="Bodynospace"/>
      </w:pPr>
      <w:r w:rsidRPr="00B724C2">
        <w:t>Melbourne, 3000</w:t>
      </w:r>
    </w:p>
    <w:p w14:paraId="0AE05860" w14:textId="77777777" w:rsidR="00EE1E74" w:rsidRPr="006A4FEC" w:rsidRDefault="00EE1E74" w:rsidP="00093AE1">
      <w:pPr>
        <w:pStyle w:val="Bodynospace"/>
      </w:pPr>
      <w:r w:rsidRPr="006A4FEC">
        <w:t>Fax: 1300 360 830</w:t>
      </w:r>
    </w:p>
    <w:p w14:paraId="5BAB1DC9" w14:textId="77777777" w:rsidR="00EE1E74" w:rsidRPr="006A4FEC" w:rsidRDefault="00EE1E74" w:rsidP="00093AE1">
      <w:pPr>
        <w:pStyle w:val="Bodynospace"/>
      </w:pPr>
      <w:r w:rsidRPr="006A4FEC">
        <w:t>Email: dpcs@</w:t>
      </w:r>
      <w:r w:rsidR="00093AE1">
        <w:t>health</w:t>
      </w:r>
      <w:r w:rsidRPr="006A4FEC">
        <w:t>.vic.gov.au</w:t>
      </w:r>
    </w:p>
    <w:p w14:paraId="4EA289BA" w14:textId="305A7618" w:rsidR="00EE1E74" w:rsidRDefault="00EE1E74" w:rsidP="00093AE1">
      <w:pPr>
        <w:pStyle w:val="Bodynospace"/>
      </w:pPr>
      <w:r w:rsidRPr="006A4FEC">
        <w:t>Web: www.health.vic.gov.au/dpcs</w:t>
      </w:r>
    </w:p>
    <w:p w14:paraId="4C8A7904" w14:textId="77777777" w:rsidR="00AC7ED6" w:rsidRDefault="00AC7ED6" w:rsidP="00093AE1">
      <w:pPr>
        <w:pStyle w:val="Bodynospace"/>
      </w:pPr>
    </w:p>
    <w:p w14:paraId="1F162AA3" w14:textId="67D6D4D1" w:rsidR="005C5522" w:rsidRPr="006E7D29" w:rsidRDefault="00AC7ED6" w:rsidP="00DB75E2">
      <w:pPr>
        <w:pStyle w:val="Bullet1"/>
      </w:pPr>
      <w:bookmarkStart w:id="3" w:name="_Hlk31204748"/>
      <w:r w:rsidRPr="006E7D29">
        <w:t>For information and details, relating to current</w:t>
      </w:r>
      <w:r w:rsidR="00DF208B">
        <w:t>,</w:t>
      </w:r>
      <w:r w:rsidRPr="006E7D29">
        <w:t xml:space="preserve"> recent </w:t>
      </w:r>
      <w:r w:rsidR="00DF208B">
        <w:t xml:space="preserve">and pending </w:t>
      </w:r>
      <w:r w:rsidRPr="006E7D29">
        <w:t>Schedule 8 permits</w:t>
      </w:r>
      <w:r w:rsidR="00DF208B">
        <w:t xml:space="preserve">, please refer to the patient’s profile on </w:t>
      </w:r>
      <w:r w:rsidRPr="006E7D29">
        <w:t>the SafeScript database.</w:t>
      </w:r>
    </w:p>
    <w:p w14:paraId="076E8A31" w14:textId="77777777" w:rsidR="00C449E1" w:rsidRPr="00DF3149" w:rsidRDefault="00743FDC" w:rsidP="00C449E1">
      <w:pPr>
        <w:pStyle w:val="Bullet1"/>
        <w:rPr>
          <w:rFonts w:eastAsia="Times New Roman" w:cs="Calibri"/>
          <w:spacing w:val="-3"/>
        </w:rPr>
      </w:pPr>
      <w:r>
        <w:rPr>
          <w:rFonts w:eastAsia="Times New Roman" w:cs="Calibri"/>
          <w:spacing w:val="-3"/>
        </w:rPr>
        <w:t>For</w:t>
      </w:r>
      <w:r w:rsidR="00C449E1" w:rsidRPr="00DF3149">
        <w:rPr>
          <w:rFonts w:eastAsia="Times New Roman" w:cs="Calibri"/>
          <w:spacing w:val="-3"/>
        </w:rPr>
        <w:t xml:space="preserve"> quer</w:t>
      </w:r>
      <w:r>
        <w:rPr>
          <w:rFonts w:eastAsia="Times New Roman" w:cs="Calibri"/>
          <w:spacing w:val="-3"/>
        </w:rPr>
        <w:t>ies</w:t>
      </w:r>
      <w:r w:rsidR="00C449E1" w:rsidRPr="00DF3149">
        <w:rPr>
          <w:rFonts w:eastAsia="Times New Roman" w:cs="Calibri"/>
          <w:spacing w:val="-3"/>
        </w:rPr>
        <w:t xml:space="preserve"> relating to </w:t>
      </w:r>
      <w:r w:rsidR="00C449E1">
        <w:rPr>
          <w:rFonts w:cs="Calibri"/>
          <w:spacing w:val="-3"/>
        </w:rPr>
        <w:t>the Act or regulations</w:t>
      </w:r>
      <w:r>
        <w:rPr>
          <w:rFonts w:cs="Calibri"/>
          <w:spacing w:val="-3"/>
        </w:rPr>
        <w:t>,</w:t>
      </w:r>
      <w:r w:rsidR="00C449E1">
        <w:rPr>
          <w:rFonts w:cs="Calibri"/>
          <w:spacing w:val="-3"/>
        </w:rPr>
        <w:t xml:space="preserve"> </w:t>
      </w:r>
      <w:r w:rsidR="00C449E1" w:rsidRPr="00DF3149">
        <w:rPr>
          <w:rFonts w:eastAsia="Times New Roman" w:cs="Calibri"/>
          <w:spacing w:val="-3"/>
        </w:rPr>
        <w:t>please:</w:t>
      </w:r>
    </w:p>
    <w:p w14:paraId="36B82D21" w14:textId="77777777" w:rsidR="00C449E1" w:rsidRDefault="00743FDC" w:rsidP="00C449E1">
      <w:pPr>
        <w:pStyle w:val="Bullet2"/>
      </w:pPr>
      <w:r>
        <w:t>r</w:t>
      </w:r>
      <w:r w:rsidR="00C449E1" w:rsidRPr="00C449E1">
        <w:t xml:space="preserve">efer to the ‘Documents to print or download’ that are available on the MPR </w:t>
      </w:r>
      <w:r w:rsidR="00EB7778">
        <w:t xml:space="preserve">website </w:t>
      </w:r>
      <w:r w:rsidR="00C449E1">
        <w:t>(see below); or</w:t>
      </w:r>
    </w:p>
    <w:p w14:paraId="52A80EB9" w14:textId="5AECF427" w:rsidR="00C449E1" w:rsidRPr="00C449E1" w:rsidRDefault="00743FDC" w:rsidP="00C449E1">
      <w:pPr>
        <w:pStyle w:val="Bullet2"/>
      </w:pPr>
      <w:r>
        <w:t>i</w:t>
      </w:r>
      <w:r w:rsidR="00C449E1" w:rsidRPr="00C449E1">
        <w:t>f you are unable to address your query</w:t>
      </w:r>
      <w:r w:rsidR="00706188">
        <w:t xml:space="preserve"> by</w:t>
      </w:r>
      <w:r w:rsidR="00C449E1" w:rsidRPr="00C449E1">
        <w:t xml:space="preserve"> referring to those documents, forward your query via e-mail to </w:t>
      </w:r>
      <w:hyperlink r:id="rId20" w:history="1">
        <w:r w:rsidR="00C449E1" w:rsidRPr="00C449E1">
          <w:rPr>
            <w:rStyle w:val="Hyperlink"/>
            <w:rFonts w:eastAsia="Times New Roman" w:cs="Calibri"/>
            <w:spacing w:val="-3"/>
          </w:rPr>
          <w:t>dpcs@health.vic.gov.au</w:t>
        </w:r>
      </w:hyperlink>
    </w:p>
    <w:bookmarkEnd w:id="3"/>
    <w:p w14:paraId="1449B0D7" w14:textId="77777777" w:rsidR="00EE1E74" w:rsidRPr="00093AE1" w:rsidRDefault="00EE1E74" w:rsidP="00093AE1">
      <w:pPr>
        <w:pStyle w:val="Heading2"/>
      </w:pPr>
      <w:r w:rsidRPr="00093AE1">
        <w:t>Documents to print or download from the MPR website</w:t>
      </w:r>
    </w:p>
    <w:p w14:paraId="6A11F594" w14:textId="283D8DF0" w:rsidR="00EE1E74" w:rsidRPr="007A6685" w:rsidRDefault="00EE1E74" w:rsidP="00093AE1">
      <w:pPr>
        <w:pStyle w:val="Body"/>
      </w:pPr>
      <w:r w:rsidRPr="007A6685">
        <w:t xml:space="preserve">The </w:t>
      </w:r>
      <w:hyperlink r:id="rId21" w:history="1">
        <w:r w:rsidRPr="008463D5">
          <w:rPr>
            <w:rStyle w:val="Hyperlink"/>
          </w:rPr>
          <w:t>Medicines and poisons webpage</w:t>
        </w:r>
      </w:hyperlink>
      <w:r>
        <w:t xml:space="preserve"> &lt;</w:t>
      </w:r>
      <w:r w:rsidRPr="008463D5">
        <w:t>http://www.health.vic.gov.au/dpcs</w:t>
      </w:r>
      <w:r>
        <w:t xml:space="preserve">&gt; on the </w:t>
      </w:r>
      <w:proofErr w:type="spellStart"/>
      <w:r>
        <w:t>Health.</w:t>
      </w:r>
      <w:r w:rsidR="00E309F6">
        <w:t>V</w:t>
      </w:r>
      <w:r>
        <w:t>ic</w:t>
      </w:r>
      <w:proofErr w:type="spellEnd"/>
      <w:r>
        <w:t xml:space="preserve"> website</w:t>
      </w:r>
      <w:r w:rsidRPr="007A6685">
        <w:t xml:space="preserve"> </w:t>
      </w:r>
      <w:r>
        <w:t xml:space="preserve">in </w:t>
      </w:r>
      <w:r w:rsidRPr="007A6685">
        <w:t xml:space="preserve">the section for </w:t>
      </w:r>
      <w:r w:rsidR="0037306E">
        <w:t>‘</w:t>
      </w:r>
      <w:r w:rsidRPr="000C5922">
        <w:rPr>
          <w:iCs/>
        </w:rPr>
        <w:t>Documents to print or download</w:t>
      </w:r>
      <w:r w:rsidR="0037306E">
        <w:rPr>
          <w:iCs/>
        </w:rPr>
        <w:t>’</w:t>
      </w:r>
      <w:r>
        <w:rPr>
          <w:iCs/>
        </w:rPr>
        <w:t>,</w:t>
      </w:r>
      <w:r w:rsidRPr="007A6685">
        <w:t xml:space="preserve"> contains summaries of legislative requirements </w:t>
      </w:r>
      <w:r>
        <w:t xml:space="preserve">that </w:t>
      </w:r>
      <w:r w:rsidRPr="007A6685">
        <w:t>have been prepared in relation to issues that relate to multiple categories of health practitioner as well as to individual categories of health practitioner. These documents, which are intended to assist health practitioners to comply with key legislative requirements, include the following:</w:t>
      </w:r>
    </w:p>
    <w:p w14:paraId="4E0727ED" w14:textId="77777777" w:rsidR="00EE1E74" w:rsidRPr="00025C10" w:rsidRDefault="00EE1E74" w:rsidP="00093AE1">
      <w:pPr>
        <w:pStyle w:val="Bullet1"/>
      </w:pPr>
      <w:r w:rsidRPr="00025C10">
        <w:t>Issues relating to multiple categories of health practitioner, including:</w:t>
      </w:r>
    </w:p>
    <w:p w14:paraId="03937DED" w14:textId="77777777" w:rsidR="00EE1E74" w:rsidRPr="007A6685" w:rsidRDefault="00EE1E74" w:rsidP="00093AE1">
      <w:pPr>
        <w:pStyle w:val="Bullet2"/>
      </w:pPr>
      <w:r w:rsidRPr="007A6685">
        <w:t xml:space="preserve">Possession and storage </w:t>
      </w:r>
    </w:p>
    <w:p w14:paraId="4C52A3DF" w14:textId="77777777" w:rsidR="00EE1E74" w:rsidRPr="007A6685" w:rsidRDefault="00EE1E74" w:rsidP="00093AE1">
      <w:pPr>
        <w:pStyle w:val="Bullet2"/>
      </w:pPr>
      <w:r w:rsidRPr="007A6685">
        <w:t>Supply, administration and record</w:t>
      </w:r>
      <w:r w:rsidR="00CC0719">
        <w:t>ing</w:t>
      </w:r>
      <w:r w:rsidRPr="007A6685">
        <w:t xml:space="preserve"> </w:t>
      </w:r>
    </w:p>
    <w:p w14:paraId="19657363" w14:textId="77777777" w:rsidR="00EE1E74" w:rsidRPr="007A6685" w:rsidRDefault="00EE1E74" w:rsidP="00093AE1">
      <w:pPr>
        <w:pStyle w:val="Bullet2"/>
      </w:pPr>
      <w:r w:rsidRPr="007A6685">
        <w:t xml:space="preserve">Prescribing </w:t>
      </w:r>
    </w:p>
    <w:p w14:paraId="64085A7B" w14:textId="77777777" w:rsidR="00EE1E74" w:rsidRPr="007A6685" w:rsidRDefault="00EE1E74" w:rsidP="00093AE1">
      <w:pPr>
        <w:pStyle w:val="Bullet2"/>
      </w:pPr>
      <w:r>
        <w:lastRenderedPageBreak/>
        <w:t>Criteria for lawful</w:t>
      </w:r>
      <w:r w:rsidRPr="007A6685">
        <w:t xml:space="preserve"> prescriptions</w:t>
      </w:r>
    </w:p>
    <w:p w14:paraId="2F83FF65" w14:textId="77777777" w:rsidR="00EE1E74" w:rsidRDefault="00EE1E74" w:rsidP="00093AE1">
      <w:pPr>
        <w:pStyle w:val="Bullet2"/>
      </w:pPr>
      <w:r>
        <w:t>All reasonable steps and other key terms</w:t>
      </w:r>
    </w:p>
    <w:p w14:paraId="75E98FF1" w14:textId="77777777" w:rsidR="00EE1E74" w:rsidRPr="007A6685" w:rsidRDefault="00EE1E74" w:rsidP="00093AE1">
      <w:pPr>
        <w:pStyle w:val="Bullet2"/>
      </w:pPr>
      <w:r w:rsidRPr="007A6685">
        <w:t>Schedule 2 and 3 poisons</w:t>
      </w:r>
    </w:p>
    <w:p w14:paraId="1C4410FB" w14:textId="77777777" w:rsidR="00EE1E74" w:rsidRPr="00025C10" w:rsidRDefault="00EE1E74" w:rsidP="00093AE1">
      <w:pPr>
        <w:pStyle w:val="Bullet1"/>
      </w:pPr>
      <w:r w:rsidRPr="00025C10">
        <w:t xml:space="preserve">Summaries </w:t>
      </w:r>
      <w:r>
        <w:t>that are specific</w:t>
      </w:r>
      <w:r w:rsidRPr="00025C10">
        <w:t xml:space="preserve"> to individual categories of health practitioner:</w:t>
      </w:r>
    </w:p>
    <w:p w14:paraId="7A4C2D8B" w14:textId="77777777" w:rsidR="00EE1E74" w:rsidRDefault="00EE1E74" w:rsidP="00093AE1">
      <w:pPr>
        <w:pStyle w:val="Bullet2"/>
      </w:pPr>
      <w:r>
        <w:t>Medical practitioners</w:t>
      </w:r>
    </w:p>
    <w:p w14:paraId="577C2ED2" w14:textId="77777777" w:rsidR="00EE1E74" w:rsidRDefault="00EE1E74" w:rsidP="00093AE1">
      <w:pPr>
        <w:pStyle w:val="Bullet2"/>
      </w:pPr>
      <w:r>
        <w:t>Pharmacists</w:t>
      </w:r>
    </w:p>
    <w:p w14:paraId="521D1BE9" w14:textId="77777777" w:rsidR="00EE1E74" w:rsidRDefault="00EE1E74" w:rsidP="00093AE1">
      <w:pPr>
        <w:pStyle w:val="Bullet2"/>
      </w:pPr>
      <w:r>
        <w:t>Nurses and midwives</w:t>
      </w:r>
    </w:p>
    <w:p w14:paraId="41C48985" w14:textId="77777777" w:rsidR="00EE1E74" w:rsidRDefault="00EE1E74" w:rsidP="00093AE1">
      <w:pPr>
        <w:pStyle w:val="Bullet2"/>
      </w:pPr>
      <w:r>
        <w:t>Nurses and midwives with registration endorsement (e.g. nurse practitioners, authorised midwives, etc.)</w:t>
      </w:r>
    </w:p>
    <w:p w14:paraId="2BDC7EEC" w14:textId="77777777" w:rsidR="00EE1E74" w:rsidRDefault="00EE1E74" w:rsidP="00093AE1">
      <w:pPr>
        <w:pStyle w:val="Bullet2"/>
      </w:pPr>
      <w:r>
        <w:t>Dentists (and other dental practitioners)</w:t>
      </w:r>
    </w:p>
    <w:p w14:paraId="44FDE1C6" w14:textId="77777777" w:rsidR="00EE1E74" w:rsidRDefault="00EE1E74" w:rsidP="00093AE1">
      <w:pPr>
        <w:pStyle w:val="Bullet2"/>
      </w:pPr>
      <w:r>
        <w:t>Optometrists (and orthoptists)</w:t>
      </w:r>
    </w:p>
    <w:p w14:paraId="5ACB520E" w14:textId="77777777" w:rsidR="00EE1E74" w:rsidRDefault="00EE1E74" w:rsidP="00093AE1">
      <w:pPr>
        <w:pStyle w:val="Bullet2"/>
      </w:pPr>
      <w:r>
        <w:t>Podiatrists</w:t>
      </w:r>
    </w:p>
    <w:p w14:paraId="4517B6DB" w14:textId="77777777" w:rsidR="00EE1E74" w:rsidRDefault="00EE1E74" w:rsidP="00093AE1">
      <w:pPr>
        <w:pStyle w:val="Bullet2"/>
      </w:pPr>
      <w:r>
        <w:t>Veterinary practitioners</w:t>
      </w:r>
    </w:p>
    <w:p w14:paraId="39CECC3F" w14:textId="77777777" w:rsidR="00EE1E74" w:rsidRPr="00093AE1" w:rsidRDefault="00EE1E74" w:rsidP="00093AE1">
      <w:pPr>
        <w:pStyle w:val="Heading2"/>
      </w:pPr>
      <w:r w:rsidRPr="00093AE1">
        <w:t>Other possible sources of information</w:t>
      </w:r>
    </w:p>
    <w:p w14:paraId="4D7E5AD0" w14:textId="77777777" w:rsidR="00EE1E74" w:rsidRPr="007A6685" w:rsidRDefault="00EE1E74" w:rsidP="00093AE1">
      <w:pPr>
        <w:pStyle w:val="Heading3"/>
      </w:pPr>
      <w:r w:rsidRPr="007A6685">
        <w:t>Australian Health Practitioner Regulation Agency</w:t>
      </w:r>
      <w:r>
        <w:t xml:space="preserve"> (Ahpra)</w:t>
      </w:r>
    </w:p>
    <w:p w14:paraId="036EB3CF" w14:textId="77777777" w:rsidR="00EE1E74" w:rsidRDefault="00EE1E74" w:rsidP="00093AE1">
      <w:pPr>
        <w:pStyle w:val="Body"/>
        <w:rPr>
          <w:rStyle w:val="Hyperlink"/>
        </w:rPr>
      </w:pPr>
      <w:r w:rsidRPr="00456AFD">
        <w:t xml:space="preserve">Web: </w:t>
      </w:r>
      <w:hyperlink r:id="rId22" w:history="1">
        <w:r w:rsidRPr="002674FB">
          <w:rPr>
            <w:rStyle w:val="Hyperlink"/>
          </w:rPr>
          <w:t>www.ahpra.gov.au</w:t>
        </w:r>
      </w:hyperlink>
    </w:p>
    <w:p w14:paraId="48F4C24C" w14:textId="77777777" w:rsidR="00C449E1" w:rsidRDefault="00C449E1" w:rsidP="00C449E1">
      <w:pPr>
        <w:pStyle w:val="Heading3"/>
      </w:pPr>
      <w:r>
        <w:t>Drug and Alcohol Clinical Advisory Service (1800 812 804)</w:t>
      </w:r>
    </w:p>
    <w:p w14:paraId="70CEBCFE" w14:textId="77777777" w:rsidR="00C449E1" w:rsidRDefault="00C449E1" w:rsidP="00C449E1">
      <w:pPr>
        <w:pStyle w:val="Body"/>
      </w:pPr>
      <w:r>
        <w:t xml:space="preserve">Registered health practitioners (only) may phone the </w:t>
      </w:r>
      <w:r>
        <w:rPr>
          <w:b/>
        </w:rPr>
        <w:t>DACAS</w:t>
      </w:r>
      <w:r>
        <w:t xml:space="preserve"> at any time to seek </w:t>
      </w:r>
      <w:r>
        <w:rPr>
          <w:b/>
        </w:rPr>
        <w:t>clinical advice</w:t>
      </w:r>
      <w:r>
        <w:t xml:space="preserve"> from specialists or other practitioners, who have been specially trained to provide advice in relation to pain, addiction and mental health issues, and for assistance with developing safe treatment plans, gradual dose tapering and alternative treatment options.</w:t>
      </w:r>
    </w:p>
    <w:p w14:paraId="46353EE1" w14:textId="77777777" w:rsidR="00C449E1" w:rsidRDefault="00C449E1" w:rsidP="00C449E1">
      <w:pPr>
        <w:pStyle w:val="Heading3"/>
      </w:pPr>
      <w:r>
        <w:t>Direct Line (1800 888 236)</w:t>
      </w:r>
    </w:p>
    <w:p w14:paraId="03BA1914" w14:textId="77777777" w:rsidR="00C449E1" w:rsidRDefault="00C449E1" w:rsidP="00C449E1">
      <w:pPr>
        <w:pStyle w:val="Bullet1"/>
        <w:numPr>
          <w:ilvl w:val="0"/>
          <w:numId w:val="43"/>
        </w:numPr>
        <w:tabs>
          <w:tab w:val="left" w:pos="720"/>
        </w:tabs>
      </w:pPr>
      <w:r>
        <w:t xml:space="preserve">24-hour confidential </w:t>
      </w:r>
      <w:r>
        <w:rPr>
          <w:b/>
        </w:rPr>
        <w:t xml:space="preserve">drug and alcohol counselling </w:t>
      </w:r>
      <w:r>
        <w:t>service</w:t>
      </w:r>
      <w:r>
        <w:rPr>
          <w:b/>
        </w:rPr>
        <w:t xml:space="preserve"> </w:t>
      </w:r>
      <w:r>
        <w:t>for</w:t>
      </w:r>
      <w:r>
        <w:rPr>
          <w:b/>
        </w:rPr>
        <w:t xml:space="preserve"> </w:t>
      </w:r>
      <w:r>
        <w:t xml:space="preserve">patients </w:t>
      </w:r>
    </w:p>
    <w:p w14:paraId="3F4599E4" w14:textId="5C7AEB61" w:rsidR="00EE1E74" w:rsidRDefault="00C449E1" w:rsidP="00DB75E2">
      <w:pPr>
        <w:pStyle w:val="Bullet1"/>
        <w:numPr>
          <w:ilvl w:val="0"/>
          <w:numId w:val="43"/>
        </w:numPr>
        <w:tabs>
          <w:tab w:val="left" w:pos="720"/>
        </w:tabs>
      </w:pPr>
      <w:r>
        <w:t>24-hour advisory service about available</w:t>
      </w:r>
      <w:r>
        <w:rPr>
          <w:b/>
        </w:rPr>
        <w:t xml:space="preserve"> treatment facilities </w:t>
      </w:r>
      <w:r>
        <w:t>for patients, family or health practitioners</w:t>
      </w:r>
    </w:p>
    <w:p w14:paraId="6C2D958B" w14:textId="77777777" w:rsidR="00200176" w:rsidRPr="00200176" w:rsidRDefault="00200176" w:rsidP="00200176">
      <w:pPr>
        <w:pStyle w:val="Body"/>
      </w:pPr>
    </w:p>
    <w:tbl>
      <w:tblPr>
        <w:tblStyle w:val="TableGrid"/>
        <w:tblW w:w="0" w:type="auto"/>
        <w:tblCellMar>
          <w:bottom w:w="108" w:type="dxa"/>
        </w:tblCellMar>
        <w:tblLook w:val="0600" w:firstRow="0" w:lastRow="0" w:firstColumn="0" w:lastColumn="0" w:noHBand="1" w:noVBand="1"/>
      </w:tblPr>
      <w:tblGrid>
        <w:gridCol w:w="10194"/>
      </w:tblGrid>
      <w:tr w:rsidR="0055119B" w14:paraId="5EFAB4E6" w14:textId="77777777" w:rsidTr="00EC40D5">
        <w:tc>
          <w:tcPr>
            <w:tcW w:w="10194" w:type="dxa"/>
          </w:tcPr>
          <w:p w14:paraId="2BCEEDE8" w14:textId="5178B3D5" w:rsidR="00EE1E74" w:rsidRDefault="00E309F6" w:rsidP="00E33237">
            <w:pPr>
              <w:pStyle w:val="Imprint"/>
              <w:rPr>
                <w:rStyle w:val="Hyperlink"/>
              </w:rPr>
            </w:pPr>
            <w:bookmarkStart w:id="4" w:name="_Hlk37240926"/>
            <w:r w:rsidRPr="0055119B">
              <w:t xml:space="preserve">To receive this document in another format </w:t>
            </w:r>
            <w:hyperlink r:id="rId23" w:history="1">
              <w:r w:rsidRPr="00AB2137">
                <w:rPr>
                  <w:rStyle w:val="Hyperlink"/>
                  <w:color w:val="auto"/>
                </w:rPr>
                <w:t>email</w:t>
              </w:r>
              <w:r w:rsidRPr="00A938C0">
                <w:rPr>
                  <w:rStyle w:val="Hyperlink"/>
                </w:rPr>
                <w:t xml:space="preserve"> dpcs@health.vic.gov.au</w:t>
              </w:r>
            </w:hyperlink>
          </w:p>
          <w:p w14:paraId="3C89B339" w14:textId="77777777" w:rsidR="0055119B" w:rsidRPr="0055119B" w:rsidRDefault="0055119B" w:rsidP="00E33237">
            <w:pPr>
              <w:pStyle w:val="Imprint"/>
            </w:pPr>
            <w:r w:rsidRPr="0055119B">
              <w:t>Authorised and published by the Victorian Government, 1 Treasury Place, Melbourne.</w:t>
            </w:r>
          </w:p>
          <w:p w14:paraId="09AD78AA" w14:textId="3F2C4168" w:rsidR="0055119B" w:rsidRDefault="0055119B" w:rsidP="00E33237">
            <w:pPr>
              <w:pStyle w:val="Imprint"/>
            </w:pPr>
            <w:r w:rsidRPr="0055119B">
              <w:t xml:space="preserve">© State of Victoria, Australia, </w:t>
            </w:r>
            <w:r w:rsidR="001E2A36" w:rsidRPr="001E2A36">
              <w:t>Department of Health</w:t>
            </w:r>
            <w:r w:rsidRPr="0055119B">
              <w:t xml:space="preserve">, </w:t>
            </w:r>
            <w:r w:rsidR="004A5447">
              <w:t>June</w:t>
            </w:r>
            <w:r w:rsidRPr="00A805C3">
              <w:rPr>
                <w:color w:val="004C97"/>
              </w:rPr>
              <w:t xml:space="preserve"> </w:t>
            </w:r>
            <w:r w:rsidR="00EE1E74" w:rsidRPr="00A805C3">
              <w:rPr>
                <w:color w:val="auto"/>
              </w:rPr>
              <w:t>202</w:t>
            </w:r>
            <w:r w:rsidR="004A5447">
              <w:rPr>
                <w:color w:val="auto"/>
              </w:rPr>
              <w:t>5</w:t>
            </w:r>
            <w:r w:rsidRPr="00A805C3">
              <w:t>.</w:t>
            </w:r>
          </w:p>
        </w:tc>
      </w:tr>
      <w:bookmarkEnd w:id="4"/>
    </w:tbl>
    <w:p w14:paraId="52FABCA9" w14:textId="77777777" w:rsidR="00162CA9" w:rsidRDefault="00162CA9" w:rsidP="00162CA9">
      <w:pPr>
        <w:pStyle w:val="Body"/>
      </w:pPr>
    </w:p>
    <w:sectPr w:rsidR="00162CA9" w:rsidSect="00E62622">
      <w:footerReference w:type="default" r:id="rId24"/>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0E0C4D" w14:textId="77777777" w:rsidR="00894D43" w:rsidRDefault="00894D43">
      <w:r>
        <w:separator/>
      </w:r>
    </w:p>
  </w:endnote>
  <w:endnote w:type="continuationSeparator" w:id="0">
    <w:p w14:paraId="413050A9" w14:textId="77777777" w:rsidR="00894D43" w:rsidRDefault="00894D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PMincho">
    <w:charset w:val="80"/>
    <w:family w:val="roman"/>
    <w:pitch w:val="variable"/>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A5E4C4" w14:textId="77777777" w:rsidR="00E261B3" w:rsidRPr="00F65AA9" w:rsidRDefault="0072251A" w:rsidP="00F84FA0">
    <w:pPr>
      <w:pStyle w:val="Footer"/>
    </w:pPr>
    <w:r>
      <w:rPr>
        <w:noProof/>
        <w:lang w:eastAsia="en-AU"/>
      </w:rPr>
      <w:drawing>
        <wp:anchor distT="0" distB="0" distL="114300" distR="114300" simplePos="0" relativeHeight="251674112" behindDoc="1" locked="1" layoutInCell="1" allowOverlap="1" wp14:anchorId="776ED2D0" wp14:editId="719A6BDF">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68992" behindDoc="0" locked="0" layoutInCell="0" allowOverlap="1" wp14:anchorId="4C294305" wp14:editId="65FCFE24">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742A31C" w14:textId="77777777" w:rsidR="00E261B3" w:rsidRPr="00B21F90" w:rsidRDefault="00E261B3" w:rsidP="00B21F90">
                          <w:pPr>
                            <w:jc w:val="center"/>
                            <w:rPr>
                              <w:rFonts w:ascii="Arial Black" w:hAnsi="Arial Black"/>
                              <w:color w:val="000000"/>
                            </w:rPr>
                          </w:pPr>
                          <w:r w:rsidRPr="00B21F90">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C294305"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689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HdrQIAAEUFAAAOAAAAZHJzL2Uyb0RvYy54bWysVN1v0zAQf0fif7D8wBMsydJ0aVg6laLC&#10;pG6r1KE9O47TREp8nu2uKYj/nXM+ujF4Qrw45/td7vN3vrxqm5o8CW0qkCkNznxKhOSQV3KX0m/3&#10;qw8xJcYymbMapEjpURh6NX/75vKgEnEOJdS50ASdSJMcVEpLa1XieYaXomHmDJSQCBagG2bxqnde&#10;rtkBvTe1d+77U+8AOlcauDAGtZ97kM47/0UhuL0rCiMsqVOKudnu1N2ZudObX7Jkp5kqKz6kwf4h&#10;i4ZVEoOeXH1mlpG9rv5w1VRcg4HCnnFoPCiKiouuBqwm8F9Vsy2ZEl0t2ByjTm0y/88tv33aaFLl&#10;KY0okazBEd1srzfLGx760SQMp3EQ5H6cTWM/m53HM0FJLgzHDv5497gH+/ErM+USctHfkpk/uYji&#10;cBq8H2BR7Uo7gPEECTIAD1Vuy0EfzaKTflMzLhohx396kxWAFbqXBwfXMhft4KD/bHTVMH38zWqL&#10;DEBqDnZjVvegBo1/CrwWxRgTlT8dMw7KJNigrcIW2fYTtMjwUW9Q6QbeFrpxXxwlQRw5djzxSrSW&#10;cFReRFM/DBDiiIVBcBFHzo33/LfSxn4R0BAnpFRj1h2d2NPa2N50NHHBJKyquu64W0tySOk0jPzu&#10;hxOCzmuJMVwNfa5Osm3WDoVlkB+xLg39ThjFVxUGXzNjN0zjEmC+uNj2Do+iBgwCg0RJCfr73/TO&#10;HrmJKCUHXKqUmsc900ia+loia2fBZOK2sLugoF9qs1Er980ScF8DfDoU70Rna+tRLDQ0D7j3CxcN&#10;ISY5xkxpNopLizcE8N3gYrHoZNw3xexabhV3rl0bXUvv2wem1dB3ixO7hXHtWPKq/b1tP4DF3kJR&#10;dbNxje27OfQbd7Wb7vCuuMfg5b2zen795r8AAAD//wMAUEsDBBQABgAIAAAAIQBIDV6a3wAAAAsB&#10;AAAPAAAAZHJzL2Rvd25yZXYueG1sTI/NTsMwEITvSLyDtUjcqFMogYY4FQJxQUIVperZiTc/TbyO&#10;YrdN3p7NCW67M6vZb9LNaDtxxsE3jhQsFxEIpMKZhioF+5+Pu2cQPmgyunOECib0sMmur1KdGHeh&#10;bzzvQiU4hHyiFdQh9ImUvqjRar9wPRJ7pRusDrwOlTSDvnC47eR9FMXS6ob4Q617fKuxaHcnq2C1&#10;XeelPLb2+DV9TlPTlof3vFTq9mZ8fQERcAx/xzDjMzpkzJS7ExkvOgVcJLAaR6sYxOwv1xFP+aw9&#10;PjyBzFL5v0P2CwAA//8DAFBLAQItABQABgAIAAAAIQC2gziS/gAAAOEBAAATAAAAAAAAAAAAAAAA&#10;AAAAAABbQ29udGVudF9UeXBlc10ueG1sUEsBAi0AFAAGAAgAAAAhADj9If/WAAAAlAEAAAsAAAAA&#10;AAAAAAAAAAAALwEAAF9yZWxzLy5yZWxzUEsBAi0AFAAGAAgAAAAhAKCD4d2tAgAARQUAAA4AAAAA&#10;AAAAAAAAAAAALgIAAGRycy9lMm9Eb2MueG1sUEsBAi0AFAAGAAgAAAAhAEgNXprfAAAACwEAAA8A&#10;AAAAAAAAAAAAAAAABwUAAGRycy9kb3ducmV2LnhtbFBLBQYAAAAABAAEAPMAAAATBgAAAAA=&#10;" o:allowincell="f" filled="f" stroked="f" strokeweight=".5pt">
              <v:textbox inset=",0,,0">
                <w:txbxContent>
                  <w:p w14:paraId="3742A31C" w14:textId="77777777" w:rsidR="00E261B3" w:rsidRPr="00B21F90" w:rsidRDefault="00E261B3" w:rsidP="00B21F90">
                    <w:pPr>
                      <w:jc w:val="center"/>
                      <w:rPr>
                        <w:rFonts w:ascii="Arial Black" w:hAnsi="Arial Black"/>
                        <w:color w:val="000000"/>
                      </w:rPr>
                    </w:pPr>
                    <w:r w:rsidRPr="00B21F90">
                      <w:rPr>
                        <w:rFonts w:ascii="Arial Black" w:hAnsi="Arial Black"/>
                        <w:color w:val="000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F46FC7" w14:textId="77777777" w:rsidR="00E261B3" w:rsidRDefault="00E261B3">
    <w:pPr>
      <w:pStyle w:val="Footer"/>
    </w:pPr>
    <w:r>
      <w:rPr>
        <w:noProof/>
      </w:rPr>
      <mc:AlternateContent>
        <mc:Choice Requires="wps">
          <w:drawing>
            <wp:anchor distT="0" distB="0" distL="114300" distR="114300" simplePos="1" relativeHeight="251670016" behindDoc="0" locked="0" layoutInCell="0" allowOverlap="1" wp14:anchorId="35AE976D" wp14:editId="05F3FD1A">
              <wp:simplePos x="0" y="10189687"/>
              <wp:positionH relativeFrom="page">
                <wp:posOffset>0</wp:posOffset>
              </wp:positionH>
              <wp:positionV relativeFrom="page">
                <wp:posOffset>10189210</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73483DB" w14:textId="77777777" w:rsidR="00E261B3" w:rsidRPr="00B21F90" w:rsidRDefault="00E261B3" w:rsidP="00B21F90">
                          <w:pPr>
                            <w:jc w:val="center"/>
                            <w:rPr>
                              <w:rFonts w:ascii="Arial Black" w:hAnsi="Arial Black"/>
                              <w:color w:val="000000"/>
                            </w:rPr>
                          </w:pPr>
                          <w:r w:rsidRPr="00B21F90">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5AE976D"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700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pgUrgIAAE4FAAAOAAAAZHJzL2Uyb0RvYy54bWysVEtv2zAMvg/YfxB02Gmr7ebprE6RpchW&#10;IG0DpEPPiizHBmxRlZTG3bD/PkqW06LbadhFpvjRfHwkdXHZNjV5EtpUIDOanMWUCMkhr+Q+o9/v&#10;V5+mlBjLZM5qkCKjz8LQy/n7dxdHNRPnUEKdC03QiTSzo8poaa2aRZHhpWiYOQMlJIIF6IZZvOp9&#10;lGt2RO9NHZ3H8Tg6gs6VBi6MQe1VB9K5918Ugtu7ojDCkjqjmJv1p/bnzp3R/ILN9pqpsuIhDfYP&#10;WTSskhj05OqKWUYOuvrDVVNxDQYKe8ahiaAoKi58DVhNEr+pZlsyJXwtSI5RJ5rM/3PLb582mlR5&#10;RseUSNZgi26215vlzTCZFkO+E+mkiNN0NEwHcZpzNqEkF4Yjgz8/PB7Afv7GTLmEXHS3WRoPJ6Pp&#10;YJx8DLCo9qUN4HSIAxKAhyq3ZdCP0tFJv6kZF42Q/T+dyQrACt3JwcG1zEUbHASjShu7YfuQS7Db&#10;4gzgcAbLPq97UEETn0KvRdFHReUvNxtHZWZI0VYhSbb9Ai3OeK83qHQtbwvduC82kyCOU/Z8mizR&#10;WsJRORmN40GCEEdskCST6ci5iV7+Vpj7VwENcUJGNWbtB4o9rY3tTHsTF0zCqqprP721JEds32AU&#10;+x9OCDqvJcZwNXS5Osm2u9b3+1THDvJnLE9DtxxG8ZUjcs0cmRq3AdPGDbd3eBQ1YCwIEiUl6B9/&#10;0zt7HFJEKTnidmXUPB6YFpTU1xLHN02GQ7eO/oKCfq3d9Vp5aJaAi5vgG6K4F52trXux0NA84AOw&#10;cNEQYpJjzIzuenFp8YYAPiBcLBZexsVTzK7lVnHn2rHpmL1vH5hWgX6LjbuFfv/Y7E0XOtuuD4uD&#10;haLyLXL8dmwG2nFpfZPDA+Nehdd3b/XyDM5/AwAA//8DAFBLAwQUAAYACAAAACEASA1emt8AAAAL&#10;AQAADwAAAGRycy9kb3ducmV2LnhtbEyPzU7DMBCE70i8g7VI3KhTKIGGOBUCcUFCFaXq2Yk3P028&#10;jmK3Td6ezQluuzOr2W/SzWg7ccbBN44ULBcRCKTCmYYqBfufj7tnED5oMrpzhAom9LDJrq9SnRh3&#10;oW8870IlOIR8ohXUIfSJlL6o0Wq/cD0Se6UbrA68DpU0g75wuO3kfRTF0uqG+EOte3yrsWh3J6tg&#10;tV3npTy29vg1fU5T05aH97xU6vZmfH0BEXAMf8cw4zM6ZMyUuxMZLzoFXCSwGkerGMTsL9cRT/ms&#10;PT48gcxS+b9D9gsAAP//AwBQSwECLQAUAAYACAAAACEAtoM4kv4AAADhAQAAEwAAAAAAAAAAAAAA&#10;AAAAAAAAW0NvbnRlbnRfVHlwZXNdLnhtbFBLAQItABQABgAIAAAAIQA4/SH/1gAAAJQBAAALAAAA&#10;AAAAAAAAAAAAAC8BAABfcmVscy8ucmVsc1BLAQItABQABgAIAAAAIQBoQpgUrgIAAE4FAAAOAAAA&#10;AAAAAAAAAAAAAC4CAABkcnMvZTJvRG9jLnhtbFBLAQItABQABgAIAAAAIQBIDV6a3wAAAAsBAAAP&#10;AAAAAAAAAAAAAAAAAAgFAABkcnMvZG93bnJldi54bWxQSwUGAAAAAAQABADzAAAAFAYAAAAA&#10;" o:allowincell="f" filled="f" stroked="f" strokeweight=".5pt">
              <v:textbox inset=",0,,0">
                <w:txbxContent>
                  <w:p w14:paraId="273483DB" w14:textId="77777777" w:rsidR="00E261B3" w:rsidRPr="00B21F90" w:rsidRDefault="00E261B3" w:rsidP="00B21F90">
                    <w:pPr>
                      <w:jc w:val="center"/>
                      <w:rPr>
                        <w:rFonts w:ascii="Arial Black" w:hAnsi="Arial Black"/>
                        <w:color w:val="000000"/>
                      </w:rPr>
                    </w:pPr>
                    <w:r w:rsidRPr="00B21F90">
                      <w:rPr>
                        <w:rFonts w:ascii="Arial Black" w:hAnsi="Arial Black"/>
                        <w:color w:val="00000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5431DD" w14:textId="77777777" w:rsidR="00373890" w:rsidRPr="00F65AA9" w:rsidRDefault="00A80239" w:rsidP="00F84FA0">
    <w:pPr>
      <w:pStyle w:val="Footer"/>
    </w:pPr>
    <w:r>
      <w:fldChar w:fldCharType="begin"/>
    </w:r>
    <w:r>
      <w:instrText xml:space="preserve"> PAGE   \* MERGEFORMAT </w:instrText>
    </w:r>
    <w:r>
      <w:fldChar w:fldCharType="separate"/>
    </w:r>
    <w:r>
      <w:rPr>
        <w:noProof/>
      </w:rPr>
      <w:t>1</w:t>
    </w:r>
    <w:r>
      <w:rPr>
        <w:noProof/>
      </w:rPr>
      <w:fldChar w:fldCharType="end"/>
    </w:r>
    <w:r w:rsidR="00AD1982">
      <w:rPr>
        <w:noProof/>
      </w:rPr>
      <mc:AlternateContent>
        <mc:Choice Requires="wps">
          <w:drawing>
            <wp:anchor distT="0" distB="0" distL="114300" distR="114300" simplePos="0" relativeHeight="251676160" behindDoc="0" locked="0" layoutInCell="0" allowOverlap="1" wp14:anchorId="7C419360" wp14:editId="7ABFCE45">
              <wp:simplePos x="0" y="0"/>
              <wp:positionH relativeFrom="page">
                <wp:posOffset>0</wp:posOffset>
              </wp:positionH>
              <wp:positionV relativeFrom="page">
                <wp:posOffset>10189210</wp:posOffset>
              </wp:positionV>
              <wp:extent cx="7560310" cy="311785"/>
              <wp:effectExtent l="0" t="0" r="0" b="12065"/>
              <wp:wrapNone/>
              <wp:docPr id="3" name="MSIPCMb0c744cb9fecdab9d594b7cf"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7F0C3CE" w14:textId="77777777" w:rsidR="00AD1982" w:rsidRPr="00AD1982" w:rsidRDefault="00AD1982" w:rsidP="00AD1982">
                          <w:pPr>
                            <w:jc w:val="center"/>
                            <w:rPr>
                              <w:rFonts w:ascii="Arial Black" w:hAnsi="Arial Black"/>
                              <w:color w:val="000000"/>
                            </w:rPr>
                          </w:pPr>
                          <w:r w:rsidRPr="00AD1982">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C419360" id="_x0000_t202" coordsize="21600,21600" o:spt="202" path="m,l,21600r21600,l21600,xe">
              <v:stroke joinstyle="miter"/>
              <v:path gradientshapeok="t" o:connecttype="rect"/>
            </v:shapetype>
            <v:shape id="MSIPCMb0c744cb9fecdab9d594b7cf" o:spid="_x0000_s1028"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761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zN3sAIAAEwFAAAOAAAAZHJzL2Uyb0RvYy54bWysVEtv2zAMvg/YfxB02Gmr7STOa3WKLEO2&#10;AmkbIB16lmU5NmCLqqQ0zob991GynXbdTsMuNsWP4uMjqcurpq7Ik9CmBJnQ6CKkREgOWSn3Cf12&#10;v/4wpcRYJjNWgRQJPQlDrxZv31we1VwMoIAqE5qgE2nmR5XQwlo1DwLDC1EzcwFKSARz0DWzeNT7&#10;INPsiN7rKhiE4Tg4gs6UBi6MQe3nFqQL7z/PBbd3eW6EJVVCMTfrv9p/U/cNFpdsvtdMFSXv0mD/&#10;kEXNSolBz64+M8vIQZd/uKpLrsFAbi841AHkecmFrwGricJX1ewKpoSvBckx6kyT+X9u+e3TVpMy&#10;S+iQEslqbNHN7nq7uklDPhmNeDpDDjOWzrJ4NkonPKckE4Yjgz/ePR7AfvzKTLGCTLSn+SwcTeLp&#10;cBy972BR7gvbgdMRDkgHPJSZLTp9PIvP+m3FuKiF7O+0JmsAK3Qrdw6uZSaazkH72+qyZvr0m9UO&#10;JwBHs7MbdHfvQXWa8Bx4I/I+Jip/usk4KjNHgnYKKbLNJ2hwwnu9QaVreJPr2v2xlQRxnLHTea5E&#10;YwlH5SQeh8MIIY7YMIom09i5CZ5vK23sFwE1cUJCNWbtx4k9bYxtTXsTF0zCuqwqP7uVJMeEjodx&#10;6C+cEXReSYzhamhzdZJt0sZ3e9DXkUJ2wvI0tKthFF+XmMOGGbtlGncB08b9tnf4ySvAWNBJlBSg&#10;v/9N7+xxRBGl5Ii7lVDzeGBaUFJdSxzeWTQauWX0BxT0S23aa+WhXgGubYQviOJedLa26sVcQ/2A&#10;67900RBikmPMhKa9uLJ4QgCfDy6WSy/j2ilmN3KnuHPt2HTM3jcPTKuOfouNu4V++9j8VRda27YP&#10;y4OFvPQtcvy2bHa048r6JnfPi3sTXp691fMjuPgFAAD//wMAUEsDBBQABgAIAAAAIQBIDV6a3wAA&#10;AAsBAAAPAAAAZHJzL2Rvd25yZXYueG1sTI/NTsMwEITvSLyDtUjcqFMogYY4FQJxQUIVperZiTc/&#10;TbyOYrdN3p7NCW67M6vZb9LNaDtxxsE3jhQsFxEIpMKZhioF+5+Pu2cQPmgyunOECib0sMmur1Kd&#10;GHehbzzvQiU4hHyiFdQh9ImUvqjRar9wPRJ7pRusDrwOlTSDvnC47eR9FMXS6ob4Q617fKuxaHcn&#10;q2C1XeelPLb2+DV9TlPTlof3vFTq9mZ8fQERcAx/xzDjMzpkzJS7ExkvOgVcJLAaR6sYxOwv1xFP&#10;+aw9PjyBzFL5v0P2CwAA//8DAFBLAQItABQABgAIAAAAIQC2gziS/gAAAOEBAAATAAAAAAAAAAAA&#10;AAAAAAAAAABbQ29udGVudF9UeXBlc10ueG1sUEsBAi0AFAAGAAgAAAAhADj9If/WAAAAlAEAAAsA&#10;AAAAAAAAAAAAAAAALwEAAF9yZWxzLy5yZWxzUEsBAi0AFAAGAAgAAAAhAMjLM3ewAgAATAUAAA4A&#10;AAAAAAAAAAAAAAAALgIAAGRycy9lMm9Eb2MueG1sUEsBAi0AFAAGAAgAAAAhAEgNXprfAAAACwEA&#10;AA8AAAAAAAAAAAAAAAAACgUAAGRycy9kb3ducmV2LnhtbFBLBQYAAAAABAAEAPMAAAAWBgAAAAA=&#10;" o:allowincell="f" filled="f" stroked="f" strokeweight=".5pt">
              <v:textbox inset=",0,,0">
                <w:txbxContent>
                  <w:p w14:paraId="07F0C3CE" w14:textId="77777777" w:rsidR="00AD1982" w:rsidRPr="00AD1982" w:rsidRDefault="00AD1982" w:rsidP="00AD1982">
                    <w:pPr>
                      <w:jc w:val="center"/>
                      <w:rPr>
                        <w:rFonts w:ascii="Arial Black" w:hAnsi="Arial Black"/>
                        <w:color w:val="000000"/>
                      </w:rPr>
                    </w:pPr>
                    <w:r w:rsidRPr="00AD1982">
                      <w:rPr>
                        <w:rFonts w:ascii="Arial Black" w:hAnsi="Arial Black"/>
                        <w:color w:val="000000"/>
                      </w:rPr>
                      <w:t>OFFICIAL</w:t>
                    </w:r>
                  </w:p>
                </w:txbxContent>
              </v:textbox>
              <w10:wrap anchorx="page" anchory="page"/>
            </v:shape>
          </w:pict>
        </mc:Fallback>
      </mc:AlternateContent>
    </w:r>
    <w:r w:rsidR="00B07FF7">
      <w:rPr>
        <w:noProof/>
      </w:rPr>
      <mc:AlternateContent>
        <mc:Choice Requires="wps">
          <w:drawing>
            <wp:anchor distT="0" distB="0" distL="114300" distR="114300" simplePos="0" relativeHeight="251675136" behindDoc="0" locked="0" layoutInCell="0" allowOverlap="1" wp14:anchorId="2B592BC6" wp14:editId="16F10467">
              <wp:simplePos x="0" y="0"/>
              <wp:positionH relativeFrom="page">
                <wp:posOffset>0</wp:posOffset>
              </wp:positionH>
              <wp:positionV relativeFrom="page">
                <wp:posOffset>10189210</wp:posOffset>
              </wp:positionV>
              <wp:extent cx="7560310" cy="311785"/>
              <wp:effectExtent l="0" t="0" r="0" b="12065"/>
              <wp:wrapNone/>
              <wp:docPr id="7" name="MSIPCMf473436da8889006ed5648e0"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B1D2DC8" w14:textId="77777777" w:rsidR="00B07FF7" w:rsidRPr="00B07FF7" w:rsidRDefault="00B07FF7" w:rsidP="00B07FF7">
                          <w:pPr>
                            <w:jc w:val="center"/>
                            <w:rPr>
                              <w:rFonts w:ascii="Arial Black" w:hAnsi="Arial Black"/>
                              <w:color w:val="000000"/>
                            </w:rPr>
                          </w:pPr>
                          <w:r w:rsidRPr="00B07FF7">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2B592BC6" id="MSIPCMf473436da8889006ed5648e0" o:spid="_x0000_s1029"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751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chLsQIAAEwFAAAOAAAAZHJzL2Uyb0RvYy54bWysVE1v2zAMvQ/YfxB02Gmr7TofTlanyFJk&#10;LZC2AdKhZ0WWYwO2qEpK42zYfx8l22nX7TTsYlMk9Ug+krq4bOqKPAttSpApjc5CSoTkkJVyl9Jv&#10;D8tPCSXGMpmxCqRI6VEYejl7/+7ioKbiHAqoMqEJgkgzPaiUFtaqaRAYXoiamTNQQqIxB10zi0e9&#10;CzLNDoheV8F5GI6CA+hMaeDCGNRetUY68/h5Lri9z3MjLKlSirlZ/9X+u3XfYHbBpjvNVFHyLg32&#10;D1nUrJQY9AR1xSwje13+AVWXXIOB3J5xqAPI85ILXwNWE4VvqtkUTAlfC5Jj1Ikm8/9g+d3zWpMy&#10;S+mYEslqbNHt5ma9uM0H43gQjzKWJMkEiRbZcDRIBHKYCcORwR8fnvZgP18zUywgE+1pOgkH42ES&#10;j6KPnVmUu8J2xmSAA9IZHsvMFp1+OBme9OuKcVEL2d9pXZYAVuhW7gBuZCaaDqD9rXVZM338zWuD&#10;E4Cj2fnF3d0HUJ0mPAVeibyPicqfbjIOykyRoI1CimzzBRqc8F5vUOka3uS6dn9sJUE78nM8zZVo&#10;LOGoHA9HYRyhiaMtjqJxMnQwwcttpY39KqAmTkipxqz9OLHnlbGta+/igklYllXlZ7eS5JDSUTwM&#10;/YWTBcEriTFcDW2uTrLNtvHdjvs6tpAdsTwN7WoYxZcl5rBixq6Zxl3AtHG/7T1+8gowFnQSJQXo&#10;73/TO38cUbRScsDdSql52jMtKKluJA7vJBoMENb6Awr6tXbba+W+XgCubYQviOJedL626sVcQ/2I&#10;6z930dDEJMeYKd324sLiCQ34fHAxn3sZ104xu5IbxR20Y9Mx+9A8Mq06+i027g767WPTN11ofds+&#10;zPcW8tK3yPHbstnRjivrm9w9L+5NeH32Xi+P4OwXAAAA//8DAFBLAwQUAAYACAAAACEASA1emt8A&#10;AAALAQAADwAAAGRycy9kb3ducmV2LnhtbEyPzU7DMBCE70i8g7VI3KhTKIGGOBUCcUFCFaXq2Yk3&#10;P028jmK3Td6ezQluuzOr2W/SzWg7ccbBN44ULBcRCKTCmYYqBfufj7tnED5oMrpzhAom9LDJrq9S&#10;nRh3oW8870IlOIR8ohXUIfSJlL6o0Wq/cD0Se6UbrA68DpU0g75wuO3kfRTF0uqG+EOte3yrsWh3&#10;J6tgtV3npTy29vg1fU5T05aH97xU6vZmfH0BEXAMf8cw4zM6ZMyUuxMZLzoFXCSwGkerGMTsL9cR&#10;T/msPT48gcxS+b9D9gsAAP//AwBQSwECLQAUAAYACAAAACEAtoM4kv4AAADhAQAAEwAAAAAAAAAA&#10;AAAAAAAAAAAAW0NvbnRlbnRfVHlwZXNdLnhtbFBLAQItABQABgAIAAAAIQA4/SH/1gAAAJQBAAAL&#10;AAAAAAAAAAAAAAAAAC8BAABfcmVscy8ucmVsc1BLAQItABQABgAIAAAAIQD5pchLsQIAAEwFAAAO&#10;AAAAAAAAAAAAAAAAAC4CAABkcnMvZTJvRG9jLnhtbFBLAQItABQABgAIAAAAIQBIDV6a3wAAAAsB&#10;AAAPAAAAAAAAAAAAAAAAAAsFAABkcnMvZG93bnJldi54bWxQSwUGAAAAAAQABADzAAAAFwYAAAAA&#10;" o:allowincell="f" filled="f" stroked="f" strokeweight=".5pt">
              <v:textbox inset=",0,,0">
                <w:txbxContent>
                  <w:p w14:paraId="6B1D2DC8" w14:textId="77777777" w:rsidR="00B07FF7" w:rsidRPr="00B07FF7" w:rsidRDefault="00B07FF7" w:rsidP="00B07FF7">
                    <w:pPr>
                      <w:jc w:val="center"/>
                      <w:rPr>
                        <w:rFonts w:ascii="Arial Black" w:hAnsi="Arial Black"/>
                        <w:color w:val="000000"/>
                      </w:rPr>
                    </w:pPr>
                    <w:r w:rsidRPr="00B07FF7">
                      <w:rPr>
                        <w:rFonts w:ascii="Arial Black" w:hAnsi="Arial Black"/>
                        <w:color w:val="00000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7664AC" w14:textId="77777777" w:rsidR="00894D43" w:rsidRDefault="00894D43" w:rsidP="002862F1">
      <w:pPr>
        <w:spacing w:before="120"/>
      </w:pPr>
      <w:r>
        <w:separator/>
      </w:r>
    </w:p>
  </w:footnote>
  <w:footnote w:type="continuationSeparator" w:id="0">
    <w:p w14:paraId="309B2F74" w14:textId="77777777" w:rsidR="00894D43" w:rsidRDefault="00894D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BF1552" w14:textId="77777777" w:rsidR="002D4476" w:rsidRDefault="00A9105C">
    <w:pPr>
      <w:pStyle w:val="Header"/>
    </w:pPr>
    <w:r>
      <w:t>Schedule 8 treatment permits</w:t>
    </w:r>
    <w:r w:rsidR="000301D3">
      <w:t xml:space="preserve"> (requirements in Victoria)</w:t>
    </w:r>
  </w:p>
  <w:p w14:paraId="39A1B7F7" w14:textId="77777777" w:rsidR="00EC40D5" w:rsidRDefault="00EC40D5" w:rsidP="00EC40D5">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2"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03A50056"/>
    <w:multiLevelType w:val="multilevel"/>
    <w:tmpl w:val="4A1477D0"/>
    <w:numStyleLink w:val="ZZNumbersloweralpha"/>
  </w:abstractNum>
  <w:abstractNum w:abstractNumId="14" w15:restartNumberingAfterBreak="0">
    <w:nsid w:val="0B8D43DB"/>
    <w:multiLevelType w:val="multilevel"/>
    <w:tmpl w:val="1D06E7FE"/>
    <w:numStyleLink w:val="ZZNumbersdigit"/>
  </w:abstractNum>
  <w:abstractNum w:abstractNumId="15"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0F264D1A"/>
    <w:multiLevelType w:val="hybridMultilevel"/>
    <w:tmpl w:val="4A8C297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9"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0"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1"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033792B"/>
    <w:multiLevelType w:val="hybridMultilevel"/>
    <w:tmpl w:val="96CEE91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15:restartNumberingAfterBreak="0">
    <w:nsid w:val="52DF7313"/>
    <w:multiLevelType w:val="hybridMultilevel"/>
    <w:tmpl w:val="FD3CAA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8"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0"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917713104">
    <w:abstractNumId w:val="10"/>
  </w:num>
  <w:num w:numId="2" w16cid:durableId="1448624788">
    <w:abstractNumId w:val="20"/>
  </w:num>
  <w:num w:numId="3" w16cid:durableId="81175085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5825946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6374196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1633987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07157870">
    <w:abstractNumId w:val="26"/>
  </w:num>
  <w:num w:numId="8" w16cid:durableId="1560048847">
    <w:abstractNumId w:val="18"/>
  </w:num>
  <w:num w:numId="9" w16cid:durableId="93206923">
    <w:abstractNumId w:val="25"/>
  </w:num>
  <w:num w:numId="10" w16cid:durableId="6307912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65881560">
    <w:abstractNumId w:val="27"/>
  </w:num>
  <w:num w:numId="12" w16cid:durableId="6704347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13273096">
    <w:abstractNumId w:val="21"/>
  </w:num>
  <w:num w:numId="14" w16cid:durableId="12301346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0233709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6741266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461890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07870962">
    <w:abstractNumId w:val="29"/>
  </w:num>
  <w:num w:numId="19" w16cid:durableId="70491135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41827318">
    <w:abstractNumId w:val="15"/>
  </w:num>
  <w:num w:numId="21" w16cid:durableId="1401244847">
    <w:abstractNumId w:val="13"/>
  </w:num>
  <w:num w:numId="22" w16cid:durableId="16240735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45987423">
    <w:abstractNumId w:val="17"/>
  </w:num>
  <w:num w:numId="24" w16cid:durableId="900286787">
    <w:abstractNumId w:val="30"/>
  </w:num>
  <w:num w:numId="25" w16cid:durableId="1215460032">
    <w:abstractNumId w:val="28"/>
  </w:num>
  <w:num w:numId="26" w16cid:durableId="1112553083">
    <w:abstractNumId w:val="22"/>
  </w:num>
  <w:num w:numId="27" w16cid:durableId="943196152">
    <w:abstractNumId w:val="12"/>
  </w:num>
  <w:num w:numId="28" w16cid:durableId="1666468300">
    <w:abstractNumId w:val="31"/>
  </w:num>
  <w:num w:numId="29" w16cid:durableId="744105540">
    <w:abstractNumId w:val="9"/>
  </w:num>
  <w:num w:numId="30" w16cid:durableId="1072970194">
    <w:abstractNumId w:val="7"/>
  </w:num>
  <w:num w:numId="31" w16cid:durableId="634525563">
    <w:abstractNumId w:val="6"/>
  </w:num>
  <w:num w:numId="32" w16cid:durableId="2144736538">
    <w:abstractNumId w:val="5"/>
  </w:num>
  <w:num w:numId="33" w16cid:durableId="1936865588">
    <w:abstractNumId w:val="4"/>
  </w:num>
  <w:num w:numId="34" w16cid:durableId="2044937206">
    <w:abstractNumId w:val="8"/>
  </w:num>
  <w:num w:numId="35" w16cid:durableId="2069373979">
    <w:abstractNumId w:val="3"/>
  </w:num>
  <w:num w:numId="36" w16cid:durableId="1570117574">
    <w:abstractNumId w:val="2"/>
  </w:num>
  <w:num w:numId="37" w16cid:durableId="637345802">
    <w:abstractNumId w:val="1"/>
  </w:num>
  <w:num w:numId="38" w16cid:durableId="589388934">
    <w:abstractNumId w:val="0"/>
  </w:num>
  <w:num w:numId="39" w16cid:durableId="130180844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932738908">
    <w:abstractNumId w:val="11"/>
  </w:num>
  <w:num w:numId="41" w16cid:durableId="340936224">
    <w:abstractNumId w:val="26"/>
    <w:lvlOverride w:ilvl="0"/>
    <w:lvlOverride w:ilvl="1"/>
    <w:lvlOverride w:ilvl="2"/>
    <w:lvlOverride w:ilvl="3"/>
    <w:lvlOverride w:ilvl="4"/>
    <w:lvlOverride w:ilvl="5"/>
    <w:lvlOverride w:ilvl="6"/>
    <w:lvlOverride w:ilvl="7">
      <w:startOverride w:val="1"/>
    </w:lvlOverride>
    <w:lvlOverride w:ilvl="8">
      <w:startOverride w:val="1"/>
    </w:lvlOverride>
  </w:num>
  <w:num w:numId="42" w16cid:durableId="423034930">
    <w:abstractNumId w:val="23"/>
  </w:num>
  <w:num w:numId="43" w16cid:durableId="31078800">
    <w:abstractNumId w:val="2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643190863">
    <w:abstractNumId w:val="19"/>
  </w:num>
  <w:num w:numId="45" w16cid:durableId="14550354">
    <w:abstractNumId w:val="16"/>
  </w:num>
  <w:num w:numId="46" w16cid:durableId="245001864">
    <w:abstractNumId w:val="24"/>
  </w:num>
  <w:num w:numId="47" w16cid:durableId="1341201576">
    <w:abstractNumId w:val="26"/>
  </w:num>
  <w:num w:numId="48" w16cid:durableId="125777804">
    <w:abstractNumId w:val="26"/>
  </w:num>
  <w:num w:numId="49" w16cid:durableId="743726365">
    <w:abstractNumId w:val="26"/>
  </w:num>
  <w:num w:numId="50" w16cid:durableId="508104983">
    <w:abstractNumId w:val="2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16385"/>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11D"/>
    <w:rsid w:val="00000719"/>
    <w:rsid w:val="00003403"/>
    <w:rsid w:val="00005347"/>
    <w:rsid w:val="000072B6"/>
    <w:rsid w:val="0001021B"/>
    <w:rsid w:val="00011D89"/>
    <w:rsid w:val="000154FD"/>
    <w:rsid w:val="00016FBF"/>
    <w:rsid w:val="00022271"/>
    <w:rsid w:val="000235E8"/>
    <w:rsid w:val="00024D89"/>
    <w:rsid w:val="000250B6"/>
    <w:rsid w:val="000301D3"/>
    <w:rsid w:val="000325C7"/>
    <w:rsid w:val="00033D81"/>
    <w:rsid w:val="00037366"/>
    <w:rsid w:val="00041BF0"/>
    <w:rsid w:val="00042C8A"/>
    <w:rsid w:val="0004536B"/>
    <w:rsid w:val="00046B68"/>
    <w:rsid w:val="000527DD"/>
    <w:rsid w:val="000578B2"/>
    <w:rsid w:val="00060959"/>
    <w:rsid w:val="00060C8F"/>
    <w:rsid w:val="0006298A"/>
    <w:rsid w:val="000663CD"/>
    <w:rsid w:val="000733FE"/>
    <w:rsid w:val="00074219"/>
    <w:rsid w:val="00074ED5"/>
    <w:rsid w:val="000835C6"/>
    <w:rsid w:val="0008508E"/>
    <w:rsid w:val="000851BD"/>
    <w:rsid w:val="00087951"/>
    <w:rsid w:val="0009113B"/>
    <w:rsid w:val="00093402"/>
    <w:rsid w:val="00093AE1"/>
    <w:rsid w:val="00094DA3"/>
    <w:rsid w:val="00096CD1"/>
    <w:rsid w:val="000A012C"/>
    <w:rsid w:val="000A0EB9"/>
    <w:rsid w:val="000A186C"/>
    <w:rsid w:val="000A1EA4"/>
    <w:rsid w:val="000A2476"/>
    <w:rsid w:val="000A641A"/>
    <w:rsid w:val="000B3EDB"/>
    <w:rsid w:val="000B543D"/>
    <w:rsid w:val="000B55F9"/>
    <w:rsid w:val="000B5BF7"/>
    <w:rsid w:val="000B6BC8"/>
    <w:rsid w:val="000C0303"/>
    <w:rsid w:val="000C42EA"/>
    <w:rsid w:val="000C4546"/>
    <w:rsid w:val="000D1242"/>
    <w:rsid w:val="000E0970"/>
    <w:rsid w:val="000E1910"/>
    <w:rsid w:val="000E3CC7"/>
    <w:rsid w:val="000E6BD4"/>
    <w:rsid w:val="000E6D6D"/>
    <w:rsid w:val="000F1F1E"/>
    <w:rsid w:val="000F2259"/>
    <w:rsid w:val="000F2DDA"/>
    <w:rsid w:val="000F5213"/>
    <w:rsid w:val="00101001"/>
    <w:rsid w:val="00103276"/>
    <w:rsid w:val="0010392D"/>
    <w:rsid w:val="0010447F"/>
    <w:rsid w:val="00104FE3"/>
    <w:rsid w:val="0010714F"/>
    <w:rsid w:val="001120C5"/>
    <w:rsid w:val="0011701A"/>
    <w:rsid w:val="00120BD3"/>
    <w:rsid w:val="00122FEA"/>
    <w:rsid w:val="001232BD"/>
    <w:rsid w:val="00124E08"/>
    <w:rsid w:val="00124ED5"/>
    <w:rsid w:val="001276FA"/>
    <w:rsid w:val="0014255B"/>
    <w:rsid w:val="001447B3"/>
    <w:rsid w:val="00152073"/>
    <w:rsid w:val="00154E2D"/>
    <w:rsid w:val="00156598"/>
    <w:rsid w:val="00161939"/>
    <w:rsid w:val="00161AA0"/>
    <w:rsid w:val="00161D2E"/>
    <w:rsid w:val="00161F3E"/>
    <w:rsid w:val="00162093"/>
    <w:rsid w:val="00162CA9"/>
    <w:rsid w:val="00165459"/>
    <w:rsid w:val="00165A57"/>
    <w:rsid w:val="001712C2"/>
    <w:rsid w:val="00172BAF"/>
    <w:rsid w:val="001771DD"/>
    <w:rsid w:val="00177995"/>
    <w:rsid w:val="00177A8C"/>
    <w:rsid w:val="00186B33"/>
    <w:rsid w:val="00192F9D"/>
    <w:rsid w:val="00196EB8"/>
    <w:rsid w:val="00196EFB"/>
    <w:rsid w:val="001979FF"/>
    <w:rsid w:val="00197B17"/>
    <w:rsid w:val="001A1950"/>
    <w:rsid w:val="001A1C54"/>
    <w:rsid w:val="001A3ACE"/>
    <w:rsid w:val="001B058F"/>
    <w:rsid w:val="001B738B"/>
    <w:rsid w:val="001C09DB"/>
    <w:rsid w:val="001C277E"/>
    <w:rsid w:val="001C2A72"/>
    <w:rsid w:val="001C31B7"/>
    <w:rsid w:val="001C6A7E"/>
    <w:rsid w:val="001D0B75"/>
    <w:rsid w:val="001D39A5"/>
    <w:rsid w:val="001D3C09"/>
    <w:rsid w:val="001D3C9A"/>
    <w:rsid w:val="001D44E8"/>
    <w:rsid w:val="001D5D56"/>
    <w:rsid w:val="001D60EC"/>
    <w:rsid w:val="001D6F59"/>
    <w:rsid w:val="001E0C5D"/>
    <w:rsid w:val="001E2A36"/>
    <w:rsid w:val="001E44DF"/>
    <w:rsid w:val="001E5058"/>
    <w:rsid w:val="001E68A5"/>
    <w:rsid w:val="001E6BB0"/>
    <w:rsid w:val="001E7282"/>
    <w:rsid w:val="001F3826"/>
    <w:rsid w:val="001F6E46"/>
    <w:rsid w:val="001F7186"/>
    <w:rsid w:val="001F7C91"/>
    <w:rsid w:val="00200176"/>
    <w:rsid w:val="002033B7"/>
    <w:rsid w:val="00206463"/>
    <w:rsid w:val="00206F2F"/>
    <w:rsid w:val="0021053D"/>
    <w:rsid w:val="00210A92"/>
    <w:rsid w:val="0021154D"/>
    <w:rsid w:val="00216C03"/>
    <w:rsid w:val="00220C04"/>
    <w:rsid w:val="0022278D"/>
    <w:rsid w:val="0022701F"/>
    <w:rsid w:val="00227C68"/>
    <w:rsid w:val="002333F5"/>
    <w:rsid w:val="00233724"/>
    <w:rsid w:val="002365B4"/>
    <w:rsid w:val="002432E1"/>
    <w:rsid w:val="00246207"/>
    <w:rsid w:val="00246C5E"/>
    <w:rsid w:val="00250960"/>
    <w:rsid w:val="00251343"/>
    <w:rsid w:val="002536A4"/>
    <w:rsid w:val="00254F58"/>
    <w:rsid w:val="002620BC"/>
    <w:rsid w:val="00262802"/>
    <w:rsid w:val="00263A90"/>
    <w:rsid w:val="00263C1F"/>
    <w:rsid w:val="0026408B"/>
    <w:rsid w:val="00267C3E"/>
    <w:rsid w:val="002709BB"/>
    <w:rsid w:val="0027113F"/>
    <w:rsid w:val="00273BAC"/>
    <w:rsid w:val="002763B3"/>
    <w:rsid w:val="002802E3"/>
    <w:rsid w:val="0028213D"/>
    <w:rsid w:val="002862F1"/>
    <w:rsid w:val="00291373"/>
    <w:rsid w:val="0029597D"/>
    <w:rsid w:val="002962C3"/>
    <w:rsid w:val="0029752B"/>
    <w:rsid w:val="002A0A9C"/>
    <w:rsid w:val="002A483C"/>
    <w:rsid w:val="002B0C7C"/>
    <w:rsid w:val="002B1729"/>
    <w:rsid w:val="002B36C7"/>
    <w:rsid w:val="002B3DD9"/>
    <w:rsid w:val="002B4DD4"/>
    <w:rsid w:val="002B5277"/>
    <w:rsid w:val="002B5375"/>
    <w:rsid w:val="002B77C1"/>
    <w:rsid w:val="002C0ED7"/>
    <w:rsid w:val="002C2728"/>
    <w:rsid w:val="002C5EC3"/>
    <w:rsid w:val="002D1E0D"/>
    <w:rsid w:val="002D4476"/>
    <w:rsid w:val="002D5006"/>
    <w:rsid w:val="002E01D0"/>
    <w:rsid w:val="002E161D"/>
    <w:rsid w:val="002E3100"/>
    <w:rsid w:val="002E6C95"/>
    <w:rsid w:val="002E7C36"/>
    <w:rsid w:val="002F0107"/>
    <w:rsid w:val="002F3D32"/>
    <w:rsid w:val="002F3D6F"/>
    <w:rsid w:val="002F5F31"/>
    <w:rsid w:val="002F5F46"/>
    <w:rsid w:val="00302216"/>
    <w:rsid w:val="00303816"/>
    <w:rsid w:val="00303E53"/>
    <w:rsid w:val="00305CC1"/>
    <w:rsid w:val="00306E5F"/>
    <w:rsid w:val="00307E14"/>
    <w:rsid w:val="00314054"/>
    <w:rsid w:val="0031461D"/>
    <w:rsid w:val="00315BD8"/>
    <w:rsid w:val="00316F27"/>
    <w:rsid w:val="003214F1"/>
    <w:rsid w:val="00322E4B"/>
    <w:rsid w:val="00327870"/>
    <w:rsid w:val="0033259D"/>
    <w:rsid w:val="003333D2"/>
    <w:rsid w:val="003406C6"/>
    <w:rsid w:val="003418CC"/>
    <w:rsid w:val="003459BD"/>
    <w:rsid w:val="00350D38"/>
    <w:rsid w:val="00351B36"/>
    <w:rsid w:val="00357B4E"/>
    <w:rsid w:val="003716FD"/>
    <w:rsid w:val="0037204B"/>
    <w:rsid w:val="0037306E"/>
    <w:rsid w:val="00373890"/>
    <w:rsid w:val="003744CF"/>
    <w:rsid w:val="00374717"/>
    <w:rsid w:val="0037676C"/>
    <w:rsid w:val="00381043"/>
    <w:rsid w:val="00381618"/>
    <w:rsid w:val="003829E5"/>
    <w:rsid w:val="00386109"/>
    <w:rsid w:val="00386944"/>
    <w:rsid w:val="00387225"/>
    <w:rsid w:val="0039011D"/>
    <w:rsid w:val="003956CC"/>
    <w:rsid w:val="00395C9A"/>
    <w:rsid w:val="003A0853"/>
    <w:rsid w:val="003A6B67"/>
    <w:rsid w:val="003B13B6"/>
    <w:rsid w:val="003B15E6"/>
    <w:rsid w:val="003B408A"/>
    <w:rsid w:val="003B5733"/>
    <w:rsid w:val="003C08A2"/>
    <w:rsid w:val="003C2045"/>
    <w:rsid w:val="003C43A1"/>
    <w:rsid w:val="003C4FC0"/>
    <w:rsid w:val="003C55F4"/>
    <w:rsid w:val="003C7897"/>
    <w:rsid w:val="003C7A3F"/>
    <w:rsid w:val="003D2766"/>
    <w:rsid w:val="003D2A74"/>
    <w:rsid w:val="003D3E8F"/>
    <w:rsid w:val="003D6475"/>
    <w:rsid w:val="003D7A9A"/>
    <w:rsid w:val="003E375C"/>
    <w:rsid w:val="003E4086"/>
    <w:rsid w:val="003E639E"/>
    <w:rsid w:val="003E71E5"/>
    <w:rsid w:val="003F0445"/>
    <w:rsid w:val="003F0CF0"/>
    <w:rsid w:val="003F14B1"/>
    <w:rsid w:val="003F2B20"/>
    <w:rsid w:val="003F3289"/>
    <w:rsid w:val="003F5CB9"/>
    <w:rsid w:val="004013C7"/>
    <w:rsid w:val="00401FCF"/>
    <w:rsid w:val="0040248F"/>
    <w:rsid w:val="00406285"/>
    <w:rsid w:val="004112C6"/>
    <w:rsid w:val="004148F9"/>
    <w:rsid w:val="00414D4A"/>
    <w:rsid w:val="0042084E"/>
    <w:rsid w:val="00421EEF"/>
    <w:rsid w:val="00424D65"/>
    <w:rsid w:val="0043090E"/>
    <w:rsid w:val="00442C6C"/>
    <w:rsid w:val="00443CBE"/>
    <w:rsid w:val="00443E8A"/>
    <w:rsid w:val="004441BC"/>
    <w:rsid w:val="004468B4"/>
    <w:rsid w:val="0045230A"/>
    <w:rsid w:val="00454AD0"/>
    <w:rsid w:val="00457337"/>
    <w:rsid w:val="00462E3D"/>
    <w:rsid w:val="00466E79"/>
    <w:rsid w:val="00470D7D"/>
    <w:rsid w:val="0047372D"/>
    <w:rsid w:val="00473BA3"/>
    <w:rsid w:val="004743DD"/>
    <w:rsid w:val="00474CEA"/>
    <w:rsid w:val="00483968"/>
    <w:rsid w:val="00484F86"/>
    <w:rsid w:val="00490746"/>
    <w:rsid w:val="00490852"/>
    <w:rsid w:val="00491C9C"/>
    <w:rsid w:val="00492F30"/>
    <w:rsid w:val="00493A44"/>
    <w:rsid w:val="004946F4"/>
    <w:rsid w:val="0049487E"/>
    <w:rsid w:val="004A0D16"/>
    <w:rsid w:val="004A160D"/>
    <w:rsid w:val="004A3E81"/>
    <w:rsid w:val="004A4195"/>
    <w:rsid w:val="004A5447"/>
    <w:rsid w:val="004A5C62"/>
    <w:rsid w:val="004A5CE5"/>
    <w:rsid w:val="004A707D"/>
    <w:rsid w:val="004B2103"/>
    <w:rsid w:val="004C5541"/>
    <w:rsid w:val="004C6EEE"/>
    <w:rsid w:val="004C702B"/>
    <w:rsid w:val="004D0033"/>
    <w:rsid w:val="004D016B"/>
    <w:rsid w:val="004D1B22"/>
    <w:rsid w:val="004D23CC"/>
    <w:rsid w:val="004D36F2"/>
    <w:rsid w:val="004D5EC0"/>
    <w:rsid w:val="004E1106"/>
    <w:rsid w:val="004E138F"/>
    <w:rsid w:val="004E4649"/>
    <w:rsid w:val="004E5C2B"/>
    <w:rsid w:val="004F00DD"/>
    <w:rsid w:val="004F2133"/>
    <w:rsid w:val="004F4D39"/>
    <w:rsid w:val="004F5398"/>
    <w:rsid w:val="004F55F1"/>
    <w:rsid w:val="004F6936"/>
    <w:rsid w:val="004F7EFC"/>
    <w:rsid w:val="00503DC6"/>
    <w:rsid w:val="005048F7"/>
    <w:rsid w:val="00506F5D"/>
    <w:rsid w:val="00510C37"/>
    <w:rsid w:val="005126D0"/>
    <w:rsid w:val="0051568D"/>
    <w:rsid w:val="00526AC7"/>
    <w:rsid w:val="00526C15"/>
    <w:rsid w:val="00536395"/>
    <w:rsid w:val="00536499"/>
    <w:rsid w:val="00543903"/>
    <w:rsid w:val="00543F11"/>
    <w:rsid w:val="00546305"/>
    <w:rsid w:val="00547A95"/>
    <w:rsid w:val="0055119B"/>
    <w:rsid w:val="005548B5"/>
    <w:rsid w:val="00554C28"/>
    <w:rsid w:val="00554C50"/>
    <w:rsid w:val="00572031"/>
    <w:rsid w:val="00572282"/>
    <w:rsid w:val="00573CE3"/>
    <w:rsid w:val="00576E84"/>
    <w:rsid w:val="00580394"/>
    <w:rsid w:val="005809CD"/>
    <w:rsid w:val="00582B8C"/>
    <w:rsid w:val="0058757E"/>
    <w:rsid w:val="00596A4B"/>
    <w:rsid w:val="00597507"/>
    <w:rsid w:val="005A479D"/>
    <w:rsid w:val="005B1C6D"/>
    <w:rsid w:val="005B21B6"/>
    <w:rsid w:val="005B3A08"/>
    <w:rsid w:val="005B7A63"/>
    <w:rsid w:val="005C0955"/>
    <w:rsid w:val="005C49DA"/>
    <w:rsid w:val="005C50F3"/>
    <w:rsid w:val="005C54B5"/>
    <w:rsid w:val="005C5522"/>
    <w:rsid w:val="005C5D80"/>
    <w:rsid w:val="005C5D91"/>
    <w:rsid w:val="005D07B8"/>
    <w:rsid w:val="005D6597"/>
    <w:rsid w:val="005E14E7"/>
    <w:rsid w:val="005E26A3"/>
    <w:rsid w:val="005E2ECB"/>
    <w:rsid w:val="005E447E"/>
    <w:rsid w:val="005E4FD1"/>
    <w:rsid w:val="005F0775"/>
    <w:rsid w:val="005F0CF5"/>
    <w:rsid w:val="005F21EB"/>
    <w:rsid w:val="005F54D0"/>
    <w:rsid w:val="00604647"/>
    <w:rsid w:val="00605908"/>
    <w:rsid w:val="00610D7C"/>
    <w:rsid w:val="00613414"/>
    <w:rsid w:val="00620154"/>
    <w:rsid w:val="0062408D"/>
    <w:rsid w:val="006240CC"/>
    <w:rsid w:val="00624940"/>
    <w:rsid w:val="006254F8"/>
    <w:rsid w:val="00627DA7"/>
    <w:rsid w:val="00630DA4"/>
    <w:rsid w:val="00632597"/>
    <w:rsid w:val="006358B4"/>
    <w:rsid w:val="006419AA"/>
    <w:rsid w:val="00644B1F"/>
    <w:rsid w:val="00644B7E"/>
    <w:rsid w:val="006454E6"/>
    <w:rsid w:val="00646235"/>
    <w:rsid w:val="00646A68"/>
    <w:rsid w:val="006505BD"/>
    <w:rsid w:val="006508EA"/>
    <w:rsid w:val="0065092E"/>
    <w:rsid w:val="006557A7"/>
    <w:rsid w:val="00656290"/>
    <w:rsid w:val="006608D8"/>
    <w:rsid w:val="006621D7"/>
    <w:rsid w:val="0066302A"/>
    <w:rsid w:val="00667770"/>
    <w:rsid w:val="00670597"/>
    <w:rsid w:val="006706D0"/>
    <w:rsid w:val="00677574"/>
    <w:rsid w:val="00677E9B"/>
    <w:rsid w:val="0068454C"/>
    <w:rsid w:val="00691B62"/>
    <w:rsid w:val="006933B5"/>
    <w:rsid w:val="00693D14"/>
    <w:rsid w:val="00695359"/>
    <w:rsid w:val="00696F27"/>
    <w:rsid w:val="006A18C2"/>
    <w:rsid w:val="006A3383"/>
    <w:rsid w:val="006B077C"/>
    <w:rsid w:val="006B18D2"/>
    <w:rsid w:val="006B1C45"/>
    <w:rsid w:val="006B6803"/>
    <w:rsid w:val="006D0F16"/>
    <w:rsid w:val="006D2A3F"/>
    <w:rsid w:val="006D2FBC"/>
    <w:rsid w:val="006E0218"/>
    <w:rsid w:val="006E0541"/>
    <w:rsid w:val="006E138B"/>
    <w:rsid w:val="006F0330"/>
    <w:rsid w:val="006F1FDC"/>
    <w:rsid w:val="006F6B8C"/>
    <w:rsid w:val="007013EF"/>
    <w:rsid w:val="007055BD"/>
    <w:rsid w:val="00706188"/>
    <w:rsid w:val="007173CA"/>
    <w:rsid w:val="007216AA"/>
    <w:rsid w:val="00721AB5"/>
    <w:rsid w:val="00721CFB"/>
    <w:rsid w:val="00721DEF"/>
    <w:rsid w:val="0072251A"/>
    <w:rsid w:val="00724A43"/>
    <w:rsid w:val="007273AC"/>
    <w:rsid w:val="00731AD4"/>
    <w:rsid w:val="007346E4"/>
    <w:rsid w:val="00734FCA"/>
    <w:rsid w:val="0073582E"/>
    <w:rsid w:val="00740F22"/>
    <w:rsid w:val="00741CF0"/>
    <w:rsid w:val="00741F1A"/>
    <w:rsid w:val="00743FDC"/>
    <w:rsid w:val="007447DA"/>
    <w:rsid w:val="007450F8"/>
    <w:rsid w:val="0074696E"/>
    <w:rsid w:val="00750135"/>
    <w:rsid w:val="00750EC2"/>
    <w:rsid w:val="00752B28"/>
    <w:rsid w:val="007541A9"/>
    <w:rsid w:val="00754E36"/>
    <w:rsid w:val="00763139"/>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32E5"/>
    <w:rsid w:val="007B3DB9"/>
    <w:rsid w:val="007B5298"/>
    <w:rsid w:val="007B589F"/>
    <w:rsid w:val="007B6186"/>
    <w:rsid w:val="007B73BC"/>
    <w:rsid w:val="007C1838"/>
    <w:rsid w:val="007C20B9"/>
    <w:rsid w:val="007C23BC"/>
    <w:rsid w:val="007C7301"/>
    <w:rsid w:val="007C7859"/>
    <w:rsid w:val="007C7F28"/>
    <w:rsid w:val="007D1466"/>
    <w:rsid w:val="007D2BDE"/>
    <w:rsid w:val="007D2FB6"/>
    <w:rsid w:val="007D49EB"/>
    <w:rsid w:val="007D5D43"/>
    <w:rsid w:val="007D5E1C"/>
    <w:rsid w:val="007E0DE2"/>
    <w:rsid w:val="007E1227"/>
    <w:rsid w:val="007E3B98"/>
    <w:rsid w:val="007E417A"/>
    <w:rsid w:val="007F31B6"/>
    <w:rsid w:val="007F3F01"/>
    <w:rsid w:val="007F546C"/>
    <w:rsid w:val="007F625F"/>
    <w:rsid w:val="007F665E"/>
    <w:rsid w:val="00800412"/>
    <w:rsid w:val="0080587B"/>
    <w:rsid w:val="00806468"/>
    <w:rsid w:val="008119CA"/>
    <w:rsid w:val="008130C4"/>
    <w:rsid w:val="008155F0"/>
    <w:rsid w:val="00816735"/>
    <w:rsid w:val="00820141"/>
    <w:rsid w:val="00820E0C"/>
    <w:rsid w:val="008213F0"/>
    <w:rsid w:val="00823275"/>
    <w:rsid w:val="0082366F"/>
    <w:rsid w:val="008338A2"/>
    <w:rsid w:val="00835FAF"/>
    <w:rsid w:val="00841AA9"/>
    <w:rsid w:val="00843E8C"/>
    <w:rsid w:val="008474FE"/>
    <w:rsid w:val="00853EE4"/>
    <w:rsid w:val="00855535"/>
    <w:rsid w:val="00855920"/>
    <w:rsid w:val="00857C5A"/>
    <w:rsid w:val="0086255E"/>
    <w:rsid w:val="008633F0"/>
    <w:rsid w:val="00867D9D"/>
    <w:rsid w:val="00872E0A"/>
    <w:rsid w:val="00873594"/>
    <w:rsid w:val="00875285"/>
    <w:rsid w:val="00884B62"/>
    <w:rsid w:val="0088529C"/>
    <w:rsid w:val="00887903"/>
    <w:rsid w:val="008923FA"/>
    <w:rsid w:val="0089270A"/>
    <w:rsid w:val="00893AF6"/>
    <w:rsid w:val="00894BC4"/>
    <w:rsid w:val="00894D43"/>
    <w:rsid w:val="008A28A8"/>
    <w:rsid w:val="008A5B32"/>
    <w:rsid w:val="008B2EE4"/>
    <w:rsid w:val="008B4D3D"/>
    <w:rsid w:val="008B57C7"/>
    <w:rsid w:val="008B59FB"/>
    <w:rsid w:val="008C2F92"/>
    <w:rsid w:val="008C3697"/>
    <w:rsid w:val="008C5557"/>
    <w:rsid w:val="008C589D"/>
    <w:rsid w:val="008C6D51"/>
    <w:rsid w:val="008D2846"/>
    <w:rsid w:val="008D3056"/>
    <w:rsid w:val="008D4236"/>
    <w:rsid w:val="008D462F"/>
    <w:rsid w:val="008D6082"/>
    <w:rsid w:val="008D6DCF"/>
    <w:rsid w:val="008E3B1A"/>
    <w:rsid w:val="008E3DE9"/>
    <w:rsid w:val="008E4376"/>
    <w:rsid w:val="008E7A0A"/>
    <w:rsid w:val="008E7B49"/>
    <w:rsid w:val="008F10D2"/>
    <w:rsid w:val="008F531D"/>
    <w:rsid w:val="008F59F6"/>
    <w:rsid w:val="00900719"/>
    <w:rsid w:val="009017AC"/>
    <w:rsid w:val="00902A9A"/>
    <w:rsid w:val="00902EDC"/>
    <w:rsid w:val="00904A1C"/>
    <w:rsid w:val="00904AB4"/>
    <w:rsid w:val="00905030"/>
    <w:rsid w:val="00906490"/>
    <w:rsid w:val="009111B2"/>
    <w:rsid w:val="009151F5"/>
    <w:rsid w:val="009220CA"/>
    <w:rsid w:val="00924AE1"/>
    <w:rsid w:val="009269B1"/>
    <w:rsid w:val="0092724D"/>
    <w:rsid w:val="009272B3"/>
    <w:rsid w:val="009315BE"/>
    <w:rsid w:val="00931FDC"/>
    <w:rsid w:val="0093338F"/>
    <w:rsid w:val="00937BD9"/>
    <w:rsid w:val="00950E2C"/>
    <w:rsid w:val="00951D50"/>
    <w:rsid w:val="009525EB"/>
    <w:rsid w:val="0095470B"/>
    <w:rsid w:val="00954874"/>
    <w:rsid w:val="0095615A"/>
    <w:rsid w:val="00961400"/>
    <w:rsid w:val="00963646"/>
    <w:rsid w:val="0096632D"/>
    <w:rsid w:val="009718C7"/>
    <w:rsid w:val="0097559F"/>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A4586"/>
    <w:rsid w:val="009B0A6F"/>
    <w:rsid w:val="009B0A94"/>
    <w:rsid w:val="009B2AE8"/>
    <w:rsid w:val="009B59E9"/>
    <w:rsid w:val="009B70AA"/>
    <w:rsid w:val="009B7481"/>
    <w:rsid w:val="009C5E77"/>
    <w:rsid w:val="009C7A7E"/>
    <w:rsid w:val="009D02E8"/>
    <w:rsid w:val="009D51D0"/>
    <w:rsid w:val="009D70A4"/>
    <w:rsid w:val="009D7B14"/>
    <w:rsid w:val="009E08D1"/>
    <w:rsid w:val="009E1723"/>
    <w:rsid w:val="009E1B95"/>
    <w:rsid w:val="009E496F"/>
    <w:rsid w:val="009E4B0D"/>
    <w:rsid w:val="009E5250"/>
    <w:rsid w:val="009E7F92"/>
    <w:rsid w:val="009F02A3"/>
    <w:rsid w:val="009F2F27"/>
    <w:rsid w:val="009F34AA"/>
    <w:rsid w:val="009F6BCB"/>
    <w:rsid w:val="009F7B78"/>
    <w:rsid w:val="009F7C7C"/>
    <w:rsid w:val="00A0057A"/>
    <w:rsid w:val="00A02FA1"/>
    <w:rsid w:val="00A04CCE"/>
    <w:rsid w:val="00A07421"/>
    <w:rsid w:val="00A0776B"/>
    <w:rsid w:val="00A10FB9"/>
    <w:rsid w:val="00A11421"/>
    <w:rsid w:val="00A1389F"/>
    <w:rsid w:val="00A157B1"/>
    <w:rsid w:val="00A22229"/>
    <w:rsid w:val="00A24442"/>
    <w:rsid w:val="00A330BB"/>
    <w:rsid w:val="00A44882"/>
    <w:rsid w:val="00A45125"/>
    <w:rsid w:val="00A54715"/>
    <w:rsid w:val="00A6061C"/>
    <w:rsid w:val="00A62D44"/>
    <w:rsid w:val="00A6448B"/>
    <w:rsid w:val="00A67263"/>
    <w:rsid w:val="00A7161C"/>
    <w:rsid w:val="00A77AA3"/>
    <w:rsid w:val="00A80239"/>
    <w:rsid w:val="00A805C3"/>
    <w:rsid w:val="00A8236D"/>
    <w:rsid w:val="00A854EB"/>
    <w:rsid w:val="00A872E5"/>
    <w:rsid w:val="00A87691"/>
    <w:rsid w:val="00A9105C"/>
    <w:rsid w:val="00A91406"/>
    <w:rsid w:val="00A96E65"/>
    <w:rsid w:val="00A97C72"/>
    <w:rsid w:val="00AA2526"/>
    <w:rsid w:val="00AA268E"/>
    <w:rsid w:val="00AA310B"/>
    <w:rsid w:val="00AA63D4"/>
    <w:rsid w:val="00AB06E8"/>
    <w:rsid w:val="00AB1CD3"/>
    <w:rsid w:val="00AB352F"/>
    <w:rsid w:val="00AC274B"/>
    <w:rsid w:val="00AC4764"/>
    <w:rsid w:val="00AC6350"/>
    <w:rsid w:val="00AC6D36"/>
    <w:rsid w:val="00AC7ED6"/>
    <w:rsid w:val="00AD01DB"/>
    <w:rsid w:val="00AD0CBA"/>
    <w:rsid w:val="00AD177A"/>
    <w:rsid w:val="00AD1982"/>
    <w:rsid w:val="00AD2087"/>
    <w:rsid w:val="00AD26E2"/>
    <w:rsid w:val="00AD784C"/>
    <w:rsid w:val="00AE126A"/>
    <w:rsid w:val="00AE1BAE"/>
    <w:rsid w:val="00AE2AF1"/>
    <w:rsid w:val="00AE3005"/>
    <w:rsid w:val="00AE3BD5"/>
    <w:rsid w:val="00AE59A0"/>
    <w:rsid w:val="00AF0C57"/>
    <w:rsid w:val="00AF26F3"/>
    <w:rsid w:val="00AF5F04"/>
    <w:rsid w:val="00B00672"/>
    <w:rsid w:val="00B01B4D"/>
    <w:rsid w:val="00B06571"/>
    <w:rsid w:val="00B068BA"/>
    <w:rsid w:val="00B07FF7"/>
    <w:rsid w:val="00B1346E"/>
    <w:rsid w:val="00B13851"/>
    <w:rsid w:val="00B13B1C"/>
    <w:rsid w:val="00B14780"/>
    <w:rsid w:val="00B2176F"/>
    <w:rsid w:val="00B21F90"/>
    <w:rsid w:val="00B22291"/>
    <w:rsid w:val="00B23F9A"/>
    <w:rsid w:val="00B2417B"/>
    <w:rsid w:val="00B24E6F"/>
    <w:rsid w:val="00B26CB5"/>
    <w:rsid w:val="00B2752E"/>
    <w:rsid w:val="00B307CC"/>
    <w:rsid w:val="00B326B7"/>
    <w:rsid w:val="00B3588E"/>
    <w:rsid w:val="00B402ED"/>
    <w:rsid w:val="00B41F3D"/>
    <w:rsid w:val="00B431E8"/>
    <w:rsid w:val="00B45141"/>
    <w:rsid w:val="00B46DE7"/>
    <w:rsid w:val="00B519CD"/>
    <w:rsid w:val="00B5273A"/>
    <w:rsid w:val="00B57329"/>
    <w:rsid w:val="00B60E61"/>
    <w:rsid w:val="00B62B50"/>
    <w:rsid w:val="00B635B7"/>
    <w:rsid w:val="00B63AE8"/>
    <w:rsid w:val="00B65950"/>
    <w:rsid w:val="00B66D83"/>
    <w:rsid w:val="00B672C0"/>
    <w:rsid w:val="00B676FD"/>
    <w:rsid w:val="00B75646"/>
    <w:rsid w:val="00B83203"/>
    <w:rsid w:val="00B90729"/>
    <w:rsid w:val="00B907DA"/>
    <w:rsid w:val="00B94CD5"/>
    <w:rsid w:val="00B950BC"/>
    <w:rsid w:val="00B9714C"/>
    <w:rsid w:val="00BA29AD"/>
    <w:rsid w:val="00BA33CF"/>
    <w:rsid w:val="00BA3F8D"/>
    <w:rsid w:val="00BB7A10"/>
    <w:rsid w:val="00BC3E8F"/>
    <w:rsid w:val="00BC60BE"/>
    <w:rsid w:val="00BC7468"/>
    <w:rsid w:val="00BC7D4F"/>
    <w:rsid w:val="00BC7ED7"/>
    <w:rsid w:val="00BD20F8"/>
    <w:rsid w:val="00BD2850"/>
    <w:rsid w:val="00BE28D2"/>
    <w:rsid w:val="00BE3AB3"/>
    <w:rsid w:val="00BE4A64"/>
    <w:rsid w:val="00BE5E43"/>
    <w:rsid w:val="00BF30B2"/>
    <w:rsid w:val="00BF557D"/>
    <w:rsid w:val="00BF7394"/>
    <w:rsid w:val="00BF7F58"/>
    <w:rsid w:val="00C01381"/>
    <w:rsid w:val="00C01AB1"/>
    <w:rsid w:val="00C026A0"/>
    <w:rsid w:val="00C06137"/>
    <w:rsid w:val="00C079B8"/>
    <w:rsid w:val="00C10037"/>
    <w:rsid w:val="00C123EA"/>
    <w:rsid w:val="00C12A49"/>
    <w:rsid w:val="00C133EE"/>
    <w:rsid w:val="00C149D0"/>
    <w:rsid w:val="00C26588"/>
    <w:rsid w:val="00C27DE9"/>
    <w:rsid w:val="00C32989"/>
    <w:rsid w:val="00C33388"/>
    <w:rsid w:val="00C35484"/>
    <w:rsid w:val="00C3779C"/>
    <w:rsid w:val="00C4173A"/>
    <w:rsid w:val="00C4366F"/>
    <w:rsid w:val="00C449E1"/>
    <w:rsid w:val="00C50DED"/>
    <w:rsid w:val="00C602FF"/>
    <w:rsid w:val="00C61174"/>
    <w:rsid w:val="00C6148F"/>
    <w:rsid w:val="00C621B1"/>
    <w:rsid w:val="00C62F7A"/>
    <w:rsid w:val="00C63B9C"/>
    <w:rsid w:val="00C6682F"/>
    <w:rsid w:val="00C67BF4"/>
    <w:rsid w:val="00C7275E"/>
    <w:rsid w:val="00C74C5D"/>
    <w:rsid w:val="00C807B8"/>
    <w:rsid w:val="00C863C4"/>
    <w:rsid w:val="00C8746D"/>
    <w:rsid w:val="00C920EA"/>
    <w:rsid w:val="00C93C3E"/>
    <w:rsid w:val="00CA12E3"/>
    <w:rsid w:val="00CA1476"/>
    <w:rsid w:val="00CA6611"/>
    <w:rsid w:val="00CA6AE6"/>
    <w:rsid w:val="00CA782F"/>
    <w:rsid w:val="00CB187B"/>
    <w:rsid w:val="00CB2835"/>
    <w:rsid w:val="00CB3285"/>
    <w:rsid w:val="00CB4500"/>
    <w:rsid w:val="00CB7800"/>
    <w:rsid w:val="00CC0719"/>
    <w:rsid w:val="00CC0C72"/>
    <w:rsid w:val="00CC2BFD"/>
    <w:rsid w:val="00CC2DD9"/>
    <w:rsid w:val="00CC5B54"/>
    <w:rsid w:val="00CC7312"/>
    <w:rsid w:val="00CD10BD"/>
    <w:rsid w:val="00CD3476"/>
    <w:rsid w:val="00CD64DF"/>
    <w:rsid w:val="00CE225F"/>
    <w:rsid w:val="00CE6C6A"/>
    <w:rsid w:val="00CF2F50"/>
    <w:rsid w:val="00CF6198"/>
    <w:rsid w:val="00D02919"/>
    <w:rsid w:val="00D04C61"/>
    <w:rsid w:val="00D05B8D"/>
    <w:rsid w:val="00D065A2"/>
    <w:rsid w:val="00D079AA"/>
    <w:rsid w:val="00D07D40"/>
    <w:rsid w:val="00D07F00"/>
    <w:rsid w:val="00D1130F"/>
    <w:rsid w:val="00D17B72"/>
    <w:rsid w:val="00D3185C"/>
    <w:rsid w:val="00D3205F"/>
    <w:rsid w:val="00D3318E"/>
    <w:rsid w:val="00D33E72"/>
    <w:rsid w:val="00D35BD6"/>
    <w:rsid w:val="00D361B5"/>
    <w:rsid w:val="00D405AC"/>
    <w:rsid w:val="00D411A2"/>
    <w:rsid w:val="00D4606D"/>
    <w:rsid w:val="00D46C92"/>
    <w:rsid w:val="00D50B9C"/>
    <w:rsid w:val="00D52D73"/>
    <w:rsid w:val="00D52E58"/>
    <w:rsid w:val="00D56B20"/>
    <w:rsid w:val="00D56D6E"/>
    <w:rsid w:val="00D578B3"/>
    <w:rsid w:val="00D618F4"/>
    <w:rsid w:val="00D714CC"/>
    <w:rsid w:val="00D75EA7"/>
    <w:rsid w:val="00D777BB"/>
    <w:rsid w:val="00D81ADF"/>
    <w:rsid w:val="00D81F21"/>
    <w:rsid w:val="00D864F2"/>
    <w:rsid w:val="00D92F95"/>
    <w:rsid w:val="00D943F8"/>
    <w:rsid w:val="00D95470"/>
    <w:rsid w:val="00D96B55"/>
    <w:rsid w:val="00DA2619"/>
    <w:rsid w:val="00DA4239"/>
    <w:rsid w:val="00DA65DE"/>
    <w:rsid w:val="00DB0B61"/>
    <w:rsid w:val="00DB0F52"/>
    <w:rsid w:val="00DB1474"/>
    <w:rsid w:val="00DB2962"/>
    <w:rsid w:val="00DB4E1B"/>
    <w:rsid w:val="00DB52FB"/>
    <w:rsid w:val="00DB5797"/>
    <w:rsid w:val="00DB75E2"/>
    <w:rsid w:val="00DC013B"/>
    <w:rsid w:val="00DC090B"/>
    <w:rsid w:val="00DC1679"/>
    <w:rsid w:val="00DC219B"/>
    <w:rsid w:val="00DC2CF1"/>
    <w:rsid w:val="00DC4FCF"/>
    <w:rsid w:val="00DC50E0"/>
    <w:rsid w:val="00DC6386"/>
    <w:rsid w:val="00DD1130"/>
    <w:rsid w:val="00DD1951"/>
    <w:rsid w:val="00DD3AF8"/>
    <w:rsid w:val="00DD487D"/>
    <w:rsid w:val="00DD498D"/>
    <w:rsid w:val="00DD4E83"/>
    <w:rsid w:val="00DD6628"/>
    <w:rsid w:val="00DD6945"/>
    <w:rsid w:val="00DE2D04"/>
    <w:rsid w:val="00DE3250"/>
    <w:rsid w:val="00DE451A"/>
    <w:rsid w:val="00DE6028"/>
    <w:rsid w:val="00DE78A3"/>
    <w:rsid w:val="00DF1A71"/>
    <w:rsid w:val="00DF208B"/>
    <w:rsid w:val="00DF50FC"/>
    <w:rsid w:val="00DF68C7"/>
    <w:rsid w:val="00DF731A"/>
    <w:rsid w:val="00E06B75"/>
    <w:rsid w:val="00E11332"/>
    <w:rsid w:val="00E11352"/>
    <w:rsid w:val="00E170DC"/>
    <w:rsid w:val="00E17546"/>
    <w:rsid w:val="00E17701"/>
    <w:rsid w:val="00E210B5"/>
    <w:rsid w:val="00E261B3"/>
    <w:rsid w:val="00E26818"/>
    <w:rsid w:val="00E27FFC"/>
    <w:rsid w:val="00E309F6"/>
    <w:rsid w:val="00E30B15"/>
    <w:rsid w:val="00E33237"/>
    <w:rsid w:val="00E3447D"/>
    <w:rsid w:val="00E372C9"/>
    <w:rsid w:val="00E40181"/>
    <w:rsid w:val="00E501E5"/>
    <w:rsid w:val="00E54950"/>
    <w:rsid w:val="00E56A01"/>
    <w:rsid w:val="00E62622"/>
    <w:rsid w:val="00E629A1"/>
    <w:rsid w:val="00E64BD6"/>
    <w:rsid w:val="00E6794C"/>
    <w:rsid w:val="00E71591"/>
    <w:rsid w:val="00E71CEB"/>
    <w:rsid w:val="00E7474F"/>
    <w:rsid w:val="00E74E0B"/>
    <w:rsid w:val="00E80DE3"/>
    <w:rsid w:val="00E82C55"/>
    <w:rsid w:val="00E8787E"/>
    <w:rsid w:val="00E92AC3"/>
    <w:rsid w:val="00EA1360"/>
    <w:rsid w:val="00EA2F6A"/>
    <w:rsid w:val="00EA4F10"/>
    <w:rsid w:val="00EB00E0"/>
    <w:rsid w:val="00EB5763"/>
    <w:rsid w:val="00EB7778"/>
    <w:rsid w:val="00EC059F"/>
    <w:rsid w:val="00EC1F24"/>
    <w:rsid w:val="00EC22F6"/>
    <w:rsid w:val="00EC40D5"/>
    <w:rsid w:val="00ED3696"/>
    <w:rsid w:val="00ED36D4"/>
    <w:rsid w:val="00ED5B9B"/>
    <w:rsid w:val="00ED6BAD"/>
    <w:rsid w:val="00ED7447"/>
    <w:rsid w:val="00EE00D6"/>
    <w:rsid w:val="00EE11E7"/>
    <w:rsid w:val="00EE1488"/>
    <w:rsid w:val="00EE1E74"/>
    <w:rsid w:val="00EE29AD"/>
    <w:rsid w:val="00EE3E24"/>
    <w:rsid w:val="00EE4D5D"/>
    <w:rsid w:val="00EE5131"/>
    <w:rsid w:val="00EF109B"/>
    <w:rsid w:val="00EF201C"/>
    <w:rsid w:val="00EF36AF"/>
    <w:rsid w:val="00EF59A3"/>
    <w:rsid w:val="00EF6675"/>
    <w:rsid w:val="00F00F9C"/>
    <w:rsid w:val="00F01E5F"/>
    <w:rsid w:val="00F024F3"/>
    <w:rsid w:val="00F02ABA"/>
    <w:rsid w:val="00F0437A"/>
    <w:rsid w:val="00F101B8"/>
    <w:rsid w:val="00F11037"/>
    <w:rsid w:val="00F16F1B"/>
    <w:rsid w:val="00F24CB4"/>
    <w:rsid w:val="00F250A9"/>
    <w:rsid w:val="00F267AF"/>
    <w:rsid w:val="00F30FF4"/>
    <w:rsid w:val="00F3122E"/>
    <w:rsid w:val="00F32368"/>
    <w:rsid w:val="00F331AD"/>
    <w:rsid w:val="00F35287"/>
    <w:rsid w:val="00F40A70"/>
    <w:rsid w:val="00F43A37"/>
    <w:rsid w:val="00F451AB"/>
    <w:rsid w:val="00F4641B"/>
    <w:rsid w:val="00F46EB8"/>
    <w:rsid w:val="00F50CD1"/>
    <w:rsid w:val="00F511E4"/>
    <w:rsid w:val="00F52D09"/>
    <w:rsid w:val="00F52E08"/>
    <w:rsid w:val="00F53A66"/>
    <w:rsid w:val="00F53DDD"/>
    <w:rsid w:val="00F5462D"/>
    <w:rsid w:val="00F55B21"/>
    <w:rsid w:val="00F56EF6"/>
    <w:rsid w:val="00F60082"/>
    <w:rsid w:val="00F61A9F"/>
    <w:rsid w:val="00F61B5F"/>
    <w:rsid w:val="00F64696"/>
    <w:rsid w:val="00F65AA9"/>
    <w:rsid w:val="00F6768F"/>
    <w:rsid w:val="00F712D8"/>
    <w:rsid w:val="00F72C2C"/>
    <w:rsid w:val="00F76CAB"/>
    <w:rsid w:val="00F772C6"/>
    <w:rsid w:val="00F815B5"/>
    <w:rsid w:val="00F84FA0"/>
    <w:rsid w:val="00F85195"/>
    <w:rsid w:val="00F868E3"/>
    <w:rsid w:val="00F938BA"/>
    <w:rsid w:val="00F97919"/>
    <w:rsid w:val="00FA2C46"/>
    <w:rsid w:val="00FA3525"/>
    <w:rsid w:val="00FA5A53"/>
    <w:rsid w:val="00FB2551"/>
    <w:rsid w:val="00FB4769"/>
    <w:rsid w:val="00FB4CDA"/>
    <w:rsid w:val="00FB6481"/>
    <w:rsid w:val="00FB6D36"/>
    <w:rsid w:val="00FC0965"/>
    <w:rsid w:val="00FC0F81"/>
    <w:rsid w:val="00FC252F"/>
    <w:rsid w:val="00FC395C"/>
    <w:rsid w:val="00FC5E8E"/>
    <w:rsid w:val="00FD3766"/>
    <w:rsid w:val="00FD47C4"/>
    <w:rsid w:val="00FD722A"/>
    <w:rsid w:val="00FD7ED5"/>
    <w:rsid w:val="00FE2DCF"/>
    <w:rsid w:val="00FE3FA7"/>
    <w:rsid w:val="00FF2A4E"/>
    <w:rsid w:val="00FF2FCE"/>
    <w:rsid w:val="00FF4DE4"/>
    <w:rsid w:val="00FF4F7D"/>
    <w:rsid w:val="00FF54DF"/>
    <w:rsid w:val="00FF597D"/>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6B1EA3A7"/>
  <w15:docId w15:val="{086C32A1-F22A-40A0-AF23-C7E214ABA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1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AA2526"/>
    <w:rPr>
      <w:rFonts w:ascii="Cambria" w:hAnsi="Cambria"/>
      <w:lang w:eastAsia="en-US"/>
    </w:rPr>
  </w:style>
  <w:style w:type="paragraph" w:styleId="Heading1">
    <w:name w:val="heading 1"/>
    <w:next w:val="Body"/>
    <w:link w:val="Heading1Char"/>
    <w:uiPriority w:val="1"/>
    <w:qFormat/>
    <w:rsid w:val="00AD2087"/>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AD2087"/>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link w:val="HeaderChar"/>
    <w:uiPriority w:val="99"/>
    <w:rsid w:val="00855920"/>
    <w:pPr>
      <w:spacing w:after="300"/>
    </w:pPr>
    <w:rPr>
      <w:rFonts w:cs="Arial"/>
      <w:b/>
      <w:color w:val="53565A"/>
      <w:sz w:val="18"/>
      <w:szCs w:val="18"/>
    </w:rPr>
  </w:style>
  <w:style w:type="paragraph" w:styleId="Footer">
    <w:name w:val="footer"/>
    <w:link w:val="FooterChar"/>
    <w:uiPriority w:val="99"/>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AD2087"/>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2"/>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2"/>
      </w:numPr>
    </w:pPr>
  </w:style>
  <w:style w:type="paragraph" w:customStyle="1" w:styleId="Numberloweralphaindent">
    <w:name w:val="Number lower alpha indent"/>
    <w:basedOn w:val="Body"/>
    <w:uiPriority w:val="3"/>
    <w:rsid w:val="00721CFB"/>
    <w:pPr>
      <w:numPr>
        <w:ilvl w:val="1"/>
        <w:numId w:val="20"/>
      </w:numPr>
    </w:pPr>
  </w:style>
  <w:style w:type="paragraph" w:customStyle="1" w:styleId="Numberdigitindent">
    <w:name w:val="Number digit indent"/>
    <w:basedOn w:val="Numberloweralphaindent"/>
    <w:uiPriority w:val="3"/>
    <w:rsid w:val="00101001"/>
    <w:pPr>
      <w:numPr>
        <w:numId w:val="2"/>
      </w:numPr>
    </w:pPr>
  </w:style>
  <w:style w:type="paragraph" w:customStyle="1" w:styleId="Numberloweralpha">
    <w:name w:val="Number lower alpha"/>
    <w:basedOn w:val="Body"/>
    <w:uiPriority w:val="3"/>
    <w:rsid w:val="00721CFB"/>
    <w:pPr>
      <w:numPr>
        <w:numId w:val="20"/>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2"/>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AD2087"/>
    <w:pPr>
      <w:spacing w:line="320" w:lineRule="atLeast"/>
    </w:pPr>
    <w:rPr>
      <w:color w:val="201547"/>
      <w:sz w:val="24"/>
    </w:rPr>
  </w:style>
  <w:style w:type="paragraph" w:customStyle="1" w:styleId="DHHSbody">
    <w:name w:val="DHHS body"/>
    <w:qFormat/>
    <w:rsid w:val="00EE1E74"/>
    <w:pPr>
      <w:spacing w:after="120" w:line="270" w:lineRule="atLeast"/>
    </w:pPr>
    <w:rPr>
      <w:rFonts w:ascii="Arial" w:eastAsia="Times" w:hAnsi="Arial"/>
      <w:lang w:eastAsia="en-US"/>
    </w:rPr>
  </w:style>
  <w:style w:type="paragraph" w:customStyle="1" w:styleId="DHHSbullet1">
    <w:name w:val="DHHS bullet 1"/>
    <w:basedOn w:val="DHHSbody"/>
    <w:qFormat/>
    <w:rsid w:val="00EE1E74"/>
    <w:pPr>
      <w:spacing w:after="40"/>
      <w:ind w:left="284" w:hanging="284"/>
    </w:pPr>
  </w:style>
  <w:style w:type="paragraph" w:customStyle="1" w:styleId="DHHSbullet2">
    <w:name w:val="DHHS bullet 2"/>
    <w:basedOn w:val="DHHSbody"/>
    <w:uiPriority w:val="2"/>
    <w:qFormat/>
    <w:rsid w:val="00EE1E74"/>
    <w:pPr>
      <w:spacing w:after="40"/>
      <w:ind w:left="567" w:hanging="283"/>
    </w:pPr>
  </w:style>
  <w:style w:type="paragraph" w:customStyle="1" w:styleId="DHHStablebullet">
    <w:name w:val="DHHS table bullet"/>
    <w:basedOn w:val="Normal"/>
    <w:uiPriority w:val="3"/>
    <w:qFormat/>
    <w:rsid w:val="00EE1E74"/>
    <w:pPr>
      <w:spacing w:before="80" w:after="60"/>
      <w:ind w:left="227" w:hanging="227"/>
    </w:pPr>
  </w:style>
  <w:style w:type="paragraph" w:customStyle="1" w:styleId="DHHSbulletindent">
    <w:name w:val="DHHS bullet indent"/>
    <w:basedOn w:val="DHHSbody"/>
    <w:uiPriority w:val="4"/>
    <w:rsid w:val="00EE1E74"/>
    <w:pPr>
      <w:spacing w:after="40"/>
      <w:ind w:left="680" w:hanging="283"/>
    </w:pPr>
  </w:style>
  <w:style w:type="paragraph" w:customStyle="1" w:styleId="DHHSbullet1lastline">
    <w:name w:val="DHHS bullet 1 last line"/>
    <w:basedOn w:val="DHHSbullet1"/>
    <w:qFormat/>
    <w:rsid w:val="00EE1E74"/>
    <w:pPr>
      <w:spacing w:after="120"/>
    </w:pPr>
  </w:style>
  <w:style w:type="paragraph" w:customStyle="1" w:styleId="DHHSbullet2lastline">
    <w:name w:val="DHHS bullet 2 last line"/>
    <w:basedOn w:val="DHHSbullet2"/>
    <w:uiPriority w:val="2"/>
    <w:qFormat/>
    <w:rsid w:val="00EE1E74"/>
    <w:pPr>
      <w:spacing w:after="120"/>
    </w:pPr>
  </w:style>
  <w:style w:type="paragraph" w:customStyle="1" w:styleId="DHHSbulletindentlastline">
    <w:name w:val="DHHS bullet indent last line"/>
    <w:basedOn w:val="DHHSbody"/>
    <w:uiPriority w:val="4"/>
    <w:rsid w:val="00EE1E74"/>
    <w:pPr>
      <w:ind w:left="680" w:hanging="283"/>
    </w:pPr>
  </w:style>
  <w:style w:type="paragraph" w:customStyle="1" w:styleId="DHHSbodynospace">
    <w:name w:val="DHHS body no space"/>
    <w:basedOn w:val="DHHSbody"/>
    <w:uiPriority w:val="1"/>
    <w:rsid w:val="00EE1E74"/>
    <w:pPr>
      <w:spacing w:after="0"/>
    </w:pPr>
  </w:style>
  <w:style w:type="character" w:customStyle="1" w:styleId="HeaderChar">
    <w:name w:val="Header Char"/>
    <w:basedOn w:val="DefaultParagraphFont"/>
    <w:link w:val="Header"/>
    <w:uiPriority w:val="99"/>
    <w:rsid w:val="002D4476"/>
    <w:rPr>
      <w:rFonts w:ascii="Arial" w:hAnsi="Arial" w:cs="Arial"/>
      <w:b/>
      <w:color w:val="53565A"/>
      <w:sz w:val="18"/>
      <w:szCs w:val="18"/>
      <w:lang w:eastAsia="en-US"/>
    </w:rPr>
  </w:style>
  <w:style w:type="character" w:customStyle="1" w:styleId="FooterChar">
    <w:name w:val="Footer Char"/>
    <w:basedOn w:val="DefaultParagraphFont"/>
    <w:link w:val="Footer"/>
    <w:uiPriority w:val="99"/>
    <w:rsid w:val="00604647"/>
    <w:rPr>
      <w:rFonts w:ascii="Arial" w:hAnsi="Arial" w:cs="Arial"/>
      <w:szCs w:val="18"/>
      <w:lang w:eastAsia="en-US"/>
    </w:rPr>
  </w:style>
  <w:style w:type="numbering" w:customStyle="1" w:styleId="ZZBullets1">
    <w:name w:val="ZZ Bullets1"/>
    <w:rsid w:val="00AC7ED6"/>
  </w:style>
  <w:style w:type="paragraph" w:styleId="ListParagraph">
    <w:name w:val="List Paragraph"/>
    <w:basedOn w:val="Normal"/>
    <w:uiPriority w:val="34"/>
    <w:qFormat/>
    <w:rsid w:val="00C449E1"/>
    <w:pPr>
      <w:spacing w:after="200" w:line="280" w:lineRule="exact"/>
      <w:ind w:left="720"/>
      <w:contextualSpacing/>
    </w:pPr>
    <w:rPr>
      <w:rFonts w:ascii="Calibri" w:eastAsia="MS PMincho" w:hAnsi="Calibri"/>
      <w:sz w:val="22"/>
      <w:szCs w:val="22"/>
      <w:lang w:val="en-US"/>
    </w:rPr>
  </w:style>
  <w:style w:type="numbering" w:customStyle="1" w:styleId="ZZNumbers">
    <w:name w:val="ZZ Numbers"/>
    <w:rsid w:val="00AA2526"/>
    <w:pPr>
      <w:numPr>
        <w:numId w:val="44"/>
      </w:numPr>
    </w:pPr>
  </w:style>
  <w:style w:type="paragraph" w:customStyle="1" w:styleId="DHHSnumberdigit">
    <w:name w:val="DHHS number digit"/>
    <w:basedOn w:val="DHHSbody"/>
    <w:uiPriority w:val="2"/>
    <w:rsid w:val="00AA2526"/>
    <w:pPr>
      <w:numPr>
        <w:numId w:val="44"/>
      </w:numPr>
    </w:pPr>
  </w:style>
  <w:style w:type="paragraph" w:customStyle="1" w:styleId="DHHSnumberloweralphaindent">
    <w:name w:val="DHHS number lower alpha indent"/>
    <w:basedOn w:val="DHHSbody"/>
    <w:uiPriority w:val="3"/>
    <w:rsid w:val="00AA2526"/>
    <w:pPr>
      <w:numPr>
        <w:ilvl w:val="3"/>
        <w:numId w:val="44"/>
      </w:numPr>
    </w:pPr>
  </w:style>
  <w:style w:type="paragraph" w:customStyle="1" w:styleId="DHHSnumberdigitindent">
    <w:name w:val="DHHS number digit indent"/>
    <w:basedOn w:val="DHHSnumberloweralphaindent"/>
    <w:uiPriority w:val="3"/>
    <w:rsid w:val="00AA2526"/>
    <w:pPr>
      <w:numPr>
        <w:ilvl w:val="1"/>
      </w:numPr>
    </w:pPr>
  </w:style>
  <w:style w:type="paragraph" w:customStyle="1" w:styleId="DHHSnumberloweralpha">
    <w:name w:val="DHHS number lower alpha"/>
    <w:basedOn w:val="DHHSbody"/>
    <w:uiPriority w:val="3"/>
    <w:rsid w:val="00AA2526"/>
    <w:pPr>
      <w:numPr>
        <w:ilvl w:val="2"/>
        <w:numId w:val="44"/>
      </w:numPr>
    </w:pPr>
  </w:style>
  <w:style w:type="paragraph" w:customStyle="1" w:styleId="DHHSnumberlowerroman">
    <w:name w:val="DHHS number lower roman"/>
    <w:basedOn w:val="DHHSbody"/>
    <w:uiPriority w:val="3"/>
    <w:rsid w:val="00AA2526"/>
    <w:pPr>
      <w:numPr>
        <w:ilvl w:val="4"/>
        <w:numId w:val="44"/>
      </w:numPr>
    </w:pPr>
  </w:style>
  <w:style w:type="paragraph" w:customStyle="1" w:styleId="DHHSnumberlowerromanindent">
    <w:name w:val="DHHS number lower roman indent"/>
    <w:basedOn w:val="DHHSbody"/>
    <w:uiPriority w:val="3"/>
    <w:rsid w:val="00AA2526"/>
    <w:pPr>
      <w:numPr>
        <w:ilvl w:val="5"/>
        <w:numId w:val="4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safescript.vic.gov.au/"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health.vic.gov.au/dpcs"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2.health.vic.gov.au/public-health/drugs-and-poisons/safescript"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health.vic.gov.au/dpcs" TargetMode="External"/><Relationship Id="rId20" Type="http://schemas.openxmlformats.org/officeDocument/2006/relationships/hyperlink" Target="mailto:dpcs@health.vic.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www.legislation.vic.gov.au/" TargetMode="External"/><Relationship Id="rId23" Type="http://schemas.openxmlformats.org/officeDocument/2006/relationships/hyperlink" Target="mailto:email%20dpcs@health.vic.gov.au" TargetMode="External"/><Relationship Id="rId10" Type="http://schemas.openxmlformats.org/officeDocument/2006/relationships/endnotes" Target="endnotes.xml"/><Relationship Id="rId19" Type="http://schemas.openxmlformats.org/officeDocument/2006/relationships/hyperlink" Target="http://www.health.vic.gov.au/dpc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www.ahpra.gov.a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4137D97FC92A942A017049E9EB7B09D" ma:contentTypeVersion="12" ma:contentTypeDescription="Create a new document." ma:contentTypeScope="" ma:versionID="9618c6a6c2898a566d2565e7427cbb8c">
  <xsd:schema xmlns:xsd="http://www.w3.org/2001/XMLSchema" xmlns:xs="http://www.w3.org/2001/XMLSchema" xmlns:p="http://schemas.microsoft.com/office/2006/metadata/properties" xmlns:ns3="f9efe166-4f28-4f85-8235-ea2c89133434" xmlns:ns4="71bad440-a7e7-46c6-81bd-18ed54663c6a" targetNamespace="http://schemas.microsoft.com/office/2006/metadata/properties" ma:root="true" ma:fieldsID="49924251371fb218720dfabd226ca6a3" ns3:_="" ns4:_="">
    <xsd:import namespace="f9efe166-4f28-4f85-8235-ea2c89133434"/>
    <xsd:import namespace="71bad440-a7e7-46c6-81bd-18ed54663c6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efe166-4f28-4f85-8235-ea2c891334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bad440-a7e7-46c6-81bd-18ed54663c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551B9FA-684E-42CC-AC82-D82AD7DB3603}">
  <ds:schemaRefs>
    <ds:schemaRef ds:uri="http://schemas.openxmlformats.org/officeDocument/2006/bibliography"/>
  </ds:schemaRefs>
</ds:datastoreItem>
</file>

<file path=customXml/itemProps3.xml><?xml version="1.0" encoding="utf-8"?>
<ds:datastoreItem xmlns:ds="http://schemas.openxmlformats.org/officeDocument/2006/customXml" ds:itemID="{C0B39196-79CC-47DE-9FC2-C1E5F04FE0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efe166-4f28-4f85-8235-ea2c89133434"/>
    <ds:schemaRef ds:uri="71bad440-a7e7-46c6-81bd-18ed54663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CE1EBB-C189-4849-810F-0EC61D30BA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7</Pages>
  <Words>2489</Words>
  <Characters>14928</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Schedule 8 Treatment Permits - requirements in Victoria</vt:lpstr>
    </vt:vector>
  </TitlesOfParts>
  <Manager/>
  <Company>Victoria State Government, Department of Health</Company>
  <LinksUpToDate>false</LinksUpToDate>
  <CharactersWithSpaces>17383</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Schedule 8 Treatment Permits - requirements in Victoria</dc:title>
  <dc:subject/>
  <dc:creator>Regulation, Health Protection &amp; Emergency Management</dc:creator>
  <cp:keywords/>
  <dc:description/>
  <cp:lastModifiedBy>Max Boyarovsky (Health)</cp:lastModifiedBy>
  <cp:revision>5</cp:revision>
  <cp:lastPrinted>2020-03-30T03:28:00Z</cp:lastPrinted>
  <dcterms:created xsi:type="dcterms:W3CDTF">2025-05-28T03:34:00Z</dcterms:created>
  <dcterms:modified xsi:type="dcterms:W3CDTF">2025-06-25T06:09:00Z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0x010100B4137D97FC92A942A017049E9EB7B09D</vt:lpwstr>
  </property>
  <property fmtid="{D5CDD505-2E9C-101B-9397-08002B2CF9AE}" pid="4" name="version">
    <vt:lpwstr>v5 12032021</vt:lpwstr>
  </property>
  <property fmtid="{D5CDD505-2E9C-101B-9397-08002B2CF9AE}" pid="5" name="MSIP_Label_43e64453-338c-4f93-8a4d-0039a0a41f2a_Enabled">
    <vt:lpwstr>true</vt:lpwstr>
  </property>
  <property fmtid="{D5CDD505-2E9C-101B-9397-08002B2CF9AE}" pid="6" name="MSIP_Label_43e64453-338c-4f93-8a4d-0039a0a41f2a_SetDate">
    <vt:lpwstr>2023-07-14T03:53:24Z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d27b87b8-4aa7-417b-9ad2-8baa42c2e266</vt:lpwstr>
  </property>
  <property fmtid="{D5CDD505-2E9C-101B-9397-08002B2CF9AE}" pid="11" name="MSIP_Label_43e64453-338c-4f93-8a4d-0039a0a41f2a_ContentBits">
    <vt:lpwstr>2</vt:lpwstr>
  </property>
</Properties>
</file>