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4857"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2B89312" wp14:editId="2DEF1E0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0FA0CF1"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628F931" w14:textId="77777777" w:rsidTr="00B07FF7">
        <w:trPr>
          <w:trHeight w:val="622"/>
        </w:trPr>
        <w:tc>
          <w:tcPr>
            <w:tcW w:w="10348" w:type="dxa"/>
            <w:tcMar>
              <w:top w:w="1531" w:type="dxa"/>
              <w:left w:w="0" w:type="dxa"/>
              <w:right w:w="0" w:type="dxa"/>
            </w:tcMar>
          </w:tcPr>
          <w:p w14:paraId="23CF6380" w14:textId="77777777" w:rsidR="003B5733" w:rsidRPr="003B5733" w:rsidRDefault="00B0596F" w:rsidP="006A2DB3">
            <w:pPr>
              <w:pStyle w:val="Documenttitle"/>
            </w:pPr>
            <w:r>
              <w:t>Prescribing</w:t>
            </w:r>
          </w:p>
        </w:tc>
      </w:tr>
      <w:tr w:rsidR="003B5733" w14:paraId="32E35826" w14:textId="77777777" w:rsidTr="00B07FF7">
        <w:tc>
          <w:tcPr>
            <w:tcW w:w="10348" w:type="dxa"/>
          </w:tcPr>
          <w:p w14:paraId="4CECC8E2" w14:textId="77777777" w:rsidR="003B5733" w:rsidRPr="00A1389F" w:rsidRDefault="0039011D" w:rsidP="005F44C0">
            <w:pPr>
              <w:pStyle w:val="Documentsubtitle"/>
            </w:pPr>
            <w:r w:rsidRPr="0039011D">
              <w:t>Requirements for health practitioners</w:t>
            </w:r>
          </w:p>
        </w:tc>
      </w:tr>
      <w:tr w:rsidR="003B5733" w14:paraId="2563C978" w14:textId="77777777" w:rsidTr="00B07FF7">
        <w:tc>
          <w:tcPr>
            <w:tcW w:w="10348" w:type="dxa"/>
          </w:tcPr>
          <w:p w14:paraId="56B97FAC" w14:textId="77777777" w:rsidR="003B5733" w:rsidRPr="001E5058" w:rsidRDefault="0039011D" w:rsidP="001E5058">
            <w:pPr>
              <w:pStyle w:val="Bannermarking"/>
            </w:pPr>
            <w:fldSimple w:instr=" FILLIN  &quot;Type the protective marking&quot; \d OFFICIAL \o  \* MERGEFORMAT ">
              <w:r>
                <w:t>OFFICIAL</w:t>
              </w:r>
            </w:fldSimple>
          </w:p>
        </w:tc>
      </w:tr>
    </w:tbl>
    <w:p w14:paraId="0034CE39" w14:textId="77777777" w:rsidR="0039011D" w:rsidRDefault="0039011D" w:rsidP="00677E9B">
      <w:pPr>
        <w:pStyle w:val="Heading1"/>
      </w:pPr>
      <w:r w:rsidRPr="0039011D">
        <w:t>Introductory notes</w:t>
      </w:r>
    </w:p>
    <w:p w14:paraId="04D81B15"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w:t>
      </w:r>
      <w:r w:rsidR="002B7CE1">
        <w:t>, prescribing</w:t>
      </w:r>
      <w:r w:rsidR="00EA4F10">
        <w:t xml:space="preserv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719394D9" w14:textId="7FED177E"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A832C6" w:rsidRPr="008463D5">
          <w:rPr>
            <w:rStyle w:val="Hyperlink"/>
          </w:rPr>
          <w:t>Medicines and poisons webpage</w:t>
        </w:r>
      </w:hyperlink>
      <w:r w:rsidR="00A832C6">
        <w:t xml:space="preserve"> </w:t>
      </w:r>
      <w:hyperlink r:id="rId17" w:history="1">
        <w:r w:rsidR="00A832C6" w:rsidRPr="00A938C0">
          <w:rPr>
            <w:rStyle w:val="Hyperlink"/>
          </w:rPr>
          <w:t>http://www.health.vic.gov.au/dpcs</w:t>
        </w:r>
      </w:hyperlink>
      <w:r w:rsidR="003205FF">
        <w:t xml:space="preserve"> </w:t>
      </w:r>
      <w:r w:rsidR="005F54D0" w:rsidRPr="00677E9B">
        <w:t xml:space="preserve">on the </w:t>
      </w:r>
      <w:proofErr w:type="spellStart"/>
      <w:r w:rsidR="005F54D0" w:rsidRPr="00677E9B">
        <w:t>Health.</w:t>
      </w:r>
      <w:r w:rsidR="003205FF">
        <w:t>V</w:t>
      </w:r>
      <w:r w:rsidR="003205FF" w:rsidRPr="00677E9B">
        <w:t>ic</w:t>
      </w:r>
      <w:proofErr w:type="spellEnd"/>
      <w:r w:rsidR="003205FF" w:rsidRPr="00677E9B">
        <w:t xml:space="preserve"> </w:t>
      </w:r>
      <w:r w:rsidR="005F54D0" w:rsidRPr="00677E9B">
        <w:t>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45C23517" w14:textId="77777777" w:rsidR="0039011D" w:rsidRDefault="0039011D" w:rsidP="00677E9B">
      <w:pPr>
        <w:pStyle w:val="Heading1"/>
      </w:pPr>
      <w:r w:rsidRPr="0039011D">
        <w:t>Clarifying the meaning of key terms</w:t>
      </w:r>
    </w:p>
    <w:p w14:paraId="467B8866"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0C2C911E"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24C7DA22" w14:textId="77777777" w:rsidR="00EE1E74" w:rsidRDefault="00EE1E74" w:rsidP="00677E9B">
      <w:pPr>
        <w:pStyle w:val="Bullet1"/>
      </w:pPr>
      <w:r>
        <w:t>‘</w:t>
      </w:r>
      <w:r>
        <w:rPr>
          <w:b/>
        </w:rPr>
        <w:t>Supply</w:t>
      </w:r>
      <w:r>
        <w:t>’ means to provide a medicine that is to be used or administered at a later time.</w:t>
      </w:r>
    </w:p>
    <w:p w14:paraId="2208009A"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280BDAE7"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69D9AA47"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bookmarkEnd w:id="0"/>
    <w:p w14:paraId="5E66683E" w14:textId="77777777" w:rsidR="00AC5B85" w:rsidRDefault="00AC5B85" w:rsidP="00AC5B85">
      <w:pPr>
        <w:pStyle w:val="Heading1"/>
      </w:pPr>
      <w:r>
        <w:lastRenderedPageBreak/>
        <w:t>All reasonable steps</w:t>
      </w:r>
    </w:p>
    <w:p w14:paraId="19B9F56E" w14:textId="77777777" w:rsidR="00AC5B85" w:rsidRDefault="00AC5B85" w:rsidP="00AC5B85">
      <w:pPr>
        <w:pStyle w:val="Body"/>
      </w:pPr>
      <w:r>
        <w:t xml:space="preserve">The regulations state that health practitioners </w:t>
      </w:r>
      <w:r w:rsidRPr="00AC5B85">
        <w:rPr>
          <w:b/>
        </w:rPr>
        <w:t>must not</w:t>
      </w:r>
      <w:r>
        <w:t xml:space="preserve"> prescribe (or otherwise authorise treatment) unless they have taken ‘all reasonable steps’ (e.g. regulations 17(c) and 17(e) for medical practitioners; regulation 51 for pharmacists).</w:t>
      </w:r>
    </w:p>
    <w:p w14:paraId="0E094DD0" w14:textId="77777777" w:rsidR="00BA3279" w:rsidRDefault="00BA3279" w:rsidP="00BA3279">
      <w:pPr>
        <w:pStyle w:val="Body"/>
        <w:rPr>
          <w:lang w:eastAsia="en-AU"/>
        </w:rPr>
      </w:pPr>
      <w:r>
        <w:rPr>
          <w:lang w:eastAsia="en-AU"/>
        </w:rPr>
        <w:t xml:space="preserve">Whilst this is a subjective requirement, the regulation is written in such a way that it is the prescriber who must be able to demonstrate that all reasonable steps had been taken. Complying with this requirement is unlikely to be achieved if a health practitioner prescribes or supplies a scheduled medicine merely because a patient (or another health practitioner) requests that they do so. </w:t>
      </w:r>
    </w:p>
    <w:p w14:paraId="15FAD7AB" w14:textId="77777777" w:rsidR="00BA3279" w:rsidRDefault="00BA3279" w:rsidP="00AC5B85">
      <w:pPr>
        <w:pStyle w:val="Body"/>
        <w:rPr>
          <w:lang w:eastAsia="en-AU"/>
        </w:rPr>
      </w:pPr>
      <w:r>
        <w:rPr>
          <w:lang w:eastAsia="en-AU"/>
        </w:rPr>
        <w:t xml:space="preserve">Health practitioners are </w:t>
      </w:r>
      <w:r w:rsidRPr="00CC0719">
        <w:rPr>
          <w:b/>
          <w:lang w:eastAsia="en-AU"/>
        </w:rPr>
        <w:t>strongly advised</w:t>
      </w:r>
      <w:r>
        <w:rPr>
          <w:lang w:eastAsia="en-AU"/>
        </w:rPr>
        <w:t xml:space="preserve"> to read the document ‘</w:t>
      </w:r>
      <w:r w:rsidRPr="00221156">
        <w:rPr>
          <w:i/>
          <w:lang w:eastAsia="en-AU"/>
        </w:rPr>
        <w:t xml:space="preserve">All reasonable steps </w:t>
      </w:r>
      <w:r>
        <w:rPr>
          <w:i/>
          <w:lang w:eastAsia="en-AU"/>
        </w:rPr>
        <w:t>plus other key</w:t>
      </w:r>
      <w:r w:rsidRPr="00221156">
        <w:rPr>
          <w:i/>
          <w:lang w:eastAsia="en-AU"/>
        </w:rPr>
        <w:t xml:space="preserve"> terms</w:t>
      </w:r>
      <w:r>
        <w:rPr>
          <w:lang w:eastAsia="en-AU"/>
        </w:rPr>
        <w:t>’ to gain an understanding of how compliance might be achieved in different circumstances (e.g.; what steps were taken; what other steps might have been taken; what quantity was prescribed; what would another health  practitioner have done in a similar situation.</w:t>
      </w:r>
    </w:p>
    <w:p w14:paraId="533069F3" w14:textId="77777777" w:rsidR="002B7CE1" w:rsidRDefault="002B7CE1" w:rsidP="002B7CE1">
      <w:pPr>
        <w:pStyle w:val="Heading1"/>
      </w:pPr>
      <w:r>
        <w:t>Prescribing and otherwise authorising treatment</w:t>
      </w:r>
    </w:p>
    <w:p w14:paraId="035D7D47" w14:textId="572780B1" w:rsidR="00BA3279" w:rsidRDefault="002B7CE1" w:rsidP="002B7CE1">
      <w:pPr>
        <w:pStyle w:val="Body"/>
      </w:pPr>
      <w:r>
        <w:t xml:space="preserve">Health practitioners, who are authorised to </w:t>
      </w:r>
      <w:r w:rsidRPr="004110C1">
        <w:t>‘issu</w:t>
      </w:r>
      <w:r>
        <w:t>e</w:t>
      </w:r>
      <w:r w:rsidRPr="004110C1">
        <w:t xml:space="preserve"> a prescription’, ‘writ</w:t>
      </w:r>
      <w:r>
        <w:t>e</w:t>
      </w:r>
      <w:r w:rsidRPr="004110C1">
        <w:t xml:space="preserve"> a chart instruction’ </w:t>
      </w:r>
      <w:r>
        <w:t>or</w:t>
      </w:r>
      <w:r w:rsidRPr="004110C1">
        <w:t xml:space="preserve"> ‘authoris</w:t>
      </w:r>
      <w:r>
        <w:t>e</w:t>
      </w:r>
      <w:r w:rsidRPr="004110C1">
        <w:t xml:space="preserve"> administration’</w:t>
      </w:r>
      <w:r>
        <w:t xml:space="preserve"> of a Schedule 4 or 8 poison, are commonly required to do so in writing, although the regulations do make provision for verbal instructions</w:t>
      </w:r>
      <w:r w:rsidR="0038611F">
        <w:t xml:space="preserve"> or transmission of digital images</w:t>
      </w:r>
      <w:r>
        <w:t xml:space="preserve">, if the practitioner </w:t>
      </w:r>
      <w:r w:rsidRPr="009E101F">
        <w:t xml:space="preserve">is of the opinion that an </w:t>
      </w:r>
      <w:r w:rsidRPr="009E101F">
        <w:rPr>
          <w:b/>
        </w:rPr>
        <w:t>emergency</w:t>
      </w:r>
      <w:r w:rsidRPr="009E101F">
        <w:t xml:space="preserve"> exists</w:t>
      </w:r>
      <w:r>
        <w:t xml:space="preserve">. </w:t>
      </w:r>
    </w:p>
    <w:p w14:paraId="349BB2C8" w14:textId="77777777" w:rsidR="002B7CE1" w:rsidRDefault="002B7CE1" w:rsidP="002B7CE1">
      <w:pPr>
        <w:pStyle w:val="Body"/>
      </w:pPr>
      <w:r>
        <w:t>Computer-generated prescriptions and electronic prescriptions may also be lawful – provided such prescriptions comply with the criteria for such prescriptions, which have been approved by the Secretary</w:t>
      </w:r>
      <w:r w:rsidRPr="004110C1">
        <w:t>.</w:t>
      </w:r>
    </w:p>
    <w:p w14:paraId="54268004" w14:textId="77777777" w:rsidR="002B7CE1" w:rsidRDefault="002B7CE1" w:rsidP="002B7CE1">
      <w:pPr>
        <w:pStyle w:val="Heading2"/>
      </w:pPr>
      <w:r>
        <w:t>Emergency verbal instructions</w:t>
      </w:r>
    </w:p>
    <w:p w14:paraId="6409FFBA" w14:textId="77777777" w:rsidR="002B7CE1" w:rsidRDefault="002B7CE1" w:rsidP="002B7CE1">
      <w:pPr>
        <w:pStyle w:val="Body"/>
      </w:pPr>
      <w:r w:rsidRPr="00F57A7D">
        <w:t>A health practitioner</w:t>
      </w:r>
      <w:r>
        <w:t>,</w:t>
      </w:r>
      <w:r w:rsidRPr="00F57A7D">
        <w:t xml:space="preserve"> </w:t>
      </w:r>
      <w:r>
        <w:t>who</w:t>
      </w:r>
      <w:r w:rsidRPr="00F57A7D">
        <w:t xml:space="preserve"> is of the opinion that an </w:t>
      </w:r>
      <w:r w:rsidRPr="0046287A">
        <w:rPr>
          <w:b/>
        </w:rPr>
        <w:t>emergency</w:t>
      </w:r>
      <w:r w:rsidRPr="00F57A7D">
        <w:t xml:space="preserve"> exists, </w:t>
      </w:r>
      <w:r>
        <w:t xml:space="preserve">may </w:t>
      </w:r>
      <w:r w:rsidRPr="00F57A7D">
        <w:t xml:space="preserve">give </w:t>
      </w:r>
      <w:r>
        <w:t>an</w:t>
      </w:r>
      <w:r w:rsidRPr="00F57A7D">
        <w:t xml:space="preserve"> authorisation verbally</w:t>
      </w:r>
      <w:r>
        <w:t xml:space="preserve"> (</w:t>
      </w:r>
      <w:r w:rsidRPr="00F57A7D">
        <w:t>to a nurse, midwife or pharmacist</w:t>
      </w:r>
      <w:r>
        <w:t>)</w:t>
      </w:r>
      <w:r w:rsidRPr="00F57A7D">
        <w:t xml:space="preserve"> to </w:t>
      </w:r>
      <w:r w:rsidRPr="009C7CA7">
        <w:rPr>
          <w:b/>
        </w:rPr>
        <w:t>administer</w:t>
      </w:r>
      <w:r w:rsidRPr="00F57A7D">
        <w:t xml:space="preserve"> a Schedule 4 or Schedule 8 poison</w:t>
      </w:r>
      <w:r>
        <w:t xml:space="preserve"> - provided written confirmation of the verbal authorisation is provided, </w:t>
      </w:r>
      <w:r w:rsidRPr="006D3FE4">
        <w:rPr>
          <w:b/>
        </w:rPr>
        <w:t>as soon as practicable</w:t>
      </w:r>
      <w:r>
        <w:t>, for inclusion in the treatment records of the person concerned.</w:t>
      </w:r>
    </w:p>
    <w:p w14:paraId="6EA48073" w14:textId="7DF0746D" w:rsidR="002B7CE1" w:rsidRPr="00EB0BBF" w:rsidRDefault="002B7CE1" w:rsidP="002B7CE1">
      <w:pPr>
        <w:pStyle w:val="Body"/>
        <w:rPr>
          <w:b/>
          <w:bCs/>
        </w:rPr>
      </w:pPr>
      <w:r>
        <w:t>Similarly, a</w:t>
      </w:r>
      <w:r w:rsidRPr="00B0243F">
        <w:t xml:space="preserve"> health practitioner, who is of the opinion that an emergency exists, may give an authorisation verbally to a </w:t>
      </w:r>
      <w:r w:rsidRPr="009C7CA7">
        <w:rPr>
          <w:b/>
        </w:rPr>
        <w:t>pharmacist to supply</w:t>
      </w:r>
      <w:r w:rsidRPr="00B0243F">
        <w:t xml:space="preserve"> a Schedule 4 or Schedule 8 poison - provided written confirmation </w:t>
      </w:r>
      <w:r>
        <w:t>(usually in the form of a prescription)</w:t>
      </w:r>
      <w:r w:rsidRPr="00B0243F">
        <w:t xml:space="preserve"> is </w:t>
      </w:r>
      <w:r w:rsidR="007269B6">
        <w:t>sent</w:t>
      </w:r>
      <w:r>
        <w:t xml:space="preserve"> to the pharmacist</w:t>
      </w:r>
      <w:r w:rsidRPr="00B0243F">
        <w:t xml:space="preserve">, </w:t>
      </w:r>
      <w:r w:rsidR="007269B6" w:rsidRPr="00EB0BBF">
        <w:rPr>
          <w:b/>
          <w:bCs/>
        </w:rPr>
        <w:t>within 72 hours of issuing the verbal authorisation.</w:t>
      </w:r>
    </w:p>
    <w:p w14:paraId="380E657A" w14:textId="0EEC5CE2" w:rsidR="00D022A2" w:rsidRDefault="002B7CE1" w:rsidP="00D022A2">
      <w:pPr>
        <w:pStyle w:val="Bullet1"/>
        <w:numPr>
          <w:ilvl w:val="0"/>
          <w:numId w:val="0"/>
        </w:numPr>
      </w:pPr>
      <w:r>
        <w:t>The phrase ‘</w:t>
      </w:r>
      <w:r w:rsidRPr="00D354E2">
        <w:rPr>
          <w:b/>
        </w:rPr>
        <w:t>as soon as practicable</w:t>
      </w:r>
      <w:r>
        <w:t>’ is used to allow some flexibility according to the circumstances. The dictionary defines ‘practicable’ as ‘capable of being done’, ’feasible’.  Accordingly, some circumstances will demand a rapid provision of the written instruction while a less speedy response may be acceptable</w:t>
      </w:r>
      <w:r w:rsidRPr="006D3FE4">
        <w:t xml:space="preserve"> in others</w:t>
      </w:r>
      <w:r w:rsidR="00D022A2">
        <w:t>.</w:t>
      </w:r>
      <w:r>
        <w:t xml:space="preserve"> </w:t>
      </w:r>
      <w:r w:rsidR="00D022A2">
        <w:t>F</w:t>
      </w:r>
      <w:r>
        <w:t>or example</w:t>
      </w:r>
      <w:r w:rsidR="00D022A2">
        <w:t>, w</w:t>
      </w:r>
      <w:r>
        <w:t>here verbal instructions are given to a nurse to authorise administration of a medicine, confirmation in writing could be readily transmitted in the form of a facsimile or posted so that it can arrive with the next mail delivery.</w:t>
      </w:r>
    </w:p>
    <w:p w14:paraId="26F51D72" w14:textId="2028DBA9" w:rsidR="00D022A2" w:rsidRDefault="00D022A2" w:rsidP="00D022A2">
      <w:pPr>
        <w:pStyle w:val="Heading2"/>
      </w:pPr>
      <w:r>
        <w:t>Emergency transmission of a digital image</w:t>
      </w:r>
    </w:p>
    <w:p w14:paraId="58963F4C" w14:textId="77777777" w:rsidR="00D022A2" w:rsidRDefault="00D022A2" w:rsidP="00D022A2">
      <w:pPr>
        <w:pStyle w:val="Body"/>
      </w:pPr>
      <w:r>
        <w:t>A</w:t>
      </w:r>
      <w:r w:rsidRPr="00B0243F">
        <w:t xml:space="preserve"> health practitioner, who is of the opinion that an </w:t>
      </w:r>
      <w:r w:rsidRPr="00EB0BBF">
        <w:rPr>
          <w:b/>
          <w:bCs/>
        </w:rPr>
        <w:t>emergency</w:t>
      </w:r>
      <w:r w:rsidRPr="00B0243F">
        <w:t xml:space="preserve"> exists, may </w:t>
      </w:r>
      <w:r>
        <w:t>transmit a digital image of an original prescription</w:t>
      </w:r>
      <w:r w:rsidRPr="00B0243F">
        <w:t xml:space="preserve"> to a </w:t>
      </w:r>
      <w:r w:rsidRPr="009C7CA7">
        <w:rPr>
          <w:b/>
        </w:rPr>
        <w:t>pharmacist to supply</w:t>
      </w:r>
      <w:r w:rsidRPr="00B0243F">
        <w:t xml:space="preserve"> a Schedule 4 or Schedule 8 poison </w:t>
      </w:r>
      <w:r>
        <w:t>–</w:t>
      </w:r>
      <w:r w:rsidRPr="00B0243F">
        <w:t xml:space="preserve"> provided</w:t>
      </w:r>
      <w:r>
        <w:t>:</w:t>
      </w:r>
    </w:p>
    <w:p w14:paraId="312FF2A1" w14:textId="565DA8A5" w:rsidR="00D022A2" w:rsidRDefault="00D022A2" w:rsidP="00D022A2">
      <w:pPr>
        <w:pStyle w:val="Bullet1"/>
      </w:pPr>
      <w:r>
        <w:t xml:space="preserve">The </w:t>
      </w:r>
      <w:r w:rsidR="00C42F8B">
        <w:t xml:space="preserve">original </w:t>
      </w:r>
      <w:r>
        <w:t xml:space="preserve">prescription </w:t>
      </w:r>
      <w:r w:rsidRPr="00EB0BBF">
        <w:rPr>
          <w:b/>
          <w:bCs/>
        </w:rPr>
        <w:t>complies</w:t>
      </w:r>
      <w:r>
        <w:t xml:space="preserve"> with regulatory requirements for handwritten and/or computer-generated prescriptions.</w:t>
      </w:r>
    </w:p>
    <w:p w14:paraId="100CB748" w14:textId="6A9638D2" w:rsidR="00D022A2" w:rsidRDefault="00D022A2" w:rsidP="00D022A2">
      <w:pPr>
        <w:pStyle w:val="Bullet1"/>
      </w:pPr>
      <w:r>
        <w:lastRenderedPageBreak/>
        <w:t xml:space="preserve">The digital image of the original prescription is transmitted </w:t>
      </w:r>
      <w:r w:rsidRPr="00EB0BBF">
        <w:rPr>
          <w:b/>
          <w:bCs/>
        </w:rPr>
        <w:t>directly to the pharmacist or pharmacy</w:t>
      </w:r>
      <w:r>
        <w:t xml:space="preserve"> of the patient’s choice by electronic me</w:t>
      </w:r>
      <w:r w:rsidR="00C42F8B">
        <w:t>ans.</w:t>
      </w:r>
    </w:p>
    <w:p w14:paraId="0CB6EEDA" w14:textId="3718A815" w:rsidR="00C42F8B" w:rsidRPr="00EB0BBF" w:rsidRDefault="00C42F8B" w:rsidP="00D022A2">
      <w:pPr>
        <w:pStyle w:val="Bullet1"/>
        <w:rPr>
          <w:b/>
          <w:bCs/>
        </w:rPr>
      </w:pPr>
      <w:r>
        <w:t xml:space="preserve">The digital image of the original prescription is </w:t>
      </w:r>
      <w:r w:rsidRPr="00EB0BBF">
        <w:rPr>
          <w:b/>
          <w:bCs/>
        </w:rPr>
        <w:t>not sent</w:t>
      </w:r>
      <w:r>
        <w:t xml:space="preserve"> to more than one pharmacy </w:t>
      </w:r>
      <w:r w:rsidRPr="00EB0BBF">
        <w:rPr>
          <w:b/>
          <w:bCs/>
        </w:rPr>
        <w:t>or to a person other than a pharmacist.</w:t>
      </w:r>
    </w:p>
    <w:p w14:paraId="74776E6B" w14:textId="179BFB44" w:rsidR="008D2A07" w:rsidRPr="00EB0BBF" w:rsidRDefault="00C42F8B" w:rsidP="008D2A07">
      <w:pPr>
        <w:pStyle w:val="Bullet1"/>
        <w:rPr>
          <w:b/>
          <w:bCs/>
        </w:rPr>
      </w:pPr>
      <w:r>
        <w:t xml:space="preserve">The original prescription </w:t>
      </w:r>
      <w:r w:rsidR="00D022A2" w:rsidRPr="00B0243F">
        <w:t xml:space="preserve">is </w:t>
      </w:r>
      <w:r w:rsidR="00D022A2">
        <w:t>sent to the pharmacist</w:t>
      </w:r>
      <w:r>
        <w:t xml:space="preserve"> or pharmacy</w:t>
      </w:r>
      <w:r w:rsidR="00D022A2" w:rsidRPr="00B0243F">
        <w:t xml:space="preserve"> </w:t>
      </w:r>
      <w:r w:rsidR="00D022A2" w:rsidRPr="00EB0BBF">
        <w:rPr>
          <w:b/>
          <w:bCs/>
        </w:rPr>
        <w:t xml:space="preserve">within 72 hours of </w:t>
      </w:r>
      <w:r w:rsidRPr="00EB0BBF">
        <w:rPr>
          <w:b/>
          <w:bCs/>
        </w:rPr>
        <w:t>transmitting the digital image of the prescription</w:t>
      </w:r>
      <w:r w:rsidR="00D022A2" w:rsidRPr="00EB0BBF">
        <w:rPr>
          <w:b/>
          <w:bCs/>
        </w:rPr>
        <w:t>.</w:t>
      </w:r>
    </w:p>
    <w:p w14:paraId="11CD11CD" w14:textId="77777777" w:rsidR="002B7CE1" w:rsidRPr="005611D3" w:rsidRDefault="002B7CE1" w:rsidP="002B7CE1">
      <w:pPr>
        <w:pStyle w:val="Heading1"/>
      </w:pPr>
      <w:r>
        <w:t>Issuing</w:t>
      </w:r>
      <w:r w:rsidRPr="005611D3">
        <w:t xml:space="preserve"> prescriptions</w:t>
      </w:r>
    </w:p>
    <w:p w14:paraId="0330A46B" w14:textId="1CB40D17" w:rsidR="002B7CE1" w:rsidRDefault="002B7CE1" w:rsidP="002B7CE1">
      <w:pPr>
        <w:pStyle w:val="Body"/>
      </w:pPr>
      <w:r w:rsidRPr="007E0C35">
        <w:t>A</w:t>
      </w:r>
      <w:r>
        <w:t xml:space="preserve">n </w:t>
      </w:r>
      <w:r w:rsidRPr="00BC21DB">
        <w:rPr>
          <w:b/>
        </w:rPr>
        <w:t>original prescription</w:t>
      </w:r>
      <w:r w:rsidRPr="007E0C35">
        <w:t xml:space="preserve"> is a document that authorises a pharmacist to supply prescribed </w:t>
      </w:r>
      <w:r>
        <w:t>medicines; pharmacists are not authorised to supply on the basis of facsimiles or other scanned copies of prescriptions</w:t>
      </w:r>
      <w:r w:rsidR="00C42F8B">
        <w:t xml:space="preserve">, </w:t>
      </w:r>
      <w:r w:rsidR="00AC4C8C">
        <w:t>except</w:t>
      </w:r>
      <w:r w:rsidR="00C42F8B">
        <w:t xml:space="preserve"> in emergency circumstances </w:t>
      </w:r>
      <w:r w:rsidR="00AC4C8C">
        <w:t xml:space="preserve">that are </w:t>
      </w:r>
      <w:r w:rsidR="00C42F8B">
        <w:t>detailed above.</w:t>
      </w:r>
      <w:r w:rsidRPr="007E0C35">
        <w:t xml:space="preserve"> </w:t>
      </w:r>
    </w:p>
    <w:p w14:paraId="7C204029" w14:textId="77777777" w:rsidR="002B7CE1" w:rsidRPr="006B3F47" w:rsidRDefault="002B7CE1" w:rsidP="002B7CE1">
      <w:pPr>
        <w:pStyle w:val="Body"/>
        <w:rPr>
          <w:bCs/>
        </w:rPr>
      </w:pPr>
      <w:r>
        <w:rPr>
          <w:bCs/>
        </w:rPr>
        <w:t>Health</w:t>
      </w:r>
      <w:r w:rsidRPr="006B3F47">
        <w:rPr>
          <w:bCs/>
        </w:rPr>
        <w:t xml:space="preserve"> practitioners are not authorised to prescribe a Schedule </w:t>
      </w:r>
      <w:r>
        <w:rPr>
          <w:bCs/>
        </w:rPr>
        <w:t xml:space="preserve">3, Schedule </w:t>
      </w:r>
      <w:r w:rsidRPr="006B3F47">
        <w:rPr>
          <w:bCs/>
        </w:rPr>
        <w:t xml:space="preserve">4 or Schedule 8 poison </w:t>
      </w:r>
      <w:r w:rsidRPr="000705B3">
        <w:rPr>
          <w:b/>
          <w:bCs/>
        </w:rPr>
        <w:t>merely</w:t>
      </w:r>
      <w:r w:rsidRPr="006B3F47">
        <w:rPr>
          <w:bCs/>
        </w:rPr>
        <w:t xml:space="preserve"> because a person requests a prescription.</w:t>
      </w:r>
    </w:p>
    <w:p w14:paraId="7C4A53F0" w14:textId="77777777" w:rsidR="002B7CE1" w:rsidRDefault="002B7CE1" w:rsidP="002B7CE1">
      <w:pPr>
        <w:pStyle w:val="Body"/>
      </w:pPr>
      <w:r w:rsidRPr="006B3F47">
        <w:rPr>
          <w:bCs/>
        </w:rPr>
        <w:t xml:space="preserve">Before </w:t>
      </w:r>
      <w:r>
        <w:rPr>
          <w:bCs/>
        </w:rPr>
        <w:t>issuing a prescription</w:t>
      </w:r>
      <w:r w:rsidRPr="006B3F47">
        <w:rPr>
          <w:bCs/>
        </w:rPr>
        <w:t xml:space="preserve">, a </w:t>
      </w:r>
      <w:r>
        <w:rPr>
          <w:bCs/>
        </w:rPr>
        <w:t>prescriber</w:t>
      </w:r>
      <w:r w:rsidRPr="006B3F47">
        <w:rPr>
          <w:bCs/>
        </w:rPr>
        <w:t xml:space="preserve"> must</w:t>
      </w:r>
      <w:r w:rsidRPr="006B3F47">
        <w:t xml:space="preserve"> take </w:t>
      </w:r>
      <w:r w:rsidRPr="006B3F47">
        <w:rPr>
          <w:b/>
        </w:rPr>
        <w:t xml:space="preserve">all reasonable steps </w:t>
      </w:r>
      <w:r w:rsidRPr="006B3F47">
        <w:t>to</w:t>
      </w:r>
      <w:r w:rsidRPr="006B3F47">
        <w:rPr>
          <w:b/>
        </w:rPr>
        <w:t xml:space="preserve"> </w:t>
      </w:r>
      <w:r w:rsidRPr="000C5C5A">
        <w:t xml:space="preserve">ensure a </w:t>
      </w:r>
      <w:r w:rsidRPr="000C5C5A">
        <w:rPr>
          <w:b/>
        </w:rPr>
        <w:t>therapeutic need</w:t>
      </w:r>
      <w:r w:rsidRPr="000C5C5A">
        <w:t xml:space="preserve"> exists</w:t>
      </w:r>
      <w:r>
        <w:t xml:space="preserve"> and, </w:t>
      </w:r>
      <w:r w:rsidRPr="00A9113E">
        <w:t xml:space="preserve">before </w:t>
      </w:r>
      <w:r>
        <w:t>issuing a prescription for</w:t>
      </w:r>
      <w:r w:rsidRPr="00A9113E">
        <w:t xml:space="preserve"> a </w:t>
      </w:r>
      <w:r w:rsidRPr="00D84C3A">
        <w:rPr>
          <w:b/>
        </w:rPr>
        <w:t>drug of dependence</w:t>
      </w:r>
      <w:r w:rsidRPr="00A9113E">
        <w:t xml:space="preserve">, a </w:t>
      </w:r>
      <w:r>
        <w:t>prescriber</w:t>
      </w:r>
      <w:r w:rsidRPr="00A9113E">
        <w:t xml:space="preserve"> must take all reasonable steps</w:t>
      </w:r>
      <w:r w:rsidRPr="006B3F47">
        <w:t xml:space="preserve"> to</w:t>
      </w:r>
      <w:r w:rsidRPr="006B3F47">
        <w:rPr>
          <w:b/>
        </w:rPr>
        <w:t xml:space="preserve"> confirm the identity </w:t>
      </w:r>
      <w:r w:rsidRPr="000C5C5A">
        <w:t>of the patient.</w:t>
      </w:r>
      <w:r w:rsidRPr="006B3F47">
        <w:t xml:space="preserve"> </w:t>
      </w:r>
      <w:r w:rsidRPr="00B46C91">
        <w:t>Issuing a prescription, merely because another prescriber has done so, is unlikely to satisfy these requirements.</w:t>
      </w:r>
      <w:r>
        <w:t xml:space="preserve"> </w:t>
      </w:r>
    </w:p>
    <w:p w14:paraId="4A831672" w14:textId="77777777" w:rsidR="002B7CE1" w:rsidRDefault="002B7CE1" w:rsidP="002B7CE1">
      <w:pPr>
        <w:pStyle w:val="Body"/>
      </w:pPr>
      <w:r>
        <w:t>P</w:t>
      </w:r>
      <w:r w:rsidRPr="006B3F47">
        <w:t>ractitioners who issue prescriptions are personally responsible for ensuring that the prescribed medicine is safe, appropriate and lawful. They should, therefore, ensure they are aware of the active ingredient/s and effects of prescribed medicines</w:t>
      </w:r>
      <w:r>
        <w:t xml:space="preserve"> (</w:t>
      </w:r>
      <w:r w:rsidRPr="006B3F47">
        <w:t xml:space="preserve">especially </w:t>
      </w:r>
      <w:r>
        <w:t>as</w:t>
      </w:r>
      <w:r w:rsidRPr="006B3F47">
        <w:t xml:space="preserve"> multiple brand nam</w:t>
      </w:r>
      <w:r>
        <w:t>es exist for many drugs) and should be</w:t>
      </w:r>
      <w:r w:rsidRPr="006B3F47">
        <w:t xml:space="preserve"> wary when issuing a prescription for an unfamiliar medicine.</w:t>
      </w:r>
      <w:r>
        <w:t xml:space="preserve"> </w:t>
      </w:r>
    </w:p>
    <w:p w14:paraId="220101C9" w14:textId="77777777" w:rsidR="002B7CE1" w:rsidRDefault="002B7CE1" w:rsidP="002B7CE1">
      <w:pPr>
        <w:pStyle w:val="Heading2"/>
      </w:pPr>
      <w:r>
        <w:t>Required components of a prescription</w:t>
      </w:r>
    </w:p>
    <w:p w14:paraId="1BAE44DA" w14:textId="77777777" w:rsidR="00AC5B85" w:rsidRDefault="002B7CE1" w:rsidP="002B7CE1">
      <w:pPr>
        <w:pStyle w:val="Body"/>
        <w:rPr>
          <w:lang w:eastAsia="en-AU"/>
        </w:rPr>
      </w:pPr>
      <w:r w:rsidRPr="00AC5B85">
        <w:rPr>
          <w:lang w:eastAsia="en-AU"/>
        </w:rPr>
        <w:t>Registered health practitioners are strongly advised to read another document in this series, ‘</w:t>
      </w:r>
      <w:r w:rsidRPr="00AC5B85">
        <w:rPr>
          <w:i/>
          <w:lang w:eastAsia="en-AU"/>
        </w:rPr>
        <w:t>Criteria for lawful prescriptions</w:t>
      </w:r>
      <w:r w:rsidRPr="00AC5B85">
        <w:rPr>
          <w:lang w:eastAsia="en-AU"/>
        </w:rPr>
        <w:t xml:space="preserve">’ for details of the regulatory requirements of </w:t>
      </w:r>
      <w:r w:rsidR="00AC5B85" w:rsidRPr="00AC5B85">
        <w:rPr>
          <w:lang w:eastAsia="en-AU"/>
        </w:rPr>
        <w:t>handwritten, electronic and computer-generated prescriptions.</w:t>
      </w:r>
    </w:p>
    <w:p w14:paraId="079427F4" w14:textId="77777777" w:rsidR="000708F3" w:rsidRDefault="000708F3" w:rsidP="000708F3">
      <w:pPr>
        <w:pStyle w:val="Heading1"/>
        <w:rPr>
          <w:sz w:val="32"/>
        </w:rPr>
      </w:pPr>
      <w:r>
        <w:t xml:space="preserve">Mandatory checking of the SafeScript database </w:t>
      </w:r>
    </w:p>
    <w:p w14:paraId="59CD7D6D" w14:textId="77777777" w:rsidR="000708F3" w:rsidRDefault="000708F3" w:rsidP="000708F3">
      <w:pPr>
        <w:pStyle w:val="Body"/>
      </w:pPr>
      <w:r>
        <w:t xml:space="preserve">The Act makes provision for penalties to be imposed when medical practitioners or nurse practitioners fail to take </w:t>
      </w:r>
      <w:r>
        <w:rPr>
          <w:b/>
        </w:rPr>
        <w:t>‘all reasonable steps’</w:t>
      </w:r>
      <w:r>
        <w:t xml:space="preserve"> to check the SafeScript profile of a patient before prescribing (or supplying) a monitored supply poison for that patient – </w:t>
      </w:r>
      <w:r>
        <w:rPr>
          <w:b/>
        </w:rPr>
        <w:t>unless</w:t>
      </w:r>
      <w:r>
        <w:t xml:space="preserve"> otherwise specified in the regulations (e.g. hospitals, prisons, police gaols, aged care and palliative care).</w:t>
      </w:r>
    </w:p>
    <w:p w14:paraId="3B51AADF" w14:textId="77777777" w:rsidR="000708F3" w:rsidRDefault="000708F3" w:rsidP="000708F3">
      <w:pPr>
        <w:pStyle w:val="Body"/>
        <w:rPr>
          <w:lang w:eastAsia="en-AU"/>
        </w:rPr>
      </w:pPr>
      <w:r>
        <w:rPr>
          <w:lang w:eastAsia="en-AU"/>
        </w:rPr>
        <w:t xml:space="preserve">Medical practitioners and nurse practitioners are </w:t>
      </w:r>
      <w:r w:rsidRPr="00CC0719">
        <w:rPr>
          <w:b/>
          <w:lang w:eastAsia="en-AU"/>
        </w:rPr>
        <w:t>advised</w:t>
      </w:r>
      <w:r>
        <w:rPr>
          <w:lang w:eastAsia="en-AU"/>
        </w:rPr>
        <w:t xml:space="preserve"> to read the document ‘</w:t>
      </w:r>
      <w:r w:rsidRPr="00221156">
        <w:rPr>
          <w:i/>
          <w:lang w:eastAsia="en-AU"/>
        </w:rPr>
        <w:t xml:space="preserve">All reasonable steps </w:t>
      </w:r>
      <w:r>
        <w:rPr>
          <w:i/>
          <w:lang w:eastAsia="en-AU"/>
        </w:rPr>
        <w:t>plus other key</w:t>
      </w:r>
      <w:r w:rsidRPr="00221156">
        <w:rPr>
          <w:i/>
          <w:lang w:eastAsia="en-AU"/>
        </w:rPr>
        <w:t xml:space="preserve"> terms</w:t>
      </w:r>
      <w:r>
        <w:rPr>
          <w:lang w:eastAsia="en-AU"/>
        </w:rPr>
        <w:t xml:space="preserve">’ to familiarise themselves with possible </w:t>
      </w:r>
      <w:r w:rsidRPr="000708F3">
        <w:rPr>
          <w:b/>
          <w:lang w:eastAsia="en-AU"/>
        </w:rPr>
        <w:t>exceptions</w:t>
      </w:r>
      <w:r>
        <w:rPr>
          <w:lang w:eastAsia="en-AU"/>
        </w:rPr>
        <w:t xml:space="preserve"> and of possible action to be taken if it is not possible to check SafeScript.</w:t>
      </w:r>
    </w:p>
    <w:p w14:paraId="4714F28C" w14:textId="77777777" w:rsidR="002B7CE1" w:rsidRDefault="002B7CE1" w:rsidP="002B7CE1">
      <w:pPr>
        <w:pStyle w:val="Heading1"/>
      </w:pPr>
      <w:r>
        <w:t>A</w:t>
      </w:r>
      <w:r w:rsidRPr="00566CB0">
        <w:t>uthorising administration</w:t>
      </w:r>
    </w:p>
    <w:p w14:paraId="09A9ADEB" w14:textId="77777777" w:rsidR="002B7CE1" w:rsidRDefault="002B7CE1" w:rsidP="00AC5B85">
      <w:pPr>
        <w:pStyle w:val="Body"/>
      </w:pPr>
      <w:r>
        <w:t>Registered health practitioners who authorise another health practitioner (e.g. nurse) to administer a Schedule 4 or Schedule 8 poison must:</w:t>
      </w:r>
    </w:p>
    <w:p w14:paraId="4D81C7AB" w14:textId="77777777" w:rsidR="002B7CE1" w:rsidRDefault="002B7CE1" w:rsidP="00AC5B85">
      <w:pPr>
        <w:pStyle w:val="Bullet1"/>
      </w:pPr>
      <w:r>
        <w:t xml:space="preserve">provide that authorisation </w:t>
      </w:r>
      <w:r w:rsidRPr="006D3FE4">
        <w:rPr>
          <w:b/>
        </w:rPr>
        <w:t>in writing</w:t>
      </w:r>
      <w:r>
        <w:t xml:space="preserve"> in a legible and durable form that names the person to whom the poison is to be administered; and</w:t>
      </w:r>
    </w:p>
    <w:p w14:paraId="06D5C6E9" w14:textId="77777777" w:rsidR="002B7CE1" w:rsidRDefault="002B7CE1" w:rsidP="00AC5B85">
      <w:pPr>
        <w:pStyle w:val="Bullet1"/>
      </w:pPr>
      <w:r>
        <w:t xml:space="preserve">date and confirm that authorisation with their </w:t>
      </w:r>
      <w:r w:rsidRPr="006D3FE4">
        <w:rPr>
          <w:b/>
        </w:rPr>
        <w:t>signature</w:t>
      </w:r>
    </w:p>
    <w:p w14:paraId="523C9FAD" w14:textId="77777777" w:rsidR="002B7CE1" w:rsidRDefault="002B7CE1" w:rsidP="00AC5B85">
      <w:pPr>
        <w:pStyle w:val="Bodyafterbullets"/>
      </w:pPr>
      <w:r w:rsidRPr="000C5C5A">
        <w:rPr>
          <w:b/>
        </w:rPr>
        <w:lastRenderedPageBreak/>
        <w:t>Note</w:t>
      </w:r>
      <w:r>
        <w:t xml:space="preserve">: These requirements do </w:t>
      </w:r>
      <w:r w:rsidRPr="001C3769">
        <w:rPr>
          <w:b/>
        </w:rPr>
        <w:t>not</w:t>
      </w:r>
      <w:r>
        <w:t xml:space="preserve"> exclude:</w:t>
      </w:r>
    </w:p>
    <w:p w14:paraId="7AC6912D" w14:textId="77777777" w:rsidR="002B7CE1" w:rsidRDefault="002B7CE1" w:rsidP="00AC5B85">
      <w:pPr>
        <w:pStyle w:val="Bullet1"/>
      </w:pPr>
      <w:r>
        <w:t>written instructions that are not handwritten (</w:t>
      </w:r>
      <w:r w:rsidRPr="0046287A">
        <w:t>e.g. computer-generated medic</w:t>
      </w:r>
      <w:r>
        <w:t xml:space="preserve">ation charts) </w:t>
      </w:r>
    </w:p>
    <w:p w14:paraId="2EBC69AE" w14:textId="77777777" w:rsidR="002B7CE1" w:rsidRPr="0046287A" w:rsidRDefault="002B7CE1" w:rsidP="00AC5B85">
      <w:pPr>
        <w:pStyle w:val="Bullet1"/>
      </w:pPr>
      <w:r>
        <w:t>signatures that are not handwritten</w:t>
      </w:r>
      <w:r w:rsidRPr="0046287A">
        <w:t xml:space="preserve"> (</w:t>
      </w:r>
      <w:r>
        <w:t xml:space="preserve">e.g. </w:t>
      </w:r>
      <w:r w:rsidRPr="0046287A">
        <w:t>electronically transmitted orders)</w:t>
      </w:r>
    </w:p>
    <w:p w14:paraId="0D2EF548" w14:textId="77777777" w:rsidR="002B7CE1" w:rsidRDefault="002B7CE1" w:rsidP="00AC5B85">
      <w:pPr>
        <w:pStyle w:val="Bullet1"/>
      </w:pPr>
      <w:r>
        <w:t>the transmission of instructions by facsimile</w:t>
      </w:r>
    </w:p>
    <w:p w14:paraId="5D84800E" w14:textId="77777777" w:rsidR="002B7CE1" w:rsidRDefault="002B7CE1" w:rsidP="002B7CE1">
      <w:pPr>
        <w:pStyle w:val="Heading1"/>
      </w:pPr>
      <w:r>
        <w:t>Chart instructions</w:t>
      </w:r>
    </w:p>
    <w:p w14:paraId="3F317C11" w14:textId="77777777" w:rsidR="002B7CE1" w:rsidRDefault="002B7CE1" w:rsidP="00AC5B85">
      <w:pPr>
        <w:pStyle w:val="Body"/>
      </w:pPr>
      <w:r>
        <w:t xml:space="preserve">Where a registered health practitioner ‘writes a chart instruction’ by completing a ‘hospital medication chart’ or ‘residential medication chart’ in accordance with the definitions and requirements of those terms (as defined in the regulations), the chart instruction may serve as both an authorisation for administration and as an authorisation for a pharmacist to supply the specified medicines. </w:t>
      </w:r>
    </w:p>
    <w:p w14:paraId="68716FFD" w14:textId="77777777" w:rsidR="002B7CE1" w:rsidRPr="001C3769" w:rsidRDefault="002B7CE1" w:rsidP="00AC5B85">
      <w:pPr>
        <w:pStyle w:val="Body"/>
      </w:pPr>
      <w:r>
        <w:t>The</w:t>
      </w:r>
      <w:r w:rsidRPr="001C3769">
        <w:t xml:space="preserve"> provision</w:t>
      </w:r>
      <w:r>
        <w:t>, for pharmacists to supply medicines on the basis chart instructions (i.e. without an original prescription)</w:t>
      </w:r>
      <w:r w:rsidRPr="001C3769">
        <w:t xml:space="preserve"> was included in the regulations to authorise pharmacists to supply </w:t>
      </w:r>
      <w:r>
        <w:t>medicines</w:t>
      </w:r>
      <w:r w:rsidRPr="001C3769">
        <w:t xml:space="preserve"> in accordance with provisions of the Pharmaceutical Benefits Scheme (PBS). </w:t>
      </w:r>
    </w:p>
    <w:p w14:paraId="62E2389D" w14:textId="77777777" w:rsidR="002B7CE1" w:rsidRPr="001C3769" w:rsidRDefault="002B7CE1" w:rsidP="00AC5B85">
      <w:pPr>
        <w:pStyle w:val="Bullet1"/>
      </w:pPr>
      <w:r w:rsidRPr="00C33A96">
        <w:t>While</w:t>
      </w:r>
      <w:r w:rsidRPr="001C3769">
        <w:t xml:space="preserve"> </w:t>
      </w:r>
      <w:r>
        <w:t>this</w:t>
      </w:r>
      <w:r w:rsidRPr="001C3769">
        <w:t xml:space="preserve"> provision is not limited to </w:t>
      </w:r>
      <w:r>
        <w:t>medicines</w:t>
      </w:r>
      <w:r w:rsidRPr="001C3769">
        <w:t xml:space="preserve"> that attract a subsidy under the PBS or to practitioners who are approved to prescribe under the PBS; </w:t>
      </w:r>
      <w:r w:rsidRPr="00C33A96">
        <w:rPr>
          <w:b/>
        </w:rPr>
        <w:t>the provision is limited to</w:t>
      </w:r>
      <w:r w:rsidRPr="001C3769">
        <w:t>:</w:t>
      </w:r>
    </w:p>
    <w:p w14:paraId="1BA2DAF8" w14:textId="77777777" w:rsidR="002B7CE1" w:rsidRPr="00264362" w:rsidRDefault="002B7CE1" w:rsidP="00AC5B85">
      <w:pPr>
        <w:pStyle w:val="Bullet2"/>
      </w:pPr>
      <w:r w:rsidRPr="00264362">
        <w:t xml:space="preserve">the supply of Schedule 4 medicines on a </w:t>
      </w:r>
      <w:r w:rsidRPr="00264362">
        <w:rPr>
          <w:b/>
        </w:rPr>
        <w:t>paper</w:t>
      </w:r>
      <w:r w:rsidRPr="00264362">
        <w:t xml:space="preserve"> residential medication chart; </w:t>
      </w:r>
    </w:p>
    <w:p w14:paraId="51B72034" w14:textId="77777777" w:rsidR="002B7CE1" w:rsidRPr="00264362" w:rsidRDefault="002B7CE1" w:rsidP="00AC5B85">
      <w:pPr>
        <w:pStyle w:val="Bullet2"/>
      </w:pPr>
      <w:r w:rsidRPr="00264362">
        <w:t xml:space="preserve">the supply of Schedule 4 and Schedule 8 medicines on an </w:t>
      </w:r>
      <w:r w:rsidRPr="00264362">
        <w:rPr>
          <w:b/>
        </w:rPr>
        <w:t>electronic</w:t>
      </w:r>
      <w:r w:rsidRPr="00264362">
        <w:t xml:space="preserve"> residential medications chart; </w:t>
      </w:r>
    </w:p>
    <w:p w14:paraId="795B48FF" w14:textId="77777777" w:rsidR="002B7CE1" w:rsidRPr="00264362" w:rsidRDefault="002B7CE1" w:rsidP="00AC5B85">
      <w:pPr>
        <w:pStyle w:val="Bullet2"/>
      </w:pPr>
      <w:r w:rsidRPr="00264362">
        <w:t>chart instructions on a residential medication chart or an electronic residential medication chart that complies with the Commonwealth regulations for the National Residential Medication Charts (NRMC or eNRMC).</w:t>
      </w:r>
    </w:p>
    <w:p w14:paraId="3E0C643C" w14:textId="77777777" w:rsidR="002B7CE1" w:rsidRPr="00A9113E" w:rsidRDefault="002B7CE1" w:rsidP="002B7CE1">
      <w:pPr>
        <w:pStyle w:val="Heading1"/>
      </w:pPr>
      <w:r w:rsidRPr="00A9113E">
        <w:t>Permits for Schedule 8 poisons</w:t>
      </w:r>
    </w:p>
    <w:p w14:paraId="7C6E268A" w14:textId="77777777" w:rsidR="002B7CE1" w:rsidRPr="00A9113E" w:rsidRDefault="002B7CE1" w:rsidP="00AC5B85">
      <w:pPr>
        <w:pStyle w:val="Body"/>
      </w:pPr>
      <w:r w:rsidRPr="00A9113E">
        <w:t>The legislation aims to minimise concurrent prescribing of Schedule 8 poisons by requiring principal prescribers to obtain treatment permits in relation to specific patients.</w:t>
      </w:r>
    </w:p>
    <w:p w14:paraId="28C966AF" w14:textId="77777777" w:rsidR="002B7CE1" w:rsidRPr="00A9113E" w:rsidRDefault="002B7CE1" w:rsidP="00AC5B85">
      <w:pPr>
        <w:pStyle w:val="Body"/>
      </w:pPr>
      <w:r w:rsidRPr="00A9113E">
        <w:t xml:space="preserve">Requirements for Schedule 8 permits can vary according to the circumstances of the patient or the qualifications of the </w:t>
      </w:r>
      <w:r>
        <w:t>health</w:t>
      </w:r>
      <w:r w:rsidRPr="00A9113E">
        <w:t xml:space="preserve"> practitioner. </w:t>
      </w:r>
      <w:r>
        <w:t>P</w:t>
      </w:r>
      <w:r w:rsidRPr="00A9113E">
        <w:t xml:space="preserve">ractitioners </w:t>
      </w:r>
      <w:r>
        <w:t xml:space="preserve">who are authorised to prescribe Schedule 8 poisons to treat human patients </w:t>
      </w:r>
      <w:r w:rsidRPr="00A9113E">
        <w:t>are strongly advised to familiarise themselves with requirements for Schedule 8 permits before prescribing a Schedule 8 poison.</w:t>
      </w:r>
    </w:p>
    <w:p w14:paraId="51750670" w14:textId="6E8CE3F7" w:rsidR="002B7CE1" w:rsidRDefault="002B7CE1" w:rsidP="00EB0BBF">
      <w:pPr>
        <w:pStyle w:val="Bodyafterbullets"/>
      </w:pPr>
      <w:r w:rsidRPr="00D92F30">
        <w:t xml:space="preserve">Please refer to the </w:t>
      </w:r>
      <w:r>
        <w:t>MPR</w:t>
      </w:r>
      <w:r w:rsidRPr="00D92F30">
        <w:t xml:space="preserve"> website </w:t>
      </w:r>
      <w:r w:rsidRPr="00D92F30">
        <w:rPr>
          <w:szCs w:val="18"/>
        </w:rPr>
        <w:t xml:space="preserve">and the </w:t>
      </w:r>
      <w:r w:rsidRPr="00D92F30">
        <w:t>document</w:t>
      </w:r>
      <w:r>
        <w:t>,</w:t>
      </w:r>
      <w:r w:rsidRPr="00D92F30">
        <w:t xml:space="preserve"> ‘</w:t>
      </w:r>
      <w:r w:rsidRPr="001D4763">
        <w:rPr>
          <w:i/>
        </w:rPr>
        <w:t>Schedule 8 permit</w:t>
      </w:r>
      <w:r>
        <w:rPr>
          <w:i/>
        </w:rPr>
        <w:t xml:space="preserve"> requirements’</w:t>
      </w:r>
      <w:r w:rsidRPr="00D92F30">
        <w:t xml:space="preserve"> for details of requirements and </w:t>
      </w:r>
      <w:r w:rsidRPr="00D92F30">
        <w:rPr>
          <w:b/>
        </w:rPr>
        <w:t>exceptions</w:t>
      </w:r>
      <w:r w:rsidRPr="00D92F30">
        <w:t xml:space="preserve">. </w:t>
      </w:r>
      <w:r w:rsidR="00E22DBB">
        <w:t xml:space="preserve">Practitioners can apply for permits in SafeScript. </w:t>
      </w:r>
      <w:r w:rsidR="00E22DBB" w:rsidRPr="00D92F30">
        <w:t xml:space="preserve">Permit application forms are </w:t>
      </w:r>
      <w:r w:rsidR="00E22DBB">
        <w:t xml:space="preserve">also </w:t>
      </w:r>
      <w:r w:rsidR="00E22DBB" w:rsidRPr="00D92F30">
        <w:t xml:space="preserve">located on the </w:t>
      </w:r>
      <w:r w:rsidR="00E22DBB">
        <w:t>MPR</w:t>
      </w:r>
      <w:r w:rsidR="00E22DBB" w:rsidRPr="00D92F30">
        <w:t xml:space="preserve"> website</w:t>
      </w:r>
      <w:r w:rsidR="00E22DBB">
        <w:t xml:space="preserve"> </w:t>
      </w:r>
      <w:r w:rsidR="00A832C6">
        <w:t>(</w:t>
      </w:r>
      <w:hyperlink r:id="rId18" w:history="1">
        <w:r w:rsidR="00A832C6" w:rsidRPr="00026D55">
          <w:rPr>
            <w:rStyle w:val="Hyperlink"/>
          </w:rPr>
          <w:t>http://www.health.vic.gov.au/dpcs</w:t>
        </w:r>
      </w:hyperlink>
      <w:r w:rsidR="00A832C6">
        <w:t>).</w:t>
      </w:r>
    </w:p>
    <w:p w14:paraId="1184DFBD" w14:textId="77777777" w:rsidR="002B7CE1" w:rsidRPr="00DD65A7" w:rsidRDefault="002B7CE1" w:rsidP="002B7CE1">
      <w:pPr>
        <w:pStyle w:val="Heading1"/>
      </w:pPr>
      <w:r>
        <w:t>Schedule 4 poisons with special restrictions</w:t>
      </w:r>
    </w:p>
    <w:p w14:paraId="31882276" w14:textId="77777777" w:rsidR="002B7CE1" w:rsidRDefault="002B7CE1" w:rsidP="00AC5B85">
      <w:pPr>
        <w:pStyle w:val="Body"/>
        <w:rPr>
          <w:iCs/>
        </w:rPr>
      </w:pPr>
      <w:r w:rsidRPr="009F37FD">
        <w:rPr>
          <w:b/>
          <w:bCs/>
        </w:rPr>
        <w:t xml:space="preserve">Retinoids </w:t>
      </w:r>
      <w:r w:rsidRPr="009F37FD">
        <w:rPr>
          <w:bCs/>
        </w:rPr>
        <w:t>(e.g. acitretin, oral isotretinoin),</w:t>
      </w:r>
      <w:r w:rsidRPr="009F37FD">
        <w:rPr>
          <w:b/>
          <w:bCs/>
        </w:rPr>
        <w:t xml:space="preserve"> ovulatory stimulants </w:t>
      </w:r>
      <w:r w:rsidRPr="009F37FD">
        <w:rPr>
          <w:bCs/>
        </w:rPr>
        <w:t>(clomiphene, cyclofenil),</w:t>
      </w:r>
      <w:r w:rsidRPr="009F37FD">
        <w:rPr>
          <w:b/>
          <w:bCs/>
        </w:rPr>
        <w:t xml:space="preserve"> prostaglandins </w:t>
      </w:r>
      <w:r w:rsidRPr="009F37FD">
        <w:rPr>
          <w:iCs/>
        </w:rPr>
        <w:t>(e.g.</w:t>
      </w:r>
      <w:r w:rsidRPr="009F37FD">
        <w:t xml:space="preserve"> </w:t>
      </w:r>
      <w:proofErr w:type="spellStart"/>
      <w:r w:rsidRPr="009F37FD">
        <w:t>dinoprost</w:t>
      </w:r>
      <w:proofErr w:type="spellEnd"/>
      <w:r w:rsidRPr="009F37FD">
        <w:t>) plus</w:t>
      </w:r>
      <w:r w:rsidRPr="009F37FD">
        <w:rPr>
          <w:b/>
        </w:rPr>
        <w:t xml:space="preserve"> thalidomide </w:t>
      </w:r>
      <w:r w:rsidRPr="009F37FD">
        <w:t>and</w:t>
      </w:r>
      <w:r w:rsidRPr="009F37FD">
        <w:rPr>
          <w:b/>
        </w:rPr>
        <w:t xml:space="preserve"> lenalidomide</w:t>
      </w:r>
      <w:r w:rsidRPr="009F37FD">
        <w:t xml:space="preserve"> are Schedule 4 poisons with which treatment for human patients may only be initiated by a medical practitioner who has the appropriate qualifications and expertise </w:t>
      </w:r>
      <w:r w:rsidRPr="009F37FD">
        <w:rPr>
          <w:b/>
        </w:rPr>
        <w:t>and</w:t>
      </w:r>
      <w:r w:rsidRPr="009F37FD">
        <w:t xml:space="preserve"> who holds a </w:t>
      </w:r>
      <w:r w:rsidRPr="009F37FD">
        <w:rPr>
          <w:b/>
          <w:bCs/>
        </w:rPr>
        <w:t>warrant</w:t>
      </w:r>
      <w:r w:rsidRPr="009F37FD">
        <w:t xml:space="preserve"> to prescribe the specific drug. These prescribers are required to endorse each prescription </w:t>
      </w:r>
      <w:r w:rsidRPr="009F37FD">
        <w:rPr>
          <w:iCs/>
        </w:rPr>
        <w:t>with their warrant number to demonstrate (to pharmacists) that they hold a warrant.</w:t>
      </w:r>
    </w:p>
    <w:p w14:paraId="4E9EE9AD" w14:textId="77777777" w:rsidR="00AC5B85" w:rsidRDefault="002B7CE1" w:rsidP="00AC5B85">
      <w:pPr>
        <w:pStyle w:val="Body"/>
      </w:pPr>
      <w:r>
        <w:t xml:space="preserve">To address the possibility that patients might be unable to consult with an appropriate specialist practitioner, other practitioners may prescribe one of these drugs (without a warrant) when acting in accordance with the direction and approval of the warrant holder who usually treats the patient. </w:t>
      </w:r>
    </w:p>
    <w:p w14:paraId="41775F66" w14:textId="77777777" w:rsidR="002B7CE1" w:rsidRDefault="002B7CE1" w:rsidP="00AC5B85">
      <w:pPr>
        <w:pStyle w:val="Bullet1"/>
      </w:pPr>
      <w:r>
        <w:lastRenderedPageBreak/>
        <w:t xml:space="preserve">In such cases, the prescription must be endorsed with the warrant holder’s name and warrant number </w:t>
      </w:r>
      <w:r w:rsidRPr="009F37FD">
        <w:t>to demonstrate (to pharmacists) that the</w:t>
      </w:r>
      <w:r>
        <w:t xml:space="preserve"> prescribing has been authorised.</w:t>
      </w:r>
    </w:p>
    <w:p w14:paraId="1B93A5D2" w14:textId="77777777" w:rsidR="00AE2AF1" w:rsidRPr="00160DAD" w:rsidRDefault="00AE2AF1" w:rsidP="00AC5B85">
      <w:pPr>
        <w:pStyle w:val="Heading1"/>
      </w:pPr>
      <w:r w:rsidRPr="00160DAD">
        <w:t xml:space="preserve">Self-administration and </w:t>
      </w:r>
      <w:r>
        <w:t>self-</w:t>
      </w:r>
      <w:r w:rsidRPr="00160DAD">
        <w:t>prescribing</w:t>
      </w:r>
    </w:p>
    <w:p w14:paraId="0A4D33FF" w14:textId="77777777" w:rsidR="00AE2AF1" w:rsidRPr="00A8239A" w:rsidRDefault="00AE2AF1" w:rsidP="00AE2AF1">
      <w:pPr>
        <w:pStyle w:val="Body"/>
      </w:pPr>
      <w:r w:rsidRPr="009213B0">
        <w:t xml:space="preserve">Self-administration of a Schedule 4 or Schedule 8 poison is </w:t>
      </w:r>
      <w:r w:rsidR="00695359">
        <w:rPr>
          <w:b/>
          <w:bCs/>
        </w:rPr>
        <w:t>unlawful</w:t>
      </w:r>
      <w:r w:rsidRPr="009213B0">
        <w:rPr>
          <w:b/>
          <w:bCs/>
        </w:rPr>
        <w:t xml:space="preserve"> </w:t>
      </w:r>
      <w:r w:rsidRPr="009213B0">
        <w:t xml:space="preserve">unless the </w:t>
      </w:r>
      <w:r>
        <w:t>medicine</w:t>
      </w:r>
      <w:r w:rsidRPr="009213B0">
        <w:t xml:space="preserve"> has been lawfully prescribed </w:t>
      </w:r>
      <w:r w:rsidRPr="009213B0">
        <w:rPr>
          <w:b/>
        </w:rPr>
        <w:t>and</w:t>
      </w:r>
      <w:r w:rsidRPr="009213B0">
        <w:t xml:space="preserve"> supplied by a</w:t>
      </w:r>
      <w:r>
        <w:t>nother</w:t>
      </w:r>
      <w:r w:rsidRPr="009213B0">
        <w:t xml:space="preserve"> registered health practitioner (e.g. medical practitioner) or supplied by a pharmacist </w:t>
      </w:r>
      <w:r w:rsidRPr="00A8239A">
        <w:t>on a prescription from a</w:t>
      </w:r>
      <w:r>
        <w:t>nother</w:t>
      </w:r>
      <w:r w:rsidRPr="00A8239A">
        <w:t xml:space="preserve"> registered health practitioner (regulation 105).  </w:t>
      </w:r>
    </w:p>
    <w:p w14:paraId="4ED074C9" w14:textId="77777777" w:rsidR="00AE2AF1" w:rsidRDefault="00AE2AF1" w:rsidP="00AE2AF1">
      <w:pPr>
        <w:pStyle w:val="Body"/>
        <w:rPr>
          <w:iCs/>
        </w:rPr>
      </w:pPr>
      <w:r w:rsidRPr="009213B0">
        <w:rPr>
          <w:b/>
        </w:rPr>
        <w:t>Note</w:t>
      </w:r>
      <w:r w:rsidRPr="009213B0">
        <w:t xml:space="preserve">: </w:t>
      </w:r>
      <w:r w:rsidRPr="009213B0">
        <w:rPr>
          <w:iCs/>
        </w:rPr>
        <w:t xml:space="preserve">This does </w:t>
      </w:r>
      <w:r w:rsidRPr="009213B0">
        <w:rPr>
          <w:b/>
          <w:bCs/>
          <w:iCs/>
        </w:rPr>
        <w:t>not</w:t>
      </w:r>
      <w:r w:rsidRPr="009213B0">
        <w:rPr>
          <w:iCs/>
        </w:rPr>
        <w:t xml:space="preserve"> mean that</w:t>
      </w:r>
      <w:r>
        <w:rPr>
          <w:iCs/>
        </w:rPr>
        <w:t>,</w:t>
      </w:r>
      <w:r w:rsidRPr="009213B0">
        <w:rPr>
          <w:iCs/>
        </w:rPr>
        <w:t xml:space="preserve"> once a </w:t>
      </w:r>
      <w:r>
        <w:rPr>
          <w:iCs/>
        </w:rPr>
        <w:t>medicine has been</w:t>
      </w:r>
      <w:r w:rsidRPr="009213B0">
        <w:rPr>
          <w:iCs/>
        </w:rPr>
        <w:t xml:space="preserve"> prescribed by another</w:t>
      </w:r>
      <w:r>
        <w:rPr>
          <w:iCs/>
        </w:rPr>
        <w:t xml:space="preserve"> </w:t>
      </w:r>
      <w:r w:rsidRPr="009213B0">
        <w:t>registered health practitioner</w:t>
      </w:r>
      <w:r w:rsidRPr="009213B0">
        <w:rPr>
          <w:iCs/>
        </w:rPr>
        <w:t xml:space="preserve">, a </w:t>
      </w:r>
      <w:r>
        <w:rPr>
          <w:iCs/>
        </w:rPr>
        <w:t>health</w:t>
      </w:r>
      <w:r w:rsidRPr="009213B0">
        <w:rPr>
          <w:iCs/>
        </w:rPr>
        <w:t xml:space="preserve"> practitioner may continue the treatment with </w:t>
      </w:r>
      <w:r>
        <w:rPr>
          <w:iCs/>
        </w:rPr>
        <w:t>medicine</w:t>
      </w:r>
      <w:r w:rsidRPr="009213B0">
        <w:rPr>
          <w:iCs/>
        </w:rPr>
        <w:t xml:space="preserve"> obtained from a wholesale supplier</w:t>
      </w:r>
      <w:r>
        <w:rPr>
          <w:iCs/>
        </w:rPr>
        <w:t xml:space="preserve"> or by issuing a prescription and naming themselves as the patient</w:t>
      </w:r>
      <w:r w:rsidRPr="009213B0">
        <w:rPr>
          <w:iCs/>
        </w:rPr>
        <w:t>.</w:t>
      </w:r>
    </w:p>
    <w:p w14:paraId="2E1D10DF" w14:textId="77777777" w:rsidR="00695359" w:rsidRPr="00D610D1" w:rsidRDefault="00695359" w:rsidP="00695359">
      <w:pPr>
        <w:pStyle w:val="Heading1"/>
      </w:pPr>
      <w:r w:rsidRPr="00D610D1">
        <w:t>Supplying Schedule 4 and Schedule 8 poisons</w:t>
      </w:r>
    </w:p>
    <w:p w14:paraId="2C1D0A4A" w14:textId="77777777" w:rsidR="00695359" w:rsidRPr="008F2D99" w:rsidRDefault="00695359" w:rsidP="00695359">
      <w:pPr>
        <w:pStyle w:val="Body"/>
        <w:rPr>
          <w:highlight w:val="yellow"/>
        </w:rPr>
      </w:pPr>
      <w:r w:rsidRPr="00D610D1">
        <w:t xml:space="preserve">Health practitioners who are authorised to supply Schedule 4 or Schedule 8 poisons are responsible for ensuring that each container of a medicine is labelled in accordance with the specifications for ‘dispensed medicines’ contained in the Poisons Standard (adopted under section 27A of the Act) plus the provisions of regulation 72 (where applicable). This responsibility </w:t>
      </w:r>
      <w:r w:rsidRPr="00D610D1">
        <w:rPr>
          <w:b/>
        </w:rPr>
        <w:t>cannot</w:t>
      </w:r>
      <w:r w:rsidRPr="00D610D1">
        <w:t xml:space="preserve"> be delegated to another person. For specific details, please refer to the Poisons Standard (Part 2 section1.5.6 plus Appendices L and K); a link to the Pois</w:t>
      </w:r>
      <w:r>
        <w:t>ons Standard is located in the ‘</w:t>
      </w:r>
      <w:r w:rsidRPr="00221156">
        <w:rPr>
          <w:i/>
        </w:rPr>
        <w:t>Related sites</w:t>
      </w:r>
      <w:r>
        <w:t>’</w:t>
      </w:r>
      <w:r w:rsidRPr="00D610D1">
        <w:t xml:space="preserve"> section of the </w:t>
      </w:r>
      <w:r>
        <w:t>MPR</w:t>
      </w:r>
      <w:r w:rsidRPr="00D610D1">
        <w:t xml:space="preserve"> </w:t>
      </w:r>
      <w:r w:rsidRPr="00221156">
        <w:t>website</w:t>
      </w:r>
      <w:r w:rsidRPr="00D610D1">
        <w:t>.</w:t>
      </w:r>
    </w:p>
    <w:p w14:paraId="71207319" w14:textId="77777777" w:rsidR="00695359" w:rsidRPr="00D610D1" w:rsidRDefault="00695359" w:rsidP="00695359">
      <w:pPr>
        <w:pStyle w:val="Heading2"/>
        <w:rPr>
          <w:rFonts w:eastAsia="MS Gothic"/>
        </w:rPr>
      </w:pPr>
      <w:r w:rsidRPr="00D610D1">
        <w:rPr>
          <w:rFonts w:eastAsia="MS Gothic"/>
        </w:rPr>
        <w:t>Labelling dispensed medicines</w:t>
      </w:r>
    </w:p>
    <w:p w14:paraId="04EC8B75" w14:textId="77777777" w:rsidR="00695359" w:rsidRPr="00D610D1" w:rsidRDefault="00695359" w:rsidP="00695359">
      <w:pPr>
        <w:pStyle w:val="Body"/>
      </w:pPr>
      <w:bookmarkStart w:id="1" w:name="_Hlk31200131"/>
      <w:r>
        <w:t>The r</w:t>
      </w:r>
      <w:r w:rsidRPr="00D610D1">
        <w:t xml:space="preserve">equired components of a label </w:t>
      </w:r>
      <w:r>
        <w:t>on medicines dispensed by health practitioners, which must not be less than 1.5 mm in size, include:</w:t>
      </w:r>
    </w:p>
    <w:bookmarkEnd w:id="1"/>
    <w:p w14:paraId="01AEC746" w14:textId="77777777" w:rsidR="00695359" w:rsidRPr="00D610D1" w:rsidRDefault="00695359" w:rsidP="00695359">
      <w:pPr>
        <w:pStyle w:val="Bullet1"/>
      </w:pPr>
      <w:r w:rsidRPr="00D610D1">
        <w:t>the approved name of the poison or controlled substance or a proprietary name that unambiguously identifies the poison or controlled substance plus the strength, form (e.g. tablets) and quantity supplied</w:t>
      </w:r>
    </w:p>
    <w:p w14:paraId="291F6BA6" w14:textId="77777777" w:rsidR="00695359" w:rsidRPr="00D610D1" w:rsidRDefault="00695359" w:rsidP="00695359">
      <w:pPr>
        <w:pStyle w:val="Bullet1"/>
      </w:pPr>
      <w:r w:rsidRPr="00D610D1">
        <w:t>the words “KEEP OUT OF REACH OF CHILDREN” in red on a white background</w:t>
      </w:r>
    </w:p>
    <w:p w14:paraId="35718105" w14:textId="77777777" w:rsidR="00695359" w:rsidRPr="00D610D1" w:rsidRDefault="00695359" w:rsidP="00695359">
      <w:pPr>
        <w:pStyle w:val="Bullet1"/>
      </w:pPr>
      <w:r w:rsidRPr="00D610D1">
        <w:t xml:space="preserve">if the </w:t>
      </w:r>
      <w:r>
        <w:t>medicine</w:t>
      </w:r>
      <w:r w:rsidRPr="00D610D1">
        <w:t xml:space="preserve"> is intended for external use only, the word “POISON”, or the words “FOR EXTERNAL USE ONLY”, in red on a white background</w:t>
      </w:r>
    </w:p>
    <w:p w14:paraId="5E6F72C2" w14:textId="77777777" w:rsidR="00695359" w:rsidRPr="00D610D1" w:rsidRDefault="00695359" w:rsidP="00695359">
      <w:pPr>
        <w:pStyle w:val="Bullet1"/>
      </w:pPr>
      <w:r w:rsidRPr="00D610D1">
        <w:t xml:space="preserve">adequate directions for use </w:t>
      </w:r>
      <w:r w:rsidRPr="00D610D1">
        <w:rPr>
          <w:b/>
        </w:rPr>
        <w:t>unless:</w:t>
      </w:r>
      <w:r w:rsidRPr="00D610D1">
        <w:t xml:space="preserve"> </w:t>
      </w:r>
    </w:p>
    <w:p w14:paraId="7492636D" w14:textId="77777777" w:rsidR="00695359" w:rsidRPr="00D610D1" w:rsidRDefault="00695359" w:rsidP="00CC0719">
      <w:pPr>
        <w:pStyle w:val="Bullet2"/>
      </w:pPr>
      <w:r w:rsidRPr="00D610D1">
        <w:t xml:space="preserve">the directions are complex and the practitioner has supplied separate written instructions, </w:t>
      </w:r>
      <w:r w:rsidRPr="00D610D1">
        <w:rPr>
          <w:b/>
        </w:rPr>
        <w:t>or</w:t>
      </w:r>
    </w:p>
    <w:p w14:paraId="2EFD3C78" w14:textId="77777777" w:rsidR="00695359" w:rsidRPr="00D610D1" w:rsidRDefault="00695359" w:rsidP="00CC0719">
      <w:pPr>
        <w:pStyle w:val="Bullet2"/>
      </w:pPr>
      <w:r w:rsidRPr="00D610D1">
        <w:t xml:space="preserve">the </w:t>
      </w:r>
      <w:r>
        <w:t>medicine is</w:t>
      </w:r>
      <w:r w:rsidRPr="00D610D1">
        <w:t xml:space="preserve"> to be administered by a registered health practitioner (e.g. nurse, medical practitioner)</w:t>
      </w:r>
    </w:p>
    <w:p w14:paraId="4405826A" w14:textId="77777777" w:rsidR="00695359" w:rsidRPr="00D610D1" w:rsidRDefault="00695359" w:rsidP="00603BB3">
      <w:pPr>
        <w:pStyle w:val="Bullet2"/>
        <w:rPr>
          <w:lang w:eastAsia="en-AU"/>
        </w:rPr>
      </w:pPr>
      <w:r w:rsidRPr="00D610D1">
        <w:t>the date on which supply is made or the dispensing is recorded</w:t>
      </w:r>
      <w:r w:rsidR="00CC0719">
        <w:t xml:space="preserve"> (I</w:t>
      </w:r>
      <w:r w:rsidRPr="00D610D1">
        <w:rPr>
          <w:lang w:eastAsia="en-AU"/>
        </w:rPr>
        <w:t>t is recognised that date on which supply is made may differ from the date on which a medicine is dispensed in anticipation of later supplying the medicine</w:t>
      </w:r>
      <w:r w:rsidR="00CC0719">
        <w:rPr>
          <w:lang w:eastAsia="en-AU"/>
        </w:rPr>
        <w:t>)</w:t>
      </w:r>
      <w:r w:rsidRPr="00D610D1">
        <w:rPr>
          <w:lang w:eastAsia="en-AU"/>
        </w:rPr>
        <w:t>.</w:t>
      </w:r>
    </w:p>
    <w:p w14:paraId="2268E68A" w14:textId="77777777" w:rsidR="00695359" w:rsidRPr="00D610D1" w:rsidRDefault="00695359" w:rsidP="00695359">
      <w:pPr>
        <w:pStyle w:val="Bullet1"/>
      </w:pPr>
      <w:r w:rsidRPr="00D610D1">
        <w:t>the name, address and telephone number of the practitioner supplying the medicine</w:t>
      </w:r>
    </w:p>
    <w:p w14:paraId="2D61014B" w14:textId="77777777" w:rsidR="00695359" w:rsidRPr="00D610D1" w:rsidRDefault="00695359" w:rsidP="00695359">
      <w:pPr>
        <w:pStyle w:val="Bullet1"/>
      </w:pPr>
      <w:r w:rsidRPr="00D610D1">
        <w:t xml:space="preserve">the mandatory ‘sedation warning’ for a substance listed in Appendix K of the Poisons Standard </w:t>
      </w:r>
    </w:p>
    <w:p w14:paraId="7D7B66D2" w14:textId="77777777" w:rsidR="00695359" w:rsidRPr="00D610D1" w:rsidRDefault="00695359" w:rsidP="00695359">
      <w:pPr>
        <w:pStyle w:val="Bullet1"/>
      </w:pPr>
      <w:r w:rsidRPr="00D610D1">
        <w:t xml:space="preserve">the name of the </w:t>
      </w:r>
      <w:r w:rsidRPr="00D610D1">
        <w:rPr>
          <w:b/>
        </w:rPr>
        <w:t>person</w:t>
      </w:r>
      <w:r w:rsidRPr="00D610D1">
        <w:t xml:space="preserve"> for </w:t>
      </w:r>
      <w:r>
        <w:t>whom the medicine was dispensed</w:t>
      </w:r>
    </w:p>
    <w:p w14:paraId="0224788F" w14:textId="77777777" w:rsidR="00695359" w:rsidRDefault="00695359" w:rsidP="00CC0719">
      <w:pPr>
        <w:pStyle w:val="Bodyafterbullets"/>
      </w:pPr>
      <w:r w:rsidRPr="00D610D1">
        <w:rPr>
          <w:b/>
        </w:rPr>
        <w:t>Note</w:t>
      </w:r>
      <w:r w:rsidRPr="00D610D1">
        <w:t xml:space="preserve">: </w:t>
      </w:r>
      <w:r>
        <w:t>Additional information, about l</w:t>
      </w:r>
      <w:r w:rsidRPr="00D610D1">
        <w:t xml:space="preserve">abelling requirements for </w:t>
      </w:r>
      <w:r w:rsidRPr="00D610D1">
        <w:rPr>
          <w:b/>
        </w:rPr>
        <w:t>veterinary practitioners</w:t>
      </w:r>
      <w:r w:rsidRPr="00D610D1">
        <w:t xml:space="preserve"> and </w:t>
      </w:r>
      <w:r w:rsidRPr="00D610D1">
        <w:rPr>
          <w:b/>
        </w:rPr>
        <w:t>pharmacists</w:t>
      </w:r>
      <w:r>
        <w:t>,</w:t>
      </w:r>
      <w:r w:rsidRPr="00D610D1">
        <w:t xml:space="preserve"> are contained in the corresponding document for </w:t>
      </w:r>
      <w:r>
        <w:t xml:space="preserve">each of </w:t>
      </w:r>
      <w:r w:rsidRPr="00D610D1">
        <w:t>those practitioners.</w:t>
      </w:r>
    </w:p>
    <w:p w14:paraId="4C31B993" w14:textId="77777777" w:rsidR="00695359" w:rsidRDefault="00695359" w:rsidP="00CC0719">
      <w:pPr>
        <w:pStyle w:val="Body"/>
      </w:pPr>
      <w:r w:rsidRPr="007E0C35">
        <w:rPr>
          <w:b/>
          <w:bCs/>
        </w:rPr>
        <w:t>Containers</w:t>
      </w:r>
      <w:r w:rsidRPr="007E0C35">
        <w:t xml:space="preserve"> must be impervious to the contents, sufficiently sturdy to prevent leakage and capable of being securely re-closed. </w:t>
      </w:r>
    </w:p>
    <w:p w14:paraId="2AA91C04" w14:textId="77777777" w:rsidR="00695359" w:rsidRPr="004112DA" w:rsidRDefault="00695359" w:rsidP="00695359">
      <w:pPr>
        <w:pStyle w:val="Heading1"/>
      </w:pPr>
      <w:r>
        <w:lastRenderedPageBreak/>
        <w:t xml:space="preserve">Software </w:t>
      </w:r>
    </w:p>
    <w:p w14:paraId="34A4873E" w14:textId="77777777" w:rsidR="00695359" w:rsidRPr="004112DA" w:rsidRDefault="00695359" w:rsidP="00CC0719">
      <w:pPr>
        <w:pStyle w:val="Body"/>
      </w:pPr>
      <w:r w:rsidRPr="004112DA">
        <w:t xml:space="preserve">The Victorian Department of Health (DH) does </w:t>
      </w:r>
      <w:r w:rsidRPr="004112DA">
        <w:rPr>
          <w:b/>
        </w:rPr>
        <w:t>not</w:t>
      </w:r>
      <w:r w:rsidRPr="004112DA">
        <w:t xml:space="preserve"> approve software for use by health practitioners</w:t>
      </w:r>
      <w:r>
        <w:t>;</w:t>
      </w:r>
      <w:r w:rsidRPr="004112DA">
        <w:t xml:space="preserve"> there is no legislative provision to do so.</w:t>
      </w:r>
      <w:r>
        <w:t xml:space="preserve"> Accordingly, a</w:t>
      </w:r>
      <w:r w:rsidRPr="004112DA">
        <w:t xml:space="preserve">ny claims by a software supplier, that the </w:t>
      </w:r>
      <w:r>
        <w:t>department</w:t>
      </w:r>
      <w:r w:rsidRPr="004112DA">
        <w:t xml:space="preserve"> has approved its software for use in Victoria</w:t>
      </w:r>
      <w:r>
        <w:t>,</w:t>
      </w:r>
      <w:r w:rsidRPr="004112DA">
        <w:t xml:space="preserve"> are not correct.</w:t>
      </w:r>
    </w:p>
    <w:p w14:paraId="26E51B6F" w14:textId="77777777" w:rsidR="00695359" w:rsidRDefault="00695359" w:rsidP="00CC0719">
      <w:pPr>
        <w:pStyle w:val="Body"/>
      </w:pPr>
      <w:r w:rsidRPr="004112DA">
        <w:t>It is the responsibility of health practitioner</w:t>
      </w:r>
      <w:r>
        <w:t>s</w:t>
      </w:r>
      <w:r w:rsidRPr="004112DA">
        <w:t xml:space="preserve"> to comply with the provisions of the </w:t>
      </w:r>
      <w:r>
        <w:t>Act and r</w:t>
      </w:r>
      <w:r w:rsidRPr="004112DA">
        <w:t xml:space="preserve">egulations and to ensure that </w:t>
      </w:r>
      <w:r>
        <w:t xml:space="preserve">any </w:t>
      </w:r>
      <w:r w:rsidRPr="004112DA">
        <w:t xml:space="preserve">selected software enables them to do so. </w:t>
      </w:r>
      <w:r>
        <w:t>Therefore, i</w:t>
      </w:r>
      <w:r w:rsidRPr="004112DA">
        <w:t xml:space="preserve">t is advisable to seek confirmation, from prospective software suppliers, that software will enable the health practitioner to comply with the legislation </w:t>
      </w:r>
      <w:r w:rsidRPr="004112DA">
        <w:rPr>
          <w:b/>
        </w:rPr>
        <w:t>and</w:t>
      </w:r>
      <w:r w:rsidRPr="004112DA">
        <w:t xml:space="preserve"> that following the provided operating instructions will ensure compliance with the legislation. </w:t>
      </w:r>
    </w:p>
    <w:p w14:paraId="3E5A36DC" w14:textId="77777777" w:rsidR="00695359" w:rsidRPr="00093AE1" w:rsidRDefault="00695359" w:rsidP="00695359">
      <w:pPr>
        <w:pStyle w:val="Heading1"/>
      </w:pPr>
      <w:r w:rsidRPr="00093AE1">
        <w:t>Matters to be reported to MPR and/or police</w:t>
      </w:r>
    </w:p>
    <w:p w14:paraId="25F75EFB" w14:textId="77777777" w:rsidR="00695359" w:rsidRDefault="00695359" w:rsidP="00695359">
      <w:pPr>
        <w:pStyle w:val="Body"/>
      </w:pPr>
      <w:r>
        <w:t xml:space="preserve">For information about matters to be reported and how to submit reports, please refer to the document ‘Possession and storage of Schedule 4 and 8 </w:t>
      </w:r>
      <w:proofErr w:type="gramStart"/>
      <w:r>
        <w:t>poisons’</w:t>
      </w:r>
      <w:proofErr w:type="gramEnd"/>
      <w:r>
        <w:t>.</w:t>
      </w:r>
    </w:p>
    <w:p w14:paraId="1E037A7C" w14:textId="77777777" w:rsidR="00EE1E74" w:rsidRPr="00093AE1" w:rsidRDefault="00EE1E74" w:rsidP="00093AE1">
      <w:pPr>
        <w:pStyle w:val="Heading1"/>
      </w:pPr>
      <w:r w:rsidRPr="00093AE1">
        <w:t>For further information</w:t>
      </w:r>
    </w:p>
    <w:p w14:paraId="067E9C79" w14:textId="77777777" w:rsidR="00EE1E74" w:rsidRPr="001F5244" w:rsidRDefault="00EE1E74" w:rsidP="00093AE1">
      <w:pPr>
        <w:pStyle w:val="Heading2"/>
      </w:pPr>
      <w:r w:rsidRPr="001F5244">
        <w:t>Department of Health (DH)</w:t>
      </w:r>
    </w:p>
    <w:p w14:paraId="424594FD" w14:textId="77777777" w:rsidR="00EE1E74" w:rsidRPr="00093AE1" w:rsidRDefault="00EE1E74" w:rsidP="00093AE1">
      <w:pPr>
        <w:pStyle w:val="Heading3"/>
      </w:pPr>
      <w:r w:rsidRPr="00093AE1">
        <w:t>Medicines and Poisons Regulation</w:t>
      </w:r>
    </w:p>
    <w:p w14:paraId="605E7DB6" w14:textId="77777777" w:rsidR="00B878C2" w:rsidRDefault="00B878C2" w:rsidP="00B878C2">
      <w:pPr>
        <w:pStyle w:val="Bodynospace"/>
      </w:pPr>
      <w:r w:rsidRPr="00B724C2">
        <w:t>50 Lonsdale Street</w:t>
      </w:r>
    </w:p>
    <w:p w14:paraId="10EC4473" w14:textId="15481D0E" w:rsidR="00A832C6" w:rsidRDefault="00B878C2" w:rsidP="00B878C2">
      <w:pPr>
        <w:pStyle w:val="Bodynospace"/>
      </w:pPr>
      <w:r w:rsidRPr="00B724C2">
        <w:t>Melbourne, 3000</w:t>
      </w:r>
    </w:p>
    <w:p w14:paraId="04BBD30E" w14:textId="77777777" w:rsidR="00A832C6" w:rsidRPr="006A4FEC" w:rsidRDefault="00A832C6" w:rsidP="00A832C6">
      <w:pPr>
        <w:pStyle w:val="Bodynospace"/>
      </w:pPr>
      <w:r w:rsidRPr="006A4FEC">
        <w:t>Fax: 1300 360 830</w:t>
      </w:r>
    </w:p>
    <w:p w14:paraId="349C816D" w14:textId="77777777" w:rsidR="00A832C6" w:rsidRPr="006A4FEC" w:rsidRDefault="00A832C6" w:rsidP="00A832C6">
      <w:pPr>
        <w:pStyle w:val="Bodynospace"/>
      </w:pPr>
      <w:r w:rsidRPr="006A4FEC">
        <w:t>Email: dpcs@</w:t>
      </w:r>
      <w:r>
        <w:t>health</w:t>
      </w:r>
      <w:r w:rsidRPr="006A4FEC">
        <w:t>.vic.gov.au</w:t>
      </w:r>
    </w:p>
    <w:p w14:paraId="27F27FFD" w14:textId="412B8234" w:rsidR="00A832C6" w:rsidRPr="009D6145" w:rsidRDefault="00A832C6" w:rsidP="00A832C6">
      <w:pPr>
        <w:pStyle w:val="Bodynospace"/>
      </w:pPr>
      <w:r w:rsidRPr="006A4FEC">
        <w:t xml:space="preserve">Web: </w:t>
      </w:r>
      <w:hyperlink r:id="rId19" w:history="1">
        <w:r w:rsidRPr="00B742CE">
          <w:rPr>
            <w:rStyle w:val="Hyperlink"/>
          </w:rPr>
          <w:t>www.health.vic.gov.au/dpcs</w:t>
        </w:r>
      </w:hyperlink>
    </w:p>
    <w:p w14:paraId="369487B1" w14:textId="77777777" w:rsidR="00180A37" w:rsidRDefault="00180A37" w:rsidP="00180A37">
      <w:pPr>
        <w:pStyle w:val="Bodynospace"/>
        <w:rPr>
          <w:b/>
        </w:rPr>
      </w:pPr>
      <w:bookmarkStart w:id="2" w:name="_Hlk31204748"/>
    </w:p>
    <w:p w14:paraId="7B2662BF" w14:textId="77777777" w:rsidR="00180A37" w:rsidRPr="00EB0BBF" w:rsidRDefault="00180A37" w:rsidP="00180A37">
      <w:pPr>
        <w:pStyle w:val="Bodynospace"/>
        <w:rPr>
          <w:bCs/>
        </w:rPr>
      </w:pPr>
      <w:r w:rsidRPr="00EB0BBF">
        <w:rPr>
          <w:bCs/>
        </w:rPr>
        <w:t>For queries relating to the Act or regulations, please:</w:t>
      </w:r>
    </w:p>
    <w:p w14:paraId="0AA7243D" w14:textId="77777777" w:rsidR="00180A37" w:rsidRDefault="00180A37" w:rsidP="00180A37">
      <w:pPr>
        <w:pStyle w:val="Bullet1"/>
      </w:pPr>
      <w:r>
        <w:t xml:space="preserve">refer to the ‘Documents to print or download’ that are available on the MPR website (see </w:t>
      </w:r>
      <w:r w:rsidR="00FC5547">
        <w:t>below</w:t>
      </w:r>
      <w:r>
        <w:t>); or</w:t>
      </w:r>
    </w:p>
    <w:p w14:paraId="6C7BDD8A" w14:textId="61367F5D" w:rsidR="00180A37" w:rsidRDefault="00180A37" w:rsidP="00EB0BBF">
      <w:pPr>
        <w:pStyle w:val="Bullet1"/>
      </w:pPr>
      <w:r>
        <w:t xml:space="preserve">if you are unable to address your query by referring to those documents, please forward your query via e-mail to </w:t>
      </w:r>
      <w:hyperlink r:id="rId20" w:history="1">
        <w:r>
          <w:rPr>
            <w:rStyle w:val="Hyperlink"/>
            <w:rFonts w:eastAsia="Times New Roman" w:cs="Calibri"/>
            <w:spacing w:val="-3"/>
          </w:rPr>
          <w:t>dpcs@health.vic.gov.au</w:t>
        </w:r>
      </w:hyperlink>
      <w:bookmarkEnd w:id="2"/>
    </w:p>
    <w:p w14:paraId="66EEF037" w14:textId="77777777" w:rsidR="00EE1E74" w:rsidRPr="00093AE1" w:rsidRDefault="00EE1E74" w:rsidP="00093AE1">
      <w:pPr>
        <w:pStyle w:val="Heading2"/>
      </w:pPr>
      <w:r w:rsidRPr="00093AE1">
        <w:t>Documents to print or download from the MPR website</w:t>
      </w:r>
    </w:p>
    <w:p w14:paraId="77825C32" w14:textId="1D463E42" w:rsidR="00EE1E74" w:rsidRPr="007A6685" w:rsidRDefault="00EE1E74" w:rsidP="00093AE1">
      <w:pPr>
        <w:pStyle w:val="Body"/>
      </w:pPr>
      <w:r w:rsidRPr="007A6685">
        <w:t xml:space="preserve">The </w:t>
      </w:r>
      <w:hyperlink r:id="rId21" w:history="1">
        <w:r w:rsidRPr="008463D5">
          <w:rPr>
            <w:rStyle w:val="Hyperlink"/>
          </w:rPr>
          <w:t>Medicines and poisons webpage</w:t>
        </w:r>
      </w:hyperlink>
      <w:r>
        <w:t xml:space="preserve"> </w:t>
      </w:r>
      <w:r w:rsidR="00A832C6">
        <w:t>&lt;</w:t>
      </w:r>
      <w:r w:rsidR="00A832C6" w:rsidRPr="008463D5">
        <w:t>http://www.health.vic.gov.au/dpcs</w:t>
      </w:r>
      <w:r w:rsidR="00A832C6">
        <w:t>&gt;</w:t>
      </w:r>
      <w:r w:rsidR="00E73CD3">
        <w:t xml:space="preserve"> </w:t>
      </w:r>
      <w:r>
        <w:t xml:space="preserve">on the </w:t>
      </w:r>
      <w:proofErr w:type="spellStart"/>
      <w:r>
        <w:t>Health.</w:t>
      </w:r>
      <w:r w:rsidR="00A832C6">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5F17F1C8" w14:textId="77777777" w:rsidR="00EE1E74" w:rsidRPr="00025C10" w:rsidRDefault="00EE1E74" w:rsidP="00093AE1">
      <w:pPr>
        <w:pStyle w:val="Bullet1"/>
      </w:pPr>
      <w:r w:rsidRPr="00025C10">
        <w:t>Issues relating to multiple categories of health practitioner, including:</w:t>
      </w:r>
    </w:p>
    <w:p w14:paraId="34A37D2B" w14:textId="77777777" w:rsidR="00EE1E74" w:rsidRPr="007A6685" w:rsidRDefault="00EE1E74" w:rsidP="00093AE1">
      <w:pPr>
        <w:pStyle w:val="Bullet2"/>
      </w:pPr>
      <w:r w:rsidRPr="007A6685">
        <w:t xml:space="preserve">Possession and storage </w:t>
      </w:r>
    </w:p>
    <w:p w14:paraId="7F05A998" w14:textId="77777777" w:rsidR="00EE1E74" w:rsidRPr="007A6685" w:rsidRDefault="00EE1E74" w:rsidP="00093AE1">
      <w:pPr>
        <w:pStyle w:val="Bullet2"/>
      </w:pPr>
      <w:r w:rsidRPr="007A6685">
        <w:t>Supply, administration and record</w:t>
      </w:r>
      <w:r w:rsidR="00CC0719">
        <w:t>ing</w:t>
      </w:r>
      <w:r w:rsidRPr="007A6685">
        <w:t xml:space="preserve"> </w:t>
      </w:r>
    </w:p>
    <w:p w14:paraId="1748174B" w14:textId="77777777" w:rsidR="00EE1E74" w:rsidRPr="007A6685" w:rsidRDefault="00EE1E74" w:rsidP="00093AE1">
      <w:pPr>
        <w:pStyle w:val="Bullet2"/>
      </w:pPr>
      <w:r w:rsidRPr="007A6685">
        <w:t xml:space="preserve">Prescribing </w:t>
      </w:r>
    </w:p>
    <w:p w14:paraId="43B26173" w14:textId="77777777" w:rsidR="00EE1E74" w:rsidRPr="007A6685" w:rsidRDefault="00EE1E74" w:rsidP="00093AE1">
      <w:pPr>
        <w:pStyle w:val="Bullet2"/>
      </w:pPr>
      <w:r>
        <w:t>Criteria for lawful</w:t>
      </w:r>
      <w:r w:rsidRPr="007A6685">
        <w:t xml:space="preserve"> prescriptions</w:t>
      </w:r>
    </w:p>
    <w:p w14:paraId="2D516460" w14:textId="77777777" w:rsidR="00EE1E74" w:rsidRDefault="00EE1E74" w:rsidP="00093AE1">
      <w:pPr>
        <w:pStyle w:val="Bullet2"/>
      </w:pPr>
      <w:r>
        <w:t>All reasonable steps and other key terms</w:t>
      </w:r>
    </w:p>
    <w:p w14:paraId="26848A6C" w14:textId="77777777" w:rsidR="00EE1E74" w:rsidRPr="007A6685" w:rsidRDefault="00EE1E74" w:rsidP="00093AE1">
      <w:pPr>
        <w:pStyle w:val="Bullet2"/>
      </w:pPr>
      <w:r w:rsidRPr="007A6685">
        <w:t>Schedule 2 and 3 poisons</w:t>
      </w:r>
    </w:p>
    <w:p w14:paraId="45BF1904"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4F2F88BE" w14:textId="77777777" w:rsidR="00EE1E74" w:rsidRDefault="00EE1E74" w:rsidP="00093AE1">
      <w:pPr>
        <w:pStyle w:val="Bullet2"/>
      </w:pPr>
      <w:r>
        <w:lastRenderedPageBreak/>
        <w:t>Medical practitioners</w:t>
      </w:r>
    </w:p>
    <w:p w14:paraId="6D9DB624" w14:textId="77777777" w:rsidR="00EE1E74" w:rsidRDefault="00EE1E74" w:rsidP="00093AE1">
      <w:pPr>
        <w:pStyle w:val="Bullet2"/>
      </w:pPr>
      <w:r>
        <w:t>Pharmacists</w:t>
      </w:r>
    </w:p>
    <w:p w14:paraId="56616A1A" w14:textId="77777777" w:rsidR="00EE1E74" w:rsidRDefault="00EE1E74" w:rsidP="00093AE1">
      <w:pPr>
        <w:pStyle w:val="Bullet2"/>
      </w:pPr>
      <w:r>
        <w:t>Nurses and midwives</w:t>
      </w:r>
    </w:p>
    <w:p w14:paraId="72305E5B" w14:textId="77777777" w:rsidR="00EE1E74" w:rsidRDefault="00EE1E74" w:rsidP="00093AE1">
      <w:pPr>
        <w:pStyle w:val="Bullet2"/>
      </w:pPr>
      <w:r>
        <w:t>Nurses and midwives with registration endorsement (e.g. nurse practitioners, authorised midwives, etc.)</w:t>
      </w:r>
    </w:p>
    <w:p w14:paraId="44A0AD03" w14:textId="77777777" w:rsidR="00EE1E74" w:rsidRDefault="00EE1E74" w:rsidP="00093AE1">
      <w:pPr>
        <w:pStyle w:val="Bullet2"/>
      </w:pPr>
      <w:r>
        <w:t>Dentists (and other dental practitioners)</w:t>
      </w:r>
    </w:p>
    <w:p w14:paraId="631A31EA" w14:textId="77777777" w:rsidR="00EE1E74" w:rsidRDefault="00EE1E74" w:rsidP="00093AE1">
      <w:pPr>
        <w:pStyle w:val="Bullet2"/>
      </w:pPr>
      <w:r>
        <w:t>Optometrists (and orthoptists)</w:t>
      </w:r>
    </w:p>
    <w:p w14:paraId="7EF9D870" w14:textId="77777777" w:rsidR="00EE1E74" w:rsidRDefault="00EE1E74" w:rsidP="00093AE1">
      <w:pPr>
        <w:pStyle w:val="Bullet2"/>
      </w:pPr>
      <w:r>
        <w:t>Podiatrists</w:t>
      </w:r>
    </w:p>
    <w:p w14:paraId="51F1393F" w14:textId="77777777" w:rsidR="00EE1E74" w:rsidRDefault="00EE1E74" w:rsidP="00093AE1">
      <w:pPr>
        <w:pStyle w:val="Bullet2"/>
      </w:pPr>
      <w:r>
        <w:t>Veterinary practitioners</w:t>
      </w:r>
    </w:p>
    <w:p w14:paraId="2E2E09C4" w14:textId="77777777" w:rsidR="00EE1E74" w:rsidRPr="00093AE1" w:rsidRDefault="00EE1E74" w:rsidP="00093AE1">
      <w:pPr>
        <w:pStyle w:val="Heading2"/>
      </w:pPr>
      <w:r w:rsidRPr="00093AE1">
        <w:t>Other possible sources of information</w:t>
      </w:r>
    </w:p>
    <w:p w14:paraId="373982EA" w14:textId="77777777" w:rsidR="00EE1E74" w:rsidRPr="007A6685" w:rsidRDefault="00EE1E74" w:rsidP="00093AE1">
      <w:pPr>
        <w:pStyle w:val="Heading3"/>
      </w:pPr>
      <w:r w:rsidRPr="007A6685">
        <w:t>Australian Health Practitioner Regulation Agency</w:t>
      </w:r>
      <w:r>
        <w:t xml:space="preserve"> (Ahpra)</w:t>
      </w:r>
    </w:p>
    <w:p w14:paraId="34601543" w14:textId="77777777" w:rsidR="00EE1E74" w:rsidRDefault="00EE1E74" w:rsidP="00093AE1">
      <w:pPr>
        <w:pStyle w:val="Body"/>
        <w:rPr>
          <w:rStyle w:val="Hyperlink"/>
        </w:rPr>
      </w:pPr>
      <w:r w:rsidRPr="00456AFD">
        <w:t xml:space="preserve">Web: </w:t>
      </w:r>
      <w:hyperlink r:id="rId22" w:history="1">
        <w:r w:rsidRPr="002674FB">
          <w:rPr>
            <w:rStyle w:val="Hyperlink"/>
          </w:rPr>
          <w:t>www.ahpra.gov.au</w:t>
        </w:r>
      </w:hyperlink>
    </w:p>
    <w:p w14:paraId="651C8567" w14:textId="77777777" w:rsidR="000708F3" w:rsidRDefault="000708F3" w:rsidP="000708F3">
      <w:pPr>
        <w:pStyle w:val="Heading3"/>
      </w:pPr>
      <w:r>
        <w:t>Drug and Alcohol Clinical Advisory Service (1800 812 804)</w:t>
      </w:r>
    </w:p>
    <w:p w14:paraId="1236A6FF" w14:textId="77777777" w:rsidR="000708F3" w:rsidRDefault="000708F3" w:rsidP="000708F3">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55B151A9" w14:textId="77777777" w:rsidR="000708F3" w:rsidRDefault="000708F3" w:rsidP="000708F3">
      <w:pPr>
        <w:pStyle w:val="Heading3"/>
      </w:pPr>
      <w:r>
        <w:t>Direct Line (1800 888 236)</w:t>
      </w:r>
    </w:p>
    <w:p w14:paraId="0E96B61C" w14:textId="77777777" w:rsidR="000708F3" w:rsidRDefault="000708F3" w:rsidP="000708F3">
      <w:pPr>
        <w:pStyle w:val="Bullet1"/>
        <w:numPr>
          <w:ilvl w:val="0"/>
          <w:numId w:val="41"/>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7707D14F" w14:textId="2ACF1AFB" w:rsidR="00EE1E74" w:rsidRDefault="000708F3" w:rsidP="00EB0BBF">
      <w:pPr>
        <w:pStyle w:val="Bullet1"/>
        <w:numPr>
          <w:ilvl w:val="0"/>
          <w:numId w:val="41"/>
        </w:numPr>
        <w:tabs>
          <w:tab w:val="left" w:pos="720"/>
        </w:tabs>
      </w:pPr>
      <w:r>
        <w:t>24-hour advisory service about available</w:t>
      </w:r>
      <w:r>
        <w:rPr>
          <w:b/>
        </w:rPr>
        <w:t xml:space="preserve"> treatment facilities </w:t>
      </w:r>
      <w:r>
        <w:t>for patients, family or health practitioners</w:t>
      </w:r>
    </w:p>
    <w:p w14:paraId="01F5AA3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61D1805" w14:textId="77777777" w:rsidTr="00EC40D5">
        <w:tc>
          <w:tcPr>
            <w:tcW w:w="10194" w:type="dxa"/>
          </w:tcPr>
          <w:p w14:paraId="488F52F3" w14:textId="3C64C97C" w:rsidR="00EE1E74" w:rsidRDefault="0055119B" w:rsidP="00E33237">
            <w:pPr>
              <w:pStyle w:val="Imprint"/>
              <w:rPr>
                <w:rStyle w:val="Hyperlink"/>
              </w:rPr>
            </w:pPr>
            <w:bookmarkStart w:id="3" w:name="_Hlk37240926"/>
            <w:r w:rsidRPr="0055119B">
              <w:t xml:space="preserve">To receive this document in another format </w:t>
            </w:r>
            <w:hyperlink r:id="rId23" w:history="1">
              <w:r w:rsidR="00AD1982" w:rsidRPr="00EB0BBF">
                <w:rPr>
                  <w:rStyle w:val="Hyperlink"/>
                  <w:color w:val="000000" w:themeColor="text1"/>
                </w:rPr>
                <w:t xml:space="preserve">email </w:t>
              </w:r>
              <w:r w:rsidR="00AD1982" w:rsidRPr="00A938C0">
                <w:rPr>
                  <w:rStyle w:val="Hyperlink"/>
                </w:rPr>
                <w:t>dpcs@health.vic.gov.au</w:t>
              </w:r>
            </w:hyperlink>
          </w:p>
          <w:p w14:paraId="3D6E07C0" w14:textId="77777777" w:rsidR="0055119B" w:rsidRPr="0055119B" w:rsidRDefault="0055119B" w:rsidP="00E33237">
            <w:pPr>
              <w:pStyle w:val="Imprint"/>
            </w:pPr>
            <w:r w:rsidRPr="0055119B">
              <w:t>Authorised and published by the Victorian Government, 1 Treasury Place, Melbourne.</w:t>
            </w:r>
          </w:p>
          <w:p w14:paraId="412C2891" w14:textId="1E634618" w:rsidR="0055119B" w:rsidRDefault="0055119B" w:rsidP="00E33237">
            <w:pPr>
              <w:pStyle w:val="Imprint"/>
            </w:pPr>
            <w:r w:rsidRPr="0055119B">
              <w:t xml:space="preserve">© State of Victoria, Australia, </w:t>
            </w:r>
            <w:r w:rsidR="001E2A36" w:rsidRPr="001E2A36">
              <w:t>Department of Health</w:t>
            </w:r>
            <w:r w:rsidRPr="0055119B">
              <w:t xml:space="preserve">, </w:t>
            </w:r>
            <w:r w:rsidR="00C42F8B">
              <w:rPr>
                <w:color w:val="004C97"/>
              </w:rPr>
              <w:t>June 2025</w:t>
            </w:r>
            <w:r w:rsidRPr="0055119B">
              <w:t>.</w:t>
            </w:r>
          </w:p>
        </w:tc>
      </w:tr>
      <w:bookmarkEnd w:id="3"/>
    </w:tbl>
    <w:p w14:paraId="352F4D63"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2C96" w14:textId="77777777" w:rsidR="0068769B" w:rsidRDefault="0068769B">
      <w:r>
        <w:separator/>
      </w:r>
    </w:p>
  </w:endnote>
  <w:endnote w:type="continuationSeparator" w:id="0">
    <w:p w14:paraId="2D057669" w14:textId="77777777" w:rsidR="0068769B" w:rsidRDefault="0068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42A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1314CF3" wp14:editId="1B61E61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5C5A63A" wp14:editId="5A86C1A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EBB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5A63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36EBB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678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EC11C67" wp14:editId="516BA6B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3D57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C11C6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593D57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7549" w14:textId="77777777" w:rsidR="008F56A1" w:rsidRDefault="008F56A1" w:rsidP="008F56A1">
    <w:pPr>
      <w:pStyle w:val="Footer"/>
    </w:pPr>
    <w:r>
      <w:rPr>
        <w:noProof/>
      </w:rPr>
      <mc:AlternateContent>
        <mc:Choice Requires="wps">
          <w:drawing>
            <wp:anchor distT="0" distB="0" distL="114300" distR="114300" simplePos="0" relativeHeight="251678208" behindDoc="0" locked="0" layoutInCell="0" allowOverlap="1" wp14:anchorId="29E7615F" wp14:editId="2C8F3767">
              <wp:simplePos x="0" y="0"/>
              <wp:positionH relativeFrom="page">
                <wp:posOffset>0</wp:posOffset>
              </wp:positionH>
              <wp:positionV relativeFrom="page">
                <wp:posOffset>10189210</wp:posOffset>
              </wp:positionV>
              <wp:extent cx="7560310" cy="311785"/>
              <wp:effectExtent l="0" t="0" r="0" b="12065"/>
              <wp:wrapNone/>
              <wp:docPr id="9" name="MSIPCM255d455c970e15b49e4ac9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48A71"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E7615F" id="_x0000_t202" coordsize="21600,21600" o:spt="202" path="m,l,21600r21600,l21600,xe">
              <v:stroke joinstyle="miter"/>
              <v:path gradientshapeok="t" o:connecttype="rect"/>
            </v:shapetype>
            <v:shape id="MSIPCM255d455c970e15b49e4ac9c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CB48A71"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v:textbox>
              <w10:wrap anchorx="page" anchory="page"/>
            </v:shape>
          </w:pict>
        </mc:Fallback>
      </mc:AlternateContent>
    </w: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6160" behindDoc="0" locked="0" layoutInCell="0" allowOverlap="1" wp14:anchorId="0D4D459C" wp14:editId="6874275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805F2"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4D459C" id="Text Box 4"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C7805F2"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0" allowOverlap="1" wp14:anchorId="4B1550BA" wp14:editId="0BC6C48B">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79CB6"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550BA"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C079CB6"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3459" w14:textId="77777777" w:rsidR="0068769B" w:rsidRDefault="0068769B" w:rsidP="002862F1">
      <w:pPr>
        <w:spacing w:before="120"/>
      </w:pPr>
      <w:r>
        <w:separator/>
      </w:r>
    </w:p>
  </w:footnote>
  <w:footnote w:type="continuationSeparator" w:id="0">
    <w:p w14:paraId="7C02F018" w14:textId="77777777" w:rsidR="0068769B" w:rsidRDefault="0068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3D8C" w14:textId="77777777" w:rsidR="002D4476" w:rsidRDefault="00B0596F">
    <w:pPr>
      <w:pStyle w:val="Header"/>
    </w:pPr>
    <w:r>
      <w:t xml:space="preserve">Prescribing </w:t>
    </w:r>
    <w:r w:rsidR="00A6448B">
      <w:t>requirements for health practitioners</w:t>
    </w:r>
  </w:p>
  <w:p w14:paraId="7E630530"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09674587">
    <w:abstractNumId w:val="10"/>
  </w:num>
  <w:num w:numId="2" w16cid:durableId="359475512">
    <w:abstractNumId w:val="18"/>
  </w:num>
  <w:num w:numId="3" w16cid:durableId="1667048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573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50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298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6514872">
    <w:abstractNumId w:val="22"/>
  </w:num>
  <w:num w:numId="8" w16cid:durableId="179584363">
    <w:abstractNumId w:val="17"/>
  </w:num>
  <w:num w:numId="9" w16cid:durableId="2057047546">
    <w:abstractNumId w:val="21"/>
  </w:num>
  <w:num w:numId="10" w16cid:durableId="1453328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5285247">
    <w:abstractNumId w:val="23"/>
  </w:num>
  <w:num w:numId="12" w16cid:durableId="11413416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712467">
    <w:abstractNumId w:val="19"/>
  </w:num>
  <w:num w:numId="14" w16cid:durableId="1136529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42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4357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1674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1159781">
    <w:abstractNumId w:val="25"/>
  </w:num>
  <w:num w:numId="19" w16cid:durableId="1292370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671256">
    <w:abstractNumId w:val="15"/>
  </w:num>
  <w:num w:numId="21" w16cid:durableId="171722150">
    <w:abstractNumId w:val="13"/>
  </w:num>
  <w:num w:numId="22" w16cid:durableId="2084713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6281273">
    <w:abstractNumId w:val="16"/>
  </w:num>
  <w:num w:numId="24" w16cid:durableId="36664505">
    <w:abstractNumId w:val="26"/>
  </w:num>
  <w:num w:numId="25" w16cid:durableId="2066491933">
    <w:abstractNumId w:val="24"/>
  </w:num>
  <w:num w:numId="26" w16cid:durableId="1165708530">
    <w:abstractNumId w:val="20"/>
  </w:num>
  <w:num w:numId="27" w16cid:durableId="256671049">
    <w:abstractNumId w:val="12"/>
  </w:num>
  <w:num w:numId="28" w16cid:durableId="306319792">
    <w:abstractNumId w:val="27"/>
  </w:num>
  <w:num w:numId="29" w16cid:durableId="1142507305">
    <w:abstractNumId w:val="9"/>
  </w:num>
  <w:num w:numId="30" w16cid:durableId="1941641634">
    <w:abstractNumId w:val="7"/>
  </w:num>
  <w:num w:numId="31" w16cid:durableId="440999940">
    <w:abstractNumId w:val="6"/>
  </w:num>
  <w:num w:numId="32" w16cid:durableId="127214164">
    <w:abstractNumId w:val="5"/>
  </w:num>
  <w:num w:numId="33" w16cid:durableId="1854877818">
    <w:abstractNumId w:val="4"/>
  </w:num>
  <w:num w:numId="34" w16cid:durableId="2092847920">
    <w:abstractNumId w:val="8"/>
  </w:num>
  <w:num w:numId="35" w16cid:durableId="687800943">
    <w:abstractNumId w:val="3"/>
  </w:num>
  <w:num w:numId="36" w16cid:durableId="1120535066">
    <w:abstractNumId w:val="2"/>
  </w:num>
  <w:num w:numId="37" w16cid:durableId="491337327">
    <w:abstractNumId w:val="1"/>
  </w:num>
  <w:num w:numId="38" w16cid:durableId="1324090071">
    <w:abstractNumId w:val="0"/>
  </w:num>
  <w:num w:numId="39" w16cid:durableId="641541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2428488">
    <w:abstractNumId w:val="11"/>
  </w:num>
  <w:num w:numId="41" w16cid:durableId="57181627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028180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5B2F"/>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3E0"/>
    <w:rsid w:val="000578B2"/>
    <w:rsid w:val="00060959"/>
    <w:rsid w:val="00060C8F"/>
    <w:rsid w:val="0006298A"/>
    <w:rsid w:val="000663CD"/>
    <w:rsid w:val="000708F3"/>
    <w:rsid w:val="000733FE"/>
    <w:rsid w:val="00074219"/>
    <w:rsid w:val="00074ED5"/>
    <w:rsid w:val="000754A0"/>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59C7"/>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126"/>
    <w:rsid w:val="00165459"/>
    <w:rsid w:val="00165A57"/>
    <w:rsid w:val="001712C2"/>
    <w:rsid w:val="00172BAF"/>
    <w:rsid w:val="001771DD"/>
    <w:rsid w:val="00177995"/>
    <w:rsid w:val="00177A8C"/>
    <w:rsid w:val="00180A37"/>
    <w:rsid w:val="001842FD"/>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1BC1"/>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4D21"/>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75F"/>
    <w:rsid w:val="002A0A9C"/>
    <w:rsid w:val="002A483C"/>
    <w:rsid w:val="002B0C7C"/>
    <w:rsid w:val="002B1729"/>
    <w:rsid w:val="002B36C7"/>
    <w:rsid w:val="002B4DD4"/>
    <w:rsid w:val="002B5277"/>
    <w:rsid w:val="002B5375"/>
    <w:rsid w:val="002B77C1"/>
    <w:rsid w:val="002B7CE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05FF"/>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11F"/>
    <w:rsid w:val="00386944"/>
    <w:rsid w:val="00387225"/>
    <w:rsid w:val="0039011D"/>
    <w:rsid w:val="003956CC"/>
    <w:rsid w:val="00395C9A"/>
    <w:rsid w:val="00396DD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24AA"/>
    <w:rsid w:val="004D36F2"/>
    <w:rsid w:val="004E1106"/>
    <w:rsid w:val="004E138F"/>
    <w:rsid w:val="004E3C38"/>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1FD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8769B"/>
    <w:rsid w:val="00691B62"/>
    <w:rsid w:val="006933B5"/>
    <w:rsid w:val="00693D14"/>
    <w:rsid w:val="00695359"/>
    <w:rsid w:val="00696F27"/>
    <w:rsid w:val="006A18C2"/>
    <w:rsid w:val="006A2DB3"/>
    <w:rsid w:val="006A3383"/>
    <w:rsid w:val="006A650A"/>
    <w:rsid w:val="006B077C"/>
    <w:rsid w:val="006B18D2"/>
    <w:rsid w:val="006B6803"/>
    <w:rsid w:val="006D0F16"/>
    <w:rsid w:val="006D2A3F"/>
    <w:rsid w:val="006D2FBC"/>
    <w:rsid w:val="006E0541"/>
    <w:rsid w:val="006E138B"/>
    <w:rsid w:val="006E230A"/>
    <w:rsid w:val="006F0330"/>
    <w:rsid w:val="006F1FDC"/>
    <w:rsid w:val="006F6B8C"/>
    <w:rsid w:val="007013EF"/>
    <w:rsid w:val="007055BD"/>
    <w:rsid w:val="007173CA"/>
    <w:rsid w:val="007216AA"/>
    <w:rsid w:val="00721AB5"/>
    <w:rsid w:val="00721CFB"/>
    <w:rsid w:val="00721DEF"/>
    <w:rsid w:val="0072251A"/>
    <w:rsid w:val="00724A43"/>
    <w:rsid w:val="007269B6"/>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41EF"/>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3793"/>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2A07"/>
    <w:rsid w:val="008D4236"/>
    <w:rsid w:val="008D462F"/>
    <w:rsid w:val="008D6DCF"/>
    <w:rsid w:val="008E1DA7"/>
    <w:rsid w:val="008E31BE"/>
    <w:rsid w:val="008E3DE9"/>
    <w:rsid w:val="008E4376"/>
    <w:rsid w:val="008E7A0A"/>
    <w:rsid w:val="008E7B49"/>
    <w:rsid w:val="008F10D2"/>
    <w:rsid w:val="008F56A1"/>
    <w:rsid w:val="008F59F6"/>
    <w:rsid w:val="00900719"/>
    <w:rsid w:val="009017AC"/>
    <w:rsid w:val="00902A9A"/>
    <w:rsid w:val="00904A1C"/>
    <w:rsid w:val="00904AB4"/>
    <w:rsid w:val="00905030"/>
    <w:rsid w:val="00906490"/>
    <w:rsid w:val="009111B2"/>
    <w:rsid w:val="009151F5"/>
    <w:rsid w:val="00916D82"/>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31DB"/>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1D1C"/>
    <w:rsid w:val="00A330BB"/>
    <w:rsid w:val="00A44882"/>
    <w:rsid w:val="00A45125"/>
    <w:rsid w:val="00A54715"/>
    <w:rsid w:val="00A6061C"/>
    <w:rsid w:val="00A62D44"/>
    <w:rsid w:val="00A6448B"/>
    <w:rsid w:val="00A67263"/>
    <w:rsid w:val="00A7161C"/>
    <w:rsid w:val="00A77AA3"/>
    <w:rsid w:val="00A8236D"/>
    <w:rsid w:val="00A832C6"/>
    <w:rsid w:val="00A854EB"/>
    <w:rsid w:val="00A872E5"/>
    <w:rsid w:val="00A91406"/>
    <w:rsid w:val="00A96E65"/>
    <w:rsid w:val="00A97C72"/>
    <w:rsid w:val="00AA268E"/>
    <w:rsid w:val="00AA310B"/>
    <w:rsid w:val="00AA63D4"/>
    <w:rsid w:val="00AB06E8"/>
    <w:rsid w:val="00AB1CD3"/>
    <w:rsid w:val="00AB352F"/>
    <w:rsid w:val="00AC1E11"/>
    <w:rsid w:val="00AC274B"/>
    <w:rsid w:val="00AC4764"/>
    <w:rsid w:val="00AC4C8C"/>
    <w:rsid w:val="00AC5B85"/>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AF7294"/>
    <w:rsid w:val="00B00672"/>
    <w:rsid w:val="00B01B4D"/>
    <w:rsid w:val="00B0596F"/>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F4B"/>
    <w:rsid w:val="00B5273A"/>
    <w:rsid w:val="00B57329"/>
    <w:rsid w:val="00B60E61"/>
    <w:rsid w:val="00B62B50"/>
    <w:rsid w:val="00B635B7"/>
    <w:rsid w:val="00B63AE8"/>
    <w:rsid w:val="00B65950"/>
    <w:rsid w:val="00B66D83"/>
    <w:rsid w:val="00B672C0"/>
    <w:rsid w:val="00B676FD"/>
    <w:rsid w:val="00B75646"/>
    <w:rsid w:val="00B83203"/>
    <w:rsid w:val="00B878C2"/>
    <w:rsid w:val="00B90729"/>
    <w:rsid w:val="00B907DA"/>
    <w:rsid w:val="00B94CD5"/>
    <w:rsid w:val="00B950BC"/>
    <w:rsid w:val="00B9714C"/>
    <w:rsid w:val="00BA29AD"/>
    <w:rsid w:val="00BA3279"/>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5E95"/>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F8B"/>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4968"/>
    <w:rsid w:val="00CD64DF"/>
    <w:rsid w:val="00CE225F"/>
    <w:rsid w:val="00CF2F50"/>
    <w:rsid w:val="00CF6198"/>
    <w:rsid w:val="00D022A2"/>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7F1E"/>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DBB"/>
    <w:rsid w:val="00E261B3"/>
    <w:rsid w:val="00E26818"/>
    <w:rsid w:val="00E27FFC"/>
    <w:rsid w:val="00E30B15"/>
    <w:rsid w:val="00E33237"/>
    <w:rsid w:val="00E3447D"/>
    <w:rsid w:val="00E40181"/>
    <w:rsid w:val="00E54950"/>
    <w:rsid w:val="00E56A01"/>
    <w:rsid w:val="00E62622"/>
    <w:rsid w:val="00E629A1"/>
    <w:rsid w:val="00E6794C"/>
    <w:rsid w:val="00E71591"/>
    <w:rsid w:val="00E71CEB"/>
    <w:rsid w:val="00E73CD3"/>
    <w:rsid w:val="00E7474F"/>
    <w:rsid w:val="00E80DE3"/>
    <w:rsid w:val="00E82C55"/>
    <w:rsid w:val="00E8787E"/>
    <w:rsid w:val="00E92AC3"/>
    <w:rsid w:val="00EA1360"/>
    <w:rsid w:val="00EA2F6A"/>
    <w:rsid w:val="00EA4F10"/>
    <w:rsid w:val="00EB00E0"/>
    <w:rsid w:val="00EB0BBF"/>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2B1"/>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235B"/>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547"/>
    <w:rsid w:val="00FC5E8E"/>
    <w:rsid w:val="00FD3766"/>
    <w:rsid w:val="00FD47C4"/>
    <w:rsid w:val="00FD722A"/>
    <w:rsid w:val="00FE2DCF"/>
    <w:rsid w:val="00FE3FA7"/>
    <w:rsid w:val="00FE773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780177"/>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F56A1"/>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27744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109572">
      <w:bodyDiv w:val="1"/>
      <w:marLeft w:val="0"/>
      <w:marRight w:val="0"/>
      <w:marTop w:val="0"/>
      <w:marBottom w:val="0"/>
      <w:divBdr>
        <w:top w:val="none" w:sz="0" w:space="0" w:color="auto"/>
        <w:left w:val="none" w:sz="0" w:space="0" w:color="auto"/>
        <w:bottom w:val="none" w:sz="0" w:space="0" w:color="auto"/>
        <w:right w:val="none" w:sz="0" w:space="0" w:color="auto"/>
      </w:divBdr>
    </w:div>
    <w:div w:id="13582662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vic.gov.au/dp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hpr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A99B4-A3C7-44BD-BA36-1F6ED90993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2751</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Prescribing requirements for practitioners</vt:lpstr>
    </vt:vector>
  </TitlesOfParts>
  <Manager/>
  <Company>Victoria State Government, Department of Health</Company>
  <LinksUpToDate>false</LinksUpToDate>
  <CharactersWithSpaces>19153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requirements for practitioners</dc:title>
  <dc:subject/>
  <dc:creator>Medicines and poisons regulations</dc:creator>
  <cp:keywords/>
  <dc:description/>
  <cp:lastModifiedBy>Max Boyarovsky (Health)</cp:lastModifiedBy>
  <cp:revision>4</cp:revision>
  <cp:lastPrinted>2020-03-30T03:28:00Z</cp:lastPrinted>
  <dcterms:created xsi:type="dcterms:W3CDTF">2025-06-11T06:36:00Z</dcterms:created>
  <dcterms:modified xsi:type="dcterms:W3CDTF">2025-06-25T06:06:00Z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2023-10-16T04:26:12Z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a56a35f2-d01e-474c-93d0-bedaa112349a</vt:lpwstr>
  </property>
  <property fmtid="{D5CDD505-2E9C-101B-9397-08002B2CF9AE}" pid="11" name="MSIP_Label_43e64453-338c-4f93-8a4d-0039a0a41f2a_ContentBits">
    <vt:lpwstr>2</vt:lpwstr>
  </property>
  <property fmtid="{D5CDD505-2E9C-101B-9397-08002B2CF9AE}" pid="12" name="GrammarlyDocumentId">
    <vt:lpwstr>9f2c5e7ae26b509160e14be8fec6b38304f114d57872b822c7b7dde6b4841f4a</vt:lpwstr>
  </property>
</Properties>
</file>