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00B07FF7">
        <w:trPr>
          <w:trHeight w:val="622"/>
        </w:trPr>
        <w:tc>
          <w:tcPr>
            <w:tcW w:w="10348" w:type="dxa"/>
            <w:tcMar>
              <w:top w:w="1531" w:type="dxa"/>
              <w:left w:w="0" w:type="dxa"/>
              <w:right w:w="0" w:type="dxa"/>
            </w:tcMar>
          </w:tcPr>
          <w:p w14:paraId="18038076" w14:textId="7C1B46ED" w:rsidR="003B5733" w:rsidRPr="003B5733" w:rsidRDefault="009E17AF" w:rsidP="003B5733">
            <w:pPr>
              <w:pStyle w:val="Documenttitle"/>
            </w:pPr>
            <w:r>
              <w:t>Perioperative service capability framework</w:t>
            </w:r>
          </w:p>
        </w:tc>
      </w:tr>
      <w:tr w:rsidR="003B5733" w14:paraId="2B0FB168" w14:textId="77777777" w:rsidTr="00B07FF7">
        <w:tc>
          <w:tcPr>
            <w:tcW w:w="10348" w:type="dxa"/>
          </w:tcPr>
          <w:p w14:paraId="6C198BA9" w14:textId="169E49ED" w:rsidR="003B5733" w:rsidRPr="00A1389F" w:rsidRDefault="009E17AF">
            <w:pPr>
              <w:pStyle w:val="Documentsubtitle"/>
            </w:pPr>
            <w:r>
              <w:t xml:space="preserve">Consumer </w:t>
            </w:r>
            <w:r w:rsidR="00FE637E">
              <w:t>factsheet</w:t>
            </w:r>
          </w:p>
        </w:tc>
      </w:tr>
      <w:tr w:rsidR="003B5733" w14:paraId="1D099E71" w14:textId="77777777" w:rsidTr="00B07FF7">
        <w:tc>
          <w:tcPr>
            <w:tcW w:w="10348" w:type="dxa"/>
          </w:tcPr>
          <w:p w14:paraId="1415A28C" w14:textId="77777777" w:rsidR="003B5733" w:rsidRPr="001E5058" w:rsidRDefault="009F1300" w:rsidP="001E5058">
            <w:pPr>
              <w:pStyle w:val="Bannermarking"/>
            </w:pPr>
            <w:fldSimple w:instr="FILLIN  &quot;Type the protective marking&quot; \d OFFICIAL \o  \* MERGEFORMAT">
              <w:r>
                <w:t>OFFICIAL</w:t>
              </w:r>
            </w:fldSimple>
          </w:p>
        </w:tc>
      </w:tr>
    </w:tbl>
    <w:p w14:paraId="1CDB2AC7" w14:textId="3846867A" w:rsidR="009E17AF" w:rsidRPr="00B519CD" w:rsidRDefault="009E17AF" w:rsidP="007173CA">
      <w:pPr>
        <w:pStyle w:val="Body"/>
        <w:sectPr w:rsidR="009E17AF" w:rsidRPr="00B519CD" w:rsidSect="00E62622">
          <w:headerReference w:type="default" r:id="rId15"/>
          <w:type w:val="continuous"/>
          <w:pgSz w:w="11906" w:h="16838" w:code="9"/>
          <w:pgMar w:top="1418" w:right="851" w:bottom="1418" w:left="851" w:header="851" w:footer="851" w:gutter="0"/>
          <w:cols w:space="340"/>
          <w:titlePg/>
          <w:docGrid w:linePitch="360"/>
        </w:sectPr>
      </w:pPr>
    </w:p>
    <w:p w14:paraId="40101AF7" w14:textId="321CBE02" w:rsidR="009E17AF" w:rsidRPr="00EC2BA7" w:rsidRDefault="00FE637E" w:rsidP="009E17AF">
      <w:pPr>
        <w:pStyle w:val="Heading3"/>
        <w:rPr>
          <w:color w:val="auto"/>
        </w:rPr>
      </w:pPr>
      <w:bookmarkStart w:id="0" w:name="_Toc151542634"/>
      <w:r>
        <w:rPr>
          <w:rStyle w:val="normaltextrun"/>
          <w:color w:val="auto"/>
        </w:rPr>
        <w:t>P</w:t>
      </w:r>
      <w:r w:rsidR="009E17AF" w:rsidRPr="00EC2BA7">
        <w:rPr>
          <w:rStyle w:val="normaltextrun"/>
          <w:color w:val="auto"/>
        </w:rPr>
        <w:t>erioperative care</w:t>
      </w:r>
      <w:bookmarkEnd w:id="0"/>
      <w:r w:rsidR="009E17AF" w:rsidRPr="00EC2BA7">
        <w:rPr>
          <w:rStyle w:val="eop"/>
          <w:color w:val="auto"/>
        </w:rPr>
        <w:t> </w:t>
      </w:r>
    </w:p>
    <w:p w14:paraId="44E75C88" w14:textId="77777777" w:rsidR="009E17AF" w:rsidRDefault="009E17AF" w:rsidP="5560A0D9">
      <w:pPr>
        <w:pStyle w:val="Body"/>
        <w:rPr>
          <w:rFonts w:ascii="Segoe UI" w:hAnsi="Segoe UI" w:cs="Segoe UI"/>
          <w:sz w:val="18"/>
          <w:szCs w:val="18"/>
        </w:rPr>
      </w:pPr>
      <w:r>
        <w:t>Perioperative care is the care given to consumers before, during, and after a surgical procedure. </w:t>
      </w:r>
    </w:p>
    <w:p w14:paraId="7AD5AF56" w14:textId="77777777" w:rsidR="009E17AF" w:rsidRDefault="009E17AF" w:rsidP="5560A0D9">
      <w:pPr>
        <w:pStyle w:val="Body"/>
        <w:rPr>
          <w:rFonts w:ascii="Segoe UI" w:hAnsi="Segoe UI" w:cs="Segoe UI"/>
          <w:sz w:val="18"/>
          <w:szCs w:val="18"/>
        </w:rPr>
      </w:pPr>
      <w:r>
        <w:t> </w:t>
      </w:r>
    </w:p>
    <w:p w14:paraId="72B45F97" w14:textId="5E955ADE" w:rsidR="009E17AF" w:rsidRPr="00EC2BA7" w:rsidRDefault="009E17AF" w:rsidP="009E17AF">
      <w:pPr>
        <w:pStyle w:val="Heading3"/>
        <w:rPr>
          <w:rStyle w:val="normaltextrun"/>
          <w:color w:val="auto"/>
        </w:rPr>
      </w:pPr>
      <w:bookmarkStart w:id="1" w:name="_Toc151542635"/>
      <w:r w:rsidRPr="00EC2BA7">
        <w:rPr>
          <w:rStyle w:val="normaltextrun"/>
          <w:color w:val="auto"/>
        </w:rPr>
        <w:t>Perioperative service capability framework</w:t>
      </w:r>
      <w:bookmarkEnd w:id="1"/>
      <w:r w:rsidRPr="00EC2BA7">
        <w:rPr>
          <w:rStyle w:val="normaltextrun"/>
          <w:color w:val="auto"/>
        </w:rPr>
        <w:t> </w:t>
      </w:r>
    </w:p>
    <w:p w14:paraId="0CC40CAF" w14:textId="77777777" w:rsidR="009E17AF" w:rsidRDefault="009E17AF" w:rsidP="5560A0D9">
      <w:pPr>
        <w:pStyle w:val="Body"/>
        <w:rPr>
          <w:rFonts w:ascii="Segoe UI" w:hAnsi="Segoe UI" w:cs="Segoe UI"/>
          <w:sz w:val="18"/>
          <w:szCs w:val="18"/>
        </w:rPr>
      </w:pPr>
      <w:r>
        <w:t>The Perioperative service capability framework explains the basic requirements for Victorian health services to be able to provide safe, high quality perioperative care.  </w:t>
      </w:r>
    </w:p>
    <w:p w14:paraId="58274D8B" w14:textId="77777777" w:rsidR="009E17AF" w:rsidRDefault="009E17AF" w:rsidP="5560A0D9">
      <w:pPr>
        <w:pStyle w:val="Body"/>
        <w:rPr>
          <w:rFonts w:ascii="Segoe UI" w:hAnsi="Segoe UI" w:cs="Segoe UI"/>
          <w:sz w:val="18"/>
          <w:szCs w:val="18"/>
        </w:rPr>
      </w:pPr>
      <w:r>
        <w:t>It sets out the staff skills, equipment and organisational capacity required for consumers to receive the right care and support relating to their surgery.  </w:t>
      </w:r>
    </w:p>
    <w:p w14:paraId="76D6C1A2" w14:textId="0BD747CA" w:rsidR="009E17AF" w:rsidRDefault="009E17AF" w:rsidP="5560A0D9">
      <w:pPr>
        <w:pStyle w:val="Body"/>
        <w:rPr>
          <w:rFonts w:ascii="Segoe UI" w:hAnsi="Segoe UI" w:cs="Segoe UI"/>
          <w:sz w:val="18"/>
          <w:szCs w:val="18"/>
        </w:rPr>
      </w:pPr>
      <w:r>
        <w:t xml:space="preserve">This framework will help </w:t>
      </w:r>
      <w:r w:rsidR="00444A05">
        <w:t>hospitals,</w:t>
      </w:r>
      <w:r>
        <w:t xml:space="preserve"> and the Department of Health better understand surgical activity across the </w:t>
      </w:r>
      <w:r w:rsidRPr="006A6C79">
        <w:t>system</w:t>
      </w:r>
    </w:p>
    <w:p w14:paraId="27CF5286" w14:textId="77777777" w:rsidR="009E17AF" w:rsidRDefault="009E17AF" w:rsidP="5560A0D9">
      <w:pPr>
        <w:pStyle w:val="Body"/>
        <w:rPr>
          <w:rFonts w:ascii="Segoe UI" w:hAnsi="Segoe UI" w:cs="Segoe UI"/>
          <w:sz w:val="18"/>
          <w:szCs w:val="18"/>
        </w:rPr>
      </w:pPr>
      <w:r>
        <w:t> </w:t>
      </w:r>
    </w:p>
    <w:p w14:paraId="579D9D18" w14:textId="5906ECCB" w:rsidR="009E17AF" w:rsidRPr="00EC2BA7" w:rsidRDefault="1D304CFC" w:rsidP="009E17AF">
      <w:pPr>
        <w:pStyle w:val="Heading3"/>
        <w:rPr>
          <w:rStyle w:val="normaltextrun"/>
          <w:color w:val="auto"/>
        </w:rPr>
      </w:pPr>
      <w:bookmarkStart w:id="2" w:name="_Toc151542636"/>
      <w:r w:rsidRPr="1FE6E985">
        <w:rPr>
          <w:rStyle w:val="normaltextrun"/>
          <w:color w:val="auto"/>
        </w:rPr>
        <w:t xml:space="preserve">The importance of the </w:t>
      </w:r>
      <w:r w:rsidR="009E17AF" w:rsidRPr="1FE6E985">
        <w:rPr>
          <w:rStyle w:val="normaltextrun"/>
          <w:color w:val="auto"/>
        </w:rPr>
        <w:t xml:space="preserve">Perioperative service capability framework </w:t>
      </w:r>
      <w:r w:rsidR="00FE637E" w:rsidRPr="1FE6E985">
        <w:rPr>
          <w:rStyle w:val="normaltextrun"/>
          <w:color w:val="auto"/>
        </w:rPr>
        <w:t>for consumers</w:t>
      </w:r>
      <w:bookmarkEnd w:id="2"/>
      <w:r w:rsidR="009E17AF" w:rsidRPr="1FE6E985">
        <w:rPr>
          <w:rStyle w:val="normaltextrun"/>
          <w:color w:val="auto"/>
        </w:rPr>
        <w:t> </w:t>
      </w:r>
    </w:p>
    <w:p w14:paraId="54A08752" w14:textId="77777777" w:rsidR="009E17AF" w:rsidRDefault="009E17AF" w:rsidP="5560A0D9">
      <w:pPr>
        <w:pStyle w:val="Body"/>
        <w:rPr>
          <w:rFonts w:ascii="Segoe UI" w:hAnsi="Segoe UI" w:cs="Segoe UI"/>
          <w:sz w:val="18"/>
          <w:szCs w:val="18"/>
        </w:rPr>
      </w:pPr>
      <w:r>
        <w:t>The Perioperative service capability framework will help guide your understanding of what perioperative care and services are available in hospitals across the state. </w:t>
      </w:r>
    </w:p>
    <w:p w14:paraId="2D743A51" w14:textId="6A6823B9" w:rsidR="009E17AF" w:rsidRDefault="009E17AF" w:rsidP="5560A0D9">
      <w:pPr>
        <w:pStyle w:val="Body"/>
        <w:rPr>
          <w:rFonts w:ascii="Segoe UI" w:hAnsi="Segoe UI" w:cs="Segoe UI"/>
          <w:sz w:val="18"/>
          <w:szCs w:val="18"/>
        </w:rPr>
      </w:pPr>
      <w:r>
        <w:t xml:space="preserve">As a consumer, this framework ensures that you receive perioperative care at the right time and in the right place based on your specific needs. </w:t>
      </w:r>
      <w:r w:rsidR="28E644A6">
        <w:t xml:space="preserve">This includes </w:t>
      </w:r>
      <w:r w:rsidR="5B226100">
        <w:t>n</w:t>
      </w:r>
      <w:r>
        <w:t xml:space="preserve">ot only the surgery you require, but any </w:t>
      </w:r>
      <w:r w:rsidR="35EE8F35">
        <w:t xml:space="preserve">additional health, </w:t>
      </w:r>
      <w:r>
        <w:t>cultural or individual needs you may have. </w:t>
      </w:r>
    </w:p>
    <w:p w14:paraId="5EEE13FC" w14:textId="77777777" w:rsidR="009E17AF" w:rsidRPr="00EC2BA7" w:rsidRDefault="009E17AF" w:rsidP="009E17AF">
      <w:pPr>
        <w:pStyle w:val="paragraph"/>
        <w:spacing w:before="0" w:beforeAutospacing="0" w:after="0" w:afterAutospacing="0"/>
        <w:textAlignment w:val="baseline"/>
        <w:rPr>
          <w:rFonts w:ascii="Segoe UI" w:hAnsi="Segoe UI" w:cs="Segoe UI"/>
          <w:sz w:val="18"/>
          <w:szCs w:val="18"/>
        </w:rPr>
      </w:pPr>
      <w:r w:rsidRPr="00EC2BA7">
        <w:rPr>
          <w:rStyle w:val="eop"/>
          <w:rFonts w:ascii="Calibri" w:eastAsia="MS Mincho" w:hAnsi="Calibri" w:cs="Calibri"/>
          <w:sz w:val="22"/>
        </w:rPr>
        <w:t> </w:t>
      </w:r>
    </w:p>
    <w:p w14:paraId="6E818D3A" w14:textId="4A31C44A" w:rsidR="009E17AF" w:rsidRPr="00EC2BA7" w:rsidRDefault="00FE637E" w:rsidP="009E17AF">
      <w:pPr>
        <w:pStyle w:val="Heading3"/>
        <w:rPr>
          <w:rStyle w:val="normaltextrun"/>
          <w:color w:val="auto"/>
        </w:rPr>
      </w:pPr>
      <w:bookmarkStart w:id="3" w:name="_Toc151542637"/>
      <w:r>
        <w:rPr>
          <w:rStyle w:val="normaltextrun"/>
          <w:color w:val="auto"/>
        </w:rPr>
        <w:t>Locations for surgery</w:t>
      </w:r>
      <w:bookmarkEnd w:id="3"/>
      <w:r w:rsidR="009E17AF" w:rsidRPr="00EC2BA7">
        <w:rPr>
          <w:rStyle w:val="normaltextrun"/>
          <w:color w:val="auto"/>
        </w:rPr>
        <w:t> </w:t>
      </w:r>
    </w:p>
    <w:p w14:paraId="7B13CC5F" w14:textId="77777777" w:rsidR="009E17AF" w:rsidRDefault="009E17AF" w:rsidP="5560A0D9">
      <w:pPr>
        <w:pStyle w:val="Body"/>
        <w:rPr>
          <w:rFonts w:ascii="Segoe UI" w:hAnsi="Segoe UI" w:cs="Segoe UI"/>
          <w:sz w:val="18"/>
          <w:szCs w:val="18"/>
        </w:rPr>
      </w:pPr>
      <w:r>
        <w:t>The Perioperative service capability framework categorises health service campuses into six levels, ranging from Level 1, performing simple procedures to Level 6, where the most complex surgical procedures are performed. As a result, the choice of hospital for your surgery will be based on the complexity of your surgical needs. </w:t>
      </w:r>
    </w:p>
    <w:p w14:paraId="419464B4" w14:textId="77777777" w:rsidR="009E17AF" w:rsidRDefault="009E17AF" w:rsidP="5560A0D9">
      <w:pPr>
        <w:pStyle w:val="Body"/>
        <w:rPr>
          <w:rFonts w:ascii="Segoe UI" w:hAnsi="Segoe UI" w:cs="Segoe UI"/>
          <w:sz w:val="18"/>
          <w:szCs w:val="18"/>
        </w:rPr>
      </w:pPr>
      <w:r>
        <w:t> </w:t>
      </w:r>
    </w:p>
    <w:p w14:paraId="74E82188" w14:textId="77777777" w:rsidR="009E17AF" w:rsidRDefault="009E17AF" w:rsidP="5560A0D9">
      <w:pPr>
        <w:pStyle w:val="Body"/>
        <w:rPr>
          <w:rFonts w:ascii="Segoe UI" w:hAnsi="Segoe UI" w:cs="Segoe UI"/>
          <w:sz w:val="18"/>
          <w:szCs w:val="18"/>
        </w:rPr>
      </w:pPr>
      <w:r w:rsidRPr="5560A0D9">
        <w:rPr>
          <w:lang w:val="en-US"/>
        </w:rPr>
        <w:t>If you have multiple health concerns that may make your care more difficult, you may need to attend a site that is more suited to your needs, rather than the hospital closest to your home. </w:t>
      </w:r>
      <w:r>
        <w:t>  </w:t>
      </w:r>
    </w:p>
    <w:p w14:paraId="085B5DF0" w14:textId="77777777" w:rsidR="009E17AF" w:rsidRDefault="009E17AF" w:rsidP="009E17AF">
      <w:pPr>
        <w:pStyle w:val="paragraph"/>
        <w:spacing w:before="0" w:beforeAutospacing="0" w:after="0" w:afterAutospacing="0"/>
        <w:textAlignment w:val="baseline"/>
        <w:rPr>
          <w:rStyle w:val="eop"/>
          <w:rFonts w:ascii="Calibri" w:eastAsia="MS Mincho" w:hAnsi="Calibri" w:cs="Calibri"/>
          <w:sz w:val="22"/>
        </w:rPr>
      </w:pPr>
      <w:r>
        <w:rPr>
          <w:rStyle w:val="eop"/>
          <w:rFonts w:ascii="Calibri" w:eastAsia="MS Mincho" w:hAnsi="Calibri" w:cs="Calibri"/>
          <w:sz w:val="22"/>
        </w:rPr>
        <w:t> </w:t>
      </w:r>
    </w:p>
    <w:p w14:paraId="302916F4" w14:textId="77777777" w:rsidR="002C7B21" w:rsidRPr="00F570FB" w:rsidRDefault="002C7B21" w:rsidP="002C7B21">
      <w:pPr>
        <w:pStyle w:val="Heading3"/>
        <w:rPr>
          <w:rStyle w:val="normaltextrun"/>
        </w:rPr>
      </w:pPr>
      <w:r w:rsidRPr="00F570FB">
        <w:rPr>
          <w:rStyle w:val="normaltextrun"/>
        </w:rPr>
        <w:lastRenderedPageBreak/>
        <w:t>Above level procedures</w:t>
      </w:r>
    </w:p>
    <w:p w14:paraId="33626BB4" w14:textId="77777777" w:rsidR="002C7B21" w:rsidRPr="00F570FB" w:rsidRDefault="002C7B21" w:rsidP="002C7B21">
      <w:pPr>
        <w:pStyle w:val="Body"/>
      </w:pPr>
      <w:r w:rsidRPr="00F570FB">
        <w:t xml:space="preserve">The perioperative capability level indicates the minimum capability level across all </w:t>
      </w:r>
      <w:r>
        <w:t>s</w:t>
      </w:r>
      <w:r w:rsidRPr="00F570FB">
        <w:t>ubspecialties/perioperative service streams that a health service site delivers.</w:t>
      </w:r>
    </w:p>
    <w:p w14:paraId="61CAA2CB" w14:textId="639C9D8B" w:rsidR="002C7B21" w:rsidRPr="00F570FB" w:rsidRDefault="002C7B21" w:rsidP="002C7B21">
      <w:pPr>
        <w:pStyle w:val="Body"/>
      </w:pPr>
      <w:r>
        <w:t>Each h</w:t>
      </w:r>
      <w:r w:rsidR="691413D6">
        <w:t>ospital</w:t>
      </w:r>
      <w:r>
        <w:t xml:space="preserve"> offers a unique set of services and some have specialist clinicians, expertise and equipment to safely provide certain procedures </w:t>
      </w:r>
      <w:r w:rsidR="61DDF926">
        <w:t xml:space="preserve">that are above </w:t>
      </w:r>
      <w:r>
        <w:t>their agreed capability level. Safer Care Victoria has assessed the provision of these procedures</w:t>
      </w:r>
      <w:r w:rsidR="58A1AF26">
        <w:t>.</w:t>
      </w:r>
      <w:r>
        <w:t xml:space="preserve"> For more information on specific above-level procedures, please contact the relevant health service.</w:t>
      </w:r>
    </w:p>
    <w:p w14:paraId="2A569950" w14:textId="77777777" w:rsidR="002C7B21" w:rsidRDefault="002C7B21" w:rsidP="009E17AF">
      <w:pPr>
        <w:pStyle w:val="paragraph"/>
        <w:spacing w:before="0" w:beforeAutospacing="0" w:after="0" w:afterAutospacing="0"/>
        <w:textAlignment w:val="baseline"/>
        <w:rPr>
          <w:rFonts w:ascii="Segoe UI" w:hAnsi="Segoe UI" w:cs="Segoe UI"/>
          <w:sz w:val="18"/>
          <w:szCs w:val="18"/>
        </w:rPr>
      </w:pPr>
    </w:p>
    <w:p w14:paraId="342F79A9" w14:textId="271F6EEB" w:rsidR="009E17AF" w:rsidRPr="009E17AF" w:rsidRDefault="00FE637E" w:rsidP="009E17AF">
      <w:pPr>
        <w:pStyle w:val="Heading3"/>
        <w:rPr>
          <w:rStyle w:val="normaltextrun"/>
        </w:rPr>
      </w:pPr>
      <w:bookmarkStart w:id="4" w:name="_Toc151542638"/>
      <w:r>
        <w:rPr>
          <w:rStyle w:val="normaltextrun"/>
          <w:color w:val="auto"/>
        </w:rPr>
        <w:t>Further information</w:t>
      </w:r>
      <w:r w:rsidR="009E17AF" w:rsidRPr="009E17AF">
        <w:rPr>
          <w:rStyle w:val="normaltextrun"/>
        </w:rPr>
        <w:t> </w:t>
      </w:r>
      <w:bookmarkEnd w:id="4"/>
      <w:r w:rsidR="009E17AF" w:rsidRPr="009E17AF">
        <w:rPr>
          <w:rStyle w:val="normaltextrun"/>
        </w:rPr>
        <w:t> </w:t>
      </w:r>
    </w:p>
    <w:p w14:paraId="497AE207" w14:textId="77777777" w:rsidR="002C7B21" w:rsidRDefault="002C7B21" w:rsidP="002C7B21">
      <w:pPr>
        <w:pStyle w:val="Body"/>
        <w:rPr>
          <w:rFonts w:ascii="Segoe UI" w:hAnsi="Segoe UI" w:cs="Segoe UI"/>
          <w:sz w:val="18"/>
          <w:szCs w:val="18"/>
        </w:rPr>
      </w:pPr>
      <w:r w:rsidRPr="5C54EAB2">
        <w:rPr>
          <w:lang w:val="en-US"/>
        </w:rPr>
        <w:t>More information about the Perioperative Capability Framework, including specific requirements for each capability level, is available on the Department of Health website.</w:t>
      </w:r>
      <w:r>
        <w:t> </w:t>
      </w:r>
    </w:p>
    <w:p w14:paraId="3D60205B" w14:textId="77777777" w:rsidR="00200176" w:rsidRPr="00200176" w:rsidRDefault="00200176" w:rsidP="00200176">
      <w:pPr>
        <w:pStyle w:val="Body"/>
      </w:pPr>
    </w:p>
    <w:tbl>
      <w:tblPr>
        <w:tblStyle w:val="TableGrid"/>
        <w:tblW w:w="0" w:type="auto"/>
        <w:tblLayout w:type="fixed"/>
        <w:tblLook w:val="04A0" w:firstRow="1" w:lastRow="0" w:firstColumn="1" w:lastColumn="0" w:noHBand="0" w:noVBand="1"/>
      </w:tblPr>
      <w:tblGrid>
        <w:gridCol w:w="3400"/>
        <w:gridCol w:w="3400"/>
        <w:gridCol w:w="3400"/>
      </w:tblGrid>
      <w:tr w:rsidR="6A2B2DF5" w14:paraId="4D64EDA0" w14:textId="77777777" w:rsidTr="703BF9BA">
        <w:trPr>
          <w:trHeight w:val="300"/>
        </w:trPr>
        <w:tc>
          <w:tcPr>
            <w:tcW w:w="1020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7268E76" w14:textId="3DD1ED39" w:rsidR="6A2B2DF5" w:rsidRDefault="6A2B2DF5" w:rsidP="6A2B2DF5">
            <w:pPr>
              <w:jc w:val="center"/>
            </w:pPr>
            <w:r w:rsidRPr="6A2B2DF5">
              <w:rPr>
                <w:rFonts w:eastAsia="Arial" w:cs="Arial"/>
                <w:b/>
                <w:bCs/>
                <w:szCs w:val="21"/>
              </w:rPr>
              <w:t>Version Control</w:t>
            </w:r>
          </w:p>
        </w:tc>
      </w:tr>
      <w:tr w:rsidR="6A2B2DF5" w14:paraId="720EE875" w14:textId="77777777" w:rsidTr="703BF9BA">
        <w:trPr>
          <w:trHeight w:val="300"/>
        </w:trPr>
        <w:tc>
          <w:tcPr>
            <w:tcW w:w="3400" w:type="dxa"/>
            <w:tcBorders>
              <w:top w:val="single" w:sz="8" w:space="0" w:color="auto"/>
              <w:left w:val="single" w:sz="8" w:space="0" w:color="auto"/>
              <w:bottom w:val="single" w:sz="8" w:space="0" w:color="auto"/>
              <w:right w:val="single" w:sz="8" w:space="0" w:color="auto"/>
            </w:tcBorders>
            <w:tcMar>
              <w:left w:w="108" w:type="dxa"/>
              <w:right w:w="108" w:type="dxa"/>
            </w:tcMar>
          </w:tcPr>
          <w:p w14:paraId="6D52A313" w14:textId="39BF85C6" w:rsidR="6A2B2DF5" w:rsidRDefault="6A2B2DF5" w:rsidP="6A2B2DF5">
            <w:r w:rsidRPr="6A2B2DF5">
              <w:rPr>
                <w:rFonts w:eastAsia="Arial" w:cs="Arial"/>
                <w:b/>
                <w:bCs/>
                <w:szCs w:val="21"/>
              </w:rPr>
              <w:t>Version number</w:t>
            </w:r>
          </w:p>
        </w:tc>
        <w:tc>
          <w:tcPr>
            <w:tcW w:w="3400" w:type="dxa"/>
            <w:tcBorders>
              <w:top w:val="nil"/>
              <w:left w:val="single" w:sz="8" w:space="0" w:color="auto"/>
              <w:bottom w:val="single" w:sz="8" w:space="0" w:color="auto"/>
              <w:right w:val="single" w:sz="8" w:space="0" w:color="auto"/>
            </w:tcBorders>
            <w:tcMar>
              <w:left w:w="108" w:type="dxa"/>
              <w:right w:w="108" w:type="dxa"/>
            </w:tcMar>
          </w:tcPr>
          <w:p w14:paraId="439403F4" w14:textId="5C68E078" w:rsidR="6A2B2DF5" w:rsidRDefault="6A2B2DF5" w:rsidP="6A2B2DF5">
            <w:r w:rsidRPr="6A2B2DF5">
              <w:rPr>
                <w:rFonts w:eastAsia="Arial" w:cs="Arial"/>
                <w:b/>
                <w:bCs/>
                <w:szCs w:val="21"/>
              </w:rPr>
              <w:t>Author</w:t>
            </w:r>
          </w:p>
        </w:tc>
        <w:tc>
          <w:tcPr>
            <w:tcW w:w="3400" w:type="dxa"/>
            <w:tcBorders>
              <w:top w:val="nil"/>
              <w:left w:val="single" w:sz="8" w:space="0" w:color="auto"/>
              <w:bottom w:val="single" w:sz="8" w:space="0" w:color="auto"/>
              <w:right w:val="single" w:sz="8" w:space="0" w:color="auto"/>
            </w:tcBorders>
            <w:tcMar>
              <w:left w:w="108" w:type="dxa"/>
              <w:right w:w="108" w:type="dxa"/>
            </w:tcMar>
          </w:tcPr>
          <w:p w14:paraId="7232BD93" w14:textId="46233249" w:rsidR="6A2B2DF5" w:rsidRDefault="6A2B2DF5" w:rsidP="6A2B2DF5">
            <w:r w:rsidRPr="6A2B2DF5">
              <w:rPr>
                <w:rFonts w:eastAsia="Arial" w:cs="Arial"/>
                <w:b/>
                <w:bCs/>
                <w:szCs w:val="21"/>
              </w:rPr>
              <w:t>Date approved</w:t>
            </w:r>
          </w:p>
        </w:tc>
      </w:tr>
      <w:tr w:rsidR="6A2B2DF5" w14:paraId="67C0CCB1" w14:textId="77777777" w:rsidTr="703BF9BA">
        <w:trPr>
          <w:trHeight w:val="300"/>
        </w:trPr>
        <w:tc>
          <w:tcPr>
            <w:tcW w:w="3400" w:type="dxa"/>
            <w:tcBorders>
              <w:top w:val="single" w:sz="8" w:space="0" w:color="auto"/>
              <w:left w:val="single" w:sz="8" w:space="0" w:color="auto"/>
              <w:bottom w:val="single" w:sz="8" w:space="0" w:color="auto"/>
              <w:right w:val="single" w:sz="8" w:space="0" w:color="auto"/>
            </w:tcBorders>
            <w:tcMar>
              <w:left w:w="108" w:type="dxa"/>
              <w:right w:w="108" w:type="dxa"/>
            </w:tcMar>
          </w:tcPr>
          <w:p w14:paraId="4BF1D7CB" w14:textId="42D5F1A0" w:rsidR="6A2B2DF5" w:rsidRDefault="002C7B21" w:rsidP="6A2B2DF5">
            <w:r>
              <w:rPr>
                <w:rFonts w:eastAsia="Arial" w:cs="Arial"/>
                <w:szCs w:val="21"/>
              </w:rPr>
              <w:t>2</w:t>
            </w:r>
            <w:r w:rsidR="6A2B2DF5" w:rsidRPr="6A2B2DF5">
              <w:rPr>
                <w:rFonts w:eastAsia="Arial" w:cs="Arial"/>
                <w:szCs w:val="21"/>
              </w:rPr>
              <w:t>.0</w:t>
            </w:r>
          </w:p>
        </w:tc>
        <w:tc>
          <w:tcPr>
            <w:tcW w:w="3400" w:type="dxa"/>
            <w:tcBorders>
              <w:top w:val="single" w:sz="8" w:space="0" w:color="auto"/>
              <w:left w:val="single" w:sz="8" w:space="0" w:color="auto"/>
              <w:bottom w:val="single" w:sz="8" w:space="0" w:color="auto"/>
              <w:right w:val="single" w:sz="8" w:space="0" w:color="auto"/>
            </w:tcBorders>
            <w:tcMar>
              <w:left w:w="108" w:type="dxa"/>
              <w:right w:w="108" w:type="dxa"/>
            </w:tcMar>
          </w:tcPr>
          <w:p w14:paraId="6465BB1D" w14:textId="7AE23CA0" w:rsidR="6A2B2DF5" w:rsidRDefault="6A2B2DF5" w:rsidP="6A2B2DF5">
            <w:r w:rsidRPr="6A2B2DF5">
              <w:rPr>
                <w:rFonts w:eastAsia="Arial" w:cs="Arial"/>
                <w:szCs w:val="21"/>
              </w:rPr>
              <w:t>Mary Benson</w:t>
            </w:r>
          </w:p>
        </w:tc>
        <w:tc>
          <w:tcPr>
            <w:tcW w:w="3400" w:type="dxa"/>
            <w:tcBorders>
              <w:top w:val="single" w:sz="8" w:space="0" w:color="auto"/>
              <w:left w:val="single" w:sz="8" w:space="0" w:color="auto"/>
              <w:bottom w:val="single" w:sz="8" w:space="0" w:color="auto"/>
              <w:right w:val="single" w:sz="8" w:space="0" w:color="auto"/>
            </w:tcBorders>
            <w:tcMar>
              <w:left w:w="108" w:type="dxa"/>
              <w:right w:w="108" w:type="dxa"/>
            </w:tcMar>
          </w:tcPr>
          <w:p w14:paraId="06B21748" w14:textId="28DD4BA6" w:rsidR="6A2B2DF5" w:rsidRDefault="002C7B21" w:rsidP="703BF9BA">
            <w:pPr>
              <w:rPr>
                <w:rFonts w:eastAsia="Arial" w:cs="Arial"/>
              </w:rPr>
            </w:pPr>
            <w:r>
              <w:rPr>
                <w:rFonts w:eastAsia="Arial" w:cs="Arial"/>
              </w:rPr>
              <w:t>11 July</w:t>
            </w:r>
            <w:r w:rsidR="00946297">
              <w:rPr>
                <w:rFonts w:eastAsia="Arial" w:cs="Arial"/>
              </w:rPr>
              <w:t xml:space="preserve"> 2025</w:t>
            </w:r>
          </w:p>
        </w:tc>
      </w:tr>
    </w:tbl>
    <w:p w14:paraId="24A5574F" w14:textId="5A95FC59" w:rsidR="6A2B2DF5" w:rsidRDefault="6A2B2DF5" w:rsidP="6A2B2DF5">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C2AFE83" w14:textId="77777777" w:rsidTr="74A2FADE">
        <w:tc>
          <w:tcPr>
            <w:tcW w:w="10194" w:type="dxa"/>
          </w:tcPr>
          <w:p w14:paraId="568A1296" w14:textId="34727C5F" w:rsidR="006A214A" w:rsidRPr="00411CEB" w:rsidRDefault="006A214A" w:rsidP="006A214A">
            <w:pPr>
              <w:pStyle w:val="Accessibilitypara"/>
              <w:rPr>
                <w:sz w:val="23"/>
                <w:szCs w:val="23"/>
              </w:rPr>
            </w:pPr>
            <w:bookmarkStart w:id="5" w:name="_Hlk37240926"/>
            <w:r>
              <w:t>To receive this document in another format</w:t>
            </w:r>
            <w:r w:rsidR="00E62B39">
              <w:t xml:space="preserve">, </w:t>
            </w:r>
            <w:r>
              <w:t>email</w:t>
            </w:r>
            <w:r w:rsidR="00E62B39">
              <w:t xml:space="preserve"> </w:t>
            </w:r>
            <w:hyperlink r:id="rId16" w:history="1">
              <w:r w:rsidR="00E62B39" w:rsidRPr="00E62B39">
                <w:rPr>
                  <w:rStyle w:val="Hyperlink"/>
                </w:rPr>
                <w:t>Perioperative Framework</w:t>
              </w:r>
            </w:hyperlink>
            <w:r w:rsidRPr="74A2FADE">
              <w:rPr>
                <w:color w:val="004C97"/>
              </w:rPr>
              <w:t xml:space="preserve"> </w:t>
            </w:r>
            <w:r>
              <w:t>&lt;perioperativeframework@health.vic.gov.au&gt;.</w:t>
            </w:r>
          </w:p>
          <w:p w14:paraId="09F7F530" w14:textId="77777777" w:rsidR="006A214A" w:rsidRPr="0055119B" w:rsidRDefault="006A214A" w:rsidP="006A214A">
            <w:pPr>
              <w:pStyle w:val="Imprint"/>
            </w:pPr>
            <w:r w:rsidRPr="0055119B">
              <w:t>Authorised and published by the Victorian Government, 1 Treasury Place, Melbourne.</w:t>
            </w:r>
          </w:p>
          <w:p w14:paraId="0885ED1C" w14:textId="77777777" w:rsidR="006A214A" w:rsidRPr="0055119B" w:rsidRDefault="006A214A" w:rsidP="006A214A">
            <w:pPr>
              <w:pStyle w:val="Imprint"/>
            </w:pPr>
            <w:r>
              <w:t>© State of Victoria, Australia, Department of Health, November 2023.</w:t>
            </w:r>
          </w:p>
          <w:p w14:paraId="64196D47" w14:textId="30290DEE" w:rsidR="1636FA93" w:rsidRDefault="1636FA93" w:rsidP="6A2B2DF5">
            <w:pPr>
              <w:pStyle w:val="Imprint"/>
              <w:rPr>
                <w:rFonts w:eastAsia="Arial" w:cs="Arial"/>
                <w:sz w:val="22"/>
                <w:szCs w:val="22"/>
              </w:rPr>
            </w:pPr>
            <w:r w:rsidRPr="6A2B2DF5">
              <w:rPr>
                <w:rFonts w:eastAsia="Arial" w:cs="Arial"/>
                <w:b/>
                <w:bCs/>
                <w:sz w:val="22"/>
                <w:szCs w:val="22"/>
              </w:rPr>
              <w:t>ISBN</w:t>
            </w:r>
            <w:r w:rsidRPr="6A2B2DF5">
              <w:rPr>
                <w:rFonts w:eastAsia="Arial" w:cs="Arial"/>
                <w:sz w:val="22"/>
                <w:szCs w:val="22"/>
              </w:rPr>
              <w:t xml:space="preserve"> 978-1-76131-458-2</w:t>
            </w:r>
          </w:p>
          <w:p w14:paraId="48D8B1D4" w14:textId="5626F6CE" w:rsidR="0055119B" w:rsidRDefault="006A214A" w:rsidP="006A214A">
            <w:pPr>
              <w:pStyle w:val="Imprint"/>
            </w:pPr>
            <w:r w:rsidRPr="0055119B">
              <w:t xml:space="preserve">Available </w:t>
            </w:r>
            <w:r w:rsidRPr="00E62B39">
              <w:t xml:space="preserve">at </w:t>
            </w:r>
            <w:hyperlink r:id="rId17" w:history="1">
              <w:r w:rsidR="00E62B39" w:rsidRPr="00E62B39">
                <w:rPr>
                  <w:rStyle w:val="Hyperlink"/>
                </w:rPr>
                <w:t>Perioperative service capability framework for Victoria</w:t>
              </w:r>
            </w:hyperlink>
            <w:r w:rsidR="00E62B39">
              <w:t xml:space="preserve"> </w:t>
            </w:r>
            <w:r w:rsidRPr="00E62B39">
              <w:t>&lt;</w:t>
            </w:r>
            <w:r w:rsidR="00E62B39" w:rsidRPr="00E62B39">
              <w:t>https://www.health.vic.gov.au/health-system-design-planning/perioperative-service-capability-framework-for-victoria</w:t>
            </w:r>
            <w:r w:rsidRPr="00E62B39">
              <w:t>&gt;</w:t>
            </w:r>
          </w:p>
        </w:tc>
      </w:tr>
      <w:bookmarkEnd w:id="5"/>
    </w:tbl>
    <w:p w14:paraId="5872C207" w14:textId="77777777" w:rsidR="00162CA9" w:rsidRDefault="00162CA9" w:rsidP="00162CA9">
      <w:pPr>
        <w:pStyle w:val="Body"/>
      </w:pPr>
    </w:p>
    <w:sectPr w:rsidR="00162CA9" w:rsidSect="00E62622">
      <w:footerReference w:type="default" r:id="rId1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A62E0" w14:textId="77777777" w:rsidR="00D37FC5" w:rsidRDefault="00D37FC5">
      <w:r>
        <w:separator/>
      </w:r>
    </w:p>
  </w:endnote>
  <w:endnote w:type="continuationSeparator" w:id="0">
    <w:p w14:paraId="6740813E" w14:textId="77777777" w:rsidR="00D37FC5" w:rsidRDefault="00D37FC5">
      <w:r>
        <w:continuationSeparator/>
      </w:r>
    </w:p>
  </w:endnote>
  <w:endnote w:type="continuationNotice" w:id="1">
    <w:p w14:paraId="2BB65A94" w14:textId="77777777" w:rsidR="00D37FC5" w:rsidRDefault="00D37F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98B71"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013E133E">
            <v:shapetype id="_x0000_t202" coordsize="21600,21600" o:spt="202" path="m,l,21600r21600,l21600,xe" w14:anchorId="1EBB7D55">
              <v:stroke joinstyle="miter"/>
              <v:path gradientshapeok="t" o:connecttype="rect"/>
            </v:shapetype>
            <v:shape id="Text Box 5"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44087"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E0B14F8" wp14:editId="5A3027B6">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xmlns:arto="http://schemas.microsoft.com/office/word/2006/arto">
          <w:pict w14:anchorId="656CAD36">
            <v:shapetype id="_x0000_t202" coordsize="21600,21600" o:spt="202" path="m,l,21600r21600,l21600,xe" w14:anchorId="0E0B14F8">
              <v:stroke joinstyle="miter"/>
              <v:path gradientshapeok="t" o:connecttype="rect"/>
            </v:shapetype>
            <v:shape id="Text Box 6"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8368"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xmlns:arto="http://schemas.microsoft.com/office/word/2006/arto">
          <w:pict w14:anchorId="6C13247E">
            <v:shapetype id="_x0000_t202" coordsize="21600,21600" o:spt="202" path="m,l,21600r21600,l21600,xe" w14:anchorId="0470651C">
              <v:stroke joinstyle="miter"/>
              <v:path gradientshapeok="t" o:connecttype="rect"/>
            </v:shapetype>
            <v:shape id="Text Box 7"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07FF7" w:rsidR="00B07FF7" w:rsidP="00B07FF7" w:rsidRDefault="00B07FF7" w14:paraId="09E77742"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16951" w14:textId="77777777" w:rsidR="00D37FC5" w:rsidRDefault="00D37FC5" w:rsidP="002862F1">
      <w:pPr>
        <w:spacing w:before="120"/>
      </w:pPr>
      <w:r>
        <w:separator/>
      </w:r>
    </w:p>
  </w:footnote>
  <w:footnote w:type="continuationSeparator" w:id="0">
    <w:p w14:paraId="5AE12A7D" w14:textId="77777777" w:rsidR="00D37FC5" w:rsidRDefault="00D37FC5">
      <w:r>
        <w:continuationSeparator/>
      </w:r>
    </w:p>
  </w:footnote>
  <w:footnote w:type="continuationNotice" w:id="1">
    <w:p w14:paraId="11C18C34" w14:textId="77777777" w:rsidR="00D37FC5" w:rsidRDefault="00D37F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4E2A"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8942A" w14:textId="4935EB9D" w:rsidR="00E261B3" w:rsidRPr="0051568D" w:rsidRDefault="006A214A" w:rsidP="0011701A">
    <w:pPr>
      <w:pStyle w:val="Header"/>
    </w:pPr>
    <w:r>
      <w:t xml:space="preserve">Perioperative service capability framework - </w:t>
    </w:r>
    <w:r w:rsidR="009E17AF">
      <w:t>Consumer</w:t>
    </w:r>
    <w:r>
      <w:t xml:space="preserve"> </w:t>
    </w:r>
    <w:r w:rsidR="00FE637E">
      <w:t>factsheet</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21637010">
    <w:abstractNumId w:val="10"/>
  </w:num>
  <w:num w:numId="2" w16cid:durableId="21591339">
    <w:abstractNumId w:val="17"/>
  </w:num>
  <w:num w:numId="3" w16cid:durableId="19446093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04044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0100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08627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7639267">
    <w:abstractNumId w:val="21"/>
  </w:num>
  <w:num w:numId="8" w16cid:durableId="1295214178">
    <w:abstractNumId w:val="16"/>
  </w:num>
  <w:num w:numId="9" w16cid:durableId="1567951458">
    <w:abstractNumId w:val="20"/>
  </w:num>
  <w:num w:numId="10" w16cid:durableId="3961755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0166956">
    <w:abstractNumId w:val="22"/>
  </w:num>
  <w:num w:numId="12" w16cid:durableId="12811818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2684839">
    <w:abstractNumId w:val="18"/>
  </w:num>
  <w:num w:numId="14" w16cid:durableId="4411503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76466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13321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20240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817951">
    <w:abstractNumId w:val="24"/>
  </w:num>
  <w:num w:numId="19" w16cid:durableId="12723923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5372238">
    <w:abstractNumId w:val="14"/>
  </w:num>
  <w:num w:numId="21" w16cid:durableId="270091354">
    <w:abstractNumId w:val="12"/>
  </w:num>
  <w:num w:numId="22" w16cid:durableId="12706268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0243612">
    <w:abstractNumId w:val="15"/>
  </w:num>
  <w:num w:numId="24" w16cid:durableId="1777751676">
    <w:abstractNumId w:val="25"/>
  </w:num>
  <w:num w:numId="25" w16cid:durableId="218366008">
    <w:abstractNumId w:val="23"/>
  </w:num>
  <w:num w:numId="26" w16cid:durableId="700714657">
    <w:abstractNumId w:val="19"/>
  </w:num>
  <w:num w:numId="27" w16cid:durableId="1567450165">
    <w:abstractNumId w:val="11"/>
  </w:num>
  <w:num w:numId="28" w16cid:durableId="1356231649">
    <w:abstractNumId w:val="26"/>
  </w:num>
  <w:num w:numId="29" w16cid:durableId="156768022">
    <w:abstractNumId w:val="9"/>
  </w:num>
  <w:num w:numId="30" w16cid:durableId="1695154945">
    <w:abstractNumId w:val="7"/>
  </w:num>
  <w:num w:numId="31" w16cid:durableId="1684084672">
    <w:abstractNumId w:val="6"/>
  </w:num>
  <w:num w:numId="32" w16cid:durableId="1562591728">
    <w:abstractNumId w:val="5"/>
  </w:num>
  <w:num w:numId="33" w16cid:durableId="930351501">
    <w:abstractNumId w:val="4"/>
  </w:num>
  <w:num w:numId="34" w16cid:durableId="862011504">
    <w:abstractNumId w:val="8"/>
  </w:num>
  <w:num w:numId="35" w16cid:durableId="1694377838">
    <w:abstractNumId w:val="3"/>
  </w:num>
  <w:num w:numId="36" w16cid:durableId="127550722">
    <w:abstractNumId w:val="2"/>
  </w:num>
  <w:num w:numId="37" w16cid:durableId="577986800">
    <w:abstractNumId w:val="1"/>
  </w:num>
  <w:num w:numId="38" w16cid:durableId="478040839">
    <w:abstractNumId w:val="0"/>
  </w:num>
  <w:num w:numId="39" w16cid:durableId="8471372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28E4"/>
    <w:rsid w:val="000154FD"/>
    <w:rsid w:val="00016FBF"/>
    <w:rsid w:val="00022271"/>
    <w:rsid w:val="00022ED8"/>
    <w:rsid w:val="000235E8"/>
    <w:rsid w:val="00024D89"/>
    <w:rsid w:val="000250B6"/>
    <w:rsid w:val="00033D81"/>
    <w:rsid w:val="00037366"/>
    <w:rsid w:val="00041BF0"/>
    <w:rsid w:val="00042C8A"/>
    <w:rsid w:val="0004536B"/>
    <w:rsid w:val="00046B68"/>
    <w:rsid w:val="000527DD"/>
    <w:rsid w:val="00056007"/>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166E"/>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603D"/>
    <w:rsid w:val="002B77C1"/>
    <w:rsid w:val="002C0ED7"/>
    <w:rsid w:val="002C2728"/>
    <w:rsid w:val="002C7B21"/>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4A3C"/>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4A05"/>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089F"/>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87C1E"/>
    <w:rsid w:val="00596A4B"/>
    <w:rsid w:val="00597507"/>
    <w:rsid w:val="00597BC0"/>
    <w:rsid w:val="005A479D"/>
    <w:rsid w:val="005A4CBA"/>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339E"/>
    <w:rsid w:val="005E3DB7"/>
    <w:rsid w:val="005E447E"/>
    <w:rsid w:val="005E4FD1"/>
    <w:rsid w:val="005F0775"/>
    <w:rsid w:val="005F0CF5"/>
    <w:rsid w:val="005F21EB"/>
    <w:rsid w:val="005F2FCE"/>
    <w:rsid w:val="00605908"/>
    <w:rsid w:val="00610D7C"/>
    <w:rsid w:val="00611E1D"/>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249B"/>
    <w:rsid w:val="006557A7"/>
    <w:rsid w:val="00656290"/>
    <w:rsid w:val="006608D8"/>
    <w:rsid w:val="006621D7"/>
    <w:rsid w:val="0066302A"/>
    <w:rsid w:val="00667770"/>
    <w:rsid w:val="00670597"/>
    <w:rsid w:val="006706D0"/>
    <w:rsid w:val="00671C1E"/>
    <w:rsid w:val="00677574"/>
    <w:rsid w:val="0068454C"/>
    <w:rsid w:val="00691B62"/>
    <w:rsid w:val="006933B5"/>
    <w:rsid w:val="00693D14"/>
    <w:rsid w:val="00696F27"/>
    <w:rsid w:val="006974F9"/>
    <w:rsid w:val="006A18C2"/>
    <w:rsid w:val="006A214A"/>
    <w:rsid w:val="006A3383"/>
    <w:rsid w:val="006A6C79"/>
    <w:rsid w:val="006B077C"/>
    <w:rsid w:val="006B6803"/>
    <w:rsid w:val="006C57B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87DF0"/>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2F0C"/>
    <w:rsid w:val="008633F0"/>
    <w:rsid w:val="00866FCD"/>
    <w:rsid w:val="00867D9D"/>
    <w:rsid w:val="00872E0A"/>
    <w:rsid w:val="00873594"/>
    <w:rsid w:val="00875285"/>
    <w:rsid w:val="00884B62"/>
    <w:rsid w:val="0088529C"/>
    <w:rsid w:val="00887903"/>
    <w:rsid w:val="0089238F"/>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55FE"/>
    <w:rsid w:val="009269B1"/>
    <w:rsid w:val="0092724D"/>
    <w:rsid w:val="009272B3"/>
    <w:rsid w:val="009315BE"/>
    <w:rsid w:val="0093338F"/>
    <w:rsid w:val="00937BD9"/>
    <w:rsid w:val="00946297"/>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7AF"/>
    <w:rsid w:val="009E1B95"/>
    <w:rsid w:val="009E496F"/>
    <w:rsid w:val="009E4B0D"/>
    <w:rsid w:val="009E5250"/>
    <w:rsid w:val="009E7F92"/>
    <w:rsid w:val="009F02A3"/>
    <w:rsid w:val="009F0505"/>
    <w:rsid w:val="009F1300"/>
    <w:rsid w:val="009F2F27"/>
    <w:rsid w:val="009F34AA"/>
    <w:rsid w:val="009F6BCB"/>
    <w:rsid w:val="009F7B78"/>
    <w:rsid w:val="00A0057A"/>
    <w:rsid w:val="00A02FA1"/>
    <w:rsid w:val="00A04CCE"/>
    <w:rsid w:val="00A07421"/>
    <w:rsid w:val="00A0776B"/>
    <w:rsid w:val="00A10FB9"/>
    <w:rsid w:val="00A11421"/>
    <w:rsid w:val="00A1389F"/>
    <w:rsid w:val="00A157B1"/>
    <w:rsid w:val="00A21EE0"/>
    <w:rsid w:val="00A22229"/>
    <w:rsid w:val="00A24442"/>
    <w:rsid w:val="00A330BB"/>
    <w:rsid w:val="00A44882"/>
    <w:rsid w:val="00A45125"/>
    <w:rsid w:val="00A54715"/>
    <w:rsid w:val="00A6061C"/>
    <w:rsid w:val="00A62D44"/>
    <w:rsid w:val="00A67263"/>
    <w:rsid w:val="00A7161C"/>
    <w:rsid w:val="00A77AA3"/>
    <w:rsid w:val="00A8198D"/>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39A8"/>
    <w:rsid w:val="00B45141"/>
    <w:rsid w:val="00B46DE7"/>
    <w:rsid w:val="00B47E75"/>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5CBD"/>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15CE1"/>
    <w:rsid w:val="00C26588"/>
    <w:rsid w:val="00C27DE9"/>
    <w:rsid w:val="00C32989"/>
    <w:rsid w:val="00C33388"/>
    <w:rsid w:val="00C35484"/>
    <w:rsid w:val="00C4173A"/>
    <w:rsid w:val="00C50DED"/>
    <w:rsid w:val="00C602FF"/>
    <w:rsid w:val="00C61174"/>
    <w:rsid w:val="00C6148F"/>
    <w:rsid w:val="00C621B1"/>
    <w:rsid w:val="00C62F7A"/>
    <w:rsid w:val="00C63B9C"/>
    <w:rsid w:val="00C66255"/>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30F78"/>
    <w:rsid w:val="00D3185C"/>
    <w:rsid w:val="00D3205F"/>
    <w:rsid w:val="00D3318E"/>
    <w:rsid w:val="00D33E72"/>
    <w:rsid w:val="00D35BD6"/>
    <w:rsid w:val="00D361B5"/>
    <w:rsid w:val="00D37FC5"/>
    <w:rsid w:val="00D405AC"/>
    <w:rsid w:val="00D411A2"/>
    <w:rsid w:val="00D4606D"/>
    <w:rsid w:val="00D46C92"/>
    <w:rsid w:val="00D50B9C"/>
    <w:rsid w:val="00D52D73"/>
    <w:rsid w:val="00D52E58"/>
    <w:rsid w:val="00D56B20"/>
    <w:rsid w:val="00D57824"/>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1DDB"/>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01"/>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0BA4"/>
    <w:rsid w:val="00E54950"/>
    <w:rsid w:val="00E56A01"/>
    <w:rsid w:val="00E62622"/>
    <w:rsid w:val="00E629A1"/>
    <w:rsid w:val="00E62B39"/>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2BA7"/>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A58"/>
    <w:rsid w:val="00F50CD1"/>
    <w:rsid w:val="00F511E4"/>
    <w:rsid w:val="00F52D09"/>
    <w:rsid w:val="00F52E08"/>
    <w:rsid w:val="00F53261"/>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E637E"/>
    <w:rsid w:val="00FF2A4E"/>
    <w:rsid w:val="00FF2FCE"/>
    <w:rsid w:val="00FF4DE4"/>
    <w:rsid w:val="00FF4F7D"/>
    <w:rsid w:val="00FF54DF"/>
    <w:rsid w:val="00FF6D9D"/>
    <w:rsid w:val="00FF7DD5"/>
    <w:rsid w:val="06E268FD"/>
    <w:rsid w:val="0FEE876E"/>
    <w:rsid w:val="10F2D048"/>
    <w:rsid w:val="151AC7C6"/>
    <w:rsid w:val="1636FA93"/>
    <w:rsid w:val="181EA6D1"/>
    <w:rsid w:val="1D304CFC"/>
    <w:rsid w:val="1FE6E985"/>
    <w:rsid w:val="28E644A6"/>
    <w:rsid w:val="31CF53A1"/>
    <w:rsid w:val="32740385"/>
    <w:rsid w:val="35EE8F35"/>
    <w:rsid w:val="36A16610"/>
    <w:rsid w:val="3DA0E6EF"/>
    <w:rsid w:val="3FE1E3BA"/>
    <w:rsid w:val="455126F6"/>
    <w:rsid w:val="4B8F65A0"/>
    <w:rsid w:val="5560A0D9"/>
    <w:rsid w:val="58A1AF26"/>
    <w:rsid w:val="5B226100"/>
    <w:rsid w:val="5B873D51"/>
    <w:rsid w:val="61DDF926"/>
    <w:rsid w:val="6229DD76"/>
    <w:rsid w:val="691413D6"/>
    <w:rsid w:val="6A2B2DF5"/>
    <w:rsid w:val="703BF9BA"/>
    <w:rsid w:val="70CE11FF"/>
    <w:rsid w:val="74A2FADE"/>
    <w:rsid w:val="76F7BEB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FC488"/>
  <w15:docId w15:val="{889FAD9D-123C-4742-B125-A0D9186A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paragraph">
    <w:name w:val="paragraph"/>
    <w:basedOn w:val="Normal"/>
    <w:rsid w:val="009E17AF"/>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9E17AF"/>
  </w:style>
  <w:style w:type="character" w:customStyle="1" w:styleId="eop">
    <w:name w:val="eop"/>
    <w:basedOn w:val="DefaultParagraphFont"/>
    <w:rsid w:val="009E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10233236">
      <w:bodyDiv w:val="1"/>
      <w:marLeft w:val="0"/>
      <w:marRight w:val="0"/>
      <w:marTop w:val="0"/>
      <w:marBottom w:val="0"/>
      <w:divBdr>
        <w:top w:val="none" w:sz="0" w:space="0" w:color="auto"/>
        <w:left w:val="none" w:sz="0" w:space="0" w:color="auto"/>
        <w:bottom w:val="none" w:sz="0" w:space="0" w:color="auto"/>
        <w:right w:val="none" w:sz="0" w:space="0" w:color="auto"/>
      </w:divBdr>
      <w:divsChild>
        <w:div w:id="16080094">
          <w:marLeft w:val="0"/>
          <w:marRight w:val="0"/>
          <w:marTop w:val="0"/>
          <w:marBottom w:val="0"/>
          <w:divBdr>
            <w:top w:val="none" w:sz="0" w:space="0" w:color="auto"/>
            <w:left w:val="none" w:sz="0" w:space="0" w:color="auto"/>
            <w:bottom w:val="none" w:sz="0" w:space="0" w:color="auto"/>
            <w:right w:val="none" w:sz="0" w:space="0" w:color="auto"/>
          </w:divBdr>
        </w:div>
        <w:div w:id="136917542">
          <w:marLeft w:val="0"/>
          <w:marRight w:val="0"/>
          <w:marTop w:val="0"/>
          <w:marBottom w:val="0"/>
          <w:divBdr>
            <w:top w:val="none" w:sz="0" w:space="0" w:color="auto"/>
            <w:left w:val="none" w:sz="0" w:space="0" w:color="auto"/>
            <w:bottom w:val="none" w:sz="0" w:space="0" w:color="auto"/>
            <w:right w:val="none" w:sz="0" w:space="0" w:color="auto"/>
          </w:divBdr>
        </w:div>
        <w:div w:id="203520821">
          <w:marLeft w:val="0"/>
          <w:marRight w:val="0"/>
          <w:marTop w:val="0"/>
          <w:marBottom w:val="0"/>
          <w:divBdr>
            <w:top w:val="none" w:sz="0" w:space="0" w:color="auto"/>
            <w:left w:val="none" w:sz="0" w:space="0" w:color="auto"/>
            <w:bottom w:val="none" w:sz="0" w:space="0" w:color="auto"/>
            <w:right w:val="none" w:sz="0" w:space="0" w:color="auto"/>
          </w:divBdr>
        </w:div>
        <w:div w:id="309946708">
          <w:marLeft w:val="0"/>
          <w:marRight w:val="0"/>
          <w:marTop w:val="0"/>
          <w:marBottom w:val="0"/>
          <w:divBdr>
            <w:top w:val="none" w:sz="0" w:space="0" w:color="auto"/>
            <w:left w:val="none" w:sz="0" w:space="0" w:color="auto"/>
            <w:bottom w:val="none" w:sz="0" w:space="0" w:color="auto"/>
            <w:right w:val="none" w:sz="0" w:space="0" w:color="auto"/>
          </w:divBdr>
        </w:div>
        <w:div w:id="316881869">
          <w:marLeft w:val="0"/>
          <w:marRight w:val="0"/>
          <w:marTop w:val="0"/>
          <w:marBottom w:val="0"/>
          <w:divBdr>
            <w:top w:val="none" w:sz="0" w:space="0" w:color="auto"/>
            <w:left w:val="none" w:sz="0" w:space="0" w:color="auto"/>
            <w:bottom w:val="none" w:sz="0" w:space="0" w:color="auto"/>
            <w:right w:val="none" w:sz="0" w:space="0" w:color="auto"/>
          </w:divBdr>
        </w:div>
        <w:div w:id="823396865">
          <w:marLeft w:val="0"/>
          <w:marRight w:val="0"/>
          <w:marTop w:val="0"/>
          <w:marBottom w:val="0"/>
          <w:divBdr>
            <w:top w:val="none" w:sz="0" w:space="0" w:color="auto"/>
            <w:left w:val="none" w:sz="0" w:space="0" w:color="auto"/>
            <w:bottom w:val="none" w:sz="0" w:space="0" w:color="auto"/>
            <w:right w:val="none" w:sz="0" w:space="0" w:color="auto"/>
          </w:divBdr>
        </w:div>
        <w:div w:id="828054508">
          <w:marLeft w:val="0"/>
          <w:marRight w:val="0"/>
          <w:marTop w:val="0"/>
          <w:marBottom w:val="0"/>
          <w:divBdr>
            <w:top w:val="none" w:sz="0" w:space="0" w:color="auto"/>
            <w:left w:val="none" w:sz="0" w:space="0" w:color="auto"/>
            <w:bottom w:val="none" w:sz="0" w:space="0" w:color="auto"/>
            <w:right w:val="none" w:sz="0" w:space="0" w:color="auto"/>
          </w:divBdr>
        </w:div>
        <w:div w:id="1040712610">
          <w:marLeft w:val="0"/>
          <w:marRight w:val="0"/>
          <w:marTop w:val="0"/>
          <w:marBottom w:val="0"/>
          <w:divBdr>
            <w:top w:val="none" w:sz="0" w:space="0" w:color="auto"/>
            <w:left w:val="none" w:sz="0" w:space="0" w:color="auto"/>
            <w:bottom w:val="none" w:sz="0" w:space="0" w:color="auto"/>
            <w:right w:val="none" w:sz="0" w:space="0" w:color="auto"/>
          </w:divBdr>
        </w:div>
        <w:div w:id="1133593030">
          <w:marLeft w:val="0"/>
          <w:marRight w:val="0"/>
          <w:marTop w:val="0"/>
          <w:marBottom w:val="0"/>
          <w:divBdr>
            <w:top w:val="none" w:sz="0" w:space="0" w:color="auto"/>
            <w:left w:val="none" w:sz="0" w:space="0" w:color="auto"/>
            <w:bottom w:val="none" w:sz="0" w:space="0" w:color="auto"/>
            <w:right w:val="none" w:sz="0" w:space="0" w:color="auto"/>
          </w:divBdr>
        </w:div>
        <w:div w:id="1371759644">
          <w:marLeft w:val="0"/>
          <w:marRight w:val="0"/>
          <w:marTop w:val="0"/>
          <w:marBottom w:val="0"/>
          <w:divBdr>
            <w:top w:val="none" w:sz="0" w:space="0" w:color="auto"/>
            <w:left w:val="none" w:sz="0" w:space="0" w:color="auto"/>
            <w:bottom w:val="none" w:sz="0" w:space="0" w:color="auto"/>
            <w:right w:val="none" w:sz="0" w:space="0" w:color="auto"/>
          </w:divBdr>
        </w:div>
        <w:div w:id="1418094703">
          <w:marLeft w:val="0"/>
          <w:marRight w:val="0"/>
          <w:marTop w:val="0"/>
          <w:marBottom w:val="0"/>
          <w:divBdr>
            <w:top w:val="none" w:sz="0" w:space="0" w:color="auto"/>
            <w:left w:val="none" w:sz="0" w:space="0" w:color="auto"/>
            <w:bottom w:val="none" w:sz="0" w:space="0" w:color="auto"/>
            <w:right w:val="none" w:sz="0" w:space="0" w:color="auto"/>
          </w:divBdr>
        </w:div>
        <w:div w:id="1563835723">
          <w:marLeft w:val="0"/>
          <w:marRight w:val="0"/>
          <w:marTop w:val="0"/>
          <w:marBottom w:val="0"/>
          <w:divBdr>
            <w:top w:val="none" w:sz="0" w:space="0" w:color="auto"/>
            <w:left w:val="none" w:sz="0" w:space="0" w:color="auto"/>
            <w:bottom w:val="none" w:sz="0" w:space="0" w:color="auto"/>
            <w:right w:val="none" w:sz="0" w:space="0" w:color="auto"/>
          </w:divBdr>
        </w:div>
        <w:div w:id="1617061264">
          <w:marLeft w:val="0"/>
          <w:marRight w:val="0"/>
          <w:marTop w:val="0"/>
          <w:marBottom w:val="0"/>
          <w:divBdr>
            <w:top w:val="none" w:sz="0" w:space="0" w:color="auto"/>
            <w:left w:val="none" w:sz="0" w:space="0" w:color="auto"/>
            <w:bottom w:val="none" w:sz="0" w:space="0" w:color="auto"/>
            <w:right w:val="none" w:sz="0" w:space="0" w:color="auto"/>
          </w:divBdr>
        </w:div>
        <w:div w:id="1671250821">
          <w:marLeft w:val="0"/>
          <w:marRight w:val="0"/>
          <w:marTop w:val="0"/>
          <w:marBottom w:val="0"/>
          <w:divBdr>
            <w:top w:val="none" w:sz="0" w:space="0" w:color="auto"/>
            <w:left w:val="none" w:sz="0" w:space="0" w:color="auto"/>
            <w:bottom w:val="none" w:sz="0" w:space="0" w:color="auto"/>
            <w:right w:val="none" w:sz="0" w:space="0" w:color="auto"/>
          </w:divBdr>
        </w:div>
        <w:div w:id="1729761242">
          <w:marLeft w:val="0"/>
          <w:marRight w:val="0"/>
          <w:marTop w:val="0"/>
          <w:marBottom w:val="0"/>
          <w:divBdr>
            <w:top w:val="none" w:sz="0" w:space="0" w:color="auto"/>
            <w:left w:val="none" w:sz="0" w:space="0" w:color="auto"/>
            <w:bottom w:val="none" w:sz="0" w:space="0" w:color="auto"/>
            <w:right w:val="none" w:sz="0" w:space="0" w:color="auto"/>
          </w:divBdr>
        </w:div>
        <w:div w:id="1729955289">
          <w:marLeft w:val="0"/>
          <w:marRight w:val="0"/>
          <w:marTop w:val="0"/>
          <w:marBottom w:val="0"/>
          <w:divBdr>
            <w:top w:val="none" w:sz="0" w:space="0" w:color="auto"/>
            <w:left w:val="none" w:sz="0" w:space="0" w:color="auto"/>
            <w:bottom w:val="none" w:sz="0" w:space="0" w:color="auto"/>
            <w:right w:val="none" w:sz="0" w:space="0" w:color="auto"/>
          </w:divBdr>
        </w:div>
        <w:div w:id="1832867509">
          <w:marLeft w:val="0"/>
          <w:marRight w:val="0"/>
          <w:marTop w:val="0"/>
          <w:marBottom w:val="0"/>
          <w:divBdr>
            <w:top w:val="none" w:sz="0" w:space="0" w:color="auto"/>
            <w:left w:val="none" w:sz="0" w:space="0" w:color="auto"/>
            <w:bottom w:val="none" w:sz="0" w:space="0" w:color="auto"/>
            <w:right w:val="none" w:sz="0" w:space="0" w:color="auto"/>
          </w:divBdr>
        </w:div>
        <w:div w:id="1988128552">
          <w:marLeft w:val="0"/>
          <w:marRight w:val="0"/>
          <w:marTop w:val="0"/>
          <w:marBottom w:val="0"/>
          <w:divBdr>
            <w:top w:val="none" w:sz="0" w:space="0" w:color="auto"/>
            <w:left w:val="none" w:sz="0" w:space="0" w:color="auto"/>
            <w:bottom w:val="none" w:sz="0" w:space="0" w:color="auto"/>
            <w:right w:val="none" w:sz="0" w:space="0" w:color="auto"/>
          </w:divBdr>
        </w:div>
        <w:div w:id="2004432818">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vic.gov.au/health-system-design-planning/perioperative-service-capability-framework-for-victoria" TargetMode="External"/><Relationship Id="rId2" Type="http://schemas.openxmlformats.org/officeDocument/2006/relationships/customXml" Target="../customXml/item2.xml"/><Relationship Id="rId16" Type="http://schemas.openxmlformats.org/officeDocument/2006/relationships/hyperlink" Target="mailto:perioperativeframework@health.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SharedWithUsers xmlns="51ef5222-d273-4e86-adbf-8aa3d9e99a84">
      <UserInfo>
        <DisplayName>Glyn Devlin (Health)</DisplayName>
        <AccountId>30</AccountId>
        <AccountType/>
      </UserInfo>
      <UserInfo>
        <DisplayName>Mary Benson (Health)</DisplayName>
        <AccountId>602</AccountId>
        <AccountType/>
      </UserInfo>
      <UserInfo>
        <DisplayName>Sonia Denisenko (Health)</DisplayName>
        <AccountId>16</AccountId>
        <AccountType/>
      </UserInfo>
      <UserInfo>
        <DisplayName>Isabella Ryan (Health)</DisplayName>
        <AccountId>698</AccountId>
        <AccountType/>
      </UserInfo>
      <UserInfo>
        <DisplayName>Capability Frameworks (Health)</DisplayName>
        <AccountId>230</AccountId>
        <AccountType/>
      </UserInfo>
      <UserInfo>
        <DisplayName>Miriam Brown (Health)</DisplayName>
        <AccountId>938</AccountId>
        <AccountType/>
      </UserInfo>
      <UserInfo>
        <DisplayName>Paul Aiken (Health)</DisplayName>
        <AccountId>787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9" ma:contentTypeDescription="Create a new document." ma:contentTypeScope="" ma:versionID="22c161df7444c8f344cc5551dfab2ebc">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e1ee8d882ed06038da88d0877216d0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cb00e7b-332d-4610-8aa3-5c2971790d90}"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6badf41-c0a1-41a6-983a-efd542c2c878"/>
    <ds:schemaRef ds:uri="51ef5222-d273-4e86-adbf-8aa3d9e99a84"/>
  </ds:schemaRefs>
</ds:datastoreItem>
</file>

<file path=customXml/itemProps3.xml><?xml version="1.0" encoding="utf-8"?>
<ds:datastoreItem xmlns:ds="http://schemas.openxmlformats.org/officeDocument/2006/customXml" ds:itemID="{CB78555A-F3E0-4DFA-A4A6-0A988CD57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411</Words>
  <Characters>2925</Characters>
  <Application>Microsoft Office Word</Application>
  <DocSecurity>0</DocSecurity>
  <Lines>24</Lines>
  <Paragraphs>6</Paragraphs>
  <ScaleCrop>false</ScaleCrop>
  <Manager/>
  <Company>Victoria State Government, Department of Health</Company>
  <LinksUpToDate>false</LinksUpToDate>
  <CharactersWithSpaces>3330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Perioperative service capability framework - Consumer factsheet</dc:title>
  <dc:subject/>
  <dc:creator>perioperativeframework@health.vic.gov.au</dc:creator>
  <cp:keywords>Perioperative service capability framework</cp:keywords>
  <dc:description/>
  <cp:lastModifiedBy>Clare Winter-Irving (Health)</cp:lastModifiedBy>
  <cp:revision>11</cp:revision>
  <cp:lastPrinted>2020-03-31T15:28:00Z</cp:lastPrinted>
  <dcterms:created xsi:type="dcterms:W3CDTF">2025-07-11T20:15:00Z</dcterms:created>
  <dcterms:modified xsi:type="dcterms:W3CDTF">2025-07-23T23:46:00Z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43e64453-338c-4f93-8a4d-0039a0a41f2a_Enabled">
    <vt:lpwstr>true</vt:lpwstr>
  </property>
  <property fmtid="{D5CDD505-2E9C-101B-9397-08002B2CF9AE}" pid="16" name="MSIP_Label_43e64453-338c-4f93-8a4d-0039a0a41f2a_SetDate">
    <vt:lpwstr>2022-10-05T04:44:21Z</vt:lpwstr>
  </property>
  <property fmtid="{D5CDD505-2E9C-101B-9397-08002B2CF9AE}" pid="17" name="MSIP_Label_43e64453-338c-4f93-8a4d-0039a0a41f2a_Method">
    <vt:lpwstr>Privileged</vt:lpwstr>
  </property>
  <property fmtid="{D5CDD505-2E9C-101B-9397-08002B2CF9AE}" pid="18" name="MSIP_Label_43e64453-338c-4f93-8a4d-0039a0a41f2a_Name">
    <vt:lpwstr>43e64453-338c-4f93-8a4d-0039a0a41f2a</vt:lpwstr>
  </property>
  <property fmtid="{D5CDD505-2E9C-101B-9397-08002B2CF9AE}" pid="19" name="MSIP_Label_43e64453-338c-4f93-8a4d-0039a0a41f2a_SiteId">
    <vt:lpwstr>c0e0601f-0fac-449c-9c88-a104c4eb9f28</vt:lpwstr>
  </property>
  <property fmtid="{D5CDD505-2E9C-101B-9397-08002B2CF9AE}" pid="20" name="MSIP_Label_43e64453-338c-4f93-8a4d-0039a0a41f2a_ActionId">
    <vt:lpwstr>5b0953da-1d06-41e3-80b2-c3d82fe549a2</vt:lpwstr>
  </property>
  <property fmtid="{D5CDD505-2E9C-101B-9397-08002B2CF9AE}" pid="21" name="MSIP_Label_43e64453-338c-4f93-8a4d-0039a0a41f2a_ContentBits">
    <vt:lpwstr>2</vt:lpwstr>
  </property>
  <property fmtid="{D5CDD505-2E9C-101B-9397-08002B2CF9AE}" pid="22" name="MediaServiceImageTags">
    <vt:lpwstr/>
  </property>
</Properties>
</file>